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0A" w:rsidRDefault="00CF664F">
      <w:pPr>
        <w:pStyle w:val="Title"/>
        <w:rPr>
          <w:sz w:val="28"/>
        </w:rPr>
      </w:pPr>
      <w:bookmarkStart w:id="0" w:name="OLE_LINK1"/>
      <w:bookmarkStart w:id="1" w:name="OLE_LINK2"/>
      <w:r>
        <w:rPr>
          <w:sz w:val="28"/>
        </w:rPr>
        <w:t>Before</w:t>
      </w:r>
    </w:p>
    <w:p w:rsidR="00140F0A" w:rsidRDefault="00CF664F">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140F0A" w:rsidRDefault="00140F0A">
      <w:pPr>
        <w:autoSpaceDE w:val="0"/>
        <w:autoSpaceDN w:val="0"/>
        <w:adjustRightInd w:val="0"/>
        <w:rPr>
          <w:rFonts w:ascii="Arial" w:eastAsiaTheme="minorHAnsi" w:hAnsi="Arial" w:cs="Arial"/>
        </w:rPr>
      </w:pP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In the Matter of the Application of</w:t>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 xml:space="preserve">Ohio Edison Company, The Cleveland </w:t>
      </w:r>
      <w:r>
        <w:rPr>
          <w:rFonts w:ascii="Arial" w:eastAsiaTheme="minorHAnsi" w:hAnsi="Arial" w:cs="Arial"/>
        </w:rPr>
        <w:tab/>
      </w:r>
      <w:r>
        <w:rPr>
          <w:rFonts w:ascii="Arial" w:eastAsiaTheme="minorHAnsi" w:hAnsi="Arial" w:cs="Arial"/>
        </w:rPr>
        <w:tab/>
        <w:t>)</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Electric Illuminating Company and The</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12-2190-EL-POR</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Toledo Edison Company for Approval of</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12-2191-EL-POR</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Their Energy Efficiency and Peak Demand</w:t>
      </w:r>
      <w:r>
        <w:rPr>
          <w:rFonts w:ascii="Arial" w:eastAsiaTheme="minorHAnsi" w:hAnsi="Arial" w:cs="Arial"/>
        </w:rPr>
        <w:tab/>
        <w:t>)</w:t>
      </w:r>
      <w:r>
        <w:rPr>
          <w:rFonts w:ascii="Arial" w:eastAsiaTheme="minorHAnsi" w:hAnsi="Arial" w:cs="Arial"/>
        </w:rPr>
        <w:tab/>
        <w:t>Case No. 12-2192-EL-POR</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Reduction Program Portfolio Plans for</w:t>
      </w:r>
      <w:r>
        <w:rPr>
          <w:rFonts w:ascii="Arial" w:eastAsiaTheme="minorHAnsi" w:hAnsi="Arial" w:cs="Arial"/>
        </w:rPr>
        <w:tab/>
      </w:r>
      <w:r>
        <w:rPr>
          <w:rFonts w:ascii="Arial" w:eastAsiaTheme="minorHAnsi" w:hAnsi="Arial" w:cs="Arial"/>
        </w:rPr>
        <w:tab/>
        <w:t>)</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2013 through 2015</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140F0A" w:rsidRDefault="00140F0A">
      <w:pPr>
        <w:autoSpaceDE w:val="0"/>
        <w:autoSpaceDN w:val="0"/>
        <w:adjustRightInd w:val="0"/>
        <w:jc w:val="both"/>
      </w:pPr>
    </w:p>
    <w:p w:rsidR="00140F0A" w:rsidRDefault="00140F0A">
      <w:pPr>
        <w:pStyle w:val="BodyText"/>
        <w:tabs>
          <w:tab w:val="left" w:pos="5040"/>
        </w:tabs>
      </w:pPr>
    </w:p>
    <w:p w:rsidR="00140F0A" w:rsidRDefault="00140F0A">
      <w:pPr>
        <w:pBdr>
          <w:top w:val="single" w:sz="12" w:space="1" w:color="auto"/>
        </w:pBdr>
        <w:tabs>
          <w:tab w:val="left" w:pos="7320"/>
        </w:tabs>
        <w:jc w:val="both"/>
        <w:rPr>
          <w:rFonts w:ascii="Arial" w:hAnsi="Arial" w:cs="Arial"/>
          <w:sz w:val="28"/>
        </w:rPr>
      </w:pPr>
    </w:p>
    <w:p w:rsidR="00140F0A" w:rsidRPr="00C2357F" w:rsidRDefault="00CF664F" w:rsidP="00C2357F">
      <w:pPr>
        <w:jc w:val="center"/>
        <w:rPr>
          <w:rFonts w:ascii="Arial" w:hAnsi="Arial" w:cs="Arial"/>
          <w:b/>
        </w:rPr>
      </w:pPr>
      <w:r w:rsidRPr="00C2357F">
        <w:rPr>
          <w:rFonts w:ascii="Arial" w:hAnsi="Arial" w:cs="Arial"/>
          <w:b/>
        </w:rPr>
        <w:t>POST HEARING BRIEF OF INDUSTRIAL ENERGY USERS-OHIO</w:t>
      </w:r>
    </w:p>
    <w:p w:rsidR="00140F0A" w:rsidRDefault="00CF664F">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140F0A" w:rsidP="00CF664F">
      <w:pPr>
        <w:pStyle w:val="Title"/>
        <w:jc w:val="left"/>
        <w:rPr>
          <w:sz w:val="28"/>
          <w:u w:val="single"/>
        </w:rPr>
      </w:pPr>
    </w:p>
    <w:p w:rsidR="00140F0A" w:rsidRDefault="00CF664F" w:rsidP="00CF664F">
      <w:pPr>
        <w:tabs>
          <w:tab w:val="left" w:pos="4320"/>
          <w:tab w:val="right" w:pos="8640"/>
        </w:tabs>
        <w:ind w:left="4320"/>
        <w:jc w:val="both"/>
        <w:rPr>
          <w:rFonts w:ascii="Arial" w:hAnsi="Arial" w:cs="Arial"/>
        </w:rPr>
      </w:pPr>
      <w:r>
        <w:rPr>
          <w:rFonts w:ascii="Arial" w:hAnsi="Arial" w:cs="Arial"/>
        </w:rPr>
        <w:t>Samuel C. Randazzo (Counsel of Record)</w:t>
      </w:r>
    </w:p>
    <w:p w:rsidR="00140F0A" w:rsidRDefault="00CF664F" w:rsidP="00CF664F">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140F0A" w:rsidRDefault="00CF664F" w:rsidP="00CF664F">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140F0A" w:rsidRDefault="00CF664F" w:rsidP="00CF664F">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140F0A" w:rsidRDefault="00CF664F" w:rsidP="00CF664F">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140F0A" w:rsidRDefault="00CF664F" w:rsidP="00CF664F">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140F0A" w:rsidRDefault="00CF664F" w:rsidP="00CF664F">
      <w:pPr>
        <w:pStyle w:val="BodyText"/>
        <w:tabs>
          <w:tab w:val="left" w:pos="4320"/>
        </w:tabs>
        <w:ind w:left="4320"/>
      </w:pPr>
      <w:r>
        <w:t>Columbus, OH  43215</w:t>
      </w:r>
    </w:p>
    <w:p w:rsidR="00140F0A" w:rsidRDefault="00CF664F" w:rsidP="00CF664F">
      <w:pPr>
        <w:pStyle w:val="BodyText"/>
        <w:tabs>
          <w:tab w:val="left" w:pos="4320"/>
        </w:tabs>
        <w:ind w:left="4320"/>
      </w:pPr>
      <w:r>
        <w:t>Telephone:  (614) 469-8000</w:t>
      </w:r>
    </w:p>
    <w:p w:rsidR="00140F0A" w:rsidRDefault="00CF664F" w:rsidP="00CF664F">
      <w:pPr>
        <w:pStyle w:val="BodyText"/>
        <w:tabs>
          <w:tab w:val="left" w:pos="4320"/>
        </w:tabs>
        <w:ind w:left="4320"/>
      </w:pPr>
      <w:r>
        <w:t>Telecopier:  (614) 469-4653</w:t>
      </w:r>
    </w:p>
    <w:p w:rsidR="00140F0A" w:rsidRDefault="00CF664F" w:rsidP="00CF664F">
      <w:pPr>
        <w:pStyle w:val="BodyText"/>
        <w:ind w:left="4320"/>
      </w:pPr>
      <w:r>
        <w:t>sam@mwncmh.com</w:t>
      </w:r>
    </w:p>
    <w:p w:rsidR="00140F0A" w:rsidRDefault="00CF664F" w:rsidP="00CF664F">
      <w:pPr>
        <w:pStyle w:val="BodyText"/>
        <w:ind w:left="4320"/>
      </w:pPr>
      <w:r>
        <w:t>fdarr@mwncmh.com</w:t>
      </w:r>
    </w:p>
    <w:p w:rsidR="00140F0A" w:rsidRDefault="00CF664F" w:rsidP="00CF664F">
      <w:pPr>
        <w:pStyle w:val="BodyText"/>
        <w:ind w:left="4320"/>
      </w:pPr>
      <w:r>
        <w:t>joliker@mwncmh.com</w:t>
      </w:r>
    </w:p>
    <w:p w:rsidR="00140F0A" w:rsidRDefault="00CF664F" w:rsidP="00CF664F">
      <w:pPr>
        <w:pStyle w:val="BodyText"/>
        <w:ind w:left="4320"/>
      </w:pPr>
      <w:r>
        <w:t>mpritchard@mwncmh.com</w:t>
      </w:r>
    </w:p>
    <w:p w:rsidR="00140F0A" w:rsidRDefault="00140F0A">
      <w:pPr>
        <w:pStyle w:val="BodyText"/>
      </w:pPr>
    </w:p>
    <w:p w:rsidR="00C2357F" w:rsidRDefault="00CF664F">
      <w:pPr>
        <w:pStyle w:val="Title"/>
        <w:jc w:val="left"/>
        <w:rPr>
          <w:smallCaps w:val="0"/>
          <w:sz w:val="24"/>
        </w:rPr>
      </w:pPr>
      <w:r>
        <w:rPr>
          <w:smallCaps w:val="0"/>
          <w:sz w:val="24"/>
        </w:rPr>
        <w:t>November 20, 2012</w:t>
      </w:r>
      <w:r>
        <w:rPr>
          <w:smallCaps w:val="0"/>
          <w:sz w:val="24"/>
        </w:rPr>
        <w:tab/>
      </w:r>
      <w:r>
        <w:rPr>
          <w:smallCaps w:val="0"/>
          <w:sz w:val="24"/>
        </w:rPr>
        <w:tab/>
      </w:r>
      <w:r>
        <w:rPr>
          <w:smallCaps w:val="0"/>
          <w:sz w:val="24"/>
        </w:rPr>
        <w:tab/>
        <w:t>Attorneys for Industrial Energy Users-Ohio</w:t>
      </w:r>
    </w:p>
    <w:p w:rsidR="00C2357F" w:rsidRDefault="00C2357F">
      <w:pPr>
        <w:pStyle w:val="Title"/>
        <w:jc w:val="left"/>
        <w:rPr>
          <w:smallCaps w:val="0"/>
          <w:sz w:val="24"/>
        </w:rPr>
      </w:pPr>
    </w:p>
    <w:p w:rsidR="00C2357F" w:rsidRDefault="00C2357F">
      <w:pPr>
        <w:pStyle w:val="Title"/>
        <w:jc w:val="left"/>
        <w:rPr>
          <w:smallCaps w:val="0"/>
          <w:sz w:val="24"/>
        </w:rPr>
        <w:sectPr w:rsidR="00C235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C2357F" w:rsidRPr="00C2357F" w:rsidRDefault="00C2357F" w:rsidP="00C2357F">
      <w:pPr>
        <w:jc w:val="center"/>
        <w:rPr>
          <w:rFonts w:ascii="Arial Bold" w:hAnsi="Arial Bold" w:cs="Arial"/>
          <w:b/>
          <w:caps/>
          <w:u w:val="single"/>
        </w:rPr>
      </w:pPr>
      <w:bookmarkStart w:id="2" w:name="TOCHeading"/>
      <w:r w:rsidRPr="00C2357F">
        <w:rPr>
          <w:rFonts w:ascii="Arial Bold" w:hAnsi="Arial Bold" w:cs="Arial"/>
          <w:b/>
          <w:caps/>
          <w:u w:val="single"/>
        </w:rPr>
        <w:lastRenderedPageBreak/>
        <w:t>Table of Contents</w:t>
      </w:r>
    </w:p>
    <w:p w:rsidR="00C2357F" w:rsidRPr="00C2357F" w:rsidRDefault="00C2357F" w:rsidP="00C2357F">
      <w:pPr>
        <w:pStyle w:val="TOCPage"/>
        <w:rPr>
          <w:rFonts w:ascii="Arial" w:hAnsi="Arial" w:cs="Arial"/>
        </w:rPr>
      </w:pPr>
      <w:bookmarkStart w:id="3" w:name="TOCPage"/>
      <w:bookmarkEnd w:id="2"/>
      <w:r w:rsidRPr="00C2357F">
        <w:rPr>
          <w:rFonts w:ascii="Arial" w:hAnsi="Arial" w:cs="Arial"/>
        </w:rPr>
        <w:t>Page</w:t>
      </w:r>
    </w:p>
    <w:bookmarkEnd w:id="3"/>
    <w:p w:rsidR="00C2357F" w:rsidRDefault="00C2357F" w:rsidP="00C2357F">
      <w:pPr>
        <w:pStyle w:val="TOC1"/>
        <w:rPr>
          <w:rFonts w:ascii="Arial" w:hAnsi="Arial" w:cs="Arial"/>
          <w:noProof/>
        </w:rPr>
      </w:pPr>
      <w:r w:rsidRPr="00C2357F">
        <w:rPr>
          <w:rFonts w:ascii="Arial" w:hAnsi="Arial" w:cs="Arial"/>
        </w:rPr>
        <w:fldChar w:fldCharType="begin"/>
      </w:r>
      <w:r w:rsidRPr="00C2357F">
        <w:rPr>
          <w:rFonts w:ascii="Arial" w:hAnsi="Arial" w:cs="Arial"/>
        </w:rPr>
        <w:instrText xml:space="preserve"> TOC \t "Heading 1,1,Heading 2,2,Heading 3,3" </w:instrText>
      </w:r>
      <w:r w:rsidRPr="00C2357F">
        <w:rPr>
          <w:rFonts w:ascii="Arial" w:hAnsi="Arial" w:cs="Arial"/>
        </w:rPr>
        <w:fldChar w:fldCharType="separate"/>
      </w:r>
      <w:bookmarkStart w:id="4" w:name="TOCLocation"/>
      <w:r w:rsidRPr="00713300">
        <w:rPr>
          <w:rFonts w:ascii="Arial" w:eastAsia="Calibri" w:hAnsi="Arial" w:cs="Arial"/>
          <w:b/>
          <w:noProof/>
        </w:rPr>
        <w:t>I.</w:t>
      </w:r>
      <w:r w:rsidRPr="00713300">
        <w:rPr>
          <w:rFonts w:ascii="Arial" w:eastAsiaTheme="minorEastAsia" w:hAnsi="Arial" w:cs="Arial"/>
          <w:b/>
          <w:noProof/>
          <w:sz w:val="22"/>
          <w:szCs w:val="22"/>
        </w:rPr>
        <w:tab/>
      </w:r>
      <w:r w:rsidRPr="00713300">
        <w:rPr>
          <w:rFonts w:ascii="Arial" w:eastAsia="Calibri" w:hAnsi="Arial" w:cs="Arial"/>
          <w:b/>
          <w:noProof/>
        </w:rPr>
        <w:t>INTRODUCTION</w:t>
      </w:r>
      <w:r w:rsidRPr="00C2357F">
        <w:rPr>
          <w:rFonts w:ascii="Arial" w:hAnsi="Arial" w:cs="Arial"/>
          <w:noProof/>
        </w:rPr>
        <w:tab/>
      </w:r>
      <w:r w:rsidRPr="00C2357F">
        <w:rPr>
          <w:rFonts w:ascii="Arial" w:hAnsi="Arial" w:cs="Arial"/>
          <w:noProof/>
        </w:rPr>
        <w:fldChar w:fldCharType="begin"/>
      </w:r>
      <w:r w:rsidRPr="00C2357F">
        <w:rPr>
          <w:rFonts w:ascii="Arial" w:hAnsi="Arial" w:cs="Arial"/>
          <w:noProof/>
        </w:rPr>
        <w:instrText xml:space="preserve"> PAGEREF _Toc341192172 \h </w:instrText>
      </w:r>
      <w:r w:rsidRPr="00C2357F">
        <w:rPr>
          <w:rFonts w:ascii="Arial" w:hAnsi="Arial" w:cs="Arial"/>
          <w:noProof/>
        </w:rPr>
      </w:r>
      <w:r w:rsidRPr="00C2357F">
        <w:rPr>
          <w:rFonts w:ascii="Arial" w:hAnsi="Arial" w:cs="Arial"/>
          <w:noProof/>
        </w:rPr>
        <w:fldChar w:fldCharType="separate"/>
      </w:r>
      <w:r w:rsidR="00226270">
        <w:rPr>
          <w:rFonts w:ascii="Arial" w:hAnsi="Arial" w:cs="Arial"/>
          <w:noProof/>
        </w:rPr>
        <w:t>1</w:t>
      </w:r>
      <w:r w:rsidRPr="00C2357F">
        <w:rPr>
          <w:rFonts w:ascii="Arial" w:hAnsi="Arial" w:cs="Arial"/>
          <w:noProof/>
        </w:rPr>
        <w:fldChar w:fldCharType="end"/>
      </w:r>
    </w:p>
    <w:p w:rsidR="00C2357F" w:rsidRPr="00C2357F" w:rsidRDefault="00C2357F" w:rsidP="00C2357F">
      <w:pPr>
        <w:rPr>
          <w:rFonts w:eastAsiaTheme="minorEastAsia"/>
        </w:rPr>
      </w:pPr>
    </w:p>
    <w:p w:rsidR="00C2357F" w:rsidRDefault="00C2357F" w:rsidP="00C2357F">
      <w:pPr>
        <w:pStyle w:val="TOC1"/>
        <w:rPr>
          <w:rFonts w:ascii="Arial" w:hAnsi="Arial" w:cs="Arial"/>
          <w:noProof/>
        </w:rPr>
      </w:pPr>
      <w:r w:rsidRPr="00713300">
        <w:rPr>
          <w:rFonts w:ascii="Arial" w:eastAsia="Calibri" w:hAnsi="Arial" w:cs="Arial"/>
          <w:b/>
          <w:noProof/>
        </w:rPr>
        <w:t>II.</w:t>
      </w:r>
      <w:r w:rsidRPr="00713300">
        <w:rPr>
          <w:rFonts w:ascii="Arial" w:eastAsiaTheme="minorEastAsia" w:hAnsi="Arial" w:cs="Arial"/>
          <w:b/>
          <w:noProof/>
          <w:sz w:val="22"/>
          <w:szCs w:val="22"/>
        </w:rPr>
        <w:tab/>
      </w:r>
      <w:r w:rsidRPr="00713300">
        <w:rPr>
          <w:rFonts w:ascii="Arial" w:eastAsia="Calibri" w:hAnsi="Arial" w:cs="Arial"/>
          <w:b/>
          <w:noProof/>
        </w:rPr>
        <w:t>BACKGROUND</w:t>
      </w:r>
      <w:r w:rsidRPr="00C2357F">
        <w:rPr>
          <w:rFonts w:ascii="Arial" w:hAnsi="Arial" w:cs="Arial"/>
          <w:noProof/>
        </w:rPr>
        <w:tab/>
      </w:r>
      <w:r w:rsidRPr="00C2357F">
        <w:rPr>
          <w:rFonts w:ascii="Arial" w:hAnsi="Arial" w:cs="Arial"/>
          <w:noProof/>
        </w:rPr>
        <w:fldChar w:fldCharType="begin"/>
      </w:r>
      <w:r w:rsidRPr="00C2357F">
        <w:rPr>
          <w:rFonts w:ascii="Arial" w:hAnsi="Arial" w:cs="Arial"/>
          <w:noProof/>
        </w:rPr>
        <w:instrText xml:space="preserve"> PAGEREF _Toc341192173 \h </w:instrText>
      </w:r>
      <w:r w:rsidRPr="00C2357F">
        <w:rPr>
          <w:rFonts w:ascii="Arial" w:hAnsi="Arial" w:cs="Arial"/>
          <w:noProof/>
        </w:rPr>
      </w:r>
      <w:r w:rsidRPr="00C2357F">
        <w:rPr>
          <w:rFonts w:ascii="Arial" w:hAnsi="Arial" w:cs="Arial"/>
          <w:noProof/>
        </w:rPr>
        <w:fldChar w:fldCharType="separate"/>
      </w:r>
      <w:r w:rsidR="00226270">
        <w:rPr>
          <w:rFonts w:ascii="Arial" w:hAnsi="Arial" w:cs="Arial"/>
          <w:noProof/>
        </w:rPr>
        <w:t>2</w:t>
      </w:r>
      <w:r w:rsidRPr="00C2357F">
        <w:rPr>
          <w:rFonts w:ascii="Arial" w:hAnsi="Arial" w:cs="Arial"/>
          <w:noProof/>
        </w:rPr>
        <w:fldChar w:fldCharType="end"/>
      </w:r>
    </w:p>
    <w:p w:rsidR="00C2357F" w:rsidRPr="00C2357F" w:rsidRDefault="00C2357F" w:rsidP="00C2357F">
      <w:pPr>
        <w:rPr>
          <w:rFonts w:eastAsiaTheme="minorEastAsia"/>
        </w:rPr>
      </w:pPr>
    </w:p>
    <w:p w:rsidR="00C2357F" w:rsidRDefault="00C2357F" w:rsidP="00C2357F">
      <w:pPr>
        <w:pStyle w:val="TOC1"/>
        <w:rPr>
          <w:rFonts w:ascii="Arial" w:hAnsi="Arial" w:cs="Arial"/>
          <w:noProof/>
        </w:rPr>
      </w:pPr>
      <w:r w:rsidRPr="00713300">
        <w:rPr>
          <w:rFonts w:ascii="Arial" w:eastAsia="Calibri" w:hAnsi="Arial" w:cs="Arial"/>
          <w:b/>
          <w:noProof/>
        </w:rPr>
        <w:t>III.</w:t>
      </w:r>
      <w:r w:rsidRPr="00713300">
        <w:rPr>
          <w:rFonts w:ascii="Arial" w:eastAsiaTheme="minorEastAsia" w:hAnsi="Arial" w:cs="Arial"/>
          <w:b/>
          <w:noProof/>
          <w:sz w:val="22"/>
          <w:szCs w:val="22"/>
        </w:rPr>
        <w:tab/>
      </w:r>
      <w:r w:rsidRPr="00713300">
        <w:rPr>
          <w:rFonts w:ascii="Arial" w:eastAsia="Calibri" w:hAnsi="Arial" w:cs="Arial"/>
          <w:b/>
          <w:noProof/>
        </w:rPr>
        <w:t>ARGUMENT</w:t>
      </w:r>
      <w:r w:rsidRPr="00C2357F">
        <w:rPr>
          <w:rFonts w:ascii="Arial" w:hAnsi="Arial" w:cs="Arial"/>
          <w:noProof/>
        </w:rPr>
        <w:tab/>
      </w:r>
      <w:r w:rsidRPr="00C2357F">
        <w:rPr>
          <w:rFonts w:ascii="Arial" w:hAnsi="Arial" w:cs="Arial"/>
          <w:noProof/>
        </w:rPr>
        <w:fldChar w:fldCharType="begin"/>
      </w:r>
      <w:r w:rsidRPr="00C2357F">
        <w:rPr>
          <w:rFonts w:ascii="Arial" w:hAnsi="Arial" w:cs="Arial"/>
          <w:noProof/>
        </w:rPr>
        <w:instrText xml:space="preserve"> PAGEREF _Toc341192174 \h </w:instrText>
      </w:r>
      <w:r w:rsidRPr="00C2357F">
        <w:rPr>
          <w:rFonts w:ascii="Arial" w:hAnsi="Arial" w:cs="Arial"/>
          <w:noProof/>
        </w:rPr>
      </w:r>
      <w:r w:rsidRPr="00C2357F">
        <w:rPr>
          <w:rFonts w:ascii="Arial" w:hAnsi="Arial" w:cs="Arial"/>
          <w:noProof/>
        </w:rPr>
        <w:fldChar w:fldCharType="separate"/>
      </w:r>
      <w:r w:rsidR="00226270">
        <w:rPr>
          <w:rFonts w:ascii="Arial" w:hAnsi="Arial" w:cs="Arial"/>
          <w:noProof/>
        </w:rPr>
        <w:t>7</w:t>
      </w:r>
      <w:r w:rsidRPr="00C2357F">
        <w:rPr>
          <w:rFonts w:ascii="Arial" w:hAnsi="Arial" w:cs="Arial"/>
          <w:noProof/>
        </w:rPr>
        <w:fldChar w:fldCharType="end"/>
      </w:r>
    </w:p>
    <w:p w:rsidR="00C2357F" w:rsidRPr="00C2357F" w:rsidRDefault="00C2357F" w:rsidP="00C2357F">
      <w:pPr>
        <w:rPr>
          <w:rFonts w:eastAsiaTheme="minorEastAsia"/>
        </w:rPr>
      </w:pPr>
    </w:p>
    <w:p w:rsidR="00C2357F" w:rsidRDefault="00C2357F" w:rsidP="00C2357F">
      <w:pPr>
        <w:pStyle w:val="TOC1"/>
        <w:rPr>
          <w:rFonts w:ascii="Arial" w:hAnsi="Arial" w:cs="Arial"/>
          <w:noProof/>
        </w:rPr>
      </w:pPr>
      <w:r w:rsidRPr="00713300">
        <w:rPr>
          <w:rFonts w:ascii="Arial" w:eastAsia="Calibri" w:hAnsi="Arial" w:cs="Arial"/>
          <w:b/>
          <w:noProof/>
        </w:rPr>
        <w:t>IV.</w:t>
      </w:r>
      <w:r w:rsidRPr="00713300">
        <w:rPr>
          <w:rFonts w:ascii="Arial" w:eastAsiaTheme="minorEastAsia" w:hAnsi="Arial" w:cs="Arial"/>
          <w:b/>
          <w:noProof/>
          <w:sz w:val="22"/>
          <w:szCs w:val="22"/>
        </w:rPr>
        <w:tab/>
      </w:r>
      <w:r w:rsidRPr="00713300">
        <w:rPr>
          <w:rFonts w:ascii="Arial" w:eastAsia="Calibri" w:hAnsi="Arial" w:cs="Arial"/>
          <w:b/>
          <w:noProof/>
        </w:rPr>
        <w:t>CONCLUSION</w:t>
      </w:r>
      <w:r w:rsidRPr="00C2357F">
        <w:rPr>
          <w:rFonts w:ascii="Arial" w:hAnsi="Arial" w:cs="Arial"/>
          <w:noProof/>
        </w:rPr>
        <w:tab/>
      </w:r>
      <w:r w:rsidRPr="00C2357F">
        <w:rPr>
          <w:rFonts w:ascii="Arial" w:hAnsi="Arial" w:cs="Arial"/>
          <w:noProof/>
        </w:rPr>
        <w:fldChar w:fldCharType="begin"/>
      </w:r>
      <w:r w:rsidRPr="00C2357F">
        <w:rPr>
          <w:rFonts w:ascii="Arial" w:hAnsi="Arial" w:cs="Arial"/>
          <w:noProof/>
        </w:rPr>
        <w:instrText xml:space="preserve"> PAGEREF _Toc341192175 \h </w:instrText>
      </w:r>
      <w:r w:rsidRPr="00C2357F">
        <w:rPr>
          <w:rFonts w:ascii="Arial" w:hAnsi="Arial" w:cs="Arial"/>
          <w:noProof/>
        </w:rPr>
      </w:r>
      <w:r w:rsidRPr="00C2357F">
        <w:rPr>
          <w:rFonts w:ascii="Arial" w:hAnsi="Arial" w:cs="Arial"/>
          <w:noProof/>
        </w:rPr>
        <w:fldChar w:fldCharType="separate"/>
      </w:r>
      <w:r w:rsidR="00226270">
        <w:rPr>
          <w:rFonts w:ascii="Arial" w:hAnsi="Arial" w:cs="Arial"/>
          <w:noProof/>
        </w:rPr>
        <w:t>11</w:t>
      </w:r>
      <w:r w:rsidRPr="00C2357F">
        <w:rPr>
          <w:rFonts w:ascii="Arial" w:hAnsi="Arial" w:cs="Arial"/>
          <w:noProof/>
        </w:rPr>
        <w:fldChar w:fldCharType="end"/>
      </w:r>
    </w:p>
    <w:p w:rsidR="00C2357F" w:rsidRDefault="00C2357F" w:rsidP="00C2357F">
      <w:pPr>
        <w:rPr>
          <w:rFonts w:eastAsiaTheme="minorEastAsia"/>
        </w:rPr>
      </w:pPr>
    </w:p>
    <w:p w:rsidR="00C2357F" w:rsidRPr="00713300" w:rsidRDefault="00C2357F" w:rsidP="00C2357F">
      <w:pPr>
        <w:rPr>
          <w:rFonts w:ascii="Arial" w:eastAsiaTheme="minorEastAsia" w:hAnsi="Arial" w:cs="Arial"/>
          <w:b/>
        </w:rPr>
      </w:pPr>
    </w:p>
    <w:bookmarkEnd w:id="4"/>
    <w:p w:rsidR="00140F0A" w:rsidRDefault="00C2357F">
      <w:pPr>
        <w:pStyle w:val="Title"/>
        <w:jc w:val="left"/>
        <w:rPr>
          <w:smallCaps w:val="0"/>
          <w:sz w:val="24"/>
        </w:rPr>
      </w:pPr>
      <w:r w:rsidRPr="00C2357F">
        <w:rPr>
          <w:smallCaps w:val="0"/>
          <w:sz w:val="24"/>
        </w:rPr>
        <w:fldChar w:fldCharType="end"/>
      </w:r>
    </w:p>
    <w:p w:rsidR="00C2357F" w:rsidRDefault="00C2357F">
      <w:pPr>
        <w:pStyle w:val="Title"/>
        <w:jc w:val="left"/>
        <w:rPr>
          <w:smallCaps w:val="0"/>
          <w:sz w:val="24"/>
        </w:rPr>
      </w:pPr>
    </w:p>
    <w:p w:rsidR="00074486" w:rsidRDefault="00074486">
      <w:pPr>
        <w:pStyle w:val="Title"/>
        <w:jc w:val="left"/>
        <w:rPr>
          <w:smallCaps w:val="0"/>
          <w:sz w:val="24"/>
        </w:rPr>
      </w:pPr>
    </w:p>
    <w:p w:rsidR="00C2357F" w:rsidRDefault="00C2357F">
      <w:pPr>
        <w:pStyle w:val="Title"/>
        <w:jc w:val="left"/>
        <w:rPr>
          <w:smallCaps w:val="0"/>
          <w:sz w:val="24"/>
        </w:rPr>
      </w:pPr>
    </w:p>
    <w:p w:rsidR="00C2357F" w:rsidRDefault="00C2357F">
      <w:pPr>
        <w:pStyle w:val="Title"/>
        <w:jc w:val="left"/>
        <w:rPr>
          <w:smallCaps w:val="0"/>
          <w:sz w:val="24"/>
        </w:rPr>
      </w:pPr>
    </w:p>
    <w:p w:rsidR="00C2357F" w:rsidRDefault="00C2357F">
      <w:pPr>
        <w:pStyle w:val="Title"/>
        <w:jc w:val="left"/>
        <w:rPr>
          <w:smallCaps w:val="0"/>
          <w:sz w:val="24"/>
        </w:rPr>
      </w:pPr>
    </w:p>
    <w:p w:rsidR="00C2357F" w:rsidRDefault="00C2357F">
      <w:pPr>
        <w:pStyle w:val="Title"/>
        <w:jc w:val="left"/>
        <w:rPr>
          <w:smallCaps w:val="0"/>
          <w:sz w:val="24"/>
        </w:rPr>
      </w:pPr>
    </w:p>
    <w:p w:rsidR="00C2357F" w:rsidRDefault="00C2357F">
      <w:pPr>
        <w:pStyle w:val="Title"/>
        <w:jc w:val="left"/>
        <w:rPr>
          <w:smallCaps w:val="0"/>
          <w:sz w:val="24"/>
        </w:rPr>
      </w:pPr>
    </w:p>
    <w:p w:rsidR="00C2357F" w:rsidRDefault="00C2357F">
      <w:pPr>
        <w:pStyle w:val="Title"/>
        <w:jc w:val="left"/>
        <w:rPr>
          <w:smallCaps w:val="0"/>
          <w:sz w:val="24"/>
        </w:rPr>
      </w:pPr>
    </w:p>
    <w:p w:rsidR="00140F0A" w:rsidRDefault="00140F0A">
      <w:pPr>
        <w:pStyle w:val="Title"/>
        <w:rPr>
          <w:sz w:val="28"/>
        </w:rPr>
        <w:sectPr w:rsidR="00140F0A" w:rsidSect="00713300">
          <w:headerReference w:type="default" r:id="rId14"/>
          <w:footerReference w:type="default" r:id="rId15"/>
          <w:headerReference w:type="first" r:id="rId16"/>
          <w:footerReference w:type="first" r:id="rId17"/>
          <w:pgSz w:w="12240" w:h="15840" w:code="1"/>
          <w:pgMar w:top="1440" w:right="1440" w:bottom="1141" w:left="1440" w:header="720" w:footer="720" w:gutter="0"/>
          <w:pgNumType w:fmt="lowerRoman" w:start="1"/>
          <w:cols w:space="720"/>
          <w:titlePg/>
          <w:docGrid w:linePitch="326"/>
        </w:sectPr>
      </w:pPr>
    </w:p>
    <w:p w:rsidR="00140F0A" w:rsidRDefault="00CF664F">
      <w:pPr>
        <w:pStyle w:val="Title"/>
        <w:rPr>
          <w:sz w:val="28"/>
        </w:rPr>
      </w:pPr>
      <w:r>
        <w:rPr>
          <w:sz w:val="28"/>
        </w:rPr>
        <w:lastRenderedPageBreak/>
        <w:t>Before</w:t>
      </w:r>
    </w:p>
    <w:p w:rsidR="00140F0A" w:rsidRDefault="00CF664F">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140F0A" w:rsidRDefault="00140F0A">
      <w:pPr>
        <w:autoSpaceDE w:val="0"/>
        <w:autoSpaceDN w:val="0"/>
        <w:adjustRightInd w:val="0"/>
        <w:rPr>
          <w:rFonts w:ascii="Arial" w:eastAsiaTheme="minorHAnsi" w:hAnsi="Arial" w:cs="Arial"/>
        </w:rPr>
      </w:pP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In the Matter of the Application of</w:t>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 xml:space="preserve">Ohio Edison Company, The Cleveland </w:t>
      </w:r>
      <w:r>
        <w:rPr>
          <w:rFonts w:ascii="Arial" w:eastAsiaTheme="minorHAnsi" w:hAnsi="Arial" w:cs="Arial"/>
        </w:rPr>
        <w:tab/>
      </w:r>
      <w:r>
        <w:rPr>
          <w:rFonts w:ascii="Arial" w:eastAsiaTheme="minorHAnsi" w:hAnsi="Arial" w:cs="Arial"/>
        </w:rPr>
        <w:tab/>
        <w:t>)</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Electric Illuminating Company and The</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12-2190-EL-POR</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Toledo Edison Company for Approval of</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12-2191-EL-POR</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Their Energy Efficiency and Peak Demand</w:t>
      </w:r>
      <w:r>
        <w:rPr>
          <w:rFonts w:ascii="Arial" w:eastAsiaTheme="minorHAnsi" w:hAnsi="Arial" w:cs="Arial"/>
        </w:rPr>
        <w:tab/>
        <w:t>)</w:t>
      </w:r>
      <w:r>
        <w:rPr>
          <w:rFonts w:ascii="Arial" w:eastAsiaTheme="minorHAnsi" w:hAnsi="Arial" w:cs="Arial"/>
        </w:rPr>
        <w:tab/>
        <w:t>Case No. 12-2192-EL-POR</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Reduction Program Portfolio Plans for</w:t>
      </w:r>
      <w:r>
        <w:rPr>
          <w:rFonts w:ascii="Arial" w:eastAsiaTheme="minorHAnsi" w:hAnsi="Arial" w:cs="Arial"/>
        </w:rPr>
        <w:tab/>
      </w:r>
      <w:r>
        <w:rPr>
          <w:rFonts w:ascii="Arial" w:eastAsiaTheme="minorHAnsi" w:hAnsi="Arial" w:cs="Arial"/>
        </w:rPr>
        <w:tab/>
        <w:t>)</w:t>
      </w:r>
    </w:p>
    <w:p w:rsidR="00140F0A" w:rsidRDefault="00CF664F">
      <w:pPr>
        <w:autoSpaceDE w:val="0"/>
        <w:autoSpaceDN w:val="0"/>
        <w:adjustRightInd w:val="0"/>
        <w:jc w:val="both"/>
        <w:rPr>
          <w:rFonts w:ascii="Arial" w:eastAsiaTheme="minorHAnsi" w:hAnsi="Arial" w:cs="Arial"/>
        </w:rPr>
      </w:pPr>
      <w:r>
        <w:rPr>
          <w:rFonts w:ascii="Arial" w:eastAsiaTheme="minorHAnsi" w:hAnsi="Arial" w:cs="Arial"/>
        </w:rPr>
        <w:t>2013 through 2015</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140F0A" w:rsidRDefault="00140F0A">
      <w:pPr>
        <w:pStyle w:val="BodyText"/>
        <w:tabs>
          <w:tab w:val="left" w:pos="5040"/>
        </w:tabs>
      </w:pPr>
    </w:p>
    <w:p w:rsidR="00140F0A" w:rsidRDefault="00140F0A">
      <w:pPr>
        <w:pStyle w:val="BodyText"/>
        <w:tabs>
          <w:tab w:val="left" w:pos="5040"/>
        </w:tabs>
      </w:pPr>
    </w:p>
    <w:p w:rsidR="00140F0A" w:rsidRDefault="00140F0A">
      <w:pPr>
        <w:pBdr>
          <w:top w:val="single" w:sz="12" w:space="1" w:color="auto"/>
        </w:pBdr>
        <w:tabs>
          <w:tab w:val="left" w:pos="7320"/>
        </w:tabs>
        <w:jc w:val="both"/>
        <w:rPr>
          <w:rFonts w:ascii="Arial" w:hAnsi="Arial" w:cs="Arial"/>
          <w:sz w:val="28"/>
        </w:rPr>
      </w:pPr>
    </w:p>
    <w:p w:rsidR="00140F0A" w:rsidRPr="00C2357F" w:rsidRDefault="00CF664F" w:rsidP="00C2357F">
      <w:pPr>
        <w:jc w:val="center"/>
        <w:rPr>
          <w:rFonts w:ascii="Arial" w:hAnsi="Arial" w:cs="Arial"/>
          <w:b/>
        </w:rPr>
      </w:pPr>
      <w:r w:rsidRPr="00C2357F">
        <w:rPr>
          <w:rFonts w:ascii="Arial" w:hAnsi="Arial" w:cs="Arial"/>
          <w:b/>
        </w:rPr>
        <w:t>POST HEARING BRIEF OF INDUSTRIAL ENERGY USERS-OHIO</w:t>
      </w:r>
    </w:p>
    <w:p w:rsidR="00C2357F" w:rsidRDefault="00C2357F" w:rsidP="00C2357F">
      <w:pPr>
        <w:pStyle w:val="Title"/>
        <w:tabs>
          <w:tab w:val="right" w:pos="9630"/>
        </w:tabs>
        <w:jc w:val="both"/>
        <w:rPr>
          <w:sz w:val="28"/>
          <w:u w:val="single"/>
        </w:rPr>
      </w:pPr>
      <w:r>
        <w:rPr>
          <w:sz w:val="28"/>
          <w:u w:val="single"/>
        </w:rPr>
        <w:tab/>
      </w:r>
    </w:p>
    <w:p w:rsidR="00C2357F" w:rsidRDefault="00C2357F" w:rsidP="00C2357F">
      <w:pPr>
        <w:pStyle w:val="Title"/>
        <w:tabs>
          <w:tab w:val="right" w:pos="9630"/>
        </w:tabs>
        <w:jc w:val="both"/>
        <w:rPr>
          <w:rFonts w:eastAsia="Calibri"/>
        </w:rPr>
      </w:pPr>
    </w:p>
    <w:p w:rsidR="00140F0A" w:rsidRPr="00C2357F" w:rsidRDefault="00CF664F" w:rsidP="00C2357F">
      <w:pPr>
        <w:pStyle w:val="Heading1"/>
        <w:rPr>
          <w:rFonts w:ascii="Arial" w:eastAsia="Calibri" w:hAnsi="Arial" w:cs="Arial"/>
          <w:u w:val="none"/>
        </w:rPr>
      </w:pPr>
      <w:bookmarkStart w:id="5" w:name="_Toc341192172"/>
      <w:r w:rsidRPr="00C2357F">
        <w:rPr>
          <w:rFonts w:ascii="Arial" w:eastAsia="Calibri" w:hAnsi="Arial" w:cs="Arial"/>
          <w:u w:val="none"/>
        </w:rPr>
        <w:t>INTRODUCTION</w:t>
      </w:r>
      <w:bookmarkEnd w:id="5"/>
    </w:p>
    <w:p w:rsidR="00140F0A" w:rsidRDefault="00CF664F" w:rsidP="009636C5">
      <w:pPr>
        <w:spacing w:after="120" w:line="480" w:lineRule="auto"/>
        <w:ind w:firstLine="720"/>
        <w:jc w:val="both"/>
        <w:rPr>
          <w:rFonts w:ascii="Arial" w:eastAsia="Calibri" w:hAnsi="Arial" w:cs="Arial"/>
          <w:color w:val="000000"/>
        </w:rPr>
      </w:pPr>
      <w:r>
        <w:rPr>
          <w:rFonts w:ascii="Arial" w:eastAsia="Calibri" w:hAnsi="Arial"/>
        </w:rPr>
        <w:t xml:space="preserve">On July 31, 2012, Ohio Edison Company, The Toledo Edison Company, and The Cleveland Electric Illuminating Company (collectively, “FirstEnergy”), filed an Application for </w:t>
      </w:r>
      <w:r w:rsidR="001124D2">
        <w:rPr>
          <w:rFonts w:ascii="Arial" w:eastAsia="Calibri" w:hAnsi="Arial" w:cs="Arial"/>
          <w:color w:val="000000"/>
        </w:rPr>
        <w:t>Approval of their Energy Efficiency and Peak Demand Reduction (“EE/PDR”) P</w:t>
      </w:r>
      <w:r>
        <w:rPr>
          <w:rFonts w:ascii="Arial" w:eastAsia="Calibri" w:hAnsi="Arial" w:cs="Arial"/>
          <w:color w:val="000000"/>
        </w:rPr>
        <w:t>rogram</w:t>
      </w:r>
      <w:r w:rsidR="001124D2">
        <w:rPr>
          <w:rFonts w:ascii="Arial" w:eastAsia="Calibri" w:hAnsi="Arial" w:cs="Arial"/>
          <w:color w:val="000000"/>
        </w:rPr>
        <w:t xml:space="preserve"> Portfolio Plans</w:t>
      </w:r>
      <w:r>
        <w:rPr>
          <w:rFonts w:ascii="Arial" w:eastAsia="Calibri" w:hAnsi="Arial" w:cs="Arial"/>
          <w:color w:val="000000"/>
        </w:rPr>
        <w:t xml:space="preserve"> for 2013 to 2015 (“Application” or “Portfolio Plan”).  The Application claimed that the Opinion and Order approving FirstEnergy’s </w:t>
      </w:r>
      <w:r w:rsidR="0038501A">
        <w:rPr>
          <w:rFonts w:ascii="Arial" w:eastAsia="Calibri" w:hAnsi="Arial" w:cs="Arial"/>
          <w:color w:val="000000"/>
        </w:rPr>
        <w:t xml:space="preserve">third </w:t>
      </w:r>
      <w:r>
        <w:rPr>
          <w:rFonts w:ascii="Arial" w:eastAsia="Calibri" w:hAnsi="Arial" w:cs="Arial"/>
          <w:color w:val="000000"/>
        </w:rPr>
        <w:t>electric security plan (“ESP”) required FirstEnergy to modify the Mercantile Customer Commitment Agreement (“Commitment Agreement”) through which mercantile customers commit their customer-sited capabilities for integration with FirstEnergy’s Portfolio Plan in return for an exemption from the demand-side energy (“DSEII”) Rider.</w:t>
      </w:r>
      <w:r>
        <w:rPr>
          <w:rStyle w:val="FootnoteReference"/>
          <w:rFonts w:ascii="Arial" w:eastAsia="Calibri" w:hAnsi="Arial" w:cs="Arial"/>
          <w:color w:val="000000"/>
        </w:rPr>
        <w:footnoteReference w:id="1"/>
      </w:r>
      <w:r>
        <w:rPr>
          <w:rFonts w:ascii="Arial" w:eastAsia="Calibri" w:hAnsi="Arial" w:cs="Arial"/>
          <w:color w:val="000000"/>
        </w:rPr>
        <w:t xml:space="preserve">  </w:t>
      </w:r>
      <w:r w:rsidR="0038501A">
        <w:rPr>
          <w:rFonts w:ascii="Arial" w:eastAsia="Calibri" w:hAnsi="Arial" w:cs="Arial"/>
          <w:color w:val="000000"/>
        </w:rPr>
        <w:t>T</w:t>
      </w:r>
      <w:r>
        <w:rPr>
          <w:rFonts w:ascii="Arial" w:eastAsia="Calibri" w:hAnsi="Arial" w:cs="Arial"/>
          <w:color w:val="000000"/>
        </w:rPr>
        <w:t>he ESP III Order</w:t>
      </w:r>
      <w:r w:rsidR="0038501A">
        <w:rPr>
          <w:rFonts w:ascii="Arial" w:eastAsia="Calibri" w:hAnsi="Arial" w:cs="Arial"/>
          <w:color w:val="000000"/>
        </w:rPr>
        <w:t>, however,</w:t>
      </w:r>
      <w:r>
        <w:rPr>
          <w:rFonts w:ascii="Arial" w:eastAsia="Calibri" w:hAnsi="Arial" w:cs="Arial"/>
          <w:color w:val="000000"/>
        </w:rPr>
        <w:t xml:space="preserve"> required no such overly broad modification.  </w:t>
      </w:r>
      <w:r w:rsidR="0038501A">
        <w:rPr>
          <w:rFonts w:ascii="Arial" w:eastAsia="Calibri" w:hAnsi="Arial" w:cs="Arial"/>
          <w:color w:val="000000"/>
        </w:rPr>
        <w:t xml:space="preserve">Further, </w:t>
      </w:r>
      <w:r>
        <w:rPr>
          <w:rFonts w:ascii="Arial" w:eastAsia="Calibri" w:hAnsi="Arial" w:cs="Arial"/>
          <w:color w:val="000000"/>
        </w:rPr>
        <w:t>FirstEnergy’s proposal sho</w:t>
      </w:r>
      <w:r w:rsidR="0038501A">
        <w:rPr>
          <w:rFonts w:ascii="Arial" w:eastAsia="Calibri" w:hAnsi="Arial" w:cs="Arial"/>
          <w:color w:val="000000"/>
        </w:rPr>
        <w:t>uld be rejected because it may</w:t>
      </w:r>
      <w:r>
        <w:rPr>
          <w:rFonts w:ascii="Arial" w:eastAsia="Calibri" w:hAnsi="Arial" w:cs="Arial"/>
          <w:color w:val="000000"/>
        </w:rPr>
        <w:t xml:space="preserve"> decrease the economic viability of mercantile self-funded projects and thus </w:t>
      </w:r>
      <w:r w:rsidR="0038501A">
        <w:rPr>
          <w:rFonts w:ascii="Arial" w:eastAsia="Calibri" w:hAnsi="Arial" w:cs="Arial"/>
          <w:color w:val="000000"/>
        </w:rPr>
        <w:t xml:space="preserve">it may </w:t>
      </w:r>
      <w:r>
        <w:rPr>
          <w:rFonts w:ascii="Arial" w:eastAsia="Calibri" w:hAnsi="Arial" w:cs="Arial"/>
          <w:color w:val="000000"/>
        </w:rPr>
        <w:t xml:space="preserve">negatively impact the total amount of mercantile projects completed as well as the </w:t>
      </w:r>
      <w:r>
        <w:rPr>
          <w:rFonts w:ascii="Arial" w:eastAsia="Calibri" w:hAnsi="Arial" w:cs="Arial"/>
          <w:color w:val="000000"/>
        </w:rPr>
        <w:lastRenderedPageBreak/>
        <w:t>amount of energy efficiency resources bid into future PJM Interconnection LLC (“PJM”) auctions.</w:t>
      </w:r>
      <w:r w:rsidR="0038501A" w:rsidRPr="0038501A">
        <w:rPr>
          <w:rFonts w:ascii="Arial" w:eastAsia="Calibri" w:hAnsi="Arial" w:cs="Arial"/>
          <w:color w:val="000000"/>
        </w:rPr>
        <w:t xml:space="preserve"> </w:t>
      </w:r>
      <w:r w:rsidR="00803672">
        <w:rPr>
          <w:rFonts w:ascii="Arial" w:eastAsia="Calibri" w:hAnsi="Arial" w:cs="Arial"/>
          <w:color w:val="000000"/>
        </w:rPr>
        <w:t xml:space="preserve"> </w:t>
      </w:r>
      <w:r w:rsidR="0038501A">
        <w:rPr>
          <w:rFonts w:ascii="Arial" w:eastAsia="Calibri" w:hAnsi="Arial" w:cs="Arial"/>
          <w:color w:val="000000"/>
        </w:rPr>
        <w:t>Thus, the proposed modification is unnecessary and unreasonable and should be rejected.</w:t>
      </w:r>
      <w:r w:rsidR="0038501A">
        <w:rPr>
          <w:rFonts w:ascii="Arial" w:eastAsia="Calibri" w:hAnsi="Arial" w:cs="Arial"/>
          <w:color w:val="000000"/>
          <w:vertAlign w:val="superscript"/>
        </w:rPr>
        <w:footnoteReference w:id="2"/>
      </w:r>
    </w:p>
    <w:p w:rsidR="00140F0A" w:rsidRPr="00C2357F" w:rsidRDefault="00CF664F" w:rsidP="00C2357F">
      <w:pPr>
        <w:pStyle w:val="Heading1"/>
        <w:rPr>
          <w:rFonts w:ascii="Arial" w:eastAsia="Calibri" w:hAnsi="Arial" w:cs="Arial"/>
          <w:u w:val="none"/>
        </w:rPr>
      </w:pPr>
      <w:bookmarkStart w:id="6" w:name="_Toc341192173"/>
      <w:r w:rsidRPr="00C2357F">
        <w:rPr>
          <w:rFonts w:ascii="Arial" w:eastAsia="Calibri" w:hAnsi="Arial" w:cs="Arial"/>
          <w:u w:val="none"/>
        </w:rPr>
        <w:t>BACKGROUND</w:t>
      </w:r>
      <w:bookmarkEnd w:id="6"/>
    </w:p>
    <w:p w:rsidR="00140F0A" w:rsidRDefault="00CF664F">
      <w:pPr>
        <w:spacing w:line="480" w:lineRule="auto"/>
        <w:ind w:firstLine="720"/>
        <w:jc w:val="both"/>
        <w:rPr>
          <w:rFonts w:ascii="Arial" w:eastAsia="Calibri" w:hAnsi="Arial"/>
        </w:rPr>
      </w:pPr>
      <w:r>
        <w:rPr>
          <w:rFonts w:ascii="Arial" w:eastAsia="Calibri" w:hAnsi="Arial"/>
        </w:rPr>
        <w:t>Under Section 4928.66, Revised Code, electric distribution utilities (“EDU”) must implement EE/PDR programs that achieve escalating EE/PDR savings.  Since the inception of the E</w:t>
      </w:r>
      <w:r w:rsidR="0038501A">
        <w:rPr>
          <w:rFonts w:ascii="Arial" w:eastAsia="Calibri" w:hAnsi="Arial"/>
        </w:rPr>
        <w:t>E/PDR savings requirements, EDU</w:t>
      </w:r>
      <w:r>
        <w:rPr>
          <w:rFonts w:ascii="Arial" w:eastAsia="Calibri" w:hAnsi="Arial"/>
        </w:rPr>
        <w:t xml:space="preserve">s have sought to achieve compliance through two different methods.  </w:t>
      </w:r>
    </w:p>
    <w:p w:rsidR="00140F0A" w:rsidRDefault="0038501A">
      <w:pPr>
        <w:spacing w:line="480" w:lineRule="auto"/>
        <w:ind w:firstLine="720"/>
        <w:jc w:val="both"/>
        <w:rPr>
          <w:rFonts w:ascii="Arial" w:eastAsia="Calibri" w:hAnsi="Arial"/>
        </w:rPr>
      </w:pPr>
      <w:r>
        <w:rPr>
          <w:rFonts w:ascii="Arial" w:eastAsia="Calibri" w:hAnsi="Arial"/>
        </w:rPr>
        <w:t>First, EDU</w:t>
      </w:r>
      <w:r w:rsidR="00CF664F">
        <w:rPr>
          <w:rFonts w:ascii="Arial" w:eastAsia="Calibri" w:hAnsi="Arial"/>
        </w:rPr>
        <w:t>s ha</w:t>
      </w:r>
      <w:r w:rsidR="001124D2">
        <w:rPr>
          <w:rFonts w:ascii="Arial" w:eastAsia="Calibri" w:hAnsi="Arial"/>
        </w:rPr>
        <w:t>ve designed EE/PDR programs that</w:t>
      </w:r>
      <w:r w:rsidR="00CF664F">
        <w:rPr>
          <w:rFonts w:ascii="Arial" w:eastAsia="Calibri" w:hAnsi="Arial"/>
        </w:rPr>
        <w:t xml:space="preserve"> customers could affirmatively participate in return for either a rebate or point of purchase discount.</w:t>
      </w:r>
      <w:r w:rsidR="00CF664F">
        <w:rPr>
          <w:rStyle w:val="FootnoteReference"/>
          <w:rFonts w:ascii="Arial" w:eastAsia="Calibri" w:hAnsi="Arial"/>
        </w:rPr>
        <w:footnoteReference w:id="3"/>
      </w:r>
      <w:r w:rsidR="00CF664F">
        <w:rPr>
          <w:rFonts w:ascii="Arial" w:eastAsia="Calibri" w:hAnsi="Arial"/>
        </w:rPr>
        <w:t xml:space="preserve">  Second, mercantile customers have the option to self-fund their own EE/PDR projects at their own risk.</w:t>
      </w:r>
      <w:r w:rsidR="00CF664F">
        <w:rPr>
          <w:rStyle w:val="FootnoteReference"/>
          <w:rFonts w:ascii="Arial" w:eastAsia="Calibri" w:hAnsi="Arial"/>
        </w:rPr>
        <w:footnoteReference w:id="4"/>
      </w:r>
      <w:r w:rsidR="00CF664F">
        <w:rPr>
          <w:rFonts w:ascii="Arial" w:eastAsia="Calibri" w:hAnsi="Arial"/>
        </w:rPr>
        <w:t xml:space="preserve">  In the case of such self-funded mercantile customer projects, once the project is completed, in return for committing their capabilities for integration towards an EDU’s statutory obligation to </w:t>
      </w:r>
      <w:r w:rsidR="001124D2">
        <w:rPr>
          <w:rFonts w:ascii="Arial" w:eastAsia="Calibri" w:hAnsi="Arial"/>
        </w:rPr>
        <w:t>achieve EE/PDR savings</w:t>
      </w:r>
      <w:r w:rsidR="00CF664F">
        <w:rPr>
          <w:rFonts w:ascii="Arial" w:eastAsia="Calibri" w:hAnsi="Arial"/>
        </w:rPr>
        <w:t>, a mercantile customer may request and receive an exemption from pa</w:t>
      </w:r>
      <w:r>
        <w:rPr>
          <w:rFonts w:ascii="Arial" w:eastAsia="Calibri" w:hAnsi="Arial"/>
        </w:rPr>
        <w:t>ying the rider that recovers an</w:t>
      </w:r>
      <w:r w:rsidR="00CF664F">
        <w:rPr>
          <w:rFonts w:ascii="Arial" w:eastAsia="Calibri" w:hAnsi="Arial"/>
        </w:rPr>
        <w:t xml:space="preserve"> EDU’s EE/PDR program costs under certain circumstances.</w:t>
      </w:r>
      <w:r w:rsidR="00CF664F">
        <w:rPr>
          <w:rStyle w:val="FootnoteReference"/>
          <w:rFonts w:ascii="Arial" w:eastAsia="Calibri" w:hAnsi="Arial"/>
        </w:rPr>
        <w:footnoteReference w:id="5"/>
      </w:r>
      <w:r w:rsidR="00CF664F">
        <w:rPr>
          <w:rFonts w:ascii="Arial" w:eastAsia="Calibri" w:hAnsi="Arial"/>
        </w:rPr>
        <w:t xml:space="preserve">  By requesting an exemption—rather than a rebate—a mercantile customer reduces the total costs of FirstEnergy’s EE/PDR program costs.  </w:t>
      </w:r>
    </w:p>
    <w:p w:rsidR="00140F0A" w:rsidRDefault="00CF664F">
      <w:pPr>
        <w:spacing w:line="480" w:lineRule="auto"/>
        <w:ind w:firstLine="720"/>
        <w:jc w:val="both"/>
        <w:rPr>
          <w:rFonts w:ascii="Arial" w:eastAsia="Calibri" w:hAnsi="Arial"/>
        </w:rPr>
      </w:pPr>
      <w:r>
        <w:rPr>
          <w:rFonts w:ascii="Arial" w:eastAsia="Calibri" w:hAnsi="Arial"/>
        </w:rPr>
        <w:lastRenderedPageBreak/>
        <w:t xml:space="preserve">The right for a mercantile customer to request an exemption from paying for any such rider to collect an EDU’s EE/PDR program costs exists under Ohio law.  Under the rules adopted by the Public Utilities Commission of Ohio (“Commission”), the process through which a mercantile customer may request an exemption requires submitting an application for approval of a reasonable arrangement pursuant to Section 4905.31, Revised Code.  In 2010, the Commission streamlined the process for requesting and obtaining an exemption when it established the Mercantile </w:t>
      </w:r>
      <w:r w:rsidR="000171C7">
        <w:rPr>
          <w:rFonts w:ascii="Arial" w:eastAsia="Calibri" w:hAnsi="Arial"/>
        </w:rPr>
        <w:t>Pilot Program, which is available to</w:t>
      </w:r>
      <w:r>
        <w:rPr>
          <w:rFonts w:ascii="Arial" w:eastAsia="Calibri" w:hAnsi="Arial"/>
        </w:rPr>
        <w:t xml:space="preserve"> customers in the service territory of each EDU</w:t>
      </w:r>
      <w:r w:rsidR="000171C7">
        <w:rPr>
          <w:rFonts w:ascii="Arial" w:eastAsia="Calibri" w:hAnsi="Arial"/>
        </w:rPr>
        <w:t>.  The Mercantile Pilot Program allows customers to</w:t>
      </w:r>
      <w:r w:rsidR="0038501A">
        <w:rPr>
          <w:rFonts w:ascii="Arial" w:eastAsia="Calibri" w:hAnsi="Arial"/>
        </w:rPr>
        <w:t xml:space="preserve"> apply</w:t>
      </w:r>
      <w:r>
        <w:rPr>
          <w:rFonts w:ascii="Arial" w:eastAsia="Calibri" w:hAnsi="Arial"/>
        </w:rPr>
        <w:t>, either jointly with an EDU or individually, for approval of a reasonable arrangement for commitment of self-funded EE/PDR capabilities.</w:t>
      </w:r>
      <w:r>
        <w:rPr>
          <w:rStyle w:val="FootnoteReference"/>
          <w:rFonts w:ascii="Arial" w:eastAsia="Calibri" w:hAnsi="Arial"/>
        </w:rPr>
        <w:footnoteReference w:id="6"/>
      </w:r>
      <w:r>
        <w:t xml:space="preserve">  </w:t>
      </w:r>
      <w:r>
        <w:rPr>
          <w:rFonts w:ascii="Arial" w:hAnsi="Arial" w:cs="Arial"/>
        </w:rPr>
        <w:t>On May 25, 2011, the Commission further streamlined the process for obtaining an exemption when it extended the sixty-day automatic approval process in the Mercantile Pilot Program to applications for an exemption.</w:t>
      </w:r>
      <w:r>
        <w:rPr>
          <w:rStyle w:val="FootnoteReference"/>
          <w:rFonts w:ascii="Arial" w:hAnsi="Arial" w:cs="Arial"/>
        </w:rPr>
        <w:footnoteReference w:id="7"/>
      </w:r>
      <w:r>
        <w:rPr>
          <w:rFonts w:ascii="Arial" w:hAnsi="Arial" w:cs="Arial"/>
        </w:rPr>
        <w:t xml:space="preserve">  </w:t>
      </w:r>
    </w:p>
    <w:p w:rsidR="00140F0A" w:rsidRDefault="00CF664F">
      <w:pPr>
        <w:autoSpaceDE w:val="0"/>
        <w:autoSpaceDN w:val="0"/>
        <w:adjustRightInd w:val="0"/>
        <w:spacing w:line="480" w:lineRule="auto"/>
        <w:ind w:firstLine="720"/>
        <w:jc w:val="both"/>
        <w:rPr>
          <w:rFonts w:ascii="Arial" w:eastAsiaTheme="minorHAnsi" w:hAnsi="Arial" w:cs="Arial"/>
        </w:rPr>
      </w:pPr>
      <w:r>
        <w:rPr>
          <w:rFonts w:ascii="Arial" w:eastAsia="Calibri" w:hAnsi="Arial" w:cs="Arial"/>
        </w:rPr>
        <w:t xml:space="preserve">Peak demand </w:t>
      </w:r>
      <w:r w:rsidR="000171C7">
        <w:rPr>
          <w:rFonts w:ascii="Arial" w:eastAsia="Calibri" w:hAnsi="Arial" w:cs="Arial"/>
        </w:rPr>
        <w:t xml:space="preserve">reduction </w:t>
      </w:r>
      <w:r>
        <w:rPr>
          <w:rFonts w:ascii="Arial" w:eastAsia="Calibri" w:hAnsi="Arial" w:cs="Arial"/>
        </w:rPr>
        <w:t>capabilities associated with energy efficiency measures qualify as capacity resources under PJM’s rules.</w:t>
      </w:r>
      <w:r>
        <w:rPr>
          <w:rStyle w:val="FootnoteReference"/>
          <w:rFonts w:ascii="Arial" w:eastAsia="Calibri" w:hAnsi="Arial" w:cs="Arial"/>
        </w:rPr>
        <w:footnoteReference w:id="8"/>
      </w:r>
      <w:r>
        <w:rPr>
          <w:rFonts w:ascii="Arial" w:eastAsia="Calibri" w:hAnsi="Arial" w:cs="Arial"/>
        </w:rPr>
        <w:t xml:space="preserve">  An energy efficiency resource </w:t>
      </w:r>
      <w:r>
        <w:rPr>
          <w:rFonts w:ascii="Arial" w:eastAsiaTheme="minorHAnsi" w:hAnsi="Arial" w:cs="Arial"/>
        </w:rPr>
        <w:t xml:space="preserve">“may participate in </w:t>
      </w:r>
      <w:r w:rsidR="000171C7">
        <w:rPr>
          <w:rFonts w:ascii="Arial" w:eastAsiaTheme="minorHAnsi" w:hAnsi="Arial" w:cs="Arial"/>
        </w:rPr>
        <w:t>Reliability Pricing Model (“</w:t>
      </w:r>
      <w:r>
        <w:rPr>
          <w:rFonts w:ascii="Arial" w:eastAsiaTheme="minorHAnsi" w:hAnsi="Arial" w:cs="Arial"/>
        </w:rPr>
        <w:t>RPM</w:t>
      </w:r>
      <w:r w:rsidR="000171C7">
        <w:rPr>
          <w:rFonts w:ascii="Arial" w:eastAsiaTheme="minorHAnsi" w:hAnsi="Arial" w:cs="Arial"/>
        </w:rPr>
        <w:t>”) a</w:t>
      </w:r>
      <w:r>
        <w:rPr>
          <w:rFonts w:ascii="Arial" w:eastAsiaTheme="minorHAnsi" w:hAnsi="Arial" w:cs="Arial"/>
        </w:rPr>
        <w:t>uctions for a maximum of up to four consecutive Delivery Years</w:t>
      </w:r>
      <w:r>
        <w:rPr>
          <w:rFonts w:ascii="Arial" w:eastAsia="Calibri" w:hAnsi="Arial" w:cs="Arial"/>
        </w:rPr>
        <w:t>.”</w:t>
      </w:r>
      <w:r>
        <w:rPr>
          <w:rStyle w:val="FootnoteReference"/>
          <w:rFonts w:ascii="Arial" w:eastAsia="Calibri" w:hAnsi="Arial" w:cs="Arial"/>
        </w:rPr>
        <w:footnoteReference w:id="9"/>
      </w:r>
      <w:r>
        <w:rPr>
          <w:rFonts w:ascii="Arial" w:eastAsia="Calibri" w:hAnsi="Arial" w:cs="Arial"/>
        </w:rPr>
        <w:t xml:space="preserve">  </w:t>
      </w:r>
    </w:p>
    <w:p w:rsidR="00140F0A" w:rsidRDefault="00CF664F">
      <w:pPr>
        <w:spacing w:line="480" w:lineRule="auto"/>
        <w:ind w:firstLine="720"/>
        <w:jc w:val="both"/>
        <w:rPr>
          <w:rFonts w:ascii="Arial" w:eastAsia="Calibri" w:hAnsi="Arial"/>
        </w:rPr>
      </w:pPr>
      <w:r>
        <w:rPr>
          <w:rFonts w:ascii="Arial" w:eastAsia="Calibri" w:hAnsi="Arial" w:cs="Arial"/>
        </w:rPr>
        <w:t>Neither the Mercantile Pilot</w:t>
      </w:r>
      <w:r>
        <w:rPr>
          <w:rFonts w:ascii="Arial" w:eastAsia="Calibri" w:hAnsi="Arial"/>
        </w:rPr>
        <w:t xml:space="preserve"> Program nor Section 4928.66, Revised Code, require a customer requesting an exemption from paying EE/DPR program costs to transfer to the </w:t>
      </w:r>
      <w:r>
        <w:rPr>
          <w:rFonts w:ascii="Arial" w:eastAsia="Calibri" w:hAnsi="Arial"/>
        </w:rPr>
        <w:lastRenderedPageBreak/>
        <w:t>EDU the right or ownership of attributes (</w:t>
      </w:r>
      <w:r w:rsidR="000171C7">
        <w:rPr>
          <w:rFonts w:ascii="Arial" w:eastAsia="Calibri" w:hAnsi="Arial"/>
        </w:rPr>
        <w:t>permanent peak demand reduction</w:t>
      </w:r>
      <w:r>
        <w:rPr>
          <w:rFonts w:ascii="Arial" w:eastAsia="Calibri" w:hAnsi="Arial"/>
        </w:rPr>
        <w:t>) that are produced from a self-funded project that PJM permits to be offered as a capacity resource in periodic capacity auctions.  Customers have traditionally retained the right to bid the capacity resources associated with their self-funded projects into PJM’s capacity auctions.</w:t>
      </w:r>
      <w:r w:rsidR="00F87CEC">
        <w:rPr>
          <w:rStyle w:val="FootnoteReference"/>
          <w:rFonts w:ascii="Arial" w:eastAsia="Calibri" w:hAnsi="Arial"/>
        </w:rPr>
        <w:footnoteReference w:id="10"/>
      </w:r>
      <w:r>
        <w:rPr>
          <w:rFonts w:ascii="Arial" w:eastAsia="Calibri" w:hAnsi="Arial"/>
        </w:rPr>
        <w:t xml:space="preserve">  </w:t>
      </w:r>
    </w:p>
    <w:p w:rsidR="000171C7" w:rsidRDefault="00CF664F" w:rsidP="000171C7">
      <w:pPr>
        <w:spacing w:line="480" w:lineRule="auto"/>
        <w:ind w:firstLine="720"/>
        <w:jc w:val="both"/>
        <w:rPr>
          <w:rFonts w:ascii="Arial" w:eastAsia="Calibri" w:hAnsi="Arial"/>
        </w:rPr>
      </w:pPr>
      <w:r>
        <w:rPr>
          <w:rFonts w:ascii="Arial" w:eastAsia="Calibri" w:hAnsi="Arial"/>
        </w:rPr>
        <w:t>Staff witness Scheck testified that ownership of ca</w:t>
      </w:r>
      <w:r w:rsidR="0038501A">
        <w:rPr>
          <w:rFonts w:ascii="Arial" w:eastAsia="Calibri" w:hAnsi="Arial"/>
        </w:rPr>
        <w:t>pacity attributes initially remains</w:t>
      </w:r>
      <w:r>
        <w:rPr>
          <w:rFonts w:ascii="Arial" w:eastAsia="Calibri" w:hAnsi="Arial"/>
        </w:rPr>
        <w:t xml:space="preserve"> with the customer</w:t>
      </w:r>
      <w:r w:rsidR="000171C7">
        <w:rPr>
          <w:rFonts w:ascii="Arial" w:eastAsia="Calibri" w:hAnsi="Arial"/>
        </w:rPr>
        <w:t>:</w:t>
      </w:r>
    </w:p>
    <w:p w:rsidR="000171C7" w:rsidRDefault="000171C7" w:rsidP="00605499">
      <w:pPr>
        <w:autoSpaceDE w:val="0"/>
        <w:autoSpaceDN w:val="0"/>
        <w:adjustRightInd w:val="0"/>
        <w:ind w:left="720" w:right="720"/>
        <w:jc w:val="both"/>
        <w:rPr>
          <w:rFonts w:ascii="TTE192C280t00" w:eastAsiaTheme="minorHAnsi" w:hAnsi="TTE192C280t00" w:cs="TTE192C280t00"/>
          <w:sz w:val="26"/>
          <w:szCs w:val="26"/>
        </w:rPr>
      </w:pPr>
      <w:r>
        <w:rPr>
          <w:rFonts w:ascii="TTE192C280t00" w:eastAsiaTheme="minorHAnsi" w:hAnsi="TTE192C280t00" w:cs="TTE192C280t00"/>
          <w:sz w:val="26"/>
          <w:szCs w:val="26"/>
        </w:rPr>
        <w:t>If the customer requests an exemption and it's approved by the Commission, my view is that the customer would have ownership rights of that capacity, bid into the PJM market, and, therefore,</w:t>
      </w:r>
      <w:r w:rsidRPr="000171C7">
        <w:t xml:space="preserve"> </w:t>
      </w:r>
      <w:r w:rsidRPr="000171C7">
        <w:rPr>
          <w:rFonts w:ascii="TTE192C280t00" w:eastAsiaTheme="minorHAnsi" w:hAnsi="TTE192C280t00" w:cs="TTE192C280t00"/>
          <w:sz w:val="26"/>
          <w:szCs w:val="26"/>
        </w:rPr>
        <w:t>the company could n</w:t>
      </w:r>
      <w:r>
        <w:rPr>
          <w:rFonts w:ascii="TTE192C280t00" w:eastAsiaTheme="minorHAnsi" w:hAnsi="TTE192C280t00" w:cs="TTE192C280t00"/>
          <w:sz w:val="26"/>
          <w:szCs w:val="26"/>
        </w:rPr>
        <w:t xml:space="preserve">ot claim those. If the customer </w:t>
      </w:r>
      <w:r w:rsidRPr="000171C7">
        <w:rPr>
          <w:rFonts w:ascii="TTE192C280t00" w:eastAsiaTheme="minorHAnsi" w:hAnsi="TTE192C280t00" w:cs="TTE192C280t00"/>
          <w:sz w:val="26"/>
          <w:szCs w:val="26"/>
        </w:rPr>
        <w:t>wanted to commit such</w:t>
      </w:r>
      <w:r>
        <w:rPr>
          <w:rFonts w:ascii="TTE192C280t00" w:eastAsiaTheme="minorHAnsi" w:hAnsi="TTE192C280t00" w:cs="TTE192C280t00"/>
          <w:sz w:val="26"/>
          <w:szCs w:val="26"/>
        </w:rPr>
        <w:t xml:space="preserve"> resources to the company, they</w:t>
      </w:r>
      <w:r w:rsidRPr="000171C7">
        <w:rPr>
          <w:rFonts w:ascii="TTE192C280t00" w:eastAsiaTheme="minorHAnsi" w:hAnsi="TTE192C280t00" w:cs="TTE192C280t00"/>
          <w:sz w:val="26"/>
          <w:szCs w:val="26"/>
        </w:rPr>
        <w:t xml:space="preserve"> could do so, but that would be up to the customer.</w:t>
      </w:r>
      <w:r>
        <w:rPr>
          <w:rStyle w:val="FootnoteReference"/>
          <w:rFonts w:ascii="TTE192C280t00" w:eastAsiaTheme="minorHAnsi" w:hAnsi="TTE192C280t00" w:cs="TTE192C280t00"/>
          <w:sz w:val="26"/>
          <w:szCs w:val="26"/>
        </w:rPr>
        <w:footnoteReference w:id="11"/>
      </w:r>
    </w:p>
    <w:p w:rsidR="008E6E85" w:rsidRPr="008E6E85" w:rsidRDefault="008E6E85" w:rsidP="008E6E85">
      <w:pPr>
        <w:autoSpaceDE w:val="0"/>
        <w:autoSpaceDN w:val="0"/>
        <w:adjustRightInd w:val="0"/>
        <w:ind w:left="720"/>
        <w:jc w:val="both"/>
        <w:rPr>
          <w:rFonts w:ascii="TTE192C280t00" w:eastAsiaTheme="minorHAnsi" w:hAnsi="TTE192C280t00" w:cs="TTE192C280t00"/>
          <w:sz w:val="26"/>
          <w:szCs w:val="26"/>
        </w:rPr>
      </w:pPr>
    </w:p>
    <w:p w:rsidR="00140F0A" w:rsidRDefault="008E6E85" w:rsidP="008E6E85">
      <w:pPr>
        <w:spacing w:line="480" w:lineRule="auto"/>
        <w:jc w:val="both"/>
        <w:rPr>
          <w:rFonts w:ascii="Arial" w:eastAsia="Calibri" w:hAnsi="Arial"/>
        </w:rPr>
      </w:pPr>
      <w:r>
        <w:rPr>
          <w:rFonts w:ascii="Arial" w:eastAsia="Calibri" w:hAnsi="Arial"/>
        </w:rPr>
        <w:t>O</w:t>
      </w:r>
      <w:r w:rsidR="00CF664F">
        <w:rPr>
          <w:rFonts w:ascii="Arial" w:eastAsia="Calibri" w:hAnsi="Arial"/>
        </w:rPr>
        <w:t>wne</w:t>
      </w:r>
      <w:r>
        <w:rPr>
          <w:rFonts w:ascii="Arial" w:eastAsia="Calibri" w:hAnsi="Arial"/>
        </w:rPr>
        <w:t>rship of such capacity rights can only be transferred</w:t>
      </w:r>
      <w:r w:rsidR="00480CAC">
        <w:rPr>
          <w:rFonts w:ascii="Arial" w:eastAsia="Calibri" w:hAnsi="Arial"/>
        </w:rPr>
        <w:t xml:space="preserve"> to the EDU through a contract  or</w:t>
      </w:r>
      <w:r>
        <w:rPr>
          <w:rFonts w:ascii="Arial" w:eastAsia="Calibri" w:hAnsi="Arial"/>
        </w:rPr>
        <w:t xml:space="preserve"> </w:t>
      </w:r>
      <w:r w:rsidR="0038501A">
        <w:rPr>
          <w:rFonts w:ascii="Arial" w:eastAsia="Calibri" w:hAnsi="Arial"/>
        </w:rPr>
        <w:t xml:space="preserve">if </w:t>
      </w:r>
      <w:r w:rsidR="00480CAC">
        <w:rPr>
          <w:rFonts w:ascii="Arial" w:eastAsia="Calibri" w:hAnsi="Arial"/>
        </w:rPr>
        <w:t xml:space="preserve">the </w:t>
      </w:r>
      <w:r>
        <w:rPr>
          <w:rFonts w:ascii="Arial" w:eastAsia="Calibri" w:hAnsi="Arial"/>
        </w:rPr>
        <w:t>EDU provides the customer compensation in the form of a rebate.</w:t>
      </w:r>
      <w:r>
        <w:rPr>
          <w:rStyle w:val="FootnoteReference"/>
          <w:rFonts w:ascii="Arial" w:eastAsia="Calibri" w:hAnsi="Arial"/>
        </w:rPr>
        <w:footnoteReference w:id="12"/>
      </w:r>
      <w:r w:rsidR="00CF664F">
        <w:rPr>
          <w:rFonts w:ascii="Arial" w:eastAsia="Calibri" w:hAnsi="Arial"/>
        </w:rPr>
        <w:t xml:space="preserve">  Moreover, the Commission’s recent proposed rulemaking also supports the principle that an EDU must enter a contract with a customer to take ownership of a customer-sited resource:</w:t>
      </w:r>
    </w:p>
    <w:p w:rsidR="00140F0A" w:rsidRDefault="00CF664F">
      <w:pPr>
        <w:ind w:left="720" w:right="720"/>
        <w:jc w:val="both"/>
        <w:rPr>
          <w:rFonts w:ascii="Arial" w:eastAsia="Calibri" w:hAnsi="Arial"/>
        </w:rPr>
      </w:pPr>
      <w:r>
        <w:rPr>
          <w:rFonts w:ascii="Arial" w:eastAsia="Calibri" w:hAnsi="Arial"/>
        </w:rPr>
        <w:t>Renewable energy credits associated with a customer-generator's net metering facility shall be the property of the customer-generator, unless</w:t>
      </w:r>
      <w:r w:rsidR="00934834">
        <w:rPr>
          <w:rFonts w:ascii="Arial" w:eastAsia="Calibri" w:hAnsi="Arial"/>
        </w:rPr>
        <w:t xml:space="preserve"> </w:t>
      </w:r>
      <w:r>
        <w:rPr>
          <w:rFonts w:ascii="Arial" w:eastAsia="Calibri" w:hAnsi="Arial"/>
        </w:rPr>
        <w:t>otherwise contracted through a separate transaction, independent of the net metering tariff or the customer-generator's net metering agreement with the electric utility.</w:t>
      </w:r>
      <w:r>
        <w:rPr>
          <w:rStyle w:val="FootnoteReference"/>
          <w:rFonts w:ascii="Arial" w:eastAsia="Calibri" w:hAnsi="Arial"/>
        </w:rPr>
        <w:footnoteReference w:id="13"/>
      </w:r>
    </w:p>
    <w:p w:rsidR="00140F0A" w:rsidRDefault="00140F0A">
      <w:pPr>
        <w:ind w:left="720" w:right="720"/>
        <w:jc w:val="both"/>
        <w:rPr>
          <w:rFonts w:ascii="Arial" w:eastAsia="Calibri" w:hAnsi="Arial"/>
        </w:rPr>
      </w:pPr>
    </w:p>
    <w:p w:rsidR="00140F0A" w:rsidRDefault="00CF664F">
      <w:pPr>
        <w:spacing w:line="480" w:lineRule="auto"/>
        <w:ind w:firstLine="720"/>
        <w:jc w:val="both"/>
        <w:rPr>
          <w:rFonts w:ascii="Arial" w:eastAsia="Calibri" w:hAnsi="Arial" w:cs="Arial"/>
        </w:rPr>
      </w:pPr>
      <w:r>
        <w:rPr>
          <w:rFonts w:ascii="Arial" w:eastAsia="Calibri" w:hAnsi="Arial" w:cs="Arial"/>
        </w:rPr>
        <w:t xml:space="preserve">Ownership of capacity attributes associated with energy efficiency resources is not an academic matter.  Logically, a mercantile customer evaluating the economic viability of </w:t>
      </w:r>
      <w:r>
        <w:rPr>
          <w:rFonts w:ascii="Arial" w:eastAsia="Calibri" w:hAnsi="Arial" w:cs="Arial"/>
        </w:rPr>
        <w:lastRenderedPageBreak/>
        <w:t xml:space="preserve">an energy efficiency project would consider potential capacity revenue from PJM auctions.  </w:t>
      </w:r>
      <w:r w:rsidR="00F87CEC">
        <w:rPr>
          <w:rFonts w:ascii="Arial" w:eastAsia="Calibri" w:hAnsi="Arial" w:cs="Arial"/>
        </w:rPr>
        <w:t>Indeed, FirstEnergy has indicated that mercantile customer</w:t>
      </w:r>
      <w:r w:rsidR="0038501A">
        <w:rPr>
          <w:rFonts w:ascii="Arial" w:eastAsia="Calibri" w:hAnsi="Arial" w:cs="Arial"/>
        </w:rPr>
        <w:t>s</w:t>
      </w:r>
      <w:r w:rsidR="00F87CEC">
        <w:rPr>
          <w:rFonts w:ascii="Arial" w:eastAsia="Calibri" w:hAnsi="Arial" w:cs="Arial"/>
        </w:rPr>
        <w:t xml:space="preserve"> have indicated that they will not participate in the self-direct program if they cannot retain ownership of their capacit</w:t>
      </w:r>
      <w:r w:rsidR="0038501A">
        <w:rPr>
          <w:rFonts w:ascii="Arial" w:eastAsia="Calibri" w:hAnsi="Arial" w:cs="Arial"/>
        </w:rPr>
        <w:t>y attributes and their related</w:t>
      </w:r>
      <w:r w:rsidR="00F87CEC">
        <w:rPr>
          <w:rFonts w:ascii="Arial" w:eastAsia="Calibri" w:hAnsi="Arial" w:cs="Arial"/>
        </w:rPr>
        <w:t xml:space="preserve"> revenue stream.</w:t>
      </w:r>
      <w:r w:rsidR="00F87CEC">
        <w:rPr>
          <w:rStyle w:val="FootnoteReference"/>
          <w:rFonts w:ascii="Arial" w:eastAsia="Calibri" w:hAnsi="Arial" w:cs="Arial"/>
        </w:rPr>
        <w:footnoteReference w:id="14"/>
      </w:r>
      <w:r w:rsidR="00F87CEC">
        <w:rPr>
          <w:rFonts w:ascii="Arial" w:eastAsia="Calibri" w:hAnsi="Arial" w:cs="Arial"/>
        </w:rPr>
        <w:t xml:space="preserve">  Despite this fact, </w:t>
      </w:r>
      <w:r>
        <w:rPr>
          <w:rFonts w:ascii="Arial" w:eastAsia="Calibri" w:hAnsi="Arial" w:cs="Arial"/>
        </w:rPr>
        <w:t>F</w:t>
      </w:r>
      <w:r>
        <w:rPr>
          <w:rFonts w:ascii="Arial" w:eastAsia="Calibri" w:hAnsi="Arial"/>
        </w:rPr>
        <w:t>irstEnergy has attempted to divert this capacity revenue stream from mercantile customers to its EE/PDR program.</w:t>
      </w:r>
      <w:r>
        <w:rPr>
          <w:rFonts w:ascii="Arial" w:eastAsia="Calibri" w:hAnsi="Arial" w:cs="Arial"/>
          <w:color w:val="000000"/>
        </w:rPr>
        <w:t xml:space="preserve">  More specificall</w:t>
      </w:r>
      <w:r w:rsidR="008E6E85">
        <w:rPr>
          <w:rFonts w:ascii="Arial" w:eastAsia="Calibri" w:hAnsi="Arial" w:cs="Arial"/>
          <w:color w:val="000000"/>
        </w:rPr>
        <w:t>y, FirstEnergy’s Portfolio Plan has</w:t>
      </w:r>
      <w:r>
        <w:rPr>
          <w:rFonts w:ascii="Arial" w:eastAsia="Calibri" w:hAnsi="Arial" w:cs="Arial"/>
          <w:color w:val="000000"/>
        </w:rPr>
        <w:t xml:space="preserve"> modified the Commitment Agreement through which mercantile customers commit their customer-sited capabilities to the specific FirstEnergy operating company for the purpose of meeting the EDU’s statutory obligation.  The modification requires mercantile customers requesting an exemption from the DSEII Rider to transfer to FirstEnergy the ownership rights to bid capacity resources associated with their self-funded projects into future PJM capacity auctions.</w:t>
      </w:r>
      <w:r>
        <w:rPr>
          <w:rStyle w:val="FootnoteReference"/>
          <w:rFonts w:ascii="Arial" w:eastAsia="Calibri" w:hAnsi="Arial" w:cs="Arial"/>
          <w:color w:val="000000"/>
        </w:rPr>
        <w:footnoteReference w:id="15"/>
      </w:r>
      <w:r>
        <w:rPr>
          <w:rFonts w:ascii="Arial" w:eastAsia="Calibri" w:hAnsi="Arial" w:cs="Arial"/>
          <w:color w:val="000000"/>
        </w:rPr>
        <w:t xml:space="preserve">  </w:t>
      </w:r>
    </w:p>
    <w:p w:rsidR="00140F0A" w:rsidRDefault="00CF664F">
      <w:pPr>
        <w:spacing w:line="480" w:lineRule="auto"/>
        <w:ind w:firstLine="720"/>
        <w:jc w:val="both"/>
        <w:rPr>
          <w:rFonts w:ascii="Arial" w:eastAsia="Calibri" w:hAnsi="Arial" w:cs="Arial"/>
          <w:color w:val="000000"/>
        </w:rPr>
      </w:pPr>
      <w:r>
        <w:rPr>
          <w:rFonts w:ascii="Arial" w:eastAsia="Calibri" w:hAnsi="Arial" w:cs="Arial"/>
          <w:color w:val="000000"/>
        </w:rPr>
        <w:t>FirstEnergy has modified its Commitment Agreement under an incorrect assumption.  FirstEnergy has claimed that the Commission, in FirstEnergy’s ESP</w:t>
      </w:r>
      <w:r w:rsidR="008E6E85">
        <w:rPr>
          <w:rFonts w:ascii="Arial" w:eastAsia="Calibri" w:hAnsi="Arial" w:cs="Arial"/>
          <w:color w:val="000000"/>
        </w:rPr>
        <w:t xml:space="preserve"> III</w:t>
      </w:r>
      <w:r>
        <w:rPr>
          <w:rFonts w:ascii="Arial" w:eastAsia="Calibri" w:hAnsi="Arial" w:cs="Arial"/>
          <w:color w:val="000000"/>
        </w:rPr>
        <w:t xml:space="preserve"> proceeding, directed FirstEnergy to, as a condition of part</w:t>
      </w:r>
      <w:r w:rsidR="008E6E85">
        <w:rPr>
          <w:rFonts w:ascii="Arial" w:eastAsia="Calibri" w:hAnsi="Arial" w:cs="Arial"/>
          <w:color w:val="000000"/>
        </w:rPr>
        <w:t>icipating in FirstEnergy’s EE/P</w:t>
      </w:r>
      <w:r>
        <w:rPr>
          <w:rFonts w:ascii="Arial" w:eastAsia="Calibri" w:hAnsi="Arial" w:cs="Arial"/>
          <w:color w:val="000000"/>
        </w:rPr>
        <w:t>D</w:t>
      </w:r>
      <w:r w:rsidR="008E6E85">
        <w:rPr>
          <w:rFonts w:ascii="Arial" w:eastAsia="Calibri" w:hAnsi="Arial" w:cs="Arial"/>
          <w:color w:val="000000"/>
        </w:rPr>
        <w:t>R</w:t>
      </w:r>
      <w:r>
        <w:rPr>
          <w:rFonts w:ascii="Arial" w:eastAsia="Calibri" w:hAnsi="Arial" w:cs="Arial"/>
          <w:color w:val="000000"/>
        </w:rPr>
        <w:t xml:space="preserve"> programs, to transfer ownership of energy efficiency resources to</w:t>
      </w:r>
      <w:r w:rsidR="008E6E85">
        <w:rPr>
          <w:rFonts w:ascii="Arial" w:eastAsia="Calibri" w:hAnsi="Arial" w:cs="Arial"/>
          <w:color w:val="000000"/>
        </w:rPr>
        <w:t xml:space="preserve"> FirstEnergy for purposes of</w:t>
      </w:r>
      <w:r>
        <w:rPr>
          <w:rFonts w:ascii="Arial" w:eastAsia="Calibri" w:hAnsi="Arial" w:cs="Arial"/>
          <w:color w:val="000000"/>
        </w:rPr>
        <w:t xml:space="preserve"> bidding</w:t>
      </w:r>
      <w:r w:rsidR="008E6E85">
        <w:rPr>
          <w:rFonts w:ascii="Arial" w:eastAsia="Calibri" w:hAnsi="Arial" w:cs="Arial"/>
          <w:color w:val="000000"/>
        </w:rPr>
        <w:t xml:space="preserve"> those resources into PJM’s capacity auctions</w:t>
      </w:r>
      <w:r>
        <w:rPr>
          <w:rFonts w:ascii="Arial" w:eastAsia="Calibri" w:hAnsi="Arial" w:cs="Arial"/>
          <w:color w:val="000000"/>
        </w:rPr>
        <w:t xml:space="preserve">.  But, the ESP III </w:t>
      </w:r>
      <w:r>
        <w:rPr>
          <w:rFonts w:ascii="Arial" w:eastAsia="Calibri" w:hAnsi="Arial" w:cs="Arial"/>
          <w:color w:val="000000"/>
        </w:rPr>
        <w:lastRenderedPageBreak/>
        <w:t>Order</w:t>
      </w:r>
      <w:r>
        <w:rPr>
          <w:rStyle w:val="FootnoteReference"/>
          <w:rFonts w:ascii="Arial" w:eastAsia="Calibri" w:hAnsi="Arial" w:cs="Arial"/>
          <w:color w:val="000000"/>
        </w:rPr>
        <w:footnoteReference w:id="16"/>
      </w:r>
      <w:r>
        <w:rPr>
          <w:rFonts w:ascii="Arial" w:eastAsia="Calibri" w:hAnsi="Arial" w:cs="Arial"/>
          <w:color w:val="000000"/>
        </w:rPr>
        <w:t xml:space="preserve"> was not directed at mercantile customer self-direct projects; it was focused on FirstEnergy’s failure to obtain ownership of capacity resources from customers directly participating in FirstEnergy’s EE/PDR rebate and point of sale programs, which resulted in less capacity being bid into the 2015/2016 PJM capacity auction:</w:t>
      </w:r>
    </w:p>
    <w:p w:rsidR="00140F0A" w:rsidRDefault="00CF664F">
      <w:pPr>
        <w:autoSpaceDE w:val="0"/>
        <w:autoSpaceDN w:val="0"/>
        <w:adjustRightInd w:val="0"/>
        <w:ind w:left="720" w:right="720"/>
        <w:jc w:val="both"/>
        <w:rPr>
          <w:rFonts w:ascii="Arial" w:eastAsia="Calibri" w:hAnsi="Arial" w:cs="Arial"/>
        </w:rPr>
      </w:pPr>
      <w:r>
        <w:rPr>
          <w:rFonts w:ascii="Arial" w:eastAsia="Calibri" w:hAnsi="Arial" w:cs="Arial"/>
          <w:b/>
        </w:rPr>
        <w:t xml:space="preserve">However, the Commission notes that additional steps may be taken to mitigate the impact of the transmission constraint in the ATSI zone for future base residual auctions. Specifically, the Companies should take steps to amend </w:t>
      </w:r>
      <w:r>
        <w:rPr>
          <w:rFonts w:ascii="Arial" w:eastAsia="Calibri" w:hAnsi="Arial" w:cs="Arial"/>
          <w:b/>
          <w:i/>
        </w:rPr>
        <w:t>their</w:t>
      </w:r>
      <w:r>
        <w:rPr>
          <w:rFonts w:ascii="Arial" w:eastAsia="Calibri" w:hAnsi="Arial" w:cs="Arial"/>
          <w:b/>
        </w:rPr>
        <w:t xml:space="preserve"> energy efficiency programs to ensure that customers, knowingly and as a condition of participation in </w:t>
      </w:r>
      <w:r>
        <w:rPr>
          <w:rFonts w:ascii="Arial" w:eastAsia="Calibri" w:hAnsi="Arial" w:cs="Arial"/>
          <w:b/>
          <w:i/>
        </w:rPr>
        <w:t>the programs</w:t>
      </w:r>
      <w:r>
        <w:rPr>
          <w:rFonts w:ascii="Arial" w:eastAsia="Calibri" w:hAnsi="Arial" w:cs="Arial"/>
          <w:b/>
        </w:rPr>
        <w:t xml:space="preserve">, tender ownership of the energy efficiency resources to the Companies. </w:t>
      </w:r>
      <w:r>
        <w:rPr>
          <w:rFonts w:ascii="Arial" w:eastAsia="Calibri" w:hAnsi="Arial" w:cs="Arial"/>
        </w:rPr>
        <w:t xml:space="preserve">Further, the Companies should continue to take the necessary steps to verify the energy savings to qualify for participation in the base residual auctions, and the Companies should bid qualifying energy resources into the auction. The record demonstrates that there has been tremendous growth in the use of energy efficiency resources in the capacity auctions, </w:t>
      </w:r>
      <w:r>
        <w:rPr>
          <w:rFonts w:ascii="Arial" w:eastAsia="Calibri" w:hAnsi="Arial" w:cs="Arial"/>
          <w:b/>
          <w:i/>
        </w:rPr>
        <w:t>and the Companies are well positioned to substantially increase the amount of energy efficiency resources they can bid into the auction</w:t>
      </w:r>
      <w:r>
        <w:rPr>
          <w:rFonts w:ascii="Arial" w:eastAsia="Calibri" w:hAnsi="Arial" w:cs="Arial"/>
        </w:rPr>
        <w:t xml:space="preserve">, </w:t>
      </w:r>
      <w:r>
        <w:rPr>
          <w:rFonts w:ascii="Arial" w:eastAsia="Calibri" w:hAnsi="Arial" w:cs="Arial"/>
          <w:b/>
          <w:i/>
        </w:rPr>
        <w:t>which will assist in mitigating the impact of the transmission constraint in the ATSI zone.</w:t>
      </w:r>
      <w:r>
        <w:rPr>
          <w:rFonts w:ascii="Arial" w:eastAsia="Calibri" w:hAnsi="Arial" w:cs="Arial"/>
        </w:rPr>
        <w:t xml:space="preserve"> Further, the Commission will continue to review the Companies' participation in future base residual auctions until such time as the transmission constraint in the ATSI zone is resolved.</w:t>
      </w:r>
      <w:r>
        <w:rPr>
          <w:rStyle w:val="FootnoteReference"/>
          <w:rFonts w:ascii="Arial" w:eastAsia="Calibri" w:hAnsi="Arial" w:cs="Arial"/>
        </w:rPr>
        <w:footnoteReference w:id="17"/>
      </w:r>
    </w:p>
    <w:p w:rsidR="00140F0A" w:rsidRDefault="00140F0A">
      <w:pPr>
        <w:autoSpaceDE w:val="0"/>
        <w:autoSpaceDN w:val="0"/>
        <w:adjustRightInd w:val="0"/>
        <w:ind w:left="720" w:right="720"/>
        <w:jc w:val="both"/>
        <w:rPr>
          <w:rFonts w:ascii="Arial" w:eastAsia="Calibri" w:hAnsi="Arial" w:cs="Arial"/>
        </w:rPr>
      </w:pPr>
    </w:p>
    <w:p w:rsidR="00140F0A" w:rsidRDefault="00CF664F">
      <w:pPr>
        <w:spacing w:after="120" w:line="480" w:lineRule="auto"/>
        <w:jc w:val="both"/>
        <w:rPr>
          <w:rFonts w:ascii="Arial" w:eastAsia="Calibri" w:hAnsi="Arial" w:cs="Arial"/>
          <w:color w:val="000000"/>
        </w:rPr>
      </w:pPr>
      <w:r>
        <w:rPr>
          <w:rFonts w:ascii="Arial" w:eastAsia="Calibri" w:hAnsi="Arial" w:cs="Arial"/>
          <w:color w:val="000000"/>
        </w:rPr>
        <w:t xml:space="preserve">FirstEnergy’s proposed Commitment Agreement is unreasonable and the Commission should direct FirstEnergy to modify the Commitment Agreement.  IEU-Ohio, however, has no objection to FirstEnergy and/or the Commission requiring customers that participate in FirstEnergy rebate or point of sale purchase programs to provide FirstEnergy the necessary ownership rights to allow bidding the permanent peak demand reductions from these programs into PJM’s periodic capacity auction.  Adding the requirement to confer the necessary ownership rights to FirstEnergy can simply be added as a condition of program participation and customers are free to participate or decline participation in these rebate </w:t>
      </w:r>
      <w:r>
        <w:rPr>
          <w:rFonts w:ascii="Arial" w:eastAsia="Calibri" w:hAnsi="Arial" w:cs="Arial"/>
          <w:color w:val="000000"/>
        </w:rPr>
        <w:lastRenderedPageBreak/>
        <w:t>and point of sale purchase programs.</w:t>
      </w:r>
      <w:r w:rsidR="00F87CEC">
        <w:rPr>
          <w:rStyle w:val="FootnoteReference"/>
          <w:rFonts w:ascii="Arial" w:eastAsia="Calibri" w:hAnsi="Arial" w:cs="Arial"/>
          <w:color w:val="000000"/>
        </w:rPr>
        <w:footnoteReference w:id="18"/>
      </w:r>
      <w:r>
        <w:rPr>
          <w:rFonts w:ascii="Arial" w:eastAsia="Calibri" w:hAnsi="Arial" w:cs="Arial"/>
          <w:color w:val="000000"/>
        </w:rPr>
        <w:t xml:space="preserve">  But, FirstEnergy’s proposal, which requires the mercantile customer to cede ownership rights in instances in which the customer has entirely self-funded the energy efficiency investment, goes too far and is analogous to a taking of property without just compensation.  As a practical consequence of decreasing mercantile customers’ returns on their energy efficiency investments, self-funded projects will be less viable, fewer will be completed, and a smaller quantity of e</w:t>
      </w:r>
      <w:r w:rsidR="00605499">
        <w:rPr>
          <w:rFonts w:ascii="Arial" w:eastAsia="Calibri" w:hAnsi="Arial" w:cs="Arial"/>
          <w:color w:val="000000"/>
        </w:rPr>
        <w:t>nergy efficiency resources may</w:t>
      </w:r>
      <w:r w:rsidR="008E6E85">
        <w:rPr>
          <w:rFonts w:ascii="Arial" w:eastAsia="Calibri" w:hAnsi="Arial" w:cs="Arial"/>
          <w:color w:val="000000"/>
        </w:rPr>
        <w:t xml:space="preserve"> be</w:t>
      </w:r>
      <w:r>
        <w:rPr>
          <w:rFonts w:ascii="Arial" w:eastAsia="Calibri" w:hAnsi="Arial" w:cs="Arial"/>
          <w:color w:val="000000"/>
        </w:rPr>
        <w:t xml:space="preserve"> bid into PJM</w:t>
      </w:r>
      <w:r w:rsidR="008E6E85">
        <w:rPr>
          <w:rFonts w:ascii="Arial" w:eastAsia="Calibri" w:hAnsi="Arial" w:cs="Arial"/>
          <w:color w:val="000000"/>
        </w:rPr>
        <w:t>’s capacity</w:t>
      </w:r>
      <w:r>
        <w:rPr>
          <w:rFonts w:ascii="Arial" w:eastAsia="Calibri" w:hAnsi="Arial" w:cs="Arial"/>
          <w:color w:val="000000"/>
        </w:rPr>
        <w:t xml:space="preserve"> auctions.</w:t>
      </w:r>
      <w:r>
        <w:rPr>
          <w:rStyle w:val="FootnoteReference"/>
          <w:rFonts w:ascii="Arial" w:eastAsia="Calibri" w:hAnsi="Arial" w:cs="Arial"/>
          <w:color w:val="000000"/>
        </w:rPr>
        <w:footnoteReference w:id="19"/>
      </w:r>
      <w:r>
        <w:rPr>
          <w:rFonts w:ascii="Arial" w:eastAsia="Calibri" w:hAnsi="Arial" w:cs="Arial"/>
          <w:color w:val="000000"/>
        </w:rPr>
        <w:t xml:space="preserve">  The Commission should direct FirstEnergy to</w:t>
      </w:r>
      <w:r w:rsidR="0038501A">
        <w:rPr>
          <w:rFonts w:ascii="Arial" w:eastAsia="Calibri" w:hAnsi="Arial" w:cs="Arial"/>
          <w:color w:val="000000"/>
        </w:rPr>
        <w:t xml:space="preserve"> modify its Commit</w:t>
      </w:r>
      <w:r w:rsidR="00480CAC">
        <w:rPr>
          <w:rFonts w:ascii="Arial" w:eastAsia="Calibri" w:hAnsi="Arial" w:cs="Arial"/>
          <w:color w:val="000000"/>
        </w:rPr>
        <w:t>ment</w:t>
      </w:r>
      <w:r>
        <w:rPr>
          <w:rFonts w:ascii="Arial" w:eastAsia="Calibri" w:hAnsi="Arial" w:cs="Arial"/>
          <w:color w:val="000000"/>
        </w:rPr>
        <w:t xml:space="preserve"> Agreement to permit mercantile customers requesting an exemption from the DSEII Rider to retain the right to bid the capacity resources associated with their self-funded projects into PJM capacity auctions, with the option to transfer these rights to FirstEnergy voluntarily at the customer’s election.  </w:t>
      </w:r>
    </w:p>
    <w:p w:rsidR="00140F0A" w:rsidRPr="00C2357F" w:rsidRDefault="00CF664F" w:rsidP="00C2357F">
      <w:pPr>
        <w:pStyle w:val="Heading1"/>
        <w:rPr>
          <w:rFonts w:ascii="Arial" w:eastAsia="Calibri" w:hAnsi="Arial" w:cs="Arial"/>
          <w:u w:val="none"/>
        </w:rPr>
      </w:pPr>
      <w:bookmarkStart w:id="7" w:name="_Toc341192174"/>
      <w:r w:rsidRPr="00C2357F">
        <w:rPr>
          <w:rFonts w:ascii="Arial" w:eastAsia="Calibri" w:hAnsi="Arial" w:cs="Arial"/>
          <w:u w:val="none"/>
        </w:rPr>
        <w:t>ARGUMENT</w:t>
      </w:r>
      <w:bookmarkEnd w:id="7"/>
    </w:p>
    <w:p w:rsidR="00140F0A" w:rsidRDefault="00CF664F">
      <w:pPr>
        <w:spacing w:line="480" w:lineRule="auto"/>
        <w:ind w:firstLine="720"/>
        <w:jc w:val="both"/>
        <w:rPr>
          <w:rFonts w:ascii="Arial" w:eastAsia="Calibri" w:hAnsi="Arial"/>
        </w:rPr>
      </w:pPr>
      <w:r>
        <w:rPr>
          <w:rFonts w:ascii="Arial" w:eastAsia="Calibri" w:hAnsi="Arial"/>
        </w:rPr>
        <w:t>First</w:t>
      </w:r>
      <w:r w:rsidR="0038501A">
        <w:rPr>
          <w:rFonts w:ascii="Arial" w:eastAsia="Calibri" w:hAnsi="Arial"/>
        </w:rPr>
        <w:t>Energy has modified its Commit</w:t>
      </w:r>
      <w:r w:rsidR="00480CAC">
        <w:rPr>
          <w:rFonts w:ascii="Arial" w:eastAsia="Calibri" w:hAnsi="Arial"/>
        </w:rPr>
        <w:t>ment</w:t>
      </w:r>
      <w:r>
        <w:rPr>
          <w:rFonts w:ascii="Arial" w:eastAsia="Calibri" w:hAnsi="Arial"/>
        </w:rPr>
        <w:t xml:space="preserve"> Agreement under the assumption that the ESP III Order directed FirstEnergy to require all customers undertaking energy efficiency projects—regardless of whether such customers</w:t>
      </w:r>
      <w:r w:rsidR="00480CAC">
        <w:rPr>
          <w:rFonts w:ascii="Arial" w:eastAsia="Calibri" w:hAnsi="Arial"/>
        </w:rPr>
        <w:t xml:space="preserve"> receive a rebate or elect to fu</w:t>
      </w:r>
      <w:r>
        <w:rPr>
          <w:rFonts w:ascii="Arial" w:eastAsia="Calibri" w:hAnsi="Arial"/>
        </w:rPr>
        <w:t>nd self-directed mercantile customer projects and request an exemption from the DSEII Rider—to transfer ownership of related capacity resources to FirstEnergy.  The actual language in the ESP III Order demonstrates that FirstEnergy’s proposed modification to the Commitment Agreement is unreasonably overbroad:</w:t>
      </w:r>
    </w:p>
    <w:p w:rsidR="00140F0A" w:rsidRDefault="00CF664F">
      <w:pPr>
        <w:ind w:left="720" w:right="720"/>
        <w:jc w:val="both"/>
        <w:rPr>
          <w:rFonts w:ascii="Arial" w:eastAsia="Calibri" w:hAnsi="Arial"/>
        </w:rPr>
      </w:pPr>
      <w:r>
        <w:rPr>
          <w:rFonts w:ascii="Arial" w:eastAsia="Calibri" w:hAnsi="Arial"/>
        </w:rPr>
        <w:t xml:space="preserve">[T]he Companies should take steps to amend </w:t>
      </w:r>
      <w:r>
        <w:rPr>
          <w:rFonts w:ascii="Arial" w:eastAsia="Calibri" w:hAnsi="Arial"/>
          <w:b/>
          <w:i/>
        </w:rPr>
        <w:t>their energy efficiency programs</w:t>
      </w:r>
      <w:r>
        <w:rPr>
          <w:rFonts w:ascii="Arial" w:eastAsia="Calibri" w:hAnsi="Arial"/>
        </w:rPr>
        <w:t xml:space="preserve"> to ensure that customers, knowingly and </w:t>
      </w:r>
      <w:r>
        <w:rPr>
          <w:rFonts w:ascii="Arial" w:eastAsia="Calibri" w:hAnsi="Arial"/>
          <w:b/>
          <w:i/>
        </w:rPr>
        <w:t>as a</w:t>
      </w:r>
      <w:r>
        <w:rPr>
          <w:rFonts w:ascii="Arial" w:eastAsia="Calibri" w:hAnsi="Arial"/>
        </w:rPr>
        <w:t xml:space="preserve"> </w:t>
      </w:r>
      <w:r>
        <w:rPr>
          <w:rFonts w:ascii="Arial" w:eastAsia="Calibri" w:hAnsi="Arial"/>
          <w:b/>
          <w:i/>
        </w:rPr>
        <w:t>condition of</w:t>
      </w:r>
      <w:r>
        <w:rPr>
          <w:rFonts w:ascii="Arial" w:eastAsia="Calibri" w:hAnsi="Arial"/>
        </w:rPr>
        <w:t xml:space="preserve"> </w:t>
      </w:r>
      <w:r>
        <w:rPr>
          <w:rFonts w:ascii="Arial" w:eastAsia="Calibri" w:hAnsi="Arial"/>
          <w:b/>
          <w:i/>
        </w:rPr>
        <w:t>participation in the programs</w:t>
      </w:r>
      <w:r>
        <w:rPr>
          <w:rFonts w:ascii="Arial" w:eastAsia="Calibri" w:hAnsi="Arial"/>
        </w:rPr>
        <w:t xml:space="preserve">, tender ownership of the energy efficiency </w:t>
      </w:r>
      <w:r>
        <w:rPr>
          <w:rFonts w:ascii="Arial" w:eastAsia="Calibri" w:hAnsi="Arial"/>
        </w:rPr>
        <w:lastRenderedPageBreak/>
        <w:t>resources to the companies . . . .</w:t>
      </w:r>
      <w:r>
        <w:rPr>
          <w:rFonts w:ascii="Arial" w:eastAsia="Calibri" w:hAnsi="Arial" w:cs="Arial"/>
          <w:b/>
          <w:i/>
        </w:rPr>
        <w:t xml:space="preserve"> the Companies are well positioned to substantially increase the amount of energy efficiency resources they can bid into the auction</w:t>
      </w:r>
      <w:r>
        <w:rPr>
          <w:rFonts w:ascii="Arial" w:eastAsia="Calibri" w:hAnsi="Arial" w:cs="Arial"/>
        </w:rPr>
        <w:t xml:space="preserve">, </w:t>
      </w:r>
      <w:r>
        <w:rPr>
          <w:rFonts w:ascii="Arial" w:eastAsia="Calibri" w:hAnsi="Arial" w:cs="Arial"/>
          <w:b/>
          <w:i/>
        </w:rPr>
        <w:t>which will assist in mitigating the impact of the transmission constraint in the ATSI zone.</w:t>
      </w:r>
      <w:r>
        <w:rPr>
          <w:rStyle w:val="FootnoteReference"/>
          <w:rFonts w:ascii="Arial" w:eastAsia="Calibri" w:hAnsi="Arial" w:cs="Arial"/>
          <w:b/>
          <w:i/>
        </w:rPr>
        <w:footnoteReference w:id="20"/>
      </w:r>
    </w:p>
    <w:p w:rsidR="00140F0A" w:rsidRDefault="00140F0A">
      <w:pPr>
        <w:ind w:right="720"/>
        <w:jc w:val="both"/>
        <w:rPr>
          <w:rFonts w:ascii="Arial" w:eastAsia="Calibri" w:hAnsi="Arial"/>
        </w:rPr>
      </w:pPr>
    </w:p>
    <w:p w:rsidR="00140F0A" w:rsidRDefault="00CF664F">
      <w:pPr>
        <w:spacing w:line="480" w:lineRule="auto"/>
        <w:jc w:val="both"/>
        <w:rPr>
          <w:rFonts w:ascii="Arial" w:eastAsia="Calibri" w:hAnsi="Arial"/>
        </w:rPr>
      </w:pPr>
      <w:r>
        <w:rPr>
          <w:rFonts w:ascii="Arial" w:eastAsia="Calibri" w:hAnsi="Arial"/>
        </w:rPr>
        <w:t xml:space="preserve">It would be unreasonable to apply the Commission’s directive to mercantile self-direct programs eligible for a rider exemption for several reasons. </w:t>
      </w:r>
    </w:p>
    <w:p w:rsidR="00140F0A" w:rsidRDefault="00CF664F">
      <w:pPr>
        <w:spacing w:line="480" w:lineRule="auto"/>
        <w:ind w:firstLine="720"/>
        <w:jc w:val="both"/>
        <w:rPr>
          <w:rFonts w:ascii="Arial" w:eastAsia="Calibri" w:hAnsi="Arial"/>
        </w:rPr>
      </w:pPr>
      <w:r>
        <w:rPr>
          <w:rFonts w:ascii="Arial" w:eastAsia="Calibri" w:hAnsi="Arial"/>
        </w:rPr>
        <w:t xml:space="preserve">First, the ESP III Order was clearly directed at maximizing the quantity of </w:t>
      </w:r>
      <w:r w:rsidR="00480CAC">
        <w:rPr>
          <w:rFonts w:ascii="Arial" w:eastAsia="Calibri" w:hAnsi="Arial"/>
        </w:rPr>
        <w:t>permanent peak demand reduction</w:t>
      </w:r>
      <w:r>
        <w:rPr>
          <w:rFonts w:ascii="Arial" w:eastAsia="Calibri" w:hAnsi="Arial"/>
        </w:rPr>
        <w:t xml:space="preserve"> associated with customers directly participating in FirstEnergy’s EE/PDR rebate and point of sale purchase programs that are bid into PJM </w:t>
      </w:r>
      <w:r w:rsidR="00480CAC">
        <w:rPr>
          <w:rFonts w:ascii="Arial" w:eastAsia="Calibri" w:hAnsi="Arial"/>
        </w:rPr>
        <w:t xml:space="preserve">capacity </w:t>
      </w:r>
      <w:r>
        <w:rPr>
          <w:rFonts w:ascii="Arial" w:eastAsia="Calibri" w:hAnsi="Arial"/>
        </w:rPr>
        <w:t>auctions.  Two FirstEnergy witnesses testified that mercantile customers that retain ownership of their capacity resources are likely to bid such resources into PJM auctions themselves.</w:t>
      </w:r>
      <w:r>
        <w:rPr>
          <w:rStyle w:val="FootnoteReference"/>
          <w:rFonts w:ascii="Arial" w:eastAsia="Calibri" w:hAnsi="Arial"/>
        </w:rPr>
        <w:footnoteReference w:id="21"/>
      </w:r>
      <w:r>
        <w:rPr>
          <w:rFonts w:ascii="Arial" w:eastAsia="Calibri" w:hAnsi="Arial"/>
        </w:rPr>
        <w:t xml:space="preserve">  T</w:t>
      </w:r>
      <w:r w:rsidR="00480CAC">
        <w:rPr>
          <w:rFonts w:ascii="Arial" w:eastAsia="Calibri" w:hAnsi="Arial"/>
        </w:rPr>
        <w:t>herefore, it is not necessary,</w:t>
      </w:r>
      <w:r>
        <w:rPr>
          <w:rFonts w:ascii="Arial" w:eastAsia="Calibri" w:hAnsi="Arial"/>
        </w:rPr>
        <w:t xml:space="preserve"> appropriate</w:t>
      </w:r>
      <w:r w:rsidR="00480CAC">
        <w:rPr>
          <w:rFonts w:ascii="Arial" w:eastAsia="Calibri" w:hAnsi="Arial"/>
        </w:rPr>
        <w:t>, or lawful</w:t>
      </w:r>
      <w:r>
        <w:rPr>
          <w:rFonts w:ascii="Arial" w:eastAsia="Calibri" w:hAnsi="Arial"/>
        </w:rPr>
        <w:t xml:space="preserve"> to require mercantile customers requesting an exemption from the DSEII Rider to transfer ownership of their capacity attributes to FirstEnergy.</w:t>
      </w:r>
    </w:p>
    <w:p w:rsidR="00140F0A" w:rsidRDefault="00CF664F">
      <w:pPr>
        <w:spacing w:line="480" w:lineRule="auto"/>
        <w:ind w:firstLine="720"/>
        <w:jc w:val="both"/>
        <w:rPr>
          <w:rFonts w:ascii="Arial" w:eastAsia="Calibri" w:hAnsi="Arial"/>
        </w:rPr>
      </w:pPr>
      <w:r>
        <w:rPr>
          <w:rFonts w:ascii="Arial" w:eastAsia="Calibri" w:hAnsi="Arial"/>
        </w:rPr>
        <w:t>Second, it is unreasonable to require mercantile customers requesting an exemption from the DSEII Rider to transfer their capacity attributes to FirstEnergy because such customers are not participating in FirstEnergy’s EE/PDR programs. Rather, mercantile customer self-direct projects are customer driven programs that mercantile customers fund from their own resources without</w:t>
      </w:r>
      <w:r w:rsidR="00480CAC">
        <w:rPr>
          <w:rFonts w:ascii="Arial" w:eastAsia="Calibri" w:hAnsi="Arial"/>
        </w:rPr>
        <w:t xml:space="preserve"> financial support from FirstEnergy.</w:t>
      </w:r>
    </w:p>
    <w:p w:rsidR="00140F0A" w:rsidRDefault="00CF664F">
      <w:pPr>
        <w:spacing w:line="480" w:lineRule="auto"/>
        <w:ind w:firstLine="720"/>
        <w:jc w:val="both"/>
        <w:rPr>
          <w:rFonts w:ascii="Arial" w:eastAsia="Calibri" w:hAnsi="Arial" w:cs="Arial"/>
        </w:rPr>
      </w:pPr>
      <w:r>
        <w:rPr>
          <w:rFonts w:ascii="Arial" w:eastAsia="Calibri" w:hAnsi="Arial"/>
        </w:rPr>
        <w:t>The law, precedent</w:t>
      </w:r>
      <w:r w:rsidR="00480CAC">
        <w:rPr>
          <w:rFonts w:ascii="Arial" w:eastAsia="Calibri" w:hAnsi="Arial"/>
        </w:rPr>
        <w:t>,</w:t>
      </w:r>
      <w:r>
        <w:rPr>
          <w:rFonts w:ascii="Arial" w:eastAsia="Calibri" w:hAnsi="Arial"/>
        </w:rPr>
        <w:t xml:space="preserve"> and common sense support the conclusion that mercantile self-direct projects are not FirstEnergy programs.</w:t>
      </w:r>
      <w:r w:rsidR="00480CAC">
        <w:rPr>
          <w:rFonts w:ascii="Arial" w:eastAsia="Calibri" w:hAnsi="Arial"/>
        </w:rPr>
        <w:t xml:space="preserve">  Amended </w:t>
      </w:r>
      <w:r>
        <w:rPr>
          <w:rFonts w:ascii="Arial" w:eastAsia="Calibri" w:hAnsi="Arial"/>
        </w:rPr>
        <w:t xml:space="preserve">Substitute Senate Bill 221 (“SB 221”) provided mercantile customers that self-funded their own energy efficiency projects the right to request an exemption from paying an EDU’s </w:t>
      </w:r>
      <w:r>
        <w:rPr>
          <w:rFonts w:ascii="Arial" w:eastAsia="Calibri" w:hAnsi="Arial" w:cs="Arial"/>
        </w:rPr>
        <w:t>EE/PDR program costs:</w:t>
      </w:r>
    </w:p>
    <w:p w:rsidR="00140F0A" w:rsidRDefault="00CF664F">
      <w:pPr>
        <w:ind w:left="720" w:right="720"/>
        <w:jc w:val="both"/>
        <w:rPr>
          <w:rFonts w:ascii="Arial" w:eastAsia="Calibri" w:hAnsi="Arial" w:cs="Arial"/>
        </w:rPr>
      </w:pPr>
      <w:r>
        <w:rPr>
          <w:rFonts w:ascii="Arial" w:eastAsia="Calibri" w:hAnsi="Arial" w:cs="Arial"/>
        </w:rPr>
        <w:lastRenderedPageBreak/>
        <w:t xml:space="preserve">Any mechanism designed to recover the cost of energy efficiency, including waste energy recovery and combined heat and power, and peak demand reduction programs under divisions (A)(1)(a) and (b) of this section </w:t>
      </w:r>
      <w:r>
        <w:rPr>
          <w:rFonts w:ascii="Arial" w:eastAsia="Calibri" w:hAnsi="Arial" w:cs="Arial"/>
          <w:b/>
          <w:i/>
        </w:rPr>
        <w:t>may exempt mercantile customers that commit their demand-response or other customer-sited capabilities</w:t>
      </w:r>
      <w:r>
        <w:rPr>
          <w:rFonts w:ascii="Arial" w:eastAsia="Calibri" w:hAnsi="Arial" w:cs="Arial"/>
        </w:rPr>
        <w:t>, whether existing or new, for integration into the electric distribution utility’s demand-response, energy efficiency, including waste energy recovery and combined heat and power, or peak demand reduction programs, if the commission determines that that exemption reasonably encourages such customers to commit those capabilities to those programs.</w:t>
      </w:r>
      <w:r>
        <w:rPr>
          <w:rStyle w:val="FootnoteReference"/>
          <w:rFonts w:ascii="Arial" w:eastAsia="Calibri" w:hAnsi="Arial" w:cs="Arial"/>
        </w:rPr>
        <w:footnoteReference w:id="22"/>
      </w:r>
      <w:r>
        <w:rPr>
          <w:rFonts w:ascii="Arial" w:eastAsia="Calibri" w:hAnsi="Arial" w:cs="Arial"/>
        </w:rPr>
        <w:t xml:space="preserve"> </w:t>
      </w:r>
    </w:p>
    <w:p w:rsidR="00140F0A" w:rsidRDefault="00140F0A">
      <w:pPr>
        <w:ind w:left="720" w:right="720"/>
        <w:jc w:val="both"/>
        <w:rPr>
          <w:rFonts w:ascii="Arial" w:eastAsia="Calibri" w:hAnsi="Arial" w:cs="Arial"/>
        </w:rPr>
      </w:pPr>
    </w:p>
    <w:p w:rsidR="00140F0A" w:rsidRDefault="00CF664F">
      <w:pPr>
        <w:spacing w:line="480" w:lineRule="auto"/>
        <w:jc w:val="both"/>
        <w:rPr>
          <w:rFonts w:ascii="Arial" w:eastAsia="Calibri" w:hAnsi="Arial" w:cs="Arial"/>
        </w:rPr>
      </w:pPr>
      <w:r>
        <w:rPr>
          <w:rFonts w:ascii="Arial" w:eastAsia="Calibri" w:hAnsi="Arial" w:cs="Arial"/>
        </w:rPr>
        <w:t xml:space="preserve">The right to request an exemption is provided by Ohio law.  It is a state-wide right and exists independently of any EDU’s specific portfolio plan.  The right to request an exemption was not created by FirstEnergy’s Portfolio Plan. </w:t>
      </w:r>
    </w:p>
    <w:p w:rsidR="00140F0A" w:rsidRDefault="00CF664F">
      <w:pPr>
        <w:spacing w:line="480" w:lineRule="auto"/>
        <w:ind w:firstLine="720"/>
        <w:jc w:val="both"/>
        <w:rPr>
          <w:rFonts w:ascii="Arial" w:eastAsia="Calibri" w:hAnsi="Arial" w:cs="Arial"/>
        </w:rPr>
      </w:pPr>
      <w:r>
        <w:rPr>
          <w:rFonts w:ascii="Arial" w:eastAsia="Calibri" w:hAnsi="Arial" w:cs="Arial"/>
        </w:rPr>
        <w:t>The exemption concept embedded in Ohio law is an opt-out mechanism.  Mercantile customers that self-fund energy efficiency measures have the right to request an exemption from paying for FirstEnergy’s socialized rebate and point of sale program costs.  Effectively, these customers are opting out and not participating in FirstEnergy’s Portfolio Plan, on the condition that such customers commit their customer-sited capabilities to be counted toward FirstEnergy’s EE/PDR savings requirements.</w:t>
      </w:r>
    </w:p>
    <w:p w:rsidR="00140F0A" w:rsidRDefault="00CF664F">
      <w:pPr>
        <w:spacing w:line="480" w:lineRule="auto"/>
        <w:ind w:firstLine="720"/>
        <w:jc w:val="both"/>
        <w:rPr>
          <w:rFonts w:ascii="Arial" w:eastAsia="Calibri" w:hAnsi="Arial" w:cs="Arial"/>
        </w:rPr>
      </w:pPr>
      <w:r>
        <w:rPr>
          <w:rFonts w:ascii="Arial" w:eastAsia="Calibri" w:hAnsi="Arial" w:cs="Arial"/>
        </w:rPr>
        <w:t>Although mercantile customers requesting an exemption from the DSEII Rider have to fill out a form through which they commit their customer-sited capabilities for integration into FirstEnergy’s programs, such process does not equate to participation in a FirstEnergy program.  Mercantile customer self-direct projects eligible for an exemption are neither funded by FirstEnergy nor exclusively predicated upon approval by FirstEnergy</w:t>
      </w:r>
      <w:r w:rsidR="00480CAC">
        <w:rPr>
          <w:rFonts w:ascii="Arial" w:eastAsia="Calibri" w:hAnsi="Arial" w:cs="Arial"/>
        </w:rPr>
        <w:t>.</w:t>
      </w:r>
      <w:r>
        <w:rPr>
          <w:rStyle w:val="FootnoteReference"/>
          <w:rFonts w:ascii="Arial" w:eastAsia="Calibri" w:hAnsi="Arial" w:cs="Arial"/>
        </w:rPr>
        <w:footnoteReference w:id="23"/>
      </w:r>
      <w:r>
        <w:rPr>
          <w:rFonts w:ascii="Arial" w:eastAsia="Calibri" w:hAnsi="Arial" w:cs="Arial"/>
        </w:rPr>
        <w:t xml:space="preserve">  </w:t>
      </w:r>
    </w:p>
    <w:p w:rsidR="00140F0A" w:rsidRDefault="00CF664F">
      <w:pPr>
        <w:autoSpaceDE w:val="0"/>
        <w:autoSpaceDN w:val="0"/>
        <w:adjustRightInd w:val="0"/>
        <w:spacing w:line="480" w:lineRule="auto"/>
        <w:ind w:firstLine="720"/>
        <w:jc w:val="both"/>
        <w:rPr>
          <w:rFonts w:ascii="Arial" w:eastAsia="Calibri" w:hAnsi="Arial" w:cs="Arial"/>
        </w:rPr>
      </w:pPr>
      <w:r>
        <w:rPr>
          <w:rFonts w:ascii="Arial" w:eastAsia="Calibri" w:hAnsi="Arial" w:cs="Arial"/>
        </w:rPr>
        <w:t xml:space="preserve">The Mercantile Pilot Program, which established an automatic approval process for mercantile programs throughout the state, further reinforces the conclusion that mercantile </w:t>
      </w:r>
      <w:r>
        <w:rPr>
          <w:rFonts w:ascii="Arial" w:eastAsia="Calibri" w:hAnsi="Arial" w:cs="Arial"/>
        </w:rPr>
        <w:lastRenderedPageBreak/>
        <w:t>self-direct projects are not FirstEnergy programs.</w:t>
      </w:r>
      <w:r>
        <w:rPr>
          <w:rFonts w:ascii="Arial" w:eastAsia="Calibri" w:hAnsi="Arial" w:cs="Arial"/>
          <w:vertAlign w:val="superscript"/>
        </w:rPr>
        <w:footnoteReference w:id="24"/>
      </w:r>
      <w:r>
        <w:rPr>
          <w:rFonts w:ascii="Arial" w:eastAsia="Calibri" w:hAnsi="Arial" w:cs="Arial"/>
        </w:rPr>
        <w:t xml:space="preserve">  The Commission noted that mercantile customers may participate in EE/PDR projects either through the utility or through their own programs, and that the Mercantile Pilot Program was an example of the latter:</w:t>
      </w:r>
    </w:p>
    <w:p w:rsidR="00140F0A" w:rsidRDefault="00CF664F">
      <w:pPr>
        <w:autoSpaceDE w:val="0"/>
        <w:autoSpaceDN w:val="0"/>
        <w:adjustRightInd w:val="0"/>
        <w:ind w:left="720" w:right="720"/>
        <w:jc w:val="both"/>
        <w:rPr>
          <w:rFonts w:ascii="Arial" w:eastAsia="Calibri" w:hAnsi="Arial" w:cs="Arial"/>
        </w:rPr>
      </w:pPr>
      <w:r>
        <w:rPr>
          <w:rFonts w:ascii="Arial" w:eastAsia="Calibri" w:hAnsi="Arial" w:cs="Arial"/>
        </w:rPr>
        <w:t>The Commission notes that</w:t>
      </w:r>
      <w:r>
        <w:rPr>
          <w:rFonts w:ascii="Arial" w:eastAsia="Calibri" w:hAnsi="Arial" w:cs="Arial"/>
          <w:i/>
        </w:rPr>
        <w:t xml:space="preserve"> </w:t>
      </w:r>
      <w:r>
        <w:rPr>
          <w:rFonts w:ascii="Arial" w:eastAsia="Calibri" w:hAnsi="Arial" w:cs="Arial"/>
          <w:b/>
          <w:i/>
        </w:rPr>
        <w:t>mercantile customer</w:t>
      </w:r>
      <w:r>
        <w:rPr>
          <w:rFonts w:ascii="Arial" w:eastAsia="Calibri" w:hAnsi="Arial" w:cs="Arial"/>
          <w:i/>
        </w:rPr>
        <w:t xml:space="preserve"> </w:t>
      </w:r>
      <w:r>
        <w:rPr>
          <w:rFonts w:ascii="Arial" w:eastAsia="Calibri" w:hAnsi="Arial" w:cs="Arial"/>
          <w:b/>
          <w:i/>
        </w:rPr>
        <w:t>participation through utility</w:t>
      </w:r>
      <w:r>
        <w:rPr>
          <w:rFonts w:ascii="Arial" w:eastAsia="Calibri" w:hAnsi="Arial" w:cs="Arial"/>
          <w:i/>
        </w:rPr>
        <w:t xml:space="preserve"> </w:t>
      </w:r>
      <w:r>
        <w:rPr>
          <w:rFonts w:ascii="Arial" w:eastAsia="Calibri" w:hAnsi="Arial" w:cs="Arial"/>
          <w:b/>
          <w:i/>
        </w:rPr>
        <w:t>and mercantile customer-sited programs</w:t>
      </w:r>
      <w:r>
        <w:rPr>
          <w:rFonts w:ascii="Arial" w:eastAsia="Calibri" w:hAnsi="Arial" w:cs="Arial"/>
          <w:i/>
        </w:rPr>
        <w:t xml:space="preserve"> </w:t>
      </w:r>
      <w:r>
        <w:rPr>
          <w:rFonts w:ascii="Arial" w:eastAsia="Calibri" w:hAnsi="Arial" w:cs="Arial"/>
          <w:b/>
          <w:i/>
        </w:rPr>
        <w:t>is essential to long-term reductions in energy usage and peak demand</w:t>
      </w:r>
      <w:r>
        <w:rPr>
          <w:rFonts w:ascii="Arial" w:eastAsia="Calibri" w:hAnsi="Arial" w:cs="Arial"/>
          <w:b/>
        </w:rPr>
        <w:t>.</w:t>
      </w:r>
      <w:r>
        <w:rPr>
          <w:rFonts w:ascii="Arial" w:eastAsia="Calibri" w:hAnsi="Arial"/>
        </w:rPr>
        <w:t xml:space="preserve"> </w:t>
      </w:r>
      <w:r>
        <w:rPr>
          <w:rFonts w:ascii="Arial" w:eastAsia="Calibri" w:hAnsi="Arial" w:cs="Arial"/>
        </w:rPr>
        <w:t>We further recognize that the prompt review of applications to commit mercantile customer programs for integration with electric utility programs is essential in order for electric utilities to meet their peak demand reduction and energy efficiency benchmarks set forth in Section 4928.66, Revised Code, and we continue to seek ways to streamline the options available to mercantile customers and facilitate the prompt approval of applications filed by mercantile customers for</w:t>
      </w:r>
      <w:r>
        <w:rPr>
          <w:rFonts w:ascii="Arial" w:eastAsia="Calibri" w:hAnsi="Arial" w:cs="Arial"/>
          <w:b/>
          <w:i/>
        </w:rPr>
        <w:t xml:space="preserve"> integration of mercantile customer-sited programs with electric utility programs</w:t>
      </w:r>
      <w:r>
        <w:rPr>
          <w:rFonts w:ascii="Arial" w:eastAsia="Calibri" w:hAnsi="Arial" w:cs="Arial"/>
        </w:rPr>
        <w:t>.</w:t>
      </w:r>
      <w:r>
        <w:rPr>
          <w:rFonts w:ascii="Arial" w:eastAsia="Calibri" w:hAnsi="Arial" w:cs="Arial"/>
          <w:vertAlign w:val="superscript"/>
        </w:rPr>
        <w:footnoteReference w:id="25"/>
      </w:r>
    </w:p>
    <w:p w:rsidR="00140F0A" w:rsidRDefault="00140F0A">
      <w:pPr>
        <w:autoSpaceDE w:val="0"/>
        <w:autoSpaceDN w:val="0"/>
        <w:adjustRightInd w:val="0"/>
        <w:ind w:left="720" w:right="720"/>
        <w:jc w:val="both"/>
        <w:rPr>
          <w:rFonts w:ascii="Arial" w:eastAsia="Calibri" w:hAnsi="Arial" w:cs="Arial"/>
        </w:rPr>
      </w:pPr>
    </w:p>
    <w:p w:rsidR="00140F0A" w:rsidRDefault="00CF664F">
      <w:pPr>
        <w:spacing w:line="480" w:lineRule="auto"/>
        <w:jc w:val="both"/>
        <w:rPr>
          <w:rFonts w:ascii="Arial" w:eastAsia="Calibri" w:hAnsi="Arial" w:cs="Arial"/>
        </w:rPr>
      </w:pPr>
      <w:r>
        <w:rPr>
          <w:rFonts w:ascii="Arial" w:eastAsia="Calibri" w:hAnsi="Arial" w:cs="Arial"/>
        </w:rPr>
        <w:t xml:space="preserve">Applications filed under the Mercantile </w:t>
      </w:r>
      <w:r w:rsidR="00094330">
        <w:rPr>
          <w:rFonts w:ascii="Arial" w:eastAsia="Calibri" w:hAnsi="Arial" w:cs="Arial"/>
        </w:rPr>
        <w:t xml:space="preserve">Pilot Program </w:t>
      </w:r>
      <w:r>
        <w:rPr>
          <w:rFonts w:ascii="Arial" w:eastAsia="Calibri" w:hAnsi="Arial" w:cs="Arial"/>
        </w:rPr>
        <w:t>are not EDU programs—as identified in the Mercantile Pilot Program, they are “mercantile customer-sited programs.”</w:t>
      </w:r>
      <w:r>
        <w:rPr>
          <w:rStyle w:val="FootnoteReference"/>
          <w:rFonts w:ascii="Arial" w:eastAsia="Calibri" w:hAnsi="Arial" w:cs="Arial"/>
        </w:rPr>
        <w:footnoteReference w:id="26"/>
      </w:r>
      <w:r>
        <w:rPr>
          <w:rFonts w:ascii="Arial" w:eastAsia="Calibri" w:hAnsi="Arial" w:cs="Arial"/>
        </w:rPr>
        <w:t xml:space="preserve">  When a mercantile customer executes a FirstEnergy Commitment Agreement it is not for the purpose of participating in FirstEnergy’s EE/PDR programs, but rather to integrate “mercantile customers-sited programs with electric utility programs.”  Because the ESP III Order only required FirstEnergy to obtain ownership of capacity resources for customers participating in FirstEnergy’s programs, mercantile self-direct projects filed under the Mercantile Pilot Program are not included in the Commission’s directive.  But, FirstEnergy has inappropriately interpreted the Commission’s ESP III Order as requiring FirstEnergy to conscript the permanent peak demand reduction attributes of self-funded mercantile customer energy efficiency projects.   </w:t>
      </w:r>
    </w:p>
    <w:p w:rsidR="00140F0A" w:rsidRDefault="00CF664F" w:rsidP="009636C5">
      <w:pPr>
        <w:spacing w:after="120" w:line="480" w:lineRule="auto"/>
        <w:ind w:firstLine="720"/>
        <w:jc w:val="both"/>
        <w:rPr>
          <w:rFonts w:ascii="Arial" w:eastAsia="Calibri" w:hAnsi="Arial" w:cs="Arial"/>
        </w:rPr>
      </w:pPr>
      <w:r>
        <w:rPr>
          <w:rFonts w:ascii="Arial" w:eastAsia="Calibri" w:hAnsi="Arial" w:cs="Arial"/>
        </w:rPr>
        <w:lastRenderedPageBreak/>
        <w:t xml:space="preserve">The Commission should direct FirstEnergy to alter its Commitment Agreement Form so that customers requesting an exemption from the DSEII Rider are not required to transfer ownership of their energy efficiency capacity rights to FirstEnergy.  But, as previously noted, IEU-Ohio does not object to FirstEnergy requiring mercantile customers that seek a rebate to transfer ownership of their capacity rights to FirstEnergy.  </w:t>
      </w:r>
    </w:p>
    <w:p w:rsidR="00140F0A" w:rsidRPr="00C2357F" w:rsidRDefault="00CF664F" w:rsidP="00C2357F">
      <w:pPr>
        <w:pStyle w:val="Heading1"/>
        <w:rPr>
          <w:rFonts w:ascii="Arial" w:eastAsia="Calibri" w:hAnsi="Arial" w:cs="Arial"/>
          <w:u w:val="none"/>
        </w:rPr>
      </w:pPr>
      <w:bookmarkStart w:id="8" w:name="_Toc341192175"/>
      <w:r w:rsidRPr="00C2357F">
        <w:rPr>
          <w:rFonts w:ascii="Arial" w:eastAsia="Calibri" w:hAnsi="Arial" w:cs="Arial"/>
          <w:u w:val="none"/>
        </w:rPr>
        <w:t>CONCLUSION</w:t>
      </w:r>
      <w:bookmarkEnd w:id="8"/>
    </w:p>
    <w:p w:rsidR="00140F0A" w:rsidRDefault="00CF664F">
      <w:pPr>
        <w:spacing w:line="480" w:lineRule="auto"/>
        <w:ind w:firstLine="720"/>
        <w:jc w:val="both"/>
        <w:rPr>
          <w:rFonts w:ascii="Arial" w:eastAsia="Calibri" w:hAnsi="Arial" w:cs="Arial"/>
        </w:rPr>
      </w:pPr>
      <w:r>
        <w:rPr>
          <w:rFonts w:ascii="Arial" w:eastAsia="Calibri" w:hAnsi="Arial"/>
        </w:rPr>
        <w:t>For the reasons stated herein, the Commission should direct FirstEnergy to modify its Commitment Agreement so that customers that self-fund energy efficiency measures requesting an exemption from the DSEII Rider may retain the ownership of their capacity attributes.</w:t>
      </w:r>
      <w:r>
        <w:rPr>
          <w:rFonts w:ascii="Arial" w:eastAsia="Calibri" w:hAnsi="Arial" w:cs="Arial"/>
        </w:rPr>
        <w:t xml:space="preserve"> </w:t>
      </w:r>
    </w:p>
    <w:p w:rsidR="00140F0A" w:rsidRPr="00384D5E" w:rsidRDefault="00CF664F" w:rsidP="00384D5E">
      <w:pPr>
        <w:pStyle w:val="BodyText2"/>
        <w:ind w:firstLine="0"/>
      </w:pPr>
      <w:r>
        <w:tab/>
      </w:r>
      <w:r>
        <w:tab/>
      </w:r>
      <w:r>
        <w:tab/>
      </w:r>
      <w:r>
        <w:tab/>
      </w:r>
      <w:r>
        <w:tab/>
      </w:r>
      <w:r>
        <w:tab/>
        <w:t>Respectfully submitted,</w:t>
      </w:r>
    </w:p>
    <w:p w:rsidR="00140F0A" w:rsidRDefault="00CF664F">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sidR="00535520">
        <w:rPr>
          <w:rFonts w:ascii="Arial" w:hAnsi="Arial" w:cs="Arial"/>
          <w:u w:val="single"/>
        </w:rPr>
        <w:t>/s/ Joseph E. Oliker</w:t>
      </w:r>
      <w:r>
        <w:rPr>
          <w:rFonts w:ascii="Arial" w:hAnsi="Arial" w:cs="Arial"/>
          <w:u w:val="single"/>
        </w:rPr>
        <w:tab/>
      </w:r>
      <w:r w:rsidR="00074486">
        <w:rPr>
          <w:rFonts w:ascii="Arial" w:hAnsi="Arial" w:cs="Arial"/>
          <w:u w:val="single"/>
        </w:rPr>
        <w:tab/>
      </w:r>
    </w:p>
    <w:p w:rsidR="00140F0A" w:rsidRDefault="00CF664F">
      <w:pPr>
        <w:tabs>
          <w:tab w:val="left" w:pos="4320"/>
          <w:tab w:val="right" w:pos="8640"/>
        </w:tabs>
        <w:jc w:val="both"/>
        <w:rPr>
          <w:rFonts w:ascii="Arial" w:hAnsi="Arial" w:cs="Arial"/>
        </w:rPr>
      </w:pPr>
      <w:r>
        <w:rPr>
          <w:rFonts w:ascii="Arial" w:hAnsi="Arial" w:cs="Arial"/>
        </w:rPr>
        <w:tab/>
        <w:t>Samuel C. Randazzo (Counsel of Record)</w:t>
      </w:r>
    </w:p>
    <w:p w:rsidR="00140F0A" w:rsidRDefault="00CF664F">
      <w:pPr>
        <w:pStyle w:val="BodyText3"/>
        <w:widowControl w:val="0"/>
        <w:tabs>
          <w:tab w:val="left" w:pos="4320"/>
        </w:tabs>
        <w:jc w:val="both"/>
        <w:rPr>
          <w:rFonts w:ascii="Arial" w:hAnsi="Arial" w:cs="Arial"/>
          <w:b w:val="0"/>
          <w:bCs/>
        </w:rPr>
      </w:pPr>
      <w:r>
        <w:rPr>
          <w:rFonts w:ascii="Arial" w:hAnsi="Arial" w:cs="Arial"/>
          <w:b w:val="0"/>
          <w:bCs/>
        </w:rPr>
        <w:tab/>
        <w:t>Frank P. Darr</w:t>
      </w:r>
    </w:p>
    <w:p w:rsidR="00140F0A" w:rsidRDefault="00CF664F">
      <w:pPr>
        <w:pStyle w:val="BodyText3"/>
        <w:widowControl w:val="0"/>
        <w:tabs>
          <w:tab w:val="left" w:pos="4320"/>
        </w:tabs>
        <w:jc w:val="both"/>
        <w:rPr>
          <w:rFonts w:ascii="Arial" w:hAnsi="Arial" w:cs="Arial"/>
          <w:b w:val="0"/>
          <w:bCs/>
        </w:rPr>
      </w:pPr>
      <w:r>
        <w:rPr>
          <w:rFonts w:ascii="Arial" w:hAnsi="Arial" w:cs="Arial"/>
          <w:b w:val="0"/>
          <w:bCs/>
        </w:rPr>
        <w:tab/>
        <w:t>Joseph E. Oliker</w:t>
      </w:r>
    </w:p>
    <w:p w:rsidR="00140F0A" w:rsidRDefault="00CF664F">
      <w:pPr>
        <w:pStyle w:val="BodyText3"/>
        <w:widowControl w:val="0"/>
        <w:tabs>
          <w:tab w:val="left" w:pos="4320"/>
        </w:tabs>
        <w:jc w:val="both"/>
        <w:rPr>
          <w:rFonts w:ascii="Arial" w:hAnsi="Arial" w:cs="Arial"/>
          <w:b w:val="0"/>
          <w:bCs/>
        </w:rPr>
      </w:pPr>
      <w:r>
        <w:rPr>
          <w:rFonts w:ascii="Arial" w:hAnsi="Arial" w:cs="Arial"/>
          <w:b w:val="0"/>
          <w:bCs/>
        </w:rPr>
        <w:tab/>
        <w:t>Matthew R. Pritchard</w:t>
      </w:r>
    </w:p>
    <w:p w:rsidR="00140F0A" w:rsidRDefault="00CF664F">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rsidR="00140F0A" w:rsidRDefault="00CF664F">
      <w:pPr>
        <w:pStyle w:val="BodyText3"/>
        <w:widowControl w:val="0"/>
        <w:tabs>
          <w:tab w:val="left" w:pos="4320"/>
        </w:tabs>
        <w:jc w:val="both"/>
        <w:rPr>
          <w:rFonts w:ascii="Arial" w:hAnsi="Arial" w:cs="Arial"/>
          <w:b w:val="0"/>
          <w:bCs/>
        </w:rPr>
      </w:pPr>
      <w:r>
        <w:rPr>
          <w:rFonts w:ascii="Arial" w:hAnsi="Arial" w:cs="Arial"/>
          <w:b w:val="0"/>
          <w:bCs/>
        </w:rPr>
        <w:tab/>
      </w: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140F0A" w:rsidRDefault="00CF664F">
      <w:pPr>
        <w:pStyle w:val="BodyText"/>
        <w:tabs>
          <w:tab w:val="left" w:pos="4320"/>
        </w:tabs>
      </w:pPr>
      <w:r>
        <w:tab/>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140F0A" w:rsidRDefault="00CF664F">
      <w:pPr>
        <w:pStyle w:val="BodyText"/>
        <w:tabs>
          <w:tab w:val="left" w:pos="4320"/>
        </w:tabs>
      </w:pPr>
      <w:r>
        <w:tab/>
        <w:t>Telephone:  (614) 469-8000</w:t>
      </w:r>
    </w:p>
    <w:p w:rsidR="00140F0A" w:rsidRDefault="00CF664F">
      <w:pPr>
        <w:pStyle w:val="BodyText"/>
        <w:tabs>
          <w:tab w:val="left" w:pos="4320"/>
        </w:tabs>
      </w:pPr>
      <w:r>
        <w:tab/>
        <w:t>Telecopier:  (614) 469-4653</w:t>
      </w:r>
    </w:p>
    <w:p w:rsidR="00140F0A" w:rsidRDefault="00CF664F">
      <w:pPr>
        <w:pStyle w:val="BodyText"/>
      </w:pPr>
      <w:r>
        <w:tab/>
      </w:r>
      <w:r>
        <w:tab/>
      </w:r>
      <w:r>
        <w:tab/>
      </w:r>
      <w:r>
        <w:tab/>
      </w:r>
      <w:r>
        <w:tab/>
      </w:r>
      <w:r>
        <w:tab/>
        <w:t>sam@mwncmh.com</w:t>
      </w:r>
    </w:p>
    <w:p w:rsidR="00140F0A" w:rsidRDefault="00CF664F">
      <w:pPr>
        <w:pStyle w:val="BodyText"/>
      </w:pPr>
      <w:r>
        <w:tab/>
      </w:r>
      <w:r>
        <w:tab/>
      </w:r>
      <w:r>
        <w:tab/>
      </w:r>
      <w:r>
        <w:tab/>
      </w:r>
      <w:r>
        <w:tab/>
      </w:r>
      <w:r>
        <w:tab/>
        <w:t>fdarr@mwncmh.com</w:t>
      </w:r>
    </w:p>
    <w:p w:rsidR="00140F0A" w:rsidRDefault="00CF664F">
      <w:pPr>
        <w:pStyle w:val="BodyText"/>
      </w:pPr>
      <w:r>
        <w:tab/>
      </w:r>
      <w:r>
        <w:tab/>
      </w:r>
      <w:r>
        <w:tab/>
      </w:r>
      <w:r>
        <w:tab/>
      </w:r>
      <w:r>
        <w:tab/>
      </w:r>
      <w:r>
        <w:tab/>
        <w:t>joliker@mwncmh.com</w:t>
      </w:r>
    </w:p>
    <w:p w:rsidR="00140F0A" w:rsidRDefault="00CF664F">
      <w:pPr>
        <w:pStyle w:val="BodyText"/>
      </w:pPr>
      <w:r>
        <w:tab/>
      </w:r>
      <w:r>
        <w:tab/>
      </w:r>
      <w:r>
        <w:tab/>
      </w:r>
      <w:r>
        <w:tab/>
      </w:r>
      <w:r>
        <w:tab/>
      </w:r>
      <w:r>
        <w:tab/>
        <w:t>mpritchard@mwncmh.com</w:t>
      </w:r>
    </w:p>
    <w:p w:rsidR="00140F0A" w:rsidRDefault="00140F0A">
      <w:pPr>
        <w:tabs>
          <w:tab w:val="left" w:pos="-1440"/>
          <w:tab w:val="left" w:pos="-720"/>
          <w:tab w:val="left" w:pos="4320"/>
          <w:tab w:val="left" w:pos="5040"/>
        </w:tabs>
        <w:jc w:val="both"/>
        <w:rPr>
          <w:rFonts w:ascii="Arial" w:hAnsi="Arial" w:cs="Arial"/>
        </w:rPr>
      </w:pPr>
    </w:p>
    <w:p w:rsidR="00140F0A" w:rsidRDefault="00CF664F" w:rsidP="00074486">
      <w:pPr>
        <w:tabs>
          <w:tab w:val="left" w:pos="4320"/>
          <w:tab w:val="right" w:pos="8640"/>
        </w:tabs>
        <w:jc w:val="both"/>
        <w:rPr>
          <w:rFonts w:ascii="Arial" w:hAnsi="Arial" w:cs="Arial"/>
          <w:b/>
        </w:r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C2357F" w:rsidRDefault="00C2357F" w:rsidP="00074486">
      <w:pPr>
        <w:tabs>
          <w:tab w:val="left" w:pos="4320"/>
          <w:tab w:val="right" w:pos="8640"/>
        </w:tabs>
        <w:jc w:val="both"/>
        <w:rPr>
          <w:rFonts w:ascii="Arial" w:hAnsi="Arial" w:cs="Arial"/>
          <w:b/>
        </w:rPr>
      </w:pPr>
    </w:p>
    <w:p w:rsidR="00C2357F" w:rsidRDefault="00C2357F" w:rsidP="00074486">
      <w:pPr>
        <w:tabs>
          <w:tab w:val="left" w:pos="4320"/>
          <w:tab w:val="right" w:pos="8640"/>
        </w:tabs>
        <w:jc w:val="both"/>
        <w:sectPr w:rsidR="00C2357F" w:rsidSect="00384D5E">
          <w:headerReference w:type="default" r:id="rId18"/>
          <w:footerReference w:type="default" r:id="rId19"/>
          <w:headerReference w:type="first" r:id="rId20"/>
          <w:footerReference w:type="first" r:id="rId21"/>
          <w:pgSz w:w="12240" w:h="15840" w:code="1"/>
          <w:pgMar w:top="1296" w:right="1296" w:bottom="1008" w:left="1296" w:header="720" w:footer="720" w:gutter="0"/>
          <w:pgNumType w:start="1"/>
          <w:cols w:space="720"/>
          <w:titlePg/>
          <w:docGrid w:linePitch="326"/>
        </w:sectPr>
      </w:pPr>
    </w:p>
    <w:p w:rsidR="00140F0A" w:rsidRDefault="00CF664F">
      <w:pPr>
        <w:tabs>
          <w:tab w:val="left" w:pos="2160"/>
          <w:tab w:val="left" w:pos="2280"/>
        </w:tabs>
        <w:jc w:val="center"/>
        <w:rPr>
          <w:rFonts w:ascii="Arial" w:hAnsi="Arial" w:cs="Arial"/>
          <w:b/>
        </w:rPr>
      </w:pPr>
      <w:r>
        <w:rPr>
          <w:rFonts w:ascii="Arial" w:hAnsi="Arial" w:cs="Arial"/>
          <w:b/>
        </w:rPr>
        <w:lastRenderedPageBreak/>
        <w:t>CERTIFICATE OF SERVICE</w:t>
      </w:r>
    </w:p>
    <w:p w:rsidR="00140F0A" w:rsidRPr="00C2357F" w:rsidRDefault="00140F0A">
      <w:pPr>
        <w:rPr>
          <w:rFonts w:ascii="Arial" w:hAnsi="Arial" w:cs="Arial"/>
        </w:rPr>
      </w:pPr>
    </w:p>
    <w:p w:rsidR="00140F0A" w:rsidRDefault="00CF664F" w:rsidP="00C2357F">
      <w:pPr>
        <w:pStyle w:val="Heading4"/>
        <w:numPr>
          <w:ilvl w:val="0"/>
          <w:numId w:val="0"/>
        </w:numPr>
        <w:spacing w:after="0" w:line="480" w:lineRule="auto"/>
        <w:ind w:firstLine="720"/>
        <w:rPr>
          <w:rFonts w:ascii="Arial" w:hAnsi="Arial" w:cs="Arial"/>
          <w:b w:val="0"/>
          <w:i w:val="0"/>
        </w:rPr>
      </w:pPr>
      <w:r w:rsidRPr="00C2357F">
        <w:rPr>
          <w:rFonts w:ascii="Arial" w:hAnsi="Arial" w:cs="Arial"/>
          <w:b w:val="0"/>
          <w:i w:val="0"/>
        </w:rPr>
        <w:t xml:space="preserve">I hereby certify that a copy of the foregoing </w:t>
      </w:r>
      <w:r w:rsidRPr="00C2357F">
        <w:rPr>
          <w:rFonts w:ascii="Arial" w:hAnsi="Arial" w:cs="Arial"/>
          <w:b w:val="0"/>
        </w:rPr>
        <w:t>Post Hearing Brief of Industrial Energy Users-Ohio</w:t>
      </w:r>
      <w:r w:rsidRPr="00C2357F">
        <w:rPr>
          <w:rFonts w:ascii="Arial" w:hAnsi="Arial" w:cs="Arial"/>
          <w:b w:val="0"/>
          <w:i w:val="0"/>
        </w:rPr>
        <w:t>, was served upon the fol</w:t>
      </w:r>
      <w:r w:rsidR="00384D5E" w:rsidRPr="00C2357F">
        <w:rPr>
          <w:rFonts w:ascii="Arial" w:hAnsi="Arial" w:cs="Arial"/>
          <w:b w:val="0"/>
          <w:i w:val="0"/>
        </w:rPr>
        <w:t>lowing parties of record this 20th</w:t>
      </w:r>
      <w:r w:rsidRPr="00C2357F">
        <w:rPr>
          <w:rFonts w:ascii="Arial" w:hAnsi="Arial" w:cs="Arial"/>
          <w:b w:val="0"/>
          <w:i w:val="0"/>
        </w:rPr>
        <w:t xml:space="preserve"> day of November, 2012 via hand-delivery, electronic transmission, or first class mail, U.S. postage prepaid.</w:t>
      </w:r>
    </w:p>
    <w:p w:rsidR="00C2357F" w:rsidRPr="00C2357F" w:rsidRDefault="00C2357F" w:rsidP="00C2357F">
      <w:pPr>
        <w:rPr>
          <w:rFonts w:ascii="Arial" w:hAnsi="Arial" w:cs="Arial"/>
          <w:u w:val="single"/>
        </w:rPr>
      </w:pPr>
      <w:r>
        <w:tab/>
      </w:r>
      <w:r>
        <w:tab/>
      </w:r>
      <w:r>
        <w:tab/>
      </w:r>
      <w:r>
        <w:tab/>
      </w:r>
      <w:r>
        <w:tab/>
      </w:r>
      <w:r>
        <w:tab/>
      </w:r>
      <w:r>
        <w:tab/>
      </w:r>
      <w:r w:rsidR="009636C5">
        <w:rPr>
          <w:rFonts w:ascii="Arial" w:hAnsi="Arial" w:cs="Arial"/>
          <w:u w:val="single"/>
        </w:rPr>
        <w:t>/s/ Joseph E. Oliker</w:t>
      </w:r>
      <w:bookmarkStart w:id="9" w:name="_GoBack"/>
      <w:bookmarkEnd w:id="9"/>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40F0A" w:rsidRDefault="00CF664F">
      <w:pPr>
        <w:tabs>
          <w:tab w:val="left" w:pos="2160"/>
          <w:tab w:val="left" w:pos="22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Joseph E. Oliker</w:t>
      </w:r>
    </w:p>
    <w:p w:rsidR="00BB5245" w:rsidRDefault="00BB5245">
      <w:pPr>
        <w:tabs>
          <w:tab w:val="left" w:pos="2160"/>
          <w:tab w:val="left" w:pos="2280"/>
        </w:tabs>
        <w:rPr>
          <w:rFonts w:ascii="Arial" w:hAnsi="Arial" w:cs="Arial"/>
          <w:b/>
          <w:smallCaps/>
        </w:rPr>
        <w:sectPr w:rsidR="00BB5245" w:rsidSect="00BB5245">
          <w:headerReference w:type="default" r:id="rId22"/>
          <w:footerReference w:type="default" r:id="rId23"/>
          <w:headerReference w:type="first" r:id="rId24"/>
          <w:footerReference w:type="first" r:id="rId25"/>
          <w:pgSz w:w="12240" w:h="15840" w:code="1"/>
          <w:pgMar w:top="1440" w:right="1440" w:bottom="1141" w:left="1440" w:header="720" w:footer="720" w:gutter="0"/>
          <w:pgNumType w:start="1"/>
          <w:cols w:space="720"/>
          <w:titlePg/>
          <w:docGrid w:linePitch="326"/>
        </w:sectPr>
      </w:pPr>
    </w:p>
    <w:p w:rsidR="00BB5245" w:rsidRDefault="00BB5245">
      <w:pPr>
        <w:tabs>
          <w:tab w:val="left" w:pos="2160"/>
          <w:tab w:val="left" w:pos="2280"/>
        </w:tabs>
        <w:rPr>
          <w:rFonts w:ascii="Arial" w:hAnsi="Arial" w:cs="Arial"/>
          <w:b/>
          <w:smallCaps/>
        </w:rPr>
      </w:pPr>
    </w:p>
    <w:p w:rsidR="009A6C94" w:rsidRPr="00743EE2" w:rsidRDefault="009A6C94" w:rsidP="009A6C94">
      <w:pPr>
        <w:tabs>
          <w:tab w:val="left" w:pos="2160"/>
          <w:tab w:val="left" w:pos="2280"/>
        </w:tabs>
        <w:rPr>
          <w:rFonts w:ascii="Arial" w:hAnsi="Arial" w:cs="Arial"/>
        </w:rPr>
      </w:pPr>
      <w:r w:rsidRPr="00743EE2">
        <w:rPr>
          <w:rFonts w:ascii="Arial" w:hAnsi="Arial" w:cs="Arial"/>
        </w:rPr>
        <w:t>Kathy J. Kolich (Counsel of Record)</w:t>
      </w:r>
    </w:p>
    <w:p w:rsidR="009A6C94" w:rsidRPr="00743EE2" w:rsidRDefault="009A6C94" w:rsidP="009A6C94">
      <w:pPr>
        <w:tabs>
          <w:tab w:val="left" w:pos="2160"/>
          <w:tab w:val="left" w:pos="2280"/>
        </w:tabs>
        <w:rPr>
          <w:rFonts w:ascii="Arial" w:hAnsi="Arial" w:cs="Arial"/>
        </w:rPr>
      </w:pPr>
      <w:r w:rsidRPr="00743EE2">
        <w:rPr>
          <w:rFonts w:ascii="Arial" w:hAnsi="Arial" w:cs="Arial"/>
        </w:rPr>
        <w:t>Carrie M. Dunn</w:t>
      </w:r>
    </w:p>
    <w:p w:rsidR="009A6C94" w:rsidRPr="00743EE2" w:rsidRDefault="009A6C94" w:rsidP="009A6C94">
      <w:pPr>
        <w:tabs>
          <w:tab w:val="left" w:pos="2160"/>
          <w:tab w:val="left" w:pos="2280"/>
        </w:tabs>
        <w:rPr>
          <w:rFonts w:ascii="Arial" w:hAnsi="Arial" w:cs="Arial"/>
        </w:rPr>
      </w:pPr>
      <w:r w:rsidRPr="00743EE2">
        <w:rPr>
          <w:rFonts w:ascii="Arial" w:hAnsi="Arial" w:cs="Arial"/>
        </w:rPr>
        <w:t>First Energy Service Company</w:t>
      </w:r>
    </w:p>
    <w:p w:rsidR="009A6C94" w:rsidRPr="00743EE2" w:rsidRDefault="009A6C94" w:rsidP="009A6C94">
      <w:pPr>
        <w:tabs>
          <w:tab w:val="left" w:pos="2160"/>
          <w:tab w:val="left" w:pos="2280"/>
        </w:tabs>
        <w:rPr>
          <w:rFonts w:ascii="Arial" w:hAnsi="Arial" w:cs="Arial"/>
        </w:rPr>
      </w:pPr>
      <w:r w:rsidRPr="00743EE2">
        <w:rPr>
          <w:rFonts w:ascii="Arial" w:hAnsi="Arial" w:cs="Arial"/>
        </w:rPr>
        <w:t>76 South Main Street</w:t>
      </w:r>
    </w:p>
    <w:p w:rsidR="009A6C94" w:rsidRPr="00743EE2" w:rsidRDefault="009A6C94" w:rsidP="009A6C94">
      <w:pPr>
        <w:tabs>
          <w:tab w:val="left" w:pos="2160"/>
          <w:tab w:val="left" w:pos="2280"/>
        </w:tabs>
        <w:rPr>
          <w:rFonts w:ascii="Arial" w:hAnsi="Arial" w:cs="Arial"/>
        </w:rPr>
      </w:pPr>
      <w:r w:rsidRPr="00743EE2">
        <w:rPr>
          <w:rFonts w:ascii="Arial" w:hAnsi="Arial" w:cs="Arial"/>
        </w:rPr>
        <w:t>Akron, OH  44308</w:t>
      </w:r>
    </w:p>
    <w:p w:rsidR="009A6C94" w:rsidRPr="00743EE2" w:rsidRDefault="009A6C94" w:rsidP="009A6C94">
      <w:pPr>
        <w:tabs>
          <w:tab w:val="left" w:pos="2160"/>
          <w:tab w:val="left" w:pos="2280"/>
        </w:tabs>
        <w:rPr>
          <w:rFonts w:ascii="Arial" w:hAnsi="Arial" w:cs="Arial"/>
        </w:rPr>
      </w:pPr>
      <w:r w:rsidRPr="00743EE2">
        <w:rPr>
          <w:rFonts w:ascii="Arial" w:hAnsi="Arial" w:cs="Arial"/>
        </w:rPr>
        <w:t>kjkolich@firstenergycorp.com</w:t>
      </w:r>
    </w:p>
    <w:p w:rsidR="009A6C94" w:rsidRPr="00743EE2" w:rsidRDefault="009A6C94" w:rsidP="009A6C94">
      <w:pPr>
        <w:tabs>
          <w:tab w:val="left" w:pos="2160"/>
          <w:tab w:val="left" w:pos="2280"/>
        </w:tabs>
        <w:rPr>
          <w:rFonts w:ascii="Arial" w:hAnsi="Arial" w:cs="Arial"/>
        </w:rPr>
      </w:pPr>
      <w:r w:rsidRPr="00743EE2">
        <w:rPr>
          <w:rFonts w:ascii="Arial" w:hAnsi="Arial" w:cs="Arial"/>
        </w:rPr>
        <w:t>edunn@firstenergycorp.com</w:t>
      </w:r>
    </w:p>
    <w:p w:rsidR="009A6C94" w:rsidRPr="00743EE2" w:rsidRDefault="009A6C94" w:rsidP="009A6C94">
      <w:pPr>
        <w:tabs>
          <w:tab w:val="left" w:pos="2160"/>
          <w:tab w:val="left" w:pos="2280"/>
        </w:tabs>
        <w:rPr>
          <w:rFonts w:ascii="Arial" w:hAnsi="Arial" w:cs="Arial"/>
        </w:rPr>
      </w:pPr>
    </w:p>
    <w:p w:rsidR="009A6C94" w:rsidRPr="00743EE2" w:rsidRDefault="009A6C94" w:rsidP="009A6C94">
      <w:pPr>
        <w:tabs>
          <w:tab w:val="left" w:pos="2160"/>
          <w:tab w:val="left" w:pos="2280"/>
        </w:tabs>
        <w:rPr>
          <w:rFonts w:ascii="Arial" w:hAnsi="Arial" w:cs="Arial"/>
          <w:b/>
          <w:smallCaps/>
        </w:rPr>
      </w:pPr>
      <w:r w:rsidRPr="00743EE2">
        <w:rPr>
          <w:rFonts w:ascii="Arial" w:hAnsi="Arial" w:cs="Arial"/>
          <w:b/>
          <w:smallCaps/>
        </w:rPr>
        <w:t>Attorneys for Ohio Edison Company, The Cleveland Electric Company, and The Toledo Edison Company</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Colleen L. Mooney</w:t>
      </w:r>
    </w:p>
    <w:p w:rsidR="009A6C94" w:rsidRDefault="009A6C94" w:rsidP="009A6C94">
      <w:pPr>
        <w:tabs>
          <w:tab w:val="left" w:pos="2160"/>
          <w:tab w:val="left" w:pos="2280"/>
        </w:tabs>
        <w:rPr>
          <w:rFonts w:ascii="Arial" w:hAnsi="Arial" w:cs="Arial"/>
        </w:rPr>
      </w:pPr>
      <w:r>
        <w:rPr>
          <w:rFonts w:ascii="Arial" w:hAnsi="Arial" w:cs="Arial"/>
        </w:rPr>
        <w:t>Ohio Partners for Affordable Energy</w:t>
      </w:r>
    </w:p>
    <w:p w:rsidR="009A6C94" w:rsidRDefault="009A6C94" w:rsidP="009A6C94">
      <w:pPr>
        <w:tabs>
          <w:tab w:val="left" w:pos="2160"/>
          <w:tab w:val="left" w:pos="2280"/>
        </w:tabs>
        <w:rPr>
          <w:rFonts w:ascii="Arial" w:hAnsi="Arial" w:cs="Arial"/>
        </w:rPr>
      </w:pPr>
      <w:r>
        <w:rPr>
          <w:rFonts w:ascii="Arial" w:hAnsi="Arial" w:cs="Arial"/>
        </w:rPr>
        <w:t>231 West Lima Street</w:t>
      </w:r>
    </w:p>
    <w:p w:rsidR="009A6C94" w:rsidRDefault="009A6C94" w:rsidP="009A6C94">
      <w:pPr>
        <w:tabs>
          <w:tab w:val="left" w:pos="2160"/>
          <w:tab w:val="left" w:pos="2280"/>
        </w:tabs>
        <w:rPr>
          <w:rFonts w:ascii="Arial" w:hAnsi="Arial" w:cs="Arial"/>
        </w:rPr>
      </w:pPr>
      <w:r>
        <w:rPr>
          <w:rFonts w:ascii="Arial" w:hAnsi="Arial" w:cs="Arial"/>
        </w:rPr>
        <w:t>Findlay, OH  45839-1793</w:t>
      </w:r>
    </w:p>
    <w:p w:rsidR="009A6C94" w:rsidRDefault="009A6C94" w:rsidP="009A6C94">
      <w:pPr>
        <w:tabs>
          <w:tab w:val="left" w:pos="2160"/>
          <w:tab w:val="left" w:pos="2280"/>
        </w:tabs>
        <w:rPr>
          <w:rFonts w:ascii="Arial" w:hAnsi="Arial" w:cs="Arial"/>
        </w:rPr>
      </w:pPr>
      <w:r>
        <w:rPr>
          <w:rFonts w:ascii="Arial" w:hAnsi="Arial" w:cs="Arial"/>
        </w:rPr>
        <w:t>cmooney2@columbus.rr.com</w:t>
      </w:r>
    </w:p>
    <w:p w:rsidR="009A6C94" w:rsidRDefault="009A6C94" w:rsidP="009A6C94">
      <w:pPr>
        <w:tabs>
          <w:tab w:val="left" w:pos="2160"/>
          <w:tab w:val="left" w:pos="2280"/>
        </w:tabs>
        <w:rPr>
          <w:rFonts w:ascii="Arial" w:hAnsi="Arial" w:cs="Arial"/>
        </w:rPr>
      </w:pPr>
    </w:p>
    <w:p w:rsidR="009A6C94" w:rsidRPr="00743EE2" w:rsidRDefault="009A6C94" w:rsidP="009A6C94">
      <w:pPr>
        <w:tabs>
          <w:tab w:val="left" w:pos="2160"/>
          <w:tab w:val="left" w:pos="2280"/>
        </w:tabs>
        <w:rPr>
          <w:rFonts w:ascii="Arial" w:hAnsi="Arial" w:cs="Arial"/>
        </w:rPr>
      </w:pPr>
      <w:r w:rsidRPr="00E6208A">
        <w:rPr>
          <w:rFonts w:ascii="Arial" w:hAnsi="Arial" w:cs="Arial"/>
          <w:b/>
          <w:smallCaps/>
        </w:rPr>
        <w:t>On Behalf of Ohio Partners for Affordable Energy</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Richard L. Sites</w:t>
      </w:r>
    </w:p>
    <w:p w:rsidR="009A6C94" w:rsidRDefault="009A6C94" w:rsidP="009A6C94">
      <w:pPr>
        <w:tabs>
          <w:tab w:val="left" w:pos="2160"/>
          <w:tab w:val="left" w:pos="2280"/>
        </w:tabs>
        <w:rPr>
          <w:rFonts w:ascii="Arial" w:hAnsi="Arial" w:cs="Arial"/>
        </w:rPr>
      </w:pPr>
      <w:r>
        <w:rPr>
          <w:rFonts w:ascii="Arial" w:hAnsi="Arial" w:cs="Arial"/>
        </w:rPr>
        <w:t>General Counsel &amp; Senior Director of Health Policy</w:t>
      </w:r>
    </w:p>
    <w:p w:rsidR="009A6C94" w:rsidRDefault="009A6C94" w:rsidP="009A6C94">
      <w:pPr>
        <w:tabs>
          <w:tab w:val="left" w:pos="2160"/>
          <w:tab w:val="left" w:pos="2280"/>
        </w:tabs>
        <w:rPr>
          <w:rFonts w:ascii="Arial" w:hAnsi="Arial" w:cs="Arial"/>
        </w:rPr>
      </w:pPr>
      <w:r>
        <w:rPr>
          <w:rFonts w:ascii="Arial" w:hAnsi="Arial" w:cs="Arial"/>
        </w:rPr>
        <w:t>Ohio Hospital Association</w:t>
      </w:r>
    </w:p>
    <w:p w:rsidR="009A6C94" w:rsidRDefault="009A6C94" w:rsidP="009A6C94">
      <w:pPr>
        <w:tabs>
          <w:tab w:val="left" w:pos="2160"/>
          <w:tab w:val="left" w:pos="2280"/>
        </w:tabs>
        <w:rPr>
          <w:rFonts w:ascii="Arial" w:hAnsi="Arial" w:cs="Arial"/>
        </w:rPr>
      </w:pPr>
      <w:r>
        <w:rPr>
          <w:rFonts w:ascii="Arial" w:hAnsi="Arial" w:cs="Arial"/>
        </w:rPr>
        <w:t>155 East Broad Street, 15</w:t>
      </w:r>
      <w:r w:rsidRPr="00F14714">
        <w:rPr>
          <w:rFonts w:ascii="Arial" w:hAnsi="Arial" w:cs="Arial"/>
          <w:vertAlign w:val="superscript"/>
        </w:rPr>
        <w:t>th</w:t>
      </w:r>
      <w:r>
        <w:rPr>
          <w:rFonts w:ascii="Arial" w:hAnsi="Arial" w:cs="Arial"/>
        </w:rPr>
        <w:t xml:space="preserve"> Floor</w:t>
      </w:r>
    </w:p>
    <w:p w:rsidR="009A6C94" w:rsidRDefault="009A6C94" w:rsidP="009A6C94">
      <w:pPr>
        <w:tabs>
          <w:tab w:val="left" w:pos="2160"/>
          <w:tab w:val="left" w:pos="2280"/>
        </w:tabs>
        <w:rPr>
          <w:rFonts w:ascii="Arial" w:hAnsi="Arial" w:cs="Arial"/>
        </w:rPr>
      </w:pPr>
      <w:r>
        <w:rPr>
          <w:rFonts w:ascii="Arial" w:hAnsi="Arial" w:cs="Arial"/>
        </w:rPr>
        <w:t>Columbus, OH  43215-3620</w:t>
      </w:r>
    </w:p>
    <w:p w:rsidR="009A6C94" w:rsidRDefault="009A6C94" w:rsidP="009A6C94">
      <w:pPr>
        <w:tabs>
          <w:tab w:val="left" w:pos="2160"/>
          <w:tab w:val="left" w:pos="2280"/>
        </w:tabs>
        <w:rPr>
          <w:rFonts w:ascii="Arial" w:hAnsi="Arial" w:cs="Arial"/>
        </w:rPr>
      </w:pPr>
      <w:r>
        <w:rPr>
          <w:rFonts w:ascii="Arial" w:hAnsi="Arial" w:cs="Arial"/>
        </w:rPr>
        <w:t>ricks@ohanet.org</w:t>
      </w:r>
    </w:p>
    <w:p w:rsidR="009A6C94" w:rsidRDefault="009A6C94" w:rsidP="009A6C94">
      <w:pPr>
        <w:tabs>
          <w:tab w:val="left" w:pos="2160"/>
          <w:tab w:val="left" w:pos="2280"/>
        </w:tabs>
        <w:rPr>
          <w:rFonts w:ascii="Arial" w:hAnsi="Arial" w:cs="Arial"/>
          <w:b/>
          <w:smallCaps/>
        </w:rPr>
      </w:pPr>
    </w:p>
    <w:p w:rsidR="009A6C94" w:rsidRPr="00E6208A" w:rsidRDefault="009A6C94" w:rsidP="009A6C94">
      <w:pPr>
        <w:tabs>
          <w:tab w:val="left" w:pos="2160"/>
          <w:tab w:val="left" w:pos="2280"/>
        </w:tabs>
        <w:rPr>
          <w:rFonts w:ascii="Arial" w:hAnsi="Arial" w:cs="Arial"/>
          <w:b/>
          <w:smallCaps/>
        </w:rPr>
      </w:pPr>
      <w:r w:rsidRPr="00E6208A">
        <w:rPr>
          <w:rFonts w:ascii="Arial" w:hAnsi="Arial" w:cs="Arial"/>
          <w:b/>
          <w:smallCaps/>
        </w:rPr>
        <w:t>On Behalf of the Ohio Hospital Association</w:t>
      </w:r>
    </w:p>
    <w:p w:rsidR="009A6C94" w:rsidRDefault="009A6C94" w:rsidP="009A6C94">
      <w:pPr>
        <w:tabs>
          <w:tab w:val="left" w:pos="2160"/>
          <w:tab w:val="left" w:pos="2280"/>
        </w:tabs>
        <w:rPr>
          <w:rFonts w:ascii="Arial" w:hAnsi="Arial" w:cs="Arial"/>
        </w:rPr>
      </w:pPr>
      <w:r>
        <w:rPr>
          <w:rFonts w:ascii="Arial" w:hAnsi="Arial" w:cs="Arial"/>
        </w:rPr>
        <w:br w:type="column"/>
      </w:r>
    </w:p>
    <w:p w:rsidR="009A6C94" w:rsidRDefault="009A6C94" w:rsidP="009A6C94">
      <w:pPr>
        <w:tabs>
          <w:tab w:val="left" w:pos="2160"/>
          <w:tab w:val="left" w:pos="2280"/>
        </w:tabs>
        <w:rPr>
          <w:rFonts w:ascii="Arial" w:hAnsi="Arial" w:cs="Arial"/>
        </w:rPr>
      </w:pPr>
      <w:r w:rsidRPr="00E76A53">
        <w:rPr>
          <w:rFonts w:ascii="Arial" w:hAnsi="Arial" w:cs="Arial"/>
          <w:smallCaps/>
        </w:rPr>
        <w:t xml:space="preserve">J. </w:t>
      </w:r>
      <w:r w:rsidRPr="00E76A53">
        <w:rPr>
          <w:rFonts w:ascii="Arial" w:hAnsi="Arial" w:cs="Arial"/>
        </w:rPr>
        <w:t xml:space="preserve">Thomas </w:t>
      </w:r>
      <w:r>
        <w:rPr>
          <w:rFonts w:ascii="Arial" w:hAnsi="Arial" w:cs="Arial"/>
        </w:rPr>
        <w:t>Siwo</w:t>
      </w:r>
    </w:p>
    <w:p w:rsidR="009A6C94" w:rsidRDefault="009A6C94" w:rsidP="009A6C94">
      <w:pPr>
        <w:tabs>
          <w:tab w:val="left" w:pos="2160"/>
          <w:tab w:val="left" w:pos="2280"/>
        </w:tabs>
        <w:rPr>
          <w:rFonts w:ascii="Arial" w:hAnsi="Arial" w:cs="Arial"/>
        </w:rPr>
      </w:pPr>
      <w:r>
        <w:rPr>
          <w:rFonts w:ascii="Arial" w:hAnsi="Arial" w:cs="Arial"/>
        </w:rPr>
        <w:t>Thomas J. O’Brien</w:t>
      </w:r>
    </w:p>
    <w:p w:rsidR="009A6C94" w:rsidRDefault="009A6C94" w:rsidP="009A6C94">
      <w:pPr>
        <w:tabs>
          <w:tab w:val="left" w:pos="2160"/>
          <w:tab w:val="left" w:pos="2280"/>
        </w:tabs>
        <w:rPr>
          <w:rFonts w:ascii="Arial" w:hAnsi="Arial" w:cs="Arial"/>
        </w:rPr>
      </w:pPr>
      <w:r>
        <w:rPr>
          <w:rFonts w:ascii="Arial" w:hAnsi="Arial" w:cs="Arial"/>
        </w:rPr>
        <w:t>Bricker &amp; Eckler, LLP</w:t>
      </w:r>
    </w:p>
    <w:p w:rsidR="009A6C94" w:rsidRDefault="009A6C94" w:rsidP="009A6C94">
      <w:pPr>
        <w:tabs>
          <w:tab w:val="left" w:pos="2160"/>
          <w:tab w:val="left" w:pos="2280"/>
        </w:tabs>
        <w:rPr>
          <w:rFonts w:ascii="Arial" w:hAnsi="Arial" w:cs="Arial"/>
        </w:rPr>
      </w:pPr>
      <w:r>
        <w:rPr>
          <w:rFonts w:ascii="Arial" w:hAnsi="Arial" w:cs="Arial"/>
        </w:rPr>
        <w:t>100 South Third Street</w:t>
      </w:r>
    </w:p>
    <w:p w:rsidR="009A6C94" w:rsidRDefault="009A6C94" w:rsidP="009A6C94">
      <w:pPr>
        <w:tabs>
          <w:tab w:val="left" w:pos="2160"/>
          <w:tab w:val="left" w:pos="2280"/>
        </w:tabs>
        <w:rPr>
          <w:rFonts w:ascii="Arial" w:hAnsi="Arial" w:cs="Arial"/>
        </w:rPr>
      </w:pPr>
      <w:r>
        <w:rPr>
          <w:rFonts w:ascii="Arial" w:hAnsi="Arial" w:cs="Arial"/>
        </w:rPr>
        <w:t>Columbus, OH  43215-4291</w:t>
      </w:r>
    </w:p>
    <w:p w:rsidR="009A6C94" w:rsidRDefault="009A6C94" w:rsidP="009A6C94">
      <w:pPr>
        <w:tabs>
          <w:tab w:val="left" w:pos="2160"/>
          <w:tab w:val="left" w:pos="2280"/>
        </w:tabs>
        <w:rPr>
          <w:rFonts w:ascii="Arial" w:hAnsi="Arial" w:cs="Arial"/>
        </w:rPr>
      </w:pPr>
      <w:r>
        <w:rPr>
          <w:rFonts w:ascii="Arial" w:hAnsi="Arial" w:cs="Arial"/>
        </w:rPr>
        <w:t>tobrien@bricker.com</w:t>
      </w:r>
    </w:p>
    <w:p w:rsidR="009A6C94" w:rsidRDefault="009A6C94" w:rsidP="009A6C94">
      <w:pPr>
        <w:tabs>
          <w:tab w:val="left" w:pos="2160"/>
          <w:tab w:val="left" w:pos="2280"/>
        </w:tabs>
        <w:rPr>
          <w:rFonts w:ascii="Arial" w:hAnsi="Arial" w:cs="Arial"/>
        </w:rPr>
      </w:pPr>
      <w:r w:rsidRPr="00E76A53">
        <w:rPr>
          <w:rFonts w:ascii="Arial" w:hAnsi="Arial" w:cs="Arial"/>
        </w:rPr>
        <w:t>tsiwo@bricker.com</w:t>
      </w:r>
    </w:p>
    <w:p w:rsidR="009A6C94" w:rsidRDefault="009A6C94" w:rsidP="009A6C94">
      <w:pPr>
        <w:tabs>
          <w:tab w:val="left" w:pos="2160"/>
          <w:tab w:val="left" w:pos="2280"/>
        </w:tabs>
        <w:rPr>
          <w:rFonts w:ascii="Arial" w:hAnsi="Arial" w:cs="Arial"/>
        </w:rPr>
      </w:pPr>
    </w:p>
    <w:p w:rsidR="009A6C94" w:rsidRPr="00E76A53" w:rsidRDefault="009A6C94" w:rsidP="009A6C94">
      <w:pPr>
        <w:tabs>
          <w:tab w:val="left" w:pos="2160"/>
          <w:tab w:val="left" w:pos="2280"/>
        </w:tabs>
        <w:rPr>
          <w:rFonts w:ascii="Arial" w:hAnsi="Arial" w:cs="Arial"/>
        </w:rPr>
      </w:pPr>
      <w:r w:rsidRPr="00E6208A">
        <w:rPr>
          <w:rFonts w:ascii="Arial" w:hAnsi="Arial" w:cs="Arial"/>
          <w:b/>
          <w:smallCaps/>
        </w:rPr>
        <w:t>On Behalf of the Ohio Hospital Association</w:t>
      </w:r>
      <w:r>
        <w:rPr>
          <w:rFonts w:ascii="Arial" w:hAnsi="Arial" w:cs="Arial"/>
          <w:b/>
          <w:smallCaps/>
        </w:rPr>
        <w:t xml:space="preserve"> and The OMA Energy Group</w:t>
      </w:r>
    </w:p>
    <w:p w:rsidR="009A6C94" w:rsidRPr="00E6208A" w:rsidRDefault="009A6C94" w:rsidP="009A6C94">
      <w:pPr>
        <w:tabs>
          <w:tab w:val="left" w:pos="2160"/>
          <w:tab w:val="left" w:pos="2280"/>
        </w:tabs>
        <w:rPr>
          <w:rFonts w:ascii="Arial" w:hAnsi="Arial" w:cs="Arial"/>
          <w:b/>
          <w:smallCaps/>
        </w:rPr>
      </w:pPr>
    </w:p>
    <w:p w:rsidR="009A6C94" w:rsidRDefault="009A6C94" w:rsidP="009A6C94">
      <w:pPr>
        <w:tabs>
          <w:tab w:val="left" w:pos="2160"/>
          <w:tab w:val="left" w:pos="2280"/>
        </w:tabs>
        <w:rPr>
          <w:rFonts w:ascii="Arial" w:hAnsi="Arial" w:cs="Arial"/>
        </w:rPr>
      </w:pPr>
      <w:r>
        <w:rPr>
          <w:rFonts w:ascii="Arial" w:hAnsi="Arial" w:cs="Arial"/>
        </w:rPr>
        <w:t>Todd M. Williams (Counsel of Record)</w:t>
      </w:r>
    </w:p>
    <w:p w:rsidR="009A6C94" w:rsidRDefault="009A6C94" w:rsidP="009A6C94">
      <w:pPr>
        <w:tabs>
          <w:tab w:val="left" w:pos="2160"/>
          <w:tab w:val="left" w:pos="2280"/>
        </w:tabs>
        <w:rPr>
          <w:rFonts w:ascii="Arial" w:hAnsi="Arial" w:cs="Arial"/>
        </w:rPr>
      </w:pPr>
      <w:r>
        <w:rPr>
          <w:rFonts w:ascii="Arial" w:hAnsi="Arial" w:cs="Arial"/>
        </w:rPr>
        <w:t>Williams Allwein and Moser, LLC</w:t>
      </w:r>
    </w:p>
    <w:p w:rsidR="009A6C94" w:rsidRDefault="009A6C94" w:rsidP="009A6C94">
      <w:pPr>
        <w:tabs>
          <w:tab w:val="left" w:pos="2160"/>
          <w:tab w:val="left" w:pos="2280"/>
        </w:tabs>
        <w:rPr>
          <w:rFonts w:ascii="Arial" w:hAnsi="Arial" w:cs="Arial"/>
        </w:rPr>
      </w:pPr>
      <w:r>
        <w:rPr>
          <w:rFonts w:ascii="Arial" w:hAnsi="Arial" w:cs="Arial"/>
        </w:rPr>
        <w:t>Two Maritime Plaza, Third Floor</w:t>
      </w:r>
    </w:p>
    <w:p w:rsidR="009A6C94" w:rsidRDefault="009A6C94" w:rsidP="009A6C94">
      <w:pPr>
        <w:tabs>
          <w:tab w:val="left" w:pos="2160"/>
          <w:tab w:val="left" w:pos="2280"/>
        </w:tabs>
        <w:rPr>
          <w:rFonts w:ascii="Arial" w:hAnsi="Arial" w:cs="Arial"/>
        </w:rPr>
      </w:pPr>
      <w:r>
        <w:rPr>
          <w:rFonts w:ascii="Arial" w:hAnsi="Arial" w:cs="Arial"/>
        </w:rPr>
        <w:t>Toledo, OH  43604</w:t>
      </w:r>
    </w:p>
    <w:p w:rsidR="009A6C94" w:rsidRDefault="009A6C94" w:rsidP="009A6C94">
      <w:pPr>
        <w:tabs>
          <w:tab w:val="left" w:pos="2160"/>
          <w:tab w:val="left" w:pos="2280"/>
        </w:tabs>
        <w:rPr>
          <w:rFonts w:ascii="Arial" w:hAnsi="Arial" w:cs="Arial"/>
        </w:rPr>
      </w:pPr>
      <w:r>
        <w:rPr>
          <w:rFonts w:ascii="Arial" w:hAnsi="Arial" w:cs="Arial"/>
        </w:rPr>
        <w:t>toddm@wamenergylaw.com</w:t>
      </w:r>
    </w:p>
    <w:p w:rsidR="009A6C94" w:rsidRDefault="009A6C94" w:rsidP="009A6C94">
      <w:pPr>
        <w:tabs>
          <w:tab w:val="left" w:pos="2160"/>
          <w:tab w:val="left" w:pos="2280"/>
        </w:tabs>
        <w:rPr>
          <w:rFonts w:ascii="Arial" w:hAnsi="Arial" w:cs="Arial"/>
          <w:b/>
          <w:smallCaps/>
        </w:rPr>
      </w:pPr>
    </w:p>
    <w:p w:rsidR="009A6C94" w:rsidRDefault="009A6C94" w:rsidP="009A6C94">
      <w:pPr>
        <w:tabs>
          <w:tab w:val="left" w:pos="2160"/>
          <w:tab w:val="left" w:pos="2280"/>
        </w:tabs>
        <w:rPr>
          <w:rFonts w:ascii="Arial" w:hAnsi="Arial" w:cs="Arial"/>
          <w:b/>
          <w:smallCaps/>
        </w:rPr>
      </w:pPr>
      <w:r w:rsidRPr="00E6208A">
        <w:rPr>
          <w:rFonts w:ascii="Arial" w:hAnsi="Arial" w:cs="Arial"/>
          <w:b/>
          <w:smallCaps/>
        </w:rPr>
        <w:t>On Behalf of</w:t>
      </w:r>
      <w:r>
        <w:rPr>
          <w:rFonts w:ascii="Arial" w:hAnsi="Arial" w:cs="Arial"/>
          <w:b/>
          <w:smallCaps/>
        </w:rPr>
        <w:t xml:space="preserve"> Advanced Energy Economy Ohio</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Christopher J. Allwein</w:t>
      </w:r>
    </w:p>
    <w:p w:rsidR="009A6C94" w:rsidRDefault="009A6C94" w:rsidP="009A6C94">
      <w:pPr>
        <w:tabs>
          <w:tab w:val="left" w:pos="2160"/>
          <w:tab w:val="left" w:pos="2280"/>
        </w:tabs>
        <w:rPr>
          <w:rFonts w:ascii="Arial" w:hAnsi="Arial" w:cs="Arial"/>
        </w:rPr>
      </w:pPr>
      <w:r>
        <w:rPr>
          <w:rFonts w:ascii="Arial" w:hAnsi="Arial" w:cs="Arial"/>
        </w:rPr>
        <w:t>Williams Allwein and Moser, LLC</w:t>
      </w:r>
    </w:p>
    <w:p w:rsidR="009A6C94" w:rsidRDefault="009A6C94" w:rsidP="009A6C94">
      <w:pPr>
        <w:tabs>
          <w:tab w:val="left" w:pos="2160"/>
          <w:tab w:val="left" w:pos="2280"/>
        </w:tabs>
        <w:rPr>
          <w:rFonts w:ascii="Arial" w:hAnsi="Arial" w:cs="Arial"/>
        </w:rPr>
      </w:pPr>
      <w:r>
        <w:rPr>
          <w:rFonts w:ascii="Arial" w:hAnsi="Arial" w:cs="Arial"/>
        </w:rPr>
        <w:t>1371 Grandview Ave., Suite 212</w:t>
      </w:r>
    </w:p>
    <w:p w:rsidR="009A6C94" w:rsidRDefault="009A6C94" w:rsidP="009A6C94">
      <w:pPr>
        <w:tabs>
          <w:tab w:val="left" w:pos="2160"/>
          <w:tab w:val="left" w:pos="2280"/>
        </w:tabs>
        <w:rPr>
          <w:rFonts w:ascii="Arial" w:hAnsi="Arial" w:cs="Arial"/>
        </w:rPr>
      </w:pPr>
      <w:r>
        <w:rPr>
          <w:rFonts w:ascii="Arial" w:hAnsi="Arial" w:cs="Arial"/>
        </w:rPr>
        <w:t>Columbus, OH  43212</w:t>
      </w:r>
    </w:p>
    <w:p w:rsidR="009A6C94" w:rsidRDefault="009A6C94" w:rsidP="009A6C94">
      <w:pPr>
        <w:tabs>
          <w:tab w:val="left" w:pos="2160"/>
          <w:tab w:val="left" w:pos="2280"/>
        </w:tabs>
        <w:rPr>
          <w:rFonts w:ascii="Arial" w:hAnsi="Arial" w:cs="Arial"/>
        </w:rPr>
      </w:pPr>
      <w:r w:rsidRPr="00E76A53">
        <w:rPr>
          <w:rFonts w:ascii="Arial" w:hAnsi="Arial" w:cs="Arial"/>
        </w:rPr>
        <w:t>callwein@wamenergylaw.com</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Manuel Somoza</w:t>
      </w:r>
    </w:p>
    <w:p w:rsidR="009A6C94" w:rsidRDefault="009A6C94" w:rsidP="009A6C94">
      <w:pPr>
        <w:tabs>
          <w:tab w:val="left" w:pos="2160"/>
          <w:tab w:val="left" w:pos="2280"/>
        </w:tabs>
        <w:rPr>
          <w:rFonts w:ascii="Arial" w:hAnsi="Arial" w:cs="Arial"/>
        </w:rPr>
      </w:pPr>
      <w:r>
        <w:rPr>
          <w:rFonts w:ascii="Arial" w:hAnsi="Arial" w:cs="Arial"/>
        </w:rPr>
        <w:t>Sierra Club</w:t>
      </w:r>
    </w:p>
    <w:p w:rsidR="009A6C94" w:rsidRDefault="009A6C94" w:rsidP="009A6C94">
      <w:pPr>
        <w:tabs>
          <w:tab w:val="left" w:pos="2160"/>
          <w:tab w:val="left" w:pos="2280"/>
        </w:tabs>
        <w:rPr>
          <w:rFonts w:ascii="Arial" w:hAnsi="Arial" w:cs="Arial"/>
        </w:rPr>
      </w:pPr>
      <w:r>
        <w:rPr>
          <w:rFonts w:ascii="Arial" w:hAnsi="Arial" w:cs="Arial"/>
        </w:rPr>
        <w:t>Environmental Law Program</w:t>
      </w:r>
    </w:p>
    <w:p w:rsidR="009A6C94" w:rsidRDefault="009A6C94" w:rsidP="009A6C94">
      <w:pPr>
        <w:tabs>
          <w:tab w:val="left" w:pos="2160"/>
          <w:tab w:val="left" w:pos="2280"/>
        </w:tabs>
        <w:rPr>
          <w:rFonts w:ascii="Arial" w:hAnsi="Arial" w:cs="Arial"/>
        </w:rPr>
      </w:pPr>
      <w:r>
        <w:rPr>
          <w:rFonts w:ascii="Arial" w:hAnsi="Arial" w:cs="Arial"/>
        </w:rPr>
        <w:t>85 Second Street, Second Floor</w:t>
      </w:r>
    </w:p>
    <w:p w:rsidR="009A6C94" w:rsidRDefault="009A6C94" w:rsidP="009A6C94">
      <w:pPr>
        <w:tabs>
          <w:tab w:val="left" w:pos="2160"/>
          <w:tab w:val="left" w:pos="2280"/>
        </w:tabs>
        <w:rPr>
          <w:rFonts w:ascii="Arial" w:hAnsi="Arial" w:cs="Arial"/>
        </w:rPr>
      </w:pPr>
      <w:r>
        <w:rPr>
          <w:rFonts w:ascii="Arial" w:hAnsi="Arial" w:cs="Arial"/>
        </w:rPr>
        <w:t>San Francisco, CA  94105-3459</w:t>
      </w:r>
    </w:p>
    <w:p w:rsidR="009A6C94" w:rsidRDefault="009A6C94" w:rsidP="009A6C94">
      <w:pPr>
        <w:tabs>
          <w:tab w:val="left" w:pos="2160"/>
          <w:tab w:val="left" w:pos="2280"/>
        </w:tabs>
        <w:rPr>
          <w:rFonts w:ascii="Arial" w:hAnsi="Arial" w:cs="Arial"/>
        </w:rPr>
      </w:pPr>
      <w:r>
        <w:rPr>
          <w:rFonts w:ascii="Arial" w:hAnsi="Arial" w:cs="Arial"/>
        </w:rPr>
        <w:t>robb.kapla@sierraclub.org</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lastRenderedPageBreak/>
        <w:t>Rebecca J. Riley</w:t>
      </w:r>
    </w:p>
    <w:p w:rsidR="009A6C94" w:rsidRDefault="009A6C94" w:rsidP="009A6C94">
      <w:pPr>
        <w:tabs>
          <w:tab w:val="left" w:pos="2160"/>
          <w:tab w:val="left" w:pos="2280"/>
        </w:tabs>
        <w:rPr>
          <w:rFonts w:ascii="Arial" w:hAnsi="Arial" w:cs="Arial"/>
        </w:rPr>
      </w:pPr>
      <w:r>
        <w:rPr>
          <w:rFonts w:ascii="Arial" w:hAnsi="Arial" w:cs="Arial"/>
        </w:rPr>
        <w:t>Natural Resources Defense Council</w:t>
      </w:r>
    </w:p>
    <w:p w:rsidR="009A6C94" w:rsidRDefault="009A6C94" w:rsidP="009A6C94">
      <w:pPr>
        <w:tabs>
          <w:tab w:val="left" w:pos="2160"/>
          <w:tab w:val="left" w:pos="2280"/>
        </w:tabs>
        <w:rPr>
          <w:rFonts w:ascii="Arial" w:hAnsi="Arial" w:cs="Arial"/>
        </w:rPr>
      </w:pPr>
      <w:r>
        <w:rPr>
          <w:rFonts w:ascii="Arial" w:hAnsi="Arial" w:cs="Arial"/>
        </w:rPr>
        <w:t>2 N. Riverside Plaza, Suite 2250</w:t>
      </w:r>
    </w:p>
    <w:p w:rsidR="009A6C94" w:rsidRDefault="009A6C94" w:rsidP="009A6C94">
      <w:pPr>
        <w:tabs>
          <w:tab w:val="left" w:pos="2160"/>
          <w:tab w:val="left" w:pos="2280"/>
        </w:tabs>
        <w:rPr>
          <w:rFonts w:ascii="Arial" w:hAnsi="Arial" w:cs="Arial"/>
        </w:rPr>
      </w:pPr>
      <w:r>
        <w:rPr>
          <w:rFonts w:ascii="Arial" w:hAnsi="Arial" w:cs="Arial"/>
        </w:rPr>
        <w:t>Chicago, IL  60606</w:t>
      </w:r>
    </w:p>
    <w:p w:rsidR="009A6C94" w:rsidRDefault="009A6C94" w:rsidP="009A6C94">
      <w:pPr>
        <w:tabs>
          <w:tab w:val="left" w:pos="2160"/>
          <w:tab w:val="left" w:pos="2280"/>
        </w:tabs>
        <w:rPr>
          <w:rFonts w:ascii="Arial" w:hAnsi="Arial" w:cs="Arial"/>
        </w:rPr>
      </w:pPr>
      <w:r>
        <w:rPr>
          <w:rFonts w:ascii="Arial" w:hAnsi="Arial" w:cs="Arial"/>
        </w:rPr>
        <w:t>rriley@nrdc.org</w:t>
      </w:r>
    </w:p>
    <w:p w:rsidR="009A6C94" w:rsidRDefault="009A6C94" w:rsidP="009A6C94">
      <w:pPr>
        <w:tabs>
          <w:tab w:val="left" w:pos="2160"/>
          <w:tab w:val="left" w:pos="2280"/>
        </w:tabs>
        <w:rPr>
          <w:rFonts w:ascii="Arial" w:hAnsi="Arial" w:cs="Arial"/>
        </w:rPr>
      </w:pPr>
    </w:p>
    <w:p w:rsidR="009A6C94" w:rsidRPr="00E6208A" w:rsidRDefault="009A6C94" w:rsidP="009A6C94">
      <w:pPr>
        <w:tabs>
          <w:tab w:val="left" w:pos="2160"/>
          <w:tab w:val="left" w:pos="2280"/>
        </w:tabs>
        <w:rPr>
          <w:rFonts w:ascii="Arial" w:hAnsi="Arial" w:cs="Arial"/>
          <w:b/>
          <w:smallCaps/>
        </w:rPr>
      </w:pPr>
      <w:r w:rsidRPr="00E6208A">
        <w:rPr>
          <w:rFonts w:ascii="Arial" w:hAnsi="Arial" w:cs="Arial"/>
          <w:b/>
          <w:smallCaps/>
        </w:rPr>
        <w:t>On Behalf of the Sierra Club and The Natural Resources Defense Council</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Cathryn N. Loucas</w:t>
      </w:r>
    </w:p>
    <w:p w:rsidR="009A6C94" w:rsidRDefault="009A6C94" w:rsidP="009A6C94">
      <w:pPr>
        <w:tabs>
          <w:tab w:val="left" w:pos="2160"/>
          <w:tab w:val="left" w:pos="2280"/>
        </w:tabs>
        <w:rPr>
          <w:rFonts w:ascii="Arial" w:hAnsi="Arial" w:cs="Arial"/>
        </w:rPr>
      </w:pPr>
      <w:r>
        <w:rPr>
          <w:rFonts w:ascii="Arial" w:hAnsi="Arial" w:cs="Arial"/>
        </w:rPr>
        <w:t>Trent Dougherty</w:t>
      </w:r>
    </w:p>
    <w:p w:rsidR="009A6C94" w:rsidRDefault="009A6C94" w:rsidP="009A6C94">
      <w:pPr>
        <w:tabs>
          <w:tab w:val="left" w:pos="2160"/>
          <w:tab w:val="left" w:pos="2280"/>
        </w:tabs>
        <w:rPr>
          <w:rFonts w:ascii="Arial" w:hAnsi="Arial" w:cs="Arial"/>
        </w:rPr>
      </w:pPr>
      <w:r>
        <w:rPr>
          <w:rFonts w:ascii="Arial" w:hAnsi="Arial" w:cs="Arial"/>
        </w:rPr>
        <w:t>The Ohio Environmental Council</w:t>
      </w:r>
    </w:p>
    <w:p w:rsidR="009A6C94" w:rsidRDefault="009A6C94" w:rsidP="009A6C94">
      <w:pPr>
        <w:tabs>
          <w:tab w:val="left" w:pos="2160"/>
          <w:tab w:val="left" w:pos="2280"/>
        </w:tabs>
        <w:rPr>
          <w:rFonts w:ascii="Arial" w:hAnsi="Arial" w:cs="Arial"/>
        </w:rPr>
      </w:pPr>
      <w:r>
        <w:rPr>
          <w:rFonts w:ascii="Arial" w:hAnsi="Arial" w:cs="Arial"/>
        </w:rPr>
        <w:t>1207 Grandview Avenue, Suite 201</w:t>
      </w:r>
    </w:p>
    <w:p w:rsidR="009A6C94" w:rsidRDefault="009A6C94" w:rsidP="009A6C94">
      <w:pPr>
        <w:tabs>
          <w:tab w:val="left" w:pos="2160"/>
          <w:tab w:val="left" w:pos="2280"/>
        </w:tabs>
        <w:rPr>
          <w:rFonts w:ascii="Arial" w:hAnsi="Arial" w:cs="Arial"/>
        </w:rPr>
      </w:pPr>
      <w:r>
        <w:rPr>
          <w:rFonts w:ascii="Arial" w:hAnsi="Arial" w:cs="Arial"/>
        </w:rPr>
        <w:t>Columbus, OH  43212-3449</w:t>
      </w:r>
    </w:p>
    <w:p w:rsidR="009A6C94" w:rsidRDefault="009A6C94" w:rsidP="009A6C94">
      <w:pPr>
        <w:tabs>
          <w:tab w:val="left" w:pos="2160"/>
          <w:tab w:val="left" w:pos="2280"/>
        </w:tabs>
        <w:rPr>
          <w:rFonts w:ascii="Arial" w:hAnsi="Arial" w:cs="Arial"/>
        </w:rPr>
      </w:pPr>
      <w:r>
        <w:rPr>
          <w:rFonts w:ascii="Arial" w:hAnsi="Arial" w:cs="Arial"/>
        </w:rPr>
        <w:t>cathy@theOEC.org</w:t>
      </w:r>
    </w:p>
    <w:p w:rsidR="009A6C94" w:rsidRDefault="009A6C94" w:rsidP="009A6C94">
      <w:pPr>
        <w:tabs>
          <w:tab w:val="left" w:pos="2160"/>
          <w:tab w:val="left" w:pos="2280"/>
        </w:tabs>
        <w:rPr>
          <w:rFonts w:ascii="Arial" w:hAnsi="Arial" w:cs="Arial"/>
        </w:rPr>
      </w:pPr>
      <w:r>
        <w:rPr>
          <w:rFonts w:ascii="Arial" w:hAnsi="Arial" w:cs="Arial"/>
        </w:rPr>
        <w:t>trent@theOEC.org</w:t>
      </w:r>
    </w:p>
    <w:p w:rsidR="009A6C94" w:rsidRDefault="009A6C94" w:rsidP="009A6C94">
      <w:pPr>
        <w:tabs>
          <w:tab w:val="left" w:pos="2160"/>
          <w:tab w:val="left" w:pos="2280"/>
        </w:tabs>
        <w:rPr>
          <w:rFonts w:ascii="Arial" w:hAnsi="Arial" w:cs="Arial"/>
        </w:rPr>
      </w:pPr>
    </w:p>
    <w:p w:rsidR="009A6C94" w:rsidRPr="00E6208A" w:rsidRDefault="009A6C94" w:rsidP="009A6C94">
      <w:pPr>
        <w:tabs>
          <w:tab w:val="left" w:pos="2160"/>
          <w:tab w:val="left" w:pos="2280"/>
        </w:tabs>
        <w:rPr>
          <w:rFonts w:ascii="Arial" w:hAnsi="Arial" w:cs="Arial"/>
          <w:b/>
          <w:smallCaps/>
        </w:rPr>
      </w:pPr>
      <w:r w:rsidRPr="00E6208A">
        <w:rPr>
          <w:rFonts w:ascii="Arial" w:hAnsi="Arial" w:cs="Arial"/>
          <w:b/>
          <w:smallCaps/>
        </w:rPr>
        <w:t>On Behalf of the Ohio Environmental Council</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Michael L. Kurtz</w:t>
      </w:r>
    </w:p>
    <w:p w:rsidR="009A6C94" w:rsidRDefault="009A6C94" w:rsidP="009A6C94">
      <w:pPr>
        <w:tabs>
          <w:tab w:val="left" w:pos="2160"/>
          <w:tab w:val="left" w:pos="2280"/>
        </w:tabs>
        <w:rPr>
          <w:rFonts w:ascii="Arial" w:hAnsi="Arial" w:cs="Arial"/>
        </w:rPr>
      </w:pPr>
      <w:r>
        <w:rPr>
          <w:rFonts w:ascii="Arial" w:hAnsi="Arial" w:cs="Arial"/>
        </w:rPr>
        <w:t>Kurt J. Boehm</w:t>
      </w:r>
    </w:p>
    <w:p w:rsidR="009A6C94" w:rsidRDefault="009A6C94" w:rsidP="009A6C94">
      <w:pPr>
        <w:tabs>
          <w:tab w:val="left" w:pos="2160"/>
          <w:tab w:val="left" w:pos="2280"/>
        </w:tabs>
        <w:rPr>
          <w:rFonts w:ascii="Arial" w:hAnsi="Arial" w:cs="Arial"/>
        </w:rPr>
      </w:pPr>
      <w:r>
        <w:rPr>
          <w:rFonts w:ascii="Arial" w:hAnsi="Arial" w:cs="Arial"/>
        </w:rPr>
        <w:t>Jody M. Kyler</w:t>
      </w:r>
    </w:p>
    <w:p w:rsidR="009A6C94" w:rsidRDefault="009A6C94" w:rsidP="009A6C94">
      <w:pPr>
        <w:tabs>
          <w:tab w:val="left" w:pos="2160"/>
          <w:tab w:val="left" w:pos="2280"/>
        </w:tabs>
        <w:rPr>
          <w:rFonts w:ascii="Arial" w:hAnsi="Arial" w:cs="Arial"/>
        </w:rPr>
      </w:pPr>
      <w:r>
        <w:rPr>
          <w:rFonts w:ascii="Arial" w:hAnsi="Arial" w:cs="Arial"/>
        </w:rPr>
        <w:t>Boehm, Kurtz &amp; Lowry</w:t>
      </w:r>
    </w:p>
    <w:p w:rsidR="009A6C94" w:rsidRDefault="009A6C94" w:rsidP="009A6C94">
      <w:pPr>
        <w:tabs>
          <w:tab w:val="left" w:pos="2160"/>
          <w:tab w:val="left" w:pos="2280"/>
        </w:tabs>
        <w:rPr>
          <w:rFonts w:ascii="Arial" w:hAnsi="Arial" w:cs="Arial"/>
        </w:rPr>
      </w:pPr>
      <w:r>
        <w:rPr>
          <w:rFonts w:ascii="Arial" w:hAnsi="Arial" w:cs="Arial"/>
        </w:rPr>
        <w:t>36 East Seventh Street, Suite 1510</w:t>
      </w:r>
    </w:p>
    <w:p w:rsidR="009A6C94" w:rsidRDefault="009A6C94" w:rsidP="009A6C94">
      <w:pPr>
        <w:tabs>
          <w:tab w:val="left" w:pos="2160"/>
          <w:tab w:val="left" w:pos="2280"/>
        </w:tabs>
        <w:rPr>
          <w:rFonts w:ascii="Arial" w:hAnsi="Arial" w:cs="Arial"/>
        </w:rPr>
      </w:pPr>
      <w:r>
        <w:rPr>
          <w:rFonts w:ascii="Arial" w:hAnsi="Arial" w:cs="Arial"/>
        </w:rPr>
        <w:t>Cincinnati, OH  45202</w:t>
      </w:r>
    </w:p>
    <w:p w:rsidR="009A6C94" w:rsidRDefault="009A6C94" w:rsidP="009A6C94">
      <w:pPr>
        <w:tabs>
          <w:tab w:val="left" w:pos="2160"/>
          <w:tab w:val="left" w:pos="2280"/>
        </w:tabs>
        <w:rPr>
          <w:rFonts w:ascii="Arial" w:hAnsi="Arial" w:cs="Arial"/>
        </w:rPr>
      </w:pPr>
      <w:r>
        <w:rPr>
          <w:rFonts w:ascii="Arial" w:hAnsi="Arial" w:cs="Arial"/>
        </w:rPr>
        <w:t>mkurtz@BKLlawfirm.com</w:t>
      </w:r>
    </w:p>
    <w:p w:rsidR="009A6C94" w:rsidRDefault="009A6C94" w:rsidP="009A6C94">
      <w:pPr>
        <w:tabs>
          <w:tab w:val="left" w:pos="2160"/>
          <w:tab w:val="left" w:pos="2280"/>
        </w:tabs>
        <w:rPr>
          <w:rFonts w:ascii="Arial" w:hAnsi="Arial" w:cs="Arial"/>
        </w:rPr>
      </w:pPr>
      <w:r>
        <w:rPr>
          <w:rFonts w:ascii="Arial" w:hAnsi="Arial" w:cs="Arial"/>
        </w:rPr>
        <w:t>kboehm@BKLlawfirm.com</w:t>
      </w:r>
    </w:p>
    <w:p w:rsidR="009A6C94" w:rsidRDefault="009A6C94" w:rsidP="009A6C94">
      <w:pPr>
        <w:tabs>
          <w:tab w:val="left" w:pos="2160"/>
          <w:tab w:val="left" w:pos="2280"/>
        </w:tabs>
        <w:rPr>
          <w:rFonts w:ascii="Arial" w:hAnsi="Arial" w:cs="Arial"/>
        </w:rPr>
      </w:pPr>
      <w:r w:rsidRPr="00E76A53">
        <w:rPr>
          <w:rFonts w:ascii="Arial" w:hAnsi="Arial" w:cs="Arial"/>
        </w:rPr>
        <w:t>jkyler@BKLlawfirm.com</w:t>
      </w:r>
    </w:p>
    <w:p w:rsidR="009A6C94" w:rsidRDefault="009A6C94" w:rsidP="009A6C94">
      <w:pPr>
        <w:tabs>
          <w:tab w:val="left" w:pos="2160"/>
          <w:tab w:val="left" w:pos="2280"/>
        </w:tabs>
        <w:rPr>
          <w:rFonts w:ascii="Arial" w:hAnsi="Arial" w:cs="Arial"/>
        </w:rPr>
      </w:pPr>
    </w:p>
    <w:p w:rsidR="009A6C94" w:rsidRPr="00E6208A" w:rsidRDefault="009A6C94" w:rsidP="009A6C94">
      <w:pPr>
        <w:tabs>
          <w:tab w:val="left" w:pos="2160"/>
          <w:tab w:val="left" w:pos="2280"/>
        </w:tabs>
        <w:rPr>
          <w:rFonts w:ascii="Arial" w:hAnsi="Arial" w:cs="Arial"/>
          <w:b/>
          <w:smallCaps/>
        </w:rPr>
      </w:pPr>
      <w:r w:rsidRPr="00E6208A">
        <w:rPr>
          <w:rFonts w:ascii="Arial" w:hAnsi="Arial" w:cs="Arial"/>
          <w:b/>
          <w:smallCaps/>
        </w:rPr>
        <w:t>On Behalf of the Ohio Energy Group</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Justin Vickers</w:t>
      </w:r>
    </w:p>
    <w:p w:rsidR="009A6C94" w:rsidRDefault="009A6C94" w:rsidP="009A6C94">
      <w:pPr>
        <w:tabs>
          <w:tab w:val="left" w:pos="2160"/>
          <w:tab w:val="left" w:pos="2280"/>
        </w:tabs>
        <w:rPr>
          <w:rFonts w:ascii="Arial" w:hAnsi="Arial" w:cs="Arial"/>
        </w:rPr>
      </w:pPr>
      <w:r>
        <w:rPr>
          <w:rFonts w:ascii="Arial" w:hAnsi="Arial" w:cs="Arial"/>
        </w:rPr>
        <w:t>Robert Kelter</w:t>
      </w:r>
    </w:p>
    <w:p w:rsidR="009A6C94" w:rsidRDefault="009A6C94" w:rsidP="009A6C94">
      <w:pPr>
        <w:tabs>
          <w:tab w:val="left" w:pos="2160"/>
          <w:tab w:val="left" w:pos="2280"/>
        </w:tabs>
        <w:rPr>
          <w:rFonts w:ascii="Arial" w:hAnsi="Arial" w:cs="Arial"/>
        </w:rPr>
      </w:pPr>
      <w:r>
        <w:rPr>
          <w:rFonts w:ascii="Arial" w:hAnsi="Arial" w:cs="Arial"/>
        </w:rPr>
        <w:t>Nicholas McDaniel</w:t>
      </w:r>
    </w:p>
    <w:p w:rsidR="009A6C94" w:rsidRDefault="009A6C94" w:rsidP="009A6C94">
      <w:pPr>
        <w:tabs>
          <w:tab w:val="left" w:pos="2160"/>
          <w:tab w:val="left" w:pos="2280"/>
        </w:tabs>
        <w:rPr>
          <w:rFonts w:ascii="Arial" w:hAnsi="Arial" w:cs="Arial"/>
        </w:rPr>
      </w:pPr>
      <w:r>
        <w:rPr>
          <w:rFonts w:ascii="Arial" w:hAnsi="Arial" w:cs="Arial"/>
        </w:rPr>
        <w:t>Environmental Law &amp; Policy Center</w:t>
      </w:r>
    </w:p>
    <w:p w:rsidR="009A6C94" w:rsidRDefault="009A6C94" w:rsidP="009A6C94">
      <w:pPr>
        <w:tabs>
          <w:tab w:val="left" w:pos="2160"/>
          <w:tab w:val="left" w:pos="2280"/>
        </w:tabs>
        <w:rPr>
          <w:rFonts w:ascii="Arial" w:hAnsi="Arial" w:cs="Arial"/>
        </w:rPr>
      </w:pPr>
      <w:r>
        <w:rPr>
          <w:rFonts w:ascii="Arial" w:hAnsi="Arial" w:cs="Arial"/>
        </w:rPr>
        <w:t>35 East Wacker Drive, Suite 1600</w:t>
      </w:r>
    </w:p>
    <w:p w:rsidR="009A6C94" w:rsidRDefault="009A6C94" w:rsidP="009A6C94">
      <w:pPr>
        <w:tabs>
          <w:tab w:val="left" w:pos="2160"/>
          <w:tab w:val="left" w:pos="2280"/>
        </w:tabs>
        <w:rPr>
          <w:rFonts w:ascii="Arial" w:hAnsi="Arial" w:cs="Arial"/>
        </w:rPr>
      </w:pPr>
      <w:r>
        <w:rPr>
          <w:rFonts w:ascii="Arial" w:hAnsi="Arial" w:cs="Arial"/>
        </w:rPr>
        <w:t>Chicago, IL  60601-2110</w:t>
      </w:r>
    </w:p>
    <w:p w:rsidR="009A6C94" w:rsidRDefault="009A6C94" w:rsidP="009A6C94">
      <w:pPr>
        <w:tabs>
          <w:tab w:val="left" w:pos="2160"/>
          <w:tab w:val="left" w:pos="2280"/>
        </w:tabs>
        <w:rPr>
          <w:rFonts w:ascii="Arial" w:hAnsi="Arial" w:cs="Arial"/>
        </w:rPr>
      </w:pPr>
      <w:r w:rsidRPr="00E76A53">
        <w:rPr>
          <w:rFonts w:ascii="Arial" w:hAnsi="Arial" w:cs="Arial"/>
        </w:rPr>
        <w:t>jvickers@elpc.org</w:t>
      </w:r>
    </w:p>
    <w:p w:rsidR="009A6C94" w:rsidRDefault="009A6C94" w:rsidP="009A6C94">
      <w:pPr>
        <w:tabs>
          <w:tab w:val="left" w:pos="2160"/>
          <w:tab w:val="left" w:pos="2280"/>
        </w:tabs>
        <w:rPr>
          <w:rFonts w:ascii="Arial" w:hAnsi="Arial" w:cs="Arial"/>
        </w:rPr>
      </w:pPr>
      <w:r>
        <w:rPr>
          <w:rFonts w:ascii="Arial" w:hAnsi="Arial" w:cs="Arial"/>
        </w:rPr>
        <w:t>rkelter@elpc.org</w:t>
      </w:r>
    </w:p>
    <w:p w:rsidR="009A6C94" w:rsidRDefault="009A6C94" w:rsidP="009A6C94">
      <w:pPr>
        <w:tabs>
          <w:tab w:val="left" w:pos="2160"/>
          <w:tab w:val="left" w:pos="2280"/>
        </w:tabs>
        <w:rPr>
          <w:rFonts w:ascii="Arial" w:hAnsi="Arial" w:cs="Arial"/>
        </w:rPr>
      </w:pPr>
      <w:r>
        <w:rPr>
          <w:rFonts w:ascii="Arial" w:hAnsi="Arial" w:cs="Arial"/>
        </w:rPr>
        <w:t>nmcdaniel@elpc.org</w:t>
      </w:r>
    </w:p>
    <w:p w:rsidR="009A6C94" w:rsidRDefault="009A6C94" w:rsidP="009A6C94">
      <w:pPr>
        <w:tabs>
          <w:tab w:val="left" w:pos="2160"/>
          <w:tab w:val="left" w:pos="2280"/>
        </w:tabs>
        <w:rPr>
          <w:rFonts w:ascii="Arial" w:hAnsi="Arial" w:cs="Arial"/>
        </w:rPr>
      </w:pPr>
    </w:p>
    <w:p w:rsidR="009A6C94" w:rsidRPr="00E6208A" w:rsidRDefault="009A6C94" w:rsidP="009A6C94">
      <w:pPr>
        <w:tabs>
          <w:tab w:val="left" w:pos="2160"/>
          <w:tab w:val="left" w:pos="2280"/>
        </w:tabs>
        <w:rPr>
          <w:rFonts w:ascii="Arial" w:hAnsi="Arial" w:cs="Arial"/>
          <w:b/>
          <w:smallCaps/>
        </w:rPr>
      </w:pPr>
      <w:r w:rsidRPr="00E6208A">
        <w:rPr>
          <w:rFonts w:ascii="Arial" w:hAnsi="Arial" w:cs="Arial"/>
          <w:b/>
          <w:smallCaps/>
        </w:rPr>
        <w:t>On Behalf of the Environmental Law &amp; Policy Center</w:t>
      </w:r>
    </w:p>
    <w:p w:rsidR="009A6C94" w:rsidRDefault="009A6C94" w:rsidP="009A6C94">
      <w:pPr>
        <w:tabs>
          <w:tab w:val="left" w:pos="2160"/>
          <w:tab w:val="left" w:pos="2280"/>
        </w:tabs>
        <w:rPr>
          <w:rFonts w:ascii="Arial" w:hAnsi="Arial" w:cs="Arial"/>
        </w:rPr>
      </w:pPr>
      <w:r>
        <w:rPr>
          <w:rFonts w:ascii="Arial" w:hAnsi="Arial" w:cs="Arial"/>
        </w:rPr>
        <w:br w:type="column"/>
      </w:r>
      <w:r>
        <w:rPr>
          <w:rFonts w:ascii="Arial" w:hAnsi="Arial" w:cs="Arial"/>
        </w:rPr>
        <w:lastRenderedPageBreak/>
        <w:t>Bruce J. Weston</w:t>
      </w:r>
    </w:p>
    <w:p w:rsidR="009A6C94" w:rsidRDefault="009A6C94" w:rsidP="009A6C94">
      <w:pPr>
        <w:tabs>
          <w:tab w:val="left" w:pos="2160"/>
          <w:tab w:val="left" w:pos="2280"/>
        </w:tabs>
        <w:rPr>
          <w:rFonts w:ascii="Arial" w:hAnsi="Arial" w:cs="Arial"/>
        </w:rPr>
      </w:pPr>
      <w:r>
        <w:rPr>
          <w:rFonts w:ascii="Arial" w:hAnsi="Arial" w:cs="Arial"/>
        </w:rPr>
        <w:t>Consumers’ Counsel</w:t>
      </w:r>
    </w:p>
    <w:p w:rsidR="009A6C94" w:rsidRDefault="009A6C94" w:rsidP="009A6C94">
      <w:pPr>
        <w:tabs>
          <w:tab w:val="left" w:pos="2160"/>
          <w:tab w:val="left" w:pos="2280"/>
        </w:tabs>
        <w:rPr>
          <w:rFonts w:ascii="Arial" w:hAnsi="Arial" w:cs="Arial"/>
        </w:rPr>
      </w:pPr>
      <w:r>
        <w:rPr>
          <w:rFonts w:ascii="Arial" w:hAnsi="Arial" w:cs="Arial"/>
        </w:rPr>
        <w:t>Kyle L. Kern</w:t>
      </w:r>
    </w:p>
    <w:p w:rsidR="009A6C94" w:rsidRDefault="009A6C94" w:rsidP="009A6C94">
      <w:pPr>
        <w:tabs>
          <w:tab w:val="left" w:pos="2160"/>
          <w:tab w:val="left" w:pos="2280"/>
        </w:tabs>
        <w:rPr>
          <w:rFonts w:ascii="Arial" w:hAnsi="Arial" w:cs="Arial"/>
        </w:rPr>
      </w:pPr>
      <w:r>
        <w:rPr>
          <w:rFonts w:ascii="Arial" w:hAnsi="Arial" w:cs="Arial"/>
        </w:rPr>
        <w:t>Assistant Consumers’ Counsel</w:t>
      </w:r>
    </w:p>
    <w:p w:rsidR="009A6C94" w:rsidRDefault="009A6C94" w:rsidP="009A6C94">
      <w:pPr>
        <w:tabs>
          <w:tab w:val="left" w:pos="2160"/>
          <w:tab w:val="left" w:pos="2280"/>
        </w:tabs>
        <w:rPr>
          <w:rFonts w:ascii="Arial" w:hAnsi="Arial" w:cs="Arial"/>
        </w:rPr>
      </w:pPr>
      <w:r>
        <w:rPr>
          <w:rFonts w:ascii="Arial" w:hAnsi="Arial" w:cs="Arial"/>
        </w:rPr>
        <w:t>10 West Broad Street, Suite 1800</w:t>
      </w:r>
    </w:p>
    <w:p w:rsidR="009A6C94" w:rsidRDefault="009A6C94" w:rsidP="009A6C94">
      <w:pPr>
        <w:tabs>
          <w:tab w:val="left" w:pos="2160"/>
          <w:tab w:val="left" w:pos="2280"/>
        </w:tabs>
        <w:rPr>
          <w:rFonts w:ascii="Arial" w:hAnsi="Arial" w:cs="Arial"/>
        </w:rPr>
      </w:pPr>
      <w:r>
        <w:rPr>
          <w:rFonts w:ascii="Arial" w:hAnsi="Arial" w:cs="Arial"/>
        </w:rPr>
        <w:t>Columbus, OH  43215-3485</w:t>
      </w:r>
    </w:p>
    <w:p w:rsidR="009A6C94" w:rsidRDefault="009A6C94" w:rsidP="009A6C94">
      <w:pPr>
        <w:tabs>
          <w:tab w:val="left" w:pos="2160"/>
          <w:tab w:val="left" w:pos="2280"/>
        </w:tabs>
        <w:rPr>
          <w:rFonts w:ascii="Arial" w:hAnsi="Arial" w:cs="Arial"/>
        </w:rPr>
      </w:pPr>
      <w:r w:rsidRPr="00E76A53">
        <w:rPr>
          <w:rFonts w:ascii="Arial" w:hAnsi="Arial" w:cs="Arial"/>
        </w:rPr>
        <w:t>kern@occ.state.oh.us</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b/>
          <w:smallCaps/>
        </w:rPr>
      </w:pPr>
      <w:r w:rsidRPr="00E6208A">
        <w:rPr>
          <w:rFonts w:ascii="Arial" w:hAnsi="Arial" w:cs="Arial"/>
          <w:b/>
          <w:smallCaps/>
        </w:rPr>
        <w:t>On Behalf of The Office of the Ohio Consumers’ Counsel</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Theodore S. Robinson</w:t>
      </w:r>
    </w:p>
    <w:p w:rsidR="009A6C94" w:rsidRDefault="009A6C94" w:rsidP="009A6C94">
      <w:pPr>
        <w:tabs>
          <w:tab w:val="left" w:pos="2160"/>
          <w:tab w:val="left" w:pos="2280"/>
        </w:tabs>
        <w:rPr>
          <w:rFonts w:ascii="Arial" w:hAnsi="Arial" w:cs="Arial"/>
        </w:rPr>
      </w:pPr>
      <w:r>
        <w:rPr>
          <w:rFonts w:ascii="Arial" w:hAnsi="Arial" w:cs="Arial"/>
        </w:rPr>
        <w:t>Citizen Power</w:t>
      </w:r>
    </w:p>
    <w:p w:rsidR="009A6C94" w:rsidRDefault="009A6C94" w:rsidP="009A6C94">
      <w:pPr>
        <w:tabs>
          <w:tab w:val="left" w:pos="2160"/>
          <w:tab w:val="left" w:pos="2280"/>
        </w:tabs>
        <w:rPr>
          <w:rFonts w:ascii="Arial" w:hAnsi="Arial" w:cs="Arial"/>
        </w:rPr>
      </w:pPr>
      <w:r>
        <w:rPr>
          <w:rFonts w:ascii="Arial" w:hAnsi="Arial" w:cs="Arial"/>
        </w:rPr>
        <w:t>2121 Murray Ave.</w:t>
      </w:r>
    </w:p>
    <w:p w:rsidR="009A6C94" w:rsidRDefault="009A6C94" w:rsidP="009A6C94">
      <w:pPr>
        <w:tabs>
          <w:tab w:val="left" w:pos="2160"/>
          <w:tab w:val="left" w:pos="2280"/>
        </w:tabs>
        <w:rPr>
          <w:rFonts w:ascii="Arial" w:hAnsi="Arial" w:cs="Arial"/>
        </w:rPr>
      </w:pPr>
      <w:r>
        <w:rPr>
          <w:rFonts w:ascii="Arial" w:hAnsi="Arial" w:cs="Arial"/>
        </w:rPr>
        <w:t>Pittsburgh, PA  15217</w:t>
      </w:r>
    </w:p>
    <w:p w:rsidR="009A6C94" w:rsidRDefault="009A6C94" w:rsidP="009A6C94">
      <w:pPr>
        <w:tabs>
          <w:tab w:val="left" w:pos="2160"/>
          <w:tab w:val="left" w:pos="2280"/>
        </w:tabs>
        <w:rPr>
          <w:rFonts w:ascii="Arial" w:hAnsi="Arial" w:cs="Arial"/>
        </w:rPr>
      </w:pPr>
      <w:r w:rsidRPr="00EF0599">
        <w:rPr>
          <w:rFonts w:ascii="Arial" w:hAnsi="Arial" w:cs="Arial"/>
        </w:rPr>
        <w:t>robinson@citizenpower.com</w:t>
      </w:r>
    </w:p>
    <w:p w:rsidR="009A6C94" w:rsidRDefault="009A6C94" w:rsidP="009A6C94">
      <w:pPr>
        <w:tabs>
          <w:tab w:val="left" w:pos="2160"/>
          <w:tab w:val="left" w:pos="2280"/>
        </w:tabs>
        <w:rPr>
          <w:rFonts w:ascii="Arial" w:hAnsi="Arial" w:cs="Arial"/>
        </w:rPr>
      </w:pPr>
    </w:p>
    <w:p w:rsidR="009A6C94" w:rsidRPr="00EF0599" w:rsidRDefault="009A6C94" w:rsidP="009A6C94">
      <w:pPr>
        <w:tabs>
          <w:tab w:val="left" w:pos="2160"/>
          <w:tab w:val="left" w:pos="2280"/>
        </w:tabs>
        <w:rPr>
          <w:rFonts w:ascii="Arial" w:hAnsi="Arial" w:cs="Arial"/>
          <w:b/>
          <w:smallCaps/>
        </w:rPr>
      </w:pPr>
      <w:r>
        <w:rPr>
          <w:rFonts w:ascii="Arial" w:hAnsi="Arial" w:cs="Arial"/>
          <w:b/>
          <w:smallCaps/>
        </w:rPr>
        <w:t>On Behalf of Citizen Power</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Michael K. Lavanga</w:t>
      </w:r>
    </w:p>
    <w:p w:rsidR="009A6C94" w:rsidRDefault="009A6C94" w:rsidP="009A6C94">
      <w:pPr>
        <w:tabs>
          <w:tab w:val="left" w:pos="2160"/>
          <w:tab w:val="left" w:pos="2280"/>
        </w:tabs>
        <w:rPr>
          <w:rFonts w:ascii="Arial" w:hAnsi="Arial" w:cs="Arial"/>
        </w:rPr>
      </w:pPr>
      <w:r>
        <w:rPr>
          <w:rFonts w:ascii="Arial" w:hAnsi="Arial" w:cs="Arial"/>
        </w:rPr>
        <w:t>Brickfield, Burchette, Ritts &amp; Stone</w:t>
      </w:r>
    </w:p>
    <w:p w:rsidR="009A6C94" w:rsidRDefault="009A6C94" w:rsidP="009A6C94">
      <w:pPr>
        <w:tabs>
          <w:tab w:val="left" w:pos="2160"/>
          <w:tab w:val="left" w:pos="2280"/>
        </w:tabs>
        <w:rPr>
          <w:rFonts w:ascii="Arial" w:hAnsi="Arial" w:cs="Arial"/>
        </w:rPr>
      </w:pPr>
      <w:r>
        <w:rPr>
          <w:rFonts w:ascii="Arial" w:hAnsi="Arial" w:cs="Arial"/>
        </w:rPr>
        <w:t>1025 Thomas Jefferson Street, N.W.</w:t>
      </w:r>
    </w:p>
    <w:p w:rsidR="009A6C94" w:rsidRDefault="009A6C94" w:rsidP="009A6C94">
      <w:pPr>
        <w:tabs>
          <w:tab w:val="left" w:pos="2160"/>
          <w:tab w:val="left" w:pos="2280"/>
        </w:tabs>
        <w:rPr>
          <w:rFonts w:ascii="Arial" w:hAnsi="Arial" w:cs="Arial"/>
        </w:rPr>
      </w:pPr>
      <w:r>
        <w:rPr>
          <w:rFonts w:ascii="Arial" w:hAnsi="Arial" w:cs="Arial"/>
        </w:rPr>
        <w:t>8</w:t>
      </w:r>
      <w:r w:rsidRPr="00ED22CC">
        <w:rPr>
          <w:rFonts w:ascii="Arial" w:hAnsi="Arial" w:cs="Arial"/>
          <w:vertAlign w:val="superscript"/>
        </w:rPr>
        <w:t>th</w:t>
      </w:r>
      <w:r>
        <w:rPr>
          <w:rFonts w:ascii="Arial" w:hAnsi="Arial" w:cs="Arial"/>
        </w:rPr>
        <w:t xml:space="preserve"> Floor, West Tower</w:t>
      </w:r>
    </w:p>
    <w:p w:rsidR="009A6C94" w:rsidRDefault="009A6C94" w:rsidP="009A6C94">
      <w:pPr>
        <w:tabs>
          <w:tab w:val="left" w:pos="2160"/>
          <w:tab w:val="left" w:pos="2280"/>
        </w:tabs>
        <w:rPr>
          <w:rFonts w:ascii="Arial" w:hAnsi="Arial" w:cs="Arial"/>
        </w:rPr>
      </w:pPr>
      <w:r>
        <w:rPr>
          <w:rFonts w:ascii="Arial" w:hAnsi="Arial" w:cs="Arial"/>
        </w:rPr>
        <w:t>Washington, DC 20007</w:t>
      </w:r>
    </w:p>
    <w:p w:rsidR="009A6C94" w:rsidRDefault="009A6C94" w:rsidP="009A6C94">
      <w:pPr>
        <w:tabs>
          <w:tab w:val="left" w:pos="2160"/>
          <w:tab w:val="left" w:pos="2280"/>
        </w:tabs>
        <w:rPr>
          <w:rFonts w:ascii="Arial" w:hAnsi="Arial" w:cs="Arial"/>
        </w:rPr>
      </w:pPr>
      <w:r>
        <w:rPr>
          <w:rFonts w:ascii="Arial" w:hAnsi="Arial" w:cs="Arial"/>
        </w:rPr>
        <w:t>mkl@bbrslaw.com</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b/>
          <w:smallCaps/>
        </w:rPr>
      </w:pPr>
      <w:r>
        <w:rPr>
          <w:rFonts w:ascii="Arial" w:hAnsi="Arial" w:cs="Arial"/>
          <w:b/>
          <w:smallCaps/>
        </w:rPr>
        <w:t>On Behalf of Nucor Steel Marion, Inc.</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Gregory J. Poulos</w:t>
      </w:r>
    </w:p>
    <w:p w:rsidR="009A6C94" w:rsidRDefault="009A6C94" w:rsidP="009A6C94">
      <w:pPr>
        <w:tabs>
          <w:tab w:val="left" w:pos="2160"/>
          <w:tab w:val="left" w:pos="2280"/>
        </w:tabs>
        <w:rPr>
          <w:rFonts w:ascii="Arial" w:hAnsi="Arial" w:cs="Arial"/>
        </w:rPr>
      </w:pPr>
      <w:r>
        <w:rPr>
          <w:rFonts w:ascii="Arial" w:hAnsi="Arial" w:cs="Arial"/>
        </w:rPr>
        <w:t>EnerNOC, Inc.</w:t>
      </w:r>
    </w:p>
    <w:p w:rsidR="009A6C94" w:rsidRDefault="009A6C94" w:rsidP="009A6C94">
      <w:pPr>
        <w:tabs>
          <w:tab w:val="left" w:pos="2160"/>
          <w:tab w:val="left" w:pos="2280"/>
        </w:tabs>
        <w:rPr>
          <w:rFonts w:ascii="Arial" w:hAnsi="Arial" w:cs="Arial"/>
        </w:rPr>
      </w:pPr>
      <w:r>
        <w:rPr>
          <w:rFonts w:ascii="Arial" w:hAnsi="Arial" w:cs="Arial"/>
        </w:rPr>
        <w:t>471 East Broad Street, Suite 1520</w:t>
      </w:r>
    </w:p>
    <w:p w:rsidR="009A6C94" w:rsidRDefault="009A6C94" w:rsidP="009A6C94">
      <w:pPr>
        <w:tabs>
          <w:tab w:val="left" w:pos="2160"/>
          <w:tab w:val="left" w:pos="2280"/>
        </w:tabs>
        <w:rPr>
          <w:rFonts w:ascii="Arial" w:hAnsi="Arial" w:cs="Arial"/>
        </w:rPr>
      </w:pPr>
      <w:r>
        <w:rPr>
          <w:rFonts w:ascii="Arial" w:hAnsi="Arial" w:cs="Arial"/>
        </w:rPr>
        <w:t>Columbus, OH  43215</w:t>
      </w:r>
    </w:p>
    <w:p w:rsidR="009A6C94" w:rsidRDefault="009A6C94" w:rsidP="009A6C94">
      <w:pPr>
        <w:tabs>
          <w:tab w:val="left" w:pos="2160"/>
          <w:tab w:val="left" w:pos="2280"/>
        </w:tabs>
        <w:rPr>
          <w:rFonts w:ascii="Arial" w:hAnsi="Arial" w:cs="Arial"/>
        </w:rPr>
      </w:pPr>
      <w:r>
        <w:rPr>
          <w:rFonts w:ascii="Arial" w:hAnsi="Arial" w:cs="Arial"/>
        </w:rPr>
        <w:t>gpoulos@enernoc.com</w:t>
      </w:r>
    </w:p>
    <w:p w:rsidR="009A6C94" w:rsidRDefault="009A6C94" w:rsidP="009A6C94">
      <w:pPr>
        <w:tabs>
          <w:tab w:val="left" w:pos="2160"/>
          <w:tab w:val="left" w:pos="2280"/>
        </w:tabs>
        <w:rPr>
          <w:rFonts w:ascii="Arial" w:hAnsi="Arial" w:cs="Arial"/>
          <w:b/>
          <w:smallCaps/>
        </w:rPr>
      </w:pPr>
    </w:p>
    <w:p w:rsidR="009A6C94" w:rsidRDefault="009A6C94" w:rsidP="009A6C94">
      <w:pPr>
        <w:tabs>
          <w:tab w:val="left" w:pos="2160"/>
          <w:tab w:val="left" w:pos="2280"/>
        </w:tabs>
        <w:rPr>
          <w:rFonts w:ascii="Arial" w:hAnsi="Arial" w:cs="Arial"/>
          <w:b/>
          <w:smallCaps/>
        </w:rPr>
      </w:pPr>
      <w:r w:rsidRPr="00E6208A">
        <w:rPr>
          <w:rFonts w:ascii="Arial" w:hAnsi="Arial" w:cs="Arial"/>
          <w:b/>
          <w:smallCaps/>
        </w:rPr>
        <w:t>On Behalf of</w:t>
      </w:r>
      <w:r>
        <w:rPr>
          <w:rFonts w:ascii="Arial" w:hAnsi="Arial" w:cs="Arial"/>
          <w:b/>
          <w:smallCaps/>
        </w:rPr>
        <w:t xml:space="preserve"> EnerNOC, Inc.</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Glenn S. Krassen</w:t>
      </w:r>
    </w:p>
    <w:p w:rsidR="009A6C94" w:rsidRDefault="009A6C94" w:rsidP="009A6C94">
      <w:pPr>
        <w:tabs>
          <w:tab w:val="left" w:pos="2160"/>
          <w:tab w:val="left" w:pos="2280"/>
        </w:tabs>
        <w:rPr>
          <w:rFonts w:ascii="Arial" w:hAnsi="Arial" w:cs="Arial"/>
        </w:rPr>
      </w:pPr>
      <w:r>
        <w:rPr>
          <w:rFonts w:ascii="Arial" w:hAnsi="Arial" w:cs="Arial"/>
        </w:rPr>
        <w:t>Bricker &amp; Eckler LLP</w:t>
      </w:r>
    </w:p>
    <w:p w:rsidR="009A6C94" w:rsidRDefault="009A6C94" w:rsidP="009A6C94">
      <w:pPr>
        <w:tabs>
          <w:tab w:val="left" w:pos="2160"/>
          <w:tab w:val="left" w:pos="2280"/>
        </w:tabs>
        <w:rPr>
          <w:rFonts w:ascii="Arial" w:hAnsi="Arial" w:cs="Arial"/>
        </w:rPr>
      </w:pPr>
      <w:r>
        <w:rPr>
          <w:rFonts w:ascii="Arial" w:hAnsi="Arial" w:cs="Arial"/>
        </w:rPr>
        <w:t>1001 Lakeside Avenue East, Suite 1350</w:t>
      </w:r>
    </w:p>
    <w:p w:rsidR="009A6C94" w:rsidRDefault="009A6C94" w:rsidP="009A6C94">
      <w:pPr>
        <w:tabs>
          <w:tab w:val="left" w:pos="2160"/>
          <w:tab w:val="left" w:pos="2280"/>
        </w:tabs>
        <w:rPr>
          <w:rFonts w:ascii="Arial" w:hAnsi="Arial" w:cs="Arial"/>
        </w:rPr>
      </w:pPr>
      <w:r>
        <w:rPr>
          <w:rFonts w:ascii="Arial" w:hAnsi="Arial" w:cs="Arial"/>
        </w:rPr>
        <w:t>Cleveland, OH  44114</w:t>
      </w:r>
    </w:p>
    <w:p w:rsidR="009A6C94" w:rsidRDefault="009A6C94" w:rsidP="009A6C94">
      <w:pPr>
        <w:tabs>
          <w:tab w:val="left" w:pos="2160"/>
          <w:tab w:val="left" w:pos="2280"/>
        </w:tabs>
        <w:rPr>
          <w:rFonts w:ascii="Arial" w:hAnsi="Arial" w:cs="Arial"/>
        </w:rPr>
      </w:pPr>
      <w:r w:rsidRPr="009A6C94">
        <w:rPr>
          <w:rFonts w:ascii="Arial" w:hAnsi="Arial" w:cs="Arial"/>
        </w:rPr>
        <w:t>gkrassen@bricker.com</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lastRenderedPageBreak/>
        <w:t>Matthew W. Warnock</w:t>
      </w:r>
    </w:p>
    <w:p w:rsidR="009A6C94" w:rsidRDefault="009A6C94" w:rsidP="009A6C94">
      <w:pPr>
        <w:tabs>
          <w:tab w:val="left" w:pos="2160"/>
          <w:tab w:val="left" w:pos="2280"/>
        </w:tabs>
        <w:rPr>
          <w:rFonts w:ascii="Arial" w:hAnsi="Arial" w:cs="Arial"/>
        </w:rPr>
      </w:pPr>
      <w:r>
        <w:rPr>
          <w:rFonts w:ascii="Arial" w:hAnsi="Arial" w:cs="Arial"/>
        </w:rPr>
        <w:t>Bricker &amp; Eckler LLP</w:t>
      </w:r>
    </w:p>
    <w:p w:rsidR="009A6C94" w:rsidRDefault="009A6C94" w:rsidP="009A6C94">
      <w:pPr>
        <w:tabs>
          <w:tab w:val="left" w:pos="2160"/>
          <w:tab w:val="left" w:pos="2280"/>
        </w:tabs>
        <w:rPr>
          <w:rFonts w:ascii="Arial" w:hAnsi="Arial" w:cs="Arial"/>
        </w:rPr>
      </w:pPr>
      <w:r>
        <w:rPr>
          <w:rFonts w:ascii="Arial" w:hAnsi="Arial" w:cs="Arial"/>
        </w:rPr>
        <w:t>100 South Third Street</w:t>
      </w:r>
    </w:p>
    <w:p w:rsidR="009A6C94" w:rsidRDefault="009A6C94" w:rsidP="009A6C94">
      <w:pPr>
        <w:tabs>
          <w:tab w:val="left" w:pos="2160"/>
          <w:tab w:val="left" w:pos="2280"/>
        </w:tabs>
        <w:rPr>
          <w:rFonts w:ascii="Arial" w:hAnsi="Arial" w:cs="Arial"/>
        </w:rPr>
      </w:pPr>
      <w:r>
        <w:rPr>
          <w:rFonts w:ascii="Arial" w:hAnsi="Arial" w:cs="Arial"/>
        </w:rPr>
        <w:t>Columbus, OH  43215</w:t>
      </w:r>
    </w:p>
    <w:p w:rsidR="009A6C94" w:rsidRDefault="009A6C94" w:rsidP="009A6C94">
      <w:pPr>
        <w:tabs>
          <w:tab w:val="left" w:pos="2160"/>
          <w:tab w:val="left" w:pos="2280"/>
        </w:tabs>
        <w:rPr>
          <w:rFonts w:ascii="Arial" w:hAnsi="Arial" w:cs="Arial"/>
        </w:rPr>
      </w:pPr>
      <w:r>
        <w:rPr>
          <w:rFonts w:ascii="Arial" w:hAnsi="Arial" w:cs="Arial"/>
        </w:rPr>
        <w:t>mwarnock@bricker.com</w:t>
      </w:r>
    </w:p>
    <w:p w:rsidR="009A6C94" w:rsidRDefault="009A6C94" w:rsidP="009A6C94">
      <w:pPr>
        <w:tabs>
          <w:tab w:val="left" w:pos="2160"/>
          <w:tab w:val="left" w:pos="2280"/>
        </w:tabs>
        <w:rPr>
          <w:rFonts w:ascii="Arial" w:hAnsi="Arial" w:cs="Arial"/>
        </w:rPr>
      </w:pPr>
    </w:p>
    <w:p w:rsidR="009A6C94" w:rsidRPr="003E3CC2" w:rsidRDefault="009A6C94" w:rsidP="009A6C94">
      <w:pPr>
        <w:tabs>
          <w:tab w:val="left" w:pos="2160"/>
          <w:tab w:val="left" w:pos="2280"/>
        </w:tabs>
        <w:rPr>
          <w:rFonts w:ascii="Arial" w:hAnsi="Arial" w:cs="Arial"/>
          <w:b/>
          <w:smallCaps/>
        </w:rPr>
      </w:pPr>
      <w:r w:rsidRPr="003E3CC2">
        <w:rPr>
          <w:rFonts w:ascii="Arial" w:hAnsi="Arial" w:cs="Arial"/>
          <w:b/>
          <w:smallCaps/>
        </w:rPr>
        <w:t>On Behalf of Northeast Ohio Public Energy Council</w:t>
      </w:r>
    </w:p>
    <w:p w:rsidR="009A6C94" w:rsidRDefault="009A6C94" w:rsidP="009A6C94">
      <w:pPr>
        <w:tabs>
          <w:tab w:val="left" w:pos="2160"/>
          <w:tab w:val="left" w:pos="2280"/>
        </w:tabs>
      </w:pPr>
    </w:p>
    <w:p w:rsidR="00074486" w:rsidRDefault="00074486" w:rsidP="00074486">
      <w:pPr>
        <w:tabs>
          <w:tab w:val="left" w:pos="2160"/>
          <w:tab w:val="left" w:pos="2280"/>
        </w:tabs>
        <w:rPr>
          <w:rFonts w:ascii="Arial" w:hAnsi="Arial" w:cs="Arial"/>
        </w:rPr>
      </w:pPr>
      <w:r>
        <w:rPr>
          <w:rFonts w:ascii="Arial" w:hAnsi="Arial" w:cs="Arial"/>
        </w:rPr>
        <w:t>William Wright</w:t>
      </w:r>
    </w:p>
    <w:p w:rsidR="00074486" w:rsidRDefault="00074486" w:rsidP="00074486">
      <w:pPr>
        <w:tabs>
          <w:tab w:val="left" w:pos="2160"/>
          <w:tab w:val="left" w:pos="2280"/>
        </w:tabs>
        <w:rPr>
          <w:rFonts w:ascii="Arial" w:hAnsi="Arial" w:cs="Arial"/>
        </w:rPr>
      </w:pPr>
      <w:r>
        <w:rPr>
          <w:rFonts w:ascii="Arial" w:hAnsi="Arial" w:cs="Arial"/>
        </w:rPr>
        <w:t>Devin Parram</w:t>
      </w:r>
    </w:p>
    <w:p w:rsidR="00074486" w:rsidRDefault="00074486" w:rsidP="00074486">
      <w:pPr>
        <w:tabs>
          <w:tab w:val="left" w:pos="2160"/>
          <w:tab w:val="left" w:pos="2280"/>
        </w:tabs>
        <w:rPr>
          <w:rFonts w:ascii="Arial" w:hAnsi="Arial" w:cs="Arial"/>
        </w:rPr>
      </w:pPr>
      <w:r>
        <w:rPr>
          <w:rFonts w:ascii="Arial" w:hAnsi="Arial" w:cs="Arial"/>
        </w:rPr>
        <w:t>Attorney General’s Office</w:t>
      </w:r>
    </w:p>
    <w:p w:rsidR="00074486" w:rsidRDefault="00074486" w:rsidP="00074486">
      <w:pPr>
        <w:tabs>
          <w:tab w:val="left" w:pos="2160"/>
          <w:tab w:val="left" w:pos="2280"/>
        </w:tabs>
        <w:rPr>
          <w:rFonts w:ascii="Arial" w:hAnsi="Arial" w:cs="Arial"/>
        </w:rPr>
      </w:pPr>
      <w:r>
        <w:rPr>
          <w:rFonts w:ascii="Arial" w:hAnsi="Arial" w:cs="Arial"/>
        </w:rPr>
        <w:t>Public Utilities Commission of Ohio</w:t>
      </w:r>
    </w:p>
    <w:p w:rsidR="00074486" w:rsidRDefault="00074486" w:rsidP="00074486">
      <w:pPr>
        <w:tabs>
          <w:tab w:val="left" w:pos="2160"/>
          <w:tab w:val="left" w:pos="2280"/>
        </w:tabs>
        <w:rPr>
          <w:rFonts w:ascii="Arial" w:hAnsi="Arial" w:cs="Arial"/>
        </w:rPr>
      </w:pPr>
      <w:r>
        <w:rPr>
          <w:rFonts w:ascii="Arial" w:hAnsi="Arial" w:cs="Arial"/>
        </w:rPr>
        <w:t>180 East Broad St., 6</w:t>
      </w:r>
      <w:r w:rsidRPr="00E6208A">
        <w:rPr>
          <w:rFonts w:ascii="Arial" w:hAnsi="Arial" w:cs="Arial"/>
          <w:vertAlign w:val="superscript"/>
        </w:rPr>
        <w:t>th</w:t>
      </w:r>
      <w:r>
        <w:rPr>
          <w:rFonts w:ascii="Arial" w:hAnsi="Arial" w:cs="Arial"/>
        </w:rPr>
        <w:t xml:space="preserve"> Floor</w:t>
      </w:r>
    </w:p>
    <w:p w:rsidR="00074486" w:rsidRDefault="00074486" w:rsidP="00074486">
      <w:pPr>
        <w:tabs>
          <w:tab w:val="left" w:pos="2160"/>
          <w:tab w:val="left" w:pos="2280"/>
        </w:tabs>
        <w:rPr>
          <w:rFonts w:ascii="Arial" w:hAnsi="Arial" w:cs="Arial"/>
        </w:rPr>
      </w:pPr>
      <w:r>
        <w:rPr>
          <w:rFonts w:ascii="Arial" w:hAnsi="Arial" w:cs="Arial"/>
        </w:rPr>
        <w:t>Columbus, OH  43215</w:t>
      </w:r>
    </w:p>
    <w:p w:rsidR="00074486" w:rsidRDefault="00074486" w:rsidP="00074486">
      <w:pPr>
        <w:tabs>
          <w:tab w:val="left" w:pos="2160"/>
          <w:tab w:val="left" w:pos="2280"/>
        </w:tabs>
        <w:rPr>
          <w:rFonts w:ascii="Arial" w:hAnsi="Arial" w:cs="Arial"/>
        </w:rPr>
      </w:pPr>
      <w:r w:rsidRPr="00E76A53">
        <w:rPr>
          <w:rFonts w:ascii="Arial" w:hAnsi="Arial" w:cs="Arial"/>
        </w:rPr>
        <w:t>devin.parram@puc.state.oh.us</w:t>
      </w:r>
    </w:p>
    <w:p w:rsidR="00074486" w:rsidRDefault="00074486" w:rsidP="00074486">
      <w:pPr>
        <w:tabs>
          <w:tab w:val="left" w:pos="2160"/>
          <w:tab w:val="left" w:pos="2280"/>
        </w:tabs>
        <w:rPr>
          <w:rFonts w:ascii="Arial" w:hAnsi="Arial" w:cs="Arial"/>
        </w:rPr>
      </w:pPr>
      <w:r>
        <w:rPr>
          <w:rFonts w:ascii="Arial" w:hAnsi="Arial" w:cs="Arial"/>
        </w:rPr>
        <w:t>william.wright@puc.state.oh.us</w:t>
      </w:r>
    </w:p>
    <w:p w:rsidR="00074486" w:rsidRDefault="00074486" w:rsidP="00074486">
      <w:pPr>
        <w:tabs>
          <w:tab w:val="left" w:pos="2160"/>
          <w:tab w:val="left" w:pos="2280"/>
        </w:tabs>
        <w:rPr>
          <w:rFonts w:ascii="Arial" w:hAnsi="Arial" w:cs="Arial"/>
        </w:rPr>
      </w:pPr>
    </w:p>
    <w:p w:rsidR="00074486" w:rsidRPr="00473CF2" w:rsidRDefault="00074486" w:rsidP="00074486">
      <w:pPr>
        <w:tabs>
          <w:tab w:val="left" w:pos="2160"/>
          <w:tab w:val="left" w:pos="2280"/>
        </w:tabs>
        <w:rPr>
          <w:rFonts w:ascii="Arial" w:hAnsi="Arial" w:cs="Arial"/>
          <w:b/>
          <w:smallCaps/>
        </w:rPr>
      </w:pPr>
      <w:r w:rsidRPr="00473CF2">
        <w:rPr>
          <w:rFonts w:ascii="Arial" w:hAnsi="Arial" w:cs="Arial"/>
          <w:b/>
          <w:smallCaps/>
        </w:rPr>
        <w:t>On Behalf of the Public Utilities Commission of Ohio</w:t>
      </w:r>
    </w:p>
    <w:p w:rsidR="00074486" w:rsidRDefault="00074486"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rPr>
      </w:pPr>
      <w:r>
        <w:rPr>
          <w:rFonts w:ascii="Arial" w:hAnsi="Arial" w:cs="Arial"/>
        </w:rPr>
        <w:t>Gregory Price</w:t>
      </w:r>
    </w:p>
    <w:p w:rsidR="009A6C94" w:rsidRDefault="009A6C94" w:rsidP="009A6C94">
      <w:pPr>
        <w:tabs>
          <w:tab w:val="left" w:pos="2160"/>
          <w:tab w:val="left" w:pos="2280"/>
        </w:tabs>
        <w:rPr>
          <w:rFonts w:ascii="Arial" w:hAnsi="Arial" w:cs="Arial"/>
        </w:rPr>
      </w:pPr>
      <w:r>
        <w:rPr>
          <w:rFonts w:ascii="Arial" w:hAnsi="Arial" w:cs="Arial"/>
        </w:rPr>
        <w:t>Mandy Willey Chiles</w:t>
      </w:r>
    </w:p>
    <w:p w:rsidR="009A6C94" w:rsidRDefault="009A6C94" w:rsidP="009A6C94">
      <w:pPr>
        <w:tabs>
          <w:tab w:val="left" w:pos="2160"/>
          <w:tab w:val="left" w:pos="2280"/>
        </w:tabs>
        <w:rPr>
          <w:rFonts w:ascii="Arial" w:hAnsi="Arial" w:cs="Arial"/>
        </w:rPr>
      </w:pPr>
      <w:r>
        <w:rPr>
          <w:rFonts w:ascii="Arial" w:hAnsi="Arial" w:cs="Arial"/>
        </w:rPr>
        <w:t>Attorney Examiners</w:t>
      </w:r>
    </w:p>
    <w:p w:rsidR="009A6C94" w:rsidRDefault="009A6C94" w:rsidP="009A6C94">
      <w:pPr>
        <w:tabs>
          <w:tab w:val="left" w:pos="2160"/>
          <w:tab w:val="left" w:pos="2280"/>
        </w:tabs>
        <w:rPr>
          <w:rFonts w:ascii="Arial" w:hAnsi="Arial" w:cs="Arial"/>
        </w:rPr>
      </w:pPr>
      <w:r>
        <w:rPr>
          <w:rFonts w:ascii="Arial" w:hAnsi="Arial" w:cs="Arial"/>
        </w:rPr>
        <w:t>Public Utilities Commission of Ohio</w:t>
      </w:r>
    </w:p>
    <w:p w:rsidR="009A6C94" w:rsidRDefault="009A6C94" w:rsidP="009A6C94">
      <w:pPr>
        <w:tabs>
          <w:tab w:val="left" w:pos="2160"/>
          <w:tab w:val="left" w:pos="2280"/>
        </w:tabs>
        <w:rPr>
          <w:rFonts w:ascii="Arial" w:hAnsi="Arial" w:cs="Arial"/>
        </w:rPr>
      </w:pPr>
      <w:r>
        <w:rPr>
          <w:rFonts w:ascii="Arial" w:hAnsi="Arial" w:cs="Arial"/>
        </w:rPr>
        <w:t>180 East Broad Street</w:t>
      </w:r>
    </w:p>
    <w:p w:rsidR="009A6C94" w:rsidRDefault="009A6C94" w:rsidP="009A6C94">
      <w:pPr>
        <w:tabs>
          <w:tab w:val="left" w:pos="2160"/>
          <w:tab w:val="left" w:pos="2280"/>
        </w:tabs>
        <w:rPr>
          <w:rFonts w:ascii="Arial" w:hAnsi="Arial" w:cs="Arial"/>
        </w:rPr>
      </w:pPr>
      <w:r>
        <w:rPr>
          <w:rFonts w:ascii="Arial" w:hAnsi="Arial" w:cs="Arial"/>
        </w:rPr>
        <w:t>Columbus, OH  43215</w:t>
      </w:r>
    </w:p>
    <w:p w:rsidR="009A6C94" w:rsidRDefault="009A6C94" w:rsidP="009A6C94">
      <w:pPr>
        <w:tabs>
          <w:tab w:val="left" w:pos="2160"/>
          <w:tab w:val="left" w:pos="2280"/>
        </w:tabs>
        <w:rPr>
          <w:rFonts w:ascii="Arial" w:hAnsi="Arial" w:cs="Arial"/>
        </w:rPr>
      </w:pPr>
      <w:r>
        <w:rPr>
          <w:rFonts w:ascii="Arial" w:hAnsi="Arial" w:cs="Arial"/>
        </w:rPr>
        <w:t>gregory.price@puc.state.oh.us</w:t>
      </w:r>
    </w:p>
    <w:p w:rsidR="009A6C94" w:rsidRDefault="009A6C94" w:rsidP="009A6C94">
      <w:pPr>
        <w:tabs>
          <w:tab w:val="left" w:pos="2160"/>
          <w:tab w:val="left" w:pos="2280"/>
        </w:tabs>
        <w:rPr>
          <w:rFonts w:ascii="Arial" w:hAnsi="Arial" w:cs="Arial"/>
        </w:rPr>
      </w:pPr>
      <w:r w:rsidRPr="00E76A53">
        <w:rPr>
          <w:rFonts w:ascii="Arial" w:hAnsi="Arial" w:cs="Arial"/>
        </w:rPr>
        <w:t>mandy.willey@puc.state.oh.us</w:t>
      </w:r>
    </w:p>
    <w:p w:rsidR="009A6C94" w:rsidRDefault="009A6C94" w:rsidP="009A6C94">
      <w:pPr>
        <w:tabs>
          <w:tab w:val="left" w:pos="2160"/>
          <w:tab w:val="left" w:pos="2280"/>
        </w:tabs>
        <w:rPr>
          <w:rFonts w:ascii="Arial" w:hAnsi="Arial" w:cs="Arial"/>
        </w:rPr>
      </w:pPr>
    </w:p>
    <w:p w:rsidR="009A6C94" w:rsidRDefault="009A6C94" w:rsidP="009A6C94">
      <w:pPr>
        <w:tabs>
          <w:tab w:val="left" w:pos="2160"/>
          <w:tab w:val="left" w:pos="2280"/>
        </w:tabs>
        <w:rPr>
          <w:rFonts w:ascii="Arial" w:hAnsi="Arial" w:cs="Arial"/>
          <w:b/>
          <w:smallCaps/>
        </w:rPr>
      </w:pPr>
      <w:r w:rsidRPr="00473CF2">
        <w:rPr>
          <w:rFonts w:ascii="Arial" w:hAnsi="Arial" w:cs="Arial"/>
          <w:b/>
          <w:smallCaps/>
        </w:rPr>
        <w:t>Attorney Examiners</w:t>
      </w:r>
    </w:p>
    <w:p w:rsidR="009A6C94" w:rsidRPr="003E3CC2" w:rsidRDefault="009A6C94" w:rsidP="009A6C94">
      <w:pPr>
        <w:tabs>
          <w:tab w:val="left" w:pos="2160"/>
          <w:tab w:val="left" w:pos="2280"/>
        </w:tabs>
      </w:pPr>
    </w:p>
    <w:p w:rsidR="00BB5245" w:rsidRDefault="00BB5245">
      <w:pPr>
        <w:tabs>
          <w:tab w:val="left" w:pos="2160"/>
          <w:tab w:val="left" w:pos="2280"/>
        </w:tabs>
        <w:rPr>
          <w:rFonts w:ascii="Arial" w:hAnsi="Arial" w:cs="Arial"/>
          <w:b/>
          <w:smallCaps/>
        </w:rPr>
      </w:pPr>
    </w:p>
    <w:sectPr w:rsidR="00BB5245" w:rsidSect="00BB5245">
      <w:headerReference w:type="default" r:id="rId26"/>
      <w:footerReference w:type="default" r:id="rId27"/>
      <w:headerReference w:type="first" r:id="rId28"/>
      <w:footerReference w:type="first" r:id="rId29"/>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7F" w:rsidRDefault="00C2357F">
      <w:r>
        <w:separator/>
      </w:r>
    </w:p>
  </w:endnote>
  <w:endnote w:type="continuationSeparator" w:id="0">
    <w:p w:rsidR="00C2357F" w:rsidRDefault="00C2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TE192C28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2357F" w:rsidRDefault="00C2357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226270">
    <w:pPr>
      <w:pStyle w:val="Footer"/>
    </w:pPr>
    <w:r w:rsidRPr="00226270">
      <w:rPr>
        <w:sz w:val="16"/>
      </w:rPr>
      <w:t>{C39082:2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226270">
    <w:pPr>
      <w:pStyle w:val="Footer"/>
    </w:pPr>
    <w:r w:rsidRPr="00226270">
      <w:rPr>
        <w:noProof/>
        <w:sz w:val="16"/>
      </w:rPr>
      <w:t>{C39082:2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226270">
    <w:pPr>
      <w:pStyle w:val="Footer"/>
    </w:pPr>
    <w:r w:rsidRPr="00226270">
      <w:rPr>
        <w:sz w:val="16"/>
      </w:rPr>
      <w:t>{C39082:2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00" w:rsidRPr="00713300" w:rsidRDefault="00226270" w:rsidP="009636C5">
    <w:pPr>
      <w:pStyle w:val="Footer"/>
    </w:pPr>
    <w:r w:rsidRPr="00226270">
      <w:rPr>
        <w:noProof/>
        <w:sz w:val="16"/>
      </w:rPr>
      <w:t>{C39082:2 }</w:t>
    </w:r>
    <w:r w:rsidR="009636C5">
      <w:rPr>
        <w:noProof/>
        <w:sz w:val="16"/>
      </w:rPr>
      <w:tab/>
    </w:r>
  </w:p>
  <w:p w:rsidR="00C2357F" w:rsidRPr="00713300" w:rsidRDefault="00C235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00" w:rsidRDefault="00226270">
    <w:pPr>
      <w:pStyle w:val="Footer"/>
    </w:pPr>
    <w:r w:rsidRPr="00226270">
      <w:rPr>
        <w:sz w:val="16"/>
      </w:rPr>
      <w:t>{C39082:2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00" w:rsidRPr="00713300" w:rsidRDefault="00226270" w:rsidP="009636C5">
    <w:pPr>
      <w:pStyle w:val="Footer"/>
      <w:rPr>
        <w:rFonts w:ascii="Arial" w:hAnsi="Arial" w:cs="Arial"/>
      </w:rPr>
    </w:pPr>
    <w:r w:rsidRPr="00226270">
      <w:rPr>
        <w:noProof/>
        <w:sz w:val="16"/>
      </w:rPr>
      <w:t>{C39082:2 }</w:t>
    </w:r>
    <w:sdt>
      <w:sdtPr>
        <w:id w:val="-1238473254"/>
        <w:docPartObj>
          <w:docPartGallery w:val="Page Numbers (Bottom of Page)"/>
          <w:docPartUnique/>
        </w:docPartObj>
      </w:sdtPr>
      <w:sdtEndPr>
        <w:rPr>
          <w:rFonts w:ascii="Arial" w:hAnsi="Arial" w:cs="Arial"/>
          <w:noProof/>
        </w:rPr>
      </w:sdtEndPr>
      <w:sdtContent>
        <w:r w:rsidR="009636C5">
          <w:tab/>
        </w:r>
        <w:r w:rsidR="00713300" w:rsidRPr="00713300">
          <w:rPr>
            <w:rFonts w:ascii="Arial" w:hAnsi="Arial" w:cs="Arial"/>
          </w:rPr>
          <w:fldChar w:fldCharType="begin"/>
        </w:r>
        <w:r w:rsidR="00713300" w:rsidRPr="00713300">
          <w:rPr>
            <w:rFonts w:ascii="Arial" w:hAnsi="Arial" w:cs="Arial"/>
          </w:rPr>
          <w:instrText xml:space="preserve"> PAGE   \* MERGEFORMAT </w:instrText>
        </w:r>
        <w:r w:rsidR="00713300" w:rsidRPr="00713300">
          <w:rPr>
            <w:rFonts w:ascii="Arial" w:hAnsi="Arial" w:cs="Arial"/>
          </w:rPr>
          <w:fldChar w:fldCharType="separate"/>
        </w:r>
        <w:r>
          <w:rPr>
            <w:rFonts w:ascii="Arial" w:hAnsi="Arial" w:cs="Arial"/>
            <w:noProof/>
          </w:rPr>
          <w:t>i</w:t>
        </w:r>
        <w:r w:rsidR="00713300" w:rsidRPr="00713300">
          <w:rPr>
            <w:rFonts w:ascii="Arial" w:hAnsi="Arial" w:cs="Arial"/>
            <w:noProof/>
          </w:rPr>
          <w:fldChar w:fldCharType="end"/>
        </w:r>
      </w:sdtContent>
    </w:sdt>
  </w:p>
  <w:p w:rsidR="00713300" w:rsidRPr="00713300" w:rsidRDefault="007133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Pr="00074486" w:rsidRDefault="00226270" w:rsidP="005E0AD7">
    <w:pPr>
      <w:pStyle w:val="Footer"/>
      <w:rPr>
        <w:rFonts w:ascii="Arial" w:hAnsi="Arial" w:cs="Arial"/>
      </w:rPr>
    </w:pPr>
    <w:r w:rsidRPr="00226270">
      <w:rPr>
        <w:rFonts w:ascii="Arial" w:hAnsi="Arial" w:cs="Arial"/>
        <w:noProof/>
        <w:sz w:val="16"/>
      </w:rPr>
      <w:t>{C39082:2 }</w:t>
    </w:r>
    <w:sdt>
      <w:sdtPr>
        <w:rPr>
          <w:rFonts w:ascii="Arial" w:hAnsi="Arial" w:cs="Arial"/>
        </w:rPr>
        <w:id w:val="-1573182956"/>
        <w:docPartObj>
          <w:docPartGallery w:val="Page Numbers (Bottom of Page)"/>
          <w:docPartUnique/>
        </w:docPartObj>
      </w:sdtPr>
      <w:sdtEndPr>
        <w:rPr>
          <w:noProof/>
        </w:rPr>
      </w:sdtEndPr>
      <w:sdtContent>
        <w:r w:rsidR="00C2357F">
          <w:rPr>
            <w:rFonts w:ascii="Arial" w:hAnsi="Arial" w:cs="Arial"/>
          </w:rPr>
          <w:tab/>
        </w:r>
        <w:r w:rsidR="00C2357F" w:rsidRPr="00074486">
          <w:rPr>
            <w:rFonts w:ascii="Arial" w:hAnsi="Arial" w:cs="Arial"/>
          </w:rPr>
          <w:fldChar w:fldCharType="begin"/>
        </w:r>
        <w:r w:rsidR="00C2357F" w:rsidRPr="00074486">
          <w:rPr>
            <w:rFonts w:ascii="Arial" w:hAnsi="Arial" w:cs="Arial"/>
          </w:rPr>
          <w:instrText xml:space="preserve"> PAGE   \* MERGEFORMAT </w:instrText>
        </w:r>
        <w:r w:rsidR="00C2357F" w:rsidRPr="00074486">
          <w:rPr>
            <w:rFonts w:ascii="Arial" w:hAnsi="Arial" w:cs="Arial"/>
          </w:rPr>
          <w:fldChar w:fldCharType="separate"/>
        </w:r>
        <w:r>
          <w:rPr>
            <w:rFonts w:ascii="Arial" w:hAnsi="Arial" w:cs="Arial"/>
            <w:noProof/>
          </w:rPr>
          <w:t>11</w:t>
        </w:r>
        <w:r w:rsidR="00C2357F" w:rsidRPr="00074486">
          <w:rPr>
            <w:rFonts w:ascii="Arial" w:hAnsi="Arial" w:cs="Arial"/>
            <w:noProof/>
          </w:rPr>
          <w:fldChar w:fldCharType="end"/>
        </w:r>
      </w:sdtContent>
    </w:sdt>
  </w:p>
  <w:p w:rsidR="00C2357F" w:rsidRPr="00074486" w:rsidRDefault="00C2357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Pr="00074486" w:rsidRDefault="00226270" w:rsidP="005E0AD7">
    <w:pPr>
      <w:pStyle w:val="Footer"/>
    </w:pPr>
    <w:r w:rsidRPr="00226270">
      <w:rPr>
        <w:noProof/>
        <w:sz w:val="16"/>
      </w:rPr>
      <w:t>{C39082:2 }</w:t>
    </w:r>
  </w:p>
  <w:p w:rsidR="00C2357F" w:rsidRPr="00074486" w:rsidRDefault="00C2357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226270">
    <w:pPr>
      <w:pStyle w:val="Footer"/>
    </w:pPr>
    <w:r w:rsidRPr="00226270">
      <w:rPr>
        <w:sz w:val="16"/>
      </w:rPr>
      <w:t>{C39082:2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226270">
    <w:pPr>
      <w:pStyle w:val="Footer"/>
    </w:pPr>
    <w:r w:rsidRPr="00226270">
      <w:rPr>
        <w:noProof/>
        <w:sz w:val="16"/>
      </w:rPr>
      <w:t>{C39082:2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7F" w:rsidRDefault="00C2357F">
      <w:pPr>
        <w:rPr>
          <w:noProof/>
        </w:rPr>
      </w:pPr>
      <w:r>
        <w:rPr>
          <w:noProof/>
        </w:rPr>
        <w:separator/>
      </w:r>
    </w:p>
  </w:footnote>
  <w:footnote w:type="continuationSeparator" w:id="0">
    <w:p w:rsidR="00C2357F" w:rsidRDefault="00C2357F">
      <w:r>
        <w:continuationSeparator/>
      </w:r>
    </w:p>
  </w:footnote>
  <w:footnote w:id="1">
    <w:p w:rsidR="00C2357F" w:rsidRDefault="00C2357F">
      <w:pPr>
        <w:pStyle w:val="FootnoteText"/>
        <w:jc w:val="both"/>
      </w:pPr>
      <w:r>
        <w:rPr>
          <w:rStyle w:val="FootnoteReference"/>
        </w:rPr>
        <w:footnoteRef/>
      </w:r>
      <w:r>
        <w:t xml:space="preserve"> FirstEnergy Ex.1 at 15-16 (citing </w:t>
      </w:r>
      <w:r>
        <w:rPr>
          <w:i/>
        </w:rPr>
        <w:t>In the Matter of Ohio Edison Company, The Cleveland Electric Illuminating Company, and The Toledo Edison Company for Authority to Provide for a Standard Service Offer Pursuant to Section 4928.143, Revised Code, in the Form of an Electric Security Plan</w:t>
      </w:r>
      <w:r>
        <w:t>, Case No. 12-1230-EL-SSO, Opinion and Order at 38 (Jul. 18, 2012) (hereinafter “ESP III Order”).</w:t>
      </w:r>
    </w:p>
    <w:p w:rsidR="00C2357F" w:rsidRDefault="00C2357F">
      <w:pPr>
        <w:pStyle w:val="FootnoteText"/>
        <w:jc w:val="both"/>
      </w:pPr>
    </w:p>
  </w:footnote>
  <w:footnote w:id="2">
    <w:p w:rsidR="00C2357F" w:rsidRDefault="00C2357F" w:rsidP="0038501A">
      <w:pPr>
        <w:pStyle w:val="FootnoteText"/>
        <w:jc w:val="both"/>
      </w:pPr>
      <w:r>
        <w:rPr>
          <w:rStyle w:val="FootnoteReference"/>
        </w:rPr>
        <w:footnoteRef/>
      </w:r>
      <w:r>
        <w:t xml:space="preserve"> To the extent that the Industrial Energy Users-Ohio’s (“IEU-Ohio”) Post-Hearing Brief does not address an issue or position in this proceeding, such silence should not be construed as acceptance or support of that issue or position.</w:t>
      </w:r>
    </w:p>
    <w:p w:rsidR="00C2357F" w:rsidRDefault="00C2357F" w:rsidP="0038501A">
      <w:pPr>
        <w:pStyle w:val="FootnoteText"/>
        <w:jc w:val="both"/>
      </w:pPr>
    </w:p>
  </w:footnote>
  <w:footnote w:id="3">
    <w:p w:rsidR="00C2357F" w:rsidRDefault="00C2357F" w:rsidP="000A7BCF">
      <w:pPr>
        <w:pStyle w:val="FootnoteText"/>
        <w:jc w:val="both"/>
      </w:pPr>
      <w:r>
        <w:rPr>
          <w:rStyle w:val="FootnoteReference"/>
        </w:rPr>
        <w:footnoteRef/>
      </w:r>
      <w:r>
        <w:t xml:space="preserve"> Point of purchase programs have been used to underwrite the costs of programs that mass market the distribution of, for example, more efficient lighting such as compact fluorescent light bulbs through retail sales outlets.</w:t>
      </w:r>
    </w:p>
    <w:p w:rsidR="00C2357F" w:rsidRDefault="00C2357F" w:rsidP="00BB5245">
      <w:pPr>
        <w:pStyle w:val="FootnoteText"/>
        <w:jc w:val="both"/>
      </w:pPr>
    </w:p>
  </w:footnote>
  <w:footnote w:id="4">
    <w:p w:rsidR="00C2357F" w:rsidRDefault="00C2357F" w:rsidP="00BB5245">
      <w:pPr>
        <w:pStyle w:val="FootnoteText"/>
        <w:jc w:val="both"/>
      </w:pPr>
      <w:r>
        <w:rPr>
          <w:rStyle w:val="FootnoteReference"/>
        </w:rPr>
        <w:footnoteRef/>
      </w:r>
      <w:r>
        <w:t xml:space="preserve"> Section 4928.66(A)(2)(c), Revised Code.</w:t>
      </w:r>
    </w:p>
    <w:p w:rsidR="00C2357F" w:rsidRDefault="00C2357F">
      <w:pPr>
        <w:pStyle w:val="FootnoteText"/>
        <w:jc w:val="both"/>
      </w:pPr>
    </w:p>
  </w:footnote>
  <w:footnote w:id="5">
    <w:p w:rsidR="00C2357F" w:rsidRDefault="00C2357F">
      <w:pPr>
        <w:pStyle w:val="FootnoteText"/>
        <w:jc w:val="both"/>
        <w:rPr>
          <w:i/>
        </w:rPr>
      </w:pPr>
      <w:r>
        <w:rPr>
          <w:rStyle w:val="FootnoteReference"/>
        </w:rPr>
        <w:footnoteRef/>
      </w:r>
      <w:r>
        <w:t xml:space="preserve"> </w:t>
      </w:r>
      <w:r>
        <w:rPr>
          <w:i/>
        </w:rPr>
        <w:t>Id.</w:t>
      </w:r>
    </w:p>
    <w:p w:rsidR="00C2357F" w:rsidRDefault="00C2357F">
      <w:pPr>
        <w:pStyle w:val="FootnoteText"/>
        <w:jc w:val="both"/>
        <w:rPr>
          <w:i/>
        </w:rPr>
      </w:pPr>
    </w:p>
  </w:footnote>
  <w:footnote w:id="6">
    <w:p w:rsidR="00C2357F" w:rsidRDefault="00C2357F" w:rsidP="004149E0">
      <w:pPr>
        <w:pStyle w:val="FootnoteText"/>
        <w:jc w:val="both"/>
      </w:pPr>
      <w:r>
        <w:rPr>
          <w:rStyle w:val="FootnoteReference"/>
        </w:rPr>
        <w:footnoteRef/>
      </w:r>
      <w:r>
        <w:t xml:space="preserve"> </w:t>
      </w:r>
      <w:r>
        <w:rPr>
          <w:i/>
        </w:rPr>
        <w:t>In the Matter of a Mercantile Application Pilot Program Regarding Special Arrangements with Electric</w:t>
      </w:r>
      <w:r w:rsidR="004149E0">
        <w:rPr>
          <w:i/>
        </w:rPr>
        <w:t xml:space="preserve"> </w:t>
      </w:r>
      <w:r>
        <w:rPr>
          <w:i/>
        </w:rPr>
        <w:t>Utilities and Exemptions from Energy Efficiency and Peak Demand Reduction Riders</w:t>
      </w:r>
      <w:r w:rsidR="004149E0">
        <w:t xml:space="preserve">, Case                       </w:t>
      </w:r>
      <w:r>
        <w:t>No. 10-834-EL-EEC, Entry (Sep. 15, 2010) (hereinafter “Mercantile Pilot Program”).  The Mercantile Pilot Program was recently extended.  Mercantile Pilot Program, Finding and Order (Sep. 5, 2012).</w:t>
      </w:r>
    </w:p>
    <w:p w:rsidR="00C2357F" w:rsidRDefault="00C2357F" w:rsidP="004149E0">
      <w:pPr>
        <w:pStyle w:val="FootnoteText"/>
        <w:jc w:val="both"/>
      </w:pPr>
    </w:p>
  </w:footnote>
  <w:footnote w:id="7">
    <w:p w:rsidR="00C2357F" w:rsidRDefault="00C2357F">
      <w:pPr>
        <w:pStyle w:val="FootnoteText"/>
      </w:pPr>
      <w:r>
        <w:rPr>
          <w:rStyle w:val="FootnoteReference"/>
        </w:rPr>
        <w:footnoteRef/>
      </w:r>
      <w:r>
        <w:t xml:space="preserve"> Mercantile Pilot Program, Entry at 5 (May 25, 2011).</w:t>
      </w:r>
    </w:p>
    <w:p w:rsidR="00C2357F" w:rsidRDefault="00C2357F">
      <w:pPr>
        <w:pStyle w:val="FootnoteText"/>
      </w:pPr>
    </w:p>
  </w:footnote>
  <w:footnote w:id="8">
    <w:p w:rsidR="00C2357F" w:rsidRDefault="00C2357F">
      <w:pPr>
        <w:pStyle w:val="FootnoteText"/>
      </w:pPr>
      <w:r>
        <w:rPr>
          <w:rStyle w:val="FootnoteReference"/>
        </w:rPr>
        <w:footnoteRef/>
      </w:r>
      <w:r>
        <w:t xml:space="preserve"> IEU-Ohio Ex. 1 at numbered page 4 (PJM Manual 18).</w:t>
      </w:r>
    </w:p>
    <w:p w:rsidR="00C2357F" w:rsidRDefault="00C2357F">
      <w:pPr>
        <w:pStyle w:val="FootnoteText"/>
      </w:pPr>
    </w:p>
  </w:footnote>
  <w:footnote w:id="9">
    <w:p w:rsidR="00C2357F" w:rsidRDefault="00C2357F">
      <w:pPr>
        <w:pStyle w:val="FootnoteText"/>
      </w:pPr>
      <w:r>
        <w:rPr>
          <w:rStyle w:val="FootnoteReference"/>
        </w:rPr>
        <w:footnoteRef/>
      </w:r>
      <w:r>
        <w:t xml:space="preserve"> </w:t>
      </w:r>
      <w:r>
        <w:rPr>
          <w:i/>
        </w:rPr>
        <w:t>Id.</w:t>
      </w:r>
      <w:r>
        <w:t xml:space="preserve"> at numbered page 38 (PJM Manual 18).</w:t>
      </w:r>
    </w:p>
    <w:p w:rsidR="00C2357F" w:rsidRDefault="00C2357F">
      <w:pPr>
        <w:pStyle w:val="FootnoteText"/>
      </w:pPr>
    </w:p>
  </w:footnote>
  <w:footnote w:id="10">
    <w:p w:rsidR="00C2357F" w:rsidRDefault="00C2357F">
      <w:pPr>
        <w:pStyle w:val="FootnoteText"/>
      </w:pPr>
      <w:r>
        <w:rPr>
          <w:rStyle w:val="FootnoteReference"/>
        </w:rPr>
        <w:footnoteRef/>
      </w:r>
      <w:r>
        <w:t xml:space="preserve"> </w:t>
      </w:r>
      <w:r>
        <w:rPr>
          <w:i/>
        </w:rPr>
        <w:t xml:space="preserve">See </w:t>
      </w:r>
      <w:r>
        <w:t>FirstEnergy Ex. 1 at 15-18.</w:t>
      </w:r>
    </w:p>
    <w:p w:rsidR="00C2357F" w:rsidRDefault="00C2357F">
      <w:pPr>
        <w:pStyle w:val="FootnoteText"/>
      </w:pPr>
    </w:p>
  </w:footnote>
  <w:footnote w:id="11">
    <w:p w:rsidR="00C2357F" w:rsidRDefault="00C2357F">
      <w:pPr>
        <w:pStyle w:val="FootnoteText"/>
      </w:pPr>
      <w:r>
        <w:rPr>
          <w:rStyle w:val="FootnoteReference"/>
        </w:rPr>
        <w:footnoteRef/>
      </w:r>
      <w:r>
        <w:t xml:space="preserve"> Tr. Vol. IV at 769-770. </w:t>
      </w:r>
      <w:r>
        <w:rPr>
          <w:i/>
        </w:rPr>
        <w:t xml:space="preserve">See also id. </w:t>
      </w:r>
      <w:r>
        <w:t xml:space="preserve">at 771. </w:t>
      </w:r>
      <w:r>
        <w:rPr>
          <w:i/>
        </w:rPr>
        <w:t xml:space="preserve">See also id. </w:t>
      </w:r>
      <w:r>
        <w:t>at 827-830.</w:t>
      </w:r>
    </w:p>
    <w:p w:rsidR="00C2357F" w:rsidRPr="00D57C8D" w:rsidRDefault="00C2357F">
      <w:pPr>
        <w:pStyle w:val="FootnoteText"/>
      </w:pPr>
    </w:p>
  </w:footnote>
  <w:footnote w:id="12">
    <w:p w:rsidR="00C2357F" w:rsidRDefault="00C2357F">
      <w:pPr>
        <w:pStyle w:val="FootnoteText"/>
      </w:pPr>
      <w:r>
        <w:rPr>
          <w:rStyle w:val="FootnoteReference"/>
        </w:rPr>
        <w:footnoteRef/>
      </w:r>
      <w:r>
        <w:t xml:space="preserve"> </w:t>
      </w:r>
      <w:r>
        <w:rPr>
          <w:i/>
        </w:rPr>
        <w:t xml:space="preserve">Id. </w:t>
      </w:r>
      <w:r>
        <w:t>at 827.</w:t>
      </w:r>
    </w:p>
    <w:p w:rsidR="00C2357F" w:rsidRPr="008E6E85" w:rsidRDefault="00C2357F">
      <w:pPr>
        <w:pStyle w:val="FootnoteText"/>
      </w:pPr>
    </w:p>
  </w:footnote>
  <w:footnote w:id="13">
    <w:p w:rsidR="00C2357F" w:rsidRDefault="00C2357F" w:rsidP="00803672">
      <w:pPr>
        <w:pStyle w:val="FootnoteText"/>
        <w:jc w:val="both"/>
      </w:pPr>
      <w:r>
        <w:rPr>
          <w:rStyle w:val="FootnoteReference"/>
        </w:rPr>
        <w:footnoteRef/>
      </w:r>
      <w:r>
        <w:t xml:space="preserve"> </w:t>
      </w:r>
      <w:r>
        <w:rPr>
          <w:i/>
        </w:rPr>
        <w:t>In the Matter of the Commission’s Review of 4901:1-10, Ohio Administrative Code, Regarding Electric Companies</w:t>
      </w:r>
      <w:r>
        <w:t>,</w:t>
      </w:r>
      <w:r>
        <w:rPr>
          <w:i/>
        </w:rPr>
        <w:t xml:space="preserve"> </w:t>
      </w:r>
      <w:r>
        <w:t xml:space="preserve">Case No. 12-2050-EL-ORD, Entry, Attachment A at 73 (Nov. 7, 2012). </w:t>
      </w:r>
    </w:p>
  </w:footnote>
  <w:footnote w:id="14">
    <w:p w:rsidR="00C2357F" w:rsidRDefault="00C2357F">
      <w:pPr>
        <w:pStyle w:val="FootnoteText"/>
      </w:pPr>
      <w:r>
        <w:rPr>
          <w:rStyle w:val="FootnoteReference"/>
        </w:rPr>
        <w:footnoteRef/>
      </w:r>
      <w:r>
        <w:t xml:space="preserve"> FirstEnergy Ex. 1 at 17-18.</w:t>
      </w:r>
    </w:p>
    <w:p w:rsidR="00C2357F" w:rsidRDefault="00C2357F">
      <w:pPr>
        <w:pStyle w:val="FootnoteText"/>
      </w:pPr>
    </w:p>
  </w:footnote>
  <w:footnote w:id="15">
    <w:p w:rsidR="00C2357F" w:rsidRDefault="00C2357F" w:rsidP="00713300">
      <w:pPr>
        <w:pStyle w:val="FootnoteText"/>
        <w:jc w:val="both"/>
      </w:pPr>
      <w:r>
        <w:rPr>
          <w:rStyle w:val="FootnoteReference"/>
        </w:rPr>
        <w:footnoteRef/>
      </w:r>
      <w:r>
        <w:t xml:space="preserve"> </w:t>
      </w:r>
      <w:r>
        <w:rPr>
          <w:i/>
        </w:rPr>
        <w:t xml:space="preserve">See </w:t>
      </w:r>
      <w:r>
        <w:t>FirstEnergy Ex. 1 at 15-16.  The specific language FirstEnergy has added to the Commitment Agreement is as follows:</w:t>
      </w:r>
    </w:p>
    <w:p w:rsidR="00C2357F" w:rsidRDefault="00C2357F">
      <w:pPr>
        <w:pStyle w:val="Default"/>
      </w:pPr>
    </w:p>
    <w:p w:rsidR="00C2357F" w:rsidRDefault="00C2357F">
      <w:pPr>
        <w:pStyle w:val="Default"/>
        <w:ind w:left="720" w:right="720"/>
        <w:jc w:val="both"/>
        <w:rPr>
          <w:rFonts w:ascii="Arial" w:hAnsi="Arial" w:cs="Arial"/>
          <w:sz w:val="20"/>
          <w:szCs w:val="20"/>
        </w:rPr>
      </w:pPr>
      <w:r>
        <w:rPr>
          <w:rFonts w:ascii="Arial" w:hAnsi="Arial" w:cs="Arial"/>
          <w:sz w:val="20"/>
          <w:szCs w:val="20"/>
        </w:rPr>
        <w:t xml:space="preserve">By committing the Customer Energy Project(s), Customer further acknowledges and agrees that the Company shall take ownership of the energy efficiency capacity rights associated with said Project(s) and shall, at its sole discretion, aggregate said capacity into the PJM market through an auction. Any proceeds from any such bids accepted by PJM will be used to offset the costs charged to the Customer and other of the Company’s customers for compliance with state mandated energy efficiency and/or peak demand requirements. </w:t>
      </w:r>
    </w:p>
    <w:p w:rsidR="00C2357F" w:rsidRDefault="00C2357F">
      <w:pPr>
        <w:pStyle w:val="Default"/>
        <w:ind w:left="720" w:right="720"/>
        <w:jc w:val="both"/>
        <w:rPr>
          <w:rFonts w:ascii="Arial" w:hAnsi="Arial" w:cs="Arial"/>
          <w:sz w:val="20"/>
          <w:szCs w:val="20"/>
        </w:rPr>
      </w:pPr>
    </w:p>
    <w:p w:rsidR="00C2357F" w:rsidRDefault="00C2357F" w:rsidP="00713300">
      <w:pPr>
        <w:pStyle w:val="Default"/>
        <w:tabs>
          <w:tab w:val="left" w:pos="9630"/>
        </w:tabs>
        <w:ind w:right="720"/>
        <w:jc w:val="both"/>
        <w:rPr>
          <w:rFonts w:ascii="Arial" w:hAnsi="Arial" w:cs="Arial"/>
          <w:sz w:val="20"/>
          <w:szCs w:val="20"/>
        </w:rPr>
      </w:pPr>
      <w:r w:rsidRPr="00CB3BBE">
        <w:rPr>
          <w:rFonts w:ascii="Arial" w:hAnsi="Arial" w:cs="Arial"/>
          <w:sz w:val="20"/>
          <w:szCs w:val="20"/>
        </w:rPr>
        <w:t>https://www.firstenergycorp.com/content/dam/customer/Saving%20Energy/Files/OH/Mercantile%20Customer%20Project%20Commitment%20Agreement%20(Exemption).doc</w:t>
      </w:r>
      <w:r>
        <w:rPr>
          <w:rFonts w:ascii="Arial" w:hAnsi="Arial" w:cs="Arial"/>
          <w:color w:val="auto"/>
          <w:sz w:val="20"/>
          <w:szCs w:val="20"/>
        </w:rPr>
        <w:t xml:space="preserve"> </w:t>
      </w:r>
      <w:r>
        <w:rPr>
          <w:rFonts w:ascii="Arial" w:hAnsi="Arial" w:cs="Arial"/>
          <w:sz w:val="20"/>
          <w:szCs w:val="20"/>
        </w:rPr>
        <w:t>(last viewed Nov. 15, 2012).</w:t>
      </w:r>
    </w:p>
    <w:p w:rsidR="00C2357F" w:rsidRDefault="00C2357F">
      <w:pPr>
        <w:pStyle w:val="FootnoteText"/>
      </w:pPr>
    </w:p>
  </w:footnote>
  <w:footnote w:id="16">
    <w:p w:rsidR="00C2357F" w:rsidRDefault="00C2357F">
      <w:pPr>
        <w:pStyle w:val="FootnoteText"/>
      </w:pPr>
      <w:r>
        <w:rPr>
          <w:rStyle w:val="FootnoteReference"/>
        </w:rPr>
        <w:footnoteRef/>
      </w:r>
      <w:r>
        <w:t xml:space="preserve"> ESP III Order at 38 (Jul. 18, 2012).</w:t>
      </w:r>
    </w:p>
    <w:p w:rsidR="00C2357F" w:rsidRDefault="00C2357F">
      <w:pPr>
        <w:pStyle w:val="FootnoteText"/>
      </w:pPr>
    </w:p>
  </w:footnote>
  <w:footnote w:id="17">
    <w:p w:rsidR="00C2357F" w:rsidRDefault="00C2357F">
      <w:pPr>
        <w:pStyle w:val="FootnoteText"/>
        <w:rPr>
          <w:i/>
        </w:rPr>
      </w:pPr>
      <w:r>
        <w:rPr>
          <w:rStyle w:val="FootnoteReference"/>
        </w:rPr>
        <w:footnoteRef/>
      </w:r>
      <w:r>
        <w:t xml:space="preserve"> </w:t>
      </w:r>
      <w:r>
        <w:rPr>
          <w:i/>
        </w:rPr>
        <w:t xml:space="preserve">Id. </w:t>
      </w:r>
      <w:r>
        <w:t>(emphasis added).</w:t>
      </w:r>
      <w:r>
        <w:rPr>
          <w:i/>
        </w:rPr>
        <w:t xml:space="preserve"> </w:t>
      </w:r>
    </w:p>
    <w:p w:rsidR="00C2357F" w:rsidRDefault="00C2357F">
      <w:pPr>
        <w:pStyle w:val="FootnoteText"/>
      </w:pPr>
    </w:p>
  </w:footnote>
  <w:footnote w:id="18">
    <w:p w:rsidR="00C2357F" w:rsidRDefault="00C2357F">
      <w:pPr>
        <w:pStyle w:val="FootnoteText"/>
      </w:pPr>
      <w:r>
        <w:rPr>
          <w:rStyle w:val="FootnoteReference"/>
        </w:rPr>
        <w:footnoteRef/>
      </w:r>
      <w:r>
        <w:t xml:space="preserve"> Staff witness Scheck also supports this position.  Tr. Vol. IV at 827-828,</w:t>
      </w:r>
    </w:p>
    <w:p w:rsidR="00C2357F" w:rsidRPr="00F87CEC" w:rsidRDefault="00C2357F">
      <w:pPr>
        <w:pStyle w:val="FootnoteText"/>
      </w:pPr>
    </w:p>
  </w:footnote>
  <w:footnote w:id="19">
    <w:p w:rsidR="00C2357F" w:rsidRDefault="00C2357F" w:rsidP="00934834">
      <w:pPr>
        <w:pStyle w:val="FootnoteText"/>
        <w:jc w:val="both"/>
      </w:pPr>
      <w:r>
        <w:rPr>
          <w:rStyle w:val="FootnoteReference"/>
        </w:rPr>
        <w:footnoteRef/>
      </w:r>
      <w:r>
        <w:t xml:space="preserve"> FirstEnergy witness Dargie testified that mercantile customers have indicated that they will be less likely to undertake self-direct projects if they are forced to cede ownership of capacity attributes to FirstEnergy. </w:t>
      </w:r>
      <w:r>
        <w:rPr>
          <w:i/>
        </w:rPr>
        <w:t xml:space="preserve">See </w:t>
      </w:r>
      <w:r>
        <w:t xml:space="preserve">FirstEnergy Ex. 1 at 17.  </w:t>
      </w:r>
    </w:p>
    <w:p w:rsidR="00C2357F" w:rsidRDefault="00C2357F">
      <w:pPr>
        <w:pStyle w:val="FootnoteText"/>
      </w:pPr>
    </w:p>
  </w:footnote>
  <w:footnote w:id="20">
    <w:p w:rsidR="00C2357F" w:rsidRDefault="00C2357F">
      <w:pPr>
        <w:pStyle w:val="FootnoteText"/>
      </w:pPr>
      <w:r>
        <w:rPr>
          <w:rStyle w:val="FootnoteReference"/>
        </w:rPr>
        <w:footnoteRef/>
      </w:r>
      <w:r>
        <w:t xml:space="preserve"> ESP III Order at 38 (Jul. 18, 2012) (emphasis added).</w:t>
      </w:r>
    </w:p>
    <w:p w:rsidR="00C2357F" w:rsidRDefault="00C2357F">
      <w:pPr>
        <w:pStyle w:val="FootnoteText"/>
      </w:pPr>
    </w:p>
  </w:footnote>
  <w:footnote w:id="21">
    <w:p w:rsidR="00C2357F" w:rsidRDefault="00C2357F">
      <w:pPr>
        <w:pStyle w:val="FootnoteText"/>
      </w:pPr>
      <w:r>
        <w:rPr>
          <w:rStyle w:val="FootnoteReference"/>
        </w:rPr>
        <w:footnoteRef/>
      </w:r>
      <w:r>
        <w:t xml:space="preserve"> Tr. Vol. VI at 1188-89; Tr. Vol. VI at 1113.</w:t>
      </w:r>
    </w:p>
    <w:p w:rsidR="00C2357F" w:rsidRDefault="00C2357F">
      <w:pPr>
        <w:pStyle w:val="FootnoteText"/>
      </w:pPr>
    </w:p>
  </w:footnote>
  <w:footnote w:id="22">
    <w:p w:rsidR="00C2357F" w:rsidRDefault="00C2357F">
      <w:pPr>
        <w:pStyle w:val="FootnoteText"/>
      </w:pPr>
      <w:r>
        <w:rPr>
          <w:rStyle w:val="FootnoteReference"/>
        </w:rPr>
        <w:footnoteRef/>
      </w:r>
      <w:r>
        <w:t xml:space="preserve"> Section 4828.66(A)(2)(c), Revised Code (emphasis added).</w:t>
      </w:r>
    </w:p>
  </w:footnote>
  <w:footnote w:id="23">
    <w:p w:rsidR="00C2357F" w:rsidRDefault="00C2357F">
      <w:pPr>
        <w:pStyle w:val="FootnoteText"/>
        <w:jc w:val="both"/>
        <w:rPr>
          <w:rFonts w:eastAsiaTheme="minorEastAsia" w:cs="Arial"/>
          <w:color w:val="000000" w:themeColor="text1"/>
          <w:kern w:val="24"/>
        </w:rPr>
      </w:pPr>
      <w:r>
        <w:rPr>
          <w:rStyle w:val="FootnoteReference"/>
          <w:rFonts w:cs="Arial"/>
        </w:rPr>
        <w:footnoteRef/>
      </w:r>
      <w:r>
        <w:rPr>
          <w:rFonts w:cs="Arial"/>
        </w:rPr>
        <w:t xml:space="preserve"> Although the vast majority of applications at the Commission to commit mercantile customer projects towards EDU portfolio obligations have been joint applications between the customer and an EDU, the mercantile customer retains rights to file a unilateral application at the Commission.  </w:t>
      </w:r>
      <w:r>
        <w:rPr>
          <w:rFonts w:eastAsiaTheme="minorEastAsia" w:cs="Arial"/>
          <w:color w:val="000000" w:themeColor="text1"/>
          <w:kern w:val="24"/>
        </w:rPr>
        <w:t xml:space="preserve">Rule 4901:1-39-05(G), Ohio Administrative Code (“OAC”). </w:t>
      </w:r>
    </w:p>
    <w:p w:rsidR="00C2357F" w:rsidRDefault="00C2357F">
      <w:pPr>
        <w:pStyle w:val="FootnoteText"/>
        <w:jc w:val="both"/>
        <w:rPr>
          <w:rFonts w:cs="Arial"/>
        </w:rPr>
      </w:pPr>
    </w:p>
  </w:footnote>
  <w:footnote w:id="24">
    <w:p w:rsidR="00C2357F" w:rsidRDefault="00C2357F">
      <w:pPr>
        <w:pStyle w:val="FootnoteText"/>
        <w:jc w:val="both"/>
      </w:pPr>
      <w:r>
        <w:rPr>
          <w:rStyle w:val="FootnoteReference"/>
        </w:rPr>
        <w:footnoteRef/>
      </w:r>
      <w:r>
        <w:t xml:space="preserve"> Mercantile Pilot Program, Entry (Sept. 15, 2010).</w:t>
      </w:r>
    </w:p>
    <w:p w:rsidR="00C2357F" w:rsidRDefault="00C2357F">
      <w:pPr>
        <w:pStyle w:val="FootnoteText"/>
      </w:pPr>
    </w:p>
  </w:footnote>
  <w:footnote w:id="25">
    <w:p w:rsidR="00C2357F" w:rsidRDefault="00C2357F">
      <w:pPr>
        <w:pStyle w:val="FootnoteText"/>
      </w:pPr>
      <w:r>
        <w:rPr>
          <w:rStyle w:val="FootnoteReference"/>
        </w:rPr>
        <w:footnoteRef/>
      </w:r>
      <w:r>
        <w:t xml:space="preserve"> Mercantile Pilot Program, Entry at 1 (Sep. 15, 2010) (emphasis added).</w:t>
      </w:r>
    </w:p>
    <w:p w:rsidR="00C2357F" w:rsidRDefault="00C2357F">
      <w:pPr>
        <w:pStyle w:val="FootnoteText"/>
      </w:pPr>
    </w:p>
  </w:footnote>
  <w:footnote w:id="26">
    <w:p w:rsidR="00C2357F" w:rsidRDefault="00C2357F">
      <w:pPr>
        <w:pStyle w:val="FootnoteText"/>
        <w:rPr>
          <w:i/>
        </w:rPr>
      </w:pPr>
      <w:r>
        <w:rPr>
          <w:rStyle w:val="FootnoteReference"/>
        </w:rPr>
        <w:footnoteRef/>
      </w:r>
      <w:r>
        <w:t xml:space="preserve"> </w:t>
      </w:r>
      <w:r>
        <w:rPr>
          <w:i/>
        </w:rPr>
        <w:t xml:space="preserve">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C5" w:rsidRDefault="009636C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C5" w:rsidRDefault="00963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C5" w:rsidRDefault="009636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00" w:rsidRDefault="007133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00" w:rsidRDefault="007133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7F" w:rsidRDefault="00C23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F356B"/>
    <w:multiLevelType w:val="hybridMultilevel"/>
    <w:tmpl w:val="CE90E6E4"/>
    <w:name w:val="(Unnamed Numbering Scheme)"/>
    <w:lvl w:ilvl="0" w:tplc="9B0ED7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7F082B"/>
    <w:multiLevelType w:val="hybridMultilevel"/>
    <w:tmpl w:val="0B7273EE"/>
    <w:lvl w:ilvl="0" w:tplc="535C6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902FC"/>
    <w:multiLevelType w:val="hybridMultilevel"/>
    <w:tmpl w:val="32A8A496"/>
    <w:lvl w:ilvl="0" w:tplc="E690B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5114F"/>
    <w:multiLevelType w:val="multilevel"/>
    <w:tmpl w:val="A3A80910"/>
    <w:name w:val="IEU-Ohio"/>
    <w:lvl w:ilvl="0">
      <w:start w:val="1"/>
      <w:numFmt w:val="upperRoman"/>
      <w:pStyle w:val="Heading1"/>
      <w:lvlText w:val="%1."/>
      <w:lvlJc w:val="left"/>
      <w:pPr>
        <w:tabs>
          <w:tab w:val="num" w:pos="720"/>
        </w:tabs>
        <w:ind w:left="720" w:hanging="720"/>
      </w:pPr>
      <w:rPr>
        <w:rFonts w:ascii="Arial" w:hAnsi="Arial" w:cs="Arial" w:hint="default"/>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4">
    <w:nsid w:val="790F0D6A"/>
    <w:multiLevelType w:val="hybridMultilevel"/>
    <w:tmpl w:val="FA40F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Ohio"/>
    <w:docVar w:name="LastSchemeUniqueID" w:val="2"/>
    <w:docVar w:name="NoNumberLevel1TOC" w:val="False"/>
    <w:docVar w:name="Option0True" w:val="False"/>
    <w:docVar w:name="Option1True"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3"/>
  </w:docVars>
  <w:rsids>
    <w:rsidRoot w:val="00140F0A"/>
    <w:rsid w:val="000171C7"/>
    <w:rsid w:val="00074486"/>
    <w:rsid w:val="00094330"/>
    <w:rsid w:val="000A7BCF"/>
    <w:rsid w:val="000D44C6"/>
    <w:rsid w:val="001124D2"/>
    <w:rsid w:val="00140F0A"/>
    <w:rsid w:val="00226270"/>
    <w:rsid w:val="00342B06"/>
    <w:rsid w:val="00384D5E"/>
    <w:rsid w:val="0038501A"/>
    <w:rsid w:val="004149E0"/>
    <w:rsid w:val="00480CAC"/>
    <w:rsid w:val="00507BF2"/>
    <w:rsid w:val="00535520"/>
    <w:rsid w:val="005E0AD7"/>
    <w:rsid w:val="00605499"/>
    <w:rsid w:val="00713300"/>
    <w:rsid w:val="007E027C"/>
    <w:rsid w:val="00803672"/>
    <w:rsid w:val="008E6E85"/>
    <w:rsid w:val="00934834"/>
    <w:rsid w:val="009636C5"/>
    <w:rsid w:val="009A6C94"/>
    <w:rsid w:val="00BB5245"/>
    <w:rsid w:val="00C2357F"/>
    <w:rsid w:val="00CB3BBE"/>
    <w:rsid w:val="00CF664F"/>
    <w:rsid w:val="00D57C8D"/>
    <w:rsid w:val="00F8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57F"/>
    <w:pPr>
      <w:numPr>
        <w:numId w:val="5"/>
      </w:numPr>
      <w:tabs>
        <w:tab w:val="clear" w:pos="720"/>
      </w:tabs>
      <w:spacing w:after="240"/>
      <w:jc w:val="both"/>
      <w:outlineLvl w:val="0"/>
    </w:pPr>
    <w:rPr>
      <w:b/>
      <w:caps/>
      <w:u w:val="single"/>
    </w:rPr>
  </w:style>
  <w:style w:type="paragraph" w:styleId="Heading2">
    <w:name w:val="heading 2"/>
    <w:basedOn w:val="Normal"/>
    <w:next w:val="Normal"/>
    <w:link w:val="Heading2Char"/>
    <w:uiPriority w:val="9"/>
    <w:semiHidden/>
    <w:unhideWhenUsed/>
    <w:qFormat/>
    <w:rsid w:val="00C2357F"/>
    <w:pPr>
      <w:numPr>
        <w:ilvl w:val="1"/>
        <w:numId w:val="5"/>
      </w:numPr>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C2357F"/>
    <w:pPr>
      <w:numPr>
        <w:ilvl w:val="2"/>
        <w:numId w:val="5"/>
      </w:numPr>
      <w:spacing w:after="240"/>
      <w:jc w:val="both"/>
      <w:outlineLvl w:val="2"/>
    </w:pPr>
    <w:rPr>
      <w:rFonts w:eastAsiaTheme="majorEastAsia"/>
      <w:b/>
      <w:bCs/>
    </w:rPr>
  </w:style>
  <w:style w:type="paragraph" w:styleId="Heading4">
    <w:name w:val="heading 4"/>
    <w:basedOn w:val="Normal"/>
    <w:next w:val="Normal"/>
    <w:link w:val="Heading4Char"/>
    <w:qFormat/>
    <w:rsid w:val="00C2357F"/>
    <w:pPr>
      <w:numPr>
        <w:ilvl w:val="3"/>
        <w:numId w:val="5"/>
      </w:numPr>
      <w:spacing w:after="240"/>
      <w:jc w:val="both"/>
      <w:outlineLvl w:val="3"/>
    </w:pPr>
    <w:rPr>
      <w:b/>
      <w:i/>
    </w:rPr>
  </w:style>
  <w:style w:type="paragraph" w:styleId="Heading5">
    <w:name w:val="heading 5"/>
    <w:basedOn w:val="Normal"/>
    <w:next w:val="Normal"/>
    <w:link w:val="Heading5Char"/>
    <w:uiPriority w:val="9"/>
    <w:semiHidden/>
    <w:unhideWhenUsed/>
    <w:qFormat/>
    <w:rsid w:val="00C2357F"/>
    <w:pPr>
      <w:numPr>
        <w:ilvl w:val="4"/>
        <w:numId w:val="5"/>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C2357F"/>
    <w:pPr>
      <w:numPr>
        <w:ilvl w:val="5"/>
        <w:numId w:val="5"/>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C2357F"/>
    <w:pPr>
      <w:numPr>
        <w:ilvl w:val="6"/>
        <w:numId w:val="5"/>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C2357F"/>
    <w:pPr>
      <w:numPr>
        <w:ilvl w:val="7"/>
        <w:numId w:val="5"/>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C2357F"/>
    <w:pPr>
      <w:numPr>
        <w:ilvl w:val="8"/>
        <w:numId w:val="5"/>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57F"/>
    <w:rPr>
      <w:rFonts w:ascii="Times New Roman" w:eastAsia="Times New Roman" w:hAnsi="Times New Roman" w:cs="Times New Roman"/>
      <w:b/>
      <w:caps/>
      <w:sz w:val="24"/>
      <w:szCs w:val="24"/>
      <w:u w:val="single"/>
    </w:rPr>
  </w:style>
  <w:style w:type="character" w:customStyle="1" w:styleId="Heading4Char">
    <w:name w:val="Heading 4 Char"/>
    <w:basedOn w:val="DefaultParagraphFont"/>
    <w:link w:val="Heading4"/>
    <w:rsid w:val="00C2357F"/>
    <w:rPr>
      <w:rFonts w:ascii="Times New Roman" w:eastAsia="Times New Roman" w:hAnsi="Times New Roman" w:cs="Times New Roman"/>
      <w:b/>
      <w: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paragraph" w:styleId="FootnoteText">
    <w:name w:val="footnote text"/>
    <w:basedOn w:val="Normal"/>
    <w:link w:val="FootnoteTextChar"/>
    <w:uiPriority w:val="99"/>
    <w:unhideWhenUsed/>
    <w:rsid w:val="00306FDA"/>
    <w:rPr>
      <w:rFonts w:ascii="Arial" w:eastAsia="Calibri" w:hAnsi="Arial"/>
      <w:sz w:val="20"/>
      <w:szCs w:val="20"/>
    </w:rPr>
  </w:style>
  <w:style w:type="character" w:customStyle="1" w:styleId="FootnoteTextChar">
    <w:name w:val="Footnote Text Char"/>
    <w:basedOn w:val="DefaultParagraphFont"/>
    <w:link w:val="FootnoteText"/>
    <w:uiPriority w:val="99"/>
    <w:rsid w:val="00306FD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306FDA"/>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608D"/>
    <w:pPr>
      <w:ind w:left="720"/>
      <w:contextualSpacing/>
    </w:pPr>
  </w:style>
  <w:style w:type="character" w:customStyle="1" w:styleId="Heading2Char">
    <w:name w:val="Heading 2 Char"/>
    <w:basedOn w:val="DefaultParagraphFont"/>
    <w:link w:val="Heading2"/>
    <w:uiPriority w:val="9"/>
    <w:semiHidden/>
    <w:rsid w:val="00C2357F"/>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C2357F"/>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semiHidden/>
    <w:rsid w:val="00C2357F"/>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C2357F"/>
    <w:rPr>
      <w:rFonts w:asciiTheme="majorHAnsi" w:eastAsiaTheme="majorEastAsia" w:hAnsiTheme="majorHAnsi" w:cs="Times New Roman"/>
      <w:iCs/>
      <w:color w:val="243F60" w:themeColor="accent1" w:themeShade="7F"/>
      <w:sz w:val="24"/>
      <w:szCs w:val="24"/>
    </w:rPr>
  </w:style>
  <w:style w:type="character" w:customStyle="1" w:styleId="Heading7Char">
    <w:name w:val="Heading 7 Char"/>
    <w:basedOn w:val="DefaultParagraphFont"/>
    <w:link w:val="Heading7"/>
    <w:uiPriority w:val="9"/>
    <w:semiHidden/>
    <w:rsid w:val="00C2357F"/>
    <w:rPr>
      <w:rFonts w:asciiTheme="majorHAnsi" w:eastAsiaTheme="majorEastAsia" w:hAnsiTheme="majorHAnsi" w:cs="Times New Roman"/>
      <w:iCs/>
      <w:color w:val="404040" w:themeColor="text1" w:themeTint="BF"/>
      <w:sz w:val="24"/>
      <w:szCs w:val="24"/>
    </w:rPr>
  </w:style>
  <w:style w:type="character" w:customStyle="1" w:styleId="Heading8Char">
    <w:name w:val="Heading 8 Char"/>
    <w:basedOn w:val="DefaultParagraphFont"/>
    <w:link w:val="Heading8"/>
    <w:uiPriority w:val="9"/>
    <w:semiHidden/>
    <w:rsid w:val="00C2357F"/>
    <w:rPr>
      <w:rFonts w:asciiTheme="majorHAnsi" w:eastAsiaTheme="majorEastAsia" w:hAnsiTheme="majorHAnsi" w:cs="Times New Roman"/>
      <w:color w:val="404040" w:themeColor="text1" w:themeTint="BF"/>
      <w:sz w:val="24"/>
      <w:szCs w:val="20"/>
    </w:rPr>
  </w:style>
  <w:style w:type="character" w:customStyle="1" w:styleId="Heading9Char">
    <w:name w:val="Heading 9 Char"/>
    <w:basedOn w:val="DefaultParagraphFont"/>
    <w:link w:val="Heading9"/>
    <w:uiPriority w:val="9"/>
    <w:semiHidden/>
    <w:rsid w:val="00C2357F"/>
    <w:rPr>
      <w:rFonts w:asciiTheme="majorHAnsi" w:eastAsiaTheme="majorEastAsia" w:hAnsiTheme="majorHAnsi" w:cs="Times New Roman"/>
      <w:iCs/>
      <w:color w:val="404040" w:themeColor="text1" w:themeTint="BF"/>
      <w:sz w:val="24"/>
      <w:szCs w:val="20"/>
    </w:rPr>
  </w:style>
  <w:style w:type="paragraph" w:styleId="TOCHeading">
    <w:name w:val="TOC Heading"/>
    <w:basedOn w:val="Normal"/>
    <w:next w:val="TOC1"/>
    <w:uiPriority w:val="39"/>
    <w:unhideWhenUsed/>
    <w:qFormat/>
    <w:rsid w:val="00C2357F"/>
    <w:pPr>
      <w:keepNext/>
      <w:keepLines/>
      <w:spacing w:before="480" w:after="240"/>
      <w:jc w:val="center"/>
    </w:pPr>
    <w:rPr>
      <w:rFonts w:eastAsiaTheme="majorEastAsia"/>
      <w:b/>
      <w:bCs/>
      <w:color w:val="365F91" w:themeColor="accent1" w:themeShade="BF"/>
      <w:szCs w:val="28"/>
    </w:rPr>
  </w:style>
  <w:style w:type="paragraph" w:styleId="TOC1">
    <w:name w:val="toc 1"/>
    <w:basedOn w:val="Normal"/>
    <w:next w:val="Normal"/>
    <w:autoRedefine/>
    <w:uiPriority w:val="39"/>
    <w:unhideWhenUsed/>
    <w:rsid w:val="00C2357F"/>
    <w:pPr>
      <w:tabs>
        <w:tab w:val="left" w:pos="720"/>
        <w:tab w:val="right" w:leader="dot" w:pos="9350"/>
      </w:tabs>
      <w:spacing w:after="100"/>
    </w:pPr>
  </w:style>
  <w:style w:type="paragraph" w:styleId="TOC2">
    <w:name w:val="toc 2"/>
    <w:basedOn w:val="Normal"/>
    <w:next w:val="Normal"/>
    <w:autoRedefine/>
    <w:uiPriority w:val="39"/>
    <w:semiHidden/>
    <w:unhideWhenUsed/>
    <w:rsid w:val="00C2357F"/>
    <w:pPr>
      <w:spacing w:after="100"/>
      <w:ind w:left="240"/>
    </w:pPr>
  </w:style>
  <w:style w:type="paragraph" w:styleId="TOC3">
    <w:name w:val="toc 3"/>
    <w:basedOn w:val="Normal"/>
    <w:next w:val="Normal"/>
    <w:autoRedefine/>
    <w:uiPriority w:val="39"/>
    <w:semiHidden/>
    <w:unhideWhenUsed/>
    <w:rsid w:val="00C2357F"/>
    <w:pPr>
      <w:spacing w:after="100"/>
      <w:ind w:left="480"/>
    </w:pPr>
  </w:style>
  <w:style w:type="paragraph" w:styleId="TOC4">
    <w:name w:val="toc 4"/>
    <w:basedOn w:val="Normal"/>
    <w:next w:val="Normal"/>
    <w:autoRedefine/>
    <w:uiPriority w:val="39"/>
    <w:semiHidden/>
    <w:unhideWhenUsed/>
    <w:rsid w:val="00C2357F"/>
    <w:pPr>
      <w:spacing w:after="100"/>
      <w:ind w:left="720"/>
    </w:pPr>
  </w:style>
  <w:style w:type="paragraph" w:styleId="TOC5">
    <w:name w:val="toc 5"/>
    <w:basedOn w:val="Normal"/>
    <w:next w:val="Normal"/>
    <w:autoRedefine/>
    <w:uiPriority w:val="39"/>
    <w:semiHidden/>
    <w:unhideWhenUsed/>
    <w:rsid w:val="00C2357F"/>
    <w:pPr>
      <w:spacing w:after="100"/>
      <w:ind w:left="960"/>
    </w:pPr>
  </w:style>
  <w:style w:type="paragraph" w:styleId="TOC6">
    <w:name w:val="toc 6"/>
    <w:basedOn w:val="Normal"/>
    <w:next w:val="Normal"/>
    <w:autoRedefine/>
    <w:uiPriority w:val="39"/>
    <w:semiHidden/>
    <w:unhideWhenUsed/>
    <w:rsid w:val="00C2357F"/>
    <w:pPr>
      <w:spacing w:after="100"/>
      <w:ind w:left="1200"/>
    </w:pPr>
  </w:style>
  <w:style w:type="paragraph" w:styleId="TOC7">
    <w:name w:val="toc 7"/>
    <w:basedOn w:val="Normal"/>
    <w:next w:val="Normal"/>
    <w:autoRedefine/>
    <w:uiPriority w:val="39"/>
    <w:semiHidden/>
    <w:unhideWhenUsed/>
    <w:rsid w:val="00C2357F"/>
    <w:pPr>
      <w:spacing w:after="100"/>
      <w:ind w:left="1440"/>
    </w:pPr>
  </w:style>
  <w:style w:type="paragraph" w:styleId="TOC8">
    <w:name w:val="toc 8"/>
    <w:basedOn w:val="Normal"/>
    <w:next w:val="Normal"/>
    <w:autoRedefine/>
    <w:uiPriority w:val="39"/>
    <w:semiHidden/>
    <w:unhideWhenUsed/>
    <w:rsid w:val="00C2357F"/>
    <w:pPr>
      <w:spacing w:after="100"/>
      <w:ind w:left="1680"/>
    </w:pPr>
  </w:style>
  <w:style w:type="paragraph" w:styleId="TOC9">
    <w:name w:val="toc 9"/>
    <w:basedOn w:val="Normal"/>
    <w:next w:val="Normal"/>
    <w:autoRedefine/>
    <w:uiPriority w:val="39"/>
    <w:semiHidden/>
    <w:unhideWhenUsed/>
    <w:rsid w:val="00C2357F"/>
    <w:pPr>
      <w:spacing w:after="100"/>
      <w:ind w:left="1920"/>
    </w:pPr>
  </w:style>
  <w:style w:type="paragraph" w:customStyle="1" w:styleId="TOCPage">
    <w:name w:val="TOC Page"/>
    <w:basedOn w:val="Normal"/>
    <w:next w:val="Normal"/>
    <w:link w:val="TOCPageChar"/>
    <w:rsid w:val="00C2357F"/>
    <w:pPr>
      <w:spacing w:after="240"/>
      <w:jc w:val="right"/>
    </w:pPr>
    <w:rPr>
      <w:b/>
      <w:smallCaps/>
    </w:rPr>
  </w:style>
  <w:style w:type="character" w:customStyle="1" w:styleId="TOCPageChar">
    <w:name w:val="TOC Page Char"/>
    <w:basedOn w:val="TitleChar"/>
    <w:link w:val="TOCPage"/>
    <w:rsid w:val="00C2357F"/>
    <w:rPr>
      <w:rFonts w:ascii="Times New Roman" w:eastAsia="Times New Roman" w:hAnsi="Times New Roman" w:cs="Times New Roman"/>
      <w:b/>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57F"/>
    <w:pPr>
      <w:numPr>
        <w:numId w:val="5"/>
      </w:numPr>
      <w:tabs>
        <w:tab w:val="clear" w:pos="720"/>
      </w:tabs>
      <w:spacing w:after="240"/>
      <w:jc w:val="both"/>
      <w:outlineLvl w:val="0"/>
    </w:pPr>
    <w:rPr>
      <w:b/>
      <w:caps/>
      <w:u w:val="single"/>
    </w:rPr>
  </w:style>
  <w:style w:type="paragraph" w:styleId="Heading2">
    <w:name w:val="heading 2"/>
    <w:basedOn w:val="Normal"/>
    <w:next w:val="Normal"/>
    <w:link w:val="Heading2Char"/>
    <w:uiPriority w:val="9"/>
    <w:semiHidden/>
    <w:unhideWhenUsed/>
    <w:qFormat/>
    <w:rsid w:val="00C2357F"/>
    <w:pPr>
      <w:numPr>
        <w:ilvl w:val="1"/>
        <w:numId w:val="5"/>
      </w:numPr>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C2357F"/>
    <w:pPr>
      <w:numPr>
        <w:ilvl w:val="2"/>
        <w:numId w:val="5"/>
      </w:numPr>
      <w:spacing w:after="240"/>
      <w:jc w:val="both"/>
      <w:outlineLvl w:val="2"/>
    </w:pPr>
    <w:rPr>
      <w:rFonts w:eastAsiaTheme="majorEastAsia"/>
      <w:b/>
      <w:bCs/>
    </w:rPr>
  </w:style>
  <w:style w:type="paragraph" w:styleId="Heading4">
    <w:name w:val="heading 4"/>
    <w:basedOn w:val="Normal"/>
    <w:next w:val="Normal"/>
    <w:link w:val="Heading4Char"/>
    <w:qFormat/>
    <w:rsid w:val="00C2357F"/>
    <w:pPr>
      <w:numPr>
        <w:ilvl w:val="3"/>
        <w:numId w:val="5"/>
      </w:numPr>
      <w:spacing w:after="240"/>
      <w:jc w:val="both"/>
      <w:outlineLvl w:val="3"/>
    </w:pPr>
    <w:rPr>
      <w:b/>
      <w:i/>
    </w:rPr>
  </w:style>
  <w:style w:type="paragraph" w:styleId="Heading5">
    <w:name w:val="heading 5"/>
    <w:basedOn w:val="Normal"/>
    <w:next w:val="Normal"/>
    <w:link w:val="Heading5Char"/>
    <w:uiPriority w:val="9"/>
    <w:semiHidden/>
    <w:unhideWhenUsed/>
    <w:qFormat/>
    <w:rsid w:val="00C2357F"/>
    <w:pPr>
      <w:numPr>
        <w:ilvl w:val="4"/>
        <w:numId w:val="5"/>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C2357F"/>
    <w:pPr>
      <w:numPr>
        <w:ilvl w:val="5"/>
        <w:numId w:val="5"/>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C2357F"/>
    <w:pPr>
      <w:numPr>
        <w:ilvl w:val="6"/>
        <w:numId w:val="5"/>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C2357F"/>
    <w:pPr>
      <w:numPr>
        <w:ilvl w:val="7"/>
        <w:numId w:val="5"/>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C2357F"/>
    <w:pPr>
      <w:numPr>
        <w:ilvl w:val="8"/>
        <w:numId w:val="5"/>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57F"/>
    <w:rPr>
      <w:rFonts w:ascii="Times New Roman" w:eastAsia="Times New Roman" w:hAnsi="Times New Roman" w:cs="Times New Roman"/>
      <w:b/>
      <w:caps/>
      <w:sz w:val="24"/>
      <w:szCs w:val="24"/>
      <w:u w:val="single"/>
    </w:rPr>
  </w:style>
  <w:style w:type="character" w:customStyle="1" w:styleId="Heading4Char">
    <w:name w:val="Heading 4 Char"/>
    <w:basedOn w:val="DefaultParagraphFont"/>
    <w:link w:val="Heading4"/>
    <w:rsid w:val="00C2357F"/>
    <w:rPr>
      <w:rFonts w:ascii="Times New Roman" w:eastAsia="Times New Roman" w:hAnsi="Times New Roman" w:cs="Times New Roman"/>
      <w:b/>
      <w: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paragraph" w:styleId="FootnoteText">
    <w:name w:val="footnote text"/>
    <w:basedOn w:val="Normal"/>
    <w:link w:val="FootnoteTextChar"/>
    <w:uiPriority w:val="99"/>
    <w:unhideWhenUsed/>
    <w:rsid w:val="00306FDA"/>
    <w:rPr>
      <w:rFonts w:ascii="Arial" w:eastAsia="Calibri" w:hAnsi="Arial"/>
      <w:sz w:val="20"/>
      <w:szCs w:val="20"/>
    </w:rPr>
  </w:style>
  <w:style w:type="character" w:customStyle="1" w:styleId="FootnoteTextChar">
    <w:name w:val="Footnote Text Char"/>
    <w:basedOn w:val="DefaultParagraphFont"/>
    <w:link w:val="FootnoteText"/>
    <w:uiPriority w:val="99"/>
    <w:rsid w:val="00306FD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306FDA"/>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608D"/>
    <w:pPr>
      <w:ind w:left="720"/>
      <w:contextualSpacing/>
    </w:pPr>
  </w:style>
  <w:style w:type="character" w:customStyle="1" w:styleId="Heading2Char">
    <w:name w:val="Heading 2 Char"/>
    <w:basedOn w:val="DefaultParagraphFont"/>
    <w:link w:val="Heading2"/>
    <w:uiPriority w:val="9"/>
    <w:semiHidden/>
    <w:rsid w:val="00C2357F"/>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C2357F"/>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semiHidden/>
    <w:rsid w:val="00C2357F"/>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C2357F"/>
    <w:rPr>
      <w:rFonts w:asciiTheme="majorHAnsi" w:eastAsiaTheme="majorEastAsia" w:hAnsiTheme="majorHAnsi" w:cs="Times New Roman"/>
      <w:iCs/>
      <w:color w:val="243F60" w:themeColor="accent1" w:themeShade="7F"/>
      <w:sz w:val="24"/>
      <w:szCs w:val="24"/>
    </w:rPr>
  </w:style>
  <w:style w:type="character" w:customStyle="1" w:styleId="Heading7Char">
    <w:name w:val="Heading 7 Char"/>
    <w:basedOn w:val="DefaultParagraphFont"/>
    <w:link w:val="Heading7"/>
    <w:uiPriority w:val="9"/>
    <w:semiHidden/>
    <w:rsid w:val="00C2357F"/>
    <w:rPr>
      <w:rFonts w:asciiTheme="majorHAnsi" w:eastAsiaTheme="majorEastAsia" w:hAnsiTheme="majorHAnsi" w:cs="Times New Roman"/>
      <w:iCs/>
      <w:color w:val="404040" w:themeColor="text1" w:themeTint="BF"/>
      <w:sz w:val="24"/>
      <w:szCs w:val="24"/>
    </w:rPr>
  </w:style>
  <w:style w:type="character" w:customStyle="1" w:styleId="Heading8Char">
    <w:name w:val="Heading 8 Char"/>
    <w:basedOn w:val="DefaultParagraphFont"/>
    <w:link w:val="Heading8"/>
    <w:uiPriority w:val="9"/>
    <w:semiHidden/>
    <w:rsid w:val="00C2357F"/>
    <w:rPr>
      <w:rFonts w:asciiTheme="majorHAnsi" w:eastAsiaTheme="majorEastAsia" w:hAnsiTheme="majorHAnsi" w:cs="Times New Roman"/>
      <w:color w:val="404040" w:themeColor="text1" w:themeTint="BF"/>
      <w:sz w:val="24"/>
      <w:szCs w:val="20"/>
    </w:rPr>
  </w:style>
  <w:style w:type="character" w:customStyle="1" w:styleId="Heading9Char">
    <w:name w:val="Heading 9 Char"/>
    <w:basedOn w:val="DefaultParagraphFont"/>
    <w:link w:val="Heading9"/>
    <w:uiPriority w:val="9"/>
    <w:semiHidden/>
    <w:rsid w:val="00C2357F"/>
    <w:rPr>
      <w:rFonts w:asciiTheme="majorHAnsi" w:eastAsiaTheme="majorEastAsia" w:hAnsiTheme="majorHAnsi" w:cs="Times New Roman"/>
      <w:iCs/>
      <w:color w:val="404040" w:themeColor="text1" w:themeTint="BF"/>
      <w:sz w:val="24"/>
      <w:szCs w:val="20"/>
    </w:rPr>
  </w:style>
  <w:style w:type="paragraph" w:styleId="TOCHeading">
    <w:name w:val="TOC Heading"/>
    <w:basedOn w:val="Normal"/>
    <w:next w:val="TOC1"/>
    <w:uiPriority w:val="39"/>
    <w:unhideWhenUsed/>
    <w:qFormat/>
    <w:rsid w:val="00C2357F"/>
    <w:pPr>
      <w:keepNext/>
      <w:keepLines/>
      <w:spacing w:before="480" w:after="240"/>
      <w:jc w:val="center"/>
    </w:pPr>
    <w:rPr>
      <w:rFonts w:eastAsiaTheme="majorEastAsia"/>
      <w:b/>
      <w:bCs/>
      <w:color w:val="365F91" w:themeColor="accent1" w:themeShade="BF"/>
      <w:szCs w:val="28"/>
    </w:rPr>
  </w:style>
  <w:style w:type="paragraph" w:styleId="TOC1">
    <w:name w:val="toc 1"/>
    <w:basedOn w:val="Normal"/>
    <w:next w:val="Normal"/>
    <w:autoRedefine/>
    <w:uiPriority w:val="39"/>
    <w:unhideWhenUsed/>
    <w:rsid w:val="00C2357F"/>
    <w:pPr>
      <w:tabs>
        <w:tab w:val="left" w:pos="720"/>
        <w:tab w:val="right" w:leader="dot" w:pos="9350"/>
      </w:tabs>
      <w:spacing w:after="100"/>
    </w:pPr>
  </w:style>
  <w:style w:type="paragraph" w:styleId="TOC2">
    <w:name w:val="toc 2"/>
    <w:basedOn w:val="Normal"/>
    <w:next w:val="Normal"/>
    <w:autoRedefine/>
    <w:uiPriority w:val="39"/>
    <w:semiHidden/>
    <w:unhideWhenUsed/>
    <w:rsid w:val="00C2357F"/>
    <w:pPr>
      <w:spacing w:after="100"/>
      <w:ind w:left="240"/>
    </w:pPr>
  </w:style>
  <w:style w:type="paragraph" w:styleId="TOC3">
    <w:name w:val="toc 3"/>
    <w:basedOn w:val="Normal"/>
    <w:next w:val="Normal"/>
    <w:autoRedefine/>
    <w:uiPriority w:val="39"/>
    <w:semiHidden/>
    <w:unhideWhenUsed/>
    <w:rsid w:val="00C2357F"/>
    <w:pPr>
      <w:spacing w:after="100"/>
      <w:ind w:left="480"/>
    </w:pPr>
  </w:style>
  <w:style w:type="paragraph" w:styleId="TOC4">
    <w:name w:val="toc 4"/>
    <w:basedOn w:val="Normal"/>
    <w:next w:val="Normal"/>
    <w:autoRedefine/>
    <w:uiPriority w:val="39"/>
    <w:semiHidden/>
    <w:unhideWhenUsed/>
    <w:rsid w:val="00C2357F"/>
    <w:pPr>
      <w:spacing w:after="100"/>
      <w:ind w:left="720"/>
    </w:pPr>
  </w:style>
  <w:style w:type="paragraph" w:styleId="TOC5">
    <w:name w:val="toc 5"/>
    <w:basedOn w:val="Normal"/>
    <w:next w:val="Normal"/>
    <w:autoRedefine/>
    <w:uiPriority w:val="39"/>
    <w:semiHidden/>
    <w:unhideWhenUsed/>
    <w:rsid w:val="00C2357F"/>
    <w:pPr>
      <w:spacing w:after="100"/>
      <w:ind w:left="960"/>
    </w:pPr>
  </w:style>
  <w:style w:type="paragraph" w:styleId="TOC6">
    <w:name w:val="toc 6"/>
    <w:basedOn w:val="Normal"/>
    <w:next w:val="Normal"/>
    <w:autoRedefine/>
    <w:uiPriority w:val="39"/>
    <w:semiHidden/>
    <w:unhideWhenUsed/>
    <w:rsid w:val="00C2357F"/>
    <w:pPr>
      <w:spacing w:after="100"/>
      <w:ind w:left="1200"/>
    </w:pPr>
  </w:style>
  <w:style w:type="paragraph" w:styleId="TOC7">
    <w:name w:val="toc 7"/>
    <w:basedOn w:val="Normal"/>
    <w:next w:val="Normal"/>
    <w:autoRedefine/>
    <w:uiPriority w:val="39"/>
    <w:semiHidden/>
    <w:unhideWhenUsed/>
    <w:rsid w:val="00C2357F"/>
    <w:pPr>
      <w:spacing w:after="100"/>
      <w:ind w:left="1440"/>
    </w:pPr>
  </w:style>
  <w:style w:type="paragraph" w:styleId="TOC8">
    <w:name w:val="toc 8"/>
    <w:basedOn w:val="Normal"/>
    <w:next w:val="Normal"/>
    <w:autoRedefine/>
    <w:uiPriority w:val="39"/>
    <w:semiHidden/>
    <w:unhideWhenUsed/>
    <w:rsid w:val="00C2357F"/>
    <w:pPr>
      <w:spacing w:after="100"/>
      <w:ind w:left="1680"/>
    </w:pPr>
  </w:style>
  <w:style w:type="paragraph" w:styleId="TOC9">
    <w:name w:val="toc 9"/>
    <w:basedOn w:val="Normal"/>
    <w:next w:val="Normal"/>
    <w:autoRedefine/>
    <w:uiPriority w:val="39"/>
    <w:semiHidden/>
    <w:unhideWhenUsed/>
    <w:rsid w:val="00C2357F"/>
    <w:pPr>
      <w:spacing w:after="100"/>
      <w:ind w:left="1920"/>
    </w:pPr>
  </w:style>
  <w:style w:type="paragraph" w:customStyle="1" w:styleId="TOCPage">
    <w:name w:val="TOC Page"/>
    <w:basedOn w:val="Normal"/>
    <w:next w:val="Normal"/>
    <w:link w:val="TOCPageChar"/>
    <w:rsid w:val="00C2357F"/>
    <w:pPr>
      <w:spacing w:after="240"/>
      <w:jc w:val="right"/>
    </w:pPr>
    <w:rPr>
      <w:b/>
      <w:smallCaps/>
    </w:rPr>
  </w:style>
  <w:style w:type="character" w:customStyle="1" w:styleId="TOCPageChar">
    <w:name w:val="TOC Page Char"/>
    <w:basedOn w:val="TitleChar"/>
    <w:link w:val="TOCPage"/>
    <w:rsid w:val="00C2357F"/>
    <w:rPr>
      <w:rFonts w:ascii="Times New Roman" w:eastAsia="Times New Roman" w:hAnsi="Times New Roman" w:cs="Times New Roman"/>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3225</Words>
  <Characters>19500</Characters>
  <Application>Microsoft Office Word</Application>
  <DocSecurity>0</DocSecurity>
  <PresentationFormat/>
  <Lines>532</Lines>
  <Paragraphs>229</Paragraphs>
  <ScaleCrop>false</ScaleCrop>
  <HeadingPairs>
    <vt:vector size="2" baseType="variant">
      <vt:variant>
        <vt:lpstr>Title</vt:lpstr>
      </vt:variant>
      <vt:variant>
        <vt:i4>1</vt:i4>
      </vt:variant>
    </vt:vector>
  </HeadingPairs>
  <TitlesOfParts>
    <vt:vector size="1" baseType="lpstr">
      <vt:lpstr>IEU Post Hearing Brief - Case No. 12-2190-EL-POR, et al. (C39082-2).DOCX</vt:lpstr>
    </vt:vector>
  </TitlesOfParts>
  <Manager/>
  <Company/>
  <LinksUpToDate>false</LinksUpToDate>
  <CharactersWithSpaces>22677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Post Hearing Brief - Case No. 12-2190-EL-POR, et al. (C39082-2).DOCX</dc:title>
  <dc:subject>C39082:2 /font=8</dc:subject>
  <dc:creator/>
  <cp:keywords> </cp:keywords>
  <dc:description> </dc:description>
  <cp:lastModifiedBy/>
  <cp:revision>28</cp:revision>
  <cp:lastPrinted>2012-11-20T14:51:00Z</cp:lastPrinted>
  <dcterms:created xsi:type="dcterms:W3CDTF">2012-11-05T17:16:00Z</dcterms:created>
  <dcterms:modified xsi:type="dcterms:W3CDTF">2012-11-20T21:47:00Z</dcterms:modified>
  <cp:category> </cp:category>
  <cp:contentStatus> </cp:contentStatus>
</cp:coreProperties>
</file>