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671887" w:rsidRPr="0001248A" w:rsidP="00671887" w14:paraId="567503B2" w14:textId="77777777">
      <w:pPr>
        <w:pStyle w:val="BodyText"/>
        <w:spacing w:line="240" w:lineRule="auto"/>
        <w:ind w:left="0"/>
        <w:jc w:val="center"/>
        <w:rPr>
          <w:b/>
        </w:rPr>
      </w:pPr>
      <w:bookmarkStart w:id="0" w:name="_Toc249780368"/>
      <w:bookmarkStart w:id="1" w:name="_Toc249782095"/>
      <w:r w:rsidRPr="0001248A">
        <w:rPr>
          <w:b/>
        </w:rPr>
        <w:t>BEFORE</w:t>
      </w:r>
    </w:p>
    <w:p w:rsidR="00671887" w:rsidRPr="0001248A" w:rsidP="00671887" w14:paraId="621BB208" w14:textId="77777777">
      <w:pPr>
        <w:jc w:val="center"/>
        <w:rPr>
          <w:b/>
          <w:bCs/>
        </w:rPr>
      </w:pPr>
      <w:r w:rsidRPr="0001248A">
        <w:rPr>
          <w:b/>
          <w:bCs/>
        </w:rPr>
        <w:t>THE PUBLIC UTILITIES COMMISSION OF OHIO</w:t>
      </w:r>
    </w:p>
    <w:p w:rsidR="00671887" w:rsidRPr="0001248A" w:rsidP="00671887" w14:paraId="5B89CC19" w14:textId="77777777">
      <w:pPr>
        <w:jc w:val="center"/>
      </w:pPr>
    </w:p>
    <w:tbl>
      <w:tblPr>
        <w:tblW w:w="8640" w:type="dxa"/>
        <w:tblLook w:val="01E0"/>
      </w:tblPr>
      <w:tblGrid>
        <w:gridCol w:w="4332"/>
        <w:gridCol w:w="360"/>
        <w:gridCol w:w="3948"/>
      </w:tblGrid>
      <w:tr w14:paraId="22E625BB" w14:textId="77777777" w:rsidTr="00262DC1">
        <w:tblPrEx>
          <w:tblW w:w="8640" w:type="dxa"/>
          <w:tblLook w:val="01E0"/>
        </w:tblPrEx>
        <w:trPr>
          <w:trHeight w:val="807"/>
        </w:trPr>
        <w:tc>
          <w:tcPr>
            <w:tcW w:w="4332" w:type="dxa"/>
            <w:shd w:val="clear" w:color="auto" w:fill="auto"/>
          </w:tcPr>
          <w:p w:rsidR="00671887" w:rsidRPr="0001248A" w:rsidP="00262DC1" w14:paraId="5067CA33" w14:textId="77777777">
            <w:pPr>
              <w:pStyle w:val="HTMLPreformatted"/>
              <w:rPr>
                <w:rFonts w:ascii="Times New Roman" w:hAnsi="Times New Roman"/>
                <w:sz w:val="24"/>
                <w:szCs w:val="24"/>
              </w:rPr>
            </w:pPr>
            <w:r w:rsidRPr="0001248A">
              <w:rPr>
                <w:rFonts w:ascii="Times New Roman" w:hAnsi="Times New Roman"/>
                <w:sz w:val="24"/>
                <w:szCs w:val="24"/>
              </w:rPr>
              <w:t>In the Matter of the Application of the Duke Energy Ohio, Inc., for an Increase in Electric Distribution Rates.</w:t>
            </w:r>
          </w:p>
          <w:p w:rsidR="00671887" w:rsidRPr="0001248A" w:rsidP="00262DC1" w14:paraId="38C4EEAE" w14:textId="77777777">
            <w:pPr>
              <w:pStyle w:val="HTMLPreformatted"/>
              <w:rPr>
                <w:rFonts w:ascii="Times New Roman" w:hAnsi="Times New Roman"/>
                <w:sz w:val="24"/>
                <w:szCs w:val="24"/>
              </w:rPr>
            </w:pPr>
          </w:p>
          <w:p w:rsidR="00671887" w:rsidRPr="0001248A" w:rsidP="00262DC1" w14:paraId="76054F1E" w14:textId="77777777">
            <w:pPr>
              <w:pStyle w:val="HTMLPreformatted"/>
              <w:rPr>
                <w:rFonts w:ascii="Times New Roman" w:hAnsi="Times New Roman"/>
                <w:sz w:val="24"/>
                <w:szCs w:val="24"/>
              </w:rPr>
            </w:pPr>
            <w:r w:rsidRPr="0001248A">
              <w:rPr>
                <w:rFonts w:ascii="Times New Roman" w:hAnsi="Times New Roman"/>
                <w:sz w:val="24"/>
                <w:szCs w:val="24"/>
              </w:rPr>
              <w:t>In the Matter of the Application of Duke Energy Ohio, Inc., for Tariff Approval.</w:t>
            </w:r>
          </w:p>
          <w:p w:rsidR="00671887" w:rsidRPr="0001248A" w:rsidP="00262DC1" w14:paraId="44B91DCC" w14:textId="77777777">
            <w:pPr>
              <w:pStyle w:val="HTMLPreformatted"/>
              <w:rPr>
                <w:rFonts w:ascii="Times New Roman" w:hAnsi="Times New Roman"/>
                <w:sz w:val="24"/>
                <w:szCs w:val="24"/>
              </w:rPr>
            </w:pPr>
          </w:p>
          <w:p w:rsidR="00671887" w:rsidRPr="0001248A" w:rsidP="00262DC1" w14:paraId="0CB8E42B" w14:textId="77777777">
            <w:pPr>
              <w:pStyle w:val="HTMLPreformatted"/>
              <w:rPr>
                <w:rFonts w:ascii="Times New Roman" w:hAnsi="Times New Roman"/>
                <w:sz w:val="24"/>
                <w:szCs w:val="24"/>
              </w:rPr>
            </w:pPr>
            <w:r w:rsidRPr="0001248A">
              <w:rPr>
                <w:rFonts w:ascii="Times New Roman" w:hAnsi="Times New Roman"/>
                <w:sz w:val="24"/>
                <w:szCs w:val="24"/>
              </w:rPr>
              <w:t>In the Matter of the Application of Duke Energy Inc., for Approval to Change Accounting Methods.</w:t>
            </w:r>
          </w:p>
        </w:tc>
        <w:tc>
          <w:tcPr>
            <w:tcW w:w="360" w:type="dxa"/>
            <w:shd w:val="clear" w:color="auto" w:fill="auto"/>
          </w:tcPr>
          <w:p w:rsidR="00671887" w:rsidRPr="0001248A" w:rsidP="00262DC1" w14:paraId="2C15FCEB"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62949F28"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7AAAAEEC"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01059B6F" w14:textId="77777777">
            <w:pPr>
              <w:pStyle w:val="HTMLPreformatted"/>
              <w:rPr>
                <w:rFonts w:ascii="Times New Roman" w:hAnsi="Times New Roman"/>
                <w:sz w:val="24"/>
                <w:szCs w:val="24"/>
              </w:rPr>
            </w:pPr>
          </w:p>
          <w:p w:rsidR="00671887" w:rsidRPr="0001248A" w:rsidP="00262DC1" w14:paraId="4F28A300"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6502213F"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1DC268EC" w14:textId="77777777">
            <w:pPr>
              <w:pStyle w:val="HTMLPreformatted"/>
              <w:rPr>
                <w:rFonts w:ascii="Times New Roman" w:hAnsi="Times New Roman"/>
                <w:sz w:val="24"/>
                <w:szCs w:val="24"/>
              </w:rPr>
            </w:pPr>
          </w:p>
          <w:p w:rsidR="00671887" w:rsidRPr="0001248A" w:rsidP="00262DC1" w14:paraId="463FE2F3"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1BF26D7B"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3E5EBC0F" w14:textId="77777777">
            <w:pPr>
              <w:pStyle w:val="HTMLPreformatted"/>
              <w:rPr>
                <w:rFonts w:ascii="Times New Roman" w:hAnsi="Times New Roman"/>
                <w:sz w:val="24"/>
                <w:szCs w:val="24"/>
              </w:rPr>
            </w:pPr>
            <w:r w:rsidRPr="0001248A">
              <w:rPr>
                <w:rFonts w:ascii="Times New Roman" w:hAnsi="Times New Roman"/>
                <w:sz w:val="24"/>
                <w:szCs w:val="24"/>
              </w:rPr>
              <w:t>)</w:t>
            </w:r>
          </w:p>
        </w:tc>
        <w:tc>
          <w:tcPr>
            <w:tcW w:w="3948" w:type="dxa"/>
            <w:shd w:val="clear" w:color="auto" w:fill="auto"/>
          </w:tcPr>
          <w:p w:rsidR="00671887" w:rsidRPr="0001248A" w:rsidP="00262DC1" w14:paraId="53616403" w14:textId="77777777">
            <w:pPr>
              <w:pStyle w:val="HTMLPreformatted"/>
              <w:rPr>
                <w:rFonts w:ascii="Times New Roman" w:hAnsi="Times New Roman"/>
                <w:sz w:val="24"/>
                <w:szCs w:val="24"/>
              </w:rPr>
            </w:pPr>
          </w:p>
          <w:p w:rsidR="00671887" w:rsidRPr="0001248A" w:rsidP="00262DC1" w14:paraId="5A46BBC0" w14:textId="77777777">
            <w:pPr>
              <w:pStyle w:val="HTMLPreformatted"/>
              <w:rPr>
                <w:rFonts w:ascii="Times New Roman" w:hAnsi="Times New Roman"/>
                <w:sz w:val="24"/>
                <w:szCs w:val="24"/>
              </w:rPr>
            </w:pPr>
            <w:r w:rsidRPr="0001248A">
              <w:rPr>
                <w:rFonts w:ascii="Times New Roman" w:hAnsi="Times New Roman"/>
                <w:sz w:val="24"/>
                <w:szCs w:val="24"/>
              </w:rPr>
              <w:t>Case No. 21-887-EL-AIR</w:t>
            </w:r>
          </w:p>
          <w:p w:rsidR="00671887" w:rsidRPr="0001248A" w:rsidP="00262DC1" w14:paraId="669DADD5" w14:textId="77777777">
            <w:pPr>
              <w:pStyle w:val="HTMLPreformatted"/>
              <w:rPr>
                <w:rFonts w:ascii="Times New Roman" w:hAnsi="Times New Roman"/>
                <w:sz w:val="24"/>
                <w:szCs w:val="24"/>
              </w:rPr>
            </w:pPr>
          </w:p>
          <w:p w:rsidR="00671887" w:rsidRPr="0001248A" w:rsidP="00262DC1" w14:paraId="4A22B299" w14:textId="77777777">
            <w:pPr>
              <w:pStyle w:val="HTMLPreformatted"/>
              <w:rPr>
                <w:rFonts w:ascii="Times New Roman" w:hAnsi="Times New Roman"/>
                <w:sz w:val="24"/>
                <w:szCs w:val="24"/>
              </w:rPr>
            </w:pPr>
          </w:p>
          <w:p w:rsidR="00671887" w:rsidRPr="0001248A" w:rsidP="00262DC1" w14:paraId="302A78D7" w14:textId="77777777">
            <w:pPr>
              <w:pStyle w:val="HTMLPreformatted"/>
              <w:rPr>
                <w:rFonts w:ascii="Times New Roman" w:hAnsi="Times New Roman"/>
                <w:sz w:val="24"/>
                <w:szCs w:val="24"/>
              </w:rPr>
            </w:pPr>
          </w:p>
          <w:p w:rsidR="00671887" w:rsidRPr="0001248A" w:rsidP="00262DC1" w14:paraId="686AA11A" w14:textId="77777777">
            <w:pPr>
              <w:pStyle w:val="HTMLPreformatted"/>
              <w:rPr>
                <w:rFonts w:ascii="Times New Roman" w:hAnsi="Times New Roman"/>
                <w:sz w:val="24"/>
                <w:szCs w:val="24"/>
              </w:rPr>
            </w:pPr>
            <w:r w:rsidRPr="0001248A">
              <w:rPr>
                <w:rFonts w:ascii="Times New Roman" w:hAnsi="Times New Roman"/>
                <w:sz w:val="24"/>
                <w:szCs w:val="24"/>
              </w:rPr>
              <w:t>Case No. 21-888-EL-ATA</w:t>
            </w:r>
          </w:p>
          <w:p w:rsidR="00671887" w:rsidRPr="0001248A" w:rsidP="00262DC1" w14:paraId="5DB349D8" w14:textId="77777777">
            <w:pPr>
              <w:pStyle w:val="HTMLPreformatted"/>
              <w:rPr>
                <w:rFonts w:ascii="Times New Roman" w:hAnsi="Times New Roman"/>
                <w:sz w:val="24"/>
                <w:szCs w:val="24"/>
              </w:rPr>
            </w:pPr>
          </w:p>
          <w:p w:rsidR="00671887" w:rsidRPr="0001248A" w:rsidP="00262DC1" w14:paraId="4224D6C9" w14:textId="77777777">
            <w:pPr>
              <w:pStyle w:val="HTMLPreformatted"/>
              <w:rPr>
                <w:rFonts w:ascii="Times New Roman" w:hAnsi="Times New Roman"/>
                <w:sz w:val="24"/>
                <w:szCs w:val="24"/>
              </w:rPr>
            </w:pPr>
          </w:p>
          <w:p w:rsidR="00671887" w:rsidRPr="0001248A" w:rsidP="00262DC1" w14:paraId="1A50A567" w14:textId="77777777">
            <w:pPr>
              <w:pStyle w:val="HTMLPreformatted"/>
              <w:rPr>
                <w:rFonts w:ascii="Times New Roman" w:hAnsi="Times New Roman"/>
                <w:sz w:val="24"/>
                <w:szCs w:val="24"/>
              </w:rPr>
            </w:pPr>
            <w:r w:rsidRPr="0001248A">
              <w:rPr>
                <w:rFonts w:ascii="Times New Roman" w:hAnsi="Times New Roman"/>
                <w:sz w:val="24"/>
                <w:szCs w:val="24"/>
              </w:rPr>
              <w:t>Case No. 21-889-EL-AAM</w:t>
            </w:r>
          </w:p>
        </w:tc>
      </w:tr>
    </w:tbl>
    <w:p w:rsidR="00666EB8" w:rsidRPr="0001248A" w:rsidP="00666EB8" w14:paraId="66DEAFEA" w14:textId="77777777">
      <w:pPr>
        <w:rPr>
          <w:bCs/>
        </w:rPr>
      </w:pPr>
    </w:p>
    <w:p w:rsidR="00666EB8" w:rsidRPr="0001248A" w:rsidP="00666EB8" w14:paraId="080F9D9F" w14:textId="77777777">
      <w:pPr>
        <w:pBdr>
          <w:top w:val="single" w:sz="12" w:space="1" w:color="auto"/>
        </w:pBdr>
        <w:tabs>
          <w:tab w:val="left" w:pos="-720"/>
        </w:tabs>
        <w:suppressAutoHyphens/>
        <w:jc w:val="center"/>
        <w:rPr>
          <w:b/>
        </w:rPr>
      </w:pPr>
    </w:p>
    <w:p w:rsidR="00666EB8" w:rsidRPr="0001248A" w:rsidP="00666EB8" w14:paraId="5A1E88AB" w14:textId="32DC6B63">
      <w:pPr>
        <w:jc w:val="center"/>
        <w:rPr>
          <w:b/>
        </w:rPr>
      </w:pPr>
      <w:r w:rsidRPr="0001248A">
        <w:rPr>
          <w:b/>
        </w:rPr>
        <w:t xml:space="preserve">MEMORANDUM CONTRA DUKE’S MOTION TO STRIKE </w:t>
      </w:r>
      <w:r w:rsidRPr="0001248A" w:rsidR="00B51D08">
        <w:rPr>
          <w:b/>
        </w:rPr>
        <w:t xml:space="preserve">OCC’S </w:t>
      </w:r>
      <w:r w:rsidRPr="0001248A">
        <w:rPr>
          <w:b/>
        </w:rPr>
        <w:t>OBJECTIONS</w:t>
      </w:r>
    </w:p>
    <w:p w:rsidR="00666EB8" w:rsidRPr="0001248A" w:rsidP="00666EB8" w14:paraId="606DF2E4" w14:textId="77777777">
      <w:pPr>
        <w:jc w:val="center"/>
        <w:rPr>
          <w:b/>
        </w:rPr>
      </w:pPr>
      <w:r w:rsidRPr="0001248A">
        <w:rPr>
          <w:b/>
        </w:rPr>
        <w:t>BY</w:t>
      </w:r>
    </w:p>
    <w:p w:rsidR="00666EB8" w:rsidRPr="0001248A" w:rsidP="00666EB8" w14:paraId="750C0ECF" w14:textId="77777777">
      <w:pPr>
        <w:jc w:val="center"/>
        <w:rPr>
          <w:b/>
        </w:rPr>
      </w:pPr>
      <w:r w:rsidRPr="0001248A">
        <w:rPr>
          <w:b/>
        </w:rPr>
        <w:t>OFFICE OF THE OHIO CONSUMERS’ COUNSEL</w:t>
      </w:r>
    </w:p>
    <w:p w:rsidR="00666EB8" w:rsidRPr="0001248A" w:rsidP="00666EB8" w14:paraId="6AA1104F" w14:textId="77777777">
      <w:pPr>
        <w:pBdr>
          <w:bottom w:val="single" w:sz="12" w:space="1" w:color="auto"/>
        </w:pBdr>
        <w:tabs>
          <w:tab w:val="left" w:pos="-720"/>
        </w:tabs>
        <w:suppressAutoHyphens/>
        <w:rPr>
          <w:b/>
        </w:rPr>
      </w:pPr>
    </w:p>
    <w:p w:rsidR="00666EB8" w:rsidRPr="0001248A" w:rsidP="00666EB8" w14:paraId="3FFBA34E" w14:textId="77777777">
      <w:pPr>
        <w:rPr>
          <w:bCs/>
        </w:rPr>
      </w:pPr>
    </w:p>
    <w:p w:rsidR="00671887" w:rsidRPr="0001248A" w14:paraId="08C88835" w14:textId="77777777">
      <w:pPr>
        <w:pStyle w:val="BodyText"/>
        <w:spacing w:line="240" w:lineRule="auto"/>
        <w:ind w:left="0"/>
        <w:jc w:val="center"/>
        <w:rPr>
          <w:b/>
        </w:rPr>
      </w:pPr>
    </w:p>
    <w:p w:rsidR="00666EB8" w:rsidRPr="0001248A" w:rsidP="00666EB8" w14:paraId="219428D1" w14:textId="77777777">
      <w:pPr>
        <w:ind w:left="3600" w:firstLine="720"/>
        <w:rPr>
          <w:rFonts w:eastAsiaTheme="minorEastAsia"/>
        </w:rPr>
      </w:pPr>
      <w:r w:rsidRPr="0001248A">
        <w:rPr>
          <w:rFonts w:eastAsiaTheme="minorEastAsia"/>
        </w:rPr>
        <w:t>Bruce Weston (0016973)</w:t>
      </w:r>
    </w:p>
    <w:p w:rsidR="00666EB8" w:rsidRPr="0001248A" w:rsidP="00666EB8" w14:paraId="4BEE9711"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Ohio Consumers’ Counsel</w:t>
      </w:r>
    </w:p>
    <w:p w:rsidR="00666EB8" w:rsidRPr="0001248A" w:rsidP="00666EB8" w14:paraId="26DAF9A4" w14:textId="3B71425F">
      <w:pPr>
        <w:rPr>
          <w:rFonts w:eastAsiaTheme="minorEastAsia"/>
          <w:i/>
          <w:u w:val="single"/>
        </w:rPr>
      </w:pPr>
    </w:p>
    <w:p w:rsidR="00666EB8" w:rsidRPr="0001248A" w:rsidP="00666EB8" w14:paraId="39A7E0C5"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Angela D. O’Brien (0097579)</w:t>
      </w:r>
    </w:p>
    <w:p w:rsidR="00666EB8" w:rsidRPr="0001248A" w:rsidP="00666EB8" w14:paraId="7866B763"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Counsel of Record</w:t>
      </w:r>
    </w:p>
    <w:p w:rsidR="00666EB8" w:rsidRPr="0001248A" w:rsidP="00666EB8" w14:paraId="1796384B"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Ambrosia E. Wilson (0096598)</w:t>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Assistant Consumers’ Counsel</w:t>
      </w:r>
    </w:p>
    <w:p w:rsidR="00666EB8" w:rsidRPr="0001248A" w:rsidP="00666EB8" w14:paraId="78FA5B4D" w14:textId="77777777">
      <w:pPr>
        <w:rPr>
          <w:rFonts w:eastAsiaTheme="minorEastAsia"/>
        </w:rPr>
      </w:pPr>
    </w:p>
    <w:p w:rsidR="00666EB8" w:rsidRPr="0001248A" w:rsidP="00666EB8" w14:paraId="378D92CF" w14:textId="77777777">
      <w:pPr>
        <w:rPr>
          <w:rFonts w:eastAsiaTheme="minorEastAsia"/>
          <w:b/>
        </w:rPr>
      </w:pPr>
      <w:r w:rsidRPr="0001248A">
        <w:rPr>
          <w:rFonts w:eastAsiaTheme="minorEastAsia"/>
          <w:b/>
        </w:rPr>
        <w:tab/>
      </w:r>
      <w:r w:rsidRPr="0001248A">
        <w:rPr>
          <w:rFonts w:eastAsiaTheme="minorEastAsia"/>
          <w:b/>
        </w:rPr>
        <w:tab/>
      </w:r>
      <w:r w:rsidRPr="0001248A">
        <w:rPr>
          <w:rFonts w:eastAsiaTheme="minorEastAsia"/>
          <w:b/>
        </w:rPr>
        <w:tab/>
      </w:r>
      <w:r w:rsidRPr="0001248A">
        <w:rPr>
          <w:rFonts w:eastAsiaTheme="minorEastAsia"/>
          <w:b/>
        </w:rPr>
        <w:tab/>
      </w:r>
      <w:r w:rsidRPr="0001248A">
        <w:rPr>
          <w:rFonts w:eastAsiaTheme="minorEastAsia"/>
          <w:b/>
        </w:rPr>
        <w:tab/>
      </w:r>
      <w:r w:rsidRPr="0001248A">
        <w:rPr>
          <w:rFonts w:eastAsiaTheme="minorEastAsia"/>
          <w:b/>
        </w:rPr>
        <w:tab/>
        <w:t>Office of the Ohio Consumers’ Counsel</w:t>
      </w:r>
    </w:p>
    <w:p w:rsidR="00666EB8" w:rsidRPr="0001248A" w:rsidP="00666EB8" w14:paraId="4D45D029"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65 East State Street, Suite 700</w:t>
      </w:r>
    </w:p>
    <w:p w:rsidR="00666EB8" w:rsidRPr="0001248A" w:rsidP="00666EB8" w14:paraId="0A4FA13F"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Columbus, Ohio 43215</w:t>
      </w:r>
    </w:p>
    <w:p w:rsidR="00666EB8" w:rsidRPr="0001248A" w:rsidP="00666EB8" w14:paraId="2BE99407"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Telephone [O’Brien]: (614) 466-9531</w:t>
      </w:r>
    </w:p>
    <w:p w:rsidR="00666EB8" w:rsidRPr="0001248A" w:rsidP="00666EB8" w14:paraId="3AE0957A"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Telephone [Wilson]: (614) 466-1292</w:t>
      </w:r>
    </w:p>
    <w:p w:rsidR="00666EB8" w:rsidRPr="0001248A" w:rsidP="00666EB8" w14:paraId="54D3475B"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hyperlink r:id="rId6" w:history="1">
        <w:r w:rsidRPr="0001248A">
          <w:rPr>
            <w:rStyle w:val="Hyperlink"/>
            <w:rFonts w:eastAsiaTheme="minorEastAsia"/>
          </w:rPr>
          <w:t>angela.obrien@occ.ohio.gov</w:t>
        </w:r>
      </w:hyperlink>
    </w:p>
    <w:p w:rsidR="00666EB8" w:rsidRPr="0001248A" w:rsidP="00666EB8" w14:paraId="48654653"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hyperlink r:id="rId7" w:history="1">
        <w:r w:rsidRPr="0001248A">
          <w:rPr>
            <w:rStyle w:val="Hyperlink"/>
            <w:rFonts w:eastAsiaTheme="minorEastAsia"/>
          </w:rPr>
          <w:t>ambrosia.wilson@occ.ohio.gov</w:t>
        </w:r>
      </w:hyperlink>
      <w:r w:rsidRPr="0001248A">
        <w:rPr>
          <w:rFonts w:eastAsiaTheme="minorEastAsia"/>
        </w:rPr>
        <w:t xml:space="preserve"> </w:t>
      </w:r>
    </w:p>
    <w:p w:rsidR="00666EB8" w:rsidRPr="0001248A" w:rsidP="00C00390" w14:paraId="2D0C9320" w14:textId="648CB5B2">
      <w:pPr>
        <w:pStyle w:val="BodyText"/>
        <w:ind w:left="4320" w:hanging="4320"/>
        <w:rPr>
          <w:b/>
        </w:rPr>
        <w:sectPr w:rsidSect="00671887">
          <w:pgSz w:w="12240" w:h="15840" w:code="1"/>
          <w:pgMar w:top="1440" w:right="1800" w:bottom="1440" w:left="1800" w:header="720" w:footer="720" w:gutter="0"/>
          <w:pgNumType w:start="2"/>
          <w:cols w:space="720"/>
          <w:docGrid w:linePitch="360"/>
        </w:sectPr>
      </w:pPr>
      <w:r w:rsidRPr="0001248A">
        <w:rPr>
          <w:rFonts w:eastAsiaTheme="minorEastAsia"/>
        </w:rPr>
        <w:t>July 8, 2022</w:t>
      </w:r>
      <w:r w:rsidRPr="0001248A">
        <w:rPr>
          <w:rFonts w:eastAsiaTheme="minorEastAsia"/>
        </w:rPr>
        <w:tab/>
        <w:t>(willing to accept service via email)</w:t>
      </w:r>
    </w:p>
    <w:p w:rsidR="00C02294" w:rsidRPr="0001248A" w:rsidP="00C02294" w14:paraId="42CE4C75" w14:textId="77777777">
      <w:pPr>
        <w:pStyle w:val="ListParagraph"/>
        <w:autoSpaceDE w:val="0"/>
        <w:autoSpaceDN w:val="0"/>
        <w:adjustRightInd w:val="0"/>
        <w:jc w:val="center"/>
        <w:rPr>
          <w:rFonts w:ascii="Times New Roman" w:hAnsi="Times New Roman"/>
          <w:b/>
          <w:bCs/>
          <w:szCs w:val="24"/>
          <w:u w:val="single"/>
        </w:rPr>
      </w:pPr>
      <w:r w:rsidRPr="0001248A">
        <w:rPr>
          <w:rFonts w:ascii="Times New Roman" w:hAnsi="Times New Roman"/>
          <w:b/>
          <w:szCs w:val="24"/>
          <w:u w:val="single"/>
        </w:rPr>
        <w:t>TABLE OF CONTENTS</w:t>
      </w:r>
    </w:p>
    <w:p w:rsidR="00C02294" w:rsidRPr="0001248A" w:rsidP="00C02294" w14:paraId="7F5808D4" w14:textId="77777777">
      <w:pPr>
        <w:pStyle w:val="ListParagraph"/>
        <w:autoSpaceDE w:val="0"/>
        <w:autoSpaceDN w:val="0"/>
        <w:adjustRightInd w:val="0"/>
        <w:jc w:val="right"/>
        <w:rPr>
          <w:rFonts w:ascii="Times New Roman" w:hAnsi="Times New Roman"/>
          <w:b/>
          <w:bCs/>
          <w:szCs w:val="24"/>
        </w:rPr>
      </w:pPr>
      <w:r w:rsidRPr="0001248A">
        <w:rPr>
          <w:rFonts w:ascii="Times New Roman" w:hAnsi="Times New Roman"/>
          <w:b/>
          <w:szCs w:val="24"/>
        </w:rPr>
        <w:t>PAGE</w:t>
      </w:r>
    </w:p>
    <w:p w:rsidR="00C02294" w:rsidRPr="0001248A" w:rsidP="00C02294" w14:paraId="6F57B588" w14:textId="77777777">
      <w:pPr>
        <w:pStyle w:val="ListParagraph"/>
        <w:autoSpaceDE w:val="0"/>
        <w:autoSpaceDN w:val="0"/>
        <w:adjustRightInd w:val="0"/>
        <w:jc w:val="right"/>
        <w:rPr>
          <w:rFonts w:ascii="Times New Roman" w:hAnsi="Times New Roman"/>
          <w:b/>
          <w:bCs/>
          <w:szCs w:val="24"/>
        </w:rPr>
      </w:pPr>
    </w:p>
    <w:p w:rsidR="00DA7D27" w14:paraId="3DCC553D" w14:textId="2202D74F">
      <w:pPr>
        <w:pStyle w:val="TOC1"/>
        <w:rPr>
          <w:rFonts w:asciiTheme="minorHAnsi" w:hAnsiTheme="minorHAnsi" w:cstheme="minorBidi"/>
          <w:caps w:val="0"/>
          <w:sz w:val="22"/>
        </w:rPr>
      </w:pPr>
      <w:r w:rsidRPr="0001248A">
        <w:rPr>
          <w:b/>
          <w:bCs/>
          <w:szCs w:val="24"/>
        </w:rPr>
        <w:fldChar w:fldCharType="begin"/>
      </w:r>
      <w:r w:rsidRPr="0001248A">
        <w:rPr>
          <w:b/>
          <w:szCs w:val="24"/>
        </w:rPr>
        <w:instrText xml:space="preserve"> TOC \o "1-3" \h \z \u </w:instrText>
      </w:r>
      <w:r w:rsidRPr="0001248A">
        <w:rPr>
          <w:b/>
          <w:bCs/>
          <w:szCs w:val="24"/>
        </w:rPr>
        <w:fldChar w:fldCharType="separate"/>
      </w:r>
      <w:hyperlink w:anchor="_Toc108188730" w:history="1">
        <w:r w:rsidRPr="00632DC3">
          <w:rPr>
            <w:rStyle w:val="Hyperlink"/>
          </w:rPr>
          <w:t>I.</w:t>
        </w:r>
        <w:r>
          <w:rPr>
            <w:rFonts w:asciiTheme="minorHAnsi" w:hAnsiTheme="minorHAnsi" w:cstheme="minorBidi"/>
            <w:caps w:val="0"/>
            <w:sz w:val="22"/>
          </w:rPr>
          <w:tab/>
        </w:r>
        <w:r w:rsidRPr="00632DC3">
          <w:rPr>
            <w:rStyle w:val="Hyperlink"/>
          </w:rPr>
          <w:t>INTRODUCTION</w:t>
        </w:r>
        <w:r>
          <w:rPr>
            <w:webHidden/>
          </w:rPr>
          <w:tab/>
        </w:r>
        <w:r>
          <w:rPr>
            <w:webHidden/>
          </w:rPr>
          <w:fldChar w:fldCharType="begin"/>
        </w:r>
        <w:r>
          <w:rPr>
            <w:webHidden/>
          </w:rPr>
          <w:instrText xml:space="preserve"> PAGEREF _Toc108188730 \h </w:instrText>
        </w:r>
        <w:r>
          <w:rPr>
            <w:webHidden/>
          </w:rPr>
          <w:fldChar w:fldCharType="separate"/>
        </w:r>
        <w:r>
          <w:rPr>
            <w:webHidden/>
          </w:rPr>
          <w:t>1</w:t>
        </w:r>
        <w:r>
          <w:rPr>
            <w:webHidden/>
          </w:rPr>
          <w:fldChar w:fldCharType="end"/>
        </w:r>
      </w:hyperlink>
    </w:p>
    <w:p w:rsidR="00DA7D27" w14:paraId="62EEC9DE" w14:textId="21C69244">
      <w:pPr>
        <w:pStyle w:val="TOC1"/>
        <w:rPr>
          <w:rFonts w:asciiTheme="minorHAnsi" w:hAnsiTheme="minorHAnsi" w:cstheme="minorBidi"/>
          <w:caps w:val="0"/>
          <w:sz w:val="22"/>
        </w:rPr>
      </w:pPr>
      <w:hyperlink w:anchor="_Toc108188731" w:history="1">
        <w:r w:rsidRPr="00632DC3">
          <w:rPr>
            <w:rStyle w:val="Hyperlink"/>
          </w:rPr>
          <w:t>II.</w:t>
        </w:r>
        <w:r>
          <w:rPr>
            <w:rFonts w:asciiTheme="minorHAnsi" w:hAnsiTheme="minorHAnsi" w:cstheme="minorBidi"/>
            <w:caps w:val="0"/>
            <w:sz w:val="22"/>
          </w:rPr>
          <w:tab/>
        </w:r>
        <w:r w:rsidRPr="00632DC3">
          <w:rPr>
            <w:rStyle w:val="Hyperlink"/>
          </w:rPr>
          <w:t>RECOMMENDATIONS</w:t>
        </w:r>
        <w:r>
          <w:rPr>
            <w:webHidden/>
          </w:rPr>
          <w:tab/>
        </w:r>
        <w:r>
          <w:rPr>
            <w:webHidden/>
          </w:rPr>
          <w:fldChar w:fldCharType="begin"/>
        </w:r>
        <w:r>
          <w:rPr>
            <w:webHidden/>
          </w:rPr>
          <w:instrText xml:space="preserve"> PAGEREF _Toc108188731 \h </w:instrText>
        </w:r>
        <w:r>
          <w:rPr>
            <w:webHidden/>
          </w:rPr>
          <w:fldChar w:fldCharType="separate"/>
        </w:r>
        <w:r>
          <w:rPr>
            <w:webHidden/>
          </w:rPr>
          <w:t>3</w:t>
        </w:r>
        <w:r>
          <w:rPr>
            <w:webHidden/>
          </w:rPr>
          <w:fldChar w:fldCharType="end"/>
        </w:r>
      </w:hyperlink>
    </w:p>
    <w:p w:rsidR="00DA7D27" w14:paraId="7DC33923" w14:textId="039B37B4">
      <w:pPr>
        <w:pStyle w:val="TOC2"/>
        <w:tabs>
          <w:tab w:val="left" w:pos="1440"/>
        </w:tabs>
        <w:rPr>
          <w:rFonts w:asciiTheme="minorHAnsi" w:eastAsiaTheme="minorEastAsia" w:hAnsiTheme="minorHAnsi" w:cstheme="minorBidi"/>
          <w:noProof/>
          <w:sz w:val="22"/>
          <w:szCs w:val="22"/>
        </w:rPr>
      </w:pPr>
      <w:hyperlink w:anchor="_Toc108188732" w:history="1">
        <w:r w:rsidRPr="00632DC3">
          <w:rPr>
            <w:rStyle w:val="Hyperlink"/>
            <w:rFonts w:asciiTheme="majorBidi" w:hAnsiTheme="majorBidi" w:cstheme="majorBidi"/>
            <w:noProof/>
          </w:rPr>
          <w:t>A.</w:t>
        </w:r>
        <w:r>
          <w:rPr>
            <w:rFonts w:asciiTheme="minorHAnsi" w:eastAsiaTheme="minorEastAsia" w:hAnsiTheme="minorHAnsi" w:cstheme="minorBidi"/>
            <w:noProof/>
            <w:sz w:val="22"/>
            <w:szCs w:val="22"/>
          </w:rPr>
          <w:tab/>
        </w:r>
        <w:r w:rsidRPr="00632DC3">
          <w:rPr>
            <w:rStyle w:val="Hyperlink"/>
            <w:noProof/>
          </w:rPr>
          <w:t xml:space="preserve">OCC’s objections should not be stricken as they relate to </w:t>
        </w:r>
        <w:r>
          <w:rPr>
            <w:rStyle w:val="Hyperlink"/>
            <w:noProof/>
          </w:rPr>
          <w:br/>
        </w:r>
        <w:r w:rsidRPr="00632DC3">
          <w:rPr>
            <w:rStyle w:val="Hyperlink"/>
            <w:noProof/>
          </w:rPr>
          <w:t xml:space="preserve">Duke’s application to increase rates to consumers, and they </w:t>
        </w:r>
        <w:r>
          <w:rPr>
            <w:rStyle w:val="Hyperlink"/>
            <w:noProof/>
          </w:rPr>
          <w:br/>
        </w:r>
        <w:r w:rsidRPr="00632DC3">
          <w:rPr>
            <w:rStyle w:val="Hyperlink"/>
            <w:noProof/>
          </w:rPr>
          <w:t xml:space="preserve">should be considered in this case through testimony and the </w:t>
        </w:r>
        <w:r>
          <w:rPr>
            <w:rStyle w:val="Hyperlink"/>
            <w:noProof/>
          </w:rPr>
          <w:br/>
        </w:r>
        <w:r w:rsidRPr="00632DC3">
          <w:rPr>
            <w:rStyle w:val="Hyperlink"/>
            <w:noProof/>
          </w:rPr>
          <w:t>evidentiary hearing, consistent with R.C. 4909.19.</w:t>
        </w:r>
        <w:r>
          <w:rPr>
            <w:noProof/>
            <w:webHidden/>
          </w:rPr>
          <w:tab/>
        </w:r>
        <w:r>
          <w:rPr>
            <w:noProof/>
            <w:webHidden/>
          </w:rPr>
          <w:fldChar w:fldCharType="begin"/>
        </w:r>
        <w:r>
          <w:rPr>
            <w:noProof/>
            <w:webHidden/>
          </w:rPr>
          <w:instrText xml:space="preserve"> PAGEREF _Toc108188732 \h </w:instrText>
        </w:r>
        <w:r>
          <w:rPr>
            <w:noProof/>
            <w:webHidden/>
          </w:rPr>
          <w:fldChar w:fldCharType="separate"/>
        </w:r>
        <w:r>
          <w:rPr>
            <w:noProof/>
            <w:webHidden/>
          </w:rPr>
          <w:t>5</w:t>
        </w:r>
        <w:r>
          <w:rPr>
            <w:noProof/>
            <w:webHidden/>
          </w:rPr>
          <w:fldChar w:fldCharType="end"/>
        </w:r>
      </w:hyperlink>
    </w:p>
    <w:p w:rsidR="00DA7D27" w14:paraId="4573FEB5" w14:textId="74B4AA56">
      <w:pPr>
        <w:pStyle w:val="TOC2"/>
        <w:tabs>
          <w:tab w:val="left" w:pos="1440"/>
        </w:tabs>
        <w:rPr>
          <w:rFonts w:asciiTheme="minorHAnsi" w:eastAsiaTheme="minorEastAsia" w:hAnsiTheme="minorHAnsi" w:cstheme="minorBidi"/>
          <w:noProof/>
          <w:sz w:val="22"/>
          <w:szCs w:val="22"/>
        </w:rPr>
      </w:pPr>
      <w:hyperlink w:anchor="_Toc108188733" w:history="1">
        <w:r w:rsidRPr="00632DC3">
          <w:rPr>
            <w:rStyle w:val="Hyperlink"/>
            <w:rFonts w:asciiTheme="majorBidi" w:hAnsiTheme="majorBidi" w:cstheme="majorBidi"/>
            <w:noProof/>
          </w:rPr>
          <w:t>B.</w:t>
        </w:r>
        <w:r>
          <w:rPr>
            <w:rFonts w:asciiTheme="minorHAnsi" w:eastAsiaTheme="minorEastAsia" w:hAnsiTheme="minorHAnsi" w:cstheme="minorBidi"/>
            <w:noProof/>
            <w:sz w:val="22"/>
            <w:szCs w:val="22"/>
          </w:rPr>
          <w:tab/>
        </w:r>
        <w:r w:rsidRPr="00632DC3">
          <w:rPr>
            <w:rStyle w:val="Hyperlink"/>
            <w:noProof/>
          </w:rPr>
          <w:t xml:space="preserve">OCC Objection No. 5: “The Staff Report harms consumers by </w:t>
        </w:r>
        <w:r>
          <w:rPr>
            <w:rStyle w:val="Hyperlink"/>
            <w:noProof/>
          </w:rPr>
          <w:br/>
        </w:r>
        <w:r w:rsidRPr="00632DC3">
          <w:rPr>
            <w:rStyle w:val="Hyperlink"/>
            <w:noProof/>
          </w:rPr>
          <w:t>failing to reflect gains on the disposition of property.”</w:t>
        </w:r>
        <w:r>
          <w:rPr>
            <w:noProof/>
            <w:webHidden/>
          </w:rPr>
          <w:tab/>
        </w:r>
        <w:r>
          <w:rPr>
            <w:noProof/>
            <w:webHidden/>
          </w:rPr>
          <w:fldChar w:fldCharType="begin"/>
        </w:r>
        <w:r>
          <w:rPr>
            <w:noProof/>
            <w:webHidden/>
          </w:rPr>
          <w:instrText xml:space="preserve"> PAGEREF _Toc108188733 \h </w:instrText>
        </w:r>
        <w:r>
          <w:rPr>
            <w:noProof/>
            <w:webHidden/>
          </w:rPr>
          <w:fldChar w:fldCharType="separate"/>
        </w:r>
        <w:r>
          <w:rPr>
            <w:noProof/>
            <w:webHidden/>
          </w:rPr>
          <w:t>7</w:t>
        </w:r>
        <w:r>
          <w:rPr>
            <w:noProof/>
            <w:webHidden/>
          </w:rPr>
          <w:fldChar w:fldCharType="end"/>
        </w:r>
      </w:hyperlink>
    </w:p>
    <w:p w:rsidR="00DA7D27" w14:paraId="0DFF3D80" w14:textId="0D416BE1">
      <w:pPr>
        <w:pStyle w:val="TOC2"/>
        <w:tabs>
          <w:tab w:val="left" w:pos="1440"/>
        </w:tabs>
        <w:rPr>
          <w:rFonts w:asciiTheme="minorHAnsi" w:eastAsiaTheme="minorEastAsia" w:hAnsiTheme="minorHAnsi" w:cstheme="minorBidi"/>
          <w:noProof/>
          <w:sz w:val="22"/>
          <w:szCs w:val="22"/>
        </w:rPr>
      </w:pPr>
      <w:hyperlink w:anchor="_Toc108188734" w:history="1">
        <w:r w:rsidRPr="00632DC3">
          <w:rPr>
            <w:rStyle w:val="Hyperlink"/>
            <w:rFonts w:asciiTheme="majorBidi" w:hAnsiTheme="majorBidi" w:cstheme="majorBidi"/>
            <w:noProof/>
          </w:rPr>
          <w:t>C.</w:t>
        </w:r>
        <w:r>
          <w:rPr>
            <w:rFonts w:asciiTheme="minorHAnsi" w:eastAsiaTheme="minorEastAsia" w:hAnsiTheme="minorHAnsi" w:cstheme="minorBidi"/>
            <w:noProof/>
            <w:sz w:val="22"/>
            <w:szCs w:val="22"/>
          </w:rPr>
          <w:tab/>
        </w:r>
        <w:r w:rsidRPr="00632DC3">
          <w:rPr>
            <w:rStyle w:val="Hyperlink"/>
            <w:noProof/>
          </w:rPr>
          <w:t xml:space="preserve">OCC Objection No. 26: “The Staff Report harms consumers </w:t>
        </w:r>
        <w:r>
          <w:rPr>
            <w:rStyle w:val="Hyperlink"/>
            <w:noProof/>
          </w:rPr>
          <w:br/>
        </w:r>
        <w:r w:rsidRPr="00632DC3">
          <w:rPr>
            <w:rStyle w:val="Hyperlink"/>
            <w:noProof/>
          </w:rPr>
          <w:t xml:space="preserve">because it fails to require Duke to provide shopping consumers’ </w:t>
        </w:r>
        <w:r>
          <w:rPr>
            <w:rStyle w:val="Hyperlink"/>
            <w:noProof/>
          </w:rPr>
          <w:br/>
        </w:r>
        <w:r w:rsidRPr="00632DC3">
          <w:rPr>
            <w:rStyle w:val="Hyperlink"/>
            <w:noProof/>
          </w:rPr>
          <w:t xml:space="preserve">billing information to show a comparison to what they would </w:t>
        </w:r>
        <w:r>
          <w:rPr>
            <w:rStyle w:val="Hyperlink"/>
            <w:noProof/>
          </w:rPr>
          <w:br/>
        </w:r>
        <w:r w:rsidRPr="00632DC3">
          <w:rPr>
            <w:rStyle w:val="Hyperlink"/>
            <w:noProof/>
          </w:rPr>
          <w:t xml:space="preserve">pay under a standard service offer. The Staff Report also fails </w:t>
        </w:r>
        <w:r>
          <w:rPr>
            <w:rStyle w:val="Hyperlink"/>
            <w:noProof/>
          </w:rPr>
          <w:br/>
        </w:r>
        <w:r w:rsidRPr="00632DC3">
          <w:rPr>
            <w:rStyle w:val="Hyperlink"/>
            <w:noProof/>
          </w:rPr>
          <w:t xml:space="preserve">to perform an analysis of the consumer contact information that </w:t>
        </w:r>
        <w:r>
          <w:rPr>
            <w:rStyle w:val="Hyperlink"/>
            <w:noProof/>
          </w:rPr>
          <w:br/>
        </w:r>
        <w:r w:rsidRPr="00632DC3">
          <w:rPr>
            <w:rStyle w:val="Hyperlink"/>
            <w:noProof/>
          </w:rPr>
          <w:t xml:space="preserve">it collects through its call center, and the supplier rate information </w:t>
        </w:r>
        <w:r>
          <w:rPr>
            <w:rStyle w:val="Hyperlink"/>
            <w:noProof/>
          </w:rPr>
          <w:br/>
        </w:r>
        <w:r w:rsidRPr="00632DC3">
          <w:rPr>
            <w:rStyle w:val="Hyperlink"/>
            <w:noProof/>
          </w:rPr>
          <w:t xml:space="preserve">it collects on the Energy Choice Ohio website to determine if improvements in Duke’s Choice Program are necessary to help </w:t>
        </w:r>
        <w:r>
          <w:rPr>
            <w:rStyle w:val="Hyperlink"/>
            <w:noProof/>
          </w:rPr>
          <w:br/>
        </w:r>
        <w:r w:rsidRPr="00632DC3">
          <w:rPr>
            <w:rStyle w:val="Hyperlink"/>
            <w:noProof/>
          </w:rPr>
          <w:t>consumers reduce their energy costs.”</w:t>
        </w:r>
        <w:r>
          <w:rPr>
            <w:noProof/>
            <w:webHidden/>
          </w:rPr>
          <w:tab/>
        </w:r>
        <w:r>
          <w:rPr>
            <w:noProof/>
            <w:webHidden/>
          </w:rPr>
          <w:fldChar w:fldCharType="begin"/>
        </w:r>
        <w:r>
          <w:rPr>
            <w:noProof/>
            <w:webHidden/>
          </w:rPr>
          <w:instrText xml:space="preserve"> PAGEREF _Toc108188734 \h </w:instrText>
        </w:r>
        <w:r>
          <w:rPr>
            <w:noProof/>
            <w:webHidden/>
          </w:rPr>
          <w:fldChar w:fldCharType="separate"/>
        </w:r>
        <w:r>
          <w:rPr>
            <w:noProof/>
            <w:webHidden/>
          </w:rPr>
          <w:t>8</w:t>
        </w:r>
        <w:r>
          <w:rPr>
            <w:noProof/>
            <w:webHidden/>
          </w:rPr>
          <w:fldChar w:fldCharType="end"/>
        </w:r>
      </w:hyperlink>
    </w:p>
    <w:p w:rsidR="00DA7D27" w14:paraId="13E6FF84" w14:textId="3F6AF889">
      <w:pPr>
        <w:pStyle w:val="TOC2"/>
        <w:tabs>
          <w:tab w:val="left" w:pos="1440"/>
        </w:tabs>
        <w:rPr>
          <w:rFonts w:asciiTheme="minorHAnsi" w:eastAsiaTheme="minorEastAsia" w:hAnsiTheme="minorHAnsi" w:cstheme="minorBidi"/>
          <w:noProof/>
          <w:sz w:val="22"/>
          <w:szCs w:val="22"/>
        </w:rPr>
      </w:pPr>
      <w:hyperlink w:anchor="_Toc108188735" w:history="1">
        <w:r w:rsidRPr="00632DC3">
          <w:rPr>
            <w:rStyle w:val="Hyperlink"/>
            <w:rFonts w:asciiTheme="majorBidi" w:hAnsiTheme="majorBidi" w:cstheme="majorBidi"/>
            <w:noProof/>
          </w:rPr>
          <w:t>D.</w:t>
        </w:r>
        <w:r>
          <w:rPr>
            <w:rFonts w:asciiTheme="minorHAnsi" w:eastAsiaTheme="minorEastAsia" w:hAnsiTheme="minorHAnsi" w:cstheme="minorBidi"/>
            <w:noProof/>
            <w:sz w:val="22"/>
            <w:szCs w:val="22"/>
          </w:rPr>
          <w:tab/>
        </w:r>
        <w:r w:rsidRPr="00632DC3">
          <w:rPr>
            <w:rStyle w:val="Hyperlink"/>
            <w:noProof/>
          </w:rPr>
          <w:t xml:space="preserve">Objection No. 27: “The Staff Report harms consumers by </w:t>
        </w:r>
        <w:r>
          <w:rPr>
            <w:rStyle w:val="Hyperlink"/>
            <w:noProof/>
          </w:rPr>
          <w:br/>
        </w:r>
        <w:r w:rsidRPr="00632DC3">
          <w:rPr>
            <w:rStyle w:val="Hyperlink"/>
            <w:noProof/>
          </w:rPr>
          <w:t xml:space="preserve">failing to recommend that Duke provide consumers with more </w:t>
        </w:r>
        <w:r>
          <w:rPr>
            <w:rStyle w:val="Hyperlink"/>
            <w:noProof/>
          </w:rPr>
          <w:br/>
        </w:r>
        <w:r w:rsidRPr="00632DC3">
          <w:rPr>
            <w:rStyle w:val="Hyperlink"/>
            <w:noProof/>
          </w:rPr>
          <w:t xml:space="preserve">options to opt-out of having their personal account information </w:t>
        </w:r>
        <w:r>
          <w:rPr>
            <w:rStyle w:val="Hyperlink"/>
            <w:noProof/>
          </w:rPr>
          <w:br/>
        </w:r>
        <w:r w:rsidRPr="00632DC3">
          <w:rPr>
            <w:rStyle w:val="Hyperlink"/>
            <w:noProof/>
          </w:rPr>
          <w:t xml:space="preserve">included on eligible consumer lists provided to competitive retail </w:t>
        </w:r>
        <w:r>
          <w:rPr>
            <w:rStyle w:val="Hyperlink"/>
            <w:noProof/>
          </w:rPr>
          <w:br/>
        </w:r>
        <w:r w:rsidRPr="00632DC3">
          <w:rPr>
            <w:rStyle w:val="Hyperlink"/>
            <w:noProof/>
          </w:rPr>
          <w:t>electric service (“CRES”) providers.”</w:t>
        </w:r>
        <w:r>
          <w:rPr>
            <w:noProof/>
            <w:webHidden/>
          </w:rPr>
          <w:tab/>
        </w:r>
        <w:r>
          <w:rPr>
            <w:noProof/>
            <w:webHidden/>
          </w:rPr>
          <w:fldChar w:fldCharType="begin"/>
        </w:r>
        <w:r>
          <w:rPr>
            <w:noProof/>
            <w:webHidden/>
          </w:rPr>
          <w:instrText xml:space="preserve"> PAGEREF _Toc108188735 \h </w:instrText>
        </w:r>
        <w:r>
          <w:rPr>
            <w:noProof/>
            <w:webHidden/>
          </w:rPr>
          <w:fldChar w:fldCharType="separate"/>
        </w:r>
        <w:r>
          <w:rPr>
            <w:noProof/>
            <w:webHidden/>
          </w:rPr>
          <w:t>9</w:t>
        </w:r>
        <w:r>
          <w:rPr>
            <w:noProof/>
            <w:webHidden/>
          </w:rPr>
          <w:fldChar w:fldCharType="end"/>
        </w:r>
      </w:hyperlink>
    </w:p>
    <w:p w:rsidR="00DA7D27" w14:paraId="1FE51E48" w14:textId="2669C9B6">
      <w:pPr>
        <w:pStyle w:val="TOC2"/>
        <w:tabs>
          <w:tab w:val="left" w:pos="1440"/>
        </w:tabs>
        <w:rPr>
          <w:rFonts w:asciiTheme="minorHAnsi" w:eastAsiaTheme="minorEastAsia" w:hAnsiTheme="minorHAnsi" w:cstheme="minorBidi"/>
          <w:noProof/>
          <w:sz w:val="22"/>
          <w:szCs w:val="22"/>
        </w:rPr>
      </w:pPr>
      <w:hyperlink w:anchor="_Toc108188736" w:history="1">
        <w:r w:rsidRPr="00632DC3">
          <w:rPr>
            <w:rStyle w:val="Hyperlink"/>
            <w:rFonts w:asciiTheme="majorBidi" w:hAnsiTheme="majorBidi" w:cstheme="majorBidi"/>
            <w:noProof/>
          </w:rPr>
          <w:t>E.</w:t>
        </w:r>
        <w:r>
          <w:rPr>
            <w:rFonts w:asciiTheme="minorHAnsi" w:eastAsiaTheme="minorEastAsia" w:hAnsiTheme="minorHAnsi" w:cstheme="minorBidi"/>
            <w:noProof/>
            <w:sz w:val="22"/>
            <w:szCs w:val="22"/>
          </w:rPr>
          <w:tab/>
        </w:r>
        <w:r w:rsidRPr="00632DC3">
          <w:rPr>
            <w:rStyle w:val="Hyperlink"/>
            <w:noProof/>
          </w:rPr>
          <w:t xml:space="preserve">Objection No. 28: “The Staff Report potentially harms </w:t>
        </w:r>
        <w:r>
          <w:rPr>
            <w:rStyle w:val="Hyperlink"/>
            <w:noProof/>
          </w:rPr>
          <w:br/>
        </w:r>
        <w:r w:rsidRPr="00632DC3">
          <w:rPr>
            <w:rStyle w:val="Hyperlink"/>
            <w:noProof/>
          </w:rPr>
          <w:t xml:space="preserve">consumers by failing to evaluate the sufficiency of Duke’s Data </w:t>
        </w:r>
        <w:r>
          <w:rPr>
            <w:rStyle w:val="Hyperlink"/>
            <w:noProof/>
          </w:rPr>
          <w:br/>
        </w:r>
        <w:r w:rsidRPr="00632DC3">
          <w:rPr>
            <w:rStyle w:val="Hyperlink"/>
            <w:noProof/>
          </w:rPr>
          <w:t xml:space="preserve">Privacy Policy in protecting consumers’ personal information </w:t>
        </w:r>
        <w:r>
          <w:rPr>
            <w:rStyle w:val="Hyperlink"/>
            <w:noProof/>
          </w:rPr>
          <w:br/>
        </w:r>
        <w:r w:rsidRPr="00632DC3">
          <w:rPr>
            <w:rStyle w:val="Hyperlink"/>
            <w:noProof/>
          </w:rPr>
          <w:t>from unauthorized or inadvertent disclosure.”</w:t>
        </w:r>
        <w:r>
          <w:rPr>
            <w:noProof/>
            <w:webHidden/>
          </w:rPr>
          <w:tab/>
        </w:r>
        <w:r>
          <w:rPr>
            <w:noProof/>
            <w:webHidden/>
          </w:rPr>
          <w:fldChar w:fldCharType="begin"/>
        </w:r>
        <w:r>
          <w:rPr>
            <w:noProof/>
            <w:webHidden/>
          </w:rPr>
          <w:instrText xml:space="preserve"> PAGEREF _Toc108188736 \h </w:instrText>
        </w:r>
        <w:r>
          <w:rPr>
            <w:noProof/>
            <w:webHidden/>
          </w:rPr>
          <w:fldChar w:fldCharType="separate"/>
        </w:r>
        <w:r>
          <w:rPr>
            <w:noProof/>
            <w:webHidden/>
          </w:rPr>
          <w:t>10</w:t>
        </w:r>
        <w:r>
          <w:rPr>
            <w:noProof/>
            <w:webHidden/>
          </w:rPr>
          <w:fldChar w:fldCharType="end"/>
        </w:r>
      </w:hyperlink>
    </w:p>
    <w:p w:rsidR="00DA7D27" w14:paraId="33C773E4" w14:textId="12B26DB5">
      <w:pPr>
        <w:pStyle w:val="TOC2"/>
        <w:tabs>
          <w:tab w:val="left" w:pos="1440"/>
        </w:tabs>
        <w:rPr>
          <w:rFonts w:asciiTheme="minorHAnsi" w:eastAsiaTheme="minorEastAsia" w:hAnsiTheme="minorHAnsi" w:cstheme="minorBidi"/>
          <w:noProof/>
          <w:sz w:val="22"/>
          <w:szCs w:val="22"/>
        </w:rPr>
      </w:pPr>
      <w:hyperlink w:anchor="_Toc108188737" w:history="1">
        <w:r w:rsidRPr="00632DC3">
          <w:rPr>
            <w:rStyle w:val="Hyperlink"/>
            <w:rFonts w:asciiTheme="majorBidi" w:hAnsiTheme="majorBidi" w:cstheme="majorBidi"/>
            <w:noProof/>
          </w:rPr>
          <w:t>F.</w:t>
        </w:r>
        <w:r>
          <w:rPr>
            <w:rFonts w:asciiTheme="minorHAnsi" w:eastAsiaTheme="minorEastAsia" w:hAnsiTheme="minorHAnsi" w:cstheme="minorBidi"/>
            <w:noProof/>
            <w:sz w:val="22"/>
            <w:szCs w:val="22"/>
          </w:rPr>
          <w:tab/>
        </w:r>
        <w:r w:rsidRPr="00632DC3">
          <w:rPr>
            <w:rStyle w:val="Hyperlink"/>
            <w:noProof/>
          </w:rPr>
          <w:t xml:space="preserve">Objection No. 29: “The Staff Report fails to protect Duke’s </w:t>
        </w:r>
        <w:r>
          <w:rPr>
            <w:rStyle w:val="Hyperlink"/>
            <w:noProof/>
          </w:rPr>
          <w:br/>
        </w:r>
        <w:r w:rsidRPr="00632DC3">
          <w:rPr>
            <w:rStyle w:val="Hyperlink"/>
            <w:noProof/>
          </w:rPr>
          <w:t xml:space="preserve">consumers by not proposing adequate consumer protections, </w:t>
        </w:r>
        <w:r>
          <w:rPr>
            <w:rStyle w:val="Hyperlink"/>
            <w:noProof/>
          </w:rPr>
          <w:br/>
        </w:r>
        <w:r w:rsidRPr="00632DC3">
          <w:rPr>
            <w:rStyle w:val="Hyperlink"/>
            <w:noProof/>
          </w:rPr>
          <w:t xml:space="preserve">including bill-payment assistance for energy justice and equity, </w:t>
        </w:r>
        <w:r>
          <w:rPr>
            <w:rStyle w:val="Hyperlink"/>
            <w:noProof/>
          </w:rPr>
          <w:br/>
        </w:r>
        <w:r w:rsidRPr="00632DC3">
          <w:rPr>
            <w:rStyle w:val="Hyperlink"/>
            <w:noProof/>
          </w:rPr>
          <w:t xml:space="preserve">that can make electric services more affordable for all consumers </w:t>
        </w:r>
        <w:r>
          <w:rPr>
            <w:rStyle w:val="Hyperlink"/>
            <w:noProof/>
          </w:rPr>
          <w:br/>
        </w:r>
        <w:r w:rsidRPr="00632DC3">
          <w:rPr>
            <w:rStyle w:val="Hyperlink"/>
            <w:noProof/>
          </w:rPr>
          <w:t xml:space="preserve">and protect at-risk, low-income, working poor, and fixed-income </w:t>
        </w:r>
        <w:r>
          <w:rPr>
            <w:rStyle w:val="Hyperlink"/>
            <w:noProof/>
          </w:rPr>
          <w:br/>
        </w:r>
        <w:r w:rsidRPr="00632DC3">
          <w:rPr>
            <w:rStyle w:val="Hyperlink"/>
            <w:noProof/>
          </w:rPr>
          <w:t>senior Ohioans from potential loss of electric services.”</w:t>
        </w:r>
        <w:r>
          <w:rPr>
            <w:noProof/>
            <w:webHidden/>
          </w:rPr>
          <w:tab/>
        </w:r>
        <w:r>
          <w:rPr>
            <w:noProof/>
            <w:webHidden/>
          </w:rPr>
          <w:fldChar w:fldCharType="begin"/>
        </w:r>
        <w:r>
          <w:rPr>
            <w:noProof/>
            <w:webHidden/>
          </w:rPr>
          <w:instrText xml:space="preserve"> PAGEREF _Toc108188737 \h </w:instrText>
        </w:r>
        <w:r>
          <w:rPr>
            <w:noProof/>
            <w:webHidden/>
          </w:rPr>
          <w:fldChar w:fldCharType="separate"/>
        </w:r>
        <w:r>
          <w:rPr>
            <w:noProof/>
            <w:webHidden/>
          </w:rPr>
          <w:t>10</w:t>
        </w:r>
        <w:r>
          <w:rPr>
            <w:noProof/>
            <w:webHidden/>
          </w:rPr>
          <w:fldChar w:fldCharType="end"/>
        </w:r>
      </w:hyperlink>
    </w:p>
    <w:p w:rsidR="00DA7D27" w14:paraId="05B5D377" w14:textId="3DA659B9">
      <w:pPr>
        <w:pStyle w:val="TOC2"/>
        <w:tabs>
          <w:tab w:val="left" w:pos="1440"/>
        </w:tabs>
        <w:rPr>
          <w:rFonts w:asciiTheme="minorHAnsi" w:eastAsiaTheme="minorEastAsia" w:hAnsiTheme="minorHAnsi" w:cstheme="minorBidi"/>
          <w:noProof/>
          <w:sz w:val="22"/>
          <w:szCs w:val="22"/>
        </w:rPr>
      </w:pPr>
      <w:hyperlink w:anchor="_Toc108188738" w:history="1">
        <w:r w:rsidRPr="00632DC3">
          <w:rPr>
            <w:rStyle w:val="Hyperlink"/>
            <w:rFonts w:asciiTheme="majorBidi" w:hAnsiTheme="majorBidi" w:cstheme="majorBidi"/>
            <w:noProof/>
          </w:rPr>
          <w:t>G.</w:t>
        </w:r>
        <w:r>
          <w:rPr>
            <w:rFonts w:asciiTheme="minorHAnsi" w:eastAsiaTheme="minorEastAsia" w:hAnsiTheme="minorHAnsi" w:cstheme="minorBidi"/>
            <w:noProof/>
            <w:sz w:val="22"/>
            <w:szCs w:val="22"/>
          </w:rPr>
          <w:tab/>
        </w:r>
        <w:r w:rsidRPr="00632DC3">
          <w:rPr>
            <w:rStyle w:val="Hyperlink"/>
            <w:noProof/>
          </w:rPr>
          <w:t xml:space="preserve">Objection No. 16: “The Staff Report harms consumers by </w:t>
        </w:r>
        <w:r>
          <w:rPr>
            <w:rStyle w:val="Hyperlink"/>
            <w:noProof/>
          </w:rPr>
          <w:br/>
        </w:r>
        <w:r w:rsidRPr="00632DC3">
          <w:rPr>
            <w:rStyle w:val="Hyperlink"/>
            <w:noProof/>
          </w:rPr>
          <w:t xml:space="preserve">failing to recommend that Duke be prohibited from modifying </w:t>
        </w:r>
        <w:r>
          <w:rPr>
            <w:rStyle w:val="Hyperlink"/>
            <w:noProof/>
          </w:rPr>
          <w:br/>
        </w:r>
        <w:r w:rsidRPr="00632DC3">
          <w:rPr>
            <w:rStyle w:val="Hyperlink"/>
            <w:noProof/>
          </w:rPr>
          <w:t xml:space="preserve">its existing riders or proposing new riders as part of this base </w:t>
        </w:r>
        <w:r>
          <w:rPr>
            <w:rStyle w:val="Hyperlink"/>
            <w:noProof/>
          </w:rPr>
          <w:br/>
        </w:r>
        <w:r w:rsidRPr="00632DC3">
          <w:rPr>
            <w:rStyle w:val="Hyperlink"/>
            <w:noProof/>
          </w:rPr>
          <w:t>distribution rate case.”</w:t>
        </w:r>
        <w:r>
          <w:rPr>
            <w:noProof/>
            <w:webHidden/>
          </w:rPr>
          <w:tab/>
        </w:r>
        <w:r>
          <w:rPr>
            <w:noProof/>
            <w:webHidden/>
          </w:rPr>
          <w:fldChar w:fldCharType="begin"/>
        </w:r>
        <w:r>
          <w:rPr>
            <w:noProof/>
            <w:webHidden/>
          </w:rPr>
          <w:instrText xml:space="preserve"> PAGEREF _Toc108188738 \h </w:instrText>
        </w:r>
        <w:r>
          <w:rPr>
            <w:noProof/>
            <w:webHidden/>
          </w:rPr>
          <w:fldChar w:fldCharType="separate"/>
        </w:r>
        <w:r>
          <w:rPr>
            <w:noProof/>
            <w:webHidden/>
          </w:rPr>
          <w:t>11</w:t>
        </w:r>
        <w:r>
          <w:rPr>
            <w:noProof/>
            <w:webHidden/>
          </w:rPr>
          <w:fldChar w:fldCharType="end"/>
        </w:r>
      </w:hyperlink>
    </w:p>
    <w:p w:rsidR="00DA7D27" w14:paraId="2B7E2358" w14:textId="11B75EEA">
      <w:pPr>
        <w:pStyle w:val="TOC2"/>
        <w:tabs>
          <w:tab w:val="left" w:pos="1440"/>
        </w:tabs>
        <w:rPr>
          <w:rFonts w:asciiTheme="minorHAnsi" w:eastAsiaTheme="minorEastAsia" w:hAnsiTheme="minorHAnsi" w:cstheme="minorBidi"/>
          <w:noProof/>
          <w:sz w:val="22"/>
          <w:szCs w:val="22"/>
        </w:rPr>
      </w:pPr>
      <w:hyperlink w:anchor="_Toc108188739" w:history="1">
        <w:r w:rsidRPr="00632DC3">
          <w:rPr>
            <w:rStyle w:val="Hyperlink"/>
            <w:rFonts w:asciiTheme="majorBidi" w:hAnsiTheme="majorBidi" w:cstheme="majorBidi"/>
            <w:noProof/>
          </w:rPr>
          <w:t>H.</w:t>
        </w:r>
        <w:r>
          <w:rPr>
            <w:rFonts w:asciiTheme="minorHAnsi" w:eastAsiaTheme="minorEastAsia" w:hAnsiTheme="minorHAnsi" w:cstheme="minorBidi"/>
            <w:noProof/>
            <w:sz w:val="22"/>
            <w:szCs w:val="22"/>
          </w:rPr>
          <w:tab/>
        </w:r>
        <w:r w:rsidRPr="00632DC3">
          <w:rPr>
            <w:rStyle w:val="Hyperlink"/>
            <w:noProof/>
          </w:rPr>
          <w:t xml:space="preserve">Objection No. 20: “The Staff Report harms consumers by </w:t>
        </w:r>
        <w:r>
          <w:rPr>
            <w:rStyle w:val="Hyperlink"/>
            <w:noProof/>
          </w:rPr>
          <w:br/>
        </w:r>
        <w:r w:rsidRPr="00632DC3">
          <w:rPr>
            <w:rStyle w:val="Hyperlink"/>
            <w:noProof/>
          </w:rPr>
          <w:t xml:space="preserve">failing to recommend that Duke make every available effort </w:t>
        </w:r>
        <w:r>
          <w:rPr>
            <w:rStyle w:val="Hyperlink"/>
            <w:noProof/>
          </w:rPr>
          <w:br/>
        </w:r>
        <w:r w:rsidRPr="00632DC3">
          <w:rPr>
            <w:rStyle w:val="Hyperlink"/>
            <w:noProof/>
          </w:rPr>
          <w:t xml:space="preserve">with its authorized vendors to reduce the level of the </w:t>
        </w:r>
        <w:r>
          <w:rPr>
            <w:rStyle w:val="Hyperlink"/>
            <w:noProof/>
          </w:rPr>
          <w:br/>
        </w:r>
        <w:r w:rsidRPr="00632DC3">
          <w:rPr>
            <w:rStyle w:val="Hyperlink"/>
            <w:noProof/>
          </w:rPr>
          <w:t>convenience fees charged to consumers.”</w:t>
        </w:r>
        <w:r>
          <w:rPr>
            <w:noProof/>
            <w:webHidden/>
          </w:rPr>
          <w:tab/>
        </w:r>
        <w:r>
          <w:rPr>
            <w:noProof/>
            <w:webHidden/>
          </w:rPr>
          <w:fldChar w:fldCharType="begin"/>
        </w:r>
        <w:r>
          <w:rPr>
            <w:noProof/>
            <w:webHidden/>
          </w:rPr>
          <w:instrText xml:space="preserve"> PAGEREF _Toc108188739 \h </w:instrText>
        </w:r>
        <w:r>
          <w:rPr>
            <w:noProof/>
            <w:webHidden/>
          </w:rPr>
          <w:fldChar w:fldCharType="separate"/>
        </w:r>
        <w:r>
          <w:rPr>
            <w:noProof/>
            <w:webHidden/>
          </w:rPr>
          <w:t>12</w:t>
        </w:r>
        <w:r>
          <w:rPr>
            <w:noProof/>
            <w:webHidden/>
          </w:rPr>
          <w:fldChar w:fldCharType="end"/>
        </w:r>
      </w:hyperlink>
    </w:p>
    <w:p w:rsidR="00DA7D27" w14:paraId="211EB9C4" w14:textId="4F74AD58">
      <w:pPr>
        <w:pStyle w:val="TOC1"/>
        <w:rPr>
          <w:rFonts w:asciiTheme="minorHAnsi" w:hAnsiTheme="minorHAnsi" w:cstheme="minorBidi"/>
          <w:caps w:val="0"/>
          <w:sz w:val="22"/>
        </w:rPr>
      </w:pPr>
      <w:hyperlink w:anchor="_Toc108188740" w:history="1">
        <w:r w:rsidRPr="00632DC3">
          <w:rPr>
            <w:rStyle w:val="Hyperlink"/>
          </w:rPr>
          <w:t>III.</w:t>
        </w:r>
        <w:r>
          <w:rPr>
            <w:rFonts w:asciiTheme="minorHAnsi" w:hAnsiTheme="minorHAnsi" w:cstheme="minorBidi"/>
            <w:caps w:val="0"/>
            <w:sz w:val="22"/>
          </w:rPr>
          <w:tab/>
        </w:r>
        <w:r w:rsidRPr="00632DC3">
          <w:rPr>
            <w:rStyle w:val="Hyperlink"/>
          </w:rPr>
          <w:t>CONCLUSION</w:t>
        </w:r>
        <w:r>
          <w:rPr>
            <w:webHidden/>
          </w:rPr>
          <w:tab/>
        </w:r>
        <w:r>
          <w:rPr>
            <w:webHidden/>
          </w:rPr>
          <w:fldChar w:fldCharType="begin"/>
        </w:r>
        <w:r>
          <w:rPr>
            <w:webHidden/>
          </w:rPr>
          <w:instrText xml:space="preserve"> PAGEREF _Toc108188740 \h </w:instrText>
        </w:r>
        <w:r>
          <w:rPr>
            <w:webHidden/>
          </w:rPr>
          <w:fldChar w:fldCharType="separate"/>
        </w:r>
        <w:r>
          <w:rPr>
            <w:webHidden/>
          </w:rPr>
          <w:t>13</w:t>
        </w:r>
        <w:r>
          <w:rPr>
            <w:webHidden/>
          </w:rPr>
          <w:fldChar w:fldCharType="end"/>
        </w:r>
      </w:hyperlink>
    </w:p>
    <w:p w:rsidR="00C02294" w:rsidRPr="0001248A" w:rsidP="00C02294" w14:paraId="36BE6FA8" w14:textId="32C96307">
      <w:pPr>
        <w:pStyle w:val="BodyText"/>
        <w:spacing w:line="240" w:lineRule="auto"/>
        <w:ind w:left="0"/>
        <w:jc w:val="center"/>
        <w:rPr>
          <w:b/>
        </w:rPr>
        <w:sectPr w:rsidSect="00FD5C6C">
          <w:footerReference w:type="default" r:id="rId8"/>
          <w:pgSz w:w="12240" w:h="15840" w:code="1"/>
          <w:pgMar w:top="1440" w:right="1800" w:bottom="1440" w:left="1800" w:header="720" w:footer="720" w:gutter="0"/>
          <w:pgNumType w:fmt="lowerRoman" w:start="1"/>
          <w:cols w:space="720"/>
          <w:docGrid w:linePitch="360"/>
        </w:sectPr>
      </w:pPr>
      <w:r w:rsidRPr="0001248A">
        <w:rPr>
          <w:b/>
          <w:bCs/>
        </w:rPr>
        <w:fldChar w:fldCharType="end"/>
      </w:r>
    </w:p>
    <w:p w:rsidR="0055067A" w14:paraId="3C13882C" w14:textId="77777777">
      <w:pPr>
        <w:pStyle w:val="BodyText"/>
        <w:spacing w:line="240" w:lineRule="auto"/>
        <w:ind w:left="0"/>
        <w:jc w:val="center"/>
        <w:rPr>
          <w:b/>
        </w:rPr>
        <w:sectPr w:rsidSect="00E969FC">
          <w:headerReference w:type="default" r:id="rId9"/>
          <w:footerReference w:type="default" r:id="rId10"/>
          <w:footerReference w:type="first" r:id="rId11"/>
          <w:type w:val="continuous"/>
          <w:pgSz w:w="12240" w:h="15840" w:code="1"/>
          <w:pgMar w:top="1440" w:right="1800" w:bottom="1440" w:left="1800" w:header="720" w:footer="720" w:gutter="0"/>
          <w:pgNumType w:start="1"/>
          <w:cols w:space="720"/>
          <w:titlePg/>
          <w:docGrid w:linePitch="360"/>
        </w:sectPr>
      </w:pPr>
    </w:p>
    <w:p w:rsidR="007177DE" w:rsidRPr="0001248A" w14:paraId="1B907764" w14:textId="77777777">
      <w:pPr>
        <w:pStyle w:val="BodyText"/>
        <w:spacing w:line="240" w:lineRule="auto"/>
        <w:ind w:left="0"/>
        <w:jc w:val="center"/>
        <w:rPr>
          <w:b/>
        </w:rPr>
      </w:pPr>
      <w:r w:rsidRPr="0001248A">
        <w:rPr>
          <w:b/>
        </w:rPr>
        <w:t>BEFORE</w:t>
      </w:r>
      <w:bookmarkEnd w:id="0"/>
      <w:bookmarkEnd w:id="1"/>
    </w:p>
    <w:p w:rsidR="007177DE" w:rsidRPr="0001248A" w14:paraId="1040E5DD" w14:textId="77777777">
      <w:pPr>
        <w:jc w:val="center"/>
        <w:rPr>
          <w:b/>
          <w:bCs/>
        </w:rPr>
      </w:pPr>
      <w:bookmarkStart w:id="2" w:name="_Toc249780369"/>
      <w:bookmarkStart w:id="3" w:name="_Toc249782096"/>
      <w:r w:rsidRPr="0001248A">
        <w:rPr>
          <w:b/>
          <w:bCs/>
        </w:rPr>
        <w:t>THE PUBLIC UTILITIES COMMISSION OF OHIO</w:t>
      </w:r>
      <w:bookmarkEnd w:id="2"/>
      <w:bookmarkEnd w:id="3"/>
    </w:p>
    <w:p w:rsidR="007177DE" w:rsidRPr="0001248A" w14:paraId="24BEFB0C" w14:textId="77777777">
      <w:pPr>
        <w:jc w:val="center"/>
      </w:pPr>
    </w:p>
    <w:tbl>
      <w:tblPr>
        <w:tblW w:w="8640" w:type="dxa"/>
        <w:tblLook w:val="01E0"/>
      </w:tblPr>
      <w:tblGrid>
        <w:gridCol w:w="4332"/>
        <w:gridCol w:w="360"/>
        <w:gridCol w:w="3948"/>
      </w:tblGrid>
      <w:tr w14:paraId="5211862D" w14:textId="77777777" w:rsidTr="00262DC1">
        <w:tblPrEx>
          <w:tblW w:w="8640" w:type="dxa"/>
          <w:tblLook w:val="01E0"/>
        </w:tblPrEx>
        <w:trPr>
          <w:trHeight w:val="807"/>
        </w:trPr>
        <w:tc>
          <w:tcPr>
            <w:tcW w:w="4332" w:type="dxa"/>
            <w:shd w:val="clear" w:color="auto" w:fill="auto"/>
          </w:tcPr>
          <w:p w:rsidR="00671887" w:rsidRPr="0001248A" w:rsidP="00262DC1" w14:paraId="48746D6C" w14:textId="77777777">
            <w:pPr>
              <w:pStyle w:val="HTMLPreformatted"/>
              <w:rPr>
                <w:rFonts w:ascii="Times New Roman" w:hAnsi="Times New Roman"/>
                <w:sz w:val="24"/>
                <w:szCs w:val="24"/>
              </w:rPr>
            </w:pPr>
            <w:r w:rsidRPr="0001248A">
              <w:rPr>
                <w:rFonts w:ascii="Times New Roman" w:hAnsi="Times New Roman"/>
                <w:sz w:val="24"/>
                <w:szCs w:val="24"/>
              </w:rPr>
              <w:t>In the Matter of the Application of the Duke Energy Ohio, Inc., for an Increase in Electric Distribution Rates.</w:t>
            </w:r>
          </w:p>
          <w:p w:rsidR="00671887" w:rsidRPr="0001248A" w:rsidP="00262DC1" w14:paraId="3596B375" w14:textId="77777777">
            <w:pPr>
              <w:pStyle w:val="HTMLPreformatted"/>
              <w:rPr>
                <w:rFonts w:ascii="Times New Roman" w:hAnsi="Times New Roman"/>
                <w:sz w:val="24"/>
                <w:szCs w:val="24"/>
              </w:rPr>
            </w:pPr>
          </w:p>
          <w:p w:rsidR="00671887" w:rsidRPr="0001248A" w:rsidP="00262DC1" w14:paraId="716F6691" w14:textId="77777777">
            <w:pPr>
              <w:pStyle w:val="HTMLPreformatted"/>
              <w:rPr>
                <w:rFonts w:ascii="Times New Roman" w:hAnsi="Times New Roman"/>
                <w:sz w:val="24"/>
                <w:szCs w:val="24"/>
              </w:rPr>
            </w:pPr>
            <w:r w:rsidRPr="0001248A">
              <w:rPr>
                <w:rFonts w:ascii="Times New Roman" w:hAnsi="Times New Roman"/>
                <w:sz w:val="24"/>
                <w:szCs w:val="24"/>
              </w:rPr>
              <w:t>In the Matter of the Application of Duke Energy Ohio, Inc., for Tariff Approval.</w:t>
            </w:r>
          </w:p>
          <w:p w:rsidR="00671887" w:rsidRPr="0001248A" w:rsidP="00262DC1" w14:paraId="59BECB6D" w14:textId="77777777">
            <w:pPr>
              <w:pStyle w:val="HTMLPreformatted"/>
              <w:rPr>
                <w:rFonts w:ascii="Times New Roman" w:hAnsi="Times New Roman"/>
                <w:sz w:val="24"/>
                <w:szCs w:val="24"/>
              </w:rPr>
            </w:pPr>
          </w:p>
          <w:p w:rsidR="00671887" w:rsidRPr="0001248A" w:rsidP="00262DC1" w14:paraId="078EED17" w14:textId="77777777">
            <w:pPr>
              <w:pStyle w:val="HTMLPreformatted"/>
              <w:rPr>
                <w:rFonts w:ascii="Times New Roman" w:hAnsi="Times New Roman"/>
                <w:sz w:val="24"/>
                <w:szCs w:val="24"/>
              </w:rPr>
            </w:pPr>
            <w:r w:rsidRPr="0001248A">
              <w:rPr>
                <w:rFonts w:ascii="Times New Roman" w:hAnsi="Times New Roman"/>
                <w:sz w:val="24"/>
                <w:szCs w:val="24"/>
              </w:rPr>
              <w:t>In the Matter of the Application of Duke Energy Inc., for Approval to Change Accounting Methods.</w:t>
            </w:r>
          </w:p>
        </w:tc>
        <w:tc>
          <w:tcPr>
            <w:tcW w:w="360" w:type="dxa"/>
            <w:shd w:val="clear" w:color="auto" w:fill="auto"/>
          </w:tcPr>
          <w:p w:rsidR="00671887" w:rsidRPr="0001248A" w:rsidP="00262DC1" w14:paraId="112A52B1"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1FB300C8"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3131C024"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5CA4E37E" w14:textId="77777777">
            <w:pPr>
              <w:pStyle w:val="HTMLPreformatted"/>
              <w:rPr>
                <w:rFonts w:ascii="Times New Roman" w:hAnsi="Times New Roman"/>
                <w:sz w:val="24"/>
                <w:szCs w:val="24"/>
              </w:rPr>
            </w:pPr>
          </w:p>
          <w:p w:rsidR="00671887" w:rsidRPr="0001248A" w:rsidP="00262DC1" w14:paraId="3CB83E60"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033DCE68"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752423F9" w14:textId="77777777">
            <w:pPr>
              <w:pStyle w:val="HTMLPreformatted"/>
              <w:rPr>
                <w:rFonts w:ascii="Times New Roman" w:hAnsi="Times New Roman"/>
                <w:sz w:val="24"/>
                <w:szCs w:val="24"/>
              </w:rPr>
            </w:pPr>
          </w:p>
          <w:p w:rsidR="00671887" w:rsidRPr="0001248A" w:rsidP="00262DC1" w14:paraId="06851082"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39D6F7CF" w14:textId="77777777">
            <w:pPr>
              <w:pStyle w:val="HTMLPreformatted"/>
              <w:rPr>
                <w:rFonts w:ascii="Times New Roman" w:hAnsi="Times New Roman"/>
                <w:sz w:val="24"/>
                <w:szCs w:val="24"/>
              </w:rPr>
            </w:pPr>
            <w:r w:rsidRPr="0001248A">
              <w:rPr>
                <w:rFonts w:ascii="Times New Roman" w:hAnsi="Times New Roman"/>
                <w:sz w:val="24"/>
                <w:szCs w:val="24"/>
              </w:rPr>
              <w:t>)</w:t>
            </w:r>
          </w:p>
          <w:p w:rsidR="00671887" w:rsidRPr="0001248A" w:rsidP="00262DC1" w14:paraId="06ED9CF7" w14:textId="77777777">
            <w:pPr>
              <w:pStyle w:val="HTMLPreformatted"/>
              <w:rPr>
                <w:rFonts w:ascii="Times New Roman" w:hAnsi="Times New Roman"/>
                <w:sz w:val="24"/>
                <w:szCs w:val="24"/>
              </w:rPr>
            </w:pPr>
            <w:r w:rsidRPr="0001248A">
              <w:rPr>
                <w:rFonts w:ascii="Times New Roman" w:hAnsi="Times New Roman"/>
                <w:sz w:val="24"/>
                <w:szCs w:val="24"/>
              </w:rPr>
              <w:t>)</w:t>
            </w:r>
          </w:p>
        </w:tc>
        <w:tc>
          <w:tcPr>
            <w:tcW w:w="3948" w:type="dxa"/>
            <w:shd w:val="clear" w:color="auto" w:fill="auto"/>
          </w:tcPr>
          <w:p w:rsidR="00671887" w:rsidRPr="0001248A" w:rsidP="00262DC1" w14:paraId="64AB5E42" w14:textId="77777777">
            <w:pPr>
              <w:pStyle w:val="HTMLPreformatted"/>
              <w:rPr>
                <w:rFonts w:ascii="Times New Roman" w:hAnsi="Times New Roman"/>
                <w:sz w:val="24"/>
                <w:szCs w:val="24"/>
              </w:rPr>
            </w:pPr>
          </w:p>
          <w:p w:rsidR="00671887" w:rsidRPr="0001248A" w:rsidP="00262DC1" w14:paraId="1D4C0277" w14:textId="77777777">
            <w:pPr>
              <w:pStyle w:val="HTMLPreformatted"/>
              <w:rPr>
                <w:rFonts w:ascii="Times New Roman" w:hAnsi="Times New Roman"/>
                <w:sz w:val="24"/>
                <w:szCs w:val="24"/>
              </w:rPr>
            </w:pPr>
            <w:r w:rsidRPr="0001248A">
              <w:rPr>
                <w:rFonts w:ascii="Times New Roman" w:hAnsi="Times New Roman"/>
                <w:sz w:val="24"/>
                <w:szCs w:val="24"/>
              </w:rPr>
              <w:t>Case No. 21-887-EL-AIR</w:t>
            </w:r>
          </w:p>
          <w:p w:rsidR="00671887" w:rsidRPr="0001248A" w:rsidP="00262DC1" w14:paraId="080745B5" w14:textId="77777777">
            <w:pPr>
              <w:pStyle w:val="HTMLPreformatted"/>
              <w:rPr>
                <w:rFonts w:ascii="Times New Roman" w:hAnsi="Times New Roman"/>
                <w:sz w:val="24"/>
                <w:szCs w:val="24"/>
              </w:rPr>
            </w:pPr>
          </w:p>
          <w:p w:rsidR="00671887" w:rsidRPr="0001248A" w:rsidP="00262DC1" w14:paraId="1A09E641" w14:textId="77777777">
            <w:pPr>
              <w:pStyle w:val="HTMLPreformatted"/>
              <w:rPr>
                <w:rFonts w:ascii="Times New Roman" w:hAnsi="Times New Roman"/>
                <w:sz w:val="24"/>
                <w:szCs w:val="24"/>
              </w:rPr>
            </w:pPr>
          </w:p>
          <w:p w:rsidR="00671887" w:rsidRPr="0001248A" w:rsidP="00262DC1" w14:paraId="08D3199E" w14:textId="77777777">
            <w:pPr>
              <w:pStyle w:val="HTMLPreformatted"/>
              <w:rPr>
                <w:rFonts w:ascii="Times New Roman" w:hAnsi="Times New Roman"/>
                <w:sz w:val="24"/>
                <w:szCs w:val="24"/>
              </w:rPr>
            </w:pPr>
          </w:p>
          <w:p w:rsidR="00671887" w:rsidRPr="0001248A" w:rsidP="00262DC1" w14:paraId="258A793F" w14:textId="77777777">
            <w:pPr>
              <w:pStyle w:val="HTMLPreformatted"/>
              <w:rPr>
                <w:rFonts w:ascii="Times New Roman" w:hAnsi="Times New Roman"/>
                <w:sz w:val="24"/>
                <w:szCs w:val="24"/>
              </w:rPr>
            </w:pPr>
            <w:r w:rsidRPr="0001248A">
              <w:rPr>
                <w:rFonts w:ascii="Times New Roman" w:hAnsi="Times New Roman"/>
                <w:sz w:val="24"/>
                <w:szCs w:val="24"/>
              </w:rPr>
              <w:t>Case No. 21-888-EL-ATA</w:t>
            </w:r>
          </w:p>
          <w:p w:rsidR="00671887" w:rsidRPr="0001248A" w:rsidP="00262DC1" w14:paraId="4C5A3E3A" w14:textId="77777777">
            <w:pPr>
              <w:pStyle w:val="HTMLPreformatted"/>
              <w:rPr>
                <w:rFonts w:ascii="Times New Roman" w:hAnsi="Times New Roman"/>
                <w:sz w:val="24"/>
                <w:szCs w:val="24"/>
              </w:rPr>
            </w:pPr>
          </w:p>
          <w:p w:rsidR="00671887" w:rsidRPr="0001248A" w:rsidP="00262DC1" w14:paraId="3D1216D4" w14:textId="77777777">
            <w:pPr>
              <w:pStyle w:val="HTMLPreformatted"/>
              <w:rPr>
                <w:rFonts w:ascii="Times New Roman" w:hAnsi="Times New Roman"/>
                <w:sz w:val="24"/>
                <w:szCs w:val="24"/>
              </w:rPr>
            </w:pPr>
          </w:p>
          <w:p w:rsidR="00671887" w:rsidRPr="0001248A" w:rsidP="00262DC1" w14:paraId="7A02A219" w14:textId="77777777">
            <w:pPr>
              <w:pStyle w:val="HTMLPreformatted"/>
              <w:rPr>
                <w:rFonts w:ascii="Times New Roman" w:hAnsi="Times New Roman"/>
                <w:sz w:val="24"/>
                <w:szCs w:val="24"/>
              </w:rPr>
            </w:pPr>
            <w:r w:rsidRPr="0001248A">
              <w:rPr>
                <w:rFonts w:ascii="Times New Roman" w:hAnsi="Times New Roman"/>
                <w:sz w:val="24"/>
                <w:szCs w:val="24"/>
              </w:rPr>
              <w:t>Case No. 21-889-EL-AAM</w:t>
            </w:r>
          </w:p>
        </w:tc>
      </w:tr>
    </w:tbl>
    <w:p w:rsidR="007177DE" w:rsidRPr="0001248A" w14:paraId="2A6C514F" w14:textId="77777777">
      <w:pPr>
        <w:rPr>
          <w:bCs/>
        </w:rPr>
      </w:pPr>
    </w:p>
    <w:p w:rsidR="007177DE" w:rsidRPr="0001248A" w14:paraId="187813E0" w14:textId="77777777">
      <w:pPr>
        <w:pBdr>
          <w:top w:val="single" w:sz="12" w:space="1" w:color="auto"/>
        </w:pBdr>
        <w:tabs>
          <w:tab w:val="left" w:pos="-720"/>
        </w:tabs>
        <w:suppressAutoHyphens/>
        <w:jc w:val="center"/>
        <w:rPr>
          <w:b/>
        </w:rPr>
      </w:pPr>
    </w:p>
    <w:p w:rsidR="007177DE" w:rsidRPr="0001248A" w14:paraId="519F397D" w14:textId="47CF992C">
      <w:pPr>
        <w:jc w:val="center"/>
        <w:rPr>
          <w:b/>
        </w:rPr>
      </w:pPr>
      <w:r w:rsidRPr="0001248A">
        <w:rPr>
          <w:b/>
        </w:rPr>
        <w:t xml:space="preserve">MEMORANDUM CONTRA </w:t>
      </w:r>
      <w:r w:rsidRPr="0001248A" w:rsidR="00EC44B0">
        <w:rPr>
          <w:b/>
        </w:rPr>
        <w:t>DUKE’S</w:t>
      </w:r>
      <w:r w:rsidRPr="0001248A">
        <w:rPr>
          <w:b/>
        </w:rPr>
        <w:t xml:space="preserve"> MOTION TO STRIKE </w:t>
      </w:r>
      <w:r w:rsidRPr="0001248A" w:rsidR="00B80F6B">
        <w:rPr>
          <w:b/>
        </w:rPr>
        <w:t xml:space="preserve">OCC’s </w:t>
      </w:r>
      <w:r w:rsidRPr="0001248A">
        <w:rPr>
          <w:b/>
        </w:rPr>
        <w:t>OBJECTIONS</w:t>
      </w:r>
    </w:p>
    <w:p w:rsidR="007177DE" w:rsidRPr="0001248A" w14:paraId="646D4454" w14:textId="77777777">
      <w:pPr>
        <w:jc w:val="center"/>
        <w:rPr>
          <w:b/>
        </w:rPr>
      </w:pPr>
      <w:r w:rsidRPr="0001248A">
        <w:rPr>
          <w:b/>
        </w:rPr>
        <w:t>BY</w:t>
      </w:r>
    </w:p>
    <w:p w:rsidR="007177DE" w:rsidRPr="0001248A" w14:paraId="4EE33523" w14:textId="6C33FF31">
      <w:pPr>
        <w:jc w:val="center"/>
        <w:rPr>
          <w:b/>
        </w:rPr>
      </w:pPr>
      <w:r w:rsidRPr="0001248A">
        <w:rPr>
          <w:b/>
        </w:rPr>
        <w:t>OFFICE OF THE OHIO CONSUMERS’ COUNSEL</w:t>
      </w:r>
    </w:p>
    <w:p w:rsidR="007177DE" w:rsidRPr="0001248A" w:rsidP="00EC44B0" w14:paraId="72CB36DF" w14:textId="77777777">
      <w:pPr>
        <w:pBdr>
          <w:bottom w:val="single" w:sz="12" w:space="1" w:color="auto"/>
        </w:pBdr>
        <w:tabs>
          <w:tab w:val="left" w:pos="-720"/>
        </w:tabs>
        <w:suppressAutoHyphens/>
        <w:rPr>
          <w:b/>
        </w:rPr>
      </w:pPr>
    </w:p>
    <w:p w:rsidR="007177DE" w:rsidRPr="0001248A" w14:paraId="7904EC83" w14:textId="77777777">
      <w:pPr>
        <w:rPr>
          <w:bCs/>
        </w:rPr>
      </w:pPr>
    </w:p>
    <w:p w:rsidR="007177DE" w:rsidRPr="0001248A" w:rsidP="00687579" w14:paraId="0A46F803" w14:textId="283340F1">
      <w:pPr>
        <w:pStyle w:val="Heading1"/>
      </w:pPr>
      <w:bookmarkStart w:id="4" w:name="_Toc108188730"/>
      <w:r w:rsidRPr="0001248A">
        <w:t>I.</w:t>
      </w:r>
      <w:r w:rsidRPr="0001248A">
        <w:tab/>
      </w:r>
      <w:r w:rsidRPr="0001248A" w:rsidR="00BC45AF">
        <w:t>INTRODUCTION</w:t>
      </w:r>
      <w:bookmarkEnd w:id="4"/>
    </w:p>
    <w:p w:rsidR="007E19B5" w:rsidRPr="0001248A" w:rsidP="007E19B5" w14:paraId="5FD650FF" w14:textId="62751FC3">
      <w:pPr>
        <w:keepLines/>
        <w:widowControl w:val="0"/>
        <w:spacing w:line="480" w:lineRule="auto"/>
        <w:ind w:firstLine="720"/>
      </w:pPr>
      <w:r w:rsidRPr="0001248A">
        <w:t>This is a</w:t>
      </w:r>
      <w:r w:rsidRPr="0001248A" w:rsidR="00EC44B0">
        <w:t xml:space="preserve"> time of </w:t>
      </w:r>
      <w:r w:rsidRPr="0001248A">
        <w:t xml:space="preserve">soaring energy prices, rising </w:t>
      </w:r>
      <w:r w:rsidRPr="0001248A" w:rsidR="00EC44B0">
        <w:t xml:space="preserve">inflation, </w:t>
      </w:r>
      <w:r w:rsidRPr="0001248A">
        <w:t>and increases in prices for other essentials needed by Ohio families.</w:t>
      </w:r>
      <w:r w:rsidRPr="0001248A" w:rsidR="00EC44B0">
        <w:t xml:space="preserve"> </w:t>
      </w:r>
      <w:r w:rsidRPr="0001248A">
        <w:t xml:space="preserve">So it’s really bad timing </w:t>
      </w:r>
      <w:r w:rsidRPr="0001248A" w:rsidR="00846D5C">
        <w:t>by</w:t>
      </w:r>
      <w:r w:rsidRPr="0001248A">
        <w:t xml:space="preserve"> </w:t>
      </w:r>
      <w:r w:rsidRPr="0001248A" w:rsidR="00EC44B0">
        <w:t>Duke Energy Ohio, Inc. (“Duke”)</w:t>
      </w:r>
      <w:r w:rsidRPr="0001248A" w:rsidR="00846D5C">
        <w:t xml:space="preserve"> that</w:t>
      </w:r>
      <w:r w:rsidRPr="0001248A" w:rsidR="00EC44B0">
        <w:t xml:space="preserve"> </w:t>
      </w:r>
      <w:r w:rsidRPr="0001248A" w:rsidR="00846D5C">
        <w:t xml:space="preserve">it is </w:t>
      </w:r>
      <w:r w:rsidRPr="0001248A" w:rsidR="00BC6354">
        <w:t>seek</w:t>
      </w:r>
      <w:r w:rsidRPr="0001248A" w:rsidR="00846D5C">
        <w:t>ing</w:t>
      </w:r>
      <w:r w:rsidRPr="0001248A" w:rsidR="00BC6354">
        <w:t xml:space="preserve"> </w:t>
      </w:r>
      <w:r w:rsidRPr="0001248A">
        <w:t>a $54.7 million or 32% annual</w:t>
      </w:r>
      <w:r w:rsidRPr="0001248A" w:rsidR="00BC45AF">
        <w:t xml:space="preserve"> </w:t>
      </w:r>
      <w:r w:rsidRPr="0001248A" w:rsidR="00EC44B0">
        <w:t>increase</w:t>
      </w:r>
      <w:r w:rsidRPr="0001248A">
        <w:t xml:space="preserve"> in</w:t>
      </w:r>
      <w:r w:rsidRPr="0001248A" w:rsidR="00EC44B0">
        <w:t xml:space="preserve"> </w:t>
      </w:r>
      <w:r w:rsidRPr="0001248A" w:rsidR="00846D5C">
        <w:t>its monthly</w:t>
      </w:r>
      <w:r w:rsidRPr="0001248A" w:rsidR="00EC44B0">
        <w:t xml:space="preserve"> </w:t>
      </w:r>
      <w:r w:rsidRPr="0001248A">
        <w:t>bills</w:t>
      </w:r>
      <w:r w:rsidRPr="0001248A" w:rsidR="00846D5C">
        <w:t xml:space="preserve"> for electric distribution service to </w:t>
      </w:r>
      <w:r w:rsidRPr="0001248A" w:rsidR="007D457E">
        <w:t>640,000</w:t>
      </w:r>
      <w:r w:rsidRPr="0001248A" w:rsidR="003A3173">
        <w:t xml:space="preserve"> </w:t>
      </w:r>
      <w:r w:rsidRPr="0001248A">
        <w:t xml:space="preserve">Cincinnati-area </w:t>
      </w:r>
      <w:r w:rsidRPr="0001248A" w:rsidR="003A3173">
        <w:t>consumers</w:t>
      </w:r>
      <w:r w:rsidRPr="0001248A">
        <w:t>.</w:t>
      </w:r>
      <w:r w:rsidRPr="0001248A" w:rsidR="00EC44B0">
        <w:t xml:space="preserve"> </w:t>
      </w:r>
      <w:r w:rsidRPr="0001248A" w:rsidR="007F4A5A">
        <w:t>For a</w:t>
      </w:r>
      <w:r w:rsidRPr="0001248A" w:rsidR="001E1849">
        <w:t xml:space="preserve"> typical residential consumer (using 1,000 kWh per month)</w:t>
      </w:r>
      <w:r w:rsidRPr="0001248A" w:rsidR="007F4A5A">
        <w:t>, the monthly distribution charge will increase from $37.48</w:t>
      </w:r>
      <w:r>
        <w:rPr>
          <w:rStyle w:val="FootnoteReference"/>
        </w:rPr>
        <w:footnoteReference w:id="2"/>
      </w:r>
      <w:r w:rsidRPr="0001248A" w:rsidR="007F4A5A">
        <w:t xml:space="preserve"> to $49.44.</w:t>
      </w:r>
      <w:r>
        <w:rPr>
          <w:rStyle w:val="FootnoteReference"/>
        </w:rPr>
        <w:footnoteReference w:id="3"/>
      </w:r>
      <w:r w:rsidRPr="0001248A" w:rsidR="007F4A5A">
        <w:t xml:space="preserve"> </w:t>
      </w:r>
      <w:r w:rsidRPr="0001248A" w:rsidR="0099330F">
        <w:t xml:space="preserve">That’s </w:t>
      </w:r>
      <w:r w:rsidRPr="0001248A" w:rsidR="007F4A5A">
        <w:t>an additional $144 per year in distribution charge</w:t>
      </w:r>
      <w:r w:rsidRPr="0001248A" w:rsidR="00625E37">
        <w:t>s</w:t>
      </w:r>
      <w:r w:rsidRPr="0001248A" w:rsidR="00481855">
        <w:t xml:space="preserve"> for these families</w:t>
      </w:r>
      <w:r w:rsidRPr="0001248A" w:rsidR="007F4A5A">
        <w:t>.</w:t>
      </w:r>
      <w:r>
        <w:t xml:space="preserve"> </w:t>
      </w:r>
      <w:r w:rsidRPr="0001248A">
        <w:t xml:space="preserve">But OCC expects to recommend a rate </w:t>
      </w:r>
      <w:r w:rsidRPr="0001248A">
        <w:rPr>
          <w:i/>
          <w:iCs/>
        </w:rPr>
        <w:t>decrease</w:t>
      </w:r>
      <w:r w:rsidRPr="0001248A">
        <w:t xml:space="preserve"> for Duke consumers of at least $1.4 million. OCC’s rate decrease proposal will be based on various ratemaking adjustments. </w:t>
      </w:r>
    </w:p>
    <w:p w:rsidR="00E1291E" w:rsidRPr="0001248A" w:rsidP="009F486B" w14:paraId="73876A71" w14:textId="7AB29BF1">
      <w:pPr>
        <w:spacing w:line="480" w:lineRule="auto"/>
        <w:ind w:firstLine="720"/>
      </w:pPr>
      <w:r w:rsidRPr="0001248A">
        <w:t>Further, OCC is recommending a $4.5 million bill-payment assistance program for at-risk Ohioans in Duke’s service area. Incredibly, Duke claims</w:t>
      </w:r>
      <w:r w:rsidRPr="0001248A" w:rsidR="00035BC8">
        <w:t xml:space="preserve"> in its motion</w:t>
      </w:r>
      <w:r w:rsidRPr="0001248A">
        <w:t xml:space="preserve"> that OCC’s proposal is </w:t>
      </w:r>
      <w:r w:rsidRPr="0001248A" w:rsidR="00172C2C">
        <w:t>“</w:t>
      </w:r>
      <w:r w:rsidRPr="0001248A">
        <w:t>irrelevant</w:t>
      </w:r>
      <w:r w:rsidRPr="0001248A" w:rsidR="00172C2C">
        <w:t>”</w:t>
      </w:r>
      <w:r w:rsidRPr="0001248A">
        <w:t xml:space="preserve"> to </w:t>
      </w:r>
      <w:r w:rsidRPr="0001248A" w:rsidR="00035BC8">
        <w:t>Duke’s</w:t>
      </w:r>
      <w:r w:rsidRPr="0001248A">
        <w:t xml:space="preserve"> rate increase request and that the PUCO should deny OCC its right to present the proposal at the hearing.</w:t>
      </w:r>
      <w:r>
        <w:rPr>
          <w:rStyle w:val="FootnoteReference"/>
        </w:rPr>
        <w:footnoteReference w:id="4"/>
      </w:r>
      <w:r w:rsidRPr="0001248A">
        <w:t xml:space="preserve"> Duke’s proposal to deny OCC </w:t>
      </w:r>
      <w:r w:rsidRPr="0001248A" w:rsidR="00035BC8">
        <w:t>its opportunity to</w:t>
      </w:r>
      <w:r w:rsidRPr="0001248A">
        <w:t xml:space="preserve"> be heard on consumer assistance is as unlawful as it is heartless. Shame on Duke.</w:t>
      </w:r>
    </w:p>
    <w:p w:rsidR="00FE25ED" w:rsidRPr="0001248A" w:rsidP="009F486B" w14:paraId="1A8D3158" w14:textId="2B869F61">
      <w:pPr>
        <w:spacing w:line="480" w:lineRule="auto"/>
        <w:ind w:firstLine="720"/>
      </w:pPr>
      <w:r w:rsidRPr="0001248A">
        <w:t>The PUCO Staff recommend</w:t>
      </w:r>
      <w:r w:rsidRPr="0001248A" w:rsidR="00363FA4">
        <w:t>s</w:t>
      </w:r>
      <w:r w:rsidRPr="0001248A">
        <w:t xml:space="preserve"> a rate increase between $1.9 million and $15.3 million</w:t>
      </w:r>
      <w:r w:rsidRPr="0001248A" w:rsidR="00363FA4">
        <w:t>. The PUCO Staff’s</w:t>
      </w:r>
      <w:r w:rsidRPr="0001248A">
        <w:t xml:space="preserve"> calculat</w:t>
      </w:r>
      <w:r w:rsidRPr="0001248A" w:rsidR="00363FA4">
        <w:t>ion is</w:t>
      </w:r>
      <w:r w:rsidRPr="0001248A">
        <w:t xml:space="preserve"> based on </w:t>
      </w:r>
      <w:r w:rsidRPr="0001248A" w:rsidR="006C2A81">
        <w:t>allow</w:t>
      </w:r>
      <w:r w:rsidRPr="0001248A" w:rsidR="00363FA4">
        <w:t>ing Duke a</w:t>
      </w:r>
      <w:r w:rsidRPr="0001248A" w:rsidR="006C2A81">
        <w:t xml:space="preserve"> profit</w:t>
      </w:r>
      <w:r w:rsidRPr="0001248A" w:rsidR="000406CA">
        <w:t xml:space="preserve"> </w:t>
      </w:r>
      <w:r w:rsidRPr="0001248A" w:rsidR="006C2A81">
        <w:t xml:space="preserve">of </w:t>
      </w:r>
      <w:r w:rsidRPr="0001248A" w:rsidR="00363FA4">
        <w:t xml:space="preserve">between </w:t>
      </w:r>
      <w:r w:rsidRPr="0001248A" w:rsidR="000406CA">
        <w:t>8.84% to 9.85%</w:t>
      </w:r>
      <w:r w:rsidRPr="0001248A">
        <w:t xml:space="preserve">. </w:t>
      </w:r>
    </w:p>
    <w:p w:rsidR="00636CF5" w:rsidRPr="0001248A" w:rsidP="009F486B" w14:paraId="1CE83982" w14:textId="4291AB40">
      <w:pPr>
        <w:spacing w:line="480" w:lineRule="auto"/>
        <w:ind w:firstLine="720"/>
      </w:pPr>
      <w:r w:rsidRPr="0001248A">
        <w:t xml:space="preserve">Now </w:t>
      </w:r>
      <w:r w:rsidRPr="0001248A" w:rsidR="007F4A5A">
        <w:t xml:space="preserve">Duke seeks to strike from consideration in this case several of OCC’s consumer protection Objections to the PUCO’s Staff Report. </w:t>
      </w:r>
      <w:r w:rsidRPr="0001248A">
        <w:t>Duke is seeking to prevent the PUCO from even hearing OCC’s proposals for consumer protection.</w:t>
      </w:r>
      <w:r w:rsidRPr="0001248A" w:rsidR="0001248A">
        <w:t xml:space="preserve"> </w:t>
      </w:r>
      <w:r w:rsidRPr="0001248A" w:rsidR="007F4A5A">
        <w:t xml:space="preserve">Duke’s Motion to Strike is </w:t>
      </w:r>
      <w:r w:rsidRPr="0001248A">
        <w:t xml:space="preserve">a </w:t>
      </w:r>
      <w:r w:rsidRPr="0001248A" w:rsidR="007F4A5A">
        <w:t>baseless</w:t>
      </w:r>
      <w:r w:rsidRPr="0001248A">
        <w:t xml:space="preserve"> misuse of the process</w:t>
      </w:r>
      <w:r w:rsidRPr="0001248A" w:rsidR="007F4A5A">
        <w:t xml:space="preserve"> and should be rejected.</w:t>
      </w:r>
      <w:r w:rsidRPr="0001248A">
        <w:t xml:space="preserve"> </w:t>
      </w:r>
    </w:p>
    <w:p w:rsidR="00204661" w:rsidP="00797695" w14:paraId="1DCF7C12" w14:textId="77777777">
      <w:pPr>
        <w:spacing w:line="480" w:lineRule="auto"/>
        <w:ind w:firstLine="720"/>
        <w:sectPr w:rsidSect="0055067A">
          <w:pgSz w:w="12240" w:h="15840" w:code="1"/>
          <w:pgMar w:top="1440" w:right="1800" w:bottom="1440" w:left="1800" w:header="720" w:footer="720" w:gutter="0"/>
          <w:pgNumType w:start="1"/>
          <w:cols w:space="720"/>
          <w:titlePg/>
          <w:docGrid w:linePitch="360"/>
        </w:sectPr>
      </w:pPr>
      <w:r w:rsidRPr="0001248A">
        <w:t xml:space="preserve">The </w:t>
      </w:r>
      <w:r w:rsidRPr="0001248A" w:rsidR="00363FA4">
        <w:t xml:space="preserve">Staff of the </w:t>
      </w:r>
      <w:r w:rsidRPr="0001248A">
        <w:t xml:space="preserve">Public Utilities Commission of Ohio (“PUCO”) filed its Report of Investigation (“Staff Report”) in this case </w:t>
      </w:r>
      <w:r w:rsidRPr="0001248A" w:rsidR="0027039F">
        <w:t>May 19, 2022</w:t>
      </w:r>
      <w:r w:rsidRPr="0001248A">
        <w:t xml:space="preserve">. On </w:t>
      </w:r>
      <w:r w:rsidRPr="0001248A" w:rsidR="0027039F">
        <w:t>June 21</w:t>
      </w:r>
      <w:r w:rsidRPr="0001248A">
        <w:t>, 20</w:t>
      </w:r>
      <w:r w:rsidRPr="0001248A" w:rsidR="0027039F">
        <w:t>22</w:t>
      </w:r>
      <w:r w:rsidRPr="0001248A">
        <w:t xml:space="preserve">, OCC </w:t>
      </w:r>
      <w:r w:rsidRPr="0001248A" w:rsidR="0027039F">
        <w:t xml:space="preserve">filed </w:t>
      </w:r>
      <w:r w:rsidRPr="0001248A">
        <w:t>Objections to the Staff Report.</w:t>
      </w:r>
      <w:r w:rsidRPr="0001248A" w:rsidR="00671887">
        <w:t xml:space="preserve"> </w:t>
      </w:r>
      <w:r w:rsidRPr="0001248A" w:rsidR="0027039F">
        <w:t xml:space="preserve">Duke moves to strike OCC Objections Nos. 5, 16, 20, 26, 27, 28, and 29. </w:t>
      </w:r>
      <w:r w:rsidRPr="0001248A" w:rsidR="00AF0875">
        <w:t xml:space="preserve">However, OCC’s Objections fully comply with </w:t>
      </w:r>
      <w:r w:rsidRPr="0001248A" w:rsidR="00363FA4">
        <w:t>R.C. 490</w:t>
      </w:r>
      <w:r w:rsidRPr="0001248A" w:rsidR="00797695">
        <w:t>9</w:t>
      </w:r>
      <w:r w:rsidRPr="0001248A" w:rsidR="00363FA4">
        <w:t xml:space="preserve">.19 and </w:t>
      </w:r>
      <w:r w:rsidRPr="0001248A" w:rsidR="00AF0875">
        <w:t xml:space="preserve">O.A.C. </w:t>
      </w:r>
    </w:p>
    <w:p w:rsidR="00797695" w:rsidRPr="0001248A" w:rsidP="00160E72" w14:paraId="6CC89D39" w14:textId="25112545">
      <w:pPr>
        <w:spacing w:line="480" w:lineRule="auto"/>
        <w:rPr>
          <w:bCs/>
        </w:rPr>
      </w:pPr>
      <w:r w:rsidRPr="0001248A">
        <w:t xml:space="preserve">4901-1-28(B), and they </w:t>
      </w:r>
      <w:r w:rsidRPr="0001248A" w:rsidR="00C43D2D">
        <w:rPr>
          <w:bCs/>
        </w:rPr>
        <w:t>are issues to be dealt with at hearing and through briefing, not through a motion to strike the objection.</w:t>
      </w:r>
      <w:r>
        <w:rPr>
          <w:rStyle w:val="FootnoteReference"/>
        </w:rPr>
        <w:footnoteReference w:id="5"/>
      </w:r>
      <w:r w:rsidRPr="0001248A">
        <w:rPr>
          <w:bCs/>
        </w:rPr>
        <w:t xml:space="preserve"> </w:t>
      </w:r>
    </w:p>
    <w:p w:rsidR="00797695" w:rsidRPr="0001248A" w:rsidP="00797695" w14:paraId="24708E51" w14:textId="3756F916">
      <w:pPr>
        <w:spacing w:line="480" w:lineRule="auto"/>
        <w:ind w:firstLine="720"/>
        <w:rPr>
          <w:bCs/>
        </w:rPr>
      </w:pPr>
      <w:r w:rsidRPr="0001248A">
        <w:rPr>
          <w:bCs/>
        </w:rPr>
        <w:t>Indeed, R.C. 4909.19 requires the PUCO to respond to objections by</w:t>
      </w:r>
      <w:r w:rsidRPr="0001248A">
        <w:rPr>
          <w:rFonts w:eastAsia="Times New Roman"/>
        </w:rPr>
        <w:t xml:space="preserve"> “</w:t>
      </w:r>
      <w:r w:rsidRPr="0001248A">
        <w:rPr>
          <w:bCs/>
        </w:rPr>
        <w:t xml:space="preserve">tak[ing] all the testimony with respect to the application and objections which may be offered by any interested party.” </w:t>
      </w:r>
      <w:r w:rsidRPr="0001248A" w:rsidR="005E5D25">
        <w:rPr>
          <w:bCs/>
        </w:rPr>
        <w:t xml:space="preserve">Thus, </w:t>
      </w:r>
      <w:r w:rsidRPr="0001248A">
        <w:rPr>
          <w:bCs/>
        </w:rPr>
        <w:t>Duke’s motion to strike OCC’s objections is a violation of law</w:t>
      </w:r>
      <w:r w:rsidRPr="0001248A" w:rsidR="00A300E1">
        <w:rPr>
          <w:bCs/>
        </w:rPr>
        <w:t xml:space="preserve"> that would wrongly deny OCC its rightful opportunity to be heard</w:t>
      </w:r>
      <w:r w:rsidRPr="0001248A">
        <w:rPr>
          <w:bCs/>
        </w:rPr>
        <w:t>.</w:t>
      </w:r>
      <w:r w:rsidRPr="0001248A" w:rsidR="009B243A">
        <w:rPr>
          <w:bCs/>
        </w:rPr>
        <w:t xml:space="preserve"> Moreover, the PUCO’s rule</w:t>
      </w:r>
      <w:r w:rsidRPr="0001248A" w:rsidR="00C23483">
        <w:rPr>
          <w:bCs/>
        </w:rPr>
        <w:t xml:space="preserve"> on objections</w:t>
      </w:r>
      <w:r w:rsidRPr="0001248A" w:rsidR="009B243A">
        <w:rPr>
          <w:bCs/>
        </w:rPr>
        <w:t xml:space="preserve"> is subordinate to the statute.</w:t>
      </w:r>
    </w:p>
    <w:p w:rsidR="00FF49A2" w:rsidP="009F486B" w14:paraId="5CA5FD4F" w14:textId="3881755E">
      <w:pPr>
        <w:spacing w:line="480" w:lineRule="auto"/>
        <w:ind w:firstLine="720"/>
      </w:pPr>
      <w:r w:rsidRPr="0001248A">
        <w:t xml:space="preserve">Duke’s motion to strike </w:t>
      </w:r>
      <w:r w:rsidRPr="0001248A" w:rsidR="00FF4331">
        <w:t>is</w:t>
      </w:r>
      <w:r w:rsidRPr="0001248A" w:rsidR="00846D5C">
        <w:t>, in essence,</w:t>
      </w:r>
      <w:r w:rsidRPr="0001248A" w:rsidR="007A0ADF">
        <w:t xml:space="preserve"> </w:t>
      </w:r>
      <w:r w:rsidRPr="0001248A" w:rsidR="00FF4331">
        <w:t>a request that the PUCO pre</w:t>
      </w:r>
      <w:r w:rsidRPr="0001248A" w:rsidR="00846D5C">
        <w:t>judge</w:t>
      </w:r>
      <w:r w:rsidRPr="0001248A" w:rsidR="0001248A">
        <w:t xml:space="preserve"> </w:t>
      </w:r>
      <w:r w:rsidRPr="0001248A" w:rsidR="00FF4331">
        <w:t>the merits of the issues in OCC’s objections</w:t>
      </w:r>
      <w:r w:rsidRPr="0001248A" w:rsidR="00846D5C">
        <w:t xml:space="preserve">. Duke seeks to </w:t>
      </w:r>
      <w:r w:rsidRPr="0001248A" w:rsidR="007A0ADF">
        <w:t xml:space="preserve">silence </w:t>
      </w:r>
      <w:r w:rsidRPr="0001248A" w:rsidR="000F7C0C">
        <w:t>OCC’s advocacy for important</w:t>
      </w:r>
      <w:r w:rsidRPr="0001248A" w:rsidR="007A0ADF">
        <w:t xml:space="preserve"> consumer protection issues </w:t>
      </w:r>
      <w:r w:rsidRPr="0001248A" w:rsidR="000F7C0C">
        <w:t>relevant to Duke’s application to increase the rate</w:t>
      </w:r>
      <w:r w:rsidRPr="0001248A">
        <w:t>s</w:t>
      </w:r>
      <w:r w:rsidRPr="0001248A" w:rsidR="000F7C0C">
        <w:t xml:space="preserve"> consumers pay</w:t>
      </w:r>
      <w:r w:rsidRPr="0001248A" w:rsidR="007A0ADF">
        <w:t>.</w:t>
      </w:r>
      <w:r w:rsidRPr="0001248A" w:rsidR="0001248A">
        <w:t xml:space="preserve"> </w:t>
      </w:r>
      <w:r w:rsidRPr="0001248A" w:rsidR="000835FC">
        <w:t xml:space="preserve">Duke’s Motion to Strike should be denied. </w:t>
      </w:r>
    </w:p>
    <w:p w:rsidR="00DB374D" w:rsidRPr="0001248A" w:rsidP="00DB374D" w14:paraId="5980594F" w14:textId="77777777">
      <w:pPr>
        <w:ind w:firstLine="720"/>
      </w:pPr>
    </w:p>
    <w:p w:rsidR="007177DE" w:rsidRPr="0001248A" w:rsidP="009F486B" w14:paraId="75E23F5F" w14:textId="13696F56">
      <w:pPr>
        <w:pStyle w:val="Heading1"/>
      </w:pPr>
      <w:bookmarkStart w:id="6" w:name="_Toc108188731"/>
      <w:r w:rsidRPr="0001248A">
        <w:t>II.</w:t>
      </w:r>
      <w:r w:rsidRPr="0001248A">
        <w:tab/>
      </w:r>
      <w:r w:rsidRPr="0001248A" w:rsidR="00FF49A2">
        <w:t>R</w:t>
      </w:r>
      <w:r w:rsidRPr="0001248A" w:rsidR="00BC45AF">
        <w:t>ECOMMENDATION</w:t>
      </w:r>
      <w:r w:rsidRPr="0001248A" w:rsidR="009F4B2E">
        <w:t>S</w:t>
      </w:r>
      <w:bookmarkEnd w:id="6"/>
    </w:p>
    <w:p w:rsidR="009F4B2E" w:rsidRPr="0001248A" w14:paraId="146F0013" w14:textId="47E1A860">
      <w:pPr>
        <w:spacing w:line="480" w:lineRule="auto"/>
        <w:ind w:firstLine="720"/>
        <w:rPr>
          <w:bCs/>
        </w:rPr>
      </w:pPr>
      <w:r w:rsidRPr="0001248A">
        <w:rPr>
          <w:bCs/>
        </w:rPr>
        <w:t xml:space="preserve">The PUCO should deny Duke’s Motion to Strike OCC’s objections to the Staff Report. </w:t>
      </w:r>
      <w:r w:rsidRPr="0001248A" w:rsidR="00BC45AF">
        <w:rPr>
          <w:bCs/>
        </w:rPr>
        <w:t xml:space="preserve">Under </w:t>
      </w:r>
      <w:r w:rsidRPr="0001248A" w:rsidR="0042435F">
        <w:rPr>
          <w:bCs/>
        </w:rPr>
        <w:t>O.A.C.</w:t>
      </w:r>
      <w:r w:rsidRPr="0001248A" w:rsidR="00BC45AF">
        <w:rPr>
          <w:bCs/>
        </w:rPr>
        <w:t xml:space="preserve"> 4901-1-28(B), “objections may relate to the findings, conclusions, or recommendations contained in the report, or to the failure of the report to address one or more specific items. All objections must be specific.”</w:t>
      </w:r>
      <w:r>
        <w:rPr>
          <w:rStyle w:val="FootnoteReference"/>
          <w:bCs/>
        </w:rPr>
        <w:footnoteReference w:id="6"/>
      </w:r>
      <w:r w:rsidRPr="0001248A" w:rsidR="00BC45AF">
        <w:rPr>
          <w:bCs/>
        </w:rPr>
        <w:t xml:space="preserve"> Objections that fail to meet this requirement </w:t>
      </w:r>
      <w:r w:rsidRPr="0001248A" w:rsidR="00BC45AF">
        <w:rPr>
          <w:bCs/>
          <w:i/>
          <w:iCs/>
        </w:rPr>
        <w:t>may</w:t>
      </w:r>
      <w:r w:rsidRPr="0001248A" w:rsidR="00BC45AF">
        <w:rPr>
          <w:bCs/>
        </w:rPr>
        <w:t xml:space="preserve"> be stricken.</w:t>
      </w:r>
      <w:r>
        <w:rPr>
          <w:rStyle w:val="FootnoteReference"/>
          <w:bCs/>
        </w:rPr>
        <w:footnoteReference w:id="7"/>
      </w:r>
      <w:r w:rsidRPr="0001248A" w:rsidR="00BC45AF">
        <w:rPr>
          <w:bCs/>
        </w:rPr>
        <w:t xml:space="preserve"> Thus, as the PUCO has previously explained, “the only requirement as to objections are that they must related to findings, conclusions, or recommendations in a staff report, or must relate to the failure of the staff report to address a</w:t>
      </w:r>
      <w:r w:rsidRPr="0001248A" w:rsidR="00130E4F">
        <w:rPr>
          <w:bCs/>
        </w:rPr>
        <w:t>n</w:t>
      </w:r>
      <w:r w:rsidRPr="0001248A" w:rsidR="00BC45AF">
        <w:rPr>
          <w:bCs/>
        </w:rPr>
        <w:t xml:space="preserve"> </w:t>
      </w:r>
      <w:r w:rsidRPr="0001248A" w:rsidR="00FA3096">
        <w:rPr>
          <w:bCs/>
        </w:rPr>
        <w:t>item and</w:t>
      </w:r>
      <w:r w:rsidRPr="0001248A" w:rsidR="00BC45AF">
        <w:rPr>
          <w:bCs/>
        </w:rPr>
        <w:t xml:space="preserve"> must be specific. The intrinsic merit, or lack of merit, of any particular objections must be dealt with following the evidentiary hearing on the matter, not by striking it prior to that time.”</w:t>
      </w:r>
      <w:r>
        <w:rPr>
          <w:rStyle w:val="FootnoteReference"/>
          <w:bCs/>
        </w:rPr>
        <w:footnoteReference w:id="8"/>
      </w:r>
      <w:r w:rsidRPr="0001248A" w:rsidR="00FF4331">
        <w:rPr>
          <w:bCs/>
        </w:rPr>
        <w:t xml:space="preserve"> </w:t>
      </w:r>
    </w:p>
    <w:p w:rsidR="007177DE" w:rsidRPr="0001248A" w14:paraId="12EE3157" w14:textId="2647B484">
      <w:pPr>
        <w:spacing w:line="480" w:lineRule="auto"/>
        <w:ind w:firstLine="720"/>
      </w:pPr>
      <w:r w:rsidRPr="0001248A">
        <w:rPr>
          <w:bCs/>
        </w:rPr>
        <w:t>This precedent was recently affirmed in the</w:t>
      </w:r>
      <w:r w:rsidRPr="0001248A" w:rsidR="00FF4331">
        <w:rPr>
          <w:bCs/>
        </w:rPr>
        <w:t xml:space="preserve"> Ohio Power Company (“AEP”) rate case, </w:t>
      </w:r>
      <w:r w:rsidRPr="0001248A">
        <w:rPr>
          <w:bCs/>
        </w:rPr>
        <w:t xml:space="preserve">when the </w:t>
      </w:r>
      <w:r w:rsidRPr="0001248A">
        <w:t>Attorney Examiner denied similar motions to strike, stating that the issues “should be resolved by the [PUCO] following an opportunity for the parties to offer evidence in briefs.”</w:t>
      </w:r>
      <w:r>
        <w:rPr>
          <w:rStyle w:val="FootnoteReference"/>
        </w:rPr>
        <w:footnoteReference w:id="9"/>
      </w:r>
      <w:r w:rsidRPr="0001248A" w:rsidR="00D67679">
        <w:t xml:space="preserve"> </w:t>
      </w:r>
    </w:p>
    <w:p w:rsidR="00B26840" w:rsidRPr="0001248A" w:rsidP="00B26840" w14:paraId="7CBA6417" w14:textId="27E4F77C">
      <w:pPr>
        <w:spacing w:line="480" w:lineRule="auto"/>
        <w:ind w:firstLine="720"/>
      </w:pPr>
      <w:r w:rsidRPr="0001248A">
        <w:t xml:space="preserve">OCC’s Objections plainly satisfy the standards in O.A.C. 4901-1-28(B). And tellingly, </w:t>
      </w:r>
      <w:r w:rsidRPr="0001248A" w:rsidR="00D67679">
        <w:t xml:space="preserve">Duke does not </w:t>
      </w:r>
      <w:r w:rsidRPr="0001248A" w:rsidR="008B3B9C">
        <w:t>seek to strike</w:t>
      </w:r>
      <w:r w:rsidRPr="0001248A" w:rsidR="00D67679">
        <w:t xml:space="preserve"> </w:t>
      </w:r>
      <w:r w:rsidRPr="0001248A" w:rsidR="00403965">
        <w:t xml:space="preserve">OCC’s objections </w:t>
      </w:r>
      <w:r w:rsidRPr="0001248A" w:rsidR="008B3B9C">
        <w:t xml:space="preserve">on the grounds that they </w:t>
      </w:r>
      <w:r w:rsidRPr="0001248A" w:rsidR="00403965">
        <w:t>lack specificity in violation of O.A.C. 4901-1-28(B). Section II.A. of Duke’s motion addresses the</w:t>
      </w:r>
      <w:r w:rsidRPr="0001248A" w:rsidR="008B3B9C">
        <w:t xml:space="preserve"> O.A.C. 4901-1-28(B)</w:t>
      </w:r>
      <w:r w:rsidRPr="0001248A" w:rsidR="00403965">
        <w:t xml:space="preserve"> specificity requirement and moves to strike</w:t>
      </w:r>
      <w:r w:rsidRPr="0001248A" w:rsidR="009F4B2E">
        <w:t xml:space="preserve"> only</w:t>
      </w:r>
      <w:r w:rsidRPr="0001248A" w:rsidR="00403965">
        <w:t xml:space="preserve"> objections</w:t>
      </w:r>
      <w:r w:rsidRPr="0001248A" w:rsidR="009F4B2E">
        <w:t xml:space="preserve"> by</w:t>
      </w:r>
      <w:r w:rsidRPr="0001248A" w:rsidR="00403965">
        <w:t xml:space="preserve"> </w:t>
      </w:r>
      <w:r w:rsidRPr="0001248A" w:rsidR="00CD6B47">
        <w:t>the Retail Energy Supply Association (“RESA”)</w:t>
      </w:r>
      <w:r w:rsidRPr="0001248A" w:rsidR="008B3B9C">
        <w:t>, One Energy Enterprises, Inc. (“One Energy”), and the City of Cincinnati (“City”)</w:t>
      </w:r>
      <w:r w:rsidRPr="0001248A" w:rsidR="009F4B2E">
        <w:t>.</w:t>
      </w:r>
      <w:r>
        <w:rPr>
          <w:rStyle w:val="FootnoteReference"/>
        </w:rPr>
        <w:footnoteReference w:id="10"/>
      </w:r>
      <w:r w:rsidRPr="0001248A" w:rsidR="009F4B2E">
        <w:t xml:space="preserve"> </w:t>
      </w:r>
    </w:p>
    <w:p w:rsidR="008D6277" w:rsidRPr="0001248A" w:rsidP="00972D42" w14:paraId="72518BA2" w14:textId="15F7071F">
      <w:pPr>
        <w:spacing w:line="480" w:lineRule="auto"/>
        <w:ind w:firstLine="720"/>
      </w:pPr>
      <w:r w:rsidRPr="0001248A">
        <w:t xml:space="preserve">Duke instead </w:t>
      </w:r>
      <w:r w:rsidRPr="0001248A" w:rsidR="00B26840">
        <w:t>wrongly</w:t>
      </w:r>
      <w:r w:rsidRPr="0001248A" w:rsidR="00670CBB">
        <w:t xml:space="preserve"> claims that OCC </w:t>
      </w:r>
      <w:r w:rsidRPr="0001248A" w:rsidR="00F20389">
        <w:t>O</w:t>
      </w:r>
      <w:r w:rsidRPr="0001248A" w:rsidR="00670CBB">
        <w:t>bjection</w:t>
      </w:r>
      <w:r w:rsidRPr="0001248A" w:rsidR="00F20389">
        <w:t xml:space="preserve"> Nos. 5, </w:t>
      </w:r>
      <w:r w:rsidRPr="0001248A" w:rsidR="00B26840">
        <w:t>26, 27, 28, and 29</w:t>
      </w:r>
      <w:r w:rsidRPr="0001248A" w:rsidR="00670CBB">
        <w:t xml:space="preserve"> to the Staff Report are irrelevant to Duke’s application to increase the rates consumers pay.</w:t>
      </w:r>
      <w:r>
        <w:rPr>
          <w:rStyle w:val="FootnoteReference"/>
        </w:rPr>
        <w:footnoteReference w:id="11"/>
      </w:r>
      <w:r w:rsidRPr="0001248A" w:rsidR="00F20389">
        <w:t xml:space="preserve"> </w:t>
      </w:r>
      <w:r w:rsidRPr="0001248A" w:rsidR="00F35F82">
        <w:t xml:space="preserve">Additionally, </w:t>
      </w:r>
      <w:r w:rsidRPr="0001248A" w:rsidR="00F20389">
        <w:t>Duke seeks to strike OCC</w:t>
      </w:r>
      <w:r w:rsidRPr="0001248A" w:rsidR="00B26840">
        <w:t xml:space="preserve"> Objection Nos. 16 and 20, on the novel (and erroneous) ground that they provide improper support for the Staff Report.</w:t>
      </w:r>
      <w:r>
        <w:rPr>
          <w:rStyle w:val="FootnoteReference"/>
        </w:rPr>
        <w:footnoteReference w:id="12"/>
      </w:r>
      <w:r w:rsidRPr="0001248A" w:rsidR="00B26840">
        <w:t xml:space="preserve"> </w:t>
      </w:r>
      <w:r w:rsidRPr="0001248A" w:rsidR="002301D7">
        <w:t>These argument</w:t>
      </w:r>
      <w:r w:rsidRPr="0001248A" w:rsidR="00436FB2">
        <w:t>s</w:t>
      </w:r>
      <w:r w:rsidRPr="0001248A" w:rsidR="002301D7">
        <w:t xml:space="preserve"> have no merit.</w:t>
      </w:r>
    </w:p>
    <w:p w:rsidR="00D744D0" w:rsidRPr="0001248A" w:rsidP="00972D42" w14:paraId="1E70351C" w14:textId="368CA987">
      <w:pPr>
        <w:spacing w:line="480" w:lineRule="auto"/>
        <w:ind w:firstLine="720"/>
      </w:pPr>
      <w:r w:rsidRPr="0001248A">
        <w:t>OCC’s</w:t>
      </w:r>
      <w:r w:rsidRPr="0001248A" w:rsidR="000742B8">
        <w:t xml:space="preserve"> specific objections that Duke seeks to strike are as follows:</w:t>
      </w:r>
    </w:p>
    <w:p w:rsidR="000742B8" w:rsidRPr="0001248A" w:rsidP="00E969FC" w14:paraId="30DFA200" w14:textId="5E8E19D6">
      <w:pPr>
        <w:pStyle w:val="ListParagraph"/>
        <w:numPr>
          <w:ilvl w:val="0"/>
          <w:numId w:val="36"/>
        </w:numPr>
        <w:ind w:left="1440" w:hanging="720" w:leftChars="0"/>
        <w:rPr>
          <w:rFonts w:ascii="Times New Roman" w:hAnsi="Times New Roman"/>
          <w:szCs w:val="24"/>
        </w:rPr>
      </w:pPr>
      <w:r w:rsidRPr="0001248A">
        <w:rPr>
          <w:rFonts w:ascii="Times New Roman" w:hAnsi="Times New Roman"/>
          <w:szCs w:val="24"/>
        </w:rPr>
        <w:t>OCC Objection No. 5</w:t>
      </w:r>
      <w:r w:rsidRPr="0001248A" w:rsidR="00E637CD">
        <w:rPr>
          <w:rFonts w:ascii="Times New Roman" w:hAnsi="Times New Roman"/>
          <w:szCs w:val="24"/>
        </w:rPr>
        <w:t>:</w:t>
      </w:r>
      <w:r w:rsidRPr="0001248A" w:rsidR="007E059F">
        <w:rPr>
          <w:rFonts w:ascii="Times New Roman" w:hAnsi="Times New Roman"/>
          <w:szCs w:val="24"/>
        </w:rPr>
        <w:t xml:space="preserve"> </w:t>
      </w:r>
      <w:r w:rsidRPr="0001248A" w:rsidR="00E637CD">
        <w:rPr>
          <w:rFonts w:ascii="Times New Roman" w:hAnsi="Times New Roman"/>
          <w:szCs w:val="24"/>
        </w:rPr>
        <w:t>“</w:t>
      </w:r>
      <w:r w:rsidRPr="0001248A" w:rsidR="00CB2724">
        <w:rPr>
          <w:rFonts w:ascii="Times New Roman" w:hAnsi="Times New Roman"/>
          <w:szCs w:val="24"/>
        </w:rPr>
        <w:t>The Staff Report harms consumers by failing to reflect gains on the disposition of property”</w:t>
      </w:r>
      <w:r w:rsidRPr="0001248A">
        <w:rPr>
          <w:rFonts w:ascii="Times New Roman" w:hAnsi="Times New Roman"/>
          <w:szCs w:val="24"/>
        </w:rPr>
        <w:t>;</w:t>
      </w:r>
    </w:p>
    <w:p w:rsidR="00E969FC" w:rsidRPr="0001248A" w:rsidP="009A4516" w14:paraId="5FA07FC6" w14:textId="77777777">
      <w:pPr>
        <w:pStyle w:val="ListParagraph"/>
        <w:ind w:left="1440" w:leftChars="0"/>
        <w:rPr>
          <w:rFonts w:ascii="Times New Roman" w:hAnsi="Times New Roman"/>
          <w:szCs w:val="24"/>
        </w:rPr>
      </w:pPr>
    </w:p>
    <w:p w:rsidR="000742B8" w:rsidRPr="0001248A" w:rsidP="00E969FC" w14:paraId="442919DD" w14:textId="0C8206F4">
      <w:pPr>
        <w:pStyle w:val="ListParagraph"/>
        <w:numPr>
          <w:ilvl w:val="0"/>
          <w:numId w:val="36"/>
        </w:numPr>
        <w:ind w:left="1440" w:hanging="720" w:leftChars="0"/>
        <w:rPr>
          <w:rFonts w:ascii="Times New Roman" w:hAnsi="Times New Roman"/>
          <w:szCs w:val="24"/>
        </w:rPr>
      </w:pPr>
      <w:r w:rsidRPr="0001248A">
        <w:rPr>
          <w:rFonts w:ascii="Times New Roman" w:hAnsi="Times New Roman"/>
          <w:szCs w:val="24"/>
        </w:rPr>
        <w:t xml:space="preserve">OCC Objection No. </w:t>
      </w:r>
      <w:r w:rsidRPr="0001248A" w:rsidR="002301D7">
        <w:rPr>
          <w:rFonts w:ascii="Times New Roman" w:hAnsi="Times New Roman"/>
          <w:szCs w:val="24"/>
        </w:rPr>
        <w:t>26</w:t>
      </w:r>
      <w:r w:rsidRPr="0001248A" w:rsidR="00E637CD">
        <w:rPr>
          <w:rFonts w:ascii="Times New Roman" w:hAnsi="Times New Roman"/>
          <w:szCs w:val="24"/>
        </w:rPr>
        <w:t>:</w:t>
      </w:r>
      <w:r w:rsidRPr="0001248A" w:rsidR="00CB2724">
        <w:rPr>
          <w:rFonts w:ascii="Times New Roman" w:hAnsi="Times New Roman"/>
          <w:szCs w:val="24"/>
        </w:rPr>
        <w:t xml:space="preserve"> </w:t>
      </w:r>
      <w:r w:rsidRPr="0001248A" w:rsidR="004948B1">
        <w:rPr>
          <w:rFonts w:ascii="Times New Roman" w:hAnsi="Times New Roman"/>
          <w:szCs w:val="24"/>
        </w:rPr>
        <w:t>“The Staff Report harms consumers because it fails to require Duke to provide shopping customers’ billing information to show a comparison to what they would pay under a standard service offer. The Staff Report also fails to perform an analysis of the consumer contact information that is collects through its call center, and the supplier rate information it collects on the Energy Choice Ohio website to determine if improvements in Duke’s Choice Program are necessary to help consumers reduce their energy costs”</w:t>
      </w:r>
      <w:r w:rsidRPr="0001248A" w:rsidR="00E637CD">
        <w:rPr>
          <w:rFonts w:ascii="Times New Roman" w:hAnsi="Times New Roman"/>
          <w:szCs w:val="24"/>
        </w:rPr>
        <w:t>;</w:t>
      </w:r>
      <w:r w:rsidRPr="0001248A" w:rsidR="002301D7">
        <w:rPr>
          <w:rFonts w:ascii="Times New Roman" w:hAnsi="Times New Roman"/>
          <w:szCs w:val="24"/>
        </w:rPr>
        <w:t xml:space="preserve"> </w:t>
      </w:r>
    </w:p>
    <w:p w:rsidR="00E969FC" w:rsidRPr="0001248A" w:rsidP="009A4516" w14:paraId="50848ABF" w14:textId="77777777">
      <w:pPr>
        <w:pStyle w:val="ListParagraph"/>
        <w:rPr>
          <w:rFonts w:ascii="Times New Roman" w:hAnsi="Times New Roman"/>
          <w:szCs w:val="24"/>
        </w:rPr>
      </w:pPr>
    </w:p>
    <w:p w:rsidR="00A55B7D" w:rsidRPr="0001248A" w:rsidP="00E969FC" w14:paraId="5ADA4E8D" w14:textId="17E12B92">
      <w:pPr>
        <w:pStyle w:val="ListParagraph"/>
        <w:numPr>
          <w:ilvl w:val="0"/>
          <w:numId w:val="36"/>
        </w:numPr>
        <w:ind w:left="1440" w:hanging="720" w:leftChars="0"/>
        <w:rPr>
          <w:rFonts w:ascii="Times New Roman" w:hAnsi="Times New Roman"/>
          <w:szCs w:val="24"/>
        </w:rPr>
      </w:pPr>
      <w:r w:rsidRPr="0001248A">
        <w:rPr>
          <w:rFonts w:ascii="Times New Roman" w:hAnsi="Times New Roman"/>
          <w:szCs w:val="24"/>
        </w:rPr>
        <w:t xml:space="preserve">OCC Objection No. </w:t>
      </w:r>
      <w:r w:rsidRPr="0001248A" w:rsidR="002301D7">
        <w:rPr>
          <w:rFonts w:ascii="Times New Roman" w:hAnsi="Times New Roman"/>
          <w:szCs w:val="24"/>
        </w:rPr>
        <w:t>27</w:t>
      </w:r>
      <w:r w:rsidRPr="0001248A" w:rsidR="00E637CD">
        <w:rPr>
          <w:rFonts w:ascii="Times New Roman" w:hAnsi="Times New Roman"/>
          <w:szCs w:val="24"/>
        </w:rPr>
        <w:t>:</w:t>
      </w:r>
      <w:r w:rsidRPr="0001248A" w:rsidR="004948B1">
        <w:rPr>
          <w:rFonts w:ascii="Times New Roman" w:hAnsi="Times New Roman"/>
          <w:szCs w:val="24"/>
        </w:rPr>
        <w:t xml:space="preserve"> “</w:t>
      </w:r>
      <w:r w:rsidRPr="0001248A" w:rsidR="00992D48">
        <w:rPr>
          <w:rFonts w:ascii="Times New Roman" w:hAnsi="Times New Roman"/>
          <w:szCs w:val="24"/>
        </w:rPr>
        <w:t xml:space="preserve">The Staff Report harms consumers by failing to recommend that Duke provide consumers with more options to opt-out of having their personal account information included on eligible customer lists </w:t>
      </w:r>
      <w:r w:rsidRPr="0001248A" w:rsidR="006A0A0E">
        <w:rPr>
          <w:rFonts w:ascii="Times New Roman" w:hAnsi="Times New Roman"/>
          <w:szCs w:val="24"/>
        </w:rPr>
        <w:t>provided to competitive retail electric service (“CRES”) providers”</w:t>
      </w:r>
      <w:r w:rsidRPr="0001248A">
        <w:rPr>
          <w:rFonts w:ascii="Times New Roman" w:hAnsi="Times New Roman"/>
          <w:szCs w:val="24"/>
        </w:rPr>
        <w:t>;</w:t>
      </w:r>
    </w:p>
    <w:p w:rsidR="00E969FC" w:rsidRPr="0001248A" w:rsidP="009A4516" w14:paraId="1895299E" w14:textId="6DB857E6"/>
    <w:p w:rsidR="00A55B7D" w:rsidRPr="0001248A" w:rsidP="00E969FC" w14:paraId="3D5D3A70" w14:textId="0AEAF5C7">
      <w:pPr>
        <w:pStyle w:val="ListParagraph"/>
        <w:numPr>
          <w:ilvl w:val="0"/>
          <w:numId w:val="36"/>
        </w:numPr>
        <w:ind w:left="1440" w:hanging="720" w:leftChars="0"/>
        <w:rPr>
          <w:rFonts w:ascii="Times New Roman" w:hAnsi="Times New Roman"/>
          <w:szCs w:val="24"/>
        </w:rPr>
      </w:pPr>
      <w:r w:rsidRPr="0001248A">
        <w:rPr>
          <w:rFonts w:ascii="Times New Roman" w:hAnsi="Times New Roman"/>
          <w:szCs w:val="24"/>
        </w:rPr>
        <w:t xml:space="preserve">OCC Objection No. </w:t>
      </w:r>
      <w:r w:rsidRPr="0001248A" w:rsidR="002301D7">
        <w:rPr>
          <w:rFonts w:ascii="Times New Roman" w:hAnsi="Times New Roman"/>
          <w:szCs w:val="24"/>
        </w:rPr>
        <w:t>28</w:t>
      </w:r>
      <w:r w:rsidRPr="0001248A" w:rsidR="00E637CD">
        <w:rPr>
          <w:rFonts w:ascii="Times New Roman" w:hAnsi="Times New Roman"/>
          <w:szCs w:val="24"/>
        </w:rPr>
        <w:t>:</w:t>
      </w:r>
      <w:r w:rsidRPr="0001248A" w:rsidR="006A0A0E">
        <w:rPr>
          <w:rFonts w:ascii="Times New Roman" w:hAnsi="Times New Roman"/>
          <w:szCs w:val="24"/>
        </w:rPr>
        <w:t xml:space="preserve"> “</w:t>
      </w:r>
      <w:r w:rsidRPr="0001248A" w:rsidR="00AB034B">
        <w:rPr>
          <w:rFonts w:ascii="Times New Roman" w:hAnsi="Times New Roman"/>
          <w:szCs w:val="24"/>
        </w:rPr>
        <w:t>The Staff Report potentially harms consumers by failing to evaluate the sufficiency of Duke’s Data Privacy Policy in protecting consumers’ personal information from unauthorized or inadvertent disclosure</w:t>
      </w:r>
      <w:r w:rsidRPr="0001248A" w:rsidR="00182262">
        <w:rPr>
          <w:rFonts w:ascii="Times New Roman" w:hAnsi="Times New Roman"/>
          <w:szCs w:val="24"/>
        </w:rPr>
        <w:t>”</w:t>
      </w:r>
      <w:r w:rsidRPr="0001248A">
        <w:rPr>
          <w:rFonts w:ascii="Times New Roman" w:hAnsi="Times New Roman"/>
          <w:szCs w:val="24"/>
        </w:rPr>
        <w:t>;</w:t>
      </w:r>
    </w:p>
    <w:p w:rsidR="009E2C17" w:rsidRPr="00387E2C" w:rsidP="00387E2C" w14:paraId="445CD39D" w14:textId="77777777"/>
    <w:p w:rsidR="00FB1786" w:rsidRPr="0001248A" w:rsidP="009A4516" w14:paraId="190D5281" w14:textId="3C3DFEC9">
      <w:pPr>
        <w:pStyle w:val="ListParagraph"/>
        <w:numPr>
          <w:ilvl w:val="0"/>
          <w:numId w:val="36"/>
        </w:numPr>
        <w:ind w:left="1440" w:hanging="720" w:leftChars="0"/>
        <w:rPr>
          <w:rFonts w:ascii="Times New Roman" w:hAnsi="Times New Roman"/>
          <w:szCs w:val="24"/>
        </w:rPr>
      </w:pPr>
      <w:r w:rsidRPr="0001248A">
        <w:rPr>
          <w:rFonts w:ascii="Times New Roman" w:hAnsi="Times New Roman"/>
          <w:szCs w:val="24"/>
        </w:rPr>
        <w:t xml:space="preserve">OCC Objection No. </w:t>
      </w:r>
      <w:r w:rsidRPr="0001248A" w:rsidR="002301D7">
        <w:rPr>
          <w:rFonts w:ascii="Times New Roman" w:hAnsi="Times New Roman"/>
          <w:szCs w:val="24"/>
        </w:rPr>
        <w:t>29</w:t>
      </w:r>
      <w:r w:rsidRPr="0001248A" w:rsidR="00E637CD">
        <w:rPr>
          <w:rFonts w:ascii="Times New Roman" w:hAnsi="Times New Roman"/>
          <w:szCs w:val="24"/>
        </w:rPr>
        <w:t>:</w:t>
      </w:r>
      <w:r w:rsidRPr="0001248A" w:rsidR="00F119DD">
        <w:rPr>
          <w:rFonts w:ascii="Times New Roman" w:hAnsi="Times New Roman"/>
          <w:szCs w:val="24"/>
        </w:rPr>
        <w:t xml:space="preserve"> </w:t>
      </w:r>
      <w:r w:rsidRPr="0001248A" w:rsidR="00AB034B">
        <w:rPr>
          <w:rFonts w:ascii="Times New Roman" w:hAnsi="Times New Roman"/>
          <w:szCs w:val="24"/>
        </w:rPr>
        <w:t>“</w:t>
      </w:r>
      <w:r w:rsidRPr="0001248A" w:rsidR="00C6090C">
        <w:rPr>
          <w:rFonts w:ascii="Times New Roman" w:hAnsi="Times New Roman"/>
          <w:szCs w:val="24"/>
        </w:rPr>
        <w:t>The Staff Report fails to protect Duke’s consumers by not proposing adequate consumer protections, including bill-payment assistance for energy justice and equity, that can make electric services more affordable for all consumers and protect at-risk, low-income, working poor, and fixed-income senior Ohioans from potential loss of electric services”</w:t>
      </w:r>
      <w:r w:rsidRPr="0001248A" w:rsidR="004C4971">
        <w:rPr>
          <w:rFonts w:ascii="Times New Roman" w:hAnsi="Times New Roman"/>
          <w:szCs w:val="24"/>
        </w:rPr>
        <w:t>;</w:t>
      </w:r>
      <w:r w:rsidRPr="0001248A" w:rsidR="00C6090C">
        <w:rPr>
          <w:rFonts w:ascii="Times New Roman" w:hAnsi="Times New Roman"/>
          <w:szCs w:val="24"/>
        </w:rPr>
        <w:t xml:space="preserve"> </w:t>
      </w:r>
    </w:p>
    <w:p w:rsidR="00E969FC" w:rsidRPr="0001248A" w:rsidP="009A4516" w14:paraId="6EA4820E" w14:textId="77777777">
      <w:pPr>
        <w:pStyle w:val="ListParagraph"/>
        <w:ind w:left="1440" w:leftChars="0"/>
        <w:rPr>
          <w:rFonts w:ascii="Times New Roman" w:hAnsi="Times New Roman"/>
          <w:szCs w:val="24"/>
        </w:rPr>
      </w:pPr>
    </w:p>
    <w:p w:rsidR="00540947" w:rsidRPr="0001248A" w:rsidP="009A4516" w14:paraId="3B6B6607" w14:textId="779D7528">
      <w:pPr>
        <w:pStyle w:val="ListParagraph"/>
        <w:numPr>
          <w:ilvl w:val="0"/>
          <w:numId w:val="36"/>
        </w:numPr>
        <w:ind w:left="1440" w:hanging="720" w:leftChars="0"/>
        <w:rPr>
          <w:rFonts w:ascii="Times New Roman" w:hAnsi="Times New Roman"/>
          <w:szCs w:val="24"/>
        </w:rPr>
      </w:pPr>
      <w:r w:rsidRPr="0001248A">
        <w:rPr>
          <w:rFonts w:ascii="Times New Roman" w:hAnsi="Times New Roman"/>
          <w:szCs w:val="24"/>
        </w:rPr>
        <w:t xml:space="preserve">OCC Objection No. </w:t>
      </w:r>
      <w:r w:rsidRPr="0001248A" w:rsidR="00E637CD">
        <w:rPr>
          <w:rFonts w:ascii="Times New Roman" w:hAnsi="Times New Roman"/>
          <w:szCs w:val="24"/>
        </w:rPr>
        <w:t xml:space="preserve">16: </w:t>
      </w:r>
      <w:r w:rsidRPr="0001248A" w:rsidR="00DE56D9">
        <w:rPr>
          <w:rFonts w:ascii="Times New Roman" w:hAnsi="Times New Roman"/>
          <w:szCs w:val="24"/>
        </w:rPr>
        <w:t>“The Staff Report harms consumers by failing to recommend that Duke be prohibited from modifying its existing riders or proposing new riders as part of this base distribution rate case”; and</w:t>
      </w:r>
    </w:p>
    <w:p w:rsidR="00E969FC" w:rsidRPr="0001248A" w:rsidP="009A4516" w14:paraId="7B1B35E8" w14:textId="77777777">
      <w:pPr>
        <w:pStyle w:val="ListParagraph"/>
        <w:ind w:left="1440" w:leftChars="0"/>
        <w:rPr>
          <w:rFonts w:ascii="Times New Roman" w:hAnsi="Times New Roman"/>
          <w:szCs w:val="24"/>
        </w:rPr>
      </w:pPr>
    </w:p>
    <w:p w:rsidR="00D0335B" w:rsidP="005E1C19" w14:paraId="0C100E78" w14:textId="595D819D">
      <w:pPr>
        <w:pStyle w:val="ListParagraph"/>
        <w:numPr>
          <w:ilvl w:val="0"/>
          <w:numId w:val="36"/>
        </w:numPr>
        <w:ind w:left="1440" w:hanging="720" w:leftChars="0"/>
        <w:rPr>
          <w:rFonts w:ascii="Times New Roman" w:hAnsi="Times New Roman"/>
          <w:szCs w:val="24"/>
        </w:rPr>
      </w:pPr>
      <w:r w:rsidRPr="00D0335B">
        <w:rPr>
          <w:rFonts w:ascii="Times New Roman" w:hAnsi="Times New Roman"/>
          <w:szCs w:val="24"/>
        </w:rPr>
        <w:t xml:space="preserve">OCC Objection No. 20: </w:t>
      </w:r>
      <w:r w:rsidRPr="00D0335B" w:rsidR="00DE56D9">
        <w:rPr>
          <w:rFonts w:ascii="Times New Roman" w:hAnsi="Times New Roman"/>
          <w:szCs w:val="24"/>
        </w:rPr>
        <w:t>“</w:t>
      </w:r>
      <w:r w:rsidRPr="00D0335B" w:rsidR="00DE719C">
        <w:rPr>
          <w:rFonts w:ascii="Times New Roman" w:hAnsi="Times New Roman"/>
          <w:szCs w:val="24"/>
        </w:rPr>
        <w:t>The Staff Report harms consumers by failing to recommend that Duke make every available effort with its authorized vendors to reduce the level of the convenience fees charged to consumers. The PUCO should ideally prohibit charging convenience fees to consumers.”</w:t>
      </w:r>
    </w:p>
    <w:p w:rsidR="00D0335B" w14:paraId="73425207" w14:textId="69CDD5EB">
      <w:pPr>
        <w:rPr>
          <w:kern w:val="2"/>
          <w:lang w:eastAsia="zh-TW"/>
        </w:rPr>
      </w:pPr>
    </w:p>
    <w:p w:rsidR="00FB1786" w:rsidRPr="0001248A" w:rsidP="009A4516" w14:paraId="2EB9F71E" w14:textId="2AAF43A8">
      <w:pPr>
        <w:pStyle w:val="Heading2"/>
        <w:ind w:left="1440" w:hanging="720"/>
        <w:rPr>
          <w:szCs w:val="24"/>
        </w:rPr>
      </w:pPr>
      <w:bookmarkStart w:id="7" w:name="_Toc108188732"/>
      <w:r w:rsidRPr="0001248A">
        <w:rPr>
          <w:szCs w:val="24"/>
        </w:rPr>
        <w:t>OCC’s objections should not be stricken as they relate to Duke’s application to increase rates to consumers, and they should be considered in this case through testimony and the evidentiary hearing</w:t>
      </w:r>
      <w:r w:rsidRPr="0001248A" w:rsidR="00196CBE">
        <w:rPr>
          <w:szCs w:val="24"/>
        </w:rPr>
        <w:t>, consistent with R.C</w:t>
      </w:r>
      <w:r w:rsidR="0021389A">
        <w:rPr>
          <w:szCs w:val="24"/>
        </w:rPr>
        <w:t>.</w:t>
      </w:r>
      <w:r w:rsidRPr="0001248A" w:rsidR="00196CBE">
        <w:rPr>
          <w:szCs w:val="24"/>
        </w:rPr>
        <w:t xml:space="preserve"> 4909.19.</w:t>
      </w:r>
      <w:bookmarkEnd w:id="7"/>
    </w:p>
    <w:p w:rsidR="00EE62AD" w:rsidRPr="0001248A" w:rsidP="009A4516" w14:paraId="131F8A14" w14:textId="760A75A1">
      <w:pPr>
        <w:pStyle w:val="NormalWeb"/>
        <w:shd w:val="clear" w:color="auto" w:fill="FFFFFF"/>
        <w:spacing w:before="180" w:beforeAutospacing="0" w:after="0" w:afterAutospacing="0" w:line="480" w:lineRule="auto"/>
        <w:ind w:firstLine="720"/>
        <w:textAlignment w:val="baseline"/>
      </w:pPr>
      <w:r w:rsidRPr="0001248A">
        <w:t>Duke claims that OCC’s objections would improperly expand the scope of this rate case by injecting irrelevant or “extraneous” issues.</w:t>
      </w:r>
      <w:r>
        <w:rPr>
          <w:rStyle w:val="FootnoteReference"/>
        </w:rPr>
        <w:footnoteReference w:id="13"/>
      </w:r>
      <w:r w:rsidRPr="0001248A">
        <w:t xml:space="preserve"> </w:t>
      </w:r>
      <w:r w:rsidRPr="0001248A" w:rsidR="00931899">
        <w:t>T</w:t>
      </w:r>
      <w:r w:rsidRPr="0001248A" w:rsidR="00D9526B">
        <w:t>o</w:t>
      </w:r>
      <w:r w:rsidRPr="0001248A" w:rsidR="001059C2">
        <w:t xml:space="preserve"> support its motion</w:t>
      </w:r>
      <w:r w:rsidRPr="0001248A" w:rsidR="00D9526B">
        <w:t xml:space="preserve"> to strike OCC’s objections,</w:t>
      </w:r>
      <w:r w:rsidRPr="0001248A" w:rsidR="001059C2">
        <w:t xml:space="preserve"> Duke relies</w:t>
      </w:r>
      <w:r w:rsidRPr="0001248A" w:rsidR="00D9526B">
        <w:t xml:space="preserve"> on the Supreme Court of Ohio’s</w:t>
      </w:r>
      <w:r w:rsidRPr="0001248A" w:rsidR="00D720AD">
        <w:t xml:space="preserve"> (“Court”)</w:t>
      </w:r>
      <w:r w:rsidRPr="0001248A" w:rsidR="00D9526B">
        <w:t xml:space="preserve"> decision in </w:t>
      </w:r>
      <w:r w:rsidRPr="0001248A" w:rsidR="00660BF2">
        <w:rPr>
          <w:i/>
          <w:iCs/>
        </w:rPr>
        <w:t>CEI</w:t>
      </w:r>
      <w:r w:rsidRPr="0001248A" w:rsidR="00D9526B">
        <w:t>.</w:t>
      </w:r>
      <w:r>
        <w:rPr>
          <w:rStyle w:val="FootnoteReference"/>
        </w:rPr>
        <w:footnoteReference w:id="14"/>
      </w:r>
      <w:r w:rsidRPr="0001248A" w:rsidR="00D9526B">
        <w:rPr>
          <w:i/>
          <w:iCs/>
        </w:rPr>
        <w:t xml:space="preserve"> </w:t>
      </w:r>
      <w:r w:rsidRPr="0001248A" w:rsidR="00463233">
        <w:t xml:space="preserve">In </w:t>
      </w:r>
      <w:r w:rsidRPr="0001248A" w:rsidR="00463233">
        <w:rPr>
          <w:i/>
          <w:iCs/>
        </w:rPr>
        <w:t xml:space="preserve">CEI, </w:t>
      </w:r>
      <w:r w:rsidRPr="0001248A" w:rsidR="00463233">
        <w:t xml:space="preserve">the </w:t>
      </w:r>
      <w:r w:rsidRPr="0001248A" w:rsidR="00DA1B50">
        <w:t xml:space="preserve">PUCO ordered changes to various </w:t>
      </w:r>
      <w:r w:rsidRPr="0001248A" w:rsidR="00055337">
        <w:t>regulations</w:t>
      </w:r>
      <w:r w:rsidRPr="0001248A" w:rsidR="00DA1B50">
        <w:t xml:space="preserve"> in the </w:t>
      </w:r>
      <w:r w:rsidRPr="0001248A" w:rsidR="00A86279">
        <w:t>company’s</w:t>
      </w:r>
      <w:r w:rsidRPr="0001248A" w:rsidR="00DA1B50">
        <w:t xml:space="preserve"> existing tariff, which had not been place</w:t>
      </w:r>
      <w:r w:rsidRPr="0001248A" w:rsidR="00A86279">
        <w:t>d</w:t>
      </w:r>
      <w:r w:rsidRPr="0001248A" w:rsidR="00DA1B50">
        <w:t xml:space="preserve"> in issue by the </w:t>
      </w:r>
      <w:r w:rsidRPr="0001248A" w:rsidR="00A86279">
        <w:t>company</w:t>
      </w:r>
      <w:r w:rsidRPr="0001248A" w:rsidR="00DA1B50">
        <w:t xml:space="preserve"> in its application.</w:t>
      </w:r>
      <w:r>
        <w:rPr>
          <w:rStyle w:val="FootnoteReference"/>
        </w:rPr>
        <w:footnoteReference w:id="15"/>
      </w:r>
      <w:r w:rsidRPr="0001248A" w:rsidR="00DA1B50">
        <w:t xml:space="preserve"> The Court </w:t>
      </w:r>
      <w:r w:rsidRPr="0001248A" w:rsidR="00055337">
        <w:t>held that “</w:t>
      </w:r>
      <w:r w:rsidRPr="0001248A" w:rsidR="00055337">
        <w:rPr>
          <w:color w:val="212121"/>
          <w:shd w:val="clear" w:color="auto" w:fill="FFFFFF"/>
        </w:rPr>
        <w:t>when considering an application for a rate increase filed by a public utility, the Public Utilities Commission may not extend its inquiry into</w:t>
      </w:r>
      <w:r w:rsidRPr="0001248A" w:rsidR="00585272">
        <w:rPr>
          <w:color w:val="212121"/>
          <w:shd w:val="clear" w:color="auto" w:fill="FFFFFF"/>
        </w:rPr>
        <w:t xml:space="preserve"> ‘</w:t>
      </w:r>
      <w:r w:rsidRPr="0001248A" w:rsidR="00055337">
        <w:rPr>
          <w:color w:val="212121"/>
          <w:shd w:val="clear" w:color="auto" w:fill="FFFFFF"/>
        </w:rPr>
        <w:t>matters not put in issue by the applicant and not related to the rates which are the subject of the application</w:t>
      </w:r>
      <w:r w:rsidRPr="0001248A" w:rsidR="00230C7D">
        <w:rPr>
          <w:color w:val="212121"/>
          <w:shd w:val="clear" w:color="auto" w:fill="FFFFFF"/>
        </w:rPr>
        <w:t>.</w:t>
      </w:r>
      <w:r w:rsidRPr="0001248A" w:rsidR="00585272">
        <w:rPr>
          <w:color w:val="212121"/>
          <w:shd w:val="clear" w:color="auto" w:fill="FFFFFF"/>
        </w:rPr>
        <w:t xml:space="preserve">’ </w:t>
      </w:r>
      <w:r w:rsidRPr="0001248A" w:rsidR="00230C7D">
        <w:rPr>
          <w:color w:val="212121"/>
          <w:shd w:val="clear" w:color="auto" w:fill="FFFFFF"/>
        </w:rPr>
        <w:t>”</w:t>
      </w:r>
      <w:r>
        <w:rPr>
          <w:rStyle w:val="FootnoteReference"/>
          <w:color w:val="212121"/>
          <w:shd w:val="clear" w:color="auto" w:fill="FFFFFF"/>
        </w:rPr>
        <w:footnoteReference w:id="16"/>
      </w:r>
      <w:r w:rsidRPr="0001248A" w:rsidR="00230C7D">
        <w:rPr>
          <w:color w:val="212121"/>
          <w:shd w:val="clear" w:color="auto" w:fill="FFFFFF"/>
        </w:rPr>
        <w:t xml:space="preserve"> </w:t>
      </w:r>
      <w:r w:rsidRPr="0001248A" w:rsidR="000305C0">
        <w:t xml:space="preserve">Duke’s reliance on </w:t>
      </w:r>
      <w:r w:rsidRPr="0001248A" w:rsidR="00931899">
        <w:rPr>
          <w:i/>
          <w:iCs/>
        </w:rPr>
        <w:t>CEI</w:t>
      </w:r>
      <w:r w:rsidRPr="0001248A" w:rsidR="00197551">
        <w:t>, however,</w:t>
      </w:r>
      <w:r w:rsidRPr="0001248A" w:rsidR="008A2A97">
        <w:t xml:space="preserve"> disregards</w:t>
      </w:r>
      <w:r w:rsidRPr="0001248A" w:rsidR="00D720AD">
        <w:t xml:space="preserve"> more recent Court precedent</w:t>
      </w:r>
      <w:r w:rsidRPr="0001248A" w:rsidR="00230C7D">
        <w:t>, which overruled</w:t>
      </w:r>
      <w:r w:rsidRPr="0001248A" w:rsidR="00494ADB">
        <w:t xml:space="preserve"> in part, the </w:t>
      </w:r>
      <w:r w:rsidRPr="0001248A" w:rsidR="00494ADB">
        <w:rPr>
          <w:i/>
          <w:iCs/>
        </w:rPr>
        <w:t xml:space="preserve">CEI </w:t>
      </w:r>
      <w:r w:rsidRPr="0001248A" w:rsidR="00494ADB">
        <w:t>ruling</w:t>
      </w:r>
      <w:r w:rsidRPr="0001248A" w:rsidR="00931899">
        <w:t>.</w:t>
      </w:r>
      <w:r w:rsidRPr="0001248A" w:rsidR="00D720AD">
        <w:t xml:space="preserve"> </w:t>
      </w:r>
    </w:p>
    <w:p w:rsidR="005F3765" w:rsidRPr="0001248A" w:rsidP="009A4516" w14:paraId="21D15F3F" w14:textId="61C9191E">
      <w:pPr>
        <w:pStyle w:val="NormalWeb"/>
        <w:shd w:val="clear" w:color="auto" w:fill="FFFFFF"/>
        <w:spacing w:before="0" w:beforeAutospacing="0" w:after="0" w:afterAutospacing="0" w:line="480" w:lineRule="auto"/>
        <w:ind w:firstLine="720"/>
        <w:textAlignment w:val="baseline"/>
        <w:rPr>
          <w:color w:val="212121"/>
        </w:rPr>
      </w:pPr>
      <w:r w:rsidRPr="0001248A">
        <w:t xml:space="preserve">In </w:t>
      </w:r>
      <w:r w:rsidRPr="0001248A" w:rsidR="00EE62AD">
        <w:rPr>
          <w:i/>
          <w:iCs/>
        </w:rPr>
        <w:t>IEC</w:t>
      </w:r>
      <w:r w:rsidRPr="0001248A" w:rsidR="00147D7B">
        <w:rPr>
          <w:i/>
          <w:iCs/>
        </w:rPr>
        <w:t xml:space="preserve">, </w:t>
      </w:r>
      <w:r w:rsidRPr="0001248A" w:rsidR="006B392D">
        <w:t xml:space="preserve">the </w:t>
      </w:r>
      <w:r w:rsidRPr="0001248A" w:rsidR="008A2A97">
        <w:t xml:space="preserve">Court </w:t>
      </w:r>
      <w:r w:rsidRPr="0001248A" w:rsidR="006B392D">
        <w:t xml:space="preserve">disagreed with the PUCO’s </w:t>
      </w:r>
      <w:r w:rsidRPr="0001248A">
        <w:t xml:space="preserve">reliance on </w:t>
      </w:r>
      <w:r w:rsidRPr="0001248A">
        <w:rPr>
          <w:i/>
          <w:iCs/>
        </w:rPr>
        <w:t>CEI</w:t>
      </w:r>
      <w:r w:rsidRPr="0001248A">
        <w:t xml:space="preserve"> when it reversed</w:t>
      </w:r>
      <w:r w:rsidRPr="0001248A" w:rsidR="008A2A97">
        <w:t xml:space="preserve"> a PUCO order </w:t>
      </w:r>
      <w:r w:rsidRPr="0001248A" w:rsidR="006B392D">
        <w:t>striking objections and testimony that related to rates in the application.</w:t>
      </w:r>
      <w:r>
        <w:rPr>
          <w:rStyle w:val="FootnoteReference"/>
        </w:rPr>
        <w:footnoteReference w:id="17"/>
      </w:r>
      <w:r w:rsidRPr="0001248A" w:rsidR="00671887">
        <w:t xml:space="preserve"> </w:t>
      </w:r>
      <w:r w:rsidRPr="0001248A" w:rsidR="005778E5">
        <w:t xml:space="preserve">The Court found that </w:t>
      </w:r>
      <w:r w:rsidRPr="0001248A" w:rsidR="002B01D8">
        <w:t>“[b]</w:t>
      </w:r>
      <w:r w:rsidRPr="0001248A">
        <w:t xml:space="preserve">y seeking an increase in full service rates in its application, the company necessarily sought to increase partial service rates, and thus placed the latter at issue. Because partial service rates were placed at issue, IEC was permitted to object to the rates, pursuant to </w:t>
      </w:r>
      <w:hyperlink r:id="rId12" w:history="1">
        <w:r w:rsidRPr="0001248A">
          <w:rPr>
            <w:rStyle w:val="Hyperlink"/>
            <w:color w:val="auto"/>
            <w:bdr w:val="none" w:sz="0" w:space="0" w:color="auto" w:frame="1"/>
          </w:rPr>
          <w:t>R.C. 4909.19</w:t>
        </w:r>
      </w:hyperlink>
      <w:r w:rsidRPr="0001248A">
        <w:t>, and the commission was required to consider the merits of the objection at hearing. Thus, it was error for the examiner to strike IEC's objection and related pre</w:t>
      </w:r>
      <w:r w:rsidRPr="0001248A" w:rsidR="002B01D8">
        <w:t>-</w:t>
      </w:r>
      <w:r w:rsidRPr="0001248A">
        <w:t>filed testimony.</w:t>
      </w:r>
      <w:r w:rsidRPr="0001248A" w:rsidR="002B01D8">
        <w:t>”</w:t>
      </w:r>
    </w:p>
    <w:p w:rsidR="0039187C" w:rsidRPr="0001248A" w:rsidP="0039187C" w14:paraId="3082EE8A" w14:textId="7AD574B4">
      <w:pPr>
        <w:spacing w:line="480" w:lineRule="auto"/>
        <w:ind w:firstLine="720"/>
        <w:rPr>
          <w:bCs/>
        </w:rPr>
      </w:pPr>
      <w:r w:rsidRPr="0001248A">
        <w:t>Although</w:t>
      </w:r>
      <w:r w:rsidRPr="0001248A" w:rsidR="00436FB2">
        <w:t xml:space="preserve"> b</w:t>
      </w:r>
      <w:r w:rsidRPr="0001248A" w:rsidR="00197551">
        <w:t>oth cases stand for the proposition that objections</w:t>
      </w:r>
      <w:r w:rsidRPr="0001248A" w:rsidR="008E088B">
        <w:t xml:space="preserve"> should</w:t>
      </w:r>
      <w:r w:rsidRPr="0001248A" w:rsidR="00197551">
        <w:t xml:space="preserve"> “relate[] to the rates which are subject to the application.”</w:t>
      </w:r>
      <w:r>
        <w:rPr>
          <w:rStyle w:val="FootnoteReference"/>
        </w:rPr>
        <w:footnoteReference w:id="18"/>
      </w:r>
      <w:r w:rsidRPr="0001248A" w:rsidR="00197551">
        <w:t xml:space="preserve"> </w:t>
      </w:r>
      <w:r w:rsidRPr="0001248A" w:rsidR="00931899">
        <w:t>As noted above, this case concerns Duke’s request to increase rates to consumers. Residential consumers</w:t>
      </w:r>
      <w:r w:rsidRPr="0001248A" w:rsidR="008E088B">
        <w:t>, who face a 32% increase to their electric distribution rates under Duke’s proposal,</w:t>
      </w:r>
      <w:r w:rsidRPr="0001248A" w:rsidR="00931899">
        <w:t xml:space="preserve"> </w:t>
      </w:r>
      <w:r w:rsidRPr="0001248A" w:rsidR="008E088B">
        <w:t>are suffering from the</w:t>
      </w:r>
      <w:r w:rsidRPr="0001248A" w:rsidR="00931899">
        <w:t xml:space="preserve"> financial consequences of a once-in-a-lifetime pandemic, and soaring inflation, food</w:t>
      </w:r>
      <w:r w:rsidRPr="0001248A" w:rsidR="00852858">
        <w:t>,</w:t>
      </w:r>
      <w:r w:rsidRPr="0001248A" w:rsidR="00931899">
        <w:t xml:space="preserve"> and gas costs. OCC’s objections are all directly relevant to Duke’s proposed rate hikes </w:t>
      </w:r>
      <w:r w:rsidRPr="0001248A" w:rsidR="008E088B">
        <w:t>in the application and serve to</w:t>
      </w:r>
      <w:r w:rsidRPr="0001248A" w:rsidR="00931899">
        <w:t xml:space="preserve"> protect consumers in these difficult times.</w:t>
      </w:r>
      <w:r w:rsidRPr="0001248A">
        <w:rPr>
          <w:bCs/>
        </w:rPr>
        <w:t xml:space="preserve"> </w:t>
      </w:r>
    </w:p>
    <w:p w:rsidR="00931899" w:rsidRPr="0001248A" w:rsidP="00931899" w14:paraId="4DDBBF8D" w14:textId="717E73BF">
      <w:pPr>
        <w:spacing w:line="480" w:lineRule="auto"/>
        <w:ind w:firstLine="720"/>
      </w:pPr>
      <w:r w:rsidRPr="0001248A">
        <w:rPr>
          <w:bCs/>
        </w:rPr>
        <w:t xml:space="preserve">R.C. 4909.19 </w:t>
      </w:r>
      <w:r w:rsidRPr="0001248A">
        <w:rPr>
          <w:bCs/>
          <w:i/>
          <w:iCs/>
        </w:rPr>
        <w:t>requires</w:t>
      </w:r>
      <w:r w:rsidRPr="0001248A">
        <w:rPr>
          <w:bCs/>
        </w:rPr>
        <w:t xml:space="preserve"> the PUCO to respond to objections by</w:t>
      </w:r>
      <w:r w:rsidRPr="0001248A">
        <w:rPr>
          <w:rFonts w:eastAsia="Times New Roman"/>
        </w:rPr>
        <w:t xml:space="preserve"> “</w:t>
      </w:r>
      <w:r w:rsidRPr="0001248A">
        <w:rPr>
          <w:bCs/>
        </w:rPr>
        <w:t xml:space="preserve">tak[ing] all the testimony with respect to the application and objections which may be offered by any interested party.” Thus, Duke’s motion to strike OCC’s objections is a violation of law that would wrongly deny OCC its rightful opportunity to be heard. Moreover, the PUCO’s rule on objections is subordinate to the statute. </w:t>
      </w:r>
      <w:r w:rsidRPr="0001248A" w:rsidR="00A46694">
        <w:t xml:space="preserve">Accordingly, Duke’s </w:t>
      </w:r>
      <w:r w:rsidRPr="0001248A" w:rsidR="00E324E2">
        <w:t>motion to strike OCC’s objections should be denied.</w:t>
      </w:r>
    </w:p>
    <w:p w:rsidR="005A62AA" w:rsidRPr="0001248A" w:rsidP="009A4516" w14:paraId="10467321" w14:textId="4FC5014C">
      <w:pPr>
        <w:pStyle w:val="Heading2"/>
        <w:ind w:left="1440" w:hanging="720"/>
        <w:rPr>
          <w:szCs w:val="24"/>
        </w:rPr>
      </w:pPr>
      <w:bookmarkStart w:id="8" w:name="_Toc108188733"/>
      <w:r w:rsidRPr="0001248A">
        <w:rPr>
          <w:szCs w:val="24"/>
        </w:rPr>
        <w:t xml:space="preserve">OCC Objection No. 5: </w:t>
      </w:r>
      <w:r w:rsidRPr="0001248A" w:rsidR="00972D42">
        <w:rPr>
          <w:szCs w:val="24"/>
        </w:rPr>
        <w:t>“</w:t>
      </w:r>
      <w:r w:rsidRPr="0001248A">
        <w:rPr>
          <w:szCs w:val="24"/>
        </w:rPr>
        <w:t xml:space="preserve">The Staff Report harms consumers by </w:t>
      </w:r>
      <w:bookmarkStart w:id="9" w:name="_Toc105492914"/>
      <w:r w:rsidRPr="0001248A">
        <w:rPr>
          <w:szCs w:val="24"/>
        </w:rPr>
        <w:t>failing to reflect gains on the disposition of property.</w:t>
      </w:r>
      <w:bookmarkEnd w:id="9"/>
      <w:r w:rsidRPr="0001248A" w:rsidR="00972D42">
        <w:rPr>
          <w:szCs w:val="24"/>
        </w:rPr>
        <w:t>”</w:t>
      </w:r>
      <w:bookmarkEnd w:id="8"/>
    </w:p>
    <w:p w:rsidR="00EE068C" w:rsidP="00DA783E" w14:paraId="6BA768D8" w14:textId="5EBD21A5">
      <w:pPr>
        <w:spacing w:line="480" w:lineRule="auto"/>
        <w:ind w:firstLine="720"/>
        <w:rPr>
          <w:rFonts w:eastAsiaTheme="minorHAnsi"/>
        </w:rPr>
      </w:pPr>
      <w:r w:rsidRPr="0001248A">
        <w:t xml:space="preserve">OCC Objection No. 5 relates to the matters </w:t>
      </w:r>
      <w:r w:rsidRPr="0001248A" w:rsidR="00C27DDC">
        <w:t xml:space="preserve">(specifically, the adjustment to operating income) </w:t>
      </w:r>
      <w:r w:rsidRPr="0001248A">
        <w:t>in Duke’s application for a rate increase</w:t>
      </w:r>
      <w:r w:rsidRPr="0001248A" w:rsidR="001D5B66">
        <w:t xml:space="preserve">, and it is appropriate for consideration in this case. As an initial matter, Duke flatly mischaracterizes OCC’s objection by </w:t>
      </w:r>
      <w:r w:rsidRPr="0001248A" w:rsidR="001E1605">
        <w:t>suggesting it concerns only property gains from 2016</w:t>
      </w:r>
      <w:r w:rsidRPr="0001248A" w:rsidR="00C27DDC">
        <w:t>.</w:t>
      </w:r>
      <w:r>
        <w:rPr>
          <w:rStyle w:val="FootnoteReference"/>
        </w:rPr>
        <w:footnoteReference w:id="19"/>
      </w:r>
      <w:r w:rsidRPr="0001248A" w:rsidR="001E1605">
        <w:t xml:space="preserve"> That is wrong. OCC’s Objection No. 5 addresse</w:t>
      </w:r>
      <w:r w:rsidRPr="0001248A" w:rsidR="00563723">
        <w:t xml:space="preserve">s gains from Dukes disposition of property in 2016 </w:t>
      </w:r>
      <w:r w:rsidRPr="0001248A" w:rsidR="00563723">
        <w:rPr>
          <w:b/>
          <w:bCs/>
          <w:i/>
          <w:iCs/>
        </w:rPr>
        <w:t xml:space="preserve">through </w:t>
      </w:r>
      <w:r w:rsidRPr="0001248A" w:rsidR="00563723">
        <w:t>2021.</w:t>
      </w:r>
      <w:r>
        <w:rPr>
          <w:rStyle w:val="FootnoteReference"/>
        </w:rPr>
        <w:footnoteReference w:id="20"/>
      </w:r>
      <w:r w:rsidRPr="0001248A" w:rsidR="00CC218A">
        <w:t xml:space="preserve"> </w:t>
      </w:r>
      <w:r w:rsidRPr="0001248A" w:rsidR="0001248A">
        <w:rPr>
          <w:rFonts w:eastAsia="Times New Roman"/>
        </w:rPr>
        <w:t xml:space="preserve"> </w:t>
      </w:r>
      <w:r w:rsidRPr="0001248A" w:rsidR="00DA783E">
        <w:rPr>
          <w:rFonts w:eastAsiaTheme="minorHAnsi"/>
        </w:rPr>
        <w:t>Duke’s motion to strike OCC Objection No. 5 should be denied.</w:t>
      </w:r>
    </w:p>
    <w:p w:rsidR="00EE068C" w14:paraId="18C0A790" w14:textId="77777777">
      <w:pPr>
        <w:rPr>
          <w:rFonts w:eastAsiaTheme="minorHAnsi"/>
        </w:rPr>
      </w:pPr>
      <w:r>
        <w:rPr>
          <w:rFonts w:eastAsiaTheme="minorHAnsi"/>
        </w:rPr>
        <w:br w:type="page"/>
      </w:r>
    </w:p>
    <w:p w:rsidR="005A62AA" w:rsidRPr="0001248A" w:rsidP="003E2928" w14:paraId="280BAE15" w14:textId="633A9C13">
      <w:pPr>
        <w:pStyle w:val="Heading2"/>
        <w:ind w:left="1440" w:hanging="720"/>
        <w:rPr>
          <w:szCs w:val="24"/>
        </w:rPr>
      </w:pPr>
      <w:bookmarkStart w:id="10" w:name="_Toc108188734"/>
      <w:r w:rsidRPr="0001248A">
        <w:rPr>
          <w:szCs w:val="24"/>
        </w:rPr>
        <w:t xml:space="preserve">OCC Objection No. 26: </w:t>
      </w:r>
      <w:r w:rsidRPr="0001248A" w:rsidR="003D58F7">
        <w:rPr>
          <w:szCs w:val="24"/>
        </w:rPr>
        <w:t>“</w:t>
      </w:r>
      <w:r w:rsidRPr="0001248A">
        <w:rPr>
          <w:szCs w:val="24"/>
        </w:rPr>
        <w:t xml:space="preserve">The Staff Report harms consumers because it fails to require Duke to provide shopping </w:t>
      </w:r>
      <w:r w:rsidRPr="0001248A" w:rsidR="0011486B">
        <w:rPr>
          <w:szCs w:val="24"/>
        </w:rPr>
        <w:t>consumer</w:t>
      </w:r>
      <w:r w:rsidRPr="0001248A">
        <w:rPr>
          <w:szCs w:val="24"/>
        </w:rPr>
        <w:t>s’ billing information to show a comparison to what they would pay under a standard service offer. The Staff Report also fails to perform an analysis of the consumer contact information that i</w:t>
      </w:r>
      <w:r w:rsidR="00AC6D4F">
        <w:rPr>
          <w:szCs w:val="24"/>
        </w:rPr>
        <w:t>t</w:t>
      </w:r>
      <w:r w:rsidRPr="0001248A">
        <w:rPr>
          <w:szCs w:val="24"/>
        </w:rPr>
        <w:t xml:space="preserve"> collects through its call center, and the supplier rate information it collects on the Energy Choice Ohio website to determine if improvements in Duke’s Choice Program are necessary to help consumers reduce their energy costs.</w:t>
      </w:r>
      <w:r w:rsidRPr="0001248A" w:rsidR="003D58F7">
        <w:rPr>
          <w:szCs w:val="24"/>
        </w:rPr>
        <w:t>”</w:t>
      </w:r>
      <w:bookmarkEnd w:id="10"/>
    </w:p>
    <w:p w:rsidR="008B502C" w:rsidRPr="0001248A" w:rsidP="0011486B" w14:paraId="0C1AA7F3" w14:textId="54419156">
      <w:pPr>
        <w:spacing w:before="240" w:line="480" w:lineRule="auto"/>
        <w:ind w:firstLine="720"/>
        <w:rPr>
          <w:bCs/>
        </w:rPr>
      </w:pPr>
      <w:r w:rsidRPr="0001248A">
        <w:t>Duke claims that OCC Objection No. 26 should be stricken because it was “not addressed by the Staff Report because it is not relevant.”</w:t>
      </w:r>
      <w:r>
        <w:rPr>
          <w:rStyle w:val="FootnoteReference"/>
        </w:rPr>
        <w:footnoteReference w:id="21"/>
      </w:r>
      <w:r w:rsidRPr="0001248A" w:rsidR="002F540C">
        <w:t xml:space="preserve"> </w:t>
      </w:r>
      <w:r w:rsidRPr="0001248A">
        <w:t xml:space="preserve">To begin, </w:t>
      </w:r>
      <w:r w:rsidRPr="0001248A" w:rsidR="002F540C">
        <w:t xml:space="preserve">Duke’s argument makes no sense, as O.A.C. 4901-1-28(B) expressly states that </w:t>
      </w:r>
      <w:r w:rsidRPr="0001248A" w:rsidR="002F540C">
        <w:rPr>
          <w:bCs/>
        </w:rPr>
        <w:t xml:space="preserve">“objections may relate to the findings, conclusions, or recommendations contained in the report, </w:t>
      </w:r>
      <w:r w:rsidRPr="0001248A" w:rsidR="002F540C">
        <w:rPr>
          <w:bCs/>
          <w:i/>
          <w:iCs/>
        </w:rPr>
        <w:t>or to the failure of the report to address one or more specific items</w:t>
      </w:r>
      <w:r w:rsidRPr="0001248A" w:rsidR="002F540C">
        <w:rPr>
          <w:bCs/>
        </w:rPr>
        <w:t xml:space="preserve">.” (Emphasis added). </w:t>
      </w:r>
      <w:r w:rsidRPr="0001248A">
        <w:rPr>
          <w:bCs/>
        </w:rPr>
        <w:t>Therefore, OCC’s objection based on the Staff Report’s failure to address an item is appropriate.</w:t>
      </w:r>
    </w:p>
    <w:p w:rsidR="002B2645" w:rsidRPr="0001248A" w:rsidP="00FB557F" w14:paraId="2CB8D3CD" w14:textId="67DBF570">
      <w:pPr>
        <w:spacing w:line="480" w:lineRule="auto"/>
        <w:ind w:firstLine="720"/>
        <w:rPr>
          <w:rFonts w:eastAsiaTheme="minorHAnsi"/>
        </w:rPr>
      </w:pPr>
      <w:r w:rsidRPr="0001248A">
        <w:rPr>
          <w:bCs/>
        </w:rPr>
        <w:t xml:space="preserve">As mentioned earlier, the Court has already held that </w:t>
      </w:r>
      <w:r w:rsidRPr="0001248A" w:rsidR="00331876">
        <w:rPr>
          <w:bCs/>
        </w:rPr>
        <w:t xml:space="preserve">where service rates are at </w:t>
      </w:r>
      <w:r w:rsidRPr="0001248A" w:rsidR="00860539">
        <w:rPr>
          <w:bCs/>
        </w:rPr>
        <w:t>issue, the PUCO is required to consider the merits of the objection at hearing.</w:t>
      </w:r>
      <w:r>
        <w:rPr>
          <w:rStyle w:val="FootnoteReference"/>
          <w:bCs/>
        </w:rPr>
        <w:footnoteReference w:id="22"/>
      </w:r>
      <w:r w:rsidRPr="0001248A" w:rsidR="00860539">
        <w:rPr>
          <w:bCs/>
        </w:rPr>
        <w:t xml:space="preserve"> Here, </w:t>
      </w:r>
      <w:r w:rsidRPr="0001248A" w:rsidR="002F540C">
        <w:rPr>
          <w:bCs/>
        </w:rPr>
        <w:t xml:space="preserve">OCC’s Objection No. 26 is </w:t>
      </w:r>
      <w:r w:rsidRPr="0001248A" w:rsidR="008B502C">
        <w:rPr>
          <w:bCs/>
        </w:rPr>
        <w:t xml:space="preserve">also </w:t>
      </w:r>
      <w:r w:rsidRPr="0001248A" w:rsidR="002F540C">
        <w:rPr>
          <w:bCs/>
        </w:rPr>
        <w:t>directly relevant to</w:t>
      </w:r>
      <w:r w:rsidRPr="0001248A" w:rsidR="009256BF">
        <w:rPr>
          <w:bCs/>
        </w:rPr>
        <w:t xml:space="preserve"> the impact of</w:t>
      </w:r>
      <w:r w:rsidRPr="0001248A" w:rsidR="002F540C">
        <w:rPr>
          <w:bCs/>
        </w:rPr>
        <w:t xml:space="preserve"> </w:t>
      </w:r>
      <w:r w:rsidRPr="0001248A" w:rsidR="009256BF">
        <w:rPr>
          <w:bCs/>
        </w:rPr>
        <w:t>Duke’s proposal</w:t>
      </w:r>
      <w:r w:rsidRPr="0001248A" w:rsidR="008B502C">
        <w:rPr>
          <w:bCs/>
        </w:rPr>
        <w:t xml:space="preserve"> in the application</w:t>
      </w:r>
      <w:r w:rsidRPr="0001248A" w:rsidR="009256BF">
        <w:rPr>
          <w:bCs/>
        </w:rPr>
        <w:t xml:space="preserve"> to significantly increase the electric distribution rates consumers will pay</w:t>
      </w:r>
      <w:r w:rsidRPr="0001248A" w:rsidR="008B502C">
        <w:rPr>
          <w:bCs/>
        </w:rPr>
        <w:t xml:space="preserve">. It is directly relevant to the Staff Report’s discussion of the </w:t>
      </w:r>
      <w:r w:rsidRPr="0001248A" w:rsidR="0011486B">
        <w:rPr>
          <w:bCs/>
        </w:rPr>
        <w:t>consumer</w:t>
      </w:r>
      <w:r w:rsidRPr="0001248A" w:rsidR="008B502C">
        <w:rPr>
          <w:bCs/>
        </w:rPr>
        <w:t xml:space="preserve"> service audit completed by PUCO Staff,</w:t>
      </w:r>
      <w:r>
        <w:rPr>
          <w:rStyle w:val="FootnoteReference"/>
          <w:bCs/>
        </w:rPr>
        <w:footnoteReference w:id="23"/>
      </w:r>
      <w:r w:rsidRPr="0001248A" w:rsidR="008B502C">
        <w:rPr>
          <w:bCs/>
        </w:rPr>
        <w:t xml:space="preserve"> and recommendations the PUCO could (and should) have made.</w:t>
      </w:r>
      <w:r w:rsidRPr="0001248A" w:rsidR="009256BF">
        <w:rPr>
          <w:bCs/>
        </w:rPr>
        <w:t xml:space="preserve"> </w:t>
      </w:r>
      <w:r w:rsidRPr="0001248A" w:rsidR="00C504E6">
        <w:rPr>
          <w:bCs/>
        </w:rPr>
        <w:t>OCC’s Objection is also relevant to what the</w:t>
      </w:r>
      <w:r w:rsidRPr="0001248A" w:rsidR="009256BF">
        <w:rPr>
          <w:bCs/>
        </w:rPr>
        <w:t xml:space="preserve"> PUCO should do to ensure</w:t>
      </w:r>
      <w:r w:rsidRPr="0001248A" w:rsidR="00CC1240">
        <w:rPr>
          <w:bCs/>
        </w:rPr>
        <w:t xml:space="preserve"> </w:t>
      </w:r>
      <w:r w:rsidRPr="0001248A" w:rsidR="00CC1240">
        <w:rPr>
          <w:rFonts w:eastAsiaTheme="minorHAnsi"/>
        </w:rPr>
        <w:t>the availability of adequate, safe, efficient, nondiscriminatory, and reasonably priced retail electric service under R.C. 4928.02(A).</w:t>
      </w:r>
      <w:r w:rsidRPr="0001248A" w:rsidR="00C504E6">
        <w:rPr>
          <w:rFonts w:eastAsiaTheme="minorHAnsi"/>
        </w:rPr>
        <w:t xml:space="preserve"> Duke’s motion to strike </w:t>
      </w:r>
      <w:r w:rsidRPr="0001248A" w:rsidR="00DA783E">
        <w:rPr>
          <w:rFonts w:eastAsiaTheme="minorHAnsi"/>
        </w:rPr>
        <w:t xml:space="preserve">OCC Objection No. 26 </w:t>
      </w:r>
      <w:r w:rsidRPr="0001248A" w:rsidR="00C504E6">
        <w:rPr>
          <w:rFonts w:eastAsiaTheme="minorHAnsi"/>
        </w:rPr>
        <w:t>should be denied.</w:t>
      </w:r>
    </w:p>
    <w:p w:rsidR="00FB557F" w:rsidRPr="0001248A" w:rsidP="009A4516" w14:paraId="11624939" w14:textId="470BFF72">
      <w:pPr>
        <w:pStyle w:val="Heading2"/>
        <w:ind w:left="1440" w:hanging="720"/>
        <w:rPr>
          <w:szCs w:val="24"/>
        </w:rPr>
      </w:pPr>
      <w:bookmarkStart w:id="11" w:name="_Toc108188735"/>
      <w:r w:rsidRPr="0001248A">
        <w:rPr>
          <w:szCs w:val="24"/>
        </w:rPr>
        <w:t xml:space="preserve">Objection No. 27: </w:t>
      </w:r>
      <w:r w:rsidRPr="0001248A" w:rsidR="003D58F7">
        <w:rPr>
          <w:szCs w:val="24"/>
        </w:rPr>
        <w:t>“</w:t>
      </w:r>
      <w:r w:rsidRPr="0001248A">
        <w:rPr>
          <w:szCs w:val="24"/>
        </w:rPr>
        <w:t xml:space="preserve">The Staff Report harms consumers by failing to recommend that Duke provide consumers with more options to opt-out of having their personal account information included on eligible </w:t>
      </w:r>
      <w:r w:rsidRPr="0001248A" w:rsidR="0011486B">
        <w:rPr>
          <w:szCs w:val="24"/>
        </w:rPr>
        <w:t>consumer</w:t>
      </w:r>
      <w:r w:rsidRPr="0001248A">
        <w:rPr>
          <w:szCs w:val="24"/>
        </w:rPr>
        <w:t xml:space="preserve"> lists provided to competitive retail electric service (“CRES”) providers.</w:t>
      </w:r>
      <w:r w:rsidRPr="0001248A" w:rsidR="003D58F7">
        <w:rPr>
          <w:szCs w:val="24"/>
        </w:rPr>
        <w:t>”</w:t>
      </w:r>
      <w:bookmarkEnd w:id="11"/>
    </w:p>
    <w:p w:rsidR="00EE068C" w:rsidP="00DA783E" w14:paraId="46485ED1" w14:textId="62838D25">
      <w:pPr>
        <w:spacing w:line="480" w:lineRule="auto"/>
        <w:ind w:firstLine="720"/>
        <w:rPr>
          <w:rFonts w:eastAsiaTheme="minorHAnsi"/>
        </w:rPr>
      </w:pPr>
      <w:r w:rsidRPr="0001248A">
        <w:rPr>
          <w:bCs/>
        </w:rPr>
        <w:t xml:space="preserve">The PUCO should deny Duke’s motion to strike Objection No. 27. </w:t>
      </w:r>
      <w:r w:rsidRPr="0001248A" w:rsidR="00E01A24">
        <w:rPr>
          <w:bCs/>
        </w:rPr>
        <w:t>Duke again baldly claims that the objection is not relevant to the application. However, this objection relates to the PUCO Staff’s investigation of Duke’s application, and discussion in the Staff Report regarding service monitoring and enforcement issues.</w:t>
      </w:r>
      <w:r>
        <w:rPr>
          <w:rStyle w:val="FootnoteReference"/>
          <w:bCs/>
        </w:rPr>
        <w:footnoteReference w:id="24"/>
      </w:r>
      <w:r w:rsidRPr="0001248A" w:rsidR="00E01A24">
        <w:rPr>
          <w:bCs/>
        </w:rPr>
        <w:t xml:space="preserve"> </w:t>
      </w:r>
      <w:r w:rsidRPr="0001248A" w:rsidR="00CE5634">
        <w:rPr>
          <w:bCs/>
        </w:rPr>
        <w:t>As mentioned in subsection C, above, O</w:t>
      </w:r>
      <w:r w:rsidRPr="0001248A" w:rsidR="00CE5634">
        <w:t xml:space="preserve">.A.C. 4901-1-28(B) expressly states that </w:t>
      </w:r>
      <w:r w:rsidRPr="0001248A" w:rsidR="00CE5634">
        <w:rPr>
          <w:bCs/>
        </w:rPr>
        <w:t xml:space="preserve">“objections may relate to the findings, conclusions, or recommendations contained in the report, </w:t>
      </w:r>
      <w:r w:rsidRPr="0001248A" w:rsidR="00CE5634">
        <w:rPr>
          <w:bCs/>
          <w:i/>
          <w:iCs/>
        </w:rPr>
        <w:t>or to the failure of the report to address one or more specific items</w:t>
      </w:r>
      <w:r w:rsidRPr="0001248A" w:rsidR="00CE5634">
        <w:rPr>
          <w:bCs/>
        </w:rPr>
        <w:t xml:space="preserve">.” (Emphasis added). Here, </w:t>
      </w:r>
      <w:r w:rsidRPr="0001248A" w:rsidR="00E01A24">
        <w:rPr>
          <w:bCs/>
        </w:rPr>
        <w:t xml:space="preserve">OCC’s objection addresses recommendations the PUCO Staff </w:t>
      </w:r>
      <w:r w:rsidRPr="0001248A" w:rsidR="007D0508">
        <w:rPr>
          <w:bCs/>
        </w:rPr>
        <w:t>failed to make</w:t>
      </w:r>
      <w:r w:rsidRPr="0001248A" w:rsidR="009247DD">
        <w:rPr>
          <w:bCs/>
        </w:rPr>
        <w:t xml:space="preserve"> in the Staff Report</w:t>
      </w:r>
      <w:r w:rsidRPr="0001248A" w:rsidR="00E01A24">
        <w:rPr>
          <w:bCs/>
        </w:rPr>
        <w:t xml:space="preserve">. OCC’s Objection is also relevant to what the PUCO should do to ensure </w:t>
      </w:r>
      <w:r w:rsidRPr="0001248A" w:rsidR="00E01A24">
        <w:rPr>
          <w:rFonts w:eastAsiaTheme="minorHAnsi"/>
        </w:rPr>
        <w:t>the availability of adequate, safe, efficient, nondiscriminatory, and reasonably priced retail electric service under R.C. 4928.02(A).</w:t>
      </w:r>
      <w:r w:rsidRPr="0001248A" w:rsidR="008634DF">
        <w:rPr>
          <w:rFonts w:eastAsiaTheme="minorHAnsi"/>
        </w:rPr>
        <w:t xml:space="preserve"> Furthermore, OCC’s objection is directly relevant to rights that </w:t>
      </w:r>
      <w:r w:rsidRPr="0001248A" w:rsidR="0011486B">
        <w:rPr>
          <w:rFonts w:eastAsiaTheme="minorHAnsi"/>
        </w:rPr>
        <w:t>consumers</w:t>
      </w:r>
      <w:r w:rsidRPr="0001248A" w:rsidR="008634DF">
        <w:rPr>
          <w:rFonts w:eastAsiaTheme="minorHAnsi"/>
        </w:rPr>
        <w:t xml:space="preserve"> have under R.C. 4928.10(G) to control disclosure of personal </w:t>
      </w:r>
      <w:r w:rsidRPr="0001248A" w:rsidR="0011486B">
        <w:rPr>
          <w:rFonts w:eastAsiaTheme="minorHAnsi"/>
        </w:rPr>
        <w:t>consumer</w:t>
      </w:r>
      <w:r w:rsidRPr="0001248A" w:rsidR="008634DF">
        <w:rPr>
          <w:rFonts w:eastAsiaTheme="minorHAnsi"/>
        </w:rPr>
        <w:t xml:space="preserve"> information</w:t>
      </w:r>
      <w:r w:rsidRPr="0001248A" w:rsidR="00AB291A">
        <w:rPr>
          <w:rFonts w:eastAsiaTheme="minorHAnsi"/>
        </w:rPr>
        <w:t xml:space="preserve">. Finally, protection of </w:t>
      </w:r>
      <w:r w:rsidRPr="0001248A" w:rsidR="0011486B">
        <w:rPr>
          <w:rFonts w:eastAsiaTheme="minorHAnsi"/>
        </w:rPr>
        <w:t>consumer</w:t>
      </w:r>
      <w:r w:rsidRPr="0001248A" w:rsidR="00AB291A">
        <w:rPr>
          <w:rFonts w:eastAsiaTheme="minorHAnsi"/>
        </w:rPr>
        <w:t xml:space="preserve"> information is one of the functional areas that Staff </w:t>
      </w:r>
      <w:r w:rsidRPr="0001248A" w:rsidR="00572DDB">
        <w:rPr>
          <w:rFonts w:eastAsiaTheme="minorHAnsi"/>
        </w:rPr>
        <w:t>examined as part of its Management Performance Practices (“MPP”) review in the rate case.</w:t>
      </w:r>
      <w:r w:rsidRPr="0001248A" w:rsidR="00671887">
        <w:rPr>
          <w:rFonts w:eastAsiaTheme="minorHAnsi"/>
        </w:rPr>
        <w:t xml:space="preserve"> </w:t>
      </w:r>
      <w:r w:rsidRPr="0001248A" w:rsidR="00DA783E">
        <w:rPr>
          <w:rFonts w:eastAsiaTheme="minorHAnsi"/>
        </w:rPr>
        <w:t>Duke’s motion to strike OCC Objection No. 27 should be denied.</w:t>
      </w:r>
    </w:p>
    <w:p w:rsidR="00EE068C" w14:paraId="6BCABA27" w14:textId="77777777">
      <w:pPr>
        <w:rPr>
          <w:rFonts w:eastAsiaTheme="minorHAnsi"/>
        </w:rPr>
      </w:pPr>
      <w:r>
        <w:rPr>
          <w:rFonts w:eastAsiaTheme="minorHAnsi"/>
        </w:rPr>
        <w:br w:type="page"/>
      </w:r>
    </w:p>
    <w:p w:rsidR="00436FB2" w:rsidRPr="0001248A" w:rsidP="009A4516" w14:paraId="4D58710B" w14:textId="5CFE2AAA">
      <w:pPr>
        <w:pStyle w:val="Heading2"/>
        <w:ind w:left="1440" w:hanging="720"/>
        <w:rPr>
          <w:szCs w:val="24"/>
        </w:rPr>
      </w:pPr>
      <w:bookmarkStart w:id="12" w:name="_Toc108188736"/>
      <w:r w:rsidRPr="0001248A">
        <w:rPr>
          <w:szCs w:val="24"/>
        </w:rPr>
        <w:t xml:space="preserve">Objection No. 28: </w:t>
      </w:r>
      <w:r w:rsidRPr="0001248A" w:rsidR="003D58F7">
        <w:rPr>
          <w:szCs w:val="24"/>
        </w:rPr>
        <w:t>“</w:t>
      </w:r>
      <w:r w:rsidRPr="0001248A">
        <w:rPr>
          <w:szCs w:val="24"/>
        </w:rPr>
        <w:t>The Staff Report potentially harms consumers by failing to evaluate the sufficiency of Duke’s Data Privacy Policy in protecting consumers’ personal information from unauthorized or inadvertent disclosure.</w:t>
      </w:r>
      <w:r w:rsidRPr="0001248A" w:rsidR="003D58F7">
        <w:rPr>
          <w:szCs w:val="24"/>
        </w:rPr>
        <w:t>”</w:t>
      </w:r>
      <w:bookmarkEnd w:id="12"/>
    </w:p>
    <w:p w:rsidR="007827A2" w:rsidRPr="0001248A" w:rsidP="006B740E" w14:paraId="461E2C01" w14:textId="198E18C5">
      <w:pPr>
        <w:spacing w:line="480" w:lineRule="auto"/>
        <w:ind w:firstLine="720"/>
      </w:pPr>
      <w:r w:rsidRPr="0001248A">
        <w:t xml:space="preserve">OCC Objection No. 28 </w:t>
      </w:r>
      <w:r w:rsidRPr="0001248A" w:rsidR="006B740E">
        <w:t xml:space="preserve">specifically concerns </w:t>
      </w:r>
      <w:r w:rsidRPr="0001248A" w:rsidR="006B740E">
        <w:rPr>
          <w:bCs/>
        </w:rPr>
        <w:t>the</w:t>
      </w:r>
      <w:r w:rsidRPr="0001248A" w:rsidR="006B740E">
        <w:t xml:space="preserve"> Staff Report’s discussion of protection of </w:t>
      </w:r>
      <w:r w:rsidRPr="0001248A" w:rsidR="0011486B">
        <w:t>consumer</w:t>
      </w:r>
      <w:r w:rsidRPr="0001248A" w:rsidR="006B740E">
        <w:t xml:space="preserve"> information.</w:t>
      </w:r>
      <w:r>
        <w:rPr>
          <w:rStyle w:val="FootnoteReference"/>
        </w:rPr>
        <w:footnoteReference w:id="25"/>
      </w:r>
      <w:r w:rsidRPr="0001248A" w:rsidR="006B740E">
        <w:t xml:space="preserve"> </w:t>
      </w:r>
      <w:r w:rsidRPr="0001248A" w:rsidR="003A15F3">
        <w:t>Duke claims that this “is not a valid basis for an objection” under O.A.C. 4901-1-28(B).</w:t>
      </w:r>
      <w:r>
        <w:rPr>
          <w:rStyle w:val="FootnoteReference"/>
        </w:rPr>
        <w:footnoteReference w:id="26"/>
      </w:r>
      <w:r w:rsidRPr="0001248A" w:rsidR="003A15F3">
        <w:t xml:space="preserve"> That is not correct. As noted above, O.A.C. 4901-1-28(B) permits objections as to failures of the Staff Report to address certain issues. </w:t>
      </w:r>
      <w:r w:rsidRPr="0001248A">
        <w:t xml:space="preserve">OCC’s objection that the PUCO Staff did not fully address Duke’s Data Privacy Policy is proper, and Duke cites no authority to the contrary. </w:t>
      </w:r>
      <w:r w:rsidRPr="0001248A" w:rsidR="008634DF">
        <w:t xml:space="preserve">In fact, </w:t>
      </w:r>
      <w:r w:rsidRPr="0001248A" w:rsidR="00572DDB">
        <w:t xml:space="preserve">protection of </w:t>
      </w:r>
      <w:r w:rsidRPr="0001248A" w:rsidR="0011486B">
        <w:t>consumer</w:t>
      </w:r>
      <w:r w:rsidRPr="0001248A" w:rsidR="00572DDB">
        <w:t xml:space="preserve"> information was identified by Staff as a functional area that would be considered as part of the rate case</w:t>
      </w:r>
      <w:r w:rsidRPr="0001248A" w:rsidR="00C11D7F">
        <w:t xml:space="preserve">. </w:t>
      </w:r>
      <w:r w:rsidRPr="0001248A">
        <w:t xml:space="preserve">Duke’s motion to strike </w:t>
      </w:r>
      <w:r w:rsidRPr="0001248A" w:rsidR="00DA783E">
        <w:t xml:space="preserve">OCC Objection No. 28 </w:t>
      </w:r>
      <w:r w:rsidRPr="0001248A">
        <w:t>should be denied.</w:t>
      </w:r>
    </w:p>
    <w:p w:rsidR="007827A2" w:rsidRPr="0001248A" w:rsidP="009A4516" w14:paraId="52CD5D34" w14:textId="1FFB6F76">
      <w:pPr>
        <w:pStyle w:val="Heading2"/>
        <w:ind w:left="1440" w:hanging="720"/>
        <w:rPr>
          <w:szCs w:val="24"/>
        </w:rPr>
      </w:pPr>
      <w:bookmarkStart w:id="13" w:name="_Toc108188737"/>
      <w:r w:rsidRPr="0001248A">
        <w:rPr>
          <w:szCs w:val="24"/>
        </w:rPr>
        <w:t xml:space="preserve">Objection No. 29: </w:t>
      </w:r>
      <w:r w:rsidRPr="0001248A" w:rsidR="003D58F7">
        <w:rPr>
          <w:szCs w:val="24"/>
        </w:rPr>
        <w:t>“</w:t>
      </w:r>
      <w:r w:rsidRPr="0001248A">
        <w:rPr>
          <w:szCs w:val="24"/>
        </w:rPr>
        <w:t>The Staff Report fails to protect Duke’s consumers by not proposing adequate consumer protections, including bill-payment assistance for energy justice and equity, that can make electric services more affordable for all consumers and protect at-risk, low-income, working poor, and fixed-income senior Ohioans from potential loss of electric services.</w:t>
      </w:r>
      <w:r w:rsidRPr="0001248A" w:rsidR="003E2928">
        <w:rPr>
          <w:szCs w:val="24"/>
        </w:rPr>
        <w:t>”</w:t>
      </w:r>
      <w:bookmarkEnd w:id="13"/>
    </w:p>
    <w:p w:rsidR="00E12A2C" w:rsidRPr="0001248A" w:rsidP="00524922" w14:paraId="1244308D" w14:textId="676351F9">
      <w:pPr>
        <w:spacing w:line="480" w:lineRule="auto"/>
        <w:ind w:firstLine="720"/>
      </w:pPr>
      <w:r w:rsidRPr="0001248A">
        <w:t>Duke claims that OCC Objection No. 29 is irrelevant to Duke’s application to increase rates to consumers. Duke’s argument should be rejected. OCC’s objection relates to the Staff Report’s failure to recommend measures to assist consumers who will be harmed by the rate increases Duke proposes.</w:t>
      </w:r>
      <w:r>
        <w:rPr>
          <w:rStyle w:val="FootnoteReference"/>
        </w:rPr>
        <w:footnoteReference w:id="27"/>
      </w:r>
      <w:r w:rsidRPr="0001248A" w:rsidR="0082428E">
        <w:t>.</w:t>
      </w:r>
      <w:r w:rsidRPr="0001248A" w:rsidR="00E3057C">
        <w:t xml:space="preserve"> </w:t>
      </w:r>
    </w:p>
    <w:p w:rsidR="007827A2" w:rsidRPr="0001248A" w:rsidP="00524922" w14:paraId="2DAE60D6" w14:textId="63857772">
      <w:pPr>
        <w:spacing w:line="480" w:lineRule="auto"/>
        <w:ind w:firstLine="720"/>
      </w:pPr>
      <w:r w:rsidRPr="0001248A">
        <w:t xml:space="preserve">Furthermore, </w:t>
      </w:r>
      <w:r w:rsidRPr="0001248A" w:rsidR="00A3110E">
        <w:t>the protection of at-risk populations and consumers is specifically required under R.C. 4928.02(L) in the provision of retail electric service. Similarly, the law requires consumers to be provided adequate, reliable, safe, efficient, non</w:t>
      </w:r>
      <w:r w:rsidRPr="0001248A" w:rsidR="00D37F8E">
        <w:t xml:space="preserve">discriminatory, and reasonably priced retail electric service. The availability of additional bill payment assistance to help at-risk consumers can be consideration </w:t>
      </w:r>
      <w:r w:rsidRPr="0001248A" w:rsidR="004A388D">
        <w:t>in considering just and reasonable rates.</w:t>
      </w:r>
      <w:r w:rsidRPr="0001248A" w:rsidR="00671887">
        <w:t xml:space="preserve"> </w:t>
      </w:r>
    </w:p>
    <w:p w:rsidR="00721945" w:rsidRPr="0001248A" w:rsidP="00524922" w14:paraId="53CF39C4" w14:textId="65E06027">
      <w:pPr>
        <w:spacing w:line="480" w:lineRule="auto"/>
        <w:ind w:firstLine="720"/>
      </w:pPr>
      <w:r w:rsidRPr="0001248A">
        <w:t>Further, Duke</w:t>
      </w:r>
      <w:r w:rsidRPr="0001248A" w:rsidR="00A957DC">
        <w:t>’s assertion</w:t>
      </w:r>
      <w:r w:rsidRPr="0001248A">
        <w:t xml:space="preserve"> </w:t>
      </w:r>
      <w:r w:rsidRPr="0001248A" w:rsidR="006F2EBF">
        <w:t xml:space="preserve">that OCC Objection 29 would result in an unreasonable regulatory taking </w:t>
      </w:r>
      <w:r w:rsidRPr="0001248A">
        <w:t>has no legal merit</w:t>
      </w:r>
      <w:r w:rsidRPr="0001248A" w:rsidR="00A957DC">
        <w:t xml:space="preserve"> and Duke cites no authority for its claim. And even if Duke’s argument had legs (it doesn’t) that would be no</w:t>
      </w:r>
      <w:r w:rsidRPr="0001248A" w:rsidR="006F2EBF">
        <w:t xml:space="preserve"> reason to strike </w:t>
      </w:r>
      <w:r w:rsidRPr="0001248A" w:rsidR="00A957DC">
        <w:t>OCC’s o</w:t>
      </w:r>
      <w:r w:rsidRPr="0001248A" w:rsidR="006F2EBF">
        <w:t>bjection. Indeed,</w:t>
      </w:r>
      <w:r w:rsidRPr="0001248A" w:rsidR="00627BF6">
        <w:t xml:space="preserve"> </w:t>
      </w:r>
      <w:r w:rsidRPr="0001248A" w:rsidR="00A957DC">
        <w:t>the legality and merit of this</w:t>
      </w:r>
      <w:r w:rsidRPr="0001248A" w:rsidR="00627BF6">
        <w:t xml:space="preserve"> issue </w:t>
      </w:r>
      <w:r w:rsidRPr="0001248A">
        <w:t>should be determined through the evidentiary hearing, and not through</w:t>
      </w:r>
      <w:r w:rsidRPr="0001248A" w:rsidR="00A957DC">
        <w:t xml:space="preserve"> premature,</w:t>
      </w:r>
      <w:r w:rsidRPr="0001248A">
        <w:t xml:space="preserve"> pretrial motion to strike</w:t>
      </w:r>
      <w:r w:rsidRPr="0001248A" w:rsidR="006F2EBF">
        <w:t>.</w:t>
      </w:r>
      <w:r>
        <w:rPr>
          <w:rStyle w:val="FootnoteReference"/>
        </w:rPr>
        <w:footnoteReference w:id="28"/>
      </w:r>
    </w:p>
    <w:p w:rsidR="00000C89" w:rsidRPr="0001248A" w:rsidP="009A4516" w14:paraId="008A2BD2" w14:textId="37FBBC7F">
      <w:pPr>
        <w:pStyle w:val="Heading2"/>
        <w:ind w:left="1440" w:hanging="720"/>
        <w:rPr>
          <w:szCs w:val="24"/>
        </w:rPr>
      </w:pPr>
      <w:bookmarkStart w:id="14" w:name="_Toc108188738"/>
      <w:r w:rsidRPr="0001248A">
        <w:rPr>
          <w:szCs w:val="24"/>
        </w:rPr>
        <w:t xml:space="preserve">Objection No. 16: </w:t>
      </w:r>
      <w:r w:rsidRPr="0001248A" w:rsidR="00E12A2C">
        <w:rPr>
          <w:szCs w:val="24"/>
        </w:rPr>
        <w:t>“</w:t>
      </w:r>
      <w:r w:rsidRPr="0001248A">
        <w:rPr>
          <w:szCs w:val="24"/>
        </w:rPr>
        <w:t>The Staff Report harms consumers by failing to recommend that Duke be prohibited from modifying its existing riders or proposing new riders as part of this base distribution rate case.</w:t>
      </w:r>
      <w:r w:rsidRPr="0001248A" w:rsidR="00E12A2C">
        <w:rPr>
          <w:szCs w:val="24"/>
        </w:rPr>
        <w:t>”</w:t>
      </w:r>
      <w:bookmarkEnd w:id="14"/>
      <w:r w:rsidRPr="0001248A" w:rsidR="00671887">
        <w:rPr>
          <w:szCs w:val="24"/>
        </w:rPr>
        <w:t xml:space="preserve"> </w:t>
      </w:r>
    </w:p>
    <w:p w:rsidR="00000C89" w:rsidRPr="0001248A" w:rsidP="00000C89" w14:paraId="78C06A31" w14:textId="4F7B2BE1">
      <w:pPr>
        <w:spacing w:line="480" w:lineRule="auto"/>
        <w:ind w:firstLine="720"/>
      </w:pPr>
      <w:r w:rsidRPr="0001248A">
        <w:t>Duke claims that OCC Objection No. 16 is an “improper brief in support” of the Staff Report.</w:t>
      </w:r>
      <w:r>
        <w:rPr>
          <w:rStyle w:val="FootnoteReference"/>
        </w:rPr>
        <w:footnoteReference w:id="29"/>
      </w:r>
      <w:r w:rsidRPr="0001248A">
        <w:t xml:space="preserve"> </w:t>
      </w:r>
      <w:r w:rsidRPr="0001248A" w:rsidR="00DA600B">
        <w:t xml:space="preserve">Duke’s argument makes no sense. OCC argued in its objections that the Staff Report </w:t>
      </w:r>
      <w:r w:rsidRPr="0001248A" w:rsidR="00DA600B">
        <w:rPr>
          <w:b/>
          <w:bCs/>
          <w:i/>
          <w:iCs/>
        </w:rPr>
        <w:t>failed</w:t>
      </w:r>
      <w:r w:rsidRPr="0001248A" w:rsidR="00DA600B">
        <w:t xml:space="preserve"> to recommend </w:t>
      </w:r>
      <w:r w:rsidRPr="0001248A" w:rsidR="00253306">
        <w:t xml:space="preserve">that Duke be prohibited from modifying existing riders and adopting </w:t>
      </w:r>
      <w:r w:rsidRPr="0001248A" w:rsidR="00E137A9">
        <w:t>new riders until the next case to consider Duke’s electric security plan.</w:t>
      </w:r>
      <w:r>
        <w:rPr>
          <w:rStyle w:val="FootnoteReference"/>
        </w:rPr>
        <w:footnoteReference w:id="30"/>
      </w:r>
      <w:r w:rsidRPr="0001248A" w:rsidR="00E137A9">
        <w:t xml:space="preserve"> Duke does not explain </w:t>
      </w:r>
      <w:r w:rsidRPr="0001248A" w:rsidR="002F6D7D">
        <w:t xml:space="preserve">how OCC’s objection to the Staff Report’s failure to make this recommendation somehow constitutes a “brief in support” of the PUCO Staff. Duke’s motion to strike </w:t>
      </w:r>
      <w:r w:rsidRPr="0001248A" w:rsidR="008317A9">
        <w:t xml:space="preserve">OCC Objection No. 16 </w:t>
      </w:r>
      <w:r w:rsidRPr="0001248A" w:rsidR="002F6D7D">
        <w:t>should be denied.</w:t>
      </w:r>
    </w:p>
    <w:p w:rsidR="00AA78F1" w:rsidRPr="0001248A" w:rsidP="009A4516" w14:paraId="145595BF" w14:textId="131A46E1">
      <w:pPr>
        <w:pStyle w:val="Heading2"/>
        <w:ind w:left="1440" w:hanging="720"/>
        <w:rPr>
          <w:szCs w:val="24"/>
        </w:rPr>
      </w:pPr>
      <w:bookmarkStart w:id="15" w:name="_Toc108188739"/>
      <w:r w:rsidRPr="0001248A">
        <w:rPr>
          <w:szCs w:val="24"/>
        </w:rPr>
        <w:t xml:space="preserve">Objection No. 20: </w:t>
      </w:r>
      <w:r w:rsidRPr="0001248A" w:rsidR="00E12A2C">
        <w:rPr>
          <w:szCs w:val="24"/>
        </w:rPr>
        <w:t>“</w:t>
      </w:r>
      <w:r w:rsidRPr="0001248A">
        <w:rPr>
          <w:szCs w:val="24"/>
        </w:rPr>
        <w:t>The Staff Report harms consumers by failing to recommend that Duke make every available effort with its authorized vendors to reduce the level of the convenience fees charged to consumers.</w:t>
      </w:r>
      <w:r w:rsidRPr="0001248A" w:rsidR="00E12A2C">
        <w:rPr>
          <w:szCs w:val="24"/>
        </w:rPr>
        <w:t>”</w:t>
      </w:r>
      <w:bookmarkEnd w:id="15"/>
    </w:p>
    <w:p w:rsidR="009412ED" w:rsidRPr="0001248A" w:rsidP="009412ED" w14:paraId="7792697B" w14:textId="3BD5AB72">
      <w:pPr>
        <w:spacing w:line="480" w:lineRule="auto"/>
        <w:ind w:firstLine="720"/>
      </w:pPr>
      <w:r w:rsidRPr="0001248A">
        <w:t>Duke does not like OCC’s proposal in Objection No. 20 that Duke’s shareholders’ cover the costs of convenience fees for consumers.</w:t>
      </w:r>
      <w:r>
        <w:rPr>
          <w:rStyle w:val="FootnoteReference"/>
        </w:rPr>
        <w:footnoteReference w:id="31"/>
      </w:r>
      <w:r w:rsidRPr="0001248A">
        <w:t xml:space="preserve"> </w:t>
      </w:r>
      <w:r w:rsidRPr="0001248A" w:rsidR="002B7BAE">
        <w:t>But</w:t>
      </w:r>
      <w:r w:rsidRPr="0001248A" w:rsidR="00A069BC">
        <w:t xml:space="preserve"> that is no reason to </w:t>
      </w:r>
      <w:r w:rsidRPr="0001248A">
        <w:t>strike</w:t>
      </w:r>
      <w:r w:rsidRPr="0001248A" w:rsidR="002B7BAE">
        <w:t xml:space="preserve"> the ob</w:t>
      </w:r>
      <w:r w:rsidRPr="0001248A">
        <w:t>jection from consideration in this case.</w:t>
      </w:r>
      <w:r w:rsidRPr="0001248A" w:rsidR="00A069BC">
        <w:t xml:space="preserve"> To the contrary, Duke’s arguments as to the merits of OCC’s proposal should be considered through testimony and the evidentiary hearing, not through a summary motion to strike. As Duke itself notes, this objection relates directly to the Staff Report’s recommendation that convenience fees continue to be charged to consumers.</w:t>
      </w:r>
      <w:r>
        <w:rPr>
          <w:rStyle w:val="FootnoteReference"/>
        </w:rPr>
        <w:footnoteReference w:id="32"/>
      </w:r>
      <w:r w:rsidRPr="0001248A" w:rsidR="002B7BAE">
        <w:t xml:space="preserve"> Thus, </w:t>
      </w:r>
      <w:r w:rsidRPr="0001248A" w:rsidR="008317A9">
        <w:t xml:space="preserve">OCC </w:t>
      </w:r>
      <w:r w:rsidRPr="0001248A" w:rsidR="002B7BAE">
        <w:t>Objection No. 20 should not be stricken.</w:t>
      </w:r>
    </w:p>
    <w:p w:rsidR="002B7BAE" w:rsidRPr="0001248A" w:rsidP="002B7BAE" w14:paraId="06F49993" w14:textId="28CBB5C2">
      <w:pPr>
        <w:spacing w:line="480" w:lineRule="auto"/>
      </w:pPr>
      <w:r w:rsidRPr="0001248A">
        <w:tab/>
        <w:t xml:space="preserve">Duke also appears to argue that Objection No. 20 is somehow improper because OCC agrees with the Staff Report’s recommendation that convenience fees be </w:t>
      </w:r>
      <w:r w:rsidRPr="0001248A" w:rsidR="0011486B">
        <w:t>ex</w:t>
      </w:r>
      <w:r w:rsidRPr="0001248A">
        <w:t>cluded in base rates.</w:t>
      </w:r>
      <w:r>
        <w:rPr>
          <w:rStyle w:val="FootnoteReference"/>
        </w:rPr>
        <w:footnoteReference w:id="33"/>
      </w:r>
      <w:r w:rsidRPr="0001248A" w:rsidR="0071506C">
        <w:t xml:space="preserve"> However, as stated in OCC’s Objections, </w:t>
      </w:r>
      <w:r w:rsidRPr="0001248A" w:rsidR="00470EE5">
        <w:t>convenience fees should not be permitted to be charged to consumers,</w:t>
      </w:r>
      <w:r w:rsidRPr="0001248A" w:rsidR="00671887">
        <w:t xml:space="preserve"> </w:t>
      </w:r>
      <w:r w:rsidRPr="0001248A" w:rsidR="0071506C">
        <w:t>which is contrary to the PUCO Staff’s position. Thus, any claim by Duke that OCC Objection No. 20 is somehow an improper “endorsement” of the Staff Report is baseless and does not justify Duke’s motion to strike.</w:t>
      </w:r>
    </w:p>
    <w:p w:rsidR="007379D9" w:rsidRPr="0001248A" w:rsidP="002B7BAE" w14:paraId="2FBBF224" w14:textId="77777777">
      <w:pPr>
        <w:spacing w:line="480" w:lineRule="auto"/>
      </w:pPr>
    </w:p>
    <w:p w:rsidR="007379D9" w:rsidRPr="0001248A" w:rsidP="002B7BAE" w14:paraId="6D45D350" w14:textId="77777777">
      <w:pPr>
        <w:spacing w:line="480" w:lineRule="auto"/>
      </w:pPr>
    </w:p>
    <w:p w:rsidR="007177DE" w:rsidRPr="0001248A" w:rsidP="00972B7C" w14:paraId="3D22DA91" w14:textId="3831871D">
      <w:pPr>
        <w:pStyle w:val="Heading1"/>
      </w:pPr>
      <w:bookmarkStart w:id="16" w:name="_Toc108188740"/>
      <w:r w:rsidRPr="0001248A">
        <w:t>III.</w:t>
      </w:r>
      <w:r w:rsidRPr="0001248A">
        <w:tab/>
      </w:r>
      <w:r w:rsidRPr="0001248A" w:rsidR="00BC45AF">
        <w:t>CONCLUSION</w:t>
      </w:r>
      <w:bookmarkEnd w:id="16"/>
    </w:p>
    <w:p w:rsidR="004A0D78" w:rsidRPr="0001248A" w:rsidP="004A0D78" w14:paraId="6A2E8DC2" w14:textId="279A72CE">
      <w:pPr>
        <w:spacing w:line="480" w:lineRule="auto"/>
        <w:ind w:firstLine="720"/>
      </w:pPr>
      <w:r w:rsidRPr="0001248A">
        <w:rPr>
          <w:bCs/>
        </w:rPr>
        <w:t>Duke’s</w:t>
      </w:r>
      <w:r w:rsidRPr="0001248A" w:rsidR="00BC45AF">
        <w:rPr>
          <w:bCs/>
        </w:rPr>
        <w:t xml:space="preserve"> </w:t>
      </w:r>
      <w:r w:rsidRPr="0001248A">
        <w:rPr>
          <w:bCs/>
        </w:rPr>
        <w:t>Motion to Strike</w:t>
      </w:r>
      <w:r w:rsidRPr="0001248A" w:rsidR="00BC45AF">
        <w:rPr>
          <w:bCs/>
        </w:rPr>
        <w:t xml:space="preserve"> OCC</w:t>
      </w:r>
      <w:r w:rsidRPr="0001248A">
        <w:rPr>
          <w:bCs/>
        </w:rPr>
        <w:t>’s</w:t>
      </w:r>
      <w:r w:rsidRPr="0001248A" w:rsidR="00BC45AF">
        <w:rPr>
          <w:bCs/>
        </w:rPr>
        <w:t xml:space="preserve"> </w:t>
      </w:r>
      <w:r w:rsidRPr="0001248A">
        <w:rPr>
          <w:bCs/>
        </w:rPr>
        <w:t>objecti</w:t>
      </w:r>
      <w:r w:rsidRPr="0001248A" w:rsidR="001F0C9B">
        <w:rPr>
          <w:bCs/>
        </w:rPr>
        <w:t xml:space="preserve">ons </w:t>
      </w:r>
      <w:r w:rsidRPr="0001248A" w:rsidR="00BC45AF">
        <w:rPr>
          <w:bCs/>
        </w:rPr>
        <w:t>is</w:t>
      </w:r>
      <w:r w:rsidRPr="0001248A" w:rsidR="001F0C9B">
        <w:rPr>
          <w:bCs/>
        </w:rPr>
        <w:t xml:space="preserve"> nothing more than a</w:t>
      </w:r>
      <w:r w:rsidRPr="0001248A" w:rsidR="00BC45AF">
        <w:rPr>
          <w:bCs/>
        </w:rPr>
        <w:t xml:space="preserve"> premature attack on the merits of OCC’s</w:t>
      </w:r>
      <w:r w:rsidRPr="0001248A" w:rsidR="001F0C9B">
        <w:rPr>
          <w:bCs/>
        </w:rPr>
        <w:t xml:space="preserve"> objections to the Staff Report</w:t>
      </w:r>
      <w:r w:rsidRPr="0001248A" w:rsidR="00BC45AF">
        <w:rPr>
          <w:bCs/>
        </w:rPr>
        <w:t xml:space="preserve">. </w:t>
      </w:r>
      <w:r w:rsidRPr="0001248A" w:rsidR="001F0C9B">
        <w:rPr>
          <w:bCs/>
        </w:rPr>
        <w:t>OCC’s objections fully comply with O.A.C. 4901-1-28(B). OCC’s</w:t>
      </w:r>
      <w:r w:rsidRPr="0001248A" w:rsidR="00BC45AF">
        <w:rPr>
          <w:bCs/>
        </w:rPr>
        <w:t xml:space="preserve"> objection</w:t>
      </w:r>
      <w:r w:rsidRPr="0001248A" w:rsidR="001F0C9B">
        <w:rPr>
          <w:bCs/>
        </w:rPr>
        <w:t>s</w:t>
      </w:r>
      <w:r w:rsidRPr="0001248A" w:rsidR="00BC45AF">
        <w:rPr>
          <w:bCs/>
        </w:rPr>
        <w:t xml:space="preserve"> relate to the Staff Report and </w:t>
      </w:r>
      <w:r w:rsidRPr="0001248A" w:rsidR="001F0C9B">
        <w:rPr>
          <w:bCs/>
        </w:rPr>
        <w:t>are</w:t>
      </w:r>
      <w:r w:rsidRPr="0001248A" w:rsidR="00BC45AF">
        <w:rPr>
          <w:bCs/>
        </w:rPr>
        <w:t xml:space="preserve"> specific enough to inform the parties of OCC’s area of concern in order to protect </w:t>
      </w:r>
      <w:r w:rsidRPr="0001248A" w:rsidR="001F0C9B">
        <w:rPr>
          <w:bCs/>
        </w:rPr>
        <w:t>Duke’s</w:t>
      </w:r>
      <w:r w:rsidRPr="0001248A" w:rsidR="00BC45AF">
        <w:rPr>
          <w:bCs/>
        </w:rPr>
        <w:t xml:space="preserve"> consumers. </w:t>
      </w:r>
      <w:r w:rsidRPr="0001248A" w:rsidR="001F0C9B">
        <w:rPr>
          <w:bCs/>
        </w:rPr>
        <w:t>Accordingly</w:t>
      </w:r>
      <w:r w:rsidRPr="0001248A" w:rsidR="00BC45AF">
        <w:rPr>
          <w:bCs/>
        </w:rPr>
        <w:t xml:space="preserve">, </w:t>
      </w:r>
      <w:r w:rsidRPr="0001248A" w:rsidR="001F0C9B">
        <w:rPr>
          <w:bCs/>
        </w:rPr>
        <w:t>Duke’s</w:t>
      </w:r>
      <w:r w:rsidRPr="0001248A" w:rsidR="00BC45AF">
        <w:rPr>
          <w:bCs/>
        </w:rPr>
        <w:t xml:space="preserve"> </w:t>
      </w:r>
      <w:r w:rsidRPr="0001248A" w:rsidR="001F0C9B">
        <w:rPr>
          <w:bCs/>
        </w:rPr>
        <w:t>M</w:t>
      </w:r>
      <w:r w:rsidRPr="0001248A" w:rsidR="00BC45AF">
        <w:rPr>
          <w:bCs/>
        </w:rPr>
        <w:t>otion</w:t>
      </w:r>
      <w:r w:rsidRPr="0001248A" w:rsidR="001F0C9B">
        <w:rPr>
          <w:bCs/>
        </w:rPr>
        <w:t xml:space="preserve"> to Strike</w:t>
      </w:r>
      <w:r w:rsidRPr="0001248A" w:rsidR="00BC45AF">
        <w:rPr>
          <w:bCs/>
        </w:rPr>
        <w:t xml:space="preserve"> should be denied.</w:t>
      </w:r>
    </w:p>
    <w:p w:rsidR="007177DE" w:rsidRPr="0001248A" w:rsidP="009A4516" w14:paraId="7B253DF9" w14:textId="04090C6E">
      <w:pPr>
        <w:spacing w:line="480" w:lineRule="auto"/>
        <w:ind w:left="3600" w:firstLine="720"/>
      </w:pPr>
      <w:r w:rsidRPr="0001248A">
        <w:t>Respectfully submitted,</w:t>
      </w:r>
    </w:p>
    <w:p w:rsidR="007177DE" w:rsidRPr="0001248A" w14:paraId="5EC77829" w14:textId="22C1A244">
      <w:pPr>
        <w:ind w:left="3600" w:firstLine="720"/>
        <w:rPr>
          <w:rFonts w:eastAsiaTheme="minorEastAsia"/>
        </w:rPr>
      </w:pPr>
      <w:r w:rsidRPr="0001248A">
        <w:rPr>
          <w:rFonts w:eastAsiaTheme="minorEastAsia"/>
        </w:rPr>
        <w:t>B</w:t>
      </w:r>
      <w:r w:rsidRPr="0001248A" w:rsidR="00564180">
        <w:rPr>
          <w:rFonts w:eastAsiaTheme="minorEastAsia"/>
        </w:rPr>
        <w:t>ruce Weston</w:t>
      </w:r>
      <w:r w:rsidRPr="0001248A">
        <w:rPr>
          <w:rFonts w:eastAsiaTheme="minorEastAsia"/>
        </w:rPr>
        <w:t xml:space="preserve"> (0016973)</w:t>
      </w:r>
    </w:p>
    <w:p w:rsidR="007177DE" w:rsidRPr="0001248A" w14:paraId="25599CBB" w14:textId="59134BF9">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O</w:t>
      </w:r>
      <w:r w:rsidRPr="0001248A" w:rsidR="00564180">
        <w:rPr>
          <w:rFonts w:eastAsiaTheme="minorEastAsia"/>
        </w:rPr>
        <w:t>hio</w:t>
      </w:r>
      <w:r w:rsidRPr="0001248A">
        <w:rPr>
          <w:rFonts w:eastAsiaTheme="minorEastAsia"/>
        </w:rPr>
        <w:t xml:space="preserve"> </w:t>
      </w:r>
      <w:r w:rsidRPr="0001248A" w:rsidR="00564180">
        <w:rPr>
          <w:rFonts w:eastAsiaTheme="minorEastAsia"/>
        </w:rPr>
        <w:t>Consumers</w:t>
      </w:r>
      <w:r w:rsidRPr="0001248A">
        <w:rPr>
          <w:rFonts w:eastAsiaTheme="minorEastAsia"/>
        </w:rPr>
        <w:t>’ C</w:t>
      </w:r>
      <w:r w:rsidRPr="0001248A" w:rsidR="00564180">
        <w:rPr>
          <w:rFonts w:eastAsiaTheme="minorEastAsia"/>
        </w:rPr>
        <w:t>ounsel</w:t>
      </w:r>
    </w:p>
    <w:p w:rsidR="007177DE" w:rsidRPr="0001248A" w14:paraId="79DE719F" w14:textId="77777777">
      <w:pPr>
        <w:ind w:left="3600" w:firstLine="720"/>
        <w:rPr>
          <w:rFonts w:eastAsiaTheme="minorEastAsia"/>
          <w:i/>
          <w:u w:val="single"/>
        </w:rPr>
      </w:pPr>
    </w:p>
    <w:p w:rsidR="007177DE" w:rsidRPr="0001248A" w14:paraId="65B9C9BC" w14:textId="609E6142">
      <w:pPr>
        <w:ind w:left="3600" w:firstLine="720"/>
        <w:rPr>
          <w:rFonts w:eastAsiaTheme="minorEastAsia"/>
          <w:i/>
          <w:u w:val="single"/>
        </w:rPr>
      </w:pPr>
      <w:r w:rsidRPr="0001248A">
        <w:rPr>
          <w:rFonts w:eastAsiaTheme="minorEastAsia"/>
          <w:i/>
          <w:u w:val="single"/>
        </w:rPr>
        <w:t xml:space="preserve">/s/ </w:t>
      </w:r>
      <w:r w:rsidRPr="0001248A" w:rsidR="0011486B">
        <w:rPr>
          <w:rFonts w:eastAsiaTheme="minorEastAsia"/>
          <w:i/>
          <w:u w:val="single"/>
        </w:rPr>
        <w:t>Ambrosia E. Wilson</w:t>
      </w:r>
    </w:p>
    <w:p w:rsidR="00476EE0" w:rsidRPr="0001248A" w14:paraId="7C92AF2D"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Angela D. O’Brien (0097579)</w:t>
      </w:r>
    </w:p>
    <w:p w:rsidR="00476EE0" w:rsidRPr="0001248A" w14:paraId="6CA99DCF" w14:textId="7777777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Counsel of Record</w:t>
      </w:r>
    </w:p>
    <w:p w:rsidR="007177DE" w:rsidRPr="0001248A" w14:paraId="237D1D92" w14:textId="56059970">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 xml:space="preserve">Ambrosia </w:t>
      </w:r>
      <w:r w:rsidRPr="0001248A" w:rsidR="00666EB8">
        <w:rPr>
          <w:rFonts w:eastAsiaTheme="minorEastAsia"/>
        </w:rPr>
        <w:t xml:space="preserve">E. </w:t>
      </w:r>
      <w:r w:rsidRPr="0001248A">
        <w:rPr>
          <w:rFonts w:eastAsiaTheme="minorEastAsia"/>
        </w:rPr>
        <w:t>Wilson (</w:t>
      </w:r>
      <w:r w:rsidRPr="0001248A" w:rsidR="0011486B">
        <w:rPr>
          <w:rFonts w:eastAsiaTheme="minorEastAsia"/>
        </w:rPr>
        <w:t>0096598</w:t>
      </w:r>
      <w:r w:rsidRPr="0001248A">
        <w:rPr>
          <w:rFonts w:eastAsiaTheme="minorEastAsia"/>
        </w:rPr>
        <w:t>)</w:t>
      </w:r>
      <w:r w:rsidRPr="0001248A" w:rsidR="00BC45AF">
        <w:rPr>
          <w:rFonts w:eastAsiaTheme="minorEastAsia"/>
        </w:rPr>
        <w:tab/>
      </w:r>
      <w:r w:rsidRPr="0001248A" w:rsidR="00BC45AF">
        <w:rPr>
          <w:rFonts w:eastAsiaTheme="minorEastAsia"/>
        </w:rPr>
        <w:tab/>
      </w:r>
      <w:r w:rsidRPr="0001248A" w:rsidR="00BC45AF">
        <w:rPr>
          <w:rFonts w:eastAsiaTheme="minorEastAsia"/>
        </w:rPr>
        <w:tab/>
      </w:r>
      <w:r w:rsidRPr="0001248A" w:rsidR="00BC45AF">
        <w:rPr>
          <w:rFonts w:eastAsiaTheme="minorEastAsia"/>
        </w:rPr>
        <w:tab/>
      </w:r>
      <w:r w:rsidRPr="0001248A" w:rsidR="00BC45AF">
        <w:rPr>
          <w:rFonts w:eastAsiaTheme="minorEastAsia"/>
        </w:rPr>
        <w:tab/>
      </w:r>
      <w:r w:rsidRPr="0001248A" w:rsidR="00BC45AF">
        <w:rPr>
          <w:rFonts w:eastAsiaTheme="minorEastAsia"/>
        </w:rPr>
        <w:tab/>
      </w:r>
      <w:r w:rsidRPr="0001248A" w:rsidR="00BC45AF">
        <w:rPr>
          <w:rFonts w:eastAsiaTheme="minorEastAsia"/>
        </w:rPr>
        <w:tab/>
      </w:r>
      <w:r w:rsidRPr="0001248A" w:rsidR="00BC45AF">
        <w:rPr>
          <w:rFonts w:eastAsiaTheme="minorEastAsia"/>
        </w:rPr>
        <w:tab/>
        <w:t>Assistant Consumers’ Counsel</w:t>
      </w:r>
    </w:p>
    <w:p w:rsidR="007177DE" w:rsidRPr="0001248A" w14:paraId="11E42F93" w14:textId="77777777">
      <w:pPr>
        <w:rPr>
          <w:rFonts w:eastAsiaTheme="minorEastAsia"/>
        </w:rPr>
      </w:pPr>
    </w:p>
    <w:p w:rsidR="007177DE" w:rsidRPr="0001248A" w14:paraId="7A01E374" w14:textId="77777777">
      <w:pPr>
        <w:rPr>
          <w:rFonts w:eastAsiaTheme="minorEastAsia"/>
          <w:b/>
        </w:rPr>
      </w:pPr>
      <w:r w:rsidRPr="0001248A">
        <w:rPr>
          <w:rFonts w:eastAsiaTheme="minorEastAsia"/>
          <w:b/>
        </w:rPr>
        <w:tab/>
      </w:r>
      <w:r w:rsidRPr="0001248A">
        <w:rPr>
          <w:rFonts w:eastAsiaTheme="minorEastAsia"/>
          <w:b/>
        </w:rPr>
        <w:tab/>
      </w:r>
      <w:r w:rsidRPr="0001248A">
        <w:rPr>
          <w:rFonts w:eastAsiaTheme="minorEastAsia"/>
          <w:b/>
        </w:rPr>
        <w:tab/>
      </w:r>
      <w:r w:rsidRPr="0001248A">
        <w:rPr>
          <w:rFonts w:eastAsiaTheme="minorEastAsia"/>
          <w:b/>
        </w:rPr>
        <w:tab/>
      </w:r>
      <w:r w:rsidRPr="0001248A">
        <w:rPr>
          <w:rFonts w:eastAsiaTheme="minorEastAsia"/>
          <w:b/>
        </w:rPr>
        <w:tab/>
      </w:r>
      <w:r w:rsidRPr="0001248A">
        <w:rPr>
          <w:rFonts w:eastAsiaTheme="minorEastAsia"/>
          <w:b/>
        </w:rPr>
        <w:tab/>
        <w:t>Office of the Ohio Consumers’ Counsel</w:t>
      </w:r>
    </w:p>
    <w:p w:rsidR="007177DE" w:rsidRPr="0001248A" w14:paraId="357FDD2A" w14:textId="5F2EAB9C">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 xml:space="preserve">65 East State Street, </w:t>
      </w:r>
      <w:r w:rsidRPr="0001248A" w:rsidR="00476EE0">
        <w:rPr>
          <w:rFonts w:eastAsiaTheme="minorEastAsia"/>
        </w:rPr>
        <w:t>Suite 700</w:t>
      </w:r>
    </w:p>
    <w:p w:rsidR="007177DE" w:rsidRPr="0001248A" w14:paraId="05547033" w14:textId="3B5AE7C7">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Columbus, Ohio 43215</w:t>
      </w:r>
    </w:p>
    <w:p w:rsidR="007177DE" w:rsidRPr="0001248A" w14:paraId="13610323" w14:textId="716ED8B3">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 xml:space="preserve">Telephone </w:t>
      </w:r>
      <w:r w:rsidRPr="0001248A" w:rsidR="005A6B1F">
        <w:rPr>
          <w:rFonts w:eastAsiaTheme="minorEastAsia"/>
        </w:rPr>
        <w:t>[O’Brien</w:t>
      </w:r>
      <w:r w:rsidRPr="0001248A">
        <w:rPr>
          <w:rFonts w:eastAsiaTheme="minorEastAsia"/>
        </w:rPr>
        <w:t xml:space="preserve">]: </w:t>
      </w:r>
      <w:r w:rsidRPr="0001248A" w:rsidR="00666EB8">
        <w:rPr>
          <w:rFonts w:eastAsiaTheme="minorEastAsia"/>
        </w:rPr>
        <w:t>(</w:t>
      </w:r>
      <w:r w:rsidRPr="0001248A">
        <w:rPr>
          <w:rFonts w:eastAsiaTheme="minorEastAsia"/>
        </w:rPr>
        <w:t>614</w:t>
      </w:r>
      <w:r w:rsidRPr="0001248A" w:rsidR="00666EB8">
        <w:rPr>
          <w:rFonts w:eastAsiaTheme="minorEastAsia"/>
        </w:rPr>
        <w:t xml:space="preserve">) </w:t>
      </w:r>
      <w:r w:rsidRPr="0001248A" w:rsidR="005A6B1F">
        <w:rPr>
          <w:rFonts w:eastAsiaTheme="minorEastAsia"/>
        </w:rPr>
        <w:t>466</w:t>
      </w:r>
      <w:r w:rsidRPr="0001248A">
        <w:rPr>
          <w:rFonts w:eastAsiaTheme="minorEastAsia"/>
        </w:rPr>
        <w:t>-</w:t>
      </w:r>
      <w:r w:rsidRPr="0001248A" w:rsidR="005A6B1F">
        <w:rPr>
          <w:rFonts w:eastAsiaTheme="minorEastAsia"/>
        </w:rPr>
        <w:t>9531</w:t>
      </w:r>
    </w:p>
    <w:p w:rsidR="007177DE" w:rsidRPr="0001248A" w14:paraId="0BC20872" w14:textId="64CDD18F">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sidR="00564180">
        <w:rPr>
          <w:rFonts w:eastAsiaTheme="minorEastAsia"/>
        </w:rPr>
        <w:t xml:space="preserve">Telephone [Wilson]: </w:t>
      </w:r>
      <w:r w:rsidRPr="0001248A" w:rsidR="00666EB8">
        <w:rPr>
          <w:rFonts w:eastAsiaTheme="minorEastAsia"/>
        </w:rPr>
        <w:t>(</w:t>
      </w:r>
      <w:r w:rsidRPr="0001248A" w:rsidR="00564180">
        <w:rPr>
          <w:rFonts w:eastAsiaTheme="minorEastAsia"/>
        </w:rPr>
        <w:t>614</w:t>
      </w:r>
      <w:r w:rsidRPr="0001248A" w:rsidR="00666EB8">
        <w:rPr>
          <w:rFonts w:eastAsiaTheme="minorEastAsia"/>
        </w:rPr>
        <w:t xml:space="preserve">) </w:t>
      </w:r>
      <w:r w:rsidRPr="0001248A" w:rsidR="00564180">
        <w:rPr>
          <w:rFonts w:eastAsiaTheme="minorEastAsia"/>
        </w:rPr>
        <w:t>466-</w:t>
      </w:r>
      <w:r w:rsidRPr="0001248A" w:rsidR="0011486B">
        <w:rPr>
          <w:rFonts w:eastAsiaTheme="minorEastAsia"/>
        </w:rPr>
        <w:t>1292</w:t>
      </w:r>
    </w:p>
    <w:p w:rsidR="00564180" w:rsidRPr="0001248A" w14:paraId="19BB9BDE" w14:textId="6446E97A">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hyperlink r:id="rId6" w:history="1">
        <w:r w:rsidRPr="0001248A" w:rsidR="00666EB8">
          <w:rPr>
            <w:rStyle w:val="Hyperlink"/>
            <w:rFonts w:eastAsiaTheme="minorEastAsia"/>
          </w:rPr>
          <w:t>angela.obrien@occ.ohio.gov</w:t>
        </w:r>
      </w:hyperlink>
    </w:p>
    <w:p w:rsidR="00564180" w:rsidRPr="0001248A" w14:paraId="3148D750" w14:textId="0EC85526">
      <w:pPr>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hyperlink r:id="rId7" w:history="1">
        <w:r w:rsidRPr="0001248A" w:rsidR="00666EB8">
          <w:rPr>
            <w:rStyle w:val="Hyperlink"/>
            <w:rFonts w:eastAsiaTheme="minorEastAsia"/>
          </w:rPr>
          <w:t>ambrosia.wilson@occ.ohio.gov</w:t>
        </w:r>
      </w:hyperlink>
      <w:r w:rsidRPr="0001248A">
        <w:rPr>
          <w:rFonts w:eastAsiaTheme="minorEastAsia"/>
        </w:rPr>
        <w:t xml:space="preserve"> </w:t>
      </w:r>
    </w:p>
    <w:p w:rsidR="00086060" w:rsidRPr="0001248A" w14:paraId="2DCAAFC4" w14:textId="41E098C5">
      <w:pPr>
        <w:pStyle w:val="BodyText"/>
        <w:ind w:left="0"/>
        <w:rPr>
          <w:rFonts w:eastAsiaTheme="minorEastAsia"/>
        </w:rPr>
      </w:pP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r>
      <w:r w:rsidRPr="0001248A">
        <w:rPr>
          <w:rFonts w:eastAsiaTheme="minorEastAsia"/>
        </w:rPr>
        <w:tab/>
        <w:t>(will</w:t>
      </w:r>
      <w:r w:rsidRPr="0001248A" w:rsidR="00666EB8">
        <w:rPr>
          <w:rFonts w:eastAsiaTheme="minorEastAsia"/>
        </w:rPr>
        <w:t>ing to</w:t>
      </w:r>
      <w:r w:rsidRPr="0001248A">
        <w:rPr>
          <w:rFonts w:eastAsiaTheme="minorEastAsia"/>
        </w:rPr>
        <w:t xml:space="preserve"> accept service via email)</w:t>
      </w:r>
    </w:p>
    <w:p w:rsidR="00086060" w:rsidRPr="0001248A" w14:paraId="60518E56" w14:textId="77777777">
      <w:pPr>
        <w:rPr>
          <w:rFonts w:eastAsiaTheme="minorEastAsia"/>
          <w:iCs/>
        </w:rPr>
      </w:pPr>
      <w:r w:rsidRPr="0001248A">
        <w:rPr>
          <w:rFonts w:eastAsiaTheme="minorEastAsia"/>
        </w:rPr>
        <w:br w:type="page"/>
      </w:r>
    </w:p>
    <w:p w:rsidR="007177DE" w:rsidRPr="0001248A" w14:paraId="53C5CE70" w14:textId="77777777">
      <w:pPr>
        <w:pStyle w:val="ANSWER"/>
        <w:ind w:left="720"/>
        <w:jc w:val="center"/>
        <w:rPr>
          <w:b/>
          <w:szCs w:val="24"/>
          <w:u w:val="single"/>
        </w:rPr>
      </w:pPr>
      <w:bookmarkStart w:id="17" w:name="_Toc469906196"/>
      <w:bookmarkStart w:id="18" w:name="_Toc496094396"/>
      <w:r w:rsidRPr="0001248A">
        <w:rPr>
          <w:b/>
          <w:szCs w:val="24"/>
          <w:u w:val="single"/>
        </w:rPr>
        <w:t>CERTIFICATE OF SERVICE</w:t>
      </w:r>
    </w:p>
    <w:p w:rsidR="007177DE" w:rsidRPr="0001248A" w:rsidP="00E67084" w14:paraId="5FC81D03" w14:textId="38074FED">
      <w:pPr>
        <w:spacing w:line="480" w:lineRule="auto"/>
        <w:ind w:firstLine="720"/>
      </w:pPr>
      <w:r w:rsidRPr="0001248A">
        <w:t xml:space="preserve">I hereby certify that a copy of the </w:t>
      </w:r>
      <w:r w:rsidRPr="0001248A" w:rsidR="00E67084">
        <w:t xml:space="preserve">foregoing Memorandum Contra Duke’s Motion to Strike Objections has been </w:t>
      </w:r>
      <w:r w:rsidRPr="0001248A">
        <w:t xml:space="preserve">served upon those persons listed below via electronic service this </w:t>
      </w:r>
      <w:r w:rsidRPr="0001248A" w:rsidR="00564180">
        <w:t>8</w:t>
      </w:r>
      <w:r w:rsidRPr="0001248A" w:rsidR="00564180">
        <w:rPr>
          <w:vertAlign w:val="superscript"/>
        </w:rPr>
        <w:t>th</w:t>
      </w:r>
      <w:r w:rsidRPr="0001248A">
        <w:t xml:space="preserve"> day of </w:t>
      </w:r>
      <w:r w:rsidRPr="0001248A" w:rsidR="00564180">
        <w:t>July</w:t>
      </w:r>
      <w:r w:rsidRPr="0001248A">
        <w:t xml:space="preserve"> 20</w:t>
      </w:r>
      <w:r w:rsidRPr="0001248A" w:rsidR="00564180">
        <w:t>22</w:t>
      </w:r>
      <w:r w:rsidRPr="0001248A">
        <w:t>.</w:t>
      </w:r>
    </w:p>
    <w:p w:rsidR="007177DE" w:rsidRPr="0001248A" w14:paraId="1B0DD64E" w14:textId="03F65C1F">
      <w:pPr>
        <w:tabs>
          <w:tab w:val="left" w:pos="5040"/>
        </w:tabs>
      </w:pPr>
      <w:r w:rsidRPr="0001248A">
        <w:tab/>
      </w:r>
      <w:r w:rsidRPr="0001248A">
        <w:rPr>
          <w:i/>
          <w:u w:val="single"/>
        </w:rPr>
        <w:t xml:space="preserve">/s/ </w:t>
      </w:r>
      <w:r w:rsidRPr="0001248A" w:rsidR="00564180">
        <w:rPr>
          <w:i/>
          <w:u w:val="single"/>
        </w:rPr>
        <w:t>Ambrosia Wilson</w:t>
      </w:r>
      <w:r w:rsidRPr="0001248A">
        <w:rPr>
          <w:u w:val="single"/>
        </w:rPr>
        <w:t> </w:t>
      </w:r>
      <w:r w:rsidRPr="0001248A">
        <w:rPr>
          <w:u w:val="single"/>
        </w:rPr>
        <w:tab/>
      </w:r>
      <w:r w:rsidRPr="0001248A">
        <w:rPr>
          <w:u w:val="single"/>
        </w:rPr>
        <w:tab/>
      </w:r>
      <w:r w:rsidRPr="0001248A" w:rsidR="00671887">
        <w:rPr>
          <w:u w:val="single"/>
        </w:rPr>
        <w:t xml:space="preserve"> </w:t>
      </w:r>
    </w:p>
    <w:p w:rsidR="007177DE" w:rsidRPr="0001248A" w14:paraId="7CE33C7C" w14:textId="0D7A7F45">
      <w:pPr>
        <w:pStyle w:val="EndnoteText"/>
        <w:tabs>
          <w:tab w:val="left" w:pos="5040"/>
        </w:tabs>
        <w:suppressAutoHyphens/>
        <w:rPr>
          <w:rFonts w:ascii="Times New Roman" w:eastAsia="Times New Roman" w:hAnsi="Times New Roman"/>
        </w:rPr>
      </w:pPr>
      <w:r w:rsidRPr="0001248A">
        <w:rPr>
          <w:rFonts w:ascii="Times New Roman" w:hAnsi="Times New Roman"/>
        </w:rPr>
        <w:tab/>
      </w:r>
      <w:r w:rsidRPr="0001248A" w:rsidR="00564180">
        <w:rPr>
          <w:rFonts w:ascii="Times New Roman" w:hAnsi="Times New Roman"/>
        </w:rPr>
        <w:t>Ambrosia Wilson</w:t>
      </w:r>
    </w:p>
    <w:p w:rsidR="007177DE" w:rsidRPr="0001248A" w:rsidP="00E67084" w14:paraId="383BEA6A" w14:textId="1C0C65AF">
      <w:pPr>
        <w:pStyle w:val="EndnoteText"/>
        <w:widowControl/>
        <w:tabs>
          <w:tab w:val="left" w:pos="5040"/>
        </w:tabs>
        <w:suppressAutoHyphens/>
        <w:rPr>
          <w:rFonts w:ascii="Times New Roman" w:hAnsi="Times New Roman"/>
        </w:rPr>
      </w:pPr>
      <w:r w:rsidRPr="0001248A">
        <w:rPr>
          <w:rFonts w:ascii="Times New Roman" w:eastAsia="Times New Roman" w:hAnsi="Times New Roman"/>
        </w:rPr>
        <w:tab/>
        <w:t>Assistant Consumers</w:t>
      </w:r>
      <w:r w:rsidRPr="0001248A">
        <w:rPr>
          <w:rFonts w:ascii="Times New Roman" w:hAnsi="Times New Roman"/>
        </w:rPr>
        <w:t>’ Counsel</w:t>
      </w:r>
    </w:p>
    <w:p w:rsidR="008165E0" w:rsidRPr="0001248A" w:rsidP="00E67084" w14:paraId="22A5B0B6" w14:textId="77777777">
      <w:pPr>
        <w:pStyle w:val="EndnoteText"/>
        <w:widowControl/>
        <w:tabs>
          <w:tab w:val="left" w:pos="5040"/>
        </w:tabs>
        <w:suppressAutoHyphens/>
        <w:rPr>
          <w:rFonts w:ascii="Times New Roman" w:hAnsi="Times New Roman"/>
        </w:rPr>
      </w:pPr>
    </w:p>
    <w:p w:rsidR="008165E0" w:rsidRPr="0001248A" w:rsidP="008165E0" w14:paraId="207CAF9D" w14:textId="59E75DF5">
      <w:pPr>
        <w:pStyle w:val="CommentText"/>
        <w:rPr>
          <w:sz w:val="24"/>
          <w:szCs w:val="24"/>
        </w:rPr>
      </w:pPr>
      <w:r w:rsidRPr="0001248A">
        <w:rPr>
          <w:sz w:val="24"/>
          <w:szCs w:val="24"/>
        </w:rPr>
        <w:t>The PUCO’s e-filing system will electronically serve notice of the filing of this document on the following parties:</w:t>
      </w:r>
    </w:p>
    <w:p w:rsidR="007177DE" w:rsidRPr="0001248A" w14:paraId="6D9CAC96" w14:textId="77777777">
      <w:pPr>
        <w:tabs>
          <w:tab w:val="left" w:pos="5220"/>
        </w:tabs>
      </w:pPr>
    </w:p>
    <w:p w:rsidR="007177DE" w:rsidRPr="0001248A" w14:paraId="2E95ECA8" w14:textId="7EB2A7E0">
      <w:pPr>
        <w:jc w:val="center"/>
        <w:rPr>
          <w:b/>
        </w:rPr>
      </w:pPr>
      <w:r w:rsidRPr="0001248A">
        <w:rPr>
          <w:b/>
        </w:rPr>
        <w:t>SERVICE LIST</w:t>
      </w:r>
    </w:p>
    <w:p w:rsidR="00E67084" w:rsidRPr="0001248A" w14:paraId="26DF3B15" w14:textId="77777777">
      <w:pPr>
        <w:jc w:val="center"/>
        <w:rPr>
          <w:b/>
        </w:rPr>
      </w:pPr>
    </w:p>
    <w:tbl>
      <w:tblPr>
        <w:tblW w:w="0" w:type="auto"/>
        <w:tblLook w:val="04A0"/>
      </w:tblPr>
      <w:tblGrid>
        <w:gridCol w:w="4251"/>
        <w:gridCol w:w="4389"/>
      </w:tblGrid>
      <w:tr w14:paraId="41B9F06A" w14:textId="77777777" w:rsidTr="00262DC1">
        <w:tblPrEx>
          <w:tblW w:w="0" w:type="auto"/>
          <w:tblLook w:val="04A0"/>
        </w:tblPrEx>
        <w:tc>
          <w:tcPr>
            <w:tcW w:w="4428" w:type="dxa"/>
            <w:shd w:val="clear" w:color="auto" w:fill="auto"/>
          </w:tcPr>
          <w:p w:rsidR="00E67084" w:rsidRPr="00EE3930" w:rsidP="00262DC1" w14:paraId="6C646E1B" w14:textId="77777777">
            <w:pPr>
              <w:autoSpaceDE w:val="0"/>
              <w:autoSpaceDN w:val="0"/>
              <w:adjustRightInd w:val="0"/>
              <w:rPr>
                <w:rFonts w:eastAsia="Times New Roman"/>
                <w:bCs/>
                <w:color w:val="0000FF"/>
                <w:u w:val="single"/>
                <w:lang w:bidi="en-US"/>
              </w:rPr>
            </w:pPr>
            <w:hyperlink r:id="rId13" w:history="1">
              <w:r w:rsidRPr="00EE3930" w:rsidR="00DA7D27">
                <w:rPr>
                  <w:rFonts w:eastAsia="Times New Roman"/>
                  <w:color w:val="0000FF"/>
                  <w:u w:val="single"/>
                  <w:lang w:bidi="en-US"/>
                </w:rPr>
                <w:t>robert.eubanks@ohioAGO.gov</w:t>
              </w:r>
            </w:hyperlink>
          </w:p>
          <w:p w:rsidR="00E67084" w:rsidRPr="00EE3930" w:rsidP="00262DC1" w14:paraId="63E0E037" w14:textId="77777777">
            <w:pPr>
              <w:autoSpaceDE w:val="0"/>
              <w:autoSpaceDN w:val="0"/>
              <w:adjustRightInd w:val="0"/>
              <w:rPr>
                <w:rFonts w:eastAsia="Times New Roman"/>
                <w:bCs/>
                <w:lang w:bidi="en-US"/>
              </w:rPr>
            </w:pPr>
            <w:hyperlink r:id="rId14" w:history="1">
              <w:r w:rsidRPr="00EE3930" w:rsidR="00DA7D27">
                <w:rPr>
                  <w:rFonts w:eastAsia="Times New Roman"/>
                  <w:color w:val="0000FF"/>
                  <w:u w:val="single"/>
                  <w:lang w:bidi="en-US"/>
                </w:rPr>
                <w:t>shaun.lyons@ohioAGO.gov</w:t>
              </w:r>
            </w:hyperlink>
          </w:p>
          <w:p w:rsidR="00E67084" w:rsidRPr="00EE3930" w:rsidP="00262DC1" w14:paraId="45069916" w14:textId="77777777">
            <w:pPr>
              <w:autoSpaceDE w:val="0"/>
              <w:autoSpaceDN w:val="0"/>
              <w:adjustRightInd w:val="0"/>
              <w:rPr>
                <w:rFonts w:eastAsia="Times New Roman"/>
                <w:bCs/>
                <w:lang w:bidi="en-US"/>
              </w:rPr>
            </w:pPr>
            <w:hyperlink r:id="rId15" w:history="1">
              <w:r w:rsidRPr="00EE3930" w:rsidR="00DA7D27">
                <w:rPr>
                  <w:rFonts w:eastAsia="Times New Roman"/>
                  <w:color w:val="0000FF"/>
                  <w:u w:val="single"/>
                  <w:lang w:bidi="en-US"/>
                </w:rPr>
                <w:t>werner.margard@ohioAGO.gov</w:t>
              </w:r>
            </w:hyperlink>
          </w:p>
          <w:p w:rsidR="00E67084" w:rsidRPr="00EE3930" w:rsidP="00262DC1" w14:paraId="292BCB8B" w14:textId="77777777">
            <w:pPr>
              <w:autoSpaceDE w:val="0"/>
              <w:autoSpaceDN w:val="0"/>
              <w:adjustRightInd w:val="0"/>
              <w:rPr>
                <w:rFonts w:eastAsia="Times New Roman"/>
                <w:color w:val="0000FF"/>
                <w:lang w:bidi="en-US"/>
              </w:rPr>
            </w:pPr>
            <w:hyperlink r:id="rId16" w:history="1">
              <w:r w:rsidRPr="00EE3930" w:rsidR="00DA7D27">
                <w:rPr>
                  <w:rFonts w:eastAsia="Times New Roman"/>
                  <w:color w:val="0000FF"/>
                  <w:u w:val="single"/>
                  <w:lang w:bidi="en-US"/>
                </w:rPr>
                <w:t>mkurtz@BKLlawfirm.com</w:t>
              </w:r>
            </w:hyperlink>
          </w:p>
          <w:p w:rsidR="00E67084" w:rsidRPr="00EE3930" w:rsidP="00262DC1" w14:paraId="102C5237" w14:textId="77777777">
            <w:pPr>
              <w:autoSpaceDE w:val="0"/>
              <w:autoSpaceDN w:val="0"/>
              <w:adjustRightInd w:val="0"/>
              <w:rPr>
                <w:rFonts w:eastAsia="Times New Roman"/>
                <w:color w:val="0000FF"/>
                <w:lang w:bidi="en-US"/>
              </w:rPr>
            </w:pPr>
            <w:hyperlink r:id="rId17" w:history="1">
              <w:r w:rsidRPr="00EE3930" w:rsidR="00DA7D27">
                <w:rPr>
                  <w:rFonts w:eastAsia="Times New Roman"/>
                  <w:color w:val="0000FF"/>
                  <w:u w:val="single"/>
                  <w:lang w:bidi="en-US"/>
                </w:rPr>
                <w:t>kboehm@BKLlawfirm.com</w:t>
              </w:r>
            </w:hyperlink>
          </w:p>
          <w:p w:rsidR="00E67084" w:rsidRPr="00EE3930" w:rsidP="00262DC1" w14:paraId="0F5ABCBC" w14:textId="77777777">
            <w:pPr>
              <w:autoSpaceDE w:val="0"/>
              <w:autoSpaceDN w:val="0"/>
              <w:adjustRightInd w:val="0"/>
              <w:rPr>
                <w:rFonts w:eastAsia="Times New Roman"/>
                <w:color w:val="0000FF"/>
                <w:lang w:bidi="en-US"/>
              </w:rPr>
            </w:pPr>
            <w:hyperlink r:id="rId18" w:history="1">
              <w:r w:rsidRPr="00EE3930" w:rsidR="00DA7D27">
                <w:rPr>
                  <w:rFonts w:eastAsia="Times New Roman"/>
                  <w:color w:val="0000FF"/>
                  <w:u w:val="single"/>
                  <w:lang w:bidi="en-US"/>
                </w:rPr>
                <w:t>jkylercohn@BKLlawfirm.com</w:t>
              </w:r>
            </w:hyperlink>
          </w:p>
          <w:p w:rsidR="00E67084" w:rsidRPr="00EE3930" w:rsidP="00262DC1" w14:paraId="270726FB" w14:textId="2E04E994">
            <w:pPr>
              <w:autoSpaceDE w:val="0"/>
              <w:autoSpaceDN w:val="0"/>
              <w:adjustRightInd w:val="0"/>
              <w:rPr>
                <w:rFonts w:eastAsia="Times New Roman"/>
                <w:color w:val="0000FF"/>
                <w:u w:val="single"/>
                <w:lang w:bidi="en-US"/>
              </w:rPr>
            </w:pPr>
            <w:hyperlink r:id="rId19" w:history="1">
              <w:r w:rsidRPr="00EE3930" w:rsidR="00DA7D27">
                <w:rPr>
                  <w:rFonts w:eastAsia="Times New Roman"/>
                  <w:color w:val="0000FF"/>
                  <w:u w:val="single"/>
                  <w:lang w:bidi="en-US"/>
                </w:rPr>
                <w:t>mwarnock@bricker.com</w:t>
              </w:r>
            </w:hyperlink>
          </w:p>
          <w:p w:rsidR="00EE3930" w:rsidRPr="00EE3930" w:rsidP="00262DC1" w14:paraId="0D81AAE2" w14:textId="5B0FB024">
            <w:pPr>
              <w:autoSpaceDE w:val="0"/>
              <w:autoSpaceDN w:val="0"/>
              <w:adjustRightInd w:val="0"/>
              <w:rPr>
                <w:rFonts w:eastAsia="Times New Roman"/>
                <w:color w:val="0000FF"/>
                <w:lang w:bidi="en-US"/>
              </w:rPr>
            </w:pPr>
            <w:hyperlink r:id="rId20" w:history="1">
              <w:r w:rsidRPr="00EE3930" w:rsidR="00DA7D27">
                <w:rPr>
                  <w:rStyle w:val="Hyperlink"/>
                  <w:rFonts w:eastAsia="Times New Roman"/>
                  <w:lang w:bidi="en-US"/>
                </w:rPr>
                <w:t>kherrnstein@bricker.com</w:t>
              </w:r>
            </w:hyperlink>
          </w:p>
          <w:p w:rsidR="00E67084" w:rsidRPr="00EE3930" w:rsidP="00262DC1" w14:paraId="586F24E1" w14:textId="77777777">
            <w:pPr>
              <w:autoSpaceDE w:val="0"/>
              <w:autoSpaceDN w:val="0"/>
              <w:adjustRightInd w:val="0"/>
              <w:rPr>
                <w:rFonts w:eastAsia="Times New Roman"/>
                <w:color w:val="0000FF"/>
                <w:lang w:bidi="en-US"/>
              </w:rPr>
            </w:pPr>
            <w:hyperlink r:id="rId21" w:history="1">
              <w:r w:rsidRPr="00EE3930" w:rsidR="00DA7D27">
                <w:rPr>
                  <w:rFonts w:eastAsia="Times New Roman"/>
                  <w:color w:val="0000FF"/>
                  <w:u w:val="single"/>
                  <w:lang w:bidi="en-US"/>
                </w:rPr>
                <w:t>ktreadway@oneenergyllc.com</w:t>
              </w:r>
            </w:hyperlink>
          </w:p>
          <w:p w:rsidR="00E67084" w:rsidRPr="00EE3930" w:rsidP="00262DC1" w14:paraId="3AE6A055" w14:textId="77777777">
            <w:pPr>
              <w:autoSpaceDE w:val="0"/>
              <w:autoSpaceDN w:val="0"/>
              <w:adjustRightInd w:val="0"/>
              <w:rPr>
                <w:rFonts w:eastAsia="Times New Roman"/>
                <w:color w:val="0000FF"/>
                <w:u w:val="single"/>
                <w:lang w:bidi="en-US"/>
              </w:rPr>
            </w:pPr>
            <w:hyperlink r:id="rId22" w:history="1">
              <w:r w:rsidRPr="00EE3930" w:rsidR="00DA7D27">
                <w:rPr>
                  <w:rFonts w:eastAsia="Times New Roman"/>
                  <w:color w:val="0000FF"/>
                  <w:u w:val="single"/>
                  <w:lang w:bidi="en-US"/>
                </w:rPr>
                <w:t>jdunn@oneenergyllc.com</w:t>
              </w:r>
            </w:hyperlink>
          </w:p>
          <w:p w:rsidR="00E67084" w:rsidRPr="00EE3930" w:rsidP="00262DC1" w14:paraId="3CA1B97E" w14:textId="77777777">
            <w:pPr>
              <w:autoSpaceDE w:val="0"/>
              <w:autoSpaceDN w:val="0"/>
              <w:adjustRightInd w:val="0"/>
              <w:rPr>
                <w:rFonts w:eastAsia="Times New Roman"/>
                <w:color w:val="0000FF"/>
                <w:u w:val="single"/>
                <w:lang w:bidi="en-US"/>
              </w:rPr>
            </w:pPr>
            <w:hyperlink r:id="rId23" w:history="1">
              <w:r w:rsidRPr="00EE3930" w:rsidR="00DA7D27">
                <w:rPr>
                  <w:rFonts w:eastAsia="Times New Roman"/>
                  <w:color w:val="0000FF"/>
                  <w:u w:val="single"/>
                  <w:lang w:bidi="en-US"/>
                </w:rPr>
                <w:t>dborchers@bricker.com</w:t>
              </w:r>
            </w:hyperlink>
          </w:p>
          <w:p w:rsidR="00E67084" w:rsidRPr="00EE3930" w:rsidP="00262DC1" w14:paraId="2355DDBC" w14:textId="77777777">
            <w:pPr>
              <w:autoSpaceDE w:val="0"/>
              <w:autoSpaceDN w:val="0"/>
              <w:adjustRightInd w:val="0"/>
              <w:rPr>
                <w:rFonts w:eastAsia="Times New Roman"/>
                <w:color w:val="0000FF"/>
                <w:u w:val="single"/>
                <w:lang w:bidi="en-US"/>
              </w:rPr>
            </w:pPr>
            <w:r w:rsidRPr="00EE3930">
              <w:rPr>
                <w:rFonts w:eastAsia="Times New Roman"/>
                <w:color w:val="0000FF"/>
                <w:u w:val="single"/>
                <w:lang w:bidi="en-US"/>
              </w:rPr>
              <w:t>kherrnstein@bricker.com</w:t>
            </w:r>
          </w:p>
          <w:p w:rsidR="00E67084" w:rsidRPr="00EE3930" w:rsidP="00262DC1" w14:paraId="3028294C" w14:textId="77777777">
            <w:pPr>
              <w:autoSpaceDE w:val="0"/>
              <w:autoSpaceDN w:val="0"/>
              <w:adjustRightInd w:val="0"/>
              <w:rPr>
                <w:rFonts w:eastAsia="Times New Roman"/>
                <w:color w:val="0000FF"/>
                <w:u w:val="single"/>
                <w:lang w:bidi="en-US"/>
              </w:rPr>
            </w:pPr>
            <w:hyperlink r:id="rId24" w:history="1">
              <w:r w:rsidRPr="00EE3930" w:rsidR="00DA7D27">
                <w:rPr>
                  <w:rFonts w:eastAsia="Times New Roman"/>
                  <w:color w:val="0000FF"/>
                  <w:u w:val="single"/>
                  <w:lang w:bidi="en-US"/>
                </w:rPr>
                <w:t>Fdarr2019@gmail.com</w:t>
              </w:r>
            </w:hyperlink>
          </w:p>
          <w:p w:rsidR="00E67084" w:rsidRPr="00EE3930" w:rsidP="00262DC1" w14:paraId="0FC524B3" w14:textId="77777777">
            <w:pPr>
              <w:autoSpaceDE w:val="0"/>
              <w:autoSpaceDN w:val="0"/>
              <w:adjustRightInd w:val="0"/>
              <w:rPr>
                <w:rFonts w:eastAsia="Times New Roman"/>
                <w:color w:val="0000FF"/>
                <w:u w:val="single"/>
                <w:lang w:bidi="en-US"/>
              </w:rPr>
            </w:pPr>
            <w:r w:rsidRPr="00EE3930">
              <w:rPr>
                <w:rFonts w:eastAsia="Times New Roman"/>
                <w:color w:val="0000FF"/>
                <w:u w:val="single"/>
                <w:lang w:bidi="en-US"/>
              </w:rPr>
              <w:t>paul@carpenterlipps.com</w:t>
            </w:r>
          </w:p>
          <w:p w:rsidR="00E67084" w:rsidRPr="00EE3930" w:rsidP="00262DC1" w14:paraId="191DA392" w14:textId="77777777">
            <w:pPr>
              <w:autoSpaceDE w:val="0"/>
              <w:autoSpaceDN w:val="0"/>
              <w:adjustRightInd w:val="0"/>
              <w:rPr>
                <w:rFonts w:eastAsia="Times New Roman"/>
                <w:color w:val="0000FF"/>
                <w:lang w:bidi="en-US"/>
              </w:rPr>
            </w:pPr>
            <w:hyperlink r:id="rId25" w:history="1">
              <w:r w:rsidRPr="00EE3930" w:rsidR="00DA7D27">
                <w:rPr>
                  <w:rFonts w:eastAsia="Times New Roman"/>
                  <w:color w:val="0000FF"/>
                  <w:u w:val="single"/>
                  <w:lang w:bidi="en-US"/>
                </w:rPr>
                <w:t>rdove@keglerbrown.com</w:t>
              </w:r>
            </w:hyperlink>
          </w:p>
          <w:p w:rsidR="00E67084" w:rsidRPr="00EE3930" w:rsidP="00262DC1" w14:paraId="2118E8E4" w14:textId="5CEA4E19">
            <w:pPr>
              <w:autoSpaceDE w:val="0"/>
              <w:autoSpaceDN w:val="0"/>
              <w:adjustRightInd w:val="0"/>
              <w:rPr>
                <w:rFonts w:eastAsia="Times New Roman"/>
                <w:color w:val="0000FF"/>
                <w:u w:val="single"/>
                <w:lang w:bidi="en-US"/>
              </w:rPr>
            </w:pPr>
            <w:hyperlink r:id="rId26" w:history="1">
              <w:r w:rsidRPr="00EE3930" w:rsidR="00DA7D27">
                <w:rPr>
                  <w:rFonts w:eastAsia="Times New Roman"/>
                  <w:color w:val="0000FF"/>
                  <w:u w:val="single"/>
                  <w:lang w:bidi="en-US"/>
                </w:rPr>
                <w:t>trent@hubaydougherty.com</w:t>
              </w:r>
            </w:hyperlink>
          </w:p>
          <w:p w:rsidR="00E67084" w:rsidRPr="00EE3930" w:rsidP="00262DC1" w14:paraId="23C2FB23" w14:textId="0A293054">
            <w:pPr>
              <w:autoSpaceDE w:val="0"/>
              <w:autoSpaceDN w:val="0"/>
              <w:adjustRightInd w:val="0"/>
              <w:rPr>
                <w:rFonts w:eastAsia="Times New Roman"/>
                <w:color w:val="0000FF"/>
                <w:u w:val="single"/>
                <w:lang w:bidi="en-US"/>
              </w:rPr>
            </w:pPr>
          </w:p>
          <w:p w:rsidR="00151EFB" w:rsidRPr="00EE3930" w:rsidP="00151EFB" w14:paraId="00AB0BD1" w14:textId="77777777">
            <w:pPr>
              <w:autoSpaceDE w:val="0"/>
              <w:autoSpaceDN w:val="0"/>
              <w:adjustRightInd w:val="0"/>
              <w:rPr>
                <w:rStyle w:val="Hyperlink"/>
                <w:color w:val="auto"/>
                <w:u w:val="none"/>
              </w:rPr>
            </w:pPr>
            <w:r w:rsidRPr="00EE3930">
              <w:rPr>
                <w:rStyle w:val="Hyperlink"/>
                <w:color w:val="auto"/>
                <w:u w:val="none"/>
              </w:rPr>
              <w:t>Attorney Examiners:</w:t>
            </w:r>
          </w:p>
          <w:p w:rsidR="00151EFB" w:rsidRPr="00EE3930" w:rsidP="00151EFB" w14:paraId="3CF0FF4F" w14:textId="77777777">
            <w:pPr>
              <w:autoSpaceDE w:val="0"/>
              <w:autoSpaceDN w:val="0"/>
              <w:adjustRightInd w:val="0"/>
              <w:rPr>
                <w:color w:val="0000FF"/>
              </w:rPr>
            </w:pPr>
            <w:hyperlink r:id="rId27" w:history="1">
              <w:r w:rsidRPr="00EE3930" w:rsidR="00DA7D27">
                <w:rPr>
                  <w:rStyle w:val="Hyperlink"/>
                </w:rPr>
                <w:t>matthew.sandor@puco.ohio.gov</w:t>
              </w:r>
            </w:hyperlink>
          </w:p>
          <w:p w:rsidR="00E67084" w:rsidRPr="00EE3930" w:rsidP="00B40C39" w14:paraId="6B13C188" w14:textId="11E4BEF1">
            <w:pPr>
              <w:autoSpaceDE w:val="0"/>
              <w:autoSpaceDN w:val="0"/>
              <w:adjustRightInd w:val="0"/>
              <w:rPr>
                <w:color w:val="0000FF"/>
              </w:rPr>
            </w:pPr>
            <w:hyperlink r:id="rId28" w:history="1">
              <w:r w:rsidRPr="00EE3930" w:rsidR="00151EFB">
                <w:rPr>
                  <w:rStyle w:val="Hyperlink"/>
                </w:rPr>
                <w:t>nicholas.walstra@puco.ohio.gov</w:t>
              </w:r>
            </w:hyperlink>
          </w:p>
        </w:tc>
        <w:tc>
          <w:tcPr>
            <w:tcW w:w="4428" w:type="dxa"/>
            <w:shd w:val="clear" w:color="auto" w:fill="auto"/>
          </w:tcPr>
          <w:p w:rsidR="00E67084" w:rsidRPr="00EE3930" w:rsidP="00262DC1" w14:paraId="6FF464AE" w14:textId="77777777">
            <w:pPr>
              <w:widowControl w:val="0"/>
              <w:ind w:left="100"/>
              <w:rPr>
                <w:rFonts w:eastAsia="Times New Roman"/>
                <w:bCs/>
              </w:rPr>
            </w:pPr>
            <w:hyperlink r:id="rId29" w:history="1">
              <w:r w:rsidRPr="00EE3930" w:rsidR="00DA7D27">
                <w:rPr>
                  <w:rFonts w:eastAsia="Times New Roman"/>
                  <w:color w:val="0000FF"/>
                  <w:u w:val="single"/>
                </w:rPr>
                <w:t>Rocco.dascenzo@duke-energy.com</w:t>
              </w:r>
            </w:hyperlink>
          </w:p>
          <w:p w:rsidR="00E67084" w:rsidRPr="00EE3930" w:rsidP="00262DC1" w14:paraId="0DC7652B" w14:textId="77777777">
            <w:pPr>
              <w:widowControl w:val="0"/>
              <w:ind w:left="100"/>
              <w:rPr>
                <w:rFonts w:eastAsia="Times New Roman"/>
                <w:bCs/>
              </w:rPr>
            </w:pPr>
            <w:hyperlink r:id="rId30" w:history="1">
              <w:r w:rsidRPr="00EE3930" w:rsidR="00DA7D27">
                <w:rPr>
                  <w:rFonts w:eastAsia="Times New Roman"/>
                  <w:color w:val="0000FF"/>
                  <w:u w:val="single"/>
                </w:rPr>
                <w:t>Jeanne.kingery@duke-energy.com</w:t>
              </w:r>
            </w:hyperlink>
          </w:p>
          <w:p w:rsidR="00E67084" w:rsidRPr="00EE3930" w:rsidP="00262DC1" w14:paraId="3580E323" w14:textId="77777777">
            <w:pPr>
              <w:widowControl w:val="0"/>
              <w:ind w:left="100"/>
              <w:rPr>
                <w:rFonts w:eastAsia="Times New Roman"/>
                <w:bCs/>
                <w:color w:val="0000FF"/>
                <w:u w:val="single"/>
              </w:rPr>
            </w:pPr>
            <w:hyperlink r:id="rId31" w:history="1">
              <w:r w:rsidRPr="00EE3930" w:rsidR="00DA7D27">
                <w:rPr>
                  <w:rFonts w:eastAsia="Times New Roman"/>
                  <w:color w:val="0000FF"/>
                  <w:u w:val="single"/>
                </w:rPr>
                <w:t>Larisa.vaysman@duke-energy.com</w:t>
              </w:r>
            </w:hyperlink>
          </w:p>
          <w:p w:rsidR="00E67084" w:rsidRPr="00EE3930" w:rsidP="00262DC1" w14:paraId="2C967841" w14:textId="77777777">
            <w:pPr>
              <w:widowControl w:val="0"/>
              <w:ind w:left="100"/>
              <w:rPr>
                <w:rFonts w:eastAsia="Times New Roman"/>
                <w:bCs/>
              </w:rPr>
            </w:pPr>
            <w:hyperlink r:id="rId32" w:history="1">
              <w:r w:rsidRPr="00EE3930" w:rsidR="00DA7D27">
                <w:rPr>
                  <w:rFonts w:eastAsia="Times New Roman"/>
                  <w:color w:val="0000FF"/>
                  <w:u w:val="single"/>
                </w:rPr>
                <w:t>elyse.akhbari@duke-energy.com</w:t>
              </w:r>
            </w:hyperlink>
          </w:p>
          <w:p w:rsidR="00E67084" w:rsidRPr="00EE3930" w:rsidP="00262DC1" w14:paraId="2390147B" w14:textId="77777777">
            <w:pPr>
              <w:widowControl w:val="0"/>
              <w:ind w:left="100"/>
              <w:rPr>
                <w:rFonts w:eastAsia="Times New Roman"/>
                <w:bCs/>
              </w:rPr>
            </w:pPr>
            <w:hyperlink r:id="rId33" w:history="1">
              <w:r w:rsidRPr="00EE3930" w:rsidR="00DA7D27">
                <w:rPr>
                  <w:rFonts w:eastAsia="Times New Roman"/>
                  <w:color w:val="0000FF"/>
                  <w:u w:val="single"/>
                </w:rPr>
                <w:t>ebrama@taftlaw.com</w:t>
              </w:r>
            </w:hyperlink>
          </w:p>
          <w:p w:rsidR="00E67084" w:rsidRPr="00EE3930" w:rsidP="00262DC1" w14:paraId="696E755E" w14:textId="77777777">
            <w:pPr>
              <w:widowControl w:val="0"/>
              <w:ind w:left="100"/>
              <w:rPr>
                <w:rFonts w:eastAsia="Times New Roman"/>
                <w:bCs/>
              </w:rPr>
            </w:pPr>
            <w:hyperlink r:id="rId34" w:history="1">
              <w:r w:rsidRPr="00EE3930" w:rsidR="00DA7D27">
                <w:rPr>
                  <w:rFonts w:eastAsia="Times New Roman"/>
                  <w:color w:val="0000FF"/>
                  <w:u w:val="single"/>
                </w:rPr>
                <w:t>Bethany.allen@igs.com</w:t>
              </w:r>
            </w:hyperlink>
          </w:p>
          <w:p w:rsidR="00E67084" w:rsidRPr="00EE3930" w:rsidP="00262DC1" w14:paraId="4D998A50" w14:textId="77777777">
            <w:pPr>
              <w:widowControl w:val="0"/>
              <w:ind w:left="100"/>
              <w:rPr>
                <w:rFonts w:eastAsia="Times New Roman"/>
                <w:bCs/>
              </w:rPr>
            </w:pPr>
            <w:hyperlink r:id="rId35" w:history="1">
              <w:r w:rsidRPr="00EE3930" w:rsidR="00DA7D27">
                <w:rPr>
                  <w:rFonts w:eastAsia="Times New Roman"/>
                  <w:color w:val="0000FF"/>
                  <w:u w:val="single"/>
                </w:rPr>
                <w:t>Joe.oliker@igs.com</w:t>
              </w:r>
            </w:hyperlink>
          </w:p>
          <w:p w:rsidR="00E67084" w:rsidRPr="00EE3930" w:rsidP="00262DC1" w14:paraId="165BFFDF" w14:textId="77777777">
            <w:pPr>
              <w:widowControl w:val="0"/>
              <w:ind w:left="100"/>
              <w:rPr>
                <w:rFonts w:eastAsia="Times New Roman"/>
                <w:bCs/>
                <w:color w:val="0000FF"/>
                <w:u w:val="single"/>
              </w:rPr>
            </w:pPr>
            <w:hyperlink r:id="rId36" w:history="1">
              <w:r w:rsidRPr="00EE3930" w:rsidR="00DA7D27">
                <w:rPr>
                  <w:rFonts w:eastAsia="Times New Roman"/>
                  <w:color w:val="0000FF"/>
                  <w:u w:val="single"/>
                </w:rPr>
                <w:t>Evan.betterton@igs.com</w:t>
              </w:r>
            </w:hyperlink>
          </w:p>
          <w:p w:rsidR="00E67084" w:rsidRPr="00EE3930" w:rsidP="00262DC1" w14:paraId="6273DB90" w14:textId="77777777">
            <w:pPr>
              <w:widowControl w:val="0"/>
              <w:ind w:left="100"/>
              <w:rPr>
                <w:rFonts w:eastAsia="Times New Roman"/>
                <w:bCs/>
                <w:color w:val="0000FF"/>
                <w:u w:val="single"/>
              </w:rPr>
            </w:pPr>
            <w:hyperlink r:id="rId37" w:history="1">
              <w:r w:rsidRPr="00EE3930" w:rsidR="00DA7D27">
                <w:rPr>
                  <w:rFonts w:eastAsia="Times New Roman"/>
                  <w:bCs/>
                  <w:color w:val="0000FF"/>
                  <w:u w:val="single"/>
                </w:rPr>
                <w:t>Stacie.e.cathcart@igs.com</w:t>
              </w:r>
            </w:hyperlink>
          </w:p>
          <w:p w:rsidR="00E67084" w:rsidRPr="00EE3930" w:rsidP="00262DC1" w14:paraId="11BAFD14" w14:textId="77777777">
            <w:pPr>
              <w:widowControl w:val="0"/>
              <w:ind w:left="100"/>
              <w:rPr>
                <w:rFonts w:eastAsia="Times New Roman"/>
                <w:bCs/>
                <w:color w:val="0000FF"/>
                <w:u w:val="single"/>
              </w:rPr>
            </w:pPr>
            <w:r w:rsidRPr="00EE3930">
              <w:rPr>
                <w:rFonts w:eastAsia="Times New Roman"/>
                <w:bCs/>
                <w:color w:val="0000FF"/>
                <w:u w:val="single"/>
              </w:rPr>
              <w:t>michael.nugent@igs.com</w:t>
            </w:r>
          </w:p>
          <w:p w:rsidR="00E67084" w:rsidRPr="00EE3930" w:rsidP="00262DC1" w14:paraId="4D8BB2F8" w14:textId="77777777">
            <w:pPr>
              <w:widowControl w:val="0"/>
              <w:ind w:left="100"/>
              <w:rPr>
                <w:rFonts w:eastAsia="Times New Roman"/>
                <w:bCs/>
                <w:color w:val="0000FF"/>
                <w:u w:val="single"/>
              </w:rPr>
            </w:pPr>
            <w:hyperlink r:id="rId38" w:history="1">
              <w:r w:rsidRPr="00EE3930" w:rsidR="00DA7D27">
                <w:rPr>
                  <w:rFonts w:eastAsia="Times New Roman"/>
                  <w:color w:val="0000FF"/>
                  <w:u w:val="single"/>
                </w:rPr>
                <w:t>jlang@calfee.com</w:t>
              </w:r>
            </w:hyperlink>
          </w:p>
          <w:p w:rsidR="00E67084" w:rsidRPr="00EE3930" w:rsidP="00262DC1" w14:paraId="035DB19C" w14:textId="77777777">
            <w:pPr>
              <w:widowControl w:val="0"/>
              <w:ind w:left="100"/>
              <w:rPr>
                <w:rFonts w:eastAsia="Times New Roman"/>
                <w:color w:val="0000FF"/>
                <w:u w:val="single"/>
              </w:rPr>
            </w:pPr>
            <w:hyperlink r:id="rId39" w:history="1">
              <w:r w:rsidRPr="00EE3930" w:rsidR="00DA7D27">
                <w:rPr>
                  <w:rFonts w:eastAsia="Times New Roman"/>
                  <w:color w:val="0000FF"/>
                  <w:u w:val="single"/>
                </w:rPr>
                <w:t>gjewell@calfee.com</w:t>
              </w:r>
            </w:hyperlink>
          </w:p>
          <w:p w:rsidR="00E67084" w:rsidRPr="00EE3930" w:rsidP="00262DC1" w14:paraId="3C735529" w14:textId="77777777">
            <w:pPr>
              <w:widowControl w:val="0"/>
              <w:ind w:left="100"/>
              <w:rPr>
                <w:rFonts w:eastAsia="Times New Roman"/>
                <w:color w:val="0000FF"/>
                <w:u w:val="single"/>
              </w:rPr>
            </w:pPr>
            <w:hyperlink r:id="rId40" w:history="1">
              <w:r w:rsidRPr="00EE3930" w:rsidR="00DA7D27">
                <w:rPr>
                  <w:rFonts w:eastAsia="Times New Roman"/>
                  <w:color w:val="0000FF"/>
                  <w:u w:val="single"/>
                </w:rPr>
                <w:t>gwhaling@calfee.com</w:t>
              </w:r>
            </w:hyperlink>
          </w:p>
          <w:p w:rsidR="00E67084" w:rsidRPr="00EE3930" w:rsidP="00262DC1" w14:paraId="2F96D52C" w14:textId="77777777">
            <w:pPr>
              <w:widowControl w:val="0"/>
              <w:ind w:left="100"/>
              <w:rPr>
                <w:rFonts w:eastAsia="Times New Roman"/>
                <w:color w:val="0000FF"/>
                <w:u w:val="single"/>
              </w:rPr>
            </w:pPr>
            <w:r w:rsidRPr="00EE3930">
              <w:rPr>
                <w:rFonts w:eastAsia="Times New Roman"/>
                <w:color w:val="0000FF"/>
                <w:u w:val="single"/>
              </w:rPr>
              <w:t>sfranson@calfee.com</w:t>
            </w:r>
          </w:p>
          <w:p w:rsidR="00E67084" w:rsidRPr="00EE3930" w:rsidP="00262DC1" w14:paraId="487CB334" w14:textId="77777777">
            <w:pPr>
              <w:widowControl w:val="0"/>
              <w:ind w:left="100"/>
              <w:rPr>
                <w:rFonts w:eastAsia="Times New Roman"/>
                <w:bCs/>
              </w:rPr>
            </w:pPr>
            <w:hyperlink r:id="rId41" w:history="1">
              <w:r w:rsidRPr="00EE3930" w:rsidR="00DA7D27">
                <w:rPr>
                  <w:rFonts w:eastAsia="Times New Roman"/>
                  <w:color w:val="0000FF"/>
                  <w:u w:val="single"/>
                </w:rPr>
                <w:t>dromig@nationwideenergypartners.com</w:t>
              </w:r>
            </w:hyperlink>
          </w:p>
          <w:p w:rsidR="00E67084" w:rsidRPr="00EE3930" w:rsidP="00262DC1" w14:paraId="72F3B0E6" w14:textId="77777777">
            <w:pPr>
              <w:widowControl w:val="0"/>
              <w:ind w:left="100"/>
              <w:rPr>
                <w:rFonts w:eastAsia="Times New Roman"/>
                <w:bCs/>
              </w:rPr>
            </w:pPr>
            <w:hyperlink r:id="rId42" w:history="1">
              <w:r w:rsidRPr="00EE3930" w:rsidR="00DA7D27">
                <w:rPr>
                  <w:rFonts w:eastAsia="Times New Roman"/>
                  <w:color w:val="0000FF"/>
                  <w:u w:val="single"/>
                </w:rPr>
                <w:t>Bojko@carpenterlipps.com</w:t>
              </w:r>
            </w:hyperlink>
          </w:p>
          <w:p w:rsidR="00E67084" w:rsidRPr="00EE3930" w:rsidP="00262DC1" w14:paraId="09D64DB0" w14:textId="77777777">
            <w:pPr>
              <w:widowControl w:val="0"/>
              <w:ind w:left="100"/>
              <w:rPr>
                <w:rFonts w:eastAsia="Times New Roman"/>
                <w:bCs/>
              </w:rPr>
            </w:pPr>
            <w:hyperlink r:id="rId43" w:history="1">
              <w:r w:rsidRPr="00EE3930" w:rsidR="00DA7D27">
                <w:rPr>
                  <w:rFonts w:eastAsia="Times New Roman"/>
                  <w:color w:val="0000FF"/>
                  <w:u w:val="single"/>
                </w:rPr>
                <w:t>cgrundmann@spilmanlaw.com</w:t>
              </w:r>
            </w:hyperlink>
          </w:p>
          <w:p w:rsidR="00E67084" w:rsidRPr="00EE3930" w:rsidP="00262DC1" w14:paraId="7D6EFC3A" w14:textId="77777777">
            <w:pPr>
              <w:widowControl w:val="0"/>
              <w:ind w:left="100"/>
              <w:rPr>
                <w:rFonts w:eastAsia="Times New Roman"/>
                <w:bCs/>
                <w:color w:val="0000FF"/>
                <w:u w:val="single"/>
              </w:rPr>
            </w:pPr>
            <w:hyperlink r:id="rId44" w:history="1">
              <w:r w:rsidRPr="00EE3930" w:rsidR="00DA7D27">
                <w:rPr>
                  <w:rFonts w:eastAsia="Times New Roman"/>
                  <w:color w:val="0000FF"/>
                  <w:u w:val="single"/>
                </w:rPr>
                <w:t>dwilliamson@spilmanlaw.com</w:t>
              </w:r>
            </w:hyperlink>
          </w:p>
          <w:p w:rsidR="00E67084" w:rsidRPr="00EE3930" w:rsidP="00262DC1" w14:paraId="25CF2C1E" w14:textId="77777777">
            <w:pPr>
              <w:autoSpaceDE w:val="0"/>
              <w:autoSpaceDN w:val="0"/>
              <w:adjustRightInd w:val="0"/>
              <w:ind w:left="100"/>
              <w:rPr>
                <w:rFonts w:eastAsia="Times New Roman"/>
                <w:color w:val="0000FF"/>
                <w:lang w:bidi="en-US"/>
              </w:rPr>
            </w:pPr>
            <w:hyperlink r:id="rId45" w:history="1">
              <w:r w:rsidRPr="00EE3930" w:rsidR="00DA7D27">
                <w:rPr>
                  <w:rFonts w:eastAsia="Times New Roman"/>
                  <w:color w:val="0000FF"/>
                  <w:u w:val="single"/>
                  <w:lang w:bidi="en-US"/>
                </w:rPr>
                <w:t>cpirik@dickinsonwright.com</w:t>
              </w:r>
            </w:hyperlink>
          </w:p>
          <w:p w:rsidR="00E67084" w:rsidRPr="00EE3930" w:rsidP="00262DC1" w14:paraId="17DC35DF" w14:textId="77777777">
            <w:pPr>
              <w:autoSpaceDE w:val="0"/>
              <w:autoSpaceDN w:val="0"/>
              <w:adjustRightInd w:val="0"/>
              <w:ind w:left="100"/>
              <w:rPr>
                <w:rFonts w:eastAsia="Times New Roman"/>
                <w:color w:val="0000FF"/>
                <w:lang w:bidi="en-US"/>
              </w:rPr>
            </w:pPr>
            <w:hyperlink r:id="rId46" w:history="1">
              <w:r w:rsidRPr="00EE3930" w:rsidR="00DA7D27">
                <w:rPr>
                  <w:rFonts w:eastAsia="Times New Roman"/>
                  <w:color w:val="0000FF"/>
                  <w:u w:val="single"/>
                  <w:lang w:bidi="en-US"/>
                </w:rPr>
                <w:t>todonnell@dickinsonwright.com</w:t>
              </w:r>
            </w:hyperlink>
          </w:p>
          <w:p w:rsidR="00E67084" w:rsidRPr="00EE3930" w:rsidP="00262DC1" w14:paraId="760B5D9C" w14:textId="77777777">
            <w:pPr>
              <w:autoSpaceDE w:val="0"/>
              <w:autoSpaceDN w:val="0"/>
              <w:adjustRightInd w:val="0"/>
              <w:ind w:left="100"/>
              <w:rPr>
                <w:rFonts w:eastAsia="Times New Roman"/>
                <w:color w:val="0000FF"/>
                <w:lang w:bidi="en-US"/>
              </w:rPr>
            </w:pPr>
            <w:hyperlink r:id="rId47" w:history="1">
              <w:r w:rsidRPr="00EE3930" w:rsidR="00DA7D27">
                <w:rPr>
                  <w:rFonts w:eastAsia="Times New Roman"/>
                  <w:color w:val="0000FF"/>
                  <w:u w:val="single"/>
                  <w:lang w:bidi="en-US"/>
                </w:rPr>
                <w:t>mmcdonnell@dickinsonwright.com</w:t>
              </w:r>
            </w:hyperlink>
          </w:p>
          <w:p w:rsidR="00E67084" w:rsidRPr="00EE3930" w:rsidP="00262DC1" w14:paraId="2D133351" w14:textId="77777777">
            <w:pPr>
              <w:widowControl w:val="0"/>
              <w:ind w:left="100"/>
              <w:rPr>
                <w:rFonts w:eastAsia="Times New Roman"/>
                <w:bCs/>
              </w:rPr>
            </w:pPr>
          </w:p>
          <w:p w:rsidR="00E67084" w:rsidRPr="00EE3930" w:rsidP="00262DC1" w14:paraId="54A477D3" w14:textId="77777777">
            <w:pPr>
              <w:widowControl w:val="0"/>
              <w:ind w:left="100"/>
              <w:rPr>
                <w:rFonts w:eastAsia="Times New Roman"/>
                <w:bCs/>
              </w:rPr>
            </w:pPr>
          </w:p>
          <w:p w:rsidR="00E67084" w:rsidRPr="00EE3930" w:rsidP="00262DC1" w14:paraId="4495CBD8" w14:textId="77777777">
            <w:pPr>
              <w:rPr>
                <w:rFonts w:eastAsia="Times New Roman"/>
                <w:lang w:bidi="en-US"/>
              </w:rPr>
            </w:pPr>
          </w:p>
        </w:tc>
      </w:tr>
      <w:bookmarkEnd w:id="17"/>
      <w:bookmarkEnd w:id="18"/>
    </w:tbl>
    <w:p w:rsidR="007177DE" w:rsidRPr="0001248A" w14:paraId="1AE1C680" w14:textId="360DE6BF">
      <w:pPr>
        <w:tabs>
          <w:tab w:val="left" w:pos="3330"/>
        </w:tabs>
      </w:pPr>
    </w:p>
    <w:sectPr w:rsidSect="00C86172">
      <w:footerReference w:type="default" r:id="rId48"/>
      <w:type w:val="continuous"/>
      <w:pgSz w:w="12240" w:h="15840" w:code="1"/>
      <w:pgMar w:top="1440" w:right="1800" w:bottom="1440" w:left="1800" w:header="720" w:footer="720" w:gutter="0"/>
      <w:pgNumType w:star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9702449"/>
      <w:docPartObj>
        <w:docPartGallery w:val="Page Numbers (Bottom of Page)"/>
        <w:docPartUnique/>
      </w:docPartObj>
    </w:sdtPr>
    <w:sdtEndPr>
      <w:rPr>
        <w:noProof/>
      </w:rPr>
    </w:sdtEndPr>
    <w:sdtContent>
      <w:p w:rsidR="00FD5C6C" w14:paraId="1695B628" w14:textId="52005A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8980325"/>
      <w:docPartObj>
        <w:docPartGallery w:val="Page Numbers (Bottom of Page)"/>
        <w:docPartUnique/>
      </w:docPartObj>
    </w:sdtPr>
    <w:sdtEndPr>
      <w:rPr>
        <w:noProof/>
      </w:rPr>
    </w:sdtEndPr>
    <w:sdtContent>
      <w:p w:rsidR="00237FB8" w14:paraId="2827F203" w14:textId="0F6D0A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8103029"/>
      <w:docPartObj>
        <w:docPartGallery w:val="Page Numbers (Bottom of Page)"/>
        <w:docPartUnique/>
      </w:docPartObj>
    </w:sdtPr>
    <w:sdtEndPr>
      <w:rPr>
        <w:noProof/>
      </w:rPr>
    </w:sdtEndPr>
    <w:sdtContent>
      <w:p w:rsidR="00923FE3" w14:paraId="4F9708B8" w14:textId="1FD497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6211533"/>
      <w:docPartObj>
        <w:docPartGallery w:val="Page Numbers (Bottom of Page)"/>
        <w:docPartUnique/>
      </w:docPartObj>
    </w:sdtPr>
    <w:sdtEndPr>
      <w:rPr>
        <w:noProof/>
      </w:rPr>
    </w:sdtEndPr>
    <w:sdtContent>
      <w:p w:rsidR="00E42020" w14:paraId="4330E1CB" w14:textId="68D370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346C" w14:paraId="55242B77" w14:textId="77777777">
      <w:r>
        <w:separator/>
      </w:r>
    </w:p>
  </w:footnote>
  <w:footnote w:type="continuationSeparator" w:id="1">
    <w:p w:rsidR="00E4346C" w14:paraId="257EF846" w14:textId="77777777">
      <w:r>
        <w:continuationSeparator/>
      </w:r>
    </w:p>
  </w:footnote>
  <w:footnote w:id="2">
    <w:p w:rsidR="007F4A5A" w:rsidRPr="00CD46B3" w:rsidP="0001248A" w14:paraId="0775A115" w14:textId="3AA406A3">
      <w:pPr>
        <w:pStyle w:val="BodyTextIndent3"/>
        <w:widowControl w:val="0"/>
        <w:ind w:left="0" w:right="-29"/>
        <w:rPr>
          <w:sz w:val="20"/>
          <w:szCs w:val="20"/>
        </w:rPr>
      </w:pPr>
      <w:r w:rsidRPr="00CD46B3">
        <w:rPr>
          <w:rStyle w:val="FootnoteReference"/>
          <w:sz w:val="20"/>
          <w:szCs w:val="20"/>
        </w:rPr>
        <w:footnoteRef/>
      </w:r>
      <w:r w:rsidRPr="00CD46B3">
        <w:rPr>
          <w:sz w:val="20"/>
          <w:szCs w:val="20"/>
        </w:rPr>
        <w:t xml:space="preserve"> </w:t>
      </w:r>
      <w:r w:rsidRPr="00CD46B3">
        <w:rPr>
          <w:sz w:val="20"/>
          <w:szCs w:val="20"/>
          <w:lang w:bidi="ar-SA"/>
        </w:rPr>
        <w:t xml:space="preserve">The amount is calculated from a current $6 in </w:t>
      </w:r>
      <w:r w:rsidRPr="00CD46B3" w:rsidR="0011486B">
        <w:rPr>
          <w:sz w:val="20"/>
          <w:szCs w:val="20"/>
          <w:lang w:bidi="ar-SA"/>
        </w:rPr>
        <w:t>Consumer</w:t>
      </w:r>
      <w:r w:rsidRPr="00CD46B3">
        <w:rPr>
          <w:sz w:val="20"/>
          <w:szCs w:val="20"/>
          <w:lang w:bidi="ar-SA"/>
        </w:rPr>
        <w:t xml:space="preserve"> Charge and $0.031482/kWH in energy charge.</w:t>
      </w:r>
      <w:r w:rsidRPr="00CD46B3">
        <w:rPr>
          <w:sz w:val="20"/>
          <w:szCs w:val="20"/>
        </w:rPr>
        <w:t xml:space="preserve"> </w:t>
      </w:r>
      <w:r w:rsidRPr="00CD46B3">
        <w:rPr>
          <w:i/>
          <w:iCs/>
          <w:sz w:val="20"/>
          <w:szCs w:val="20"/>
        </w:rPr>
        <w:t>S</w:t>
      </w:r>
      <w:r w:rsidRPr="00CD46B3">
        <w:rPr>
          <w:i/>
          <w:iCs/>
          <w:sz w:val="20"/>
          <w:szCs w:val="20"/>
          <w:lang w:bidi="ar-SA"/>
        </w:rPr>
        <w:t>ee</w:t>
      </w:r>
      <w:r w:rsidRPr="00CD46B3">
        <w:rPr>
          <w:sz w:val="20"/>
          <w:szCs w:val="20"/>
          <w:lang w:bidi="ar-SA"/>
        </w:rPr>
        <w:t xml:space="preserve"> Application Schedule E-4.1.</w:t>
      </w:r>
    </w:p>
  </w:footnote>
  <w:footnote w:id="3">
    <w:p w:rsidR="007F4A5A" w:rsidRPr="00CD46B3" w:rsidP="0001248A" w14:paraId="46B14625" w14:textId="30EC6097">
      <w:pPr>
        <w:pStyle w:val="FootnoteText"/>
        <w:spacing w:before="0" w:after="120"/>
      </w:pPr>
      <w:r w:rsidRPr="00CD46B3">
        <w:rPr>
          <w:rStyle w:val="FootnoteReference"/>
        </w:rPr>
        <w:footnoteRef/>
      </w:r>
      <w:r w:rsidRPr="00CD46B3">
        <w:t xml:space="preserve"> </w:t>
      </w:r>
      <w:bookmarkStart w:id="5" w:name="_Hlk105394432"/>
      <w:r w:rsidRPr="00CD46B3">
        <w:t xml:space="preserve">This amount is calculated from $12 in </w:t>
      </w:r>
      <w:r w:rsidRPr="00CD46B3" w:rsidR="0011486B">
        <w:t>Consumer</w:t>
      </w:r>
      <w:r w:rsidRPr="00CD46B3">
        <w:t xml:space="preserve"> Charge and $0.037438/kWH in Energy Charge proposed in the Application. </w:t>
      </w:r>
      <w:r w:rsidRPr="00CD46B3">
        <w:rPr>
          <w:i/>
          <w:iCs/>
        </w:rPr>
        <w:t>See</w:t>
      </w:r>
      <w:r w:rsidRPr="00CD46B3">
        <w:t xml:space="preserve"> Application Schedule E-4.1. </w:t>
      </w:r>
      <w:bookmarkEnd w:id="5"/>
    </w:p>
  </w:footnote>
  <w:footnote w:id="4">
    <w:p w:rsidR="00172C2C" w:rsidP="0001248A" w14:paraId="31155633" w14:textId="2FA78DA3">
      <w:pPr>
        <w:pStyle w:val="FootnoteText"/>
        <w:spacing w:before="0" w:after="120"/>
      </w:pPr>
      <w:r>
        <w:rPr>
          <w:rStyle w:val="FootnoteReference"/>
        </w:rPr>
        <w:footnoteRef/>
      </w:r>
      <w:r>
        <w:t xml:space="preserve"> </w:t>
      </w:r>
      <w:r w:rsidR="00F36148">
        <w:t>Duke Motion to Strike at 8.</w:t>
      </w:r>
    </w:p>
  </w:footnote>
  <w:footnote w:id="5">
    <w:p w:rsidR="00FF49A2" w:rsidRPr="00CD46B3" w:rsidP="0001248A" w14:paraId="37454AE9" w14:textId="72841F3D">
      <w:pPr>
        <w:pStyle w:val="FootnoteText"/>
        <w:spacing w:before="0" w:after="120"/>
        <w:rPr>
          <w:i/>
          <w:iCs/>
        </w:rPr>
      </w:pPr>
      <w:r w:rsidRPr="00CD46B3">
        <w:rPr>
          <w:rStyle w:val="FootnoteReference"/>
        </w:rPr>
        <w:footnoteRef/>
      </w:r>
      <w:r w:rsidRPr="00CD46B3">
        <w:t xml:space="preserve"> </w:t>
      </w:r>
      <w:r w:rsidRPr="00CD46B3" w:rsidR="00C43D2D">
        <w:rPr>
          <w:i/>
          <w:iCs/>
        </w:rPr>
        <w:t>See also</w:t>
      </w:r>
      <w:r w:rsidRPr="00CD46B3" w:rsidR="00FF4331">
        <w:rPr>
          <w:i/>
          <w:iCs/>
        </w:rPr>
        <w:t xml:space="preserve"> </w:t>
      </w:r>
      <w:r w:rsidRPr="00CD46B3" w:rsidR="00FF4331">
        <w:rPr>
          <w:i/>
        </w:rPr>
        <w:t>In the Matter of the Application of Water and Sewer LLC for an Increase in its Rates and Charges</w:t>
      </w:r>
      <w:r w:rsidRPr="00CD46B3" w:rsidR="00FF4331">
        <w:t>, Case No. 08-227-WS-AIR, Opinion and Order</w:t>
      </w:r>
      <w:r w:rsidRPr="00CD46B3" w:rsidR="00F77ABF">
        <w:t>, ¶</w:t>
      </w:r>
      <w:r w:rsidRPr="00CD46B3" w:rsidR="00BD085C">
        <w:t xml:space="preserve"> </w:t>
      </w:r>
      <w:r w:rsidRPr="00CD46B3" w:rsidR="00F77ABF">
        <w:t>6</w:t>
      </w:r>
      <w:r w:rsidRPr="00CD46B3" w:rsidR="00FF4331">
        <w:t xml:space="preserve"> (April 14, 2009).</w:t>
      </w:r>
    </w:p>
  </w:footnote>
  <w:footnote w:id="6">
    <w:p w:rsidR="007177DE" w:rsidRPr="00CD46B3" w:rsidP="0001248A" w14:paraId="411F6670" w14:textId="77777777">
      <w:pPr>
        <w:pStyle w:val="FootnoteText"/>
        <w:spacing w:before="0" w:after="120"/>
      </w:pPr>
      <w:r w:rsidRPr="00CD46B3">
        <w:rPr>
          <w:rStyle w:val="FootnoteReference"/>
        </w:rPr>
        <w:footnoteRef/>
      </w:r>
      <w:r w:rsidRPr="00CD46B3">
        <w:t xml:space="preserve"> </w:t>
      </w:r>
      <w:r w:rsidRPr="00CD46B3">
        <w:rPr>
          <w:bCs/>
        </w:rPr>
        <w:t>Ohio Admin. Code 4901-1-28(B).</w:t>
      </w:r>
    </w:p>
  </w:footnote>
  <w:footnote w:id="7">
    <w:p w:rsidR="007177DE" w:rsidRPr="00CD46B3" w:rsidP="0001248A" w14:paraId="6CA99B18" w14:textId="33842F11">
      <w:pPr>
        <w:pStyle w:val="FootnoteText"/>
        <w:spacing w:before="0" w:after="120"/>
      </w:pPr>
      <w:r w:rsidRPr="00CD46B3">
        <w:rPr>
          <w:rStyle w:val="FootnoteReference"/>
        </w:rPr>
        <w:footnoteRef/>
      </w:r>
      <w:r w:rsidRPr="00CD46B3">
        <w:t xml:space="preserve"> </w:t>
      </w:r>
      <w:r w:rsidRPr="00CD46B3" w:rsidR="00BA65E5">
        <w:rPr>
          <w:i/>
          <w:iCs/>
        </w:rPr>
        <w:t>Id.</w:t>
      </w:r>
    </w:p>
  </w:footnote>
  <w:footnote w:id="8">
    <w:p w:rsidR="007177DE" w:rsidRPr="00E969FC" w:rsidP="0001248A" w14:paraId="41AFE1B4" w14:textId="3CF7401B">
      <w:pPr>
        <w:pStyle w:val="FootnoteText"/>
        <w:spacing w:before="0" w:after="120"/>
      </w:pPr>
      <w:r w:rsidRPr="00CD46B3">
        <w:rPr>
          <w:rStyle w:val="FootnoteReference"/>
        </w:rPr>
        <w:footnoteRef/>
      </w:r>
      <w:r w:rsidRPr="00CD46B3">
        <w:t xml:space="preserve"> </w:t>
      </w:r>
      <w:r w:rsidRPr="00CD46B3">
        <w:rPr>
          <w:i/>
        </w:rPr>
        <w:t>In the Matter of the Application of Water and Sewer LLC for an Increase in its Rates and Charges</w:t>
      </w:r>
      <w:r w:rsidRPr="00CD46B3">
        <w:t>, Case No. 08-227-WS-AIR, Opinion and Order</w:t>
      </w:r>
      <w:r w:rsidRPr="00CD46B3" w:rsidR="00E07035">
        <w:t>, ¶</w:t>
      </w:r>
      <w:r w:rsidRPr="00182262" w:rsidR="00BD085C">
        <w:t xml:space="preserve"> </w:t>
      </w:r>
      <w:r w:rsidRPr="00D07232" w:rsidR="00E07035">
        <w:t>6</w:t>
      </w:r>
      <w:r w:rsidRPr="00D07232">
        <w:t xml:space="preserve"> (April 14, 2009)</w:t>
      </w:r>
      <w:r w:rsidRPr="00D07232" w:rsidR="00D37FC2">
        <w:t xml:space="preserve">; </w:t>
      </w:r>
      <w:r w:rsidRPr="00634C21" w:rsidR="00D37FC2">
        <w:rPr>
          <w:i/>
        </w:rPr>
        <w:t>In the Matter of the Application of Water and Sewer LLC for an Increase in its Rates and Charges</w:t>
      </w:r>
      <w:r w:rsidRPr="00634C21" w:rsidR="00D37FC2">
        <w:t>, Case No. 03-318-WS-AIR</w:t>
      </w:r>
      <w:r w:rsidRPr="00355093" w:rsidR="00E07035">
        <w:t>, ¶</w:t>
      </w:r>
      <w:r w:rsidRPr="00355093" w:rsidR="00BD085C">
        <w:t xml:space="preserve"> </w:t>
      </w:r>
      <w:r w:rsidRPr="00355093" w:rsidR="00E07035">
        <w:t>11 (Nov</w:t>
      </w:r>
      <w:r w:rsidRPr="00E969FC" w:rsidR="00BD085C">
        <w:t>ember</w:t>
      </w:r>
      <w:r w:rsidRPr="00E969FC" w:rsidR="00E07035">
        <w:t xml:space="preserve"> 10, 2003).</w:t>
      </w:r>
      <w:r w:rsidRPr="00E969FC" w:rsidR="00D37FC2">
        <w:t xml:space="preserve"> </w:t>
      </w:r>
    </w:p>
  </w:footnote>
  <w:footnote w:id="9">
    <w:p w:rsidR="00D754D3" w:rsidRPr="00634C21" w:rsidP="0001248A" w14:paraId="0C87F813" w14:textId="2CAA565B">
      <w:pPr>
        <w:pStyle w:val="FootnoteText"/>
        <w:spacing w:before="0" w:after="120"/>
      </w:pPr>
      <w:r w:rsidRPr="00CD46B3">
        <w:rPr>
          <w:rStyle w:val="FootnoteReference"/>
        </w:rPr>
        <w:footnoteRef/>
      </w:r>
      <w:r w:rsidRPr="00CD46B3">
        <w:t xml:space="preserve"> </w:t>
      </w:r>
      <w:r w:rsidRPr="00CD46B3">
        <w:rPr>
          <w:i/>
          <w:iCs/>
        </w:rPr>
        <w:t>In the Matter of the Application of Ohio Power Company for an Increase in Electric Distribution Rates</w:t>
      </w:r>
      <w:r w:rsidRPr="00CD46B3">
        <w:t>, Case No. 20-585-EL-AIR</w:t>
      </w:r>
      <w:r w:rsidRPr="00CD46B3" w:rsidR="000F6AC7">
        <w:t>,</w:t>
      </w:r>
      <w:r w:rsidRPr="00182262">
        <w:t xml:space="preserve"> et al.,</w:t>
      </w:r>
      <w:r w:rsidRPr="00D07232">
        <w:t xml:space="preserve"> Evidentiary Hearing Transcript, Vol. I, 23:3-5 (May 12, 2021) (Attorney Examiner ruling denying Joint Motion to Strike of OMAEG and Kroger).</w:t>
      </w:r>
    </w:p>
  </w:footnote>
  <w:footnote w:id="10">
    <w:p w:rsidR="009F4B2E" w:rsidRPr="00CD46B3" w:rsidP="0001248A" w14:paraId="0F92C573" w14:textId="3D6FC846">
      <w:pPr>
        <w:pStyle w:val="FootnoteText"/>
        <w:spacing w:before="0" w:after="120"/>
      </w:pPr>
      <w:r w:rsidRPr="00CD46B3">
        <w:rPr>
          <w:rStyle w:val="FootnoteReference"/>
        </w:rPr>
        <w:footnoteRef/>
      </w:r>
      <w:r w:rsidRPr="00CD46B3">
        <w:t xml:space="preserve"> Duke Motion to Strike, at 5-8.</w:t>
      </w:r>
    </w:p>
  </w:footnote>
  <w:footnote w:id="11">
    <w:p w:rsidR="00670CBB" w:rsidRPr="00CD46B3" w:rsidP="0001248A" w14:paraId="13D22578" w14:textId="53C3DA6F">
      <w:pPr>
        <w:pStyle w:val="FootnoteText"/>
        <w:spacing w:before="0" w:after="120"/>
      </w:pPr>
      <w:r w:rsidRPr="00CD46B3">
        <w:rPr>
          <w:rStyle w:val="FootnoteReference"/>
        </w:rPr>
        <w:footnoteRef/>
      </w:r>
      <w:r w:rsidRPr="00CD46B3">
        <w:t xml:space="preserve"> </w:t>
      </w:r>
      <w:r w:rsidRPr="00CD46B3" w:rsidR="00BA65E5">
        <w:rPr>
          <w:i/>
          <w:iCs/>
        </w:rPr>
        <w:t>Id.</w:t>
      </w:r>
      <w:r w:rsidRPr="00CD46B3">
        <w:t xml:space="preserve"> at 8-12, 19.</w:t>
      </w:r>
    </w:p>
  </w:footnote>
  <w:footnote w:id="12">
    <w:p w:rsidR="00B26840" w:rsidRPr="00CD46B3" w:rsidP="0001248A" w14:paraId="788945A1" w14:textId="1B9FB85B">
      <w:pPr>
        <w:pStyle w:val="FootnoteText"/>
        <w:spacing w:before="0" w:after="120"/>
      </w:pPr>
      <w:r w:rsidRPr="00CD46B3">
        <w:rPr>
          <w:rStyle w:val="FootnoteReference"/>
        </w:rPr>
        <w:footnoteRef/>
      </w:r>
      <w:r w:rsidRPr="00CD46B3">
        <w:t xml:space="preserve"> </w:t>
      </w:r>
      <w:r w:rsidRPr="00CD46B3" w:rsidR="00CF3900">
        <w:rPr>
          <w:i/>
          <w:iCs/>
        </w:rPr>
        <w:t>Id.</w:t>
      </w:r>
      <w:r w:rsidRPr="00CD46B3">
        <w:t xml:space="preserve"> at </w:t>
      </w:r>
      <w:r w:rsidRPr="00CD46B3" w:rsidR="002301D7">
        <w:t>20-21.</w:t>
      </w:r>
    </w:p>
  </w:footnote>
  <w:footnote w:id="13">
    <w:p w:rsidR="00476EE0" w:rsidRPr="00CD46B3" w:rsidP="0001248A" w14:paraId="41615841" w14:textId="59704157">
      <w:pPr>
        <w:pStyle w:val="FootnoteText"/>
        <w:spacing w:before="0" w:after="120"/>
      </w:pPr>
      <w:r w:rsidRPr="00CD46B3">
        <w:rPr>
          <w:rStyle w:val="FootnoteReference"/>
        </w:rPr>
        <w:footnoteRef/>
      </w:r>
      <w:r w:rsidRPr="00CD46B3">
        <w:t xml:space="preserve"> </w:t>
      </w:r>
      <w:r w:rsidRPr="00CD46B3" w:rsidR="00CF3900">
        <w:rPr>
          <w:i/>
          <w:iCs/>
        </w:rPr>
        <w:t>Id.</w:t>
      </w:r>
      <w:r w:rsidRPr="00CD46B3">
        <w:t xml:space="preserve"> at 8-9.</w:t>
      </w:r>
    </w:p>
  </w:footnote>
  <w:footnote w:id="14">
    <w:p w:rsidR="00D9526B" w:rsidRPr="00CD46B3" w:rsidP="0001248A" w14:paraId="23C09E19" w14:textId="65850DFF">
      <w:pPr>
        <w:pStyle w:val="FootnoteText"/>
        <w:spacing w:before="0" w:after="120"/>
      </w:pPr>
      <w:r w:rsidRPr="00CD46B3">
        <w:rPr>
          <w:rStyle w:val="FootnoteReference"/>
        </w:rPr>
        <w:footnoteRef/>
      </w:r>
      <w:r w:rsidRPr="00CD46B3">
        <w:t xml:space="preserve"> </w:t>
      </w:r>
      <w:r w:rsidRPr="00CD46B3" w:rsidR="00EE62AD">
        <w:rPr>
          <w:i/>
          <w:iCs/>
        </w:rPr>
        <w:t>Cleveland Electric Illuminating Company v. Public Utilities Commission of Ohio</w:t>
      </w:r>
      <w:r w:rsidRPr="00CD46B3" w:rsidR="00EE62AD">
        <w:t>, 42 Ohio St.2d. 403, 330 N.E.2d 1 (1975) (“</w:t>
      </w:r>
      <w:r w:rsidRPr="00CD46B3" w:rsidR="00EE62AD">
        <w:rPr>
          <w:i/>
          <w:iCs/>
        </w:rPr>
        <w:t>CEI</w:t>
      </w:r>
      <w:r w:rsidRPr="00182262" w:rsidR="00EE62AD">
        <w:t>”).</w:t>
      </w:r>
    </w:p>
  </w:footnote>
  <w:footnote w:id="15">
    <w:p w:rsidR="00A86279" w:rsidRPr="00CD46B3" w:rsidP="0001248A" w14:paraId="57ACD4B9" w14:textId="2FB44E9B">
      <w:pPr>
        <w:pStyle w:val="FootnoteText"/>
        <w:spacing w:before="0" w:after="120"/>
      </w:pPr>
      <w:r w:rsidRPr="00CD46B3">
        <w:rPr>
          <w:rStyle w:val="FootnoteReference"/>
        </w:rPr>
        <w:footnoteRef/>
      </w:r>
      <w:r w:rsidRPr="00CD46B3">
        <w:t xml:space="preserve"> </w:t>
      </w:r>
      <w:r w:rsidRPr="00CD46B3" w:rsidR="00EE62AD">
        <w:rPr>
          <w:i/>
          <w:iCs/>
        </w:rPr>
        <w:t>Id.</w:t>
      </w:r>
    </w:p>
  </w:footnote>
  <w:footnote w:id="16">
    <w:p w:rsidR="001D541F" w:rsidRPr="00CD46B3" w:rsidP="0001248A" w14:paraId="6043A155" w14:textId="03C35105">
      <w:pPr>
        <w:pStyle w:val="FootnoteText"/>
        <w:spacing w:before="0" w:after="120"/>
      </w:pPr>
      <w:r w:rsidRPr="00CD46B3">
        <w:rPr>
          <w:rStyle w:val="FootnoteReference"/>
        </w:rPr>
        <w:footnoteRef/>
      </w:r>
      <w:r w:rsidRPr="00CD46B3">
        <w:t xml:space="preserve"> </w:t>
      </w:r>
      <w:r w:rsidRPr="00CD46B3">
        <w:rPr>
          <w:i/>
          <w:iCs/>
        </w:rPr>
        <w:t xml:space="preserve">Id. </w:t>
      </w:r>
      <w:r w:rsidRPr="00CD46B3">
        <w:t>at 420.</w:t>
      </w:r>
    </w:p>
  </w:footnote>
  <w:footnote w:id="17">
    <w:p w:rsidR="00147D7B" w:rsidRPr="00CD46B3" w:rsidP="0001248A" w14:paraId="65072A98" w14:textId="662C1EF2">
      <w:pPr>
        <w:pStyle w:val="FootnoteText"/>
        <w:spacing w:before="0" w:after="120"/>
      </w:pPr>
      <w:r w:rsidRPr="00CD46B3">
        <w:rPr>
          <w:rStyle w:val="FootnoteReference"/>
        </w:rPr>
        <w:footnoteRef/>
      </w:r>
      <w:r w:rsidRPr="00CD46B3">
        <w:t xml:space="preserve"> </w:t>
      </w:r>
      <w:r w:rsidRPr="00CD46B3">
        <w:rPr>
          <w:i/>
          <w:iCs/>
        </w:rPr>
        <w:t>Industrial Energy Consumers v. Public Utilities Commission</w:t>
      </w:r>
      <w:r w:rsidRPr="00CD46B3">
        <w:t>, 63 Ohio St.3d 551, 553-54</w:t>
      </w:r>
      <w:r w:rsidRPr="00CD46B3" w:rsidR="00ED1534">
        <w:t>,</w:t>
      </w:r>
      <w:r w:rsidRPr="00CD46B3">
        <w:t xml:space="preserve"> 589 N.E.2d 1289 (1991)</w:t>
      </w:r>
      <w:r w:rsidRPr="00CD46B3" w:rsidR="00EE62AD">
        <w:t xml:space="preserve"> (“</w:t>
      </w:r>
      <w:r w:rsidRPr="009A4516" w:rsidR="00EE62AD">
        <w:rPr>
          <w:i/>
          <w:iCs/>
        </w:rPr>
        <w:t>IEC</w:t>
      </w:r>
      <w:r w:rsidRPr="00CD46B3" w:rsidR="00EE62AD">
        <w:t>”).</w:t>
      </w:r>
    </w:p>
  </w:footnote>
  <w:footnote w:id="18">
    <w:p w:rsidR="00197551" w:rsidRPr="00CD46B3" w:rsidP="0001248A" w14:paraId="20F3A777" w14:textId="7C91EFD6">
      <w:pPr>
        <w:pStyle w:val="FootnoteText"/>
        <w:spacing w:before="0" w:after="120"/>
      </w:pPr>
      <w:r w:rsidRPr="00CD46B3">
        <w:rPr>
          <w:rStyle w:val="FootnoteReference"/>
        </w:rPr>
        <w:footnoteRef/>
      </w:r>
      <w:r w:rsidRPr="00CD46B3">
        <w:t xml:space="preserve"> </w:t>
      </w:r>
      <w:r w:rsidRPr="009A4516" w:rsidR="00B65155">
        <w:rPr>
          <w:i/>
          <w:iCs/>
        </w:rPr>
        <w:t>Id.</w:t>
      </w:r>
    </w:p>
  </w:footnote>
  <w:footnote w:id="19">
    <w:p w:rsidR="001E1605" w:rsidRPr="00CD46B3" w:rsidP="0001248A" w14:paraId="6A09474E" w14:textId="7BF35A60">
      <w:pPr>
        <w:pStyle w:val="FootnoteText"/>
        <w:spacing w:before="0" w:after="120"/>
      </w:pPr>
      <w:r w:rsidRPr="00CD46B3">
        <w:rPr>
          <w:rStyle w:val="FootnoteReference"/>
        </w:rPr>
        <w:footnoteRef/>
      </w:r>
      <w:r w:rsidRPr="00CD46B3">
        <w:t xml:space="preserve"> Duke Motion to Strike, at 19.</w:t>
      </w:r>
    </w:p>
  </w:footnote>
  <w:footnote w:id="20">
    <w:p w:rsidR="00563723" w:rsidRPr="00CD46B3" w:rsidP="0001248A" w14:paraId="4E7D3E87" w14:textId="14DE61FD">
      <w:pPr>
        <w:pStyle w:val="FootnoteText"/>
        <w:spacing w:before="0" w:after="120"/>
      </w:pPr>
      <w:r w:rsidRPr="00CD46B3">
        <w:rPr>
          <w:rStyle w:val="FootnoteReference"/>
        </w:rPr>
        <w:footnoteRef/>
      </w:r>
      <w:r w:rsidRPr="00CD46B3">
        <w:t xml:space="preserve"> OCC Objections to Staff Report, at </w:t>
      </w:r>
      <w:r w:rsidRPr="00CD46B3" w:rsidR="00224694">
        <w:t>11-12.</w:t>
      </w:r>
    </w:p>
  </w:footnote>
  <w:footnote w:id="21">
    <w:p w:rsidR="00FB557F" w:rsidRPr="00CD46B3" w:rsidP="0001248A" w14:paraId="216A1CDE" w14:textId="02807A31">
      <w:pPr>
        <w:pStyle w:val="FootnoteText"/>
        <w:spacing w:before="0" w:after="120"/>
      </w:pPr>
      <w:r w:rsidRPr="00CD46B3">
        <w:rPr>
          <w:rStyle w:val="FootnoteReference"/>
        </w:rPr>
        <w:footnoteRef/>
      </w:r>
      <w:r w:rsidRPr="00CD46B3">
        <w:t xml:space="preserve"> Duke Motion to Strike, at 9</w:t>
      </w:r>
      <w:r w:rsidRPr="00CD46B3" w:rsidR="00E018B5">
        <w:t>.</w:t>
      </w:r>
    </w:p>
  </w:footnote>
  <w:footnote w:id="22">
    <w:p w:rsidR="00860539" w:rsidRPr="00CD46B3" w:rsidP="0001248A" w14:paraId="232B01D7" w14:textId="28052E25">
      <w:pPr>
        <w:spacing w:after="120"/>
        <w:textAlignment w:val="baseline"/>
      </w:pPr>
      <w:r w:rsidRPr="00CD46B3">
        <w:rPr>
          <w:rStyle w:val="FootnoteReference"/>
          <w:sz w:val="20"/>
          <w:szCs w:val="20"/>
        </w:rPr>
        <w:footnoteRef/>
      </w:r>
      <w:r w:rsidRPr="00CD46B3">
        <w:rPr>
          <w:sz w:val="20"/>
          <w:szCs w:val="20"/>
        </w:rPr>
        <w:t xml:space="preserve"> </w:t>
      </w:r>
      <w:r w:rsidRPr="009A4516" w:rsidR="00ED1534">
        <w:rPr>
          <w:i/>
          <w:iCs/>
          <w:color w:val="212121"/>
          <w:sz w:val="20"/>
          <w:szCs w:val="20"/>
        </w:rPr>
        <w:t>IEC</w:t>
      </w:r>
      <w:r w:rsidRPr="009A4516" w:rsidR="00ED1534">
        <w:rPr>
          <w:color w:val="212121"/>
          <w:sz w:val="20"/>
          <w:szCs w:val="20"/>
        </w:rPr>
        <w:t xml:space="preserve"> at 554.</w:t>
      </w:r>
    </w:p>
  </w:footnote>
  <w:footnote w:id="23">
    <w:p w:rsidR="008B502C" w:rsidRPr="00CD46B3" w:rsidP="0001248A" w14:paraId="5E3B9E70" w14:textId="3C7A3D15">
      <w:pPr>
        <w:pStyle w:val="FootnoteText"/>
        <w:spacing w:before="0" w:after="120"/>
      </w:pPr>
      <w:r w:rsidRPr="00CD46B3">
        <w:rPr>
          <w:rStyle w:val="FootnoteReference"/>
        </w:rPr>
        <w:footnoteRef/>
      </w:r>
      <w:r w:rsidRPr="00CD46B3">
        <w:t xml:space="preserve"> Staff Report, at 43.</w:t>
      </w:r>
    </w:p>
  </w:footnote>
  <w:footnote w:id="24">
    <w:p w:rsidR="00E01A24" w:rsidRPr="00CD46B3" w:rsidP="0001248A" w14:paraId="2142AD0D" w14:textId="3AA02D7B">
      <w:pPr>
        <w:pStyle w:val="FootnoteText"/>
        <w:spacing w:before="0" w:after="120"/>
      </w:pPr>
      <w:r w:rsidRPr="00CD46B3">
        <w:rPr>
          <w:rStyle w:val="FootnoteReference"/>
        </w:rPr>
        <w:footnoteRef/>
      </w:r>
      <w:r w:rsidRPr="00CD46B3">
        <w:t xml:space="preserve"> </w:t>
      </w:r>
      <w:r w:rsidRPr="00CD46B3" w:rsidR="00CF3900">
        <w:rPr>
          <w:i/>
          <w:iCs/>
        </w:rPr>
        <w:t>Id.</w:t>
      </w:r>
    </w:p>
  </w:footnote>
  <w:footnote w:id="25">
    <w:p w:rsidR="006B740E" w:rsidRPr="00CD46B3" w:rsidP="0001248A" w14:paraId="2239A9E8" w14:textId="0782B0A6">
      <w:pPr>
        <w:pStyle w:val="FootnoteText"/>
        <w:spacing w:before="0" w:after="120"/>
      </w:pPr>
      <w:r w:rsidRPr="00CD46B3">
        <w:rPr>
          <w:rStyle w:val="FootnoteReference"/>
        </w:rPr>
        <w:footnoteRef/>
      </w:r>
      <w:r w:rsidRPr="00CD46B3">
        <w:t xml:space="preserve"> </w:t>
      </w:r>
      <w:r w:rsidRPr="00CD46B3" w:rsidR="00CF3900">
        <w:rPr>
          <w:i/>
          <w:iCs/>
        </w:rPr>
        <w:t xml:space="preserve">Id. </w:t>
      </w:r>
      <w:r w:rsidRPr="00CD46B3">
        <w:t xml:space="preserve">at 46. </w:t>
      </w:r>
    </w:p>
  </w:footnote>
  <w:footnote w:id="26">
    <w:p w:rsidR="003A15F3" w:rsidRPr="00CD46B3" w:rsidP="0001248A" w14:paraId="429E90BC" w14:textId="4111FEDF">
      <w:pPr>
        <w:pStyle w:val="FootnoteText"/>
        <w:spacing w:before="0" w:after="120"/>
      </w:pPr>
      <w:r w:rsidRPr="00CD46B3">
        <w:rPr>
          <w:rStyle w:val="FootnoteReference"/>
        </w:rPr>
        <w:footnoteRef/>
      </w:r>
      <w:r w:rsidRPr="00CD46B3">
        <w:t xml:space="preserve"> Duke Motion to Strike, at 10.</w:t>
      </w:r>
    </w:p>
  </w:footnote>
  <w:footnote w:id="27">
    <w:p w:rsidR="00B6048C" w:rsidRPr="00634C21" w:rsidP="0001248A" w14:paraId="2B8EBCD2" w14:textId="0930D7EE">
      <w:pPr>
        <w:pStyle w:val="FootnoteText"/>
        <w:spacing w:before="0" w:after="120"/>
      </w:pPr>
      <w:r w:rsidRPr="00CD46B3">
        <w:rPr>
          <w:rStyle w:val="FootnoteReference"/>
        </w:rPr>
        <w:footnoteRef/>
      </w:r>
      <w:r w:rsidRPr="00CD46B3">
        <w:t xml:space="preserve"> </w:t>
      </w:r>
      <w:r w:rsidRPr="00CD46B3">
        <w:rPr>
          <w:i/>
          <w:iCs/>
        </w:rPr>
        <w:t>See In the Matter of the Application of Columbia Gas of Ohio, Inc. for Authority to Amend its Filed Tariffs to Increase the Rates and Charges for Gas Services and Related Matters</w:t>
      </w:r>
      <w:r w:rsidRPr="00CD46B3" w:rsidR="0082428E">
        <w:t xml:space="preserve">, Case No. 21-637-GA-AIR, </w:t>
      </w:r>
      <w:r w:rsidRPr="00D07232" w:rsidR="0082428E">
        <w:t>et al., Objections to the PUCO Staff’s Report of Investigation by Northeast O</w:t>
      </w:r>
      <w:r w:rsidRPr="00634C21" w:rsidR="0082428E">
        <w:t>hio Public Energy Council and Office of the Ohio Consumers’ Counsel (May 6, 2022), at 32-33.</w:t>
      </w:r>
    </w:p>
  </w:footnote>
  <w:footnote w:id="28">
    <w:p w:rsidR="006F2EBF" w:rsidRPr="00355093" w:rsidP="0001248A" w14:paraId="2D4E78BB" w14:textId="39794E76">
      <w:pPr>
        <w:pStyle w:val="FootnoteText"/>
        <w:spacing w:before="0" w:after="120"/>
      </w:pPr>
      <w:r w:rsidRPr="00CD46B3">
        <w:rPr>
          <w:rStyle w:val="FootnoteReference"/>
        </w:rPr>
        <w:footnoteRef/>
      </w:r>
      <w:r w:rsidRPr="00CD46B3">
        <w:t xml:space="preserve"> </w:t>
      </w:r>
      <w:r w:rsidRPr="00CD46B3" w:rsidR="00627BF6">
        <w:rPr>
          <w:i/>
        </w:rPr>
        <w:t>In the Matter of the Application of Water and Sewer LLC for an Increase in its Rates and Charges</w:t>
      </w:r>
      <w:r w:rsidRPr="00CD46B3" w:rsidR="00627BF6">
        <w:t>, Case No. 08-227-WS-AIR, Opinion and Order, ¶</w:t>
      </w:r>
      <w:r w:rsidRPr="00CD46B3" w:rsidR="00E018B5">
        <w:t xml:space="preserve"> </w:t>
      </w:r>
      <w:r w:rsidRPr="00CD46B3" w:rsidR="00627BF6">
        <w:t>6 (April 14, 2009)</w:t>
      </w:r>
      <w:r w:rsidRPr="00182262" w:rsidR="00627BF6">
        <w:t xml:space="preserve">; </w:t>
      </w:r>
      <w:r w:rsidRPr="00D07232" w:rsidR="00627BF6">
        <w:rPr>
          <w:i/>
        </w:rPr>
        <w:t>In the Matter of the Application of Water and Sewer LLC for an Increase in its Rates and Charges</w:t>
      </w:r>
      <w:r w:rsidRPr="00634C21" w:rsidR="00627BF6">
        <w:t>, Case No. 03-318-WS-AIR, ¶</w:t>
      </w:r>
      <w:r w:rsidRPr="00355093" w:rsidR="00E018B5">
        <w:t xml:space="preserve"> </w:t>
      </w:r>
      <w:r w:rsidRPr="00355093" w:rsidR="00627BF6">
        <w:t>11 (Nov</w:t>
      </w:r>
      <w:r w:rsidRPr="00355093" w:rsidR="00E018B5">
        <w:t xml:space="preserve">ember </w:t>
      </w:r>
      <w:r w:rsidRPr="00355093" w:rsidR="00627BF6">
        <w:t>10, 2003).</w:t>
      </w:r>
    </w:p>
  </w:footnote>
  <w:footnote w:id="29">
    <w:p w:rsidR="00000C89" w:rsidRPr="00CD46B3" w:rsidP="0001248A" w14:paraId="0C753F08" w14:textId="36948CBA">
      <w:pPr>
        <w:pStyle w:val="FootnoteText"/>
        <w:spacing w:before="0" w:after="120"/>
      </w:pPr>
      <w:r w:rsidRPr="00CD46B3">
        <w:rPr>
          <w:rStyle w:val="FootnoteReference"/>
        </w:rPr>
        <w:footnoteRef/>
      </w:r>
      <w:r w:rsidRPr="00CD46B3">
        <w:t xml:space="preserve"> Duke Motion to Strike, at 20.</w:t>
      </w:r>
    </w:p>
  </w:footnote>
  <w:footnote w:id="30">
    <w:p w:rsidR="00E137A9" w:rsidRPr="00CD46B3" w:rsidP="0001248A" w14:paraId="410AE69F" w14:textId="42AE8127">
      <w:pPr>
        <w:pStyle w:val="FootnoteText"/>
        <w:spacing w:before="0" w:after="120"/>
      </w:pPr>
      <w:r w:rsidRPr="00CD46B3">
        <w:rPr>
          <w:rStyle w:val="FootnoteReference"/>
        </w:rPr>
        <w:footnoteRef/>
      </w:r>
      <w:r w:rsidRPr="00CD46B3">
        <w:t xml:space="preserve"> OCC Objections</w:t>
      </w:r>
      <w:r w:rsidRPr="00CD46B3" w:rsidR="00DC039E">
        <w:t>,</w:t>
      </w:r>
      <w:r w:rsidRPr="00CD46B3">
        <w:t xml:space="preserve"> at 17.</w:t>
      </w:r>
    </w:p>
  </w:footnote>
  <w:footnote w:id="31">
    <w:p w:rsidR="00DC039E" w:rsidRPr="00CD46B3" w:rsidP="0001248A" w14:paraId="24BA3C8D" w14:textId="3BBF82A8">
      <w:pPr>
        <w:pStyle w:val="FootnoteText"/>
        <w:spacing w:before="0" w:after="120"/>
      </w:pPr>
      <w:r w:rsidRPr="00CD46B3">
        <w:rPr>
          <w:rStyle w:val="FootnoteReference"/>
        </w:rPr>
        <w:footnoteRef/>
      </w:r>
      <w:r w:rsidRPr="00CD46B3">
        <w:t xml:space="preserve"> </w:t>
      </w:r>
      <w:r w:rsidRPr="00CD46B3" w:rsidR="00CF3900">
        <w:rPr>
          <w:i/>
          <w:iCs/>
        </w:rPr>
        <w:t xml:space="preserve">Id. </w:t>
      </w:r>
      <w:r w:rsidRPr="00CD46B3">
        <w:t>at 20.</w:t>
      </w:r>
    </w:p>
  </w:footnote>
  <w:footnote w:id="32">
    <w:p w:rsidR="00A069BC" w:rsidRPr="00CD46B3" w:rsidP="0001248A" w14:paraId="6F970858" w14:textId="66E099DE">
      <w:pPr>
        <w:pStyle w:val="FootnoteText"/>
        <w:spacing w:before="0" w:after="120"/>
      </w:pPr>
      <w:r w:rsidRPr="00CD46B3">
        <w:rPr>
          <w:rStyle w:val="FootnoteReference"/>
        </w:rPr>
        <w:footnoteRef/>
      </w:r>
      <w:r w:rsidRPr="00CD46B3">
        <w:t xml:space="preserve"> Duke Motion to Strike, at 21.</w:t>
      </w:r>
    </w:p>
  </w:footnote>
  <w:footnote w:id="33">
    <w:p w:rsidR="002B7BAE" w:rsidRPr="00CD46B3" w:rsidP="0001248A" w14:paraId="3F9BD62F" w14:textId="3D044345">
      <w:pPr>
        <w:pStyle w:val="FootnoteText"/>
        <w:spacing w:before="0" w:after="120"/>
      </w:pPr>
      <w:r w:rsidRPr="00CD46B3">
        <w:rPr>
          <w:rStyle w:val="FootnoteReference"/>
        </w:rPr>
        <w:footnoteRef/>
      </w:r>
      <w:r w:rsidRPr="00CD46B3">
        <w:t xml:space="preserve"> </w:t>
      </w:r>
      <w:r w:rsidRPr="00CD46B3" w:rsidR="00CF3900">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7DE" w14:paraId="0968C9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61ECA7C"/>
    <w:lvl w:ilvl="0">
      <w:start w:val="1"/>
      <w:numFmt w:val="decimal"/>
      <w:lvlText w:val="%1."/>
      <w:lvlJc w:val="left"/>
      <w:pPr>
        <w:tabs>
          <w:tab w:val="num" w:pos="1800"/>
        </w:tabs>
        <w:ind w:left="1800" w:hanging="360"/>
      </w:pPr>
    </w:lvl>
  </w:abstractNum>
  <w:abstractNum w:abstractNumId="1">
    <w:nsid w:val="FFFFFF7D"/>
    <w:multiLevelType w:val="singleLevel"/>
    <w:tmpl w:val="6AACCAEA"/>
    <w:lvl w:ilvl="0">
      <w:start w:val="1"/>
      <w:numFmt w:val="decimal"/>
      <w:lvlText w:val="%1."/>
      <w:lvlJc w:val="left"/>
      <w:pPr>
        <w:tabs>
          <w:tab w:val="num" w:pos="1440"/>
        </w:tabs>
        <w:ind w:left="1440" w:hanging="360"/>
      </w:pPr>
    </w:lvl>
  </w:abstractNum>
  <w:abstractNum w:abstractNumId="2">
    <w:nsid w:val="FFFFFF7E"/>
    <w:multiLevelType w:val="singleLevel"/>
    <w:tmpl w:val="A508C648"/>
    <w:lvl w:ilvl="0">
      <w:start w:val="1"/>
      <w:numFmt w:val="decimal"/>
      <w:lvlText w:val="%1."/>
      <w:lvlJc w:val="left"/>
      <w:pPr>
        <w:tabs>
          <w:tab w:val="num" w:pos="1080"/>
        </w:tabs>
        <w:ind w:left="1080" w:hanging="360"/>
      </w:pPr>
    </w:lvl>
  </w:abstractNum>
  <w:abstractNum w:abstractNumId="3">
    <w:nsid w:val="FFFFFF7F"/>
    <w:multiLevelType w:val="singleLevel"/>
    <w:tmpl w:val="820ED53A"/>
    <w:lvl w:ilvl="0">
      <w:start w:val="1"/>
      <w:numFmt w:val="decimal"/>
      <w:lvlText w:val="%1."/>
      <w:lvlJc w:val="left"/>
      <w:pPr>
        <w:tabs>
          <w:tab w:val="num" w:pos="720"/>
        </w:tabs>
        <w:ind w:left="720" w:hanging="360"/>
      </w:pPr>
    </w:lvl>
  </w:abstractNum>
  <w:abstractNum w:abstractNumId="4">
    <w:nsid w:val="FFFFFF80"/>
    <w:multiLevelType w:val="singleLevel"/>
    <w:tmpl w:val="066E2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BA66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D063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620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242C3C"/>
    <w:lvl w:ilvl="0">
      <w:start w:val="1"/>
      <w:numFmt w:val="decimal"/>
      <w:lvlText w:val="%1."/>
      <w:lvlJc w:val="left"/>
      <w:pPr>
        <w:tabs>
          <w:tab w:val="num" w:pos="360"/>
        </w:tabs>
        <w:ind w:left="360" w:hanging="360"/>
      </w:pPr>
    </w:lvl>
  </w:abstractNum>
  <w:abstractNum w:abstractNumId="9">
    <w:nsid w:val="FFFFFF89"/>
    <w:multiLevelType w:val="singleLevel"/>
    <w:tmpl w:val="8C7AA60A"/>
    <w:lvl w:ilvl="0">
      <w:start w:val="1"/>
      <w:numFmt w:val="bullet"/>
      <w:lvlText w:val=""/>
      <w:lvlJc w:val="left"/>
      <w:pPr>
        <w:tabs>
          <w:tab w:val="num" w:pos="360"/>
        </w:tabs>
        <w:ind w:left="360" w:hanging="360"/>
      </w:pPr>
      <w:rPr>
        <w:rFonts w:ascii="Symbol" w:hAnsi="Symbol" w:hint="default"/>
      </w:rPr>
    </w:lvl>
  </w:abstractNum>
  <w:abstractNum w:abstractNumId="10">
    <w:nsid w:val="02121EF5"/>
    <w:multiLevelType w:val="hybridMultilevel"/>
    <w:tmpl w:val="79D8C994"/>
    <w:lvl w:ilvl="0">
      <w:start w:val="1"/>
      <w:numFmt w:val="decimal"/>
      <w:lvlText w:val="(%1)"/>
      <w:lvlJc w:val="left"/>
      <w:pPr>
        <w:ind w:left="1800" w:hanging="360"/>
      </w:pPr>
      <w:rPr>
        <w:rFonts w:eastAsia="Times New Roman" w:hint="default"/>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074B06B0"/>
    <w:multiLevelType w:val="hybridMultilevel"/>
    <w:tmpl w:val="7590B35C"/>
    <w:lvl w:ilvl="0">
      <w:start w:val="1"/>
      <w:numFmt w:val="upperLetter"/>
      <w:pStyle w:val="Heading2"/>
      <w:lvlText w:val="%1."/>
      <w:lvlJc w:val="left"/>
      <w:pPr>
        <w:ind w:left="360" w:hanging="360"/>
      </w:pPr>
      <w:rPr>
        <w:rFonts w:asciiTheme="majorBidi" w:hAnsiTheme="majorBidi" w:cstheme="maj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B4A4B97"/>
    <w:multiLevelType w:val="hybridMultilevel"/>
    <w:tmpl w:val="E84C41B0"/>
    <w:lvl w:ilvl="0">
      <w:start w:val="1"/>
      <w:numFmt w:val="decimal"/>
      <w:lvlText w:val="%1."/>
      <w:lvlJc w:val="left"/>
      <w:pPr>
        <w:ind w:left="1080" w:hanging="360"/>
      </w:pPr>
      <w:rPr>
        <w:rFonts w:hint="default"/>
        <w:b/>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0C76373B"/>
    <w:multiLevelType w:val="hybridMultilevel"/>
    <w:tmpl w:val="CD48ECE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4">
    <w:nsid w:val="0DDB4DBF"/>
    <w:multiLevelType w:val="hybridMultilevel"/>
    <w:tmpl w:val="026AE040"/>
    <w:lvl w:ilvl="0">
      <w:start w:val="1"/>
      <w:numFmt w:val="decimal"/>
      <w:lvlText w:val="%1."/>
      <w:lvlJc w:val="left"/>
      <w:pPr>
        <w:tabs>
          <w:tab w:val="num" w:pos="360"/>
        </w:tabs>
        <w:ind w:left="360" w:hanging="360"/>
      </w:pPr>
      <w:rPr>
        <w:rFonts w:hint="default"/>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55B052E"/>
    <w:multiLevelType w:val="hybridMultilevel"/>
    <w:tmpl w:val="9BBE5F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98E095F"/>
    <w:multiLevelType w:val="hybridMultilevel"/>
    <w:tmpl w:val="97BC819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B553DA5"/>
    <w:multiLevelType w:val="hybridMultilevel"/>
    <w:tmpl w:val="3034C784"/>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079026C"/>
    <w:multiLevelType w:val="hybridMultilevel"/>
    <w:tmpl w:val="0C7E84B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9">
    <w:nsid w:val="2774475C"/>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3AE94CDB"/>
    <w:multiLevelType w:val="hybridMultilevel"/>
    <w:tmpl w:val="F7B0E370"/>
    <w:lvl w:ilvl="0">
      <w:start w:val="1"/>
      <w:numFmt w:val="decimal"/>
      <w:lvlText w:val="(%1)"/>
      <w:lvlJc w:val="left"/>
      <w:pPr>
        <w:ind w:left="2880" w:hanging="360"/>
      </w:pPr>
      <w:rPr>
        <w:rFonts w:ascii="Times New Roman" w:hAnsi="Times New Roman" w:cs="Times New Roman" w:hint="default"/>
        <w:b w:val="0"/>
        <w:sz w:val="24"/>
        <w:szCs w:val="24"/>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1">
    <w:nsid w:val="3F2E0D6F"/>
    <w:multiLevelType w:val="hybridMultilevel"/>
    <w:tmpl w:val="C83A006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4C50C1"/>
    <w:multiLevelType w:val="hybridMultilevel"/>
    <w:tmpl w:val="CDF6008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172483E"/>
    <w:multiLevelType w:val="hybridMultilevel"/>
    <w:tmpl w:val="809673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3DC6D21"/>
    <w:multiLevelType w:val="hybridMultilevel"/>
    <w:tmpl w:val="2552FE60"/>
    <w:lvl w:ilvl="0">
      <w:start w:val="1"/>
      <w:numFmt w:val="decimal"/>
      <w:lvlText w:val="(%1)"/>
      <w:lvlJc w:val="left"/>
      <w:pPr>
        <w:ind w:left="1800" w:hanging="360"/>
      </w:pPr>
      <w:rPr>
        <w:rFonts w:hint="default"/>
        <w:b w:val="0"/>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7F47DBB"/>
    <w:multiLevelType w:val="hybridMultilevel"/>
    <w:tmpl w:val="F2F2D53E"/>
    <w:lvl w:ilvl="0">
      <w:start w:val="1"/>
      <w:numFmt w:val="decimal"/>
      <w:lvlText w:val="(%1)"/>
      <w:lvlJc w:val="left"/>
      <w:pPr>
        <w:ind w:left="2520" w:hanging="108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51816A0"/>
    <w:multiLevelType w:val="hybridMultilevel"/>
    <w:tmpl w:val="57E2007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DFF12C5"/>
    <w:multiLevelType w:val="hybridMultilevel"/>
    <w:tmpl w:val="0720B7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95B6832"/>
    <w:multiLevelType w:val="hybridMultilevel"/>
    <w:tmpl w:val="4B0CA262"/>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num w:numId="1">
    <w:abstractNumId w:val="14"/>
  </w:num>
  <w:num w:numId="2">
    <w:abstractNumId w:val="11"/>
  </w:num>
  <w:num w:numId="3">
    <w:abstractNumId w:val="20"/>
  </w:num>
  <w:num w:numId="4">
    <w:abstractNumId w:val="24"/>
  </w:num>
  <w:num w:numId="5">
    <w:abstractNumId w:val="10"/>
  </w:num>
  <w:num w:numId="6">
    <w:abstractNumId w:val="15"/>
  </w:num>
  <w:num w:numId="7">
    <w:abstractNumId w:val="19"/>
  </w:num>
  <w:num w:numId="8">
    <w:abstractNumId w:val="26"/>
  </w:num>
  <w:num w:numId="9">
    <w:abstractNumId w:val="23"/>
  </w:num>
  <w:num w:numId="10">
    <w:abstractNumId w:val="25"/>
  </w:num>
  <w:num w:numId="11">
    <w:abstractNumId w:val="18"/>
  </w:num>
  <w:num w:numId="12">
    <w:abstractNumId w:val="21"/>
  </w:num>
  <w:num w:numId="13">
    <w:abstractNumId w:val="16"/>
  </w:num>
  <w:num w:numId="14">
    <w:abstractNumId w:val="12"/>
  </w:num>
  <w:num w:numId="15">
    <w:abstractNumId w:val="17"/>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embedSystemFonts/>
  <w:bordersDoNotSurroundHeader/>
  <w:bordersDoNotSurroundFooter/>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DE"/>
    <w:rsid w:val="000005AF"/>
    <w:rsid w:val="00000C89"/>
    <w:rsid w:val="0001248A"/>
    <w:rsid w:val="000258CD"/>
    <w:rsid w:val="000305C0"/>
    <w:rsid w:val="00035BC8"/>
    <w:rsid w:val="000406CA"/>
    <w:rsid w:val="00055337"/>
    <w:rsid w:val="00056E0A"/>
    <w:rsid w:val="000742B8"/>
    <w:rsid w:val="000835FC"/>
    <w:rsid w:val="000859D9"/>
    <w:rsid w:val="00086060"/>
    <w:rsid w:val="000877B4"/>
    <w:rsid w:val="000D2DCC"/>
    <w:rsid w:val="000D5F91"/>
    <w:rsid w:val="000E0831"/>
    <w:rsid w:val="000F05BC"/>
    <w:rsid w:val="000F6AC7"/>
    <w:rsid w:val="000F7356"/>
    <w:rsid w:val="000F7C0C"/>
    <w:rsid w:val="001059C2"/>
    <w:rsid w:val="0011486B"/>
    <w:rsid w:val="00130E4F"/>
    <w:rsid w:val="0014252C"/>
    <w:rsid w:val="00147D7B"/>
    <w:rsid w:val="00151EFB"/>
    <w:rsid w:val="00153995"/>
    <w:rsid w:val="00160E72"/>
    <w:rsid w:val="001626D8"/>
    <w:rsid w:val="0017023B"/>
    <w:rsid w:val="00172C2C"/>
    <w:rsid w:val="00182262"/>
    <w:rsid w:val="00195DEE"/>
    <w:rsid w:val="00196CBE"/>
    <w:rsid w:val="00197551"/>
    <w:rsid w:val="001B12FC"/>
    <w:rsid w:val="001C5A01"/>
    <w:rsid w:val="001D541F"/>
    <w:rsid w:val="001D5B66"/>
    <w:rsid w:val="001E1605"/>
    <w:rsid w:val="001E1849"/>
    <w:rsid w:val="001F0C9B"/>
    <w:rsid w:val="001F405F"/>
    <w:rsid w:val="00202A62"/>
    <w:rsid w:val="00204661"/>
    <w:rsid w:val="0021389A"/>
    <w:rsid w:val="00224694"/>
    <w:rsid w:val="00226318"/>
    <w:rsid w:val="002275DC"/>
    <w:rsid w:val="002301D7"/>
    <w:rsid w:val="00230C7D"/>
    <w:rsid w:val="00231229"/>
    <w:rsid w:val="00237FB8"/>
    <w:rsid w:val="00253306"/>
    <w:rsid w:val="002610EA"/>
    <w:rsid w:val="00262DC1"/>
    <w:rsid w:val="00263C64"/>
    <w:rsid w:val="0027039F"/>
    <w:rsid w:val="002B01D8"/>
    <w:rsid w:val="002B2645"/>
    <w:rsid w:val="002B7BAE"/>
    <w:rsid w:val="002C318C"/>
    <w:rsid w:val="002C67F5"/>
    <w:rsid w:val="002C6F4D"/>
    <w:rsid w:val="002C7DFF"/>
    <w:rsid w:val="002E78A3"/>
    <w:rsid w:val="002F540C"/>
    <w:rsid w:val="002F6D7D"/>
    <w:rsid w:val="00312C0B"/>
    <w:rsid w:val="0031723A"/>
    <w:rsid w:val="00331876"/>
    <w:rsid w:val="00350651"/>
    <w:rsid w:val="00355093"/>
    <w:rsid w:val="00363FA4"/>
    <w:rsid w:val="00364955"/>
    <w:rsid w:val="00382B89"/>
    <w:rsid w:val="00387E2C"/>
    <w:rsid w:val="00390B67"/>
    <w:rsid w:val="0039187C"/>
    <w:rsid w:val="003A15F3"/>
    <w:rsid w:val="003A3173"/>
    <w:rsid w:val="003B3C33"/>
    <w:rsid w:val="003B77C3"/>
    <w:rsid w:val="003C2AEA"/>
    <w:rsid w:val="003C30AA"/>
    <w:rsid w:val="003D58F7"/>
    <w:rsid w:val="003D62FA"/>
    <w:rsid w:val="003E2928"/>
    <w:rsid w:val="003F4472"/>
    <w:rsid w:val="00403965"/>
    <w:rsid w:val="0042435F"/>
    <w:rsid w:val="00436FB2"/>
    <w:rsid w:val="00463233"/>
    <w:rsid w:val="00470EE5"/>
    <w:rsid w:val="00476EE0"/>
    <w:rsid w:val="00477295"/>
    <w:rsid w:val="0048073C"/>
    <w:rsid w:val="00481855"/>
    <w:rsid w:val="004948B1"/>
    <w:rsid w:val="00494ADB"/>
    <w:rsid w:val="004A0D78"/>
    <w:rsid w:val="004A388D"/>
    <w:rsid w:val="004B01FB"/>
    <w:rsid w:val="004B1EA2"/>
    <w:rsid w:val="004C4971"/>
    <w:rsid w:val="004D16ED"/>
    <w:rsid w:val="004E3413"/>
    <w:rsid w:val="004F5607"/>
    <w:rsid w:val="00507BE9"/>
    <w:rsid w:val="00524922"/>
    <w:rsid w:val="00525D93"/>
    <w:rsid w:val="00540947"/>
    <w:rsid w:val="0055067A"/>
    <w:rsid w:val="00563723"/>
    <w:rsid w:val="00564180"/>
    <w:rsid w:val="00572DDB"/>
    <w:rsid w:val="00575487"/>
    <w:rsid w:val="005778E5"/>
    <w:rsid w:val="00583655"/>
    <w:rsid w:val="00585272"/>
    <w:rsid w:val="0059389F"/>
    <w:rsid w:val="005A3B6C"/>
    <w:rsid w:val="005A62AA"/>
    <w:rsid w:val="005A6B1F"/>
    <w:rsid w:val="005B3C36"/>
    <w:rsid w:val="005C29B3"/>
    <w:rsid w:val="005C7416"/>
    <w:rsid w:val="005D0FB1"/>
    <w:rsid w:val="005E09F5"/>
    <w:rsid w:val="005E1C19"/>
    <w:rsid w:val="005E5D25"/>
    <w:rsid w:val="005F3765"/>
    <w:rsid w:val="005F7A6C"/>
    <w:rsid w:val="00611A0C"/>
    <w:rsid w:val="006171A3"/>
    <w:rsid w:val="00620E2F"/>
    <w:rsid w:val="00620F5D"/>
    <w:rsid w:val="00625E37"/>
    <w:rsid w:val="00627BF6"/>
    <w:rsid w:val="00632DC3"/>
    <w:rsid w:val="00634C21"/>
    <w:rsid w:val="00636CF5"/>
    <w:rsid w:val="006450A2"/>
    <w:rsid w:val="00653D75"/>
    <w:rsid w:val="00660700"/>
    <w:rsid w:val="00660BF2"/>
    <w:rsid w:val="00666EB8"/>
    <w:rsid w:val="00670CBB"/>
    <w:rsid w:val="00671887"/>
    <w:rsid w:val="00672331"/>
    <w:rsid w:val="006726D6"/>
    <w:rsid w:val="00685DF1"/>
    <w:rsid w:val="00686C8C"/>
    <w:rsid w:val="00687579"/>
    <w:rsid w:val="006903F8"/>
    <w:rsid w:val="006A0A0E"/>
    <w:rsid w:val="006B1594"/>
    <w:rsid w:val="006B392D"/>
    <w:rsid w:val="006B740E"/>
    <w:rsid w:val="006C1200"/>
    <w:rsid w:val="006C2A81"/>
    <w:rsid w:val="006C3836"/>
    <w:rsid w:val="006E338A"/>
    <w:rsid w:val="006E6FE6"/>
    <w:rsid w:val="006F2EBF"/>
    <w:rsid w:val="006F694E"/>
    <w:rsid w:val="0071506C"/>
    <w:rsid w:val="007177DE"/>
    <w:rsid w:val="00721945"/>
    <w:rsid w:val="007379D9"/>
    <w:rsid w:val="00737FC0"/>
    <w:rsid w:val="00746737"/>
    <w:rsid w:val="00762465"/>
    <w:rsid w:val="007770FB"/>
    <w:rsid w:val="007827A2"/>
    <w:rsid w:val="00797695"/>
    <w:rsid w:val="007A0ADF"/>
    <w:rsid w:val="007D0508"/>
    <w:rsid w:val="007D457E"/>
    <w:rsid w:val="007D6F6F"/>
    <w:rsid w:val="007E059F"/>
    <w:rsid w:val="007E19B5"/>
    <w:rsid w:val="007F092B"/>
    <w:rsid w:val="007F4A5A"/>
    <w:rsid w:val="007F568F"/>
    <w:rsid w:val="008165E0"/>
    <w:rsid w:val="0082428E"/>
    <w:rsid w:val="008317A9"/>
    <w:rsid w:val="00846D5C"/>
    <w:rsid w:val="008505BE"/>
    <w:rsid w:val="00852858"/>
    <w:rsid w:val="00860539"/>
    <w:rsid w:val="008634DF"/>
    <w:rsid w:val="00896B3C"/>
    <w:rsid w:val="008A2A97"/>
    <w:rsid w:val="008B16BA"/>
    <w:rsid w:val="008B3B9C"/>
    <w:rsid w:val="008B502C"/>
    <w:rsid w:val="008D6277"/>
    <w:rsid w:val="008E088B"/>
    <w:rsid w:val="008E14B1"/>
    <w:rsid w:val="008E7F5C"/>
    <w:rsid w:val="00921613"/>
    <w:rsid w:val="00923FE3"/>
    <w:rsid w:val="009247DD"/>
    <w:rsid w:val="009256BF"/>
    <w:rsid w:val="00931899"/>
    <w:rsid w:val="00936FC8"/>
    <w:rsid w:val="009412ED"/>
    <w:rsid w:val="00946CDF"/>
    <w:rsid w:val="00947D21"/>
    <w:rsid w:val="00951ECC"/>
    <w:rsid w:val="00972B7C"/>
    <w:rsid w:val="00972D42"/>
    <w:rsid w:val="00992D48"/>
    <w:rsid w:val="0099330F"/>
    <w:rsid w:val="009A0264"/>
    <w:rsid w:val="009A4516"/>
    <w:rsid w:val="009B243A"/>
    <w:rsid w:val="009D71C8"/>
    <w:rsid w:val="009E2C17"/>
    <w:rsid w:val="009F09D8"/>
    <w:rsid w:val="009F486B"/>
    <w:rsid w:val="009F4B2E"/>
    <w:rsid w:val="009F6E36"/>
    <w:rsid w:val="00A069BC"/>
    <w:rsid w:val="00A15768"/>
    <w:rsid w:val="00A16263"/>
    <w:rsid w:val="00A300E1"/>
    <w:rsid w:val="00A3110E"/>
    <w:rsid w:val="00A40113"/>
    <w:rsid w:val="00A46694"/>
    <w:rsid w:val="00A55B7D"/>
    <w:rsid w:val="00A65765"/>
    <w:rsid w:val="00A86279"/>
    <w:rsid w:val="00A911F2"/>
    <w:rsid w:val="00A957DC"/>
    <w:rsid w:val="00AA78F1"/>
    <w:rsid w:val="00AB034B"/>
    <w:rsid w:val="00AB291A"/>
    <w:rsid w:val="00AC6D4F"/>
    <w:rsid w:val="00AD0089"/>
    <w:rsid w:val="00AF0875"/>
    <w:rsid w:val="00B26840"/>
    <w:rsid w:val="00B40C39"/>
    <w:rsid w:val="00B51D08"/>
    <w:rsid w:val="00B569CF"/>
    <w:rsid w:val="00B6048C"/>
    <w:rsid w:val="00B64E7A"/>
    <w:rsid w:val="00B65155"/>
    <w:rsid w:val="00B80F6B"/>
    <w:rsid w:val="00B83A56"/>
    <w:rsid w:val="00B907CB"/>
    <w:rsid w:val="00BA30B7"/>
    <w:rsid w:val="00BA65E5"/>
    <w:rsid w:val="00BB3103"/>
    <w:rsid w:val="00BC1B0E"/>
    <w:rsid w:val="00BC45AF"/>
    <w:rsid w:val="00BC4876"/>
    <w:rsid w:val="00BC6354"/>
    <w:rsid w:val="00BD085C"/>
    <w:rsid w:val="00BD14E9"/>
    <w:rsid w:val="00BD6105"/>
    <w:rsid w:val="00C00390"/>
    <w:rsid w:val="00C02294"/>
    <w:rsid w:val="00C11D7F"/>
    <w:rsid w:val="00C16949"/>
    <w:rsid w:val="00C23483"/>
    <w:rsid w:val="00C23B4B"/>
    <w:rsid w:val="00C27DDC"/>
    <w:rsid w:val="00C327DE"/>
    <w:rsid w:val="00C32FD1"/>
    <w:rsid w:val="00C43D2D"/>
    <w:rsid w:val="00C504E6"/>
    <w:rsid w:val="00C6090C"/>
    <w:rsid w:val="00C6483E"/>
    <w:rsid w:val="00C714BC"/>
    <w:rsid w:val="00C84214"/>
    <w:rsid w:val="00C86172"/>
    <w:rsid w:val="00C877EB"/>
    <w:rsid w:val="00CA4715"/>
    <w:rsid w:val="00CA7774"/>
    <w:rsid w:val="00CB099B"/>
    <w:rsid w:val="00CB2724"/>
    <w:rsid w:val="00CC1240"/>
    <w:rsid w:val="00CC218A"/>
    <w:rsid w:val="00CD46B3"/>
    <w:rsid w:val="00CD6B47"/>
    <w:rsid w:val="00CE08D3"/>
    <w:rsid w:val="00CE0D2E"/>
    <w:rsid w:val="00CE5634"/>
    <w:rsid w:val="00CF3900"/>
    <w:rsid w:val="00D0335B"/>
    <w:rsid w:val="00D07232"/>
    <w:rsid w:val="00D37EB2"/>
    <w:rsid w:val="00D37F8E"/>
    <w:rsid w:val="00D37FC2"/>
    <w:rsid w:val="00D40600"/>
    <w:rsid w:val="00D62CD9"/>
    <w:rsid w:val="00D64C15"/>
    <w:rsid w:val="00D67679"/>
    <w:rsid w:val="00D720AD"/>
    <w:rsid w:val="00D744D0"/>
    <w:rsid w:val="00D754D3"/>
    <w:rsid w:val="00D827D7"/>
    <w:rsid w:val="00D9526B"/>
    <w:rsid w:val="00DA1B50"/>
    <w:rsid w:val="00DA600B"/>
    <w:rsid w:val="00DA783E"/>
    <w:rsid w:val="00DA7D27"/>
    <w:rsid w:val="00DB374D"/>
    <w:rsid w:val="00DC039E"/>
    <w:rsid w:val="00DD44D8"/>
    <w:rsid w:val="00DD7B82"/>
    <w:rsid w:val="00DE56D9"/>
    <w:rsid w:val="00DE5C85"/>
    <w:rsid w:val="00DE719C"/>
    <w:rsid w:val="00E018B5"/>
    <w:rsid w:val="00E01A24"/>
    <w:rsid w:val="00E038BA"/>
    <w:rsid w:val="00E07035"/>
    <w:rsid w:val="00E07B58"/>
    <w:rsid w:val="00E1291E"/>
    <w:rsid w:val="00E12A2C"/>
    <w:rsid w:val="00E137A9"/>
    <w:rsid w:val="00E14793"/>
    <w:rsid w:val="00E3057C"/>
    <w:rsid w:val="00E315AF"/>
    <w:rsid w:val="00E324E2"/>
    <w:rsid w:val="00E42020"/>
    <w:rsid w:val="00E4346C"/>
    <w:rsid w:val="00E62B70"/>
    <w:rsid w:val="00E637CD"/>
    <w:rsid w:val="00E67084"/>
    <w:rsid w:val="00E969FC"/>
    <w:rsid w:val="00EB512C"/>
    <w:rsid w:val="00EB784F"/>
    <w:rsid w:val="00EB7BB8"/>
    <w:rsid w:val="00EC44B0"/>
    <w:rsid w:val="00ED1534"/>
    <w:rsid w:val="00ED362E"/>
    <w:rsid w:val="00EE04CD"/>
    <w:rsid w:val="00EE068C"/>
    <w:rsid w:val="00EE3930"/>
    <w:rsid w:val="00EE62AD"/>
    <w:rsid w:val="00F100D5"/>
    <w:rsid w:val="00F1194F"/>
    <w:rsid w:val="00F119DD"/>
    <w:rsid w:val="00F16930"/>
    <w:rsid w:val="00F20389"/>
    <w:rsid w:val="00F35F82"/>
    <w:rsid w:val="00F36148"/>
    <w:rsid w:val="00F378D8"/>
    <w:rsid w:val="00F470AD"/>
    <w:rsid w:val="00F4781E"/>
    <w:rsid w:val="00F75E08"/>
    <w:rsid w:val="00F77ABF"/>
    <w:rsid w:val="00F77C64"/>
    <w:rsid w:val="00F926FF"/>
    <w:rsid w:val="00FA24FD"/>
    <w:rsid w:val="00FA3096"/>
    <w:rsid w:val="00FA7FCD"/>
    <w:rsid w:val="00FB1786"/>
    <w:rsid w:val="00FB557F"/>
    <w:rsid w:val="00FD1E00"/>
    <w:rsid w:val="00FD5C6C"/>
    <w:rsid w:val="00FE25ED"/>
    <w:rsid w:val="00FF4331"/>
    <w:rsid w:val="00FF4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75" w:qFormat="1"/>
    <w:lsdException w:name="heading 2" w:locked="1" w:uiPriority="0" w:qFormat="1"/>
    <w:lsdException w:name="heading 3" w:locked="1" w:uiPriority="0"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6B"/>
    <w:rPr>
      <w:sz w:val="24"/>
      <w:szCs w:val="24"/>
    </w:rPr>
  </w:style>
  <w:style w:type="paragraph" w:styleId="Heading1">
    <w:name w:val="heading 1"/>
    <w:basedOn w:val="Normal"/>
    <w:next w:val="Normal"/>
    <w:link w:val="Heading1Char"/>
    <w:autoRedefine/>
    <w:uiPriority w:val="75"/>
    <w:qFormat/>
    <w:rsid w:val="00687579"/>
    <w:pPr>
      <w:autoSpaceDE w:val="0"/>
      <w:autoSpaceDN w:val="0"/>
      <w:adjustRightInd w:val="0"/>
      <w:spacing w:after="240"/>
      <w:ind w:left="720" w:hanging="720"/>
      <w:outlineLvl w:val="0"/>
    </w:pPr>
    <w:rPr>
      <w:b/>
      <w:bCs/>
      <w:caps/>
      <w:noProof/>
    </w:rPr>
  </w:style>
  <w:style w:type="paragraph" w:styleId="Heading2">
    <w:name w:val="heading 2"/>
    <w:basedOn w:val="ListParagraph"/>
    <w:next w:val="Normal"/>
    <w:link w:val="Heading2Char"/>
    <w:uiPriority w:val="99"/>
    <w:qFormat/>
    <w:rsid w:val="009F486B"/>
    <w:pPr>
      <w:numPr>
        <w:numId w:val="2"/>
      </w:numPr>
      <w:spacing w:after="240"/>
      <w:ind w:left="0" w:leftChars="0"/>
      <w:outlineLvl w:val="1"/>
    </w:pPr>
    <w:rPr>
      <w:rFonts w:ascii="Times New Roman" w:hAnsi="Times New Roman"/>
      <w:b/>
    </w:rPr>
  </w:style>
  <w:style w:type="paragraph" w:styleId="Heading3">
    <w:name w:val="heading 3"/>
    <w:basedOn w:val="Normal"/>
    <w:next w:val="Normal"/>
    <w:link w:val="Heading3Char"/>
    <w:uiPriority w:val="99"/>
    <w:semiHidden/>
    <w:qFormat/>
    <w:rsid w:val="009F486B"/>
    <w:pPr>
      <w:keepNext/>
      <w:spacing w:after="240"/>
      <w:ind w:left="2160" w:hanging="720"/>
      <w:outlineLvl w:val="2"/>
    </w:pPr>
    <w:rPr>
      <w:b/>
      <w:bCs/>
      <w:szCs w:val="26"/>
    </w:rPr>
  </w:style>
  <w:style w:type="paragraph" w:styleId="Heading4">
    <w:name w:val="heading 4"/>
    <w:basedOn w:val="Normal"/>
    <w:next w:val="Normal"/>
    <w:link w:val="Heading4Char"/>
    <w:semiHidden/>
    <w:unhideWhenUsed/>
    <w:locked/>
    <w:rsid w:val="007827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75"/>
    <w:locked/>
    <w:rsid w:val="00687579"/>
    <w:rPr>
      <w:b/>
      <w:bCs/>
      <w:caps/>
      <w:noProof/>
      <w:sz w:val="24"/>
      <w:szCs w:val="24"/>
    </w:rPr>
  </w:style>
  <w:style w:type="character" w:customStyle="1" w:styleId="Heading2Char">
    <w:name w:val="Heading 2 Char"/>
    <w:link w:val="Heading2"/>
    <w:uiPriority w:val="99"/>
    <w:locked/>
    <w:rsid w:val="009F486B"/>
    <w:rPr>
      <w:b/>
      <w:kern w:val="2"/>
      <w:sz w:val="24"/>
      <w:szCs w:val="22"/>
      <w:lang w:eastAsia="zh-TW"/>
    </w:rPr>
  </w:style>
  <w:style w:type="character" w:customStyle="1" w:styleId="Heading3Char">
    <w:name w:val="Heading 3 Char"/>
    <w:link w:val="Heading3"/>
    <w:uiPriority w:val="99"/>
    <w:semiHidden/>
    <w:locked/>
    <w:rsid w:val="009F486B"/>
    <w:rPr>
      <w:b/>
      <w:bCs/>
      <w:sz w:val="24"/>
      <w:szCs w:val="26"/>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uiPriority w:val="99"/>
    <w:semiHidden/>
  </w:style>
  <w:style w:type="paragraph" w:styleId="BodyText">
    <w:name w:val="Body Text"/>
    <w:basedOn w:val="Normal"/>
    <w:link w:val="BodyTextChar"/>
    <w:uiPriority w:val="99"/>
    <w:semiHidden/>
    <w:pPr>
      <w:spacing w:line="480" w:lineRule="auto"/>
      <w:ind w:left="720"/>
    </w:pPr>
    <w:rPr>
      <w:iCs/>
    </w:rPr>
  </w:style>
  <w:style w:type="character" w:customStyle="1" w:styleId="BodyTextChar">
    <w:name w:val="Body Text Char"/>
    <w:link w:val="BodyText"/>
    <w:uiPriority w:val="99"/>
    <w:semiHidden/>
    <w:locked/>
    <w:rPr>
      <w:iCs/>
      <w:sz w:val="24"/>
      <w:szCs w:val="24"/>
    </w:rPr>
  </w:style>
  <w:style w:type="paragraph" w:styleId="FootnoteText">
    <w:name w:val="footnote text"/>
    <w:aliases w:val="ALTS FOOTNOTE,Footnote Text Char,Footnote Text Char Char,Footnote Text Char Char Char Char,Footnote Text Char1,Footnote Text Char1 Char Char1,Footnote Text Char1 Char Char1 Char Char Char,Footnote Text Char2 Char Char Char Char1,fn,fn C,ft"/>
    <w:basedOn w:val="Normal"/>
    <w:link w:val="FootnoteTextChar3"/>
    <w:pPr>
      <w:spacing w:before="120"/>
    </w:pPr>
    <w:rPr>
      <w:sz w:val="20"/>
      <w:szCs w:val="20"/>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semiHidden/>
    <w:rPr>
      <w:sz w:val="20"/>
      <w:szCs w:val="20"/>
    </w:rPr>
  </w:style>
  <w:style w:type="character" w:customStyle="1" w:styleId="FootnoteTextChar21">
    <w:name w:val="Footnote Text Char21"/>
    <w:aliases w:val="Footnote Text Char Char Char Char Char3,Footnote Text Char Char Char3,Footnote Text Char1 Char Char1 Char Char Char Char3,Footnote Text Char1 Char Char1 Char3,Footnote Text Char1 Char3,Footnote Text Char2 Char Char Char Char1 Char3"/>
    <w:uiPriority w:val="99"/>
    <w:semiHidden/>
    <w:rPr>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Pr>
      <w:vertAlign w:val="superscript"/>
    </w:rPr>
  </w:style>
  <w:style w:type="character" w:customStyle="1" w:styleId="FootnoteTextChar1Char2">
    <w:name w:val="Footnote Text Char1 Char2"/>
    <w:aliases w:val="ALTS FOOTNOTE Char,Footnote Text Char Char Char Char Char2,Footnote Text Char Char Char2,Footnote Text Char1 Char Char1 Char Char Char Char2,Footnote Text Char1 Char Char1 Char2,Footnote Text Char2 Char Char Char Char1 Char2"/>
    <w:uiPriority w:val="99"/>
    <w:semiHidden/>
    <w:locked/>
    <w:rPr>
      <w:lang w:val="en-US" w:eastAsia="en-US"/>
    </w:rPr>
  </w:style>
  <w:style w:type="character" w:styleId="Hyperlink">
    <w:name w:val="Hyperlink"/>
    <w:uiPriority w:val="99"/>
    <w:rPr>
      <w:color w:val="0000FF"/>
      <w:u w:val="single"/>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aliases w:val=" Char Char,Char Char1"/>
    <w:link w:val="HTMLPreformatted"/>
    <w:locked/>
    <w:rPr>
      <w:rFonts w:ascii="Courier New" w:hAnsi="Courier New"/>
    </w:rPr>
  </w:style>
  <w:style w:type="paragraph" w:styleId="Title">
    <w:name w:val="Title"/>
    <w:basedOn w:val="Normal"/>
    <w:link w:val="TitleChar"/>
    <w:uiPriority w:val="99"/>
    <w:semiHidden/>
    <w:pPr>
      <w:jc w:val="center"/>
    </w:pPr>
    <w:rPr>
      <w:b/>
      <w:bCs/>
    </w:rPr>
  </w:style>
  <w:style w:type="character" w:customStyle="1" w:styleId="TitleChar">
    <w:name w:val="Title Char"/>
    <w:link w:val="Title"/>
    <w:uiPriority w:val="99"/>
    <w:semiHidden/>
    <w:locked/>
    <w:rPr>
      <w:b/>
      <w:bCs/>
      <w:sz w:val="24"/>
      <w:szCs w:val="24"/>
    </w:rPr>
  </w:style>
  <w:style w:type="paragraph" w:styleId="PlainText">
    <w:name w:val="Plain Text"/>
    <w:basedOn w:val="Normal"/>
    <w:link w:val="PlainTextChar"/>
    <w:uiPriority w:val="99"/>
    <w:semiHidden/>
    <w:rPr>
      <w:rFonts w:ascii="Courier New" w:hAnsi="Courier New"/>
      <w:sz w:val="20"/>
      <w:szCs w:val="20"/>
    </w:rPr>
  </w:style>
  <w:style w:type="character" w:customStyle="1" w:styleId="PlainTextChar">
    <w:name w:val="Plain Text Char"/>
    <w:link w:val="PlainText"/>
    <w:uiPriority w:val="99"/>
    <w:semiHidden/>
    <w:locked/>
    <w:rPr>
      <w:rFonts w:ascii="Courier New" w:hAnsi="Courier New"/>
    </w:rPr>
  </w:style>
  <w:style w:type="paragraph" w:styleId="TOC1">
    <w:name w:val="toc 1"/>
    <w:basedOn w:val="Normal"/>
    <w:next w:val="Normal"/>
    <w:autoRedefine/>
    <w:uiPriority w:val="39"/>
    <w:qFormat/>
    <w:pPr>
      <w:tabs>
        <w:tab w:val="decimal" w:leader="dot" w:pos="8640"/>
      </w:tabs>
      <w:spacing w:after="240"/>
      <w:ind w:left="720" w:hanging="720"/>
    </w:pPr>
    <w:rPr>
      <w:rFonts w:eastAsiaTheme="minorEastAsia"/>
      <w:caps/>
      <w:noProof/>
      <w:szCs w:val="22"/>
    </w:rPr>
  </w:style>
  <w:style w:type="paragraph" w:styleId="List2">
    <w:name w:val="List 2"/>
    <w:basedOn w:val="Normal"/>
    <w:uiPriority w:val="99"/>
    <w:semiHidden/>
    <w:pPr>
      <w:ind w:left="720" w:hanging="36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emiHidden/>
  </w:style>
  <w:style w:type="paragraph" w:styleId="EndnoteText">
    <w:name w:val="endnote text"/>
    <w:basedOn w:val="Normal"/>
    <w:link w:val="EndnoteTextChar"/>
    <w:pPr>
      <w:widowControl w:val="0"/>
      <w:snapToGrid w:val="0"/>
    </w:pPr>
    <w:rPr>
      <w:rFonts w:ascii="Courier New" w:hAnsi="Courier New"/>
    </w:rPr>
  </w:style>
  <w:style w:type="character" w:customStyle="1" w:styleId="EndnoteTextChar">
    <w:name w:val="Endnote Text Char"/>
    <w:link w:val="EndnoteText"/>
    <w:locked/>
    <w:rPr>
      <w:rFonts w:ascii="Courier New" w:hAnsi="Courier New"/>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shd w:val="clear" w:color="auto" w:fill="000080"/>
    </w:rPr>
  </w:style>
  <w:style w:type="paragraph" w:customStyle="1" w:styleId="DefaultParagraphFontParaCharCharCharCharCharCharChar">
    <w:name w:val="Default Paragraph Font Para Char Char Char Char Char Char Char"/>
    <w:basedOn w:val="Normal"/>
    <w:uiPriority w:val="99"/>
    <w:semiHidden/>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rPr>
  </w:style>
  <w:style w:type="paragraph" w:styleId="Subtitle">
    <w:name w:val="Subtitle"/>
    <w:basedOn w:val="Normal"/>
    <w:link w:val="SubtitleChar"/>
    <w:uiPriority w:val="99"/>
    <w:semiHidden/>
    <w:pPr>
      <w:jc w:val="center"/>
    </w:pPr>
    <w:rPr>
      <w:rFonts w:ascii="Verdana" w:hAnsi="Verdana"/>
      <w:b/>
      <w:bCs/>
      <w:sz w:val="32"/>
      <w:szCs w:val="32"/>
    </w:rPr>
  </w:style>
  <w:style w:type="character" w:customStyle="1" w:styleId="SubtitleChar">
    <w:name w:val="Subtitle Char"/>
    <w:link w:val="Subtitle"/>
    <w:uiPriority w:val="99"/>
    <w:semiHidden/>
    <w:locked/>
    <w:rPr>
      <w:rFonts w:ascii="Verdana" w:hAnsi="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link w:val="FootnoteText"/>
    <w:uiPriority w:val="99"/>
    <w:locked/>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locked/>
    <w:rPr>
      <w:sz w:val="24"/>
      <w:szCs w:val="24"/>
    </w:rPr>
  </w:style>
  <w:style w:type="character" w:customStyle="1" w:styleId="TagStyle">
    <w:name w:val="TagStyle"/>
    <w:uiPriority w:val="99"/>
    <w:semiHidden/>
    <w:rPr>
      <w:rFonts w:ascii="Times New Roman" w:hAnsi="Times New Roman" w:cs="Times New Roman"/>
      <w:color w:val="FF00FF"/>
      <w:sz w:val="24"/>
      <w:szCs w:val="24"/>
    </w:rPr>
  </w:style>
  <w:style w:type="paragraph" w:customStyle="1" w:styleId="BodyTextSingle">
    <w:name w:val="Body Text Single"/>
    <w:aliases w:val="bs"/>
    <w:basedOn w:val="Normal"/>
    <w:uiPriority w:val="99"/>
    <w:semiHidden/>
    <w:pPr>
      <w:spacing w:after="240"/>
      <w:jc w:val="both"/>
    </w:pPr>
  </w:style>
  <w:style w:type="paragraph" w:styleId="TOCHeading">
    <w:name w:val="TOC Heading"/>
    <w:basedOn w:val="Heading1"/>
    <w:next w:val="Normal"/>
    <w:uiPriority w:val="99"/>
    <w:semiHidden/>
    <w:qFormat/>
    <w:pPr>
      <w:keepLines/>
      <w:spacing w:before="480" w:line="276" w:lineRule="auto"/>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semiHidden/>
    <w:pPr>
      <w:ind w:left="720"/>
    </w:pPr>
  </w:style>
  <w:style w:type="paragraph" w:styleId="NoSpacing">
    <w:name w:val="No Spacing"/>
    <w:uiPriority w:val="1"/>
    <w:semiHidden/>
    <w:rPr>
      <w:sz w:val="24"/>
      <w:szCs w:val="24"/>
    </w:rPr>
  </w:style>
  <w:style w:type="paragraph" w:styleId="HTML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HTMLTopofForm"/>
    <w:uiPriority w:val="99"/>
    <w:semiHidden/>
    <w:locked/>
    <w:rPr>
      <w:rFonts w:ascii="Arial" w:hAnsi="Arial" w:cs="Arial"/>
      <w:vanish/>
      <w:sz w:val="16"/>
      <w:szCs w:val="16"/>
    </w:rPr>
  </w:style>
  <w:style w:type="paragraph" w:styleId="HTML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HTML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480" w:leftChars="20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semiHidden/>
    <w:rPr>
      <w:lang w:val="en-US" w:eastAsia="en-US" w:bidi="ar-SA"/>
    </w:rPr>
  </w:style>
  <w:style w:type="character" w:customStyle="1" w:styleId="FootnoteTextChar4CharChar1">
    <w:name w:val="Footnote Text Char4 Char Char1"/>
    <w:aliases w:val="Footnote Text Char Char4 Char Char1,Footnote Text Char Char4 Char1 Char Char Char1,Footnote Text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 w:type="paragraph" w:styleId="BodyTextIndent3">
    <w:name w:val="Body Text Indent 3"/>
    <w:basedOn w:val="Normal"/>
    <w:link w:val="BodyTextIndent3Char"/>
    <w:uiPriority w:val="99"/>
    <w:unhideWhenUsed/>
    <w:rsid w:val="007F4A5A"/>
    <w:pPr>
      <w:spacing w:after="120"/>
      <w:ind w:left="360"/>
    </w:pPr>
    <w:rPr>
      <w:rFonts w:eastAsia="Times New Roman"/>
      <w:sz w:val="16"/>
      <w:szCs w:val="16"/>
      <w:lang w:bidi="en-US"/>
    </w:rPr>
  </w:style>
  <w:style w:type="character" w:customStyle="1" w:styleId="BodyTextIndent3Char">
    <w:name w:val="Body Text Indent 3 Char"/>
    <w:basedOn w:val="DefaultParagraphFont"/>
    <w:link w:val="BodyTextIndent3"/>
    <w:uiPriority w:val="99"/>
    <w:rsid w:val="007F4A5A"/>
    <w:rPr>
      <w:rFonts w:eastAsia="Times New Roman"/>
      <w:sz w:val="16"/>
      <w:szCs w:val="16"/>
      <w:lang w:bidi="en-US"/>
    </w:rPr>
  </w:style>
  <w:style w:type="character" w:customStyle="1" w:styleId="UnresolvedMention1">
    <w:name w:val="Unresolved Mention1"/>
    <w:basedOn w:val="DefaultParagraphFont"/>
    <w:uiPriority w:val="99"/>
    <w:rsid w:val="00564180"/>
    <w:rPr>
      <w:color w:val="605E5C"/>
      <w:shd w:val="clear" w:color="auto" w:fill="E1DFDD"/>
    </w:rPr>
  </w:style>
  <w:style w:type="character" w:customStyle="1" w:styleId="Heading4Char">
    <w:name w:val="Heading 4 Char"/>
    <w:basedOn w:val="DefaultParagraphFont"/>
    <w:link w:val="Heading4"/>
    <w:uiPriority w:val="9"/>
    <w:rsid w:val="007827A2"/>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5F3765"/>
    <w:pPr>
      <w:spacing w:before="100" w:beforeAutospacing="1" w:after="100" w:afterAutospacing="1"/>
    </w:pPr>
    <w:rPr>
      <w:rFonts w:eastAsia="Times New Roman"/>
    </w:rPr>
  </w:style>
  <w:style w:type="character" w:styleId="EndnoteReference">
    <w:name w:val="endnote reference"/>
    <w:basedOn w:val="DefaultParagraphFont"/>
    <w:uiPriority w:val="99"/>
    <w:semiHidden/>
    <w:unhideWhenUsed/>
    <w:rsid w:val="00EB7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yperlink" Target="https://plus.lexis.com/document/?pdmfid=1530671&amp;crid=5ec2ee77-51e7-4f79-a28b-ac318ef6a659&amp;pddocfullpath=%2Fshared%2Fdocument%2Fcases%2Furn%3AcontentItem%3A3S3M-1710-003C-854N-00000-00&amp;pdcontentcomponentid=9249&amp;pdteaserkey=&amp;pdislpamode=false&amp;pdworkfolderlocatorid=NOT_SAVED_IN_WORKFOLDER&amp;ecomp=Lffg&amp;earg=sr0&amp;prid=735df2af-1eaf-431a-90d8-e583608d8008" TargetMode="External" /><Relationship Id="rId13" Type="http://schemas.openxmlformats.org/officeDocument/2006/relationships/hyperlink" Target="mailto:robert.eubanks@ohioAGO.gov" TargetMode="External" /><Relationship Id="rId14" Type="http://schemas.openxmlformats.org/officeDocument/2006/relationships/hyperlink" Target="mailto:shaun.lyons@ohioAGO.gov" TargetMode="External" /><Relationship Id="rId15" Type="http://schemas.openxmlformats.org/officeDocument/2006/relationships/hyperlink" Target="mailto:werner.margard@ohioAGO.gov" TargetMode="External" /><Relationship Id="rId16" Type="http://schemas.openxmlformats.org/officeDocument/2006/relationships/hyperlink" Target="mailto:mkurtz@BKLlawfirm.com" TargetMode="External" /><Relationship Id="rId17" Type="http://schemas.openxmlformats.org/officeDocument/2006/relationships/hyperlink" Target="mailto:kboehm@BKLlawfirm.com" TargetMode="External" /><Relationship Id="rId18" Type="http://schemas.openxmlformats.org/officeDocument/2006/relationships/hyperlink" Target="mailto:jkylercohn@BKLlawfirm.com" TargetMode="External" /><Relationship Id="rId19" Type="http://schemas.openxmlformats.org/officeDocument/2006/relationships/hyperlink" Target="mailto:mwarnock@bricker.com" TargetMode="External" /><Relationship Id="rId2" Type="http://schemas.openxmlformats.org/officeDocument/2006/relationships/settings" Target="settings.xml" /><Relationship Id="rId20" Type="http://schemas.openxmlformats.org/officeDocument/2006/relationships/hyperlink" Target="mailto:kherrnstein@bricker.com" TargetMode="External" /><Relationship Id="rId21" Type="http://schemas.openxmlformats.org/officeDocument/2006/relationships/hyperlink" Target="mailto:ktreadway@oneenergyllc.com" TargetMode="External" /><Relationship Id="rId22" Type="http://schemas.openxmlformats.org/officeDocument/2006/relationships/hyperlink" Target="mailto:jdunn@oneenergyllc.com" TargetMode="External" /><Relationship Id="rId23" Type="http://schemas.openxmlformats.org/officeDocument/2006/relationships/hyperlink" Target="mailto:dborchers@bricker.com" TargetMode="External" /><Relationship Id="rId24" Type="http://schemas.openxmlformats.org/officeDocument/2006/relationships/hyperlink" Target="mailto:Fdarr2019@gmail.com" TargetMode="External" /><Relationship Id="rId25" Type="http://schemas.openxmlformats.org/officeDocument/2006/relationships/hyperlink" Target="mailto:rdove@keglerbrown.com" TargetMode="External" /><Relationship Id="rId26" Type="http://schemas.openxmlformats.org/officeDocument/2006/relationships/hyperlink" Target="mailto:trent@hubaydougherty.com" TargetMode="External" /><Relationship Id="rId27" Type="http://schemas.openxmlformats.org/officeDocument/2006/relationships/hyperlink" Target="mailto:matthew.sandor@puco.ohio.gov" TargetMode="External" /><Relationship Id="rId28" Type="http://schemas.openxmlformats.org/officeDocument/2006/relationships/hyperlink" Target="mailto:nicholas.walstra@puco.ohio.gov" TargetMode="External" /><Relationship Id="rId29" Type="http://schemas.openxmlformats.org/officeDocument/2006/relationships/hyperlink" Target="mailto:Rocco.dascenzo@duke-energy.com" TargetMode="External" /><Relationship Id="rId3" Type="http://schemas.openxmlformats.org/officeDocument/2006/relationships/webSettings" Target="webSettings.xml" /><Relationship Id="rId30" Type="http://schemas.openxmlformats.org/officeDocument/2006/relationships/hyperlink" Target="mailto:Jeanne.kingery@duke-energy.com" TargetMode="External" /><Relationship Id="rId31" Type="http://schemas.openxmlformats.org/officeDocument/2006/relationships/hyperlink" Target="mailto:Larisa.vaysman@duke-energy.com" TargetMode="External" /><Relationship Id="rId32" Type="http://schemas.openxmlformats.org/officeDocument/2006/relationships/hyperlink" Target="mailto:elyse.akhbari@duke-energy.com" TargetMode="External" /><Relationship Id="rId33" Type="http://schemas.openxmlformats.org/officeDocument/2006/relationships/hyperlink" Target="mailto:ebrama@taftlaw.com" TargetMode="External" /><Relationship Id="rId34" Type="http://schemas.openxmlformats.org/officeDocument/2006/relationships/hyperlink" Target="mailto:Bethany.allen@igs.com" TargetMode="External" /><Relationship Id="rId35" Type="http://schemas.openxmlformats.org/officeDocument/2006/relationships/hyperlink" Target="mailto:Joe.oliker@igs.com" TargetMode="External" /><Relationship Id="rId36" Type="http://schemas.openxmlformats.org/officeDocument/2006/relationships/hyperlink" Target="mailto:Evan.betterton@igs.com" TargetMode="External" /><Relationship Id="rId37" Type="http://schemas.openxmlformats.org/officeDocument/2006/relationships/hyperlink" Target="mailto:Stacie.e.cathcart@igs.com" TargetMode="External" /><Relationship Id="rId38" Type="http://schemas.openxmlformats.org/officeDocument/2006/relationships/hyperlink" Target="mailto:jlang@calfee.com" TargetMode="External" /><Relationship Id="rId39" Type="http://schemas.openxmlformats.org/officeDocument/2006/relationships/hyperlink" Target="mailto:gjewell@calfee.com" TargetMode="External" /><Relationship Id="rId4" Type="http://schemas.openxmlformats.org/officeDocument/2006/relationships/fontTable" Target="fontTable.xml" /><Relationship Id="rId40" Type="http://schemas.openxmlformats.org/officeDocument/2006/relationships/hyperlink" Target="mailto:gwhaling@calfee.com" TargetMode="External" /><Relationship Id="rId41" Type="http://schemas.openxmlformats.org/officeDocument/2006/relationships/hyperlink" Target="mailto:dromig@nationwideenergypartners.com" TargetMode="External" /><Relationship Id="rId42" Type="http://schemas.openxmlformats.org/officeDocument/2006/relationships/hyperlink" Target="mailto:Bojko@carpenterlipps.com" TargetMode="External" /><Relationship Id="rId43" Type="http://schemas.openxmlformats.org/officeDocument/2006/relationships/hyperlink" Target="mailto:cgrundmann@spilmanlaw.com" TargetMode="External" /><Relationship Id="rId44" Type="http://schemas.openxmlformats.org/officeDocument/2006/relationships/hyperlink" Target="mailto:dwilliamson@spilmanlaw.com" TargetMode="External" /><Relationship Id="rId45" Type="http://schemas.openxmlformats.org/officeDocument/2006/relationships/hyperlink" Target="mailto:cpirik@dickinsonwright.com" TargetMode="External" /><Relationship Id="rId46" Type="http://schemas.openxmlformats.org/officeDocument/2006/relationships/hyperlink" Target="mailto:todonnell@dickinsonwright.com" TargetMode="External" /><Relationship Id="rId47" Type="http://schemas.openxmlformats.org/officeDocument/2006/relationships/hyperlink" Target="mailto:mmcdonnell@dickinsonwright.com" TargetMode="External" /><Relationship Id="rId48" Type="http://schemas.openxmlformats.org/officeDocument/2006/relationships/footer" Target="footer4.xml" /><Relationship Id="rId49" Type="http://schemas.openxmlformats.org/officeDocument/2006/relationships/theme" Target="theme/theme1.xml" /><Relationship Id="rId5" Type="http://schemas.openxmlformats.org/officeDocument/2006/relationships/customXml" Target="../customXml/item1.xml" /><Relationship Id="rId50" Type="http://schemas.openxmlformats.org/officeDocument/2006/relationships/numbering" Target="numbering.xml" /><Relationship Id="rId51" Type="http://schemas.openxmlformats.org/officeDocument/2006/relationships/styles" Target="styles.xml" /><Relationship Id="rId6" Type="http://schemas.openxmlformats.org/officeDocument/2006/relationships/hyperlink" Target="mailto:angela.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A7D1-5722-4FB6-97D3-CE794CAE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MC Duke Energy Ohio Motion to Strike OCC Objections  (00549111.DOCX;1)</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2022-07-08T20:07:01Z</dcterms:created>
  <dcterms:modified xsi:type="dcterms:W3CDTF">2022-07-08T20:07:01Z</dcterms:modified>
</cp:coreProperties>
</file>