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EA" w:rsidRDefault="00D761EA" w:rsidP="00D761EA">
      <w:pPr>
        <w:pStyle w:val="NoSpacing"/>
        <w:jc w:val="center"/>
        <w:outlineLvl w:val="0"/>
        <w:rPr>
          <w:rFonts w:ascii="Times New Roman" w:hAnsi="Times New Roman"/>
          <w:b/>
          <w:color w:val="auto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6"/>
          <w:szCs w:val="26"/>
        </w:rPr>
        <w:t>Before the</w:t>
      </w:r>
    </w:p>
    <w:p w:rsidR="00D761EA" w:rsidRDefault="00D761EA" w:rsidP="00D761EA">
      <w:pPr>
        <w:pStyle w:val="NoSpacing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Federal Communications Commission</w:t>
      </w:r>
    </w:p>
    <w:p w:rsidR="00D761EA" w:rsidRDefault="00D761EA" w:rsidP="00D761EA">
      <w:pPr>
        <w:pStyle w:val="NoSpacing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Washington, D.C.  20554</w:t>
      </w:r>
    </w:p>
    <w:p w:rsidR="00D761EA" w:rsidRDefault="00D761EA" w:rsidP="00D761EA">
      <w:pPr>
        <w:pStyle w:val="NoSpacing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03"/>
        <w:gridCol w:w="4770"/>
      </w:tblGrid>
      <w:tr w:rsidR="00D761EA" w:rsidTr="00D761EA">
        <w:tc>
          <w:tcPr>
            <w:tcW w:w="4773" w:type="dxa"/>
            <w:hideMark/>
          </w:tcPr>
          <w:p w:rsidR="00D761EA" w:rsidRDefault="00D761EA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In the Matter of</w:t>
            </w:r>
          </w:p>
          <w:p w:rsidR="00D761EA" w:rsidRDefault="00D761EA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6F1852" w:rsidRDefault="006F1852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Connect America Fund</w:t>
            </w:r>
          </w:p>
        </w:tc>
        <w:tc>
          <w:tcPr>
            <w:tcW w:w="303" w:type="dxa"/>
            <w:hideMark/>
          </w:tcPr>
          <w:p w:rsidR="00D761EA" w:rsidRDefault="00D761EA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  <w:p w:rsidR="00D761EA" w:rsidRDefault="00D761EA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  <w:p w:rsidR="006F1852" w:rsidRDefault="006F1852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</w:tc>
        <w:tc>
          <w:tcPr>
            <w:tcW w:w="5076" w:type="dxa"/>
            <w:hideMark/>
          </w:tcPr>
          <w:p w:rsidR="00D761EA" w:rsidRDefault="00D761EA" w:rsidP="006F1852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6F1852" w:rsidRDefault="006F1852" w:rsidP="006F1852">
            <w:pPr>
              <w:spacing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WC Docket No. 10-90</w:t>
            </w:r>
          </w:p>
        </w:tc>
      </w:tr>
    </w:tbl>
    <w:p w:rsidR="00D761EA" w:rsidRDefault="00D761EA" w:rsidP="00D761EA">
      <w:pPr>
        <w:tabs>
          <w:tab w:val="left" w:pos="9900"/>
        </w:tabs>
        <w:spacing w:after="240" w:line="240" w:lineRule="auto"/>
        <w:rPr>
          <w:rFonts w:ascii="Times New Roman" w:hAnsi="Times New Roman"/>
          <w:color w:val="auto"/>
          <w:sz w:val="26"/>
          <w:szCs w:val="26"/>
          <w:u w:val="single"/>
        </w:rPr>
      </w:pPr>
      <w:r>
        <w:rPr>
          <w:rFonts w:ascii="Times New Roman" w:hAnsi="Times New Roman"/>
          <w:color w:val="auto"/>
          <w:sz w:val="26"/>
          <w:szCs w:val="26"/>
          <w:u w:val="single"/>
        </w:rPr>
        <w:tab/>
      </w:r>
    </w:p>
    <w:p w:rsidR="00D761EA" w:rsidRDefault="00D761EA" w:rsidP="00D761EA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REPLY COMMENTS</w:t>
      </w:r>
    </w:p>
    <w:p w:rsidR="00D761EA" w:rsidRDefault="00D761EA" w:rsidP="00D761EA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SUBMITTED ON BEHALF OF</w:t>
      </w:r>
    </w:p>
    <w:p w:rsidR="00D761EA" w:rsidRDefault="00D761EA" w:rsidP="00D761EA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THE PUBLIC UTILITIES COMMISSION OF OHIO</w:t>
      </w:r>
    </w:p>
    <w:p w:rsidR="00D761EA" w:rsidRDefault="00D761EA" w:rsidP="00D761EA">
      <w:pPr>
        <w:tabs>
          <w:tab w:val="left" w:pos="9900"/>
        </w:tabs>
        <w:spacing w:after="0" w:line="240" w:lineRule="auto"/>
        <w:rPr>
          <w:rFonts w:ascii="Times New Roman" w:hAnsi="Times New Roman"/>
          <w:color w:val="auto"/>
          <w:sz w:val="26"/>
          <w:szCs w:val="26"/>
          <w:u w:val="single"/>
        </w:rPr>
      </w:pPr>
      <w:r>
        <w:rPr>
          <w:rFonts w:ascii="Times New Roman" w:hAnsi="Times New Roman"/>
          <w:color w:val="auto"/>
          <w:sz w:val="26"/>
          <w:szCs w:val="26"/>
          <w:u w:val="single"/>
        </w:rPr>
        <w:tab/>
      </w:r>
    </w:p>
    <w:p w:rsidR="00EB67FB" w:rsidRDefault="00EB67FB"/>
    <w:p w:rsidR="0023262D" w:rsidRDefault="006F1852" w:rsidP="0005291F">
      <w:pPr>
        <w:pStyle w:val="Textstyle"/>
        <w:jc w:val="both"/>
      </w:pPr>
      <w:r w:rsidRPr="00B55B24">
        <w:tab/>
      </w:r>
      <w:r w:rsidR="000F03F8" w:rsidRPr="00B55B24">
        <w:t xml:space="preserve">In its </w:t>
      </w:r>
      <w:r w:rsidR="000F03F8" w:rsidRPr="00B55B24">
        <w:rPr>
          <w:i/>
        </w:rPr>
        <w:t>ICC/ISF Transformation Order</w:t>
      </w:r>
      <w:r w:rsidR="004B3DB5" w:rsidRPr="00B55B24">
        <w:t xml:space="preserve"> (</w:t>
      </w:r>
      <w:r w:rsidR="004B3DB5" w:rsidRPr="00B55B24">
        <w:rPr>
          <w:i/>
        </w:rPr>
        <w:t>Transformation Order</w:t>
      </w:r>
      <w:r w:rsidR="004B3DB5" w:rsidRPr="00B55B24">
        <w:t>)</w:t>
      </w:r>
      <w:r w:rsidR="000F03F8" w:rsidRPr="00B55B24">
        <w:t>, the F</w:t>
      </w:r>
      <w:r w:rsidR="004633A9" w:rsidRPr="00B55B24">
        <w:t xml:space="preserve">ederal </w:t>
      </w:r>
      <w:r w:rsidR="000F03F8" w:rsidRPr="00B55B24">
        <w:t>C</w:t>
      </w:r>
      <w:r w:rsidR="004633A9" w:rsidRPr="00B55B24">
        <w:t>om</w:t>
      </w:r>
      <w:r w:rsidR="008A3DE3">
        <w:softHyphen/>
      </w:r>
      <w:r w:rsidR="004633A9" w:rsidRPr="00B55B24">
        <w:t xml:space="preserve">munications </w:t>
      </w:r>
      <w:r w:rsidR="000F03F8" w:rsidRPr="00B55B24">
        <w:t>C</w:t>
      </w:r>
      <w:r w:rsidR="004633A9" w:rsidRPr="00B55B24">
        <w:t>ommission</w:t>
      </w:r>
      <w:r w:rsidR="000F03F8" w:rsidRPr="00B55B24">
        <w:t xml:space="preserve"> </w:t>
      </w:r>
      <w:r w:rsidR="004B3DB5" w:rsidRPr="00B55B24">
        <w:t>adopted</w:t>
      </w:r>
      <w:r w:rsidR="000F03F8" w:rsidRPr="00B55B24">
        <w:t xml:space="preserve"> rate floors for eligi</w:t>
      </w:r>
      <w:r w:rsidR="004633A9" w:rsidRPr="00B55B24">
        <w:t>ble telecommunications carriers (ETCs), including rural incumbent local exchange carriers</w:t>
      </w:r>
      <w:r w:rsidR="00714DBD">
        <w:t xml:space="preserve"> </w:t>
      </w:r>
      <w:r w:rsidR="00E850ED" w:rsidRPr="00B55B24">
        <w:t>(ILECs)</w:t>
      </w:r>
      <w:r w:rsidR="004633A9" w:rsidRPr="00B55B24">
        <w:t xml:space="preserve"> seeking high-cost support from the Universal Service Fund.</w:t>
      </w:r>
      <w:r w:rsidR="004633A9" w:rsidRPr="00B55B24">
        <w:rPr>
          <w:rStyle w:val="FootnoteReference"/>
        </w:rPr>
        <w:footnoteReference w:id="1"/>
      </w:r>
      <w:r w:rsidR="004633A9" w:rsidRPr="00B55B24">
        <w:t xml:space="preserve">  ETCs whose stand-alone local ser</w:t>
      </w:r>
      <w:r w:rsidR="008A3DE3">
        <w:softHyphen/>
      </w:r>
      <w:r w:rsidR="004633A9" w:rsidRPr="00B55B24">
        <w:t>vice rate</w:t>
      </w:r>
      <w:r w:rsidR="009B11B1">
        <w:t>s</w:t>
      </w:r>
      <w:r w:rsidR="004633A9" w:rsidRPr="00B55B24">
        <w:rPr>
          <w:rStyle w:val="FootnoteReference"/>
        </w:rPr>
        <w:footnoteReference w:id="2"/>
      </w:r>
      <w:r w:rsidR="004633A9" w:rsidRPr="00B55B24">
        <w:t xml:space="preserve"> fall below the rate-floor </w:t>
      </w:r>
      <w:r w:rsidR="0023262D">
        <w:t>could experience reduced</w:t>
      </w:r>
      <w:r w:rsidR="004633A9" w:rsidRPr="00B55B24">
        <w:t xml:space="preserve"> high-cost support on a dollar-for-dollar basis </w:t>
      </w:r>
      <w:r w:rsidR="004B3DB5" w:rsidRPr="00B55B24">
        <w:t xml:space="preserve">per line </w:t>
      </w:r>
      <w:r w:rsidR="004633A9" w:rsidRPr="00B55B24">
        <w:t>for each dollar that th</w:t>
      </w:r>
      <w:r w:rsidR="004B3DB5" w:rsidRPr="00B55B24">
        <w:t>eir rate is below the benchmark rate.</w:t>
      </w:r>
      <w:r w:rsidR="004B3DB5" w:rsidRPr="00B55B24">
        <w:rPr>
          <w:rStyle w:val="FootnoteReference"/>
        </w:rPr>
        <w:footnoteReference w:id="3"/>
      </w:r>
      <w:r w:rsidR="004B3DB5" w:rsidRPr="00B55B24">
        <w:t xml:space="preserve">  The </w:t>
      </w:r>
      <w:r w:rsidR="004B3DB5" w:rsidRPr="00B55B24">
        <w:rPr>
          <w:i/>
        </w:rPr>
        <w:lastRenderedPageBreak/>
        <w:t>Trans</w:t>
      </w:r>
      <w:r w:rsidR="001E793B">
        <w:rPr>
          <w:i/>
        </w:rPr>
        <w:softHyphen/>
      </w:r>
      <w:r w:rsidR="004B3DB5" w:rsidRPr="00B55B24">
        <w:rPr>
          <w:i/>
        </w:rPr>
        <w:t>formation Order</w:t>
      </w:r>
      <w:r w:rsidR="004B3DB5" w:rsidRPr="00B55B24">
        <w:t xml:space="preserve"> established a benchmark rate of $14.00</w:t>
      </w:r>
      <w:r w:rsidR="0023262D">
        <w:t>,</w:t>
      </w:r>
      <w:r w:rsidR="004B3DB5" w:rsidRPr="00B55B24">
        <w:t xml:space="preserve"> </w:t>
      </w:r>
      <w:r w:rsidR="0023262D">
        <w:t>from</w:t>
      </w:r>
      <w:r w:rsidR="0023262D" w:rsidRPr="00B55B24">
        <w:t xml:space="preserve"> </w:t>
      </w:r>
      <w:r w:rsidR="004B3DB5" w:rsidRPr="00B55B24">
        <w:t>July</w:t>
      </w:r>
      <w:r w:rsidR="00B55B24">
        <w:t> </w:t>
      </w:r>
      <w:r w:rsidR="004B3DB5" w:rsidRPr="00B55B24">
        <w:t xml:space="preserve">1, </w:t>
      </w:r>
      <w:r w:rsidR="0023262D">
        <w:t>2013</w:t>
      </w:r>
      <w:r w:rsidR="0023262D" w:rsidRPr="00B55B24">
        <w:t xml:space="preserve"> </w:t>
      </w:r>
      <w:r w:rsidR="0023262D">
        <w:t>to</w:t>
      </w:r>
      <w:r w:rsidR="0023262D" w:rsidRPr="00B55B24">
        <w:t xml:space="preserve"> </w:t>
      </w:r>
      <w:r w:rsidR="00275F20" w:rsidRPr="00B55B24">
        <w:t>June 30, 2014</w:t>
      </w:r>
      <w:r w:rsidR="004B3DB5" w:rsidRPr="00B55B24">
        <w:t>.</w:t>
      </w:r>
      <w:r w:rsidR="004B3DB5" w:rsidRPr="00B55B24">
        <w:rPr>
          <w:rStyle w:val="FootnoteReference"/>
        </w:rPr>
        <w:footnoteReference w:id="4"/>
      </w:r>
      <w:r w:rsidR="004B3DB5" w:rsidRPr="00B55B24">
        <w:t xml:space="preserve">  </w:t>
      </w:r>
    </w:p>
    <w:p w:rsidR="006F1852" w:rsidRPr="00B55B24" w:rsidRDefault="0023262D" w:rsidP="0005291F">
      <w:pPr>
        <w:pStyle w:val="Textstyle"/>
        <w:jc w:val="both"/>
      </w:pPr>
      <w:r>
        <w:tab/>
      </w:r>
      <w:r w:rsidR="00E850ED" w:rsidRPr="00B55B24">
        <w:t xml:space="preserve">On March 20, 2014, the FCC’s Wireline Competition Bureau (WCB) </w:t>
      </w:r>
      <w:r>
        <w:t>issued</w:t>
      </w:r>
      <w:r w:rsidRPr="00B55B24">
        <w:t xml:space="preserve"> </w:t>
      </w:r>
      <w:r w:rsidR="00E850ED" w:rsidRPr="00B55B24">
        <w:t>a pub</w:t>
      </w:r>
      <w:r w:rsidR="001E793B">
        <w:softHyphen/>
      </w:r>
      <w:r w:rsidR="00E850ED" w:rsidRPr="00B55B24">
        <w:t>lic notice announcing the results of its urban rate survey for fixed services</w:t>
      </w:r>
      <w:r>
        <w:t xml:space="preserve"> that was</w:t>
      </w:r>
      <w:r w:rsidR="00E850ED" w:rsidRPr="00B55B24">
        <w:t xml:space="preserve"> used to adjust the 2014 rate floor for ILEC ETCs.</w:t>
      </w:r>
      <w:r w:rsidR="00E850ED" w:rsidRPr="00B55B24">
        <w:rPr>
          <w:rStyle w:val="FootnoteReference"/>
        </w:rPr>
        <w:footnoteReference w:id="5"/>
      </w:r>
      <w:r w:rsidR="00E850ED" w:rsidRPr="00B55B24">
        <w:t xml:space="preserve">  In </w:t>
      </w:r>
      <w:r>
        <w:t>that</w:t>
      </w:r>
      <w:r w:rsidRPr="00B55B24">
        <w:t xml:space="preserve"> </w:t>
      </w:r>
      <w:r w:rsidR="00E850ED" w:rsidRPr="00B55B24">
        <w:t xml:space="preserve">same </w:t>
      </w:r>
      <w:r w:rsidR="008A3DE3">
        <w:softHyphen/>
      </w:r>
      <w:r w:rsidR="00E850ED" w:rsidRPr="00B55B24">
        <w:t>notice, the WCB</w:t>
      </w:r>
      <w:r w:rsidR="00D94E70" w:rsidRPr="00B55B24">
        <w:t xml:space="preserve"> announced that the survey results </w:t>
      </w:r>
      <w:r>
        <w:t>were</w:t>
      </w:r>
      <w:r w:rsidR="00D94E70" w:rsidRPr="00B55B24">
        <w:t xml:space="preserve"> used to calculate</w:t>
      </w:r>
      <w:r w:rsidR="00E850ED" w:rsidRPr="00B55B24">
        <w:t xml:space="preserve"> the</w:t>
      </w:r>
      <w:r w:rsidR="00D94E70" w:rsidRPr="00B55B24">
        <w:t xml:space="preserve"> 2014 benchmark rate to be $20.4</w:t>
      </w:r>
      <w:r w:rsidR="00E850ED" w:rsidRPr="00B55B24">
        <w:t xml:space="preserve">6.  The Public Utilities Commission of Ohio </w:t>
      </w:r>
      <w:r w:rsidR="008E35E7" w:rsidRPr="00B55B24">
        <w:t>(Ohio Commission) is concerned that the $6.46 increase</w:t>
      </w:r>
      <w:r>
        <w:t xml:space="preserve"> captured</w:t>
      </w:r>
      <w:r w:rsidR="008E35E7" w:rsidRPr="00B55B24">
        <w:t xml:space="preserve"> in the 2014 rate floor will adversely affect many of Ohio’s small, rural ILECs.  Accordingly, the Ohio Commission appreciates this opportunity to </w:t>
      </w:r>
      <w:r>
        <w:t>submit</w:t>
      </w:r>
      <w:r w:rsidRPr="00B55B24">
        <w:t xml:space="preserve"> </w:t>
      </w:r>
      <w:r w:rsidR="008E35E7" w:rsidRPr="00B55B24">
        <w:t xml:space="preserve">comments on </w:t>
      </w:r>
      <w:r>
        <w:t>the</w:t>
      </w:r>
      <w:r w:rsidRPr="00B55B24">
        <w:t xml:space="preserve"> </w:t>
      </w:r>
      <w:r w:rsidR="008E35E7" w:rsidRPr="00B55B24">
        <w:t xml:space="preserve">increase for the FCC’s </w:t>
      </w:r>
      <w:r>
        <w:t xml:space="preserve">studied </w:t>
      </w:r>
      <w:r w:rsidR="008E35E7" w:rsidRPr="00B55B24">
        <w:t>consideration.</w:t>
      </w:r>
    </w:p>
    <w:p w:rsidR="008E35E7" w:rsidRDefault="008E35E7" w:rsidP="0005291F">
      <w:pPr>
        <w:pStyle w:val="Textstyle"/>
        <w:jc w:val="both"/>
      </w:pPr>
      <w:r>
        <w:tab/>
        <w:t xml:space="preserve">The benchmark rate applies to voice telephone service on a </w:t>
      </w:r>
      <w:r w:rsidR="0023262D">
        <w:t>stand-</w:t>
      </w:r>
      <w:r>
        <w:t xml:space="preserve">alone basis.  In Ohio, such service is identified as basic local exchange service or BLES and, unlike most other retail service offerings in Ohio, it remains largely price regulated.  </w:t>
      </w:r>
      <w:r w:rsidR="008A3DE3">
        <w:softHyphen/>
      </w:r>
      <w:r w:rsidR="00124DD9">
        <w:t>Under</w:t>
      </w:r>
      <w:r>
        <w:t xml:space="preserve"> Oh</w:t>
      </w:r>
      <w:r w:rsidR="00E943FA">
        <w:t xml:space="preserve">io law, </w:t>
      </w:r>
      <w:r w:rsidR="00E943FA" w:rsidRPr="00E943FA">
        <w:t xml:space="preserve">ILECs that have received BLES pricing flexibility may increase their BLES rate no more that $1.25 during any </w:t>
      </w:r>
      <w:r w:rsidR="00124DD9" w:rsidRPr="00E943FA">
        <w:t>12</w:t>
      </w:r>
      <w:r w:rsidR="00124DD9">
        <w:t>-</w:t>
      </w:r>
      <w:r w:rsidR="00E943FA" w:rsidRPr="00E943FA">
        <w:t>month period.</w:t>
      </w:r>
      <w:r w:rsidR="009D23FF">
        <w:rPr>
          <w:rStyle w:val="FootnoteReference"/>
        </w:rPr>
        <w:footnoteReference w:id="6"/>
      </w:r>
      <w:r w:rsidR="00E943FA" w:rsidRPr="00E943FA">
        <w:t xml:space="preserve">  </w:t>
      </w:r>
      <w:r w:rsidR="00124DD9">
        <w:t>I</w:t>
      </w:r>
      <w:r w:rsidR="009D02C0">
        <w:t>f the</w:t>
      </w:r>
      <w:r w:rsidR="00E943FA" w:rsidRPr="00E943FA">
        <w:t xml:space="preserve"> </w:t>
      </w:r>
      <w:r w:rsidR="00124DD9">
        <w:t>benchmark</w:t>
      </w:r>
      <w:r w:rsidR="00124DD9" w:rsidRPr="00E943FA">
        <w:t xml:space="preserve"> </w:t>
      </w:r>
      <w:r w:rsidR="00E943FA" w:rsidRPr="00E943FA">
        <w:t xml:space="preserve">rate </w:t>
      </w:r>
      <w:r w:rsidR="00EA6F25">
        <w:t>continues to increase</w:t>
      </w:r>
      <w:r w:rsidR="00E943FA" w:rsidRPr="00E943FA">
        <w:t xml:space="preserve"> at a </w:t>
      </w:r>
      <w:r w:rsidR="00124DD9">
        <w:t xml:space="preserve">proportionately higher </w:t>
      </w:r>
      <w:r w:rsidR="00E943FA" w:rsidRPr="00E943FA">
        <w:t xml:space="preserve">level </w:t>
      </w:r>
      <w:r w:rsidR="00124DD9">
        <w:t>than</w:t>
      </w:r>
      <w:r w:rsidR="00E943FA" w:rsidRPr="00E943FA">
        <w:t xml:space="preserve"> Ohio ILEC</w:t>
      </w:r>
      <w:r w:rsidR="00EA6F25">
        <w:t xml:space="preserve"> BLES </w:t>
      </w:r>
      <w:r w:rsidR="00124DD9">
        <w:t>rate increases</w:t>
      </w:r>
      <w:r w:rsidR="00EA6F25">
        <w:t>, these carriers</w:t>
      </w:r>
      <w:r w:rsidR="00E943FA" w:rsidRPr="00E943FA">
        <w:t xml:space="preserve"> will never </w:t>
      </w:r>
      <w:r w:rsidR="00EA6F25">
        <w:t>reach</w:t>
      </w:r>
      <w:r w:rsidR="00E943FA" w:rsidRPr="00E943FA">
        <w:t xml:space="preserve"> the benchmark rate</w:t>
      </w:r>
      <w:r w:rsidR="00124DD9">
        <w:t>, resulting in</w:t>
      </w:r>
      <w:r w:rsidR="00E943FA">
        <w:t xml:space="preserve"> </w:t>
      </w:r>
      <w:r w:rsidR="009D02C0">
        <w:t xml:space="preserve">many of Ohio’s small, rural ILECs </w:t>
      </w:r>
      <w:r w:rsidR="00124DD9">
        <w:t>losing an ever-increasing amount</w:t>
      </w:r>
      <w:r w:rsidR="00D550F1">
        <w:t xml:space="preserve"> of the</w:t>
      </w:r>
      <w:r w:rsidR="00E943FA" w:rsidRPr="00E943FA">
        <w:t xml:space="preserve"> high-cost support </w:t>
      </w:r>
      <w:r w:rsidR="009D02C0">
        <w:t>upo</w:t>
      </w:r>
      <w:r w:rsidR="00E943FA" w:rsidRPr="00E943FA">
        <w:t xml:space="preserve">n which they heavily </w:t>
      </w:r>
      <w:r w:rsidR="00124DD9">
        <w:t>rely</w:t>
      </w:r>
      <w:r w:rsidR="00124DD9" w:rsidRPr="00E943FA">
        <w:t xml:space="preserve"> </w:t>
      </w:r>
      <w:r w:rsidR="00E943FA" w:rsidRPr="00E943FA">
        <w:t>to provide quality telecommunica</w:t>
      </w:r>
      <w:r w:rsidR="008A3DE3">
        <w:softHyphen/>
      </w:r>
      <w:r w:rsidR="00E943FA" w:rsidRPr="00E943FA">
        <w:t>tions services</w:t>
      </w:r>
      <w:r w:rsidR="00124DD9">
        <w:t>,</w:t>
      </w:r>
      <w:r w:rsidR="00E943FA" w:rsidRPr="00E943FA">
        <w:t xml:space="preserve"> </w:t>
      </w:r>
      <w:r w:rsidR="00124DD9">
        <w:t>including</w:t>
      </w:r>
      <w:r w:rsidR="00E943FA" w:rsidRPr="00E943FA">
        <w:t xml:space="preserve"> increased access to advanced </w:t>
      </w:r>
      <w:r w:rsidR="00E943FA" w:rsidRPr="00E943FA">
        <w:lastRenderedPageBreak/>
        <w:t>technol</w:t>
      </w:r>
      <w:r w:rsidR="001E793B">
        <w:softHyphen/>
      </w:r>
      <w:r w:rsidR="00E943FA" w:rsidRPr="00E943FA">
        <w:t>ogies for those living and working in rural areas</w:t>
      </w:r>
      <w:r w:rsidR="00D550F1">
        <w:t>.</w:t>
      </w:r>
      <w:r w:rsidR="009D02C0">
        <w:t xml:space="preserve">  </w:t>
      </w:r>
      <w:r w:rsidR="00EA6F25">
        <w:t xml:space="preserve">In both the </w:t>
      </w:r>
      <w:r w:rsidR="00124DD9">
        <w:t xml:space="preserve">long and </w:t>
      </w:r>
      <w:r w:rsidR="00EA6F25">
        <w:t xml:space="preserve">short </w:t>
      </w:r>
      <w:r w:rsidR="00C833B5">
        <w:t>term</w:t>
      </w:r>
      <w:r w:rsidR="00EA6F25">
        <w:t xml:space="preserve">, this will </w:t>
      </w:r>
      <w:r w:rsidR="00124DD9">
        <w:t>severely undermine</w:t>
      </w:r>
      <w:r w:rsidR="00EA6F25">
        <w:t xml:space="preserve"> the ability of these carriers to continue to provide basic tele</w:t>
      </w:r>
      <w:r w:rsidR="001E793B">
        <w:softHyphen/>
      </w:r>
      <w:r w:rsidR="00EA6F25">
        <w:t xml:space="preserve">phone service in Ohio.  </w:t>
      </w:r>
      <w:r w:rsidR="00124DD9">
        <w:t>While legislative changes</w:t>
      </w:r>
      <w:r w:rsidR="00422123">
        <w:t xml:space="preserve"> could be considered to increase BLES rates, such </w:t>
      </w:r>
      <w:r w:rsidR="00124DD9">
        <w:t xml:space="preserve">action </w:t>
      </w:r>
      <w:r w:rsidR="008A3DE3">
        <w:softHyphen/>
      </w:r>
      <w:r w:rsidR="00124DD9">
        <w:t>takes</w:t>
      </w:r>
      <w:r w:rsidR="00422123">
        <w:t xml:space="preserve"> time and would likely not </w:t>
      </w:r>
      <w:r w:rsidR="00124DD9">
        <w:t>occur</w:t>
      </w:r>
      <w:r w:rsidR="00422123">
        <w:t xml:space="preserve"> before the 2014 benchmark goes into effect on July </w:t>
      </w:r>
      <w:r w:rsidR="00124DD9">
        <w:t>1, 2014</w:t>
      </w:r>
      <w:r w:rsidR="00422123">
        <w:t xml:space="preserve">.  </w:t>
      </w:r>
      <w:r w:rsidR="00124DD9">
        <w:t>It is imperative that</w:t>
      </w:r>
      <w:r w:rsidR="009D02C0">
        <w:t xml:space="preserve"> the FCC </w:t>
      </w:r>
      <w:r w:rsidR="00124DD9">
        <w:t xml:space="preserve">carefully </w:t>
      </w:r>
      <w:r w:rsidR="009D02C0">
        <w:t>consider the implica</w:t>
      </w:r>
      <w:r w:rsidR="001E793B">
        <w:softHyphen/>
      </w:r>
      <w:r w:rsidR="009D02C0">
        <w:t>tions</w:t>
      </w:r>
      <w:r w:rsidR="00EA6F25">
        <w:t xml:space="preserve"> for</w:t>
      </w:r>
      <w:r w:rsidR="009D02C0">
        <w:t xml:space="preserve"> states like Ohio as it considers imple</w:t>
      </w:r>
      <w:r w:rsidR="008A3DE3">
        <w:softHyphen/>
      </w:r>
      <w:r w:rsidR="009D02C0">
        <w:t>menting such a large increase in the rate benchmark.</w:t>
      </w:r>
    </w:p>
    <w:p w:rsidR="00EA6F25" w:rsidRDefault="00EA6F25" w:rsidP="0005291F">
      <w:pPr>
        <w:pStyle w:val="Textstyle"/>
        <w:jc w:val="both"/>
      </w:pPr>
      <w:r>
        <w:tab/>
        <w:t xml:space="preserve">The Ohio Commission recognizes that some ILECs, particularly small, rural </w:t>
      </w:r>
      <w:r w:rsidR="00124DD9">
        <w:t>ones</w:t>
      </w:r>
      <w:r>
        <w:t>, have very low rates for basic lo</w:t>
      </w:r>
      <w:r w:rsidR="00BC47DD">
        <w:t xml:space="preserve">cal service </w:t>
      </w:r>
      <w:r w:rsidR="008A3DE3">
        <w:softHyphen/>
      </w:r>
      <w:r w:rsidR="00124DD9">
        <w:t>because of subsidies available</w:t>
      </w:r>
      <w:r>
        <w:t xml:space="preserve"> through high-cost support and access revenue.  </w:t>
      </w:r>
      <w:r w:rsidR="00124DD9">
        <w:t>While</w:t>
      </w:r>
      <w:r>
        <w:t xml:space="preserve"> the Ohio Commission </w:t>
      </w:r>
      <w:r w:rsidR="00BC47DD">
        <w:t>appreciates</w:t>
      </w:r>
      <w:r>
        <w:t xml:space="preserve"> the need for rate rebalancing i</w:t>
      </w:r>
      <w:r w:rsidR="00BC47DD">
        <w:t>n</w:t>
      </w:r>
      <w:r>
        <w:t xml:space="preserve"> these situations</w:t>
      </w:r>
      <w:r w:rsidR="00124DD9">
        <w:t xml:space="preserve">, </w:t>
      </w:r>
      <w:r>
        <w:t xml:space="preserve">such rebalancing should be done over </w:t>
      </w:r>
      <w:r w:rsidR="009379C7">
        <w:t>time through a meas</w:t>
      </w:r>
      <w:r w:rsidR="008A3DE3">
        <w:softHyphen/>
      </w:r>
      <w:r w:rsidR="009379C7">
        <w:t>ured, phased-</w:t>
      </w:r>
      <w:r>
        <w:t xml:space="preserve">in approach.  </w:t>
      </w:r>
      <w:r w:rsidR="009379C7">
        <w:t xml:space="preserve">With the new 2014 rate floor, the benchmark rate has </w:t>
      </w:r>
      <w:r w:rsidR="00124DD9">
        <w:t>more than doubled</w:t>
      </w:r>
      <w:r w:rsidR="009379C7">
        <w:t xml:space="preserve"> </w:t>
      </w:r>
      <w:r w:rsidR="009B11B1">
        <w:t xml:space="preserve">from </w:t>
      </w:r>
      <w:r w:rsidR="009379C7">
        <w:t xml:space="preserve">the 2012 benchmark of $10.00.  The Ohio Commission </w:t>
      </w:r>
      <w:r w:rsidR="00655557">
        <w:t xml:space="preserve">agrees with NTCA that </w:t>
      </w:r>
      <w:r w:rsidR="00CE7B88">
        <w:t>this new</w:t>
      </w:r>
      <w:r w:rsidR="00655557">
        <w:t xml:space="preserve"> </w:t>
      </w:r>
      <w:r w:rsidR="00CE7B88">
        <w:t xml:space="preserve">rate floor </w:t>
      </w:r>
      <w:r w:rsidR="00655557">
        <w:t xml:space="preserve">will </w:t>
      </w:r>
      <w:r w:rsidR="00124DD9">
        <w:t>attract heavy</w:t>
      </w:r>
      <w:r w:rsidR="00CE7B88">
        <w:t xml:space="preserve"> attention </w:t>
      </w:r>
      <w:r w:rsidR="00124DD9">
        <w:t>from</w:t>
      </w:r>
      <w:r w:rsidR="00CE7B88">
        <w:t xml:space="preserve"> consumers and pub</w:t>
      </w:r>
      <w:r w:rsidR="001E793B">
        <w:softHyphen/>
      </w:r>
      <w:r w:rsidR="00CE7B88">
        <w:t>lic interest groups as carriers seek to raise their rates to meet the benchmark.</w:t>
      </w:r>
      <w:r w:rsidR="00CE7B88">
        <w:rPr>
          <w:rStyle w:val="FootnoteReference"/>
        </w:rPr>
        <w:footnoteReference w:id="7"/>
      </w:r>
      <w:r w:rsidR="00CE7B88">
        <w:t xml:space="preserve">  </w:t>
      </w:r>
      <w:r w:rsidR="00124DD9">
        <w:t xml:space="preserve">Indeed, the </w:t>
      </w:r>
      <w:r w:rsidR="00CE7B88">
        <w:t>$6.46 increase in the rate floor represents an increase of 46 percent over the 2013 bench</w:t>
      </w:r>
      <w:r w:rsidR="001E793B">
        <w:softHyphen/>
      </w:r>
      <w:r w:rsidR="00CE7B88">
        <w:t xml:space="preserve">mark.  </w:t>
      </w:r>
      <w:r w:rsidR="00124DD9">
        <w:t>C</w:t>
      </w:r>
      <w:r w:rsidR="00CE7B88">
        <w:t>ustomers</w:t>
      </w:r>
      <w:r w:rsidR="00BC47DD">
        <w:t xml:space="preserve"> in those states where an increase of this magnitude is possible</w:t>
      </w:r>
      <w:r w:rsidR="00124DD9">
        <w:t xml:space="preserve"> will face extreme “sticker shock” and, </w:t>
      </w:r>
      <w:r w:rsidR="00CE7B88">
        <w:t xml:space="preserve">as NTCA </w:t>
      </w:r>
      <w:r w:rsidR="00124DD9">
        <w:t xml:space="preserve">points </w:t>
      </w:r>
      <w:r w:rsidR="00CE7B88">
        <w:t xml:space="preserve">out, </w:t>
      </w:r>
      <w:r w:rsidR="00124DD9">
        <w:t xml:space="preserve">may force many customers to </w:t>
      </w:r>
      <w:r w:rsidR="00CE7B88">
        <w:t xml:space="preserve">cancel their basic local service </w:t>
      </w:r>
      <w:r w:rsidR="00124DD9">
        <w:t>in favor of</w:t>
      </w:r>
      <w:r w:rsidR="00CE7B88">
        <w:t xml:space="preserve"> a substitute service.</w:t>
      </w:r>
      <w:r w:rsidR="00BC47DD">
        <w:t xml:space="preserve">  Again, in states like Ohio in which an increase of this magnitude is limited by statute, many small, rural providers</w:t>
      </w:r>
      <w:r w:rsidR="00016580">
        <w:t xml:space="preserve"> </w:t>
      </w:r>
      <w:r w:rsidR="00016580">
        <w:lastRenderedPageBreak/>
        <w:t xml:space="preserve">will face a significant loss in high-cost support.  </w:t>
      </w:r>
      <w:r w:rsidR="009D7BB4">
        <w:t>In all states, it is likely that the 2014 bench</w:t>
      </w:r>
      <w:r w:rsidR="001E793B">
        <w:softHyphen/>
      </w:r>
      <w:r w:rsidR="009D7BB4">
        <w:t xml:space="preserve">mark will present significant challenges for </w:t>
      </w:r>
      <w:r w:rsidR="00124DD9">
        <w:t>these</w:t>
      </w:r>
      <w:r w:rsidR="009D7BB4">
        <w:t xml:space="preserve"> providers.</w:t>
      </w:r>
    </w:p>
    <w:p w:rsidR="00165A61" w:rsidRDefault="00B55B24" w:rsidP="0005291F">
      <w:pPr>
        <w:pStyle w:val="Textstyle"/>
        <w:jc w:val="both"/>
      </w:pPr>
      <w:r>
        <w:tab/>
      </w:r>
      <w:r w:rsidR="00622FD5">
        <w:t>As stated above, rate rebalancing, while certainly necessary in some instances, should be accomplished through a phased-in approach rather than a single large increase.  In requiring that the WCB conduct an annual survey of voice rates to adjust the rate floor, the FCC assume</w:t>
      </w:r>
      <w:r w:rsidR="00904807">
        <w:t xml:space="preserve">s </w:t>
      </w:r>
      <w:r w:rsidR="00622FD5">
        <w:t>that it will be necessary to adjust the rate floor on an annual basis</w:t>
      </w:r>
      <w:r w:rsidR="00904807">
        <w:t xml:space="preserve">.  The Ohio Commission does not necessarily believe this </w:t>
      </w:r>
      <w:r w:rsidR="00124DD9">
        <w:t xml:space="preserve">has </w:t>
      </w:r>
      <w:r w:rsidR="00904807">
        <w:t>to be the case.  The 2014 rate benchmark is the first benchmark rate that is derived from a survey average.  Accord</w:t>
      </w:r>
      <w:r w:rsidR="008A3DE3">
        <w:softHyphen/>
      </w:r>
      <w:r w:rsidR="00904807">
        <w:t xml:space="preserve">ingly, it should come as no surprise that the increase is significant when compared to the 2013 benchmark rate.  However, the rate survey upon which the 2014 benchmark rate was derived was </w:t>
      </w:r>
      <w:r w:rsidR="00124DD9">
        <w:t xml:space="preserve">limited to </w:t>
      </w:r>
      <w:r w:rsidR="00904807">
        <w:t>urban carriers in competitive markets</w:t>
      </w:r>
      <w:r w:rsidR="00124DD9">
        <w:t xml:space="preserve"> where large</w:t>
      </w:r>
      <w:r w:rsidR="00904807">
        <w:t xml:space="preserve"> rate fluctu</w:t>
      </w:r>
      <w:r w:rsidR="001E793B">
        <w:softHyphen/>
      </w:r>
      <w:r w:rsidR="00904807">
        <w:t>ations from year-to-year</w:t>
      </w:r>
      <w:r w:rsidR="00124DD9">
        <w:t xml:space="preserve"> are less likely to occur</w:t>
      </w:r>
      <w:r w:rsidR="00904807">
        <w:t xml:space="preserve">.  </w:t>
      </w:r>
      <w:r w:rsidR="00124DD9">
        <w:t>T</w:t>
      </w:r>
      <w:r w:rsidR="00904807">
        <w:t>he Ohio Commission believes that fu</w:t>
      </w:r>
      <w:r w:rsidR="00787C3F">
        <w:t xml:space="preserve">ture surveys </w:t>
      </w:r>
      <w:r w:rsidR="00904807">
        <w:t xml:space="preserve">to the rate floor </w:t>
      </w:r>
      <w:r w:rsidR="00124DD9">
        <w:t xml:space="preserve">can </w:t>
      </w:r>
      <w:r w:rsidR="00904807">
        <w:t>be conducted on a less frequent basis without com</w:t>
      </w:r>
      <w:r w:rsidR="001E793B">
        <w:softHyphen/>
      </w:r>
      <w:r w:rsidR="00904807">
        <w:t xml:space="preserve">promising the intent and effect of the benchmark itself </w:t>
      </w:r>
      <w:r w:rsidR="00124DD9">
        <w:t xml:space="preserve">where </w:t>
      </w:r>
      <w:r w:rsidR="00904807">
        <w:t xml:space="preserve">future increases </w:t>
      </w:r>
      <w:r w:rsidR="00124DD9">
        <w:t xml:space="preserve">are </w:t>
      </w:r>
      <w:r w:rsidR="00904807">
        <w:t>not likely</w:t>
      </w:r>
      <w:r w:rsidR="00124DD9">
        <w:t xml:space="preserve"> to</w:t>
      </w:r>
      <w:r w:rsidR="00904807">
        <w:t xml:space="preserve"> be as significant as the 2014 increase.  If survey</w:t>
      </w:r>
      <w:r w:rsidR="000D27EF">
        <w:t>s were conducted</w:t>
      </w:r>
      <w:r w:rsidR="00787C3F">
        <w:t xml:space="preserve"> </w:t>
      </w:r>
      <w:r w:rsidR="00904807">
        <w:t xml:space="preserve">every other year, </w:t>
      </w:r>
      <w:r w:rsidR="000D27EF">
        <w:t xml:space="preserve">for instance, </w:t>
      </w:r>
      <w:r w:rsidR="00904807">
        <w:t xml:space="preserve">the FCC would have an additional year in which </w:t>
      </w:r>
      <w:r w:rsidR="000D27EF">
        <w:t>it could</w:t>
      </w:r>
      <w:r w:rsidR="00904807">
        <w:t xml:space="preserve"> incrementally phase-in the </w:t>
      </w:r>
      <w:r w:rsidR="008A3DE3">
        <w:t xml:space="preserve">affects of the </w:t>
      </w:r>
      <w:r w:rsidR="00904807">
        <w:t>2014 benchmark rate</w:t>
      </w:r>
      <w:r w:rsidR="000D27EF">
        <w:t>, allowing affected carriers more time to increase their basic local service rates and adjust to any reductions in high</w:t>
      </w:r>
      <w:r w:rsidR="00787C3F">
        <w:t xml:space="preserve">-cost support.   </w:t>
      </w:r>
    </w:p>
    <w:p w:rsidR="009D7BB4" w:rsidRDefault="009D7BB4" w:rsidP="0005291F">
      <w:pPr>
        <w:pStyle w:val="Textstyle"/>
        <w:jc w:val="both"/>
      </w:pPr>
      <w:r>
        <w:tab/>
        <w:t xml:space="preserve">As </w:t>
      </w:r>
      <w:r w:rsidR="00622FD5">
        <w:t>previously noted</w:t>
      </w:r>
      <w:r>
        <w:t>, the 2014 rate floor goes into effect on July 1, 2014.  To receive full high-cost support, ILECs must adjust their basic local service rate</w:t>
      </w:r>
      <w:r w:rsidR="008A3DE3">
        <w:t>s</w:t>
      </w:r>
      <w:r>
        <w:t xml:space="preserve"> to meet this benchmark by that date.  </w:t>
      </w:r>
      <w:r w:rsidR="008A3DE3">
        <w:t>It is impractical to expect that those carriers can do this in</w:t>
      </w:r>
      <w:r>
        <w:t xml:space="preserve"> </w:t>
      </w:r>
      <w:r w:rsidR="008A3DE3">
        <w:t xml:space="preserve">slightly </w:t>
      </w:r>
      <w:r>
        <w:t xml:space="preserve">more than three months.  </w:t>
      </w:r>
      <w:r w:rsidR="008A3DE3">
        <w:t xml:space="preserve">This very compressed </w:t>
      </w:r>
      <w:r w:rsidR="00A64EFA">
        <w:t xml:space="preserve">time frame </w:t>
      </w:r>
      <w:r w:rsidR="008A3DE3">
        <w:t>fails to</w:t>
      </w:r>
      <w:r w:rsidR="00A64EFA">
        <w:t xml:space="preserve"> take into </w:t>
      </w:r>
      <w:r w:rsidR="00A64EFA">
        <w:lastRenderedPageBreak/>
        <w:t xml:space="preserve">account statutory or regulatory processes and limitations that </w:t>
      </w:r>
      <w:r w:rsidR="008A3DE3">
        <w:t xml:space="preserve">can and do </w:t>
      </w:r>
      <w:r w:rsidR="00A64EFA">
        <w:t xml:space="preserve">affect the ability of carriers to </w:t>
      </w:r>
      <w:r w:rsidR="008A3DE3">
        <w:t>implement rate adjustments</w:t>
      </w:r>
      <w:r w:rsidR="00A64EFA">
        <w:t xml:space="preserve"> to meet the benchmark.  Further, it is likely that many ILECs may have anticipated support based on either the $14.00 2013 benchmark level or, </w:t>
      </w:r>
      <w:r w:rsidR="008A3DE3">
        <w:t>some other</w:t>
      </w:r>
      <w:r w:rsidR="00A64EFA">
        <w:t xml:space="preserve"> benchmark that is lower than $20.46</w:t>
      </w:r>
      <w:r w:rsidR="008A3DE3">
        <w:t xml:space="preserve"> rate</w:t>
      </w:r>
      <w:r w:rsidR="00A64EFA">
        <w:t xml:space="preserve">.  </w:t>
      </w:r>
      <w:r w:rsidR="008A3DE3">
        <w:t>C</w:t>
      </w:r>
      <w:r w:rsidR="00A64EFA">
        <w:t xml:space="preserve">arriers </w:t>
      </w:r>
      <w:r w:rsidR="008A3DE3">
        <w:t>will be forced to</w:t>
      </w:r>
      <w:r w:rsidR="00A64EFA">
        <w:t xml:space="preserve"> quickly adjust </w:t>
      </w:r>
      <w:r w:rsidR="008A3DE3">
        <w:t xml:space="preserve">business plans to account for </w:t>
      </w:r>
      <w:r w:rsidR="00A64EFA">
        <w:t xml:space="preserve">additional reductions in high-cost support.  </w:t>
      </w:r>
      <w:r w:rsidR="008A3DE3">
        <w:t>T</w:t>
      </w:r>
      <w:r w:rsidR="00A64EFA">
        <w:t>he Ohio Commission supports the NTCA and others</w:t>
      </w:r>
      <w:r w:rsidR="007B5C41">
        <w:rPr>
          <w:rStyle w:val="FootnoteReference"/>
        </w:rPr>
        <w:footnoteReference w:id="8"/>
      </w:r>
      <w:r w:rsidR="00A64EFA">
        <w:t xml:space="preserve"> </w:t>
      </w:r>
      <w:r w:rsidR="008A3DE3">
        <w:t xml:space="preserve">in </w:t>
      </w:r>
      <w:r w:rsidR="00A64EFA">
        <w:t>requesting a delay in the dead</w:t>
      </w:r>
      <w:r w:rsidR="001E793B">
        <w:softHyphen/>
      </w:r>
      <w:r w:rsidR="00A64EFA">
        <w:t xml:space="preserve">line for compliance with the 2014 benchmark rate.  While the Ohio Commission urges the FCC to take a more measured approach </w:t>
      </w:r>
      <w:r w:rsidR="00C833B5">
        <w:t xml:space="preserve">that phases in </w:t>
      </w:r>
      <w:r w:rsidR="009B11B1">
        <w:t>any increased</w:t>
      </w:r>
      <w:r w:rsidR="00A64EFA">
        <w:t xml:space="preserve"> benchmark rate, should the </w:t>
      </w:r>
      <w:r w:rsidR="00C833B5">
        <w:t xml:space="preserve">FCC ultimately decide that </w:t>
      </w:r>
      <w:r w:rsidR="008A3DE3">
        <w:t xml:space="preserve">the </w:t>
      </w:r>
      <w:r w:rsidR="00C833B5">
        <w:t xml:space="preserve">$20.46 </w:t>
      </w:r>
      <w:r w:rsidR="008A3DE3">
        <w:t xml:space="preserve">rate </w:t>
      </w:r>
      <w:r w:rsidR="00C833B5">
        <w:t>is appro</w:t>
      </w:r>
      <w:r w:rsidR="008A3DE3">
        <w:softHyphen/>
      </w:r>
      <w:r w:rsidR="00C833B5">
        <w:t>priate, the Ohio Commis</w:t>
      </w:r>
      <w:r w:rsidR="001E793B">
        <w:softHyphen/>
      </w:r>
      <w:r w:rsidR="00C833B5">
        <w:t xml:space="preserve">sion </w:t>
      </w:r>
      <w:r w:rsidR="009B11B1">
        <w:t xml:space="preserve">believes it would be both necessary and appropriate to extend </w:t>
      </w:r>
      <w:r w:rsidR="00C833B5">
        <w:t>the compli</w:t>
      </w:r>
      <w:r w:rsidR="008A3DE3">
        <w:softHyphen/>
      </w:r>
      <w:r w:rsidR="00C833B5">
        <w:t>ance dead</w:t>
      </w:r>
      <w:r w:rsidR="001E793B">
        <w:softHyphen/>
      </w:r>
      <w:r w:rsidR="00C833B5">
        <w:t xml:space="preserve">line </w:t>
      </w:r>
      <w:r w:rsidR="008A3DE3">
        <w:t xml:space="preserve">to </w:t>
      </w:r>
      <w:r w:rsidR="00C833B5">
        <w:t xml:space="preserve">January 2, 2015 </w:t>
      </w:r>
      <w:r w:rsidR="008A3DE3">
        <w:t xml:space="preserve">to </w:t>
      </w:r>
      <w:r w:rsidR="00C833B5">
        <w:t>allow affected ILECs additional time to adjust their business plans.</w:t>
      </w:r>
    </w:p>
    <w:p w:rsidR="00C833B5" w:rsidRDefault="00C833B5" w:rsidP="0005291F">
      <w:pPr>
        <w:pStyle w:val="Textstyle"/>
        <w:jc w:val="both"/>
      </w:pPr>
      <w:r>
        <w:tab/>
      </w:r>
      <w:r w:rsidR="008A3DE3">
        <w:t>T</w:t>
      </w:r>
      <w:r w:rsidR="00B26F21">
        <w:t>he FCC’s efforts to rebalance basic local service rates to bring rural rates in line with urban rates</w:t>
      </w:r>
      <w:r w:rsidR="008A3DE3">
        <w:t xml:space="preserve"> and the magnitude of</w:t>
      </w:r>
      <w:r>
        <w:t xml:space="preserve"> the </w:t>
      </w:r>
      <w:r w:rsidR="00B26F21">
        <w:t xml:space="preserve">2014 </w:t>
      </w:r>
      <w:r>
        <w:t xml:space="preserve">local rate benchmark </w:t>
      </w:r>
      <w:r w:rsidR="008A3DE3">
        <w:t>has</w:t>
      </w:r>
      <w:r>
        <w:t xml:space="preserve"> </w:t>
      </w:r>
      <w:r w:rsidR="00142254">
        <w:t>profound</w:t>
      </w:r>
      <w:r>
        <w:t xml:space="preserve"> impli</w:t>
      </w:r>
      <w:r w:rsidR="001E793B">
        <w:softHyphen/>
      </w:r>
      <w:r>
        <w:t xml:space="preserve">cations for small, rural ILECs in Ohio and across the country.  </w:t>
      </w:r>
      <w:r w:rsidR="008A3DE3">
        <w:t>Ergo</w:t>
      </w:r>
      <w:r>
        <w:t>, the Ohio Commis</w:t>
      </w:r>
      <w:r w:rsidR="001E793B">
        <w:softHyphen/>
      </w:r>
      <w:r>
        <w:t xml:space="preserve">sion respectfully requests that the FCC </w:t>
      </w:r>
      <w:r w:rsidR="00142254">
        <w:t>take</w:t>
      </w:r>
      <w:r>
        <w:t xml:space="preserve"> a more measured approach that phases the benchmark rate </w:t>
      </w:r>
      <w:r w:rsidR="008A3DE3">
        <w:t xml:space="preserve">in </w:t>
      </w:r>
      <w:r>
        <w:t>over time</w:t>
      </w:r>
      <w:r w:rsidR="008A3DE3">
        <w:t>, to</w:t>
      </w:r>
      <w:r>
        <w:t xml:space="preserve"> enable affected carriers </w:t>
      </w:r>
      <w:r w:rsidR="008A3DE3">
        <w:t>ade</w:t>
      </w:r>
      <w:r w:rsidR="008A3DE3">
        <w:softHyphen/>
        <w:t xml:space="preserve">quate opportunity </w:t>
      </w:r>
      <w:r w:rsidR="00142254">
        <w:t xml:space="preserve">to adjust to the new rate floor while </w:t>
      </w:r>
      <w:r w:rsidR="00142254" w:rsidRPr="00B55B24">
        <w:t>maintaining the same level of ser</w:t>
      </w:r>
      <w:r w:rsidR="008A3DE3">
        <w:softHyphen/>
      </w:r>
      <w:r w:rsidR="00142254" w:rsidRPr="00B55B24">
        <w:t>vices t</w:t>
      </w:r>
      <w:r w:rsidR="00B26F21" w:rsidRPr="00B55B24">
        <w:t xml:space="preserve">hat their customers expect.  </w:t>
      </w:r>
      <w:r w:rsidR="008A3DE3">
        <w:t>Again, t</w:t>
      </w:r>
      <w:r w:rsidR="008A3DE3" w:rsidRPr="00B55B24">
        <w:t xml:space="preserve">he </w:t>
      </w:r>
      <w:r w:rsidR="00B26F21" w:rsidRPr="00B55B24">
        <w:t xml:space="preserve">Ohio Commission appreciates </w:t>
      </w:r>
      <w:r w:rsidR="008A3DE3">
        <w:t>this</w:t>
      </w:r>
      <w:r w:rsidR="008A3DE3" w:rsidRPr="00B55B24">
        <w:t xml:space="preserve"> </w:t>
      </w:r>
      <w:r w:rsidR="00B26F21" w:rsidRPr="00B55B24">
        <w:t>opportunity to comment</w:t>
      </w:r>
      <w:r w:rsidR="008A3DE3">
        <w:t xml:space="preserve"> and to assist</w:t>
      </w:r>
      <w:r w:rsidR="00B26F21" w:rsidRPr="00B55B24">
        <w:t xml:space="preserve"> the FCC</w:t>
      </w:r>
      <w:r w:rsidR="008A3DE3">
        <w:t xml:space="preserve"> in this endeavor</w:t>
      </w:r>
      <w:r w:rsidR="00B26F21" w:rsidRPr="00B55B24">
        <w:t>.</w:t>
      </w:r>
    </w:p>
    <w:p w:rsidR="0005291F" w:rsidRDefault="0005291F" w:rsidP="00B55B24">
      <w:pPr>
        <w:pStyle w:val="Textstyle"/>
      </w:pPr>
    </w:p>
    <w:p w:rsidR="0005291F" w:rsidRDefault="0005291F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</w:p>
    <w:p w:rsidR="00141A36" w:rsidRPr="00141A36" w:rsidRDefault="0005291F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Re</w:t>
      </w:r>
      <w:r w:rsidR="00141A36" w:rsidRPr="00141A36">
        <w:rPr>
          <w:rFonts w:ascii="Times New Roman" w:hAnsi="Times New Roman"/>
          <w:color w:val="auto"/>
          <w:sz w:val="26"/>
          <w:szCs w:val="26"/>
        </w:rPr>
        <w:t>spectfully submitted,</w:t>
      </w:r>
    </w:p>
    <w:p w:rsidR="00141A36" w:rsidRP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</w:p>
    <w:p w:rsidR="00141A36" w:rsidRP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Brush Script MT" w:hAnsi="Brush Script MT"/>
          <w:color w:val="auto"/>
          <w:sz w:val="36"/>
          <w:szCs w:val="36"/>
          <w:u w:val="single"/>
        </w:rPr>
      </w:pPr>
      <w:r w:rsidRPr="00141A36">
        <w:rPr>
          <w:rFonts w:ascii="Brush Script MT" w:hAnsi="Brush Script MT"/>
          <w:color w:val="auto"/>
          <w:sz w:val="36"/>
          <w:szCs w:val="36"/>
          <w:u w:val="single"/>
        </w:rPr>
        <w:t>/s/ William L. Wright</w:t>
      </w:r>
      <w:r w:rsidRPr="00141A36">
        <w:rPr>
          <w:rFonts w:ascii="Brush Script MT" w:hAnsi="Brush Script MT"/>
          <w:color w:val="auto"/>
          <w:sz w:val="36"/>
          <w:szCs w:val="36"/>
          <w:u w:val="single"/>
        </w:rPr>
        <w:tab/>
      </w:r>
    </w:p>
    <w:p w:rsidR="00141A36" w:rsidRP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b/>
          <w:color w:val="auto"/>
          <w:sz w:val="26"/>
          <w:szCs w:val="26"/>
        </w:rPr>
      </w:pPr>
      <w:r w:rsidRPr="00141A36">
        <w:rPr>
          <w:rFonts w:ascii="Times New Roman" w:hAnsi="Times New Roman"/>
          <w:b/>
          <w:color w:val="auto"/>
          <w:sz w:val="26"/>
          <w:szCs w:val="26"/>
        </w:rPr>
        <w:t>William L. Wright</w:t>
      </w:r>
    </w:p>
    <w:p w:rsidR="00141A36" w:rsidRP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  <w:r w:rsidRPr="00141A36">
        <w:rPr>
          <w:rFonts w:ascii="Times New Roman" w:hAnsi="Times New Roman"/>
          <w:color w:val="auto"/>
          <w:sz w:val="26"/>
          <w:szCs w:val="26"/>
        </w:rPr>
        <w:t>180 East Broad Street, 6</w:t>
      </w:r>
      <w:r w:rsidRPr="00141A36">
        <w:rPr>
          <w:rFonts w:ascii="Times New Roman" w:hAnsi="Times New Roman"/>
          <w:color w:val="auto"/>
          <w:sz w:val="26"/>
          <w:szCs w:val="26"/>
          <w:vertAlign w:val="superscript"/>
        </w:rPr>
        <w:t>th</w:t>
      </w:r>
      <w:r w:rsidRPr="00141A36">
        <w:rPr>
          <w:rFonts w:ascii="Times New Roman" w:hAnsi="Times New Roman"/>
          <w:color w:val="auto"/>
          <w:sz w:val="26"/>
          <w:szCs w:val="26"/>
        </w:rPr>
        <w:t xml:space="preserve"> Floor</w:t>
      </w:r>
    </w:p>
    <w:p w:rsidR="00141A36" w:rsidRP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  <w:r w:rsidRPr="00141A36">
        <w:rPr>
          <w:rFonts w:ascii="Times New Roman" w:hAnsi="Times New Roman"/>
          <w:color w:val="auto"/>
          <w:sz w:val="26"/>
          <w:szCs w:val="26"/>
        </w:rPr>
        <w:t>Columbus, OH  43215-3793</w:t>
      </w:r>
    </w:p>
    <w:p w:rsidR="00141A36" w:rsidRP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  <w:r w:rsidRPr="00141A36">
        <w:rPr>
          <w:rFonts w:ascii="Times New Roman" w:hAnsi="Times New Roman"/>
          <w:color w:val="auto"/>
          <w:sz w:val="26"/>
          <w:szCs w:val="26"/>
        </w:rPr>
        <w:t>614.466.4397 (telephone)</w:t>
      </w:r>
    </w:p>
    <w:p w:rsidR="00141A36" w:rsidRP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  <w:r w:rsidRPr="00141A36">
        <w:rPr>
          <w:rFonts w:ascii="Times New Roman" w:hAnsi="Times New Roman"/>
          <w:color w:val="auto"/>
          <w:sz w:val="26"/>
          <w:szCs w:val="26"/>
        </w:rPr>
        <w:t>614.644.8764 (fax)</w:t>
      </w:r>
    </w:p>
    <w:p w:rsidR="00141A36" w:rsidRPr="00141A36" w:rsidRDefault="001E793B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  <w:hyperlink r:id="rId8" w:history="1">
        <w:r w:rsidR="00141A36" w:rsidRPr="00141A36">
          <w:rPr>
            <w:rStyle w:val="Hyperlink"/>
            <w:rFonts w:ascii="Times New Roman" w:hAnsi="Times New Roman"/>
            <w:color w:val="auto"/>
            <w:sz w:val="26"/>
            <w:szCs w:val="26"/>
          </w:rPr>
          <w:t>william.wright@puc.state.oh.us</w:t>
        </w:r>
      </w:hyperlink>
    </w:p>
    <w:p w:rsidR="00141A36" w:rsidRP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16"/>
          <w:szCs w:val="16"/>
        </w:rPr>
      </w:pPr>
    </w:p>
    <w:p w:rsidR="00141A36" w:rsidRP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  <w:r w:rsidRPr="00141A36">
        <w:rPr>
          <w:rFonts w:ascii="Times New Roman" w:hAnsi="Times New Roman"/>
          <w:color w:val="auto"/>
          <w:sz w:val="26"/>
          <w:szCs w:val="26"/>
        </w:rPr>
        <w:t xml:space="preserve">Attorney for </w:t>
      </w:r>
    </w:p>
    <w:p w:rsid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  <w:r w:rsidRPr="00141A36">
        <w:rPr>
          <w:rFonts w:ascii="Times New Roman" w:hAnsi="Times New Roman"/>
          <w:color w:val="auto"/>
          <w:sz w:val="26"/>
          <w:szCs w:val="26"/>
        </w:rPr>
        <w:t>The Public Utilities Commission of Ohio</w:t>
      </w:r>
    </w:p>
    <w:p w:rsidR="00141A36" w:rsidRPr="00141A36" w:rsidRDefault="00141A36" w:rsidP="00141A36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color w:val="auto"/>
          <w:sz w:val="26"/>
          <w:szCs w:val="26"/>
        </w:rPr>
      </w:pPr>
    </w:p>
    <w:p w:rsidR="00B55B24" w:rsidRPr="00141A36" w:rsidRDefault="00141A36" w:rsidP="00141A36">
      <w:pPr>
        <w:tabs>
          <w:tab w:val="left" w:pos="9360"/>
        </w:tabs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141A36">
        <w:rPr>
          <w:rFonts w:ascii="Times New Roman" w:hAnsi="Times New Roman"/>
          <w:color w:val="auto"/>
          <w:sz w:val="26"/>
          <w:szCs w:val="26"/>
        </w:rPr>
        <w:t xml:space="preserve">Dated:  </w:t>
      </w:r>
      <w:r>
        <w:rPr>
          <w:rFonts w:ascii="Times New Roman" w:hAnsi="Times New Roman"/>
          <w:color w:val="auto"/>
          <w:sz w:val="26"/>
          <w:szCs w:val="26"/>
        </w:rPr>
        <w:t>March 31, 2014</w:t>
      </w:r>
    </w:p>
    <w:sectPr w:rsidR="00B55B24" w:rsidRPr="00141A36" w:rsidSect="00141A36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C6" w:rsidRDefault="00820FC6" w:rsidP="004633A9">
      <w:pPr>
        <w:spacing w:after="0" w:line="240" w:lineRule="auto"/>
      </w:pPr>
      <w:r>
        <w:separator/>
      </w:r>
    </w:p>
  </w:endnote>
  <w:endnote w:type="continuationSeparator" w:id="0">
    <w:p w:rsidR="00820FC6" w:rsidRDefault="00820FC6" w:rsidP="0046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color w:val="auto"/>
      </w:rPr>
      <w:id w:val="-284966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5949" w:rsidRPr="00B767D9" w:rsidRDefault="00A05949" w:rsidP="00B767D9">
        <w:pPr>
          <w:pStyle w:val="Footer"/>
          <w:jc w:val="center"/>
          <w:rPr>
            <w:rFonts w:ascii="Times New Roman" w:hAnsi="Times New Roman"/>
            <w:color w:val="auto"/>
          </w:rPr>
        </w:pPr>
        <w:r w:rsidRPr="00B767D9">
          <w:rPr>
            <w:rFonts w:ascii="Times New Roman" w:hAnsi="Times New Roman"/>
            <w:color w:val="auto"/>
          </w:rPr>
          <w:fldChar w:fldCharType="begin"/>
        </w:r>
        <w:r w:rsidRPr="00B767D9">
          <w:rPr>
            <w:rFonts w:ascii="Times New Roman" w:hAnsi="Times New Roman"/>
            <w:color w:val="auto"/>
          </w:rPr>
          <w:instrText xml:space="preserve"> PAGE   \* MERGEFORMAT </w:instrText>
        </w:r>
        <w:r w:rsidRPr="00B767D9">
          <w:rPr>
            <w:rFonts w:ascii="Times New Roman" w:hAnsi="Times New Roman"/>
            <w:color w:val="auto"/>
          </w:rPr>
          <w:fldChar w:fldCharType="separate"/>
        </w:r>
        <w:r w:rsidR="001E793B">
          <w:rPr>
            <w:rFonts w:ascii="Times New Roman" w:hAnsi="Times New Roman"/>
            <w:noProof/>
            <w:color w:val="auto"/>
          </w:rPr>
          <w:t>6</w:t>
        </w:r>
        <w:r w:rsidRPr="00B767D9">
          <w:rPr>
            <w:rFonts w:ascii="Times New Roman" w:hAnsi="Times New Roman"/>
            <w:noProof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C6" w:rsidRDefault="00820FC6" w:rsidP="004633A9">
      <w:pPr>
        <w:spacing w:after="0" w:line="240" w:lineRule="auto"/>
      </w:pPr>
      <w:r>
        <w:separator/>
      </w:r>
    </w:p>
  </w:footnote>
  <w:footnote w:type="continuationSeparator" w:id="0">
    <w:p w:rsidR="00820FC6" w:rsidRDefault="00820FC6" w:rsidP="004633A9">
      <w:pPr>
        <w:spacing w:after="0" w:line="240" w:lineRule="auto"/>
      </w:pPr>
      <w:r>
        <w:continuationSeparator/>
      </w:r>
    </w:p>
  </w:footnote>
  <w:footnote w:id="1">
    <w:p w:rsidR="003E5759" w:rsidRDefault="004633A9" w:rsidP="003E57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E5759">
        <w:tab/>
      </w:r>
      <w:r w:rsidR="003E5759" w:rsidRPr="00B55B24">
        <w:tab/>
      </w:r>
      <w:r w:rsidR="003E5759" w:rsidRPr="00B55B24">
        <w:rPr>
          <w:i/>
        </w:rPr>
        <w:t xml:space="preserve">See Connect America Fund; A National Broadband Plan for Our Future; Establishing Just and </w:t>
      </w:r>
      <w:r w:rsidR="003E5759" w:rsidRPr="00B55B24">
        <w:rPr>
          <w:i/>
          <w:iCs/>
          <w:szCs w:val="24"/>
        </w:rPr>
        <w:t>Reasonable Rates for Local Exchange Carriers; High-Cost Universal Service Support; Developing a Unified Intercarrier Compensation Regime; Federal-State Joint Board on Universal Service; Lifeline and Link-Up; Universal Service Reform</w:t>
      </w:r>
      <w:r w:rsidR="00B55B24">
        <w:rPr>
          <w:i/>
          <w:iCs/>
          <w:szCs w:val="24"/>
        </w:rPr>
        <w:t>-</w:t>
      </w:r>
      <w:r w:rsidR="003E5759" w:rsidRPr="00B55B24">
        <w:rPr>
          <w:i/>
          <w:iCs/>
          <w:szCs w:val="24"/>
        </w:rPr>
        <w:t>Mobility Fund</w:t>
      </w:r>
      <w:r w:rsidR="003E5759" w:rsidRPr="00B55B24">
        <w:rPr>
          <w:szCs w:val="24"/>
        </w:rPr>
        <w:t>; WC Docket Nos. 10-90, 07-135, 05-337, 03-109, CC Docket Nos. 01-92, 96-45, GN Docket No. 09-51, WT Docket No. 10-208</w:t>
      </w:r>
      <w:r w:rsidR="00B55B24">
        <w:rPr>
          <w:szCs w:val="24"/>
        </w:rPr>
        <w:t xml:space="preserve">, </w:t>
      </w:r>
      <w:r w:rsidR="003E5759" w:rsidRPr="00B55B24">
        <w:rPr>
          <w:szCs w:val="24"/>
        </w:rPr>
        <w:t xml:space="preserve">Report and Order and Further Notice of Proposed Rulemaking, 26 FCC Rcd 17663, </w:t>
      </w:r>
      <w:r w:rsidR="006A1751" w:rsidRPr="00B55B24">
        <w:rPr>
          <w:szCs w:val="24"/>
        </w:rPr>
        <w:t xml:space="preserve">at ¶ 239 </w:t>
      </w:r>
      <w:r w:rsidR="003E5759" w:rsidRPr="00B55B24">
        <w:rPr>
          <w:szCs w:val="24"/>
        </w:rPr>
        <w:t>(2011) (</w:t>
      </w:r>
      <w:r w:rsidR="003E5759" w:rsidRPr="00B55B24">
        <w:rPr>
          <w:i/>
          <w:iCs/>
          <w:szCs w:val="24"/>
        </w:rPr>
        <w:t>USF/ICC Transformation Order</w:t>
      </w:r>
      <w:r w:rsidR="003E5759" w:rsidRPr="00B55B24">
        <w:rPr>
          <w:szCs w:val="24"/>
        </w:rPr>
        <w:t xml:space="preserve">), </w:t>
      </w:r>
      <w:r w:rsidR="003E5759" w:rsidRPr="00B55B24">
        <w:rPr>
          <w:i/>
          <w:iCs/>
          <w:szCs w:val="24"/>
        </w:rPr>
        <w:t>pets. for review pending sub nom.</w:t>
      </w:r>
      <w:r w:rsidR="003E5759" w:rsidRPr="00B55B24">
        <w:rPr>
          <w:iCs/>
          <w:szCs w:val="24"/>
        </w:rPr>
        <w:t xml:space="preserve"> </w:t>
      </w:r>
      <w:r w:rsidR="003E5759" w:rsidRPr="00B55B24">
        <w:rPr>
          <w:i/>
          <w:iCs/>
          <w:szCs w:val="24"/>
        </w:rPr>
        <w:t>In re: FCC 11-161</w:t>
      </w:r>
      <w:r w:rsidR="003E5759" w:rsidRPr="00B55B24">
        <w:rPr>
          <w:szCs w:val="24"/>
        </w:rPr>
        <w:t>, No. 11-9900 (10th Cir. argued Nov. 19, 2013).</w:t>
      </w:r>
    </w:p>
  </w:footnote>
  <w:footnote w:id="2">
    <w:p w:rsidR="006A1751" w:rsidRDefault="00463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44B3">
        <w:tab/>
      </w:r>
      <w:r w:rsidR="002844B3">
        <w:tab/>
      </w:r>
      <w:r>
        <w:t>Local rate plus</w:t>
      </w:r>
      <w:r w:rsidR="002844B3">
        <w:t xml:space="preserve"> state subscriber line charge, mandatory EAS and state universal service charge.</w:t>
      </w:r>
    </w:p>
  </w:footnote>
  <w:footnote w:id="3">
    <w:p w:rsidR="00446D7C" w:rsidRDefault="004B3D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1751">
        <w:tab/>
      </w:r>
      <w:r w:rsidR="006A1751">
        <w:tab/>
      </w:r>
      <w:r w:rsidR="006A1751" w:rsidRPr="006A1751">
        <w:rPr>
          <w:i/>
        </w:rPr>
        <w:t>USF/ICC Transformation Order</w:t>
      </w:r>
      <w:r w:rsidR="006A1751">
        <w:t xml:space="preserve"> at ¶ 239.</w:t>
      </w:r>
    </w:p>
  </w:footnote>
  <w:footnote w:id="4">
    <w:p w:rsidR="004B3DB5" w:rsidRDefault="004B3DB5" w:rsidP="00446D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6D7C">
        <w:tab/>
      </w:r>
      <w:r w:rsidR="00446D7C">
        <w:tab/>
      </w:r>
      <w:r w:rsidR="00FC679B" w:rsidRPr="006A1751">
        <w:rPr>
          <w:i/>
        </w:rPr>
        <w:t>USF/ICC Transformation Order</w:t>
      </w:r>
      <w:r w:rsidR="00FC679B">
        <w:t xml:space="preserve"> at ¶ 239</w:t>
      </w:r>
      <w:r w:rsidR="00446D7C" w:rsidRPr="00EB2946">
        <w:rPr>
          <w:i/>
        </w:rPr>
        <w:t>.</w:t>
      </w:r>
    </w:p>
  </w:footnote>
  <w:footnote w:id="5">
    <w:p w:rsidR="00E850ED" w:rsidRDefault="00E850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7729">
        <w:tab/>
      </w:r>
      <w:r w:rsidR="005F7729">
        <w:tab/>
      </w:r>
      <w:r w:rsidR="005F7729" w:rsidRPr="0005291F">
        <w:rPr>
          <w:i/>
        </w:rPr>
        <w:t xml:space="preserve">Connect America Fund, </w:t>
      </w:r>
      <w:r w:rsidR="005F7729" w:rsidRPr="00A965B2">
        <w:t>WC Docket No. 10-90 (Rel. March 20, 2014).</w:t>
      </w:r>
    </w:p>
  </w:footnote>
  <w:footnote w:id="6">
    <w:p w:rsidR="009D23FF" w:rsidRDefault="009D23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75F20">
        <w:tab/>
      </w:r>
      <w:r w:rsidR="00275F20">
        <w:tab/>
      </w:r>
      <w:r w:rsidR="00275F20" w:rsidRPr="00275F20">
        <w:rPr>
          <w:i/>
        </w:rPr>
        <w:t>See</w:t>
      </w:r>
      <w:r w:rsidR="00275F20">
        <w:t xml:space="preserve"> </w:t>
      </w:r>
      <w:r w:rsidR="00FC679B">
        <w:t xml:space="preserve">Ohio R.C. </w:t>
      </w:r>
      <w:r w:rsidR="00B55B24">
        <w:t>4927.12</w:t>
      </w:r>
      <w:r w:rsidR="00275F20">
        <w:t>(C)(1)(b).</w:t>
      </w:r>
    </w:p>
  </w:footnote>
  <w:footnote w:id="7">
    <w:p w:rsidR="00CE7B88" w:rsidRDefault="00CE7B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B5C41">
        <w:tab/>
      </w:r>
      <w:r w:rsidR="007B5C41">
        <w:tab/>
      </w:r>
      <w:r w:rsidR="0005291F" w:rsidRPr="0005291F">
        <w:rPr>
          <w:i/>
        </w:rPr>
        <w:t xml:space="preserve">See </w:t>
      </w:r>
      <w:r w:rsidR="007B5C41" w:rsidRPr="0005291F">
        <w:rPr>
          <w:i/>
        </w:rPr>
        <w:t>Connect America Fund</w:t>
      </w:r>
      <w:r w:rsidR="007B5C41">
        <w:t>, WC Docket No. 10-90, NTCA N</w:t>
      </w:r>
      <w:r w:rsidR="0005291F">
        <w:t xml:space="preserve">otice of </w:t>
      </w:r>
      <w:r w:rsidR="001E793B">
        <w:rPr>
          <w:i/>
        </w:rPr>
        <w:t>Ex P</w:t>
      </w:r>
      <w:r w:rsidR="0005291F" w:rsidRPr="001E793B">
        <w:rPr>
          <w:i/>
        </w:rPr>
        <w:t>arte</w:t>
      </w:r>
      <w:r w:rsidR="001E793B">
        <w:t xml:space="preserve"> at 2 (filed Mar.</w:t>
      </w:r>
      <w:r w:rsidR="0005291F">
        <w:t xml:space="preserve"> 21, 2014).</w:t>
      </w:r>
    </w:p>
  </w:footnote>
  <w:footnote w:id="8">
    <w:p w:rsidR="007B5C41" w:rsidRDefault="007B5C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="0005291F" w:rsidRPr="0005291F">
        <w:rPr>
          <w:i/>
        </w:rPr>
        <w:t>Connect America Fund</w:t>
      </w:r>
      <w:r w:rsidR="0005291F">
        <w:t xml:space="preserve">, WC Docket No. 10-90, </w:t>
      </w:r>
      <w:r>
        <w:t>Petition for Extension of Time by ERTA, ITTA, NECA, NTCA, USTelec</w:t>
      </w:r>
      <w:r w:rsidR="0005291F">
        <w:t xml:space="preserve">om </w:t>
      </w:r>
      <w:r>
        <w:t>(filed Mar. 11, 2014).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EA"/>
    <w:rsid w:val="00003953"/>
    <w:rsid w:val="00016580"/>
    <w:rsid w:val="0005291F"/>
    <w:rsid w:val="000D27EF"/>
    <w:rsid w:val="000F03F8"/>
    <w:rsid w:val="00124DD9"/>
    <w:rsid w:val="00141A36"/>
    <w:rsid w:val="00142254"/>
    <w:rsid w:val="00165A61"/>
    <w:rsid w:val="001E793B"/>
    <w:rsid w:val="0023262D"/>
    <w:rsid w:val="00275F20"/>
    <w:rsid w:val="002844B3"/>
    <w:rsid w:val="003E5759"/>
    <w:rsid w:val="004022F9"/>
    <w:rsid w:val="00422123"/>
    <w:rsid w:val="00424D2D"/>
    <w:rsid w:val="00446D7C"/>
    <w:rsid w:val="004633A9"/>
    <w:rsid w:val="004B3DB5"/>
    <w:rsid w:val="005F7729"/>
    <w:rsid w:val="00622FD5"/>
    <w:rsid w:val="00655557"/>
    <w:rsid w:val="006A1751"/>
    <w:rsid w:val="006F1852"/>
    <w:rsid w:val="00714DBD"/>
    <w:rsid w:val="00787C3F"/>
    <w:rsid w:val="007B5C41"/>
    <w:rsid w:val="00820FC6"/>
    <w:rsid w:val="008A3DE3"/>
    <w:rsid w:val="008E35E7"/>
    <w:rsid w:val="00904807"/>
    <w:rsid w:val="009379C7"/>
    <w:rsid w:val="009B11B1"/>
    <w:rsid w:val="009D02C0"/>
    <w:rsid w:val="009D23FF"/>
    <w:rsid w:val="009D7BB4"/>
    <w:rsid w:val="009F400F"/>
    <w:rsid w:val="00A05949"/>
    <w:rsid w:val="00A64EFA"/>
    <w:rsid w:val="00A965B2"/>
    <w:rsid w:val="00B26F21"/>
    <w:rsid w:val="00B55B24"/>
    <w:rsid w:val="00B767D9"/>
    <w:rsid w:val="00BC47DD"/>
    <w:rsid w:val="00C833B5"/>
    <w:rsid w:val="00CE7B88"/>
    <w:rsid w:val="00D550F1"/>
    <w:rsid w:val="00D761EA"/>
    <w:rsid w:val="00D94E70"/>
    <w:rsid w:val="00E850ED"/>
    <w:rsid w:val="00E943FA"/>
    <w:rsid w:val="00EA6F25"/>
    <w:rsid w:val="00EB2946"/>
    <w:rsid w:val="00EB67FB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EA"/>
    <w:pPr>
      <w:spacing w:line="288" w:lineRule="auto"/>
    </w:pPr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761EA"/>
    <w:pPr>
      <w:spacing w:after="0" w:line="240" w:lineRule="auto"/>
    </w:pPr>
  </w:style>
  <w:style w:type="table" w:styleId="TableGrid">
    <w:name w:val="Table Grid"/>
    <w:basedOn w:val="TableNormal"/>
    <w:uiPriority w:val="39"/>
    <w:rsid w:val="00D7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B55B24"/>
    <w:pPr>
      <w:spacing w:before="240" w:after="240" w:line="240" w:lineRule="auto"/>
      <w:ind w:left="720" w:hanging="720"/>
    </w:pPr>
    <w:rPr>
      <w:rFonts w:ascii="Times New Roman" w:hAnsi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B24"/>
    <w:rPr>
      <w:rFonts w:ascii="Times New Roman" w:eastAsia="Times New Roman" w:hAnsi="Times New Roman" w:cs="Times New Roman"/>
      <w:sz w:val="24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33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46"/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B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46"/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paragraph" w:customStyle="1" w:styleId="Tex">
    <w:name w:val="Tex"/>
    <w:basedOn w:val="Normal"/>
    <w:rsid w:val="00B55B24"/>
    <w:pPr>
      <w:spacing w:line="480" w:lineRule="auto"/>
      <w:jc w:val="both"/>
    </w:pPr>
  </w:style>
  <w:style w:type="paragraph" w:customStyle="1" w:styleId="Textstyle">
    <w:name w:val="Text style"/>
    <w:basedOn w:val="Tex"/>
    <w:rsid w:val="00B55B24"/>
    <w:pPr>
      <w:spacing w:after="0"/>
      <w:jc w:val="left"/>
    </w:pPr>
    <w:rPr>
      <w:rFonts w:ascii="Times New Roman" w:hAnsi="Times New Roman"/>
      <w:color w:val="auto"/>
      <w:sz w:val="26"/>
      <w:szCs w:val="26"/>
    </w:rPr>
  </w:style>
  <w:style w:type="character" w:styleId="Hyperlink">
    <w:name w:val="Hyperlink"/>
    <w:uiPriority w:val="99"/>
    <w:unhideWhenUsed/>
    <w:rsid w:val="00141A36"/>
    <w:rPr>
      <w:color w:val="00008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D9"/>
    <w:rPr>
      <w:rFonts w:ascii="Segoe UI" w:eastAsia="Times New Roman" w:hAnsi="Segoe UI" w:cs="Segoe UI"/>
      <w:color w:val="5A5A5A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EA"/>
    <w:pPr>
      <w:spacing w:line="288" w:lineRule="auto"/>
    </w:pPr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761EA"/>
    <w:pPr>
      <w:spacing w:after="0" w:line="240" w:lineRule="auto"/>
    </w:pPr>
  </w:style>
  <w:style w:type="table" w:styleId="TableGrid">
    <w:name w:val="Table Grid"/>
    <w:basedOn w:val="TableNormal"/>
    <w:uiPriority w:val="39"/>
    <w:rsid w:val="00D7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B55B24"/>
    <w:pPr>
      <w:spacing w:before="240" w:after="240" w:line="240" w:lineRule="auto"/>
      <w:ind w:left="720" w:hanging="720"/>
    </w:pPr>
    <w:rPr>
      <w:rFonts w:ascii="Times New Roman" w:hAnsi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B24"/>
    <w:rPr>
      <w:rFonts w:ascii="Times New Roman" w:eastAsia="Times New Roman" w:hAnsi="Times New Roman" w:cs="Times New Roman"/>
      <w:sz w:val="24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33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46"/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B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46"/>
    <w:rPr>
      <w:rFonts w:ascii="Calibri" w:eastAsia="Times New Roman" w:hAnsi="Calibri" w:cs="Times New Roman"/>
      <w:color w:val="5A5A5A"/>
      <w:sz w:val="24"/>
      <w:szCs w:val="24"/>
      <w:lang w:bidi="en-US"/>
    </w:rPr>
  </w:style>
  <w:style w:type="paragraph" w:customStyle="1" w:styleId="Tex">
    <w:name w:val="Tex"/>
    <w:basedOn w:val="Normal"/>
    <w:rsid w:val="00B55B24"/>
    <w:pPr>
      <w:spacing w:line="480" w:lineRule="auto"/>
      <w:jc w:val="both"/>
    </w:pPr>
  </w:style>
  <w:style w:type="paragraph" w:customStyle="1" w:styleId="Textstyle">
    <w:name w:val="Text style"/>
    <w:basedOn w:val="Tex"/>
    <w:rsid w:val="00B55B24"/>
    <w:pPr>
      <w:spacing w:after="0"/>
      <w:jc w:val="left"/>
    </w:pPr>
    <w:rPr>
      <w:rFonts w:ascii="Times New Roman" w:hAnsi="Times New Roman"/>
      <w:color w:val="auto"/>
      <w:sz w:val="26"/>
      <w:szCs w:val="26"/>
    </w:rPr>
  </w:style>
  <w:style w:type="character" w:styleId="Hyperlink">
    <w:name w:val="Hyperlink"/>
    <w:uiPriority w:val="99"/>
    <w:unhideWhenUsed/>
    <w:rsid w:val="00141A36"/>
    <w:rPr>
      <w:color w:val="00008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D9"/>
    <w:rPr>
      <w:rFonts w:ascii="Segoe UI" w:eastAsia="Times New Roman" w:hAnsi="Segoe UI" w:cs="Segoe UI"/>
      <w:color w:val="5A5A5A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wright@puc.state.oh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67C6-341E-45AB-BA7E-BD9E5BEF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Well, Jason</dc:creator>
  <cp:lastModifiedBy>Keeton, Kim</cp:lastModifiedBy>
  <cp:revision>4</cp:revision>
  <dcterms:created xsi:type="dcterms:W3CDTF">2014-03-28T14:04:00Z</dcterms:created>
  <dcterms:modified xsi:type="dcterms:W3CDTF">2014-03-31T17:42:00Z</dcterms:modified>
</cp:coreProperties>
</file>