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A4E9F" w:rsidRPr="00BF6B72" w:rsidP="0099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b/>
          <w:bCs/>
          <w:szCs w:val="24"/>
        </w:rPr>
      </w:pPr>
      <w:bookmarkStart w:id="0" w:name="_GoBack"/>
      <w:bookmarkEnd w:id="0"/>
      <w:r w:rsidRPr="00BF6B72">
        <w:rPr>
          <w:rFonts w:eastAsia="Calibri" w:cs="Times New Roman"/>
          <w:b/>
          <w:bCs/>
          <w:szCs w:val="24"/>
        </w:rPr>
        <w:t>BEFORE</w:t>
      </w:r>
    </w:p>
    <w:p w:rsidR="00DA4E9F" w:rsidRPr="00BF6B72" w:rsidP="00DA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cs="Times New Roman"/>
          <w:szCs w:val="24"/>
        </w:rPr>
      </w:pPr>
      <w:r w:rsidRPr="00BF6B72">
        <w:rPr>
          <w:rFonts w:eastAsia="Calibri" w:cs="Times New Roman"/>
          <w:b/>
          <w:bCs/>
          <w:szCs w:val="24"/>
        </w:rPr>
        <w:t>THE PUBLIC UTILITIES COMMISSION OF OHIO</w:t>
      </w:r>
    </w:p>
    <w:p w:rsidR="00DA4E9F" w:rsidRPr="00BF6B72" w:rsidP="00DA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imes New Roman"/>
          <w:szCs w:val="24"/>
        </w:rPr>
      </w:pPr>
    </w:p>
    <w:tbl>
      <w:tblPr>
        <w:tblW w:w="9244" w:type="dxa"/>
        <w:tblInd w:w="-106" w:type="dxa"/>
        <w:tblCellMar>
          <w:top w:w="0" w:type="dxa"/>
          <w:left w:w="108" w:type="dxa"/>
          <w:bottom w:w="0" w:type="dxa"/>
          <w:right w:w="108" w:type="dxa"/>
        </w:tblCellMar>
        <w:tblLook w:val="01E0"/>
      </w:tblPr>
      <w:tblGrid>
        <w:gridCol w:w="4404"/>
        <w:gridCol w:w="366"/>
        <w:gridCol w:w="4474"/>
      </w:tblGrid>
      <w:tr w:rsidTr="00DA4E9F">
        <w:tblPrEx>
          <w:tblW w:w="9244" w:type="dxa"/>
          <w:tblInd w:w="-106" w:type="dxa"/>
          <w:tblCellMar>
            <w:top w:w="0" w:type="dxa"/>
            <w:left w:w="108" w:type="dxa"/>
            <w:bottom w:w="0" w:type="dxa"/>
            <w:right w:w="108" w:type="dxa"/>
          </w:tblCellMar>
          <w:tblLook w:val="01E0"/>
        </w:tblPrEx>
        <w:trPr>
          <w:trHeight w:val="482"/>
        </w:trPr>
        <w:tc>
          <w:tcPr>
            <w:tcW w:w="4404" w:type="dxa"/>
          </w:tcPr>
          <w:p w:rsidR="00DA4E9F" w:rsidRPr="00BF6B72" w:rsidP="00DA4E9F">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BF6B72">
              <w:rPr>
                <w:rFonts w:ascii="Times New Roman" w:eastAsia="Calibri" w:hAnsi="Times New Roman" w:cs="Times New Roman"/>
                <w:sz w:val="24"/>
                <w:szCs w:val="24"/>
                <w:lang w:val="en-US" w:eastAsia="en-US" w:bidi="ar-SA"/>
              </w:rPr>
              <w:t>In the Matter of the Application of Ohio Power Company to Update Its Enhanced Service Reliability Rider.</w:t>
            </w:r>
          </w:p>
        </w:tc>
        <w:tc>
          <w:tcPr>
            <w:tcW w:w="366" w:type="dxa"/>
            <w:hideMark/>
          </w:tcPr>
          <w:p w:rsidR="00DA4E9F" w:rsidRPr="00BF6B72" w:rsidP="00DA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BF6B72">
              <w:rPr>
                <w:rFonts w:ascii="Times New Roman" w:eastAsia="Calibri" w:hAnsi="Times New Roman" w:cs="Times New Roman"/>
                <w:sz w:val="24"/>
                <w:szCs w:val="24"/>
                <w:lang w:val="en-US" w:eastAsia="en-US" w:bidi="ar-SA"/>
              </w:rPr>
              <w:t>)</w:t>
            </w:r>
          </w:p>
          <w:p w:rsidR="00DA4E9F" w:rsidRPr="00BF6B72" w:rsidP="00DA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BF6B72">
              <w:rPr>
                <w:rFonts w:ascii="Times New Roman" w:eastAsia="Calibri" w:hAnsi="Times New Roman" w:cs="Times New Roman"/>
                <w:sz w:val="24"/>
                <w:szCs w:val="24"/>
                <w:lang w:val="en-US" w:eastAsia="en-US" w:bidi="ar-SA"/>
              </w:rPr>
              <w:t>)</w:t>
            </w:r>
          </w:p>
          <w:p w:rsidR="00DA4E9F" w:rsidRPr="00BF6B72" w:rsidP="00DA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BF6B72">
              <w:rPr>
                <w:rFonts w:ascii="Times New Roman" w:eastAsia="Calibri" w:hAnsi="Times New Roman" w:cs="Times New Roman"/>
                <w:sz w:val="24"/>
                <w:szCs w:val="24"/>
                <w:lang w:val="en-US" w:eastAsia="en-US" w:bidi="ar-SA"/>
              </w:rPr>
              <w:t>)</w:t>
            </w:r>
          </w:p>
        </w:tc>
        <w:tc>
          <w:tcPr>
            <w:tcW w:w="4474" w:type="dxa"/>
          </w:tcPr>
          <w:p w:rsidR="00DA4E9F" w:rsidRPr="00BF6B72" w:rsidP="00DA4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DA4E9F" w:rsidRPr="00BF6B72" w:rsidP="00DA4E9F">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BF6B72">
              <w:rPr>
                <w:rFonts w:ascii="Times New Roman" w:eastAsia="Calibri" w:hAnsi="Times New Roman" w:cs="Times New Roman"/>
                <w:sz w:val="24"/>
                <w:szCs w:val="24"/>
                <w:lang w:val="en-US" w:eastAsia="en-US" w:bidi="ar-SA"/>
              </w:rPr>
              <w:t>Case No. 17-1914-EL-RDR</w:t>
            </w:r>
          </w:p>
        </w:tc>
      </w:tr>
    </w:tbl>
    <w:p w:rsidR="00DA4E9F" w:rsidRPr="00BF6B72" w:rsidP="00DA4E9F">
      <w:pPr>
        <w:pBdr>
          <w:bottom w:val="single" w:sz="12" w:space="1" w:color="auto"/>
        </w:pBdr>
        <w:autoSpaceDE w:val="0"/>
        <w:autoSpaceDN w:val="0"/>
        <w:adjustRightInd w:val="0"/>
        <w:spacing w:after="0" w:line="240" w:lineRule="auto"/>
        <w:jc w:val="center"/>
        <w:rPr>
          <w:rFonts w:eastAsia="Calibri" w:cs="Times New Roman"/>
          <w:b/>
          <w:bCs/>
          <w:szCs w:val="24"/>
        </w:rPr>
      </w:pPr>
    </w:p>
    <w:p w:rsidR="00DA4E9F" w:rsidRPr="00BF6B72" w:rsidP="00DA4E9F">
      <w:pPr>
        <w:autoSpaceDE w:val="0"/>
        <w:autoSpaceDN w:val="0"/>
        <w:adjustRightInd w:val="0"/>
        <w:spacing w:after="0" w:line="240" w:lineRule="auto"/>
        <w:jc w:val="center"/>
        <w:rPr>
          <w:rFonts w:eastAsia="Calibri" w:cs="Times New Roman"/>
          <w:b/>
          <w:bCs/>
          <w:szCs w:val="24"/>
        </w:rPr>
      </w:pPr>
    </w:p>
    <w:p w:rsidR="00DA4E9F" w:rsidRPr="00BF6B72" w:rsidP="00DA4E9F">
      <w:pPr>
        <w:autoSpaceDE w:val="0"/>
        <w:autoSpaceDN w:val="0"/>
        <w:adjustRightInd w:val="0"/>
        <w:spacing w:after="0" w:line="240" w:lineRule="auto"/>
        <w:jc w:val="center"/>
        <w:rPr>
          <w:rFonts w:eastAsia="Calibri" w:cs="Times New Roman"/>
          <w:b/>
          <w:bCs/>
          <w:szCs w:val="24"/>
        </w:rPr>
      </w:pPr>
      <w:r w:rsidRPr="00BF6B72">
        <w:rPr>
          <w:rFonts w:eastAsia="Calibri" w:cs="Times New Roman"/>
          <w:b/>
          <w:bCs/>
          <w:szCs w:val="24"/>
        </w:rPr>
        <w:t>REPLY</w:t>
      </w:r>
      <w:r w:rsidRPr="00BF6B72" w:rsidR="00A0158A">
        <w:rPr>
          <w:rFonts w:eastAsia="Calibri" w:cs="Times New Roman"/>
          <w:b/>
          <w:bCs/>
          <w:szCs w:val="24"/>
        </w:rPr>
        <w:t xml:space="preserve"> BRIEF</w:t>
      </w:r>
    </w:p>
    <w:p w:rsidR="00DA4E9F" w:rsidRPr="00BF6B72" w:rsidP="00DA4E9F">
      <w:pPr>
        <w:autoSpaceDE w:val="0"/>
        <w:autoSpaceDN w:val="0"/>
        <w:adjustRightInd w:val="0"/>
        <w:spacing w:after="0" w:line="240" w:lineRule="auto"/>
        <w:jc w:val="center"/>
        <w:rPr>
          <w:rFonts w:eastAsia="Calibri" w:cs="Times New Roman"/>
          <w:b/>
          <w:bCs/>
          <w:szCs w:val="24"/>
        </w:rPr>
      </w:pPr>
      <w:r w:rsidRPr="00BF6B72">
        <w:rPr>
          <w:rFonts w:eastAsia="Calibri" w:cs="Times New Roman"/>
          <w:b/>
          <w:bCs/>
          <w:szCs w:val="24"/>
        </w:rPr>
        <w:t>BY</w:t>
      </w:r>
    </w:p>
    <w:p w:rsidR="00DA4E9F" w:rsidRPr="00BF6B72" w:rsidP="00DA4E9F">
      <w:pPr>
        <w:autoSpaceDE w:val="0"/>
        <w:autoSpaceDN w:val="0"/>
        <w:adjustRightInd w:val="0"/>
        <w:spacing w:after="0" w:line="240" w:lineRule="auto"/>
        <w:jc w:val="center"/>
        <w:rPr>
          <w:rFonts w:eastAsia="Calibri" w:cs="Times New Roman"/>
          <w:b/>
          <w:bCs/>
          <w:szCs w:val="24"/>
        </w:rPr>
      </w:pPr>
      <w:r w:rsidRPr="00BF6B72">
        <w:rPr>
          <w:rFonts w:eastAsia="Calibri" w:cs="Times New Roman"/>
          <w:b/>
          <w:bCs/>
          <w:szCs w:val="24"/>
        </w:rPr>
        <w:t>THE OFFICE OF THE OHIO CONSUMERS’ COUNSEL</w:t>
      </w:r>
    </w:p>
    <w:p w:rsidR="00DA4E9F" w:rsidRPr="00BF6B72" w:rsidP="00DA4E9F">
      <w:pPr>
        <w:pBdr>
          <w:bottom w:val="single" w:sz="12" w:space="1" w:color="auto"/>
        </w:pBdr>
        <w:autoSpaceDE w:val="0"/>
        <w:autoSpaceDN w:val="0"/>
        <w:adjustRightInd w:val="0"/>
        <w:spacing w:after="0" w:line="240" w:lineRule="auto"/>
        <w:jc w:val="center"/>
        <w:rPr>
          <w:rFonts w:eastAsia="Calibri" w:cs="Times New Roman"/>
          <w:b/>
          <w:bCs/>
          <w:szCs w:val="24"/>
        </w:rPr>
      </w:pPr>
    </w:p>
    <w:p w:rsidR="00DA4E9F" w:rsidRPr="00BF6B72" w:rsidP="00DA4E9F">
      <w:pPr>
        <w:autoSpaceDE w:val="0"/>
        <w:autoSpaceDN w:val="0"/>
        <w:adjustRightInd w:val="0"/>
        <w:spacing w:after="0" w:line="240" w:lineRule="auto"/>
        <w:rPr>
          <w:rFonts w:eastAsia="Calibri" w:cs="Times New Roman"/>
          <w:b/>
          <w:bCs/>
          <w:szCs w:val="24"/>
        </w:rPr>
      </w:pPr>
    </w:p>
    <w:p w:rsidR="00DA4E9F" w:rsidRPr="00BF6B72" w:rsidP="00DA4E9F">
      <w:pPr>
        <w:pStyle w:val="Heading1"/>
      </w:pPr>
      <w:bookmarkStart w:id="1" w:name="_Toc12969641"/>
      <w:r w:rsidRPr="00BF6B72">
        <w:t>INTRODUCTION</w:t>
      </w:r>
      <w:bookmarkEnd w:id="1"/>
    </w:p>
    <w:p w:rsidR="00DA4E9F" w:rsidP="00DA4E9F">
      <w:pPr>
        <w:spacing w:after="0" w:line="480" w:lineRule="auto"/>
        <w:ind w:firstLine="720"/>
        <w:rPr>
          <w:rFonts w:cs="Times New Roman"/>
          <w:szCs w:val="24"/>
        </w:rPr>
      </w:pPr>
      <w:r w:rsidRPr="00BF6B72">
        <w:rPr>
          <w:rFonts w:cs="Times New Roman"/>
          <w:szCs w:val="24"/>
        </w:rPr>
        <w:t xml:space="preserve"> </w:t>
      </w:r>
      <w:r w:rsidRPr="00BF6B72" w:rsidR="006B5F4E">
        <w:rPr>
          <w:rFonts w:cs="Times New Roman"/>
          <w:szCs w:val="24"/>
        </w:rPr>
        <w:t>The Office of the Ohio Consumers’ Counsel (“OCC”)</w:t>
      </w:r>
      <w:r w:rsidR="00340AC9">
        <w:rPr>
          <w:rFonts w:cs="Times New Roman"/>
          <w:szCs w:val="24"/>
        </w:rPr>
        <w:t>, on behalf of Ohio Power Company’s (“AEP”) approximately 1.3 million residential customers,</w:t>
      </w:r>
      <w:r w:rsidRPr="00BF6B72" w:rsidR="006B5F4E">
        <w:rPr>
          <w:rFonts w:cs="Times New Roman"/>
          <w:szCs w:val="24"/>
        </w:rPr>
        <w:t xml:space="preserve"> opposes Ohio AEP</w:t>
      </w:r>
      <w:r w:rsidR="00340AC9">
        <w:rPr>
          <w:rFonts w:cs="Times New Roman"/>
          <w:szCs w:val="24"/>
        </w:rPr>
        <w:t>’s</w:t>
      </w:r>
      <w:r w:rsidRPr="00BF6B72" w:rsidR="00340AC9">
        <w:rPr>
          <w:rFonts w:cs="Times New Roman"/>
          <w:szCs w:val="24"/>
        </w:rPr>
        <w:t xml:space="preserve"> </w:t>
      </w:r>
      <w:r w:rsidRPr="00BF6B72" w:rsidR="006B5F4E">
        <w:rPr>
          <w:rFonts w:cs="Times New Roman"/>
          <w:szCs w:val="24"/>
        </w:rPr>
        <w:t xml:space="preserve">request </w:t>
      </w:r>
      <w:r w:rsidR="00340AC9">
        <w:rPr>
          <w:rFonts w:cs="Times New Roman"/>
          <w:szCs w:val="24"/>
        </w:rPr>
        <w:t>to</w:t>
      </w:r>
      <w:r w:rsidRPr="00BF6B72" w:rsidR="00340AC9">
        <w:rPr>
          <w:rFonts w:cs="Times New Roman"/>
          <w:szCs w:val="24"/>
        </w:rPr>
        <w:t xml:space="preserve"> </w:t>
      </w:r>
      <w:r w:rsidR="00340AC9">
        <w:rPr>
          <w:rFonts w:cs="Times New Roman"/>
          <w:szCs w:val="24"/>
        </w:rPr>
        <w:t>collect</w:t>
      </w:r>
      <w:r w:rsidRPr="00BF6B72" w:rsidR="006639AB">
        <w:rPr>
          <w:rFonts w:cs="Times New Roman"/>
          <w:szCs w:val="24"/>
        </w:rPr>
        <w:t xml:space="preserve"> </w:t>
      </w:r>
      <w:r w:rsidRPr="00BF6B72" w:rsidR="006B5F4E">
        <w:rPr>
          <w:rFonts w:cs="Times New Roman"/>
          <w:szCs w:val="24"/>
        </w:rPr>
        <w:t xml:space="preserve">an additional $3.4 million dollars under its Electric Service Reliability Rider </w:t>
      </w:r>
      <w:r w:rsidRPr="00BF6B72" w:rsidR="00390CA8">
        <w:rPr>
          <w:rFonts w:cs="Times New Roman"/>
          <w:szCs w:val="24"/>
        </w:rPr>
        <w:t>(“</w:t>
      </w:r>
      <w:r w:rsidRPr="00BF6B72" w:rsidR="006639AB">
        <w:rPr>
          <w:rFonts w:cs="Times New Roman"/>
          <w:szCs w:val="24"/>
        </w:rPr>
        <w:t>tree-trimming rider</w:t>
      </w:r>
      <w:r w:rsidRPr="00BF6B72" w:rsidR="00390CA8">
        <w:rPr>
          <w:rFonts w:cs="Times New Roman"/>
          <w:szCs w:val="24"/>
        </w:rPr>
        <w:t xml:space="preserve">”) </w:t>
      </w:r>
      <w:r w:rsidRPr="00BF6B72" w:rsidR="006B5F4E">
        <w:rPr>
          <w:rFonts w:cs="Times New Roman"/>
          <w:szCs w:val="24"/>
        </w:rPr>
        <w:t>for alleged incremental tree-trimming costs.</w:t>
      </w:r>
      <w:r w:rsidRPr="00BF6B72" w:rsidR="00390CA8">
        <w:rPr>
          <w:rFonts w:cs="Times New Roman"/>
          <w:szCs w:val="24"/>
        </w:rPr>
        <w:t xml:space="preserve"> </w:t>
      </w:r>
      <w:r w:rsidRPr="00BF6B72" w:rsidR="006B5F4E">
        <w:rPr>
          <w:rFonts w:cs="Times New Roman"/>
          <w:szCs w:val="24"/>
        </w:rPr>
        <w:t xml:space="preserve"> AEP argues that </w:t>
      </w:r>
      <w:r w:rsidR="00340AC9">
        <w:rPr>
          <w:rFonts w:cs="Times New Roman"/>
          <w:szCs w:val="24"/>
        </w:rPr>
        <w:t xml:space="preserve">the amount it could spend on tree-trimming  under </w:t>
      </w:r>
      <w:r w:rsidRPr="00BF6B72" w:rsidR="006B5F4E">
        <w:rPr>
          <w:rFonts w:cs="Times New Roman"/>
          <w:szCs w:val="24"/>
        </w:rPr>
        <w:t xml:space="preserve">the </w:t>
      </w:r>
      <w:r w:rsidRPr="00BF6B72" w:rsidR="006639AB">
        <w:rPr>
          <w:rFonts w:cs="Times New Roman"/>
          <w:szCs w:val="24"/>
        </w:rPr>
        <w:t xml:space="preserve">tree-trimming rider </w:t>
      </w:r>
      <w:r w:rsidRPr="00BF6B72" w:rsidR="006B5F4E">
        <w:rPr>
          <w:rFonts w:cs="Times New Roman"/>
          <w:szCs w:val="24"/>
        </w:rPr>
        <w:t xml:space="preserve">was not </w:t>
      </w:r>
      <w:r w:rsidRPr="00BF6B72" w:rsidR="00390CA8">
        <w:rPr>
          <w:rFonts w:cs="Times New Roman"/>
          <w:szCs w:val="24"/>
        </w:rPr>
        <w:t>capped</w:t>
      </w:r>
      <w:r w:rsidR="00F469B9">
        <w:rPr>
          <w:rFonts w:cs="Times New Roman"/>
          <w:szCs w:val="24"/>
        </w:rPr>
        <w:t xml:space="preserve"> (thus limiting the amount customers pay)</w:t>
      </w:r>
      <w:r w:rsidRPr="00BF6B72" w:rsidR="006B5F4E">
        <w:rPr>
          <w:rFonts w:cs="Times New Roman"/>
          <w:szCs w:val="24"/>
        </w:rPr>
        <w:t>.</w:t>
      </w:r>
      <w:r>
        <w:rPr>
          <w:rStyle w:val="FootnoteReference"/>
          <w:rFonts w:cs="Times New Roman"/>
          <w:szCs w:val="24"/>
        </w:rPr>
        <w:footnoteReference w:id="2"/>
      </w:r>
      <w:r w:rsidRPr="00BF6B72" w:rsidR="006B5F4E">
        <w:rPr>
          <w:rFonts w:cs="Times New Roman"/>
          <w:szCs w:val="24"/>
        </w:rPr>
        <w:t xml:space="preserve"> But the </w:t>
      </w:r>
      <w:r w:rsidR="00340AC9">
        <w:rPr>
          <w:rFonts w:cs="Times New Roman"/>
          <w:szCs w:val="24"/>
        </w:rPr>
        <w:t xml:space="preserve">amount customers pay for tree trimming was limited by the PUCO – the </w:t>
      </w:r>
      <w:r w:rsidRPr="00BF6B72" w:rsidR="006639AB">
        <w:rPr>
          <w:rFonts w:cs="Times New Roman"/>
          <w:szCs w:val="24"/>
        </w:rPr>
        <w:t xml:space="preserve">tree-trimming rider </w:t>
      </w:r>
      <w:r w:rsidRPr="00F469B9" w:rsidR="006B5F4E">
        <w:rPr>
          <w:rFonts w:cs="Times New Roman"/>
          <w:szCs w:val="24"/>
        </w:rPr>
        <w:t>was</w:t>
      </w:r>
      <w:r w:rsidRPr="00BF6B72" w:rsidR="006B5F4E">
        <w:rPr>
          <w:rFonts w:cs="Times New Roman"/>
          <w:szCs w:val="24"/>
        </w:rPr>
        <w:t xml:space="preserve"> </w:t>
      </w:r>
      <w:r w:rsidRPr="00F469B9" w:rsidR="006B5F4E">
        <w:rPr>
          <w:rFonts w:cs="Times New Roman"/>
          <w:i/>
          <w:iCs/>
          <w:szCs w:val="24"/>
        </w:rPr>
        <w:t>capped</w:t>
      </w:r>
      <w:r w:rsidRPr="00BF6B72" w:rsidR="006B5F4E">
        <w:rPr>
          <w:rFonts w:cs="Times New Roman"/>
          <w:szCs w:val="24"/>
        </w:rPr>
        <w:t xml:space="preserve"> by the PUCO in AEP’s third ESP case.</w:t>
      </w:r>
      <w:r>
        <w:rPr>
          <w:rStyle w:val="FootnoteReference"/>
          <w:rFonts w:cs="Times New Roman"/>
          <w:szCs w:val="24"/>
        </w:rPr>
        <w:footnoteReference w:id="3"/>
      </w:r>
      <w:r w:rsidR="005272D1">
        <w:rPr>
          <w:rFonts w:cs="Times New Roman"/>
          <w:szCs w:val="24"/>
        </w:rPr>
        <w:t xml:space="preserve">  The money that AEP is attempting to </w:t>
      </w:r>
      <w:r w:rsidR="00340AC9">
        <w:rPr>
          <w:rFonts w:cs="Times New Roman"/>
          <w:szCs w:val="24"/>
        </w:rPr>
        <w:t xml:space="preserve">collect </w:t>
      </w:r>
      <w:r w:rsidR="005272D1">
        <w:rPr>
          <w:rFonts w:cs="Times New Roman"/>
          <w:szCs w:val="24"/>
        </w:rPr>
        <w:t xml:space="preserve">exceeds the cap.  </w:t>
      </w:r>
      <w:r w:rsidR="00340AC9">
        <w:rPr>
          <w:rFonts w:cs="Times New Roman"/>
          <w:szCs w:val="24"/>
        </w:rPr>
        <w:t>AEP is not authorized to collect money exceeding the cap</w:t>
      </w:r>
      <w:r w:rsidR="005272D1">
        <w:rPr>
          <w:rFonts w:cs="Times New Roman"/>
          <w:szCs w:val="24"/>
        </w:rPr>
        <w:t xml:space="preserve">.  The PUCO should not allow AEP to pass on costs </w:t>
      </w:r>
      <w:r w:rsidR="00340AC9">
        <w:rPr>
          <w:rFonts w:cs="Times New Roman"/>
          <w:szCs w:val="24"/>
        </w:rPr>
        <w:t>it is unauthorized to collect to</w:t>
      </w:r>
      <w:r w:rsidR="005272D1">
        <w:rPr>
          <w:rFonts w:cs="Times New Roman"/>
          <w:szCs w:val="24"/>
        </w:rPr>
        <w:t xml:space="preserve"> consumers.</w:t>
      </w:r>
    </w:p>
    <w:p w:rsidR="0063303C" w:rsidP="00DA4E9F">
      <w:pPr>
        <w:spacing w:after="0" w:line="480" w:lineRule="auto"/>
        <w:ind w:firstLine="720"/>
        <w:rPr>
          <w:rFonts w:cs="Times New Roman"/>
          <w:szCs w:val="24"/>
        </w:rPr>
        <w:sectPr w:rsidSect="0034046D">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p>
    <w:p w:rsidR="00390CA8" w:rsidP="0063303C">
      <w:pPr>
        <w:spacing w:after="0" w:line="480" w:lineRule="auto"/>
        <w:ind w:firstLine="720"/>
        <w:rPr>
          <w:rFonts w:cs="Times New Roman"/>
          <w:szCs w:val="24"/>
        </w:rPr>
      </w:pPr>
      <w:r w:rsidRPr="00BF6B72">
        <w:rPr>
          <w:rFonts w:cs="Times New Roman"/>
          <w:szCs w:val="24"/>
        </w:rPr>
        <w:t xml:space="preserve">Although the PUCO has permitted AEP to </w:t>
      </w:r>
      <w:r w:rsidR="00340AC9">
        <w:rPr>
          <w:rFonts w:cs="Times New Roman"/>
          <w:szCs w:val="24"/>
        </w:rPr>
        <w:t>collect</w:t>
      </w:r>
      <w:r w:rsidRPr="00BF6B72" w:rsidR="00340AC9">
        <w:rPr>
          <w:rFonts w:cs="Times New Roman"/>
          <w:szCs w:val="24"/>
        </w:rPr>
        <w:t xml:space="preserve"> </w:t>
      </w:r>
      <w:r w:rsidRPr="00BF6B72">
        <w:rPr>
          <w:rFonts w:cs="Times New Roman"/>
          <w:szCs w:val="24"/>
        </w:rPr>
        <w:t>additional amount</w:t>
      </w:r>
      <w:r w:rsidRPr="00BF6B72" w:rsidR="008D088A">
        <w:rPr>
          <w:rFonts w:cs="Times New Roman"/>
          <w:szCs w:val="24"/>
        </w:rPr>
        <w:t>s</w:t>
      </w:r>
      <w:r w:rsidRPr="00BF6B72">
        <w:rPr>
          <w:rFonts w:cs="Times New Roman"/>
          <w:szCs w:val="24"/>
        </w:rPr>
        <w:t xml:space="preserve"> in the past, they were much smaller</w:t>
      </w:r>
      <w:r w:rsidRPr="00BF6B72" w:rsidR="008D088A">
        <w:rPr>
          <w:rFonts w:cs="Times New Roman"/>
          <w:szCs w:val="24"/>
        </w:rPr>
        <w:t xml:space="preserve"> than here</w:t>
      </w:r>
      <w:r w:rsidRPr="00BF6B72">
        <w:rPr>
          <w:rFonts w:cs="Times New Roman"/>
          <w:szCs w:val="24"/>
        </w:rPr>
        <w:t>.</w:t>
      </w:r>
      <w:r>
        <w:rPr>
          <w:rStyle w:val="FootnoteReference"/>
          <w:rFonts w:cs="Times New Roman"/>
          <w:szCs w:val="24"/>
        </w:rPr>
        <w:footnoteReference w:id="4"/>
      </w:r>
      <w:r w:rsidRPr="00BF6B72">
        <w:rPr>
          <w:rFonts w:cs="Times New Roman"/>
          <w:szCs w:val="24"/>
        </w:rPr>
        <w:t xml:space="preserve"> In this </w:t>
      </w:r>
      <w:r w:rsidR="005272D1">
        <w:rPr>
          <w:rFonts w:cs="Times New Roman"/>
          <w:szCs w:val="24"/>
        </w:rPr>
        <w:t>A</w:t>
      </w:r>
      <w:r w:rsidRPr="00BF6B72">
        <w:rPr>
          <w:rFonts w:cs="Times New Roman"/>
          <w:szCs w:val="24"/>
        </w:rPr>
        <w:t xml:space="preserve">pplication, AEP is </w:t>
      </w:r>
      <w:r w:rsidR="00362905">
        <w:rPr>
          <w:rFonts w:cs="Times New Roman"/>
          <w:szCs w:val="24"/>
        </w:rPr>
        <w:t>seeking</w:t>
      </w:r>
      <w:r w:rsidRPr="00BF6B72" w:rsidR="00362905">
        <w:rPr>
          <w:rFonts w:cs="Times New Roman"/>
          <w:szCs w:val="24"/>
        </w:rPr>
        <w:t xml:space="preserve"> </w:t>
      </w:r>
      <w:r w:rsidRPr="00BF6B72">
        <w:rPr>
          <w:rFonts w:cs="Times New Roman"/>
          <w:szCs w:val="24"/>
        </w:rPr>
        <w:t xml:space="preserve">to </w:t>
      </w:r>
      <w:r w:rsidR="009749C1">
        <w:rPr>
          <w:rFonts w:cs="Times New Roman"/>
          <w:szCs w:val="24"/>
        </w:rPr>
        <w:t>collect from</w:t>
      </w:r>
      <w:r w:rsidR="0063303C">
        <w:rPr>
          <w:rFonts w:cs="Times New Roman"/>
          <w:szCs w:val="24"/>
        </w:rPr>
        <w:t xml:space="preserve"> </w:t>
      </w:r>
      <w:r w:rsidR="009749C1">
        <w:rPr>
          <w:rFonts w:cs="Times New Roman"/>
          <w:szCs w:val="24"/>
        </w:rPr>
        <w:t>customers</w:t>
      </w:r>
      <w:r w:rsidRPr="00BF6B72" w:rsidR="009749C1">
        <w:rPr>
          <w:rFonts w:cs="Times New Roman"/>
          <w:szCs w:val="24"/>
        </w:rPr>
        <w:t xml:space="preserve"> </w:t>
      </w:r>
      <w:r w:rsidRPr="00BF6B72">
        <w:rPr>
          <w:rFonts w:cs="Times New Roman"/>
          <w:i/>
          <w:iCs/>
          <w:szCs w:val="24"/>
        </w:rPr>
        <w:t>substantial</w:t>
      </w:r>
      <w:r w:rsidRPr="00BF6B72">
        <w:rPr>
          <w:rFonts w:cs="Times New Roman"/>
          <w:szCs w:val="24"/>
        </w:rPr>
        <w:t xml:space="preserve"> overspending </w:t>
      </w:r>
      <w:r w:rsidRPr="00BF6B72" w:rsidR="006639AB">
        <w:rPr>
          <w:rFonts w:cs="Times New Roman"/>
          <w:szCs w:val="24"/>
        </w:rPr>
        <w:t xml:space="preserve">for </w:t>
      </w:r>
      <w:r w:rsidRPr="00BF6B72">
        <w:rPr>
          <w:rFonts w:cs="Times New Roman"/>
          <w:szCs w:val="24"/>
        </w:rPr>
        <w:t xml:space="preserve">its tree-trimming, while consumers are </w:t>
      </w:r>
      <w:r w:rsidR="00362905">
        <w:rPr>
          <w:rFonts w:cs="Times New Roman"/>
          <w:szCs w:val="24"/>
        </w:rPr>
        <w:t xml:space="preserve">at the same time </w:t>
      </w:r>
      <w:r w:rsidRPr="00BF6B72">
        <w:rPr>
          <w:rFonts w:cs="Times New Roman"/>
          <w:szCs w:val="24"/>
        </w:rPr>
        <w:t>experiencing less reliability.</w:t>
      </w:r>
      <w:r>
        <w:rPr>
          <w:rStyle w:val="FootnoteReference"/>
          <w:rFonts w:cs="Times New Roman"/>
          <w:szCs w:val="24"/>
        </w:rPr>
        <w:footnoteReference w:id="5"/>
      </w:r>
      <w:r w:rsidRPr="00BF6B72">
        <w:rPr>
          <w:rFonts w:cs="Times New Roman"/>
          <w:szCs w:val="24"/>
        </w:rPr>
        <w:t xml:space="preserve"> AEP should not be permitted to charge consumers additional money </w:t>
      </w:r>
      <w:r w:rsidR="009749C1">
        <w:rPr>
          <w:rFonts w:cs="Times New Roman"/>
          <w:szCs w:val="24"/>
        </w:rPr>
        <w:t xml:space="preserve">in excess of the cap </w:t>
      </w:r>
      <w:r w:rsidRPr="00BF6B72">
        <w:rPr>
          <w:rFonts w:cs="Times New Roman"/>
          <w:szCs w:val="24"/>
        </w:rPr>
        <w:t xml:space="preserve">for its ineffective and </w:t>
      </w:r>
      <w:r w:rsidRPr="00BF6B72" w:rsidR="006639AB">
        <w:rPr>
          <w:rFonts w:cs="Times New Roman"/>
          <w:szCs w:val="24"/>
        </w:rPr>
        <w:t xml:space="preserve">excessive </w:t>
      </w:r>
      <w:r w:rsidRPr="00BF6B72">
        <w:rPr>
          <w:rFonts w:cs="Times New Roman"/>
          <w:szCs w:val="24"/>
        </w:rPr>
        <w:t xml:space="preserve">spending. </w:t>
      </w:r>
      <w:r w:rsidRPr="00BF6B72" w:rsidR="00FB1CC4">
        <w:rPr>
          <w:rFonts w:cs="Times New Roman"/>
          <w:szCs w:val="24"/>
        </w:rPr>
        <w:t xml:space="preserve">Accordingly, the PUCO should deny AEP’s Application as filed because its spending </w:t>
      </w:r>
      <w:r w:rsidR="009749C1">
        <w:rPr>
          <w:rFonts w:cs="Times New Roman"/>
          <w:szCs w:val="24"/>
        </w:rPr>
        <w:t xml:space="preserve">was </w:t>
      </w:r>
      <w:r w:rsidRPr="00BF6B72" w:rsidR="00FB1CC4">
        <w:rPr>
          <w:rFonts w:cs="Times New Roman"/>
          <w:szCs w:val="24"/>
        </w:rPr>
        <w:t>above the cap set by the PUCO in its February 25, 201</w:t>
      </w:r>
      <w:r w:rsidRPr="00BF6B72" w:rsidR="003D7450">
        <w:rPr>
          <w:rFonts w:cs="Times New Roman"/>
          <w:szCs w:val="24"/>
        </w:rPr>
        <w:t>5</w:t>
      </w:r>
      <w:r w:rsidRPr="00BF6B72" w:rsidR="00FB1CC4">
        <w:rPr>
          <w:rFonts w:cs="Times New Roman"/>
          <w:szCs w:val="24"/>
        </w:rPr>
        <w:t xml:space="preserve"> Opinion and Order.</w:t>
      </w:r>
      <w:r>
        <w:rPr>
          <w:rStyle w:val="FootnoteReference"/>
          <w:rFonts w:cs="Times New Roman"/>
          <w:szCs w:val="24"/>
        </w:rPr>
        <w:footnoteReference w:id="6"/>
      </w:r>
    </w:p>
    <w:p w:rsidR="009971CF" w:rsidRPr="00BF6B72" w:rsidP="009971CF">
      <w:pPr>
        <w:spacing w:after="0" w:line="240" w:lineRule="auto"/>
        <w:ind w:firstLine="720"/>
        <w:rPr>
          <w:rFonts w:cs="Times New Roman"/>
          <w:szCs w:val="24"/>
        </w:rPr>
      </w:pPr>
    </w:p>
    <w:p w:rsidR="00486724" w:rsidRPr="00BF6B72" w:rsidP="007E6A06">
      <w:pPr>
        <w:pStyle w:val="Heading1"/>
      </w:pPr>
      <w:bookmarkStart w:id="2" w:name="_Toc12969642"/>
      <w:r w:rsidRPr="00BF6B72">
        <w:t>RECOMMENDATIONS</w:t>
      </w:r>
      <w:bookmarkStart w:id="3" w:name="_Toc12969643"/>
      <w:bookmarkEnd w:id="2"/>
      <w:r w:rsidR="0034046D">
        <w:tab/>
      </w:r>
      <w:bookmarkEnd w:id="3"/>
    </w:p>
    <w:p w:rsidR="007C55E4" w:rsidRPr="00BF6B72" w:rsidP="009971CF">
      <w:pPr>
        <w:pStyle w:val="Heading2"/>
      </w:pPr>
      <w:bookmarkStart w:id="4" w:name="_Toc12969644"/>
      <w:r>
        <w:t>A</w:t>
      </w:r>
      <w:r w:rsidR="0034046D">
        <w:t>.</w:t>
      </w:r>
      <w:r w:rsidR="009971CF">
        <w:tab/>
      </w:r>
      <w:r w:rsidRPr="00BF6B72" w:rsidR="008D40BF">
        <w:t>Consumer protection requires that t</w:t>
      </w:r>
      <w:r w:rsidRPr="00BF6B72">
        <w:t xml:space="preserve">he PUCO </w:t>
      </w:r>
      <w:r w:rsidRPr="00BF6B72" w:rsidR="004C27E0">
        <w:t xml:space="preserve">find that it </w:t>
      </w:r>
      <w:r w:rsidRPr="00BF6B72">
        <w:rPr>
          <w:i/>
          <w:iCs/>
        </w:rPr>
        <w:t>did</w:t>
      </w:r>
      <w:r w:rsidRPr="00BF6B72">
        <w:t xml:space="preserve"> set a cap in its February 25, 2015 ESP III Order</w:t>
      </w:r>
      <w:r w:rsidRPr="00BF6B72" w:rsidR="00D42883">
        <w:t xml:space="preserve"> and </w:t>
      </w:r>
      <w:r w:rsidRPr="00BF6B72" w:rsidR="004C27E0">
        <w:t xml:space="preserve">that </w:t>
      </w:r>
      <w:r w:rsidRPr="00BF6B72" w:rsidR="00D42883">
        <w:t xml:space="preserve">AEP </w:t>
      </w:r>
      <w:r w:rsidRPr="00BF6B72" w:rsidR="00D42883">
        <w:rPr>
          <w:i/>
          <w:iCs/>
        </w:rPr>
        <w:t>did</w:t>
      </w:r>
      <w:r w:rsidRPr="00BF6B72" w:rsidR="00D42883">
        <w:t xml:space="preserve"> exceed this cap</w:t>
      </w:r>
      <w:r w:rsidRPr="00BF6B72" w:rsidR="00FB211E">
        <w:t xml:space="preserve"> by over $3</w:t>
      </w:r>
      <w:r w:rsidRPr="00BF6B72" w:rsidR="00FB1CC4">
        <w:t>.4</w:t>
      </w:r>
      <w:r w:rsidRPr="00BF6B72" w:rsidR="00FB211E">
        <w:t xml:space="preserve"> million</w:t>
      </w:r>
      <w:r w:rsidRPr="00BF6B72">
        <w:t>.</w:t>
      </w:r>
      <w:bookmarkEnd w:id="4"/>
    </w:p>
    <w:p w:rsidR="007C55E4" w:rsidRPr="00BF6B72" w:rsidP="00F469B9">
      <w:pPr>
        <w:autoSpaceDE w:val="0"/>
        <w:autoSpaceDN w:val="0"/>
        <w:adjustRightInd w:val="0"/>
        <w:spacing w:after="0" w:line="480" w:lineRule="auto"/>
        <w:ind w:firstLine="720"/>
        <w:rPr>
          <w:rFonts w:cs="Times New Roman"/>
          <w:szCs w:val="24"/>
        </w:rPr>
      </w:pPr>
      <w:r>
        <w:rPr>
          <w:rFonts w:cs="Times New Roman"/>
          <w:szCs w:val="24"/>
        </w:rPr>
        <w:t>The PUCO placed an important consumer protection between AEP’s tree-trimming costs and collecting those costs from customers – a cap on the amount of AEP’s spending and, thus, a limit on the amount of money that it could collect from consumers.</w:t>
      </w:r>
      <w:r>
        <w:rPr>
          <w:rStyle w:val="FootnoteReference"/>
          <w:rFonts w:cs="Times New Roman"/>
          <w:szCs w:val="24"/>
        </w:rPr>
        <w:footnoteReference w:id="7"/>
      </w:r>
      <w:r>
        <w:rPr>
          <w:rFonts w:cs="Times New Roman"/>
          <w:szCs w:val="24"/>
        </w:rPr>
        <w:t xml:space="preserve">  Without the cap, the PUCO was concerned that AEP would be given a “blank check.”</w:t>
      </w:r>
      <w:r>
        <w:rPr>
          <w:rStyle w:val="FootnoteReference"/>
          <w:rFonts w:cs="Times New Roman"/>
          <w:szCs w:val="24"/>
        </w:rPr>
        <w:footnoteReference w:id="8"/>
      </w:r>
      <w:r>
        <w:rPr>
          <w:rFonts w:cs="Times New Roman"/>
          <w:szCs w:val="24"/>
        </w:rPr>
        <w:t xml:space="preserve">  </w:t>
      </w:r>
      <w:r>
        <w:rPr>
          <w:rFonts w:cs="Times New Roman"/>
          <w:szCs w:val="24"/>
        </w:rPr>
        <w:t xml:space="preserve">Because the PUCO did not intend for AEP to have a blank check, it capped the spending under the tree-trimming rider. The cap should be enforced here.  </w:t>
      </w:r>
      <w:r w:rsidRPr="00BF6B72">
        <w:t xml:space="preserve">The PUCO should not approve AEP’s </w:t>
      </w:r>
      <w:r>
        <w:t>A</w:t>
      </w:r>
      <w:r w:rsidRPr="00BF6B72">
        <w:t>pplication as filed because its spending was above the cap set by the PUCO.</w:t>
      </w:r>
      <w:r>
        <w:rPr>
          <w:rStyle w:val="FootnoteReference"/>
        </w:rPr>
        <w:footnoteReference w:id="9"/>
      </w:r>
      <w:r w:rsidRPr="00BF6B72">
        <w:t xml:space="preserve"> </w:t>
      </w:r>
      <w:r w:rsidRPr="009749C1">
        <w:t xml:space="preserve"> </w:t>
      </w:r>
      <w:r w:rsidRPr="00BF6B72">
        <w:rPr>
          <w:rFonts w:cs="Times New Roman"/>
          <w:szCs w:val="24"/>
        </w:rPr>
        <w:t xml:space="preserve">The PUCO specifically said in ESP III that “recovery will be </w:t>
      </w:r>
      <w:r w:rsidRPr="00BF6B72">
        <w:rPr>
          <w:rFonts w:cs="Times New Roman"/>
          <w:i/>
          <w:iCs/>
          <w:szCs w:val="24"/>
        </w:rPr>
        <w:t>limited</w:t>
      </w:r>
      <w:r w:rsidRPr="00BF6B72">
        <w:rPr>
          <w:rFonts w:cs="Times New Roman"/>
          <w:szCs w:val="24"/>
        </w:rPr>
        <w:t xml:space="preserve"> to $27.6 million annually</w:t>
      </w:r>
      <w:r w:rsidR="00F469B9">
        <w:rPr>
          <w:rFonts w:cs="Times New Roman"/>
          <w:szCs w:val="24"/>
        </w:rPr>
        <w:t xml:space="preserve"> .</w:t>
      </w:r>
      <w:r w:rsidRPr="00BF6B72">
        <w:rPr>
          <w:rFonts w:cs="Times New Roman"/>
          <w:szCs w:val="24"/>
        </w:rPr>
        <w:t>…”</w:t>
      </w:r>
      <w:r>
        <w:rPr>
          <w:rStyle w:val="FootnoteReference"/>
          <w:rFonts w:cs="Times New Roman"/>
          <w:szCs w:val="24"/>
        </w:rPr>
        <w:footnoteReference w:id="10"/>
      </w:r>
      <w:r w:rsidRPr="00BF6B72">
        <w:rPr>
          <w:rFonts w:cs="Times New Roman"/>
          <w:szCs w:val="24"/>
        </w:rPr>
        <w:t xml:space="preserve"> AEP’s exceeding the cap by more than $3.4 million is not appropriate.</w:t>
      </w:r>
      <w:r>
        <w:t xml:space="preserve">  </w:t>
      </w:r>
      <w:r w:rsidRPr="00BF6B72">
        <w:rPr>
          <w:rFonts w:cs="Times New Roman"/>
          <w:szCs w:val="24"/>
        </w:rPr>
        <w:t xml:space="preserve"> </w:t>
      </w:r>
      <w:r w:rsidR="0096109D">
        <w:rPr>
          <w:rFonts w:cs="Times New Roman"/>
          <w:szCs w:val="24"/>
        </w:rPr>
        <w:t xml:space="preserve"> </w:t>
      </w:r>
    </w:p>
    <w:p w:rsidR="00A250D4" w:rsidRPr="00BF6B72" w:rsidP="005272D1">
      <w:pPr>
        <w:autoSpaceDE w:val="0"/>
        <w:autoSpaceDN w:val="0"/>
        <w:adjustRightInd w:val="0"/>
        <w:spacing w:after="0" w:line="480" w:lineRule="auto"/>
        <w:ind w:firstLine="720"/>
        <w:rPr>
          <w:rFonts w:cs="Times New Roman"/>
          <w:szCs w:val="24"/>
        </w:rPr>
      </w:pPr>
      <w:r w:rsidRPr="00BF6B72">
        <w:rPr>
          <w:rFonts w:cs="Times New Roman"/>
          <w:szCs w:val="24"/>
        </w:rPr>
        <w:t>AEP does not argue in its brief that it exceeded the spending cap.</w:t>
      </w:r>
      <w:r w:rsidRPr="00BF6B72" w:rsidR="00A12871">
        <w:rPr>
          <w:rFonts w:cs="Times New Roman"/>
          <w:szCs w:val="24"/>
        </w:rPr>
        <w:t xml:space="preserve"> </w:t>
      </w:r>
      <w:r w:rsidRPr="00BF6B72">
        <w:rPr>
          <w:rFonts w:cs="Times New Roman"/>
          <w:szCs w:val="24"/>
        </w:rPr>
        <w:t>It argues that there is no cap.</w:t>
      </w:r>
      <w:r>
        <w:rPr>
          <w:rStyle w:val="FootnoteReference"/>
          <w:rFonts w:cs="Times New Roman"/>
          <w:szCs w:val="24"/>
        </w:rPr>
        <w:footnoteReference w:id="11"/>
      </w:r>
      <w:r w:rsidRPr="00BF6B72">
        <w:rPr>
          <w:rFonts w:cs="Times New Roman"/>
          <w:szCs w:val="24"/>
        </w:rPr>
        <w:t xml:space="preserve"> AEP is wrong.  </w:t>
      </w:r>
      <w:r w:rsidRPr="00BF6B72" w:rsidR="00C862F8">
        <w:rPr>
          <w:rFonts w:cs="Times New Roman"/>
          <w:szCs w:val="24"/>
        </w:rPr>
        <w:t xml:space="preserve">When </w:t>
      </w:r>
      <w:r w:rsidRPr="00BF6B72">
        <w:rPr>
          <w:rFonts w:cs="Times New Roman"/>
          <w:szCs w:val="24"/>
        </w:rPr>
        <w:t xml:space="preserve">describing </w:t>
      </w:r>
      <w:r w:rsidRPr="00BF6B72" w:rsidR="00C862F8">
        <w:rPr>
          <w:rFonts w:cs="Times New Roman"/>
          <w:szCs w:val="24"/>
        </w:rPr>
        <w:t xml:space="preserve">the elements of PUCO Staff’s annual review in its testimony, AEP </w:t>
      </w:r>
      <w:r w:rsidRPr="00BF6B72">
        <w:rPr>
          <w:rFonts w:cs="Times New Roman"/>
          <w:szCs w:val="24"/>
        </w:rPr>
        <w:t>leaves</w:t>
      </w:r>
      <w:r w:rsidRPr="00BF6B72" w:rsidR="00C862F8">
        <w:rPr>
          <w:rFonts w:cs="Times New Roman"/>
          <w:szCs w:val="24"/>
        </w:rPr>
        <w:t xml:space="preserve"> out the most important </w:t>
      </w:r>
      <w:r w:rsidRPr="00BF6B72">
        <w:rPr>
          <w:rFonts w:cs="Times New Roman"/>
          <w:szCs w:val="24"/>
        </w:rPr>
        <w:t>part – c</w:t>
      </w:r>
      <w:r w:rsidRPr="00BF6B72" w:rsidR="00C862F8">
        <w:rPr>
          <w:rFonts w:cs="Times New Roman"/>
          <w:szCs w:val="24"/>
        </w:rPr>
        <w:t>onsistency with the PUCO’s ESP III Order.</w:t>
      </w:r>
      <w:r>
        <w:rPr>
          <w:rStyle w:val="FootnoteReference"/>
          <w:rFonts w:cs="Times New Roman"/>
          <w:szCs w:val="24"/>
        </w:rPr>
        <w:footnoteReference w:id="12"/>
      </w:r>
      <w:r w:rsidRPr="00BF6B72" w:rsidR="00C862F8">
        <w:rPr>
          <w:rFonts w:cs="Times New Roman"/>
          <w:szCs w:val="24"/>
        </w:rPr>
        <w:t xml:space="preserve"> AEP </w:t>
      </w:r>
      <w:r w:rsidRPr="00BF6B72">
        <w:rPr>
          <w:rFonts w:cs="Times New Roman"/>
          <w:szCs w:val="24"/>
        </w:rPr>
        <w:t xml:space="preserve">leaves </w:t>
      </w:r>
      <w:r w:rsidRPr="00BF6B72" w:rsidR="00C862F8">
        <w:rPr>
          <w:rFonts w:cs="Times New Roman"/>
          <w:szCs w:val="24"/>
        </w:rPr>
        <w:t>out the spending cap</w:t>
      </w:r>
      <w:r w:rsidR="003822BA">
        <w:rPr>
          <w:rFonts w:cs="Times New Roman"/>
          <w:szCs w:val="24"/>
        </w:rPr>
        <w:t xml:space="preserve"> established to protect consumers</w:t>
      </w:r>
      <w:r w:rsidRPr="00BF6B72" w:rsidR="00C862F8">
        <w:rPr>
          <w:rFonts w:cs="Times New Roman"/>
          <w:szCs w:val="24"/>
        </w:rPr>
        <w:t xml:space="preserve"> set by the PUCO.</w:t>
      </w:r>
      <w:r>
        <w:rPr>
          <w:rStyle w:val="FootnoteReference"/>
          <w:rFonts w:cs="Times New Roman"/>
          <w:szCs w:val="24"/>
        </w:rPr>
        <w:footnoteReference w:id="13"/>
      </w:r>
      <w:r w:rsidRPr="00BF6B72" w:rsidR="00C862F8">
        <w:rPr>
          <w:rFonts w:cs="Times New Roman"/>
          <w:szCs w:val="24"/>
        </w:rPr>
        <w:t xml:space="preserve"> </w:t>
      </w:r>
      <w:r w:rsidRPr="00BF6B72">
        <w:rPr>
          <w:rFonts w:cs="Times New Roman"/>
          <w:szCs w:val="24"/>
        </w:rPr>
        <w:t xml:space="preserve">It </w:t>
      </w:r>
      <w:r w:rsidRPr="00BF6B72" w:rsidR="005C0D3C">
        <w:rPr>
          <w:rFonts w:cs="Times New Roman"/>
          <w:szCs w:val="24"/>
        </w:rPr>
        <w:t xml:space="preserve">completely </w:t>
      </w:r>
      <w:r w:rsidRPr="00BF6B72">
        <w:rPr>
          <w:rFonts w:cs="Times New Roman"/>
          <w:szCs w:val="24"/>
        </w:rPr>
        <w:t xml:space="preserve">ignores </w:t>
      </w:r>
      <w:r w:rsidRPr="00BF6B72" w:rsidR="00984A41">
        <w:rPr>
          <w:rFonts w:cs="Times New Roman"/>
          <w:szCs w:val="24"/>
        </w:rPr>
        <w:t xml:space="preserve">the </w:t>
      </w:r>
      <w:r w:rsidRPr="00BF6B72" w:rsidR="005C0D3C">
        <w:rPr>
          <w:rFonts w:cs="Times New Roman"/>
          <w:szCs w:val="24"/>
        </w:rPr>
        <w:t>fact</w:t>
      </w:r>
      <w:r w:rsidRPr="00BF6B72" w:rsidR="00984A41">
        <w:rPr>
          <w:rFonts w:cs="Times New Roman"/>
          <w:szCs w:val="24"/>
        </w:rPr>
        <w:t xml:space="preserve"> that the PUCO set a cap on its spending.</w:t>
      </w:r>
      <w:r>
        <w:rPr>
          <w:rStyle w:val="FootnoteReference"/>
          <w:rFonts w:cs="Times New Roman"/>
          <w:szCs w:val="24"/>
        </w:rPr>
        <w:footnoteReference w:id="14"/>
      </w:r>
      <w:r w:rsidRPr="00BF6B72" w:rsidR="00890676">
        <w:rPr>
          <w:rFonts w:cs="Times New Roman"/>
          <w:szCs w:val="24"/>
        </w:rPr>
        <w:t xml:space="preserve"> </w:t>
      </w:r>
      <w:r w:rsidR="005272D1">
        <w:rPr>
          <w:rFonts w:cs="Times New Roman"/>
          <w:szCs w:val="24"/>
        </w:rPr>
        <w:t>T</w:t>
      </w:r>
      <w:r w:rsidRPr="00BF6B72" w:rsidR="00F1709B">
        <w:rPr>
          <w:rFonts w:cs="Times New Roman"/>
          <w:szCs w:val="24"/>
        </w:rPr>
        <w:t xml:space="preserve">he PUCO approved AEP’s </w:t>
      </w:r>
      <w:r w:rsidRPr="00BF6B72">
        <w:rPr>
          <w:rFonts w:cs="Times New Roman"/>
          <w:szCs w:val="24"/>
        </w:rPr>
        <w:t>tree-trimming rider</w:t>
      </w:r>
      <w:r w:rsidRPr="00BF6B72" w:rsidR="00F1709B">
        <w:rPr>
          <w:rFonts w:cs="Times New Roman"/>
          <w:szCs w:val="24"/>
        </w:rPr>
        <w:t xml:space="preserve"> at </w:t>
      </w:r>
      <w:r w:rsidRPr="00BF6B72" w:rsidR="00890676">
        <w:rPr>
          <w:rFonts w:cs="Times New Roman"/>
          <w:szCs w:val="24"/>
        </w:rPr>
        <w:t>specified</w:t>
      </w:r>
      <w:r w:rsidRPr="00BF6B72" w:rsidR="00F1709B">
        <w:rPr>
          <w:rFonts w:cs="Times New Roman"/>
          <w:szCs w:val="24"/>
        </w:rPr>
        <w:t xml:space="preserve"> amounts for each year of the </w:t>
      </w:r>
      <w:r w:rsidRPr="00BF6B72">
        <w:rPr>
          <w:rFonts w:cs="Times New Roman"/>
          <w:szCs w:val="24"/>
        </w:rPr>
        <w:t>rider</w:t>
      </w:r>
      <w:r w:rsidR="003822BA">
        <w:rPr>
          <w:rFonts w:cs="Times New Roman"/>
          <w:szCs w:val="24"/>
        </w:rPr>
        <w:t xml:space="preserve"> to protect consumers</w:t>
      </w:r>
      <w:r w:rsidRPr="00BF6B72" w:rsidR="00F1709B">
        <w:rPr>
          <w:rFonts w:cs="Times New Roman"/>
          <w:szCs w:val="24"/>
        </w:rPr>
        <w:t>.</w:t>
      </w:r>
      <w:r>
        <w:rPr>
          <w:rStyle w:val="FootnoteReference"/>
          <w:rFonts w:cs="Times New Roman"/>
          <w:szCs w:val="24"/>
        </w:rPr>
        <w:footnoteReference w:id="15"/>
      </w:r>
      <w:r w:rsidRPr="00BF6B72" w:rsidR="00F1709B">
        <w:rPr>
          <w:rFonts w:cs="Times New Roman"/>
          <w:szCs w:val="24"/>
        </w:rPr>
        <w:t xml:space="preserve"> </w:t>
      </w:r>
      <w:r w:rsidRPr="00BF6B72">
        <w:rPr>
          <w:rFonts w:cs="Times New Roman"/>
          <w:szCs w:val="24"/>
        </w:rPr>
        <w:t>Further</w:t>
      </w:r>
      <w:r w:rsidRPr="00BF6B72" w:rsidR="004948A1">
        <w:rPr>
          <w:rFonts w:cs="Times New Roman"/>
          <w:szCs w:val="24"/>
        </w:rPr>
        <w:t xml:space="preserve">, </w:t>
      </w:r>
      <w:r w:rsidRPr="00BF6B72" w:rsidR="00C9609E">
        <w:rPr>
          <w:rFonts w:cs="Times New Roman"/>
          <w:szCs w:val="24"/>
        </w:rPr>
        <w:t xml:space="preserve">and </w:t>
      </w:r>
      <w:r w:rsidRPr="00BF6B72" w:rsidR="004948A1">
        <w:rPr>
          <w:rFonts w:cs="Times New Roman"/>
          <w:szCs w:val="24"/>
        </w:rPr>
        <w:t xml:space="preserve">as PUCO Staff </w:t>
      </w:r>
      <w:r w:rsidRPr="00BF6B72" w:rsidR="00C05313">
        <w:rPr>
          <w:rFonts w:cs="Times New Roman"/>
          <w:szCs w:val="24"/>
        </w:rPr>
        <w:t xml:space="preserve">confirmed in its </w:t>
      </w:r>
      <w:r w:rsidRPr="00BF6B72">
        <w:rPr>
          <w:rFonts w:cs="Times New Roman"/>
          <w:szCs w:val="24"/>
        </w:rPr>
        <w:t>brief</w:t>
      </w:r>
      <w:r w:rsidRPr="00BF6B72" w:rsidR="00C05313">
        <w:rPr>
          <w:rFonts w:cs="Times New Roman"/>
          <w:szCs w:val="24"/>
        </w:rPr>
        <w:t>, t</w:t>
      </w:r>
      <w:r w:rsidRPr="00BF6B72" w:rsidR="00C9609E">
        <w:rPr>
          <w:rFonts w:cs="Times New Roman"/>
          <w:szCs w:val="24"/>
        </w:rPr>
        <w:t xml:space="preserve">hroughout the </w:t>
      </w:r>
      <w:r w:rsidRPr="00BF6B72" w:rsidR="006A421A">
        <w:rPr>
          <w:rFonts w:cs="Times New Roman"/>
          <w:szCs w:val="24"/>
        </w:rPr>
        <w:t xml:space="preserve">history of AEP’s ESP cases, the PUCO has made it clear that the approved </w:t>
      </w:r>
      <w:r w:rsidRPr="00BF6B72">
        <w:rPr>
          <w:rFonts w:cs="Times New Roman"/>
          <w:szCs w:val="24"/>
        </w:rPr>
        <w:t xml:space="preserve">tree-trimming rider </w:t>
      </w:r>
      <w:r w:rsidRPr="00BF6B72" w:rsidR="006A421A">
        <w:rPr>
          <w:rFonts w:cs="Times New Roman"/>
          <w:szCs w:val="24"/>
        </w:rPr>
        <w:t>amounts were a cap</w:t>
      </w:r>
      <w:r w:rsidR="003822BA">
        <w:rPr>
          <w:rFonts w:cs="Times New Roman"/>
          <w:szCs w:val="24"/>
        </w:rPr>
        <w:t xml:space="preserve"> to protect consumers</w:t>
      </w:r>
      <w:r w:rsidRPr="00BF6B72">
        <w:rPr>
          <w:rFonts w:cs="Times New Roman"/>
          <w:szCs w:val="24"/>
        </w:rPr>
        <w:t>.</w:t>
      </w:r>
      <w:r w:rsidRPr="00BF6B72" w:rsidR="004C749F">
        <w:rPr>
          <w:rFonts w:cs="Times New Roman"/>
          <w:szCs w:val="24"/>
        </w:rPr>
        <w:t xml:space="preserve"> AEP was expected to work with </w:t>
      </w:r>
      <w:r w:rsidRPr="00BF6B72">
        <w:rPr>
          <w:rFonts w:cs="Times New Roman"/>
          <w:szCs w:val="24"/>
        </w:rPr>
        <w:t xml:space="preserve">PUCO </w:t>
      </w:r>
      <w:r w:rsidRPr="00BF6B72" w:rsidR="004C749F">
        <w:rPr>
          <w:rFonts w:cs="Times New Roman"/>
          <w:szCs w:val="24"/>
        </w:rPr>
        <w:t xml:space="preserve">Staff to confirm the spending that will define the costs to be included in the </w:t>
      </w:r>
      <w:r w:rsidRPr="00BF6B72">
        <w:rPr>
          <w:rFonts w:cs="Times New Roman"/>
          <w:szCs w:val="24"/>
        </w:rPr>
        <w:t>tree-trimming rider</w:t>
      </w:r>
      <w:r w:rsidRPr="00BF6B72" w:rsidR="006A421A">
        <w:rPr>
          <w:rFonts w:cs="Times New Roman"/>
          <w:szCs w:val="24"/>
        </w:rPr>
        <w:t>.</w:t>
      </w:r>
      <w:r>
        <w:rPr>
          <w:rStyle w:val="FootnoteReference"/>
          <w:rFonts w:cs="Times New Roman"/>
          <w:szCs w:val="24"/>
        </w:rPr>
        <w:footnoteReference w:id="16"/>
      </w:r>
      <w:r w:rsidRPr="00BF6B72" w:rsidR="006A421A">
        <w:rPr>
          <w:rFonts w:cs="Times New Roman"/>
          <w:szCs w:val="24"/>
        </w:rPr>
        <w:t xml:space="preserve"> </w:t>
      </w:r>
    </w:p>
    <w:p w:rsidR="007411E5" w:rsidRPr="00BF6B72" w:rsidP="007411E5">
      <w:pPr>
        <w:autoSpaceDE w:val="0"/>
        <w:autoSpaceDN w:val="0"/>
        <w:adjustRightInd w:val="0"/>
        <w:spacing w:after="0" w:line="480" w:lineRule="auto"/>
        <w:ind w:firstLine="720"/>
        <w:rPr>
          <w:rFonts w:cs="Times New Roman"/>
          <w:szCs w:val="24"/>
        </w:rPr>
      </w:pPr>
      <w:r w:rsidRPr="00BF6B72">
        <w:rPr>
          <w:rFonts w:cs="Times New Roman"/>
          <w:szCs w:val="24"/>
        </w:rPr>
        <w:t>Instead</w:t>
      </w:r>
      <w:r w:rsidRPr="00BF6B72" w:rsidR="00A250D4">
        <w:rPr>
          <w:rFonts w:cs="Times New Roman"/>
          <w:szCs w:val="24"/>
        </w:rPr>
        <w:t xml:space="preserve"> of a </w:t>
      </w:r>
      <w:r w:rsidR="00623681">
        <w:rPr>
          <w:rFonts w:cs="Times New Roman"/>
          <w:szCs w:val="24"/>
        </w:rPr>
        <w:t xml:space="preserve">spending </w:t>
      </w:r>
      <w:r w:rsidRPr="00BF6B72" w:rsidR="00A250D4">
        <w:rPr>
          <w:rFonts w:cs="Times New Roman"/>
          <w:szCs w:val="24"/>
        </w:rPr>
        <w:t>cap</w:t>
      </w:r>
      <w:r w:rsidRPr="00BF6B72">
        <w:rPr>
          <w:rFonts w:cs="Times New Roman"/>
          <w:szCs w:val="24"/>
        </w:rPr>
        <w:t>, AEP argues</w:t>
      </w:r>
      <w:r w:rsidRPr="00BF6B72" w:rsidR="00A250D4">
        <w:rPr>
          <w:rFonts w:cs="Times New Roman"/>
          <w:szCs w:val="24"/>
        </w:rPr>
        <w:t xml:space="preserve"> that</w:t>
      </w:r>
      <w:r w:rsidRPr="00BF6B72">
        <w:rPr>
          <w:rFonts w:cs="Times New Roman"/>
          <w:szCs w:val="24"/>
        </w:rPr>
        <w:t xml:space="preserve"> the PUCO merely agreed with AEP’s cost </w:t>
      </w:r>
      <w:r w:rsidRPr="00BF6B72">
        <w:rPr>
          <w:rFonts w:cs="Times New Roman"/>
          <w:i/>
          <w:iCs/>
          <w:szCs w:val="24"/>
        </w:rPr>
        <w:t>forecast.</w:t>
      </w:r>
      <w:r>
        <w:rPr>
          <w:rStyle w:val="FootnoteReference"/>
          <w:rFonts w:cs="Times New Roman"/>
          <w:szCs w:val="24"/>
        </w:rPr>
        <w:footnoteReference w:id="17"/>
      </w:r>
      <w:r w:rsidRPr="00BF6B72">
        <w:rPr>
          <w:rFonts w:cs="Times New Roman"/>
          <w:i/>
          <w:iCs/>
          <w:szCs w:val="24"/>
        </w:rPr>
        <w:t xml:space="preserve"> </w:t>
      </w:r>
      <w:r w:rsidRPr="00BF6B72" w:rsidR="008474D1">
        <w:rPr>
          <w:rFonts w:cs="Times New Roman"/>
          <w:szCs w:val="24"/>
        </w:rPr>
        <w:t>But n</w:t>
      </w:r>
      <w:r w:rsidRPr="00BF6B72" w:rsidR="005C0D3C">
        <w:rPr>
          <w:rFonts w:cs="Times New Roman"/>
          <w:szCs w:val="24"/>
        </w:rPr>
        <w:t xml:space="preserve">o matter how AEP wants to </w:t>
      </w:r>
      <w:r w:rsidRPr="00BF6B72" w:rsidR="008474D1">
        <w:rPr>
          <w:rFonts w:cs="Times New Roman"/>
          <w:szCs w:val="24"/>
        </w:rPr>
        <w:t>engage in word play</w:t>
      </w:r>
      <w:r w:rsidRPr="00BF6B72" w:rsidR="005C0D3C">
        <w:rPr>
          <w:rFonts w:cs="Times New Roman"/>
          <w:szCs w:val="24"/>
        </w:rPr>
        <w:t xml:space="preserve">, the PUCO did set a </w:t>
      </w:r>
      <w:r w:rsidR="003822BA">
        <w:rPr>
          <w:rFonts w:cs="Times New Roman"/>
          <w:szCs w:val="24"/>
        </w:rPr>
        <w:t xml:space="preserve">consumer protection </w:t>
      </w:r>
      <w:r w:rsidRPr="00BF6B72" w:rsidR="005C0D3C">
        <w:rPr>
          <w:rFonts w:cs="Times New Roman"/>
          <w:szCs w:val="24"/>
        </w:rPr>
        <w:t xml:space="preserve">cap in ESP III, </w:t>
      </w:r>
      <w:r w:rsidRPr="00BF6B72" w:rsidR="001018F6">
        <w:rPr>
          <w:rFonts w:cs="Times New Roman"/>
          <w:szCs w:val="24"/>
        </w:rPr>
        <w:t>even if it referred</w:t>
      </w:r>
      <w:r w:rsidRPr="00BF6B72">
        <w:rPr>
          <w:rFonts w:cs="Times New Roman"/>
          <w:szCs w:val="24"/>
        </w:rPr>
        <w:t xml:space="preserve"> t</w:t>
      </w:r>
      <w:r w:rsidRPr="00BF6B72" w:rsidR="001018F6">
        <w:rPr>
          <w:rFonts w:cs="Times New Roman"/>
          <w:szCs w:val="24"/>
        </w:rPr>
        <w:t>o the cap as an “appropriate amount,”</w:t>
      </w:r>
      <w:r>
        <w:rPr>
          <w:rStyle w:val="FootnoteReference"/>
          <w:rFonts w:cs="Times New Roman"/>
          <w:szCs w:val="24"/>
        </w:rPr>
        <w:footnoteReference w:id="18"/>
      </w:r>
      <w:r w:rsidRPr="00BF6B72" w:rsidR="001018F6">
        <w:rPr>
          <w:rFonts w:cs="Times New Roman"/>
          <w:szCs w:val="24"/>
        </w:rPr>
        <w:t xml:space="preserve"> </w:t>
      </w:r>
      <w:r w:rsidRPr="00BF6B72" w:rsidR="005C0D3C">
        <w:rPr>
          <w:rFonts w:cs="Times New Roman"/>
          <w:szCs w:val="24"/>
        </w:rPr>
        <w:t>as it has in ESP I</w:t>
      </w:r>
      <w:r w:rsidR="005272D1">
        <w:rPr>
          <w:rFonts w:cs="Times New Roman"/>
          <w:szCs w:val="24"/>
        </w:rPr>
        <w:t>,</w:t>
      </w:r>
      <w:r>
        <w:rPr>
          <w:rStyle w:val="FootnoteReference"/>
          <w:rFonts w:cs="Times New Roman"/>
          <w:szCs w:val="24"/>
        </w:rPr>
        <w:footnoteReference w:id="19"/>
      </w:r>
      <w:r w:rsidRPr="00BF6B72" w:rsidR="005C0D3C">
        <w:rPr>
          <w:rFonts w:cs="Times New Roman"/>
          <w:szCs w:val="24"/>
        </w:rPr>
        <w:t xml:space="preserve"> II</w:t>
      </w:r>
      <w:r w:rsidR="005272D1">
        <w:rPr>
          <w:rFonts w:cs="Times New Roman"/>
          <w:szCs w:val="24"/>
        </w:rPr>
        <w:t>,</w:t>
      </w:r>
      <w:r>
        <w:rPr>
          <w:rStyle w:val="FootnoteReference"/>
          <w:rFonts w:cs="Times New Roman"/>
          <w:szCs w:val="24"/>
        </w:rPr>
        <w:footnoteReference w:id="20"/>
      </w:r>
      <w:r w:rsidRPr="00BF6B72" w:rsidR="005C0D3C">
        <w:rPr>
          <w:rFonts w:cs="Times New Roman"/>
          <w:szCs w:val="24"/>
        </w:rPr>
        <w:t xml:space="preserve"> and </w:t>
      </w:r>
      <w:r w:rsidRPr="00BF6B72" w:rsidR="00A250D4">
        <w:rPr>
          <w:rFonts w:cs="Times New Roman"/>
          <w:szCs w:val="24"/>
        </w:rPr>
        <w:t>III</w:t>
      </w:r>
      <w:r w:rsidRPr="00BF6B72" w:rsidR="005C0D3C">
        <w:rPr>
          <w:rFonts w:cs="Times New Roman"/>
          <w:szCs w:val="24"/>
        </w:rPr>
        <w:t>.</w:t>
      </w:r>
      <w:r>
        <w:rPr>
          <w:rStyle w:val="FootnoteReference"/>
          <w:rFonts w:cs="Times New Roman"/>
          <w:szCs w:val="24"/>
        </w:rPr>
        <w:footnoteReference w:id="21"/>
      </w:r>
      <w:r w:rsidRPr="00BF6B72" w:rsidR="008474D1">
        <w:rPr>
          <w:rFonts w:cs="Times New Roman"/>
          <w:szCs w:val="24"/>
        </w:rPr>
        <w:t xml:space="preserve"> The PUCO specifically said in ESP </w:t>
      </w:r>
      <w:r w:rsidRPr="00BF6B72" w:rsidR="00A12871">
        <w:rPr>
          <w:rFonts w:cs="Times New Roman"/>
          <w:szCs w:val="24"/>
        </w:rPr>
        <w:t xml:space="preserve">III </w:t>
      </w:r>
      <w:r w:rsidRPr="00BF6B72" w:rsidR="008474D1">
        <w:rPr>
          <w:rFonts w:cs="Times New Roman"/>
          <w:szCs w:val="24"/>
        </w:rPr>
        <w:t xml:space="preserve">that “recovery will be </w:t>
      </w:r>
      <w:r w:rsidRPr="00BF6B72" w:rsidR="008474D1">
        <w:rPr>
          <w:rFonts w:cs="Times New Roman"/>
          <w:i/>
          <w:iCs/>
          <w:szCs w:val="24"/>
        </w:rPr>
        <w:t>limited</w:t>
      </w:r>
      <w:r w:rsidRPr="00BF6B72" w:rsidR="008474D1">
        <w:rPr>
          <w:rFonts w:cs="Times New Roman"/>
          <w:szCs w:val="24"/>
        </w:rPr>
        <w:t xml:space="preserve"> to $27.6 million annually…”</w:t>
      </w:r>
      <w:r>
        <w:rPr>
          <w:rStyle w:val="FootnoteReference"/>
          <w:rFonts w:cs="Times New Roman"/>
          <w:szCs w:val="24"/>
        </w:rPr>
        <w:footnoteReference w:id="22"/>
      </w:r>
      <w:r w:rsidRPr="00BF6B72">
        <w:rPr>
          <w:rFonts w:cs="Times New Roman"/>
          <w:szCs w:val="24"/>
        </w:rPr>
        <w:t xml:space="preserve"> </w:t>
      </w:r>
    </w:p>
    <w:p w:rsidR="007411E5" w:rsidRPr="00BF6B72" w:rsidP="007411E5">
      <w:pPr>
        <w:autoSpaceDE w:val="0"/>
        <w:autoSpaceDN w:val="0"/>
        <w:adjustRightInd w:val="0"/>
        <w:spacing w:after="0" w:line="480" w:lineRule="auto"/>
        <w:ind w:firstLine="720"/>
        <w:rPr>
          <w:rFonts w:cs="Times New Roman"/>
          <w:szCs w:val="24"/>
        </w:rPr>
      </w:pPr>
      <w:r w:rsidRPr="00BF6B72">
        <w:rPr>
          <w:rFonts w:cs="Times New Roman"/>
          <w:szCs w:val="24"/>
        </w:rPr>
        <w:t>AEP is also wrong to conclude that there cannot be a cap just because the PUCO referred to its spending as “projected” and “forecast.”</w:t>
      </w:r>
      <w:r>
        <w:rPr>
          <w:rStyle w:val="FootnoteReference"/>
          <w:rFonts w:cs="Times New Roman"/>
          <w:szCs w:val="24"/>
        </w:rPr>
        <w:footnoteReference w:id="23"/>
      </w:r>
      <w:r w:rsidRPr="00BF6B72">
        <w:rPr>
          <w:rFonts w:cs="Times New Roman"/>
          <w:szCs w:val="24"/>
        </w:rPr>
        <w:t xml:space="preserve"> These terms are not inconsistent with a cap. </w:t>
      </w:r>
      <w:r w:rsidRPr="00BF6B72" w:rsidR="001018F6">
        <w:rPr>
          <w:rFonts w:cs="Times New Roman"/>
          <w:szCs w:val="24"/>
        </w:rPr>
        <w:t xml:space="preserve">The PUCO has </w:t>
      </w:r>
      <w:r w:rsidR="003822BA">
        <w:rPr>
          <w:rFonts w:cs="Times New Roman"/>
          <w:szCs w:val="24"/>
        </w:rPr>
        <w:t xml:space="preserve">simply capped AEP’s tree-trimming rider spending at AEP’s own projected or forecasted spend </w:t>
      </w:r>
      <w:r w:rsidRPr="00BF6B72" w:rsidR="001018F6">
        <w:rPr>
          <w:rFonts w:cs="Times New Roman"/>
          <w:szCs w:val="24"/>
        </w:rPr>
        <w:t xml:space="preserve">in ESP I, II, and </w:t>
      </w:r>
      <w:r w:rsidRPr="00BF6B72" w:rsidR="00A250D4">
        <w:rPr>
          <w:rFonts w:cs="Times New Roman"/>
          <w:szCs w:val="24"/>
        </w:rPr>
        <w:t>III</w:t>
      </w:r>
      <w:r w:rsidRPr="00BF6B72" w:rsidR="001018F6">
        <w:rPr>
          <w:rFonts w:cs="Times New Roman"/>
          <w:szCs w:val="24"/>
        </w:rPr>
        <w:t xml:space="preserve">.  AEP </w:t>
      </w:r>
      <w:r w:rsidRPr="00BF6B72">
        <w:rPr>
          <w:rFonts w:cs="Times New Roman"/>
          <w:szCs w:val="24"/>
        </w:rPr>
        <w:t xml:space="preserve">also </w:t>
      </w:r>
      <w:r w:rsidRPr="00BF6B72" w:rsidR="001018F6">
        <w:rPr>
          <w:rFonts w:cs="Times New Roman"/>
          <w:szCs w:val="24"/>
        </w:rPr>
        <w:t xml:space="preserve">points to </w:t>
      </w:r>
      <w:r w:rsidRPr="00BF6B72" w:rsidR="00A250D4">
        <w:rPr>
          <w:rFonts w:cs="Times New Roman"/>
          <w:szCs w:val="24"/>
        </w:rPr>
        <w:t xml:space="preserve">PUCO </w:t>
      </w:r>
      <w:r w:rsidRPr="00BF6B72" w:rsidR="001018F6">
        <w:rPr>
          <w:rFonts w:cs="Times New Roman"/>
          <w:szCs w:val="24"/>
        </w:rPr>
        <w:t xml:space="preserve">Staff’s position in the ESP III order as justification that there is no cap: “Staff notes that, if AEP Ohio’s O&amp;M expense exceeds $18 million, there is a mechanism to ensure the Company recovers the </w:t>
      </w:r>
      <w:r w:rsidRPr="00BF6B72" w:rsidR="001018F6">
        <w:rPr>
          <w:rFonts w:cs="Times New Roman"/>
          <w:i/>
          <w:iCs/>
          <w:szCs w:val="24"/>
        </w:rPr>
        <w:t>appropriate</w:t>
      </w:r>
      <w:r w:rsidRPr="00BF6B72" w:rsidR="001018F6">
        <w:rPr>
          <w:rFonts w:cs="Times New Roman"/>
          <w:szCs w:val="24"/>
        </w:rPr>
        <w:t xml:space="preserve"> amount in the annual ESRR reconciliation filing.”</w:t>
      </w:r>
      <w:r>
        <w:rPr>
          <w:rStyle w:val="FootnoteReference"/>
          <w:rFonts w:cs="Times New Roman"/>
          <w:szCs w:val="24"/>
        </w:rPr>
        <w:footnoteReference w:id="24"/>
      </w:r>
      <w:r w:rsidRPr="00BF6B72" w:rsidR="001018F6">
        <w:rPr>
          <w:rFonts w:cs="Times New Roman"/>
          <w:szCs w:val="24"/>
        </w:rPr>
        <w:t xml:space="preserve"> </w:t>
      </w:r>
    </w:p>
    <w:p w:rsidR="00B839F4" w:rsidRPr="00BF6B72" w:rsidP="007411E5">
      <w:pPr>
        <w:autoSpaceDE w:val="0"/>
        <w:autoSpaceDN w:val="0"/>
        <w:adjustRightInd w:val="0"/>
        <w:spacing w:after="0" w:line="480" w:lineRule="auto"/>
        <w:ind w:firstLine="720"/>
        <w:rPr>
          <w:rFonts w:cs="Times New Roman"/>
          <w:szCs w:val="24"/>
        </w:rPr>
      </w:pPr>
      <w:r w:rsidRPr="00BF6B72">
        <w:rPr>
          <w:rFonts w:cs="Times New Roman"/>
          <w:szCs w:val="24"/>
        </w:rPr>
        <w:t>But</w:t>
      </w:r>
      <w:r w:rsidRPr="00BF6B72" w:rsidR="001018F6">
        <w:rPr>
          <w:rFonts w:cs="Times New Roman"/>
          <w:szCs w:val="24"/>
        </w:rPr>
        <w:t xml:space="preserve"> the PUCO used the modifier </w:t>
      </w:r>
      <w:r w:rsidRPr="00BF6B72" w:rsidR="001018F6">
        <w:rPr>
          <w:rFonts w:cs="Times New Roman"/>
          <w:i/>
          <w:iCs/>
          <w:szCs w:val="24"/>
        </w:rPr>
        <w:t>appropriate</w:t>
      </w:r>
      <w:r w:rsidRPr="00BF6B72" w:rsidR="001018F6">
        <w:rPr>
          <w:rFonts w:cs="Times New Roman"/>
          <w:szCs w:val="24"/>
        </w:rPr>
        <w:t>.</w:t>
      </w:r>
      <w:r>
        <w:rPr>
          <w:rStyle w:val="FootnoteReference"/>
          <w:rFonts w:cs="Times New Roman"/>
          <w:szCs w:val="24"/>
        </w:rPr>
        <w:footnoteReference w:id="25"/>
      </w:r>
      <w:r w:rsidRPr="00BF6B72" w:rsidR="001018F6">
        <w:rPr>
          <w:rFonts w:cs="Times New Roman"/>
          <w:szCs w:val="24"/>
        </w:rPr>
        <w:t xml:space="preserve"> </w:t>
      </w:r>
      <w:r w:rsidRPr="00BF6B72">
        <w:rPr>
          <w:rFonts w:cs="Times New Roman"/>
          <w:szCs w:val="24"/>
        </w:rPr>
        <w:t>AEP’s exceeding the cap by</w:t>
      </w:r>
      <w:r w:rsidRPr="00BF6B72" w:rsidR="00A12871">
        <w:rPr>
          <w:rFonts w:cs="Times New Roman"/>
          <w:szCs w:val="24"/>
        </w:rPr>
        <w:t xml:space="preserve"> more than</w:t>
      </w:r>
      <w:r w:rsidRPr="00BF6B72">
        <w:rPr>
          <w:rFonts w:cs="Times New Roman"/>
          <w:szCs w:val="24"/>
        </w:rPr>
        <w:t xml:space="preserve"> </w:t>
      </w:r>
      <w:r w:rsidRPr="00BF6B72" w:rsidR="00A12871">
        <w:rPr>
          <w:rFonts w:cs="Times New Roman"/>
          <w:szCs w:val="24"/>
        </w:rPr>
        <w:t xml:space="preserve">$3.4 million </w:t>
      </w:r>
      <w:r w:rsidRPr="00BF6B72">
        <w:rPr>
          <w:rFonts w:cs="Times New Roman"/>
          <w:szCs w:val="24"/>
        </w:rPr>
        <w:t xml:space="preserve">is not appropriate.  </w:t>
      </w:r>
      <w:r w:rsidR="003822BA">
        <w:rPr>
          <w:rFonts w:cs="Times New Roman"/>
          <w:szCs w:val="24"/>
        </w:rPr>
        <w:t xml:space="preserve">Allowing AEP to collect that amount would harm consumers and flout the consumer protection that the PUCO has established – the spending cap.  </w:t>
      </w:r>
      <w:r w:rsidRPr="00BF6B72">
        <w:rPr>
          <w:rFonts w:cs="Times New Roman"/>
          <w:szCs w:val="24"/>
        </w:rPr>
        <w:t>Further</w:t>
      </w:r>
      <w:r w:rsidRPr="00BF6B72" w:rsidR="001018F6">
        <w:rPr>
          <w:rFonts w:cs="Times New Roman"/>
          <w:szCs w:val="24"/>
        </w:rPr>
        <w:t>, any</w:t>
      </w:r>
      <w:r w:rsidRPr="00BF6B72" w:rsidR="001263B3">
        <w:rPr>
          <w:rFonts w:cs="Times New Roman"/>
          <w:szCs w:val="24"/>
        </w:rPr>
        <w:t xml:space="preserve"> company would almost certainly need to project and forecast (i.e. budget) its spending for operations and resource management</w:t>
      </w:r>
      <w:r w:rsidRPr="00BF6B72" w:rsidR="001018F6">
        <w:rPr>
          <w:rFonts w:cs="Times New Roman"/>
          <w:szCs w:val="24"/>
        </w:rPr>
        <w:t>, regardless of a cap imposed by a regulator</w:t>
      </w:r>
      <w:r w:rsidRPr="00BF6B72" w:rsidR="001263B3">
        <w:rPr>
          <w:rFonts w:cs="Times New Roman"/>
          <w:szCs w:val="24"/>
        </w:rPr>
        <w:t xml:space="preserve">. </w:t>
      </w:r>
      <w:r w:rsidRPr="00BF6B72" w:rsidR="001018F6">
        <w:rPr>
          <w:rFonts w:cs="Times New Roman"/>
          <w:szCs w:val="24"/>
        </w:rPr>
        <w:t xml:space="preserve">Budgeting is a normal and imperative function of a business. </w:t>
      </w:r>
      <w:r w:rsidRPr="00BF6B72" w:rsidR="001263B3">
        <w:rPr>
          <w:rFonts w:cs="Times New Roman"/>
          <w:szCs w:val="24"/>
        </w:rPr>
        <w:t>It defies logic that AEP concludes there is no cap merely because the PUCO agreed with its budget</w:t>
      </w:r>
      <w:r w:rsidRPr="00BF6B72" w:rsidR="008A74B3">
        <w:rPr>
          <w:rFonts w:cs="Times New Roman"/>
          <w:szCs w:val="24"/>
        </w:rPr>
        <w:t xml:space="preserve">, and referred to a mechanism to ensure recovery of the </w:t>
      </w:r>
      <w:r w:rsidRPr="00BF6B72" w:rsidR="008A74B3">
        <w:rPr>
          <w:rFonts w:cs="Times New Roman"/>
          <w:i/>
          <w:iCs/>
          <w:szCs w:val="24"/>
        </w:rPr>
        <w:t>appropriate</w:t>
      </w:r>
      <w:r w:rsidRPr="00BF6B72" w:rsidR="008A74B3">
        <w:rPr>
          <w:rFonts w:cs="Times New Roman"/>
          <w:szCs w:val="24"/>
        </w:rPr>
        <w:t xml:space="preserve"> amount</w:t>
      </w:r>
      <w:r w:rsidRPr="00BF6B72" w:rsidR="001263B3">
        <w:rPr>
          <w:rFonts w:cs="Times New Roman"/>
          <w:szCs w:val="24"/>
        </w:rPr>
        <w:t>.</w:t>
      </w:r>
      <w:r>
        <w:rPr>
          <w:rStyle w:val="FootnoteReference"/>
          <w:rFonts w:cs="Times New Roman"/>
          <w:szCs w:val="24"/>
        </w:rPr>
        <w:footnoteReference w:id="26"/>
      </w:r>
      <w:r w:rsidRPr="00BF6B72" w:rsidR="001263B3">
        <w:rPr>
          <w:rFonts w:cs="Times New Roman"/>
          <w:szCs w:val="24"/>
        </w:rPr>
        <w:t xml:space="preserve"> It </w:t>
      </w:r>
      <w:r w:rsidRPr="00BF6B72" w:rsidR="00F17ACE">
        <w:rPr>
          <w:rFonts w:cs="Times New Roman"/>
          <w:szCs w:val="24"/>
        </w:rPr>
        <w:t xml:space="preserve">also </w:t>
      </w:r>
      <w:r w:rsidRPr="00BF6B72" w:rsidR="001263B3">
        <w:rPr>
          <w:rFonts w:cs="Times New Roman"/>
          <w:szCs w:val="24"/>
        </w:rPr>
        <w:t xml:space="preserve">defies </w:t>
      </w:r>
      <w:r w:rsidRPr="00BF6B72" w:rsidR="00F17ACE">
        <w:rPr>
          <w:rFonts w:cs="Times New Roman"/>
          <w:szCs w:val="24"/>
        </w:rPr>
        <w:t>precedent</w:t>
      </w:r>
      <w:r w:rsidRPr="00BF6B72" w:rsidR="001263B3">
        <w:rPr>
          <w:rFonts w:cs="Times New Roman"/>
          <w:szCs w:val="24"/>
        </w:rPr>
        <w:t xml:space="preserve"> that the PUCO set caps in ESP I</w:t>
      </w:r>
      <w:r w:rsidRPr="00BF6B72" w:rsidR="00A12871">
        <w:rPr>
          <w:rFonts w:cs="Times New Roman"/>
          <w:szCs w:val="24"/>
        </w:rPr>
        <w:t xml:space="preserve"> and</w:t>
      </w:r>
      <w:r w:rsidRPr="00BF6B72" w:rsidR="001263B3">
        <w:rPr>
          <w:rFonts w:cs="Times New Roman"/>
          <w:szCs w:val="24"/>
        </w:rPr>
        <w:t xml:space="preserve"> II, but not in III. </w:t>
      </w:r>
    </w:p>
    <w:p w:rsidR="0005263F" w:rsidRPr="00BF6B72" w:rsidP="007411E5">
      <w:pPr>
        <w:autoSpaceDE w:val="0"/>
        <w:autoSpaceDN w:val="0"/>
        <w:adjustRightInd w:val="0"/>
        <w:spacing w:after="0" w:line="480" w:lineRule="auto"/>
        <w:ind w:firstLine="720"/>
        <w:rPr>
          <w:rFonts w:cs="Times New Roman"/>
          <w:szCs w:val="24"/>
        </w:rPr>
      </w:pPr>
      <w:r w:rsidRPr="00BF6B72">
        <w:rPr>
          <w:rFonts w:cs="Times New Roman"/>
          <w:szCs w:val="24"/>
        </w:rPr>
        <w:t xml:space="preserve">In this case, </w:t>
      </w:r>
      <w:r w:rsidRPr="00BF6B72">
        <w:rPr>
          <w:rFonts w:cs="Times New Roman"/>
          <w:szCs w:val="24"/>
        </w:rPr>
        <w:t xml:space="preserve">AEP was approved to collect annually through the tree-trimming rider </w:t>
      </w:r>
      <w:r w:rsidR="009749C1">
        <w:rPr>
          <w:rFonts w:cs="Times New Roman"/>
          <w:szCs w:val="24"/>
        </w:rPr>
        <w:t xml:space="preserve">only up to a certain amount in </w:t>
      </w:r>
      <w:r w:rsidRPr="00BF6B72">
        <w:rPr>
          <w:rFonts w:cs="Times New Roman"/>
          <w:szCs w:val="24"/>
        </w:rPr>
        <w:t>O&amp;M expenses and capital investment, above the amount in base rates</w:t>
      </w:r>
      <w:r w:rsidRPr="00BF6B72" w:rsidR="00574114">
        <w:rPr>
          <w:rFonts w:cs="Times New Roman"/>
          <w:szCs w:val="24"/>
        </w:rPr>
        <w:t>.</w:t>
      </w:r>
      <w:r>
        <w:rPr>
          <w:rStyle w:val="FootnoteReference"/>
          <w:rFonts w:cs="Times New Roman"/>
          <w:szCs w:val="24"/>
        </w:rPr>
        <w:footnoteReference w:id="27"/>
      </w:r>
      <w:r w:rsidRPr="00BF6B72" w:rsidR="00574114">
        <w:rPr>
          <w:rFonts w:cs="Times New Roman"/>
          <w:szCs w:val="24"/>
        </w:rPr>
        <w:t xml:space="preserve"> </w:t>
      </w:r>
      <w:r w:rsidRPr="00BF6B72" w:rsidR="005409AD">
        <w:rPr>
          <w:rFonts w:cs="Times New Roman"/>
          <w:szCs w:val="24"/>
        </w:rPr>
        <w:t xml:space="preserve">But this is not enough for AEP. It is </w:t>
      </w:r>
      <w:r w:rsidRPr="00BF6B72" w:rsidR="00DC1CAB">
        <w:rPr>
          <w:rFonts w:cs="Times New Roman"/>
          <w:szCs w:val="24"/>
        </w:rPr>
        <w:t xml:space="preserve">now </w:t>
      </w:r>
      <w:r w:rsidRPr="00BF6B72" w:rsidR="005409AD">
        <w:rPr>
          <w:rFonts w:cs="Times New Roman"/>
          <w:szCs w:val="24"/>
        </w:rPr>
        <w:t xml:space="preserve">asking the PUCO to </w:t>
      </w:r>
      <w:r w:rsidRPr="00BF6B72" w:rsidR="002159C8">
        <w:rPr>
          <w:rFonts w:cs="Times New Roman"/>
          <w:szCs w:val="24"/>
        </w:rPr>
        <w:t>award it over $3</w:t>
      </w:r>
      <w:r w:rsidRPr="00BF6B72" w:rsidR="007411E5">
        <w:rPr>
          <w:rFonts w:cs="Times New Roman"/>
          <w:szCs w:val="24"/>
        </w:rPr>
        <w:t>.4</w:t>
      </w:r>
      <w:r w:rsidRPr="00BF6B72" w:rsidR="002159C8">
        <w:rPr>
          <w:rFonts w:cs="Times New Roman"/>
          <w:szCs w:val="24"/>
        </w:rPr>
        <w:t xml:space="preserve"> million </w:t>
      </w:r>
      <w:r w:rsidRPr="00BF6B72" w:rsidR="002159C8">
        <w:rPr>
          <w:rFonts w:cs="Times New Roman"/>
          <w:i/>
          <w:iCs/>
          <w:szCs w:val="24"/>
        </w:rPr>
        <w:t>more</w:t>
      </w:r>
      <w:r w:rsidRPr="00BF6B72" w:rsidR="002159C8">
        <w:rPr>
          <w:rFonts w:cs="Times New Roman"/>
          <w:szCs w:val="24"/>
        </w:rPr>
        <w:t xml:space="preserve"> than what was approved in its last rate case.</w:t>
      </w:r>
      <w:r>
        <w:rPr>
          <w:rStyle w:val="FootnoteReference"/>
          <w:rFonts w:cs="Times New Roman"/>
          <w:szCs w:val="24"/>
        </w:rPr>
        <w:footnoteReference w:id="28"/>
      </w:r>
      <w:r w:rsidRPr="00BF6B72" w:rsidR="007A1D61">
        <w:rPr>
          <w:rFonts w:cs="Times New Roman"/>
          <w:szCs w:val="24"/>
        </w:rPr>
        <w:t xml:space="preserve"> </w:t>
      </w:r>
      <w:r w:rsidRPr="00BF6B72" w:rsidR="006C1086">
        <w:rPr>
          <w:rFonts w:cs="Times New Roman"/>
          <w:szCs w:val="24"/>
        </w:rPr>
        <w:t xml:space="preserve">The PUCO should confirm that AEP’s </w:t>
      </w:r>
      <w:r w:rsidRPr="00BF6B72" w:rsidR="00A250D4">
        <w:rPr>
          <w:rFonts w:cs="Times New Roman"/>
          <w:szCs w:val="24"/>
        </w:rPr>
        <w:t>tree-trimming rider</w:t>
      </w:r>
      <w:r w:rsidRPr="00BF6B72" w:rsidR="006C1086">
        <w:rPr>
          <w:rFonts w:cs="Times New Roman"/>
          <w:szCs w:val="24"/>
        </w:rPr>
        <w:t xml:space="preserve"> spending was capped</w:t>
      </w:r>
      <w:r w:rsidRPr="00BF6B72" w:rsidR="00E67B9E">
        <w:rPr>
          <w:rFonts w:cs="Times New Roman"/>
          <w:szCs w:val="24"/>
        </w:rPr>
        <w:t xml:space="preserve"> </w:t>
      </w:r>
      <w:r w:rsidR="003822BA">
        <w:rPr>
          <w:rFonts w:cs="Times New Roman"/>
          <w:szCs w:val="24"/>
        </w:rPr>
        <w:t xml:space="preserve">to protect consumers </w:t>
      </w:r>
      <w:r w:rsidRPr="00BF6B72" w:rsidR="00E67B9E">
        <w:rPr>
          <w:rFonts w:cs="Times New Roman"/>
          <w:szCs w:val="24"/>
        </w:rPr>
        <w:t xml:space="preserve">and deny AEP’s request for additional recovery </w:t>
      </w:r>
      <w:r w:rsidR="00623681">
        <w:rPr>
          <w:rFonts w:cs="Times New Roman"/>
          <w:szCs w:val="24"/>
        </w:rPr>
        <w:t xml:space="preserve">from customers </w:t>
      </w:r>
      <w:r w:rsidRPr="00BF6B72" w:rsidR="00E67B9E">
        <w:rPr>
          <w:rFonts w:cs="Times New Roman"/>
          <w:szCs w:val="24"/>
        </w:rPr>
        <w:t>of over $3 million.</w:t>
      </w:r>
      <w:r w:rsidRPr="00BF6B72" w:rsidR="002159C8">
        <w:rPr>
          <w:rFonts w:cs="Times New Roman"/>
          <w:szCs w:val="24"/>
        </w:rPr>
        <w:t xml:space="preserve"> </w:t>
      </w:r>
    </w:p>
    <w:p w:rsidR="00A10563" w:rsidRPr="00BF6B72" w:rsidP="009971CF">
      <w:pPr>
        <w:pStyle w:val="Heading2"/>
      </w:pPr>
      <w:bookmarkStart w:id="5" w:name="_Toc12969645"/>
      <w:r>
        <w:t>B</w:t>
      </w:r>
      <w:r w:rsidR="009971CF">
        <w:t>.</w:t>
      </w:r>
      <w:r w:rsidR="009971CF">
        <w:tab/>
      </w:r>
      <w:r w:rsidRPr="00BF6B72">
        <w:t>To protect consumers, the PUCO should not approve AEP’s Application as filed because its spending was imprudent, inappropriate, and above the cap set by the PUCO in its February 25, 2015 Opinion and Order in Case 13-2385-EL-SSO (“ESP III Order”).</w:t>
      </w:r>
      <w:bookmarkEnd w:id="5"/>
    </w:p>
    <w:p w:rsidR="00C3017A" w:rsidRPr="00BF6B72" w:rsidP="00C3017A">
      <w:pPr>
        <w:pStyle w:val="NormalWeb"/>
        <w:spacing w:line="480" w:lineRule="auto"/>
        <w:ind w:firstLine="720"/>
        <w:contextualSpacing/>
      </w:pPr>
      <w:r w:rsidRPr="00BF6B72">
        <w:t xml:space="preserve">The PUCO should not approve AEP’s </w:t>
      </w:r>
      <w:r>
        <w:t>A</w:t>
      </w:r>
      <w:r w:rsidRPr="00BF6B72">
        <w:t>pplication as filed because its spending was above the cap set by the PUCO.</w:t>
      </w:r>
      <w:r>
        <w:rPr>
          <w:rStyle w:val="FootnoteReference"/>
        </w:rPr>
        <w:footnoteReference w:id="29"/>
      </w:r>
      <w:r w:rsidRPr="00BF6B72">
        <w:t xml:space="preserve"> </w:t>
      </w:r>
      <w:r w:rsidRPr="009749C1">
        <w:t xml:space="preserve"> </w:t>
      </w:r>
      <w:r w:rsidRPr="00BF6B72">
        <w:t xml:space="preserve">The PUCO specifically said in ESP III that “recovery will be </w:t>
      </w:r>
      <w:r w:rsidRPr="00BF6B72">
        <w:rPr>
          <w:i/>
          <w:iCs/>
        </w:rPr>
        <w:t>limited</w:t>
      </w:r>
      <w:r w:rsidRPr="00BF6B72">
        <w:t xml:space="preserve"> to $27.6 million annually</w:t>
      </w:r>
      <w:r w:rsidR="00F469B9">
        <w:t xml:space="preserve"> .</w:t>
      </w:r>
      <w:r w:rsidRPr="00BF6B72">
        <w:t>…”</w:t>
      </w:r>
      <w:r>
        <w:rPr>
          <w:rStyle w:val="FootnoteReference"/>
        </w:rPr>
        <w:footnoteReference w:id="30"/>
      </w:r>
      <w:r w:rsidRPr="00BF6B72">
        <w:t xml:space="preserve"> AEP’s exceeding the cap by more than $3.4 million is not appropriate.</w:t>
      </w:r>
      <w:r>
        <w:t xml:space="preserve">  </w:t>
      </w:r>
      <w:r w:rsidRPr="00BF6B72">
        <w:t>Besides claiming there is not a cap on its spending (and contrary to its testimony in this case),</w:t>
      </w:r>
      <w:r>
        <w:rPr>
          <w:rStyle w:val="FootnoteReference"/>
        </w:rPr>
        <w:footnoteReference w:id="31"/>
      </w:r>
      <w:r w:rsidRPr="00BF6B72">
        <w:t xml:space="preserve"> AEP’s argument that its spending was prudent can be broken into three parts. </w:t>
      </w:r>
    </w:p>
    <w:p w:rsidR="00C3017A" w:rsidRPr="00BF6B72" w:rsidP="00C3017A">
      <w:pPr>
        <w:pStyle w:val="NormalWeb"/>
        <w:spacing w:after="0" w:afterAutospacing="0" w:line="480" w:lineRule="auto"/>
        <w:ind w:firstLine="720"/>
        <w:contextualSpacing/>
      </w:pPr>
      <w:r w:rsidRPr="00BF6B72">
        <w:t xml:space="preserve">First, AEP argues that </w:t>
      </w:r>
      <w:r>
        <w:t>because</w:t>
      </w:r>
      <w:r w:rsidRPr="00BF6B72">
        <w:t xml:space="preserve"> PUCO Staff did not contend that any activities AEP took in 2016 were not beneficial, its spending was prudent.</w:t>
      </w:r>
      <w:r>
        <w:rPr>
          <w:rStyle w:val="FootnoteReference"/>
        </w:rPr>
        <w:footnoteReference w:id="32"/>
      </w:r>
      <w:r w:rsidRPr="00BF6B72">
        <w:t xml:space="preserve"> Second, AEP argues that </w:t>
      </w:r>
      <w:r>
        <w:t>because</w:t>
      </w:r>
      <w:r w:rsidRPr="00BF6B72">
        <w:t xml:space="preserve"> PUCO Staff supports actions taken by AEP that would reduce future tree growth and future O&amp;M costs for tree trimming, its spending was prudent.</w:t>
      </w:r>
      <w:r>
        <w:rPr>
          <w:rStyle w:val="FootnoteReference"/>
        </w:rPr>
        <w:footnoteReference w:id="33"/>
      </w:r>
      <w:r w:rsidRPr="00BF6B72">
        <w:t xml:space="preserve"> Finally, AEP argues that since PUCO Staff did not contend that any of AEP’s 2016 expenditures would not reduce future tree growth, its spending was prudent.</w:t>
      </w:r>
      <w:r>
        <w:rPr>
          <w:rStyle w:val="FootnoteReference"/>
        </w:rPr>
        <w:footnoteReference w:id="34"/>
      </w:r>
      <w:r w:rsidRPr="00BF6B72">
        <w:t xml:space="preserve"> </w:t>
      </w:r>
    </w:p>
    <w:p w:rsidR="00C3017A" w:rsidRPr="00BF6B72" w:rsidP="00C3017A">
      <w:pPr>
        <w:pStyle w:val="NormalWeb"/>
        <w:spacing w:after="0" w:afterAutospacing="0" w:line="480" w:lineRule="auto"/>
        <w:ind w:firstLine="720"/>
        <w:contextualSpacing/>
      </w:pPr>
      <w:r w:rsidRPr="00BF6B72">
        <w:t xml:space="preserve">But the PUCO’s prudency review is not based </w:t>
      </w:r>
      <w:r w:rsidRPr="00BF6B72">
        <w:rPr>
          <w:i/>
          <w:iCs/>
        </w:rPr>
        <w:t>solely</w:t>
      </w:r>
      <w:r w:rsidRPr="00BF6B72">
        <w:t xml:space="preserve"> on whether spending was beneficial, would reduce future spending, or would reduce future tree growth, as AEP has argued.</w:t>
      </w:r>
      <w:r>
        <w:rPr>
          <w:rStyle w:val="FootnoteReference"/>
        </w:rPr>
        <w:footnoteReference w:id="35"/>
      </w:r>
      <w:r w:rsidRPr="00BF6B72">
        <w:t xml:space="preserve"> </w:t>
      </w:r>
      <w:r>
        <w:t>As PUCO Staff testified, t</w:t>
      </w:r>
      <w:r w:rsidRPr="00BF6B72">
        <w:t xml:space="preserve">hese factors may be considered  </w:t>
      </w:r>
      <w:r w:rsidRPr="00BF6B72">
        <w:rPr>
          <w:i/>
          <w:iCs/>
        </w:rPr>
        <w:t>in addition to</w:t>
      </w:r>
      <w:r w:rsidRPr="00BF6B72">
        <w:t xml:space="preserve"> expenses being “prudently incurred.”</w:t>
      </w:r>
      <w:r>
        <w:rPr>
          <w:rStyle w:val="FootnoteReference"/>
        </w:rPr>
        <w:footnoteReference w:id="36"/>
      </w:r>
      <w:r w:rsidRPr="00BF6B72">
        <w:t xml:space="preserve"> AEP did not prudently incur its excessive expenses. It </w:t>
      </w:r>
      <w:r>
        <w:t>spent</w:t>
      </w:r>
      <w:r w:rsidRPr="00BF6B72">
        <w:t xml:space="preserve"> significantly above the cap set by the PUCO.</w:t>
      </w:r>
      <w:r>
        <w:rPr>
          <w:rStyle w:val="FootnoteReference"/>
        </w:rPr>
        <w:footnoteReference w:id="37"/>
      </w:r>
      <w:r w:rsidRPr="00BF6B72">
        <w:t xml:space="preserve"> The PUCO should reject AEP’s arguments that there was no</w:t>
      </w:r>
      <w:r>
        <w:t xml:space="preserve"> spending</w:t>
      </w:r>
      <w:r w:rsidRPr="00BF6B72">
        <w:t xml:space="preserve"> cap and deny its </w:t>
      </w:r>
      <w:r>
        <w:t>A</w:t>
      </w:r>
      <w:r w:rsidRPr="00BF6B72">
        <w:t>pplication as filed.</w:t>
      </w:r>
    </w:p>
    <w:p w:rsidR="002D73FD" w:rsidRPr="00BF6B72" w:rsidP="00D42883">
      <w:pPr>
        <w:spacing w:after="0" w:line="480" w:lineRule="auto"/>
        <w:ind w:firstLine="720"/>
        <w:rPr>
          <w:rFonts w:cs="Times New Roman"/>
          <w:szCs w:val="24"/>
        </w:rPr>
      </w:pPr>
      <w:r w:rsidRPr="00BF6B72">
        <w:rPr>
          <w:rFonts w:cs="Times New Roman"/>
          <w:szCs w:val="24"/>
        </w:rPr>
        <w:t xml:space="preserve">In its </w:t>
      </w:r>
      <w:r w:rsidRPr="00BF6B72" w:rsidR="00664E79">
        <w:rPr>
          <w:rFonts w:cs="Times New Roman"/>
          <w:szCs w:val="24"/>
        </w:rPr>
        <w:t>brief</w:t>
      </w:r>
      <w:r w:rsidRPr="00BF6B72">
        <w:rPr>
          <w:rFonts w:cs="Times New Roman"/>
          <w:szCs w:val="24"/>
        </w:rPr>
        <w:t xml:space="preserve">, AEP alleges that OCC has not questioned whether </w:t>
      </w:r>
      <w:r w:rsidR="005272D1">
        <w:rPr>
          <w:rFonts w:cs="Times New Roman"/>
          <w:szCs w:val="24"/>
        </w:rPr>
        <w:t>AEP</w:t>
      </w:r>
      <w:r w:rsidRPr="00BF6B72">
        <w:rPr>
          <w:rFonts w:cs="Times New Roman"/>
          <w:szCs w:val="24"/>
        </w:rPr>
        <w:t>’s vegetation management was prudent.</w:t>
      </w:r>
      <w:r>
        <w:rPr>
          <w:rStyle w:val="FootnoteReference"/>
          <w:rFonts w:cs="Times New Roman"/>
          <w:szCs w:val="24"/>
        </w:rPr>
        <w:footnoteReference w:id="38"/>
      </w:r>
      <w:r w:rsidRPr="00BF6B72">
        <w:rPr>
          <w:rFonts w:cs="Times New Roman"/>
          <w:szCs w:val="24"/>
        </w:rPr>
        <w:t xml:space="preserve"> But this is not true. </w:t>
      </w:r>
      <w:r w:rsidR="00531AF8">
        <w:rPr>
          <w:rFonts w:cs="Times New Roman"/>
          <w:szCs w:val="24"/>
        </w:rPr>
        <w:t xml:space="preserve">In its consumer protection efforts, </w:t>
      </w:r>
      <w:r w:rsidRPr="00BF6B72">
        <w:rPr>
          <w:rFonts w:cs="Times New Roman"/>
          <w:szCs w:val="24"/>
        </w:rPr>
        <w:t>OCC has questioned the prudency of AEP’s vegetation management several times: on cross at the hearing for this case on May 23, 2019</w:t>
      </w:r>
      <w:r w:rsidRPr="00BF6B72" w:rsidR="008474D1">
        <w:rPr>
          <w:rFonts w:cs="Times New Roman"/>
          <w:szCs w:val="24"/>
        </w:rPr>
        <w:t>,</w:t>
      </w:r>
      <w:r>
        <w:rPr>
          <w:rStyle w:val="FootnoteReference"/>
          <w:rFonts w:cs="Times New Roman"/>
          <w:szCs w:val="24"/>
        </w:rPr>
        <w:footnoteReference w:id="39"/>
      </w:r>
      <w:r w:rsidRPr="00BF6B72">
        <w:rPr>
          <w:rFonts w:cs="Times New Roman"/>
          <w:szCs w:val="24"/>
        </w:rPr>
        <w:t xml:space="preserve"> in its comments filed January 4, 2019</w:t>
      </w:r>
      <w:r w:rsidRPr="00BF6B72" w:rsidR="008474D1">
        <w:rPr>
          <w:rFonts w:cs="Times New Roman"/>
          <w:szCs w:val="24"/>
        </w:rPr>
        <w:t>,</w:t>
      </w:r>
      <w:r>
        <w:rPr>
          <w:rStyle w:val="FootnoteReference"/>
          <w:rFonts w:cs="Times New Roman"/>
          <w:szCs w:val="24"/>
        </w:rPr>
        <w:footnoteReference w:id="40"/>
      </w:r>
      <w:r w:rsidRPr="00BF6B72">
        <w:rPr>
          <w:rFonts w:cs="Times New Roman"/>
          <w:szCs w:val="24"/>
        </w:rPr>
        <w:t xml:space="preserve"> and in its </w:t>
      </w:r>
      <w:r w:rsidRPr="00BF6B72" w:rsidR="00664E79">
        <w:rPr>
          <w:rFonts w:cs="Times New Roman"/>
          <w:szCs w:val="24"/>
        </w:rPr>
        <w:t xml:space="preserve">initial brief </w:t>
      </w:r>
      <w:r w:rsidRPr="00BF6B72" w:rsidR="00B839F4">
        <w:rPr>
          <w:rFonts w:cs="Times New Roman"/>
          <w:szCs w:val="24"/>
        </w:rPr>
        <w:t>in this case</w:t>
      </w:r>
      <w:r w:rsidRPr="00BF6B72">
        <w:rPr>
          <w:rFonts w:cs="Times New Roman"/>
          <w:szCs w:val="24"/>
        </w:rPr>
        <w:t>.</w:t>
      </w:r>
      <w:r>
        <w:rPr>
          <w:rStyle w:val="FootnoteReference"/>
          <w:rFonts w:cs="Times New Roman"/>
          <w:szCs w:val="24"/>
        </w:rPr>
        <w:footnoteReference w:id="41"/>
      </w:r>
      <w:r w:rsidRPr="00BF6B72">
        <w:rPr>
          <w:rFonts w:cs="Times New Roman"/>
          <w:szCs w:val="24"/>
        </w:rPr>
        <w:t xml:space="preserve"> </w:t>
      </w:r>
    </w:p>
    <w:p w:rsidR="003109C9" w:rsidRPr="00BF6B72" w:rsidP="002D73FD">
      <w:pPr>
        <w:autoSpaceDE w:val="0"/>
        <w:autoSpaceDN w:val="0"/>
        <w:adjustRightInd w:val="0"/>
        <w:spacing w:after="0" w:line="480" w:lineRule="auto"/>
        <w:ind w:firstLine="720"/>
        <w:rPr>
          <w:rFonts w:cs="Times New Roman"/>
          <w:szCs w:val="24"/>
        </w:rPr>
      </w:pPr>
      <w:r w:rsidRPr="00BF6B72">
        <w:rPr>
          <w:rFonts w:cs="Times New Roman"/>
          <w:szCs w:val="24"/>
        </w:rPr>
        <w:t xml:space="preserve">AEP argues that </w:t>
      </w:r>
      <w:r w:rsidR="00623681">
        <w:rPr>
          <w:rFonts w:cs="Times New Roman"/>
          <w:szCs w:val="24"/>
        </w:rPr>
        <w:t>because the</w:t>
      </w:r>
      <w:r w:rsidRPr="00BF6B72" w:rsidR="00623681">
        <w:rPr>
          <w:rFonts w:cs="Times New Roman"/>
          <w:szCs w:val="24"/>
        </w:rPr>
        <w:t xml:space="preserve"> </w:t>
      </w:r>
      <w:r w:rsidRPr="00BF6B72">
        <w:rPr>
          <w:rFonts w:cs="Times New Roman"/>
          <w:szCs w:val="24"/>
        </w:rPr>
        <w:t xml:space="preserve">PUCO Staff did not contend that any activities AEP took in 2016 were not beneficial, </w:t>
      </w:r>
      <w:r w:rsidRPr="00BF6B72" w:rsidR="00F72CBB">
        <w:rPr>
          <w:rFonts w:cs="Times New Roman"/>
          <w:szCs w:val="24"/>
        </w:rPr>
        <w:t>would reduce future spending, or would reduce future tree growth</w:t>
      </w:r>
      <w:r w:rsidRPr="00BF6B72" w:rsidR="00D33CFB">
        <w:rPr>
          <w:rFonts w:cs="Times New Roman"/>
          <w:szCs w:val="24"/>
        </w:rPr>
        <w:t xml:space="preserve">, that </w:t>
      </w:r>
      <w:r w:rsidRPr="00BF6B72">
        <w:rPr>
          <w:rFonts w:cs="Times New Roman"/>
          <w:szCs w:val="24"/>
        </w:rPr>
        <w:t>its spending was prudent.</w:t>
      </w:r>
      <w:r>
        <w:rPr>
          <w:rStyle w:val="FootnoteReference"/>
          <w:rFonts w:cs="Times New Roman"/>
          <w:szCs w:val="24"/>
        </w:rPr>
        <w:footnoteReference w:id="42"/>
      </w:r>
      <w:r w:rsidRPr="00BF6B72">
        <w:rPr>
          <w:rFonts w:cs="Times New Roman"/>
          <w:szCs w:val="24"/>
        </w:rPr>
        <w:t xml:space="preserve"> </w:t>
      </w:r>
      <w:r w:rsidRPr="00BF6B72" w:rsidR="0098389E">
        <w:rPr>
          <w:rFonts w:cs="Times New Roman"/>
          <w:szCs w:val="24"/>
        </w:rPr>
        <w:t>This argument is a red herring. The</w:t>
      </w:r>
      <w:r w:rsidRPr="00BF6B72">
        <w:rPr>
          <w:rFonts w:cs="Times New Roman"/>
          <w:szCs w:val="24"/>
        </w:rPr>
        <w:t xml:space="preserve"> PUCO’s prudency review is not based </w:t>
      </w:r>
      <w:r w:rsidRPr="00BF6B72">
        <w:rPr>
          <w:rFonts w:cs="Times New Roman"/>
          <w:i/>
          <w:iCs/>
          <w:szCs w:val="24"/>
        </w:rPr>
        <w:t>solely</w:t>
      </w:r>
      <w:r w:rsidRPr="00BF6B72">
        <w:rPr>
          <w:rFonts w:cs="Times New Roman"/>
          <w:szCs w:val="24"/>
        </w:rPr>
        <w:t xml:space="preserve"> on </w:t>
      </w:r>
      <w:r w:rsidRPr="00BF6B72" w:rsidR="00D33CFB">
        <w:rPr>
          <w:rFonts w:cs="Times New Roman"/>
          <w:szCs w:val="24"/>
        </w:rPr>
        <w:t>these factors</w:t>
      </w:r>
      <w:r w:rsidRPr="00BF6B72">
        <w:rPr>
          <w:rFonts w:cs="Times New Roman"/>
          <w:szCs w:val="24"/>
        </w:rPr>
        <w:t>.</w:t>
      </w:r>
      <w:r>
        <w:rPr>
          <w:rStyle w:val="FootnoteReference"/>
          <w:rFonts w:cs="Times New Roman"/>
          <w:szCs w:val="24"/>
        </w:rPr>
        <w:footnoteReference w:id="43"/>
      </w:r>
      <w:r w:rsidRPr="00BF6B72">
        <w:rPr>
          <w:rFonts w:cs="Times New Roman"/>
          <w:szCs w:val="24"/>
        </w:rPr>
        <w:t xml:space="preserve"> </w:t>
      </w:r>
      <w:r w:rsidR="00531AF8">
        <w:rPr>
          <w:rFonts w:cs="Times New Roman"/>
          <w:szCs w:val="24"/>
        </w:rPr>
        <w:t>As protecting consumers requires, t</w:t>
      </w:r>
      <w:r w:rsidRPr="00BF6B72">
        <w:rPr>
          <w:rFonts w:cs="Times New Roman"/>
          <w:szCs w:val="24"/>
        </w:rPr>
        <w:t xml:space="preserve">hese factors </w:t>
      </w:r>
      <w:r w:rsidRPr="00BF6B72" w:rsidR="0098389E">
        <w:rPr>
          <w:rFonts w:cs="Times New Roman"/>
          <w:szCs w:val="24"/>
        </w:rPr>
        <w:t>are</w:t>
      </w:r>
      <w:r w:rsidRPr="00BF6B72">
        <w:rPr>
          <w:rFonts w:cs="Times New Roman"/>
          <w:szCs w:val="24"/>
        </w:rPr>
        <w:t xml:space="preserve"> </w:t>
      </w:r>
      <w:r w:rsidRPr="00BF6B72">
        <w:rPr>
          <w:rFonts w:cs="Times New Roman"/>
          <w:i/>
          <w:iCs/>
          <w:szCs w:val="24"/>
        </w:rPr>
        <w:t>in addition to</w:t>
      </w:r>
      <w:r w:rsidRPr="00BF6B72">
        <w:rPr>
          <w:rFonts w:cs="Times New Roman"/>
          <w:szCs w:val="24"/>
        </w:rPr>
        <w:t xml:space="preserve"> expenses being “prudently incurred.”</w:t>
      </w:r>
      <w:r>
        <w:rPr>
          <w:rStyle w:val="FootnoteReference"/>
          <w:rFonts w:cs="Times New Roman"/>
          <w:szCs w:val="24"/>
        </w:rPr>
        <w:footnoteReference w:id="44"/>
      </w:r>
      <w:r w:rsidRPr="00BF6B72">
        <w:rPr>
          <w:rFonts w:cs="Times New Roman"/>
          <w:szCs w:val="24"/>
        </w:rPr>
        <w:t xml:space="preserve"> </w:t>
      </w:r>
    </w:p>
    <w:p w:rsidR="00E43EE4" w:rsidRPr="00BF6B72" w:rsidP="00E43EE4">
      <w:pPr>
        <w:autoSpaceDE w:val="0"/>
        <w:autoSpaceDN w:val="0"/>
        <w:adjustRightInd w:val="0"/>
        <w:spacing w:after="0" w:line="480" w:lineRule="auto"/>
        <w:ind w:firstLine="720"/>
        <w:rPr>
          <w:rFonts w:cs="Times New Roman"/>
          <w:szCs w:val="24"/>
        </w:rPr>
      </w:pPr>
      <w:r w:rsidRPr="00BF6B72">
        <w:rPr>
          <w:rFonts w:cs="Times New Roman"/>
          <w:szCs w:val="24"/>
        </w:rPr>
        <w:t>Further</w:t>
      </w:r>
      <w:r w:rsidRPr="00BF6B72" w:rsidR="008474D1">
        <w:rPr>
          <w:rFonts w:cs="Times New Roman"/>
          <w:szCs w:val="24"/>
        </w:rPr>
        <w:t>,</w:t>
      </w:r>
      <w:r w:rsidRPr="00BF6B72">
        <w:rPr>
          <w:rFonts w:cs="Times New Roman"/>
          <w:szCs w:val="24"/>
        </w:rPr>
        <w:t xml:space="preserve"> AEP admitted that PUCO Staff has the discretion to use a cap as a tool to evaluate the prudency of vegetation management spending.</w:t>
      </w:r>
      <w:r>
        <w:rPr>
          <w:rStyle w:val="FootnoteReference"/>
          <w:rFonts w:cs="Times New Roman"/>
          <w:szCs w:val="24"/>
        </w:rPr>
        <w:footnoteReference w:id="45"/>
      </w:r>
      <w:r w:rsidRPr="00BF6B72">
        <w:rPr>
          <w:rFonts w:cs="Times New Roman"/>
          <w:szCs w:val="24"/>
        </w:rPr>
        <w:t xml:space="preserve"> That is exactly what PUCO Staff did in this case when it found that AEP’s vegetation management spending was imprudent because it </w:t>
      </w:r>
      <w:r w:rsidRPr="00BF6B72">
        <w:rPr>
          <w:rFonts w:cs="Times New Roman"/>
          <w:i/>
          <w:iCs/>
          <w:szCs w:val="24"/>
        </w:rPr>
        <w:t>materially exceeded</w:t>
      </w:r>
      <w:r w:rsidRPr="00BF6B72">
        <w:rPr>
          <w:rFonts w:cs="Times New Roman"/>
          <w:szCs w:val="24"/>
        </w:rPr>
        <w:t xml:space="preserve"> the caps</w:t>
      </w:r>
      <w:r w:rsidRPr="00BF6B72">
        <w:rPr>
          <w:rFonts w:cs="Times New Roman"/>
          <w:szCs w:val="24"/>
        </w:rPr>
        <w:t xml:space="preserve">.  </w:t>
      </w:r>
      <w:r w:rsidR="00531AF8">
        <w:rPr>
          <w:rFonts w:cs="Times New Roman"/>
          <w:szCs w:val="24"/>
        </w:rPr>
        <w:t xml:space="preserve">Consumer protection requires that </w:t>
      </w:r>
      <w:r w:rsidRPr="00BF6B72">
        <w:rPr>
          <w:rFonts w:cs="Times New Roman"/>
          <w:szCs w:val="24"/>
        </w:rPr>
        <w:t>AEP</w:t>
      </w:r>
      <w:r w:rsidRPr="00BF6B72">
        <w:rPr>
          <w:rFonts w:cs="Times New Roman"/>
          <w:szCs w:val="24"/>
        </w:rPr>
        <w:t xml:space="preserve"> not be entitled to recover such an overspend.</w:t>
      </w:r>
      <w:r>
        <w:rPr>
          <w:rStyle w:val="FootnoteReference"/>
          <w:rFonts w:cs="Times New Roman"/>
          <w:szCs w:val="24"/>
        </w:rPr>
        <w:footnoteReference w:id="46"/>
      </w:r>
      <w:r w:rsidRPr="00BF6B72">
        <w:rPr>
          <w:rFonts w:cs="Times New Roman"/>
          <w:szCs w:val="24"/>
        </w:rPr>
        <w:t xml:space="preserve"> </w:t>
      </w:r>
    </w:p>
    <w:p w:rsidR="0098389E" w:rsidRPr="00BF6B72" w:rsidP="002D73FD">
      <w:pPr>
        <w:autoSpaceDE w:val="0"/>
        <w:autoSpaceDN w:val="0"/>
        <w:adjustRightInd w:val="0"/>
        <w:spacing w:after="0" w:line="480" w:lineRule="auto"/>
        <w:ind w:firstLine="720"/>
        <w:rPr>
          <w:rFonts w:cs="Times New Roman"/>
          <w:szCs w:val="24"/>
        </w:rPr>
      </w:pPr>
      <w:r w:rsidRPr="00BF6B72">
        <w:rPr>
          <w:rFonts w:cs="Times New Roman"/>
          <w:szCs w:val="24"/>
        </w:rPr>
        <w:t>AEP also alleges that PUCO Staff did not “identify any imprudent spend by the Company in connection with the financial audit</w:t>
      </w:r>
      <w:r w:rsidRPr="00BF6B72" w:rsidR="00043E1C">
        <w:rPr>
          <w:rFonts w:cs="Times New Roman"/>
          <w:szCs w:val="24"/>
        </w:rPr>
        <w:t>.”</w:t>
      </w:r>
      <w:r>
        <w:rPr>
          <w:rStyle w:val="FootnoteReference"/>
          <w:rFonts w:cs="Times New Roman"/>
          <w:szCs w:val="24"/>
        </w:rPr>
        <w:footnoteReference w:id="47"/>
      </w:r>
      <w:r w:rsidRPr="00BF6B72" w:rsidR="00043E1C">
        <w:rPr>
          <w:rFonts w:cs="Times New Roman"/>
          <w:szCs w:val="24"/>
        </w:rPr>
        <w:t xml:space="preserve"> But AEP is mischaracterizing PUCO Staff’s testimony. </w:t>
      </w:r>
      <w:r w:rsidRPr="00BF6B72" w:rsidR="003A1ACE">
        <w:rPr>
          <w:rFonts w:cs="Times New Roman"/>
          <w:szCs w:val="24"/>
        </w:rPr>
        <w:t>PUCO Staff did not say that</w:t>
      </w:r>
      <w:r w:rsidRPr="00BF6B72" w:rsidR="008474D1">
        <w:rPr>
          <w:rFonts w:cs="Times New Roman"/>
          <w:szCs w:val="24"/>
        </w:rPr>
        <w:t xml:space="preserve"> </w:t>
      </w:r>
      <w:r w:rsidRPr="00BF6B72" w:rsidR="003A1ACE">
        <w:rPr>
          <w:rFonts w:cs="Times New Roman"/>
          <w:szCs w:val="24"/>
        </w:rPr>
        <w:t xml:space="preserve">there was </w:t>
      </w:r>
      <w:r w:rsidRPr="00BF6B72" w:rsidR="003A1ACE">
        <w:rPr>
          <w:rFonts w:cs="Times New Roman"/>
          <w:i/>
          <w:iCs/>
          <w:szCs w:val="24"/>
        </w:rPr>
        <w:t>no</w:t>
      </w:r>
      <w:r w:rsidRPr="00BF6B72" w:rsidR="003A1ACE">
        <w:rPr>
          <w:rFonts w:cs="Times New Roman"/>
          <w:szCs w:val="24"/>
        </w:rPr>
        <w:t xml:space="preserve"> imprudent spending. </w:t>
      </w:r>
      <w:r w:rsidRPr="00BF6B72" w:rsidR="00043E1C">
        <w:rPr>
          <w:rFonts w:cs="Times New Roman"/>
          <w:szCs w:val="24"/>
        </w:rPr>
        <w:t xml:space="preserve">PUCO Staff said it did not find any non-prudent </w:t>
      </w:r>
      <w:r w:rsidRPr="00BF6B72" w:rsidR="00043E1C">
        <w:rPr>
          <w:rFonts w:cs="Times New Roman"/>
          <w:i/>
          <w:iCs/>
          <w:szCs w:val="24"/>
        </w:rPr>
        <w:t>individ</w:t>
      </w:r>
      <w:r w:rsidRPr="00BF6B72" w:rsidR="00834FB2">
        <w:rPr>
          <w:rFonts w:cs="Times New Roman"/>
          <w:i/>
          <w:iCs/>
          <w:szCs w:val="24"/>
        </w:rPr>
        <w:t>ual</w:t>
      </w:r>
      <w:r w:rsidRPr="00BF6B72" w:rsidR="00834FB2">
        <w:rPr>
          <w:rFonts w:cs="Times New Roman"/>
          <w:szCs w:val="24"/>
        </w:rPr>
        <w:t xml:space="preserve"> expenses.</w:t>
      </w:r>
      <w:r>
        <w:rPr>
          <w:rStyle w:val="FootnoteReference"/>
          <w:rFonts w:cs="Times New Roman"/>
          <w:szCs w:val="24"/>
        </w:rPr>
        <w:footnoteReference w:id="48"/>
      </w:r>
      <w:r w:rsidRPr="00BF6B72" w:rsidR="00834FB2">
        <w:rPr>
          <w:rFonts w:cs="Times New Roman"/>
          <w:szCs w:val="24"/>
        </w:rPr>
        <w:t xml:space="preserve"> </w:t>
      </w:r>
    </w:p>
    <w:p w:rsidR="00BF7290" w:rsidRPr="00BF6B72" w:rsidP="004924B6">
      <w:pPr>
        <w:autoSpaceDE w:val="0"/>
        <w:autoSpaceDN w:val="0"/>
        <w:adjustRightInd w:val="0"/>
        <w:spacing w:after="0" w:line="480" w:lineRule="auto"/>
        <w:ind w:firstLine="720"/>
        <w:rPr>
          <w:rFonts w:cs="Times New Roman"/>
          <w:szCs w:val="24"/>
        </w:rPr>
      </w:pPr>
      <w:r w:rsidRPr="00BF6B72">
        <w:rPr>
          <w:rFonts w:cs="Times New Roman"/>
          <w:szCs w:val="24"/>
        </w:rPr>
        <w:t>AEP is attempting to cherry-pick components of the prudency review that it believes are favorable, while ignoring those components that are not favorable.</w:t>
      </w:r>
      <w:r>
        <w:rPr>
          <w:rStyle w:val="FootnoteReference"/>
          <w:rFonts w:cs="Times New Roman"/>
          <w:szCs w:val="24"/>
        </w:rPr>
        <w:footnoteReference w:id="49"/>
      </w:r>
      <w:r w:rsidRPr="00BF6B72">
        <w:rPr>
          <w:rFonts w:cs="Times New Roman"/>
          <w:szCs w:val="24"/>
        </w:rPr>
        <w:t xml:space="preserve"> PUCO Staff Witness Parks testified that the purpose of his “testimony was to address Staff’s approach in its prudency review given the spending levels established by the Commission.”</w:t>
      </w:r>
      <w:r>
        <w:rPr>
          <w:rStyle w:val="FootnoteReference"/>
          <w:rFonts w:cs="Times New Roman"/>
          <w:szCs w:val="24"/>
        </w:rPr>
        <w:footnoteReference w:id="50"/>
      </w:r>
      <w:r w:rsidRPr="00BF6B72">
        <w:rPr>
          <w:rFonts w:cs="Times New Roman"/>
          <w:szCs w:val="24"/>
        </w:rPr>
        <w:t xml:space="preserve"> Despite AEP’s attempts to mischaracterize the </w:t>
      </w:r>
      <w:r w:rsidRPr="00BF6B72" w:rsidR="009A44DC">
        <w:rPr>
          <w:rFonts w:cs="Times New Roman"/>
          <w:szCs w:val="24"/>
        </w:rPr>
        <w:t>prudency</w:t>
      </w:r>
      <w:r w:rsidRPr="00BF6B72">
        <w:rPr>
          <w:rFonts w:cs="Times New Roman"/>
          <w:szCs w:val="24"/>
        </w:rPr>
        <w:t xml:space="preserve"> review methodology and PUCO Staff’s testimony, Mr. Parks </w:t>
      </w:r>
      <w:r w:rsidRPr="00BF6B72" w:rsidR="00664E79">
        <w:rPr>
          <w:rFonts w:cs="Times New Roman"/>
          <w:szCs w:val="24"/>
        </w:rPr>
        <w:t>did not equate purported</w:t>
      </w:r>
      <w:r w:rsidRPr="00BF6B72">
        <w:rPr>
          <w:rFonts w:cs="Times New Roman"/>
          <w:szCs w:val="24"/>
        </w:rPr>
        <w:t xml:space="preserve"> </w:t>
      </w:r>
      <w:r w:rsidRPr="00BF6B72" w:rsidR="00664E79">
        <w:rPr>
          <w:rFonts w:cs="Times New Roman"/>
          <w:szCs w:val="24"/>
        </w:rPr>
        <w:t>“</w:t>
      </w:r>
      <w:r w:rsidRPr="00BF6B72">
        <w:rPr>
          <w:rFonts w:cs="Times New Roman"/>
          <w:szCs w:val="24"/>
        </w:rPr>
        <w:t>beneficial</w:t>
      </w:r>
      <w:r w:rsidRPr="00BF6B72" w:rsidR="00664E79">
        <w:rPr>
          <w:rFonts w:cs="Times New Roman"/>
          <w:szCs w:val="24"/>
        </w:rPr>
        <w:t>”</w:t>
      </w:r>
      <w:r w:rsidRPr="00BF6B72">
        <w:rPr>
          <w:rFonts w:cs="Times New Roman"/>
          <w:szCs w:val="24"/>
        </w:rPr>
        <w:t xml:space="preserve"> activities </w:t>
      </w:r>
      <w:r w:rsidRPr="00BF6B72" w:rsidR="00664E79">
        <w:rPr>
          <w:rFonts w:cs="Times New Roman"/>
          <w:szCs w:val="24"/>
        </w:rPr>
        <w:t xml:space="preserve">with </w:t>
      </w:r>
      <w:r w:rsidRPr="00BF6B72">
        <w:rPr>
          <w:rFonts w:cs="Times New Roman"/>
          <w:szCs w:val="24"/>
        </w:rPr>
        <w:t>prudency.</w:t>
      </w:r>
      <w:r>
        <w:rPr>
          <w:rStyle w:val="FootnoteReference"/>
          <w:rFonts w:cs="Times New Roman"/>
          <w:szCs w:val="24"/>
        </w:rPr>
        <w:footnoteReference w:id="51"/>
      </w:r>
      <w:r w:rsidRPr="00BF6B72">
        <w:rPr>
          <w:rFonts w:cs="Times New Roman"/>
          <w:szCs w:val="24"/>
        </w:rPr>
        <w:t xml:space="preserve"> </w:t>
      </w:r>
      <w:r w:rsidRPr="00BF6B72" w:rsidR="00664E79">
        <w:rPr>
          <w:rFonts w:cs="Times New Roman"/>
          <w:szCs w:val="24"/>
        </w:rPr>
        <w:t>But</w:t>
      </w:r>
      <w:r w:rsidRPr="00BF6B72">
        <w:rPr>
          <w:rFonts w:cs="Times New Roman"/>
          <w:szCs w:val="24"/>
        </w:rPr>
        <w:t xml:space="preserve"> </w:t>
      </w:r>
      <w:r w:rsidRPr="00BF6B72" w:rsidR="00664E79">
        <w:rPr>
          <w:rFonts w:cs="Times New Roman"/>
          <w:szCs w:val="24"/>
        </w:rPr>
        <w:t>Mr. Parks</w:t>
      </w:r>
      <w:r w:rsidRPr="00BF6B72">
        <w:rPr>
          <w:rFonts w:cs="Times New Roman"/>
          <w:szCs w:val="24"/>
        </w:rPr>
        <w:t xml:space="preserve"> </w:t>
      </w:r>
      <w:r w:rsidRPr="00BF6B72">
        <w:rPr>
          <w:rFonts w:cs="Times New Roman"/>
          <w:i/>
          <w:iCs/>
          <w:szCs w:val="24"/>
        </w:rPr>
        <w:t xml:space="preserve">did </w:t>
      </w:r>
      <w:r w:rsidRPr="00BF6B72">
        <w:rPr>
          <w:rFonts w:cs="Times New Roman"/>
          <w:szCs w:val="24"/>
        </w:rPr>
        <w:t>say that he recommended disallowances of approximately $5.1 as a result of his review.</w:t>
      </w:r>
      <w:r>
        <w:rPr>
          <w:rStyle w:val="FootnoteReference"/>
          <w:rFonts w:cs="Times New Roman"/>
          <w:szCs w:val="24"/>
        </w:rPr>
        <w:footnoteReference w:id="52"/>
      </w:r>
      <w:r w:rsidRPr="00BF6B72">
        <w:rPr>
          <w:rFonts w:cs="Times New Roman"/>
          <w:szCs w:val="24"/>
        </w:rPr>
        <w:t xml:space="preserve"> Contrary to what AEP argues, </w:t>
      </w:r>
      <w:r w:rsidRPr="00BF6B72" w:rsidR="00664E79">
        <w:rPr>
          <w:rFonts w:cs="Times New Roman"/>
          <w:szCs w:val="24"/>
        </w:rPr>
        <w:t xml:space="preserve">PUCO </w:t>
      </w:r>
      <w:r w:rsidRPr="00BF6B72">
        <w:rPr>
          <w:rFonts w:cs="Times New Roman"/>
          <w:szCs w:val="24"/>
        </w:rPr>
        <w:t xml:space="preserve">Staff did in fact perform a prudency review of AEP’s </w:t>
      </w:r>
      <w:r w:rsidRPr="00BF6B72" w:rsidR="00664E79">
        <w:rPr>
          <w:rFonts w:cs="Times New Roman"/>
          <w:szCs w:val="24"/>
        </w:rPr>
        <w:t xml:space="preserve">tree-trimming rider </w:t>
      </w:r>
      <w:r w:rsidRPr="00BF6B72">
        <w:rPr>
          <w:rFonts w:cs="Times New Roman"/>
          <w:szCs w:val="24"/>
        </w:rPr>
        <w:t>and found imprudent spending of over $5 million.</w:t>
      </w:r>
      <w:r>
        <w:rPr>
          <w:rStyle w:val="FootnoteReference"/>
          <w:rFonts w:cs="Times New Roman"/>
          <w:szCs w:val="24"/>
        </w:rPr>
        <w:footnoteReference w:id="53"/>
      </w:r>
      <w:r w:rsidRPr="00BF6B72">
        <w:rPr>
          <w:rFonts w:cs="Times New Roman"/>
          <w:szCs w:val="24"/>
        </w:rPr>
        <w:t xml:space="preserve"> </w:t>
      </w:r>
    </w:p>
    <w:p w:rsidR="00525CDD" w:rsidRPr="00BF6B72" w:rsidP="00525CDD">
      <w:pPr>
        <w:autoSpaceDE w:val="0"/>
        <w:autoSpaceDN w:val="0"/>
        <w:adjustRightInd w:val="0"/>
        <w:spacing w:after="0" w:line="480" w:lineRule="auto"/>
        <w:ind w:firstLine="720"/>
        <w:rPr>
          <w:rFonts w:cs="Times New Roman"/>
          <w:szCs w:val="24"/>
        </w:rPr>
      </w:pPr>
      <w:r w:rsidRPr="00BF6B72">
        <w:rPr>
          <w:rFonts w:cs="Times New Roman"/>
          <w:szCs w:val="24"/>
        </w:rPr>
        <w:t>Even with the excessive amounts it spent above the cap, AEP is not performing vegetation management on the four-year cycle, as required.</w:t>
      </w:r>
      <w:r>
        <w:rPr>
          <w:rStyle w:val="FootnoteReference"/>
          <w:rFonts w:cs="Times New Roman"/>
          <w:szCs w:val="24"/>
        </w:rPr>
        <w:footnoteReference w:id="54"/>
      </w:r>
      <w:r w:rsidRPr="00BF6B72">
        <w:rPr>
          <w:rFonts w:cs="Times New Roman"/>
          <w:szCs w:val="24"/>
        </w:rPr>
        <w:t xml:space="preserve"> Nor is service reliability improving as a result of </w:t>
      </w:r>
      <w:r w:rsidRPr="00BF6B72" w:rsidR="00664E79">
        <w:rPr>
          <w:rFonts w:cs="Times New Roman"/>
          <w:szCs w:val="24"/>
        </w:rPr>
        <w:t xml:space="preserve">AEP’s </w:t>
      </w:r>
      <w:r w:rsidRPr="00BF6B72">
        <w:rPr>
          <w:rFonts w:cs="Times New Roman"/>
          <w:szCs w:val="24"/>
        </w:rPr>
        <w:t>spending.</w:t>
      </w:r>
      <w:r>
        <w:rPr>
          <w:rStyle w:val="FootnoteReference"/>
          <w:rFonts w:cs="Times New Roman"/>
          <w:szCs w:val="24"/>
        </w:rPr>
        <w:footnoteReference w:id="55"/>
      </w:r>
      <w:r w:rsidRPr="00BF6B72">
        <w:rPr>
          <w:rFonts w:cs="Times New Roman"/>
          <w:szCs w:val="24"/>
        </w:rPr>
        <w:t xml:space="preserve"> Despite the additional money that AEP has charged consumers for vegetation management under the </w:t>
      </w:r>
      <w:r w:rsidRPr="00BF6B72" w:rsidR="00664E79">
        <w:rPr>
          <w:rFonts w:cs="Times New Roman"/>
          <w:szCs w:val="24"/>
        </w:rPr>
        <w:t>tree-trimming rider</w:t>
      </w:r>
      <w:r w:rsidRPr="00BF6B72">
        <w:rPr>
          <w:rFonts w:cs="Times New Roman"/>
          <w:szCs w:val="24"/>
        </w:rPr>
        <w:t>, tree-caused outages are continuing to have a significant negative impact on customer reliability.</w:t>
      </w:r>
      <w:r>
        <w:rPr>
          <w:rStyle w:val="FootnoteReference"/>
          <w:rFonts w:cs="Times New Roman"/>
          <w:szCs w:val="24"/>
        </w:rPr>
        <w:footnoteReference w:id="56"/>
      </w:r>
      <w:r w:rsidRPr="00BF6B72">
        <w:rPr>
          <w:rFonts w:cs="Times New Roman"/>
          <w:szCs w:val="24"/>
        </w:rPr>
        <w:t xml:space="preserve"> This result </w:t>
      </w:r>
      <w:r w:rsidRPr="00BF6B72" w:rsidR="00664E79">
        <w:rPr>
          <w:rFonts w:cs="Times New Roman"/>
          <w:szCs w:val="24"/>
        </w:rPr>
        <w:t xml:space="preserve">demonstrates that AEP’s tree-trimming spend above the PUCO-set cap is </w:t>
      </w:r>
      <w:r w:rsidRPr="00BF6B72">
        <w:rPr>
          <w:rFonts w:cs="Times New Roman"/>
          <w:szCs w:val="24"/>
        </w:rPr>
        <w:t>both imprudent and inappropriate.</w:t>
      </w:r>
      <w:r w:rsidR="00531AF8">
        <w:rPr>
          <w:rFonts w:cs="Times New Roman"/>
          <w:szCs w:val="24"/>
        </w:rPr>
        <w:t xml:space="preserve">  Such spending harms consumers and should not be permitted.</w:t>
      </w:r>
    </w:p>
    <w:p w:rsidR="008773DC" w:rsidP="00525CDD">
      <w:pPr>
        <w:autoSpaceDE w:val="0"/>
        <w:autoSpaceDN w:val="0"/>
        <w:adjustRightInd w:val="0"/>
        <w:spacing w:after="0" w:line="480" w:lineRule="auto"/>
        <w:ind w:firstLine="720"/>
        <w:rPr>
          <w:rFonts w:cs="Times New Roman"/>
          <w:szCs w:val="24"/>
        </w:rPr>
      </w:pPr>
      <w:r w:rsidRPr="00BF6B72">
        <w:rPr>
          <w:rFonts w:cs="Times New Roman"/>
          <w:szCs w:val="24"/>
        </w:rPr>
        <w:t xml:space="preserve">The PUCO has </w:t>
      </w:r>
      <w:r w:rsidRPr="00BF6B72" w:rsidR="00D5674B">
        <w:rPr>
          <w:rFonts w:cs="Times New Roman"/>
          <w:szCs w:val="24"/>
        </w:rPr>
        <w:t xml:space="preserve">already </w:t>
      </w:r>
      <w:r w:rsidRPr="00BF6B72">
        <w:rPr>
          <w:rFonts w:cs="Times New Roman"/>
          <w:szCs w:val="24"/>
        </w:rPr>
        <w:t>concluded that while the electric security plan statutes might permit single issue ratemaking in an ESP, there was no intent to provide electric utilities with a “blank check</w:t>
      </w:r>
      <w:r w:rsidRPr="00BF6B72" w:rsidR="00664E79">
        <w:rPr>
          <w:rFonts w:cs="Times New Roman"/>
          <w:szCs w:val="24"/>
        </w:rPr>
        <w:t>.</w:t>
      </w:r>
      <w:r w:rsidRPr="00BF6B72">
        <w:rPr>
          <w:rFonts w:cs="Times New Roman"/>
          <w:szCs w:val="24"/>
        </w:rPr>
        <w:t>”</w:t>
      </w:r>
      <w:r>
        <w:rPr>
          <w:rStyle w:val="FootnoteReference"/>
          <w:rFonts w:cs="Times New Roman"/>
          <w:szCs w:val="24"/>
        </w:rPr>
        <w:footnoteReference w:id="57"/>
      </w:r>
      <w:r w:rsidRPr="00BF6B72">
        <w:rPr>
          <w:rFonts w:cs="Times New Roman"/>
          <w:szCs w:val="24"/>
        </w:rPr>
        <w:t xml:space="preserve"> </w:t>
      </w:r>
      <w:r w:rsidRPr="00BF6B72" w:rsidR="00664E79">
        <w:rPr>
          <w:rFonts w:cs="Times New Roman"/>
          <w:szCs w:val="24"/>
        </w:rPr>
        <w:t>Here,</w:t>
      </w:r>
      <w:r w:rsidRPr="00BF6B72" w:rsidR="00D5674B">
        <w:rPr>
          <w:rFonts w:cs="Times New Roman"/>
          <w:szCs w:val="24"/>
        </w:rPr>
        <w:t xml:space="preserve"> AEP is asking the PUCO to </w:t>
      </w:r>
      <w:r w:rsidR="00BF6B72">
        <w:rPr>
          <w:rFonts w:cs="Times New Roman"/>
          <w:szCs w:val="24"/>
        </w:rPr>
        <w:t>give</w:t>
      </w:r>
      <w:r w:rsidRPr="00BF6B72" w:rsidR="00664E79">
        <w:rPr>
          <w:rFonts w:cs="Times New Roman"/>
          <w:szCs w:val="24"/>
        </w:rPr>
        <w:t xml:space="preserve"> it a blank check</w:t>
      </w:r>
      <w:r w:rsidR="009D5D34">
        <w:rPr>
          <w:rFonts w:cs="Times New Roman"/>
          <w:szCs w:val="24"/>
        </w:rPr>
        <w:t xml:space="preserve"> for unwarranted spending</w:t>
      </w:r>
      <w:r w:rsidRPr="00BF6B72" w:rsidR="00D5674B">
        <w:rPr>
          <w:rFonts w:cs="Times New Roman"/>
          <w:szCs w:val="24"/>
        </w:rPr>
        <w:t>.</w:t>
      </w:r>
      <w:r w:rsidRPr="00BF6B72" w:rsidR="00664E79">
        <w:rPr>
          <w:rFonts w:cs="Times New Roman"/>
          <w:szCs w:val="24"/>
        </w:rPr>
        <w:t xml:space="preserve">  </w:t>
      </w:r>
      <w:r w:rsidR="00531AF8">
        <w:rPr>
          <w:rFonts w:cs="Times New Roman"/>
          <w:szCs w:val="24"/>
        </w:rPr>
        <w:t>The PUCO should protect consumers and deny AEP’s request.</w:t>
      </w:r>
      <w:r w:rsidRPr="00BF6B72" w:rsidR="00D5674B">
        <w:rPr>
          <w:rFonts w:cs="Times New Roman"/>
          <w:szCs w:val="24"/>
        </w:rPr>
        <w:t xml:space="preserve"> </w:t>
      </w:r>
    </w:p>
    <w:p w:rsidR="009971CF" w:rsidRPr="00BF6B72" w:rsidP="009971CF">
      <w:pPr>
        <w:autoSpaceDE w:val="0"/>
        <w:autoSpaceDN w:val="0"/>
        <w:adjustRightInd w:val="0"/>
        <w:spacing w:after="0" w:line="240" w:lineRule="auto"/>
        <w:ind w:firstLine="720"/>
        <w:rPr>
          <w:rFonts w:cs="Times New Roman"/>
          <w:szCs w:val="24"/>
        </w:rPr>
      </w:pPr>
    </w:p>
    <w:p w:rsidR="00DA4E9F" w:rsidRPr="00BF6B72" w:rsidP="00DA4E9F">
      <w:pPr>
        <w:pStyle w:val="Heading1"/>
      </w:pPr>
      <w:bookmarkStart w:id="6" w:name="_Toc12969646"/>
      <w:r w:rsidRPr="00BF6B72">
        <w:t>CONCLUSION</w:t>
      </w:r>
      <w:bookmarkEnd w:id="6"/>
    </w:p>
    <w:p w:rsidR="00DA4E9F" w:rsidP="00DA4E9F">
      <w:pPr>
        <w:spacing w:after="0" w:line="480" w:lineRule="auto"/>
        <w:ind w:firstLine="720"/>
        <w:rPr>
          <w:rFonts w:cs="Times New Roman"/>
          <w:szCs w:val="24"/>
        </w:rPr>
      </w:pPr>
      <w:r w:rsidRPr="00BF6B72">
        <w:rPr>
          <w:rFonts w:cs="Times New Roman"/>
          <w:szCs w:val="24"/>
        </w:rPr>
        <w:t xml:space="preserve">The PUCO should not approve AEP’s </w:t>
      </w:r>
      <w:r w:rsidRPr="00BF6B72" w:rsidR="008D40BF">
        <w:rPr>
          <w:rFonts w:cs="Times New Roman"/>
          <w:szCs w:val="24"/>
        </w:rPr>
        <w:t xml:space="preserve">Application </w:t>
      </w:r>
      <w:r w:rsidRPr="00BF6B72">
        <w:rPr>
          <w:rFonts w:cs="Times New Roman"/>
          <w:szCs w:val="24"/>
        </w:rPr>
        <w:t>as filed</w:t>
      </w:r>
      <w:r w:rsidR="00F962F5">
        <w:rPr>
          <w:rFonts w:cs="Times New Roman"/>
          <w:szCs w:val="24"/>
        </w:rPr>
        <w:t xml:space="preserve"> given</w:t>
      </w:r>
      <w:r w:rsidR="00531AF8">
        <w:rPr>
          <w:rFonts w:cs="Times New Roman"/>
          <w:szCs w:val="24"/>
        </w:rPr>
        <w:t xml:space="preserve"> the amount of money that AEP spent above the consumer protection cap established by the PUCO</w:t>
      </w:r>
      <w:r w:rsidR="00F962F5">
        <w:rPr>
          <w:rFonts w:cs="Times New Roman"/>
          <w:szCs w:val="24"/>
        </w:rPr>
        <w:t xml:space="preserve">. </w:t>
      </w:r>
      <w:r w:rsidR="00531AF8">
        <w:rPr>
          <w:rFonts w:cs="Times New Roman"/>
          <w:szCs w:val="24"/>
        </w:rPr>
        <w:t xml:space="preserve"> </w:t>
      </w:r>
      <w:r w:rsidRPr="00BF6B72" w:rsidR="00A0158A">
        <w:rPr>
          <w:rFonts w:cs="Times New Roman"/>
          <w:szCs w:val="24"/>
        </w:rPr>
        <w:t xml:space="preserve">AEP has failed to comply with Ohio law and PUCO orders by spending above its approved cap by more than $3.4 million. </w:t>
      </w:r>
      <w:r w:rsidR="00F962F5">
        <w:rPr>
          <w:rFonts w:cs="Times New Roman"/>
          <w:szCs w:val="24"/>
        </w:rPr>
        <w:t>To protect consumers, the</w:t>
      </w:r>
      <w:r w:rsidRPr="00BF6B72" w:rsidR="00F962F5">
        <w:rPr>
          <w:rFonts w:cs="Times New Roman"/>
          <w:szCs w:val="24"/>
        </w:rPr>
        <w:t xml:space="preserve"> </w:t>
      </w:r>
      <w:r w:rsidRPr="00BF6B72" w:rsidR="00A0158A">
        <w:rPr>
          <w:rFonts w:cs="Times New Roman"/>
          <w:szCs w:val="24"/>
        </w:rPr>
        <w:t xml:space="preserve">PUCO should disallow </w:t>
      </w:r>
      <w:r w:rsidRPr="00BF6B72">
        <w:rPr>
          <w:rFonts w:cs="Times New Roman"/>
          <w:szCs w:val="24"/>
        </w:rPr>
        <w:t xml:space="preserve">recovery of </w:t>
      </w:r>
      <w:r w:rsidRPr="00BF6B72" w:rsidR="00A0158A">
        <w:rPr>
          <w:rFonts w:cs="Times New Roman"/>
          <w:szCs w:val="24"/>
        </w:rPr>
        <w:t xml:space="preserve">this amount as recommended by </w:t>
      </w:r>
      <w:r w:rsidRPr="00BF6B72" w:rsidR="007C7432">
        <w:rPr>
          <w:rFonts w:cs="Times New Roman"/>
          <w:szCs w:val="24"/>
        </w:rPr>
        <w:t xml:space="preserve">OCC and </w:t>
      </w:r>
      <w:r w:rsidRPr="00BF6B72" w:rsidR="00A0158A">
        <w:rPr>
          <w:rFonts w:cs="Times New Roman"/>
          <w:szCs w:val="24"/>
        </w:rPr>
        <w:t>PUCO Staff</w:t>
      </w:r>
      <w:r w:rsidRPr="00BF6B72" w:rsidR="007C7432">
        <w:rPr>
          <w:rFonts w:cs="Times New Roman"/>
          <w:szCs w:val="24"/>
        </w:rPr>
        <w:t>.</w:t>
      </w:r>
      <w:r w:rsidRPr="00BF6B72" w:rsidR="00A0158A">
        <w:rPr>
          <w:rFonts w:cs="Times New Roman"/>
          <w:szCs w:val="24"/>
        </w:rPr>
        <w:t xml:space="preserve"> </w:t>
      </w:r>
    </w:p>
    <w:p w:rsidR="00DA4E9F" w:rsidRPr="00BF6B72" w:rsidP="002D73FD">
      <w:pPr>
        <w:ind w:left="3600" w:firstLine="720"/>
        <w:rPr>
          <w:rFonts w:eastAsia="Times New Roman" w:cs="Times New Roman"/>
          <w:szCs w:val="24"/>
        </w:rPr>
      </w:pPr>
      <w:r w:rsidRPr="00BF6B72">
        <w:rPr>
          <w:rFonts w:eastAsia="Times New Roman" w:cs="Times New Roman"/>
          <w:szCs w:val="24"/>
        </w:rPr>
        <w:t>Respectfully submitted,</w:t>
      </w:r>
    </w:p>
    <w:p w:rsidR="00DA4E9F" w:rsidRPr="00BF6B72" w:rsidP="00DA4E9F">
      <w:pPr>
        <w:tabs>
          <w:tab w:val="left" w:pos="4320"/>
        </w:tabs>
        <w:overflowPunct w:val="0"/>
        <w:autoSpaceDE w:val="0"/>
        <w:autoSpaceDN w:val="0"/>
        <w:adjustRightInd w:val="0"/>
        <w:spacing w:after="0" w:line="240" w:lineRule="auto"/>
        <w:ind w:left="4320"/>
        <w:textAlignment w:val="baseline"/>
        <w:rPr>
          <w:rFonts w:eastAsia="Times New Roman" w:cs="Times New Roman"/>
          <w:szCs w:val="24"/>
        </w:rPr>
      </w:pPr>
      <w:r w:rsidRPr="00BF6B72">
        <w:rPr>
          <w:rFonts w:eastAsia="Times New Roman" w:cs="Times New Roman"/>
          <w:szCs w:val="24"/>
        </w:rPr>
        <w:t>Bruce Weston (0016973)</w:t>
      </w: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szCs w:val="24"/>
        </w:rPr>
        <w:t>Ohio Consumers’ Counsel</w:t>
      </w:r>
    </w:p>
    <w:p w:rsidR="00DA4E9F" w:rsidRPr="00BF6B72" w:rsidP="00DA4E9F">
      <w:pPr>
        <w:tabs>
          <w:tab w:val="left" w:pos="4320"/>
        </w:tabs>
        <w:spacing w:after="0" w:line="240" w:lineRule="auto"/>
        <w:ind w:left="4320"/>
        <w:rPr>
          <w:rFonts w:eastAsia="Times New Roman" w:cs="Times New Roman"/>
          <w:szCs w:val="24"/>
        </w:rPr>
      </w:pP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i/>
          <w:szCs w:val="24"/>
          <w:u w:val="single"/>
        </w:rPr>
        <w:t>/s/ Ambrosia E. Logsdon</w:t>
      </w:r>
      <w:r w:rsidRPr="00BF6B72">
        <w:rPr>
          <w:rFonts w:eastAsia="Times New Roman" w:cs="Times New Roman"/>
          <w:szCs w:val="24"/>
        </w:rPr>
        <w:tab/>
      </w: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szCs w:val="24"/>
        </w:rPr>
        <w:t>William J. Michael, (0070921)</w:t>
      </w: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szCs w:val="24"/>
        </w:rPr>
        <w:t>Counsel of Record</w:t>
      </w: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szCs w:val="24"/>
        </w:rPr>
        <w:t>Ambrosia E. Logsdon, (0096598)</w:t>
      </w: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szCs w:val="24"/>
        </w:rPr>
        <w:t>Assistant Consumers’ Counsel</w:t>
      </w:r>
    </w:p>
    <w:p w:rsidR="00DA4E9F" w:rsidRPr="00BF6B72" w:rsidP="00DA4E9F">
      <w:pPr>
        <w:tabs>
          <w:tab w:val="left" w:pos="4320"/>
        </w:tabs>
        <w:spacing w:after="0" w:line="240" w:lineRule="auto"/>
        <w:ind w:left="4320"/>
        <w:rPr>
          <w:rFonts w:eastAsia="Times New Roman" w:cs="Times New Roman"/>
          <w:szCs w:val="24"/>
        </w:rPr>
      </w:pPr>
      <w:r w:rsidRPr="00BF6B72">
        <w:rPr>
          <w:rFonts w:eastAsia="Times New Roman" w:cs="Times New Roman"/>
          <w:szCs w:val="24"/>
        </w:rPr>
        <w:tab/>
      </w:r>
    </w:p>
    <w:p w:rsidR="00DA4E9F" w:rsidRPr="00BF6B72" w:rsidP="00DA4E9F">
      <w:pPr>
        <w:spacing w:after="0" w:line="240" w:lineRule="auto"/>
        <w:ind w:left="4320"/>
        <w:rPr>
          <w:rFonts w:eastAsia="Times New Roman" w:cs="Times New Roman"/>
          <w:b/>
          <w:szCs w:val="24"/>
        </w:rPr>
      </w:pPr>
      <w:r w:rsidRPr="00BF6B72">
        <w:rPr>
          <w:rFonts w:eastAsia="Times New Roman" w:cs="Times New Roman"/>
          <w:b/>
          <w:szCs w:val="24"/>
        </w:rPr>
        <w:t>Office of the Ohio Consumers’ Counsel</w:t>
      </w:r>
    </w:p>
    <w:p w:rsidR="00DA4E9F" w:rsidRPr="00BF6B72" w:rsidP="00DA4E9F">
      <w:pPr>
        <w:spacing w:after="0" w:line="240" w:lineRule="auto"/>
        <w:ind w:left="4320"/>
        <w:rPr>
          <w:rFonts w:eastAsia="Times New Roman" w:cs="Times New Roman"/>
          <w:szCs w:val="24"/>
        </w:rPr>
      </w:pPr>
      <w:r w:rsidRPr="00BF6B72">
        <w:rPr>
          <w:rFonts w:eastAsia="Times New Roman" w:cs="Times New Roman"/>
          <w:szCs w:val="24"/>
        </w:rPr>
        <w:t>65 East State Street, 7</w:t>
      </w:r>
      <w:r w:rsidRPr="00BF6B72">
        <w:rPr>
          <w:rFonts w:eastAsia="Times New Roman" w:cs="Times New Roman"/>
          <w:szCs w:val="24"/>
          <w:vertAlign w:val="superscript"/>
        </w:rPr>
        <w:t>th</w:t>
      </w:r>
      <w:r w:rsidRPr="00BF6B72">
        <w:rPr>
          <w:rFonts w:eastAsia="Times New Roman" w:cs="Times New Roman"/>
          <w:szCs w:val="24"/>
        </w:rPr>
        <w:t xml:space="preserve"> Fl.</w:t>
      </w:r>
    </w:p>
    <w:p w:rsidR="00DA4E9F" w:rsidRPr="00BF6B72" w:rsidP="00DA4E9F">
      <w:pPr>
        <w:spacing w:after="0" w:line="240" w:lineRule="auto"/>
        <w:ind w:left="4320"/>
        <w:rPr>
          <w:rFonts w:eastAsia="Times New Roman" w:cs="Times New Roman"/>
          <w:b/>
          <w:szCs w:val="24"/>
        </w:rPr>
      </w:pPr>
      <w:r w:rsidRPr="00BF6B72">
        <w:rPr>
          <w:rFonts w:eastAsia="Times New Roman" w:cs="Times New Roman"/>
          <w:szCs w:val="24"/>
        </w:rPr>
        <w:t>Columbus, Ohio 43215</w:t>
      </w:r>
    </w:p>
    <w:p w:rsidR="00DA4E9F" w:rsidRPr="00BF6B72" w:rsidP="00DA4E9F">
      <w:pPr>
        <w:spacing w:after="0" w:line="240" w:lineRule="auto"/>
        <w:ind w:left="4320"/>
        <w:rPr>
          <w:rFonts w:eastAsia="Times New Roman" w:cs="Times New Roman"/>
          <w:szCs w:val="24"/>
        </w:rPr>
      </w:pPr>
      <w:r w:rsidRPr="00BF6B72">
        <w:rPr>
          <w:rFonts w:eastAsia="Times New Roman" w:cs="Times New Roman"/>
          <w:szCs w:val="24"/>
        </w:rPr>
        <w:t>Telephone: [Michael] (614) 466-1291</w:t>
      </w:r>
    </w:p>
    <w:p w:rsidR="00DA4E9F" w:rsidRPr="00BF6B72" w:rsidP="00DA4E9F">
      <w:pPr>
        <w:spacing w:after="0" w:line="240" w:lineRule="auto"/>
        <w:ind w:left="4320"/>
        <w:rPr>
          <w:rFonts w:eastAsia="Times New Roman" w:cs="Times New Roman"/>
          <w:szCs w:val="24"/>
        </w:rPr>
      </w:pPr>
      <w:r w:rsidRPr="00BF6B72">
        <w:rPr>
          <w:rFonts w:eastAsia="Times New Roman" w:cs="Times New Roman"/>
          <w:szCs w:val="24"/>
        </w:rPr>
        <w:t>Telephone: [Logsdon] (614) 466-1292</w:t>
      </w:r>
    </w:p>
    <w:p w:rsidR="00DA4E9F" w:rsidRPr="00BF6B72" w:rsidP="00DA4E9F">
      <w:pPr>
        <w:spacing w:after="0" w:line="240" w:lineRule="auto"/>
        <w:ind w:left="4320"/>
        <w:rPr>
          <w:rFonts w:eastAsia="Times New Roman" w:cs="Times New Roman"/>
          <w:szCs w:val="24"/>
        </w:rPr>
      </w:pPr>
      <w:r w:rsidRPr="00BF6B72">
        <w:rPr>
          <w:rFonts w:eastAsia="Times New Roman" w:cs="Times New Roman"/>
          <w:color w:val="0000FF" w:themeColor="hyperlink"/>
          <w:szCs w:val="24"/>
          <w:u w:val="single"/>
        </w:rPr>
        <w:t>william.michael@occ.ohio.gov</w:t>
      </w:r>
    </w:p>
    <w:p w:rsidR="00DA4E9F" w:rsidRPr="00BF6B72" w:rsidP="00DA4E9F">
      <w:pPr>
        <w:spacing w:after="0" w:line="240" w:lineRule="auto"/>
        <w:ind w:left="4320"/>
        <w:rPr>
          <w:rFonts w:eastAsia="Times New Roman" w:cs="Times New Roman"/>
          <w:szCs w:val="24"/>
        </w:rPr>
      </w:pPr>
      <w:r w:rsidRPr="00BF6B72">
        <w:rPr>
          <w:rFonts w:eastAsia="Times New Roman" w:cs="Times New Roman"/>
          <w:color w:val="0000FF" w:themeColor="hyperlink"/>
          <w:szCs w:val="24"/>
          <w:u w:val="single"/>
        </w:rPr>
        <w:t>Ambrosia.Logsdon@occ.ohio.gov</w:t>
      </w:r>
    </w:p>
    <w:p w:rsidR="00DA4E9F" w:rsidRPr="00BF6B72" w:rsidP="00DA4E9F">
      <w:pPr>
        <w:spacing w:after="0" w:line="240" w:lineRule="auto"/>
        <w:rPr>
          <w:rFonts w:eastAsia="Times New Roman" w:cs="Times New Roman"/>
          <w:szCs w:val="24"/>
        </w:rPr>
        <w:sectPr w:rsidSect="0034046D">
          <w:footerReference w:type="default" r:id="rId11"/>
          <w:pgSz w:w="12240" w:h="15840"/>
          <w:pgMar w:top="1440" w:right="1800" w:bottom="1440" w:left="1800" w:header="720" w:footer="720" w:gutter="0"/>
          <w:pgNumType w:start="2"/>
          <w:cols w:space="720"/>
          <w:docGrid w:linePitch="360"/>
        </w:sectPr>
      </w:pPr>
      <w:r w:rsidRPr="00BF6B72">
        <w:rPr>
          <w:rFonts w:eastAsia="Times New Roman" w:cs="Times New Roman"/>
          <w:szCs w:val="24"/>
        </w:rPr>
        <w:tab/>
      </w:r>
      <w:r w:rsidRPr="00BF6B72">
        <w:rPr>
          <w:rFonts w:eastAsia="Times New Roman" w:cs="Times New Roman"/>
          <w:szCs w:val="24"/>
        </w:rPr>
        <w:tab/>
      </w:r>
      <w:r w:rsidRPr="00BF6B72">
        <w:rPr>
          <w:rFonts w:eastAsia="Times New Roman" w:cs="Times New Roman"/>
          <w:szCs w:val="24"/>
        </w:rPr>
        <w:tab/>
      </w:r>
      <w:r w:rsidRPr="00BF6B72">
        <w:rPr>
          <w:rFonts w:eastAsia="Times New Roman" w:cs="Times New Roman"/>
          <w:szCs w:val="24"/>
        </w:rPr>
        <w:tab/>
      </w:r>
      <w:r w:rsidRPr="00BF6B72">
        <w:rPr>
          <w:rFonts w:eastAsia="Times New Roman" w:cs="Times New Roman"/>
          <w:szCs w:val="24"/>
        </w:rPr>
        <w:tab/>
        <w:t xml:space="preserve">            (Will accept service via email)</w:t>
      </w:r>
    </w:p>
    <w:p w:rsidR="00DA4E9F" w:rsidRPr="00BF6B72" w:rsidP="00DA4E9F">
      <w:pPr>
        <w:spacing w:after="0" w:line="240" w:lineRule="auto"/>
        <w:jc w:val="center"/>
        <w:rPr>
          <w:rFonts w:eastAsia="Calibri" w:cs="Times New Roman"/>
          <w:b/>
          <w:bCs/>
          <w:szCs w:val="24"/>
          <w:u w:val="single"/>
        </w:rPr>
      </w:pPr>
      <w:r w:rsidRPr="00BF6B72">
        <w:rPr>
          <w:rFonts w:eastAsia="Calibri" w:cs="Times New Roman"/>
          <w:b/>
          <w:bCs/>
          <w:szCs w:val="24"/>
          <w:u w:val="single"/>
        </w:rPr>
        <w:t>CERTIFICATE OF SERVICE</w:t>
      </w:r>
    </w:p>
    <w:p w:rsidR="00DA4E9F" w:rsidRPr="00BF6B72" w:rsidP="00DA4E9F">
      <w:pPr>
        <w:spacing w:after="0" w:line="480" w:lineRule="atLeast"/>
        <w:ind w:firstLine="720"/>
        <w:rPr>
          <w:rFonts w:eastAsia="Calibri" w:cs="Times New Roman"/>
          <w:szCs w:val="24"/>
        </w:rPr>
      </w:pPr>
      <w:r w:rsidRPr="00BF6B72">
        <w:rPr>
          <w:rFonts w:eastAsia="Calibri" w:cs="Times New Roman"/>
          <w:szCs w:val="24"/>
        </w:rPr>
        <w:t xml:space="preserve">I hereby certify that a copy of this </w:t>
      </w:r>
      <w:r w:rsidR="007435A4">
        <w:rPr>
          <w:rFonts w:eastAsia="Calibri" w:cs="Times New Roman"/>
          <w:szCs w:val="24"/>
        </w:rPr>
        <w:t>Reply</w:t>
      </w:r>
      <w:r w:rsidRPr="00BF6B72">
        <w:rPr>
          <w:rFonts w:eastAsia="Calibri" w:cs="Times New Roman"/>
          <w:szCs w:val="24"/>
        </w:rPr>
        <w:t xml:space="preserve"> Brief was served on the persons stated below via electronic service, this </w:t>
      </w:r>
      <w:r w:rsidRPr="00BF6B72" w:rsidR="00B5643B">
        <w:rPr>
          <w:rFonts w:eastAsia="Calibri" w:cs="Times New Roman"/>
          <w:szCs w:val="24"/>
        </w:rPr>
        <w:t xml:space="preserve">11th </w:t>
      </w:r>
      <w:r w:rsidRPr="00BF6B72">
        <w:rPr>
          <w:rFonts w:eastAsia="Calibri" w:cs="Times New Roman"/>
          <w:szCs w:val="24"/>
        </w:rPr>
        <w:t xml:space="preserve">day of </w:t>
      </w:r>
      <w:r w:rsidRPr="00BF6B72" w:rsidR="00AA1585">
        <w:rPr>
          <w:rFonts w:eastAsia="Calibri" w:cs="Times New Roman"/>
          <w:szCs w:val="24"/>
        </w:rPr>
        <w:t>July</w:t>
      </w:r>
      <w:r w:rsidRPr="00BF6B72">
        <w:rPr>
          <w:rFonts w:eastAsia="Calibri" w:cs="Times New Roman"/>
          <w:szCs w:val="24"/>
        </w:rPr>
        <w:t xml:space="preserve"> 2019.</w:t>
      </w:r>
    </w:p>
    <w:p w:rsidR="00DA4E9F" w:rsidRPr="00BF6B72" w:rsidP="00DA4E9F">
      <w:pPr>
        <w:spacing w:after="0" w:line="240" w:lineRule="auto"/>
        <w:rPr>
          <w:rFonts w:eastAsia="Calibri" w:cs="Times New Roman"/>
          <w:szCs w:val="24"/>
        </w:rPr>
      </w:pPr>
    </w:p>
    <w:p w:rsidR="00DA4E9F" w:rsidRPr="00BF6B72" w:rsidP="00DA4E9F">
      <w:pPr>
        <w:tabs>
          <w:tab w:val="left" w:pos="4320"/>
        </w:tabs>
        <w:spacing w:after="0" w:line="240" w:lineRule="auto"/>
        <w:rPr>
          <w:rFonts w:eastAsia="Calibri" w:cs="Times New Roman"/>
          <w:i/>
          <w:iCs/>
          <w:szCs w:val="24"/>
          <w:u w:val="single"/>
        </w:rPr>
      </w:pPr>
      <w:r w:rsidRPr="00BF6B72">
        <w:rPr>
          <w:rFonts w:eastAsia="Calibri" w:cs="Times New Roman"/>
          <w:iCs/>
          <w:szCs w:val="24"/>
        </w:rPr>
        <w:tab/>
      </w:r>
      <w:r w:rsidRPr="00BF6B72">
        <w:rPr>
          <w:rFonts w:eastAsia="Calibri" w:cs="Times New Roman"/>
          <w:iCs/>
          <w:szCs w:val="24"/>
        </w:rPr>
        <w:tab/>
      </w:r>
      <w:r w:rsidRPr="00BF6B72">
        <w:rPr>
          <w:rFonts w:eastAsia="Calibri" w:cs="Times New Roman"/>
          <w:i/>
          <w:iCs/>
          <w:szCs w:val="24"/>
          <w:u w:val="single"/>
        </w:rPr>
        <w:t>/s/ Ambrosia E. Logsdon</w:t>
      </w:r>
    </w:p>
    <w:p w:rsidR="00DA4E9F" w:rsidRPr="00BF6B72" w:rsidP="00DA4E9F">
      <w:pPr>
        <w:tabs>
          <w:tab w:val="left" w:pos="4320"/>
        </w:tabs>
        <w:spacing w:after="0" w:line="240" w:lineRule="auto"/>
        <w:rPr>
          <w:rFonts w:eastAsia="Calibri" w:cs="Times New Roman"/>
          <w:iCs/>
          <w:szCs w:val="24"/>
        </w:rPr>
      </w:pPr>
      <w:r w:rsidRPr="00BF6B72">
        <w:rPr>
          <w:rFonts w:eastAsia="Calibri" w:cs="Times New Roman"/>
          <w:iCs/>
          <w:szCs w:val="24"/>
        </w:rPr>
        <w:tab/>
      </w:r>
      <w:r w:rsidRPr="00BF6B72">
        <w:rPr>
          <w:rFonts w:eastAsia="Calibri" w:cs="Times New Roman"/>
          <w:iCs/>
          <w:szCs w:val="24"/>
        </w:rPr>
        <w:tab/>
        <w:t xml:space="preserve">Ambrosia E. Logsdon </w:t>
      </w:r>
    </w:p>
    <w:p w:rsidR="00DA4E9F" w:rsidRPr="00BF6B72" w:rsidP="00DA4E9F">
      <w:pPr>
        <w:tabs>
          <w:tab w:val="left" w:pos="4320"/>
        </w:tabs>
        <w:spacing w:after="0" w:line="240" w:lineRule="auto"/>
        <w:rPr>
          <w:rFonts w:eastAsia="Calibri" w:cs="Times New Roman"/>
          <w:iCs/>
          <w:szCs w:val="24"/>
        </w:rPr>
      </w:pPr>
      <w:r w:rsidRPr="00BF6B72">
        <w:rPr>
          <w:rFonts w:eastAsia="Calibri" w:cs="Times New Roman"/>
          <w:iCs/>
          <w:szCs w:val="24"/>
        </w:rPr>
        <w:tab/>
      </w:r>
      <w:r w:rsidRPr="00BF6B72">
        <w:rPr>
          <w:rFonts w:eastAsia="Calibri" w:cs="Times New Roman"/>
          <w:iCs/>
          <w:szCs w:val="24"/>
        </w:rPr>
        <w:tab/>
        <w:t>Assistant Consumers’ Counsel</w:t>
      </w:r>
    </w:p>
    <w:p w:rsidR="00DA4E9F" w:rsidRPr="00BF6B72" w:rsidP="00DA4E9F">
      <w:pPr>
        <w:spacing w:after="0" w:line="240" w:lineRule="auto"/>
        <w:rPr>
          <w:rFonts w:eastAsia="Times New Roman" w:cs="Times New Roman"/>
          <w:szCs w:val="24"/>
        </w:rPr>
      </w:pPr>
    </w:p>
    <w:p w:rsidR="00DA4E9F" w:rsidRPr="00BF6B72" w:rsidP="00DA4E9F">
      <w:pPr>
        <w:pStyle w:val="CommentText"/>
        <w:suppressLineNumbers/>
        <w:jc w:val="center"/>
        <w:rPr>
          <w:rFonts w:cs="Times New Roman"/>
          <w:b/>
          <w:sz w:val="24"/>
          <w:szCs w:val="24"/>
          <w:u w:val="single"/>
        </w:rPr>
      </w:pPr>
      <w:r w:rsidRPr="00BF6B72">
        <w:rPr>
          <w:rFonts w:cs="Times New Roman"/>
          <w:b/>
          <w:sz w:val="24"/>
          <w:szCs w:val="24"/>
          <w:u w:val="single"/>
        </w:rPr>
        <w:t>SERVICE LIST</w:t>
      </w:r>
    </w:p>
    <w:p w:rsidR="00DA4E9F" w:rsidRPr="00BF6B72" w:rsidP="00DA4E9F">
      <w:pPr>
        <w:pStyle w:val="CommentText"/>
        <w:suppressLineNumbers/>
        <w:spacing w:after="0"/>
        <w:jc w:val="center"/>
        <w:rPr>
          <w:rFonts w:cs="Times New Roman"/>
          <w:b/>
          <w:sz w:val="24"/>
          <w:szCs w:val="24"/>
          <w:u w:val="single"/>
        </w:rPr>
      </w:pPr>
    </w:p>
    <w:p w:rsidR="00DA4E9F" w:rsidRPr="00BF6B72" w:rsidP="00DA4E9F">
      <w:pPr>
        <w:pStyle w:val="CommentText"/>
        <w:suppressLineNumbers/>
        <w:spacing w:after="0"/>
        <w:jc w:val="center"/>
        <w:rPr>
          <w:rFonts w:cs="Times New Roman"/>
          <w:b/>
          <w:sz w:val="24"/>
          <w:szCs w:val="24"/>
          <w:u w:val="single"/>
        </w:rPr>
      </w:pPr>
    </w:p>
    <w:tbl>
      <w:tblPr>
        <w:tblW w:w="0" w:type="auto"/>
        <w:tblInd w:w="0" w:type="dxa"/>
        <w:tblCellMar>
          <w:top w:w="0" w:type="dxa"/>
          <w:left w:w="108" w:type="dxa"/>
          <w:bottom w:w="0" w:type="dxa"/>
          <w:right w:w="108" w:type="dxa"/>
        </w:tblCellMar>
        <w:tblLook w:val="04A0"/>
      </w:tblPr>
      <w:tblGrid>
        <w:gridCol w:w="4414"/>
        <w:gridCol w:w="4226"/>
      </w:tblGrid>
      <w:tr w:rsidTr="00DA4E9F">
        <w:tblPrEx>
          <w:tblW w:w="0" w:type="auto"/>
          <w:tblInd w:w="0" w:type="dxa"/>
          <w:tblCellMar>
            <w:top w:w="0" w:type="dxa"/>
            <w:left w:w="108" w:type="dxa"/>
            <w:bottom w:w="0" w:type="dxa"/>
            <w:right w:w="108" w:type="dxa"/>
          </w:tblCellMar>
          <w:tblLook w:val="04A0"/>
        </w:tblPrEx>
        <w:tc>
          <w:tcPr>
            <w:tcW w:w="4428" w:type="dxa"/>
          </w:tcPr>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"mailto:Werner.margard@ohioattorneygeneral.gov" </w:instrText>
            </w:r>
            <w:r>
              <w:fldChar w:fldCharType="separate"/>
            </w:r>
            <w:r w:rsidRPr="00BF6B72" w:rsidR="00A0158A">
              <w:rPr>
                <w:rStyle w:val="Hyperlink"/>
                <w:rFonts w:ascii="Times New Roman" w:hAnsi="Times New Roman" w:eastAsiaTheme="minorHAnsi" w:cs="Times New Roman"/>
                <w:color w:val="0077CC"/>
                <w:sz w:val="24"/>
                <w:szCs w:val="24"/>
                <w:u w:val="single"/>
                <w:lang w:val="en-US" w:eastAsia="en-US" w:bidi="ar-SA"/>
              </w:rPr>
              <w:t>Werner.margard@ohioattorneygeneral.gov</w:t>
            </w:r>
            <w:r>
              <w:fldChar w:fldCharType="end"/>
            </w: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u w:val="single"/>
                <w:lang w:val="en-US" w:eastAsia="en-US" w:bidi="ar-SA"/>
              </w:rPr>
            </w:pP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r w:rsidRPr="00BF6B72">
              <w:rPr>
                <w:rFonts w:ascii="Times New Roman" w:hAnsi="Times New Roman" w:eastAsiaTheme="minorHAnsi" w:cs="Times New Roman"/>
                <w:sz w:val="24"/>
                <w:szCs w:val="24"/>
                <w:lang w:val="en-US" w:eastAsia="en-US" w:bidi="ar-SA"/>
              </w:rPr>
              <w:t>Attorney Examiners:</w:t>
            </w: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"mailto:Sarah.parrot@puco.ohio.gov" </w:instrText>
            </w:r>
            <w:r>
              <w:fldChar w:fldCharType="separate"/>
            </w:r>
            <w:r w:rsidRPr="00BF6B72" w:rsidR="00A0158A">
              <w:rPr>
                <w:rStyle w:val="Hyperlink"/>
                <w:rFonts w:ascii="Times New Roman" w:hAnsi="Times New Roman" w:eastAsiaTheme="minorHAnsi" w:cs="Times New Roman"/>
                <w:color w:val="0077CC"/>
                <w:sz w:val="24"/>
                <w:szCs w:val="24"/>
                <w:u w:val="single"/>
                <w:lang w:val="en-US" w:eastAsia="en-US" w:bidi="ar-SA"/>
              </w:rPr>
              <w:t>Sarah.parrot@puco.ohio.gov</w:t>
            </w:r>
            <w:r>
              <w:fldChar w:fldCharType="end"/>
            </w: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"mailto:Greta.see@puco.ohio.gov" </w:instrText>
            </w:r>
            <w:r>
              <w:fldChar w:fldCharType="separate"/>
            </w:r>
            <w:r w:rsidRPr="00BF6B72" w:rsidR="00A0158A">
              <w:rPr>
                <w:rStyle w:val="Hyperlink"/>
                <w:rFonts w:ascii="Times New Roman" w:hAnsi="Times New Roman" w:eastAsiaTheme="minorHAnsi" w:cs="Times New Roman"/>
                <w:color w:val="0077CC"/>
                <w:sz w:val="24"/>
                <w:szCs w:val="24"/>
                <w:u w:val="single"/>
                <w:lang w:val="en-US" w:eastAsia="en-US" w:bidi="ar-SA"/>
              </w:rPr>
              <w:t>Greta.see@puco.ohio.gov</w:t>
            </w:r>
            <w:r>
              <w:fldChar w:fldCharType="end"/>
            </w: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u w:val="single"/>
                <w:lang w:val="en-US" w:eastAsia="en-US" w:bidi="ar-SA"/>
              </w:rPr>
            </w:pPr>
          </w:p>
        </w:tc>
        <w:tc>
          <w:tcPr>
            <w:tcW w:w="4428" w:type="dxa"/>
          </w:tcPr>
          <w:p w:rsidR="00DA4E9F" w:rsidRPr="00BF6B72" w:rsidP="00DA4E9F">
            <w:pPr>
              <w:pStyle w:val="CommentText"/>
              <w:suppressLineNumbers/>
              <w:spacing w:after="0" w:line="240" w:lineRule="auto"/>
              <w:ind w:left="1338"/>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"mailto:stnourse@aep.com" </w:instrText>
            </w:r>
            <w:r>
              <w:fldChar w:fldCharType="separate"/>
            </w:r>
            <w:r w:rsidRPr="00BF6B72" w:rsidR="00A0158A">
              <w:rPr>
                <w:rStyle w:val="Hyperlink"/>
                <w:rFonts w:ascii="Times New Roman" w:hAnsi="Times New Roman" w:eastAsiaTheme="minorHAnsi" w:cs="Times New Roman"/>
                <w:color w:val="0077CC"/>
                <w:sz w:val="24"/>
                <w:szCs w:val="24"/>
                <w:u w:val="single"/>
                <w:lang w:val="en-US" w:eastAsia="en-US" w:bidi="ar-SA"/>
              </w:rPr>
              <w:t>stnourse@aep.com</w:t>
            </w:r>
            <w:r>
              <w:fldChar w:fldCharType="end"/>
            </w:r>
          </w:p>
          <w:p w:rsidR="00DA4E9F" w:rsidRPr="00BF6B72" w:rsidP="00DA4E9F">
            <w:pPr>
              <w:pStyle w:val="CommentText"/>
              <w:suppressLineNumbers/>
              <w:spacing w:after="0" w:line="240" w:lineRule="auto"/>
              <w:ind w:left="1338"/>
              <w:rPr>
                <w:rStyle w:val="DefaultParagraphFont"/>
                <w:rFonts w:ascii="Times New Roman" w:hAnsi="Times New Roman" w:eastAsiaTheme="minorHAnsi" w:cs="Times New Roman"/>
                <w:sz w:val="24"/>
                <w:szCs w:val="24"/>
                <w:lang w:val="en-US" w:eastAsia="en-US" w:bidi="ar-SA"/>
              </w:rPr>
            </w:pPr>
            <w:r>
              <w:fldChar w:fldCharType="begin"/>
            </w:r>
            <w:r>
              <w:rPr>
                <w:rFonts w:ascii="Times New Roman" w:hAnsi="Times New Roman" w:eastAsiaTheme="minorHAnsi" w:cstheme="minorBidi"/>
                <w:sz w:val="20"/>
                <w:szCs w:val="20"/>
                <w:lang w:val="en-US" w:eastAsia="en-US" w:bidi="ar-SA"/>
              </w:rPr>
              <w:instrText xml:space="preserve"> HYPERLINK "mailto:cmblend@aep.com" </w:instrText>
            </w:r>
            <w:r>
              <w:fldChar w:fldCharType="separate"/>
            </w:r>
            <w:r w:rsidRPr="00BF6B72" w:rsidR="00A0158A">
              <w:rPr>
                <w:rStyle w:val="Hyperlink"/>
                <w:rFonts w:ascii="Times New Roman" w:hAnsi="Times New Roman" w:eastAsiaTheme="minorHAnsi" w:cs="Times New Roman"/>
                <w:color w:val="0077CC"/>
                <w:sz w:val="24"/>
                <w:szCs w:val="24"/>
                <w:u w:val="single"/>
                <w:lang w:val="en-US" w:eastAsia="en-US" w:bidi="ar-SA"/>
              </w:rPr>
              <w:t>cmblend@aep.com</w:t>
            </w:r>
            <w:r>
              <w:fldChar w:fldCharType="end"/>
            </w:r>
          </w:p>
          <w:p w:rsidR="00DA4E9F" w:rsidRPr="00BF6B72" w:rsidP="00DA4E9F">
            <w:pPr>
              <w:pStyle w:val="CommentText"/>
              <w:suppressLineNumbers/>
              <w:spacing w:after="0" w:line="240" w:lineRule="auto"/>
              <w:ind w:left="1338"/>
              <w:rPr>
                <w:rStyle w:val="DefaultParagraphFont"/>
                <w:rFonts w:ascii="Times New Roman" w:hAnsi="Times New Roman" w:eastAsiaTheme="minorHAnsi" w:cs="Times New Roman"/>
                <w:sz w:val="24"/>
                <w:szCs w:val="24"/>
                <w:lang w:val="en-US" w:eastAsia="en-US" w:bidi="ar-SA"/>
              </w:rPr>
            </w:pPr>
          </w:p>
          <w:p w:rsidR="00DA4E9F" w:rsidRPr="00BF6B72" w:rsidP="00DA4E9F">
            <w:pPr>
              <w:pStyle w:val="CommentText"/>
              <w:suppressLineNumbers/>
              <w:spacing w:after="0" w:line="240" w:lineRule="auto"/>
              <w:rPr>
                <w:rStyle w:val="DefaultParagraphFont"/>
                <w:rFonts w:ascii="Times New Roman" w:hAnsi="Times New Roman" w:eastAsiaTheme="minorHAnsi" w:cs="Times New Roman"/>
                <w:sz w:val="24"/>
                <w:szCs w:val="24"/>
                <w:lang w:val="en-US" w:eastAsia="en-US" w:bidi="ar-SA"/>
              </w:rPr>
            </w:pPr>
          </w:p>
        </w:tc>
      </w:tr>
    </w:tbl>
    <w:p w:rsidR="00DA4E9F" w:rsidRPr="00BF6B72" w:rsidP="00DA4E9F">
      <w:pPr>
        <w:spacing w:after="0" w:line="240" w:lineRule="auto"/>
        <w:jc w:val="center"/>
        <w:rPr>
          <w:rFonts w:eastAsia="Times New Roman" w:cs="Times New Roman"/>
          <w:b/>
          <w:bCs/>
          <w:szCs w:val="24"/>
          <w:u w:val="single"/>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720"/>
        <w:gridCol w:w="4640"/>
      </w:tblGrid>
      <w:tr w:rsidTr="00DA4E9F">
        <w:tblPrEx>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720" w:type="dxa"/>
          </w:tcPr>
          <w:p w:rsidR="00DA4E9F" w:rsidRPr="00BF6B72" w:rsidP="00DA4E9F">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p>
        </w:tc>
        <w:tc>
          <w:tcPr>
            <w:tcW w:w="4640" w:type="dxa"/>
          </w:tcPr>
          <w:p w:rsidR="00DA4E9F" w:rsidRPr="00BF6B72" w:rsidP="00DA4E9F">
            <w:pPr>
              <w:autoSpaceDE w:val="0"/>
              <w:autoSpaceDN w:val="0"/>
              <w:adjustRightInd w:val="0"/>
              <w:spacing w:after="0" w:line="240" w:lineRule="auto"/>
              <w:rPr>
                <w:rStyle w:val="DefaultParagraphFont"/>
                <w:rFonts w:ascii="Times New Roman" w:eastAsia="Calibri" w:hAnsi="Times New Roman" w:cs="Times New Roman"/>
                <w:sz w:val="24"/>
                <w:szCs w:val="24"/>
                <w:lang w:val="en-US" w:eastAsia="en-US" w:bidi="ar-SA"/>
              </w:rPr>
            </w:pPr>
          </w:p>
        </w:tc>
      </w:tr>
    </w:tbl>
    <w:p w:rsidR="00DA4E9F" w:rsidRPr="00BF6B72">
      <w:pPr>
        <w:rPr>
          <w:rFonts w:cs="Times New Roman"/>
          <w:szCs w:val="24"/>
        </w:rPr>
      </w:pPr>
    </w:p>
    <w:sectPr w:rsidSect="00DA4E9F">
      <w:footerReference w:type="default" r:id="rId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00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03C">
    <w:pPr>
      <w:pStyle w:val="Footer"/>
      <w:jc w:val="center"/>
    </w:pPr>
  </w:p>
  <w:p w:rsidR="0034046D" w:rsidRPr="001F3D1D">
    <w:pPr>
      <w:pStyle w:val="Footer"/>
      <w:jc w:val="center"/>
      <w:rPr>
        <w:rFonts w:cs="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00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8751685"/>
      <w:docPartObj>
        <w:docPartGallery w:val="Page Numbers (Bottom of Page)"/>
        <w:docPartUnique/>
      </w:docPartObj>
    </w:sdtPr>
    <w:sdtEndPr>
      <w:rPr>
        <w:noProof/>
      </w:rPr>
    </w:sdtEndPr>
    <w:sdtContent>
      <w:p w:rsidR="00633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303C" w:rsidRPr="001F3D1D">
    <w:pPr>
      <w:pStyle w:val="Footer"/>
      <w:jc w:val="center"/>
      <w:rPr>
        <w:rFonts w:cs="Times New Roman"/>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24BA" w:rsidRPr="001F3D1D">
    <w:pPr>
      <w:pStyle w:val="Footer"/>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6716" w:rsidP="00DA4E9F">
      <w:pPr>
        <w:spacing w:after="0" w:line="240" w:lineRule="auto"/>
      </w:pPr>
      <w:r>
        <w:separator/>
      </w:r>
    </w:p>
  </w:footnote>
  <w:footnote w:type="continuationSeparator" w:id="1">
    <w:p w:rsidR="001E6716" w:rsidP="00DA4E9F">
      <w:pPr>
        <w:spacing w:after="0" w:line="240" w:lineRule="auto"/>
      </w:pPr>
      <w:r>
        <w:continuationSeparator/>
      </w:r>
    </w:p>
  </w:footnote>
  <w:footnote w:id="2">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AEP’s Initial Brief at 4.</w:t>
      </w:r>
    </w:p>
  </w:footnote>
  <w:footnote w:id="3">
    <w:p w:rsidR="00AB24BA" w:rsidRPr="005C0052" w:rsidP="005C0052">
      <w:pPr>
        <w:autoSpaceDE w:val="0"/>
        <w:autoSpaceDN w:val="0"/>
        <w:adjustRightInd w:val="0"/>
        <w:spacing w:after="120" w:line="240" w:lineRule="auto"/>
        <w:rPr>
          <w:rFonts w:cs="Times New Roman"/>
          <w:sz w:val="20"/>
          <w:szCs w:val="20"/>
        </w:rPr>
      </w:pPr>
      <w:r w:rsidRPr="005C0052">
        <w:rPr>
          <w:rStyle w:val="FootnoteReference"/>
          <w:rFonts w:cs="Times New Roman"/>
          <w:sz w:val="20"/>
          <w:szCs w:val="20"/>
        </w:rPr>
        <w:footnoteRef/>
      </w:r>
      <w:r w:rsidRPr="005C0052">
        <w:rPr>
          <w:rFonts w:cs="Times New Roman"/>
          <w:sz w:val="20"/>
          <w:szCs w:val="20"/>
        </w:rPr>
        <w:t xml:space="preserve"> </w:t>
      </w:r>
      <w:r w:rsidRPr="005C0052">
        <w:rPr>
          <w:rFonts w:cs="Times New Roman"/>
          <w:i/>
          <w:iCs/>
          <w:sz w:val="20"/>
          <w:szCs w:val="20"/>
        </w:rPr>
        <w:t>In the Matter of the Application of Ohio Power Company for Approval of its Electric Security Plan</w:t>
      </w:r>
      <w:r w:rsidRPr="005C0052">
        <w:rPr>
          <w:rFonts w:cs="Times New Roman"/>
          <w:sz w:val="20"/>
          <w:szCs w:val="20"/>
        </w:rPr>
        <w:t xml:space="preserve">, Case No. 16-1852-EL-SSO et al, Opinion and Order (April 25, 2018) at 48. </w:t>
      </w:r>
    </w:p>
  </w:footnote>
  <w:footnote w:id="4">
    <w:p w:rsidR="00AB24BA" w:rsidRPr="005C0052" w:rsidP="005C0052">
      <w:pPr>
        <w:autoSpaceDE w:val="0"/>
        <w:autoSpaceDN w:val="0"/>
        <w:adjustRightInd w:val="0"/>
        <w:spacing w:after="120" w:line="240" w:lineRule="auto"/>
        <w:rPr>
          <w:rFonts w:cs="Times New Roman"/>
          <w:sz w:val="20"/>
          <w:szCs w:val="20"/>
        </w:rPr>
      </w:pPr>
      <w:r w:rsidRPr="005C0052">
        <w:rPr>
          <w:rStyle w:val="FootnoteReference"/>
          <w:rFonts w:cs="Times New Roman"/>
          <w:sz w:val="20"/>
          <w:szCs w:val="20"/>
        </w:rPr>
        <w:footnoteRef/>
      </w:r>
      <w:r w:rsidRPr="005C0052">
        <w:rPr>
          <w:rFonts w:cs="Times New Roman"/>
          <w:sz w:val="20"/>
          <w:szCs w:val="20"/>
        </w:rPr>
        <w:t xml:space="preserve"> </w:t>
      </w:r>
      <w:r w:rsidRPr="005C0052">
        <w:rPr>
          <w:rFonts w:cs="Times New Roman"/>
          <w:i/>
          <w:iCs/>
          <w:sz w:val="20"/>
          <w:szCs w:val="20"/>
        </w:rPr>
        <w:t>In the Matter of the Application of Ohio Power Company for Approval of its Electric Security Plan; and an Amendment to its Corporate Separation Plan</w:t>
      </w:r>
      <w:r w:rsidRPr="005C0052">
        <w:rPr>
          <w:rFonts w:cs="Times New Roman"/>
          <w:sz w:val="20"/>
          <w:szCs w:val="20"/>
        </w:rPr>
        <w:t xml:space="preserve">., Case No. 08-918-EL-SSO, Opinion and Order (March 18, 2009); </w:t>
      </w:r>
      <w:r w:rsidRPr="005C0052">
        <w:rPr>
          <w:rFonts w:cs="Times New Roman"/>
          <w:i/>
          <w:iCs/>
          <w:sz w:val="20"/>
          <w:szCs w:val="20"/>
        </w:rPr>
        <w:t xml:space="preserve">In the Matter of the Application of Ohio Power Company for Approval of its Electric Security Plan, </w:t>
      </w:r>
      <w:r w:rsidRPr="005C0052">
        <w:rPr>
          <w:rFonts w:cs="Times New Roman"/>
          <w:sz w:val="20"/>
          <w:szCs w:val="20"/>
        </w:rPr>
        <w:t xml:space="preserve">Case No. 11-346-EL-SSO et al., Opinion and Order (August 8, 2012); </w:t>
      </w:r>
      <w:r w:rsidRPr="005C0052">
        <w:rPr>
          <w:rFonts w:cs="Times New Roman"/>
          <w:i/>
          <w:iCs/>
          <w:sz w:val="20"/>
          <w:szCs w:val="20"/>
        </w:rPr>
        <w:t>In the Matter of the Application of Ohio Power Company for Approval of its Electric Security Plan</w:t>
      </w:r>
      <w:r w:rsidRPr="005C0052">
        <w:rPr>
          <w:rFonts w:cs="Times New Roman"/>
          <w:sz w:val="20"/>
          <w:szCs w:val="20"/>
        </w:rPr>
        <w:t xml:space="preserve">, Case No. 13-2385-EL-SSO et al, Opinion and Order (February 25, 2015); </w:t>
      </w:r>
      <w:r w:rsidRPr="005C0052">
        <w:rPr>
          <w:rFonts w:cs="Times New Roman"/>
          <w:i/>
          <w:iCs/>
          <w:sz w:val="20"/>
          <w:szCs w:val="20"/>
        </w:rPr>
        <w:t>In the Matter of the Application of Ohio Power Company for Approval of its Electric Security Plan</w:t>
      </w:r>
      <w:r w:rsidRPr="005C0052">
        <w:rPr>
          <w:rFonts w:cs="Times New Roman"/>
          <w:sz w:val="20"/>
          <w:szCs w:val="20"/>
        </w:rPr>
        <w:t>, Case No. 16-1852-EL-SSO et al, Opinion and Order (April 25, 2018).</w:t>
      </w:r>
    </w:p>
  </w:footnote>
  <w:footnote w:id="5">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See</w:t>
      </w:r>
      <w:r w:rsidRPr="005C0052">
        <w:rPr>
          <w:rFonts w:cs="Times New Roman"/>
        </w:rPr>
        <w:t xml:space="preserve"> OCC’s Initial Brief at 6.</w:t>
      </w:r>
    </w:p>
  </w:footnote>
  <w:footnote w:id="6">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 xml:space="preserve">See </w:t>
      </w:r>
      <w:r w:rsidRPr="005C0052">
        <w:rPr>
          <w:rFonts w:cs="Times New Roman"/>
        </w:rPr>
        <w:t>ESP III Order.</w:t>
      </w:r>
    </w:p>
  </w:footnote>
  <w:footnote w:id="7">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ESP III Order at 47.  </w:t>
      </w:r>
    </w:p>
  </w:footnote>
  <w:footnote w:id="8">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Columbus Southern Power Company for Approval of an Electric Security Plan; an Amendment to its Corporate Separation Plan; and the Sale or Transfer of Certain Generating Assets</w:t>
      </w:r>
      <w:r w:rsidRPr="005C0052">
        <w:rPr>
          <w:rFonts w:cs="Times New Roman"/>
        </w:rPr>
        <w:t>, Case No 08-917-EL-SSO, Opinion and Order at 32 (Mar. 18, 2009).</w:t>
      </w:r>
    </w:p>
  </w:footnote>
  <w:footnote w:id="9">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Id.</w:t>
      </w:r>
    </w:p>
  </w:footnote>
  <w:footnote w:id="10">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Ohio Power Company for Authority to Establish a Standard Service Offer Pursuant TO R.C. 4928.143, in the Form of an Electric Security Plan</w:t>
      </w:r>
      <w:r w:rsidRPr="005C0052">
        <w:rPr>
          <w:rFonts w:cs="Times New Roman"/>
        </w:rPr>
        <w:t>, Case No. 16-1852-EL-SSO et al., Opinion and Order at 111 (Apr. 25, 2018) (emphasis added).</w:t>
      </w:r>
    </w:p>
  </w:footnote>
  <w:footnote w:id="11">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3; Hearing Transcript at 17:21-24, 19:2-7, 24-25, 20:1-2.</w:t>
      </w:r>
    </w:p>
  </w:footnote>
  <w:footnote w:id="12">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2.</w:t>
      </w:r>
    </w:p>
  </w:footnote>
  <w:footnote w:id="13">
    <w:p w:rsidR="00AB24BA" w:rsidRPr="005C0052" w:rsidP="005C0052">
      <w:pPr>
        <w:pStyle w:val="FootnoteText"/>
        <w:spacing w:after="120"/>
        <w:rPr>
          <w:rFonts w:cs="Times New Roman"/>
          <w:i/>
          <w:iCs/>
        </w:rPr>
      </w:pPr>
      <w:r w:rsidRPr="005C0052">
        <w:rPr>
          <w:rStyle w:val="FootnoteReference"/>
          <w:rFonts w:cs="Times New Roman"/>
        </w:rPr>
        <w:footnoteRef/>
      </w:r>
      <w:r w:rsidRPr="005C0052">
        <w:rPr>
          <w:rFonts w:cs="Times New Roman"/>
        </w:rPr>
        <w:t xml:space="preserve"> </w:t>
      </w:r>
      <w:r w:rsidRPr="005C0052">
        <w:rPr>
          <w:rFonts w:cs="Times New Roman"/>
          <w:i/>
          <w:iCs/>
        </w:rPr>
        <w:t>Id.</w:t>
      </w:r>
    </w:p>
  </w:footnote>
  <w:footnote w:id="14">
    <w:p w:rsidR="00AB24BA" w:rsidRPr="005C0052" w:rsidP="005C0052">
      <w:pPr>
        <w:pStyle w:val="FootnoteText"/>
        <w:spacing w:after="120"/>
        <w:rPr>
          <w:rFonts w:cs="Times New Roman"/>
          <w:i/>
          <w:iCs/>
        </w:rPr>
      </w:pPr>
      <w:r w:rsidRPr="005C0052">
        <w:rPr>
          <w:rStyle w:val="FootnoteReference"/>
          <w:rFonts w:cs="Times New Roman"/>
        </w:rPr>
        <w:footnoteRef/>
      </w:r>
      <w:r w:rsidRPr="005C0052">
        <w:rPr>
          <w:rFonts w:cs="Times New Roman"/>
        </w:rPr>
        <w:t xml:space="preserve"> </w:t>
      </w:r>
      <w:r w:rsidRPr="005C0052">
        <w:rPr>
          <w:rFonts w:cs="Times New Roman"/>
          <w:i/>
          <w:iCs/>
        </w:rPr>
        <w:t>Id.</w:t>
      </w:r>
    </w:p>
  </w:footnote>
  <w:footnote w:id="15">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Columbus Southern Power Company for Approval of an Electric Security Plan; an Amendment to its Corporate Separation Plan; and the Sale or Transfer of Certain Generating Assets</w:t>
      </w:r>
      <w:r w:rsidRPr="005C0052">
        <w:rPr>
          <w:rFonts w:cs="Times New Roman"/>
        </w:rPr>
        <w:t>, Case No 08-917-EL-SSO, Opinion and Order at 30-31 (Mar. 18, 2009).</w:t>
      </w:r>
    </w:p>
  </w:footnote>
  <w:footnote w:id="16">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PUCO Brief at 2-7.</w:t>
      </w:r>
    </w:p>
  </w:footnote>
  <w:footnote w:id="17">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4.</w:t>
      </w:r>
    </w:p>
  </w:footnote>
  <w:footnote w:id="18">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ESP III Order at 48.</w:t>
      </w:r>
    </w:p>
  </w:footnote>
  <w:footnote w:id="19">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Columbus Southern Power Company for Approval of an Electric Security Plan; an Amendment to its Corporate Separation Plan; and the Sale or Transfer of Certain Generating Assets</w:t>
      </w:r>
      <w:r w:rsidRPr="005C0052">
        <w:rPr>
          <w:rFonts w:cs="Times New Roman"/>
        </w:rPr>
        <w:t>., Case 08-917-EL-SSO, Opinion and Order at 32 (March 18, 2009).</w:t>
      </w:r>
    </w:p>
  </w:footnote>
  <w:footnote w:id="20">
    <w:p w:rsidR="00AB24BA" w:rsidRPr="005C0052" w:rsidP="005C0052">
      <w:pPr>
        <w:autoSpaceDE w:val="0"/>
        <w:autoSpaceDN w:val="0"/>
        <w:adjustRightInd w:val="0"/>
        <w:spacing w:after="120" w:line="240" w:lineRule="auto"/>
        <w:rPr>
          <w:rFonts w:cs="Times New Roman"/>
          <w:sz w:val="20"/>
          <w:szCs w:val="20"/>
        </w:rPr>
      </w:pPr>
      <w:r w:rsidRPr="005C0052">
        <w:rPr>
          <w:rStyle w:val="FootnoteReference"/>
          <w:rFonts w:cs="Times New Roman"/>
          <w:sz w:val="20"/>
          <w:szCs w:val="20"/>
        </w:rPr>
        <w:footnoteRef/>
      </w:r>
      <w:r w:rsidRPr="005C0052">
        <w:rPr>
          <w:rFonts w:cs="Times New Roman"/>
          <w:sz w:val="20"/>
          <w:szCs w:val="20"/>
        </w:rPr>
        <w:t xml:space="preserve"> </w:t>
      </w:r>
      <w:r w:rsidRPr="005C0052">
        <w:rPr>
          <w:rFonts w:cs="Times New Roman"/>
          <w:i/>
          <w:iCs/>
          <w:sz w:val="20"/>
          <w:szCs w:val="20"/>
        </w:rPr>
        <w:t>In the Matter of the Application of Columbus Southern Power Company (CSP) and Ohio Power Company to Update Their Enhanced Service Reliability Riders</w:t>
      </w:r>
      <w:r w:rsidRPr="005C0052">
        <w:rPr>
          <w:rFonts w:cs="Times New Roman"/>
          <w:sz w:val="20"/>
          <w:szCs w:val="20"/>
        </w:rPr>
        <w:t>, Case No.</w:t>
      </w:r>
      <w:r w:rsidRPr="005C0052" w:rsidR="0034046D">
        <w:rPr>
          <w:rFonts w:cs="Times New Roman"/>
          <w:sz w:val="20"/>
          <w:szCs w:val="20"/>
        </w:rPr>
        <w:t xml:space="preserve"> </w:t>
      </w:r>
      <w:r w:rsidRPr="005C0052">
        <w:rPr>
          <w:rFonts w:cs="Times New Roman"/>
          <w:sz w:val="20"/>
          <w:szCs w:val="20"/>
        </w:rPr>
        <w:t xml:space="preserve">11-1361-EL-RDR, Comments and Recommendations at 3 (May 20, 2011). </w:t>
      </w:r>
    </w:p>
  </w:footnote>
  <w:footnote w:id="21">
    <w:p w:rsidR="00AB24BA" w:rsidRPr="005C0052" w:rsidP="005C0052">
      <w:pPr>
        <w:autoSpaceDE w:val="0"/>
        <w:autoSpaceDN w:val="0"/>
        <w:adjustRightInd w:val="0"/>
        <w:spacing w:after="120" w:line="240" w:lineRule="auto"/>
        <w:rPr>
          <w:rFonts w:cs="Times New Roman"/>
          <w:sz w:val="20"/>
          <w:szCs w:val="20"/>
        </w:rPr>
      </w:pPr>
      <w:r w:rsidRPr="005C0052">
        <w:rPr>
          <w:rStyle w:val="FootnoteReference"/>
          <w:rFonts w:cs="Times New Roman"/>
          <w:sz w:val="20"/>
          <w:szCs w:val="20"/>
        </w:rPr>
        <w:footnoteRef/>
      </w:r>
      <w:r w:rsidRPr="005C0052">
        <w:rPr>
          <w:rFonts w:cs="Times New Roman"/>
          <w:sz w:val="20"/>
          <w:szCs w:val="20"/>
        </w:rPr>
        <w:t xml:space="preserve"> </w:t>
      </w:r>
      <w:r w:rsidRPr="005C0052">
        <w:rPr>
          <w:rFonts w:cs="Times New Roman"/>
          <w:i/>
          <w:iCs/>
          <w:sz w:val="20"/>
          <w:szCs w:val="20"/>
        </w:rPr>
        <w:t>In the Matter of the Application of Ohio Power Company to Update its Enhanced Service Reliability Rider</w:t>
      </w:r>
      <w:r w:rsidRPr="005C0052">
        <w:rPr>
          <w:rFonts w:cs="Times New Roman"/>
          <w:sz w:val="20"/>
          <w:szCs w:val="20"/>
        </w:rPr>
        <w:t>, Case No. 14-1578-EL-RDR, Comments and Recommendations at 4 (Feb. 17, 2015).</w:t>
      </w:r>
    </w:p>
  </w:footnote>
  <w:footnote w:id="22">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Ohio Power Company for Authority to Establish a Standard Service Offer Pursuant TO R.C. 4928.143, in the Form of an Electric Security Plan</w:t>
      </w:r>
      <w:r w:rsidRPr="005C0052">
        <w:rPr>
          <w:rFonts w:cs="Times New Roman"/>
        </w:rPr>
        <w:t>, Case No. 16-1852-EL-SSO et al., Opinion and Order at 111 (Apr. 25, 2018) (emphasis added).</w:t>
      </w:r>
    </w:p>
  </w:footnote>
  <w:footnote w:id="23">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5.</w:t>
      </w:r>
    </w:p>
  </w:footnote>
  <w:footnote w:id="24">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4 (emphasis added). </w:t>
      </w:r>
    </w:p>
  </w:footnote>
  <w:footnote w:id="25">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ESP III Order at 48 (emphasis added).</w:t>
      </w:r>
    </w:p>
  </w:footnote>
  <w:footnote w:id="26">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4.</w:t>
      </w:r>
    </w:p>
  </w:footnote>
  <w:footnote w:id="27">
    <w:p w:rsidR="00AB24BA" w:rsidRPr="005C0052" w:rsidP="005C0052">
      <w:pPr>
        <w:autoSpaceDE w:val="0"/>
        <w:autoSpaceDN w:val="0"/>
        <w:adjustRightInd w:val="0"/>
        <w:spacing w:after="120" w:line="240" w:lineRule="auto"/>
        <w:rPr>
          <w:rFonts w:cs="Times New Roman"/>
          <w:sz w:val="20"/>
          <w:szCs w:val="20"/>
        </w:rPr>
      </w:pPr>
      <w:r w:rsidRPr="005C0052">
        <w:rPr>
          <w:rStyle w:val="FootnoteReference"/>
          <w:rFonts w:cs="Times New Roman"/>
          <w:sz w:val="20"/>
          <w:szCs w:val="20"/>
        </w:rPr>
        <w:footnoteRef/>
      </w:r>
      <w:r w:rsidRPr="005C0052">
        <w:rPr>
          <w:rFonts w:cs="Times New Roman"/>
          <w:sz w:val="20"/>
          <w:szCs w:val="20"/>
        </w:rPr>
        <w:t xml:space="preserve"> </w:t>
      </w:r>
      <w:r w:rsidRPr="005C0052">
        <w:rPr>
          <w:rFonts w:cs="Times New Roman"/>
          <w:i/>
          <w:iCs/>
          <w:sz w:val="20"/>
          <w:szCs w:val="20"/>
        </w:rPr>
        <w:t>In the Matter of the Application of Ohio Power Company for Authority to Establish a Standard Service Offer Pursuant TO R.C. 4928.143, in the Form of an Electric Security Plan</w:t>
      </w:r>
      <w:r w:rsidRPr="005C0052">
        <w:rPr>
          <w:rFonts w:cs="Times New Roman"/>
          <w:sz w:val="20"/>
          <w:szCs w:val="20"/>
        </w:rPr>
        <w:t>, Case No. 16-1852-EL-SSO et al., Opinion and Order, (Apr. 25, 2018).</w:t>
      </w:r>
    </w:p>
  </w:footnote>
  <w:footnote w:id="28">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Ohio Power Company to Update its Enhanced Service Reliability Rider</w:t>
      </w:r>
      <w:r w:rsidRPr="005C0052">
        <w:rPr>
          <w:rFonts w:cs="Times New Roman"/>
        </w:rPr>
        <w:t>, Case No. 17-1914-El-RDR (Filed September 5, 2017).</w:t>
      </w:r>
    </w:p>
  </w:footnote>
  <w:footnote w:id="29">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Id.</w:t>
      </w:r>
    </w:p>
  </w:footnote>
  <w:footnote w:id="30">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Ohio Power Company for Authority to Establish a Standard Service Offer Pursuant TO R.C. 4928.143, in the Form of an Electric Security Plan</w:t>
      </w:r>
      <w:r w:rsidRPr="005C0052">
        <w:rPr>
          <w:rFonts w:cs="Times New Roman"/>
        </w:rPr>
        <w:t>, Case No. 16-1852-EL-SSO et al., Opinion and Order at 111 (Apr. 25, 2018) (emphasis added).</w:t>
      </w:r>
    </w:p>
  </w:footnote>
  <w:footnote w:id="31">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Witness Moore acknowledged that there may be a cap, but that it’s irrelevant. </w:t>
      </w:r>
      <w:r w:rsidRPr="005C0052">
        <w:rPr>
          <w:rFonts w:cs="Times New Roman"/>
          <w:i/>
          <w:iCs/>
        </w:rPr>
        <w:t xml:space="preserve">See </w:t>
      </w:r>
      <w:r w:rsidRPr="005C0052">
        <w:rPr>
          <w:rFonts w:cs="Times New Roman"/>
        </w:rPr>
        <w:t xml:space="preserve">Hearing Transcript at 16:9-11. </w:t>
      </w:r>
    </w:p>
  </w:footnote>
  <w:footnote w:id="32">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3.</w:t>
      </w:r>
    </w:p>
  </w:footnote>
  <w:footnote w:id="33">
    <w:p w:rsidR="00C3017A" w:rsidRPr="005C0052" w:rsidP="005C0052">
      <w:pPr>
        <w:pStyle w:val="FootnoteText"/>
        <w:spacing w:after="120"/>
        <w:rPr>
          <w:rFonts w:cs="Times New Roman"/>
          <w:i/>
          <w:iCs/>
        </w:rPr>
      </w:pPr>
      <w:r w:rsidRPr="005C0052">
        <w:rPr>
          <w:rStyle w:val="FootnoteReference"/>
          <w:rFonts w:cs="Times New Roman"/>
        </w:rPr>
        <w:footnoteRef/>
      </w:r>
      <w:r w:rsidRPr="005C0052">
        <w:rPr>
          <w:rFonts w:cs="Times New Roman"/>
        </w:rPr>
        <w:t xml:space="preserve"> </w:t>
      </w:r>
      <w:r w:rsidRPr="005C0052">
        <w:rPr>
          <w:rFonts w:cs="Times New Roman"/>
          <w:i/>
          <w:iCs/>
        </w:rPr>
        <w:t>Id.</w:t>
      </w:r>
    </w:p>
  </w:footnote>
  <w:footnote w:id="34">
    <w:p w:rsidR="00C3017A" w:rsidRPr="005C0052" w:rsidP="005C0052">
      <w:pPr>
        <w:pStyle w:val="FootnoteText"/>
        <w:spacing w:after="120"/>
        <w:rPr>
          <w:rFonts w:cs="Times New Roman"/>
          <w:i/>
          <w:iCs/>
        </w:rPr>
      </w:pPr>
      <w:r w:rsidRPr="005C0052">
        <w:rPr>
          <w:rStyle w:val="FootnoteReference"/>
          <w:rFonts w:cs="Times New Roman"/>
        </w:rPr>
        <w:footnoteRef/>
      </w:r>
      <w:r w:rsidRPr="005C0052">
        <w:rPr>
          <w:rFonts w:cs="Times New Roman"/>
        </w:rPr>
        <w:t xml:space="preserve"> </w:t>
      </w:r>
      <w:r w:rsidRPr="005C0052">
        <w:rPr>
          <w:rFonts w:cs="Times New Roman"/>
          <w:i/>
          <w:iCs/>
        </w:rPr>
        <w:t>Id.</w:t>
      </w:r>
    </w:p>
  </w:footnote>
  <w:footnote w:id="35">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Direct Testimony of Andrea M. Moore filed April 18, 2019 at 6:8-11 (“Moore Direct”).</w:t>
      </w:r>
    </w:p>
  </w:footnote>
  <w:footnote w:id="36">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Direct Testimony of Daryl Parks filed May 3, 20195 (“Parks Direct”). </w:t>
      </w:r>
    </w:p>
  </w:footnote>
  <w:footnote w:id="37">
    <w:p w:rsidR="00C3017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ESP III Order at 47.</w:t>
      </w:r>
    </w:p>
  </w:footnote>
  <w:footnote w:id="38">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1. </w:t>
      </w:r>
    </w:p>
  </w:footnote>
  <w:footnote w:id="39">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Transcript at 15:3-25; 16:16-19; 17:15-20; 18:1-4; 19:11-25; 34:12-18.</w:t>
      </w:r>
    </w:p>
  </w:footnote>
  <w:footnote w:id="40">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Ohio Power Company to Update its Enhanced Service Reliability Rider</w:t>
      </w:r>
      <w:r w:rsidRPr="005C0052">
        <w:rPr>
          <w:rFonts w:cs="Times New Roman"/>
        </w:rPr>
        <w:t>, Case No. 17-1914-El-RDR, Comments by the Ohio Consumers’ Counsel at 4-5 (September 5, 2017)  (“OCC Comments”).</w:t>
      </w:r>
    </w:p>
  </w:footnote>
  <w:footnote w:id="41">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Initial Brief of the Ohio Consumers’ Counsel at 7-8.</w:t>
      </w:r>
    </w:p>
  </w:footnote>
  <w:footnote w:id="42">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3.</w:t>
      </w:r>
    </w:p>
  </w:footnote>
  <w:footnote w:id="43">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Parks Direct at 5.</w:t>
      </w:r>
    </w:p>
  </w:footnote>
  <w:footnote w:id="44">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Parks Direct at 5.</w:t>
      </w:r>
    </w:p>
  </w:footnote>
  <w:footnote w:id="45">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Hearing Transcript at 20:13, 26:11-13.</w:t>
      </w:r>
    </w:p>
  </w:footnote>
  <w:footnote w:id="46">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Parks Direct at 6.</w:t>
      </w:r>
    </w:p>
  </w:footnote>
  <w:footnote w:id="47">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2.</w:t>
      </w:r>
    </w:p>
  </w:footnote>
  <w:footnote w:id="48">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Hearing Transcript at 100:25-101:1.</w:t>
      </w:r>
    </w:p>
  </w:footnote>
  <w:footnote w:id="49">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2-3.</w:t>
      </w:r>
    </w:p>
  </w:footnote>
  <w:footnote w:id="50">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Parks at 3:5-9.</w:t>
      </w:r>
    </w:p>
  </w:footnote>
  <w:footnote w:id="51">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AEP Initial Brief at 2-3; Moore Direct at 3:2-13.</w:t>
      </w:r>
    </w:p>
  </w:footnote>
  <w:footnote w:id="52">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Parks Direct at 3-4.</w:t>
      </w:r>
    </w:p>
  </w:footnote>
  <w:footnote w:id="53">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Parks Direct at 5-6.</w:t>
      </w:r>
    </w:p>
  </w:footnote>
  <w:footnote w:id="54">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Hearing Transcript at 27:7-17; OCC Comments at 5; OCC Initial Brief at 11-14.</w:t>
      </w:r>
    </w:p>
  </w:footnote>
  <w:footnote w:id="55">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Hearing Transcript at 57:21-2.</w:t>
      </w:r>
    </w:p>
  </w:footnote>
  <w:footnote w:id="56">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OCC Comments at 6; Direct Testimony of James D. Williams at 4-6 (“Williams Direct”).</w:t>
      </w:r>
    </w:p>
  </w:footnote>
  <w:footnote w:id="57">
    <w:p w:rsidR="00AB24BA" w:rsidRPr="005C0052" w:rsidP="005C0052">
      <w:pPr>
        <w:pStyle w:val="FootnoteText"/>
        <w:spacing w:after="120"/>
        <w:rPr>
          <w:rFonts w:cs="Times New Roman"/>
        </w:rPr>
      </w:pPr>
      <w:r w:rsidRPr="005C0052">
        <w:rPr>
          <w:rStyle w:val="FootnoteReference"/>
          <w:rFonts w:cs="Times New Roman"/>
        </w:rPr>
        <w:footnoteRef/>
      </w:r>
      <w:r w:rsidRPr="005C0052">
        <w:rPr>
          <w:rFonts w:cs="Times New Roman"/>
        </w:rPr>
        <w:t xml:space="preserve"> </w:t>
      </w:r>
      <w:r w:rsidRPr="005C0052">
        <w:rPr>
          <w:rFonts w:cs="Times New Roman"/>
          <w:i/>
          <w:iCs/>
        </w:rPr>
        <w:t>In the Matter of the Application of Columbus Southern Power Company for Approval of an Electric Security Plan; an Amendment to its Corporate Separation Plan; and the Sale or Transfer of Certain Generating Assets</w:t>
      </w:r>
      <w:r w:rsidRPr="005C0052">
        <w:rPr>
          <w:rFonts w:cs="Times New Roman"/>
        </w:rPr>
        <w:t>., Case 08-917-EL-SSO (March 18, 2009) at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00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00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0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7E0D64"/>
    <w:multiLevelType w:val="multilevel"/>
    <w:tmpl w:val="3DFEB6A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91A2C83"/>
    <w:multiLevelType w:val="hybridMultilevel"/>
    <w:tmpl w:val="37A8A24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582B2B8A"/>
    <w:multiLevelType w:val="hybridMultilevel"/>
    <w:tmpl w:val="37AC1658"/>
    <w:lvl w:ilvl="0">
      <w:start w:val="1"/>
      <w:numFmt w:val="decimal"/>
      <w:pStyle w:val="Heading3"/>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61623B9D"/>
    <w:multiLevelType w:val="hybridMultilevel"/>
    <w:tmpl w:val="8BDE36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3CB2005"/>
    <w:multiLevelType w:val="multilevel"/>
    <w:tmpl w:val="92B6E50C"/>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67CE0A23"/>
    <w:multiLevelType w:val="hybridMultilevel"/>
    <w:tmpl w:val="3E164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74"/>
    <w:rPr>
      <w:rFonts w:ascii="Times New Roman" w:hAnsi="Times New Roman"/>
      <w:sz w:val="24"/>
    </w:rPr>
  </w:style>
  <w:style w:type="paragraph" w:styleId="Heading1">
    <w:name w:val="heading 1"/>
    <w:basedOn w:val="Normal"/>
    <w:next w:val="Normal"/>
    <w:link w:val="Heading1Char"/>
    <w:autoRedefine/>
    <w:uiPriority w:val="9"/>
    <w:qFormat/>
    <w:rsid w:val="00C43634"/>
    <w:pPr>
      <w:keepNext/>
      <w:keepLines/>
      <w:numPr>
        <w:numId w:val="1"/>
      </w:numPr>
      <w:spacing w:after="240" w:line="240" w:lineRule="auto"/>
      <w:outlineLvl w:val="0"/>
    </w:pPr>
    <w:rPr>
      <w:rFonts w:eastAsiaTheme="majorEastAsia" w:cs="Times New Roman"/>
      <w:b/>
      <w:caps/>
      <w:szCs w:val="24"/>
    </w:rPr>
  </w:style>
  <w:style w:type="paragraph" w:styleId="Heading2">
    <w:name w:val="heading 2"/>
    <w:basedOn w:val="Normal"/>
    <w:next w:val="Normal"/>
    <w:link w:val="Heading2Char"/>
    <w:autoRedefine/>
    <w:unhideWhenUsed/>
    <w:qFormat/>
    <w:rsid w:val="009971CF"/>
    <w:pPr>
      <w:keepNext/>
      <w:keepLines/>
      <w:spacing w:after="240" w:line="240" w:lineRule="auto"/>
      <w:ind w:left="1440" w:right="720" w:hanging="720"/>
      <w:outlineLvl w:val="1"/>
    </w:pPr>
    <w:rPr>
      <w:rFonts w:ascii="Times New Roman Bold" w:eastAsia="Times New Roman" w:hAnsi="Times New Roman Bold" w:cs="Times New Roman"/>
      <w:b/>
      <w:bCs/>
      <w:szCs w:val="24"/>
    </w:rPr>
  </w:style>
  <w:style w:type="paragraph" w:styleId="Heading3">
    <w:name w:val="heading 3"/>
    <w:basedOn w:val="Normal"/>
    <w:next w:val="Normal"/>
    <w:link w:val="Heading3Char"/>
    <w:autoRedefine/>
    <w:uiPriority w:val="9"/>
    <w:unhideWhenUsed/>
    <w:qFormat/>
    <w:rsid w:val="007C55E4"/>
    <w:pPr>
      <w:keepNext/>
      <w:keepLines/>
      <w:numPr>
        <w:numId w:val="7"/>
      </w:numPr>
      <w:spacing w:after="240" w:line="240" w:lineRule="auto"/>
      <w:ind w:right="7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313E6B"/>
    <w:pPr>
      <w:keepNext/>
      <w:keepLines/>
      <w:numPr>
        <w:ilvl w:val="3"/>
        <w:numId w:val="1"/>
      </w:numPr>
      <w:spacing w:after="240" w:line="240" w:lineRule="auto"/>
      <w:ind w:right="720"/>
      <w:outlineLvl w:val="3"/>
    </w:pPr>
    <w:rPr>
      <w:rFonts w:eastAsiaTheme="majorEastAsia" w:cs="Times New Roman"/>
      <w:b/>
      <w:iCs/>
    </w:rPr>
  </w:style>
  <w:style w:type="paragraph" w:styleId="Heading5">
    <w:name w:val="heading 5"/>
    <w:basedOn w:val="Normal"/>
    <w:next w:val="Normal"/>
    <w:link w:val="Heading5Char"/>
    <w:autoRedefine/>
    <w:uiPriority w:val="9"/>
    <w:unhideWhenUsed/>
    <w:qFormat/>
    <w:rsid w:val="00517C65"/>
    <w:pPr>
      <w:keepNext/>
      <w:keepLines/>
      <w:numPr>
        <w:ilvl w:val="4"/>
        <w:numId w:val="1"/>
      </w:numPr>
      <w:spacing w:after="240" w:line="240" w:lineRule="auto"/>
      <w:ind w:right="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C4363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4363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4363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363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fn "/>
    <w:basedOn w:val="Normal"/>
    <w:link w:val="FootnoteTextChar"/>
    <w:uiPriority w:val="99"/>
    <w:unhideWhenUsed/>
    <w:qFormat/>
    <w:rsid w:val="00D62829"/>
    <w:pPr>
      <w:spacing w:after="0" w:line="240" w:lineRule="auto"/>
    </w:pPr>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D62829"/>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9971CF"/>
    <w:rPr>
      <w:rFonts w:ascii="Times New Roman Bold" w:eastAsia="Times New Roman" w:hAnsi="Times New Roman Bold"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5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3634"/>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6B7DFA"/>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4A25FC"/>
    <w:pPr>
      <w:spacing w:after="240" w:line="240" w:lineRule="auto"/>
      <w:ind w:left="720" w:hanging="720"/>
    </w:pPr>
  </w:style>
  <w:style w:type="paragraph" w:styleId="TOC2">
    <w:name w:val="toc 2"/>
    <w:basedOn w:val="Normal"/>
    <w:next w:val="Normal"/>
    <w:autoRedefine/>
    <w:uiPriority w:val="39"/>
    <w:unhideWhenUsed/>
    <w:rsid w:val="004A25FC"/>
    <w:pPr>
      <w:spacing w:after="240" w:line="240" w:lineRule="auto"/>
      <w:ind w:left="1440" w:hanging="720"/>
    </w:pPr>
  </w:style>
  <w:style w:type="paragraph" w:styleId="TOC3">
    <w:name w:val="toc 3"/>
    <w:basedOn w:val="Normal"/>
    <w:next w:val="Normal"/>
    <w:autoRedefine/>
    <w:uiPriority w:val="39"/>
    <w:unhideWhenUsed/>
    <w:rsid w:val="00CD3492"/>
    <w:pPr>
      <w:spacing w:after="240" w:line="240" w:lineRule="auto"/>
      <w:ind w:left="2160" w:hanging="720"/>
    </w:pPr>
  </w:style>
  <w:style w:type="paragraph" w:styleId="TOC4">
    <w:name w:val="toc 4"/>
    <w:basedOn w:val="Normal"/>
    <w:next w:val="Normal"/>
    <w:autoRedefine/>
    <w:uiPriority w:val="39"/>
    <w:unhideWhenUsed/>
    <w:rsid w:val="00CD3492"/>
    <w:pPr>
      <w:spacing w:after="240" w:line="240" w:lineRule="auto"/>
      <w:ind w:left="2880" w:hanging="720"/>
    </w:p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UnresolvedMention1">
    <w:name w:val="Unresolved Mention1"/>
    <w:basedOn w:val="DefaultParagraphFont"/>
    <w:uiPriority w:val="99"/>
    <w:semiHidden/>
    <w:unhideWhenUsed/>
    <w:rsid w:val="00B45BC0"/>
    <w:rPr>
      <w:color w:val="605E5C"/>
      <w:shd w:val="clear" w:color="auto" w:fill="E1DFDD"/>
    </w:rPr>
  </w:style>
  <w:style w:type="character" w:customStyle="1" w:styleId="Heading6Char">
    <w:name w:val="Heading 6 Char"/>
    <w:basedOn w:val="DefaultParagraphFont"/>
    <w:link w:val="Heading6"/>
    <w:uiPriority w:val="9"/>
    <w:semiHidden/>
    <w:rsid w:val="00C43634"/>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C43634"/>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C436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3634"/>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BA145F"/>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6639A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AEP Tree Trimming Reply.docx</vt:lpstr>
    </vt:vector>
  </TitlesOfParts>
  <Company/>
  <LinksUpToDate>false</LinksUpToDate>
  <CharactersWithSpaces>12172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2019-07-11T17:05:20Z</dcterms:created>
  <dcterms:modified xsi:type="dcterms:W3CDTF">2019-07-11T17:05:20Z</dcterms:modified>
</cp:coreProperties>
</file>