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92B7D" w:rsidRPr="00CD1BE8" w:rsidP="00D92B7D" w14:paraId="1D01778A" w14:textId="77777777">
      <w:pPr>
        <w:spacing w:after="0" w:line="240" w:lineRule="auto"/>
        <w:jc w:val="center"/>
        <w:rPr>
          <w:rFonts w:cs="Times New Roman"/>
          <w:b/>
          <w:szCs w:val="24"/>
        </w:rPr>
      </w:pPr>
      <w:r w:rsidRPr="00CD1BE8">
        <w:rPr>
          <w:rFonts w:cs="Times New Roman"/>
          <w:b/>
          <w:szCs w:val="24"/>
        </w:rPr>
        <w:t xml:space="preserve">BEFORE </w:t>
      </w:r>
    </w:p>
    <w:p w:rsidR="00D92B7D" w:rsidP="00D92B7D" w14:paraId="5C53BC14" w14:textId="616B17B6">
      <w:pPr>
        <w:spacing w:after="0" w:line="240" w:lineRule="auto"/>
        <w:jc w:val="center"/>
        <w:rPr>
          <w:rFonts w:cs="Times New Roman"/>
          <w:b/>
          <w:bCs/>
          <w:szCs w:val="24"/>
        </w:rPr>
      </w:pPr>
      <w:r w:rsidRPr="00CD1BE8">
        <w:rPr>
          <w:rFonts w:cs="Times New Roman"/>
          <w:b/>
          <w:bCs/>
          <w:szCs w:val="24"/>
        </w:rPr>
        <w:t>THE PUBLIC UTILITIES COMMISSION OF OHIO</w:t>
      </w:r>
    </w:p>
    <w:p w:rsidR="00747968" w:rsidP="00D92B7D" w14:paraId="64798C6A" w14:textId="77777777">
      <w:pPr>
        <w:spacing w:after="0" w:line="240" w:lineRule="auto"/>
        <w:jc w:val="center"/>
        <w:rPr>
          <w:rFonts w:cs="Times New Roman"/>
          <w:b/>
          <w:bCs/>
          <w:szCs w:val="24"/>
        </w:rPr>
      </w:pPr>
    </w:p>
    <w:tbl>
      <w:tblPr>
        <w:tblW w:w="8640" w:type="dxa"/>
        <w:tblInd w:w="108" w:type="dxa"/>
        <w:tblLook w:val="01E0"/>
      </w:tblPr>
      <w:tblGrid>
        <w:gridCol w:w="4032"/>
        <w:gridCol w:w="360"/>
        <w:gridCol w:w="4248"/>
      </w:tblGrid>
      <w:tr w14:paraId="5EABDFAA" w14:textId="77777777" w:rsidTr="00D721F4">
        <w:tblPrEx>
          <w:tblW w:w="8640" w:type="dxa"/>
          <w:tblInd w:w="108" w:type="dxa"/>
          <w:tblLook w:val="01E0"/>
        </w:tblPrEx>
        <w:trPr>
          <w:trHeight w:val="4932"/>
        </w:trPr>
        <w:tc>
          <w:tcPr>
            <w:tcW w:w="4032" w:type="dxa"/>
          </w:tcPr>
          <w:p w:rsidR="00747968" w:rsidRPr="000C011D" w:rsidP="00747968" w14:paraId="41AED7E2" w14:textId="77777777">
            <w:pPr>
              <w:spacing w:after="0" w:line="240" w:lineRule="auto"/>
              <w:rPr>
                <w:szCs w:val="24"/>
              </w:rPr>
            </w:pPr>
            <w:r w:rsidRPr="000C011D">
              <w:rPr>
                <w:szCs w:val="24"/>
              </w:rPr>
              <w:t>In the Matter of the Application of The Dayton Power and Light Company for Approval of its Electric Security Plan.</w:t>
            </w:r>
          </w:p>
          <w:p w:rsidR="00747968" w:rsidRPr="000C011D" w:rsidP="00747968" w14:paraId="6B9CC29B" w14:textId="77777777">
            <w:pPr>
              <w:spacing w:after="0" w:line="240" w:lineRule="auto"/>
              <w:rPr>
                <w:szCs w:val="24"/>
              </w:rPr>
            </w:pPr>
          </w:p>
          <w:p w:rsidR="00747968" w:rsidRPr="000C011D" w:rsidP="00747968" w14:paraId="77E2956A" w14:textId="77777777">
            <w:pPr>
              <w:spacing w:after="0" w:line="240" w:lineRule="auto"/>
              <w:rPr>
                <w:szCs w:val="24"/>
              </w:rPr>
            </w:pPr>
            <w:r w:rsidRPr="000C011D">
              <w:rPr>
                <w:szCs w:val="24"/>
              </w:rPr>
              <w:t>In the Matter of the Application of The Dayton Power and Light Company for Approval of Revised Tariffs.</w:t>
            </w:r>
          </w:p>
          <w:p w:rsidR="00747968" w:rsidRPr="000C011D" w:rsidP="00747968" w14:paraId="4A8AECEE" w14:textId="77777777">
            <w:pPr>
              <w:spacing w:after="0" w:line="240" w:lineRule="auto"/>
              <w:rPr>
                <w:szCs w:val="24"/>
              </w:rPr>
            </w:pPr>
          </w:p>
          <w:p w:rsidR="00747968" w:rsidRPr="000C011D" w:rsidP="00747968" w14:paraId="4EB0562E" w14:textId="77777777">
            <w:pPr>
              <w:spacing w:after="0" w:line="240" w:lineRule="auto"/>
              <w:rPr>
                <w:szCs w:val="24"/>
              </w:rPr>
            </w:pPr>
            <w:r w:rsidRPr="000C011D">
              <w:rPr>
                <w:szCs w:val="24"/>
              </w:rPr>
              <w:t>In the Matter of the Application of The Dayton Power and Light Company for Approval of Certain Accounting Authority Pursuant to Ohio Rev. Code Section 4905.13.</w:t>
            </w:r>
          </w:p>
          <w:p w:rsidR="00747968" w:rsidRPr="000C011D" w:rsidP="00747968" w14:paraId="5DE6F5E1" w14:textId="77777777">
            <w:pPr>
              <w:spacing w:after="0" w:line="240" w:lineRule="auto"/>
              <w:rPr>
                <w:szCs w:val="24"/>
              </w:rPr>
            </w:pPr>
          </w:p>
          <w:p w:rsidR="00747968" w:rsidRPr="000C011D" w:rsidP="00747968" w14:paraId="0073AA69" w14:textId="77777777">
            <w:pPr>
              <w:spacing w:after="0" w:line="240" w:lineRule="auto"/>
              <w:rPr>
                <w:szCs w:val="24"/>
              </w:rPr>
            </w:pPr>
            <w:r w:rsidRPr="000C011D">
              <w:rPr>
                <w:szCs w:val="24"/>
              </w:rPr>
              <w:t>In the Matter of the Application of The Dayton Power and Light Company for Approval of its Amended Corporate Separation Plan.</w:t>
            </w:r>
          </w:p>
        </w:tc>
        <w:tc>
          <w:tcPr>
            <w:tcW w:w="360" w:type="dxa"/>
          </w:tcPr>
          <w:p w:rsidR="00747968" w:rsidRPr="000C011D" w:rsidP="00747968" w14:paraId="705D204F" w14:textId="77777777">
            <w:pPr>
              <w:spacing w:after="0" w:line="240" w:lineRule="auto"/>
              <w:rPr>
                <w:szCs w:val="24"/>
              </w:rPr>
            </w:pPr>
            <w:r w:rsidRPr="000C011D">
              <w:rPr>
                <w:szCs w:val="24"/>
              </w:rPr>
              <w:t>)</w:t>
            </w:r>
          </w:p>
          <w:p w:rsidR="00747968" w:rsidRPr="000C011D" w:rsidP="00747968" w14:paraId="3FAD704F" w14:textId="77777777">
            <w:pPr>
              <w:spacing w:after="0" w:line="240" w:lineRule="auto"/>
              <w:rPr>
                <w:szCs w:val="24"/>
              </w:rPr>
            </w:pPr>
            <w:r w:rsidRPr="000C011D">
              <w:rPr>
                <w:szCs w:val="24"/>
              </w:rPr>
              <w:t>)</w:t>
            </w:r>
          </w:p>
          <w:p w:rsidR="00747968" w:rsidRPr="000C011D" w:rsidP="00747968" w14:paraId="7BBA6495" w14:textId="77777777">
            <w:pPr>
              <w:spacing w:after="0" w:line="240" w:lineRule="auto"/>
              <w:rPr>
                <w:szCs w:val="24"/>
              </w:rPr>
            </w:pPr>
            <w:r w:rsidRPr="000C011D">
              <w:rPr>
                <w:szCs w:val="24"/>
              </w:rPr>
              <w:t>)</w:t>
            </w:r>
          </w:p>
          <w:p w:rsidR="00747968" w:rsidRPr="000C011D" w:rsidP="00747968" w14:paraId="38B198D2" w14:textId="77777777">
            <w:pPr>
              <w:spacing w:after="0" w:line="240" w:lineRule="auto"/>
              <w:rPr>
                <w:szCs w:val="24"/>
              </w:rPr>
            </w:pPr>
          </w:p>
          <w:p w:rsidR="00747968" w:rsidRPr="000C011D" w:rsidP="00747968" w14:paraId="10409153" w14:textId="77777777">
            <w:pPr>
              <w:spacing w:after="0" w:line="240" w:lineRule="auto"/>
              <w:rPr>
                <w:szCs w:val="24"/>
              </w:rPr>
            </w:pPr>
            <w:r w:rsidRPr="000C011D">
              <w:rPr>
                <w:szCs w:val="24"/>
              </w:rPr>
              <w:t>)</w:t>
            </w:r>
          </w:p>
          <w:p w:rsidR="00747968" w:rsidRPr="000C011D" w:rsidP="00747968" w14:paraId="1813D93F" w14:textId="77777777">
            <w:pPr>
              <w:spacing w:after="0" w:line="240" w:lineRule="auto"/>
              <w:rPr>
                <w:szCs w:val="24"/>
              </w:rPr>
            </w:pPr>
            <w:r w:rsidRPr="000C011D">
              <w:rPr>
                <w:szCs w:val="24"/>
              </w:rPr>
              <w:t>)</w:t>
            </w:r>
          </w:p>
          <w:p w:rsidR="00747968" w:rsidRPr="000C011D" w:rsidP="00747968" w14:paraId="4C82134A" w14:textId="77777777">
            <w:pPr>
              <w:spacing w:after="0" w:line="240" w:lineRule="auto"/>
              <w:rPr>
                <w:szCs w:val="24"/>
              </w:rPr>
            </w:pPr>
            <w:r w:rsidRPr="000C011D">
              <w:rPr>
                <w:szCs w:val="24"/>
              </w:rPr>
              <w:t>)</w:t>
            </w:r>
          </w:p>
          <w:p w:rsidR="00747968" w:rsidRPr="000C011D" w:rsidP="00747968" w14:paraId="352AC9B6" w14:textId="77777777">
            <w:pPr>
              <w:spacing w:after="0" w:line="240" w:lineRule="auto"/>
              <w:rPr>
                <w:szCs w:val="24"/>
              </w:rPr>
            </w:pPr>
          </w:p>
          <w:p w:rsidR="00747968" w:rsidRPr="000C011D" w:rsidP="00747968" w14:paraId="45891E10" w14:textId="77777777">
            <w:pPr>
              <w:spacing w:after="0" w:line="240" w:lineRule="auto"/>
              <w:rPr>
                <w:szCs w:val="24"/>
              </w:rPr>
            </w:pPr>
            <w:r w:rsidRPr="000C011D">
              <w:rPr>
                <w:szCs w:val="24"/>
              </w:rPr>
              <w:t>)</w:t>
            </w:r>
          </w:p>
          <w:p w:rsidR="00747968" w:rsidRPr="000C011D" w:rsidP="00747968" w14:paraId="38532893" w14:textId="77777777">
            <w:pPr>
              <w:spacing w:after="0" w:line="240" w:lineRule="auto"/>
              <w:rPr>
                <w:szCs w:val="24"/>
              </w:rPr>
            </w:pPr>
            <w:r w:rsidRPr="000C011D">
              <w:rPr>
                <w:szCs w:val="24"/>
              </w:rPr>
              <w:t>)</w:t>
            </w:r>
          </w:p>
          <w:p w:rsidR="00747968" w:rsidRPr="000C011D" w:rsidP="00747968" w14:paraId="6948644B" w14:textId="77777777">
            <w:pPr>
              <w:spacing w:after="0" w:line="240" w:lineRule="auto"/>
              <w:rPr>
                <w:szCs w:val="24"/>
              </w:rPr>
            </w:pPr>
            <w:r w:rsidRPr="000C011D">
              <w:rPr>
                <w:szCs w:val="24"/>
              </w:rPr>
              <w:t>)</w:t>
            </w:r>
          </w:p>
          <w:p w:rsidR="00747968" w:rsidRPr="000C011D" w:rsidP="00747968" w14:paraId="193C89BC" w14:textId="77777777">
            <w:pPr>
              <w:spacing w:after="0" w:line="240" w:lineRule="auto"/>
              <w:rPr>
                <w:szCs w:val="24"/>
              </w:rPr>
            </w:pPr>
            <w:r w:rsidRPr="000C011D">
              <w:rPr>
                <w:szCs w:val="24"/>
              </w:rPr>
              <w:t>)</w:t>
            </w:r>
          </w:p>
          <w:p w:rsidR="00747968" w:rsidRPr="000C011D" w:rsidP="00747968" w14:paraId="427CA7C5" w14:textId="77777777">
            <w:pPr>
              <w:spacing w:after="0" w:line="240" w:lineRule="auto"/>
              <w:rPr>
                <w:szCs w:val="24"/>
              </w:rPr>
            </w:pPr>
            <w:r w:rsidRPr="000C011D">
              <w:rPr>
                <w:szCs w:val="24"/>
              </w:rPr>
              <w:t>)</w:t>
            </w:r>
          </w:p>
          <w:p w:rsidR="00747968" w:rsidRPr="000C011D" w:rsidP="00747968" w14:paraId="433D0C6E" w14:textId="77777777">
            <w:pPr>
              <w:spacing w:after="0" w:line="240" w:lineRule="auto"/>
              <w:rPr>
                <w:szCs w:val="24"/>
              </w:rPr>
            </w:pPr>
          </w:p>
          <w:p w:rsidR="00747968" w:rsidRPr="000C011D" w:rsidP="00747968" w14:paraId="1812A5F7" w14:textId="77777777">
            <w:pPr>
              <w:spacing w:after="0" w:line="240" w:lineRule="auto"/>
              <w:rPr>
                <w:szCs w:val="24"/>
              </w:rPr>
            </w:pPr>
            <w:r w:rsidRPr="000C011D">
              <w:rPr>
                <w:szCs w:val="24"/>
              </w:rPr>
              <w:t>)</w:t>
            </w:r>
          </w:p>
          <w:p w:rsidR="00747968" w:rsidRPr="000C011D" w:rsidP="00747968" w14:paraId="1E75AB95" w14:textId="77777777">
            <w:pPr>
              <w:spacing w:after="0" w:line="240" w:lineRule="auto"/>
              <w:rPr>
                <w:szCs w:val="24"/>
              </w:rPr>
            </w:pPr>
            <w:r w:rsidRPr="000C011D">
              <w:rPr>
                <w:szCs w:val="24"/>
              </w:rPr>
              <w:t>)</w:t>
            </w:r>
          </w:p>
          <w:p w:rsidR="00747968" w:rsidRPr="000C011D" w:rsidP="00747968" w14:paraId="2344251C" w14:textId="77777777">
            <w:pPr>
              <w:spacing w:after="0" w:line="240" w:lineRule="auto"/>
              <w:rPr>
                <w:szCs w:val="24"/>
              </w:rPr>
            </w:pPr>
            <w:r w:rsidRPr="000C011D">
              <w:rPr>
                <w:szCs w:val="24"/>
              </w:rPr>
              <w:t>)</w:t>
            </w:r>
          </w:p>
          <w:p w:rsidR="00747968" w:rsidRPr="000C011D" w:rsidP="00747968" w14:paraId="08505C92" w14:textId="77777777">
            <w:pPr>
              <w:spacing w:after="0" w:line="240" w:lineRule="auto"/>
              <w:rPr>
                <w:szCs w:val="24"/>
              </w:rPr>
            </w:pPr>
            <w:r w:rsidRPr="000C011D">
              <w:rPr>
                <w:szCs w:val="24"/>
              </w:rPr>
              <w:t>)</w:t>
            </w:r>
          </w:p>
        </w:tc>
        <w:tc>
          <w:tcPr>
            <w:tcW w:w="4248" w:type="dxa"/>
          </w:tcPr>
          <w:p w:rsidR="00747968" w:rsidRPr="000C011D" w:rsidP="00747968" w14:paraId="0DFC05C3" w14:textId="77777777">
            <w:pPr>
              <w:spacing w:after="0" w:line="240" w:lineRule="auto"/>
              <w:rPr>
                <w:szCs w:val="24"/>
              </w:rPr>
            </w:pPr>
          </w:p>
          <w:p w:rsidR="00747968" w:rsidRPr="000C011D" w:rsidP="00747968" w14:paraId="1875D093" w14:textId="77777777">
            <w:pPr>
              <w:spacing w:after="0" w:line="240" w:lineRule="auto"/>
              <w:rPr>
                <w:szCs w:val="24"/>
              </w:rPr>
            </w:pPr>
            <w:r w:rsidRPr="000C011D">
              <w:rPr>
                <w:szCs w:val="24"/>
              </w:rPr>
              <w:t>Case No. 08-1094-EL-SSO</w:t>
            </w:r>
          </w:p>
          <w:p w:rsidR="00747968" w:rsidRPr="000C011D" w:rsidP="00747968" w14:paraId="7ACF5CDC" w14:textId="77777777">
            <w:pPr>
              <w:spacing w:after="0" w:line="240" w:lineRule="auto"/>
              <w:rPr>
                <w:szCs w:val="24"/>
              </w:rPr>
            </w:pPr>
          </w:p>
          <w:p w:rsidR="00747968" w:rsidRPr="000C011D" w:rsidP="00747968" w14:paraId="002A4C60" w14:textId="77777777">
            <w:pPr>
              <w:spacing w:after="0" w:line="240" w:lineRule="auto"/>
              <w:rPr>
                <w:szCs w:val="24"/>
              </w:rPr>
            </w:pPr>
          </w:p>
          <w:p w:rsidR="00747968" w:rsidRPr="000C011D" w:rsidP="00747968" w14:paraId="71C0BA71" w14:textId="77777777">
            <w:pPr>
              <w:spacing w:after="0" w:line="240" w:lineRule="auto"/>
              <w:rPr>
                <w:szCs w:val="24"/>
              </w:rPr>
            </w:pPr>
          </w:p>
          <w:p w:rsidR="00747968" w:rsidRPr="000C011D" w:rsidP="00747968" w14:paraId="09BD6A68" w14:textId="77777777">
            <w:pPr>
              <w:spacing w:after="0" w:line="240" w:lineRule="auto"/>
              <w:rPr>
                <w:szCs w:val="24"/>
              </w:rPr>
            </w:pPr>
            <w:r w:rsidRPr="000C011D">
              <w:rPr>
                <w:szCs w:val="24"/>
              </w:rPr>
              <w:t>Case No. 08-1095-EL-ATA</w:t>
            </w:r>
          </w:p>
          <w:p w:rsidR="00747968" w:rsidRPr="000C011D" w:rsidP="00747968" w14:paraId="42A7C21E" w14:textId="77777777">
            <w:pPr>
              <w:spacing w:after="0" w:line="240" w:lineRule="auto"/>
              <w:rPr>
                <w:szCs w:val="24"/>
              </w:rPr>
            </w:pPr>
          </w:p>
          <w:p w:rsidR="00747968" w:rsidRPr="000C011D" w:rsidP="00747968" w14:paraId="38CEC46D" w14:textId="77777777">
            <w:pPr>
              <w:spacing w:after="0" w:line="240" w:lineRule="auto"/>
              <w:rPr>
                <w:szCs w:val="24"/>
              </w:rPr>
            </w:pPr>
          </w:p>
          <w:p w:rsidR="00747968" w:rsidRPr="000C011D" w:rsidP="00747968" w14:paraId="6F526708" w14:textId="77777777">
            <w:pPr>
              <w:spacing w:after="0" w:line="240" w:lineRule="auto"/>
              <w:rPr>
                <w:szCs w:val="24"/>
              </w:rPr>
            </w:pPr>
          </w:p>
          <w:p w:rsidR="00747968" w:rsidRPr="000C011D" w:rsidP="00747968" w14:paraId="47478B27" w14:textId="77777777">
            <w:pPr>
              <w:spacing w:after="0" w:line="240" w:lineRule="auto"/>
              <w:rPr>
                <w:szCs w:val="24"/>
              </w:rPr>
            </w:pPr>
          </w:p>
          <w:p w:rsidR="00747968" w:rsidRPr="000C011D" w:rsidP="00747968" w14:paraId="1EB22AB7" w14:textId="77777777">
            <w:pPr>
              <w:spacing w:after="0" w:line="240" w:lineRule="auto"/>
              <w:rPr>
                <w:szCs w:val="24"/>
              </w:rPr>
            </w:pPr>
            <w:r w:rsidRPr="000C011D">
              <w:rPr>
                <w:szCs w:val="24"/>
              </w:rPr>
              <w:t>Case No. 08-1096-EL-AAM</w:t>
            </w:r>
          </w:p>
          <w:p w:rsidR="00747968" w:rsidRPr="000C011D" w:rsidP="00747968" w14:paraId="341D7643" w14:textId="77777777">
            <w:pPr>
              <w:spacing w:after="0" w:line="240" w:lineRule="auto"/>
              <w:rPr>
                <w:szCs w:val="24"/>
              </w:rPr>
            </w:pPr>
          </w:p>
          <w:p w:rsidR="00747968" w:rsidRPr="000C011D" w:rsidP="00747968" w14:paraId="694EC2A0" w14:textId="77777777">
            <w:pPr>
              <w:spacing w:after="0" w:line="240" w:lineRule="auto"/>
              <w:rPr>
                <w:szCs w:val="24"/>
              </w:rPr>
            </w:pPr>
          </w:p>
          <w:p w:rsidR="00747968" w:rsidRPr="000C011D" w:rsidP="00747968" w14:paraId="0D8D6F9C" w14:textId="77777777">
            <w:pPr>
              <w:spacing w:after="0" w:line="240" w:lineRule="auto"/>
              <w:rPr>
                <w:szCs w:val="24"/>
              </w:rPr>
            </w:pPr>
          </w:p>
          <w:p w:rsidR="00747968" w:rsidRPr="000C011D" w:rsidP="00747968" w14:paraId="05FF7457" w14:textId="77777777">
            <w:pPr>
              <w:spacing w:after="0" w:line="240" w:lineRule="auto"/>
              <w:rPr>
                <w:szCs w:val="24"/>
              </w:rPr>
            </w:pPr>
          </w:p>
          <w:p w:rsidR="00747968" w:rsidRPr="000C011D" w:rsidP="00747968" w14:paraId="341ED7B7" w14:textId="77777777">
            <w:pPr>
              <w:spacing w:after="0" w:line="240" w:lineRule="auto"/>
              <w:rPr>
                <w:szCs w:val="24"/>
              </w:rPr>
            </w:pPr>
            <w:r w:rsidRPr="000C011D">
              <w:rPr>
                <w:szCs w:val="24"/>
              </w:rPr>
              <w:t>Case No. 08-1097-EL-UNC</w:t>
            </w:r>
          </w:p>
          <w:p w:rsidR="00747968" w:rsidRPr="000C011D" w:rsidP="00747968" w14:paraId="1E466478" w14:textId="77777777">
            <w:pPr>
              <w:spacing w:after="0" w:line="240" w:lineRule="auto"/>
              <w:rPr>
                <w:szCs w:val="24"/>
              </w:rPr>
            </w:pPr>
          </w:p>
          <w:p w:rsidR="00747968" w:rsidRPr="000C011D" w:rsidP="00747968" w14:paraId="0D891308" w14:textId="77777777">
            <w:pPr>
              <w:spacing w:after="0" w:line="240" w:lineRule="auto"/>
              <w:rPr>
                <w:szCs w:val="24"/>
              </w:rPr>
            </w:pPr>
          </w:p>
        </w:tc>
      </w:tr>
    </w:tbl>
    <w:p w:rsidR="00D92B7D" w:rsidRPr="00CD1BE8" w:rsidP="00D92B7D" w14:paraId="4D5FD19B" w14:textId="77777777">
      <w:pPr>
        <w:pStyle w:val="HTMLPreformatted"/>
        <w:contextualSpacing/>
        <w:rPr>
          <w:rFonts w:ascii="Times New Roman" w:hAnsi="Times New Roman" w:cs="Times New Roman"/>
          <w:sz w:val="24"/>
          <w:szCs w:val="24"/>
        </w:rPr>
      </w:pPr>
      <w:r w:rsidRPr="00CD1BE8">
        <w:rPr>
          <w:rFonts w:ascii="Times New Roman" w:hAnsi="Times New Roman" w:cs="Times New Roman"/>
          <w:sz w:val="24"/>
          <w:szCs w:val="24"/>
        </w:rPr>
        <w:tab/>
      </w:r>
      <w:r w:rsidRPr="00CD1BE8">
        <w:rPr>
          <w:rFonts w:ascii="Times New Roman" w:hAnsi="Times New Roman" w:cs="Times New Roman"/>
          <w:sz w:val="24"/>
          <w:szCs w:val="24"/>
        </w:rPr>
        <w:tab/>
      </w:r>
    </w:p>
    <w:p w:rsidR="00D721F4" w:rsidRPr="00CD1BE8" w:rsidP="00D721F4" w14:paraId="47208DBA" w14:textId="77777777">
      <w:pPr>
        <w:pStyle w:val="HTMLPreformatted"/>
        <w:pBdr>
          <w:bottom w:val="single" w:sz="12" w:space="1" w:color="auto"/>
        </w:pBdr>
        <w:contextualSpacing/>
        <w:rPr>
          <w:rFonts w:ascii="Times New Roman" w:hAnsi="Times New Roman" w:cs="Times New Roman"/>
          <w:sz w:val="24"/>
          <w:szCs w:val="24"/>
        </w:rPr>
      </w:pPr>
      <w:r w:rsidRPr="00CD1BE8">
        <w:rPr>
          <w:rFonts w:ascii="Times New Roman" w:hAnsi="Times New Roman" w:cs="Times New Roman"/>
          <w:sz w:val="24"/>
          <w:szCs w:val="24"/>
        </w:rPr>
        <w:tab/>
      </w:r>
      <w:r w:rsidRPr="00CD1BE8">
        <w:rPr>
          <w:rFonts w:ascii="Times New Roman" w:hAnsi="Times New Roman" w:cs="Times New Roman"/>
          <w:sz w:val="24"/>
          <w:szCs w:val="24"/>
        </w:rPr>
        <w:tab/>
      </w:r>
    </w:p>
    <w:p w:rsidR="00D721F4" w:rsidRPr="00CD1BE8" w:rsidP="00D721F4" w14:paraId="46EA060A" w14:textId="77777777">
      <w:pPr>
        <w:spacing w:after="0" w:line="240" w:lineRule="auto"/>
        <w:contextualSpacing/>
        <w:jc w:val="center"/>
        <w:rPr>
          <w:rFonts w:cs="Times New Roman"/>
          <w:b/>
          <w:szCs w:val="24"/>
        </w:rPr>
      </w:pPr>
    </w:p>
    <w:p w:rsidR="00D721F4" w:rsidRPr="00CD1BE8" w:rsidP="00D721F4" w14:paraId="1AF695F0" w14:textId="77777777">
      <w:pPr>
        <w:spacing w:after="0" w:line="240" w:lineRule="auto"/>
        <w:contextualSpacing/>
        <w:jc w:val="center"/>
        <w:rPr>
          <w:rFonts w:cs="Times New Roman"/>
          <w:b/>
          <w:szCs w:val="24"/>
        </w:rPr>
      </w:pPr>
      <w:r>
        <w:rPr>
          <w:rFonts w:cs="Times New Roman"/>
          <w:b/>
          <w:szCs w:val="24"/>
        </w:rPr>
        <w:t>APPLICATION FOR REHEARING</w:t>
      </w:r>
    </w:p>
    <w:p w:rsidR="00D721F4" w:rsidRPr="00CD1BE8" w:rsidP="00D721F4" w14:paraId="00E2C5AC" w14:textId="77777777">
      <w:pPr>
        <w:spacing w:after="0" w:line="240" w:lineRule="auto"/>
        <w:contextualSpacing/>
        <w:jc w:val="center"/>
        <w:rPr>
          <w:rFonts w:cs="Times New Roman"/>
          <w:b/>
          <w:szCs w:val="24"/>
        </w:rPr>
      </w:pPr>
      <w:r>
        <w:rPr>
          <w:rFonts w:cs="Times New Roman"/>
          <w:b/>
          <w:szCs w:val="24"/>
        </w:rPr>
        <w:t>BY</w:t>
      </w:r>
    </w:p>
    <w:p w:rsidR="00D721F4" w:rsidP="00D721F4" w14:paraId="16C614C7" w14:textId="77777777">
      <w:pPr>
        <w:pBdr>
          <w:bottom w:val="single" w:sz="12" w:space="1" w:color="auto"/>
        </w:pBdr>
        <w:spacing w:after="0" w:line="240" w:lineRule="auto"/>
        <w:contextualSpacing/>
        <w:jc w:val="center"/>
        <w:rPr>
          <w:rFonts w:cs="Times New Roman"/>
          <w:b/>
          <w:szCs w:val="24"/>
        </w:rPr>
      </w:pPr>
      <w:r w:rsidRPr="00CD1BE8">
        <w:rPr>
          <w:rFonts w:cs="Times New Roman"/>
          <w:b/>
          <w:szCs w:val="24"/>
        </w:rPr>
        <w:t>OFFICE OF THE OHIO CONSUMERS’ COUNSEL</w:t>
      </w:r>
    </w:p>
    <w:p w:rsidR="00D721F4" w:rsidRPr="00CD1BE8" w:rsidP="00D721F4" w14:paraId="4817E019" w14:textId="77777777">
      <w:pPr>
        <w:pBdr>
          <w:bottom w:val="single" w:sz="12" w:space="1" w:color="auto"/>
        </w:pBdr>
        <w:spacing w:line="240" w:lineRule="auto"/>
        <w:contextualSpacing/>
        <w:jc w:val="center"/>
        <w:rPr>
          <w:rFonts w:cs="Times New Roman"/>
          <w:b/>
          <w:szCs w:val="24"/>
        </w:rPr>
      </w:pPr>
    </w:p>
    <w:p w:rsidR="00D721F4" w:rsidP="00D721F4" w14:paraId="56FD0133" w14:textId="77777777">
      <w:pPr>
        <w:spacing w:after="0" w:line="240" w:lineRule="auto"/>
        <w:ind w:firstLine="720"/>
      </w:pPr>
    </w:p>
    <w:p w:rsidR="004D3EDA" w:rsidP="00D92B7D" w14:paraId="7971B806" w14:textId="77777777">
      <w:pPr>
        <w:tabs>
          <w:tab w:val="left" w:pos="4320"/>
        </w:tabs>
        <w:spacing w:after="0" w:line="240" w:lineRule="auto"/>
        <w:rPr>
          <w:rFonts w:cs="Times New Roman"/>
          <w:szCs w:val="24"/>
        </w:rPr>
      </w:pPr>
    </w:p>
    <w:p w:rsidR="00D92B7D" w:rsidRPr="00CD1BE8" w:rsidP="00D92B7D" w14:paraId="7B7B16BA" w14:textId="5431A86B">
      <w:pPr>
        <w:tabs>
          <w:tab w:val="left" w:pos="4320"/>
        </w:tabs>
        <w:spacing w:after="0" w:line="240" w:lineRule="auto"/>
        <w:rPr>
          <w:rFonts w:cs="Times New Roman"/>
          <w:szCs w:val="24"/>
        </w:rPr>
      </w:pPr>
    </w:p>
    <w:p w:rsidR="00747968" w:rsidP="00747968" w14:paraId="5BF4BD09" w14:textId="77777777">
      <w:pPr>
        <w:tabs>
          <w:tab w:val="left" w:pos="4320"/>
        </w:tabs>
        <w:spacing w:after="0" w:line="240" w:lineRule="auto"/>
        <w:ind w:left="4320"/>
        <w:rPr>
          <w:szCs w:val="24"/>
        </w:rPr>
      </w:pPr>
      <w:r>
        <w:rPr>
          <w:szCs w:val="24"/>
        </w:rPr>
        <w:t>Bruce Weston (0016973)</w:t>
      </w:r>
    </w:p>
    <w:p w:rsidR="00747968" w:rsidP="00747968" w14:paraId="5704F86E" w14:textId="77777777">
      <w:pPr>
        <w:tabs>
          <w:tab w:val="left" w:pos="4320"/>
        </w:tabs>
        <w:spacing w:after="0" w:line="240" w:lineRule="auto"/>
        <w:ind w:left="4320"/>
        <w:rPr>
          <w:szCs w:val="24"/>
        </w:rPr>
      </w:pPr>
      <w:r>
        <w:rPr>
          <w:szCs w:val="24"/>
        </w:rPr>
        <w:t>Ohio Consumers’ Counsel</w:t>
      </w:r>
    </w:p>
    <w:p w:rsidR="00747968" w:rsidRPr="00DE37C9" w:rsidP="00747968" w14:paraId="74BB7EF5" w14:textId="77777777">
      <w:pPr>
        <w:tabs>
          <w:tab w:val="left" w:pos="4320"/>
        </w:tabs>
        <w:spacing w:after="0" w:line="240" w:lineRule="auto"/>
        <w:ind w:left="4320"/>
        <w:rPr>
          <w:szCs w:val="24"/>
        </w:rPr>
      </w:pPr>
    </w:p>
    <w:p w:rsidR="00747968" w:rsidP="00747968" w14:paraId="58026587" w14:textId="77777777">
      <w:pPr>
        <w:tabs>
          <w:tab w:val="left" w:pos="4320"/>
        </w:tabs>
        <w:spacing w:after="0" w:line="240" w:lineRule="auto"/>
        <w:ind w:left="4320" w:right="-180"/>
        <w:rPr>
          <w:szCs w:val="24"/>
        </w:rPr>
      </w:pPr>
      <w:r>
        <w:rPr>
          <w:szCs w:val="24"/>
        </w:rPr>
        <w:t>Maureen R. Willis (0020847)</w:t>
      </w:r>
    </w:p>
    <w:p w:rsidR="00747968" w:rsidP="00747968" w14:paraId="6EFDD4DD" w14:textId="68C79EDF">
      <w:pPr>
        <w:tabs>
          <w:tab w:val="left" w:pos="4320"/>
        </w:tabs>
        <w:spacing w:after="0" w:line="240" w:lineRule="auto"/>
        <w:ind w:left="4320" w:right="-180"/>
        <w:rPr>
          <w:szCs w:val="24"/>
        </w:rPr>
      </w:pPr>
      <w:r>
        <w:rPr>
          <w:szCs w:val="24"/>
        </w:rPr>
        <w:t>Counsel of Record</w:t>
      </w:r>
    </w:p>
    <w:p w:rsidR="00F31BA3" w:rsidP="00747968" w14:paraId="4D26ACF3" w14:textId="158727C3">
      <w:pPr>
        <w:tabs>
          <w:tab w:val="left" w:pos="4320"/>
        </w:tabs>
        <w:spacing w:after="0" w:line="240" w:lineRule="auto"/>
        <w:ind w:left="4320" w:right="-180"/>
        <w:rPr>
          <w:szCs w:val="24"/>
        </w:rPr>
      </w:pPr>
      <w:r>
        <w:rPr>
          <w:szCs w:val="24"/>
        </w:rPr>
        <w:t>Christopher Healey (0086027)</w:t>
      </w:r>
    </w:p>
    <w:p w:rsidR="00F31BA3" w:rsidP="00747968" w14:paraId="7D0D10F1" w14:textId="19650C2E">
      <w:pPr>
        <w:tabs>
          <w:tab w:val="left" w:pos="4320"/>
        </w:tabs>
        <w:spacing w:after="0" w:line="240" w:lineRule="auto"/>
        <w:ind w:left="4320" w:right="-180"/>
        <w:rPr>
          <w:szCs w:val="24"/>
        </w:rPr>
      </w:pPr>
      <w:r>
        <w:rPr>
          <w:szCs w:val="24"/>
        </w:rPr>
        <w:t>William J. Michael (0070921)</w:t>
      </w:r>
    </w:p>
    <w:p w:rsidR="00747968" w:rsidP="00D721F4" w14:paraId="0ACD7F9B" w14:textId="0A11E80F">
      <w:pPr>
        <w:spacing w:after="0" w:line="240" w:lineRule="auto"/>
      </w:pPr>
      <w:r>
        <w:t>July 16, 2021</w:t>
      </w:r>
      <w:r>
        <w:tab/>
      </w:r>
      <w:r>
        <w:tab/>
      </w:r>
      <w:r>
        <w:tab/>
      </w:r>
      <w:r>
        <w:tab/>
      </w:r>
      <w:r>
        <w:tab/>
      </w:r>
      <w:r w:rsidRPr="00BC69C7" w:rsidR="00F31BA3">
        <w:t xml:space="preserve">Assistant Consumers’ Counsel </w:t>
      </w:r>
    </w:p>
    <w:p w:rsidR="00D721F4" w:rsidP="00747968" w14:paraId="5F2F2FC9" w14:textId="77777777">
      <w:pPr>
        <w:spacing w:after="0" w:line="240" w:lineRule="auto"/>
        <w:ind w:left="3600" w:firstLine="720"/>
        <w:sectPr w:rsidSect="00D92B7D">
          <w:footerReference w:type="default" r:id="rId6"/>
          <w:pgSz w:w="12240" w:h="15840"/>
          <w:pgMar w:top="1440" w:right="1800" w:bottom="1440" w:left="1800" w:header="720" w:footer="720" w:gutter="0"/>
          <w:pgNumType w:fmt="lowerRoman" w:start="1"/>
          <w:cols w:space="720"/>
          <w:docGrid w:linePitch="360"/>
        </w:sectPr>
      </w:pPr>
    </w:p>
    <w:p w:rsidR="00747968" w:rsidRPr="006471D3" w:rsidP="00747968" w14:paraId="3F95DFC9" w14:textId="77777777">
      <w:pPr>
        <w:spacing w:after="0" w:line="240" w:lineRule="auto"/>
        <w:ind w:left="4320"/>
        <w:rPr>
          <w:b/>
          <w:bCs/>
          <w:szCs w:val="24"/>
        </w:rPr>
      </w:pPr>
      <w:r w:rsidRPr="006471D3">
        <w:rPr>
          <w:b/>
          <w:bCs/>
          <w:szCs w:val="24"/>
        </w:rPr>
        <w:t>Office of the Ohio Consumers’ Counsel</w:t>
      </w:r>
    </w:p>
    <w:p w:rsidR="00747968" w:rsidRPr="006471D3" w:rsidP="00747968" w14:paraId="73B704EC"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65 East State Street, 7th Floor</w:t>
      </w:r>
    </w:p>
    <w:p w:rsidR="00747968" w:rsidRPr="006471D3" w:rsidP="00747968" w14:paraId="4F44C8F2"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Columbus, Ohio 43215-4213</w:t>
      </w:r>
    </w:p>
    <w:p w:rsidR="00747968" w:rsidP="00747968" w14:paraId="1CDDC575" w14:textId="4CB343AA">
      <w:pPr>
        <w:autoSpaceDE w:val="0"/>
        <w:autoSpaceDN w:val="0"/>
        <w:adjustRightInd w:val="0"/>
        <w:spacing w:after="0" w:line="240" w:lineRule="auto"/>
        <w:ind w:left="4320"/>
        <w:rPr>
          <w:szCs w:val="24"/>
        </w:rPr>
      </w:pPr>
      <w:r>
        <w:rPr>
          <w:szCs w:val="24"/>
        </w:rPr>
        <w:t>Telephone: Willis (614) 466-9567</w:t>
      </w:r>
    </w:p>
    <w:p w:rsidR="00F31BA3" w:rsidP="00F31BA3" w14:paraId="347379F5" w14:textId="56795F57">
      <w:pPr>
        <w:autoSpaceDE w:val="0"/>
        <w:autoSpaceDN w:val="0"/>
        <w:adjustRightInd w:val="0"/>
        <w:spacing w:after="0" w:line="240" w:lineRule="auto"/>
        <w:ind w:left="4320"/>
        <w:rPr>
          <w:szCs w:val="24"/>
        </w:rPr>
      </w:pPr>
      <w:r>
        <w:rPr>
          <w:szCs w:val="24"/>
        </w:rPr>
        <w:t>Telephone: Healey (614) 466-9571</w:t>
      </w:r>
    </w:p>
    <w:p w:rsidR="00F31BA3" w:rsidP="00F31BA3" w14:paraId="0D097522" w14:textId="39F3C6A2">
      <w:pPr>
        <w:autoSpaceDE w:val="0"/>
        <w:autoSpaceDN w:val="0"/>
        <w:adjustRightInd w:val="0"/>
        <w:spacing w:after="0" w:line="240" w:lineRule="auto"/>
        <w:ind w:left="4320"/>
        <w:rPr>
          <w:szCs w:val="24"/>
        </w:rPr>
      </w:pPr>
      <w:r>
        <w:rPr>
          <w:szCs w:val="24"/>
        </w:rPr>
        <w:t>Telephone: Michael (614) 466-1291</w:t>
      </w:r>
    </w:p>
    <w:p w:rsidR="00747968" w:rsidP="00747968" w14:paraId="51D9A6D8" w14:textId="5817F789">
      <w:pPr>
        <w:spacing w:after="0" w:line="240" w:lineRule="auto"/>
        <w:ind w:left="4320"/>
      </w:pPr>
      <w:hyperlink r:id="rId7" w:history="1">
        <w:r w:rsidRPr="00D50E4C" w:rsidR="00AC62F9">
          <w:rPr>
            <w:rStyle w:val="Hyperlink"/>
            <w:rFonts w:eastAsiaTheme="majorEastAsia"/>
          </w:rPr>
          <w:t>maureen.willis@occ.ohio.gov</w:t>
        </w:r>
      </w:hyperlink>
      <w:r w:rsidR="00AC62F9">
        <w:t xml:space="preserve"> </w:t>
      </w:r>
    </w:p>
    <w:p w:rsidR="00F31BA3" w:rsidP="00747968" w14:paraId="2A8035F0" w14:textId="60EDAED6">
      <w:pPr>
        <w:spacing w:after="0" w:line="240" w:lineRule="auto"/>
        <w:ind w:left="4320"/>
      </w:pPr>
      <w:hyperlink r:id="rId8" w:history="1">
        <w:r w:rsidRPr="00CC18CD" w:rsidR="00D721F4">
          <w:rPr>
            <w:rStyle w:val="Hyperlink"/>
          </w:rPr>
          <w:t>christopher.healey@occ.ohio.gov</w:t>
        </w:r>
      </w:hyperlink>
    </w:p>
    <w:p w:rsidR="00F31BA3" w:rsidP="00747968" w14:paraId="034F5DC5" w14:textId="721F8EDF">
      <w:pPr>
        <w:spacing w:after="0" w:line="240" w:lineRule="auto"/>
        <w:ind w:left="4320"/>
      </w:pPr>
      <w:hyperlink r:id="rId9" w:history="1">
        <w:r w:rsidRPr="00CC18CD" w:rsidR="00D721F4">
          <w:rPr>
            <w:rStyle w:val="Hyperlink"/>
          </w:rPr>
          <w:t>william.michael@occ.ohio.gov</w:t>
        </w:r>
      </w:hyperlink>
    </w:p>
    <w:p w:rsidR="000A6E37" w:rsidRPr="00CD1BE8" w:rsidP="00D721F4" w14:paraId="2B9FF8A3" w14:textId="3FB90077">
      <w:pPr>
        <w:spacing w:after="0" w:line="240" w:lineRule="auto"/>
        <w:ind w:left="3600" w:firstLine="720"/>
        <w:rPr>
          <w:rFonts w:cs="Times New Roman"/>
          <w:szCs w:val="24"/>
        </w:rPr>
        <w:sectPr w:rsidSect="00D92B7D">
          <w:pgSz w:w="12240" w:h="15840"/>
          <w:pgMar w:top="1440" w:right="1800" w:bottom="1440" w:left="1800" w:header="720" w:footer="720" w:gutter="0"/>
          <w:pgNumType w:fmt="lowerRoman" w:start="1"/>
          <w:cols w:space="720"/>
          <w:docGrid w:linePitch="360"/>
        </w:sectPr>
      </w:pPr>
      <w:r>
        <w:t>(willing to accept service by e-mail)</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D92B7D" w:rsidRPr="00CD1BE8" w:rsidP="00D92B7D" w14:paraId="74F86339" w14:textId="463FF615">
      <w:pPr>
        <w:spacing w:after="0" w:line="240" w:lineRule="auto"/>
        <w:jc w:val="center"/>
        <w:rPr>
          <w:rFonts w:cs="Times New Roman"/>
          <w:b/>
          <w:bCs/>
          <w:szCs w:val="24"/>
        </w:rPr>
      </w:pPr>
      <w:r>
        <w:rPr>
          <w:rFonts w:cs="Times New Roman"/>
          <w:b/>
          <w:bCs/>
          <w:szCs w:val="24"/>
        </w:rPr>
        <w:t>B</w:t>
      </w:r>
      <w:r w:rsidRPr="00CD1BE8" w:rsidR="00E408E7">
        <w:rPr>
          <w:rFonts w:cs="Times New Roman"/>
          <w:b/>
          <w:bCs/>
          <w:szCs w:val="24"/>
        </w:rPr>
        <w:t>EFORE</w:t>
      </w:r>
    </w:p>
    <w:p w:rsidR="00D92B7D" w:rsidP="00D92B7D" w14:paraId="780366A2" w14:textId="3EDE299E">
      <w:pPr>
        <w:pStyle w:val="HTMLPreformatted"/>
        <w:jc w:val="center"/>
        <w:rPr>
          <w:rFonts w:ascii="Times New Roman" w:hAnsi="Times New Roman" w:cs="Times New Roman"/>
          <w:b/>
          <w:bCs/>
          <w:sz w:val="24"/>
          <w:szCs w:val="24"/>
        </w:rPr>
      </w:pPr>
      <w:r w:rsidRPr="00CD1BE8">
        <w:rPr>
          <w:rFonts w:ascii="Times New Roman" w:hAnsi="Times New Roman" w:cs="Times New Roman"/>
          <w:b/>
          <w:bCs/>
          <w:sz w:val="24"/>
          <w:szCs w:val="24"/>
        </w:rPr>
        <w:t>THE PUBLIC UTILITIES COMMISSION OF OHIO</w:t>
      </w:r>
    </w:p>
    <w:p w:rsidR="00747968" w:rsidP="00D92B7D" w14:paraId="6BEF7082" w14:textId="5BBC0A76">
      <w:pPr>
        <w:pStyle w:val="HTMLPreformatted"/>
        <w:jc w:val="center"/>
        <w:rPr>
          <w:rFonts w:ascii="Times New Roman" w:hAnsi="Times New Roman" w:cs="Times New Roman"/>
          <w:b/>
          <w:bCs/>
          <w:sz w:val="24"/>
          <w:szCs w:val="24"/>
        </w:rPr>
      </w:pPr>
    </w:p>
    <w:tbl>
      <w:tblPr>
        <w:tblW w:w="8640" w:type="dxa"/>
        <w:tblInd w:w="108" w:type="dxa"/>
        <w:tblLook w:val="01E0"/>
      </w:tblPr>
      <w:tblGrid>
        <w:gridCol w:w="4122"/>
        <w:gridCol w:w="450"/>
        <w:gridCol w:w="4068"/>
      </w:tblGrid>
      <w:tr w14:paraId="38378A09" w14:textId="77777777" w:rsidTr="004D3EDA">
        <w:tblPrEx>
          <w:tblW w:w="8640" w:type="dxa"/>
          <w:tblInd w:w="108" w:type="dxa"/>
          <w:tblLook w:val="01E0"/>
        </w:tblPrEx>
        <w:trPr>
          <w:trHeight w:val="4932"/>
        </w:trPr>
        <w:tc>
          <w:tcPr>
            <w:tcW w:w="4122" w:type="dxa"/>
          </w:tcPr>
          <w:p w:rsidR="00747968" w:rsidRPr="000C011D" w:rsidP="00D92B7D" w14:paraId="4CB1BC38" w14:textId="77777777">
            <w:pPr>
              <w:spacing w:after="0" w:line="240" w:lineRule="auto"/>
              <w:rPr>
                <w:szCs w:val="24"/>
              </w:rPr>
            </w:pPr>
            <w:r w:rsidRPr="000C011D">
              <w:rPr>
                <w:szCs w:val="24"/>
              </w:rPr>
              <w:t>In the Matter of the Application of The Dayton Power and Light Company for Approval of its Electric Security Plan.</w:t>
            </w:r>
          </w:p>
          <w:p w:rsidR="00747968" w:rsidRPr="000C011D" w:rsidP="00D92B7D" w14:paraId="598E956C" w14:textId="77777777">
            <w:pPr>
              <w:spacing w:after="0" w:line="240" w:lineRule="auto"/>
              <w:rPr>
                <w:szCs w:val="24"/>
              </w:rPr>
            </w:pPr>
          </w:p>
          <w:p w:rsidR="00747968" w:rsidRPr="000C011D" w:rsidP="00D92B7D" w14:paraId="4E072B59" w14:textId="77777777">
            <w:pPr>
              <w:spacing w:after="0" w:line="240" w:lineRule="auto"/>
              <w:rPr>
                <w:szCs w:val="24"/>
              </w:rPr>
            </w:pPr>
            <w:r w:rsidRPr="000C011D">
              <w:rPr>
                <w:szCs w:val="24"/>
              </w:rPr>
              <w:t>In the Matter of the Application of The Dayton Power and Light Company for Approval of Revised Tariffs.</w:t>
            </w:r>
          </w:p>
          <w:p w:rsidR="00747968" w:rsidRPr="000C011D" w:rsidP="00D92B7D" w14:paraId="0416CA61" w14:textId="77777777">
            <w:pPr>
              <w:spacing w:after="0" w:line="240" w:lineRule="auto"/>
              <w:rPr>
                <w:szCs w:val="24"/>
              </w:rPr>
            </w:pPr>
          </w:p>
          <w:p w:rsidR="00747968" w:rsidRPr="000C011D" w:rsidP="00D92B7D" w14:paraId="795EA4EE" w14:textId="77777777">
            <w:pPr>
              <w:spacing w:after="0" w:line="240" w:lineRule="auto"/>
              <w:rPr>
                <w:szCs w:val="24"/>
              </w:rPr>
            </w:pPr>
            <w:r w:rsidRPr="000C011D">
              <w:rPr>
                <w:szCs w:val="24"/>
              </w:rPr>
              <w:t>In the Matter of the Application of The Dayton Power and Light Company for Approval of Certain Accounting Authority Pursuant to Ohio Rev. Code Section 4905.13.</w:t>
            </w:r>
          </w:p>
          <w:p w:rsidR="00747968" w:rsidRPr="000C011D" w:rsidP="00D92B7D" w14:paraId="3EEA396B" w14:textId="77777777">
            <w:pPr>
              <w:spacing w:after="0" w:line="240" w:lineRule="auto"/>
              <w:rPr>
                <w:szCs w:val="24"/>
              </w:rPr>
            </w:pPr>
          </w:p>
          <w:p w:rsidR="00747968" w:rsidRPr="000C011D" w:rsidP="00D92B7D" w14:paraId="3AA99A8F" w14:textId="77777777">
            <w:pPr>
              <w:spacing w:after="0" w:line="240" w:lineRule="auto"/>
              <w:rPr>
                <w:szCs w:val="24"/>
              </w:rPr>
            </w:pPr>
            <w:r w:rsidRPr="000C011D">
              <w:rPr>
                <w:szCs w:val="24"/>
              </w:rPr>
              <w:t>In the Matter of the Application of The Dayton Power and Light Company for Approval of its Amended Corporate Separation Plan.</w:t>
            </w:r>
          </w:p>
        </w:tc>
        <w:tc>
          <w:tcPr>
            <w:tcW w:w="450" w:type="dxa"/>
          </w:tcPr>
          <w:p w:rsidR="00747968" w:rsidRPr="000C011D" w:rsidP="00D92B7D" w14:paraId="179B2DE1" w14:textId="77777777">
            <w:pPr>
              <w:spacing w:after="0" w:line="240" w:lineRule="auto"/>
              <w:rPr>
                <w:szCs w:val="24"/>
              </w:rPr>
            </w:pPr>
            <w:r w:rsidRPr="000C011D">
              <w:rPr>
                <w:szCs w:val="24"/>
              </w:rPr>
              <w:t>)</w:t>
            </w:r>
          </w:p>
          <w:p w:rsidR="00747968" w:rsidRPr="000C011D" w:rsidP="00D92B7D" w14:paraId="373BC09E" w14:textId="77777777">
            <w:pPr>
              <w:spacing w:after="0" w:line="240" w:lineRule="auto"/>
              <w:rPr>
                <w:szCs w:val="24"/>
              </w:rPr>
            </w:pPr>
            <w:r w:rsidRPr="000C011D">
              <w:rPr>
                <w:szCs w:val="24"/>
              </w:rPr>
              <w:t>)</w:t>
            </w:r>
          </w:p>
          <w:p w:rsidR="00747968" w:rsidRPr="000C011D" w:rsidP="00D92B7D" w14:paraId="0A5949DD" w14:textId="77777777">
            <w:pPr>
              <w:spacing w:after="0" w:line="240" w:lineRule="auto"/>
              <w:rPr>
                <w:szCs w:val="24"/>
              </w:rPr>
            </w:pPr>
            <w:r w:rsidRPr="000C011D">
              <w:rPr>
                <w:szCs w:val="24"/>
              </w:rPr>
              <w:t>)</w:t>
            </w:r>
          </w:p>
          <w:p w:rsidR="00747968" w:rsidRPr="000C011D" w:rsidP="00D92B7D" w14:paraId="1E735C4F" w14:textId="77777777">
            <w:pPr>
              <w:spacing w:after="0" w:line="240" w:lineRule="auto"/>
              <w:rPr>
                <w:szCs w:val="24"/>
              </w:rPr>
            </w:pPr>
          </w:p>
          <w:p w:rsidR="00747968" w:rsidRPr="000C011D" w:rsidP="00D92B7D" w14:paraId="4AA8FEF1" w14:textId="77777777">
            <w:pPr>
              <w:spacing w:after="0" w:line="240" w:lineRule="auto"/>
              <w:rPr>
                <w:szCs w:val="24"/>
              </w:rPr>
            </w:pPr>
            <w:r w:rsidRPr="000C011D">
              <w:rPr>
                <w:szCs w:val="24"/>
              </w:rPr>
              <w:t>)</w:t>
            </w:r>
          </w:p>
          <w:p w:rsidR="00747968" w:rsidRPr="000C011D" w:rsidP="00D92B7D" w14:paraId="50493EE3" w14:textId="77777777">
            <w:pPr>
              <w:spacing w:after="0" w:line="240" w:lineRule="auto"/>
              <w:rPr>
                <w:szCs w:val="24"/>
              </w:rPr>
            </w:pPr>
            <w:r w:rsidRPr="000C011D">
              <w:rPr>
                <w:szCs w:val="24"/>
              </w:rPr>
              <w:t>)</w:t>
            </w:r>
          </w:p>
          <w:p w:rsidR="00747968" w:rsidRPr="000C011D" w:rsidP="00D92B7D" w14:paraId="24FE746A" w14:textId="77777777">
            <w:pPr>
              <w:spacing w:after="0" w:line="240" w:lineRule="auto"/>
              <w:rPr>
                <w:szCs w:val="24"/>
              </w:rPr>
            </w:pPr>
            <w:r w:rsidRPr="000C011D">
              <w:rPr>
                <w:szCs w:val="24"/>
              </w:rPr>
              <w:t>)</w:t>
            </w:r>
          </w:p>
          <w:p w:rsidR="00747968" w:rsidRPr="000C011D" w:rsidP="00D92B7D" w14:paraId="50C4DA34" w14:textId="77777777">
            <w:pPr>
              <w:spacing w:after="0" w:line="240" w:lineRule="auto"/>
              <w:rPr>
                <w:szCs w:val="24"/>
              </w:rPr>
            </w:pPr>
          </w:p>
          <w:p w:rsidR="00747968" w:rsidRPr="000C011D" w:rsidP="00D92B7D" w14:paraId="2AF3D29C" w14:textId="77777777">
            <w:pPr>
              <w:spacing w:after="0" w:line="240" w:lineRule="auto"/>
              <w:rPr>
                <w:szCs w:val="24"/>
              </w:rPr>
            </w:pPr>
            <w:r w:rsidRPr="000C011D">
              <w:rPr>
                <w:szCs w:val="24"/>
              </w:rPr>
              <w:t>)</w:t>
            </w:r>
          </w:p>
          <w:p w:rsidR="00747968" w:rsidRPr="000C011D" w:rsidP="00D92B7D" w14:paraId="66E37CB7" w14:textId="77777777">
            <w:pPr>
              <w:spacing w:after="0" w:line="240" w:lineRule="auto"/>
              <w:rPr>
                <w:szCs w:val="24"/>
              </w:rPr>
            </w:pPr>
            <w:r w:rsidRPr="000C011D">
              <w:rPr>
                <w:szCs w:val="24"/>
              </w:rPr>
              <w:t>)</w:t>
            </w:r>
          </w:p>
          <w:p w:rsidR="00747968" w:rsidRPr="000C011D" w:rsidP="00D92B7D" w14:paraId="403474B6" w14:textId="77777777">
            <w:pPr>
              <w:spacing w:after="0" w:line="240" w:lineRule="auto"/>
              <w:rPr>
                <w:szCs w:val="24"/>
              </w:rPr>
            </w:pPr>
            <w:r w:rsidRPr="000C011D">
              <w:rPr>
                <w:szCs w:val="24"/>
              </w:rPr>
              <w:t>)</w:t>
            </w:r>
          </w:p>
          <w:p w:rsidR="00747968" w:rsidRPr="000C011D" w:rsidP="00D92B7D" w14:paraId="376E4A1A" w14:textId="77777777">
            <w:pPr>
              <w:spacing w:after="0" w:line="240" w:lineRule="auto"/>
              <w:rPr>
                <w:szCs w:val="24"/>
              </w:rPr>
            </w:pPr>
            <w:r w:rsidRPr="000C011D">
              <w:rPr>
                <w:szCs w:val="24"/>
              </w:rPr>
              <w:t>)</w:t>
            </w:r>
          </w:p>
          <w:p w:rsidR="00747968" w:rsidRPr="000C011D" w:rsidP="00D92B7D" w14:paraId="1D1D9513" w14:textId="77777777">
            <w:pPr>
              <w:spacing w:after="0" w:line="240" w:lineRule="auto"/>
              <w:rPr>
                <w:szCs w:val="24"/>
              </w:rPr>
            </w:pPr>
            <w:r w:rsidRPr="000C011D">
              <w:rPr>
                <w:szCs w:val="24"/>
              </w:rPr>
              <w:t>)</w:t>
            </w:r>
          </w:p>
          <w:p w:rsidR="00747968" w:rsidRPr="000C011D" w:rsidP="00D92B7D" w14:paraId="12ECB446" w14:textId="77777777">
            <w:pPr>
              <w:spacing w:after="0" w:line="240" w:lineRule="auto"/>
              <w:rPr>
                <w:szCs w:val="24"/>
              </w:rPr>
            </w:pPr>
          </w:p>
          <w:p w:rsidR="00747968" w:rsidRPr="000C011D" w:rsidP="00D92B7D" w14:paraId="1DCCA804" w14:textId="77777777">
            <w:pPr>
              <w:spacing w:after="0" w:line="240" w:lineRule="auto"/>
              <w:rPr>
                <w:szCs w:val="24"/>
              </w:rPr>
            </w:pPr>
            <w:r w:rsidRPr="000C011D">
              <w:rPr>
                <w:szCs w:val="24"/>
              </w:rPr>
              <w:t>)</w:t>
            </w:r>
          </w:p>
          <w:p w:rsidR="00747968" w:rsidRPr="000C011D" w:rsidP="00D92B7D" w14:paraId="4F5658F9" w14:textId="77777777">
            <w:pPr>
              <w:spacing w:after="0" w:line="240" w:lineRule="auto"/>
              <w:rPr>
                <w:szCs w:val="24"/>
              </w:rPr>
            </w:pPr>
            <w:r w:rsidRPr="000C011D">
              <w:rPr>
                <w:szCs w:val="24"/>
              </w:rPr>
              <w:t>)</w:t>
            </w:r>
          </w:p>
          <w:p w:rsidR="00747968" w:rsidRPr="000C011D" w:rsidP="00D92B7D" w14:paraId="3EA03926" w14:textId="77777777">
            <w:pPr>
              <w:spacing w:after="0" w:line="240" w:lineRule="auto"/>
              <w:rPr>
                <w:szCs w:val="24"/>
              </w:rPr>
            </w:pPr>
            <w:r w:rsidRPr="000C011D">
              <w:rPr>
                <w:szCs w:val="24"/>
              </w:rPr>
              <w:t>)</w:t>
            </w:r>
          </w:p>
          <w:p w:rsidR="00747968" w:rsidRPr="000C011D" w:rsidP="00D92B7D" w14:paraId="23BD47D7" w14:textId="77777777">
            <w:pPr>
              <w:spacing w:after="0" w:line="240" w:lineRule="auto"/>
              <w:rPr>
                <w:szCs w:val="24"/>
              </w:rPr>
            </w:pPr>
            <w:r w:rsidRPr="000C011D">
              <w:rPr>
                <w:szCs w:val="24"/>
              </w:rPr>
              <w:t>)</w:t>
            </w:r>
          </w:p>
        </w:tc>
        <w:tc>
          <w:tcPr>
            <w:tcW w:w="4068" w:type="dxa"/>
          </w:tcPr>
          <w:p w:rsidR="00747968" w:rsidRPr="000C011D" w:rsidP="00D92B7D" w14:paraId="2F79BF33" w14:textId="77777777">
            <w:pPr>
              <w:spacing w:after="0" w:line="240" w:lineRule="auto"/>
              <w:rPr>
                <w:szCs w:val="24"/>
              </w:rPr>
            </w:pPr>
          </w:p>
          <w:p w:rsidR="00747968" w:rsidRPr="000C011D" w:rsidP="00D92B7D" w14:paraId="6CA8D4ED" w14:textId="77777777">
            <w:pPr>
              <w:spacing w:after="0" w:line="240" w:lineRule="auto"/>
              <w:rPr>
                <w:szCs w:val="24"/>
              </w:rPr>
            </w:pPr>
            <w:r w:rsidRPr="000C011D">
              <w:rPr>
                <w:szCs w:val="24"/>
              </w:rPr>
              <w:t>Case No. 08-1094-EL-SSO</w:t>
            </w:r>
          </w:p>
          <w:p w:rsidR="00747968" w:rsidRPr="000C011D" w:rsidP="00D92B7D" w14:paraId="23FD7A4A" w14:textId="77777777">
            <w:pPr>
              <w:spacing w:after="0" w:line="240" w:lineRule="auto"/>
              <w:rPr>
                <w:szCs w:val="24"/>
              </w:rPr>
            </w:pPr>
          </w:p>
          <w:p w:rsidR="00747968" w:rsidRPr="000C011D" w:rsidP="00D92B7D" w14:paraId="4E493BD4" w14:textId="77777777">
            <w:pPr>
              <w:spacing w:after="0" w:line="240" w:lineRule="auto"/>
              <w:rPr>
                <w:szCs w:val="24"/>
              </w:rPr>
            </w:pPr>
          </w:p>
          <w:p w:rsidR="00747968" w:rsidRPr="000C011D" w:rsidP="00D92B7D" w14:paraId="6A8910C6" w14:textId="77777777">
            <w:pPr>
              <w:spacing w:after="0" w:line="240" w:lineRule="auto"/>
              <w:rPr>
                <w:szCs w:val="24"/>
              </w:rPr>
            </w:pPr>
          </w:p>
          <w:p w:rsidR="00747968" w:rsidRPr="000C011D" w:rsidP="00D92B7D" w14:paraId="27557730" w14:textId="77777777">
            <w:pPr>
              <w:spacing w:after="0" w:line="240" w:lineRule="auto"/>
              <w:rPr>
                <w:szCs w:val="24"/>
              </w:rPr>
            </w:pPr>
            <w:r w:rsidRPr="000C011D">
              <w:rPr>
                <w:szCs w:val="24"/>
              </w:rPr>
              <w:t>Case No. 08-1095-EL-ATA</w:t>
            </w:r>
          </w:p>
          <w:p w:rsidR="00747968" w:rsidRPr="000C011D" w:rsidP="00D92B7D" w14:paraId="14CA3E90" w14:textId="77777777">
            <w:pPr>
              <w:spacing w:after="0" w:line="240" w:lineRule="auto"/>
              <w:rPr>
                <w:szCs w:val="24"/>
              </w:rPr>
            </w:pPr>
          </w:p>
          <w:p w:rsidR="00747968" w:rsidRPr="000C011D" w:rsidP="00D92B7D" w14:paraId="2DCED0C9" w14:textId="77777777">
            <w:pPr>
              <w:spacing w:after="0" w:line="240" w:lineRule="auto"/>
              <w:rPr>
                <w:szCs w:val="24"/>
              </w:rPr>
            </w:pPr>
          </w:p>
          <w:p w:rsidR="00747968" w:rsidRPr="000C011D" w:rsidP="00D92B7D" w14:paraId="722C8AE1" w14:textId="77777777">
            <w:pPr>
              <w:spacing w:after="0" w:line="240" w:lineRule="auto"/>
              <w:rPr>
                <w:szCs w:val="24"/>
              </w:rPr>
            </w:pPr>
          </w:p>
          <w:p w:rsidR="00747968" w:rsidRPr="000C011D" w:rsidP="00D92B7D" w14:paraId="31D8CE1A" w14:textId="77777777">
            <w:pPr>
              <w:spacing w:after="0" w:line="240" w:lineRule="auto"/>
              <w:rPr>
                <w:szCs w:val="24"/>
              </w:rPr>
            </w:pPr>
          </w:p>
          <w:p w:rsidR="00747968" w:rsidRPr="000C011D" w:rsidP="00D92B7D" w14:paraId="656798BB" w14:textId="77777777">
            <w:pPr>
              <w:spacing w:after="0" w:line="240" w:lineRule="auto"/>
              <w:rPr>
                <w:szCs w:val="24"/>
              </w:rPr>
            </w:pPr>
            <w:r w:rsidRPr="000C011D">
              <w:rPr>
                <w:szCs w:val="24"/>
              </w:rPr>
              <w:t>Case No. 08-1096-EL-AAM</w:t>
            </w:r>
          </w:p>
          <w:p w:rsidR="00747968" w:rsidRPr="000C011D" w:rsidP="00D92B7D" w14:paraId="525B1D3E" w14:textId="77777777">
            <w:pPr>
              <w:spacing w:after="0" w:line="240" w:lineRule="auto"/>
              <w:rPr>
                <w:szCs w:val="24"/>
              </w:rPr>
            </w:pPr>
          </w:p>
          <w:p w:rsidR="00747968" w:rsidRPr="000C011D" w:rsidP="00D92B7D" w14:paraId="0C7DAF2A" w14:textId="77777777">
            <w:pPr>
              <w:spacing w:after="0" w:line="240" w:lineRule="auto"/>
              <w:rPr>
                <w:szCs w:val="24"/>
              </w:rPr>
            </w:pPr>
          </w:p>
          <w:p w:rsidR="00747968" w:rsidRPr="000C011D" w:rsidP="00D92B7D" w14:paraId="4CB5975A" w14:textId="77777777">
            <w:pPr>
              <w:spacing w:after="0" w:line="240" w:lineRule="auto"/>
              <w:rPr>
                <w:szCs w:val="24"/>
              </w:rPr>
            </w:pPr>
          </w:p>
          <w:p w:rsidR="00747968" w:rsidRPr="000C011D" w:rsidP="00D92B7D" w14:paraId="6D7C4144" w14:textId="77777777">
            <w:pPr>
              <w:spacing w:after="0" w:line="240" w:lineRule="auto"/>
              <w:rPr>
                <w:szCs w:val="24"/>
              </w:rPr>
            </w:pPr>
          </w:p>
          <w:p w:rsidR="00747968" w:rsidRPr="000C011D" w:rsidP="00D92B7D" w14:paraId="14E3737C" w14:textId="604DF2BE">
            <w:pPr>
              <w:spacing w:after="0" w:line="240" w:lineRule="auto"/>
              <w:rPr>
                <w:szCs w:val="24"/>
              </w:rPr>
            </w:pPr>
            <w:r w:rsidRPr="000C011D">
              <w:rPr>
                <w:szCs w:val="24"/>
              </w:rPr>
              <w:t>Case No. 08-1097-EL-UNC</w:t>
            </w:r>
          </w:p>
          <w:p w:rsidR="00747968" w:rsidRPr="000C011D" w:rsidP="00D92B7D" w14:paraId="74D205DB" w14:textId="77777777">
            <w:pPr>
              <w:spacing w:after="0" w:line="240" w:lineRule="auto"/>
              <w:rPr>
                <w:szCs w:val="24"/>
              </w:rPr>
            </w:pPr>
          </w:p>
        </w:tc>
      </w:tr>
    </w:tbl>
    <w:p w:rsidR="00D92B7D" w:rsidRPr="00CD1BE8" w:rsidP="00D92B7D" w14:paraId="0CF25584" w14:textId="77777777">
      <w:pPr>
        <w:pStyle w:val="HTMLPreformatted"/>
        <w:pBdr>
          <w:bottom w:val="single" w:sz="12" w:space="1" w:color="auto"/>
        </w:pBdr>
        <w:contextualSpacing/>
        <w:rPr>
          <w:rFonts w:ascii="Times New Roman" w:hAnsi="Times New Roman" w:cs="Times New Roman"/>
          <w:sz w:val="24"/>
          <w:szCs w:val="24"/>
        </w:rPr>
      </w:pPr>
      <w:r w:rsidRPr="00CD1BE8">
        <w:rPr>
          <w:rFonts w:ascii="Times New Roman" w:hAnsi="Times New Roman" w:cs="Times New Roman"/>
          <w:sz w:val="24"/>
          <w:szCs w:val="24"/>
        </w:rPr>
        <w:tab/>
      </w:r>
      <w:r w:rsidRPr="00CD1BE8">
        <w:rPr>
          <w:rFonts w:ascii="Times New Roman" w:hAnsi="Times New Roman" w:cs="Times New Roman"/>
          <w:sz w:val="24"/>
          <w:szCs w:val="24"/>
        </w:rPr>
        <w:tab/>
      </w:r>
    </w:p>
    <w:p w:rsidR="00D92B7D" w:rsidRPr="00CD1BE8" w:rsidP="00550C17" w14:paraId="47C7650C" w14:textId="77777777">
      <w:pPr>
        <w:spacing w:after="0" w:line="240" w:lineRule="auto"/>
        <w:contextualSpacing/>
        <w:jc w:val="center"/>
        <w:rPr>
          <w:rFonts w:cs="Times New Roman"/>
          <w:b/>
          <w:szCs w:val="24"/>
        </w:rPr>
      </w:pPr>
    </w:p>
    <w:p w:rsidR="00D92B7D" w:rsidRPr="00CD1BE8" w:rsidP="00550C17" w14:paraId="477C4AC3" w14:textId="77777777">
      <w:pPr>
        <w:spacing w:after="0" w:line="240" w:lineRule="auto"/>
        <w:contextualSpacing/>
        <w:jc w:val="center"/>
        <w:rPr>
          <w:rFonts w:cs="Times New Roman"/>
          <w:b/>
          <w:szCs w:val="24"/>
        </w:rPr>
      </w:pPr>
      <w:r>
        <w:rPr>
          <w:rFonts w:cs="Times New Roman"/>
          <w:b/>
          <w:szCs w:val="24"/>
        </w:rPr>
        <w:t>APPLICATION FOR REHEARING</w:t>
      </w:r>
    </w:p>
    <w:p w:rsidR="00D92B7D" w:rsidRPr="00CD1BE8" w:rsidP="00550C17" w14:paraId="064CE6AC" w14:textId="0F4CD320">
      <w:pPr>
        <w:spacing w:after="0" w:line="240" w:lineRule="auto"/>
        <w:contextualSpacing/>
        <w:jc w:val="center"/>
        <w:rPr>
          <w:rFonts w:cs="Times New Roman"/>
          <w:b/>
          <w:szCs w:val="24"/>
        </w:rPr>
      </w:pPr>
      <w:r>
        <w:rPr>
          <w:rFonts w:cs="Times New Roman"/>
          <w:b/>
          <w:szCs w:val="24"/>
        </w:rPr>
        <w:t>BY</w:t>
      </w:r>
    </w:p>
    <w:p w:rsidR="00D92B7D" w:rsidP="00550C17" w14:paraId="4F3A0111" w14:textId="55121389">
      <w:pPr>
        <w:pBdr>
          <w:bottom w:val="single" w:sz="12" w:space="1" w:color="auto"/>
        </w:pBdr>
        <w:spacing w:after="0" w:line="240" w:lineRule="auto"/>
        <w:contextualSpacing/>
        <w:jc w:val="center"/>
        <w:rPr>
          <w:rFonts w:cs="Times New Roman"/>
          <w:b/>
          <w:szCs w:val="24"/>
        </w:rPr>
      </w:pPr>
      <w:r w:rsidRPr="00CD1BE8">
        <w:rPr>
          <w:rFonts w:cs="Times New Roman"/>
          <w:b/>
          <w:szCs w:val="24"/>
        </w:rPr>
        <w:t>OFFICE OF THE OHIO CONSUMERS’ COUNSEL</w:t>
      </w:r>
    </w:p>
    <w:p w:rsidR="000A6E37" w:rsidRPr="00CD1BE8" w:rsidP="00D92B7D" w14:paraId="7F47C5EF" w14:textId="77777777">
      <w:pPr>
        <w:pBdr>
          <w:bottom w:val="single" w:sz="12" w:space="1" w:color="auto"/>
        </w:pBdr>
        <w:spacing w:line="240" w:lineRule="auto"/>
        <w:contextualSpacing/>
        <w:jc w:val="center"/>
        <w:rPr>
          <w:rFonts w:cs="Times New Roman"/>
          <w:b/>
          <w:szCs w:val="24"/>
        </w:rPr>
      </w:pPr>
    </w:p>
    <w:p w:rsidR="00F31BA3" w:rsidP="00F31BA3" w14:paraId="34B43EB5" w14:textId="77777777">
      <w:pPr>
        <w:spacing w:after="0" w:line="240" w:lineRule="auto"/>
        <w:ind w:firstLine="720"/>
      </w:pPr>
    </w:p>
    <w:p w:rsidR="00B67802" w:rsidP="00B033F1" w14:paraId="1D655655" w14:textId="2698E9EA">
      <w:pPr>
        <w:spacing w:after="0" w:line="480" w:lineRule="auto"/>
        <w:ind w:firstLine="720"/>
      </w:pPr>
      <w:r>
        <w:t>The Office of the Ohio Consumers’ Counsel (“OCC”)</w:t>
      </w:r>
      <w:r w:rsidR="008723E8">
        <w:t xml:space="preserve"> </w:t>
      </w:r>
      <w:r>
        <w:t xml:space="preserve">files to protect </w:t>
      </w:r>
      <w:r w:rsidR="00CA40CD">
        <w:t xml:space="preserve">consumers </w:t>
      </w:r>
      <w:r>
        <w:t xml:space="preserve">who have paid plenty </w:t>
      </w:r>
      <w:r w:rsidR="001B380A">
        <w:t>in made-up charges to</w:t>
      </w:r>
      <w:r>
        <w:t xml:space="preserve"> DP&amp;L </w:t>
      </w:r>
      <w:r w:rsidR="001B380A">
        <w:t>since the 2008 energy law</w:t>
      </w:r>
      <w:r w:rsidR="00810B4D">
        <w:t xml:space="preserve"> and the interim </w:t>
      </w:r>
      <w:r w:rsidR="00D84C00">
        <w:t>period before it</w:t>
      </w:r>
      <w:r w:rsidR="0042605A">
        <w:t>.</w:t>
      </w:r>
      <w:r>
        <w:t xml:space="preserve">  </w:t>
      </w:r>
      <w:r w:rsidR="001E2E65">
        <w:t>Moreover,</w:t>
      </w:r>
      <w:r>
        <w:t xml:space="preserve"> there is financial distress and a poverty level of 35%</w:t>
      </w:r>
      <w:r w:rsidR="001E2E65">
        <w:t xml:space="preserve"> in the Dayton area. Yet, consumers </w:t>
      </w:r>
      <w:r w:rsidR="00916B6E">
        <w:t>were required t</w:t>
      </w:r>
      <w:r w:rsidR="0064628E">
        <w:t>o</w:t>
      </w:r>
      <w:r w:rsidR="00916B6E">
        <w:t xml:space="preserve"> pay</w:t>
      </w:r>
      <w:r>
        <w:t xml:space="preserve"> hundreds of millions of dollars in</w:t>
      </w:r>
      <w:r w:rsidR="008723E8">
        <w:t xml:space="preserve"> stability charge</w:t>
      </w:r>
      <w:r>
        <w:t xml:space="preserve"> subsidies to prop up DP&amp;L</w:t>
      </w:r>
      <w:r w:rsidR="00BA396C">
        <w:t>’s</w:t>
      </w:r>
      <w:r>
        <w:t xml:space="preserve"> </w:t>
      </w:r>
      <w:r w:rsidR="00916B6E">
        <w:t xml:space="preserve">uneconomic </w:t>
      </w:r>
      <w:r>
        <w:t>power plants and to support DP&amp;L’s credit (through</w:t>
      </w:r>
      <w:r w:rsidR="008723E8">
        <w:t xml:space="preserve"> </w:t>
      </w:r>
      <w:r w:rsidR="001E2E65">
        <w:t>the infamous</w:t>
      </w:r>
      <w:r>
        <w:t xml:space="preserve"> </w:t>
      </w:r>
      <w:r w:rsidR="0042605A">
        <w:t>“</w:t>
      </w:r>
      <w:r>
        <w:t>distribution modernization charge</w:t>
      </w:r>
      <w:r w:rsidR="0042605A">
        <w:t>.”</w:t>
      </w:r>
      <w:r w:rsidR="007A1131">
        <w:t>)</w:t>
      </w:r>
      <w:r>
        <w:t xml:space="preserve">  But even when the Ohio Supreme Court </w:t>
      </w:r>
      <w:r w:rsidR="00810B4D">
        <w:t>(</w:t>
      </w:r>
      <w:r>
        <w:t xml:space="preserve">and </w:t>
      </w:r>
      <w:r w:rsidR="00810B4D">
        <w:t xml:space="preserve">then </w:t>
      </w:r>
      <w:r>
        <w:t>the PUCO</w:t>
      </w:r>
      <w:r w:rsidR="00810B4D">
        <w:t>)</w:t>
      </w:r>
      <w:r>
        <w:t xml:space="preserve"> finally </w:t>
      </w:r>
      <w:r w:rsidR="0042605A">
        <w:t xml:space="preserve">stopped </w:t>
      </w:r>
      <w:r>
        <w:t xml:space="preserve">the subsidies, there </w:t>
      </w:r>
      <w:r w:rsidR="00BA396C">
        <w:t>was</w:t>
      </w:r>
      <w:r>
        <w:t xml:space="preserve"> no relief (or refunds) for customers.  Instead, the PUCO has allowed DP&amp;L to play a game of subsidy shuffle, </w:t>
      </w:r>
      <w:r w:rsidR="0042605A">
        <w:t>where the</w:t>
      </w:r>
      <w:r>
        <w:t xml:space="preserve"> </w:t>
      </w:r>
      <w:r w:rsidR="0042605A">
        <w:t xml:space="preserve">unlawful </w:t>
      </w:r>
      <w:r>
        <w:t xml:space="preserve">subsidies </w:t>
      </w:r>
      <w:r w:rsidR="0042605A">
        <w:t xml:space="preserve">overturned by the Court and the PUCO are replaced </w:t>
      </w:r>
      <w:r>
        <w:t xml:space="preserve">with more unlawful subsidies and charges.  </w:t>
      </w:r>
    </w:p>
    <w:p w:rsidR="0053045A" w:rsidP="001D5264" w14:paraId="494286B2" w14:textId="7527BAC9">
      <w:pPr>
        <w:spacing w:after="0" w:line="480" w:lineRule="auto"/>
        <w:ind w:firstLine="720"/>
      </w:pPr>
      <w:r>
        <w:t xml:space="preserve">OCC applies for rehearing of the </w:t>
      </w:r>
      <w:r w:rsidR="008723E8">
        <w:t xml:space="preserve">PUCO’s </w:t>
      </w:r>
      <w:r w:rsidR="00ED5087">
        <w:t xml:space="preserve">June 16, 2021 Fifth Entry on Rehearing </w:t>
      </w:r>
      <w:r>
        <w:t>(“De</w:t>
      </w:r>
      <w:r w:rsidR="00ED5087">
        <w:t>layed Rehearing Order</w:t>
      </w:r>
      <w:r w:rsidR="008B0C2A">
        <w:t>”</w:t>
      </w:r>
      <w:r w:rsidR="00ED5087">
        <w:t xml:space="preserve">) </w:t>
      </w:r>
      <w:r>
        <w:t xml:space="preserve">that </w:t>
      </w:r>
      <w:r w:rsidR="00810B4D">
        <w:t xml:space="preserve">saddles consumers with </w:t>
      </w:r>
      <w:r w:rsidR="0042605A">
        <w:t>reinstate</w:t>
      </w:r>
      <w:r w:rsidR="00810B4D">
        <w:t>d</w:t>
      </w:r>
      <w:r>
        <w:t xml:space="preserve"> unlawful </w:t>
      </w:r>
      <w:r w:rsidR="008B0C2A">
        <w:t xml:space="preserve">and unreasonable </w:t>
      </w:r>
      <w:r w:rsidR="00810B4D">
        <w:t xml:space="preserve">utility </w:t>
      </w:r>
      <w:r>
        <w:t xml:space="preserve">subsidies and </w:t>
      </w:r>
      <w:r w:rsidR="0042605A">
        <w:t xml:space="preserve">unauthorized </w:t>
      </w:r>
      <w:r>
        <w:t>charges</w:t>
      </w:r>
      <w:r w:rsidR="005D5D5B">
        <w:t xml:space="preserve"> and fails to give consumers the benefit of a distribution rate freeze that was an integral part of DP&amp;L’s ESP 1</w:t>
      </w:r>
      <w:r>
        <w:t xml:space="preserve">.  </w:t>
      </w:r>
      <w:r w:rsidRPr="00D15EE5">
        <w:t xml:space="preserve">Under R.C. 4903.10, the </w:t>
      </w:r>
      <w:r w:rsidR="00ED5087">
        <w:t xml:space="preserve">PUCO’s Delayed Rehearing Order </w:t>
      </w:r>
      <w:r w:rsidRPr="00D15EE5">
        <w:t>was unjust, unreasonable, and unlawful in the following respects:</w:t>
      </w:r>
    </w:p>
    <w:p w:rsidR="000154AC" w:rsidP="000154AC" w14:paraId="4EDF9EC3" w14:textId="4A01B95F">
      <w:bookmarkStart w:id="0" w:name="_Hlk77341075"/>
      <w:r w:rsidRPr="00D721F4">
        <w:rPr>
          <w:b/>
          <w:bCs/>
          <w:u w:val="single"/>
        </w:rPr>
        <w:t>Assignment of Error 1</w:t>
      </w:r>
      <w:r w:rsidRPr="00D721F4" w:rsidR="00DD4570">
        <w:rPr>
          <w:b/>
          <w:bCs/>
        </w:rPr>
        <w:t>:</w:t>
      </w:r>
      <w:r w:rsidRPr="00207826">
        <w:t xml:space="preserve"> </w:t>
      </w:r>
      <w:r w:rsidRPr="00DD4570">
        <w:rPr>
          <w:rFonts w:cs="Times New Roman"/>
          <w:szCs w:val="24"/>
        </w:rPr>
        <w:t>The PUCO erred when it</w:t>
      </w:r>
      <w:r>
        <w:rPr>
          <w:rFonts w:cs="Times New Roman"/>
          <w:szCs w:val="24"/>
        </w:rPr>
        <w:t xml:space="preserve"> approved </w:t>
      </w:r>
      <w:r w:rsidRPr="003C25BD">
        <w:rPr>
          <w:rFonts w:cs="Times New Roman"/>
          <w:szCs w:val="24"/>
        </w:rPr>
        <w:t>a $7</w:t>
      </w:r>
      <w:r w:rsidR="00CA40CD">
        <w:rPr>
          <w:rFonts w:cs="Times New Roman"/>
          <w:szCs w:val="24"/>
        </w:rPr>
        <w:t>9</w:t>
      </w:r>
      <w:r>
        <w:rPr>
          <w:rFonts w:cs="Times New Roman"/>
          <w:szCs w:val="24"/>
        </w:rPr>
        <w:t xml:space="preserve"> million per</w:t>
      </w:r>
      <w:r>
        <w:t xml:space="preserve"> year provider</w:t>
      </w:r>
      <w:r w:rsidR="00810B4D">
        <w:t>-</w:t>
      </w:r>
      <w:r>
        <w:t>of</w:t>
      </w:r>
      <w:r w:rsidR="00810B4D">
        <w:t>-</w:t>
      </w:r>
      <w:r>
        <w:t>last</w:t>
      </w:r>
      <w:r w:rsidR="00810B4D">
        <w:t>-</w:t>
      </w:r>
      <w:r>
        <w:t>resort charge to consumers without finding it just and reasonable, and without evidentiary support, and in violation of Ohio Supreme Court and PUCO precedent and Ohio law, including R.C. 4903.09, 4905.22, and 4928.02(A).</w:t>
      </w:r>
    </w:p>
    <w:p w:rsidR="000154AC" w:rsidP="001D5264" w14:paraId="73DA905A" w14:textId="7680C484">
      <w:pPr>
        <w:pStyle w:val="ListParagraph"/>
        <w:numPr>
          <w:ilvl w:val="0"/>
          <w:numId w:val="15"/>
        </w:numPr>
        <w:ind w:left="1440" w:hanging="720"/>
      </w:pPr>
      <w:bookmarkStart w:id="1" w:name="_Hlk77342152"/>
      <w:bookmarkEnd w:id="0"/>
      <w:r w:rsidRPr="009800F6">
        <w:t>Since 2006 through 2024, as a result of PUCO rulings, DP&amp;L consumers will have paid $1.2 Billion in non-cost</w:t>
      </w:r>
      <w:r w:rsidR="002022FB">
        <w:t>-</w:t>
      </w:r>
      <w:r w:rsidRPr="009800F6">
        <w:t xml:space="preserve">based charges for POLR/Stability. </w:t>
      </w:r>
    </w:p>
    <w:bookmarkEnd w:id="1"/>
    <w:p w:rsidR="001D5264" w:rsidRPr="009800F6" w:rsidP="001D5264" w14:paraId="1EF79B07" w14:textId="77777777">
      <w:pPr>
        <w:pStyle w:val="ListParagraph"/>
        <w:ind w:left="900"/>
      </w:pPr>
    </w:p>
    <w:p w:rsidR="009800F6" w:rsidP="001D5264" w14:paraId="4B6BCD10" w14:textId="3F3159E4">
      <w:pPr>
        <w:pStyle w:val="ListParagraph"/>
        <w:numPr>
          <w:ilvl w:val="0"/>
          <w:numId w:val="15"/>
        </w:numPr>
        <w:spacing w:line="240" w:lineRule="auto"/>
        <w:ind w:left="1440" w:hanging="720"/>
      </w:pPr>
      <w:bookmarkStart w:id="2" w:name="_Hlk77342160"/>
      <w:r w:rsidRPr="009800F6">
        <w:t>The PUCO failed to determine whether continuing to charge consumers a $7</w:t>
      </w:r>
      <w:r w:rsidR="005D5D5B">
        <w:t>9</w:t>
      </w:r>
      <w:r w:rsidRPr="009800F6">
        <w:t xml:space="preserve"> million per year non-cost based POLR charge is reasonable and lawful.  It</w:t>
      </w:r>
      <w:r w:rsidR="00D84C00">
        <w:t>’</w:t>
      </w:r>
      <w:r w:rsidRPr="009800F6">
        <w:t>s not</w:t>
      </w:r>
      <w:r>
        <w:t>.</w:t>
      </w:r>
    </w:p>
    <w:bookmarkEnd w:id="2"/>
    <w:p w:rsidR="009800F6" w:rsidP="009800F6" w14:paraId="5BC6DC1A" w14:textId="77777777">
      <w:pPr>
        <w:pStyle w:val="ListParagraph"/>
      </w:pPr>
    </w:p>
    <w:p w:rsidR="000154AC" w:rsidP="001D5264" w14:paraId="2563E50D" w14:textId="2C902FA9">
      <w:pPr>
        <w:pStyle w:val="ListParagraph"/>
        <w:numPr>
          <w:ilvl w:val="0"/>
          <w:numId w:val="17"/>
        </w:numPr>
        <w:spacing w:line="240" w:lineRule="auto"/>
        <w:ind w:left="2160" w:hanging="720"/>
      </w:pPr>
      <w:r w:rsidRPr="009800F6">
        <w:t>Approving DP&amp;L’s fifteen</w:t>
      </w:r>
      <w:r w:rsidR="002022FB">
        <w:t>-</w:t>
      </w:r>
      <w:r w:rsidRPr="009800F6">
        <w:t xml:space="preserve">year old non-cost based POLR/Stability charge </w:t>
      </w:r>
      <w:r w:rsidR="00112AE3">
        <w:t xml:space="preserve">to consumers </w:t>
      </w:r>
      <w:r w:rsidRPr="009800F6">
        <w:t>is inconsistent with 2011 Ohio Supreme</w:t>
      </w:r>
      <w:r w:rsidR="005D5D5B">
        <w:t xml:space="preserve"> Court</w:t>
      </w:r>
      <w:r w:rsidRPr="009800F6">
        <w:t xml:space="preserve"> and PUCO rulings.</w:t>
      </w:r>
    </w:p>
    <w:p w:rsidR="00965FDF" w:rsidP="00965FDF" w14:paraId="4B80B69E" w14:textId="77777777">
      <w:pPr>
        <w:pStyle w:val="ListParagraph"/>
        <w:spacing w:line="240" w:lineRule="auto"/>
        <w:ind w:left="2160"/>
      </w:pPr>
    </w:p>
    <w:p w:rsidR="00965FDF" w:rsidP="001D5264" w14:paraId="40E0C2B1" w14:textId="4ED4AE52">
      <w:pPr>
        <w:pStyle w:val="ListParagraph"/>
        <w:numPr>
          <w:ilvl w:val="0"/>
          <w:numId w:val="17"/>
        </w:numPr>
        <w:spacing w:line="240" w:lineRule="auto"/>
        <w:ind w:left="2160" w:hanging="720"/>
      </w:pPr>
      <w:r>
        <w:t>There is no evidentiary support for allowing DP&amp;L to continue charg</w:t>
      </w:r>
      <w:r w:rsidR="00112AE3">
        <w:t>ing</w:t>
      </w:r>
      <w:r>
        <w:t xml:space="preserve"> c</w:t>
      </w:r>
      <w:r w:rsidR="00112AE3">
        <w:t>onsum</w:t>
      </w:r>
      <w:r>
        <w:t>ers $7</w:t>
      </w:r>
      <w:r w:rsidR="005D5D5B">
        <w:t>9</w:t>
      </w:r>
      <w:r>
        <w:t xml:space="preserve"> million </w:t>
      </w:r>
      <w:r w:rsidR="002022FB">
        <w:t xml:space="preserve">a year </w:t>
      </w:r>
      <w:r>
        <w:t>for a non-cost based POLR, violating R.C. 4903.09.</w:t>
      </w:r>
    </w:p>
    <w:p w:rsidR="00965FDF" w:rsidRPr="009800F6" w:rsidP="00965FDF" w14:paraId="1F7C4144" w14:textId="77777777">
      <w:pPr>
        <w:pStyle w:val="ListParagraph"/>
        <w:spacing w:line="240" w:lineRule="auto"/>
        <w:ind w:left="2160"/>
      </w:pPr>
    </w:p>
    <w:p w:rsidR="00D721F4" w:rsidP="001F21DE" w14:paraId="09C06D8E" w14:textId="78D3DC03">
      <w:bookmarkStart w:id="3" w:name="_Hlk77341086"/>
      <w:r w:rsidRPr="00D721F4">
        <w:rPr>
          <w:b/>
          <w:bCs/>
          <w:u w:val="single"/>
        </w:rPr>
        <w:t>Assignment of Error 2</w:t>
      </w:r>
      <w:r w:rsidRPr="00D721F4">
        <w:rPr>
          <w:b/>
          <w:bCs/>
        </w:rPr>
        <w:t>:</w:t>
      </w:r>
      <w:r>
        <w:t xml:space="preserve">  The PUCO erred in concluding that it does not have discretion to make rates and charges subject to refund unless two independent conditions are met, where one of </w:t>
      </w:r>
      <w:r w:rsidR="00112AE3">
        <w:t>the</w:t>
      </w:r>
      <w:r>
        <w:t xml:space="preserve"> conditions is that the tariff provision for the rate or charge is “reconcilable.” When the PUCO added a reconcilable requirement for consumer refunds, the PUCO unreasonably and unlawfully construed Ohio law (R.C. 4905.32).  </w:t>
      </w:r>
    </w:p>
    <w:bookmarkEnd w:id="3"/>
    <w:p w:rsidR="00D721F4" w14:paraId="72AC5AB8" w14:textId="77777777">
      <w:r>
        <w:br w:type="page"/>
      </w:r>
    </w:p>
    <w:p w:rsidR="001D7001" w:rsidP="002F75DB" w14:paraId="2FA45D84" w14:textId="1029949F">
      <w:pPr>
        <w:spacing w:after="0"/>
      </w:pPr>
      <w:bookmarkStart w:id="4" w:name="_Hlk77341097"/>
      <w:r w:rsidRPr="00D721F4">
        <w:rPr>
          <w:b/>
          <w:bCs/>
          <w:u w:val="single"/>
        </w:rPr>
        <w:t xml:space="preserve">Assignment of Error </w:t>
      </w:r>
      <w:r w:rsidRPr="00D721F4" w:rsidR="00435D56">
        <w:rPr>
          <w:b/>
          <w:bCs/>
          <w:u w:val="single"/>
        </w:rPr>
        <w:t>3</w:t>
      </w:r>
      <w:r w:rsidRPr="00D721F4" w:rsidR="001F21DE">
        <w:rPr>
          <w:b/>
          <w:bCs/>
        </w:rPr>
        <w:t>:</w:t>
      </w:r>
      <w:r w:rsidR="00FA4ACA">
        <w:t xml:space="preserve">  </w:t>
      </w:r>
      <w:r>
        <w:t xml:space="preserve">The PUCO erred in concluding that OCC is barred by res judicata and collateral estoppel from challenging DP&amp;L’s rate stability charge.  When a judgment is issued without jurisdiction, it is void and subject to collateral attack.  </w:t>
      </w:r>
      <w:r w:rsidR="00435D56">
        <w:t>Because th</w:t>
      </w:r>
      <w:r>
        <w:t>e PUCO had no jurisdiction to order the continuation of DP&amp;L’s electric security plan</w:t>
      </w:r>
      <w:r w:rsidR="00D84C00">
        <w:t>,</w:t>
      </w:r>
      <w:r>
        <w:t xml:space="preserve"> instead of its standard service offer</w:t>
      </w:r>
      <w:r w:rsidR="00D84C00">
        <w:t>,</w:t>
      </w:r>
      <w:r w:rsidR="00435D56">
        <w:t xml:space="preserve"> its </w:t>
      </w:r>
      <w:r>
        <w:t xml:space="preserve">order was void and is subject to collateral attack.  </w:t>
      </w:r>
    </w:p>
    <w:p w:rsidR="002F75DB" w:rsidRPr="005A3760" w:rsidP="002F75DB" w14:paraId="2637403A" w14:textId="77777777">
      <w:pPr>
        <w:spacing w:after="0"/>
        <w:rPr>
          <w:u w:val="single"/>
        </w:rPr>
      </w:pPr>
    </w:p>
    <w:p w:rsidR="00CA40CD" w:rsidP="00D721F4" w14:paraId="6CCBC7C2" w14:textId="56CD71D0">
      <w:pPr>
        <w:pStyle w:val="BodyTextIndent3"/>
        <w:spacing w:line="240" w:lineRule="auto"/>
        <w:ind w:left="0" w:right="-29"/>
        <w:rPr>
          <w:sz w:val="24"/>
          <w:szCs w:val="24"/>
        </w:rPr>
      </w:pPr>
      <w:bookmarkStart w:id="5" w:name="_Hlk77341118"/>
      <w:bookmarkEnd w:id="4"/>
      <w:r w:rsidRPr="00D721F4">
        <w:rPr>
          <w:b/>
          <w:bCs/>
          <w:sz w:val="24"/>
          <w:szCs w:val="24"/>
          <w:u w:val="single"/>
        </w:rPr>
        <w:t xml:space="preserve">Assignment of Error </w:t>
      </w:r>
      <w:r w:rsidRPr="00D721F4" w:rsidR="001F21DE">
        <w:rPr>
          <w:b/>
          <w:bCs/>
          <w:sz w:val="24"/>
          <w:szCs w:val="24"/>
          <w:u w:val="single"/>
        </w:rPr>
        <w:t>4</w:t>
      </w:r>
      <w:r w:rsidRPr="00D721F4">
        <w:rPr>
          <w:b/>
          <w:bCs/>
          <w:sz w:val="24"/>
          <w:szCs w:val="24"/>
        </w:rPr>
        <w:t>:</w:t>
      </w:r>
      <w:r w:rsidRPr="00D721F4">
        <w:rPr>
          <w:sz w:val="24"/>
          <w:szCs w:val="24"/>
        </w:rPr>
        <w:t xml:space="preserve">  The PUCO</w:t>
      </w:r>
      <w:r w:rsidR="00E21C7F">
        <w:rPr>
          <w:sz w:val="24"/>
          <w:szCs w:val="24"/>
        </w:rPr>
        <w:t xml:space="preserve"> erred in it</w:t>
      </w:r>
      <w:r w:rsidR="00B66742">
        <w:rPr>
          <w:sz w:val="24"/>
          <w:szCs w:val="24"/>
        </w:rPr>
        <w:t xml:space="preserve">s </w:t>
      </w:r>
      <w:r w:rsidRPr="00D721F4">
        <w:rPr>
          <w:sz w:val="24"/>
          <w:szCs w:val="24"/>
        </w:rPr>
        <w:t xml:space="preserve">findings </w:t>
      </w:r>
      <w:r w:rsidR="00E21C7F">
        <w:rPr>
          <w:sz w:val="24"/>
          <w:szCs w:val="24"/>
        </w:rPr>
        <w:t xml:space="preserve">excusing </w:t>
      </w:r>
      <w:r w:rsidRPr="00D721F4">
        <w:rPr>
          <w:sz w:val="24"/>
          <w:szCs w:val="24"/>
        </w:rPr>
        <w:t>DP&amp;L from its ESP I rate freeze commitment to consumers</w:t>
      </w:r>
      <w:r w:rsidR="00E21C7F">
        <w:rPr>
          <w:sz w:val="24"/>
          <w:szCs w:val="24"/>
        </w:rPr>
        <w:t>.  In violation of Ohio Supreme Court precedent on this issue, the PUCO’s finding</w:t>
      </w:r>
      <w:r w:rsidR="00B66742">
        <w:rPr>
          <w:sz w:val="24"/>
          <w:szCs w:val="24"/>
        </w:rPr>
        <w:t>s</w:t>
      </w:r>
      <w:r w:rsidR="00E21C7F">
        <w:rPr>
          <w:sz w:val="24"/>
          <w:szCs w:val="24"/>
        </w:rPr>
        <w:t xml:space="preserve"> are mistaken </w:t>
      </w:r>
      <w:r w:rsidRPr="00D721F4">
        <w:rPr>
          <w:sz w:val="24"/>
          <w:szCs w:val="24"/>
        </w:rPr>
        <w:t>and misapprehend OCC’s claims of error.  Consistent with R.C. 4903.09</w:t>
      </w:r>
      <w:r w:rsidR="00E21C7F">
        <w:rPr>
          <w:sz w:val="24"/>
          <w:szCs w:val="24"/>
        </w:rPr>
        <w:t xml:space="preserve"> and Supreme court precedent</w:t>
      </w:r>
      <w:r w:rsidRPr="00D721F4">
        <w:rPr>
          <w:sz w:val="24"/>
          <w:szCs w:val="24"/>
        </w:rPr>
        <w:t>, the PUCO’s findings can and should be disturbed</w:t>
      </w:r>
      <w:r w:rsidR="00E21C7F">
        <w:rPr>
          <w:sz w:val="24"/>
          <w:szCs w:val="24"/>
        </w:rPr>
        <w:t xml:space="preserve"> (meaning abrogated). </w:t>
      </w:r>
      <w:r w:rsidRPr="00D721F4">
        <w:rPr>
          <w:sz w:val="24"/>
          <w:szCs w:val="24"/>
        </w:rPr>
        <w:t xml:space="preserve"> </w:t>
      </w:r>
    </w:p>
    <w:p w:rsidR="002F75DB" w:rsidRPr="00D721F4" w:rsidP="002F75DB" w14:paraId="678AFD3A" w14:textId="77777777">
      <w:pPr>
        <w:pStyle w:val="BodyTextIndent3"/>
        <w:spacing w:line="240" w:lineRule="auto"/>
        <w:ind w:left="0" w:right="-29"/>
        <w:rPr>
          <w:sz w:val="24"/>
          <w:szCs w:val="24"/>
        </w:rPr>
      </w:pPr>
    </w:p>
    <w:p w:rsidR="00435D56" w:rsidP="00E6134C" w14:paraId="1656386E" w14:textId="032B3B3F">
      <w:pPr>
        <w:spacing w:after="0" w:line="240" w:lineRule="auto"/>
      </w:pPr>
      <w:bookmarkStart w:id="6" w:name="_Hlk77341136"/>
      <w:bookmarkEnd w:id="5"/>
      <w:r w:rsidRPr="00D721F4">
        <w:rPr>
          <w:b/>
          <w:bCs/>
          <w:u w:val="single"/>
        </w:rPr>
        <w:t>Assignment of Error 5:</w:t>
      </w:r>
      <w:r>
        <w:t xml:space="preserve"> </w:t>
      </w:r>
      <w:r w:rsidR="00E6134C">
        <w:t xml:space="preserve">The PUCO </w:t>
      </w:r>
      <w:r w:rsidR="00E75402">
        <w:t xml:space="preserve">erred by delaying its rehearing ruling for sixteen months (until June 16, 2021) and by deferring yet more rehearing rulings beyond its June 16, 2021 Order, in violation of </w:t>
      </w:r>
      <w:r w:rsidR="00E6134C">
        <w:t>R.C. 4903.10, 4903.11, 4903.12 and 4903.13</w:t>
      </w:r>
      <w:r w:rsidR="00D84C00">
        <w:t xml:space="preserve">, </w:t>
      </w:r>
      <w:r w:rsidR="00380119">
        <w:t xml:space="preserve">and, in an abuse of discretion. The PUCO’s errors have wrongfully delayed the issuance of a final appealable order.up to June 16, 2021 and beyond because the PUCO is intending for there to be further rehearing rulings, all of which are denying OCC its statutory right of appeal and denying the Court its statutory right of review .  </w:t>
      </w:r>
    </w:p>
    <w:bookmarkEnd w:id="6"/>
    <w:p w:rsidR="00D721F4" w:rsidP="00E6134C" w14:paraId="1E4BED33" w14:textId="77777777">
      <w:pPr>
        <w:spacing w:after="0" w:line="240" w:lineRule="auto"/>
      </w:pPr>
    </w:p>
    <w:p w:rsidR="004D3EDA" w:rsidP="005D5D5B" w14:paraId="66BD94AC" w14:textId="4A651C31">
      <w:pPr>
        <w:spacing w:after="160" w:line="480" w:lineRule="auto"/>
        <w:ind w:firstLine="720"/>
      </w:pPr>
      <w:r>
        <w:t>The PUCO should grant rehearing and abrogate or modify its Opinion and Order as requested by OC</w:t>
      </w:r>
      <w:r w:rsidR="00FA4ACA">
        <w:t>C.</w:t>
      </w:r>
      <w:r w:rsidR="005D5D5B">
        <w:t xml:space="preserve"> </w:t>
      </w:r>
      <w:r w:rsidR="00FA4ACA">
        <w:t xml:space="preserve"> </w:t>
      </w:r>
    </w:p>
    <w:p w:rsidR="00D92B7D" w:rsidRPr="00CD1BE8" w:rsidP="004D3EDA" w14:paraId="4EEE47B7" w14:textId="11FD830C">
      <w:pPr>
        <w:spacing w:after="160" w:line="480" w:lineRule="auto"/>
        <w:ind w:left="3600" w:firstLine="720"/>
        <w:rPr>
          <w:rFonts w:cs="Times New Roman"/>
          <w:szCs w:val="24"/>
        </w:rPr>
      </w:pPr>
      <w:r w:rsidRPr="00CD1BE8">
        <w:rPr>
          <w:rFonts w:cs="Times New Roman"/>
          <w:szCs w:val="24"/>
        </w:rPr>
        <w:t xml:space="preserve">Respectfully submitted, </w:t>
      </w:r>
    </w:p>
    <w:p w:rsidR="00F31BA3" w:rsidP="00F31BA3" w14:paraId="37CC7DD9" w14:textId="41E2244D">
      <w:pPr>
        <w:tabs>
          <w:tab w:val="left" w:pos="4320"/>
        </w:tabs>
        <w:spacing w:after="0" w:line="240" w:lineRule="auto"/>
        <w:ind w:left="4320"/>
        <w:rPr>
          <w:szCs w:val="24"/>
        </w:rPr>
      </w:pPr>
      <w:r>
        <w:rPr>
          <w:szCs w:val="24"/>
        </w:rPr>
        <w:t>Bruce Weston (0016973)</w:t>
      </w:r>
    </w:p>
    <w:p w:rsidR="00F31BA3" w:rsidP="00F31BA3" w14:paraId="3B04CEF1" w14:textId="77777777">
      <w:pPr>
        <w:tabs>
          <w:tab w:val="left" w:pos="4320"/>
        </w:tabs>
        <w:spacing w:after="0" w:line="240" w:lineRule="auto"/>
        <w:ind w:left="4320"/>
        <w:rPr>
          <w:szCs w:val="24"/>
        </w:rPr>
      </w:pPr>
      <w:r>
        <w:rPr>
          <w:szCs w:val="24"/>
        </w:rPr>
        <w:t>Ohio Consumers’ Counsel</w:t>
      </w:r>
    </w:p>
    <w:p w:rsidR="00F31BA3" w:rsidRPr="00DE37C9" w:rsidP="00F31BA3" w14:paraId="4283B69D" w14:textId="77777777">
      <w:pPr>
        <w:tabs>
          <w:tab w:val="left" w:pos="4320"/>
        </w:tabs>
        <w:spacing w:after="0" w:line="240" w:lineRule="auto"/>
        <w:ind w:left="4320"/>
        <w:rPr>
          <w:szCs w:val="24"/>
        </w:rPr>
      </w:pPr>
    </w:p>
    <w:p w:rsidR="00F31BA3" w:rsidRPr="00F31BA3" w:rsidP="00F31BA3" w14:paraId="19B19CB5" w14:textId="7A4E3AE6">
      <w:pPr>
        <w:tabs>
          <w:tab w:val="left" w:pos="4320"/>
        </w:tabs>
        <w:spacing w:after="0" w:line="240" w:lineRule="auto"/>
        <w:ind w:left="4320" w:right="-180"/>
        <w:rPr>
          <w:i/>
          <w:iCs/>
          <w:szCs w:val="24"/>
          <w:u w:val="single"/>
        </w:rPr>
      </w:pPr>
      <w:r>
        <w:rPr>
          <w:i/>
          <w:iCs/>
          <w:szCs w:val="24"/>
          <w:u w:val="single"/>
        </w:rPr>
        <w:t>/s/ Maureen R. Willis</w:t>
      </w:r>
    </w:p>
    <w:p w:rsidR="00F31BA3" w:rsidP="00F31BA3" w14:paraId="52016E50" w14:textId="1B9762AF">
      <w:pPr>
        <w:tabs>
          <w:tab w:val="left" w:pos="4320"/>
        </w:tabs>
        <w:spacing w:after="0" w:line="240" w:lineRule="auto"/>
        <w:ind w:left="4320" w:right="-180"/>
        <w:rPr>
          <w:szCs w:val="24"/>
        </w:rPr>
      </w:pPr>
      <w:r>
        <w:rPr>
          <w:szCs w:val="24"/>
        </w:rPr>
        <w:t>Maureen R. Willis (0020847)</w:t>
      </w:r>
    </w:p>
    <w:p w:rsidR="00F31BA3" w:rsidP="00F31BA3" w14:paraId="1BF1E5A1" w14:textId="77777777">
      <w:pPr>
        <w:tabs>
          <w:tab w:val="left" w:pos="4320"/>
        </w:tabs>
        <w:spacing w:after="0" w:line="240" w:lineRule="auto"/>
        <w:ind w:left="4320" w:right="-180"/>
        <w:rPr>
          <w:szCs w:val="24"/>
        </w:rPr>
      </w:pPr>
      <w:r>
        <w:rPr>
          <w:szCs w:val="24"/>
        </w:rPr>
        <w:t>Counsel of Record</w:t>
      </w:r>
    </w:p>
    <w:p w:rsidR="00F31BA3" w:rsidP="00F31BA3" w14:paraId="2A0320EA" w14:textId="77777777">
      <w:pPr>
        <w:tabs>
          <w:tab w:val="left" w:pos="4320"/>
        </w:tabs>
        <w:spacing w:after="0" w:line="240" w:lineRule="auto"/>
        <w:ind w:left="4320" w:right="-180"/>
        <w:rPr>
          <w:szCs w:val="24"/>
        </w:rPr>
      </w:pPr>
      <w:r>
        <w:rPr>
          <w:szCs w:val="24"/>
        </w:rPr>
        <w:t>Christopher Healey (0086027)</w:t>
      </w:r>
    </w:p>
    <w:p w:rsidR="00F31BA3" w:rsidP="00F31BA3" w14:paraId="5512792A" w14:textId="77777777">
      <w:pPr>
        <w:tabs>
          <w:tab w:val="left" w:pos="4320"/>
        </w:tabs>
        <w:spacing w:after="0" w:line="240" w:lineRule="auto"/>
        <w:ind w:left="4320" w:right="-180"/>
        <w:rPr>
          <w:szCs w:val="24"/>
        </w:rPr>
      </w:pPr>
      <w:r>
        <w:rPr>
          <w:szCs w:val="24"/>
        </w:rPr>
        <w:t>William J. Michael (0070921)</w:t>
      </w:r>
    </w:p>
    <w:p w:rsidR="00F31BA3" w:rsidRPr="00BC69C7" w:rsidP="00F31BA3" w14:paraId="40BF1706" w14:textId="77777777">
      <w:pPr>
        <w:spacing w:after="0" w:line="240" w:lineRule="auto"/>
        <w:ind w:left="3600" w:firstLine="720"/>
      </w:pPr>
      <w:r w:rsidRPr="00BC69C7">
        <w:t xml:space="preserve">Assistant Consumers’ Counsel </w:t>
      </w:r>
    </w:p>
    <w:p w:rsidR="002F75DB" w14:paraId="7DE3280E" w14:textId="1163DC03">
      <w:pPr>
        <w:rPr>
          <w:b/>
          <w:bCs/>
          <w:szCs w:val="24"/>
        </w:rPr>
      </w:pPr>
      <w:r>
        <w:rPr>
          <w:b/>
          <w:bCs/>
          <w:szCs w:val="24"/>
        </w:rPr>
        <w:br w:type="page"/>
      </w:r>
    </w:p>
    <w:p w:rsidR="00F31BA3" w:rsidRPr="006471D3" w:rsidP="00F31BA3" w14:paraId="0E8489FD" w14:textId="77777777">
      <w:pPr>
        <w:spacing w:after="0" w:line="240" w:lineRule="auto"/>
        <w:ind w:left="4320"/>
        <w:rPr>
          <w:b/>
          <w:bCs/>
          <w:szCs w:val="24"/>
        </w:rPr>
      </w:pPr>
      <w:r w:rsidRPr="006471D3">
        <w:rPr>
          <w:b/>
          <w:bCs/>
          <w:szCs w:val="24"/>
        </w:rPr>
        <w:t>Office of the Ohio Consumers’ Counsel</w:t>
      </w:r>
    </w:p>
    <w:p w:rsidR="00F31BA3" w:rsidRPr="006471D3" w:rsidP="00F31BA3" w14:paraId="0DAE6DC7"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65 East State Street, 7th Floor</w:t>
      </w:r>
    </w:p>
    <w:p w:rsidR="00F31BA3" w:rsidRPr="006471D3" w:rsidP="00F31BA3" w14:paraId="77B62DFA"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Columbus, Ohio 43215-4213</w:t>
      </w:r>
    </w:p>
    <w:p w:rsidR="00F31BA3" w:rsidP="00F31BA3" w14:paraId="230EC2FD" w14:textId="77777777">
      <w:pPr>
        <w:autoSpaceDE w:val="0"/>
        <w:autoSpaceDN w:val="0"/>
        <w:adjustRightInd w:val="0"/>
        <w:spacing w:after="0" w:line="240" w:lineRule="auto"/>
        <w:ind w:left="4320"/>
        <w:rPr>
          <w:szCs w:val="24"/>
        </w:rPr>
      </w:pPr>
      <w:r>
        <w:rPr>
          <w:szCs w:val="24"/>
        </w:rPr>
        <w:t>Telephone: Willis (614) 466-9567</w:t>
      </w:r>
    </w:p>
    <w:p w:rsidR="00F31BA3" w:rsidP="00F31BA3" w14:paraId="085B1E6F" w14:textId="77777777">
      <w:pPr>
        <w:autoSpaceDE w:val="0"/>
        <w:autoSpaceDN w:val="0"/>
        <w:adjustRightInd w:val="0"/>
        <w:spacing w:after="0" w:line="240" w:lineRule="auto"/>
        <w:ind w:left="4320"/>
        <w:rPr>
          <w:szCs w:val="24"/>
        </w:rPr>
      </w:pPr>
      <w:r>
        <w:rPr>
          <w:szCs w:val="24"/>
        </w:rPr>
        <w:t>Telephone: Healey (614) 466-9571</w:t>
      </w:r>
    </w:p>
    <w:p w:rsidR="00F31BA3" w:rsidP="00F31BA3" w14:paraId="2AAB367B" w14:textId="77777777">
      <w:pPr>
        <w:autoSpaceDE w:val="0"/>
        <w:autoSpaceDN w:val="0"/>
        <w:adjustRightInd w:val="0"/>
        <w:spacing w:after="0" w:line="240" w:lineRule="auto"/>
        <w:ind w:left="4320"/>
        <w:rPr>
          <w:szCs w:val="24"/>
        </w:rPr>
      </w:pPr>
      <w:r>
        <w:rPr>
          <w:szCs w:val="24"/>
        </w:rPr>
        <w:t>Telephone: Michael (614) 466-1291</w:t>
      </w:r>
    </w:p>
    <w:p w:rsidR="00F31BA3" w:rsidP="00F31BA3" w14:paraId="0555E255" w14:textId="77777777">
      <w:pPr>
        <w:spacing w:after="0" w:line="240" w:lineRule="auto"/>
        <w:ind w:left="4320"/>
      </w:pPr>
      <w:hyperlink r:id="rId7" w:history="1">
        <w:r w:rsidRPr="00D50E4C" w:rsidR="006542FC">
          <w:rPr>
            <w:rStyle w:val="Hyperlink"/>
            <w:rFonts w:eastAsiaTheme="majorEastAsia"/>
          </w:rPr>
          <w:t>maureen.willis@occ.ohio.gov</w:t>
        </w:r>
      </w:hyperlink>
      <w:r w:rsidR="006542FC">
        <w:t xml:space="preserve"> </w:t>
      </w:r>
    </w:p>
    <w:p w:rsidR="00F31BA3" w:rsidP="00F31BA3" w14:paraId="4AD87B98" w14:textId="08FCB0F9">
      <w:pPr>
        <w:spacing w:after="0" w:line="240" w:lineRule="auto"/>
        <w:ind w:left="4320"/>
      </w:pPr>
      <w:hyperlink r:id="rId8" w:history="1">
        <w:r w:rsidRPr="00CC18CD" w:rsidR="008B2400">
          <w:rPr>
            <w:rStyle w:val="Hyperlink"/>
          </w:rPr>
          <w:t>christopher.healey@occ.ohio.gov</w:t>
        </w:r>
      </w:hyperlink>
    </w:p>
    <w:p w:rsidR="00F31BA3" w:rsidP="00F31BA3" w14:paraId="6E0A5035" w14:textId="41598EE1">
      <w:pPr>
        <w:spacing w:after="0" w:line="240" w:lineRule="auto"/>
        <w:ind w:left="4320"/>
      </w:pPr>
      <w:hyperlink r:id="rId9" w:history="1">
        <w:r w:rsidRPr="00CC18CD" w:rsidR="00B91901">
          <w:rPr>
            <w:rStyle w:val="Hyperlink"/>
          </w:rPr>
          <w:t>william.michael@occ.ohio.gov</w:t>
        </w:r>
      </w:hyperlink>
    </w:p>
    <w:p w:rsidR="00F31BA3" w:rsidRPr="00DE37C9" w:rsidP="00F31BA3" w14:paraId="1CB3E0DD" w14:textId="3A26BB27">
      <w:pPr>
        <w:spacing w:after="0" w:line="240" w:lineRule="auto"/>
        <w:rPr>
          <w:szCs w:val="24"/>
        </w:rPr>
      </w:pPr>
      <w:r>
        <w:tab/>
      </w:r>
      <w:r>
        <w:tab/>
      </w:r>
      <w:r>
        <w:tab/>
      </w:r>
      <w:r>
        <w:tab/>
      </w:r>
      <w:r>
        <w:tab/>
      </w:r>
      <w:r>
        <w:tab/>
        <w:t>(willing to accept service by e-mail)</w:t>
      </w:r>
    </w:p>
    <w:p w:rsidR="00B67802" w:rsidP="00747968" w14:paraId="270AE63C" w14:textId="682F56DF">
      <w:pPr>
        <w:spacing w:after="0" w:line="240" w:lineRule="auto"/>
      </w:pPr>
    </w:p>
    <w:p w:rsidR="00B67802" w:rsidP="00747968" w14:paraId="4620D7D7" w14:textId="77777777">
      <w:pPr>
        <w:spacing w:after="0" w:line="240" w:lineRule="auto"/>
        <w:rPr>
          <w:szCs w:val="24"/>
        </w:rPr>
        <w:sectPr w:rsidSect="00B033F1">
          <w:footerReference w:type="default" r:id="rId10"/>
          <w:pgSz w:w="12240" w:h="15840"/>
          <w:pgMar w:top="1440" w:right="1800" w:bottom="1440" w:left="1800" w:header="720" w:footer="720" w:gutter="0"/>
          <w:pgNumType w:start="1"/>
          <w:cols w:space="720"/>
          <w:docGrid w:linePitch="360"/>
        </w:sectPr>
      </w:pPr>
    </w:p>
    <w:p w:rsidR="00B67802" w:rsidRPr="00B67802" w:rsidP="00B67802" w14:paraId="7B24A95C" w14:textId="2284F657">
      <w:pPr>
        <w:spacing w:after="0" w:line="240" w:lineRule="auto"/>
        <w:jc w:val="center"/>
        <w:rPr>
          <w:b/>
          <w:szCs w:val="24"/>
          <w:u w:val="single"/>
        </w:rPr>
      </w:pPr>
      <w:r w:rsidRPr="00B67802">
        <w:rPr>
          <w:b/>
          <w:szCs w:val="24"/>
          <w:u w:val="single"/>
        </w:rPr>
        <w:t>TABLE OF CONTENTS</w:t>
      </w:r>
    </w:p>
    <w:p w:rsidR="00B67802" w:rsidRPr="00DE37C9" w:rsidP="00B67802" w14:paraId="3D16F3FC" w14:textId="5144DAC6">
      <w:pPr>
        <w:spacing w:after="0" w:line="240" w:lineRule="auto"/>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67802">
        <w:rPr>
          <w:b/>
          <w:szCs w:val="24"/>
        </w:rPr>
        <w:t>PAGE</w:t>
      </w:r>
    </w:p>
    <w:p w:rsidR="007B492B" w:rsidP="00E90F0A" w14:paraId="6321B854" w14:textId="77777777">
      <w:pPr>
        <w:tabs>
          <w:tab w:val="left" w:pos="4320"/>
        </w:tabs>
        <w:spacing w:after="0" w:line="240" w:lineRule="auto"/>
        <w:rPr>
          <w:noProof/>
        </w:rPr>
      </w:pPr>
      <w:r>
        <w:rPr>
          <w:rFonts w:cs="Times New Roman"/>
          <w:szCs w:val="24"/>
        </w:rPr>
        <w:tab/>
      </w:r>
      <w:r>
        <w:rPr>
          <w:rFonts w:cs="Times New Roman"/>
          <w:szCs w:val="24"/>
        </w:rPr>
        <w:tab/>
      </w: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p>
    <w:p w:rsidR="007B492B" w14:paraId="1FA961C2" w14:textId="54637834">
      <w:pPr>
        <w:pStyle w:val="TOC1"/>
        <w:rPr>
          <w:rFonts w:asciiTheme="minorHAnsi" w:eastAsiaTheme="minorEastAsia" w:hAnsiTheme="minorHAnsi"/>
          <w:caps w:val="0"/>
          <w:noProof/>
          <w:sz w:val="22"/>
        </w:rPr>
      </w:pPr>
      <w:hyperlink w:anchor="_Toc77342111" w:history="1">
        <w:r w:rsidRPr="00780401" w:rsidR="00256AE1">
          <w:rPr>
            <w:rStyle w:val="Hyperlink"/>
            <w:noProof/>
          </w:rPr>
          <w:t>I</w:t>
        </w:r>
        <w:r w:rsidR="00256AE1">
          <w:rPr>
            <w:rFonts w:asciiTheme="minorHAnsi" w:eastAsiaTheme="minorEastAsia" w:hAnsiTheme="minorHAnsi"/>
            <w:caps w:val="0"/>
            <w:noProof/>
            <w:sz w:val="22"/>
          </w:rPr>
          <w:tab/>
        </w:r>
        <w:r w:rsidRPr="00780401" w:rsidR="00256AE1">
          <w:rPr>
            <w:rStyle w:val="Hyperlink"/>
            <w:noProof/>
          </w:rPr>
          <w:t>INTRODUCTION</w:t>
        </w:r>
        <w:r w:rsidR="00256AE1">
          <w:rPr>
            <w:noProof/>
            <w:webHidden/>
          </w:rPr>
          <w:tab/>
        </w:r>
        <w:r w:rsidR="00256AE1">
          <w:rPr>
            <w:noProof/>
            <w:webHidden/>
          </w:rPr>
          <w:fldChar w:fldCharType="begin"/>
        </w:r>
        <w:r w:rsidR="00256AE1">
          <w:rPr>
            <w:noProof/>
            <w:webHidden/>
          </w:rPr>
          <w:instrText xml:space="preserve"> PAGEREF _Toc77342111 \h </w:instrText>
        </w:r>
        <w:r w:rsidR="00256AE1">
          <w:rPr>
            <w:noProof/>
            <w:webHidden/>
          </w:rPr>
          <w:fldChar w:fldCharType="separate"/>
        </w:r>
        <w:r w:rsidR="00256AE1">
          <w:rPr>
            <w:noProof/>
            <w:webHidden/>
          </w:rPr>
          <w:t>1</w:t>
        </w:r>
        <w:r w:rsidR="00256AE1">
          <w:rPr>
            <w:noProof/>
            <w:webHidden/>
          </w:rPr>
          <w:fldChar w:fldCharType="end"/>
        </w:r>
      </w:hyperlink>
    </w:p>
    <w:p w:rsidR="007B492B" w14:paraId="401810E4" w14:textId="72D39AC0">
      <w:pPr>
        <w:pStyle w:val="TOC1"/>
        <w:rPr>
          <w:rFonts w:asciiTheme="minorHAnsi" w:eastAsiaTheme="minorEastAsia" w:hAnsiTheme="minorHAnsi"/>
          <w:caps w:val="0"/>
          <w:noProof/>
          <w:sz w:val="22"/>
        </w:rPr>
      </w:pPr>
      <w:hyperlink w:anchor="_Toc77342112" w:history="1">
        <w:r w:rsidRPr="00780401" w:rsidR="00256AE1">
          <w:rPr>
            <w:rStyle w:val="Hyperlink"/>
            <w:noProof/>
          </w:rPr>
          <w:t>II.</w:t>
        </w:r>
        <w:r w:rsidR="00256AE1">
          <w:rPr>
            <w:rFonts w:asciiTheme="minorHAnsi" w:eastAsiaTheme="minorEastAsia" w:hAnsiTheme="minorHAnsi"/>
            <w:caps w:val="0"/>
            <w:noProof/>
            <w:sz w:val="22"/>
          </w:rPr>
          <w:tab/>
        </w:r>
        <w:r w:rsidRPr="00780401" w:rsidR="00256AE1">
          <w:rPr>
            <w:rStyle w:val="Hyperlink"/>
            <w:noProof/>
          </w:rPr>
          <w:t>ARGUMENT</w:t>
        </w:r>
        <w:r w:rsidR="00256AE1">
          <w:rPr>
            <w:noProof/>
            <w:webHidden/>
          </w:rPr>
          <w:tab/>
        </w:r>
        <w:r w:rsidR="00256AE1">
          <w:rPr>
            <w:noProof/>
            <w:webHidden/>
          </w:rPr>
          <w:fldChar w:fldCharType="begin"/>
        </w:r>
        <w:r w:rsidR="00256AE1">
          <w:rPr>
            <w:noProof/>
            <w:webHidden/>
          </w:rPr>
          <w:instrText xml:space="preserve"> PAGEREF _Toc77342112 \h </w:instrText>
        </w:r>
        <w:r w:rsidR="00256AE1">
          <w:rPr>
            <w:noProof/>
            <w:webHidden/>
          </w:rPr>
          <w:fldChar w:fldCharType="separate"/>
        </w:r>
        <w:r w:rsidR="00256AE1">
          <w:rPr>
            <w:noProof/>
            <w:webHidden/>
          </w:rPr>
          <w:t>2</w:t>
        </w:r>
        <w:r w:rsidR="00256AE1">
          <w:rPr>
            <w:noProof/>
            <w:webHidden/>
          </w:rPr>
          <w:fldChar w:fldCharType="end"/>
        </w:r>
      </w:hyperlink>
    </w:p>
    <w:p w:rsidR="007B492B" w14:paraId="764CC441" w14:textId="71E692A9">
      <w:pPr>
        <w:pStyle w:val="TOC2"/>
        <w:rPr>
          <w:rFonts w:asciiTheme="minorHAnsi" w:eastAsiaTheme="minorEastAsia" w:hAnsiTheme="minorHAnsi"/>
          <w:bCs w:val="0"/>
          <w:sz w:val="22"/>
        </w:rPr>
      </w:pPr>
      <w:hyperlink w:anchor="_Toc77342113" w:history="1">
        <w:r w:rsidRPr="00780401" w:rsidR="00256AE1">
          <w:rPr>
            <w:rStyle w:val="Hyperlink"/>
          </w:rPr>
          <w:t>Assignment of Error 1: The PUCO erred when it approved a $79 million per year provider-of-last-resort charge to consumers without finding it just and reasonable, and without evidentiary support, and in violation of Ohio Supreme Court and PUCO precedent and Ohio law, including R.C. 4903.09, 4905.22, and 4928.02(A).</w:t>
        </w:r>
        <w:r w:rsidR="00256AE1">
          <w:rPr>
            <w:webHidden/>
          </w:rPr>
          <w:tab/>
        </w:r>
        <w:r w:rsidR="00256AE1">
          <w:rPr>
            <w:webHidden/>
          </w:rPr>
          <w:fldChar w:fldCharType="begin"/>
        </w:r>
        <w:r w:rsidR="00256AE1">
          <w:rPr>
            <w:webHidden/>
          </w:rPr>
          <w:instrText xml:space="preserve"> PAGEREF _Toc77342113 \h </w:instrText>
        </w:r>
        <w:r w:rsidR="00256AE1">
          <w:rPr>
            <w:webHidden/>
          </w:rPr>
          <w:fldChar w:fldCharType="separate"/>
        </w:r>
        <w:r w:rsidR="00256AE1">
          <w:rPr>
            <w:webHidden/>
          </w:rPr>
          <w:t>2</w:t>
        </w:r>
        <w:r w:rsidR="00256AE1">
          <w:rPr>
            <w:webHidden/>
          </w:rPr>
          <w:fldChar w:fldCharType="end"/>
        </w:r>
      </w:hyperlink>
    </w:p>
    <w:p w:rsidR="007B492B" w14:paraId="7A11F21D" w14:textId="04FDEB2E">
      <w:pPr>
        <w:pStyle w:val="TOC3"/>
        <w:tabs>
          <w:tab w:val="left" w:pos="2880"/>
        </w:tabs>
        <w:rPr>
          <w:rFonts w:asciiTheme="minorHAnsi" w:eastAsiaTheme="minorEastAsia" w:hAnsiTheme="minorHAnsi" w:cstheme="minorBidi"/>
          <w:bCs w:val="0"/>
          <w:iCs w:val="0"/>
          <w:sz w:val="22"/>
        </w:rPr>
      </w:pPr>
      <w:hyperlink w:anchor="_Toc77342114" w:history="1">
        <w:r w:rsidRPr="00780401" w:rsidR="00256AE1">
          <w:rPr>
            <w:rStyle w:val="Hyperlink"/>
          </w:rPr>
          <w:t>A.</w:t>
        </w:r>
        <w:r w:rsidR="00256AE1">
          <w:rPr>
            <w:rFonts w:asciiTheme="minorHAnsi" w:eastAsiaTheme="minorEastAsia" w:hAnsiTheme="minorHAnsi" w:cstheme="minorBidi"/>
            <w:bCs w:val="0"/>
            <w:iCs w:val="0"/>
            <w:sz w:val="22"/>
          </w:rPr>
          <w:tab/>
        </w:r>
        <w:r w:rsidRPr="00780401" w:rsidR="00256AE1">
          <w:rPr>
            <w:rStyle w:val="Hyperlink"/>
          </w:rPr>
          <w:t>Since 2006 through 2024, as a result of PUCO rulings, DP&amp;L</w:t>
        </w:r>
        <w:r w:rsidR="00256AE1">
          <w:rPr>
            <w:rStyle w:val="Hyperlink"/>
          </w:rPr>
          <w:t xml:space="preserve"> consumers will have paid $1.2 Billion in non-cost-based charges for POLR/Stabilty</w:t>
        </w:r>
        <w:r w:rsidR="00256AE1">
          <w:rPr>
            <w:webHidden/>
          </w:rPr>
          <w:tab/>
        </w:r>
        <w:r w:rsidR="00256AE1">
          <w:rPr>
            <w:webHidden/>
          </w:rPr>
          <w:fldChar w:fldCharType="begin"/>
        </w:r>
        <w:r w:rsidR="00256AE1">
          <w:rPr>
            <w:webHidden/>
          </w:rPr>
          <w:instrText xml:space="preserve"> PAGEREF _Toc77342114 \h </w:instrText>
        </w:r>
        <w:r w:rsidR="00256AE1">
          <w:rPr>
            <w:webHidden/>
          </w:rPr>
          <w:fldChar w:fldCharType="separate"/>
        </w:r>
        <w:r w:rsidR="00256AE1">
          <w:rPr>
            <w:webHidden/>
          </w:rPr>
          <w:t>2</w:t>
        </w:r>
        <w:r w:rsidR="00256AE1">
          <w:rPr>
            <w:webHidden/>
          </w:rPr>
          <w:fldChar w:fldCharType="end"/>
        </w:r>
      </w:hyperlink>
    </w:p>
    <w:p w:rsidR="007B492B" w14:paraId="1D823028" w14:textId="19876FB7">
      <w:pPr>
        <w:pStyle w:val="TOC3"/>
        <w:tabs>
          <w:tab w:val="left" w:pos="2880"/>
        </w:tabs>
        <w:rPr>
          <w:rFonts w:asciiTheme="minorHAnsi" w:eastAsiaTheme="minorEastAsia" w:hAnsiTheme="minorHAnsi" w:cstheme="minorBidi"/>
          <w:bCs w:val="0"/>
          <w:iCs w:val="0"/>
          <w:sz w:val="22"/>
        </w:rPr>
      </w:pPr>
      <w:hyperlink w:anchor="_Toc77342115" w:history="1">
        <w:r w:rsidRPr="00780401" w:rsidR="00256AE1">
          <w:rPr>
            <w:rStyle w:val="Hyperlink"/>
          </w:rPr>
          <w:t>B.</w:t>
        </w:r>
        <w:r w:rsidR="00256AE1">
          <w:rPr>
            <w:rFonts w:asciiTheme="minorHAnsi" w:eastAsiaTheme="minorEastAsia" w:hAnsiTheme="minorHAnsi" w:cstheme="minorBidi"/>
            <w:bCs w:val="0"/>
            <w:iCs w:val="0"/>
            <w:sz w:val="22"/>
          </w:rPr>
          <w:tab/>
        </w:r>
        <w:r w:rsidRPr="00780401" w:rsidR="00256AE1">
          <w:rPr>
            <w:rStyle w:val="Hyperlink"/>
          </w:rPr>
          <w:t>The PUCO failed to determine whether continuing to charge consumers a $79 million per year non-cost-based POLR charge is reasonable and lawful.  Its not.</w:t>
        </w:r>
        <w:r w:rsidR="00256AE1">
          <w:rPr>
            <w:webHidden/>
          </w:rPr>
          <w:tab/>
        </w:r>
        <w:r w:rsidR="00256AE1">
          <w:rPr>
            <w:webHidden/>
          </w:rPr>
          <w:fldChar w:fldCharType="begin"/>
        </w:r>
        <w:r w:rsidR="00256AE1">
          <w:rPr>
            <w:webHidden/>
          </w:rPr>
          <w:instrText xml:space="preserve"> PAGEREF _Toc77342115 \h </w:instrText>
        </w:r>
        <w:r w:rsidR="00256AE1">
          <w:rPr>
            <w:webHidden/>
          </w:rPr>
          <w:fldChar w:fldCharType="separate"/>
        </w:r>
        <w:r w:rsidR="00256AE1">
          <w:rPr>
            <w:webHidden/>
          </w:rPr>
          <w:t>7</w:t>
        </w:r>
        <w:r w:rsidR="00256AE1">
          <w:rPr>
            <w:webHidden/>
          </w:rPr>
          <w:fldChar w:fldCharType="end"/>
        </w:r>
      </w:hyperlink>
    </w:p>
    <w:p w:rsidR="007B492B" w14:paraId="267E3E7B" w14:textId="1154E4B4">
      <w:pPr>
        <w:pStyle w:val="TOC4"/>
        <w:tabs>
          <w:tab w:val="left" w:pos="2880"/>
        </w:tabs>
        <w:rPr>
          <w:rFonts w:asciiTheme="minorHAnsi" w:eastAsiaTheme="minorEastAsia" w:hAnsiTheme="minorHAnsi"/>
          <w:noProof/>
          <w:sz w:val="22"/>
        </w:rPr>
      </w:pPr>
      <w:hyperlink w:anchor="_Toc77342116" w:history="1">
        <w:r w:rsidRPr="00780401" w:rsidR="00256AE1">
          <w:rPr>
            <w:rStyle w:val="Hyperlink"/>
            <w:noProof/>
          </w:rPr>
          <w:t>1.</w:t>
        </w:r>
        <w:r w:rsidR="00256AE1">
          <w:rPr>
            <w:rFonts w:asciiTheme="minorHAnsi" w:eastAsiaTheme="minorEastAsia" w:hAnsiTheme="minorHAnsi"/>
            <w:noProof/>
            <w:sz w:val="22"/>
          </w:rPr>
          <w:tab/>
        </w:r>
        <w:r w:rsidRPr="00780401" w:rsidR="00256AE1">
          <w:rPr>
            <w:rStyle w:val="Hyperlink"/>
            <w:noProof/>
          </w:rPr>
          <w:t>Approving DP&amp;L’s fifteen-year old non-cost based POLR/Stability charge is inconsistent with 2011 Ohio Supreme and PUCO rulings.</w:t>
        </w:r>
        <w:r w:rsidR="00256AE1">
          <w:rPr>
            <w:noProof/>
            <w:webHidden/>
          </w:rPr>
          <w:tab/>
        </w:r>
        <w:r w:rsidR="00256AE1">
          <w:rPr>
            <w:noProof/>
            <w:webHidden/>
          </w:rPr>
          <w:fldChar w:fldCharType="begin"/>
        </w:r>
        <w:r w:rsidR="00256AE1">
          <w:rPr>
            <w:noProof/>
            <w:webHidden/>
          </w:rPr>
          <w:instrText xml:space="preserve"> PAGEREF _Toc77342116 \h </w:instrText>
        </w:r>
        <w:r w:rsidR="00256AE1">
          <w:rPr>
            <w:noProof/>
            <w:webHidden/>
          </w:rPr>
          <w:fldChar w:fldCharType="separate"/>
        </w:r>
        <w:r w:rsidR="00256AE1">
          <w:rPr>
            <w:noProof/>
            <w:webHidden/>
          </w:rPr>
          <w:t>9</w:t>
        </w:r>
        <w:r w:rsidR="00256AE1">
          <w:rPr>
            <w:noProof/>
            <w:webHidden/>
          </w:rPr>
          <w:fldChar w:fldCharType="end"/>
        </w:r>
      </w:hyperlink>
    </w:p>
    <w:p w:rsidR="007B492B" w14:paraId="542FC741" w14:textId="6A022406">
      <w:pPr>
        <w:pStyle w:val="TOC4"/>
        <w:tabs>
          <w:tab w:val="left" w:pos="2880"/>
        </w:tabs>
        <w:rPr>
          <w:rFonts w:asciiTheme="minorHAnsi" w:eastAsiaTheme="minorEastAsia" w:hAnsiTheme="minorHAnsi"/>
          <w:noProof/>
          <w:sz w:val="22"/>
        </w:rPr>
      </w:pPr>
      <w:hyperlink w:anchor="_Toc77342117" w:history="1">
        <w:r w:rsidRPr="00780401" w:rsidR="00256AE1">
          <w:rPr>
            <w:rStyle w:val="Hyperlink"/>
            <w:noProof/>
          </w:rPr>
          <w:t>2.</w:t>
        </w:r>
        <w:r w:rsidR="00256AE1">
          <w:rPr>
            <w:rFonts w:asciiTheme="minorHAnsi" w:eastAsiaTheme="minorEastAsia" w:hAnsiTheme="minorHAnsi"/>
            <w:noProof/>
            <w:sz w:val="22"/>
          </w:rPr>
          <w:tab/>
        </w:r>
        <w:r w:rsidRPr="00780401" w:rsidR="00256AE1">
          <w:rPr>
            <w:rStyle w:val="Hyperlink"/>
            <w:noProof/>
          </w:rPr>
          <w:t>There is no evidentiary support for allowing DP&amp;L to continue to charge customers $79 million for a non-cost based POLR, violating R.C. 4903.09.</w:t>
        </w:r>
        <w:r w:rsidR="00256AE1">
          <w:rPr>
            <w:noProof/>
            <w:webHidden/>
          </w:rPr>
          <w:tab/>
        </w:r>
        <w:r w:rsidR="00256AE1">
          <w:rPr>
            <w:noProof/>
            <w:webHidden/>
          </w:rPr>
          <w:fldChar w:fldCharType="begin"/>
        </w:r>
        <w:r w:rsidR="00256AE1">
          <w:rPr>
            <w:noProof/>
            <w:webHidden/>
          </w:rPr>
          <w:instrText xml:space="preserve"> PAGEREF _Toc77342117 \h </w:instrText>
        </w:r>
        <w:r w:rsidR="00256AE1">
          <w:rPr>
            <w:noProof/>
            <w:webHidden/>
          </w:rPr>
          <w:fldChar w:fldCharType="separate"/>
        </w:r>
        <w:r w:rsidR="00256AE1">
          <w:rPr>
            <w:noProof/>
            <w:webHidden/>
          </w:rPr>
          <w:t>12</w:t>
        </w:r>
        <w:r w:rsidR="00256AE1">
          <w:rPr>
            <w:noProof/>
            <w:webHidden/>
          </w:rPr>
          <w:fldChar w:fldCharType="end"/>
        </w:r>
      </w:hyperlink>
    </w:p>
    <w:p w:rsidR="007B492B" w14:paraId="47FBE8E5" w14:textId="50E2931B">
      <w:pPr>
        <w:pStyle w:val="TOC2"/>
        <w:rPr>
          <w:rFonts w:asciiTheme="minorHAnsi" w:eastAsiaTheme="minorEastAsia" w:hAnsiTheme="minorHAnsi"/>
          <w:bCs w:val="0"/>
          <w:sz w:val="22"/>
        </w:rPr>
      </w:pPr>
      <w:hyperlink w:anchor="_Toc77342118" w:history="1">
        <w:r w:rsidRPr="00780401" w:rsidR="00256AE1">
          <w:rPr>
            <w:rStyle w:val="Hyperlink"/>
          </w:rPr>
          <w:t>Assignment of Error 2:  The PUCO erred in concluding that it does not have discretion to make rates and charges subject to refund unless two independent conditions are met, where one of which conditions is that the tariff provision for the rate or charge is “reconcilable.” When the PUCO added a reconcilable requirement for consumer refunds, the PUCO unreasonably and unlawfully construed Ohio law (R.C. 4905.32).</w:t>
        </w:r>
        <w:r w:rsidR="00256AE1">
          <w:rPr>
            <w:webHidden/>
          </w:rPr>
          <w:tab/>
        </w:r>
        <w:r w:rsidR="00256AE1">
          <w:rPr>
            <w:webHidden/>
          </w:rPr>
          <w:fldChar w:fldCharType="begin"/>
        </w:r>
        <w:r w:rsidR="00256AE1">
          <w:rPr>
            <w:webHidden/>
          </w:rPr>
          <w:instrText xml:space="preserve"> PAGEREF _Toc77342118 \h </w:instrText>
        </w:r>
        <w:r w:rsidR="00256AE1">
          <w:rPr>
            <w:webHidden/>
          </w:rPr>
          <w:fldChar w:fldCharType="separate"/>
        </w:r>
        <w:r w:rsidR="00256AE1">
          <w:rPr>
            <w:webHidden/>
          </w:rPr>
          <w:t>13</w:t>
        </w:r>
        <w:r w:rsidR="00256AE1">
          <w:rPr>
            <w:webHidden/>
          </w:rPr>
          <w:fldChar w:fldCharType="end"/>
        </w:r>
      </w:hyperlink>
    </w:p>
    <w:p w:rsidR="007B492B" w14:paraId="262282B1" w14:textId="3F493215">
      <w:pPr>
        <w:pStyle w:val="TOC2"/>
        <w:rPr>
          <w:rFonts w:asciiTheme="minorHAnsi" w:eastAsiaTheme="minorEastAsia" w:hAnsiTheme="minorHAnsi"/>
          <w:bCs w:val="0"/>
          <w:sz w:val="22"/>
        </w:rPr>
      </w:pPr>
      <w:hyperlink w:anchor="_Toc77342119" w:history="1">
        <w:r w:rsidRPr="00780401" w:rsidR="00256AE1">
          <w:rPr>
            <w:rStyle w:val="Hyperlink"/>
          </w:rPr>
          <w:t>Assignment of Error 3:  The PUCO erred in concluding that OCC is barred by res judicata and collateral estoppel from challenging DP&amp;L’s rate stability charge.  When a judgment is issued without jurisdiction, it is void and subject to collateral attack.  Because the PUCO had no jurisdiction to order the continuation of DP&amp;L’s electric security plan, instead of its standard service offer, its order was void and is subject to collateral attack.</w:t>
        </w:r>
        <w:r w:rsidR="00256AE1">
          <w:rPr>
            <w:webHidden/>
          </w:rPr>
          <w:tab/>
        </w:r>
        <w:r w:rsidR="00256AE1">
          <w:rPr>
            <w:webHidden/>
          </w:rPr>
          <w:fldChar w:fldCharType="begin"/>
        </w:r>
        <w:r w:rsidR="00256AE1">
          <w:rPr>
            <w:webHidden/>
          </w:rPr>
          <w:instrText xml:space="preserve"> PAGEREF _Toc77342119 \h </w:instrText>
        </w:r>
        <w:r w:rsidR="00256AE1">
          <w:rPr>
            <w:webHidden/>
          </w:rPr>
          <w:fldChar w:fldCharType="separate"/>
        </w:r>
        <w:r w:rsidR="00256AE1">
          <w:rPr>
            <w:webHidden/>
          </w:rPr>
          <w:t>17</w:t>
        </w:r>
        <w:r w:rsidR="00256AE1">
          <w:rPr>
            <w:webHidden/>
          </w:rPr>
          <w:fldChar w:fldCharType="end"/>
        </w:r>
      </w:hyperlink>
    </w:p>
    <w:p w:rsidR="00256AE1" w14:paraId="47A3E449" w14:textId="77777777">
      <w:pPr>
        <w:rPr>
          <w:bCs/>
          <w:noProof/>
        </w:rPr>
      </w:pPr>
      <w:r>
        <w:br w:type="page"/>
      </w:r>
    </w:p>
    <w:p w:rsidR="007B492B" w14:paraId="14FC908D" w14:textId="306C5920">
      <w:pPr>
        <w:pStyle w:val="TOC2"/>
        <w:rPr>
          <w:rFonts w:asciiTheme="minorHAnsi" w:eastAsiaTheme="minorEastAsia" w:hAnsiTheme="minorHAnsi"/>
          <w:bCs w:val="0"/>
          <w:sz w:val="22"/>
        </w:rPr>
      </w:pPr>
      <w:hyperlink w:anchor="_Toc77342120" w:history="1">
        <w:r w:rsidRPr="00780401" w:rsidR="00256AE1">
          <w:rPr>
            <w:rStyle w:val="Hyperlink"/>
          </w:rPr>
          <w:t>Assignment of Error 4:  The PUCO erred in its findings excusing DP&amp;L from its ESP I rate freeze commitment to consumers.  In violation of Ohio Supreme Court precedent on this issue, the PUCO’s findings are mistaken and misapprehend OCC’s claims of error. Consistent with R.C. 4903.09, and Supreme court precedent, the PUCO’s findings can and should be distrubed (meaning abrogated).</w:t>
        </w:r>
        <w:r w:rsidR="00256AE1">
          <w:rPr>
            <w:webHidden/>
          </w:rPr>
          <w:tab/>
        </w:r>
        <w:r w:rsidR="00256AE1">
          <w:rPr>
            <w:webHidden/>
          </w:rPr>
          <w:fldChar w:fldCharType="begin"/>
        </w:r>
        <w:r w:rsidR="00256AE1">
          <w:rPr>
            <w:webHidden/>
          </w:rPr>
          <w:instrText xml:space="preserve"> PAGEREF _Toc77342120 \h </w:instrText>
        </w:r>
        <w:r w:rsidR="00256AE1">
          <w:rPr>
            <w:webHidden/>
          </w:rPr>
          <w:fldChar w:fldCharType="separate"/>
        </w:r>
        <w:r w:rsidR="00256AE1">
          <w:rPr>
            <w:webHidden/>
          </w:rPr>
          <w:t>18</w:t>
        </w:r>
        <w:r w:rsidR="00256AE1">
          <w:rPr>
            <w:webHidden/>
          </w:rPr>
          <w:fldChar w:fldCharType="end"/>
        </w:r>
      </w:hyperlink>
    </w:p>
    <w:p w:rsidR="007B492B" w14:paraId="3842394E" w14:textId="7F34EC11">
      <w:pPr>
        <w:pStyle w:val="TOC2"/>
        <w:rPr>
          <w:rFonts w:asciiTheme="minorHAnsi" w:eastAsiaTheme="minorEastAsia" w:hAnsiTheme="minorHAnsi"/>
          <w:bCs w:val="0"/>
          <w:sz w:val="22"/>
        </w:rPr>
      </w:pPr>
      <w:hyperlink w:anchor="_Toc77342121" w:history="1">
        <w:r w:rsidRPr="00780401" w:rsidR="00256AE1">
          <w:rPr>
            <w:rStyle w:val="Hyperlink"/>
          </w:rPr>
          <w:t>Assignment of Error 5: The PUCO erred by delaying its rehearing ruling for sixteen months (until June 16, 2021) and by deferring yet more rehearing rulings beyond its June 16, 2021 Order, in violation of R.C. 4903.10, 4903.11, 4903.12 and 4903.13, and, in an abuse of discretion.  The PUCO’s errors have wrongfully delayed the issuance of a final appealable order up to June 16, 2021 and beyond because the PUCO is intending for there to be further rehearing rulings, all of which are denying OCC its statutory right of appeal and denying the Court its statutory right of review.</w:t>
        </w:r>
        <w:r w:rsidR="00256AE1">
          <w:rPr>
            <w:webHidden/>
          </w:rPr>
          <w:tab/>
        </w:r>
        <w:r w:rsidR="00256AE1">
          <w:rPr>
            <w:webHidden/>
          </w:rPr>
          <w:fldChar w:fldCharType="begin"/>
        </w:r>
        <w:r w:rsidR="00256AE1">
          <w:rPr>
            <w:webHidden/>
          </w:rPr>
          <w:instrText xml:space="preserve"> PAGEREF _Toc77342121 \h </w:instrText>
        </w:r>
        <w:r w:rsidR="00256AE1">
          <w:rPr>
            <w:webHidden/>
          </w:rPr>
          <w:fldChar w:fldCharType="separate"/>
        </w:r>
        <w:r w:rsidR="00256AE1">
          <w:rPr>
            <w:webHidden/>
          </w:rPr>
          <w:t>21</w:t>
        </w:r>
        <w:r w:rsidR="00256AE1">
          <w:rPr>
            <w:webHidden/>
          </w:rPr>
          <w:fldChar w:fldCharType="end"/>
        </w:r>
      </w:hyperlink>
    </w:p>
    <w:p w:rsidR="007B492B" w14:paraId="5F9D3522" w14:textId="6C782937">
      <w:pPr>
        <w:pStyle w:val="TOC1"/>
        <w:rPr>
          <w:rFonts w:asciiTheme="minorHAnsi" w:eastAsiaTheme="minorEastAsia" w:hAnsiTheme="minorHAnsi"/>
          <w:caps w:val="0"/>
          <w:noProof/>
          <w:sz w:val="22"/>
        </w:rPr>
      </w:pPr>
      <w:hyperlink w:anchor="_Toc77342122" w:history="1">
        <w:r w:rsidRPr="00780401" w:rsidR="00256AE1">
          <w:rPr>
            <w:rStyle w:val="Hyperlink"/>
            <w:noProof/>
          </w:rPr>
          <w:t xml:space="preserve">III. </w:t>
        </w:r>
        <w:r w:rsidR="00256AE1">
          <w:rPr>
            <w:rFonts w:asciiTheme="minorHAnsi" w:eastAsiaTheme="minorEastAsia" w:hAnsiTheme="minorHAnsi"/>
            <w:caps w:val="0"/>
            <w:noProof/>
            <w:sz w:val="22"/>
          </w:rPr>
          <w:tab/>
        </w:r>
        <w:r w:rsidRPr="00780401" w:rsidR="00256AE1">
          <w:rPr>
            <w:rStyle w:val="Hyperlink"/>
            <w:noProof/>
          </w:rPr>
          <w:t>CONCLUSION</w:t>
        </w:r>
        <w:r w:rsidR="00256AE1">
          <w:rPr>
            <w:noProof/>
            <w:webHidden/>
          </w:rPr>
          <w:tab/>
        </w:r>
        <w:r w:rsidR="00256AE1">
          <w:rPr>
            <w:noProof/>
            <w:webHidden/>
          </w:rPr>
          <w:fldChar w:fldCharType="begin"/>
        </w:r>
        <w:r w:rsidR="00256AE1">
          <w:rPr>
            <w:noProof/>
            <w:webHidden/>
          </w:rPr>
          <w:instrText xml:space="preserve"> PAGEREF _Toc77342122 \h </w:instrText>
        </w:r>
        <w:r w:rsidR="00256AE1">
          <w:rPr>
            <w:noProof/>
            <w:webHidden/>
          </w:rPr>
          <w:fldChar w:fldCharType="separate"/>
        </w:r>
        <w:r w:rsidR="00256AE1">
          <w:rPr>
            <w:noProof/>
            <w:webHidden/>
          </w:rPr>
          <w:t>24</w:t>
        </w:r>
        <w:r w:rsidR="00256AE1">
          <w:rPr>
            <w:noProof/>
            <w:webHidden/>
          </w:rPr>
          <w:fldChar w:fldCharType="end"/>
        </w:r>
      </w:hyperlink>
    </w:p>
    <w:p w:rsidR="000A6E37" w:rsidP="00E90F0A" w14:paraId="6770E1CA" w14:textId="39983CF8">
      <w:pPr>
        <w:tabs>
          <w:tab w:val="left" w:pos="4320"/>
        </w:tabs>
        <w:spacing w:after="0" w:line="240" w:lineRule="auto"/>
        <w:rPr>
          <w:rFonts w:cs="Times New Roman"/>
          <w:szCs w:val="24"/>
        </w:rPr>
      </w:pPr>
      <w:r>
        <w:rPr>
          <w:rFonts w:cs="Times New Roman"/>
          <w:szCs w:val="24"/>
        </w:rPr>
        <w:fldChar w:fldCharType="end"/>
      </w:r>
    </w:p>
    <w:p w:rsidR="000A6E37" w:rsidP="00D92B7D" w14:paraId="7092EBBB" w14:textId="77777777">
      <w:pPr>
        <w:autoSpaceDE w:val="0"/>
        <w:autoSpaceDN w:val="0"/>
        <w:adjustRightInd w:val="0"/>
        <w:spacing w:after="0" w:line="240" w:lineRule="auto"/>
        <w:ind w:left="3600" w:firstLine="720"/>
        <w:rPr>
          <w:rFonts w:cs="Times New Roman"/>
          <w:szCs w:val="24"/>
        </w:rPr>
        <w:sectPr w:rsidSect="00B67802">
          <w:headerReference w:type="default" r:id="rId11"/>
          <w:pgSz w:w="12240" w:h="15840"/>
          <w:pgMar w:top="1440" w:right="1800" w:bottom="1440" w:left="1800" w:header="720" w:footer="720" w:gutter="0"/>
          <w:pgNumType w:fmt="lowerRoman" w:start="1"/>
          <w:cols w:space="720"/>
          <w:docGrid w:linePitch="360"/>
        </w:sectPr>
      </w:pPr>
    </w:p>
    <w:p w:rsidR="00F31BA3" w:rsidRPr="00CD1BE8" w:rsidP="00F31BA3" w14:paraId="080E1378" w14:textId="5786E984">
      <w:pPr>
        <w:spacing w:after="0" w:line="240" w:lineRule="auto"/>
        <w:jc w:val="center"/>
        <w:rPr>
          <w:rFonts w:cs="Times New Roman"/>
          <w:b/>
          <w:szCs w:val="24"/>
        </w:rPr>
      </w:pPr>
      <w:r w:rsidRPr="00CD1BE8">
        <w:rPr>
          <w:rFonts w:cs="Times New Roman"/>
          <w:b/>
          <w:szCs w:val="24"/>
        </w:rPr>
        <w:t xml:space="preserve">BEFORE </w:t>
      </w:r>
    </w:p>
    <w:p w:rsidR="00F31BA3" w:rsidP="00F31BA3" w14:paraId="1F0D9ACB" w14:textId="77777777">
      <w:pPr>
        <w:spacing w:after="0" w:line="240" w:lineRule="auto"/>
        <w:jc w:val="center"/>
        <w:rPr>
          <w:rFonts w:cs="Times New Roman"/>
          <w:b/>
          <w:bCs/>
          <w:szCs w:val="24"/>
        </w:rPr>
      </w:pPr>
      <w:r w:rsidRPr="00CD1BE8">
        <w:rPr>
          <w:rFonts w:cs="Times New Roman"/>
          <w:b/>
          <w:bCs/>
          <w:szCs w:val="24"/>
        </w:rPr>
        <w:t>THE PUBLIC UTILITIES COMMISSION OF OHIO</w:t>
      </w:r>
    </w:p>
    <w:p w:rsidR="00F31BA3" w:rsidP="00F31BA3" w14:paraId="67F81A10" w14:textId="77777777">
      <w:pPr>
        <w:spacing w:after="0" w:line="240" w:lineRule="auto"/>
        <w:jc w:val="center"/>
        <w:rPr>
          <w:rFonts w:cs="Times New Roman"/>
          <w:b/>
          <w:bCs/>
          <w:szCs w:val="24"/>
        </w:rPr>
      </w:pPr>
    </w:p>
    <w:tbl>
      <w:tblPr>
        <w:tblW w:w="8640" w:type="dxa"/>
        <w:tblInd w:w="108" w:type="dxa"/>
        <w:tblLook w:val="01E0"/>
      </w:tblPr>
      <w:tblGrid>
        <w:gridCol w:w="4212"/>
        <w:gridCol w:w="360"/>
        <w:gridCol w:w="4068"/>
      </w:tblGrid>
      <w:tr w14:paraId="20E68840" w14:textId="77777777" w:rsidTr="004D3EDA">
        <w:tblPrEx>
          <w:tblW w:w="8640" w:type="dxa"/>
          <w:tblInd w:w="108" w:type="dxa"/>
          <w:tblLook w:val="01E0"/>
        </w:tblPrEx>
        <w:trPr>
          <w:trHeight w:val="4932"/>
        </w:trPr>
        <w:tc>
          <w:tcPr>
            <w:tcW w:w="4212" w:type="dxa"/>
          </w:tcPr>
          <w:p w:rsidR="00F31BA3" w:rsidRPr="000C011D" w:rsidP="00F31BA3" w14:paraId="340CBA1F" w14:textId="77777777">
            <w:pPr>
              <w:spacing w:after="0" w:line="240" w:lineRule="auto"/>
              <w:rPr>
                <w:szCs w:val="24"/>
              </w:rPr>
            </w:pPr>
            <w:r w:rsidRPr="000C011D">
              <w:rPr>
                <w:szCs w:val="24"/>
              </w:rPr>
              <w:t>In the Matter of the Application of The Dayton Power and Light Company for Approval of its Electric Security Plan.</w:t>
            </w:r>
          </w:p>
          <w:p w:rsidR="00F31BA3" w:rsidRPr="000C011D" w:rsidP="00F31BA3" w14:paraId="674CF6B9" w14:textId="77777777">
            <w:pPr>
              <w:spacing w:after="0" w:line="240" w:lineRule="auto"/>
              <w:rPr>
                <w:szCs w:val="24"/>
              </w:rPr>
            </w:pPr>
          </w:p>
          <w:p w:rsidR="00F31BA3" w:rsidRPr="000C011D" w:rsidP="00F31BA3" w14:paraId="0EA211A5" w14:textId="77777777">
            <w:pPr>
              <w:spacing w:after="0" w:line="240" w:lineRule="auto"/>
              <w:rPr>
                <w:szCs w:val="24"/>
              </w:rPr>
            </w:pPr>
            <w:r w:rsidRPr="000C011D">
              <w:rPr>
                <w:szCs w:val="24"/>
              </w:rPr>
              <w:t>In the Matter of the Application of The Dayton Power and Light Company for Approval of Revised Tariffs.</w:t>
            </w:r>
          </w:p>
          <w:p w:rsidR="00F31BA3" w:rsidRPr="000C011D" w:rsidP="00F31BA3" w14:paraId="7A8B92C5" w14:textId="77777777">
            <w:pPr>
              <w:spacing w:after="0" w:line="240" w:lineRule="auto"/>
              <w:rPr>
                <w:szCs w:val="24"/>
              </w:rPr>
            </w:pPr>
          </w:p>
          <w:p w:rsidR="00F31BA3" w:rsidRPr="000C011D" w:rsidP="00F31BA3" w14:paraId="578A99BC" w14:textId="77777777">
            <w:pPr>
              <w:spacing w:after="0" w:line="240" w:lineRule="auto"/>
              <w:rPr>
                <w:szCs w:val="24"/>
              </w:rPr>
            </w:pPr>
            <w:r w:rsidRPr="000C011D">
              <w:rPr>
                <w:szCs w:val="24"/>
              </w:rPr>
              <w:t>In the Matter of the Application of The Dayton Power and Light Company for Approval of Certain Accounting Authority Pursuant to Ohio Rev. Code Section 4905.13.</w:t>
            </w:r>
          </w:p>
          <w:p w:rsidR="00F31BA3" w:rsidRPr="000C011D" w:rsidP="00F31BA3" w14:paraId="7B389909" w14:textId="77777777">
            <w:pPr>
              <w:spacing w:after="0" w:line="240" w:lineRule="auto"/>
              <w:rPr>
                <w:szCs w:val="24"/>
              </w:rPr>
            </w:pPr>
          </w:p>
          <w:p w:rsidR="00F31BA3" w:rsidRPr="000C011D" w:rsidP="00F31BA3" w14:paraId="4553E302" w14:textId="77777777">
            <w:pPr>
              <w:spacing w:after="0" w:line="240" w:lineRule="auto"/>
              <w:rPr>
                <w:szCs w:val="24"/>
              </w:rPr>
            </w:pPr>
            <w:r w:rsidRPr="000C011D">
              <w:rPr>
                <w:szCs w:val="24"/>
              </w:rPr>
              <w:t>In the Matter of the Application of The Dayton Power and Light Company for Approval of its Amended Corporate Separation Plan.</w:t>
            </w:r>
          </w:p>
        </w:tc>
        <w:tc>
          <w:tcPr>
            <w:tcW w:w="360" w:type="dxa"/>
          </w:tcPr>
          <w:p w:rsidR="00F31BA3" w:rsidRPr="000C011D" w:rsidP="00F31BA3" w14:paraId="3E389D91" w14:textId="77777777">
            <w:pPr>
              <w:spacing w:after="0" w:line="240" w:lineRule="auto"/>
              <w:rPr>
                <w:szCs w:val="24"/>
              </w:rPr>
            </w:pPr>
            <w:r w:rsidRPr="000C011D">
              <w:rPr>
                <w:szCs w:val="24"/>
              </w:rPr>
              <w:t>)</w:t>
            </w:r>
          </w:p>
          <w:p w:rsidR="00F31BA3" w:rsidRPr="000C011D" w:rsidP="00F31BA3" w14:paraId="1D01955A" w14:textId="77777777">
            <w:pPr>
              <w:spacing w:after="0" w:line="240" w:lineRule="auto"/>
              <w:rPr>
                <w:szCs w:val="24"/>
              </w:rPr>
            </w:pPr>
            <w:r w:rsidRPr="000C011D">
              <w:rPr>
                <w:szCs w:val="24"/>
              </w:rPr>
              <w:t>)</w:t>
            </w:r>
          </w:p>
          <w:p w:rsidR="00F31BA3" w:rsidRPr="000C011D" w:rsidP="00F31BA3" w14:paraId="60CB50B8" w14:textId="77777777">
            <w:pPr>
              <w:spacing w:after="0" w:line="240" w:lineRule="auto"/>
              <w:rPr>
                <w:szCs w:val="24"/>
              </w:rPr>
            </w:pPr>
            <w:r w:rsidRPr="000C011D">
              <w:rPr>
                <w:szCs w:val="24"/>
              </w:rPr>
              <w:t>)</w:t>
            </w:r>
          </w:p>
          <w:p w:rsidR="00F31BA3" w:rsidRPr="000C011D" w:rsidP="00F31BA3" w14:paraId="72E4976E" w14:textId="77777777">
            <w:pPr>
              <w:spacing w:after="0" w:line="240" w:lineRule="auto"/>
              <w:rPr>
                <w:szCs w:val="24"/>
              </w:rPr>
            </w:pPr>
          </w:p>
          <w:p w:rsidR="00F31BA3" w:rsidRPr="000C011D" w:rsidP="00F31BA3" w14:paraId="46924914" w14:textId="77777777">
            <w:pPr>
              <w:spacing w:after="0" w:line="240" w:lineRule="auto"/>
              <w:rPr>
                <w:szCs w:val="24"/>
              </w:rPr>
            </w:pPr>
            <w:r w:rsidRPr="000C011D">
              <w:rPr>
                <w:szCs w:val="24"/>
              </w:rPr>
              <w:t>)</w:t>
            </w:r>
          </w:p>
          <w:p w:rsidR="00F31BA3" w:rsidRPr="000C011D" w:rsidP="00F31BA3" w14:paraId="750A5051" w14:textId="77777777">
            <w:pPr>
              <w:spacing w:after="0" w:line="240" w:lineRule="auto"/>
              <w:rPr>
                <w:szCs w:val="24"/>
              </w:rPr>
            </w:pPr>
            <w:r w:rsidRPr="000C011D">
              <w:rPr>
                <w:szCs w:val="24"/>
              </w:rPr>
              <w:t>)</w:t>
            </w:r>
          </w:p>
          <w:p w:rsidR="00F31BA3" w:rsidRPr="000C011D" w:rsidP="00F31BA3" w14:paraId="27B81B47" w14:textId="77777777">
            <w:pPr>
              <w:spacing w:after="0" w:line="240" w:lineRule="auto"/>
              <w:rPr>
                <w:szCs w:val="24"/>
              </w:rPr>
            </w:pPr>
            <w:r w:rsidRPr="000C011D">
              <w:rPr>
                <w:szCs w:val="24"/>
              </w:rPr>
              <w:t>)</w:t>
            </w:r>
          </w:p>
          <w:p w:rsidR="00F31BA3" w:rsidRPr="000C011D" w:rsidP="00F31BA3" w14:paraId="5CFB4357" w14:textId="77777777">
            <w:pPr>
              <w:spacing w:after="0" w:line="240" w:lineRule="auto"/>
              <w:rPr>
                <w:szCs w:val="24"/>
              </w:rPr>
            </w:pPr>
          </w:p>
          <w:p w:rsidR="00F31BA3" w:rsidRPr="000C011D" w:rsidP="00F31BA3" w14:paraId="2E534490" w14:textId="77777777">
            <w:pPr>
              <w:spacing w:after="0" w:line="240" w:lineRule="auto"/>
              <w:rPr>
                <w:szCs w:val="24"/>
              </w:rPr>
            </w:pPr>
            <w:r w:rsidRPr="000C011D">
              <w:rPr>
                <w:szCs w:val="24"/>
              </w:rPr>
              <w:t>)</w:t>
            </w:r>
          </w:p>
          <w:p w:rsidR="00F31BA3" w:rsidRPr="000C011D" w:rsidP="00F31BA3" w14:paraId="4B7A07A0" w14:textId="77777777">
            <w:pPr>
              <w:spacing w:after="0" w:line="240" w:lineRule="auto"/>
              <w:rPr>
                <w:szCs w:val="24"/>
              </w:rPr>
            </w:pPr>
            <w:r w:rsidRPr="000C011D">
              <w:rPr>
                <w:szCs w:val="24"/>
              </w:rPr>
              <w:t>)</w:t>
            </w:r>
          </w:p>
          <w:p w:rsidR="00F31BA3" w:rsidRPr="000C011D" w:rsidP="00F31BA3" w14:paraId="238371A0" w14:textId="77777777">
            <w:pPr>
              <w:spacing w:after="0" w:line="240" w:lineRule="auto"/>
              <w:rPr>
                <w:szCs w:val="24"/>
              </w:rPr>
            </w:pPr>
            <w:r w:rsidRPr="000C011D">
              <w:rPr>
                <w:szCs w:val="24"/>
              </w:rPr>
              <w:t>)</w:t>
            </w:r>
          </w:p>
          <w:p w:rsidR="00F31BA3" w:rsidRPr="000C011D" w:rsidP="00F31BA3" w14:paraId="04AABB34" w14:textId="77777777">
            <w:pPr>
              <w:spacing w:after="0" w:line="240" w:lineRule="auto"/>
              <w:rPr>
                <w:szCs w:val="24"/>
              </w:rPr>
            </w:pPr>
            <w:r w:rsidRPr="000C011D">
              <w:rPr>
                <w:szCs w:val="24"/>
              </w:rPr>
              <w:t>)</w:t>
            </w:r>
          </w:p>
          <w:p w:rsidR="00F31BA3" w:rsidRPr="000C011D" w:rsidP="00F31BA3" w14:paraId="24DC7696" w14:textId="77777777">
            <w:pPr>
              <w:spacing w:after="0" w:line="240" w:lineRule="auto"/>
              <w:rPr>
                <w:szCs w:val="24"/>
              </w:rPr>
            </w:pPr>
            <w:r w:rsidRPr="000C011D">
              <w:rPr>
                <w:szCs w:val="24"/>
              </w:rPr>
              <w:t>)</w:t>
            </w:r>
          </w:p>
          <w:p w:rsidR="00F31BA3" w:rsidRPr="000C011D" w:rsidP="00F31BA3" w14:paraId="38BE10EA" w14:textId="77777777">
            <w:pPr>
              <w:spacing w:after="0" w:line="240" w:lineRule="auto"/>
              <w:rPr>
                <w:szCs w:val="24"/>
              </w:rPr>
            </w:pPr>
          </w:p>
          <w:p w:rsidR="00F31BA3" w:rsidRPr="000C011D" w:rsidP="00F31BA3" w14:paraId="6E9BB23A" w14:textId="77777777">
            <w:pPr>
              <w:spacing w:after="0" w:line="240" w:lineRule="auto"/>
              <w:rPr>
                <w:szCs w:val="24"/>
              </w:rPr>
            </w:pPr>
            <w:r w:rsidRPr="000C011D">
              <w:rPr>
                <w:szCs w:val="24"/>
              </w:rPr>
              <w:t>)</w:t>
            </w:r>
          </w:p>
          <w:p w:rsidR="00F31BA3" w:rsidRPr="000C011D" w:rsidP="00F31BA3" w14:paraId="66115760" w14:textId="77777777">
            <w:pPr>
              <w:spacing w:after="0" w:line="240" w:lineRule="auto"/>
              <w:rPr>
                <w:szCs w:val="24"/>
              </w:rPr>
            </w:pPr>
            <w:r w:rsidRPr="000C011D">
              <w:rPr>
                <w:szCs w:val="24"/>
              </w:rPr>
              <w:t>)</w:t>
            </w:r>
          </w:p>
          <w:p w:rsidR="00F31BA3" w:rsidRPr="000C011D" w:rsidP="00F31BA3" w14:paraId="4251E4E7" w14:textId="77777777">
            <w:pPr>
              <w:spacing w:after="0" w:line="240" w:lineRule="auto"/>
              <w:rPr>
                <w:szCs w:val="24"/>
              </w:rPr>
            </w:pPr>
            <w:r w:rsidRPr="000C011D">
              <w:rPr>
                <w:szCs w:val="24"/>
              </w:rPr>
              <w:t>)</w:t>
            </w:r>
          </w:p>
          <w:p w:rsidR="00F31BA3" w:rsidRPr="000C011D" w:rsidP="00F31BA3" w14:paraId="5AC74264" w14:textId="77777777">
            <w:pPr>
              <w:spacing w:after="0" w:line="240" w:lineRule="auto"/>
              <w:rPr>
                <w:szCs w:val="24"/>
              </w:rPr>
            </w:pPr>
            <w:r w:rsidRPr="000C011D">
              <w:rPr>
                <w:szCs w:val="24"/>
              </w:rPr>
              <w:t>)</w:t>
            </w:r>
          </w:p>
        </w:tc>
        <w:tc>
          <w:tcPr>
            <w:tcW w:w="4068" w:type="dxa"/>
          </w:tcPr>
          <w:p w:rsidR="00F31BA3" w:rsidRPr="000C011D" w:rsidP="00F31BA3" w14:paraId="294AD351" w14:textId="77777777">
            <w:pPr>
              <w:spacing w:after="0" w:line="240" w:lineRule="auto"/>
              <w:rPr>
                <w:szCs w:val="24"/>
              </w:rPr>
            </w:pPr>
          </w:p>
          <w:p w:rsidR="00F31BA3" w:rsidRPr="000C011D" w:rsidP="00F31BA3" w14:paraId="36998DDD" w14:textId="77777777">
            <w:pPr>
              <w:spacing w:after="0" w:line="240" w:lineRule="auto"/>
              <w:rPr>
                <w:szCs w:val="24"/>
              </w:rPr>
            </w:pPr>
            <w:r w:rsidRPr="000C011D">
              <w:rPr>
                <w:szCs w:val="24"/>
              </w:rPr>
              <w:t>Case No. 08-1094-EL-SSO</w:t>
            </w:r>
          </w:p>
          <w:p w:rsidR="00F31BA3" w:rsidRPr="000C011D" w:rsidP="00F31BA3" w14:paraId="3BE41D0B" w14:textId="77777777">
            <w:pPr>
              <w:spacing w:after="0" w:line="240" w:lineRule="auto"/>
              <w:rPr>
                <w:szCs w:val="24"/>
              </w:rPr>
            </w:pPr>
          </w:p>
          <w:p w:rsidR="00F31BA3" w:rsidRPr="000C011D" w:rsidP="00F31BA3" w14:paraId="393B0CF5" w14:textId="77777777">
            <w:pPr>
              <w:spacing w:after="0" w:line="240" w:lineRule="auto"/>
              <w:rPr>
                <w:szCs w:val="24"/>
              </w:rPr>
            </w:pPr>
          </w:p>
          <w:p w:rsidR="00F31BA3" w:rsidRPr="000C011D" w:rsidP="00F31BA3" w14:paraId="296CE44E" w14:textId="77777777">
            <w:pPr>
              <w:spacing w:after="0" w:line="240" w:lineRule="auto"/>
              <w:rPr>
                <w:szCs w:val="24"/>
              </w:rPr>
            </w:pPr>
          </w:p>
          <w:p w:rsidR="00F31BA3" w:rsidRPr="000C011D" w:rsidP="00F31BA3" w14:paraId="517F3AE2" w14:textId="77777777">
            <w:pPr>
              <w:spacing w:after="0" w:line="240" w:lineRule="auto"/>
              <w:rPr>
                <w:szCs w:val="24"/>
              </w:rPr>
            </w:pPr>
            <w:r w:rsidRPr="000C011D">
              <w:rPr>
                <w:szCs w:val="24"/>
              </w:rPr>
              <w:t>Case No. 08-1095-EL-ATA</w:t>
            </w:r>
          </w:p>
          <w:p w:rsidR="00F31BA3" w:rsidRPr="000C011D" w:rsidP="00F31BA3" w14:paraId="1902D2EF" w14:textId="77777777">
            <w:pPr>
              <w:spacing w:after="0" w:line="240" w:lineRule="auto"/>
              <w:rPr>
                <w:szCs w:val="24"/>
              </w:rPr>
            </w:pPr>
          </w:p>
          <w:p w:rsidR="00F31BA3" w:rsidRPr="000C011D" w:rsidP="00F31BA3" w14:paraId="1C62E4B5" w14:textId="77777777">
            <w:pPr>
              <w:spacing w:after="0" w:line="240" w:lineRule="auto"/>
              <w:rPr>
                <w:szCs w:val="24"/>
              </w:rPr>
            </w:pPr>
          </w:p>
          <w:p w:rsidR="00F31BA3" w:rsidRPr="000C011D" w:rsidP="00F31BA3" w14:paraId="18ECAAFB" w14:textId="77777777">
            <w:pPr>
              <w:spacing w:after="0" w:line="240" w:lineRule="auto"/>
              <w:rPr>
                <w:szCs w:val="24"/>
              </w:rPr>
            </w:pPr>
          </w:p>
          <w:p w:rsidR="00F31BA3" w:rsidRPr="000C011D" w:rsidP="00F31BA3" w14:paraId="4A680DA4" w14:textId="77777777">
            <w:pPr>
              <w:spacing w:after="0" w:line="240" w:lineRule="auto"/>
              <w:rPr>
                <w:szCs w:val="24"/>
              </w:rPr>
            </w:pPr>
          </w:p>
          <w:p w:rsidR="00F31BA3" w:rsidRPr="000C011D" w:rsidP="00F31BA3" w14:paraId="14E017BC" w14:textId="77777777">
            <w:pPr>
              <w:spacing w:after="0" w:line="240" w:lineRule="auto"/>
              <w:rPr>
                <w:szCs w:val="24"/>
              </w:rPr>
            </w:pPr>
            <w:r w:rsidRPr="000C011D">
              <w:rPr>
                <w:szCs w:val="24"/>
              </w:rPr>
              <w:t>Case No. 08-1096-EL-AAM</w:t>
            </w:r>
          </w:p>
          <w:p w:rsidR="00F31BA3" w:rsidRPr="000C011D" w:rsidP="00F31BA3" w14:paraId="73FB41E3" w14:textId="77777777">
            <w:pPr>
              <w:spacing w:after="0" w:line="240" w:lineRule="auto"/>
              <w:rPr>
                <w:szCs w:val="24"/>
              </w:rPr>
            </w:pPr>
          </w:p>
          <w:p w:rsidR="00F31BA3" w:rsidRPr="000C011D" w:rsidP="00F31BA3" w14:paraId="091BA352" w14:textId="77777777">
            <w:pPr>
              <w:spacing w:after="0" w:line="240" w:lineRule="auto"/>
              <w:rPr>
                <w:szCs w:val="24"/>
              </w:rPr>
            </w:pPr>
          </w:p>
          <w:p w:rsidR="00F31BA3" w:rsidRPr="000C011D" w:rsidP="00F31BA3" w14:paraId="04552C07" w14:textId="77777777">
            <w:pPr>
              <w:spacing w:after="0" w:line="240" w:lineRule="auto"/>
              <w:rPr>
                <w:szCs w:val="24"/>
              </w:rPr>
            </w:pPr>
          </w:p>
          <w:p w:rsidR="00F31BA3" w:rsidRPr="000C011D" w:rsidP="00F31BA3" w14:paraId="5286B49A" w14:textId="77777777">
            <w:pPr>
              <w:spacing w:after="0" w:line="240" w:lineRule="auto"/>
              <w:rPr>
                <w:szCs w:val="24"/>
              </w:rPr>
            </w:pPr>
          </w:p>
          <w:p w:rsidR="00F31BA3" w:rsidRPr="000C011D" w:rsidP="00F31BA3" w14:paraId="14CB4A4B" w14:textId="77777777">
            <w:pPr>
              <w:spacing w:after="0" w:line="240" w:lineRule="auto"/>
              <w:rPr>
                <w:szCs w:val="24"/>
              </w:rPr>
            </w:pPr>
            <w:r w:rsidRPr="000C011D">
              <w:rPr>
                <w:szCs w:val="24"/>
              </w:rPr>
              <w:t>Case No. 08-1097-EL-UNC</w:t>
            </w:r>
          </w:p>
          <w:p w:rsidR="00F31BA3" w:rsidRPr="000C011D" w:rsidP="00F31BA3" w14:paraId="55EDEA9F" w14:textId="77777777">
            <w:pPr>
              <w:spacing w:after="0" w:line="240" w:lineRule="auto"/>
              <w:rPr>
                <w:szCs w:val="24"/>
              </w:rPr>
            </w:pPr>
          </w:p>
          <w:p w:rsidR="00F31BA3" w:rsidRPr="000C011D" w:rsidP="00F31BA3" w14:paraId="234ECBA0" w14:textId="77777777">
            <w:pPr>
              <w:spacing w:after="0" w:line="240" w:lineRule="auto"/>
              <w:rPr>
                <w:szCs w:val="24"/>
              </w:rPr>
            </w:pPr>
          </w:p>
        </w:tc>
      </w:tr>
    </w:tbl>
    <w:p w:rsidR="000A6E37" w:rsidRPr="00CD1BE8" w:rsidP="008C3BAD" w14:paraId="2C92A3E8" w14:textId="4705D1E5">
      <w:pPr>
        <w:pStyle w:val="HTMLPreformatted"/>
        <w:pBdr>
          <w:bottom w:val="single" w:sz="12" w:space="1" w:color="auto"/>
        </w:pBdr>
        <w:contextualSpacing/>
        <w:rPr>
          <w:rFonts w:cs="Times New Roman"/>
          <w:b/>
          <w:szCs w:val="24"/>
        </w:rPr>
      </w:pPr>
    </w:p>
    <w:p w:rsidR="00550C17" w:rsidP="000A6E37" w14:paraId="4DEF0270" w14:textId="77777777">
      <w:pPr>
        <w:spacing w:line="240" w:lineRule="auto"/>
        <w:contextualSpacing/>
        <w:jc w:val="center"/>
        <w:rPr>
          <w:rFonts w:cs="Times New Roman"/>
          <w:b/>
          <w:szCs w:val="24"/>
        </w:rPr>
      </w:pPr>
    </w:p>
    <w:p w:rsidR="000A6E37" w:rsidP="00F31BA3" w14:paraId="03F7CD5C" w14:textId="45522571">
      <w:pPr>
        <w:spacing w:line="240" w:lineRule="auto"/>
        <w:contextualSpacing/>
        <w:jc w:val="center"/>
        <w:rPr>
          <w:rFonts w:cs="Times New Roman"/>
          <w:b/>
          <w:szCs w:val="24"/>
        </w:rPr>
      </w:pPr>
      <w:r>
        <w:rPr>
          <w:rFonts w:cs="Times New Roman"/>
          <w:b/>
          <w:szCs w:val="24"/>
        </w:rPr>
        <w:t xml:space="preserve">MEMORANDUM IN SUPPORT </w:t>
      </w:r>
    </w:p>
    <w:p w:rsidR="000A6E37" w:rsidRPr="00CD1BE8" w:rsidP="000A6E37" w14:paraId="548DF0CD" w14:textId="77777777">
      <w:pPr>
        <w:pBdr>
          <w:bottom w:val="single" w:sz="12" w:space="1" w:color="auto"/>
        </w:pBdr>
        <w:spacing w:line="240" w:lineRule="auto"/>
        <w:contextualSpacing/>
        <w:jc w:val="center"/>
        <w:rPr>
          <w:rFonts w:cs="Times New Roman"/>
          <w:b/>
          <w:szCs w:val="24"/>
        </w:rPr>
      </w:pPr>
    </w:p>
    <w:p w:rsidR="000A6E37" w:rsidRPr="00006794" w:rsidP="00305B3B" w14:paraId="645BD305" w14:textId="43C86660">
      <w:pPr>
        <w:pStyle w:val="Heading1"/>
      </w:pPr>
      <w:bookmarkStart w:id="7" w:name="_Toc28009942"/>
      <w:bookmarkStart w:id="8" w:name="_Toc29973524"/>
      <w:bookmarkStart w:id="9" w:name="_Toc77342111"/>
      <w:r w:rsidRPr="00006794">
        <w:t>I</w:t>
      </w:r>
      <w:r w:rsidRPr="00006794">
        <w:tab/>
        <w:t>INTRODUCTION</w:t>
      </w:r>
      <w:bookmarkEnd w:id="7"/>
      <w:bookmarkEnd w:id="8"/>
      <w:bookmarkEnd w:id="9"/>
    </w:p>
    <w:p w:rsidR="006A09FC" w:rsidP="004D3EDA" w14:paraId="587E31DC" w14:textId="2F78BF68">
      <w:pPr>
        <w:spacing w:after="0" w:line="480" w:lineRule="auto"/>
      </w:pPr>
      <w:r>
        <w:tab/>
        <w:t xml:space="preserve">This is the second time in </w:t>
      </w:r>
      <w:r w:rsidR="001F2799">
        <w:t>three</w:t>
      </w:r>
      <w:r>
        <w:t xml:space="preserve"> years that </w:t>
      </w:r>
      <w:r w:rsidR="008C3BAD">
        <w:t xml:space="preserve">the PUCO has permitted </w:t>
      </w:r>
      <w:r>
        <w:t xml:space="preserve">DP&amp;L </w:t>
      </w:r>
      <w:r w:rsidR="00B250FE">
        <w:t xml:space="preserve">to </w:t>
      </w:r>
      <w:r>
        <w:t xml:space="preserve">withdraw from </w:t>
      </w:r>
      <w:r w:rsidR="007B1339">
        <w:t>an</w:t>
      </w:r>
      <w:r w:rsidR="00B250FE">
        <w:t xml:space="preserve"> </w:t>
      </w:r>
      <w:r>
        <w:t>electric security plan</w:t>
      </w:r>
      <w:r w:rsidR="002A25FE">
        <w:t xml:space="preserve"> so as to maneuver around </w:t>
      </w:r>
      <w:r>
        <w:t xml:space="preserve">a ruling </w:t>
      </w:r>
      <w:r w:rsidR="007B1339">
        <w:t xml:space="preserve">that should have </w:t>
      </w:r>
      <w:r>
        <w:t>protect</w:t>
      </w:r>
      <w:r w:rsidR="007B1339">
        <w:t>ed</w:t>
      </w:r>
      <w:r>
        <w:t xml:space="preserve"> </w:t>
      </w:r>
      <w:r w:rsidR="00112AE3">
        <w:t>consumers</w:t>
      </w:r>
      <w:r>
        <w:t xml:space="preserve"> from paying an unlawful charge</w:t>
      </w:r>
      <w:r w:rsidR="002A25FE">
        <w:t xml:space="preserve"> –</w:t>
      </w:r>
      <w:r w:rsidR="007B1339">
        <w:t xml:space="preserve"> </w:t>
      </w:r>
      <w:r w:rsidR="002A25FE">
        <w:t xml:space="preserve">but then didn’t. </w:t>
      </w:r>
      <w:r>
        <w:t xml:space="preserve"> </w:t>
      </w:r>
      <w:r w:rsidR="002A25FE">
        <w:t>T</w:t>
      </w:r>
      <w:r>
        <w:t>h</w:t>
      </w:r>
      <w:r w:rsidR="00B51646">
        <w:t xml:space="preserve">is time it was the </w:t>
      </w:r>
      <w:r w:rsidR="002A25FE">
        <w:t>infamous</w:t>
      </w:r>
      <w:r>
        <w:t xml:space="preserve"> “distribution modernization rider”</w:t>
      </w:r>
      <w:r w:rsidR="002A25FE">
        <w:t xml:space="preserve"> that was </w:t>
      </w:r>
      <w:r w:rsidR="003E255F">
        <w:t>fabricated</w:t>
      </w:r>
      <w:r w:rsidR="002A25FE">
        <w:t xml:space="preserve"> to subsidize FirstEnergy and DP&amp;L, at consumer expense</w:t>
      </w:r>
      <w:r w:rsidR="003E255F">
        <w:t>, until it was thrown out by the Ohio Supreme Court</w:t>
      </w:r>
      <w:r w:rsidR="002A25FE">
        <w:t>.</w:t>
      </w:r>
      <w:r>
        <w:t xml:space="preserve"> </w:t>
      </w:r>
      <w:r w:rsidR="00732B4F">
        <w:t xml:space="preserve"> </w:t>
      </w:r>
      <w:r>
        <w:t>And like the last time</w:t>
      </w:r>
      <w:r w:rsidR="00B51646">
        <w:t xml:space="preserve"> DP&amp;L withdrew</w:t>
      </w:r>
      <w:r>
        <w:t xml:space="preserve">, DP&amp;L </w:t>
      </w:r>
      <w:r w:rsidR="00EC223A">
        <w:t>claim</w:t>
      </w:r>
      <w:r w:rsidR="00497A55">
        <w:t>s</w:t>
      </w:r>
      <w:r w:rsidR="00EC223A">
        <w:t xml:space="preserve"> it is </w:t>
      </w:r>
      <w:r>
        <w:t xml:space="preserve">Ohio law </w:t>
      </w:r>
      <w:r w:rsidR="00EC223A">
        <w:t>that allows it to</w:t>
      </w:r>
      <w:r>
        <w:t xml:space="preserve"> squeeze more money out of </w:t>
      </w:r>
      <w:r w:rsidR="00EC223A">
        <w:t xml:space="preserve">its </w:t>
      </w:r>
      <w:r>
        <w:t xml:space="preserve">consumers. </w:t>
      </w:r>
    </w:p>
    <w:p w:rsidR="0042605A" w:rsidP="006A09FC" w14:paraId="7A0C4FCE" w14:textId="426A9DF4">
      <w:pPr>
        <w:spacing w:line="480" w:lineRule="auto"/>
        <w:ind w:firstLine="720"/>
      </w:pPr>
      <w:r>
        <w:t xml:space="preserve">This </w:t>
      </w:r>
      <w:r w:rsidRPr="00FD3A8A">
        <w:t>unfortunate situation for consumers is another example of how Ohio’s 2008 energy law</w:t>
      </w:r>
      <w:r w:rsidR="002B1911">
        <w:t>, especially as the PUCO interprets it,</w:t>
      </w:r>
      <w:r w:rsidRPr="00FD3A8A">
        <w:t xml:space="preserve"> is an obstacle to lower electric bills</w:t>
      </w:r>
      <w:r>
        <w:t>.</w:t>
      </w:r>
      <w:r w:rsidRPr="00FD3A8A">
        <w:t xml:space="preserve"> Consumers would benefit from repealing the part of the law</w:t>
      </w:r>
      <w:r w:rsidR="00497A55">
        <w:t xml:space="preserve"> (R.C.</w:t>
      </w:r>
      <w:r w:rsidR="00A633A4">
        <w:t>4928.143(C)(2)(a)</w:t>
      </w:r>
      <w:r w:rsidR="002022FB">
        <w:t xml:space="preserve"> t</w:t>
      </w:r>
      <w:r w:rsidRPr="00FD3A8A">
        <w:t>hat favors electric utilities</w:t>
      </w:r>
      <w:r>
        <w:t xml:space="preserve"> by allowing them to withdraw from an electric security plan when the plan is modified</w:t>
      </w:r>
      <w:r w:rsidR="00B51646">
        <w:t xml:space="preserve">. </w:t>
      </w:r>
      <w:r w:rsidRPr="00FD3A8A">
        <w:t xml:space="preserve"> </w:t>
      </w:r>
      <w:r w:rsidR="002B1911">
        <w:t>In essence, the utilities (unique among any party) can veto a PUCO order and with it veto any consumer recommendations adopted in the order.</w:t>
      </w:r>
    </w:p>
    <w:p w:rsidR="0042605A" w:rsidP="00305B3B" w14:paraId="2BF0EB51" w14:textId="0918FCC8">
      <w:pPr>
        <w:pStyle w:val="Heading1"/>
      </w:pPr>
      <w:bookmarkStart w:id="10" w:name="_Toc331598699"/>
      <w:bookmarkStart w:id="11" w:name="_Toc331602816"/>
      <w:bookmarkStart w:id="12" w:name="_Toc331603301"/>
      <w:bookmarkStart w:id="13" w:name="_Toc340153712"/>
      <w:bookmarkStart w:id="14" w:name="_Toc29973526"/>
      <w:bookmarkStart w:id="15" w:name="_Toc77342112"/>
      <w:r>
        <w:t>II.</w:t>
      </w:r>
      <w:r>
        <w:tab/>
      </w:r>
      <w:r w:rsidRPr="00D25784">
        <w:t>ARGUMENT</w:t>
      </w:r>
      <w:bookmarkEnd w:id="10"/>
      <w:bookmarkEnd w:id="11"/>
      <w:bookmarkEnd w:id="12"/>
      <w:bookmarkEnd w:id="13"/>
      <w:bookmarkEnd w:id="14"/>
      <w:bookmarkEnd w:id="15"/>
    </w:p>
    <w:p w:rsidR="00114687" w:rsidP="004D3EDA" w14:paraId="37365453" w14:textId="42054FD7">
      <w:pPr>
        <w:pStyle w:val="Heading2"/>
      </w:pPr>
      <w:bookmarkStart w:id="16" w:name="_Toc77342113"/>
      <w:bookmarkStart w:id="17" w:name="_Toc30167916"/>
      <w:bookmarkStart w:id="18" w:name="_Toc29973527"/>
      <w:r w:rsidRPr="00D721F4">
        <w:rPr>
          <w:u w:val="single"/>
        </w:rPr>
        <w:t>Assignment of Error 1:</w:t>
      </w:r>
      <w:r w:rsidRPr="004D3EDA">
        <w:t xml:space="preserve"> The PUCO erred when it approved a </w:t>
      </w:r>
      <w:r w:rsidRPr="008A08FA">
        <w:t>$7</w:t>
      </w:r>
      <w:r w:rsidR="00A633A4">
        <w:t>9</w:t>
      </w:r>
      <w:r w:rsidRPr="004D3EDA">
        <w:t xml:space="preserve"> million per year</w:t>
      </w:r>
      <w:r>
        <w:t xml:space="preserve"> provider</w:t>
      </w:r>
      <w:r w:rsidR="001C73DA">
        <w:t>-</w:t>
      </w:r>
      <w:r>
        <w:t>of</w:t>
      </w:r>
      <w:r w:rsidR="001C73DA">
        <w:t>-</w:t>
      </w:r>
      <w:r>
        <w:t>last</w:t>
      </w:r>
      <w:r w:rsidR="001C73DA">
        <w:t>-</w:t>
      </w:r>
      <w:r>
        <w:t xml:space="preserve">resort charge to consumers </w:t>
      </w:r>
      <w:r w:rsidR="006A5485">
        <w:t>without finding it just and reasonable</w:t>
      </w:r>
      <w:r w:rsidR="00B51646">
        <w:t xml:space="preserve">, </w:t>
      </w:r>
      <w:r w:rsidR="001F2799">
        <w:t xml:space="preserve">and without evidentiary support, and </w:t>
      </w:r>
      <w:r>
        <w:t xml:space="preserve">in violation of </w:t>
      </w:r>
      <w:r w:rsidR="001F2799">
        <w:t xml:space="preserve">Ohio Supreme Court and PUCO precedent and Ohio law, including </w:t>
      </w:r>
      <w:r>
        <w:t>R.C. 4903.09</w:t>
      </w:r>
      <w:r w:rsidR="00F8226E">
        <w:t xml:space="preserve">, </w:t>
      </w:r>
      <w:r w:rsidR="004B30E1">
        <w:t>4905.22</w:t>
      </w:r>
      <w:r w:rsidR="00F8226E">
        <w:t>, and 4928.02(A)</w:t>
      </w:r>
      <w:r>
        <w:t>.</w:t>
      </w:r>
      <w:bookmarkEnd w:id="16"/>
    </w:p>
    <w:p w:rsidR="00114687" w:rsidP="004D3EDA" w14:paraId="54B0C8C8" w14:textId="51BA785A">
      <w:pPr>
        <w:pStyle w:val="ListParagraph"/>
        <w:numPr>
          <w:ilvl w:val="0"/>
          <w:numId w:val="16"/>
        </w:numPr>
        <w:ind w:left="1440" w:hanging="720"/>
      </w:pPr>
      <w:bookmarkStart w:id="19" w:name="_Toc77342114"/>
      <w:bookmarkStart w:id="20" w:name="_Hlk77324637"/>
      <w:r w:rsidRPr="00E90F0A">
        <w:rPr>
          <w:rStyle w:val="Heading3Char"/>
        </w:rPr>
        <w:t>S</w:t>
      </w:r>
      <w:r w:rsidRPr="00E90F0A" w:rsidR="000F4B2E">
        <w:rPr>
          <w:rStyle w:val="Heading3Char"/>
        </w:rPr>
        <w:t>ince 200</w:t>
      </w:r>
      <w:r w:rsidRPr="00E90F0A" w:rsidR="008B0C2A">
        <w:rPr>
          <w:rStyle w:val="Heading3Char"/>
        </w:rPr>
        <w:t>6</w:t>
      </w:r>
      <w:r w:rsidRPr="00E90F0A">
        <w:rPr>
          <w:rStyle w:val="Heading3Char"/>
        </w:rPr>
        <w:t xml:space="preserve"> through 2024, as a result of PUCO rulings</w:t>
      </w:r>
      <w:r w:rsidRPr="00E90F0A" w:rsidR="000F4B2E">
        <w:rPr>
          <w:rStyle w:val="Heading3Char"/>
        </w:rPr>
        <w:t>, DP&amp;L</w:t>
      </w:r>
      <w:bookmarkEnd w:id="19"/>
      <w:r w:rsidRPr="000154AC" w:rsidR="000F4B2E">
        <w:rPr>
          <w:b/>
          <w:bCs/>
        </w:rPr>
        <w:t xml:space="preserve"> </w:t>
      </w:r>
      <w:r w:rsidRPr="00E90F0A" w:rsidR="000F4B2E">
        <w:rPr>
          <w:rStyle w:val="Heading3Char"/>
        </w:rPr>
        <w:t xml:space="preserve">consumers </w:t>
      </w:r>
      <w:r w:rsidRPr="00E90F0A" w:rsidR="006A09FC">
        <w:rPr>
          <w:rStyle w:val="Heading3Char"/>
        </w:rPr>
        <w:t xml:space="preserve">will </w:t>
      </w:r>
      <w:r w:rsidRPr="00E90F0A" w:rsidR="000F4B2E">
        <w:rPr>
          <w:rStyle w:val="Heading3Char"/>
        </w:rPr>
        <w:t xml:space="preserve">have paid </w:t>
      </w:r>
      <w:r w:rsidRPr="00E90F0A" w:rsidR="006A09FC">
        <w:rPr>
          <w:rStyle w:val="Heading3Char"/>
        </w:rPr>
        <w:t>$</w:t>
      </w:r>
      <w:r w:rsidRPr="00E90F0A" w:rsidR="006A5485">
        <w:rPr>
          <w:rStyle w:val="Heading3Char"/>
        </w:rPr>
        <w:t xml:space="preserve">1.2 Billion </w:t>
      </w:r>
      <w:r w:rsidRPr="00E90F0A" w:rsidR="000F4B2E">
        <w:rPr>
          <w:rStyle w:val="Heading3Char"/>
        </w:rPr>
        <w:t xml:space="preserve">in </w:t>
      </w:r>
      <w:r w:rsidRPr="00E90F0A" w:rsidR="006A5485">
        <w:rPr>
          <w:rStyle w:val="Heading3Char"/>
        </w:rPr>
        <w:t>non-cost</w:t>
      </w:r>
      <w:r w:rsidR="002022FB">
        <w:rPr>
          <w:rStyle w:val="Heading3Char"/>
        </w:rPr>
        <w:t>-</w:t>
      </w:r>
      <w:r w:rsidRPr="00E90F0A" w:rsidR="006A5485">
        <w:rPr>
          <w:rStyle w:val="Heading3Char"/>
        </w:rPr>
        <w:t>based charge</w:t>
      </w:r>
      <w:r w:rsidRPr="00E90F0A" w:rsidR="000F4B2E">
        <w:rPr>
          <w:rStyle w:val="Heading3Char"/>
        </w:rPr>
        <w:t xml:space="preserve">s </w:t>
      </w:r>
      <w:r w:rsidRPr="00E90F0A" w:rsidR="00F8389F">
        <w:rPr>
          <w:rStyle w:val="Heading3Char"/>
        </w:rPr>
        <w:t xml:space="preserve">for </w:t>
      </w:r>
      <w:r w:rsidRPr="00E90F0A" w:rsidR="006C102D">
        <w:rPr>
          <w:rStyle w:val="Heading3Char"/>
        </w:rPr>
        <w:t xml:space="preserve">so-called </w:t>
      </w:r>
      <w:r w:rsidRPr="00E90F0A" w:rsidR="00F8389F">
        <w:rPr>
          <w:rStyle w:val="Heading3Char"/>
        </w:rPr>
        <w:t>POLR/Stability</w:t>
      </w:r>
      <w:r w:rsidRPr="00E90F0A" w:rsidR="00B51646">
        <w:rPr>
          <w:rStyle w:val="Heading3Char"/>
        </w:rPr>
        <w:t>.</w:t>
      </w:r>
      <w:r w:rsidRPr="000154AC" w:rsidR="00F8389F">
        <w:rPr>
          <w:b/>
          <w:bCs/>
        </w:rPr>
        <w:t xml:space="preserve"> </w:t>
      </w:r>
    </w:p>
    <w:bookmarkEnd w:id="20"/>
    <w:p w:rsidR="00163773" w:rsidP="001D5264" w14:paraId="476F96AC" w14:textId="5C4CB498">
      <w:pPr>
        <w:spacing w:after="0" w:line="480" w:lineRule="auto"/>
        <w:ind w:firstLine="720"/>
      </w:pPr>
      <w:r>
        <w:t>The rate stabilization charge that the PUCO has allowed DP&amp;L to</w:t>
      </w:r>
      <w:r w:rsidR="0074283A">
        <w:t xml:space="preserve"> once again</w:t>
      </w:r>
      <w:r>
        <w:t xml:space="preserve"> resurrect </w:t>
      </w:r>
      <w:r w:rsidR="006A5485">
        <w:t xml:space="preserve">dates back some fourteen years to 2006, when DP&amp;L consumers </w:t>
      </w:r>
      <w:r>
        <w:t>w</w:t>
      </w:r>
      <w:r w:rsidR="006A5485">
        <w:t>ere ordered to pay a “rate stabilization</w:t>
      </w:r>
      <w:r w:rsidR="000A01A9">
        <w:t xml:space="preserve"> sur</w:t>
      </w:r>
      <w:r w:rsidR="006A5485">
        <w:t>charge” to DP&amp;L under its pre-ESP rate plan</w:t>
      </w:r>
      <w:r w:rsidR="004B07CD">
        <w:t>.</w:t>
      </w:r>
      <w:r>
        <w:rPr>
          <w:rStyle w:val="FootnoteReference"/>
        </w:rPr>
        <w:footnoteReference w:id="3"/>
      </w:r>
      <w:r w:rsidR="004B07CD">
        <w:t xml:space="preserve"> The </w:t>
      </w:r>
      <w:r>
        <w:t xml:space="preserve">rate stabilization surcharge rider </w:t>
      </w:r>
      <w:r w:rsidR="004B07CD">
        <w:t>was originally described (in 2003) as relating to increased costs of production, physical security, and cybersecurity for power plants owned by DP&amp;L and its affiliates.</w:t>
      </w:r>
      <w:r>
        <w:rPr>
          <w:rStyle w:val="FootnoteReference"/>
        </w:rPr>
        <w:footnoteReference w:id="4"/>
      </w:r>
      <w:r w:rsidR="004B07CD">
        <w:t xml:space="preserve"> </w:t>
      </w:r>
      <w:r w:rsidR="000A01A9">
        <w:t xml:space="preserve"> (Those power plants were completely divested by DP&amp;L as of </w:t>
      </w:r>
      <w:r w:rsidRPr="00D721F4" w:rsidR="000A01A9">
        <w:t>2017).</w:t>
      </w:r>
    </w:p>
    <w:p w:rsidR="004B07CD" w:rsidP="001D5264" w14:paraId="767AC850" w14:textId="388B1878">
      <w:pPr>
        <w:spacing w:after="0" w:line="480" w:lineRule="auto"/>
        <w:ind w:firstLine="720"/>
      </w:pPr>
      <w:r>
        <w:t xml:space="preserve">The PUCO, in Case No. 05-276-EL-AIR, adopted a rate plan for DP&amp;L (agreed to by </w:t>
      </w:r>
      <w:r w:rsidR="00A633A4">
        <w:t>settlement</w:t>
      </w:r>
      <w:r>
        <w:rPr>
          <w:rStyle w:val="FootnoteReference"/>
        </w:rPr>
        <w:footnoteReference w:id="5"/>
      </w:r>
      <w:r>
        <w:t>) which included a provision that c</w:t>
      </w:r>
      <w:r w:rsidR="003C25BD">
        <w:t xml:space="preserve">onsumers </w:t>
      </w:r>
      <w:r>
        <w:t xml:space="preserve">pay the rate stabilization </w:t>
      </w:r>
      <w:r w:rsidR="00163773">
        <w:t>sur</w:t>
      </w:r>
      <w:r>
        <w:t>charge</w:t>
      </w:r>
      <w:r w:rsidR="00F8226E">
        <w:t xml:space="preserve"> </w:t>
      </w:r>
      <w:r>
        <w:t>through December 31, 2010. Annually, c</w:t>
      </w:r>
      <w:r w:rsidR="003C25BD">
        <w:t>onsumers</w:t>
      </w:r>
      <w:r>
        <w:t xml:space="preserve"> were to pay </w:t>
      </w:r>
      <w:r w:rsidR="00A633A4">
        <w:t xml:space="preserve">a per kwh charge that produced approximately </w:t>
      </w:r>
      <w:r>
        <w:t>$76 million</w:t>
      </w:r>
      <w:r w:rsidR="00A633A4">
        <w:t xml:space="preserve"> per year in revenue for DP&amp;L</w:t>
      </w:r>
      <w:r>
        <w:t>.</w:t>
      </w:r>
      <w:r>
        <w:rPr>
          <w:rStyle w:val="FootnoteReference"/>
        </w:rPr>
        <w:footnoteReference w:id="6"/>
      </w:r>
      <w:r>
        <w:t xml:space="preserve"> The </w:t>
      </w:r>
      <w:r w:rsidR="00F90F46">
        <w:t xml:space="preserve">rate stabilization </w:t>
      </w:r>
      <w:r w:rsidR="00A633A4">
        <w:t>charge</w:t>
      </w:r>
      <w:r>
        <w:t xml:space="preserve"> was described in the</w:t>
      </w:r>
      <w:r w:rsidR="00A633A4">
        <w:t xml:space="preserve"> settlement</w:t>
      </w:r>
      <w:r>
        <w:t xml:space="preserve"> (which the PUCO adopted</w:t>
      </w:r>
      <w:r w:rsidR="000F4B2E">
        <w:t xml:space="preserve"> over OCC</w:t>
      </w:r>
      <w:r w:rsidR="00B51646">
        <w:t>’s</w:t>
      </w:r>
      <w:r w:rsidR="000F4B2E">
        <w:t xml:space="preserve"> objection</w:t>
      </w:r>
      <w:r>
        <w:t xml:space="preserve">) as a charge to </w:t>
      </w:r>
      <w:r w:rsidR="001C5750">
        <w:t>“</w:t>
      </w:r>
      <w:r>
        <w:t xml:space="preserve">compensate DP&amp;L for providing stabilized rates for customers and Provider of Last Resort </w:t>
      </w:r>
      <w:r w:rsidR="001C5750">
        <w:t>s</w:t>
      </w:r>
      <w:r>
        <w:t>ervice.</w:t>
      </w:r>
      <w:r w:rsidR="001C5750">
        <w:t>”</w:t>
      </w:r>
      <w:r>
        <w:rPr>
          <w:rStyle w:val="FootnoteReference"/>
        </w:rPr>
        <w:footnoteReference w:id="7"/>
      </w:r>
      <w:r>
        <w:t xml:space="preserve"> </w:t>
      </w:r>
    </w:p>
    <w:p w:rsidR="00A633A4" w:rsidP="001D5264" w14:paraId="1D54BAC9" w14:textId="5666B37C">
      <w:pPr>
        <w:spacing w:after="0" w:line="480" w:lineRule="auto"/>
        <w:ind w:firstLine="720"/>
      </w:pPr>
      <w:r w:rsidRPr="003D6DAC">
        <w:rPr>
          <w:u w:val="single"/>
        </w:rPr>
        <w:t>The amount of the</w:t>
      </w:r>
      <w:r>
        <w:rPr>
          <w:u w:val="single"/>
        </w:rPr>
        <w:t xml:space="preserve"> </w:t>
      </w:r>
      <w:r w:rsidR="00F90F46">
        <w:rPr>
          <w:u w:val="single"/>
        </w:rPr>
        <w:t xml:space="preserve">rate stabilization charge </w:t>
      </w:r>
      <w:r>
        <w:rPr>
          <w:u w:val="single"/>
        </w:rPr>
        <w:t xml:space="preserve">to DP&amp;L consumers </w:t>
      </w:r>
      <w:r w:rsidRPr="003D6DAC">
        <w:rPr>
          <w:u w:val="single"/>
        </w:rPr>
        <w:t xml:space="preserve">was </w:t>
      </w:r>
      <w:r w:rsidRPr="003D6DAC" w:rsidR="001C5750">
        <w:rPr>
          <w:u w:val="single"/>
        </w:rPr>
        <w:t xml:space="preserve">arbitrarily </w:t>
      </w:r>
      <w:r w:rsidRPr="003D6DAC">
        <w:rPr>
          <w:u w:val="single"/>
        </w:rPr>
        <w:t>set “subject to a limit equal to</w:t>
      </w:r>
      <w:r w:rsidRPr="003D6DAC" w:rsidR="000752FF">
        <w:rPr>
          <w:u w:val="single"/>
        </w:rPr>
        <w:t xml:space="preserve"> </w:t>
      </w:r>
      <w:r w:rsidRPr="003D6DAC">
        <w:rPr>
          <w:u w:val="single"/>
        </w:rPr>
        <w:t>11% of DP&amp;L’s generation rate</w:t>
      </w:r>
      <w:r>
        <w:rPr>
          <w:u w:val="single"/>
        </w:rPr>
        <w:t>; that 11% limit on the RSS equates to a revenue requirement of approximately $76 million</w:t>
      </w:r>
      <w:r w:rsidRPr="003D6DAC">
        <w:rPr>
          <w:u w:val="single"/>
        </w:rPr>
        <w:t>.</w:t>
      </w:r>
      <w:r w:rsidRPr="003D6DAC" w:rsidR="000752FF">
        <w:rPr>
          <w:u w:val="single"/>
        </w:rPr>
        <w:t>”</w:t>
      </w:r>
      <w:r>
        <w:rPr>
          <w:rStyle w:val="FootnoteReference"/>
          <w:u w:val="single"/>
        </w:rPr>
        <w:footnoteReference w:id="8"/>
      </w:r>
      <w:r w:rsidRPr="003D6DAC">
        <w:rPr>
          <w:u w:val="single"/>
        </w:rPr>
        <w:t xml:space="preserve"> DP&amp;L produced no </w:t>
      </w:r>
      <w:r w:rsidR="006E400B">
        <w:rPr>
          <w:u w:val="single"/>
        </w:rPr>
        <w:t xml:space="preserve">evidence of </w:t>
      </w:r>
      <w:r w:rsidRPr="003D6DAC">
        <w:rPr>
          <w:u w:val="single"/>
        </w:rPr>
        <w:t xml:space="preserve">actual out of pocket costs or any estimates of the cost to </w:t>
      </w:r>
      <w:r w:rsidRPr="003D6DAC" w:rsidR="000752FF">
        <w:rPr>
          <w:u w:val="single"/>
        </w:rPr>
        <w:t xml:space="preserve">be </w:t>
      </w:r>
      <w:r w:rsidRPr="003D6DAC">
        <w:rPr>
          <w:u w:val="single"/>
        </w:rPr>
        <w:t>the POLR and carry the POLR risks.</w:t>
      </w:r>
      <w:r>
        <w:t xml:space="preserve"> </w:t>
      </w:r>
    </w:p>
    <w:p w:rsidR="0016696A" w:rsidP="001D5264" w14:paraId="2CF8A3D7" w14:textId="368A2523">
      <w:pPr>
        <w:spacing w:after="0" w:line="480" w:lineRule="auto"/>
        <w:ind w:firstLine="720"/>
      </w:pPr>
      <w:r>
        <w:t xml:space="preserve">Instead, it argued that the </w:t>
      </w:r>
      <w:r w:rsidR="003D6DAC">
        <w:t xml:space="preserve">annual </w:t>
      </w:r>
      <w:r w:rsidR="00F90F46">
        <w:t xml:space="preserve">rate stabilization </w:t>
      </w:r>
      <w:r>
        <w:t xml:space="preserve">charge </w:t>
      </w:r>
      <w:r w:rsidR="003D6DAC">
        <w:t xml:space="preserve">to consumers </w:t>
      </w:r>
      <w:r>
        <w:t>was reasonable because (1) it was less than an unrelated revenue requirement for “increasing fuel, environmental, security and tax costs”</w:t>
      </w:r>
      <w:r w:rsidR="00163773">
        <w:t xml:space="preserve"> </w:t>
      </w:r>
      <w:r>
        <w:t xml:space="preserve">and (2) it was less than the value to customers for the option to shop, based on </w:t>
      </w:r>
      <w:r w:rsidR="00F8226E">
        <w:t xml:space="preserve">the outputs from </w:t>
      </w:r>
      <w:r w:rsidR="00DA3510">
        <w:t xml:space="preserve">a trading options model </w:t>
      </w:r>
      <w:r w:rsidR="00485940">
        <w:t>(known as the Black-Sholes model</w:t>
      </w:r>
      <w:r>
        <w:t>.</w:t>
      </w:r>
      <w:r w:rsidR="00163773">
        <w:t xml:space="preserve">) </w:t>
      </w:r>
      <w:r w:rsidR="00485940">
        <w:t xml:space="preserve">DP&amp;L’s witness Strunk testified that the value </w:t>
      </w:r>
      <w:r w:rsidR="0074283A">
        <w:t xml:space="preserve">of the shopping option </w:t>
      </w:r>
      <w:r w:rsidR="00485940">
        <w:t xml:space="preserve">to customers </w:t>
      </w:r>
      <w:r w:rsidR="00DA3510">
        <w:t xml:space="preserve">(produced under the Black Sholes model) </w:t>
      </w:r>
      <w:r w:rsidR="00485940">
        <w:t xml:space="preserve">greatly exceeded the </w:t>
      </w:r>
      <w:r w:rsidR="0074283A">
        <w:t xml:space="preserve">$76 million annual charge that customers would pay under the </w:t>
      </w:r>
      <w:r w:rsidR="00A633A4">
        <w:t>stability</w:t>
      </w:r>
      <w:r w:rsidR="00F67144">
        <w:t xml:space="preserve"> </w:t>
      </w:r>
      <w:r w:rsidR="0074283A">
        <w:t>charge.</w:t>
      </w:r>
      <w:r>
        <w:rPr>
          <w:rStyle w:val="FootnoteReference"/>
        </w:rPr>
        <w:footnoteReference w:id="9"/>
      </w:r>
      <w:r w:rsidR="00485940">
        <w:t xml:space="preserve"> </w:t>
      </w:r>
      <w:r w:rsidR="0074283A">
        <w:t xml:space="preserve"> </w:t>
      </w:r>
    </w:p>
    <w:p w:rsidR="0074283A" w:rsidP="001D5264" w14:paraId="11CFAF40" w14:textId="0201427F">
      <w:pPr>
        <w:spacing w:after="0" w:line="480" w:lineRule="auto"/>
        <w:ind w:firstLine="720"/>
      </w:pPr>
      <w:r>
        <w:t xml:space="preserve">The PUCO approved the </w:t>
      </w:r>
      <w:r w:rsidR="00F90F46">
        <w:t xml:space="preserve">rate stabilization </w:t>
      </w:r>
      <w:r w:rsidR="0016696A">
        <w:t xml:space="preserve">rider </w:t>
      </w:r>
      <w:r>
        <w:t>charge</w:t>
      </w:r>
      <w:r>
        <w:rPr>
          <w:rStyle w:val="FootnoteReference"/>
        </w:rPr>
        <w:footnoteReference w:id="10"/>
      </w:r>
      <w:r>
        <w:t xml:space="preserve"> </w:t>
      </w:r>
      <w:r w:rsidR="0016696A">
        <w:t>(</w:t>
      </w:r>
      <w:r w:rsidRPr="005F47D8" w:rsidR="0016696A">
        <w:rPr>
          <w:u w:val="single"/>
        </w:rPr>
        <w:t>equal to 11% of DP&amp;L’s January 1, 2004, tariffed generation rates)</w:t>
      </w:r>
      <w:r w:rsidR="0016696A">
        <w:t xml:space="preserve"> </w:t>
      </w:r>
      <w:r>
        <w:t xml:space="preserve">to customers as part of </w:t>
      </w:r>
      <w:r w:rsidR="00B51646">
        <w:t xml:space="preserve">a </w:t>
      </w:r>
      <w:r w:rsidR="00F90F46">
        <w:t>settlement</w:t>
      </w:r>
      <w:r w:rsidR="000A01A9">
        <w:t xml:space="preserve"> (</w:t>
      </w:r>
      <w:r>
        <w:t>that</w:t>
      </w:r>
      <w:r w:rsidR="000F4B2E">
        <w:t xml:space="preserve"> OCC opposed</w:t>
      </w:r>
      <w:r w:rsidR="000A01A9">
        <w:t>)</w:t>
      </w:r>
      <w:r>
        <w:t xml:space="preserve">.  </w:t>
      </w:r>
      <w:r w:rsidR="001308EB">
        <w:t xml:space="preserve">That </w:t>
      </w:r>
      <w:r w:rsidR="00F90F46">
        <w:t xml:space="preserve">stability </w:t>
      </w:r>
      <w:r w:rsidR="001308EB">
        <w:t xml:space="preserve">charge was collected from </w:t>
      </w:r>
      <w:r w:rsidR="00F90F46">
        <w:t xml:space="preserve">consumers </w:t>
      </w:r>
      <w:r w:rsidR="001308EB">
        <w:t xml:space="preserve">for two years </w:t>
      </w:r>
      <w:r w:rsidRPr="001308EB" w:rsidR="001308EB">
        <w:rPr>
          <w:b/>
          <w:bCs/>
        </w:rPr>
        <w:t>($178 million</w:t>
      </w:r>
      <w:r w:rsidR="001308EB">
        <w:t xml:space="preserve">) before it </w:t>
      </w:r>
      <w:r w:rsidR="00163773">
        <w:t>wormed</w:t>
      </w:r>
      <w:r w:rsidR="001308EB">
        <w:t xml:space="preserve"> its way into DP&amp;L’s very first electric security plan, Case No. 08-1094-EL-SSO.  </w:t>
      </w:r>
      <w:r w:rsidR="001C5750">
        <w:t xml:space="preserve"> </w:t>
      </w:r>
    </w:p>
    <w:p w:rsidR="004B07CD" w:rsidRPr="007B25AD" w:rsidP="001D5264" w14:paraId="5F63A770" w14:textId="30F74D60">
      <w:pPr>
        <w:spacing w:after="0" w:line="480" w:lineRule="auto"/>
        <w:ind w:firstLine="720"/>
        <w:rPr>
          <w:u w:val="single"/>
        </w:rPr>
      </w:pPr>
      <w:r>
        <w:t xml:space="preserve">In </w:t>
      </w:r>
      <w:r w:rsidR="00F90F46">
        <w:t>that case (DP&amp;L ESP 1</w:t>
      </w:r>
      <w:r w:rsidR="00E66732">
        <w:t xml:space="preserve">) </w:t>
      </w:r>
      <w:r w:rsidR="001308EB">
        <w:t>parties (including OCC) reached a settlement</w:t>
      </w:r>
      <w:r w:rsidR="00E66732">
        <w:t xml:space="preserve"> in 2009</w:t>
      </w:r>
      <w:r w:rsidR="001308EB">
        <w:t>, with one of terms being that the</w:t>
      </w:r>
      <w:r w:rsidR="00F90F46">
        <w:t xml:space="preserve"> rate stabilization charge </w:t>
      </w:r>
      <w:r w:rsidR="001308EB">
        <w:t>to c</w:t>
      </w:r>
      <w:r w:rsidR="00E66732">
        <w:t>onsumers</w:t>
      </w:r>
      <w:r w:rsidR="001308EB">
        <w:t xml:space="preserve"> continue as part of DP&amp;L’s</w:t>
      </w:r>
      <w:r w:rsidR="005F47D8">
        <w:t xml:space="preserve"> first</w:t>
      </w:r>
      <w:r w:rsidR="001308EB">
        <w:t xml:space="preserve"> electric security plan</w:t>
      </w:r>
      <w:r w:rsidR="00BA1E1C">
        <w:t>.</w:t>
      </w:r>
      <w:r w:rsidRPr="00BA1E1C" w:rsidR="00BA1E1C">
        <w:rPr>
          <w:rStyle w:val="FootnoteReference"/>
        </w:rPr>
        <w:t xml:space="preserve"> </w:t>
      </w:r>
      <w:r>
        <w:rPr>
          <w:rStyle w:val="FootnoteReference"/>
        </w:rPr>
        <w:footnoteReference w:id="11"/>
      </w:r>
      <w:r w:rsidR="00BA1E1C">
        <w:t xml:space="preserve"> </w:t>
      </w:r>
      <w:r w:rsidR="001308EB">
        <w:t xml:space="preserve"> </w:t>
      </w:r>
      <w:r w:rsidR="00BA1E1C">
        <w:t xml:space="preserve">The PUCO approved that </w:t>
      </w:r>
      <w:r w:rsidR="00F90F46">
        <w:t xml:space="preserve">settlement </w:t>
      </w:r>
      <w:r>
        <w:rPr>
          <w:rStyle w:val="FootnoteReference"/>
        </w:rPr>
        <w:footnoteReference w:id="12"/>
      </w:r>
      <w:r w:rsidR="00BA1E1C">
        <w:t xml:space="preserve"> and DP&amp;L’s </w:t>
      </w:r>
      <w:r w:rsidR="001308EB">
        <w:t>electric security plan remained in place from 2008 through 2013</w:t>
      </w:r>
      <w:r w:rsidR="00BA1E1C">
        <w:t>.  D</w:t>
      </w:r>
      <w:r w:rsidR="001308EB">
        <w:t xml:space="preserve">uring that time DP&amp;L </w:t>
      </w:r>
      <w:r w:rsidR="00F90F46">
        <w:t xml:space="preserve">consumers </w:t>
      </w:r>
      <w:r w:rsidR="001308EB">
        <w:t>paid an additional $</w:t>
      </w:r>
      <w:r w:rsidRPr="001308EB" w:rsidR="001308EB">
        <w:rPr>
          <w:b/>
          <w:bCs/>
        </w:rPr>
        <w:t>380 million</w:t>
      </w:r>
      <w:r w:rsidR="001308EB">
        <w:t xml:space="preserve"> to DP&amp;L for the </w:t>
      </w:r>
      <w:r w:rsidR="00F90F46">
        <w:t>rate stabilization charge</w:t>
      </w:r>
      <w:r w:rsidR="00BA1E1C">
        <w:t xml:space="preserve"> (</w:t>
      </w:r>
      <w:r w:rsidRPr="007B25AD" w:rsidR="003D6DAC">
        <w:rPr>
          <w:u w:val="single"/>
        </w:rPr>
        <w:t>which continued</w:t>
      </w:r>
      <w:r w:rsidR="00F90F46">
        <w:rPr>
          <w:u w:val="single"/>
        </w:rPr>
        <w:t xml:space="preserve">, unchanged as a </w:t>
      </w:r>
      <w:r w:rsidRPr="007B25AD" w:rsidR="003D6DAC">
        <w:rPr>
          <w:u w:val="single"/>
        </w:rPr>
        <w:t xml:space="preserve">$76 million per year charge to consumers </w:t>
      </w:r>
      <w:r w:rsidRPr="007B25AD" w:rsidR="00F67144">
        <w:rPr>
          <w:u w:val="single"/>
        </w:rPr>
        <w:t xml:space="preserve">equal to 11% of DP&amp;L’s January 1, 2004, tariffed generation rates).  </w:t>
      </w:r>
    </w:p>
    <w:p w:rsidR="004B07CD" w:rsidP="001D5264" w14:paraId="392189B5" w14:textId="67BF30C8">
      <w:pPr>
        <w:spacing w:after="0" w:line="480" w:lineRule="auto"/>
        <w:ind w:firstLine="720"/>
      </w:pPr>
      <w:r>
        <w:t>In 2012 when DP&amp;L filed its application for a market rate offer</w:t>
      </w:r>
      <w:r w:rsidR="00BA1E1C">
        <w:t xml:space="preserve"> to replace its ESP 1, </w:t>
      </w:r>
      <w:r>
        <w:t xml:space="preserve">it sought to continue its </w:t>
      </w:r>
      <w:r w:rsidR="00F90F46">
        <w:t xml:space="preserve">rate stabilization </w:t>
      </w:r>
      <w:r>
        <w:t>charge</w:t>
      </w:r>
      <w:r w:rsidR="00F90F46">
        <w:t xml:space="preserve"> to consumers</w:t>
      </w:r>
      <w:r w:rsidR="00E66732">
        <w:t xml:space="preserve">, </w:t>
      </w:r>
      <w:r>
        <w:t>but decided to change the name to an "electric service stability charge” (“ESSC”). In its application it noted that the ESSC charge would "equal the rate formerly charged as the rate stabilization charge."</w:t>
      </w:r>
      <w:r>
        <w:rPr>
          <w:rStyle w:val="FootnoteReference"/>
        </w:rPr>
        <w:footnoteReference w:id="13"/>
      </w:r>
      <w:r>
        <w:t xml:space="preserve"> DP&amp;L described the rate as compensating </w:t>
      </w:r>
      <w:r w:rsidR="00F90F46">
        <w:t xml:space="preserve">it </w:t>
      </w:r>
      <w:r>
        <w:t>"for maintaining electric service stability for the Company and its customers.</w:t>
      </w:r>
      <w:r w:rsidR="00ED1355">
        <w:t>”</w:t>
      </w:r>
      <w:r>
        <w:rPr>
          <w:rStyle w:val="FootnoteReference"/>
        </w:rPr>
        <w:footnoteReference w:id="14"/>
      </w:r>
      <w:r>
        <w:t xml:space="preserve"> </w:t>
      </w:r>
    </w:p>
    <w:p w:rsidR="001709E4" w:rsidP="001D5264" w14:paraId="14E38C0E" w14:textId="2C5812EA">
      <w:pPr>
        <w:spacing w:after="0" w:line="480" w:lineRule="auto"/>
        <w:ind w:firstLine="720"/>
      </w:pPr>
      <w:r>
        <w:t>Later that year, DP&amp;L withdrew its application for a market rate offer and filed an ESP with a "service stability rider" (“SSR”) to "</w:t>
      </w:r>
      <w:r w:rsidR="00DA3510">
        <w:t>permit DP&amp;L to maintain its financial health” claiming that without the</w:t>
      </w:r>
      <w:r w:rsidR="00F90F46">
        <w:t xml:space="preserve"> service stability rider </w:t>
      </w:r>
      <w:r w:rsidR="00DA3510">
        <w:t xml:space="preserve">charge </w:t>
      </w:r>
      <w:r w:rsidR="00E66732">
        <w:t>“</w:t>
      </w:r>
      <w:r w:rsidR="00DA3510">
        <w:t>DP&amp;L’s financial integrity will be threatened.”</w:t>
      </w:r>
      <w:r>
        <w:rPr>
          <w:rStyle w:val="FootnoteReference"/>
        </w:rPr>
        <w:footnoteReference w:id="15"/>
      </w:r>
      <w:r>
        <w:t xml:space="preserve"> </w:t>
      </w:r>
      <w:r w:rsidR="003B66DD">
        <w:t>Ostensibly, t</w:t>
      </w:r>
      <w:r>
        <w:t xml:space="preserve">hat proposed service stability charge was no different than </w:t>
      </w:r>
      <w:r w:rsidR="00F90F46">
        <w:t xml:space="preserve">the rate stabilization </w:t>
      </w:r>
      <w:r>
        <w:t>charges</w:t>
      </w:r>
      <w:r w:rsidR="003B66DD">
        <w:t xml:space="preserve"> </w:t>
      </w:r>
      <w:r w:rsidR="005C7EED">
        <w:t>DP&amp;L</w:t>
      </w:r>
      <w:r w:rsidR="003B66DD">
        <w:t xml:space="preserve"> had been authorized to collect from consumers since 2006</w:t>
      </w:r>
      <w:r>
        <w:t xml:space="preserve">. However, the service stability charge </w:t>
      </w:r>
      <w:r w:rsidR="00BA1E1C">
        <w:t xml:space="preserve">that DP&amp;L </w:t>
      </w:r>
      <w:r>
        <w:t xml:space="preserve">sought </w:t>
      </w:r>
      <w:r w:rsidR="00ED1355">
        <w:t xml:space="preserve">as part of its ESP II </w:t>
      </w:r>
      <w:r w:rsidR="00BA052B">
        <w:t>was almost double its predecessors</w:t>
      </w:r>
      <w:r>
        <w:t xml:space="preserve">– </w:t>
      </w:r>
      <w:r w:rsidR="000F4B2E">
        <w:t xml:space="preserve">DP&amp;L asked </w:t>
      </w:r>
      <w:r w:rsidR="00F8226E">
        <w:t>to charge its consumers</w:t>
      </w:r>
      <w:r w:rsidR="000F4B2E">
        <w:t xml:space="preserve"> </w:t>
      </w:r>
      <w:r>
        <w:t>$137.5 million per year througho</w:t>
      </w:r>
      <w:r w:rsidR="00BA052B">
        <w:t xml:space="preserve">ut </w:t>
      </w:r>
      <w:r w:rsidR="007B25AD">
        <w:t>its</w:t>
      </w:r>
      <w:r w:rsidR="00BA052B">
        <w:t xml:space="preserve"> </w:t>
      </w:r>
      <w:r w:rsidR="00ED1355">
        <w:t>ESP II</w:t>
      </w:r>
      <w:r>
        <w:t xml:space="preserve"> term.</w:t>
      </w:r>
      <w:r>
        <w:rPr>
          <w:rStyle w:val="FootnoteReference"/>
        </w:rPr>
        <w:footnoteReference w:id="16"/>
      </w:r>
      <w:r w:rsidR="00BA052B">
        <w:t xml:space="preserve"> </w:t>
      </w:r>
      <w:r w:rsidR="000F4B2E">
        <w:t xml:space="preserve"> </w:t>
      </w:r>
    </w:p>
    <w:p w:rsidR="004B07CD" w:rsidP="001D5264" w14:paraId="0D1B66B5" w14:textId="49DA6FC0">
      <w:pPr>
        <w:spacing w:after="0" w:line="480" w:lineRule="auto"/>
        <w:ind w:firstLine="720"/>
      </w:pPr>
      <w:r>
        <w:t>The PUCO once again authorized DP&amp;L to collect a stability charge from its con</w:t>
      </w:r>
      <w:r w:rsidR="007B25AD">
        <w:t>s</w:t>
      </w:r>
      <w:r>
        <w:t>umers, though reducing the</w:t>
      </w:r>
      <w:r w:rsidR="005C7EED">
        <w:t xml:space="preserve"> </w:t>
      </w:r>
      <w:r w:rsidR="001709E4">
        <w:t xml:space="preserve">service </w:t>
      </w:r>
      <w:r w:rsidR="005C7EED">
        <w:t>stability charge</w:t>
      </w:r>
      <w:r>
        <w:t xml:space="preserve"> to $110 million annually.</w:t>
      </w:r>
      <w:r>
        <w:rPr>
          <w:rStyle w:val="FootnoteReference"/>
        </w:rPr>
        <w:footnoteReference w:id="17"/>
      </w:r>
      <w:r>
        <w:t xml:space="preserve"> </w:t>
      </w:r>
      <w:r w:rsidR="00BA052B">
        <w:t>C</w:t>
      </w:r>
      <w:r w:rsidR="001709E4">
        <w:t>onsumers</w:t>
      </w:r>
      <w:r w:rsidR="00BA052B">
        <w:t xml:space="preserve"> paid the stability charges from 2013 to 2016, paying </w:t>
      </w:r>
      <w:r w:rsidRPr="00BA052B" w:rsidR="00BA052B">
        <w:rPr>
          <w:b/>
          <w:bCs/>
        </w:rPr>
        <w:t>$293.3 million</w:t>
      </w:r>
      <w:r w:rsidR="00BA052B">
        <w:t xml:space="preserve"> before </w:t>
      </w:r>
      <w:r>
        <w:t xml:space="preserve">the Ohio Supreme Court </w:t>
      </w:r>
      <w:r w:rsidR="00F8226E">
        <w:t xml:space="preserve">in 2016 </w:t>
      </w:r>
      <w:r>
        <w:t xml:space="preserve">struck down </w:t>
      </w:r>
      <w:r w:rsidR="00BA052B">
        <w:t>DP&amp;L’s</w:t>
      </w:r>
      <w:r w:rsidR="003D6DAC">
        <w:t xml:space="preserve"> service stability rider</w:t>
      </w:r>
      <w:r w:rsidR="00BA052B">
        <w:t xml:space="preserve"> charge (with no refunds to consumers for the unlawful charges</w:t>
      </w:r>
      <w:r w:rsidR="00F33BAE">
        <w:t xml:space="preserve"> they paid</w:t>
      </w:r>
      <w:r w:rsidR="00BA052B">
        <w:t>.)</w:t>
      </w:r>
      <w:r>
        <w:rPr>
          <w:rStyle w:val="FootnoteReference"/>
        </w:rPr>
        <w:footnoteReference w:id="18"/>
      </w:r>
      <w:r>
        <w:t xml:space="preserve"> </w:t>
      </w:r>
    </w:p>
    <w:p w:rsidR="003B66DD" w:rsidRPr="007B25AD" w:rsidP="006942AE" w14:paraId="6F1D6958" w14:textId="3AD15FB0">
      <w:pPr>
        <w:spacing w:after="0" w:line="480" w:lineRule="auto"/>
        <w:ind w:firstLine="720"/>
        <w:rPr>
          <w:u w:val="single"/>
        </w:rPr>
      </w:pPr>
      <w:r>
        <w:t>Undaunted, DP&amp;L found a work</w:t>
      </w:r>
      <w:r w:rsidR="00100534">
        <w:t>-</w:t>
      </w:r>
      <w:r>
        <w:t>around the Court’s decision, allowing it to continue to collect stability charges</w:t>
      </w:r>
      <w:r w:rsidR="001709E4">
        <w:t xml:space="preserve"> from its consumers</w:t>
      </w:r>
      <w:r>
        <w:t xml:space="preserve">.  </w:t>
      </w:r>
      <w:r w:rsidR="00BA052B">
        <w:t xml:space="preserve">DP&amp;L withdrew from its </w:t>
      </w:r>
      <w:r w:rsidR="00990E2E">
        <w:t>second ESP in response to the Court’s decision.</w:t>
      </w:r>
      <w:r>
        <w:rPr>
          <w:rStyle w:val="FootnoteReference"/>
        </w:rPr>
        <w:footnoteReference w:id="19"/>
      </w:r>
      <w:r w:rsidR="00990E2E">
        <w:t xml:space="preserve"> The PUCO approved DP&amp;L’s withdrawal despite vigorous objections from OCC and others.</w:t>
      </w:r>
      <w:r>
        <w:rPr>
          <w:rStyle w:val="FootnoteReference"/>
        </w:rPr>
        <w:footnoteReference w:id="20"/>
      </w:r>
      <w:r w:rsidR="00990E2E">
        <w:t xml:space="preserve"> And the PUCO allowed DP&amp;L to reinstitute the</w:t>
      </w:r>
      <w:r w:rsidR="001709E4">
        <w:t xml:space="preserve"> rate stabilization charge </w:t>
      </w:r>
      <w:r w:rsidR="003D6DAC">
        <w:t xml:space="preserve">that DP&amp;L had collected from consumers under its </w:t>
      </w:r>
      <w:r w:rsidR="00990E2E">
        <w:t>ESP I</w:t>
      </w:r>
      <w:r w:rsidR="00100534">
        <w:t xml:space="preserve"> (despite the </w:t>
      </w:r>
      <w:r w:rsidR="001709E4">
        <w:t xml:space="preserve">fact that the reinstated rate stabilization charge was no different than the </w:t>
      </w:r>
      <w:r w:rsidR="00100534">
        <w:t xml:space="preserve">unlawful </w:t>
      </w:r>
      <w:r w:rsidR="001709E4">
        <w:t>service stability rider charge the Court had struck down two months earlier</w:t>
      </w:r>
      <w:r w:rsidR="00100534">
        <w:t>)</w:t>
      </w:r>
      <w:r w:rsidR="00990E2E">
        <w:t>.  Again, customers were stuck with the bill, paying in 2016 and 2017, another $</w:t>
      </w:r>
      <w:r w:rsidRPr="00990E2E" w:rsidR="00990E2E">
        <w:rPr>
          <w:b/>
          <w:bCs/>
        </w:rPr>
        <w:t>82 million</w:t>
      </w:r>
      <w:r w:rsidR="00990E2E">
        <w:t xml:space="preserve"> in charges for t</w:t>
      </w:r>
      <w:r w:rsidR="004B07CD">
        <w:t>he</w:t>
      </w:r>
      <w:r w:rsidR="00990E2E">
        <w:t xml:space="preserve"> reinstated</w:t>
      </w:r>
      <w:r w:rsidR="004B07CD">
        <w:t xml:space="preserve"> </w:t>
      </w:r>
      <w:r w:rsidR="001709E4">
        <w:t>rate stabilization charge</w:t>
      </w:r>
      <w:r w:rsidRPr="007B25AD" w:rsidR="003D6DAC">
        <w:t xml:space="preserve"> </w:t>
      </w:r>
      <w:r w:rsidRPr="007B25AD" w:rsidR="003D6DAC">
        <w:rPr>
          <w:u w:val="single"/>
        </w:rPr>
        <w:t>(</w:t>
      </w:r>
      <w:r w:rsidRPr="007B25AD">
        <w:rPr>
          <w:u w:val="single"/>
        </w:rPr>
        <w:t>equal to 11% of DP&amp;L’s January 1, 2004, tariffed generation rates</w:t>
      </w:r>
      <w:r w:rsidR="001709E4">
        <w:rPr>
          <w:u w:val="single"/>
        </w:rPr>
        <w:t xml:space="preserve"> and producing approximately $76 million per year in revenue for DP&amp;L</w:t>
      </w:r>
      <w:r w:rsidRPr="007B25AD">
        <w:rPr>
          <w:u w:val="single"/>
        </w:rPr>
        <w:t xml:space="preserve">).  </w:t>
      </w:r>
    </w:p>
    <w:p w:rsidR="007B5464" w:rsidP="001D5264" w14:paraId="09ECA3CA" w14:textId="60453A10">
      <w:pPr>
        <w:spacing w:after="0" w:line="480" w:lineRule="auto"/>
        <w:ind w:firstLine="720"/>
      </w:pPr>
      <w:r>
        <w:t xml:space="preserve">DP&amp;L’s third electric security plan was approved on </w:t>
      </w:r>
      <w:r w:rsidR="007B25AD">
        <w:t>October 20, 2017</w:t>
      </w:r>
      <w:r>
        <w:rPr>
          <w:rStyle w:val="FootnoteReference"/>
        </w:rPr>
        <w:footnoteReference w:id="21"/>
      </w:r>
      <w:r>
        <w:t xml:space="preserve"> </w:t>
      </w:r>
      <w:r w:rsidR="00F71B76">
        <w:t xml:space="preserve">The PUCO adopted </w:t>
      </w:r>
      <w:r w:rsidR="00843F27">
        <w:t xml:space="preserve">DP&amp;L’s </w:t>
      </w:r>
      <w:r w:rsidR="00F71B76">
        <w:t xml:space="preserve">ESP </w:t>
      </w:r>
      <w:r w:rsidR="00843F27">
        <w:t>III</w:t>
      </w:r>
      <w:r w:rsidR="00F71B76">
        <w:t xml:space="preserve"> that had been agreed to through stipulation, with OCC opposing the stipulation.  </w:t>
      </w:r>
      <w:r>
        <w:t>Although that plan did not have a</w:t>
      </w:r>
      <w:r w:rsidR="001709E4">
        <w:t xml:space="preserve"> “rate stabilization charge</w:t>
      </w:r>
      <w:r w:rsidR="00E66732">
        <w:t>,</w:t>
      </w:r>
      <w:r w:rsidR="001709E4">
        <w:t>”</w:t>
      </w:r>
      <w:r>
        <w:t xml:space="preserve"> it contained </w:t>
      </w:r>
      <w:r w:rsidR="00E66732">
        <w:t>a stand in stability subsidy</w:t>
      </w:r>
      <w:r>
        <w:t xml:space="preserve">–the distribution modernization charge </w:t>
      </w:r>
      <w:r w:rsidR="005C7EED">
        <w:t xml:space="preserve">(supporting DP&amp;L’s credit) </w:t>
      </w:r>
      <w:r>
        <w:t xml:space="preserve">that did not require DP&amp;L to spend a penny on distribution modernization.  That charge </w:t>
      </w:r>
      <w:r w:rsidR="001709E4">
        <w:t xml:space="preserve">to consumers </w:t>
      </w:r>
      <w:r>
        <w:t>lasted long enough for DP&amp;L to collect $</w:t>
      </w:r>
      <w:r w:rsidR="0093788C">
        <w:t xml:space="preserve">218 million </w:t>
      </w:r>
      <w:r>
        <w:t>before being overturned by the PUCO</w:t>
      </w:r>
      <w:r>
        <w:rPr>
          <w:rStyle w:val="FootnoteReference"/>
        </w:rPr>
        <w:footnoteReference w:id="22"/>
      </w:r>
      <w:r>
        <w:t xml:space="preserve"> (in response to a Supreme Court ruling that struck down FirstEnergy’s nearly identical distribution modernization charge).</w:t>
      </w:r>
      <w:r>
        <w:rPr>
          <w:rStyle w:val="FootnoteReference"/>
        </w:rPr>
        <w:footnoteReference w:id="23"/>
      </w:r>
      <w:r>
        <w:t xml:space="preserve">  </w:t>
      </w:r>
      <w:r w:rsidR="000F756E">
        <w:t xml:space="preserve">And no refunds </w:t>
      </w:r>
      <w:r w:rsidR="00D7153E">
        <w:t xml:space="preserve">were </w:t>
      </w:r>
      <w:r w:rsidR="008A08FA">
        <w:t xml:space="preserve">provided </w:t>
      </w:r>
      <w:r w:rsidR="00E66732">
        <w:t xml:space="preserve">to consumers </w:t>
      </w:r>
      <w:r w:rsidR="000F756E">
        <w:t xml:space="preserve">for </w:t>
      </w:r>
      <w:r w:rsidR="00F33BAE">
        <w:t xml:space="preserve">the $218 million </w:t>
      </w:r>
      <w:r w:rsidR="00E66732">
        <w:t xml:space="preserve">they </w:t>
      </w:r>
      <w:r w:rsidR="00F33BAE">
        <w:t xml:space="preserve">paid to DP&amp;L for </w:t>
      </w:r>
      <w:r w:rsidR="00E66732">
        <w:t xml:space="preserve">the </w:t>
      </w:r>
      <w:r w:rsidR="00F33BAE">
        <w:t xml:space="preserve">unlawful </w:t>
      </w:r>
      <w:r w:rsidR="00E66732">
        <w:t xml:space="preserve">modernization </w:t>
      </w:r>
      <w:r w:rsidR="00F33BAE">
        <w:t>charges</w:t>
      </w:r>
      <w:r w:rsidR="000F756E">
        <w:t xml:space="preserve">.  </w:t>
      </w:r>
    </w:p>
    <w:p w:rsidR="00E66732" w:rsidP="00D721F4" w14:paraId="1507A9F0" w14:textId="77777777">
      <w:pPr>
        <w:spacing w:after="0" w:line="480" w:lineRule="auto"/>
        <w:ind w:firstLine="720"/>
      </w:pPr>
      <w:r>
        <w:t xml:space="preserve">For the second time in three years, </w:t>
      </w:r>
      <w:r w:rsidR="007B5464">
        <w:t xml:space="preserve">DP&amp;L seized upon </w:t>
      </w:r>
      <w:r w:rsidR="00843F27">
        <w:t>a</w:t>
      </w:r>
      <w:r w:rsidR="00F33BAE">
        <w:t xml:space="preserve"> </w:t>
      </w:r>
      <w:r w:rsidR="007B5464">
        <w:t xml:space="preserve">modification of its plan as an opportunity to go back to ESP I, with its favorable </w:t>
      </w:r>
      <w:r w:rsidR="00756477">
        <w:t xml:space="preserve">annual </w:t>
      </w:r>
      <w:r w:rsidR="001709E4">
        <w:t>rate</w:t>
      </w:r>
      <w:r>
        <w:t xml:space="preserve"> </w:t>
      </w:r>
      <w:r w:rsidR="001709E4">
        <w:t>stabilization/</w:t>
      </w:r>
      <w:r w:rsidR="00100534">
        <w:t xml:space="preserve">POLR </w:t>
      </w:r>
      <w:r w:rsidR="007B5464">
        <w:t>charge to consumers.  DP&amp;L withdrew.</w:t>
      </w:r>
      <w:r>
        <w:rPr>
          <w:rStyle w:val="FootnoteReference"/>
        </w:rPr>
        <w:footnoteReference w:id="24"/>
      </w:r>
      <w:r w:rsidR="007B5464">
        <w:t xml:space="preserve"> The PUCO approved.</w:t>
      </w:r>
      <w:r>
        <w:rPr>
          <w:rStyle w:val="FootnoteReference"/>
        </w:rPr>
        <w:footnoteReference w:id="25"/>
      </w:r>
      <w:r w:rsidR="007B5464">
        <w:t xml:space="preserve">  C</w:t>
      </w:r>
      <w:r w:rsidR="001709E4">
        <w:t>onsumers</w:t>
      </w:r>
      <w:r w:rsidR="007B5464">
        <w:t xml:space="preserve"> paid</w:t>
      </w:r>
      <w:r w:rsidR="000F756E">
        <w:t xml:space="preserve">.  </w:t>
      </w:r>
    </w:p>
    <w:p w:rsidR="00F71B76" w:rsidRPr="007B25AD" w:rsidP="00E66732" w14:paraId="58A6A94F" w14:textId="372532CB">
      <w:pPr>
        <w:spacing w:after="0" w:line="480" w:lineRule="auto"/>
        <w:ind w:firstLine="720"/>
        <w:rPr>
          <w:u w:val="single"/>
        </w:rPr>
      </w:pPr>
      <w:r>
        <w:t>Under DP&amp;L’s ESP I, which was reinstated in 2020</w:t>
      </w:r>
      <w:r>
        <w:rPr>
          <w:rStyle w:val="FootnoteReference"/>
        </w:rPr>
        <w:footnoteReference w:id="26"/>
      </w:r>
      <w:r>
        <w:t xml:space="preserve"> and is expected to be in place until 2024,</w:t>
      </w:r>
      <w:r>
        <w:rPr>
          <w:rStyle w:val="FootnoteReference"/>
        </w:rPr>
        <w:footnoteReference w:id="27"/>
      </w:r>
      <w:r>
        <w:t xml:space="preserve"> </w:t>
      </w:r>
      <w:r w:rsidR="001709E4">
        <w:t>consu</w:t>
      </w:r>
      <w:r>
        <w:t xml:space="preserve">mers can be expected to pay another </w:t>
      </w:r>
      <w:r w:rsidRPr="007B5464">
        <w:rPr>
          <w:b/>
          <w:bCs/>
        </w:rPr>
        <w:t>$384.5 million</w:t>
      </w:r>
      <w:r>
        <w:t xml:space="preserve"> for the</w:t>
      </w:r>
      <w:r w:rsidR="001709E4">
        <w:t xml:space="preserve"> rate stabilization</w:t>
      </w:r>
      <w:r w:rsidR="006542FC">
        <w:t xml:space="preserve"> charge (</w:t>
      </w:r>
      <w:r w:rsidR="001709E4">
        <w:t xml:space="preserve">expected to be approximately </w:t>
      </w:r>
      <w:r w:rsidRPr="007B25AD" w:rsidR="006542FC">
        <w:rPr>
          <w:u w:val="single"/>
        </w:rPr>
        <w:t>$7</w:t>
      </w:r>
      <w:r w:rsidR="00756477">
        <w:rPr>
          <w:u w:val="single"/>
        </w:rPr>
        <w:t>9</w:t>
      </w:r>
      <w:r w:rsidR="00E66732">
        <w:rPr>
          <w:u w:val="single"/>
        </w:rPr>
        <w:t xml:space="preserve"> </w:t>
      </w:r>
      <w:r w:rsidRPr="007B25AD" w:rsidR="006542FC">
        <w:rPr>
          <w:u w:val="single"/>
        </w:rPr>
        <w:t xml:space="preserve">million per year charge to consumers </w:t>
      </w:r>
      <w:r w:rsidR="00E66732">
        <w:rPr>
          <w:u w:val="single"/>
        </w:rPr>
        <w:t xml:space="preserve">(again </w:t>
      </w:r>
      <w:r w:rsidRPr="007B25AD" w:rsidR="006542FC">
        <w:rPr>
          <w:u w:val="single"/>
        </w:rPr>
        <w:t xml:space="preserve">equal to 11% of DP&amp;L’s January 1, 2004, tariffed generation </w:t>
      </w:r>
      <w:r w:rsidRPr="00D721F4" w:rsidR="006542FC">
        <w:rPr>
          <w:u w:val="single"/>
        </w:rPr>
        <w:t>rates).</w:t>
      </w:r>
      <w:r>
        <w:rPr>
          <w:rStyle w:val="FootnoteReference"/>
          <w:u w:val="single"/>
        </w:rPr>
        <w:footnoteReference w:id="28"/>
      </w:r>
      <w:r w:rsidRPr="007B25AD" w:rsidR="006542FC">
        <w:rPr>
          <w:u w:val="single"/>
        </w:rPr>
        <w:t xml:space="preserve">  </w:t>
      </w:r>
    </w:p>
    <w:p w:rsidR="00576894" w:rsidP="001D5264" w14:paraId="6C78362D" w14:textId="0DEBC41C">
      <w:pPr>
        <w:spacing w:after="0" w:line="480" w:lineRule="auto"/>
        <w:ind w:firstLine="720"/>
      </w:pPr>
      <w:r>
        <w:t xml:space="preserve">All told, DP&amp;L </w:t>
      </w:r>
      <w:r w:rsidR="00756477">
        <w:t xml:space="preserve">consumers </w:t>
      </w:r>
      <w:r>
        <w:t>will have paid over $</w:t>
      </w:r>
      <w:r w:rsidRPr="000F756E">
        <w:rPr>
          <w:b/>
          <w:bCs/>
        </w:rPr>
        <w:t>1.2 billion</w:t>
      </w:r>
      <w:r>
        <w:t xml:space="preserve"> in stability/POLR charges to DP&amp;L</w:t>
      </w:r>
      <w:r w:rsidR="005F47D8">
        <w:t xml:space="preserve"> (not counting the $218 million in distribution modernization charges) </w:t>
      </w:r>
      <w:r w:rsidR="007A7A04">
        <w:t xml:space="preserve">by the end of </w:t>
      </w:r>
      <w:r w:rsidR="00100534">
        <w:t xml:space="preserve">DP&amp;L’s </w:t>
      </w:r>
      <w:r w:rsidR="007A7A04">
        <w:t xml:space="preserve">reinstated ESP I.  </w:t>
      </w:r>
      <w:r w:rsidR="00D7153E">
        <w:t xml:space="preserve">That is what the PUCO should find to be “extraordinary” but not in a good sense, at least for consumers. </w:t>
      </w:r>
      <w:r w:rsidR="007A7A04">
        <w:t>Extraordinary for consumers to have paid $1.2 billion in non-cost</w:t>
      </w:r>
      <w:r w:rsidR="00C53B69">
        <w:t>-</w:t>
      </w:r>
      <w:r w:rsidR="007A7A04">
        <w:t>based charges for stability/POLR</w:t>
      </w:r>
      <w:r w:rsidR="0081500F">
        <w:t xml:space="preserve"> </w:t>
      </w:r>
      <w:r w:rsidR="00756477">
        <w:t xml:space="preserve">charges </w:t>
      </w:r>
      <w:r w:rsidR="0081500F">
        <w:t>established in 2005 --</w:t>
      </w:r>
      <w:r w:rsidR="00BB378A">
        <w:t xml:space="preserve"> charges that today c</w:t>
      </w:r>
      <w:r w:rsidR="005C7EED">
        <w:t xml:space="preserve">ould not </w:t>
      </w:r>
      <w:r w:rsidR="00BB378A">
        <w:t>withstand legal challenges</w:t>
      </w:r>
      <w:r w:rsidR="0081500F">
        <w:t xml:space="preserve">, based on </w:t>
      </w:r>
      <w:r w:rsidR="005C7EED">
        <w:t xml:space="preserve">2011 </w:t>
      </w:r>
      <w:r w:rsidR="0081500F">
        <w:t xml:space="preserve">Ohio </w:t>
      </w:r>
      <w:r w:rsidR="00BB378A">
        <w:t>Supreme Court</w:t>
      </w:r>
      <w:r>
        <w:rPr>
          <w:rStyle w:val="FootnoteReference"/>
        </w:rPr>
        <w:footnoteReference w:id="29"/>
      </w:r>
      <w:r w:rsidR="00BB378A">
        <w:t xml:space="preserve"> and PUCO</w:t>
      </w:r>
      <w:r w:rsidR="0081500F">
        <w:t xml:space="preserve"> rulings</w:t>
      </w:r>
      <w:r w:rsidR="00541DEE">
        <w:t>.</w:t>
      </w:r>
      <w:r>
        <w:rPr>
          <w:rStyle w:val="FootnoteReference"/>
        </w:rPr>
        <w:footnoteReference w:id="30"/>
      </w:r>
      <w:r w:rsidR="00541DEE">
        <w:t xml:space="preserve">  </w:t>
      </w:r>
    </w:p>
    <w:p w:rsidR="00D7153E" w:rsidRPr="00576894" w:rsidP="001D5264" w14:paraId="13B7403E" w14:textId="2BC18ADC">
      <w:pPr>
        <w:spacing w:line="240" w:lineRule="auto"/>
        <w:ind w:left="2160" w:hanging="720"/>
        <w:rPr>
          <w:b/>
          <w:bCs/>
        </w:rPr>
      </w:pPr>
      <w:bookmarkStart w:id="21" w:name="_Toc77342115"/>
      <w:bookmarkStart w:id="22" w:name="_Hlk77324666"/>
      <w:r w:rsidRPr="001D5264">
        <w:rPr>
          <w:rStyle w:val="Heading3Char"/>
        </w:rPr>
        <w:t>B.</w:t>
      </w:r>
      <w:r w:rsidR="001D5264">
        <w:rPr>
          <w:rStyle w:val="Heading3Char"/>
        </w:rPr>
        <w:tab/>
      </w:r>
      <w:r w:rsidRPr="001D5264" w:rsidR="009055D0">
        <w:rPr>
          <w:rStyle w:val="Heading3Char"/>
        </w:rPr>
        <w:t xml:space="preserve">The </w:t>
      </w:r>
      <w:r w:rsidRPr="001D5264">
        <w:rPr>
          <w:rStyle w:val="Heading3Char"/>
        </w:rPr>
        <w:t>PUCO</w:t>
      </w:r>
      <w:r w:rsidRPr="001D5264" w:rsidR="009055D0">
        <w:rPr>
          <w:rStyle w:val="Heading3Char"/>
        </w:rPr>
        <w:t xml:space="preserve"> </w:t>
      </w:r>
      <w:r w:rsidRPr="00D721F4">
        <w:rPr>
          <w:rStyle w:val="Heading3Char"/>
        </w:rPr>
        <w:t xml:space="preserve">failed to determine </w:t>
      </w:r>
      <w:r w:rsidRPr="00D721F4" w:rsidR="008332B1">
        <w:rPr>
          <w:rStyle w:val="Heading3Char"/>
        </w:rPr>
        <w:t xml:space="preserve">whether </w:t>
      </w:r>
      <w:r w:rsidRPr="00D721F4">
        <w:rPr>
          <w:rStyle w:val="Heading3Char"/>
        </w:rPr>
        <w:t xml:space="preserve">continuing </w:t>
      </w:r>
      <w:r w:rsidRPr="00D721F4" w:rsidR="009055D0">
        <w:rPr>
          <w:rStyle w:val="Heading3Char"/>
        </w:rPr>
        <w:t>to charge consumers a $7</w:t>
      </w:r>
      <w:r w:rsidRPr="00D721F4" w:rsidR="00756477">
        <w:rPr>
          <w:rStyle w:val="Heading3Char"/>
        </w:rPr>
        <w:t>9</w:t>
      </w:r>
      <w:r w:rsidRPr="00D721F4" w:rsidR="009055D0">
        <w:rPr>
          <w:rStyle w:val="Heading3Char"/>
        </w:rPr>
        <w:t xml:space="preserve"> million per year non-cost</w:t>
      </w:r>
      <w:r w:rsidR="00C53B69">
        <w:rPr>
          <w:rStyle w:val="Heading3Char"/>
        </w:rPr>
        <w:t>-</w:t>
      </w:r>
      <w:r w:rsidRPr="00D721F4" w:rsidR="009055D0">
        <w:rPr>
          <w:rStyle w:val="Heading3Char"/>
        </w:rPr>
        <w:t xml:space="preserve">based POLR </w:t>
      </w:r>
      <w:r w:rsidRPr="00D721F4">
        <w:rPr>
          <w:rStyle w:val="Heading3Char"/>
        </w:rPr>
        <w:t xml:space="preserve">charge </w:t>
      </w:r>
      <w:r w:rsidRPr="00D721F4" w:rsidR="008332B1">
        <w:rPr>
          <w:rStyle w:val="Heading3Char"/>
        </w:rPr>
        <w:t>is reasonable and lawful</w:t>
      </w:r>
      <w:r w:rsidRPr="00D721F4">
        <w:rPr>
          <w:rStyle w:val="Heading3Char"/>
        </w:rPr>
        <w:t xml:space="preserve">. </w:t>
      </w:r>
      <w:r w:rsidRPr="00D721F4" w:rsidR="00F264F8">
        <w:rPr>
          <w:rStyle w:val="Heading3Char"/>
        </w:rPr>
        <w:t xml:space="preserve"> Its not.</w:t>
      </w:r>
      <w:bookmarkEnd w:id="21"/>
      <w:r w:rsidRPr="00576894">
        <w:rPr>
          <w:b/>
          <w:bCs/>
        </w:rPr>
        <w:t xml:space="preserve"> </w:t>
      </w:r>
    </w:p>
    <w:bookmarkEnd w:id="22"/>
    <w:p w:rsidR="005F6164" w:rsidP="001D5264" w14:paraId="04A5E42F" w14:textId="77777777">
      <w:pPr>
        <w:spacing w:after="0" w:line="480" w:lineRule="auto"/>
        <w:ind w:firstLine="720"/>
      </w:pPr>
      <w:r>
        <w:t xml:space="preserve">More than a decade ago (in 2007) the Ohio Supreme Court </w:t>
      </w:r>
      <w:r w:rsidRPr="0076781A">
        <w:t>cautioned the PUCO that it “should carefully consider what costs it is attributing as costs incurred as part of an electric-distribution utility’s POLR obligations.”</w:t>
      </w:r>
      <w:r>
        <w:rPr>
          <w:rStyle w:val="FootnoteReference"/>
        </w:rPr>
        <w:footnoteReference w:id="31"/>
      </w:r>
      <w:r>
        <w:t xml:space="preserve">  And yet, in this proceeding, t</w:t>
      </w:r>
      <w:r w:rsidR="0070741F">
        <w:t xml:space="preserve">he PUCO </w:t>
      </w:r>
      <w:r>
        <w:t xml:space="preserve">did the opposite.  </w:t>
      </w:r>
    </w:p>
    <w:p w:rsidR="00BC5941" w:rsidP="001D5264" w14:paraId="2BFF5197" w14:textId="14C5F8B7">
      <w:pPr>
        <w:spacing w:after="0" w:line="480" w:lineRule="auto"/>
        <w:ind w:firstLine="720"/>
      </w:pPr>
      <w:r>
        <w:t>The PUCO merely rubber stamped a fifteen</w:t>
      </w:r>
      <w:r w:rsidR="00C53B69">
        <w:t>-</w:t>
      </w:r>
      <w:r>
        <w:t xml:space="preserve">year </w:t>
      </w:r>
      <w:r w:rsidR="006A09FC">
        <w:t xml:space="preserve">old </w:t>
      </w:r>
      <w:r w:rsidR="0070741F">
        <w:t>non-cost based POLR charge</w:t>
      </w:r>
      <w:r>
        <w:rPr>
          <w:rStyle w:val="FootnoteReference"/>
        </w:rPr>
        <w:footnoteReference w:id="32"/>
      </w:r>
      <w:r w:rsidR="0070741F">
        <w:t xml:space="preserve"> </w:t>
      </w:r>
      <w:r>
        <w:t xml:space="preserve">and linked it </w:t>
      </w:r>
      <w:r w:rsidR="00F264F8">
        <w:t xml:space="preserve">to DP&amp;L’s </w:t>
      </w:r>
      <w:r>
        <w:t xml:space="preserve">current </w:t>
      </w:r>
      <w:r w:rsidR="0070741F">
        <w:t>“long term</w:t>
      </w:r>
      <w:r w:rsidR="00F264F8">
        <w:t xml:space="preserve">” POLR </w:t>
      </w:r>
      <w:r w:rsidR="0070741F">
        <w:t>obligations (</w:t>
      </w:r>
      <w:r>
        <w:t xml:space="preserve">which </w:t>
      </w:r>
      <w:r w:rsidR="00C53B69">
        <w:t xml:space="preserve">don’t </w:t>
      </w:r>
      <w:r>
        <w:t xml:space="preserve">begin </w:t>
      </w:r>
      <w:r w:rsidR="00C53B69">
        <w:t xml:space="preserve">until </w:t>
      </w:r>
      <w:r w:rsidR="0070741F">
        <w:t xml:space="preserve">May 31, 2022). </w:t>
      </w:r>
      <w:r>
        <w:t>(</w:t>
      </w:r>
      <w:r w:rsidR="0070741F">
        <w:t>The PUCO acknowledged that POLR service is currently being provided by auction participants).</w:t>
      </w:r>
      <w:r>
        <w:rPr>
          <w:rStyle w:val="FootnoteReference"/>
        </w:rPr>
        <w:footnoteReference w:id="33"/>
      </w:r>
      <w:r w:rsidR="0070741F">
        <w:t xml:space="preserve">  </w:t>
      </w:r>
      <w:r w:rsidR="003414F6">
        <w:t>It did not require DP&amp;L to provide any cost justification for its $7</w:t>
      </w:r>
      <w:r w:rsidR="00756477">
        <w:t>9</w:t>
      </w:r>
      <w:r w:rsidR="003414F6">
        <w:t xml:space="preserve"> million per year </w:t>
      </w:r>
      <w:r w:rsidR="00C53B69">
        <w:t xml:space="preserve">POLR </w:t>
      </w:r>
      <w:r w:rsidR="003414F6">
        <w:t xml:space="preserve">charge to consumers; nor did DP&amp;L offer up any </w:t>
      </w:r>
      <w:r w:rsidR="004B30E1">
        <w:t xml:space="preserve">evidence </w:t>
      </w:r>
      <w:r w:rsidR="003414F6">
        <w:t>of out</w:t>
      </w:r>
      <w:r w:rsidR="00B8418B">
        <w:t>-</w:t>
      </w:r>
      <w:r w:rsidR="003414F6">
        <w:t>of</w:t>
      </w:r>
      <w:r w:rsidR="00B8418B">
        <w:t>-</w:t>
      </w:r>
      <w:r w:rsidR="003414F6">
        <w:t>pocket costs it had incurred or expect</w:t>
      </w:r>
      <w:r w:rsidR="00C53B69">
        <w:t>s</w:t>
      </w:r>
      <w:r w:rsidR="003414F6">
        <w:t xml:space="preserve"> to incur carrying out its POLR obligations.  </w:t>
      </w:r>
      <w:r w:rsidR="00F1265F">
        <w:t xml:space="preserve">The PUCO relied instead upon the fact that the POLR charge was ruled reasonable in </w:t>
      </w:r>
      <w:r w:rsidRPr="00F1265F" w:rsidR="00F1265F">
        <w:rPr>
          <w:u w:val="single"/>
        </w:rPr>
        <w:t>2005</w:t>
      </w:r>
      <w:r w:rsidR="00F1265F">
        <w:t xml:space="preserve"> and upheld by Supr</w:t>
      </w:r>
      <w:r>
        <w:t>e</w:t>
      </w:r>
      <w:r w:rsidR="00F1265F">
        <w:t xml:space="preserve">me Court order in </w:t>
      </w:r>
      <w:r w:rsidRPr="00F1265F" w:rsidR="00F1265F">
        <w:rPr>
          <w:u w:val="single"/>
        </w:rPr>
        <w:t>2007</w:t>
      </w:r>
      <w:r w:rsidR="00F1265F">
        <w:t>.</w:t>
      </w:r>
      <w:r>
        <w:rPr>
          <w:rStyle w:val="FootnoteReference"/>
        </w:rPr>
        <w:footnoteReference w:id="34"/>
      </w:r>
    </w:p>
    <w:p w:rsidR="00396C66" w:rsidP="001D5264" w14:paraId="09174DFC" w14:textId="09E33783">
      <w:pPr>
        <w:spacing w:after="0" w:line="480" w:lineRule="auto"/>
        <w:ind w:firstLine="720"/>
        <w:rPr>
          <w:rFonts w:eastAsia="Times New Roman" w:cs="Times New Roman"/>
        </w:rPr>
      </w:pPr>
      <w:r>
        <w:t>The PUCO</w:t>
      </w:r>
      <w:r w:rsidR="00F51D8D">
        <w:t xml:space="preserve">, however </w:t>
      </w:r>
      <w:r>
        <w:t xml:space="preserve">was under no obligation to reestablish </w:t>
      </w:r>
      <w:r w:rsidR="004B30E1">
        <w:t xml:space="preserve">DP&amp;L’s POLR </w:t>
      </w:r>
      <w:r>
        <w:t>rate</w:t>
      </w:r>
      <w:r w:rsidR="004B30E1">
        <w:t xml:space="preserve"> from its 2009 </w:t>
      </w:r>
      <w:r>
        <w:t>electric security plan</w:t>
      </w:r>
      <w:r w:rsidR="008A08FA">
        <w:t>.</w:t>
      </w:r>
      <w:r>
        <w:rPr>
          <w:rStyle w:val="FootnoteReference"/>
        </w:rPr>
        <w:footnoteReference w:id="35"/>
      </w:r>
      <w:r>
        <w:t xml:space="preserve"> Ohio law merely directs the </w:t>
      </w:r>
      <w:r>
        <w:rPr>
          <w:rFonts w:eastAsia="Times New Roman" w:cs="Times New Roman"/>
        </w:rPr>
        <w:t>PUCO to continue the provisions, terms, and conditions of the previous SSO</w:t>
      </w:r>
      <w:r w:rsidR="00F51D8D">
        <w:rPr>
          <w:rFonts w:eastAsia="Times New Roman" w:cs="Times New Roman"/>
        </w:rPr>
        <w:t xml:space="preserve"> (not the rates)</w:t>
      </w:r>
      <w:r w:rsidRPr="00473B5D">
        <w:rPr>
          <w:rFonts w:eastAsia="Times New Roman" w:cs="Times New Roman"/>
          <w:i/>
          <w:iCs/>
        </w:rPr>
        <w:t>.</w:t>
      </w:r>
      <w:r>
        <w:rPr>
          <w:rFonts w:eastAsia="Times New Roman" w:cs="Times New Roman"/>
          <w:i/>
          <w:iCs/>
        </w:rPr>
        <w:t xml:space="preserve"> </w:t>
      </w:r>
      <w:r>
        <w:rPr>
          <w:rFonts w:eastAsia="Times New Roman" w:cs="Times New Roman"/>
        </w:rPr>
        <w:t>And yet, the PUCO, went forward to reapprove the $7</w:t>
      </w:r>
      <w:r w:rsidR="00756477">
        <w:rPr>
          <w:rFonts w:eastAsia="Times New Roman" w:cs="Times New Roman"/>
        </w:rPr>
        <w:t>9</w:t>
      </w:r>
      <w:r>
        <w:rPr>
          <w:rFonts w:eastAsia="Times New Roman" w:cs="Times New Roman"/>
        </w:rPr>
        <w:t xml:space="preserve"> million annual non-cost based POLR charge to DP&amp;L </w:t>
      </w:r>
      <w:r w:rsidR="00756477">
        <w:rPr>
          <w:rFonts w:eastAsia="Times New Roman" w:cs="Times New Roman"/>
        </w:rPr>
        <w:t>consumers</w:t>
      </w:r>
      <w:r w:rsidR="00C53B69">
        <w:rPr>
          <w:rFonts w:eastAsia="Times New Roman" w:cs="Times New Roman"/>
        </w:rPr>
        <w:t xml:space="preserve"> </w:t>
      </w:r>
      <w:r w:rsidR="00D338EF">
        <w:rPr>
          <w:rFonts w:eastAsia="Times New Roman" w:cs="Times New Roman"/>
        </w:rPr>
        <w:t>without assessing the</w:t>
      </w:r>
      <w:r w:rsidR="005C7EED">
        <w:rPr>
          <w:rFonts w:eastAsia="Times New Roman" w:cs="Times New Roman"/>
        </w:rPr>
        <w:t xml:space="preserve"> continued</w:t>
      </w:r>
      <w:r w:rsidR="00D338EF">
        <w:rPr>
          <w:rFonts w:eastAsia="Times New Roman" w:cs="Times New Roman"/>
        </w:rPr>
        <w:t xml:space="preserve"> justness and reasonableness of the charge</w:t>
      </w:r>
      <w:r>
        <w:rPr>
          <w:rFonts w:eastAsia="Times New Roman" w:cs="Times New Roman"/>
        </w:rPr>
        <w:t xml:space="preserve">. </w:t>
      </w:r>
      <w:r w:rsidR="00D338EF">
        <w:rPr>
          <w:rFonts w:eastAsia="Times New Roman" w:cs="Times New Roman"/>
        </w:rPr>
        <w:t>That was an error in judgement and violated Ohio law (4905.22</w:t>
      </w:r>
      <w:r w:rsidR="00100534">
        <w:rPr>
          <w:rFonts w:eastAsia="Times New Roman" w:cs="Times New Roman"/>
        </w:rPr>
        <w:t>, 4928.02(A)</w:t>
      </w:r>
      <w:r w:rsidR="00D338EF">
        <w:rPr>
          <w:rFonts w:eastAsia="Times New Roman" w:cs="Times New Roman"/>
        </w:rPr>
        <w:t xml:space="preserve">).  </w:t>
      </w:r>
    </w:p>
    <w:p w:rsidR="00F51D8D" w:rsidP="001D5264" w14:paraId="79BF9CDE" w14:textId="55585DD5">
      <w:pPr>
        <w:spacing w:after="0" w:line="480" w:lineRule="auto"/>
        <w:ind w:firstLine="720"/>
      </w:pPr>
      <w:r>
        <w:rPr>
          <w:rFonts w:eastAsia="Times New Roman" w:cs="Times New Roman"/>
        </w:rPr>
        <w:t xml:space="preserve">The PUCO’s rationale for reapproving (not changing) the fifteen-year old POLR charge was that the charge had not been adjusted since it was adopted, and that OCC had in </w:t>
      </w:r>
      <w:r w:rsidRPr="005F6164">
        <w:rPr>
          <w:rFonts w:eastAsia="Times New Roman" w:cs="Times New Roman"/>
          <w:u w:val="single"/>
        </w:rPr>
        <w:t>20</w:t>
      </w:r>
      <w:r w:rsidRPr="005F6164" w:rsidR="006A09FC">
        <w:rPr>
          <w:rFonts w:eastAsia="Times New Roman" w:cs="Times New Roman"/>
          <w:u w:val="single"/>
        </w:rPr>
        <w:t>09</w:t>
      </w:r>
      <w:r w:rsidRPr="005F6164">
        <w:rPr>
          <w:rFonts w:eastAsia="Times New Roman" w:cs="Times New Roman"/>
          <w:u w:val="single"/>
        </w:rPr>
        <w:t xml:space="preserve"> </w:t>
      </w:r>
      <w:r>
        <w:rPr>
          <w:rFonts w:eastAsia="Times New Roman" w:cs="Times New Roman"/>
        </w:rPr>
        <w:t>agreed to the charge.</w:t>
      </w:r>
      <w:r>
        <w:rPr>
          <w:rStyle w:val="FootnoteReference"/>
          <w:rFonts w:eastAsia="Times New Roman" w:cs="Times New Roman"/>
        </w:rPr>
        <w:footnoteReference w:id="36"/>
      </w:r>
      <w:r>
        <w:rPr>
          <w:rFonts w:eastAsia="Times New Roman" w:cs="Times New Roman"/>
        </w:rPr>
        <w:t xml:space="preserve">  </w:t>
      </w:r>
      <w:r>
        <w:t>But the PUCO’s decision failed to consider Ohio Supreme Court rulings and its own rulings</w:t>
      </w:r>
      <w:r w:rsidR="006A09FC">
        <w:t xml:space="preserve"> in </w:t>
      </w:r>
      <w:r w:rsidRPr="005F6164" w:rsidR="006A09FC">
        <w:rPr>
          <w:u w:val="single"/>
        </w:rPr>
        <w:t>2011</w:t>
      </w:r>
      <w:r>
        <w:t xml:space="preserve"> that changed the lens under which POLR/stability charges are now viewed.  </w:t>
      </w:r>
      <w:r w:rsidR="00E01CB9">
        <w:t xml:space="preserve">The PUCO erred </w:t>
      </w:r>
      <w:r w:rsidR="003414F6">
        <w:t xml:space="preserve">in not lowering </w:t>
      </w:r>
      <w:r w:rsidR="006A09FC">
        <w:t xml:space="preserve">DP&amp;L’s </w:t>
      </w:r>
      <w:r w:rsidR="00E01CB9">
        <w:t xml:space="preserve">POLR charge to a level that </w:t>
      </w:r>
      <w:r w:rsidR="006A09FC">
        <w:t>is supported by record evidence as</w:t>
      </w:r>
      <w:r w:rsidR="00E01CB9">
        <w:t xml:space="preserve"> a just and reasonable charge to DP&amp;L consumers and </w:t>
      </w:r>
      <w:r w:rsidR="006A09FC">
        <w:t xml:space="preserve">one that is </w:t>
      </w:r>
      <w:r w:rsidR="00E01CB9">
        <w:t xml:space="preserve">consistent with </w:t>
      </w:r>
      <w:r w:rsidR="006A09FC">
        <w:t xml:space="preserve">the 2011 </w:t>
      </w:r>
      <w:r w:rsidR="00E01CB9">
        <w:t xml:space="preserve">PUCO and Supreme Court </w:t>
      </w:r>
      <w:r w:rsidR="006A09FC">
        <w:t xml:space="preserve">POLR </w:t>
      </w:r>
      <w:r w:rsidR="00E01CB9">
        <w:t xml:space="preserve">precedent.  </w:t>
      </w:r>
    </w:p>
    <w:p w:rsidR="00BC5941" w:rsidP="00FC0DF5" w14:paraId="09647630" w14:textId="4CAFE1E5">
      <w:pPr>
        <w:pStyle w:val="ListParagraph"/>
        <w:numPr>
          <w:ilvl w:val="0"/>
          <w:numId w:val="14"/>
        </w:numPr>
        <w:spacing w:line="240" w:lineRule="auto"/>
        <w:ind w:left="2880" w:hanging="720"/>
      </w:pPr>
      <w:bookmarkStart w:id="23" w:name="_Toc77342116"/>
      <w:bookmarkStart w:id="24" w:name="_Hlk77324692"/>
      <w:r w:rsidRPr="001D5264">
        <w:rPr>
          <w:rStyle w:val="Heading4Char"/>
        </w:rPr>
        <w:t xml:space="preserve">Approving </w:t>
      </w:r>
      <w:r w:rsidRPr="001D5264" w:rsidR="004B30E1">
        <w:rPr>
          <w:rStyle w:val="Heading4Char"/>
        </w:rPr>
        <w:t xml:space="preserve">DP&amp;L’s </w:t>
      </w:r>
      <w:r w:rsidRPr="001D5264">
        <w:rPr>
          <w:rStyle w:val="Heading4Char"/>
        </w:rPr>
        <w:t>fifteen</w:t>
      </w:r>
      <w:r w:rsidR="00C53B69">
        <w:rPr>
          <w:rStyle w:val="Heading4Char"/>
        </w:rPr>
        <w:t>-</w:t>
      </w:r>
      <w:r w:rsidRPr="001D5264">
        <w:rPr>
          <w:rStyle w:val="Heading4Char"/>
        </w:rPr>
        <w:t xml:space="preserve">year old non-cost based </w:t>
      </w:r>
      <w:r w:rsidRPr="00FC0DF5">
        <w:rPr>
          <w:rStyle w:val="Heading4Char"/>
        </w:rPr>
        <w:t>POLR/Stabil</w:t>
      </w:r>
      <w:r w:rsidRPr="00FC0DF5" w:rsidR="00D338EF">
        <w:rPr>
          <w:rStyle w:val="Heading4Char"/>
        </w:rPr>
        <w:t>i</w:t>
      </w:r>
      <w:r w:rsidRPr="00FC0DF5">
        <w:rPr>
          <w:rStyle w:val="Heading4Char"/>
        </w:rPr>
        <w:t xml:space="preserve">ty charge is inconsistent with </w:t>
      </w:r>
      <w:r w:rsidRPr="00FC0DF5" w:rsidR="006A09FC">
        <w:rPr>
          <w:rStyle w:val="Heading4Char"/>
        </w:rPr>
        <w:t>2011</w:t>
      </w:r>
      <w:r w:rsidRPr="00FC0DF5">
        <w:rPr>
          <w:rStyle w:val="Heading4Char"/>
        </w:rPr>
        <w:t xml:space="preserve"> Ohio Supreme and PUCO rulings.</w:t>
      </w:r>
      <w:bookmarkEnd w:id="23"/>
    </w:p>
    <w:bookmarkEnd w:id="24"/>
    <w:p w:rsidR="00541DEE" w:rsidP="001D5264" w14:paraId="51255640" w14:textId="5E16A79D">
      <w:pPr>
        <w:spacing w:after="0" w:line="480" w:lineRule="auto"/>
        <w:ind w:firstLine="720"/>
      </w:pPr>
      <w:r w:rsidRPr="0076781A">
        <w:t xml:space="preserve">In concept, a </w:t>
      </w:r>
      <w:r>
        <w:t>POLR</w:t>
      </w:r>
      <w:r w:rsidRPr="0076781A">
        <w:t xml:space="preserve"> charge recognizes that c</w:t>
      </w:r>
      <w:r w:rsidR="00756477">
        <w:t>onsumers</w:t>
      </w:r>
      <w:r w:rsidRPr="0076781A">
        <w:t xml:space="preserve"> are permitted to obtain electric generation</w:t>
      </w:r>
      <w:r>
        <w:t xml:space="preserve"> </w:t>
      </w:r>
      <w:r w:rsidRPr="0076781A">
        <w:t>service from marketers and then later return to the utility for that service.</w:t>
      </w:r>
      <w:r>
        <w:rPr>
          <w:rStyle w:val="FootnoteReference"/>
        </w:rPr>
        <w:footnoteReference w:id="37"/>
      </w:r>
      <w:r w:rsidRPr="0076781A">
        <w:t xml:space="preserve"> The POLR charge compensates the utility for risks of standing ready to provide a standard service offer to returning c</w:t>
      </w:r>
      <w:r w:rsidR="00756477">
        <w:t>onsumer</w:t>
      </w:r>
      <w:r w:rsidRPr="0076781A">
        <w:t xml:space="preserve">s. </w:t>
      </w:r>
    </w:p>
    <w:p w:rsidR="001B7049" w:rsidRPr="0076781A" w:rsidP="001D5264" w14:paraId="3853C853" w14:textId="1279DA3F">
      <w:pPr>
        <w:spacing w:after="0" w:line="480" w:lineRule="auto"/>
        <w:ind w:firstLine="720"/>
      </w:pPr>
      <w:r>
        <w:t xml:space="preserve">And while a POLR charge can be a provision of an electric utility’s electric service plan, </w:t>
      </w:r>
      <w:r w:rsidRPr="00100534">
        <w:rPr>
          <w:u w:val="single"/>
        </w:rPr>
        <w:t>it must have record support before it can be imposed upon customers.</w:t>
      </w:r>
      <w:r>
        <w:t xml:space="preserve">  </w:t>
      </w:r>
      <w:r w:rsidRPr="007F6994">
        <w:rPr>
          <w:i/>
          <w:szCs w:val="24"/>
        </w:rPr>
        <w:t>In re Application of Columbus S. Power Co.,</w:t>
      </w:r>
      <w:r w:rsidRPr="007F6994">
        <w:rPr>
          <w:szCs w:val="24"/>
        </w:rPr>
        <w:t xml:space="preserve"> 128 Ohio St.3d 512 (2011)</w:t>
      </w:r>
      <w:r>
        <w:rPr>
          <w:szCs w:val="24"/>
        </w:rPr>
        <w:t xml:space="preserve"> (the Ohio Supreme Court </w:t>
      </w:r>
      <w:r w:rsidRPr="0076781A">
        <w:t xml:space="preserve">overturned </w:t>
      </w:r>
      <w:r>
        <w:t xml:space="preserve">a $500 million PUCO-approved </w:t>
      </w:r>
      <w:r w:rsidRPr="0076781A">
        <w:t>POLR charge</w:t>
      </w:r>
      <w:r>
        <w:t xml:space="preserve"> for AEP</w:t>
      </w:r>
      <w:r w:rsidRPr="0076781A">
        <w:t xml:space="preserve">, after finding that there was not sufficient evidence to support </w:t>
      </w:r>
      <w:r>
        <w:t>it; unfortunately</w:t>
      </w:r>
      <w:r w:rsidR="00C53B69">
        <w:t>,</w:t>
      </w:r>
      <w:r w:rsidR="00E21469">
        <w:t xml:space="preserve"> </w:t>
      </w:r>
      <w:r w:rsidR="00756477">
        <w:t xml:space="preserve">AEP </w:t>
      </w:r>
      <w:r w:rsidR="00E21469">
        <w:t xml:space="preserve">consumers paid </w:t>
      </w:r>
      <w:r w:rsidRPr="00D721F4" w:rsidR="00E21469">
        <w:t>$</w:t>
      </w:r>
      <w:r w:rsidRPr="00D721F4" w:rsidR="008A08FA">
        <w:t>463 million</w:t>
      </w:r>
      <w:r w:rsidRPr="00D721F4" w:rsidR="00E21469">
        <w:t xml:space="preserve"> in unlawful </w:t>
      </w:r>
      <w:r w:rsidRPr="00D721F4" w:rsidR="008A08FA">
        <w:t xml:space="preserve">POLR </w:t>
      </w:r>
      <w:r w:rsidRPr="00D721F4" w:rsidR="00E21469">
        <w:t xml:space="preserve">charges, which were </w:t>
      </w:r>
      <w:r w:rsidRPr="00D721F4">
        <w:t>never refunded.</w:t>
      </w:r>
      <w:r w:rsidRPr="00D721F4" w:rsidR="00E21469">
        <w:t>)</w:t>
      </w:r>
      <w:r w:rsidRPr="0076781A">
        <w:t xml:space="preserve"> </w:t>
      </w:r>
    </w:p>
    <w:p w:rsidR="00277741" w:rsidP="001B7049" w14:paraId="681AE85B" w14:textId="7B7F149A">
      <w:pPr>
        <w:pStyle w:val="paragraph"/>
        <w:spacing w:before="0" w:beforeAutospacing="0" w:after="0" w:afterAutospacing="0" w:line="480" w:lineRule="auto"/>
        <w:ind w:firstLine="720"/>
        <w:textAlignment w:val="baseline"/>
        <w:rPr>
          <w:rStyle w:val="normaltextrun"/>
        </w:rPr>
      </w:pPr>
      <w:r w:rsidRPr="0076781A">
        <w:rPr>
          <w:rStyle w:val="normaltextrun"/>
        </w:rPr>
        <w:t>The PUCO</w:t>
      </w:r>
      <w:r>
        <w:rPr>
          <w:rStyle w:val="normaltextrun"/>
        </w:rPr>
        <w:t xml:space="preserve">, consistent with the Court’s </w:t>
      </w:r>
      <w:r w:rsidR="00100534">
        <w:rPr>
          <w:rStyle w:val="normaltextrun"/>
        </w:rPr>
        <w:t xml:space="preserve">2011 </w:t>
      </w:r>
      <w:r>
        <w:rPr>
          <w:rStyle w:val="normaltextrun"/>
        </w:rPr>
        <w:t xml:space="preserve">guidance, </w:t>
      </w:r>
      <w:r w:rsidRPr="0076781A">
        <w:rPr>
          <w:rStyle w:val="normaltextrun"/>
        </w:rPr>
        <w:t>ruled that POLR charges must be justified either on a cost basis or a non-cost basis before a utility can be compensated for being the POLR.</w:t>
      </w:r>
      <w:r>
        <w:rPr>
          <w:rStyle w:val="FootnoteReference"/>
        </w:rPr>
        <w:footnoteReference w:id="38"/>
      </w:r>
      <w:r w:rsidR="00E21469">
        <w:rPr>
          <w:rStyle w:val="normaltextrun"/>
        </w:rPr>
        <w:t xml:space="preserve">  Notably, in the only </w:t>
      </w:r>
      <w:r w:rsidR="007D1989">
        <w:rPr>
          <w:rStyle w:val="normaltextrun"/>
        </w:rPr>
        <w:t xml:space="preserve">fully </w:t>
      </w:r>
      <w:r w:rsidR="00E21469">
        <w:rPr>
          <w:rStyle w:val="normaltextrun"/>
        </w:rPr>
        <w:t>litigated POLR proceeding, the PUCO rejected a non-cos</w:t>
      </w:r>
      <w:r w:rsidR="00C53B69">
        <w:rPr>
          <w:rStyle w:val="normaltextrun"/>
        </w:rPr>
        <w:t>t-</w:t>
      </w:r>
      <w:r w:rsidR="00E21469">
        <w:rPr>
          <w:rStyle w:val="normaltextrun"/>
        </w:rPr>
        <w:t xml:space="preserve">based approach that AEP offered </w:t>
      </w:r>
      <w:r>
        <w:rPr>
          <w:rStyle w:val="normaltextrun"/>
        </w:rPr>
        <w:t xml:space="preserve">using the </w:t>
      </w:r>
      <w:r w:rsidR="00E21469">
        <w:rPr>
          <w:rStyle w:val="normaltextrun"/>
        </w:rPr>
        <w:t>Black Sholes modelling that DP&amp;L’s $7</w:t>
      </w:r>
      <w:r w:rsidR="00756477">
        <w:rPr>
          <w:rStyle w:val="normaltextrun"/>
        </w:rPr>
        <w:t>9</w:t>
      </w:r>
      <w:r w:rsidR="00E21469">
        <w:rPr>
          <w:rStyle w:val="normaltextrun"/>
        </w:rPr>
        <w:t xml:space="preserve"> million annual </w:t>
      </w:r>
      <w:r w:rsidR="005F6164">
        <w:rPr>
          <w:rStyle w:val="normaltextrun"/>
        </w:rPr>
        <w:t xml:space="preserve">non-cost based </w:t>
      </w:r>
      <w:r w:rsidR="00E21469">
        <w:rPr>
          <w:rStyle w:val="normaltextrun"/>
        </w:rPr>
        <w:t>POLR charge</w:t>
      </w:r>
      <w:r>
        <w:rPr>
          <w:rStyle w:val="normaltextrun"/>
        </w:rPr>
        <w:t xml:space="preserve"> was justified under.</w:t>
      </w:r>
      <w:r>
        <w:rPr>
          <w:rStyle w:val="FootnoteReference"/>
        </w:rPr>
        <w:footnoteReference w:id="39"/>
      </w:r>
      <w:r>
        <w:rPr>
          <w:rStyle w:val="normaltextrun"/>
        </w:rPr>
        <w:t xml:space="preserve"> </w:t>
      </w:r>
    </w:p>
    <w:p w:rsidR="001B7049" w:rsidP="00541DEE" w14:paraId="0138F79D" w14:textId="4BD539E5">
      <w:pPr>
        <w:pStyle w:val="paragraph"/>
        <w:spacing w:before="0" w:beforeAutospacing="0" w:after="0" w:afterAutospacing="0" w:line="480" w:lineRule="auto"/>
        <w:ind w:firstLine="720"/>
        <w:textAlignment w:val="baseline"/>
        <w:rPr>
          <w:rStyle w:val="normaltextrun"/>
        </w:rPr>
      </w:pPr>
      <w:r>
        <w:rPr>
          <w:rStyle w:val="normaltextrun"/>
        </w:rPr>
        <w:t xml:space="preserve">In that AEP POLR case (that followed the Court’s </w:t>
      </w:r>
      <w:r w:rsidR="00100534">
        <w:rPr>
          <w:rStyle w:val="normaltextrun"/>
        </w:rPr>
        <w:t xml:space="preserve">2011 </w:t>
      </w:r>
      <w:r>
        <w:rPr>
          <w:rStyle w:val="normaltextrun"/>
        </w:rPr>
        <w:t>remand)</w:t>
      </w:r>
      <w:r>
        <w:rPr>
          <w:rStyle w:val="FootnoteReference"/>
        </w:rPr>
        <w:footnoteReference w:id="40"/>
      </w:r>
      <w:r>
        <w:rPr>
          <w:rStyle w:val="normaltextrun"/>
        </w:rPr>
        <w:t xml:space="preserve">  the PUCO rejected the Black Sholes modelling</w:t>
      </w:r>
      <w:r w:rsidR="00E21469">
        <w:rPr>
          <w:rStyle w:val="normaltextrun"/>
        </w:rPr>
        <w:t xml:space="preserve"> </w:t>
      </w:r>
      <w:r>
        <w:rPr>
          <w:rStyle w:val="normaltextrun"/>
        </w:rPr>
        <w:t xml:space="preserve">finding that it </w:t>
      </w:r>
      <w:r w:rsidR="005E18D3">
        <w:rPr>
          <w:rStyle w:val="normaltextrun"/>
        </w:rPr>
        <w:t>“</w:t>
      </w:r>
      <w:r>
        <w:rPr>
          <w:rStyle w:val="normaltextrun"/>
        </w:rPr>
        <w:t>fails to provide a reasonable measure of the Companies’ POLR costs.”</w:t>
      </w:r>
      <w:r>
        <w:rPr>
          <w:rStyle w:val="FootnoteReference"/>
        </w:rPr>
        <w:footnoteReference w:id="41"/>
      </w:r>
      <w:r>
        <w:rPr>
          <w:rStyle w:val="normaltextrun"/>
        </w:rPr>
        <w:t xml:space="preserve">  </w:t>
      </w:r>
      <w:r w:rsidR="005E18D3">
        <w:rPr>
          <w:rStyle w:val="normaltextrun"/>
        </w:rPr>
        <w:t xml:space="preserve">The PUCO concluded that the model simply does not measure POLR costs, </w:t>
      </w:r>
      <w:r w:rsidR="004C46A4">
        <w:rPr>
          <w:rStyle w:val="normaltextrun"/>
        </w:rPr>
        <w:t xml:space="preserve">determining </w:t>
      </w:r>
      <w:r w:rsidR="005E18D3">
        <w:rPr>
          <w:rStyle w:val="normaltextrun"/>
        </w:rPr>
        <w:t>that value to consumers of the POLR option and the cost to AEP are not the same thing.</w:t>
      </w:r>
      <w:r>
        <w:rPr>
          <w:rStyle w:val="FootnoteReference"/>
        </w:rPr>
        <w:footnoteReference w:id="42"/>
      </w:r>
      <w:r w:rsidR="005E18D3">
        <w:rPr>
          <w:rStyle w:val="normaltextrun"/>
        </w:rPr>
        <w:t xml:space="preserve"> Further the PUCO questioned AEP’s use of modelling to predict costs that are readily measurable and verifiable through more reliable means such as hedging, competitive bidding, or an after the fact calculation of incremental energy and capacity costs incurred to serve returning customers.</w:t>
      </w:r>
      <w:r>
        <w:rPr>
          <w:rStyle w:val="FootnoteReference"/>
        </w:rPr>
        <w:footnoteReference w:id="43"/>
      </w:r>
    </w:p>
    <w:p w:rsidR="001B7049" w:rsidP="001D5264" w14:paraId="01800540" w14:textId="77BB14FC">
      <w:pPr>
        <w:spacing w:after="0" w:line="480" w:lineRule="auto"/>
        <w:ind w:firstLine="720"/>
        <w:rPr>
          <w:rStyle w:val="normaltextrun"/>
        </w:rPr>
      </w:pPr>
      <w:r>
        <w:rPr>
          <w:rStyle w:val="normaltextrun"/>
        </w:rPr>
        <w:t>D</w:t>
      </w:r>
      <w:r w:rsidRPr="0076781A">
        <w:rPr>
          <w:rStyle w:val="normaltextrun"/>
        </w:rPr>
        <w:t xml:space="preserve">espite </w:t>
      </w:r>
      <w:r>
        <w:rPr>
          <w:rStyle w:val="normaltextrun"/>
        </w:rPr>
        <w:t xml:space="preserve">this </w:t>
      </w:r>
      <w:r w:rsidR="00303E08">
        <w:rPr>
          <w:rStyle w:val="normaltextrun"/>
        </w:rPr>
        <w:t xml:space="preserve">2011 </w:t>
      </w:r>
      <w:r>
        <w:rPr>
          <w:rStyle w:val="normaltextrun"/>
        </w:rPr>
        <w:t xml:space="preserve">Ohio </w:t>
      </w:r>
      <w:r w:rsidR="00541DEE">
        <w:rPr>
          <w:rStyle w:val="normaltextrun"/>
        </w:rPr>
        <w:t xml:space="preserve">Supreme Court </w:t>
      </w:r>
      <w:r w:rsidR="00303E08">
        <w:rPr>
          <w:rStyle w:val="normaltextrun"/>
        </w:rPr>
        <w:t xml:space="preserve">and </w:t>
      </w:r>
      <w:r w:rsidRPr="0076781A">
        <w:rPr>
          <w:rStyle w:val="normaltextrun"/>
        </w:rPr>
        <w:t>PUCO precedent</w:t>
      </w:r>
      <w:r>
        <w:rPr>
          <w:rStyle w:val="normaltextrun"/>
        </w:rPr>
        <w:t xml:space="preserve"> </w:t>
      </w:r>
      <w:r w:rsidRPr="00303E08">
        <w:rPr>
          <w:rStyle w:val="normaltextrun"/>
          <w:b/>
          <w:bCs/>
        </w:rPr>
        <w:t xml:space="preserve">–all </w:t>
      </w:r>
      <w:r w:rsidR="00D338EF">
        <w:rPr>
          <w:rStyle w:val="normaltextrun"/>
          <w:b/>
          <w:bCs/>
        </w:rPr>
        <w:t xml:space="preserve">of </w:t>
      </w:r>
      <w:r w:rsidRPr="00303E08">
        <w:rPr>
          <w:rStyle w:val="normaltextrun"/>
          <w:b/>
          <w:bCs/>
        </w:rPr>
        <w:t>which occurred after</w:t>
      </w:r>
      <w:r w:rsidR="007D1989">
        <w:rPr>
          <w:rStyle w:val="normaltextrun"/>
          <w:b/>
          <w:bCs/>
        </w:rPr>
        <w:t xml:space="preserve"> OCC signed</w:t>
      </w:r>
      <w:r w:rsidRPr="00303E08">
        <w:rPr>
          <w:rStyle w:val="normaltextrun"/>
          <w:b/>
          <w:bCs/>
        </w:rPr>
        <w:t xml:space="preserve"> the </w:t>
      </w:r>
      <w:r w:rsidRPr="00303E08" w:rsidR="00303E08">
        <w:rPr>
          <w:rStyle w:val="normaltextrun"/>
          <w:b/>
          <w:bCs/>
        </w:rPr>
        <w:t xml:space="preserve">2009 </w:t>
      </w:r>
      <w:r w:rsidRPr="00303E08">
        <w:rPr>
          <w:rStyle w:val="normaltextrun"/>
          <w:b/>
          <w:bCs/>
        </w:rPr>
        <w:t>stipulation in ESP I</w:t>
      </w:r>
      <w:r w:rsidRPr="0076781A">
        <w:rPr>
          <w:rStyle w:val="normaltextrun"/>
        </w:rPr>
        <w:t>, the PUCO</w:t>
      </w:r>
      <w:r w:rsidR="00303E08">
        <w:rPr>
          <w:rStyle w:val="normaltextrun"/>
        </w:rPr>
        <w:t xml:space="preserve"> </w:t>
      </w:r>
      <w:r w:rsidR="009F37B5">
        <w:rPr>
          <w:rStyle w:val="normaltextrun"/>
        </w:rPr>
        <w:t xml:space="preserve">in 2021, </w:t>
      </w:r>
      <w:r w:rsidRPr="0076781A">
        <w:rPr>
          <w:rStyle w:val="normaltextrun"/>
        </w:rPr>
        <w:t>approved</w:t>
      </w:r>
      <w:r w:rsidR="00541DEE">
        <w:rPr>
          <w:rStyle w:val="normaltextrun"/>
        </w:rPr>
        <w:t xml:space="preserve"> the continuation of</w:t>
      </w:r>
      <w:r w:rsidR="007D1989">
        <w:rPr>
          <w:rStyle w:val="normaltextrun"/>
        </w:rPr>
        <w:t xml:space="preserve"> </w:t>
      </w:r>
      <w:r w:rsidR="00756477">
        <w:rPr>
          <w:rStyle w:val="normaltextrun"/>
        </w:rPr>
        <w:t>what amounts to a</w:t>
      </w:r>
      <w:r w:rsidR="007D1989">
        <w:rPr>
          <w:rStyle w:val="normaltextrun"/>
        </w:rPr>
        <w:t xml:space="preserve"> </w:t>
      </w:r>
      <w:r w:rsidR="00541DEE">
        <w:rPr>
          <w:rStyle w:val="normaltextrun"/>
        </w:rPr>
        <w:t>$7</w:t>
      </w:r>
      <w:r w:rsidR="00756477">
        <w:rPr>
          <w:rStyle w:val="normaltextrun"/>
        </w:rPr>
        <w:t>9</w:t>
      </w:r>
      <w:r w:rsidR="00541DEE">
        <w:rPr>
          <w:rStyle w:val="normaltextrun"/>
        </w:rPr>
        <w:t xml:space="preserve"> million per year</w:t>
      </w:r>
      <w:r w:rsidR="00C53B69">
        <w:rPr>
          <w:rStyle w:val="normaltextrun"/>
        </w:rPr>
        <w:t>,</w:t>
      </w:r>
      <w:r w:rsidR="00541DEE">
        <w:rPr>
          <w:rStyle w:val="normaltextrun"/>
        </w:rPr>
        <w:t xml:space="preserve"> non-cost based POLR charge to</w:t>
      </w:r>
      <w:r w:rsidR="00303E08">
        <w:rPr>
          <w:rStyle w:val="normaltextrun"/>
        </w:rPr>
        <w:t xml:space="preserve"> DP&amp;L</w:t>
      </w:r>
      <w:r w:rsidR="00541DEE">
        <w:rPr>
          <w:rStyle w:val="normaltextrun"/>
        </w:rPr>
        <w:t xml:space="preserve"> consumers</w:t>
      </w:r>
      <w:r>
        <w:rPr>
          <w:rStyle w:val="normaltextrun"/>
        </w:rPr>
        <w:t xml:space="preserve">. </w:t>
      </w:r>
      <w:r w:rsidR="00303E08">
        <w:rPr>
          <w:rStyle w:val="normaltextrun"/>
        </w:rPr>
        <w:t xml:space="preserve">That </w:t>
      </w:r>
      <w:r w:rsidR="009F37B5">
        <w:rPr>
          <w:rStyle w:val="normaltextrun"/>
        </w:rPr>
        <w:t>$7</w:t>
      </w:r>
      <w:r w:rsidR="00756477">
        <w:rPr>
          <w:rStyle w:val="normaltextrun"/>
        </w:rPr>
        <w:t>9</w:t>
      </w:r>
      <w:r w:rsidR="009F37B5">
        <w:rPr>
          <w:rStyle w:val="normaltextrun"/>
        </w:rPr>
        <w:t xml:space="preserve"> million yearly</w:t>
      </w:r>
      <w:r w:rsidR="00303E08">
        <w:rPr>
          <w:rStyle w:val="normaltextrun"/>
        </w:rPr>
        <w:t xml:space="preserve"> charge</w:t>
      </w:r>
      <w:r w:rsidR="009F37B5">
        <w:rPr>
          <w:rStyle w:val="normaltextrun"/>
        </w:rPr>
        <w:t xml:space="preserve"> to DP&amp;L consumers</w:t>
      </w:r>
      <w:r w:rsidR="00303E08">
        <w:rPr>
          <w:rStyle w:val="normaltextrun"/>
        </w:rPr>
        <w:t>,</w:t>
      </w:r>
      <w:r w:rsidR="00541DEE">
        <w:rPr>
          <w:rStyle w:val="normaltextrun"/>
        </w:rPr>
        <w:t xml:space="preserve"> established years ago</w:t>
      </w:r>
      <w:r w:rsidR="00303E08">
        <w:rPr>
          <w:rStyle w:val="normaltextrun"/>
        </w:rPr>
        <w:t xml:space="preserve">, </w:t>
      </w:r>
      <w:r w:rsidR="00B8418B">
        <w:rPr>
          <w:rStyle w:val="normaltextrun"/>
        </w:rPr>
        <w:t>continues as an arbitrary</w:t>
      </w:r>
      <w:r w:rsidR="005F6164">
        <w:rPr>
          <w:rStyle w:val="normaltextrun"/>
        </w:rPr>
        <w:t>, defunct</w:t>
      </w:r>
      <w:r w:rsidR="00B8418B">
        <w:rPr>
          <w:rStyle w:val="normaltextrun"/>
        </w:rPr>
        <w:t xml:space="preserve"> charge</w:t>
      </w:r>
      <w:r w:rsidR="00541DEE">
        <w:rPr>
          <w:rStyle w:val="normaltextrun"/>
        </w:rPr>
        <w:t xml:space="preserve"> </w:t>
      </w:r>
      <w:r w:rsidR="00B8418B">
        <w:rPr>
          <w:rStyle w:val="normaltextrun"/>
        </w:rPr>
        <w:t>linked to a sixteen year old generation rate for plants that are no</w:t>
      </w:r>
      <w:r w:rsidR="005F6164">
        <w:rPr>
          <w:rStyle w:val="normaltextrun"/>
        </w:rPr>
        <w:t xml:space="preserve"> longer</w:t>
      </w:r>
      <w:r w:rsidR="00B8418B">
        <w:rPr>
          <w:rStyle w:val="normaltextrun"/>
        </w:rPr>
        <w:t xml:space="preserve"> owned by DP&amp;L</w:t>
      </w:r>
      <w:r w:rsidRPr="0076781A">
        <w:rPr>
          <w:rStyle w:val="normaltextrun"/>
        </w:rPr>
        <w:t>.</w:t>
      </w:r>
      <w:r>
        <w:rPr>
          <w:rStyle w:val="FootnoteReference"/>
        </w:rPr>
        <w:footnoteReference w:id="44"/>
      </w:r>
      <w:r>
        <w:rPr>
          <w:rStyle w:val="normaltextrun"/>
        </w:rPr>
        <w:t xml:space="preserve"> </w:t>
      </w:r>
      <w:r w:rsidR="00303E08">
        <w:rPr>
          <w:rStyle w:val="normaltextrun"/>
        </w:rPr>
        <w:t xml:space="preserve"> Back </w:t>
      </w:r>
      <w:r w:rsidR="00B8418B">
        <w:rPr>
          <w:rStyle w:val="normaltextrun"/>
        </w:rPr>
        <w:t>in 2005 (and in 2009)</w:t>
      </w:r>
      <w:r w:rsidR="00303E08">
        <w:rPr>
          <w:rStyle w:val="normaltextrun"/>
        </w:rPr>
        <w:t xml:space="preserve"> DP&amp;L did not provide any evidence of its costs associated with carrying the POLR risks. </w:t>
      </w:r>
      <w:r w:rsidR="00D338EF">
        <w:rPr>
          <w:rStyle w:val="normaltextrun"/>
        </w:rPr>
        <w:t xml:space="preserve">Nor has it provided evidence </w:t>
      </w:r>
      <w:r w:rsidR="009F37B5">
        <w:rPr>
          <w:rStyle w:val="normaltextrun"/>
        </w:rPr>
        <w:t xml:space="preserve">in this present proceeding </w:t>
      </w:r>
      <w:r w:rsidR="00D338EF">
        <w:rPr>
          <w:rStyle w:val="normaltextrun"/>
        </w:rPr>
        <w:t xml:space="preserve">of </w:t>
      </w:r>
      <w:r w:rsidR="009F37B5">
        <w:rPr>
          <w:rStyle w:val="normaltextrun"/>
        </w:rPr>
        <w:t>any costs it has incurred or expects to incur in carrying the POLR risk.</w:t>
      </w:r>
      <w:r w:rsidR="00D338EF">
        <w:rPr>
          <w:rStyle w:val="normaltextrun"/>
        </w:rPr>
        <w:t xml:space="preserve"> </w:t>
      </w:r>
      <w:r w:rsidR="00303E08">
        <w:rPr>
          <w:rStyle w:val="normaltextrun"/>
        </w:rPr>
        <w:t xml:space="preserve"> Instead, </w:t>
      </w:r>
      <w:r w:rsidR="00D338EF">
        <w:rPr>
          <w:rStyle w:val="normaltextrun"/>
        </w:rPr>
        <w:t xml:space="preserve">DP&amp;L </w:t>
      </w:r>
      <w:r w:rsidR="00303E08">
        <w:rPr>
          <w:rStyle w:val="normaltextrun"/>
        </w:rPr>
        <w:t>rel</w:t>
      </w:r>
      <w:r w:rsidR="007D1989">
        <w:rPr>
          <w:rStyle w:val="normaltextrun"/>
        </w:rPr>
        <w:t>ied on (continues to rel</w:t>
      </w:r>
      <w:r w:rsidR="00D338EF">
        <w:rPr>
          <w:rStyle w:val="normaltextrun"/>
        </w:rPr>
        <w:t>y</w:t>
      </w:r>
      <w:r w:rsidR="009F37B5">
        <w:rPr>
          <w:rStyle w:val="normaltextrun"/>
        </w:rPr>
        <w:t xml:space="preserve"> </w:t>
      </w:r>
      <w:r w:rsidR="00303E08">
        <w:rPr>
          <w:rStyle w:val="normaltextrun"/>
        </w:rPr>
        <w:t>on</w:t>
      </w:r>
      <w:r w:rsidR="007D1989">
        <w:rPr>
          <w:rStyle w:val="normaltextrun"/>
        </w:rPr>
        <w:t>)</w:t>
      </w:r>
      <w:r w:rsidR="00303E08">
        <w:rPr>
          <w:rStyle w:val="normaltextrun"/>
        </w:rPr>
        <w:t xml:space="preserve"> </w:t>
      </w:r>
      <w:r w:rsidR="009F37B5">
        <w:rPr>
          <w:rStyle w:val="normaltextrun"/>
        </w:rPr>
        <w:t xml:space="preserve">(1) the </w:t>
      </w:r>
      <w:r w:rsidR="007D1989">
        <w:rPr>
          <w:rStyle w:val="normaltextrun"/>
        </w:rPr>
        <w:t xml:space="preserve">defunct </w:t>
      </w:r>
      <w:r w:rsidR="009F37B5">
        <w:rPr>
          <w:rStyle w:val="normaltextrun"/>
        </w:rPr>
        <w:t>2004 generation rate for plants it no longer owns and (2) a</w:t>
      </w:r>
      <w:r w:rsidR="007D1989">
        <w:rPr>
          <w:rStyle w:val="normaltextrun"/>
        </w:rPr>
        <w:t>n</w:t>
      </w:r>
      <w:r w:rsidR="009F37B5">
        <w:rPr>
          <w:rStyle w:val="normaltextrun"/>
        </w:rPr>
        <w:t xml:space="preserve"> options pricing model that </w:t>
      </w:r>
      <w:r w:rsidR="00303E08">
        <w:rPr>
          <w:rStyle w:val="normaltextrun"/>
        </w:rPr>
        <w:t xml:space="preserve">the PUCO (and the Supreme Court of Ohio) </w:t>
      </w:r>
      <w:r w:rsidR="003969EE">
        <w:rPr>
          <w:rStyle w:val="normaltextrun"/>
        </w:rPr>
        <w:t>rejected in 2011</w:t>
      </w:r>
      <w:r w:rsidR="00303E08">
        <w:rPr>
          <w:rStyle w:val="normaltextrun"/>
        </w:rPr>
        <w:t xml:space="preserve">. </w:t>
      </w:r>
    </w:p>
    <w:p w:rsidR="003969EE" w:rsidP="001D5264" w14:paraId="3DE7F451" w14:textId="4CA14243">
      <w:pPr>
        <w:spacing w:after="0" w:line="480" w:lineRule="auto"/>
        <w:ind w:firstLine="720"/>
        <w:rPr>
          <w:rStyle w:val="normaltextrun"/>
        </w:rPr>
      </w:pPr>
      <w:r>
        <w:rPr>
          <w:rStyle w:val="normaltextrun"/>
        </w:rPr>
        <w:t>Given the 2011 rulings by the Court and the PUCO itself, t</w:t>
      </w:r>
      <w:r w:rsidR="007D1989">
        <w:rPr>
          <w:rStyle w:val="normaltextrun"/>
        </w:rPr>
        <w:t>he PUCO should have required DP&amp;L to provide evidence justifying the $7</w:t>
      </w:r>
      <w:r w:rsidR="00756477">
        <w:rPr>
          <w:rStyle w:val="normaltextrun"/>
        </w:rPr>
        <w:t>9</w:t>
      </w:r>
      <w:r w:rsidR="007D1989">
        <w:rPr>
          <w:rStyle w:val="normaltextrun"/>
        </w:rPr>
        <w:t xml:space="preserve"> million per year charge to consumers. </w:t>
      </w:r>
      <w:r>
        <w:rPr>
          <w:rStyle w:val="normaltextrun"/>
        </w:rPr>
        <w:t xml:space="preserve"> </w:t>
      </w:r>
      <w:r w:rsidR="00B8418B">
        <w:rPr>
          <w:rStyle w:val="normaltextrun"/>
        </w:rPr>
        <w:t xml:space="preserve">According to that precedent, </w:t>
      </w:r>
      <w:r w:rsidRPr="00B8418B" w:rsidR="00B8418B">
        <w:t xml:space="preserve">there must </w:t>
      </w:r>
      <w:r w:rsidR="00157139">
        <w:t xml:space="preserve">be </w:t>
      </w:r>
      <w:r w:rsidRPr="00B8418B" w:rsidR="00B8418B">
        <w:t xml:space="preserve">record support for a POLR charge before it can be imposed upon </w:t>
      </w:r>
      <w:r w:rsidR="00756477">
        <w:t>consumer</w:t>
      </w:r>
      <w:r w:rsidRPr="00B8418B" w:rsidR="00B8418B">
        <w:t>s</w:t>
      </w:r>
      <w:r w:rsidRPr="00C53B69" w:rsidR="00B8418B">
        <w:t>.</w:t>
      </w:r>
      <w:r w:rsidR="00B8418B">
        <w:t xml:space="preserve">  </w:t>
      </w:r>
      <w:r w:rsidRPr="007F6994" w:rsidR="00B8418B">
        <w:rPr>
          <w:i/>
          <w:szCs w:val="24"/>
        </w:rPr>
        <w:t>In re Application of Columbus S. Power Co.,</w:t>
      </w:r>
      <w:r w:rsidRPr="007F6994" w:rsidR="00B8418B">
        <w:rPr>
          <w:szCs w:val="24"/>
        </w:rPr>
        <w:t xml:space="preserve"> 128 Ohio St.3d 512 (2011)</w:t>
      </w:r>
      <w:r w:rsidR="00B8418B">
        <w:rPr>
          <w:szCs w:val="24"/>
        </w:rPr>
        <w:t xml:space="preserve">.  </w:t>
      </w:r>
      <w:r w:rsidR="005F6164">
        <w:rPr>
          <w:szCs w:val="24"/>
        </w:rPr>
        <w:t xml:space="preserve">Here there was none. </w:t>
      </w:r>
      <w:r w:rsidR="005F6164">
        <w:rPr>
          <w:rStyle w:val="normaltextrun"/>
        </w:rPr>
        <w:t>No record at all. T</w:t>
      </w:r>
      <w:r>
        <w:rPr>
          <w:rStyle w:val="normaltextrun"/>
        </w:rPr>
        <w:t>he PUCO did not require DP&amp;L to prove that a $7</w:t>
      </w:r>
      <w:r w:rsidR="00756477">
        <w:rPr>
          <w:rStyle w:val="normaltextrun"/>
        </w:rPr>
        <w:t>9</w:t>
      </w:r>
      <w:r>
        <w:rPr>
          <w:rStyle w:val="normaltextrun"/>
        </w:rPr>
        <w:t xml:space="preserve"> million annual POLR charge to </w:t>
      </w:r>
      <w:r w:rsidR="00756477">
        <w:rPr>
          <w:rStyle w:val="normaltextrun"/>
        </w:rPr>
        <w:t xml:space="preserve">consumers </w:t>
      </w:r>
      <w:r>
        <w:rPr>
          <w:rStyle w:val="normaltextrun"/>
        </w:rPr>
        <w:t xml:space="preserve">continues to be just and reasonable in 2021 and beyond (till 2024). </w:t>
      </w:r>
      <w:r w:rsidR="00722C33">
        <w:rPr>
          <w:rStyle w:val="normaltextrun"/>
        </w:rPr>
        <w:t>Rather it took the easy way out</w:t>
      </w:r>
      <w:r w:rsidR="00B8418B">
        <w:rPr>
          <w:rStyle w:val="normaltextrun"/>
        </w:rPr>
        <w:t xml:space="preserve">, siding with the utility </w:t>
      </w:r>
      <w:r w:rsidR="00722C33">
        <w:rPr>
          <w:rStyle w:val="normaltextrun"/>
        </w:rPr>
        <w:t>and blam</w:t>
      </w:r>
      <w:r w:rsidR="00B8418B">
        <w:rPr>
          <w:rStyle w:val="normaltextrun"/>
        </w:rPr>
        <w:t>ing</w:t>
      </w:r>
      <w:r w:rsidR="00722C33">
        <w:rPr>
          <w:rStyle w:val="normaltextrun"/>
        </w:rPr>
        <w:t xml:space="preserve"> OCC for agreeing in 2009 to the POLR charge –“[w]e are reluctant to disturb the stipulated rates based upon the contention of one of the signatory parties, out of many, that circumstances have changed.”  </w:t>
      </w:r>
    </w:p>
    <w:p w:rsidR="00B8418B" w:rsidP="001D5264" w14:paraId="7A767FAE" w14:textId="3D25CC9F">
      <w:pPr>
        <w:spacing w:after="0" w:line="480" w:lineRule="auto"/>
        <w:ind w:firstLine="720"/>
        <w:rPr>
          <w:rStyle w:val="normaltextrun"/>
        </w:rPr>
      </w:pPr>
      <w:r>
        <w:rPr>
          <w:rStyle w:val="normaltextrun"/>
        </w:rPr>
        <w:t xml:space="preserve">The PUCO’s failure to assess the justness and reasonableness of </w:t>
      </w:r>
      <w:r w:rsidR="00756477">
        <w:rPr>
          <w:rStyle w:val="normaltextrun"/>
        </w:rPr>
        <w:t>a</w:t>
      </w:r>
      <w:r>
        <w:rPr>
          <w:rStyle w:val="normaltextrun"/>
        </w:rPr>
        <w:t xml:space="preserve"> $7</w:t>
      </w:r>
      <w:r w:rsidR="00756477">
        <w:rPr>
          <w:rStyle w:val="normaltextrun"/>
        </w:rPr>
        <w:t>9</w:t>
      </w:r>
      <w:r>
        <w:rPr>
          <w:rStyle w:val="normaltextrun"/>
        </w:rPr>
        <w:t xml:space="preserve"> million </w:t>
      </w:r>
      <w:r w:rsidR="00756477">
        <w:rPr>
          <w:rStyle w:val="normaltextrun"/>
        </w:rPr>
        <w:t>non-cost</w:t>
      </w:r>
      <w:r w:rsidR="00C53B69">
        <w:rPr>
          <w:rStyle w:val="normaltextrun"/>
        </w:rPr>
        <w:t>-</w:t>
      </w:r>
      <w:r w:rsidR="00756477">
        <w:rPr>
          <w:rStyle w:val="normaltextrun"/>
        </w:rPr>
        <w:t xml:space="preserve">based </w:t>
      </w:r>
      <w:r>
        <w:rPr>
          <w:rStyle w:val="normaltextrun"/>
        </w:rPr>
        <w:t xml:space="preserve">charge </w:t>
      </w:r>
      <w:r w:rsidR="00157139">
        <w:rPr>
          <w:rStyle w:val="normaltextrun"/>
        </w:rPr>
        <w:t xml:space="preserve">to consumers </w:t>
      </w:r>
      <w:r>
        <w:rPr>
          <w:rStyle w:val="normaltextrun"/>
        </w:rPr>
        <w:t xml:space="preserve">was a violation of </w:t>
      </w:r>
      <w:r w:rsidR="007D1989">
        <w:rPr>
          <w:rStyle w:val="normaltextrun"/>
        </w:rPr>
        <w:t>R.C. 490</w:t>
      </w:r>
      <w:r>
        <w:rPr>
          <w:rStyle w:val="normaltextrun"/>
        </w:rPr>
        <w:t>5</w:t>
      </w:r>
      <w:r w:rsidR="007D1989">
        <w:rPr>
          <w:rStyle w:val="normaltextrun"/>
        </w:rPr>
        <w:t>.22</w:t>
      </w:r>
      <w:r>
        <w:rPr>
          <w:rStyle w:val="normaltextrun"/>
        </w:rPr>
        <w:t xml:space="preserve"> that requires all charges for utility services, including POLR, to be just and reasonable</w:t>
      </w:r>
      <w:r w:rsidR="007D1989">
        <w:rPr>
          <w:rStyle w:val="normaltextrun"/>
        </w:rPr>
        <w:t xml:space="preserve">. </w:t>
      </w:r>
      <w:r>
        <w:rPr>
          <w:rStyle w:val="normaltextrun"/>
        </w:rPr>
        <w:t xml:space="preserve"> The PUCO also violated R.C. 4928.02(A) which establishes the electric service policies in the state to include ensuring “reasonably priced retail electric service.”  The PUCO’s duty is to carry out those policies.  R.C. 4928.06.  </w:t>
      </w:r>
      <w:r w:rsidR="004C46A4">
        <w:rPr>
          <w:rStyle w:val="normaltextrun"/>
        </w:rPr>
        <w:t>The PUCO failed to fulfill these duties.</w:t>
      </w:r>
    </w:p>
    <w:p w:rsidR="007D1989" w:rsidRPr="0076781A" w:rsidP="00D721F4" w14:paraId="2592062A" w14:textId="48F9C773">
      <w:pPr>
        <w:spacing w:after="0" w:line="480" w:lineRule="auto"/>
        <w:ind w:firstLine="720"/>
        <w:rPr>
          <w:rStyle w:val="normaltextrun"/>
        </w:rPr>
      </w:pPr>
      <w:r>
        <w:rPr>
          <w:rStyle w:val="normaltextrun"/>
        </w:rPr>
        <w:t>The PUCO’s failure to assess the justness and reasonableness of</w:t>
      </w:r>
      <w:r w:rsidR="00C53B69">
        <w:rPr>
          <w:rStyle w:val="normaltextrun"/>
        </w:rPr>
        <w:t xml:space="preserve"> continuing </w:t>
      </w:r>
      <w:r>
        <w:rPr>
          <w:rStyle w:val="normaltextrun"/>
        </w:rPr>
        <w:t xml:space="preserve"> the POLR charge</w:t>
      </w:r>
      <w:r w:rsidR="00C53B69">
        <w:rPr>
          <w:rStyle w:val="normaltextrun"/>
        </w:rPr>
        <w:t xml:space="preserve"> at a $79 million level</w:t>
      </w:r>
      <w:r>
        <w:rPr>
          <w:rStyle w:val="normaltextrun"/>
        </w:rPr>
        <w:t xml:space="preserve">, especially given the </w:t>
      </w:r>
      <w:r w:rsidR="001F2799">
        <w:rPr>
          <w:rStyle w:val="normaltextrun"/>
        </w:rPr>
        <w:t xml:space="preserve">changed law (beyond the “changed circumstances”) as expressed in the </w:t>
      </w:r>
      <w:r>
        <w:rPr>
          <w:rStyle w:val="normaltextrun"/>
        </w:rPr>
        <w:t>2011 holdings of the Court and its own AEP POLR holding</w:t>
      </w:r>
      <w:r w:rsidR="00722C33">
        <w:rPr>
          <w:rStyle w:val="normaltextrun"/>
        </w:rPr>
        <w:t>,</w:t>
      </w:r>
      <w:r>
        <w:rPr>
          <w:rStyle w:val="normaltextrun"/>
        </w:rPr>
        <w:t xml:space="preserve"> was also unreasonable.  </w:t>
      </w:r>
      <w:r w:rsidR="00722C33">
        <w:rPr>
          <w:rStyle w:val="normaltextrun"/>
        </w:rPr>
        <w:t xml:space="preserve">As the PUCO so aptly noted </w:t>
      </w:r>
      <w:r w:rsidR="00B8418B">
        <w:rPr>
          <w:rStyle w:val="normaltextrun"/>
        </w:rPr>
        <w:t xml:space="preserve">in its order in this case, </w:t>
      </w:r>
      <w:r w:rsidR="00722C33">
        <w:rPr>
          <w:rStyle w:val="normaltextrun"/>
        </w:rPr>
        <w:t>it should respect its precedents</w:t>
      </w:r>
      <w:r w:rsidR="001F2799">
        <w:rPr>
          <w:rStyle w:val="normaltextrun"/>
        </w:rPr>
        <w:t xml:space="preserve"> </w:t>
      </w:r>
      <w:r w:rsidR="00722C33">
        <w:rPr>
          <w:rStyle w:val="normaltextrun"/>
        </w:rPr>
        <w:t>in order to assure predictability which is essential in administrative law.</w:t>
      </w:r>
      <w:r>
        <w:rPr>
          <w:rStyle w:val="FootnoteReference"/>
        </w:rPr>
        <w:footnoteReference w:id="45"/>
      </w:r>
      <w:r w:rsidR="00722C33">
        <w:rPr>
          <w:rStyle w:val="normaltextrun"/>
        </w:rPr>
        <w:t xml:space="preserve"> </w:t>
      </w:r>
      <w:r w:rsidR="003E535C">
        <w:rPr>
          <w:rStyle w:val="normaltextrun"/>
        </w:rPr>
        <w:t>Yet, i</w:t>
      </w:r>
      <w:r w:rsidR="001F2799">
        <w:rPr>
          <w:rStyle w:val="normaltextrun"/>
        </w:rPr>
        <w:t xml:space="preserve">t failed to do so here when it plainly ignored the 2011 rulings requiring more than a wink and a nod for </w:t>
      </w:r>
      <w:r w:rsidR="003E535C">
        <w:rPr>
          <w:rStyle w:val="normaltextrun"/>
        </w:rPr>
        <w:t xml:space="preserve">authorizing </w:t>
      </w:r>
      <w:r w:rsidR="001F2799">
        <w:rPr>
          <w:rStyle w:val="normaltextrun"/>
        </w:rPr>
        <w:t xml:space="preserve">a multi-million dollar </w:t>
      </w:r>
      <w:r w:rsidR="00157139">
        <w:rPr>
          <w:rStyle w:val="normaltextrun"/>
        </w:rPr>
        <w:t xml:space="preserve">non-cost based </w:t>
      </w:r>
      <w:r w:rsidR="001F2799">
        <w:rPr>
          <w:rStyle w:val="normaltextrun"/>
        </w:rPr>
        <w:t>POLR charge to consumers</w:t>
      </w:r>
      <w:r w:rsidR="00157139">
        <w:rPr>
          <w:rStyle w:val="normaltextrun"/>
        </w:rPr>
        <w:t>.</w:t>
      </w:r>
      <w:r w:rsidR="001F2799">
        <w:rPr>
          <w:rStyle w:val="normaltextrun"/>
        </w:rPr>
        <w:t xml:space="preserve">   </w:t>
      </w:r>
    </w:p>
    <w:p w:rsidR="005C5ACD" w:rsidRPr="002A2D82" w:rsidP="00164A29" w14:paraId="6FD8C4C4" w14:textId="1D4498C8">
      <w:pPr>
        <w:pStyle w:val="Heading4"/>
        <w:rPr>
          <w:rStyle w:val="eop"/>
        </w:rPr>
      </w:pPr>
      <w:bookmarkStart w:id="25" w:name="_Toc482623223"/>
      <w:bookmarkStart w:id="26" w:name="_Toc25756962"/>
      <w:bookmarkStart w:id="27" w:name="_Toc26367079"/>
      <w:bookmarkStart w:id="28" w:name="_Toc77342117"/>
      <w:bookmarkStart w:id="29" w:name="_Hlk77324726"/>
      <w:r w:rsidRPr="001D5264">
        <w:rPr>
          <w:rStyle w:val="Heading4Char"/>
        </w:rPr>
        <w:t>2.</w:t>
      </w:r>
      <w:r w:rsidRPr="001D5264">
        <w:rPr>
          <w:rStyle w:val="Heading4Char"/>
        </w:rPr>
        <w:tab/>
      </w:r>
      <w:r w:rsidRPr="00D721F4">
        <w:t xml:space="preserve">There is no evidentiary support for allowing DP&amp;L to </w:t>
      </w:r>
      <w:r w:rsidRPr="00D721F4" w:rsidR="004B30E1">
        <w:t xml:space="preserve">continue to </w:t>
      </w:r>
      <w:r w:rsidRPr="00D721F4">
        <w:t xml:space="preserve">charge customers </w:t>
      </w:r>
      <w:r w:rsidRPr="00D721F4" w:rsidR="004B30E1">
        <w:t>$7</w:t>
      </w:r>
      <w:r w:rsidRPr="00D721F4" w:rsidR="007D1257">
        <w:t>9</w:t>
      </w:r>
      <w:r w:rsidRPr="00D721F4" w:rsidR="004B30E1">
        <w:t xml:space="preserve"> million </w:t>
      </w:r>
      <w:r w:rsidRPr="00D721F4">
        <w:t xml:space="preserve">for </w:t>
      </w:r>
      <w:r w:rsidRPr="00D721F4" w:rsidR="004B30E1">
        <w:t xml:space="preserve">a non-cost based </w:t>
      </w:r>
      <w:r w:rsidRPr="00D721F4">
        <w:t>POLR</w:t>
      </w:r>
      <w:r w:rsidRPr="00D721F4" w:rsidR="001F2799">
        <w:t>, violating R.C. 4903.09</w:t>
      </w:r>
      <w:r w:rsidRPr="00D721F4">
        <w:t>.</w:t>
      </w:r>
      <w:bookmarkEnd w:id="25"/>
      <w:bookmarkEnd w:id="26"/>
      <w:bookmarkEnd w:id="27"/>
      <w:bookmarkEnd w:id="28"/>
      <w:r w:rsidRPr="002A2D82">
        <w:rPr>
          <w:rStyle w:val="normaltextrun"/>
        </w:rPr>
        <w:t xml:space="preserve"> </w:t>
      </w:r>
    </w:p>
    <w:bookmarkEnd w:id="29"/>
    <w:p w:rsidR="005C5ACD" w:rsidP="001D5264" w14:paraId="6A017728" w14:textId="5F3FAE10">
      <w:pPr>
        <w:spacing w:after="0" w:line="480" w:lineRule="auto"/>
        <w:rPr>
          <w:color w:val="000000"/>
        </w:rPr>
      </w:pPr>
      <w:r w:rsidRPr="0076781A">
        <w:rPr>
          <w:rFonts w:ascii="-webkit-standard" w:hAnsi="-webkit-standard"/>
          <w:color w:val="000000"/>
          <w:sz w:val="27"/>
          <w:szCs w:val="27"/>
        </w:rPr>
        <w:tab/>
      </w:r>
      <w:r w:rsidRPr="0076781A">
        <w:rPr>
          <w:color w:val="000000"/>
        </w:rPr>
        <w:t>R.C. 4903.09 requires the PUCO to set forth “findings of fact and written opinions setting forth the reason prompting the decisions arrived at, based upon said findings of fact.”</w:t>
      </w:r>
      <w:r>
        <w:rPr>
          <w:color w:val="000000"/>
        </w:rPr>
        <w:t xml:space="preserve"> </w:t>
      </w:r>
      <w:r w:rsidRPr="0076781A">
        <w:rPr>
          <w:color w:val="000000"/>
        </w:rPr>
        <w:t>When the PUCO does not set forth detailed findings, it fails to comply</w:t>
      </w:r>
    </w:p>
    <w:p w:rsidR="005C5ACD" w:rsidRPr="0076781A" w:rsidP="001D5264" w14:paraId="55451F5C" w14:textId="317C6D3B">
      <w:pPr>
        <w:spacing w:after="0" w:line="480" w:lineRule="auto"/>
      </w:pPr>
      <w:r w:rsidRPr="0076781A">
        <w:rPr>
          <w:color w:val="000000"/>
        </w:rPr>
        <w:t xml:space="preserve">with the requirements of this section and its </w:t>
      </w:r>
      <w:r>
        <w:rPr>
          <w:color w:val="000000"/>
        </w:rPr>
        <w:t>o</w:t>
      </w:r>
      <w:r w:rsidRPr="0076781A">
        <w:rPr>
          <w:color w:val="000000"/>
        </w:rPr>
        <w:t>rder is unlawful.</w:t>
      </w:r>
      <w:r>
        <w:rPr>
          <w:rStyle w:val="FootnoteReference"/>
          <w:color w:val="000000"/>
        </w:rPr>
        <w:footnoteReference w:id="46"/>
      </w:r>
      <w:r>
        <w:rPr>
          <w:color w:val="000000"/>
        </w:rPr>
        <w:t xml:space="preserve"> </w:t>
      </w:r>
      <w:r w:rsidR="004B30E1">
        <w:rPr>
          <w:color w:val="000000"/>
        </w:rPr>
        <w:t xml:space="preserve"> Here the PUCO failed </w:t>
      </w:r>
      <w:r w:rsidR="00847E87">
        <w:rPr>
          <w:color w:val="000000"/>
        </w:rPr>
        <w:t xml:space="preserve">to </w:t>
      </w:r>
      <w:r w:rsidR="004B30E1">
        <w:rPr>
          <w:color w:val="000000"/>
        </w:rPr>
        <w:t>provid</w:t>
      </w:r>
      <w:r w:rsidR="00847E87">
        <w:rPr>
          <w:color w:val="000000"/>
        </w:rPr>
        <w:t>e</w:t>
      </w:r>
      <w:r w:rsidR="004B30E1">
        <w:rPr>
          <w:color w:val="000000"/>
        </w:rPr>
        <w:t xml:space="preserve"> record support for a continued, $7</w:t>
      </w:r>
      <w:r w:rsidR="007D1257">
        <w:rPr>
          <w:color w:val="000000"/>
        </w:rPr>
        <w:t>9</w:t>
      </w:r>
      <w:r w:rsidR="004B30E1">
        <w:rPr>
          <w:color w:val="000000"/>
        </w:rPr>
        <w:t xml:space="preserve"> million per year, non-cost based POLR charge t</w:t>
      </w:r>
      <w:r w:rsidR="00847E87">
        <w:rPr>
          <w:color w:val="000000"/>
        </w:rPr>
        <w:t xml:space="preserve">o </w:t>
      </w:r>
      <w:r w:rsidR="004B30E1">
        <w:rPr>
          <w:color w:val="000000"/>
        </w:rPr>
        <w:t>DP&amp;L</w:t>
      </w:r>
      <w:r w:rsidR="007D1257">
        <w:rPr>
          <w:color w:val="000000"/>
        </w:rPr>
        <w:t xml:space="preserve"> consumers</w:t>
      </w:r>
      <w:r w:rsidR="004B30E1">
        <w:rPr>
          <w:color w:val="000000"/>
        </w:rPr>
        <w:t xml:space="preserve">.  </w:t>
      </w:r>
    </w:p>
    <w:p w:rsidR="005C5ACD" w:rsidRPr="0076781A" w:rsidP="005C5ACD" w14:paraId="57D0E07E" w14:textId="4EA464B6">
      <w:pPr>
        <w:pStyle w:val="paragraph"/>
        <w:spacing w:before="0" w:beforeAutospacing="0" w:after="0" w:afterAutospacing="0" w:line="480" w:lineRule="auto"/>
        <w:ind w:firstLine="720"/>
        <w:textAlignment w:val="baseline"/>
        <w:rPr>
          <w:rFonts w:ascii="Tahoma" w:hAnsi="Tahoma" w:cs="Tahoma"/>
          <w:sz w:val="12"/>
          <w:szCs w:val="12"/>
        </w:rPr>
      </w:pPr>
      <w:r>
        <w:rPr>
          <w:rStyle w:val="normaltextrun"/>
        </w:rPr>
        <w:t xml:space="preserve">As explained, the PUCO </w:t>
      </w:r>
      <w:r w:rsidRPr="0076781A">
        <w:rPr>
          <w:rStyle w:val="normaltextrun"/>
        </w:rPr>
        <w:t>DP&amp;L’s rate stabilization surcharge has not been justified</w:t>
      </w:r>
      <w:r>
        <w:rPr>
          <w:rStyle w:val="normaltextrun"/>
        </w:rPr>
        <w:t>, with evidence,</w:t>
      </w:r>
      <w:r w:rsidRPr="0076781A">
        <w:rPr>
          <w:rStyle w:val="normaltextrun"/>
        </w:rPr>
        <w:t xml:space="preserve"> as a POLR charge</w:t>
      </w:r>
      <w:r w:rsidR="00157139">
        <w:rPr>
          <w:rStyle w:val="normaltextrun"/>
        </w:rPr>
        <w:t xml:space="preserve"> –either as a cost</w:t>
      </w:r>
      <w:r w:rsidR="003E535C">
        <w:rPr>
          <w:rStyle w:val="normaltextrun"/>
        </w:rPr>
        <w:t>-</w:t>
      </w:r>
      <w:r w:rsidR="00157139">
        <w:rPr>
          <w:rStyle w:val="normaltextrun"/>
        </w:rPr>
        <w:t>based charge or a non-cost</w:t>
      </w:r>
      <w:r w:rsidR="007D1257">
        <w:rPr>
          <w:rStyle w:val="normaltextrun"/>
        </w:rPr>
        <w:t>-</w:t>
      </w:r>
      <w:r w:rsidR="00157139">
        <w:rPr>
          <w:rStyle w:val="normaltextrun"/>
        </w:rPr>
        <w:t>based charge</w:t>
      </w:r>
      <w:r w:rsidRPr="0076781A">
        <w:rPr>
          <w:rStyle w:val="normaltextrun"/>
        </w:rPr>
        <w:t>.</w:t>
      </w:r>
      <w:r>
        <w:rPr>
          <w:rStyle w:val="normaltextrun"/>
        </w:rPr>
        <w:t xml:space="preserve"> </w:t>
      </w:r>
      <w:r w:rsidR="00157139">
        <w:rPr>
          <w:rStyle w:val="normaltextrun"/>
        </w:rPr>
        <w:t xml:space="preserve">The PUCO’s reliance and acceptance of the 2006 Black Sholes modelling to set </w:t>
      </w:r>
      <w:r w:rsidR="007D1257">
        <w:rPr>
          <w:rStyle w:val="normaltextrun"/>
        </w:rPr>
        <w:t xml:space="preserve">DP&amp;L’s </w:t>
      </w:r>
      <w:r w:rsidR="00157139">
        <w:rPr>
          <w:rStyle w:val="normaltextrun"/>
        </w:rPr>
        <w:t xml:space="preserve">annual POLR </w:t>
      </w:r>
      <w:r w:rsidR="00847E87">
        <w:rPr>
          <w:rStyle w:val="normaltextrun"/>
        </w:rPr>
        <w:t xml:space="preserve">charge to customers in 2021 </w:t>
      </w:r>
      <w:r w:rsidR="007D1257">
        <w:rPr>
          <w:rStyle w:val="normaltextrun"/>
        </w:rPr>
        <w:t xml:space="preserve">is </w:t>
      </w:r>
      <w:r w:rsidR="00157139">
        <w:rPr>
          <w:rStyle w:val="normaltextrun"/>
        </w:rPr>
        <w:t>plainly at odds with its own 2011 ruling in the AEP</w:t>
      </w:r>
      <w:r w:rsidR="00847E87">
        <w:rPr>
          <w:rStyle w:val="normaltextrun"/>
        </w:rPr>
        <w:t xml:space="preserve"> POLR case</w:t>
      </w:r>
      <w:r>
        <w:rPr>
          <w:rStyle w:val="FootnoteReference"/>
        </w:rPr>
        <w:footnoteReference w:id="47"/>
      </w:r>
      <w:r w:rsidR="00847E87">
        <w:rPr>
          <w:rStyle w:val="normaltextrun"/>
        </w:rPr>
        <w:t xml:space="preserve"> and at </w:t>
      </w:r>
      <w:r w:rsidR="00157139">
        <w:rPr>
          <w:rStyle w:val="normaltextrun"/>
        </w:rPr>
        <w:t>odds with the 2011 Supreme Court ruling.</w:t>
      </w:r>
      <w:r>
        <w:rPr>
          <w:rStyle w:val="FootnoteReference"/>
        </w:rPr>
        <w:footnoteReference w:id="48"/>
      </w:r>
      <w:r w:rsidR="00157139">
        <w:rPr>
          <w:rStyle w:val="normaltextrun"/>
        </w:rPr>
        <w:t xml:space="preserve">  And that is all the PUCO is left with because DP&amp;L (like AEP in the POLR case) espoused no other theory</w:t>
      </w:r>
      <w:r w:rsidR="007D1257">
        <w:rPr>
          <w:rStyle w:val="normaltextrun"/>
        </w:rPr>
        <w:t xml:space="preserve"> to support charging consumers $79 million per year for a non-cost based POLR</w:t>
      </w:r>
      <w:r w:rsidR="00157139">
        <w:rPr>
          <w:rStyle w:val="normaltextrun"/>
        </w:rPr>
        <w:t xml:space="preserve">.  </w:t>
      </w:r>
      <w:r w:rsidRPr="0076781A">
        <w:rPr>
          <w:rStyle w:val="normaltextrun"/>
        </w:rPr>
        <w:t xml:space="preserve">At no stage during any of the prior proceedings, and at no time in DP&amp;L’s recent filing, did </w:t>
      </w:r>
      <w:r>
        <w:rPr>
          <w:rStyle w:val="normaltextrun"/>
        </w:rPr>
        <w:t>DP&amp;L</w:t>
      </w:r>
      <w:r w:rsidRPr="0076781A">
        <w:rPr>
          <w:rStyle w:val="normaltextrun"/>
        </w:rPr>
        <w:t xml:space="preserve"> produce any cost</w:t>
      </w:r>
      <w:r>
        <w:rPr>
          <w:rStyle w:val="normaltextrun"/>
        </w:rPr>
        <w:t>-</w:t>
      </w:r>
      <w:r w:rsidRPr="0076781A">
        <w:rPr>
          <w:rStyle w:val="normaltextrun"/>
        </w:rPr>
        <w:t>based evidence related to</w:t>
      </w:r>
      <w:r w:rsidR="00090A0F">
        <w:rPr>
          <w:rStyle w:val="normaltextrun"/>
        </w:rPr>
        <w:t xml:space="preserve"> its</w:t>
      </w:r>
      <w:r w:rsidRPr="0076781A">
        <w:rPr>
          <w:rStyle w:val="normaltextrun"/>
        </w:rPr>
        <w:t xml:space="preserve"> POLR costs.</w:t>
      </w:r>
      <w:r>
        <w:rPr>
          <w:rStyle w:val="normaltextrun"/>
        </w:rPr>
        <w:t xml:space="preserve"> </w:t>
      </w:r>
    </w:p>
    <w:p w:rsidR="00FC0DF5" w:rsidP="009631DB" w14:paraId="4A27ACBC" w14:textId="0F4626A8">
      <w:pPr>
        <w:pStyle w:val="paragraph"/>
        <w:spacing w:before="0" w:beforeAutospacing="0" w:after="0" w:afterAutospacing="0" w:line="480" w:lineRule="auto"/>
        <w:ind w:firstLine="720"/>
        <w:textAlignment w:val="baseline"/>
        <w:rPr>
          <w:rStyle w:val="normaltextrun"/>
        </w:rPr>
      </w:pPr>
      <w:r w:rsidRPr="0076781A">
        <w:rPr>
          <w:rStyle w:val="normaltextrun"/>
        </w:rPr>
        <w:t xml:space="preserve">The </w:t>
      </w:r>
      <w:r>
        <w:rPr>
          <w:rStyle w:val="normaltextrun"/>
        </w:rPr>
        <w:t>PUCO</w:t>
      </w:r>
      <w:r w:rsidRPr="0076781A">
        <w:rPr>
          <w:rStyle w:val="normaltextrun"/>
        </w:rPr>
        <w:t xml:space="preserve"> should, consistent with R.C. 4903.09, </w:t>
      </w:r>
      <w:r>
        <w:rPr>
          <w:rStyle w:val="normaltextrun"/>
        </w:rPr>
        <w:t>reject DP&amp;L’s</w:t>
      </w:r>
      <w:r w:rsidR="00847E87">
        <w:rPr>
          <w:rStyle w:val="normaltextrun"/>
        </w:rPr>
        <w:t xml:space="preserve"> </w:t>
      </w:r>
      <w:r w:rsidR="00D338EF">
        <w:rPr>
          <w:rStyle w:val="normaltextrun"/>
        </w:rPr>
        <w:t>$7</w:t>
      </w:r>
      <w:r w:rsidR="007D1257">
        <w:rPr>
          <w:rStyle w:val="normaltextrun"/>
        </w:rPr>
        <w:t>9</w:t>
      </w:r>
      <w:r w:rsidR="00D338EF">
        <w:rPr>
          <w:rStyle w:val="normaltextrun"/>
        </w:rPr>
        <w:t xml:space="preserve"> million</w:t>
      </w:r>
      <w:r>
        <w:rPr>
          <w:rStyle w:val="normaltextrun"/>
        </w:rPr>
        <w:t xml:space="preserve"> </w:t>
      </w:r>
      <w:r w:rsidR="007D1257">
        <w:rPr>
          <w:rStyle w:val="normaltextrun"/>
        </w:rPr>
        <w:t>rate stabilization</w:t>
      </w:r>
      <w:r w:rsidR="00090A0F">
        <w:rPr>
          <w:rStyle w:val="normaltextrun"/>
        </w:rPr>
        <w:t xml:space="preserve"> </w:t>
      </w:r>
      <w:r>
        <w:rPr>
          <w:rStyle w:val="normaltextrun"/>
        </w:rPr>
        <w:t>charge</w:t>
      </w:r>
      <w:r w:rsidRPr="0076781A">
        <w:rPr>
          <w:rStyle w:val="normaltextrun"/>
        </w:rPr>
        <w:t>.</w:t>
      </w:r>
      <w:r>
        <w:rPr>
          <w:rStyle w:val="normaltextrun"/>
        </w:rPr>
        <w:t xml:space="preserve"> It should </w:t>
      </w:r>
      <w:r w:rsidR="00847E87">
        <w:rPr>
          <w:rStyle w:val="normaltextrun"/>
        </w:rPr>
        <w:t xml:space="preserve">on rehearing assess the reasonableness of continuing the POLR charge, and determine what level of charge, if any, is justified by evidence.  </w:t>
      </w:r>
      <w:r>
        <w:rPr>
          <w:rStyle w:val="normaltextrun"/>
        </w:rPr>
        <w:t xml:space="preserve"> </w:t>
      </w:r>
    </w:p>
    <w:bookmarkEnd w:id="17"/>
    <w:p w:rsidR="003E64DA" w:rsidRPr="002F6A0C" w:rsidP="005149BD" w14:paraId="4356CC3D" w14:textId="04560529">
      <w:pPr>
        <w:pStyle w:val="Heading2"/>
      </w:pPr>
      <w:hyperlink w:anchor="_Toc76982291" w:history="1">
        <w:bookmarkStart w:id="30" w:name="_Toc77342118"/>
        <w:r w:rsidRPr="005149BD">
          <w:rPr>
            <w:rStyle w:val="Hyperlink"/>
            <w:color w:val="auto"/>
          </w:rPr>
          <w:t>Assignment of Error 2:</w:t>
        </w:r>
        <w:r w:rsidRPr="002F6A0C">
          <w:rPr>
            <w:rStyle w:val="Hyperlink"/>
            <w:color w:val="auto"/>
            <w:u w:val="none"/>
          </w:rPr>
          <w:t xml:space="preserve">  The PUCO erred in concluding that it does not have discretion to make rates and charges subject to refund unless two independent conditions are met, where one of which conditions is that the tariff provision for the rate or charge is “reconcilable.” When the PUCO added a reconcilable requirement for consumer refunds, the PUCO unreasonably and unlawfully construed Ohio law (R.C. 4905.32).</w:t>
        </w:r>
        <w:bookmarkEnd w:id="30"/>
        <w:r w:rsidRPr="002F6A0C">
          <w:rPr>
            <w:webHidden/>
          </w:rPr>
          <w:tab/>
        </w:r>
      </w:hyperlink>
    </w:p>
    <w:p w:rsidR="003E64DA" w:rsidRPr="002A15C1" w:rsidP="005149BD" w14:paraId="5EDC1406" w14:textId="60D7F097">
      <w:pPr>
        <w:spacing w:after="0" w:line="480" w:lineRule="auto"/>
        <w:rPr>
          <w:rFonts w:cs="Times New Roman"/>
          <w:szCs w:val="24"/>
        </w:rPr>
      </w:pPr>
      <w:r>
        <w:tab/>
      </w:r>
      <w:r w:rsidRPr="002A15C1">
        <w:rPr>
          <w:rFonts w:cs="Times New Roman"/>
          <w:szCs w:val="24"/>
        </w:rPr>
        <w:t>The PUCO granted rehearing on OCC’s claim that it erred by unreasonably approving DP&amp;L’s tariffs without making them subject to refund.</w:t>
      </w:r>
      <w:r>
        <w:rPr>
          <w:rStyle w:val="FootnoteReference"/>
          <w:rFonts w:cs="Times New Roman"/>
          <w:szCs w:val="24"/>
        </w:rPr>
        <w:footnoteReference w:id="49"/>
      </w:r>
      <w:r w:rsidRPr="002A15C1">
        <w:rPr>
          <w:rFonts w:cs="Times New Roman"/>
          <w:szCs w:val="24"/>
        </w:rPr>
        <w:t xml:space="preserve">  The PUCO approved new tariff language providing that DP&amp;L’s </w:t>
      </w:r>
      <w:r w:rsidR="00090A0F">
        <w:rPr>
          <w:rFonts w:cs="Times New Roman"/>
          <w:szCs w:val="24"/>
        </w:rPr>
        <w:t>rate stabilization charge</w:t>
      </w:r>
      <w:r w:rsidRPr="002A15C1">
        <w:rPr>
          <w:rFonts w:cs="Times New Roman"/>
          <w:szCs w:val="24"/>
        </w:rPr>
        <w:t xml:space="preserve"> shall be refundable </w:t>
      </w:r>
      <w:r>
        <w:rPr>
          <w:rFonts w:cs="Times New Roman"/>
          <w:szCs w:val="24"/>
        </w:rPr>
        <w:t xml:space="preserve">to consumers </w:t>
      </w:r>
      <w:r w:rsidRPr="002A15C1">
        <w:rPr>
          <w:rFonts w:cs="Times New Roman"/>
          <w:szCs w:val="24"/>
        </w:rPr>
        <w:t>“to the extent permitted by law.”</w:t>
      </w:r>
      <w:r>
        <w:rPr>
          <w:rStyle w:val="FootnoteReference"/>
          <w:szCs w:val="24"/>
        </w:rPr>
        <w:footnoteReference w:id="50"/>
      </w:r>
      <w:r w:rsidRPr="002A15C1">
        <w:rPr>
          <w:rFonts w:cs="Times New Roman"/>
          <w:szCs w:val="24"/>
        </w:rPr>
        <w:t xml:space="preserve">  The PUCO noted that with that provision in its tariffs, OCC should be able to appeal the PUCO’s decision.</w:t>
      </w:r>
      <w:r>
        <w:rPr>
          <w:rStyle w:val="FootnoteReference"/>
          <w:szCs w:val="24"/>
        </w:rPr>
        <w:footnoteReference w:id="51"/>
      </w:r>
      <w:r w:rsidRPr="002A15C1">
        <w:rPr>
          <w:rFonts w:cs="Times New Roman"/>
          <w:szCs w:val="24"/>
        </w:rPr>
        <w:t xml:space="preserve">  </w:t>
      </w:r>
    </w:p>
    <w:p w:rsidR="003E64DA" w:rsidP="005149BD" w14:paraId="3BF903B8" w14:textId="77777777">
      <w:pPr>
        <w:spacing w:after="0" w:line="480" w:lineRule="auto"/>
        <w:rPr>
          <w:rFonts w:cs="Times New Roman"/>
          <w:szCs w:val="24"/>
        </w:rPr>
      </w:pPr>
      <w:r>
        <w:rPr>
          <w:rFonts w:cs="Times New Roman"/>
          <w:szCs w:val="24"/>
        </w:rPr>
        <w:tab/>
        <w:t xml:space="preserve">And while we are appreciative of the PUCO’s new-found concern that OCC has raised about the rigged system of justice for consumers (where appeals are delayed, refunds are denied, and rates are replaced, rendering appeals moot), the PUCO nonetheless failed consumers by creating an impediment to refunds that does not otherwise exist.  That impediment is the PUCO’s faulty notion that it has no discretion to order a refund unless the tariff provision for the rate or charge is “reconcilable.”   </w:t>
      </w:r>
    </w:p>
    <w:p w:rsidR="003E64DA" w:rsidP="005149BD" w14:paraId="5B108601" w14:textId="1F7BFF85">
      <w:pPr>
        <w:spacing w:after="0" w:line="480" w:lineRule="auto"/>
        <w:ind w:firstLine="720"/>
        <w:rPr>
          <w:rFonts w:cs="Times New Roman"/>
          <w:szCs w:val="24"/>
        </w:rPr>
      </w:pPr>
      <w:r>
        <w:rPr>
          <w:rFonts w:cs="Times New Roman"/>
          <w:szCs w:val="24"/>
        </w:rPr>
        <w:t xml:space="preserve">The PUCO manufactures this restriction by reading the </w:t>
      </w:r>
      <w:r w:rsidRPr="004A3655">
        <w:rPr>
          <w:rFonts w:cs="Times New Roman"/>
          <w:i/>
          <w:iCs/>
          <w:szCs w:val="24"/>
        </w:rPr>
        <w:t>River Gas</w:t>
      </w:r>
      <w:r>
        <w:rPr>
          <w:rFonts w:cs="Times New Roman"/>
          <w:szCs w:val="24"/>
        </w:rPr>
        <w:t xml:space="preserve"> case as requiring riders to be reconcilable to permit consumer refunds.</w:t>
      </w:r>
      <w:r>
        <w:rPr>
          <w:rStyle w:val="FootnoteReference"/>
          <w:szCs w:val="24"/>
        </w:rPr>
        <w:footnoteReference w:id="52"/>
      </w:r>
      <w:r>
        <w:rPr>
          <w:rFonts w:cs="Times New Roman"/>
          <w:szCs w:val="24"/>
        </w:rPr>
        <w:t xml:space="preserve">  The PUCO reads too much into the </w:t>
      </w:r>
      <w:r w:rsidRPr="007B01A1">
        <w:rPr>
          <w:rFonts w:cs="Times New Roman"/>
          <w:i/>
          <w:iCs/>
          <w:szCs w:val="24"/>
        </w:rPr>
        <w:t>River Gas</w:t>
      </w:r>
      <w:r>
        <w:rPr>
          <w:rFonts w:cs="Times New Roman"/>
          <w:szCs w:val="24"/>
        </w:rPr>
        <w:t xml:space="preserve"> holding.  </w:t>
      </w:r>
      <w:r w:rsidRPr="002B7419">
        <w:rPr>
          <w:rFonts w:cs="Times New Roman"/>
          <w:i/>
          <w:iCs/>
          <w:szCs w:val="24"/>
        </w:rPr>
        <w:t>River Gas</w:t>
      </w:r>
      <w:r>
        <w:rPr>
          <w:rFonts w:cs="Times New Roman"/>
          <w:szCs w:val="24"/>
        </w:rPr>
        <w:t xml:space="preserve"> </w:t>
      </w:r>
      <w:r w:rsidR="00090A0F">
        <w:rPr>
          <w:rFonts w:cs="Times New Roman"/>
          <w:szCs w:val="24"/>
        </w:rPr>
        <w:t xml:space="preserve">simply </w:t>
      </w:r>
      <w:r>
        <w:rPr>
          <w:rFonts w:cs="Times New Roman"/>
          <w:szCs w:val="24"/>
        </w:rPr>
        <w:t xml:space="preserve">stands for the proposition that in order to have retroactive ratemaking, there must be ratemaking (as the Court defined) in the first instance. River Gas should not be read to impose an additional condition or restriction (beyond tariff language) on the PUCO precluding it from ordering refunds to consumers.  </w:t>
      </w:r>
    </w:p>
    <w:p w:rsidR="00B91901" w:rsidP="005149BD" w14:paraId="23F1BE3D" w14:textId="07A6918D">
      <w:pPr>
        <w:spacing w:after="0" w:line="480" w:lineRule="auto"/>
        <w:ind w:firstLine="720"/>
        <w:rPr>
          <w:rFonts w:cs="Times New Roman"/>
          <w:szCs w:val="24"/>
        </w:rPr>
      </w:pPr>
      <w:r>
        <w:rPr>
          <w:rFonts w:cs="Times New Roman"/>
          <w:szCs w:val="24"/>
        </w:rPr>
        <w:t>Instead of looking for an excuse to protect utilities from having to refund money to consumers, the PUCO should have been looking to the controlling law, R.C. 4905.3</w:t>
      </w:r>
      <w:r w:rsidR="00591147">
        <w:rPr>
          <w:rFonts w:cs="Times New Roman"/>
          <w:szCs w:val="24"/>
        </w:rPr>
        <w:t>2</w:t>
      </w:r>
      <w:r>
        <w:rPr>
          <w:rFonts w:cs="Times New Roman"/>
          <w:szCs w:val="24"/>
        </w:rPr>
        <w:t xml:space="preserve">.  R.C. 4905.32 is the statute on which the </w:t>
      </w:r>
      <w:r w:rsidRPr="00877DF9">
        <w:rPr>
          <w:rFonts w:cs="Times New Roman"/>
          <w:i/>
          <w:iCs/>
          <w:szCs w:val="24"/>
        </w:rPr>
        <w:t>Keco</w:t>
      </w:r>
      <w:r>
        <w:rPr>
          <w:rFonts w:cs="Times New Roman"/>
          <w:szCs w:val="24"/>
        </w:rPr>
        <w:t xml:space="preserve"> decision is based.  R.C. 4905.32 provides that:</w:t>
      </w:r>
    </w:p>
    <w:p w:rsidR="00B91901" w14:paraId="1C2A8B4B" w14:textId="77777777">
      <w:pPr>
        <w:rPr>
          <w:rFonts w:cs="Times New Roman"/>
          <w:szCs w:val="24"/>
        </w:rPr>
      </w:pPr>
      <w:r>
        <w:rPr>
          <w:rFonts w:cs="Times New Roman"/>
          <w:szCs w:val="24"/>
        </w:rPr>
        <w:br w:type="page"/>
      </w:r>
    </w:p>
    <w:p w:rsidR="003E64DA" w:rsidRPr="00D721F4" w:rsidP="00D721F4" w14:paraId="27DB3C4E" w14:textId="49672AD8">
      <w:pPr>
        <w:spacing w:line="240" w:lineRule="auto"/>
        <w:ind w:left="1440" w:right="1440"/>
        <w:rPr>
          <w:rFonts w:cs="Times New Roman"/>
          <w:i/>
          <w:iCs/>
          <w:szCs w:val="24"/>
        </w:rPr>
      </w:pPr>
      <w:r>
        <w:rPr>
          <w:rFonts w:cs="Times New Roman"/>
          <w:szCs w:val="24"/>
        </w:rPr>
        <w:t xml:space="preserve">No public utility shall refund or remit directly or indirectly, any rate, rental, toll, or charge so specified, or any part therof, or extend to any person, firm or corporation , any rule, regulation, privilege, or facility </w:t>
      </w:r>
      <w:r>
        <w:rPr>
          <w:rFonts w:cs="Times New Roman"/>
          <w:i/>
          <w:iCs/>
          <w:szCs w:val="24"/>
        </w:rPr>
        <w:t>except as such as are specified in such schedule***.”</w:t>
      </w:r>
    </w:p>
    <w:p w:rsidR="003E64DA" w:rsidP="005149BD" w14:paraId="20A54E03" w14:textId="018D22A6">
      <w:pPr>
        <w:spacing w:after="0" w:line="480" w:lineRule="auto"/>
        <w:ind w:firstLine="720"/>
        <w:rPr>
          <w:rFonts w:cs="Times New Roman"/>
          <w:szCs w:val="24"/>
        </w:rPr>
      </w:pPr>
      <w:r>
        <w:rPr>
          <w:rFonts w:cs="Times New Roman"/>
          <w:szCs w:val="24"/>
        </w:rPr>
        <w:t xml:space="preserve">The Court has read these plain words as barring “any refund of recovered rates unless the tariff applicable to those rates sets forth a refund mechanism.” </w:t>
      </w:r>
      <w:r w:rsidRPr="007B01A1">
        <w:rPr>
          <w:rFonts w:cs="Times New Roman"/>
          <w:i/>
          <w:iCs/>
          <w:szCs w:val="24"/>
        </w:rPr>
        <w:t>In re Application of Ohio Edison Co</w:t>
      </w:r>
      <w:r>
        <w:rPr>
          <w:rFonts w:cs="Times New Roman"/>
          <w:szCs w:val="24"/>
        </w:rPr>
        <w:t xml:space="preserve">., 157 Ohio St.3d 73, 2019-Ohio-2401, ¶23 citing </w:t>
      </w:r>
      <w:r w:rsidRPr="007B01A1">
        <w:rPr>
          <w:rFonts w:cs="Times New Roman"/>
          <w:i/>
          <w:iCs/>
          <w:szCs w:val="24"/>
        </w:rPr>
        <w:t>In re: Rev. of Alternative Energy Rider Contained in Tariffs of Ohio Edison Co.,</w:t>
      </w:r>
      <w:r>
        <w:rPr>
          <w:rFonts w:cs="Times New Roman"/>
          <w:szCs w:val="24"/>
        </w:rPr>
        <w:t xml:space="preserve"> 153 Ohio St.3d 289, 2018-Ohio-229, 106 N.E.3d 1, ¶15-20 (finding that refunds were barred because the tariff language did not specify a refund process).  Note the Court did not require any more conditions for a refund (such as reconcilability) –all that matters is what is “specified in such schedule.” In other words</w:t>
      </w:r>
      <w:r w:rsidR="00591147">
        <w:rPr>
          <w:rFonts w:cs="Times New Roman"/>
          <w:szCs w:val="24"/>
        </w:rPr>
        <w:t>,</w:t>
      </w:r>
      <w:r>
        <w:rPr>
          <w:rFonts w:cs="Times New Roman"/>
          <w:szCs w:val="24"/>
        </w:rPr>
        <w:t xml:space="preserve"> the tariff language filed with the PUCO and in effect at that time is controlling. Period. There is no statutory requirement that the “rate, rental, toll or charge” be reconcilable, as the PUCO asserts.</w:t>
      </w:r>
    </w:p>
    <w:p w:rsidR="003E64DA" w:rsidP="00B91901" w14:paraId="00AE7C1F" w14:textId="08494D7F">
      <w:pPr>
        <w:spacing w:after="0" w:line="480" w:lineRule="auto"/>
        <w:ind w:firstLine="720"/>
        <w:rPr>
          <w:rFonts w:cs="Times New Roman"/>
          <w:szCs w:val="24"/>
        </w:rPr>
      </w:pPr>
      <w:r>
        <w:rPr>
          <w:rFonts w:cs="Times New Roman"/>
          <w:szCs w:val="24"/>
        </w:rPr>
        <w:t xml:space="preserve">Ohio Supreme Court Justice Kennedy, though acknowledging the unfairness of the </w:t>
      </w:r>
      <w:r w:rsidRPr="00C97B48">
        <w:rPr>
          <w:rFonts w:cs="Times New Roman"/>
          <w:i/>
          <w:iCs/>
          <w:szCs w:val="24"/>
        </w:rPr>
        <w:t>Keco</w:t>
      </w:r>
      <w:r>
        <w:rPr>
          <w:rFonts w:cs="Times New Roman"/>
          <w:szCs w:val="24"/>
        </w:rPr>
        <w:t xml:space="preserve"> no-refund rule, wrote that “[t]his does not mean that unfairness [to consumers] and windfalls</w:t>
      </w:r>
      <w:r w:rsidR="00303CED">
        <w:rPr>
          <w:rFonts w:cs="Times New Roman"/>
          <w:szCs w:val="24"/>
        </w:rPr>
        <w:t xml:space="preserve"> </w:t>
      </w:r>
      <w:r>
        <w:rPr>
          <w:rFonts w:cs="Times New Roman"/>
          <w:szCs w:val="24"/>
        </w:rPr>
        <w:t xml:space="preserve">[to utilities] are inevitable.” </w:t>
      </w:r>
      <w:r w:rsidRPr="007B01A1">
        <w:rPr>
          <w:rFonts w:cs="Times New Roman"/>
          <w:i/>
          <w:iCs/>
          <w:szCs w:val="24"/>
        </w:rPr>
        <w:t>In re Dayton Power &amp; Light Co.,</w:t>
      </w:r>
      <w:r>
        <w:rPr>
          <w:rFonts w:cs="Times New Roman"/>
          <w:szCs w:val="24"/>
        </w:rPr>
        <w:t xml:space="preserve"> 154 Ohio St. 3d 237, 2018-Ohio-4009, ¶26 (Kennedy, J. concurring).   Focusing on the “plain and unambiguous” words of R.C. 4905.32 she wrote that “[t]he commission therefore has authority to mitigate the unfairness of the no-refund rule and the barriers imposed by the bond requirement, because a refund is possible if there is refund language in the commission’s order establishing the rate charged by the utility, R.C. 4905.32.  </w:t>
      </w:r>
      <w:r w:rsidRPr="000D2C0A">
        <w:rPr>
          <w:rFonts w:cs="Times New Roman"/>
          <w:i/>
          <w:iCs/>
          <w:szCs w:val="24"/>
        </w:rPr>
        <w:t>‘[T]he legislature gave the commission the discretionary authority to [order a refund].</w:t>
      </w:r>
      <w:r>
        <w:rPr>
          <w:rFonts w:cs="Times New Roman"/>
          <w:szCs w:val="24"/>
        </w:rPr>
        <w:t xml:space="preserve">  </w:t>
      </w:r>
      <w:r w:rsidRPr="0072642C">
        <w:rPr>
          <w:rFonts w:cs="Times New Roman"/>
          <w:i/>
          <w:iCs/>
          <w:szCs w:val="24"/>
        </w:rPr>
        <w:t>All the commission had to do was require a refund clause to be part of the tariff pursuant to R.C. 4905.32.”</w:t>
      </w:r>
      <w:r>
        <w:rPr>
          <w:rFonts w:cs="Times New Roman"/>
          <w:szCs w:val="24"/>
        </w:rPr>
        <w:t xml:space="preserve"> citing </w:t>
      </w:r>
      <w:r w:rsidRPr="007B01A1">
        <w:rPr>
          <w:rFonts w:cs="Times New Roman"/>
          <w:i/>
          <w:iCs/>
          <w:szCs w:val="24"/>
        </w:rPr>
        <w:t>In re: Rev. of Alternative Energy Rider Contained in Tar</w:t>
      </w:r>
      <w:r>
        <w:rPr>
          <w:rFonts w:cs="Times New Roman"/>
          <w:i/>
          <w:iCs/>
          <w:szCs w:val="24"/>
        </w:rPr>
        <w:t>i</w:t>
      </w:r>
      <w:r w:rsidRPr="007B01A1">
        <w:rPr>
          <w:rFonts w:cs="Times New Roman"/>
          <w:i/>
          <w:iCs/>
          <w:szCs w:val="24"/>
        </w:rPr>
        <w:t>ffs of Ohio Edison Co.,</w:t>
      </w:r>
      <w:r>
        <w:rPr>
          <w:rFonts w:cs="Times New Roman"/>
          <w:szCs w:val="24"/>
        </w:rPr>
        <w:t xml:space="preserve"> 153 Ohio St. 3d 289, 2018-Ohio-229, ¶66 (Kennedy, J. concurring) (emphasis added).</w:t>
      </w:r>
      <w:r w:rsidR="00090A0F">
        <w:rPr>
          <w:rFonts w:cs="Times New Roman"/>
          <w:szCs w:val="24"/>
        </w:rPr>
        <w:t xml:space="preserve"> </w:t>
      </w:r>
      <w:r>
        <w:rPr>
          <w:rFonts w:cs="Times New Roman"/>
          <w:szCs w:val="24"/>
        </w:rPr>
        <w:t xml:space="preserve">The PUCO however, disregards the statute as well as </w:t>
      </w:r>
      <w:r w:rsidR="00090A0F">
        <w:rPr>
          <w:rFonts w:cs="Times New Roman"/>
          <w:szCs w:val="24"/>
        </w:rPr>
        <w:t xml:space="preserve">the Supreme Court holding in </w:t>
      </w:r>
      <w:r w:rsidRPr="00090A0F" w:rsidR="00090A0F">
        <w:rPr>
          <w:rFonts w:cs="Times New Roman"/>
          <w:i/>
          <w:iCs/>
          <w:szCs w:val="24"/>
        </w:rPr>
        <w:t>Ohio Edison</w:t>
      </w:r>
      <w:r w:rsidR="00090A0F">
        <w:rPr>
          <w:rFonts w:cs="Times New Roman"/>
          <w:szCs w:val="24"/>
        </w:rPr>
        <w:t xml:space="preserve"> and </w:t>
      </w:r>
      <w:r>
        <w:rPr>
          <w:rFonts w:cs="Times New Roman"/>
          <w:szCs w:val="24"/>
        </w:rPr>
        <w:t xml:space="preserve">Justice Kennedy’s judicial opinions.  </w:t>
      </w:r>
    </w:p>
    <w:p w:rsidR="003E64DA" w:rsidP="005149BD" w14:paraId="40DC5920" w14:textId="7B25EF8D">
      <w:pPr>
        <w:spacing w:after="0" w:line="480" w:lineRule="auto"/>
        <w:rPr>
          <w:rFonts w:cs="Times New Roman"/>
          <w:szCs w:val="24"/>
        </w:rPr>
      </w:pPr>
      <w:r>
        <w:rPr>
          <w:rFonts w:cs="Times New Roman"/>
          <w:szCs w:val="24"/>
        </w:rPr>
        <w:tab/>
        <w:t xml:space="preserve">In adding the condition of reconcilability to charges before they are refundable, the PUCO has engaged in statutory interpretation which is to be avoided if the statute is unambiguous.  When statutes are unambiguous like </w:t>
      </w:r>
      <w:r w:rsidR="007D1257">
        <w:rPr>
          <w:rFonts w:cs="Times New Roman"/>
          <w:szCs w:val="24"/>
        </w:rPr>
        <w:t xml:space="preserve">R.C. </w:t>
      </w:r>
      <w:r>
        <w:rPr>
          <w:rFonts w:cs="Times New Roman"/>
          <w:szCs w:val="24"/>
        </w:rPr>
        <w:t xml:space="preserve">4905.32, they should be applied not interpreted.  The Ohio Supreme Court has held that “where instead of an ambiguity there is an absence of enactment, courts are without power to supply the deficiency.” </w:t>
      </w:r>
      <w:r w:rsidRPr="00313CD7">
        <w:rPr>
          <w:rFonts w:eastAsia="Times New Roman" w:cs="Times New Roman"/>
          <w:i/>
          <w:iCs/>
          <w:szCs w:val="24"/>
        </w:rPr>
        <w:t>State ex rel Foster v. Evatt</w:t>
      </w:r>
      <w:r w:rsidRPr="00313CD7">
        <w:rPr>
          <w:rFonts w:eastAsia="Times New Roman" w:cs="Times New Roman"/>
          <w:szCs w:val="24"/>
        </w:rPr>
        <w:t>, 144 Ohio St. 65, 10</w:t>
      </w:r>
      <w:r>
        <w:rPr>
          <w:rFonts w:eastAsia="Times New Roman" w:cs="Times New Roman"/>
          <w:szCs w:val="24"/>
        </w:rPr>
        <w:t>4, 56 N.E. 2d 265.</w:t>
      </w:r>
      <w:r w:rsidRPr="00313CD7">
        <w:rPr>
          <w:rFonts w:eastAsia="Times New Roman" w:cs="Times New Roman"/>
          <w:szCs w:val="24"/>
        </w:rPr>
        <w:t xml:space="preserve"> (1944).  </w:t>
      </w:r>
    </w:p>
    <w:p w:rsidR="003E64DA" w:rsidP="005149BD" w14:paraId="6053EC61" w14:textId="312365C5">
      <w:pPr>
        <w:spacing w:after="0" w:line="480" w:lineRule="auto"/>
        <w:ind w:firstLine="720"/>
        <w:rPr>
          <w:rFonts w:eastAsia="Times New Roman" w:cs="Times New Roman"/>
          <w:szCs w:val="24"/>
        </w:rPr>
      </w:pPr>
      <w:r>
        <w:rPr>
          <w:rFonts w:cs="Times New Roman"/>
          <w:szCs w:val="24"/>
        </w:rPr>
        <w:t>Further, even if the statute is considered ambiguous (it</w:t>
      </w:r>
      <w:r w:rsidR="00090A0F">
        <w:rPr>
          <w:rFonts w:cs="Times New Roman"/>
          <w:szCs w:val="24"/>
        </w:rPr>
        <w:t>’</w:t>
      </w:r>
      <w:r>
        <w:rPr>
          <w:rFonts w:cs="Times New Roman"/>
          <w:szCs w:val="24"/>
        </w:rPr>
        <w:t xml:space="preserve">s not), the PUCO may not add or subtract words.  </w:t>
      </w:r>
      <w:r w:rsidRPr="00313CD7">
        <w:rPr>
          <w:rFonts w:eastAsia="Times New Roman" w:cs="Times New Roman"/>
          <w:szCs w:val="24"/>
        </w:rPr>
        <w:t>A statute may not, under guise of interpretation, be modified or altered</w:t>
      </w:r>
      <w:r>
        <w:rPr>
          <w:rFonts w:eastAsia="Times New Roman" w:cs="Times New Roman"/>
          <w:szCs w:val="24"/>
        </w:rPr>
        <w:t xml:space="preserve"> as the PUCO has proposed in adding </w:t>
      </w:r>
      <w:r w:rsidR="00090A0F">
        <w:rPr>
          <w:rFonts w:eastAsia="Times New Roman" w:cs="Times New Roman"/>
          <w:szCs w:val="24"/>
        </w:rPr>
        <w:t xml:space="preserve">a </w:t>
      </w:r>
      <w:r>
        <w:rPr>
          <w:rFonts w:eastAsia="Times New Roman" w:cs="Times New Roman"/>
          <w:szCs w:val="24"/>
        </w:rPr>
        <w:t>reconcilabil</w:t>
      </w:r>
      <w:r w:rsidR="00303CED">
        <w:rPr>
          <w:rFonts w:eastAsia="Times New Roman" w:cs="Times New Roman"/>
          <w:szCs w:val="24"/>
        </w:rPr>
        <w:t>i</w:t>
      </w:r>
      <w:r>
        <w:rPr>
          <w:rFonts w:eastAsia="Times New Roman" w:cs="Times New Roman"/>
          <w:szCs w:val="24"/>
        </w:rPr>
        <w:t xml:space="preserve">ty </w:t>
      </w:r>
      <w:r w:rsidR="00090A0F">
        <w:rPr>
          <w:rFonts w:eastAsia="Times New Roman" w:cs="Times New Roman"/>
          <w:szCs w:val="24"/>
        </w:rPr>
        <w:t xml:space="preserve">requirement </w:t>
      </w:r>
      <w:r>
        <w:rPr>
          <w:rFonts w:eastAsia="Times New Roman" w:cs="Times New Roman"/>
          <w:szCs w:val="24"/>
        </w:rPr>
        <w:t>for refunds</w:t>
      </w:r>
      <w:r w:rsidRPr="00313CD7">
        <w:rPr>
          <w:rFonts w:eastAsia="Times New Roman" w:cs="Times New Roman"/>
          <w:szCs w:val="24"/>
        </w:rPr>
        <w:t xml:space="preserve">. </w:t>
      </w:r>
      <w:r>
        <w:rPr>
          <w:rFonts w:eastAsia="Times New Roman" w:cs="Times New Roman"/>
          <w:szCs w:val="24"/>
        </w:rPr>
        <w:t>“</w:t>
      </w:r>
      <w:r w:rsidRPr="00313CD7">
        <w:rPr>
          <w:rFonts w:eastAsia="Times New Roman" w:cs="Times New Roman"/>
          <w:szCs w:val="24"/>
        </w:rPr>
        <w:t>There is no authority, under any rule of statutory construction, to add to, enlarge, supply, expand, extend, or improve the provisions of the statute</w:t>
      </w:r>
      <w:r>
        <w:rPr>
          <w:rFonts w:eastAsia="Times New Roman" w:cs="Times New Roman"/>
          <w:szCs w:val="24"/>
        </w:rPr>
        <w:t xml:space="preserve"> to meet a situation not provided for, or contemplated, thereby, or to substitute other provisions therefore.  Nothing may be read into, or out of, the statute which is not within the manifest intention of the legislature as gathered from the act itself.  In matters of construction, “it is the duty of this court to give effect to the words used, not to delete words used or to insert words not used.” </w:t>
      </w:r>
      <w:r w:rsidRPr="00527A44">
        <w:rPr>
          <w:rFonts w:eastAsia="Times New Roman" w:cs="Times New Roman"/>
          <w:i/>
          <w:iCs/>
          <w:szCs w:val="24"/>
        </w:rPr>
        <w:t>Columbus-Suburban Coach Lines v. Publ. Util. Comm.</w:t>
      </w:r>
      <w:r>
        <w:rPr>
          <w:rFonts w:eastAsia="Times New Roman" w:cs="Times New Roman"/>
          <w:szCs w:val="24"/>
        </w:rPr>
        <w:t xml:space="preserve"> (1969), 20 Ohio St.2d 125, 127, 254 N.E.2d 8.  </w:t>
      </w:r>
    </w:p>
    <w:p w:rsidR="003E64DA" w:rsidRPr="003E64DA" w:rsidP="00D721F4" w14:paraId="6D23C3EE" w14:textId="3F240B0B">
      <w:pPr>
        <w:spacing w:line="480" w:lineRule="auto"/>
      </w:pPr>
      <w:r>
        <w:rPr>
          <w:rFonts w:cs="Times New Roman"/>
          <w:szCs w:val="24"/>
        </w:rPr>
        <w:tab/>
        <w:t xml:space="preserve">The PUCO has the discretion to order a refund and that discretion is triggered so long as there is language in the utility’s tariff making the charge subject to refund. </w:t>
      </w:r>
      <w:r w:rsidR="00D67644">
        <w:rPr>
          <w:rFonts w:cs="Times New Roman"/>
          <w:szCs w:val="24"/>
        </w:rPr>
        <w:t xml:space="preserve">Understandably, the utility won’t include such language voluntarily, so that language </w:t>
      </w:r>
      <w:r w:rsidR="00C036AB">
        <w:rPr>
          <w:rFonts w:cs="Times New Roman"/>
          <w:szCs w:val="24"/>
        </w:rPr>
        <w:t xml:space="preserve">only </w:t>
      </w:r>
      <w:r w:rsidR="00D67644">
        <w:rPr>
          <w:rFonts w:cs="Times New Roman"/>
          <w:szCs w:val="24"/>
        </w:rPr>
        <w:t xml:space="preserve">appears in the tariff via a PUCO order requiring it. </w:t>
      </w:r>
      <w:r>
        <w:rPr>
          <w:rFonts w:cs="Times New Roman"/>
          <w:szCs w:val="24"/>
        </w:rPr>
        <w:t xml:space="preserve">The PUCO erred in finding otherwise and failing to protect consumers.  Rehearing should be granted.   </w:t>
      </w:r>
    </w:p>
    <w:p w:rsidR="009631DB" w:rsidRPr="00965FDF" w:rsidP="00965FDF" w14:paraId="259544AF" w14:textId="715EE555">
      <w:pPr>
        <w:pStyle w:val="Heading2"/>
      </w:pPr>
      <w:bookmarkStart w:id="31" w:name="_Toc77342119"/>
      <w:r w:rsidRPr="00D721F4">
        <w:rPr>
          <w:rStyle w:val="Heading2Char"/>
          <w:b/>
          <w:bCs/>
          <w:u w:val="single"/>
        </w:rPr>
        <w:t xml:space="preserve">Assignment of Error 3:  </w:t>
      </w:r>
      <w:r w:rsidRPr="00965FDF">
        <w:rPr>
          <w:rStyle w:val="Heading2Char"/>
          <w:b/>
          <w:bCs/>
        </w:rPr>
        <w:t>The PUCO erred in concluding that OCC is barred by res</w:t>
      </w:r>
      <w:r w:rsidRPr="00965FDF">
        <w:t xml:space="preserve"> </w:t>
      </w:r>
      <w:r w:rsidRPr="00965FDF">
        <w:rPr>
          <w:rStyle w:val="Heading2Char"/>
          <w:b/>
          <w:bCs/>
        </w:rPr>
        <w:t>judicata and collateral estoppel from challenging DP&amp;L’s rate stability charge.  When a judgment is issued without jurisdiction</w:t>
      </w:r>
      <w:r w:rsidR="002F75DB">
        <w:rPr>
          <w:rStyle w:val="Heading2Char"/>
          <w:b/>
          <w:bCs/>
        </w:rPr>
        <w:t>,</w:t>
      </w:r>
      <w:r w:rsidR="00D52B11">
        <w:rPr>
          <w:rStyle w:val="Heading2Char"/>
          <w:b/>
          <w:bCs/>
        </w:rPr>
        <w:t xml:space="preserve"> </w:t>
      </w:r>
      <w:r w:rsidRPr="00965FDF">
        <w:rPr>
          <w:rStyle w:val="Heading2Char"/>
          <w:b/>
          <w:bCs/>
        </w:rPr>
        <w:t>it is void and subject to collateral attack.  Because the PUCO had no jurisdiction to order the continuation of DP&amp;L’s electric security plan</w:t>
      </w:r>
      <w:r w:rsidR="00D52B11">
        <w:rPr>
          <w:rStyle w:val="Heading2Char"/>
          <w:b/>
          <w:bCs/>
        </w:rPr>
        <w:t>,</w:t>
      </w:r>
      <w:r w:rsidRPr="00965FDF">
        <w:rPr>
          <w:rStyle w:val="Heading2Char"/>
          <w:b/>
          <w:bCs/>
        </w:rPr>
        <w:t xml:space="preserve"> instead of its standard service offer</w:t>
      </w:r>
      <w:r w:rsidRPr="00965FDF" w:rsidR="004925B2">
        <w:rPr>
          <w:rStyle w:val="Heading2Char"/>
          <w:b/>
          <w:bCs/>
        </w:rPr>
        <w:t>,</w:t>
      </w:r>
      <w:r w:rsidRPr="00965FDF">
        <w:rPr>
          <w:rStyle w:val="Heading2Char"/>
          <w:b/>
          <w:bCs/>
        </w:rPr>
        <w:t xml:space="preserve"> its order was void and is subject to collateral attack.</w:t>
      </w:r>
      <w:bookmarkEnd w:id="31"/>
      <w:r w:rsidRPr="00965FDF">
        <w:t xml:space="preserve">  </w:t>
      </w:r>
    </w:p>
    <w:p w:rsidR="00C02D7B" w:rsidP="005149BD" w14:paraId="35E62995" w14:textId="54A89AF2">
      <w:pPr>
        <w:spacing w:after="0" w:line="480" w:lineRule="auto"/>
        <w:rPr>
          <w:rFonts w:cs="Times New Roman"/>
          <w:szCs w:val="24"/>
        </w:rPr>
      </w:pPr>
      <w:r>
        <w:rPr>
          <w:rFonts w:cs="Times New Roman"/>
          <w:szCs w:val="24"/>
        </w:rPr>
        <w:tab/>
      </w:r>
      <w:r w:rsidR="00AF7DD8">
        <w:rPr>
          <w:rFonts w:cs="Times New Roman"/>
          <w:szCs w:val="24"/>
        </w:rPr>
        <w:t>As fully explained in OCC’s prior application for rehearing (which was denied by the PUCO), the PUCO is without jurisdiction to continue the terms of DP&amp;L’s “electric security plan” rather than continuing the utility’s “standard service offer.”</w:t>
      </w:r>
      <w:r>
        <w:rPr>
          <w:rStyle w:val="FootnoteReference"/>
          <w:rFonts w:cs="Times New Roman"/>
          <w:szCs w:val="24"/>
        </w:rPr>
        <w:footnoteReference w:id="53"/>
      </w:r>
      <w:r w:rsidR="00AF7DD8">
        <w:rPr>
          <w:rFonts w:cs="Times New Roman"/>
          <w:szCs w:val="24"/>
        </w:rPr>
        <w:t xml:space="preserve">  Simply put, the PUCO must follow the plain words of the statute, R.C. 4928.143(C)(2)(b).  </w:t>
      </w:r>
      <w:r>
        <w:rPr>
          <w:rFonts w:cs="Times New Roman"/>
          <w:szCs w:val="24"/>
        </w:rPr>
        <w:t>The statute requires the PUCO to continue the rates that make up the “most recent standard service offer.”  But instead</w:t>
      </w:r>
      <w:r w:rsidR="00090A0F">
        <w:rPr>
          <w:rFonts w:cs="Times New Roman"/>
          <w:szCs w:val="24"/>
        </w:rPr>
        <w:t>,</w:t>
      </w:r>
      <w:r>
        <w:rPr>
          <w:rFonts w:cs="Times New Roman"/>
          <w:szCs w:val="24"/>
        </w:rPr>
        <w:t xml:space="preserve"> the PUCO allowed the utility to continue its electric security plan rates. </w:t>
      </w:r>
    </w:p>
    <w:p w:rsidR="00AF7DD8" w:rsidP="00164A29" w14:paraId="1C4581DA" w14:textId="236AA5D3">
      <w:pPr>
        <w:spacing w:after="0" w:line="480" w:lineRule="auto"/>
        <w:rPr>
          <w:rFonts w:cs="Times New Roman"/>
          <w:szCs w:val="24"/>
        </w:rPr>
      </w:pPr>
      <w:r>
        <w:rPr>
          <w:rFonts w:cs="Times New Roman"/>
          <w:szCs w:val="24"/>
        </w:rPr>
        <w:tab/>
        <w:t>But the PUCO is a creature of statute.</w:t>
      </w:r>
      <w:r>
        <w:rPr>
          <w:rStyle w:val="FootnoteReference"/>
          <w:rFonts w:cs="Times New Roman"/>
          <w:szCs w:val="24"/>
        </w:rPr>
        <w:footnoteReference w:id="54"/>
      </w:r>
      <w:r>
        <w:rPr>
          <w:rFonts w:cs="Times New Roman"/>
          <w:szCs w:val="24"/>
        </w:rPr>
        <w:t xml:space="preserve">  It has no power other than that expressly given to it by the Ohio General Assembly.  When the PUCO acts without statutory authority it acts without jurisdiction and its judgment is void.  When a judgment is issued without jurisdiction, it is void and subject to collateral attack.  </w:t>
      </w:r>
      <w:r w:rsidRPr="004925B2" w:rsidR="00302AB8">
        <w:rPr>
          <w:rFonts w:cs="Times New Roman"/>
          <w:i/>
          <w:iCs/>
          <w:szCs w:val="24"/>
        </w:rPr>
        <w:t>Ohio Pyro Inc. v. Ohio Dept. of Commerce</w:t>
      </w:r>
      <w:r w:rsidR="00302AB8">
        <w:rPr>
          <w:rFonts w:cs="Times New Roman"/>
          <w:szCs w:val="24"/>
        </w:rPr>
        <w:t>, 115 Ohio St.3d 375</w:t>
      </w:r>
      <w:r w:rsidR="004925B2">
        <w:rPr>
          <w:rFonts w:cs="Times New Roman"/>
          <w:szCs w:val="24"/>
        </w:rPr>
        <w:t xml:space="preserve">, 2007-Ohio-5024, ¶23; </w:t>
      </w:r>
      <w:r w:rsidRPr="004925B2" w:rsidR="004925B2">
        <w:rPr>
          <w:rFonts w:cs="Times New Roman"/>
          <w:i/>
          <w:iCs/>
          <w:szCs w:val="24"/>
        </w:rPr>
        <w:t>Coe v</w:t>
      </w:r>
      <w:r w:rsidRPr="004925B2">
        <w:rPr>
          <w:rFonts w:cs="Times New Roman"/>
          <w:i/>
          <w:iCs/>
          <w:szCs w:val="24"/>
        </w:rPr>
        <w:t>.</w:t>
      </w:r>
      <w:r w:rsidRPr="004925B2" w:rsidR="004925B2">
        <w:rPr>
          <w:rFonts w:cs="Times New Roman"/>
          <w:i/>
          <w:iCs/>
          <w:szCs w:val="24"/>
        </w:rPr>
        <w:t>Erb</w:t>
      </w:r>
      <w:r w:rsidR="004C46A4">
        <w:rPr>
          <w:rFonts w:cs="Times New Roman"/>
          <w:szCs w:val="24"/>
        </w:rPr>
        <w:t>,</w:t>
      </w:r>
      <w:r w:rsidR="004925B2">
        <w:rPr>
          <w:rFonts w:cs="Times New Roman"/>
          <w:szCs w:val="24"/>
        </w:rPr>
        <w:t>(1898), 59 Ohio St. 259, 267-268.</w:t>
      </w:r>
    </w:p>
    <w:bookmarkEnd w:id="18"/>
    <w:p w:rsidR="005D5D5B" w14:paraId="5FFC9AD3" w14:textId="77777777">
      <w:pPr>
        <w:rPr>
          <w:b/>
          <w:bCs/>
          <w:sz w:val="16"/>
          <w:szCs w:val="16"/>
        </w:rPr>
      </w:pPr>
      <w:r>
        <w:rPr>
          <w:b/>
          <w:bCs/>
        </w:rPr>
        <w:br w:type="page"/>
      </w:r>
    </w:p>
    <w:p w:rsidR="005D5D5B" w:rsidRPr="00D721F4" w:rsidP="005149BD" w14:paraId="4CA901C7" w14:textId="3697CF62">
      <w:pPr>
        <w:pStyle w:val="Heading2"/>
      </w:pPr>
      <w:bookmarkStart w:id="32" w:name="_Toc77342120"/>
      <w:r w:rsidRPr="005149BD">
        <w:rPr>
          <w:rStyle w:val="Heading2Char"/>
          <w:u w:val="single"/>
        </w:rPr>
        <w:t>Assignment of Error 4:</w:t>
      </w:r>
      <w:r w:rsidRPr="005149BD">
        <w:rPr>
          <w:rStyle w:val="Heading2Char"/>
        </w:rPr>
        <w:t xml:space="preserve">  The </w:t>
      </w:r>
      <w:r w:rsidR="006304A8">
        <w:rPr>
          <w:rStyle w:val="Heading2Char"/>
        </w:rPr>
        <w:t>PUCO erred in its findings excusing DP&amp;L from its ESP I rate freeze commitment to consumers.  In violation of Ohio Supreme Court precedent on this issue, the PUCO’s findings are mistaken and misapprehend OCC’s claims of error. Consistent with</w:t>
      </w:r>
      <w:r w:rsidRPr="00D721F4">
        <w:t xml:space="preserve"> R.C. 4903.09, </w:t>
      </w:r>
      <w:r w:rsidR="0051040E">
        <w:t>and Supreme court precedent, the PUCO’s findings can and should be distrubed (meaning abrogated).</w:t>
      </w:r>
      <w:bookmarkEnd w:id="32"/>
    </w:p>
    <w:p w:rsidR="005D5D5B" w:rsidRPr="00D721F4" w:rsidP="00090A0F" w14:paraId="2E151659" w14:textId="5FBC2D26">
      <w:pPr>
        <w:pStyle w:val="BodyTextIndent3"/>
        <w:spacing w:after="0" w:line="480" w:lineRule="auto"/>
        <w:ind w:left="0" w:right="-24" w:firstLine="720"/>
        <w:rPr>
          <w:sz w:val="24"/>
          <w:szCs w:val="24"/>
        </w:rPr>
      </w:pPr>
      <w:r w:rsidRPr="00D721F4">
        <w:rPr>
          <w:sz w:val="24"/>
          <w:szCs w:val="24"/>
        </w:rPr>
        <w:t>OCC challenged the PUCO’s unlawful and unreasonable ruling where it failed  to continue</w:t>
      </w:r>
      <w:r w:rsidR="00090A0F">
        <w:rPr>
          <w:sz w:val="24"/>
          <w:szCs w:val="24"/>
        </w:rPr>
        <w:t>, for the benefit of consumers,</w:t>
      </w:r>
      <w:r w:rsidRPr="00D721F4">
        <w:rPr>
          <w:sz w:val="24"/>
          <w:szCs w:val="24"/>
        </w:rPr>
        <w:t xml:space="preserve"> the distribution rate freeze that was part of DP&amp;L’s ESP 1.</w:t>
      </w:r>
      <w:r>
        <w:rPr>
          <w:rStyle w:val="FootnoteReference"/>
          <w:sz w:val="24"/>
          <w:szCs w:val="24"/>
        </w:rPr>
        <w:footnoteReference w:id="55"/>
      </w:r>
      <w:r w:rsidRPr="00D721F4">
        <w:rPr>
          <w:sz w:val="24"/>
          <w:szCs w:val="24"/>
        </w:rPr>
        <w:t xml:space="preserve"> </w:t>
      </w:r>
      <w:bookmarkStart w:id="33" w:name="_Hlk77221779"/>
      <w:r w:rsidRPr="00D721F4">
        <w:rPr>
          <w:sz w:val="24"/>
          <w:szCs w:val="24"/>
        </w:rPr>
        <w:t xml:space="preserve">As the PUCO itself had previously ruled, when a utility withdraws from an electric security plan and reverts to its previous one, “The Commission cannot arbitrarily choose some of the various provisions of the ESP to continue after the termination date of the ESP and choose other provisions of the ESP not to continue.” Since DP&amp;L’s commitment to freeze </w:t>
      </w:r>
      <w:r w:rsidR="00090A0F">
        <w:rPr>
          <w:sz w:val="24"/>
          <w:szCs w:val="24"/>
        </w:rPr>
        <w:t xml:space="preserve">distribution </w:t>
      </w:r>
      <w:r w:rsidRPr="00D721F4">
        <w:rPr>
          <w:sz w:val="24"/>
          <w:szCs w:val="24"/>
        </w:rPr>
        <w:t xml:space="preserve">rates </w:t>
      </w:r>
      <w:r w:rsidR="00090A0F">
        <w:rPr>
          <w:sz w:val="24"/>
          <w:szCs w:val="24"/>
        </w:rPr>
        <w:t xml:space="preserve">to consumers </w:t>
      </w:r>
      <w:r w:rsidRPr="00D721F4">
        <w:rPr>
          <w:sz w:val="24"/>
          <w:szCs w:val="24"/>
        </w:rPr>
        <w:t>was a provision, term, and condition of DP&amp;L’s ESP 1, and the PUCO allowed DP&amp;L to revert back to its ESP 1,</w:t>
      </w:r>
      <w:r w:rsidR="00636558">
        <w:rPr>
          <w:sz w:val="24"/>
          <w:szCs w:val="24"/>
        </w:rPr>
        <w:t xml:space="preserve"> the PUCO </w:t>
      </w:r>
      <w:r w:rsidRPr="00D721F4">
        <w:rPr>
          <w:sz w:val="24"/>
          <w:szCs w:val="24"/>
        </w:rPr>
        <w:t xml:space="preserve">should have implemented a </w:t>
      </w:r>
      <w:r w:rsidR="00090A0F">
        <w:rPr>
          <w:sz w:val="24"/>
          <w:szCs w:val="24"/>
        </w:rPr>
        <w:t xml:space="preserve">distribution rate freeze </w:t>
      </w:r>
      <w:r w:rsidR="00876DA3">
        <w:rPr>
          <w:sz w:val="24"/>
          <w:szCs w:val="24"/>
        </w:rPr>
        <w:t xml:space="preserve">during </w:t>
      </w:r>
      <w:r w:rsidRPr="00D721F4">
        <w:rPr>
          <w:sz w:val="24"/>
          <w:szCs w:val="24"/>
        </w:rPr>
        <w:t xml:space="preserve">the remaining period of ESP 1.  </w:t>
      </w:r>
    </w:p>
    <w:bookmarkEnd w:id="33"/>
    <w:p w:rsidR="005D5D5B" w:rsidRPr="00D721F4" w:rsidP="00090A0F" w14:paraId="7A072C85" w14:textId="26B4ADF8">
      <w:pPr>
        <w:pStyle w:val="BodyTextIndent3"/>
        <w:spacing w:after="0" w:line="480" w:lineRule="auto"/>
        <w:ind w:left="0" w:right="-24" w:firstLine="720"/>
        <w:rPr>
          <w:sz w:val="24"/>
          <w:szCs w:val="24"/>
        </w:rPr>
      </w:pPr>
      <w:r w:rsidRPr="00D721F4">
        <w:rPr>
          <w:sz w:val="24"/>
          <w:szCs w:val="24"/>
        </w:rPr>
        <w:t>The PUCO, however, denied OCC’s application for rehearing.</w:t>
      </w:r>
      <w:r>
        <w:rPr>
          <w:rStyle w:val="FootnoteReference"/>
          <w:sz w:val="24"/>
          <w:szCs w:val="24"/>
        </w:rPr>
        <w:footnoteReference w:id="56"/>
      </w:r>
      <w:r w:rsidRPr="00D721F4">
        <w:rPr>
          <w:sz w:val="24"/>
          <w:szCs w:val="24"/>
        </w:rPr>
        <w:t xml:space="preserve"> According to the PUCO, OCC should have raised the rate freeze issue in DP&amp;L’s 2015 base distribution rate case, Case No. 15-1830-EL-SSO.</w:t>
      </w:r>
      <w:r>
        <w:rPr>
          <w:rStyle w:val="FootnoteReference"/>
          <w:sz w:val="24"/>
          <w:szCs w:val="24"/>
        </w:rPr>
        <w:footnoteReference w:id="57"/>
      </w:r>
      <w:r w:rsidRPr="00D721F4">
        <w:rPr>
          <w:sz w:val="24"/>
          <w:szCs w:val="24"/>
        </w:rPr>
        <w:t xml:space="preserve"> ESP 1 rates were placed back into effect from September 1, 2016 (when DP&amp;L withdrew from ESP 2) to October 31, 2017 (when ESP 3 became effective).  During that time, DP&amp;L’s 2015 rate case was pending.</w:t>
      </w:r>
      <w:r>
        <w:rPr>
          <w:rStyle w:val="FootnoteReference"/>
          <w:sz w:val="24"/>
          <w:szCs w:val="24"/>
        </w:rPr>
        <w:footnoteReference w:id="58"/>
      </w:r>
      <w:r w:rsidRPr="00D721F4">
        <w:rPr>
          <w:sz w:val="24"/>
          <w:szCs w:val="24"/>
        </w:rPr>
        <w:t xml:space="preserve"> The PUCO ruled that “OCC’s failure to raise this issue at an earlier juncture, during the </w:t>
      </w:r>
      <w:r w:rsidRPr="00D721F4">
        <w:rPr>
          <w:i/>
          <w:iCs/>
          <w:sz w:val="24"/>
          <w:szCs w:val="24"/>
        </w:rPr>
        <w:t>Distribution Rate Case</w:t>
      </w:r>
      <w:r w:rsidRPr="00D721F4">
        <w:rPr>
          <w:sz w:val="24"/>
          <w:szCs w:val="24"/>
        </w:rPr>
        <w:t>, constitutes a forfeiture of the objection because it deprived the Commission of an opportunity to cure any error when it reasonably could have done so.”</w:t>
      </w:r>
      <w:r>
        <w:rPr>
          <w:rStyle w:val="FootnoteReference"/>
          <w:sz w:val="24"/>
          <w:szCs w:val="24"/>
        </w:rPr>
        <w:footnoteReference w:id="59"/>
      </w:r>
      <w:r w:rsidRPr="00D721F4">
        <w:rPr>
          <w:sz w:val="24"/>
          <w:szCs w:val="24"/>
        </w:rPr>
        <w:t xml:space="preserve"> The PUCO further reasoned that, having approved new base rates </w:t>
      </w:r>
      <w:r w:rsidR="00636558">
        <w:rPr>
          <w:sz w:val="24"/>
          <w:szCs w:val="24"/>
        </w:rPr>
        <w:t xml:space="preserve">for DP&amp;L </w:t>
      </w:r>
      <w:r w:rsidRPr="00D721F4">
        <w:rPr>
          <w:sz w:val="24"/>
          <w:szCs w:val="24"/>
        </w:rPr>
        <w:t>in the 2015 rate case, it would not be possible to revert to base rates that were in effect at the time ESP 1 was approved</w:t>
      </w:r>
      <w:r w:rsidR="00636558">
        <w:rPr>
          <w:sz w:val="24"/>
          <w:szCs w:val="24"/>
        </w:rPr>
        <w:t xml:space="preserve"> (2009)</w:t>
      </w:r>
      <w:r w:rsidRPr="00D721F4">
        <w:rPr>
          <w:sz w:val="24"/>
          <w:szCs w:val="24"/>
        </w:rPr>
        <w:t>.</w:t>
      </w:r>
      <w:r>
        <w:rPr>
          <w:rStyle w:val="FootnoteReference"/>
          <w:sz w:val="24"/>
          <w:szCs w:val="24"/>
        </w:rPr>
        <w:footnoteReference w:id="60"/>
      </w:r>
      <w:r w:rsidRPr="00D721F4">
        <w:rPr>
          <w:sz w:val="24"/>
          <w:szCs w:val="24"/>
        </w:rPr>
        <w:t xml:space="preserve"> </w:t>
      </w:r>
    </w:p>
    <w:p w:rsidR="005D5D5B" w:rsidRPr="00D721F4" w:rsidP="00876DA3" w14:paraId="0043E281" w14:textId="77777777">
      <w:pPr>
        <w:pStyle w:val="BodyTextIndent3"/>
        <w:spacing w:after="0" w:line="480" w:lineRule="auto"/>
        <w:ind w:left="0" w:right="-24" w:firstLine="720"/>
        <w:rPr>
          <w:sz w:val="24"/>
          <w:szCs w:val="24"/>
        </w:rPr>
      </w:pPr>
      <w:r w:rsidRPr="00D721F4">
        <w:rPr>
          <w:sz w:val="24"/>
          <w:szCs w:val="24"/>
        </w:rPr>
        <w:t xml:space="preserve">When the PUCO’s opinion and order is unsupported by the record and shows misapprehension or mistake it violates R.C. 4903.09 and can be disturbed.  </w:t>
      </w:r>
      <w:r w:rsidRPr="00D721F4">
        <w:rPr>
          <w:i/>
          <w:iCs/>
          <w:sz w:val="24"/>
          <w:szCs w:val="24"/>
        </w:rPr>
        <w:t>Cleveland Illuminating Co. v. Pub. Util. Comm.,</w:t>
      </w:r>
      <w:r w:rsidRPr="00D721F4">
        <w:rPr>
          <w:sz w:val="24"/>
          <w:szCs w:val="24"/>
        </w:rPr>
        <w:t xml:space="preserve"> 42 Ohio St.2d 403.  The PUCO in its Delayed Rehearing Order misapprehended OCC’s arguments and made factual findings that were mistaken.  Rehearing should be granted.  </w:t>
      </w:r>
    </w:p>
    <w:p w:rsidR="005D5D5B" w:rsidRPr="00D721F4" w:rsidP="00876DA3" w14:paraId="47552FD3" w14:textId="511CF979">
      <w:pPr>
        <w:pStyle w:val="BodyTextIndent3"/>
        <w:spacing w:after="0" w:line="480" w:lineRule="auto"/>
        <w:ind w:left="0" w:right="-24" w:firstLine="720"/>
        <w:rPr>
          <w:sz w:val="24"/>
          <w:szCs w:val="24"/>
        </w:rPr>
      </w:pPr>
      <w:r w:rsidRPr="00D721F4">
        <w:rPr>
          <w:sz w:val="24"/>
          <w:szCs w:val="24"/>
        </w:rPr>
        <w:t xml:space="preserve">The PUCO’s Entry on rehearing </w:t>
      </w:r>
      <w:r w:rsidR="007D1257">
        <w:rPr>
          <w:sz w:val="24"/>
          <w:szCs w:val="24"/>
        </w:rPr>
        <w:t>asserts</w:t>
      </w:r>
      <w:r w:rsidRPr="00D721F4">
        <w:rPr>
          <w:sz w:val="24"/>
          <w:szCs w:val="24"/>
        </w:rPr>
        <w:t xml:space="preserve"> that during the 13</w:t>
      </w:r>
      <w:r w:rsidR="00636558">
        <w:rPr>
          <w:sz w:val="24"/>
          <w:szCs w:val="24"/>
        </w:rPr>
        <w:t>-</w:t>
      </w:r>
      <w:r w:rsidRPr="00D721F4">
        <w:rPr>
          <w:sz w:val="24"/>
          <w:szCs w:val="24"/>
        </w:rPr>
        <w:t>month period that DP&amp;L’s ESP 1 was reins</w:t>
      </w:r>
      <w:r w:rsidR="00636558">
        <w:rPr>
          <w:sz w:val="24"/>
          <w:szCs w:val="24"/>
        </w:rPr>
        <w:t>tated</w:t>
      </w:r>
      <w:r w:rsidRPr="00D721F4">
        <w:rPr>
          <w:sz w:val="24"/>
          <w:szCs w:val="24"/>
        </w:rPr>
        <w:t xml:space="preserve"> (Sept. 1, 2016 to Oct. 31, 2017) OCC had the opportunity to raise the rate freeze issue or otherwise preserve its rights in DP&amp;L’s distribution rate case.  The PUCO is mistaken in its claims. Although DP&amp;L’s distribution case was pending, there was no practical ability for OCC to raise the rate freeze issue.  </w:t>
      </w:r>
    </w:p>
    <w:p w:rsidR="005D5D5B" w:rsidRPr="00D721F4" w:rsidP="00876DA3" w14:paraId="2A189E00" w14:textId="4DFB824E">
      <w:pPr>
        <w:pStyle w:val="BodyTextIndent3"/>
        <w:spacing w:after="0" w:line="480" w:lineRule="auto"/>
        <w:ind w:left="0" w:right="-24" w:firstLine="720"/>
        <w:rPr>
          <w:sz w:val="24"/>
          <w:szCs w:val="24"/>
        </w:rPr>
      </w:pPr>
      <w:r>
        <w:rPr>
          <w:sz w:val="24"/>
          <w:szCs w:val="24"/>
        </w:rPr>
        <w:t xml:space="preserve">DP&amp;L’s </w:t>
      </w:r>
      <w:r w:rsidRPr="00D721F4">
        <w:rPr>
          <w:sz w:val="24"/>
          <w:szCs w:val="24"/>
        </w:rPr>
        <w:t xml:space="preserve">ESP </w:t>
      </w:r>
      <w:r w:rsidR="00876DA3">
        <w:rPr>
          <w:sz w:val="24"/>
          <w:szCs w:val="24"/>
        </w:rPr>
        <w:t>1</w:t>
      </w:r>
      <w:r w:rsidRPr="00D721F4">
        <w:rPr>
          <w:sz w:val="24"/>
          <w:szCs w:val="24"/>
        </w:rPr>
        <w:t xml:space="preserve"> rates (which should have included a distribution rate freeze</w:t>
      </w:r>
      <w:r w:rsidR="00876DA3">
        <w:rPr>
          <w:sz w:val="24"/>
          <w:szCs w:val="24"/>
        </w:rPr>
        <w:t xml:space="preserve"> for consumers</w:t>
      </w:r>
      <w:r w:rsidRPr="00D721F4">
        <w:rPr>
          <w:sz w:val="24"/>
          <w:szCs w:val="24"/>
        </w:rPr>
        <w:t xml:space="preserve">) were gone before:  1) the Staff Report was filed in the distribution case 2) before objections to the </w:t>
      </w:r>
      <w:r w:rsidR="00876DA3">
        <w:rPr>
          <w:sz w:val="24"/>
          <w:szCs w:val="24"/>
        </w:rPr>
        <w:t>S</w:t>
      </w:r>
      <w:r w:rsidRPr="00D721F4">
        <w:rPr>
          <w:sz w:val="24"/>
          <w:szCs w:val="24"/>
        </w:rPr>
        <w:t xml:space="preserve">taff </w:t>
      </w:r>
      <w:r w:rsidR="00876DA3">
        <w:rPr>
          <w:sz w:val="24"/>
          <w:szCs w:val="24"/>
        </w:rPr>
        <w:t>R</w:t>
      </w:r>
      <w:r w:rsidR="00636558">
        <w:rPr>
          <w:sz w:val="24"/>
          <w:szCs w:val="24"/>
        </w:rPr>
        <w:t>e</w:t>
      </w:r>
      <w:r w:rsidRPr="00D721F4">
        <w:rPr>
          <w:sz w:val="24"/>
          <w:szCs w:val="24"/>
        </w:rPr>
        <w:t xml:space="preserve">port were filed, 3) before testimony was due 4) before the evidentiary hearing and 5) before the PUCO order was issued.  The </w:t>
      </w:r>
      <w:r>
        <w:rPr>
          <w:sz w:val="24"/>
          <w:szCs w:val="24"/>
        </w:rPr>
        <w:t xml:space="preserve">distribution rate freeze </w:t>
      </w:r>
      <w:r w:rsidRPr="00D721F4">
        <w:rPr>
          <w:sz w:val="24"/>
          <w:szCs w:val="24"/>
        </w:rPr>
        <w:t xml:space="preserve">issue was moot before it could even be raised by OCC in the distribution rate case. </w:t>
      </w:r>
    </w:p>
    <w:p w:rsidR="005D5D5B" w:rsidRPr="00D721F4" w:rsidP="00876DA3" w14:paraId="0D7240E4" w14:textId="5E833D5E">
      <w:pPr>
        <w:pStyle w:val="BodyTextIndent3"/>
        <w:spacing w:after="0" w:line="480" w:lineRule="auto"/>
        <w:ind w:left="0" w:right="-24" w:firstLine="720"/>
        <w:rPr>
          <w:sz w:val="24"/>
          <w:szCs w:val="24"/>
        </w:rPr>
      </w:pPr>
      <w:r w:rsidRPr="00D721F4">
        <w:rPr>
          <w:sz w:val="24"/>
          <w:szCs w:val="24"/>
        </w:rPr>
        <w:t>It was not until March 12, 2018</w:t>
      </w:r>
      <w:r w:rsidR="00636558">
        <w:rPr>
          <w:sz w:val="24"/>
          <w:szCs w:val="24"/>
        </w:rPr>
        <w:t>,</w:t>
      </w:r>
      <w:r w:rsidRPr="00D721F4">
        <w:rPr>
          <w:sz w:val="24"/>
          <w:szCs w:val="24"/>
        </w:rPr>
        <w:t xml:space="preserve"> that the Staff Report was issued in </w:t>
      </w:r>
      <w:r w:rsidR="00636558">
        <w:rPr>
          <w:sz w:val="24"/>
          <w:szCs w:val="24"/>
        </w:rPr>
        <w:t xml:space="preserve">DP&amp;L’s </w:t>
      </w:r>
      <w:r w:rsidRPr="00D721F4">
        <w:rPr>
          <w:sz w:val="24"/>
          <w:szCs w:val="24"/>
        </w:rPr>
        <w:t xml:space="preserve"> 2015 base rate case.</w:t>
      </w:r>
      <w:r>
        <w:rPr>
          <w:rStyle w:val="FootnoteReference"/>
          <w:sz w:val="24"/>
          <w:szCs w:val="24"/>
        </w:rPr>
        <w:footnoteReference w:id="61"/>
      </w:r>
      <w:r w:rsidRPr="00D721F4">
        <w:rPr>
          <w:sz w:val="24"/>
          <w:szCs w:val="24"/>
        </w:rPr>
        <w:t xml:space="preserve"> The PUCO then approved a distribution rate increase</w:t>
      </w:r>
      <w:r w:rsidR="00636558">
        <w:rPr>
          <w:sz w:val="24"/>
          <w:szCs w:val="24"/>
        </w:rPr>
        <w:t xml:space="preserve"> to DP&amp;L’s consumers</w:t>
      </w:r>
      <w:r w:rsidRPr="00D721F4">
        <w:rPr>
          <w:sz w:val="24"/>
          <w:szCs w:val="24"/>
        </w:rPr>
        <w:t xml:space="preserve"> on September 26, 2018.</w:t>
      </w:r>
      <w:r>
        <w:rPr>
          <w:rStyle w:val="FootnoteReference"/>
          <w:sz w:val="24"/>
          <w:szCs w:val="24"/>
        </w:rPr>
        <w:footnoteReference w:id="62"/>
      </w:r>
      <w:r w:rsidRPr="00D721F4">
        <w:rPr>
          <w:sz w:val="24"/>
          <w:szCs w:val="24"/>
        </w:rPr>
        <w:t xml:space="preserve"> In the interim, parties filed objections to the Staff Report, negotiated a settlement, participated in a hearing, and filed briefs—</w:t>
      </w:r>
      <w:r w:rsidRPr="00D721F4">
        <w:rPr>
          <w:sz w:val="24"/>
          <w:szCs w:val="24"/>
          <w:u w:val="single"/>
        </w:rPr>
        <w:t xml:space="preserve">all of which occurred while ESP 3, and not ESP 1—was in effect. </w:t>
      </w:r>
      <w:r w:rsidRPr="00D721F4">
        <w:rPr>
          <w:sz w:val="24"/>
          <w:szCs w:val="24"/>
        </w:rPr>
        <w:t xml:space="preserve">At no point during </w:t>
      </w:r>
      <w:r w:rsidR="00636558">
        <w:rPr>
          <w:sz w:val="24"/>
          <w:szCs w:val="24"/>
        </w:rPr>
        <w:t xml:space="preserve">DP&amp;L’s </w:t>
      </w:r>
      <w:r w:rsidRPr="00D721F4">
        <w:rPr>
          <w:sz w:val="24"/>
          <w:szCs w:val="24"/>
        </w:rPr>
        <w:t xml:space="preserve">2015 </w:t>
      </w:r>
      <w:r w:rsidR="00636558">
        <w:rPr>
          <w:sz w:val="24"/>
          <w:szCs w:val="24"/>
        </w:rPr>
        <w:t>r</w:t>
      </w:r>
      <w:r w:rsidRPr="00D721F4">
        <w:rPr>
          <w:sz w:val="24"/>
          <w:szCs w:val="24"/>
        </w:rPr>
        <w:t xml:space="preserve">ate </w:t>
      </w:r>
      <w:r w:rsidR="00636558">
        <w:rPr>
          <w:sz w:val="24"/>
          <w:szCs w:val="24"/>
        </w:rPr>
        <w:t>c</w:t>
      </w:r>
      <w:r w:rsidRPr="00D721F4">
        <w:rPr>
          <w:sz w:val="24"/>
          <w:szCs w:val="24"/>
        </w:rPr>
        <w:t>ase did anything occur that was inconsistent with the</w:t>
      </w:r>
      <w:r w:rsidR="00636558">
        <w:rPr>
          <w:sz w:val="24"/>
          <w:szCs w:val="24"/>
        </w:rPr>
        <w:t xml:space="preserve"> r</w:t>
      </w:r>
      <w:r w:rsidRPr="00D721F4">
        <w:rPr>
          <w:sz w:val="24"/>
          <w:szCs w:val="24"/>
        </w:rPr>
        <w:t xml:space="preserve">ate </w:t>
      </w:r>
      <w:r w:rsidR="00636558">
        <w:rPr>
          <w:sz w:val="24"/>
          <w:szCs w:val="24"/>
        </w:rPr>
        <w:t>f</w:t>
      </w:r>
      <w:r w:rsidRPr="00D721F4">
        <w:rPr>
          <w:sz w:val="24"/>
          <w:szCs w:val="24"/>
        </w:rPr>
        <w:t xml:space="preserve">reeze. Thus, OCC could not practically have done anything different to enforce the </w:t>
      </w:r>
      <w:r w:rsidR="00636558">
        <w:rPr>
          <w:sz w:val="24"/>
          <w:szCs w:val="24"/>
        </w:rPr>
        <w:t>r</w:t>
      </w:r>
      <w:r w:rsidRPr="00D721F4">
        <w:rPr>
          <w:sz w:val="24"/>
          <w:szCs w:val="24"/>
        </w:rPr>
        <w:t xml:space="preserve">ate </w:t>
      </w:r>
      <w:r w:rsidR="00636558">
        <w:rPr>
          <w:sz w:val="24"/>
          <w:szCs w:val="24"/>
        </w:rPr>
        <w:t>f</w:t>
      </w:r>
      <w:r w:rsidRPr="00D721F4">
        <w:rPr>
          <w:sz w:val="24"/>
          <w:szCs w:val="24"/>
        </w:rPr>
        <w:t>reeze during the 2015 rate case.</w:t>
      </w:r>
    </w:p>
    <w:p w:rsidR="005D5D5B" w:rsidRPr="00D721F4" w:rsidP="00876DA3" w14:paraId="73302AF7" w14:textId="0FC26417">
      <w:pPr>
        <w:pStyle w:val="BodyTextIndent3"/>
        <w:spacing w:after="0" w:line="480" w:lineRule="auto"/>
        <w:ind w:left="0" w:right="-24" w:firstLine="720"/>
        <w:rPr>
          <w:sz w:val="24"/>
          <w:szCs w:val="24"/>
        </w:rPr>
      </w:pPr>
      <w:r w:rsidRPr="00D721F4">
        <w:rPr>
          <w:sz w:val="24"/>
          <w:szCs w:val="24"/>
        </w:rPr>
        <w:t>DP&amp;L’s distribution rate increase</w:t>
      </w:r>
      <w:r w:rsidR="00636558">
        <w:rPr>
          <w:sz w:val="24"/>
          <w:szCs w:val="24"/>
        </w:rPr>
        <w:t xml:space="preserve"> to consumers </w:t>
      </w:r>
      <w:r w:rsidRPr="00D721F4">
        <w:rPr>
          <w:sz w:val="24"/>
          <w:szCs w:val="24"/>
        </w:rPr>
        <w:t xml:space="preserve">was allowed because ESP 3 did not include a rate freeze. It was not until more than a year </w:t>
      </w:r>
      <w:r w:rsidRPr="00D721F4">
        <w:rPr>
          <w:i/>
          <w:iCs/>
          <w:sz w:val="24"/>
          <w:szCs w:val="24"/>
        </w:rPr>
        <w:t>after</w:t>
      </w:r>
      <w:r w:rsidRPr="00D721F4">
        <w:rPr>
          <w:sz w:val="24"/>
          <w:szCs w:val="24"/>
        </w:rPr>
        <w:t xml:space="preserve"> that </w:t>
      </w:r>
      <w:r w:rsidR="00636558">
        <w:rPr>
          <w:sz w:val="24"/>
          <w:szCs w:val="24"/>
        </w:rPr>
        <w:t xml:space="preserve">2018 distribution </w:t>
      </w:r>
      <w:r w:rsidRPr="00D721F4">
        <w:rPr>
          <w:sz w:val="24"/>
          <w:szCs w:val="24"/>
        </w:rPr>
        <w:t xml:space="preserve">rate increase, in December 2019, that DP&amp;L withdrew from ESP 3 and reverted to ESP 1. At that moment, the </w:t>
      </w:r>
      <w:r w:rsidR="00636558">
        <w:rPr>
          <w:sz w:val="24"/>
          <w:szCs w:val="24"/>
        </w:rPr>
        <w:t>r</w:t>
      </w:r>
      <w:r w:rsidRPr="00D721F4">
        <w:rPr>
          <w:sz w:val="24"/>
          <w:szCs w:val="24"/>
        </w:rPr>
        <w:t xml:space="preserve">ate </w:t>
      </w:r>
      <w:r w:rsidR="00636558">
        <w:rPr>
          <w:sz w:val="24"/>
          <w:szCs w:val="24"/>
        </w:rPr>
        <w:t>f</w:t>
      </w:r>
      <w:r w:rsidRPr="00D721F4">
        <w:rPr>
          <w:sz w:val="24"/>
          <w:szCs w:val="24"/>
        </w:rPr>
        <w:t>reeze commitment was revived (a decision that was entirely within DP&amp;L’s discretion) and became enforceable anew.</w:t>
      </w:r>
    </w:p>
    <w:p w:rsidR="005D5D5B" w:rsidRPr="00D721F4" w:rsidP="00876DA3" w14:paraId="19ED3228" w14:textId="4BA912F3">
      <w:pPr>
        <w:pStyle w:val="BodyTextIndent3"/>
        <w:spacing w:after="0" w:line="480" w:lineRule="auto"/>
        <w:ind w:left="0" w:right="-24" w:firstLine="720"/>
        <w:rPr>
          <w:sz w:val="24"/>
          <w:szCs w:val="24"/>
        </w:rPr>
      </w:pPr>
      <w:r w:rsidRPr="00D721F4">
        <w:rPr>
          <w:sz w:val="24"/>
          <w:szCs w:val="24"/>
        </w:rPr>
        <w:t>The PUCO was also mistaken in its claim that OCC has deprived it of an opportunity to cure its error. OCC has not asked, contrary to the PUCO’s assumption otherwise, that the PUCO retroactively modify DP&amp;L distribution rates to the prior ESP I levels. Instead, OCC asked that DP&amp;L’s current distribution rates (set in the 2015 rate case) be frozen for the remainder of the ESP I period. Thus, the PUCO does have the ability to cure its error now, as it is reimplementing DP&amp;L’s ESP 1 rates.  Additionally, as the PUCO is aware, there is a pending DP&amp;L distribution rate case (Case No. 20-1651-EL-AIR) which also gives the PUCO the opportunity to cure its error</w:t>
      </w:r>
      <w:r w:rsidR="00636558">
        <w:rPr>
          <w:sz w:val="24"/>
          <w:szCs w:val="24"/>
        </w:rPr>
        <w:t xml:space="preserve"> by ordering the dismissal of the rate case</w:t>
      </w:r>
      <w:r w:rsidR="00876DA3">
        <w:rPr>
          <w:sz w:val="24"/>
          <w:szCs w:val="24"/>
        </w:rPr>
        <w:t xml:space="preserve"> (seeking a $121 million rate increase from consumers) </w:t>
      </w:r>
      <w:r w:rsidR="00636558">
        <w:rPr>
          <w:sz w:val="24"/>
          <w:szCs w:val="24"/>
        </w:rPr>
        <w:t xml:space="preserve">as being inconsistent with the overriding terms of DP&amp;L’s ESP I.  </w:t>
      </w:r>
      <w:r w:rsidRPr="00D721F4">
        <w:rPr>
          <w:sz w:val="24"/>
          <w:szCs w:val="24"/>
        </w:rPr>
        <w:t xml:space="preserve"> </w:t>
      </w:r>
    </w:p>
    <w:p w:rsidR="005D5D5B" w:rsidRPr="00D721F4" w:rsidP="00876DA3" w14:paraId="3BA9D5B7" w14:textId="0288B541">
      <w:pPr>
        <w:pStyle w:val="BodyTextIndent3"/>
        <w:spacing w:after="0" w:line="480" w:lineRule="auto"/>
        <w:ind w:left="0" w:right="-24" w:firstLine="720"/>
        <w:rPr>
          <w:sz w:val="24"/>
          <w:szCs w:val="24"/>
        </w:rPr>
      </w:pPr>
      <w:r w:rsidRPr="00D721F4">
        <w:rPr>
          <w:sz w:val="24"/>
          <w:szCs w:val="24"/>
        </w:rPr>
        <w:t>Curing the PUCO’s error now in this proceeding is the most expedient course of action and will be most protective of customers who are being harmed by the PUCO</w:t>
      </w:r>
      <w:r w:rsidR="00636558">
        <w:rPr>
          <w:sz w:val="24"/>
          <w:szCs w:val="24"/>
        </w:rPr>
        <w:t xml:space="preserve">’s unlawful and unreasonable ruling.  The PUCO should not allow </w:t>
      </w:r>
      <w:r w:rsidRPr="00D721F4">
        <w:rPr>
          <w:sz w:val="24"/>
          <w:szCs w:val="24"/>
        </w:rPr>
        <w:t>DP&amp;L to cherry pick provisions of its ESP 1 that continue (i.e.</w:t>
      </w:r>
      <w:r w:rsidR="00876DA3">
        <w:rPr>
          <w:sz w:val="24"/>
          <w:szCs w:val="24"/>
        </w:rPr>
        <w:t>,</w:t>
      </w:r>
      <w:r w:rsidRPr="00D721F4">
        <w:rPr>
          <w:sz w:val="24"/>
          <w:szCs w:val="24"/>
        </w:rPr>
        <w:t xml:space="preserve"> the</w:t>
      </w:r>
      <w:r w:rsidR="00303CED">
        <w:rPr>
          <w:sz w:val="24"/>
          <w:szCs w:val="24"/>
        </w:rPr>
        <w:t xml:space="preserve"> rate stabilization charge</w:t>
      </w:r>
      <w:r w:rsidRPr="00D721F4">
        <w:rPr>
          <w:sz w:val="24"/>
          <w:szCs w:val="24"/>
        </w:rPr>
        <w:t>, storm rider</w:t>
      </w:r>
      <w:r w:rsidR="00876DA3">
        <w:rPr>
          <w:sz w:val="24"/>
          <w:szCs w:val="24"/>
        </w:rPr>
        <w:t>, which increase consumer rates</w:t>
      </w:r>
      <w:r w:rsidRPr="00D721F4">
        <w:rPr>
          <w:sz w:val="24"/>
          <w:szCs w:val="24"/>
        </w:rPr>
        <w:t>) and others that don’t (the rate freeze</w:t>
      </w:r>
      <w:r w:rsidR="00876DA3">
        <w:rPr>
          <w:sz w:val="24"/>
          <w:szCs w:val="24"/>
        </w:rPr>
        <w:t xml:space="preserve"> which would prevent distribution increases</w:t>
      </w:r>
      <w:r w:rsidRPr="00D721F4">
        <w:rPr>
          <w:sz w:val="24"/>
          <w:szCs w:val="24"/>
        </w:rPr>
        <w:t xml:space="preserve">).  The PUCO should grant rehearing and abrogate its order, requiring DP&amp;L to fulfill its rate freeze commitment for the remainder of ESP 1.  </w:t>
      </w:r>
    </w:p>
    <w:p w:rsidR="005D5D5B" w:rsidP="005149BD" w14:paraId="0CC5325C" w14:textId="7F2868B8">
      <w:pPr>
        <w:pStyle w:val="Heading2"/>
      </w:pPr>
      <w:bookmarkStart w:id="34" w:name="_Toc77342121"/>
      <w:r w:rsidRPr="005149BD">
        <w:rPr>
          <w:rStyle w:val="Heading2Char"/>
          <w:u w:val="single"/>
        </w:rPr>
        <w:t>Assignment of Error 5</w:t>
      </w:r>
      <w:r w:rsidR="005149BD">
        <w:rPr>
          <w:rStyle w:val="Heading2Char"/>
        </w:rPr>
        <w:t>:</w:t>
      </w:r>
      <w:r w:rsidRPr="005149BD">
        <w:rPr>
          <w:rStyle w:val="Heading2Char"/>
        </w:rPr>
        <w:t xml:space="preserve"> The PUCO </w:t>
      </w:r>
      <w:r w:rsidR="00130F34">
        <w:rPr>
          <w:rStyle w:val="Heading2Char"/>
        </w:rPr>
        <w:t>erred by delaying its rehearing ruling for sixteen months (until June 16, 2021) and by deferring yet more rehearing rulings beyond its June 16, 2021 Order</w:t>
      </w:r>
      <w:r>
        <w:t>,</w:t>
      </w:r>
      <w:r w:rsidR="00130F34">
        <w:t xml:space="preserve"> in </w:t>
      </w:r>
      <w:r>
        <w:t>violati</w:t>
      </w:r>
      <w:r w:rsidR="00130F34">
        <w:t>on of</w:t>
      </w:r>
      <w:r>
        <w:t xml:space="preserve"> R.C. 4903.10, 4903.11, 4903.12 and 4903.13, </w:t>
      </w:r>
      <w:r w:rsidR="00130F34">
        <w:t>and, in an abuse of discretion.  The PUCO’s errors have wrongfully delayed the issuance of a final appealable order up to June 16, 2021 and beyond because the PUCO is intending for there to be further rehearing rulings, all of which are denying OCC its statutory right of appeal and denying the Court its statutory right of review.</w:t>
      </w:r>
      <w:bookmarkEnd w:id="34"/>
    </w:p>
    <w:p w:rsidR="007826D9" w:rsidP="006542FC" w14:paraId="67E4E61E" w14:textId="72352308">
      <w:pPr>
        <w:spacing w:after="0" w:line="480" w:lineRule="auto"/>
        <w:ind w:firstLine="720"/>
      </w:pPr>
      <w:r>
        <w:t>In its Delayed Rehearing Order, the PUCO ruled that, after a 16 month delay on its rehearing ruling, it will further delay issuing a final appealable order on rehearing to address the applications for r</w:t>
      </w:r>
      <w:r w:rsidR="00A737A3">
        <w:t xml:space="preserve">ehearing filed </w:t>
      </w:r>
      <w:r w:rsidR="00CC3564">
        <w:t xml:space="preserve">in this case </w:t>
      </w:r>
      <w:r w:rsidR="00A737A3">
        <w:t>by IEU-Ohio, Dayton/Honda, and OMA and Kroger.</w:t>
      </w:r>
      <w:r>
        <w:rPr>
          <w:rStyle w:val="FootnoteReference"/>
        </w:rPr>
        <w:footnoteReference w:id="63"/>
      </w:r>
      <w:r w:rsidR="00A737A3">
        <w:t xml:space="preserve">  Th</w:t>
      </w:r>
      <w:r w:rsidR="00323B97">
        <w:t>e PUCO’s</w:t>
      </w:r>
      <w:r>
        <w:t xml:space="preserve"> February 14, 2020 decision to delay ruling (for sixteen months) on applications for rehearing was bad enough  for consumers – it unreasonably and unlawfully blocked OCC’s appeal of continuing the unlawful rate stability charge.  But now, the PUCO has delayed OCC’s appeal even more with its insistence on </w:t>
      </w:r>
      <w:r w:rsidR="00323B97">
        <w:t>defer</w:t>
      </w:r>
      <w:r>
        <w:t xml:space="preserve">ring </w:t>
      </w:r>
      <w:r w:rsidR="00323B97">
        <w:t>ruling on applications for rehearing</w:t>
      </w:r>
      <w:r>
        <w:t xml:space="preserve"> filed by signatory parties to the Quadrennial Review case. In the Quadrennial Review case these very parties </w:t>
      </w:r>
      <w:r w:rsidR="00A737A3">
        <w:t xml:space="preserve">agreed to withdraw </w:t>
      </w:r>
      <w:r w:rsidR="009812C2">
        <w:t xml:space="preserve">their </w:t>
      </w:r>
      <w:r w:rsidR="00A737A3">
        <w:t xml:space="preserve">pending applications for rehearing </w:t>
      </w:r>
      <w:r w:rsidR="001B3272">
        <w:t>when</w:t>
      </w:r>
      <w:r w:rsidR="00A737A3">
        <w:t xml:space="preserve"> </w:t>
      </w:r>
      <w:r>
        <w:t xml:space="preserve">a final appealable Order is issued </w:t>
      </w:r>
      <w:r w:rsidRPr="00717D57">
        <w:t xml:space="preserve">in </w:t>
      </w:r>
      <w:r w:rsidRPr="00717D57" w:rsidR="00323B97">
        <w:t xml:space="preserve">the Quadrennial Review </w:t>
      </w:r>
      <w:r w:rsidRPr="00717D57">
        <w:t>docket</w:t>
      </w:r>
      <w:r>
        <w:t>.</w:t>
      </w:r>
      <w:r>
        <w:rPr>
          <w:rStyle w:val="FootnoteReference"/>
        </w:rPr>
        <w:footnoteReference w:id="64"/>
      </w:r>
      <w:r>
        <w:t xml:space="preserve"> </w:t>
      </w:r>
    </w:p>
    <w:p w:rsidR="001B3272" w:rsidP="00717D57" w14:paraId="29C43D68" w14:textId="20377E5E">
      <w:pPr>
        <w:spacing w:after="0" w:line="480" w:lineRule="auto"/>
        <w:ind w:firstLine="720"/>
      </w:pPr>
      <w:r>
        <w:t>The PUCO is a creature of statute.</w:t>
      </w:r>
      <w:r>
        <w:rPr>
          <w:rStyle w:val="FootnoteReference"/>
        </w:rPr>
        <w:footnoteReference w:id="65"/>
      </w:r>
      <w:r>
        <w:t xml:space="preserve">  It can only exercise that authority which has been expressly granted to it</w:t>
      </w:r>
      <w:r w:rsidR="00CC3564">
        <w:t xml:space="preserve"> by the Ohio General Assembly</w:t>
      </w:r>
      <w:r>
        <w:t>.  The PUCO must follow the law</w:t>
      </w:r>
      <w:r w:rsidR="00CC3564">
        <w:t xml:space="preserve"> as written.</w:t>
      </w:r>
    </w:p>
    <w:p w:rsidR="00717D57" w:rsidP="00717D57" w14:paraId="3A41D20D" w14:textId="41991B97">
      <w:pPr>
        <w:spacing w:after="0" w:line="480" w:lineRule="auto"/>
        <w:ind w:firstLine="720"/>
      </w:pPr>
      <w:r>
        <w:t xml:space="preserve">Applications for rehearing are governed by R.C. 4903.10. </w:t>
      </w:r>
      <w:r w:rsidR="00323B97">
        <w:t xml:space="preserve">Under R.C. 4903.10, </w:t>
      </w:r>
    </w:p>
    <w:p w:rsidR="00717D57" w:rsidRPr="00FC26F6" w:rsidP="00717D57" w14:paraId="787D68B2" w14:textId="55EB265E">
      <w:pPr>
        <w:spacing w:after="0" w:line="480" w:lineRule="auto"/>
      </w:pPr>
      <w:r w:rsidRPr="00F209F0">
        <w:rPr>
          <w:u w:val="single"/>
        </w:rPr>
        <w:t>after rehearing is granted</w:t>
      </w:r>
      <w:r>
        <w:t xml:space="preserve">, </w:t>
      </w:r>
      <w:r w:rsidR="009C01BD">
        <w:t xml:space="preserve">the PUCO “may abrogate or modify the same; </w:t>
      </w:r>
      <w:r w:rsidRPr="006542FC" w:rsidR="009C01BD">
        <w:rPr>
          <w:i/>
          <w:iCs/>
        </w:rPr>
        <w:t>otherwise such order shall be affirmed.</w:t>
      </w:r>
      <w:r w:rsidR="009C01BD">
        <w:t xml:space="preserve">” </w:t>
      </w:r>
      <w:r>
        <w:t xml:space="preserve">(Emphasis added).  </w:t>
      </w:r>
      <w:r w:rsidR="00E37223">
        <w:t xml:space="preserve">The law thus requires the PUCO to issue an appealable order after granting rehearing that either abrogates or affirms the original order, consistent with parties’ right to seek to “reverse, vacate, or modify a final order” of the PUCO, under R.C. 4903.11.  </w:t>
      </w:r>
      <w:r w:rsidRPr="009812C2">
        <w:rPr>
          <w:u w:val="single"/>
        </w:rPr>
        <w:t xml:space="preserve">R.C. 4903.10 does not allow the PUCO to </w:t>
      </w:r>
      <w:r w:rsidR="001B3272">
        <w:rPr>
          <w:u w:val="single"/>
        </w:rPr>
        <w:t>grant rehearing</w:t>
      </w:r>
      <w:r w:rsidR="00FC26F6">
        <w:rPr>
          <w:u w:val="single"/>
        </w:rPr>
        <w:t xml:space="preserve">, </w:t>
      </w:r>
      <w:r w:rsidR="001B3272">
        <w:rPr>
          <w:u w:val="single"/>
        </w:rPr>
        <w:t>abrogate its</w:t>
      </w:r>
      <w:r w:rsidR="00CC3564">
        <w:rPr>
          <w:u w:val="single"/>
        </w:rPr>
        <w:t xml:space="preserve"> original</w:t>
      </w:r>
      <w:r w:rsidR="001B3272">
        <w:rPr>
          <w:u w:val="single"/>
        </w:rPr>
        <w:t xml:space="preserve"> order</w:t>
      </w:r>
      <w:r w:rsidR="00CC3564">
        <w:rPr>
          <w:u w:val="single"/>
        </w:rPr>
        <w:t xml:space="preserve"> </w:t>
      </w:r>
      <w:r w:rsidR="00FC26F6">
        <w:rPr>
          <w:u w:val="single"/>
        </w:rPr>
        <w:t xml:space="preserve">on rehearing </w:t>
      </w:r>
      <w:r w:rsidR="00CC3564">
        <w:rPr>
          <w:u w:val="single"/>
        </w:rPr>
        <w:t xml:space="preserve">and at the same time </w:t>
      </w:r>
      <w:r w:rsidR="00E6134C">
        <w:rPr>
          <w:u w:val="single"/>
        </w:rPr>
        <w:t>further delay the issuance of a final, appealable order</w:t>
      </w:r>
      <w:r w:rsidR="004B6992">
        <w:rPr>
          <w:u w:val="single"/>
        </w:rPr>
        <w:t xml:space="preserve"> by not ruling on several pending applications for rehearing</w:t>
      </w:r>
      <w:r w:rsidR="00E6134C">
        <w:rPr>
          <w:u w:val="single"/>
        </w:rPr>
        <w:t xml:space="preserve">. </w:t>
      </w:r>
    </w:p>
    <w:p w:rsidR="001B3272" w:rsidP="00F209F0" w14:paraId="0B19F0F4" w14:textId="087C8F7F">
      <w:pPr>
        <w:spacing w:after="0" w:line="480" w:lineRule="auto"/>
        <w:ind w:firstLine="720"/>
      </w:pPr>
      <w:r>
        <w:t>Sixteen months after granting rehearing</w:t>
      </w:r>
      <w:r w:rsidR="00F209F0">
        <w:t xml:space="preserve"> (allowing itself more time to consider the issues parties had raised on rehearing)</w:t>
      </w:r>
      <w:r>
        <w:rPr>
          <w:rStyle w:val="FootnoteReference"/>
        </w:rPr>
        <w:footnoteReference w:id="66"/>
      </w:r>
      <w:r>
        <w:t xml:space="preserve"> the PUCO issued its </w:t>
      </w:r>
      <w:r w:rsidR="003D3681">
        <w:t>Delayed Rehearing Order</w:t>
      </w:r>
      <w:r w:rsidR="005745D9">
        <w:t xml:space="preserve">, In its </w:t>
      </w:r>
      <w:r>
        <w:t>Delayed Rehearing Order the PUCO largely denied OCC’s rehearing application while slightly abrogating or modifying its Second Finding and Order (issued Dec.18, 2019).</w:t>
      </w:r>
      <w:r w:rsidR="00F209F0">
        <w:t xml:space="preserve">  That the PUCO had authority to do.  </w:t>
      </w:r>
    </w:p>
    <w:p w:rsidR="00F209F0" w:rsidP="00F209F0" w14:paraId="66FE182F" w14:textId="3CF77A4D">
      <w:pPr>
        <w:spacing w:after="0" w:line="480" w:lineRule="auto"/>
        <w:ind w:firstLine="720"/>
      </w:pPr>
      <w:r>
        <w:t xml:space="preserve">But </w:t>
      </w:r>
      <w:r w:rsidR="001B3272">
        <w:t xml:space="preserve">under R.C. 4903.10, </w:t>
      </w:r>
      <w:r w:rsidR="005745D9">
        <w:t>with the issuan</w:t>
      </w:r>
      <w:r w:rsidR="001B3272">
        <w:t>c</w:t>
      </w:r>
      <w:r w:rsidR="005745D9">
        <w:t xml:space="preserve">e of the Delayed Rehearing Order </w:t>
      </w:r>
      <w:r w:rsidRPr="001B3272" w:rsidR="005745D9">
        <w:rPr>
          <w:u w:val="single"/>
        </w:rPr>
        <w:t>after granting rehearing</w:t>
      </w:r>
      <w:r w:rsidR="005745D9">
        <w:t xml:space="preserve">, </w:t>
      </w:r>
      <w:r>
        <w:t xml:space="preserve">the PUCO’s </w:t>
      </w:r>
      <w:r w:rsidR="00FC26F6">
        <w:t>original</w:t>
      </w:r>
      <w:r>
        <w:t xml:space="preserve"> order was otherwise affirmed in all other respects, including with respect to </w:t>
      </w:r>
      <w:r w:rsidR="005745D9">
        <w:t xml:space="preserve">all other </w:t>
      </w:r>
      <w:r>
        <w:t>issues intervenors raised in their rehearing applications.  By law the PUCO’s Delayed Rehearing Order</w:t>
      </w:r>
      <w:r w:rsidR="00FC26F6">
        <w:t xml:space="preserve"> must</w:t>
      </w:r>
      <w:r>
        <w:t xml:space="preserve"> serve as a denial of the </w:t>
      </w:r>
      <w:r w:rsidR="005745D9">
        <w:t xml:space="preserve">intervenors’ </w:t>
      </w:r>
      <w:r>
        <w:t>remaining applications for rehearing</w:t>
      </w:r>
      <w:r w:rsidR="00E6134C">
        <w:t xml:space="preserve"> –“otherwise such order shall be affirmed.”  The law </w:t>
      </w:r>
      <w:r w:rsidR="001B3272">
        <w:t xml:space="preserve">does not </w:t>
      </w:r>
      <w:r w:rsidR="00E6134C">
        <w:t xml:space="preserve">tolerate the type of further delay the parties and the PUCO seek to impose, where OCC’s ability to appeal is thwarted </w:t>
      </w:r>
      <w:r>
        <w:t xml:space="preserve">again </w:t>
      </w:r>
      <w:r w:rsidR="00E6134C">
        <w:t>through the issuance of a non-final order</w:t>
      </w:r>
      <w:r w:rsidR="009631DB">
        <w:t xml:space="preserve"> on rehearing</w:t>
      </w:r>
      <w:r w:rsidR="00E6134C">
        <w:t xml:space="preserve">. </w:t>
      </w:r>
      <w:r w:rsidR="001B3272">
        <w:t xml:space="preserve">The PUCO </w:t>
      </w:r>
      <w:r w:rsidR="009631DB">
        <w:t>had no authority</w:t>
      </w:r>
      <w:r w:rsidR="001B3272">
        <w:t xml:space="preserve"> </w:t>
      </w:r>
      <w:r>
        <w:t xml:space="preserve">to </w:t>
      </w:r>
      <w:r w:rsidR="001B3272">
        <w:t xml:space="preserve">defer ruling on other applications for rehearing after granting rehearing, holding rehearing and abrogating its order.  </w:t>
      </w:r>
    </w:p>
    <w:p w:rsidR="009631DB" w:rsidP="005A3760" w14:paraId="3408625C" w14:textId="45810A44">
      <w:pPr>
        <w:spacing w:after="0" w:line="480" w:lineRule="auto"/>
        <w:ind w:firstLine="720"/>
      </w:pPr>
      <w:r>
        <w:t xml:space="preserve">It was also unlawful for the PUCO to defer ruling on rehearing </w:t>
      </w:r>
      <w:r w:rsidRPr="006E5F43">
        <w:rPr>
          <w:u w:val="single"/>
        </w:rPr>
        <w:t>after granting rehearing</w:t>
      </w:r>
      <w:r>
        <w:t xml:space="preserve"> because the additional, unwarranted delay that the PUCO is imposing deprives OCC of its right to appeal under R.C. 4903.13 and deprives the Court of its review under R.C. 4903.12, and 4903.13. </w:t>
      </w:r>
      <w:r w:rsidR="001B3272">
        <w:t xml:space="preserve">It was bad enough that the PUCO waited 16 months after granting rehearing </w:t>
      </w:r>
      <w:r w:rsidR="005A3760">
        <w:t xml:space="preserve">(allowing itself more time) </w:t>
      </w:r>
      <w:r w:rsidR="001B3272">
        <w:t xml:space="preserve">before it issued an order </w:t>
      </w:r>
      <w:r w:rsidR="005A3760">
        <w:t>addressing OCC’s claims.  (The PUCO’s inaction prompted OCC to file a writ at the Supreme Court asking the Court to order the PUCO to issue a final appealable order in this case.</w:t>
      </w:r>
      <w:r w:rsidR="004B6992">
        <w:t>)</w:t>
      </w:r>
      <w:r>
        <w:rPr>
          <w:rStyle w:val="FootnoteReference"/>
        </w:rPr>
        <w:footnoteReference w:id="67"/>
      </w:r>
      <w:r w:rsidR="005A3760">
        <w:t xml:space="preserve">  </w:t>
      </w:r>
    </w:p>
    <w:p w:rsidR="006E5F43" w:rsidP="005A3760" w14:paraId="3715C50C" w14:textId="6014A1C0">
      <w:pPr>
        <w:spacing w:after="0" w:line="480" w:lineRule="auto"/>
        <w:ind w:firstLine="720"/>
      </w:pPr>
      <w:r>
        <w:t xml:space="preserve">But now, with the PUCO’s </w:t>
      </w:r>
      <w:r w:rsidR="00FC26F6">
        <w:t xml:space="preserve">abrogated </w:t>
      </w:r>
      <w:r>
        <w:t xml:space="preserve">decision </w:t>
      </w:r>
      <w:r w:rsidR="00FC26F6">
        <w:t xml:space="preserve">we have a decision </w:t>
      </w:r>
      <w:r>
        <w:t>t</w:t>
      </w:r>
      <w:r w:rsidR="00FC26F6">
        <w:t xml:space="preserve">hat really isn’t final because it </w:t>
      </w:r>
      <w:r>
        <w:t>defer</w:t>
      </w:r>
      <w:r w:rsidR="00FC26F6">
        <w:t>s</w:t>
      </w:r>
      <w:r>
        <w:t xml:space="preserve"> ruling on </w:t>
      </w:r>
      <w:r w:rsidR="003D3681">
        <w:t xml:space="preserve">other </w:t>
      </w:r>
      <w:r w:rsidR="009631DB">
        <w:t xml:space="preserve">pending </w:t>
      </w:r>
      <w:r>
        <w:t>applications for rehearing</w:t>
      </w:r>
      <w:r w:rsidR="00FC0DF5">
        <w:t>.</w:t>
      </w:r>
      <w:r w:rsidR="00FC26F6">
        <w:t xml:space="preserve"> This </w:t>
      </w:r>
      <w:r>
        <w:t>means that consumers will have to wait even longer before a final, appealable order is issued.  In essence the PUCO is again controlling (delaying) when OCC can appeal the stability charge and other aspects of DP&amp;L’s continued electric security plan by preventing OCC from exhausting its administrative remedies as required for the appeal.  All the while during the delay consumers continue to pay charges that OCC would have appealed as unlawful.</w:t>
      </w:r>
      <w:r w:rsidR="003D3681">
        <w:t xml:space="preserve">  The PUCO should abrogate its order</w:t>
      </w:r>
      <w:r>
        <w:t xml:space="preserve">. The PUCO should </w:t>
      </w:r>
      <w:r w:rsidR="003D3681">
        <w:t>find</w:t>
      </w:r>
      <w:r>
        <w:t>,</w:t>
      </w:r>
      <w:r w:rsidR="003D3681">
        <w:t xml:space="preserve"> consistent with R.C. 4903.10</w:t>
      </w:r>
      <w:r>
        <w:t>,</w:t>
      </w:r>
      <w:r w:rsidR="003D3681">
        <w:t xml:space="preserve"> that the remaining applications for rehearing (by IEU-Ohio, Dayton/Honda, and OMA and Kroger) that it deferred ruling on, are denied, with the PUCO’s December 19, 2020 Order otherwise affirmed.  </w:t>
      </w:r>
    </w:p>
    <w:p w:rsidR="005A3760" w:rsidP="00FC0DF5" w14:paraId="26DF6E45" w14:textId="77777777">
      <w:pPr>
        <w:spacing w:after="0" w:line="240" w:lineRule="auto"/>
        <w:ind w:firstLine="720"/>
      </w:pPr>
    </w:p>
    <w:p w:rsidR="000154AC" w:rsidRPr="001F21DE" w:rsidP="00FC0DF5" w14:paraId="02724454" w14:textId="5620A1B3">
      <w:pPr>
        <w:pStyle w:val="Heading1"/>
      </w:pPr>
      <w:bookmarkStart w:id="35" w:name="_Toc77342122"/>
      <w:r w:rsidRPr="009800F6">
        <w:t xml:space="preserve">III. </w:t>
      </w:r>
      <w:r w:rsidR="00FC0DF5">
        <w:tab/>
      </w:r>
      <w:r w:rsidRPr="009800F6">
        <w:t>CONCLUSION</w:t>
      </w:r>
      <w:bookmarkEnd w:id="35"/>
      <w:r>
        <w:t xml:space="preserve"> </w:t>
      </w:r>
    </w:p>
    <w:p w:rsidR="00FC0DF5" w:rsidP="001E3FE3" w14:paraId="66422D09" w14:textId="2D99AA0B">
      <w:pPr>
        <w:spacing w:line="480" w:lineRule="auto"/>
        <w:rPr>
          <w:rFonts w:cs="Times New Roman"/>
          <w:szCs w:val="24"/>
        </w:rPr>
      </w:pPr>
      <w:r>
        <w:rPr>
          <w:rFonts w:cs="Times New Roman"/>
          <w:szCs w:val="24"/>
        </w:rPr>
        <w:tab/>
        <w:t>The PUCO should re</w:t>
      </w:r>
      <w:r w:rsidR="009219B5">
        <w:rPr>
          <w:rFonts w:cs="Times New Roman"/>
          <w:szCs w:val="24"/>
        </w:rPr>
        <w:t>hear</w:t>
      </w:r>
      <w:r>
        <w:rPr>
          <w:rFonts w:cs="Times New Roman"/>
          <w:szCs w:val="24"/>
        </w:rPr>
        <w:t xml:space="preserve"> its decision and correct the errors that have led to unjust and unreasonable rates for DP&amp;L’s customers.  The injustice should end now.   </w:t>
      </w:r>
    </w:p>
    <w:p w:rsidR="00747968" w:rsidRPr="00CD1BE8" w:rsidP="00747968" w14:paraId="6104E9D0" w14:textId="77777777">
      <w:pPr>
        <w:spacing w:after="0" w:line="480" w:lineRule="auto"/>
        <w:ind w:left="3600" w:firstLine="720"/>
        <w:rPr>
          <w:rFonts w:cs="Times New Roman"/>
          <w:szCs w:val="24"/>
        </w:rPr>
      </w:pPr>
      <w:r w:rsidRPr="00CD1BE8">
        <w:rPr>
          <w:rFonts w:cs="Times New Roman"/>
          <w:szCs w:val="24"/>
        </w:rPr>
        <w:t xml:space="preserve">Respectfully submitted, </w:t>
      </w:r>
    </w:p>
    <w:p w:rsidR="00F31BA3" w:rsidP="00F31BA3" w14:paraId="6920C3A9" w14:textId="08052E1A">
      <w:pPr>
        <w:tabs>
          <w:tab w:val="left" w:pos="4320"/>
        </w:tabs>
        <w:spacing w:after="0" w:line="240" w:lineRule="auto"/>
        <w:ind w:left="4320"/>
        <w:rPr>
          <w:szCs w:val="24"/>
        </w:rPr>
      </w:pPr>
      <w:r>
        <w:rPr>
          <w:szCs w:val="24"/>
        </w:rPr>
        <w:t>Bruce Weston (0016973)</w:t>
      </w:r>
    </w:p>
    <w:p w:rsidR="00F31BA3" w:rsidP="00F31BA3" w14:paraId="28FF0C07" w14:textId="77777777">
      <w:pPr>
        <w:tabs>
          <w:tab w:val="left" w:pos="4320"/>
        </w:tabs>
        <w:spacing w:after="0" w:line="240" w:lineRule="auto"/>
        <w:ind w:left="4320"/>
        <w:rPr>
          <w:szCs w:val="24"/>
        </w:rPr>
      </w:pPr>
      <w:r>
        <w:rPr>
          <w:szCs w:val="24"/>
        </w:rPr>
        <w:t>Ohio Consumers’ Counsel</w:t>
      </w:r>
    </w:p>
    <w:p w:rsidR="00F31BA3" w:rsidRPr="00DE37C9" w:rsidP="00F31BA3" w14:paraId="5B7D3604" w14:textId="77777777">
      <w:pPr>
        <w:tabs>
          <w:tab w:val="left" w:pos="4320"/>
        </w:tabs>
        <w:spacing w:after="0" w:line="240" w:lineRule="auto"/>
        <w:ind w:left="4320"/>
        <w:rPr>
          <w:szCs w:val="24"/>
        </w:rPr>
      </w:pPr>
    </w:p>
    <w:p w:rsidR="00F31BA3" w:rsidRPr="00F31BA3" w:rsidP="00F31BA3" w14:paraId="6D8E309C" w14:textId="77777777">
      <w:pPr>
        <w:tabs>
          <w:tab w:val="left" w:pos="4320"/>
        </w:tabs>
        <w:spacing w:after="0" w:line="240" w:lineRule="auto"/>
        <w:ind w:left="4320" w:right="-180"/>
        <w:rPr>
          <w:i/>
          <w:iCs/>
          <w:szCs w:val="24"/>
          <w:u w:val="single"/>
        </w:rPr>
      </w:pPr>
      <w:r>
        <w:rPr>
          <w:i/>
          <w:iCs/>
          <w:szCs w:val="24"/>
          <w:u w:val="single"/>
        </w:rPr>
        <w:t>/s/ Maureen R. Willis</w:t>
      </w:r>
    </w:p>
    <w:p w:rsidR="00F31BA3" w:rsidP="00F31BA3" w14:paraId="02EBC5DD" w14:textId="77777777">
      <w:pPr>
        <w:tabs>
          <w:tab w:val="left" w:pos="4320"/>
        </w:tabs>
        <w:spacing w:after="0" w:line="240" w:lineRule="auto"/>
        <w:ind w:left="4320" w:right="-180"/>
        <w:rPr>
          <w:szCs w:val="24"/>
        </w:rPr>
      </w:pPr>
      <w:r>
        <w:rPr>
          <w:szCs w:val="24"/>
        </w:rPr>
        <w:t>Maureen R. Willis (0020847)</w:t>
      </w:r>
    </w:p>
    <w:p w:rsidR="00F31BA3" w:rsidP="00F31BA3" w14:paraId="2A12660F" w14:textId="77777777">
      <w:pPr>
        <w:tabs>
          <w:tab w:val="left" w:pos="4320"/>
        </w:tabs>
        <w:spacing w:after="0" w:line="240" w:lineRule="auto"/>
        <w:ind w:left="4320" w:right="-180"/>
        <w:rPr>
          <w:szCs w:val="24"/>
        </w:rPr>
      </w:pPr>
      <w:r>
        <w:rPr>
          <w:szCs w:val="24"/>
        </w:rPr>
        <w:t>Counsel of Record</w:t>
      </w:r>
    </w:p>
    <w:p w:rsidR="00F31BA3" w:rsidP="00F31BA3" w14:paraId="1EE21ED3" w14:textId="77777777">
      <w:pPr>
        <w:tabs>
          <w:tab w:val="left" w:pos="4320"/>
        </w:tabs>
        <w:spacing w:after="0" w:line="240" w:lineRule="auto"/>
        <w:ind w:left="4320" w:right="-180"/>
        <w:rPr>
          <w:szCs w:val="24"/>
        </w:rPr>
      </w:pPr>
      <w:r>
        <w:rPr>
          <w:szCs w:val="24"/>
        </w:rPr>
        <w:t>Christopher Healey (0086027)</w:t>
      </w:r>
    </w:p>
    <w:p w:rsidR="00F31BA3" w:rsidP="00F31BA3" w14:paraId="63C5592B" w14:textId="77777777">
      <w:pPr>
        <w:tabs>
          <w:tab w:val="left" w:pos="4320"/>
        </w:tabs>
        <w:spacing w:after="0" w:line="240" w:lineRule="auto"/>
        <w:ind w:left="4320" w:right="-180"/>
        <w:rPr>
          <w:szCs w:val="24"/>
        </w:rPr>
      </w:pPr>
      <w:r>
        <w:rPr>
          <w:szCs w:val="24"/>
        </w:rPr>
        <w:t>William J. Michael (0070921)</w:t>
      </w:r>
    </w:p>
    <w:p w:rsidR="00F31BA3" w:rsidRPr="00BC69C7" w:rsidP="00F31BA3" w14:paraId="24FAC2A1" w14:textId="77777777">
      <w:pPr>
        <w:spacing w:after="0" w:line="240" w:lineRule="auto"/>
        <w:ind w:left="3600" w:firstLine="720"/>
      </w:pPr>
      <w:r w:rsidRPr="00BC69C7">
        <w:t xml:space="preserve">Assistant Consumers’ Counsel </w:t>
      </w:r>
    </w:p>
    <w:p w:rsidR="00F31BA3" w:rsidP="00F31BA3" w14:paraId="43096591" w14:textId="77777777">
      <w:pPr>
        <w:spacing w:after="0" w:line="240" w:lineRule="auto"/>
        <w:ind w:left="4320"/>
        <w:rPr>
          <w:b/>
          <w:bCs/>
          <w:szCs w:val="24"/>
        </w:rPr>
      </w:pPr>
    </w:p>
    <w:p w:rsidR="00F31BA3" w:rsidRPr="006471D3" w:rsidP="00F31BA3" w14:paraId="5A8A45AA" w14:textId="77777777">
      <w:pPr>
        <w:spacing w:after="0" w:line="240" w:lineRule="auto"/>
        <w:ind w:left="4320"/>
        <w:rPr>
          <w:b/>
          <w:bCs/>
          <w:szCs w:val="24"/>
        </w:rPr>
      </w:pPr>
      <w:r w:rsidRPr="006471D3">
        <w:rPr>
          <w:b/>
          <w:bCs/>
          <w:szCs w:val="24"/>
        </w:rPr>
        <w:t>Office of the Ohio Consumers’ Counsel</w:t>
      </w:r>
    </w:p>
    <w:p w:rsidR="00F31BA3" w:rsidRPr="006471D3" w:rsidP="00F31BA3" w14:paraId="059F6A5F"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65 East State Street, 7th Floor</w:t>
      </w:r>
    </w:p>
    <w:p w:rsidR="00F31BA3" w:rsidRPr="006471D3" w:rsidP="00F31BA3" w14:paraId="4FC0694C"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Columbus, Ohio 43215-4213</w:t>
      </w:r>
    </w:p>
    <w:p w:rsidR="00F31BA3" w:rsidP="00F31BA3" w14:paraId="23945796" w14:textId="77777777">
      <w:pPr>
        <w:autoSpaceDE w:val="0"/>
        <w:autoSpaceDN w:val="0"/>
        <w:adjustRightInd w:val="0"/>
        <w:spacing w:after="0" w:line="240" w:lineRule="auto"/>
        <w:ind w:left="4320"/>
        <w:rPr>
          <w:szCs w:val="24"/>
        </w:rPr>
      </w:pPr>
      <w:r>
        <w:rPr>
          <w:szCs w:val="24"/>
        </w:rPr>
        <w:t>Telephone: Willis (614) 466-9567</w:t>
      </w:r>
    </w:p>
    <w:p w:rsidR="00F31BA3" w:rsidP="00F31BA3" w14:paraId="0CF0DA34" w14:textId="77777777">
      <w:pPr>
        <w:autoSpaceDE w:val="0"/>
        <w:autoSpaceDN w:val="0"/>
        <w:adjustRightInd w:val="0"/>
        <w:spacing w:after="0" w:line="240" w:lineRule="auto"/>
        <w:ind w:left="4320"/>
        <w:rPr>
          <w:szCs w:val="24"/>
        </w:rPr>
      </w:pPr>
      <w:r>
        <w:rPr>
          <w:szCs w:val="24"/>
        </w:rPr>
        <w:t>Telephone: Healey (614) 466-9571</w:t>
      </w:r>
    </w:p>
    <w:p w:rsidR="00F31BA3" w:rsidP="00F31BA3" w14:paraId="0EEFC606" w14:textId="77777777">
      <w:pPr>
        <w:autoSpaceDE w:val="0"/>
        <w:autoSpaceDN w:val="0"/>
        <w:adjustRightInd w:val="0"/>
        <w:spacing w:after="0" w:line="240" w:lineRule="auto"/>
        <w:ind w:left="4320"/>
        <w:rPr>
          <w:szCs w:val="24"/>
        </w:rPr>
      </w:pPr>
      <w:r>
        <w:rPr>
          <w:szCs w:val="24"/>
        </w:rPr>
        <w:t>Telephone: Michael (614) 466-1291</w:t>
      </w:r>
    </w:p>
    <w:p w:rsidR="00F31BA3" w:rsidP="00F31BA3" w14:paraId="1F8C9273" w14:textId="77777777">
      <w:pPr>
        <w:spacing w:after="0" w:line="240" w:lineRule="auto"/>
        <w:ind w:left="4320"/>
      </w:pPr>
      <w:hyperlink r:id="rId7" w:history="1">
        <w:r w:rsidRPr="00D50E4C" w:rsidR="006542FC">
          <w:rPr>
            <w:rStyle w:val="Hyperlink"/>
            <w:rFonts w:eastAsiaTheme="majorEastAsia"/>
          </w:rPr>
          <w:t>maureen.willis@occ.ohio.gov</w:t>
        </w:r>
      </w:hyperlink>
      <w:r w:rsidR="006542FC">
        <w:t xml:space="preserve"> </w:t>
      </w:r>
    </w:p>
    <w:p w:rsidR="00F31BA3" w:rsidP="00F31BA3" w14:paraId="6EDAF714" w14:textId="13FBF3BB">
      <w:pPr>
        <w:spacing w:after="0" w:line="240" w:lineRule="auto"/>
        <w:ind w:left="4320"/>
      </w:pPr>
      <w:hyperlink r:id="rId8" w:history="1">
        <w:r w:rsidRPr="00CC18CD" w:rsidR="005149BD">
          <w:rPr>
            <w:rStyle w:val="Hyperlink"/>
          </w:rPr>
          <w:t>christopher.healey@occ.ohio.gov</w:t>
        </w:r>
      </w:hyperlink>
    </w:p>
    <w:p w:rsidR="00F31BA3" w:rsidP="00F31BA3" w14:paraId="6145A809" w14:textId="7FA13DFD">
      <w:pPr>
        <w:spacing w:after="0" w:line="240" w:lineRule="auto"/>
        <w:ind w:left="4320"/>
      </w:pPr>
      <w:hyperlink r:id="rId9" w:history="1">
        <w:r w:rsidRPr="00CC18CD" w:rsidR="005149BD">
          <w:rPr>
            <w:rStyle w:val="Hyperlink"/>
          </w:rPr>
          <w:t>william.michael@occ.ohio.gov</w:t>
        </w:r>
      </w:hyperlink>
    </w:p>
    <w:p w:rsidR="00F31BA3" w:rsidRPr="00DE37C9" w:rsidP="00F31BA3" w14:paraId="484C3F28" w14:textId="77777777">
      <w:pPr>
        <w:spacing w:after="0" w:line="240" w:lineRule="auto"/>
        <w:rPr>
          <w:szCs w:val="24"/>
        </w:rPr>
      </w:pPr>
      <w:r>
        <w:tab/>
      </w:r>
      <w:r>
        <w:tab/>
      </w:r>
      <w:r>
        <w:tab/>
      </w:r>
      <w:r>
        <w:tab/>
      </w:r>
      <w:r>
        <w:tab/>
      </w:r>
      <w:r>
        <w:tab/>
        <w:t>(willing to accept service by e-mail)</w:t>
      </w:r>
    </w:p>
    <w:p w:rsidR="00747968" w:rsidP="00747968" w14:paraId="2CEB8711" w14:textId="62A95BA9">
      <w:pPr>
        <w:spacing w:after="0" w:line="240" w:lineRule="auto"/>
      </w:pPr>
    </w:p>
    <w:p w:rsidR="00747968" w:rsidP="00747968" w14:paraId="4E1E46E4" w14:textId="77777777">
      <w:pPr>
        <w:spacing w:after="0" w:line="240" w:lineRule="auto"/>
        <w:rPr>
          <w:szCs w:val="24"/>
        </w:rPr>
        <w:sectPr w:rsidSect="004D3EDA">
          <w:headerReference w:type="default" r:id="rId12"/>
          <w:footerReference w:type="default" r:id="rId13"/>
          <w:pgSz w:w="12240" w:h="15840"/>
          <w:pgMar w:top="1440" w:right="1800" w:bottom="1440" w:left="1800" w:header="720" w:footer="720" w:gutter="0"/>
          <w:pgNumType w:start="1"/>
          <w:cols w:space="720"/>
          <w:docGrid w:linePitch="360"/>
        </w:sectPr>
      </w:pPr>
    </w:p>
    <w:p w:rsidR="00747968" w:rsidP="00747968" w14:paraId="7A926ACC" w14:textId="77777777">
      <w:pPr>
        <w:jc w:val="center"/>
        <w:rPr>
          <w:b/>
          <w:bCs/>
          <w:szCs w:val="24"/>
          <w:u w:val="single"/>
        </w:rPr>
      </w:pPr>
      <w:r>
        <w:rPr>
          <w:b/>
          <w:bCs/>
          <w:szCs w:val="24"/>
          <w:u w:val="single"/>
        </w:rPr>
        <w:t>CERTIFICATE OF SERVICE</w:t>
      </w:r>
    </w:p>
    <w:p w:rsidR="00747968" w:rsidP="00FC0DF5" w14:paraId="5B2C65B1" w14:textId="49967ED5">
      <w:pPr>
        <w:spacing w:after="0" w:line="480" w:lineRule="auto"/>
        <w:ind w:firstLine="720"/>
        <w:rPr>
          <w:szCs w:val="24"/>
        </w:rPr>
      </w:pPr>
      <w:r>
        <w:rPr>
          <w:szCs w:val="24"/>
        </w:rPr>
        <w:t xml:space="preserve">I hereby certify that a copy of the foregoing Application for Rehearing was electronically served via electric transmission on the persons stated below this </w:t>
      </w:r>
      <w:r w:rsidR="00914D23">
        <w:rPr>
          <w:szCs w:val="24"/>
        </w:rPr>
        <w:t>1</w:t>
      </w:r>
      <w:r>
        <w:rPr>
          <w:szCs w:val="24"/>
        </w:rPr>
        <w:t>6</w:t>
      </w:r>
      <w:r w:rsidR="00914D23">
        <w:rPr>
          <w:szCs w:val="24"/>
        </w:rPr>
        <w:t>th</w:t>
      </w:r>
      <w:r>
        <w:rPr>
          <w:szCs w:val="24"/>
        </w:rPr>
        <w:t xml:space="preserve"> day of </w:t>
      </w:r>
      <w:r w:rsidR="00914D23">
        <w:rPr>
          <w:szCs w:val="24"/>
        </w:rPr>
        <w:t>J</w:t>
      </w:r>
      <w:r>
        <w:rPr>
          <w:szCs w:val="24"/>
        </w:rPr>
        <w:t>uly</w:t>
      </w:r>
      <w:r w:rsidR="00914D23">
        <w:rPr>
          <w:szCs w:val="24"/>
        </w:rPr>
        <w:t xml:space="preserve"> 202</w:t>
      </w:r>
      <w:r>
        <w:rPr>
          <w:szCs w:val="24"/>
        </w:rPr>
        <w:t>1</w:t>
      </w:r>
      <w:r w:rsidR="00914D23">
        <w:rPr>
          <w:szCs w:val="24"/>
        </w:rPr>
        <w:t>.</w:t>
      </w:r>
    </w:p>
    <w:p w:rsidR="00747968" w:rsidP="00914D23" w14:paraId="0734CD74" w14:textId="77777777">
      <w:pPr>
        <w:tabs>
          <w:tab w:val="left" w:pos="4320"/>
        </w:tabs>
        <w:spacing w:after="0" w:line="240" w:lineRule="auto"/>
        <w:rPr>
          <w:szCs w:val="24"/>
        </w:rPr>
      </w:pPr>
      <w:r>
        <w:rPr>
          <w:szCs w:val="24"/>
        </w:rPr>
        <w:tab/>
      </w:r>
      <w:r>
        <w:rPr>
          <w:i/>
          <w:szCs w:val="24"/>
          <w:u w:val="single"/>
        </w:rPr>
        <w:t>/s/ Maureen R. Willis</w:t>
      </w:r>
      <w:r>
        <w:rPr>
          <w:i/>
          <w:szCs w:val="24"/>
          <w:u w:val="single"/>
        </w:rPr>
        <w:tab/>
      </w:r>
      <w:r>
        <w:rPr>
          <w:i/>
          <w:szCs w:val="24"/>
          <w:u w:val="single"/>
        </w:rPr>
        <w:tab/>
      </w:r>
    </w:p>
    <w:p w:rsidR="00747968" w:rsidP="00914D23" w14:paraId="0FBA9058" w14:textId="77777777">
      <w:pPr>
        <w:autoSpaceDE w:val="0"/>
        <w:autoSpaceDN w:val="0"/>
        <w:adjustRightInd w:val="0"/>
        <w:spacing w:after="0" w:line="240" w:lineRule="auto"/>
        <w:rPr>
          <w:szCs w:val="24"/>
        </w:rPr>
      </w:pPr>
      <w:r>
        <w:rPr>
          <w:szCs w:val="24"/>
        </w:rPr>
        <w:tab/>
      </w:r>
      <w:r>
        <w:rPr>
          <w:szCs w:val="24"/>
        </w:rPr>
        <w:tab/>
      </w:r>
      <w:r>
        <w:rPr>
          <w:szCs w:val="24"/>
        </w:rPr>
        <w:tab/>
      </w:r>
      <w:r>
        <w:rPr>
          <w:szCs w:val="24"/>
        </w:rPr>
        <w:tab/>
      </w:r>
      <w:r>
        <w:rPr>
          <w:szCs w:val="24"/>
        </w:rPr>
        <w:tab/>
      </w:r>
      <w:r>
        <w:rPr>
          <w:szCs w:val="24"/>
        </w:rPr>
        <w:tab/>
        <w:t>Maureen R. Willis</w:t>
      </w:r>
    </w:p>
    <w:p w:rsidR="00747968" w:rsidP="00914D23" w14:paraId="0340321A" w14:textId="77777777">
      <w:pPr>
        <w:autoSpaceDE w:val="0"/>
        <w:autoSpaceDN w:val="0"/>
        <w:adjustRightInd w:val="0"/>
        <w:spacing w:after="0" w:line="240" w:lineRule="auto"/>
        <w:rPr>
          <w:szCs w:val="24"/>
        </w:rPr>
      </w:pPr>
      <w:r>
        <w:rPr>
          <w:szCs w:val="24"/>
        </w:rPr>
        <w:tab/>
      </w:r>
      <w:r>
        <w:rPr>
          <w:szCs w:val="24"/>
        </w:rPr>
        <w:tab/>
      </w:r>
      <w:r>
        <w:rPr>
          <w:szCs w:val="24"/>
        </w:rPr>
        <w:tab/>
      </w:r>
      <w:r>
        <w:rPr>
          <w:szCs w:val="24"/>
        </w:rPr>
        <w:tab/>
      </w:r>
      <w:r>
        <w:rPr>
          <w:szCs w:val="24"/>
        </w:rPr>
        <w:tab/>
      </w:r>
      <w:r>
        <w:rPr>
          <w:szCs w:val="24"/>
        </w:rPr>
        <w:tab/>
        <w:t>Counsel of Record</w:t>
      </w:r>
    </w:p>
    <w:p w:rsidR="00747968" w:rsidP="00914D23" w14:paraId="2452A95B" w14:textId="77777777">
      <w:pPr>
        <w:pStyle w:val="CommentText"/>
        <w:jc w:val="center"/>
        <w:rPr>
          <w:b/>
          <w:u w:val="single"/>
        </w:rPr>
      </w:pPr>
    </w:p>
    <w:p w:rsidR="00747968" w:rsidP="00914D23" w14:paraId="1237C02F" w14:textId="77777777">
      <w:pPr>
        <w:spacing w:after="0" w:line="240" w:lineRule="auto"/>
      </w:pPr>
      <w:r>
        <w:t>The PUCO’s e-filing system will electronically serve notice of the filing of this document on the following parties:</w:t>
      </w:r>
    </w:p>
    <w:p w:rsidR="00747968" w:rsidP="00914D23" w14:paraId="7FD4806B" w14:textId="77777777">
      <w:pPr>
        <w:pStyle w:val="CommentText"/>
        <w:jc w:val="center"/>
        <w:rPr>
          <w:b/>
          <w:u w:val="single"/>
        </w:rPr>
      </w:pPr>
    </w:p>
    <w:p w:rsidR="005149BD" w:rsidRPr="00E766AF" w:rsidP="005149BD" w14:paraId="35D16F3B" w14:textId="77777777">
      <w:pPr>
        <w:spacing w:after="0" w:line="240" w:lineRule="auto"/>
        <w:jc w:val="center"/>
        <w:rPr>
          <w:rFonts w:eastAsia="Times New Roman" w:cs="Times New Roman"/>
          <w:b/>
          <w:szCs w:val="24"/>
          <w:u w:val="single"/>
        </w:rPr>
      </w:pPr>
      <w:r w:rsidRPr="00E766AF">
        <w:rPr>
          <w:rFonts w:eastAsia="Times New Roman" w:cs="Times New Roman"/>
          <w:b/>
          <w:szCs w:val="24"/>
          <w:u w:val="single"/>
        </w:rPr>
        <w:t>SERVICE LIST</w:t>
      </w:r>
    </w:p>
    <w:p w:rsidR="005149BD" w:rsidRPr="00E766AF" w:rsidP="005149BD" w14:paraId="3EA4FE47" w14:textId="77777777">
      <w:pPr>
        <w:spacing w:after="0" w:line="240" w:lineRule="auto"/>
        <w:rPr>
          <w:rFonts w:eastAsia="Times New Roman" w:cs="Times New Roman"/>
          <w:b/>
          <w:bCs/>
          <w:szCs w:val="24"/>
        </w:rPr>
      </w:pPr>
    </w:p>
    <w:tbl>
      <w:tblPr>
        <w:tblW w:w="0" w:type="auto"/>
        <w:tblLook w:val="04A0"/>
      </w:tblPr>
      <w:tblGrid>
        <w:gridCol w:w="8640"/>
      </w:tblGrid>
      <w:tr w14:paraId="23945B75" w14:textId="77777777" w:rsidTr="00AD1675">
        <w:tblPrEx>
          <w:tblW w:w="0" w:type="auto"/>
          <w:tblLook w:val="04A0"/>
        </w:tblPrEx>
        <w:tc>
          <w:tcPr>
            <w:tcW w:w="8856" w:type="dxa"/>
            <w:shd w:val="clear" w:color="auto" w:fill="auto"/>
          </w:tcPr>
          <w:tbl>
            <w:tblPr>
              <w:tblW w:w="8876" w:type="dxa"/>
              <w:tblLook w:val="04A0"/>
            </w:tblPr>
            <w:tblGrid>
              <w:gridCol w:w="4449"/>
              <w:gridCol w:w="4427"/>
            </w:tblGrid>
            <w:tr w14:paraId="4D66DF8E" w14:textId="77777777" w:rsidTr="00AD1675">
              <w:tblPrEx>
                <w:tblW w:w="8876" w:type="dxa"/>
                <w:tblLook w:val="04A0"/>
              </w:tblPrEx>
              <w:tc>
                <w:tcPr>
                  <w:tcW w:w="4449" w:type="dxa"/>
                  <w:shd w:val="clear" w:color="auto" w:fill="auto"/>
                </w:tcPr>
                <w:p w:rsidR="005149BD" w:rsidRPr="00E766AF" w:rsidP="00AD1675" w14:paraId="5ABBCD72" w14:textId="77777777">
                  <w:pPr>
                    <w:autoSpaceDE w:val="0"/>
                    <w:autoSpaceDN w:val="0"/>
                    <w:adjustRightInd w:val="0"/>
                    <w:spacing w:after="0" w:line="240" w:lineRule="auto"/>
                    <w:rPr>
                      <w:rFonts w:eastAsia="Times New Roman" w:cs="Times New Roman"/>
                      <w:szCs w:val="20"/>
                    </w:rPr>
                  </w:pPr>
                  <w:hyperlink r:id="rId14" w:history="1">
                    <w:r w:rsidRPr="00E766AF" w:rsidR="006542FC">
                      <w:rPr>
                        <w:rFonts w:eastAsia="Times New Roman" w:cs="Times New Roman"/>
                        <w:color w:val="0000FF"/>
                        <w:szCs w:val="20"/>
                        <w:u w:val="single"/>
                      </w:rPr>
                      <w:t>Thomas.Lindgren@ohioAGO.gov</w:t>
                    </w:r>
                  </w:hyperlink>
                  <w:r w:rsidRPr="00E766AF" w:rsidR="006542FC">
                    <w:rPr>
                      <w:rFonts w:eastAsia="Times New Roman" w:cs="Times New Roman"/>
                      <w:szCs w:val="20"/>
                    </w:rPr>
                    <w:t xml:space="preserve"> </w:t>
                  </w:r>
                </w:p>
                <w:p w:rsidR="005149BD" w:rsidRPr="00E766AF" w:rsidP="00AD1675" w14:paraId="71C57E94" w14:textId="77777777">
                  <w:pPr>
                    <w:autoSpaceDE w:val="0"/>
                    <w:autoSpaceDN w:val="0"/>
                    <w:adjustRightInd w:val="0"/>
                    <w:spacing w:after="0" w:line="240" w:lineRule="auto"/>
                    <w:rPr>
                      <w:rFonts w:eastAsia="Times New Roman" w:cs="Times New Roman"/>
                      <w:szCs w:val="20"/>
                    </w:rPr>
                  </w:pPr>
                  <w:hyperlink r:id="rId15" w:history="1">
                    <w:r w:rsidRPr="00E766AF" w:rsidR="006542FC">
                      <w:rPr>
                        <w:rFonts w:eastAsia="Times New Roman" w:cs="Times New Roman"/>
                        <w:color w:val="0000FF"/>
                        <w:szCs w:val="20"/>
                        <w:u w:val="single"/>
                      </w:rPr>
                      <w:t>djireland@ficlaw.com</w:t>
                    </w:r>
                  </w:hyperlink>
                </w:p>
                <w:p w:rsidR="005149BD" w:rsidRPr="00E766AF" w:rsidP="00AD1675" w14:paraId="4095F0BF" w14:textId="77777777">
                  <w:pPr>
                    <w:autoSpaceDE w:val="0"/>
                    <w:autoSpaceDN w:val="0"/>
                    <w:adjustRightInd w:val="0"/>
                    <w:spacing w:after="0" w:line="240" w:lineRule="auto"/>
                    <w:rPr>
                      <w:rFonts w:eastAsia="Times New Roman" w:cs="Times New Roman"/>
                      <w:color w:val="0000FF"/>
                      <w:szCs w:val="20"/>
                      <w:u w:val="single"/>
                    </w:rPr>
                  </w:pPr>
                  <w:hyperlink r:id="rId16" w:history="1">
                    <w:r w:rsidRPr="00E766AF" w:rsidR="006542FC">
                      <w:rPr>
                        <w:rFonts w:eastAsia="Times New Roman" w:cs="Times New Roman"/>
                        <w:color w:val="0000FF"/>
                        <w:szCs w:val="20"/>
                        <w:u w:val="single"/>
                      </w:rPr>
                      <w:t>jsharkey@ficlaw.com</w:t>
                    </w:r>
                  </w:hyperlink>
                </w:p>
                <w:p w:rsidR="005149BD" w:rsidRPr="00E766AF" w:rsidP="00AD1675" w14:paraId="5341A853" w14:textId="77777777">
                  <w:pPr>
                    <w:autoSpaceDE w:val="0"/>
                    <w:autoSpaceDN w:val="0"/>
                    <w:adjustRightInd w:val="0"/>
                    <w:spacing w:after="0" w:line="240" w:lineRule="auto"/>
                    <w:rPr>
                      <w:rFonts w:eastAsia="Times New Roman" w:cs="Times New Roman"/>
                      <w:szCs w:val="20"/>
                    </w:rPr>
                  </w:pPr>
                  <w:r w:rsidRPr="00E766AF">
                    <w:rPr>
                      <w:rFonts w:eastAsia="Times New Roman" w:cs="Times New Roman"/>
                      <w:color w:val="0000FF"/>
                      <w:szCs w:val="20"/>
                      <w:u w:val="single"/>
                    </w:rPr>
                    <w:t>chollon@ficlaw.com</w:t>
                  </w:r>
                </w:p>
                <w:p w:rsidR="005149BD" w:rsidRPr="00D47617" w:rsidP="00AD1675" w14:paraId="18E3694C" w14:textId="77777777">
                  <w:pPr>
                    <w:tabs>
                      <w:tab w:val="left" w:pos="4320"/>
                    </w:tabs>
                    <w:spacing w:after="0" w:line="240" w:lineRule="auto"/>
                    <w:rPr>
                      <w:rFonts w:eastAsia="Times New Roman" w:cs="Times New Roman"/>
                      <w:color w:val="0000FF"/>
                      <w:szCs w:val="20"/>
                    </w:rPr>
                  </w:pPr>
                  <w:hyperlink r:id="rId17" w:history="1">
                    <w:r w:rsidRPr="00D47617" w:rsidR="006542FC">
                      <w:rPr>
                        <w:rStyle w:val="Hyperlink"/>
                        <w:rFonts w:eastAsia="Times New Roman"/>
                        <w:szCs w:val="20"/>
                      </w:rPr>
                      <w:t>joliker@igsenergy.com</w:t>
                    </w:r>
                  </w:hyperlink>
                  <w:r w:rsidRPr="00D47617" w:rsidR="006542FC">
                    <w:rPr>
                      <w:rFonts w:eastAsia="Times New Roman" w:cs="Times New Roman"/>
                      <w:color w:val="0000FF"/>
                      <w:szCs w:val="20"/>
                    </w:rPr>
                    <w:t xml:space="preserve"> </w:t>
                  </w:r>
                </w:p>
                <w:p w:rsidR="005149BD" w:rsidRPr="00D47617" w:rsidP="00AD1675" w14:paraId="674B46B9" w14:textId="77777777">
                  <w:pPr>
                    <w:autoSpaceDE w:val="0"/>
                    <w:autoSpaceDN w:val="0"/>
                    <w:adjustRightInd w:val="0"/>
                    <w:spacing w:after="0" w:line="240" w:lineRule="auto"/>
                    <w:rPr>
                      <w:rFonts w:eastAsia="Times New Roman" w:cs="Times New Roman"/>
                      <w:color w:val="0000FF"/>
                      <w:szCs w:val="20"/>
                    </w:rPr>
                  </w:pPr>
                  <w:hyperlink r:id="rId18" w:history="1">
                    <w:r w:rsidRPr="00D47617" w:rsidR="006542FC">
                      <w:rPr>
                        <w:rStyle w:val="Hyperlink"/>
                        <w:rFonts w:eastAsia="Times New Roman"/>
                        <w:szCs w:val="20"/>
                      </w:rPr>
                      <w:t>drinebolt@aol.com</w:t>
                    </w:r>
                  </w:hyperlink>
                </w:p>
                <w:p w:rsidR="005149BD" w:rsidRPr="00E766AF" w:rsidP="00AD1675" w14:paraId="4DE5174D" w14:textId="77777777">
                  <w:pPr>
                    <w:autoSpaceDE w:val="0"/>
                    <w:autoSpaceDN w:val="0"/>
                    <w:adjustRightInd w:val="0"/>
                    <w:spacing w:after="0" w:line="240" w:lineRule="auto"/>
                    <w:rPr>
                      <w:rFonts w:eastAsia="Times New Roman" w:cs="Times New Roman"/>
                      <w:szCs w:val="20"/>
                    </w:rPr>
                  </w:pPr>
                  <w:hyperlink r:id="rId19" w:history="1">
                    <w:r w:rsidRPr="00E766AF" w:rsidR="006542FC">
                      <w:rPr>
                        <w:rFonts w:eastAsia="Times New Roman" w:cs="Times New Roman"/>
                        <w:color w:val="0000FF"/>
                        <w:szCs w:val="20"/>
                        <w:u w:val="single"/>
                      </w:rPr>
                      <w:t>Ned.Ford@fuse.net</w:t>
                    </w:r>
                  </w:hyperlink>
                </w:p>
                <w:p w:rsidR="005149BD" w:rsidRPr="00E766AF" w:rsidP="00AD1675" w14:paraId="68BBB49F" w14:textId="77777777">
                  <w:pPr>
                    <w:autoSpaceDE w:val="0"/>
                    <w:autoSpaceDN w:val="0"/>
                    <w:adjustRightInd w:val="0"/>
                    <w:spacing w:after="0" w:line="240" w:lineRule="auto"/>
                    <w:rPr>
                      <w:rFonts w:eastAsia="Times New Roman" w:cs="Times New Roman"/>
                      <w:color w:val="0000FF"/>
                      <w:szCs w:val="20"/>
                      <w:u w:val="single"/>
                    </w:rPr>
                  </w:pPr>
                  <w:hyperlink r:id="rId20" w:history="1">
                    <w:r w:rsidRPr="00E766AF" w:rsidR="006542FC">
                      <w:rPr>
                        <w:rFonts w:eastAsia="Times New Roman" w:cs="Times New Roman"/>
                        <w:color w:val="0000FF"/>
                        <w:szCs w:val="20"/>
                        <w:u w:val="single"/>
                      </w:rPr>
                      <w:t>mjsettineri@vorys.com</w:t>
                    </w:r>
                  </w:hyperlink>
                </w:p>
                <w:p w:rsidR="005149BD" w:rsidRPr="00E766AF" w:rsidP="00AD1675" w14:paraId="040D14D4" w14:textId="77777777">
                  <w:pPr>
                    <w:autoSpaceDE w:val="0"/>
                    <w:autoSpaceDN w:val="0"/>
                    <w:adjustRightInd w:val="0"/>
                    <w:spacing w:after="0" w:line="240" w:lineRule="auto"/>
                    <w:rPr>
                      <w:rFonts w:eastAsia="Times New Roman" w:cs="Times New Roman"/>
                      <w:color w:val="0000FF"/>
                      <w:szCs w:val="24"/>
                    </w:rPr>
                  </w:pPr>
                  <w:hyperlink r:id="rId21" w:history="1">
                    <w:r w:rsidRPr="00E766AF" w:rsidR="006542FC">
                      <w:rPr>
                        <w:rFonts w:eastAsia="Times New Roman" w:cs="Times New Roman"/>
                        <w:color w:val="0000FF"/>
                        <w:szCs w:val="24"/>
                        <w:u w:val="single"/>
                      </w:rPr>
                      <w:t>glpetrucci@vorys.com</w:t>
                    </w:r>
                  </w:hyperlink>
                </w:p>
                <w:p w:rsidR="005149BD" w:rsidRPr="00E766AF" w:rsidP="00AD1675" w14:paraId="04E4AD0F" w14:textId="77777777">
                  <w:pPr>
                    <w:autoSpaceDE w:val="0"/>
                    <w:autoSpaceDN w:val="0"/>
                    <w:adjustRightInd w:val="0"/>
                    <w:spacing w:after="0" w:line="240" w:lineRule="auto"/>
                    <w:rPr>
                      <w:rFonts w:eastAsia="Times New Roman" w:cs="Times New Roman"/>
                      <w:szCs w:val="20"/>
                    </w:rPr>
                  </w:pPr>
                  <w:hyperlink r:id="rId22" w:history="1">
                    <w:r w:rsidRPr="00E766AF" w:rsidR="006542FC">
                      <w:rPr>
                        <w:rFonts w:eastAsia="Times New Roman" w:cs="Times New Roman"/>
                        <w:color w:val="0000FF"/>
                        <w:szCs w:val="20"/>
                        <w:u w:val="single"/>
                      </w:rPr>
                      <w:t>BarthRoyer@aol.com</w:t>
                    </w:r>
                  </w:hyperlink>
                </w:p>
                <w:p w:rsidR="005149BD" w:rsidRPr="00E766AF" w:rsidP="00AD1675" w14:paraId="53CFDA16" w14:textId="77777777">
                  <w:pPr>
                    <w:autoSpaceDE w:val="0"/>
                    <w:autoSpaceDN w:val="0"/>
                    <w:adjustRightInd w:val="0"/>
                    <w:spacing w:after="0" w:line="240" w:lineRule="auto"/>
                    <w:rPr>
                      <w:rFonts w:eastAsia="Times New Roman" w:cs="Times New Roman"/>
                      <w:szCs w:val="20"/>
                    </w:rPr>
                  </w:pPr>
                  <w:hyperlink r:id="rId23" w:history="1">
                    <w:r w:rsidRPr="00E766AF" w:rsidR="006542FC">
                      <w:rPr>
                        <w:rFonts w:eastAsia="Times New Roman" w:cs="Times New Roman"/>
                        <w:color w:val="0000FF"/>
                        <w:szCs w:val="20"/>
                        <w:u w:val="single"/>
                      </w:rPr>
                      <w:t>Bojko@carpenterlipps.com</w:t>
                    </w:r>
                  </w:hyperlink>
                  <w:r w:rsidRPr="00E766AF" w:rsidR="006542FC">
                    <w:rPr>
                      <w:rFonts w:eastAsia="Times New Roman" w:cs="Times New Roman"/>
                      <w:szCs w:val="20"/>
                    </w:rPr>
                    <w:t xml:space="preserve"> </w:t>
                  </w:r>
                </w:p>
                <w:p w:rsidR="005149BD" w:rsidRPr="00E766AF" w:rsidP="00AD1675" w14:paraId="67EE5C53" w14:textId="77777777">
                  <w:pPr>
                    <w:autoSpaceDE w:val="0"/>
                    <w:autoSpaceDN w:val="0"/>
                    <w:adjustRightInd w:val="0"/>
                    <w:spacing w:after="0" w:line="240" w:lineRule="auto"/>
                    <w:rPr>
                      <w:rFonts w:eastAsia="Times New Roman" w:cs="Times New Roman"/>
                      <w:szCs w:val="20"/>
                    </w:rPr>
                  </w:pPr>
                  <w:hyperlink r:id="rId24" w:history="1">
                    <w:r w:rsidRPr="00E766AF" w:rsidR="006542FC">
                      <w:rPr>
                        <w:rFonts w:eastAsia="Times New Roman" w:cs="Times New Roman"/>
                        <w:color w:val="0000FF"/>
                        <w:szCs w:val="20"/>
                        <w:u w:val="single"/>
                      </w:rPr>
                      <w:t>paul@carpenterlipps.com</w:t>
                    </w:r>
                  </w:hyperlink>
                </w:p>
                <w:p w:rsidR="005149BD" w:rsidRPr="00E766AF" w:rsidP="00AD1675" w14:paraId="3E58D04B" w14:textId="77777777">
                  <w:pPr>
                    <w:autoSpaceDE w:val="0"/>
                    <w:autoSpaceDN w:val="0"/>
                    <w:adjustRightInd w:val="0"/>
                    <w:spacing w:after="0" w:line="240" w:lineRule="auto"/>
                    <w:rPr>
                      <w:rFonts w:ascii="TimesNewRomanPSMT" w:eastAsia="Times New Roman" w:hAnsi="TimesNewRomanPSMT" w:cs="TimesNewRomanPSMT"/>
                      <w:szCs w:val="24"/>
                    </w:rPr>
                  </w:pPr>
                  <w:hyperlink r:id="rId25" w:history="1">
                    <w:r w:rsidRPr="00E766AF" w:rsidR="006542FC">
                      <w:rPr>
                        <w:rFonts w:ascii="TimesNewRomanPSMT" w:eastAsia="Times New Roman" w:hAnsi="TimesNewRomanPSMT" w:cs="TimesNewRomanPSMT"/>
                        <w:color w:val="0000FF"/>
                        <w:szCs w:val="24"/>
                        <w:u w:val="single"/>
                      </w:rPr>
                      <w:t>slesser@beneschlaw.com</w:t>
                    </w:r>
                  </w:hyperlink>
                </w:p>
                <w:p w:rsidR="005149BD" w:rsidRPr="00E766AF" w:rsidP="00AD1675" w14:paraId="703B958D" w14:textId="77777777">
                  <w:pPr>
                    <w:autoSpaceDE w:val="0"/>
                    <w:autoSpaceDN w:val="0"/>
                    <w:adjustRightInd w:val="0"/>
                    <w:spacing w:after="0" w:line="240" w:lineRule="auto"/>
                    <w:rPr>
                      <w:rFonts w:ascii="TimesNewRomanPSMT" w:eastAsia="Times New Roman" w:hAnsi="TimesNewRomanPSMT" w:cs="TimesNewRomanPSMT"/>
                      <w:szCs w:val="24"/>
                    </w:rPr>
                  </w:pPr>
                  <w:hyperlink r:id="rId26" w:history="1">
                    <w:r w:rsidRPr="00E766AF" w:rsidR="006542FC">
                      <w:rPr>
                        <w:rFonts w:ascii="TimesNewRomanPSMT" w:eastAsia="Times New Roman" w:hAnsi="TimesNewRomanPSMT" w:cs="TimesNewRomanPSMT"/>
                        <w:color w:val="0000FF"/>
                        <w:szCs w:val="24"/>
                        <w:u w:val="single"/>
                      </w:rPr>
                      <w:t>mkeaney@beneschlaw.com</w:t>
                    </w:r>
                  </w:hyperlink>
                </w:p>
                <w:p w:rsidR="005149BD" w:rsidRPr="00E766AF" w:rsidP="00AD1675" w14:paraId="38E526ED" w14:textId="77777777">
                  <w:pPr>
                    <w:autoSpaceDE w:val="0"/>
                    <w:autoSpaceDN w:val="0"/>
                    <w:adjustRightInd w:val="0"/>
                    <w:spacing w:after="0" w:line="240" w:lineRule="auto"/>
                    <w:rPr>
                      <w:rFonts w:eastAsia="Times New Roman" w:cs="Times New Roman"/>
                      <w:szCs w:val="20"/>
                    </w:rPr>
                  </w:pPr>
                  <w:hyperlink r:id="rId27" w:history="1">
                    <w:r w:rsidRPr="00E766AF" w:rsidR="006542FC">
                      <w:rPr>
                        <w:rFonts w:eastAsia="Times New Roman" w:cs="Times New Roman"/>
                        <w:color w:val="0000FF"/>
                        <w:szCs w:val="20"/>
                        <w:u w:val="single"/>
                      </w:rPr>
                      <w:t>talexander@beneschlaw.com</w:t>
                    </w:r>
                  </w:hyperlink>
                  <w:r w:rsidRPr="00E766AF" w:rsidR="006542FC">
                    <w:rPr>
                      <w:rFonts w:eastAsia="Times New Roman" w:cs="Times New Roman"/>
                      <w:szCs w:val="20"/>
                    </w:rPr>
                    <w:t xml:space="preserve"> </w:t>
                  </w:r>
                </w:p>
                <w:p w:rsidR="005149BD" w:rsidRPr="00E766AF" w:rsidP="00AD1675" w14:paraId="4A1330BB" w14:textId="77777777">
                  <w:pPr>
                    <w:autoSpaceDE w:val="0"/>
                    <w:autoSpaceDN w:val="0"/>
                    <w:adjustRightInd w:val="0"/>
                    <w:spacing w:after="0" w:line="240" w:lineRule="auto"/>
                    <w:rPr>
                      <w:rFonts w:eastAsia="Times New Roman" w:cs="Times New Roman"/>
                      <w:szCs w:val="20"/>
                    </w:rPr>
                  </w:pPr>
                  <w:hyperlink r:id="rId28" w:history="1">
                    <w:r w:rsidRPr="00E766AF" w:rsidR="006542FC">
                      <w:rPr>
                        <w:rFonts w:eastAsia="Times New Roman" w:cs="Times New Roman"/>
                        <w:color w:val="0000FF"/>
                        <w:szCs w:val="20"/>
                        <w:u w:val="single"/>
                      </w:rPr>
                      <w:t>mswhite@igsenergy.com</w:t>
                    </w:r>
                  </w:hyperlink>
                  <w:r w:rsidRPr="00E766AF" w:rsidR="006542FC">
                    <w:rPr>
                      <w:rFonts w:eastAsia="Times New Roman" w:cs="Times New Roman"/>
                      <w:szCs w:val="20"/>
                    </w:rPr>
                    <w:t xml:space="preserve"> </w:t>
                  </w:r>
                </w:p>
                <w:p w:rsidR="005149BD" w:rsidRPr="00E766AF" w:rsidP="00AD1675" w14:paraId="5D415F95" w14:textId="77777777">
                  <w:pPr>
                    <w:autoSpaceDE w:val="0"/>
                    <w:autoSpaceDN w:val="0"/>
                    <w:adjustRightInd w:val="0"/>
                    <w:spacing w:after="0" w:line="240" w:lineRule="auto"/>
                    <w:rPr>
                      <w:rFonts w:eastAsia="Times New Roman" w:cs="Times New Roman"/>
                      <w:szCs w:val="20"/>
                    </w:rPr>
                  </w:pPr>
                  <w:hyperlink r:id="rId29" w:history="1">
                    <w:r w:rsidRPr="00E766AF" w:rsidR="006542FC">
                      <w:rPr>
                        <w:rFonts w:eastAsia="Times New Roman" w:cs="Times New Roman"/>
                        <w:color w:val="0000FF"/>
                        <w:szCs w:val="20"/>
                        <w:u w:val="single"/>
                      </w:rPr>
                      <w:t>dborchers@bricker.com</w:t>
                    </w:r>
                  </w:hyperlink>
                </w:p>
                <w:p w:rsidR="005149BD" w:rsidRPr="00E766AF" w:rsidP="00AD1675" w14:paraId="2FFCB551" w14:textId="77777777">
                  <w:pPr>
                    <w:autoSpaceDE w:val="0"/>
                    <w:autoSpaceDN w:val="0"/>
                    <w:adjustRightInd w:val="0"/>
                    <w:spacing w:after="0" w:line="240" w:lineRule="auto"/>
                    <w:rPr>
                      <w:rFonts w:eastAsia="Times New Roman" w:cs="Times New Roman"/>
                      <w:szCs w:val="20"/>
                    </w:rPr>
                  </w:pPr>
                  <w:hyperlink r:id="rId30" w:history="1">
                    <w:r w:rsidRPr="00E766AF" w:rsidR="006542FC">
                      <w:rPr>
                        <w:rFonts w:eastAsia="Times New Roman" w:cs="Times New Roman"/>
                        <w:color w:val="0000FF"/>
                        <w:szCs w:val="20"/>
                        <w:u w:val="single"/>
                      </w:rPr>
                      <w:t>dparram@bricker.com</w:t>
                    </w:r>
                  </w:hyperlink>
                </w:p>
                <w:p w:rsidR="005149BD" w:rsidRPr="00E766AF" w:rsidP="00AD1675" w14:paraId="0CC4A445" w14:textId="77777777">
                  <w:pPr>
                    <w:autoSpaceDE w:val="0"/>
                    <w:autoSpaceDN w:val="0"/>
                    <w:adjustRightInd w:val="0"/>
                    <w:spacing w:after="0" w:line="240" w:lineRule="auto"/>
                    <w:rPr>
                      <w:rFonts w:eastAsia="Times New Roman" w:cs="Times New Roman"/>
                      <w:szCs w:val="20"/>
                    </w:rPr>
                  </w:pPr>
                </w:p>
                <w:p w:rsidR="005149BD" w:rsidRPr="00E766AF" w:rsidP="00AD1675" w14:paraId="6EDE9540" w14:textId="77777777">
                  <w:pPr>
                    <w:autoSpaceDE w:val="0"/>
                    <w:autoSpaceDN w:val="0"/>
                    <w:adjustRightInd w:val="0"/>
                    <w:spacing w:after="0" w:line="240" w:lineRule="auto"/>
                    <w:rPr>
                      <w:rFonts w:eastAsia="Times New Roman" w:cs="Times New Roman"/>
                      <w:szCs w:val="20"/>
                    </w:rPr>
                  </w:pPr>
                  <w:r w:rsidRPr="00E766AF">
                    <w:rPr>
                      <w:rFonts w:eastAsia="Times New Roman" w:cs="Times New Roman"/>
                      <w:szCs w:val="20"/>
                    </w:rPr>
                    <w:t>Attorney General:</w:t>
                  </w:r>
                </w:p>
                <w:p w:rsidR="005149BD" w:rsidRPr="00E766AF" w:rsidP="00AD1675" w14:paraId="6C109C34" w14:textId="77777777">
                  <w:pPr>
                    <w:autoSpaceDE w:val="0"/>
                    <w:autoSpaceDN w:val="0"/>
                    <w:adjustRightInd w:val="0"/>
                    <w:spacing w:after="0" w:line="240" w:lineRule="auto"/>
                    <w:rPr>
                      <w:rFonts w:eastAsia="Times New Roman" w:cs="Times New Roman"/>
                      <w:color w:val="0000FF"/>
                      <w:szCs w:val="20"/>
                      <w:u w:val="single"/>
                    </w:rPr>
                  </w:pPr>
                  <w:hyperlink r:id="rId31" w:history="1">
                    <w:r w:rsidRPr="00E766AF" w:rsidR="006542FC">
                      <w:rPr>
                        <w:rFonts w:eastAsia="Times New Roman" w:cs="Times New Roman"/>
                        <w:color w:val="0000FF"/>
                        <w:szCs w:val="20"/>
                        <w:u w:val="single"/>
                      </w:rPr>
                      <w:t>Gregory.Price@puco.ohio.gov</w:t>
                    </w:r>
                  </w:hyperlink>
                </w:p>
                <w:p w:rsidR="005149BD" w:rsidRPr="00E766AF" w:rsidP="00AD1675" w14:paraId="54455CB8" w14:textId="77777777">
                  <w:pPr>
                    <w:autoSpaceDE w:val="0"/>
                    <w:autoSpaceDN w:val="0"/>
                    <w:adjustRightInd w:val="0"/>
                    <w:spacing w:after="0" w:line="240" w:lineRule="auto"/>
                    <w:rPr>
                      <w:rFonts w:eastAsia="Times New Roman" w:cs="Times New Roman"/>
                      <w:sz w:val="26"/>
                      <w:szCs w:val="26"/>
                    </w:rPr>
                  </w:pPr>
                </w:p>
              </w:tc>
              <w:tc>
                <w:tcPr>
                  <w:tcW w:w="4427" w:type="dxa"/>
                  <w:shd w:val="clear" w:color="auto" w:fill="auto"/>
                </w:tcPr>
                <w:p w:rsidR="005149BD" w:rsidRPr="00E766AF" w:rsidP="00AD1675" w14:paraId="0402D2FE" w14:textId="77777777">
                  <w:pPr>
                    <w:autoSpaceDE w:val="0"/>
                    <w:autoSpaceDN w:val="0"/>
                    <w:adjustRightInd w:val="0"/>
                    <w:spacing w:after="0" w:line="240" w:lineRule="auto"/>
                    <w:rPr>
                      <w:rFonts w:eastAsia="Times New Roman" w:cs="Times New Roman"/>
                      <w:szCs w:val="20"/>
                    </w:rPr>
                  </w:pPr>
                  <w:hyperlink r:id="rId32" w:history="1">
                    <w:r w:rsidRPr="00E766AF" w:rsidR="006542FC">
                      <w:rPr>
                        <w:rFonts w:eastAsia="Times New Roman" w:cs="Times New Roman"/>
                        <w:color w:val="0000FF"/>
                        <w:szCs w:val="20"/>
                        <w:u w:val="single"/>
                      </w:rPr>
                      <w:t>Jeanne.kingery@duke-energy.com</w:t>
                    </w:r>
                  </w:hyperlink>
                  <w:r w:rsidRPr="00E766AF" w:rsidR="006542FC">
                    <w:rPr>
                      <w:rFonts w:eastAsia="Times New Roman" w:cs="Times New Roman"/>
                      <w:szCs w:val="20"/>
                    </w:rPr>
                    <w:t xml:space="preserve"> </w:t>
                  </w:r>
                </w:p>
                <w:p w:rsidR="005149BD" w:rsidRPr="00E766AF" w:rsidP="00AD1675" w14:paraId="7B650D12" w14:textId="77777777">
                  <w:pPr>
                    <w:autoSpaceDE w:val="0"/>
                    <w:autoSpaceDN w:val="0"/>
                    <w:adjustRightInd w:val="0"/>
                    <w:spacing w:after="0" w:line="240" w:lineRule="auto"/>
                    <w:rPr>
                      <w:rFonts w:eastAsia="Times New Roman" w:cs="Times New Roman"/>
                      <w:szCs w:val="20"/>
                    </w:rPr>
                  </w:pPr>
                  <w:hyperlink r:id="rId33" w:history="1">
                    <w:r w:rsidRPr="00E766AF" w:rsidR="006542FC">
                      <w:rPr>
                        <w:rFonts w:eastAsia="Times New Roman" w:cs="Times New Roman"/>
                        <w:color w:val="0000FF"/>
                        <w:szCs w:val="20"/>
                        <w:u w:val="single"/>
                      </w:rPr>
                      <w:t>haydenm@firstenergycorp.com</w:t>
                    </w:r>
                  </w:hyperlink>
                  <w:r w:rsidRPr="00E766AF" w:rsidR="006542FC">
                    <w:rPr>
                      <w:rFonts w:eastAsia="Times New Roman" w:cs="Times New Roman"/>
                      <w:szCs w:val="20"/>
                    </w:rPr>
                    <w:t xml:space="preserve"> </w:t>
                  </w:r>
                </w:p>
                <w:p w:rsidR="005149BD" w:rsidRPr="00E766AF" w:rsidP="00AD1675" w14:paraId="6EB37195" w14:textId="77777777">
                  <w:pPr>
                    <w:autoSpaceDE w:val="0"/>
                    <w:autoSpaceDN w:val="0"/>
                    <w:adjustRightInd w:val="0"/>
                    <w:spacing w:after="0" w:line="240" w:lineRule="auto"/>
                    <w:rPr>
                      <w:rFonts w:eastAsia="Times New Roman" w:cs="Times New Roman"/>
                      <w:szCs w:val="20"/>
                    </w:rPr>
                  </w:pPr>
                  <w:hyperlink r:id="rId34" w:history="1">
                    <w:r w:rsidRPr="00E766AF" w:rsidR="006542FC">
                      <w:rPr>
                        <w:rFonts w:eastAsia="Times New Roman" w:cs="Times New Roman"/>
                        <w:color w:val="0000FF"/>
                        <w:szCs w:val="20"/>
                        <w:u w:val="single"/>
                      </w:rPr>
                      <w:t>mjsatterwhite@aep.com</w:t>
                    </w:r>
                  </w:hyperlink>
                </w:p>
                <w:p w:rsidR="005149BD" w:rsidRPr="00E766AF" w:rsidP="00AD1675" w14:paraId="75195FAE" w14:textId="77777777">
                  <w:pPr>
                    <w:autoSpaceDE w:val="0"/>
                    <w:autoSpaceDN w:val="0"/>
                    <w:adjustRightInd w:val="0"/>
                    <w:spacing w:after="0" w:line="240" w:lineRule="auto"/>
                    <w:rPr>
                      <w:rFonts w:eastAsia="Times New Roman" w:cs="Times New Roman"/>
                      <w:szCs w:val="20"/>
                    </w:rPr>
                  </w:pPr>
                  <w:hyperlink r:id="rId35" w:history="1">
                    <w:r w:rsidRPr="00E766AF" w:rsidR="006542FC">
                      <w:rPr>
                        <w:rFonts w:eastAsia="Times New Roman" w:cs="Times New Roman"/>
                        <w:color w:val="0000FF"/>
                        <w:szCs w:val="20"/>
                        <w:u w:val="single"/>
                      </w:rPr>
                      <w:t>stnourse@aep.com</w:t>
                    </w:r>
                  </w:hyperlink>
                  <w:r w:rsidRPr="00E766AF" w:rsidR="006542FC">
                    <w:rPr>
                      <w:rFonts w:eastAsia="Times New Roman" w:cs="Times New Roman"/>
                      <w:szCs w:val="20"/>
                    </w:rPr>
                    <w:t xml:space="preserve"> </w:t>
                  </w:r>
                </w:p>
                <w:p w:rsidR="005149BD" w:rsidRPr="00E766AF" w:rsidP="00AD1675" w14:paraId="69788E78" w14:textId="77777777">
                  <w:pPr>
                    <w:autoSpaceDE w:val="0"/>
                    <w:autoSpaceDN w:val="0"/>
                    <w:adjustRightInd w:val="0"/>
                    <w:spacing w:after="0" w:line="240" w:lineRule="auto"/>
                    <w:rPr>
                      <w:rFonts w:eastAsia="Times New Roman" w:cs="Times New Roman"/>
                      <w:szCs w:val="20"/>
                    </w:rPr>
                  </w:pPr>
                  <w:hyperlink r:id="rId36" w:history="1">
                    <w:r w:rsidRPr="00E766AF" w:rsidR="006542FC">
                      <w:rPr>
                        <w:rFonts w:eastAsia="Times New Roman" w:cs="Times New Roman"/>
                        <w:color w:val="0000FF"/>
                        <w:szCs w:val="20"/>
                        <w:u w:val="single"/>
                      </w:rPr>
                      <w:t>jbentine@cwslaw.com</w:t>
                    </w:r>
                  </w:hyperlink>
                </w:p>
                <w:p w:rsidR="005149BD" w:rsidRPr="00E766AF" w:rsidP="00AD1675" w14:paraId="50FE7FF6" w14:textId="77777777">
                  <w:pPr>
                    <w:autoSpaceDE w:val="0"/>
                    <w:autoSpaceDN w:val="0"/>
                    <w:adjustRightInd w:val="0"/>
                    <w:spacing w:after="0" w:line="240" w:lineRule="auto"/>
                    <w:rPr>
                      <w:rFonts w:eastAsia="Times New Roman" w:cs="Times New Roman"/>
                      <w:color w:val="0000FF"/>
                      <w:szCs w:val="20"/>
                      <w:u w:val="single"/>
                      <w:lang w:val="de-DE"/>
                    </w:rPr>
                  </w:pPr>
                  <w:hyperlink r:id="rId37" w:history="1">
                    <w:r w:rsidRPr="00E766AF" w:rsidR="006542FC">
                      <w:rPr>
                        <w:rFonts w:eastAsia="Times New Roman" w:cs="Times New Roman"/>
                        <w:color w:val="0000FF"/>
                        <w:szCs w:val="20"/>
                        <w:u w:val="single"/>
                        <w:lang w:val="de-DE"/>
                      </w:rPr>
                      <w:t>henryeckhart@aol.com</w:t>
                    </w:r>
                  </w:hyperlink>
                </w:p>
                <w:p w:rsidR="005149BD" w:rsidRPr="00E766AF" w:rsidP="00AD1675" w14:paraId="4E7FEF8F" w14:textId="77777777">
                  <w:pPr>
                    <w:autoSpaceDE w:val="0"/>
                    <w:autoSpaceDN w:val="0"/>
                    <w:adjustRightInd w:val="0"/>
                    <w:spacing w:after="0" w:line="240" w:lineRule="auto"/>
                    <w:rPr>
                      <w:rFonts w:eastAsia="Times New Roman" w:cs="Times New Roman"/>
                      <w:szCs w:val="20"/>
                      <w:lang w:val="de-DE"/>
                    </w:rPr>
                  </w:pPr>
                  <w:r w:rsidRPr="00E766AF">
                    <w:rPr>
                      <w:rFonts w:eastAsia="Times New Roman" w:cs="Times New Roman"/>
                      <w:color w:val="0000FF"/>
                      <w:szCs w:val="20"/>
                      <w:u w:val="single"/>
                      <w:lang w:val="de-DE"/>
                    </w:rPr>
                    <w:t>michael.nugent@igs.com</w:t>
                  </w:r>
                </w:p>
                <w:p w:rsidR="005149BD" w:rsidRPr="00E766AF" w:rsidP="00AD1675" w14:paraId="1D163012" w14:textId="77777777">
                  <w:pPr>
                    <w:spacing w:after="0" w:line="240" w:lineRule="auto"/>
                    <w:rPr>
                      <w:rFonts w:eastAsia="Times New Roman" w:cs="Times New Roman"/>
                      <w:szCs w:val="20"/>
                    </w:rPr>
                  </w:pPr>
                  <w:hyperlink r:id="rId38" w:history="1">
                    <w:r w:rsidRPr="00E766AF" w:rsidR="006542FC">
                      <w:rPr>
                        <w:rFonts w:eastAsia="Times New Roman" w:cs="Times New Roman"/>
                        <w:color w:val="0000FF"/>
                        <w:szCs w:val="20"/>
                        <w:u w:val="single"/>
                      </w:rPr>
                      <w:t>dboehm@bkllawfirm.com</w:t>
                    </w:r>
                  </w:hyperlink>
                </w:p>
                <w:p w:rsidR="005149BD" w:rsidRPr="00E766AF" w:rsidP="00AD1675" w14:paraId="773EE453" w14:textId="77777777">
                  <w:pPr>
                    <w:spacing w:after="0" w:line="240" w:lineRule="auto"/>
                    <w:rPr>
                      <w:rFonts w:eastAsia="Times New Roman" w:cs="Times New Roman"/>
                      <w:szCs w:val="20"/>
                    </w:rPr>
                  </w:pPr>
                  <w:hyperlink r:id="rId39" w:history="1">
                    <w:r w:rsidRPr="00E766AF" w:rsidR="006542FC">
                      <w:rPr>
                        <w:rFonts w:eastAsia="Times New Roman" w:cs="Times New Roman"/>
                        <w:color w:val="0000FF"/>
                        <w:szCs w:val="20"/>
                        <w:u w:val="single"/>
                      </w:rPr>
                      <w:t>mkurtz@bkllawfirm.com</w:t>
                    </w:r>
                  </w:hyperlink>
                </w:p>
                <w:p w:rsidR="005149BD" w:rsidRPr="00E766AF" w:rsidP="00AD1675" w14:paraId="42CA306D" w14:textId="77777777">
                  <w:pPr>
                    <w:spacing w:after="0" w:line="240" w:lineRule="auto"/>
                    <w:rPr>
                      <w:rFonts w:eastAsia="Times New Roman" w:cs="Times New Roman"/>
                      <w:szCs w:val="20"/>
                    </w:rPr>
                  </w:pPr>
                  <w:hyperlink r:id="rId40" w:history="1">
                    <w:r w:rsidRPr="00E766AF" w:rsidR="006542FC">
                      <w:rPr>
                        <w:rFonts w:eastAsia="Times New Roman" w:cs="Times New Roman"/>
                        <w:color w:val="0000FF"/>
                        <w:szCs w:val="20"/>
                        <w:u w:val="single"/>
                      </w:rPr>
                      <w:t>jkylercohn@bkllawfirm.com</w:t>
                    </w:r>
                  </w:hyperlink>
                  <w:r w:rsidRPr="00E766AF" w:rsidR="006542FC">
                    <w:rPr>
                      <w:rFonts w:eastAsia="Times New Roman" w:cs="Times New Roman"/>
                      <w:szCs w:val="20"/>
                    </w:rPr>
                    <w:t xml:space="preserve"> </w:t>
                  </w:r>
                </w:p>
                <w:p w:rsidR="005149BD" w:rsidRPr="00E766AF" w:rsidP="00AD1675" w14:paraId="61B08B34" w14:textId="77777777">
                  <w:pPr>
                    <w:spacing w:after="0" w:line="240" w:lineRule="auto"/>
                    <w:rPr>
                      <w:rFonts w:eastAsia="Times New Roman" w:cs="Times New Roman"/>
                      <w:color w:val="0000FF"/>
                      <w:szCs w:val="20"/>
                      <w:u w:val="single"/>
                    </w:rPr>
                  </w:pPr>
                  <w:hyperlink r:id="rId41" w:history="1">
                    <w:r w:rsidRPr="00E766AF" w:rsidR="006542FC">
                      <w:rPr>
                        <w:rFonts w:ascii="Times-New-Roman" w:eastAsia="Times New Roman" w:hAnsi="Times-New-Roman" w:cs="Times New Roman"/>
                        <w:color w:val="0000FF"/>
                        <w:szCs w:val="20"/>
                        <w:u w:val="single"/>
                      </w:rPr>
                      <w:t>Cynthia.brady@constellation.com</w:t>
                    </w:r>
                  </w:hyperlink>
                </w:p>
                <w:p w:rsidR="005149BD" w:rsidRPr="00E766AF" w:rsidP="00AD1675" w14:paraId="4CD94047" w14:textId="77777777">
                  <w:pPr>
                    <w:spacing w:after="0" w:line="240" w:lineRule="auto"/>
                    <w:rPr>
                      <w:rFonts w:ascii="Times-New-Roman" w:eastAsia="Times New Roman" w:hAnsi="Times-New-Roman" w:cs="Times-New-Roman"/>
                      <w:szCs w:val="20"/>
                    </w:rPr>
                  </w:pPr>
                  <w:hyperlink r:id="rId42" w:history="1">
                    <w:r w:rsidRPr="00E766AF" w:rsidR="006542FC">
                      <w:rPr>
                        <w:rFonts w:ascii="Times-New-Roman" w:eastAsia="Times New Roman" w:hAnsi="Times-New-Roman" w:cs="Times-New-Roman"/>
                        <w:color w:val="0000FF"/>
                        <w:szCs w:val="20"/>
                        <w:u w:val="single"/>
                      </w:rPr>
                      <w:t>David.fein@constellation.com</w:t>
                    </w:r>
                  </w:hyperlink>
                </w:p>
                <w:p w:rsidR="005149BD" w:rsidRPr="00E766AF" w:rsidP="00AD1675" w14:paraId="4583BD55" w14:textId="77777777">
                  <w:pPr>
                    <w:autoSpaceDE w:val="0"/>
                    <w:autoSpaceDN w:val="0"/>
                    <w:adjustRightInd w:val="0"/>
                    <w:spacing w:after="0" w:line="240" w:lineRule="auto"/>
                    <w:rPr>
                      <w:rFonts w:eastAsia="Times New Roman" w:cs="Times New Roman"/>
                      <w:color w:val="0000FF"/>
                      <w:szCs w:val="20"/>
                      <w:u w:val="single"/>
                    </w:rPr>
                  </w:pPr>
                  <w:r w:rsidRPr="00E766AF">
                    <w:rPr>
                      <w:rFonts w:eastAsia="Times New Roman" w:cs="Times New Roman"/>
                      <w:color w:val="0000FF"/>
                      <w:szCs w:val="20"/>
                      <w:u w:val="single"/>
                    </w:rPr>
                    <w:t>tdougherty@theOEC.org</w:t>
                  </w:r>
                </w:p>
                <w:p w:rsidR="005149BD" w:rsidRPr="00E766AF" w:rsidP="00AD1675" w14:paraId="6A03420A" w14:textId="77777777">
                  <w:pPr>
                    <w:autoSpaceDE w:val="0"/>
                    <w:autoSpaceDN w:val="0"/>
                    <w:adjustRightInd w:val="0"/>
                    <w:spacing w:after="0" w:line="240" w:lineRule="auto"/>
                    <w:rPr>
                      <w:rFonts w:eastAsia="Times New Roman" w:cs="Times New Roman"/>
                      <w:szCs w:val="20"/>
                    </w:rPr>
                  </w:pPr>
                  <w:hyperlink r:id="rId43" w:history="1">
                    <w:r w:rsidRPr="00E766AF" w:rsidR="006542FC">
                      <w:rPr>
                        <w:rFonts w:eastAsia="Times New Roman" w:cs="Times New Roman"/>
                        <w:color w:val="0000FF"/>
                        <w:szCs w:val="20"/>
                        <w:u w:val="single"/>
                      </w:rPr>
                      <w:t>njohnson@theoec.org</w:t>
                    </w:r>
                  </w:hyperlink>
                  <w:r w:rsidRPr="00E766AF" w:rsidR="006542FC">
                    <w:rPr>
                      <w:rFonts w:eastAsia="Times New Roman" w:cs="Times New Roman"/>
                      <w:szCs w:val="20"/>
                    </w:rPr>
                    <w:t xml:space="preserve"> </w:t>
                  </w:r>
                </w:p>
                <w:p w:rsidR="005149BD" w:rsidRPr="00E766AF" w:rsidP="00AD1675" w14:paraId="1A096382" w14:textId="77777777">
                  <w:pPr>
                    <w:autoSpaceDE w:val="0"/>
                    <w:autoSpaceDN w:val="0"/>
                    <w:adjustRightInd w:val="0"/>
                    <w:spacing w:after="0" w:line="240" w:lineRule="auto"/>
                    <w:rPr>
                      <w:rFonts w:eastAsia="Times New Roman" w:cs="Times New Roman"/>
                      <w:szCs w:val="20"/>
                    </w:rPr>
                  </w:pPr>
                  <w:hyperlink r:id="rId44" w:history="1">
                    <w:r w:rsidRPr="00E766AF" w:rsidR="006542FC">
                      <w:rPr>
                        <w:rFonts w:eastAsia="Times New Roman" w:cs="Times New Roman"/>
                        <w:color w:val="0000FF"/>
                        <w:szCs w:val="20"/>
                        <w:u w:val="single"/>
                      </w:rPr>
                      <w:t>Williams.toddm@gmail.com</w:t>
                    </w:r>
                  </w:hyperlink>
                </w:p>
                <w:p w:rsidR="005149BD" w:rsidRPr="00E766AF" w:rsidP="00AD1675" w14:paraId="753B3EF3" w14:textId="77777777">
                  <w:pPr>
                    <w:autoSpaceDE w:val="0"/>
                    <w:autoSpaceDN w:val="0"/>
                    <w:adjustRightInd w:val="0"/>
                    <w:spacing w:after="0" w:line="240" w:lineRule="auto"/>
                    <w:rPr>
                      <w:rFonts w:eastAsia="Times New Roman" w:cs="Times New Roman"/>
                      <w:szCs w:val="20"/>
                    </w:rPr>
                  </w:pPr>
                  <w:hyperlink r:id="rId45" w:history="1">
                    <w:r w:rsidRPr="00E766AF" w:rsidR="006542FC">
                      <w:rPr>
                        <w:rFonts w:eastAsia="Times New Roman" w:cs="Times New Roman"/>
                        <w:color w:val="0000FF"/>
                        <w:szCs w:val="20"/>
                        <w:u w:val="single"/>
                      </w:rPr>
                      <w:t>ejacobs@ablelaw.org</w:t>
                    </w:r>
                  </w:hyperlink>
                </w:p>
                <w:p w:rsidR="005149BD" w:rsidRPr="00E766AF" w:rsidP="00AD1675" w14:paraId="7CEAF07A" w14:textId="77777777">
                  <w:pPr>
                    <w:autoSpaceDE w:val="0"/>
                    <w:autoSpaceDN w:val="0"/>
                    <w:adjustRightInd w:val="0"/>
                    <w:spacing w:after="0" w:line="240" w:lineRule="auto"/>
                    <w:rPr>
                      <w:rFonts w:eastAsia="Times New Roman" w:cs="Times New Roman"/>
                      <w:szCs w:val="20"/>
                    </w:rPr>
                  </w:pPr>
                  <w:hyperlink r:id="rId46" w:history="1">
                    <w:r w:rsidRPr="00E766AF" w:rsidR="006542FC">
                      <w:rPr>
                        <w:rFonts w:eastAsia="Times New Roman" w:cs="Times New Roman"/>
                        <w:color w:val="0000FF"/>
                        <w:szCs w:val="20"/>
                        <w:u w:val="single"/>
                      </w:rPr>
                      <w:t>myurick@taftlaw.com</w:t>
                    </w:r>
                  </w:hyperlink>
                  <w:r w:rsidRPr="00E766AF" w:rsidR="006542FC">
                    <w:rPr>
                      <w:rFonts w:eastAsia="Times New Roman" w:cs="Times New Roman"/>
                      <w:szCs w:val="20"/>
                    </w:rPr>
                    <w:t xml:space="preserve"> </w:t>
                  </w:r>
                </w:p>
                <w:p w:rsidR="005149BD" w:rsidRPr="00E766AF" w:rsidP="00AD1675" w14:paraId="5C18706E" w14:textId="77777777">
                  <w:pPr>
                    <w:autoSpaceDE w:val="0"/>
                    <w:autoSpaceDN w:val="0"/>
                    <w:adjustRightInd w:val="0"/>
                    <w:spacing w:after="0" w:line="240" w:lineRule="auto"/>
                    <w:rPr>
                      <w:rFonts w:eastAsia="Times New Roman" w:cs="Times New Roman"/>
                      <w:color w:val="0000FF"/>
                      <w:szCs w:val="20"/>
                      <w:u w:val="single"/>
                    </w:rPr>
                  </w:pPr>
                  <w:hyperlink r:id="rId47" w:history="1">
                    <w:r w:rsidRPr="00E766AF" w:rsidR="006542FC">
                      <w:rPr>
                        <w:rFonts w:eastAsia="Times New Roman" w:cs="Times New Roman"/>
                        <w:color w:val="0000FF"/>
                        <w:szCs w:val="20"/>
                        <w:u w:val="single"/>
                      </w:rPr>
                      <w:t>stephen.chriss@wal-mart.com</w:t>
                    </w:r>
                  </w:hyperlink>
                </w:p>
                <w:p w:rsidR="005149BD" w:rsidRPr="00E766AF" w:rsidP="00AD1675" w14:paraId="309E0C65" w14:textId="77777777">
                  <w:pPr>
                    <w:autoSpaceDE w:val="0"/>
                    <w:autoSpaceDN w:val="0"/>
                    <w:adjustRightInd w:val="0"/>
                    <w:spacing w:after="0" w:line="240" w:lineRule="auto"/>
                    <w:rPr>
                      <w:rFonts w:eastAsia="Times New Roman" w:cs="Times New Roman"/>
                      <w:color w:val="0563C2"/>
                      <w:szCs w:val="24"/>
                    </w:rPr>
                  </w:pPr>
                  <w:hyperlink r:id="rId48" w:history="1">
                    <w:r w:rsidRPr="00E766AF" w:rsidR="006542FC">
                      <w:rPr>
                        <w:rFonts w:eastAsia="Times New Roman" w:cs="Times New Roman"/>
                        <w:color w:val="0000FF"/>
                        <w:szCs w:val="20"/>
                        <w:u w:val="single"/>
                      </w:rPr>
                      <w:t>rdove@keglerbrown.com</w:t>
                    </w:r>
                  </w:hyperlink>
                </w:p>
                <w:p w:rsidR="005149BD" w:rsidRPr="00E766AF" w:rsidP="00AD1675" w14:paraId="3A4E4FC4" w14:textId="77777777">
                  <w:pPr>
                    <w:autoSpaceDE w:val="0"/>
                    <w:autoSpaceDN w:val="0"/>
                    <w:adjustRightInd w:val="0"/>
                    <w:spacing w:after="0" w:line="240" w:lineRule="auto"/>
                    <w:rPr>
                      <w:rFonts w:eastAsia="Times New Roman" w:cs="Times New Roman"/>
                      <w:szCs w:val="20"/>
                    </w:rPr>
                  </w:pPr>
                  <w:hyperlink r:id="rId49" w:history="1">
                    <w:r w:rsidRPr="00E766AF" w:rsidR="006542FC">
                      <w:rPr>
                        <w:rFonts w:eastAsia="Times New Roman" w:cs="Times New Roman"/>
                        <w:color w:val="0000FF"/>
                        <w:szCs w:val="20"/>
                        <w:u w:val="single"/>
                      </w:rPr>
                      <w:t>fykes@whitt-sturtevant.com</w:t>
                    </w:r>
                  </w:hyperlink>
                  <w:r w:rsidRPr="00E766AF" w:rsidR="006542FC">
                    <w:rPr>
                      <w:rFonts w:eastAsia="Times New Roman" w:cs="Times New Roman"/>
                      <w:szCs w:val="20"/>
                    </w:rPr>
                    <w:t xml:space="preserve"> </w:t>
                  </w:r>
                </w:p>
                <w:p w:rsidR="005149BD" w:rsidRPr="00E766AF" w:rsidP="00AD1675" w14:paraId="6956DA35" w14:textId="77777777">
                  <w:pPr>
                    <w:autoSpaceDE w:val="0"/>
                    <w:autoSpaceDN w:val="0"/>
                    <w:adjustRightInd w:val="0"/>
                    <w:spacing w:after="0" w:line="240" w:lineRule="auto"/>
                    <w:rPr>
                      <w:rFonts w:eastAsia="Times New Roman" w:cs="Times New Roman"/>
                      <w:color w:val="0000FF"/>
                      <w:szCs w:val="20"/>
                      <w:u w:val="single"/>
                    </w:rPr>
                  </w:pPr>
                  <w:hyperlink r:id="rId50" w:history="1">
                    <w:r w:rsidRPr="00E766AF" w:rsidR="006542FC">
                      <w:rPr>
                        <w:rFonts w:eastAsia="Times New Roman" w:cs="Times New Roman"/>
                        <w:color w:val="0000FF"/>
                        <w:szCs w:val="20"/>
                        <w:u w:val="single"/>
                      </w:rPr>
                      <w:t>whitt@whitt-sturtevant.com</w:t>
                    </w:r>
                  </w:hyperlink>
                </w:p>
                <w:p w:rsidR="005149BD" w:rsidRPr="00E766AF" w:rsidP="00AD1675" w14:paraId="43FE1273" w14:textId="77777777">
                  <w:pPr>
                    <w:autoSpaceDE w:val="0"/>
                    <w:autoSpaceDN w:val="0"/>
                    <w:adjustRightInd w:val="0"/>
                    <w:spacing w:after="0" w:line="240" w:lineRule="auto"/>
                    <w:rPr>
                      <w:rFonts w:eastAsia="Times New Roman" w:cs="Times New Roman"/>
                      <w:color w:val="0000FF"/>
                      <w:szCs w:val="20"/>
                      <w:u w:val="single"/>
                    </w:rPr>
                  </w:pPr>
                  <w:hyperlink r:id="rId51" w:history="1">
                    <w:r w:rsidRPr="00E766AF" w:rsidR="006542FC">
                      <w:rPr>
                        <w:rFonts w:eastAsia="Times New Roman" w:cs="Times New Roman"/>
                        <w:color w:val="0000FF"/>
                        <w:szCs w:val="20"/>
                        <w:u w:val="single"/>
                      </w:rPr>
                      <w:t>mpritchard@mcneeslaw.com</w:t>
                    </w:r>
                  </w:hyperlink>
                </w:p>
                <w:p w:rsidR="005149BD" w:rsidRPr="00E766AF" w:rsidP="00AD1675" w14:paraId="05168E89" w14:textId="77777777">
                  <w:pPr>
                    <w:autoSpaceDE w:val="0"/>
                    <w:autoSpaceDN w:val="0"/>
                    <w:adjustRightInd w:val="0"/>
                    <w:spacing w:after="0" w:line="240" w:lineRule="auto"/>
                    <w:rPr>
                      <w:rFonts w:eastAsia="Times New Roman" w:cs="Times New Roman"/>
                      <w:sz w:val="26"/>
                      <w:szCs w:val="26"/>
                    </w:rPr>
                  </w:pPr>
                  <w:r w:rsidRPr="00E766AF">
                    <w:rPr>
                      <w:rFonts w:eastAsia="Times New Roman" w:cs="Times New Roman"/>
                      <w:color w:val="0000FF"/>
                      <w:szCs w:val="20"/>
                      <w:u w:val="single"/>
                    </w:rPr>
                    <w:t>rglover@mcneeslaw.com</w:t>
                  </w:r>
                </w:p>
              </w:tc>
            </w:tr>
          </w:tbl>
          <w:p w:rsidR="005149BD" w:rsidRPr="00E766AF" w:rsidP="00AD1675" w14:paraId="7E9B36DB" w14:textId="77777777">
            <w:pPr>
              <w:widowControl w:val="0"/>
              <w:autoSpaceDE w:val="0"/>
              <w:autoSpaceDN w:val="0"/>
              <w:adjustRightInd w:val="0"/>
              <w:spacing w:after="0" w:line="240" w:lineRule="auto"/>
              <w:rPr>
                <w:rFonts w:eastAsia="Times New Roman" w:cs="Times New Roman"/>
                <w:sz w:val="20"/>
                <w:szCs w:val="20"/>
              </w:rPr>
            </w:pPr>
          </w:p>
        </w:tc>
      </w:tr>
    </w:tbl>
    <w:p w:rsidR="005149BD" w:rsidP="005149BD" w14:paraId="0D856090" w14:textId="77777777"/>
    <w:p w:rsidR="00747968" w:rsidRPr="00DE37C9" w:rsidP="005149BD" w14:paraId="162E3CFC" w14:textId="06E65A2E">
      <w:pPr>
        <w:pStyle w:val="CommentText"/>
        <w:jc w:val="center"/>
        <w:rPr>
          <w:szCs w:val="24"/>
        </w:rPr>
      </w:pPr>
    </w:p>
    <w:sectPr w:rsidSect="0056287E">
      <w:headerReference w:type="default" r:id="rId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04A8" w14:paraId="287258C7"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014343"/>
      <w:docPartObj>
        <w:docPartGallery w:val="Page Numbers (Bottom of Page)"/>
        <w:docPartUnique/>
      </w:docPartObj>
    </w:sdtPr>
    <w:sdtEndPr>
      <w:rPr>
        <w:noProof/>
      </w:rPr>
    </w:sdtEndPr>
    <w:sdtContent>
      <w:p w:rsidR="006304A8" w14:paraId="00DD4CC7" w14:textId="0DE96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6490731"/>
      <w:docPartObj>
        <w:docPartGallery w:val="Page Numbers (Bottom of Page)"/>
        <w:docPartUnique/>
      </w:docPartObj>
    </w:sdtPr>
    <w:sdtEndPr>
      <w:rPr>
        <w:noProof/>
      </w:rPr>
    </w:sdtEndPr>
    <w:sdtContent>
      <w:p w:rsidR="006304A8" w14:paraId="67826A29" w14:textId="6A305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04A8" w:rsidP="00D92B7D" w14:paraId="6BCDA235" w14:textId="77777777">
      <w:pPr>
        <w:spacing w:after="0" w:line="240" w:lineRule="auto"/>
      </w:pPr>
      <w:r>
        <w:separator/>
      </w:r>
    </w:p>
  </w:footnote>
  <w:footnote w:type="continuationSeparator" w:id="1">
    <w:p w:rsidR="006304A8" w:rsidP="00D92B7D" w14:paraId="5D973B64" w14:textId="77777777">
      <w:pPr>
        <w:spacing w:after="0" w:line="240" w:lineRule="auto"/>
      </w:pPr>
      <w:r>
        <w:continuationSeparator/>
      </w:r>
    </w:p>
  </w:footnote>
  <w:footnote w:type="continuationNotice" w:id="2">
    <w:p w:rsidR="006304A8" w14:paraId="404B513F" w14:textId="77777777">
      <w:pPr>
        <w:spacing w:after="0" w:line="240" w:lineRule="auto"/>
      </w:pPr>
    </w:p>
  </w:footnote>
  <w:footnote w:id="3">
    <w:p w:rsidR="006304A8" w:rsidRPr="00470AA7" w:rsidP="00470AA7" w14:paraId="1F4D76D8" w14:textId="7CA9100E">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for the Creation of a Rate Stabilization Surcharge Rider and Distribution Rate Increase</w:t>
      </w:r>
      <w:r w:rsidRPr="00470AA7">
        <w:rPr>
          <w:rFonts w:ascii="Times New Roman" w:hAnsi="Times New Roman"/>
        </w:rPr>
        <w:t xml:space="preserve">, Case No. 05-276-EL-AIR, Opinion and Order (Dec. 28, 2005) (adopting stipulation with rate stabilization charge). </w:t>
      </w:r>
    </w:p>
  </w:footnote>
  <w:footnote w:id="4">
    <w:p w:rsidR="006304A8" w:rsidRPr="00470AA7" w:rsidP="00470AA7" w14:paraId="79D4F962"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iCs/>
        </w:rPr>
        <w:t>In the Matter of the Continuation of the Rate Freeze and Extension of the Market Development Period for The Dayton Power and Light Company</w:t>
      </w:r>
      <w:r w:rsidRPr="00470AA7">
        <w:rPr>
          <w:rFonts w:ascii="Times New Roman" w:hAnsi="Times New Roman"/>
        </w:rPr>
        <w:t>, Case No. 02-2779-EL-ATA, Stipulation at 13-14, ¶IX E (May 28, 2003).</w:t>
      </w:r>
    </w:p>
  </w:footnote>
  <w:footnote w:id="5">
    <w:p w:rsidR="006304A8" w:rsidRPr="00470AA7" w:rsidP="00470AA7" w14:paraId="7A70184A" w14:textId="3D09CF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OCC was not a signatory and opposed the stipulation. </w:t>
      </w:r>
    </w:p>
  </w:footnote>
  <w:footnote w:id="6">
    <w:p w:rsidR="006304A8" w:rsidRPr="00470AA7" w:rsidP="00470AA7" w14:paraId="3960BA1B" w14:textId="5000D24B">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for the Creation of a Rate Stabilization Surcharge Rider and Distribution Rate Increase</w:t>
      </w:r>
      <w:r w:rsidRPr="00470AA7">
        <w:rPr>
          <w:rFonts w:ascii="Times New Roman" w:hAnsi="Times New Roman"/>
        </w:rPr>
        <w:t xml:space="preserve">, Case No. 05-276-EL-AIR, Opinion and Order at 11 (Dec. 28, 2005). </w:t>
      </w:r>
    </w:p>
  </w:footnote>
  <w:footnote w:id="7">
    <w:p w:rsidR="006304A8" w:rsidRPr="00470AA7" w:rsidP="00470AA7" w14:paraId="4ED074F3"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Id</w:t>
      </w:r>
      <w:r w:rsidRPr="00470AA7">
        <w:rPr>
          <w:rFonts w:ascii="Times New Roman" w:hAnsi="Times New Roman"/>
        </w:rPr>
        <w:t>., Stipulation and Recommendation at 5 ¶C (November 3, 2005).</w:t>
      </w:r>
    </w:p>
  </w:footnote>
  <w:footnote w:id="8">
    <w:p w:rsidR="006304A8" w:rsidRPr="00470AA7" w:rsidP="00470AA7" w14:paraId="19787407" w14:textId="296A85DE">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for the Creation of a Rate Stabilization Surcharge Rider and Distribution Rate Increase</w:t>
      </w:r>
      <w:r w:rsidRPr="00470AA7">
        <w:rPr>
          <w:rFonts w:ascii="Times New Roman" w:hAnsi="Times New Roman"/>
        </w:rPr>
        <w:t>, Case No. 05-276-EL-AIR, Testimony of Dona Seger Lawson In support of the Stipulation and Recommendation at 4 (Nov. 4, 2005).</w:t>
      </w:r>
    </w:p>
  </w:footnote>
  <w:footnote w:id="9">
    <w:p w:rsidR="006304A8" w:rsidRPr="00470AA7" w:rsidP="00470AA7" w14:paraId="32DC87F6" w14:textId="5AC4E453">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Testimony of Kurt G. Strunk In Support of the Stipulation and Recommendation (Nov. 4, 2005).</w:t>
      </w:r>
    </w:p>
  </w:footnote>
  <w:footnote w:id="10">
    <w:p w:rsidR="006304A8" w:rsidRPr="00470AA7" w:rsidP="00470AA7" w14:paraId="23B23800" w14:textId="47FDB41C">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i/>
          <w:iCs/>
        </w:rPr>
        <w:t xml:space="preserve"> Id</w:t>
      </w:r>
      <w:r w:rsidRPr="00470AA7">
        <w:rPr>
          <w:rFonts w:ascii="Times New Roman" w:hAnsi="Times New Roman"/>
        </w:rPr>
        <w:t xml:space="preserve">., Opinion and Order (Dec. 28, 2005).  </w:t>
      </w:r>
    </w:p>
  </w:footnote>
  <w:footnote w:id="11">
    <w:p w:rsidR="006304A8" w:rsidRPr="00470AA7" w:rsidP="00470AA7" w14:paraId="6F68200A" w14:textId="5EE1F62B">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for Approval of its Electric Security Plan</w:t>
      </w:r>
      <w:r w:rsidRPr="00470AA7">
        <w:rPr>
          <w:rFonts w:ascii="Times New Roman" w:hAnsi="Times New Roman"/>
        </w:rPr>
        <w:t xml:space="preserve">, Case No. 08-1094-EL-SSO, Stipulation and Recommendation at ¶3 (Feb. 24, 2009). </w:t>
      </w:r>
    </w:p>
  </w:footnote>
  <w:footnote w:id="12">
    <w:p w:rsidR="006304A8" w:rsidRPr="00470AA7" w:rsidP="00470AA7" w14:paraId="0E7AC23B"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Id</w:t>
      </w:r>
      <w:r w:rsidRPr="00470AA7">
        <w:rPr>
          <w:rFonts w:ascii="Times New Roman" w:hAnsi="Times New Roman"/>
        </w:rPr>
        <w:t xml:space="preserve">., Opinion and Order (June 24, 2009). </w:t>
      </w:r>
    </w:p>
  </w:footnote>
  <w:footnote w:id="13">
    <w:p w:rsidR="006304A8" w:rsidRPr="00470AA7" w:rsidP="00470AA7" w14:paraId="2CCFFA8B" w14:textId="79E902C2">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In the Matter of the Application of the Dayton Power &amp; Light Company for Approval of its Market Rate Offer</w:t>
      </w:r>
      <w:r w:rsidRPr="00470AA7">
        <w:rPr>
          <w:rFonts w:ascii="Times New Roman" w:hAnsi="Times New Roman"/>
          <w:iCs/>
        </w:rPr>
        <w:t>,</w:t>
      </w:r>
      <w:r w:rsidRPr="00470AA7">
        <w:rPr>
          <w:rFonts w:ascii="Times New Roman" w:hAnsi="Times New Roman"/>
        </w:rPr>
        <w:t xml:space="preserve"> Case No. 12-426-EL-SSO </w:t>
      </w:r>
      <w:r w:rsidRPr="00470AA7">
        <w:rPr>
          <w:rFonts w:ascii="Times New Roman" w:hAnsi="Times New Roman"/>
          <w:i/>
          <w:iCs/>
        </w:rPr>
        <w:t>et al.,</w:t>
      </w:r>
      <w:r w:rsidRPr="00470AA7">
        <w:rPr>
          <w:rFonts w:ascii="Times New Roman" w:hAnsi="Times New Roman"/>
        </w:rPr>
        <w:t xml:space="preserve"> Book I, Application, Rate Blending Plan at 9 (Mar. 30, 2012).</w:t>
      </w:r>
    </w:p>
  </w:footnote>
  <w:footnote w:id="14">
    <w:p w:rsidR="006304A8" w:rsidRPr="00470AA7" w:rsidP="00470AA7" w14:paraId="41CB7DF0"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Id</w:t>
      </w:r>
      <w:r w:rsidRPr="00470AA7">
        <w:rPr>
          <w:rFonts w:ascii="Times New Roman" w:hAnsi="Times New Roman"/>
        </w:rPr>
        <w:t xml:space="preserve">. </w:t>
      </w:r>
    </w:p>
  </w:footnote>
  <w:footnote w:id="15">
    <w:p w:rsidR="006304A8" w:rsidRPr="00470AA7" w:rsidP="00470AA7" w14:paraId="36AB390E" w14:textId="73EB024D">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Id</w:t>
      </w:r>
      <w:r w:rsidRPr="00470AA7">
        <w:rPr>
          <w:rFonts w:ascii="Times New Roman" w:hAnsi="Times New Roman"/>
        </w:rPr>
        <w:t xml:space="preserve">., Application at ¶6 (Oct. 5, 2012). </w:t>
      </w:r>
    </w:p>
  </w:footnote>
  <w:footnote w:id="16">
    <w:p w:rsidR="006304A8" w:rsidRPr="00470AA7" w:rsidP="00470AA7" w14:paraId="61B891E5" w14:textId="22D00FBE">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In the Matter of the Application of the Dayton Power &amp; Light Company for Approval of its Market Rate Offer</w:t>
      </w:r>
      <w:r w:rsidRPr="00470AA7">
        <w:rPr>
          <w:rFonts w:ascii="Times New Roman" w:hAnsi="Times New Roman"/>
          <w:iCs/>
        </w:rPr>
        <w:t>,</w:t>
      </w:r>
      <w:r w:rsidRPr="00470AA7">
        <w:rPr>
          <w:rFonts w:ascii="Times New Roman" w:hAnsi="Times New Roman"/>
        </w:rPr>
        <w:t xml:space="preserve"> Case No. 12-426-EL-SSO et al., Opinion and Order at 25 (Sept. 4, 2013), citing to Confidential Testimony of C. L. Jackson at 11-13. </w:t>
      </w:r>
    </w:p>
  </w:footnote>
  <w:footnote w:id="17">
    <w:p w:rsidR="006304A8" w:rsidRPr="00470AA7" w:rsidP="00470AA7" w14:paraId="5340FAE2" w14:textId="4DFD2EE7">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w:t>
      </w:r>
    </w:p>
  </w:footnote>
  <w:footnote w:id="18">
    <w:p w:rsidR="006304A8" w:rsidRPr="00470AA7" w:rsidP="00470AA7" w14:paraId="00C1E6CC" w14:textId="0D6A99F0">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iCs/>
        </w:rPr>
        <w:t>In re: Application of Dayton Power &amp; Light Co.</w:t>
      </w:r>
      <w:r w:rsidRPr="00470AA7">
        <w:rPr>
          <w:rFonts w:ascii="Times New Roman" w:hAnsi="Times New Roman"/>
        </w:rPr>
        <w:t xml:space="preserve">, </w:t>
      </w:r>
      <w:r w:rsidR="000C6F2D">
        <w:rPr>
          <w:rFonts w:ascii="Times New Roman" w:hAnsi="Times New Roman"/>
        </w:rPr>
        <w:t xml:space="preserve">147 Ohio St.3d 166, </w:t>
      </w:r>
      <w:r w:rsidRPr="00470AA7">
        <w:rPr>
          <w:rFonts w:ascii="Times New Roman" w:hAnsi="Times New Roman"/>
        </w:rPr>
        <w:t>201</w:t>
      </w:r>
      <w:r w:rsidR="000C6F2D">
        <w:rPr>
          <w:rFonts w:ascii="Times New Roman" w:hAnsi="Times New Roman"/>
        </w:rPr>
        <w:t>6</w:t>
      </w:r>
      <w:r w:rsidRPr="00470AA7">
        <w:rPr>
          <w:rFonts w:ascii="Times New Roman" w:hAnsi="Times New Roman"/>
        </w:rPr>
        <w:t>-</w:t>
      </w:r>
      <w:r w:rsidR="000C6F2D">
        <w:rPr>
          <w:rFonts w:ascii="Times New Roman" w:hAnsi="Times New Roman"/>
        </w:rPr>
        <w:t>Ohio-3490</w:t>
      </w:r>
      <w:r w:rsidRPr="00470AA7">
        <w:rPr>
          <w:rFonts w:ascii="Times New Roman" w:hAnsi="Times New Roman"/>
        </w:rPr>
        <w:t xml:space="preserve"> (with the Court basing its ruling on </w:t>
      </w:r>
      <w:r w:rsidRPr="00470AA7">
        <w:rPr>
          <w:rFonts w:ascii="Times New Roman" w:hAnsi="Times New Roman"/>
          <w:i/>
          <w:iCs/>
        </w:rPr>
        <w:t>In re Application of Columbus S. Power Co.,</w:t>
      </w:r>
      <w:r w:rsidRPr="00470AA7">
        <w:rPr>
          <w:rFonts w:ascii="Times New Roman" w:hAnsi="Times New Roman"/>
        </w:rPr>
        <w:t xml:space="preserve"> 147 Ohio St.3d 439, 2016-Ohio-1608, 67 N.E.3d 734, striking down AEP’s stability charge as an unlawful transition charge).  This precedent, </w:t>
      </w:r>
      <w:r w:rsidRPr="00470AA7">
        <w:rPr>
          <w:rFonts w:ascii="Times New Roman" w:hAnsi="Times New Roman"/>
          <w:b/>
          <w:bCs/>
        </w:rPr>
        <w:t>handed down after the 2009 stipulated ESP I,</w:t>
      </w:r>
      <w:r w:rsidRPr="00470AA7">
        <w:rPr>
          <w:rFonts w:ascii="Times New Roman" w:hAnsi="Times New Roman"/>
        </w:rPr>
        <w:t xml:space="preserve"> also calls into question whether the POLR/Stability charge authorized by the PUCO in its Delayed Rehearing Entry is lawful.  </w:t>
      </w:r>
    </w:p>
  </w:footnote>
  <w:footnote w:id="19">
    <w:p w:rsidR="006304A8" w:rsidRPr="00470AA7" w:rsidP="00470AA7" w14:paraId="3B68D591" w14:textId="0C2C65CE">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rPr>
        <w:t>In the Matter of the Application of the Dayton Power &amp; Light Company for Approval of its Market Rate Offer</w:t>
      </w:r>
      <w:r w:rsidRPr="00470AA7">
        <w:rPr>
          <w:rFonts w:ascii="Times New Roman" w:hAnsi="Times New Roman"/>
          <w:iCs/>
        </w:rPr>
        <w:t>,</w:t>
      </w:r>
      <w:r w:rsidRPr="00470AA7">
        <w:rPr>
          <w:rFonts w:ascii="Times New Roman" w:hAnsi="Times New Roman"/>
        </w:rPr>
        <w:t xml:space="preserve"> Case No. 12-426-EL-SSO et al., Notice of Withdrawal (July 1, 2016).  </w:t>
      </w:r>
    </w:p>
  </w:footnote>
  <w:footnote w:id="20">
    <w:p w:rsidR="006304A8" w:rsidRPr="00470AA7" w:rsidP="00470AA7" w14:paraId="5EE4ECEC" w14:textId="038F2E3F">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Finding and Order (Aug. 26, 2016).  OCC appealed the withdrawal by DP&amp;L, but OCC’s appeal was rendered moot by the PUCO’s approval of a different set of rates –ESP III.  </w:t>
      </w:r>
    </w:p>
  </w:footnote>
  <w:footnote w:id="21">
    <w:p w:rsidR="006304A8" w:rsidRPr="00470AA7" w:rsidP="00470AA7" w14:paraId="35FEE50C" w14:textId="5B6E6E91">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Dayton Power and Light Company to Establish a Standard Service offer in the Form of an Electric Security Plan</w:t>
      </w:r>
      <w:r w:rsidRPr="00470AA7">
        <w:rPr>
          <w:rFonts w:ascii="Times New Roman" w:hAnsi="Times New Roman"/>
        </w:rPr>
        <w:t xml:space="preserve">, Case No. 16-395-EL-SSO, Opinion and Order (Oct. 20, 2017).  </w:t>
      </w:r>
    </w:p>
  </w:footnote>
  <w:footnote w:id="22">
    <w:p w:rsidR="006304A8" w:rsidRPr="00470AA7" w:rsidP="00470AA7" w14:paraId="291C4B72" w14:textId="4BEE2F7E">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Dayton Power and Light Company to Establish a Standard Service offer in the Form of an Electric Security Plan</w:t>
      </w:r>
      <w:r w:rsidRPr="00470AA7">
        <w:rPr>
          <w:rFonts w:ascii="Times New Roman" w:hAnsi="Times New Roman"/>
        </w:rPr>
        <w:t xml:space="preserve">, Case No. 16-395-EL-SSO, Supplemental Opinion and Order (Nov. 21, 2019). </w:t>
      </w:r>
    </w:p>
  </w:footnote>
  <w:footnote w:id="23">
    <w:p w:rsidR="006304A8" w:rsidRPr="00470AA7" w:rsidP="00470AA7" w14:paraId="62047BE2" w14:textId="5513F69F">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re Application of Ohio Edison Co.,</w:t>
      </w:r>
      <w:r w:rsidRPr="00470AA7">
        <w:rPr>
          <w:rFonts w:ascii="Times New Roman" w:hAnsi="Times New Roman"/>
        </w:rPr>
        <w:t xml:space="preserve"> 157 Ohio St.3d 73, 2019-Ohio-2401, 131 N.E.3d 906.</w:t>
      </w:r>
    </w:p>
  </w:footnote>
  <w:footnote w:id="24">
    <w:p w:rsidR="006304A8" w:rsidRPr="00470AA7" w:rsidP="00470AA7" w14:paraId="7D2C2BD2" w14:textId="72741DAB">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Dayton Power and Light Company to Establish a Standard Service offer in the Form of an Electric Security Plan</w:t>
      </w:r>
      <w:r w:rsidRPr="00470AA7">
        <w:rPr>
          <w:rFonts w:ascii="Times New Roman" w:hAnsi="Times New Roman"/>
        </w:rPr>
        <w:t>, Case No. 16-395-EL-SSO, Notice of Withdrawal (Nov. 26, 2019).</w:t>
      </w:r>
    </w:p>
  </w:footnote>
  <w:footnote w:id="25">
    <w:p w:rsidR="006304A8" w:rsidRPr="00470AA7" w:rsidP="00470AA7" w14:paraId="6B8C7CE2" w14:textId="55899B2D">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Finding and Order (Dec. 18, 2019).  </w:t>
      </w:r>
    </w:p>
  </w:footnote>
  <w:footnote w:id="26">
    <w:p w:rsidR="006304A8" w:rsidRPr="00470AA7" w:rsidP="00470AA7" w14:paraId="18B90596" w14:textId="18027109">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w:t>
      </w:r>
    </w:p>
  </w:footnote>
  <w:footnote w:id="27">
    <w:p w:rsidR="006304A8" w:rsidRPr="00470AA7" w:rsidP="00470AA7" w14:paraId="2FC867EC" w14:textId="3D7CC1A0">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for Approval of its Plan to Modernize its Grid</w:t>
      </w:r>
      <w:r w:rsidRPr="00470AA7">
        <w:rPr>
          <w:rFonts w:ascii="Times New Roman" w:hAnsi="Times New Roman"/>
        </w:rPr>
        <w:t xml:space="preserve">, Case No. 18-1875-EL-GRD, et al., Opinion and Order at 54 (June 16, 2021) (PUCO order adopted the stipulation with provision 20 a. where DP&amp;L committed to file an ESP IV application in fourth quarter 2023).  </w:t>
      </w:r>
    </w:p>
  </w:footnote>
  <w:footnote w:id="28">
    <w:p w:rsidR="006304A8" w:rsidRPr="00470AA7" w:rsidP="00470AA7" w14:paraId="7EBEF27B" w14:textId="2031A309">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Pr>
          <w:rFonts w:ascii="Times New Roman" w:hAnsi="Times New Roman"/>
        </w:rPr>
        <w:t xml:space="preserve">Id. at ¶55.  </w:t>
      </w:r>
    </w:p>
  </w:footnote>
  <w:footnote w:id="29">
    <w:p w:rsidR="006304A8" w:rsidRPr="00470AA7" w:rsidP="00470AA7" w14:paraId="6A274E8F" w14:textId="26A43FF7">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szCs w:val="24"/>
        </w:rPr>
        <w:t>In re Application of Columbus S. Power Co.,</w:t>
      </w:r>
      <w:r w:rsidRPr="00470AA7">
        <w:rPr>
          <w:rFonts w:ascii="Times New Roman" w:hAnsi="Times New Roman"/>
          <w:szCs w:val="24"/>
        </w:rPr>
        <w:t xml:space="preserve"> 128 Ohio St.3d 512 (2011).</w:t>
      </w:r>
    </w:p>
  </w:footnote>
  <w:footnote w:id="30">
    <w:p w:rsidR="006304A8" w:rsidRPr="00470AA7" w:rsidP="00470AA7" w14:paraId="042EF2A2" w14:textId="28E3EE2C">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Style w:val="normaltextrun"/>
          <w:rFonts w:ascii="Times New Roman" w:hAnsi="Times New Roman"/>
          <w:i/>
        </w:rPr>
        <w:t>In re the Ohio Power Company</w:t>
      </w:r>
      <w:r w:rsidRPr="00470AA7">
        <w:rPr>
          <w:rStyle w:val="normaltextrun"/>
          <w:rFonts w:ascii="Times New Roman" w:hAnsi="Times New Roman"/>
        </w:rPr>
        <w:t>, Pub. Util. Comm. No. 08-917-EL-SSO, Order on Remand (Oct. 3, 2011).</w:t>
      </w:r>
    </w:p>
  </w:footnote>
  <w:footnote w:id="31">
    <w:p w:rsidR="006304A8" w:rsidRPr="00470AA7" w:rsidP="00470AA7" w14:paraId="17C10BDE"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 xml:space="preserve">Ohio Consumers’ Counsel v. Pub. Util. Comm., </w:t>
      </w:r>
      <w:r w:rsidRPr="00470AA7">
        <w:rPr>
          <w:rFonts w:ascii="Times New Roman" w:hAnsi="Times New Roman"/>
        </w:rPr>
        <w:t>114 Ohio St.3d 340, 346 (2007).</w:t>
      </w:r>
    </w:p>
  </w:footnote>
  <w:footnote w:id="32">
    <w:p w:rsidR="006304A8" w:rsidRPr="00470AA7" w:rsidP="00470AA7" w14:paraId="33D6F6A9" w14:textId="532270D2">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Delayed Rehearing Order at ¶30.  </w:t>
      </w:r>
    </w:p>
  </w:footnote>
  <w:footnote w:id="33">
    <w:p w:rsidR="006304A8" w:rsidRPr="00470AA7" w:rsidP="00470AA7" w14:paraId="58C19280" w14:textId="097B9270">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Pr>
          <w:rFonts w:ascii="Times New Roman" w:hAnsi="Times New Roman"/>
          <w:i/>
          <w:iCs/>
        </w:rPr>
        <w:t xml:space="preserve"> </w:t>
      </w:r>
      <w:r w:rsidRPr="00470AA7">
        <w:rPr>
          <w:rFonts w:ascii="Times New Roman" w:hAnsi="Times New Roman"/>
        </w:rPr>
        <w:t xml:space="preserve">at ¶28.  </w:t>
      </w:r>
    </w:p>
  </w:footnote>
  <w:footnote w:id="34">
    <w:p w:rsidR="006304A8" w:rsidRPr="00470AA7" w:rsidP="00470AA7" w14:paraId="52EA73DA" w14:textId="59C3067B">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The PUCO’s relies on the Supreme court upholding the initial RSC charge as evidence that the current stability charge has been approved.  Fifth Entry on Rehearing at ¶26.  This reliance fails to appropriately consider that the initial RSC charge was determined lawful but not adjudicated under the ESP statutes enacted in 2009. Thus, to conclude that the current RSC charge has been upheld by the Supreme Court is mistaken.  Rather the Supreme Court has ruled (2016) that a similar stability charge, DP&amp;L’s SSR, was unlawful.  </w:t>
      </w:r>
      <w:r w:rsidRPr="00470AA7">
        <w:rPr>
          <w:rFonts w:ascii="Times New Roman" w:hAnsi="Times New Roman"/>
          <w:i/>
          <w:iCs/>
        </w:rPr>
        <w:t>See</w:t>
      </w:r>
      <w:r w:rsidRPr="00470AA7">
        <w:rPr>
          <w:rFonts w:ascii="Times New Roman" w:hAnsi="Times New Roman"/>
        </w:rPr>
        <w:t xml:space="preserve"> </w:t>
      </w:r>
      <w:r w:rsidRPr="00470AA7">
        <w:rPr>
          <w:rFonts w:ascii="Times New Roman" w:hAnsi="Times New Roman"/>
          <w:i/>
          <w:iCs/>
        </w:rPr>
        <w:t>In re: Application of Dayton Power &amp; Light Co</w:t>
      </w:r>
      <w:r w:rsidR="000C6F2D">
        <w:rPr>
          <w:rFonts w:ascii="Times New Roman" w:hAnsi="Times New Roman"/>
          <w:i/>
          <w:iCs/>
        </w:rPr>
        <w:t xml:space="preserve">., </w:t>
      </w:r>
      <w:r w:rsidRPr="000C6F2D" w:rsidR="000C6F2D">
        <w:rPr>
          <w:rFonts w:ascii="Times New Roman" w:hAnsi="Times New Roman"/>
        </w:rPr>
        <w:t>147 Ohio St.3d 166,</w:t>
      </w:r>
      <w:r w:rsidR="000C6F2D">
        <w:rPr>
          <w:rFonts w:ascii="Times New Roman" w:hAnsi="Times New Roman"/>
          <w:i/>
          <w:iCs/>
        </w:rPr>
        <w:t xml:space="preserve"> </w:t>
      </w:r>
      <w:r w:rsidRPr="00470AA7">
        <w:rPr>
          <w:rFonts w:ascii="Times New Roman" w:hAnsi="Times New Roman"/>
        </w:rPr>
        <w:t>2016-Ohio-3490.</w:t>
      </w:r>
    </w:p>
  </w:footnote>
  <w:footnote w:id="35">
    <w:p w:rsidR="006304A8" w:rsidRPr="00470AA7" w:rsidP="00470AA7" w14:paraId="649166D3" w14:textId="2001AD28">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to Establish a Standard Service Offer in the Form of an Electric Security Plan</w:t>
      </w:r>
      <w:r w:rsidRPr="00470AA7">
        <w:rPr>
          <w:rFonts w:ascii="Times New Roman" w:hAnsi="Times New Roman"/>
        </w:rPr>
        <w:t xml:space="preserve">, Case No. 08-1094-EL-SSO, Finding and Order at ¶27 (Aug. 26, 2016).  </w:t>
      </w:r>
    </w:p>
  </w:footnote>
  <w:footnote w:id="36">
    <w:p w:rsidR="006304A8" w:rsidRPr="00470AA7" w:rsidP="00470AA7" w14:paraId="18E64132" w14:textId="43007DA4">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Delayed Rehearing Order at ¶29. </w:t>
      </w:r>
    </w:p>
  </w:footnote>
  <w:footnote w:id="37">
    <w:p w:rsidR="006304A8" w:rsidRPr="00470AA7" w:rsidP="00470AA7" w14:paraId="2D0DF045"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R.C. 4928.14 (“The failure of a supplier to provide retail electric generation service to customers within the certified territory of an electric distribution utility shall result in the supplier’s customers, after reasonable notice, defaulting to the utility’s standard service offer under </w:t>
      </w:r>
      <w:r w:rsidRPr="00470AA7">
        <w:rPr>
          <w:rFonts w:ascii="Times New Roman" w:hAnsi="Times New Roman"/>
          <w:iCs/>
        </w:rPr>
        <w:t>sections 4928.141, 4928.142,</w:t>
      </w:r>
      <w:r w:rsidRPr="00470AA7">
        <w:rPr>
          <w:rFonts w:ascii="Times New Roman" w:hAnsi="Times New Roman"/>
        </w:rPr>
        <w:t xml:space="preserve"> and </w:t>
      </w:r>
      <w:r w:rsidRPr="00470AA7">
        <w:rPr>
          <w:rFonts w:ascii="Times New Roman" w:hAnsi="Times New Roman"/>
          <w:iCs/>
        </w:rPr>
        <w:t>4928.143 of the Revised Code</w:t>
      </w:r>
      <w:r w:rsidRPr="00470AA7">
        <w:rPr>
          <w:rFonts w:ascii="Times New Roman" w:hAnsi="Times New Roman"/>
        </w:rPr>
        <w:t xml:space="preserve"> until the customer chooses an alternative supplier.”).</w:t>
      </w:r>
      <w:r w:rsidRPr="00470AA7">
        <w:rPr>
          <w:rFonts w:ascii="Times New Roman" w:hAnsi="Times New Roman"/>
          <w:highlight w:val="yellow"/>
        </w:rPr>
        <w:t xml:space="preserve"> </w:t>
      </w:r>
    </w:p>
  </w:footnote>
  <w:footnote w:id="38">
    <w:p w:rsidR="006304A8" w:rsidRPr="00470AA7" w:rsidP="00470AA7" w14:paraId="1B2A250F" w14:textId="081325A9">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Style w:val="normaltextrun"/>
          <w:rFonts w:ascii="Times New Roman" w:hAnsi="Times New Roman"/>
          <w:i/>
        </w:rPr>
        <w:t>In re the Ohio Power Company,</w:t>
      </w:r>
      <w:r w:rsidRPr="00470AA7">
        <w:rPr>
          <w:rStyle w:val="normaltextrun"/>
          <w:rFonts w:ascii="Times New Roman" w:hAnsi="Times New Roman"/>
        </w:rPr>
        <w:t xml:space="preserve"> Pub. Util. Comm. No. 08-917-EL-SSO, Opinion and Order at 40 (Mar. 18, 2009).</w:t>
      </w:r>
    </w:p>
  </w:footnote>
  <w:footnote w:id="39">
    <w:p w:rsidR="006304A8" w:rsidRPr="00470AA7" w:rsidP="00470AA7" w14:paraId="7AF84680" w14:textId="417F2835">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Style w:val="normaltextrun"/>
          <w:rFonts w:ascii="Times New Roman" w:hAnsi="Times New Roman"/>
          <w:i/>
        </w:rPr>
        <w:t>In re the Ohio Power Company</w:t>
      </w:r>
      <w:r w:rsidRPr="00470AA7">
        <w:rPr>
          <w:rStyle w:val="normaltextrun"/>
          <w:rFonts w:ascii="Times New Roman" w:hAnsi="Times New Roman"/>
        </w:rPr>
        <w:t>, Pub. Util. Comm. No. 08-917-EL-SSO, Order on Remand (Oct. 3, 2011).</w:t>
      </w:r>
    </w:p>
  </w:footnote>
  <w:footnote w:id="40">
    <w:p w:rsidR="006304A8" w:rsidRPr="00470AA7" w:rsidP="00470AA7" w14:paraId="6F9117DE" w14:textId="3D0B9FD6">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rPr>
        <w:t xml:space="preserve">Ohio Consumers’ Counsel v. Pub. Util. Comm., </w:t>
      </w:r>
      <w:r w:rsidRPr="00470AA7">
        <w:rPr>
          <w:rFonts w:ascii="Times New Roman" w:hAnsi="Times New Roman"/>
        </w:rPr>
        <w:t>114 Ohio St.3d 340, 346 (2007).</w:t>
      </w:r>
    </w:p>
  </w:footnote>
  <w:footnote w:id="41">
    <w:p w:rsidR="006304A8" w:rsidRPr="00470AA7" w:rsidP="00470AA7" w14:paraId="0C2B167E" w14:textId="46364B4D">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Style w:val="normaltextrun"/>
          <w:rFonts w:ascii="Times New Roman" w:hAnsi="Times New Roman"/>
          <w:i/>
        </w:rPr>
        <w:t>In re the Ohio Power Company</w:t>
      </w:r>
      <w:r w:rsidRPr="00470AA7">
        <w:rPr>
          <w:rStyle w:val="normaltextrun"/>
          <w:rFonts w:ascii="Times New Roman" w:hAnsi="Times New Roman"/>
        </w:rPr>
        <w:t>, Pub. Util. Comm. No. 08-917-EL-SSO, Order on Remand at 32 (Oct. 3, 2011).</w:t>
      </w:r>
    </w:p>
  </w:footnote>
  <w:footnote w:id="42">
    <w:p w:rsidR="006304A8" w:rsidRPr="00470AA7" w:rsidP="00470AA7" w14:paraId="5FAD66AE" w14:textId="35EEA055">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w:t>
      </w:r>
    </w:p>
  </w:footnote>
  <w:footnote w:id="43">
    <w:p w:rsidR="006304A8" w:rsidRPr="00470AA7" w:rsidP="00470AA7" w14:paraId="2DA11817" w14:textId="09B5808E">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at 29.  </w:t>
      </w:r>
    </w:p>
  </w:footnote>
  <w:footnote w:id="44">
    <w:p w:rsidR="006304A8" w:rsidRPr="00470AA7" w:rsidP="00470AA7" w14:paraId="35CE075E" w14:textId="469FC3A2">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In re The Dayton Power and Light Co.</w:t>
      </w:r>
      <w:r w:rsidRPr="00470AA7">
        <w:rPr>
          <w:rFonts w:ascii="Times New Roman" w:hAnsi="Times New Roman"/>
        </w:rPr>
        <w:t>, Case No. 12-426-EL-SSO, et al. (ESP II Case), Finding and Order (Aug. 26, 2016).</w:t>
      </w:r>
    </w:p>
  </w:footnote>
  <w:footnote w:id="45">
    <w:p w:rsidR="006304A8" w:rsidRPr="00470AA7" w:rsidP="00470AA7" w14:paraId="10E682B6" w14:textId="22AD46DE">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Delayed Rehearing Order at ¶41 (citation omitted).  </w:t>
      </w:r>
    </w:p>
  </w:footnote>
  <w:footnote w:id="46">
    <w:p w:rsidR="006304A8" w:rsidRPr="00470AA7" w:rsidP="00470AA7" w14:paraId="12323B3B" w14:textId="77777777">
      <w:pPr>
        <w:pStyle w:val="FootnoteText"/>
        <w:spacing w:after="120"/>
        <w:rPr>
          <w:rFonts w:ascii="Times New Roman" w:hAnsi="Times New Roman"/>
        </w:rPr>
      </w:pPr>
      <w:r w:rsidRPr="00470AA7">
        <w:rPr>
          <w:rStyle w:val="FootnoteReference"/>
          <w:rFonts w:ascii="Times New Roman" w:eastAsia="Courier New" w:hAnsi="Times New Roman"/>
        </w:rPr>
        <w:footnoteRef/>
      </w:r>
      <w:r w:rsidRPr="00470AA7">
        <w:rPr>
          <w:rFonts w:ascii="Times New Roman" w:hAnsi="Times New Roman"/>
        </w:rPr>
        <w:t xml:space="preserve"> </w:t>
      </w:r>
      <w:r w:rsidRPr="00470AA7">
        <w:rPr>
          <w:rFonts w:ascii="Times New Roman" w:hAnsi="Times New Roman"/>
          <w:i/>
        </w:rPr>
        <w:t>Ideal Transportation Co. v. Pub. Util. Comm.,</w:t>
      </w:r>
      <w:r w:rsidRPr="00470AA7">
        <w:rPr>
          <w:rFonts w:ascii="Times New Roman" w:hAnsi="Times New Roman"/>
        </w:rPr>
        <w:t xml:space="preserve"> 42 Ohio St.2d 195 (1975).</w:t>
      </w:r>
    </w:p>
  </w:footnote>
  <w:footnote w:id="47">
    <w:p w:rsidR="006304A8" w:rsidRPr="00470AA7" w:rsidP="00470AA7" w14:paraId="62C48F91" w14:textId="036264BE">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Style w:val="normaltextrun"/>
          <w:rFonts w:ascii="Times New Roman" w:hAnsi="Times New Roman"/>
          <w:i/>
        </w:rPr>
        <w:t>In re the Ohio Power Company</w:t>
      </w:r>
      <w:r w:rsidRPr="00470AA7">
        <w:rPr>
          <w:rStyle w:val="normaltextrun"/>
          <w:rFonts w:ascii="Times New Roman" w:hAnsi="Times New Roman"/>
        </w:rPr>
        <w:t>, Case No. 08-917-EL-SSO, Order on Remand (Oct. 3, 2011).</w:t>
      </w:r>
    </w:p>
  </w:footnote>
  <w:footnote w:id="48">
    <w:p w:rsidR="006304A8" w:rsidRPr="00470AA7" w:rsidP="00470AA7" w14:paraId="6213E5A3" w14:textId="3C217E17">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i/>
          <w:szCs w:val="24"/>
        </w:rPr>
        <w:t xml:space="preserve"> In re Application of Columbus S. Power Co.,</w:t>
      </w:r>
      <w:r w:rsidRPr="00470AA7">
        <w:rPr>
          <w:rFonts w:ascii="Times New Roman" w:hAnsi="Times New Roman"/>
          <w:szCs w:val="24"/>
        </w:rPr>
        <w:t xml:space="preserve"> 128 Ohio St.3d 512 (2011). </w:t>
      </w:r>
      <w:r w:rsidRPr="00470AA7">
        <w:rPr>
          <w:rFonts w:ascii="Times New Roman" w:hAnsi="Times New Roman"/>
        </w:rPr>
        <w:t xml:space="preserve"> </w:t>
      </w:r>
    </w:p>
  </w:footnote>
  <w:footnote w:id="49">
    <w:p w:rsidR="006304A8" w:rsidRPr="00470AA7" w:rsidP="00470AA7" w14:paraId="2F791814"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Delayed Rehearing Order at </w:t>
      </w:r>
      <w:r w:rsidRPr="00470AA7">
        <w:rPr>
          <w:rFonts w:ascii="Times New Roman" w:hAnsi="Times New Roman" w:cstheme="minorHAnsi"/>
        </w:rPr>
        <w:t>¶</w:t>
      </w:r>
      <w:r w:rsidRPr="00470AA7">
        <w:rPr>
          <w:rFonts w:ascii="Times New Roman" w:hAnsi="Times New Roman"/>
        </w:rPr>
        <w:t xml:space="preserve">44.  </w:t>
      </w:r>
    </w:p>
  </w:footnote>
  <w:footnote w:id="50">
    <w:p w:rsidR="006304A8" w:rsidRPr="00470AA7" w:rsidP="00470AA7" w14:paraId="539D7B13"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at </w:t>
      </w:r>
      <w:r w:rsidRPr="00470AA7">
        <w:rPr>
          <w:rFonts w:ascii="Times New Roman" w:hAnsi="Times New Roman" w:cstheme="minorHAnsi"/>
        </w:rPr>
        <w:t>¶</w:t>
      </w:r>
      <w:r w:rsidRPr="00470AA7">
        <w:rPr>
          <w:rFonts w:ascii="Times New Roman" w:hAnsi="Times New Roman"/>
        </w:rPr>
        <w:t xml:space="preserve">64.  </w:t>
      </w:r>
    </w:p>
  </w:footnote>
  <w:footnote w:id="51">
    <w:p w:rsidR="006304A8" w:rsidRPr="00470AA7" w:rsidP="00470AA7" w14:paraId="5B877080"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w:t>
      </w:r>
    </w:p>
  </w:footnote>
  <w:footnote w:id="52">
    <w:p w:rsidR="006304A8" w:rsidRPr="00470AA7" w:rsidP="00470AA7" w14:paraId="75F3CE37"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at </w:t>
      </w:r>
      <w:r w:rsidRPr="00470AA7">
        <w:rPr>
          <w:rFonts w:ascii="Times New Roman" w:hAnsi="Times New Roman" w:cstheme="minorHAnsi"/>
        </w:rPr>
        <w:t>¶</w:t>
      </w:r>
      <w:r w:rsidRPr="00470AA7">
        <w:rPr>
          <w:rFonts w:ascii="Times New Roman" w:hAnsi="Times New Roman"/>
        </w:rPr>
        <w:t xml:space="preserve">56-60.  </w:t>
      </w:r>
    </w:p>
  </w:footnote>
  <w:footnote w:id="53">
    <w:p w:rsidR="006304A8" w:rsidRPr="00470AA7" w:rsidP="00470AA7" w14:paraId="70425F6D" w14:textId="04E77B2C">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OCC Application for Rehearing at 1- 6 (Jan. 17, 2020).  </w:t>
      </w:r>
    </w:p>
  </w:footnote>
  <w:footnote w:id="54">
    <w:p w:rsidR="006304A8" w:rsidRPr="00470AA7" w:rsidP="00470AA7" w14:paraId="406F2736" w14:textId="3E20EF97">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rPr>
        <w:t>Columbus S. Power Co. v. Pub. Util. Comm.</w:t>
      </w:r>
      <w:r w:rsidRPr="00470AA7">
        <w:rPr>
          <w:rFonts w:ascii="Times New Roman" w:hAnsi="Times New Roman"/>
        </w:rPr>
        <w:t xml:space="preserve">, 67 Ohio St.3d 535, 620 N.E.2d 835 (1993); </w:t>
      </w:r>
      <w:r w:rsidRPr="00470AA7">
        <w:rPr>
          <w:rFonts w:ascii="Times New Roman" w:hAnsi="Times New Roman"/>
          <w:i/>
        </w:rPr>
        <w:t>Pike Natural Gas Co. v. Pub. Util. Comm.</w:t>
      </w:r>
      <w:r w:rsidRPr="00470AA7">
        <w:rPr>
          <w:rFonts w:ascii="Times New Roman" w:hAnsi="Times New Roman"/>
        </w:rPr>
        <w:t xml:space="preserve">, 68 Ohio St.2d 181, 429 N.E.2d 444 (1981); </w:t>
      </w:r>
      <w:r w:rsidRPr="00470AA7">
        <w:rPr>
          <w:rFonts w:ascii="Times New Roman" w:hAnsi="Times New Roman"/>
          <w:i/>
        </w:rPr>
        <w:t>Consumers Counsel v. Pub. Util. Comm.</w:t>
      </w:r>
      <w:r w:rsidRPr="00470AA7">
        <w:rPr>
          <w:rFonts w:ascii="Times New Roman" w:hAnsi="Times New Roman"/>
        </w:rPr>
        <w:t xml:space="preserve">, 67 Ohio St.2d 153, 423 N.E.2d 820 (1981).  </w:t>
      </w:r>
    </w:p>
  </w:footnote>
  <w:footnote w:id="55">
    <w:p w:rsidR="006304A8" w:rsidRPr="00470AA7" w:rsidP="00470AA7" w14:paraId="0CFBC6AF"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Case No. 08-1094-EL-SSO, Application for Rehearing of the Office of the Ohio Consumers’ Counsel at 6-10 (Jan. 17, 2020).</w:t>
      </w:r>
    </w:p>
  </w:footnote>
  <w:footnote w:id="56">
    <w:p w:rsidR="006304A8" w:rsidRPr="00470AA7" w:rsidP="00470AA7" w14:paraId="3201EF35"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Case No. 08-1094-EL-SSO, Fifth Entry on Rehearing (June 16, 2021).</w:t>
      </w:r>
    </w:p>
  </w:footnote>
  <w:footnote w:id="57">
    <w:p w:rsidR="006304A8" w:rsidRPr="00470AA7" w:rsidP="00470AA7" w14:paraId="0F42909C"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 19.</w:t>
      </w:r>
    </w:p>
  </w:footnote>
  <w:footnote w:id="58">
    <w:p w:rsidR="006304A8" w:rsidRPr="00470AA7" w:rsidP="00470AA7" w14:paraId="07B267AC"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p>
  </w:footnote>
  <w:footnote w:id="59">
    <w:p w:rsidR="006304A8" w:rsidRPr="00470AA7" w:rsidP="00470AA7" w14:paraId="623FF165"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r w:rsidRPr="00470AA7">
        <w:rPr>
          <w:rFonts w:ascii="Times New Roman" w:hAnsi="Times New Roman"/>
        </w:rPr>
        <w:t xml:space="preserve"> (emphasis in original).</w:t>
      </w:r>
    </w:p>
  </w:footnote>
  <w:footnote w:id="60">
    <w:p w:rsidR="006304A8" w:rsidRPr="00470AA7" w:rsidP="00470AA7" w14:paraId="4A1CAD92"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w:t>
      </w:r>
      <w:r w:rsidRPr="00470AA7">
        <w:rPr>
          <w:rFonts w:ascii="Times New Roman" w:hAnsi="Times New Roman"/>
          <w:i/>
          <w:iCs/>
        </w:rPr>
        <w:t>Id.</w:t>
      </w:r>
    </w:p>
  </w:footnote>
  <w:footnote w:id="61">
    <w:p w:rsidR="006304A8" w:rsidRPr="00470AA7" w:rsidP="00470AA7" w14:paraId="493B99DF"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Case No. 15-1830-EL-AIR, Staff Report (Mar. 12, 2018).</w:t>
      </w:r>
    </w:p>
  </w:footnote>
  <w:footnote w:id="62">
    <w:p w:rsidR="006304A8" w:rsidRPr="00470AA7" w:rsidP="00470AA7" w14:paraId="0E8AE611" w14:textId="77777777">
      <w:pPr>
        <w:pStyle w:val="FootnoteText"/>
        <w:spacing w:after="120"/>
        <w:rPr>
          <w:rFonts w:ascii="Times New Roman" w:hAnsi="Times New Roman"/>
        </w:rPr>
      </w:pPr>
      <w:r w:rsidRPr="00470AA7">
        <w:rPr>
          <w:rStyle w:val="FootnoteReference"/>
          <w:rFonts w:ascii="Times New Roman" w:hAnsi="Times New Roman" w:eastAsiaTheme="majorEastAsia"/>
        </w:rPr>
        <w:footnoteRef/>
      </w:r>
      <w:r w:rsidRPr="00470AA7">
        <w:rPr>
          <w:rFonts w:ascii="Times New Roman" w:hAnsi="Times New Roman"/>
        </w:rPr>
        <w:t xml:space="preserve"> Case No. 15-1830-El-AIR, Opinion &amp; Order (Sept. 26, 2018).</w:t>
      </w:r>
    </w:p>
  </w:footnote>
  <w:footnote w:id="63">
    <w:p w:rsidR="006304A8" w:rsidRPr="00470AA7" w:rsidP="00470AA7" w14:paraId="7F297206" w14:textId="4CD6B9E1">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Delayed Rehearing Order at ¶67.  </w:t>
      </w:r>
    </w:p>
  </w:footnote>
  <w:footnote w:id="64">
    <w:p w:rsidR="006304A8" w:rsidRPr="00470AA7" w:rsidP="00470AA7" w14:paraId="241FBAD5" w14:textId="6BEF05FB">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In the Matter of the Application of the Dayton Power and Light Company for Approval of its Plan to Modernize its Grid</w:t>
      </w:r>
      <w:r w:rsidRPr="00470AA7">
        <w:rPr>
          <w:rFonts w:ascii="Times New Roman" w:hAnsi="Times New Roman"/>
        </w:rPr>
        <w:t xml:space="preserve">, Case No. 18-1875-EL-GRD, </w:t>
      </w:r>
      <w:r w:rsidRPr="00470AA7">
        <w:rPr>
          <w:rFonts w:ascii="Times New Roman" w:hAnsi="Times New Roman"/>
          <w:i/>
          <w:iCs/>
        </w:rPr>
        <w:t>et al.,</w:t>
      </w:r>
      <w:r w:rsidRPr="00470AA7">
        <w:rPr>
          <w:rFonts w:ascii="Times New Roman" w:hAnsi="Times New Roman"/>
        </w:rPr>
        <w:t xml:space="preserve"> Opinion and Order at 53 (June 16, 2021) (citing to the settlement provision which was adopted as part of the PUCO’s overall approval of the settlement agreement). </w:t>
      </w:r>
    </w:p>
  </w:footnote>
  <w:footnote w:id="65">
    <w:p w:rsidR="006304A8" w:rsidRPr="00470AA7" w:rsidP="00470AA7" w14:paraId="0F986D26" w14:textId="537CD0A7">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rPr>
        <w:t>Columbus S. Power Co. v. Pub. Util. Comm.</w:t>
      </w:r>
      <w:r w:rsidRPr="00470AA7">
        <w:rPr>
          <w:rFonts w:ascii="Times New Roman" w:hAnsi="Times New Roman"/>
        </w:rPr>
        <w:t xml:space="preserve">, 67 Ohio St.3d 535, 620 N.E.2d 835 (1993); </w:t>
      </w:r>
      <w:r w:rsidRPr="00470AA7">
        <w:rPr>
          <w:rFonts w:ascii="Times New Roman" w:hAnsi="Times New Roman"/>
          <w:i/>
        </w:rPr>
        <w:t>Pike Natural Gas Co. v. Pub. Util. Comm.</w:t>
      </w:r>
      <w:r w:rsidRPr="00470AA7">
        <w:rPr>
          <w:rFonts w:ascii="Times New Roman" w:hAnsi="Times New Roman"/>
        </w:rPr>
        <w:t xml:space="preserve">, 68 Ohio St.2d 181, 429 N.E.2d 444 (1981); </w:t>
      </w:r>
      <w:r w:rsidRPr="00470AA7">
        <w:rPr>
          <w:rFonts w:ascii="Times New Roman" w:hAnsi="Times New Roman"/>
          <w:i/>
        </w:rPr>
        <w:t>Consumers Counsel v. Pub. Util. Comm.</w:t>
      </w:r>
      <w:r w:rsidRPr="00470AA7">
        <w:rPr>
          <w:rFonts w:ascii="Times New Roman" w:hAnsi="Times New Roman"/>
        </w:rPr>
        <w:t xml:space="preserve">, 67 Ohio St.2d 153, 423 N.E.2d 820 (1981).  </w:t>
      </w:r>
    </w:p>
  </w:footnote>
  <w:footnote w:id="66">
    <w:p w:rsidR="006304A8" w:rsidRPr="00470AA7" w:rsidP="00470AA7" w14:paraId="1A856B0B" w14:textId="54FA6D53">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Fourth Entry on Rehearing at ¶16 (Feb. 14, 2020).  </w:t>
      </w:r>
    </w:p>
  </w:footnote>
  <w:footnote w:id="67">
    <w:p w:rsidR="006304A8" w:rsidRPr="00470AA7" w:rsidP="00470AA7" w14:paraId="109E4239" w14:textId="26D6BA05">
      <w:pPr>
        <w:pStyle w:val="FootnoteText"/>
        <w:spacing w:after="120"/>
        <w:rPr>
          <w:rFonts w:ascii="Times New Roman" w:hAnsi="Times New Roman"/>
        </w:rPr>
      </w:pPr>
      <w:r w:rsidRPr="00470AA7">
        <w:rPr>
          <w:rStyle w:val="FootnoteReference"/>
          <w:rFonts w:ascii="Times New Roman" w:hAnsi="Times New Roman"/>
        </w:rPr>
        <w:footnoteRef/>
      </w:r>
      <w:r w:rsidRPr="00470AA7">
        <w:rPr>
          <w:rFonts w:ascii="Times New Roman" w:hAnsi="Times New Roman"/>
        </w:rPr>
        <w:t xml:space="preserve"> </w:t>
      </w:r>
      <w:r w:rsidRPr="00470AA7">
        <w:rPr>
          <w:rFonts w:ascii="Times New Roman" w:hAnsi="Times New Roman"/>
          <w:i/>
          <w:iCs/>
        </w:rPr>
        <w:t>State of Ohio ex rel. Office of the Consumers’ Counsel v. Jennifer French, et al</w:t>
      </w:r>
      <w:r w:rsidRPr="00470AA7">
        <w:rPr>
          <w:rFonts w:ascii="Times New Roman" w:hAnsi="Times New Roman"/>
        </w:rPr>
        <w:t xml:space="preserve">., SCt. No., 2021-456.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04A8" w14:paraId="08B6D7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04A8" w14:paraId="41146E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04A8" w14:paraId="047474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2243514"/>
    <w:lvl w:ilvl="0">
      <w:start w:val="1"/>
      <w:numFmt w:val="decimal"/>
      <w:lvlText w:val="%1."/>
      <w:lvlJc w:val="left"/>
      <w:pPr>
        <w:tabs>
          <w:tab w:val="num" w:pos="1800"/>
        </w:tabs>
        <w:ind w:left="1800" w:hanging="360"/>
      </w:pPr>
    </w:lvl>
  </w:abstractNum>
  <w:abstractNum w:abstractNumId="1">
    <w:nsid w:val="FFFFFF7D"/>
    <w:multiLevelType w:val="singleLevel"/>
    <w:tmpl w:val="EDD49A58"/>
    <w:lvl w:ilvl="0">
      <w:start w:val="1"/>
      <w:numFmt w:val="decimal"/>
      <w:lvlText w:val="%1."/>
      <w:lvlJc w:val="left"/>
      <w:pPr>
        <w:tabs>
          <w:tab w:val="num" w:pos="1440"/>
        </w:tabs>
        <w:ind w:left="1440" w:hanging="360"/>
      </w:pPr>
    </w:lvl>
  </w:abstractNum>
  <w:abstractNum w:abstractNumId="2">
    <w:nsid w:val="FFFFFF7E"/>
    <w:multiLevelType w:val="singleLevel"/>
    <w:tmpl w:val="C05AB0C6"/>
    <w:lvl w:ilvl="0">
      <w:start w:val="1"/>
      <w:numFmt w:val="decimal"/>
      <w:lvlText w:val="%1."/>
      <w:lvlJc w:val="left"/>
      <w:pPr>
        <w:tabs>
          <w:tab w:val="num" w:pos="1080"/>
        </w:tabs>
        <w:ind w:left="1080" w:hanging="360"/>
      </w:pPr>
    </w:lvl>
  </w:abstractNum>
  <w:abstractNum w:abstractNumId="3">
    <w:nsid w:val="FFFFFF7F"/>
    <w:multiLevelType w:val="singleLevel"/>
    <w:tmpl w:val="DCDC928E"/>
    <w:lvl w:ilvl="0">
      <w:start w:val="1"/>
      <w:numFmt w:val="decimal"/>
      <w:lvlText w:val="%1."/>
      <w:lvlJc w:val="left"/>
      <w:pPr>
        <w:tabs>
          <w:tab w:val="num" w:pos="720"/>
        </w:tabs>
        <w:ind w:left="720" w:hanging="360"/>
      </w:pPr>
    </w:lvl>
  </w:abstractNum>
  <w:abstractNum w:abstractNumId="4">
    <w:nsid w:val="FFFFFF80"/>
    <w:multiLevelType w:val="singleLevel"/>
    <w:tmpl w:val="A2226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D2EC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CA38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6C9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B669BC"/>
    <w:lvl w:ilvl="0">
      <w:start w:val="1"/>
      <w:numFmt w:val="decimal"/>
      <w:lvlText w:val="%1."/>
      <w:lvlJc w:val="left"/>
      <w:pPr>
        <w:tabs>
          <w:tab w:val="num" w:pos="360"/>
        </w:tabs>
        <w:ind w:left="360" w:hanging="360"/>
      </w:pPr>
    </w:lvl>
  </w:abstractNum>
  <w:abstractNum w:abstractNumId="9">
    <w:nsid w:val="FFFFFF89"/>
    <w:multiLevelType w:val="singleLevel"/>
    <w:tmpl w:val="F208AC96"/>
    <w:lvl w:ilvl="0">
      <w:start w:val="1"/>
      <w:numFmt w:val="bullet"/>
      <w:lvlText w:val=""/>
      <w:lvlJc w:val="left"/>
      <w:pPr>
        <w:tabs>
          <w:tab w:val="num" w:pos="360"/>
        </w:tabs>
        <w:ind w:left="360" w:hanging="360"/>
      </w:pPr>
      <w:rPr>
        <w:rFonts w:ascii="Symbol" w:hAnsi="Symbol" w:hint="default"/>
      </w:rPr>
    </w:lvl>
  </w:abstractNum>
  <w:abstractNum w:abstractNumId="10">
    <w:nsid w:val="2EE07988"/>
    <w:multiLevelType w:val="hybridMultilevel"/>
    <w:tmpl w:val="630898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FC2185"/>
    <w:multiLevelType w:val="hybridMultilevel"/>
    <w:tmpl w:val="8BA82680"/>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2">
    <w:nsid w:val="41BC033E"/>
    <w:multiLevelType w:val="hybridMultilevel"/>
    <w:tmpl w:val="7512A2E0"/>
    <w:lvl w:ilvl="0">
      <w:start w:val="1"/>
      <w:numFmt w:val="upperLetter"/>
      <w:lvlText w:val="%1."/>
      <w:lvlJc w:val="left"/>
      <w:pPr>
        <w:ind w:left="90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D83102"/>
    <w:multiLevelType w:val="hybridMultilevel"/>
    <w:tmpl w:val="8BA82680"/>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4">
    <w:nsid w:val="4CB51034"/>
    <w:multiLevelType w:val="hybridMultilevel"/>
    <w:tmpl w:val="C3F6602A"/>
    <w:lvl w:ilvl="0">
      <w:start w:val="1"/>
      <w:numFmt w:val="decimal"/>
      <w:pStyle w:val="Heading3"/>
      <w:lvlText w:val="%1."/>
      <w:lvlJc w:val="left"/>
      <w:pPr>
        <w:ind w:left="1440" w:hanging="360"/>
      </w:pPr>
      <w:rPr>
        <w:rFonts w:hint="default"/>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7320671"/>
    <w:multiLevelType w:val="hybridMultilevel"/>
    <w:tmpl w:val="F324392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C192841"/>
    <w:multiLevelType w:val="hybridMultilevel"/>
    <w:tmpl w:val="0EAACD7C"/>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6"/>
  </w:num>
  <w:num w:numId="15">
    <w:abstractNumId w:val="12"/>
  </w:num>
  <w:num w:numId="16">
    <w:abstractNumId w:val="15"/>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50"/>
    <w:rsid w:val="00006794"/>
    <w:rsid w:val="00006A20"/>
    <w:rsid w:val="0000798B"/>
    <w:rsid w:val="00012367"/>
    <w:rsid w:val="000154AC"/>
    <w:rsid w:val="000174D2"/>
    <w:rsid w:val="00025C7C"/>
    <w:rsid w:val="00056B39"/>
    <w:rsid w:val="0005788D"/>
    <w:rsid w:val="000752FF"/>
    <w:rsid w:val="000857C9"/>
    <w:rsid w:val="00090A0F"/>
    <w:rsid w:val="000A01A9"/>
    <w:rsid w:val="000A4CBD"/>
    <w:rsid w:val="000A6E37"/>
    <w:rsid w:val="000B0D6E"/>
    <w:rsid w:val="000B16E9"/>
    <w:rsid w:val="000B4964"/>
    <w:rsid w:val="000B63DE"/>
    <w:rsid w:val="000C011D"/>
    <w:rsid w:val="000C6F2D"/>
    <w:rsid w:val="000D2C0A"/>
    <w:rsid w:val="000F1675"/>
    <w:rsid w:val="000F3169"/>
    <w:rsid w:val="000F4B2E"/>
    <w:rsid w:val="000F756E"/>
    <w:rsid w:val="00100534"/>
    <w:rsid w:val="00102FDF"/>
    <w:rsid w:val="00112AE3"/>
    <w:rsid w:val="00114687"/>
    <w:rsid w:val="001308EB"/>
    <w:rsid w:val="00130F34"/>
    <w:rsid w:val="0013161A"/>
    <w:rsid w:val="00157139"/>
    <w:rsid w:val="00160069"/>
    <w:rsid w:val="00163773"/>
    <w:rsid w:val="0016462F"/>
    <w:rsid w:val="00164A29"/>
    <w:rsid w:val="0016696A"/>
    <w:rsid w:val="001709E4"/>
    <w:rsid w:val="00177D1F"/>
    <w:rsid w:val="001922B0"/>
    <w:rsid w:val="001A752B"/>
    <w:rsid w:val="001B3272"/>
    <w:rsid w:val="001B380A"/>
    <w:rsid w:val="001B6B84"/>
    <w:rsid w:val="001B7049"/>
    <w:rsid w:val="001C0B39"/>
    <w:rsid w:val="001C5750"/>
    <w:rsid w:val="001C73DA"/>
    <w:rsid w:val="001D0638"/>
    <w:rsid w:val="001D5264"/>
    <w:rsid w:val="001D7001"/>
    <w:rsid w:val="001E2E65"/>
    <w:rsid w:val="001E3FE3"/>
    <w:rsid w:val="001F21DE"/>
    <w:rsid w:val="001F2799"/>
    <w:rsid w:val="002022FB"/>
    <w:rsid w:val="00202B09"/>
    <w:rsid w:val="00207826"/>
    <w:rsid w:val="00210554"/>
    <w:rsid w:val="0021222E"/>
    <w:rsid w:val="00213B1B"/>
    <w:rsid w:val="00222D63"/>
    <w:rsid w:val="00236DB8"/>
    <w:rsid w:val="0024250F"/>
    <w:rsid w:val="00244536"/>
    <w:rsid w:val="0025460D"/>
    <w:rsid w:val="00256AE1"/>
    <w:rsid w:val="00277741"/>
    <w:rsid w:val="00287952"/>
    <w:rsid w:val="00296CD2"/>
    <w:rsid w:val="002A15C1"/>
    <w:rsid w:val="002A25FE"/>
    <w:rsid w:val="002A2D82"/>
    <w:rsid w:val="002B0413"/>
    <w:rsid w:val="002B1911"/>
    <w:rsid w:val="002B7419"/>
    <w:rsid w:val="002D12C1"/>
    <w:rsid w:val="002E0F7D"/>
    <w:rsid w:val="002E536E"/>
    <w:rsid w:val="002F6A0C"/>
    <w:rsid w:val="002F75DB"/>
    <w:rsid w:val="00300752"/>
    <w:rsid w:val="00302AB8"/>
    <w:rsid w:val="00303CED"/>
    <w:rsid w:val="00303E08"/>
    <w:rsid w:val="00305B3B"/>
    <w:rsid w:val="00313CD7"/>
    <w:rsid w:val="003170F4"/>
    <w:rsid w:val="00317E3E"/>
    <w:rsid w:val="0032104B"/>
    <w:rsid w:val="00323B97"/>
    <w:rsid w:val="0033010E"/>
    <w:rsid w:val="00340633"/>
    <w:rsid w:val="003414F6"/>
    <w:rsid w:val="0036527A"/>
    <w:rsid w:val="00374AFE"/>
    <w:rsid w:val="00380119"/>
    <w:rsid w:val="0039376C"/>
    <w:rsid w:val="003969EE"/>
    <w:rsid w:val="00396C66"/>
    <w:rsid w:val="003B4044"/>
    <w:rsid w:val="003B66DD"/>
    <w:rsid w:val="003C25BD"/>
    <w:rsid w:val="003C37EE"/>
    <w:rsid w:val="003D3681"/>
    <w:rsid w:val="003D56E8"/>
    <w:rsid w:val="003D61F1"/>
    <w:rsid w:val="003D6DAC"/>
    <w:rsid w:val="003E255F"/>
    <w:rsid w:val="003E535C"/>
    <w:rsid w:val="003E64DA"/>
    <w:rsid w:val="003F35C1"/>
    <w:rsid w:val="004016B1"/>
    <w:rsid w:val="00401997"/>
    <w:rsid w:val="00411B03"/>
    <w:rsid w:val="00414DCE"/>
    <w:rsid w:val="004157F1"/>
    <w:rsid w:val="004236C5"/>
    <w:rsid w:val="004236D5"/>
    <w:rsid w:val="0042605A"/>
    <w:rsid w:val="00435D56"/>
    <w:rsid w:val="00440958"/>
    <w:rsid w:val="00440FF0"/>
    <w:rsid w:val="00441040"/>
    <w:rsid w:val="00446713"/>
    <w:rsid w:val="00447845"/>
    <w:rsid w:val="00456EB5"/>
    <w:rsid w:val="00461F45"/>
    <w:rsid w:val="00470AA7"/>
    <w:rsid w:val="00473B5D"/>
    <w:rsid w:val="00485940"/>
    <w:rsid w:val="004925B2"/>
    <w:rsid w:val="00497A55"/>
    <w:rsid w:val="004A3655"/>
    <w:rsid w:val="004A6ECE"/>
    <w:rsid w:val="004B07CD"/>
    <w:rsid w:val="004B27D9"/>
    <w:rsid w:val="004B30E1"/>
    <w:rsid w:val="004B5687"/>
    <w:rsid w:val="004B6992"/>
    <w:rsid w:val="004C037B"/>
    <w:rsid w:val="004C46A4"/>
    <w:rsid w:val="004C6B37"/>
    <w:rsid w:val="004D3EDA"/>
    <w:rsid w:val="004D6119"/>
    <w:rsid w:val="0051040E"/>
    <w:rsid w:val="00513265"/>
    <w:rsid w:val="005149BD"/>
    <w:rsid w:val="0052368A"/>
    <w:rsid w:val="00527A44"/>
    <w:rsid w:val="0053045A"/>
    <w:rsid w:val="00534657"/>
    <w:rsid w:val="00536814"/>
    <w:rsid w:val="00541DEE"/>
    <w:rsid w:val="00547188"/>
    <w:rsid w:val="00550C17"/>
    <w:rsid w:val="00557432"/>
    <w:rsid w:val="00561C57"/>
    <w:rsid w:val="0056287E"/>
    <w:rsid w:val="005745D9"/>
    <w:rsid w:val="00576894"/>
    <w:rsid w:val="0058102C"/>
    <w:rsid w:val="00583643"/>
    <w:rsid w:val="00591147"/>
    <w:rsid w:val="005918A5"/>
    <w:rsid w:val="00593CC3"/>
    <w:rsid w:val="005944D6"/>
    <w:rsid w:val="0059475F"/>
    <w:rsid w:val="005A3760"/>
    <w:rsid w:val="005B2E5D"/>
    <w:rsid w:val="005C5ACD"/>
    <w:rsid w:val="005C7EED"/>
    <w:rsid w:val="005D5D5B"/>
    <w:rsid w:val="005E18D3"/>
    <w:rsid w:val="005E6723"/>
    <w:rsid w:val="005E68DA"/>
    <w:rsid w:val="005F47D8"/>
    <w:rsid w:val="005F6164"/>
    <w:rsid w:val="00612578"/>
    <w:rsid w:val="006161FC"/>
    <w:rsid w:val="00617071"/>
    <w:rsid w:val="006304A8"/>
    <w:rsid w:val="00636558"/>
    <w:rsid w:val="0064628E"/>
    <w:rsid w:val="006471D3"/>
    <w:rsid w:val="006542FC"/>
    <w:rsid w:val="006567EB"/>
    <w:rsid w:val="006573B0"/>
    <w:rsid w:val="00657D42"/>
    <w:rsid w:val="0069156F"/>
    <w:rsid w:val="006942AE"/>
    <w:rsid w:val="006A09FC"/>
    <w:rsid w:val="006A5485"/>
    <w:rsid w:val="006C102D"/>
    <w:rsid w:val="006C13EC"/>
    <w:rsid w:val="006D5CE9"/>
    <w:rsid w:val="006D6B7E"/>
    <w:rsid w:val="006E0939"/>
    <w:rsid w:val="006E400B"/>
    <w:rsid w:val="006E5F43"/>
    <w:rsid w:val="006E7013"/>
    <w:rsid w:val="0070741F"/>
    <w:rsid w:val="00717D57"/>
    <w:rsid w:val="00722C33"/>
    <w:rsid w:val="0072642C"/>
    <w:rsid w:val="00732B4F"/>
    <w:rsid w:val="00733933"/>
    <w:rsid w:val="00734375"/>
    <w:rsid w:val="0074283A"/>
    <w:rsid w:val="00747968"/>
    <w:rsid w:val="00756477"/>
    <w:rsid w:val="00756E59"/>
    <w:rsid w:val="0076605F"/>
    <w:rsid w:val="0076781A"/>
    <w:rsid w:val="00775952"/>
    <w:rsid w:val="00777A92"/>
    <w:rsid w:val="00780401"/>
    <w:rsid w:val="0078204A"/>
    <w:rsid w:val="007826D9"/>
    <w:rsid w:val="007A1131"/>
    <w:rsid w:val="007A7A04"/>
    <w:rsid w:val="007B01A1"/>
    <w:rsid w:val="007B1339"/>
    <w:rsid w:val="007B25AD"/>
    <w:rsid w:val="007B492B"/>
    <w:rsid w:val="007B5464"/>
    <w:rsid w:val="007D1257"/>
    <w:rsid w:val="007D1989"/>
    <w:rsid w:val="007F3FF4"/>
    <w:rsid w:val="007F6994"/>
    <w:rsid w:val="00810B4D"/>
    <w:rsid w:val="0081500F"/>
    <w:rsid w:val="008230C0"/>
    <w:rsid w:val="008313C2"/>
    <w:rsid w:val="008332B1"/>
    <w:rsid w:val="00843F27"/>
    <w:rsid w:val="00847E87"/>
    <w:rsid w:val="008511B8"/>
    <w:rsid w:val="00856894"/>
    <w:rsid w:val="008620F0"/>
    <w:rsid w:val="008622B3"/>
    <w:rsid w:val="008723E8"/>
    <w:rsid w:val="00876DA3"/>
    <w:rsid w:val="00877DF9"/>
    <w:rsid w:val="00883A3E"/>
    <w:rsid w:val="008A08FA"/>
    <w:rsid w:val="008A10D0"/>
    <w:rsid w:val="008A527A"/>
    <w:rsid w:val="008B0C2A"/>
    <w:rsid w:val="008B2400"/>
    <w:rsid w:val="008C3BAD"/>
    <w:rsid w:val="008F322B"/>
    <w:rsid w:val="009055D0"/>
    <w:rsid w:val="009106C5"/>
    <w:rsid w:val="009126CF"/>
    <w:rsid w:val="00914D23"/>
    <w:rsid w:val="00916B6E"/>
    <w:rsid w:val="00917D06"/>
    <w:rsid w:val="009219B5"/>
    <w:rsid w:val="00924A17"/>
    <w:rsid w:val="00924C89"/>
    <w:rsid w:val="00931F9B"/>
    <w:rsid w:val="009360F8"/>
    <w:rsid w:val="00936256"/>
    <w:rsid w:val="0093788C"/>
    <w:rsid w:val="009418CB"/>
    <w:rsid w:val="009443F4"/>
    <w:rsid w:val="00945AED"/>
    <w:rsid w:val="009631DB"/>
    <w:rsid w:val="00965FDF"/>
    <w:rsid w:val="0097413F"/>
    <w:rsid w:val="009800F6"/>
    <w:rsid w:val="009812C2"/>
    <w:rsid w:val="0098723A"/>
    <w:rsid w:val="00990E2E"/>
    <w:rsid w:val="009C01BD"/>
    <w:rsid w:val="009F37B5"/>
    <w:rsid w:val="00A10634"/>
    <w:rsid w:val="00A25E5B"/>
    <w:rsid w:val="00A26C46"/>
    <w:rsid w:val="00A315E1"/>
    <w:rsid w:val="00A32778"/>
    <w:rsid w:val="00A46D7D"/>
    <w:rsid w:val="00A57F2B"/>
    <w:rsid w:val="00A633A4"/>
    <w:rsid w:val="00A72AF6"/>
    <w:rsid w:val="00A737A3"/>
    <w:rsid w:val="00A87C10"/>
    <w:rsid w:val="00AB205E"/>
    <w:rsid w:val="00AC62F9"/>
    <w:rsid w:val="00AD0C5F"/>
    <w:rsid w:val="00AD1675"/>
    <w:rsid w:val="00AD61BA"/>
    <w:rsid w:val="00AF7DD8"/>
    <w:rsid w:val="00B033F1"/>
    <w:rsid w:val="00B040DD"/>
    <w:rsid w:val="00B12F50"/>
    <w:rsid w:val="00B224DD"/>
    <w:rsid w:val="00B250FE"/>
    <w:rsid w:val="00B51646"/>
    <w:rsid w:val="00B5322C"/>
    <w:rsid w:val="00B53FBA"/>
    <w:rsid w:val="00B54DB0"/>
    <w:rsid w:val="00B66742"/>
    <w:rsid w:val="00B67802"/>
    <w:rsid w:val="00B7736D"/>
    <w:rsid w:val="00B8418B"/>
    <w:rsid w:val="00B8772B"/>
    <w:rsid w:val="00B91901"/>
    <w:rsid w:val="00BA0402"/>
    <w:rsid w:val="00BA052B"/>
    <w:rsid w:val="00BA09F1"/>
    <w:rsid w:val="00BA1E1C"/>
    <w:rsid w:val="00BA396C"/>
    <w:rsid w:val="00BB276A"/>
    <w:rsid w:val="00BB378A"/>
    <w:rsid w:val="00BC5941"/>
    <w:rsid w:val="00BC69C7"/>
    <w:rsid w:val="00BD6D41"/>
    <w:rsid w:val="00BE3ABF"/>
    <w:rsid w:val="00BE5393"/>
    <w:rsid w:val="00BF1BEF"/>
    <w:rsid w:val="00BF1CCB"/>
    <w:rsid w:val="00C02D7B"/>
    <w:rsid w:val="00C036AB"/>
    <w:rsid w:val="00C1701A"/>
    <w:rsid w:val="00C2494B"/>
    <w:rsid w:val="00C3411F"/>
    <w:rsid w:val="00C53B69"/>
    <w:rsid w:val="00C63252"/>
    <w:rsid w:val="00C67641"/>
    <w:rsid w:val="00C97B48"/>
    <w:rsid w:val="00CA40CD"/>
    <w:rsid w:val="00CA4833"/>
    <w:rsid w:val="00CC18CD"/>
    <w:rsid w:val="00CC3564"/>
    <w:rsid w:val="00CD18D8"/>
    <w:rsid w:val="00CD1BE8"/>
    <w:rsid w:val="00CD59E9"/>
    <w:rsid w:val="00CE5F01"/>
    <w:rsid w:val="00CF1B20"/>
    <w:rsid w:val="00D02A27"/>
    <w:rsid w:val="00D15EE5"/>
    <w:rsid w:val="00D16B6A"/>
    <w:rsid w:val="00D17CE5"/>
    <w:rsid w:val="00D25784"/>
    <w:rsid w:val="00D309FD"/>
    <w:rsid w:val="00D338EF"/>
    <w:rsid w:val="00D43BEF"/>
    <w:rsid w:val="00D47617"/>
    <w:rsid w:val="00D50E4C"/>
    <w:rsid w:val="00D52B11"/>
    <w:rsid w:val="00D6306A"/>
    <w:rsid w:val="00D67644"/>
    <w:rsid w:val="00D7153E"/>
    <w:rsid w:val="00D721F4"/>
    <w:rsid w:val="00D84C00"/>
    <w:rsid w:val="00D86814"/>
    <w:rsid w:val="00D92B7D"/>
    <w:rsid w:val="00D93BC6"/>
    <w:rsid w:val="00DA3510"/>
    <w:rsid w:val="00DB20D5"/>
    <w:rsid w:val="00DB24E2"/>
    <w:rsid w:val="00DC17D6"/>
    <w:rsid w:val="00DC1901"/>
    <w:rsid w:val="00DD4570"/>
    <w:rsid w:val="00DE37C9"/>
    <w:rsid w:val="00E01CB9"/>
    <w:rsid w:val="00E132B1"/>
    <w:rsid w:val="00E21469"/>
    <w:rsid w:val="00E21C7F"/>
    <w:rsid w:val="00E276D6"/>
    <w:rsid w:val="00E37223"/>
    <w:rsid w:val="00E408E7"/>
    <w:rsid w:val="00E5275D"/>
    <w:rsid w:val="00E57BBE"/>
    <w:rsid w:val="00E6134C"/>
    <w:rsid w:val="00E62DDC"/>
    <w:rsid w:val="00E633D5"/>
    <w:rsid w:val="00E66732"/>
    <w:rsid w:val="00E75402"/>
    <w:rsid w:val="00E766AF"/>
    <w:rsid w:val="00E767A8"/>
    <w:rsid w:val="00E85A6B"/>
    <w:rsid w:val="00E90F0A"/>
    <w:rsid w:val="00E9109B"/>
    <w:rsid w:val="00EB36C7"/>
    <w:rsid w:val="00EC223A"/>
    <w:rsid w:val="00EC5E69"/>
    <w:rsid w:val="00ED1355"/>
    <w:rsid w:val="00ED3DF0"/>
    <w:rsid w:val="00ED4A7F"/>
    <w:rsid w:val="00ED5087"/>
    <w:rsid w:val="00ED5E56"/>
    <w:rsid w:val="00EE3CFA"/>
    <w:rsid w:val="00EE56F6"/>
    <w:rsid w:val="00EE7E9A"/>
    <w:rsid w:val="00EF1468"/>
    <w:rsid w:val="00EF18C5"/>
    <w:rsid w:val="00EF7A12"/>
    <w:rsid w:val="00F1265F"/>
    <w:rsid w:val="00F15068"/>
    <w:rsid w:val="00F209F0"/>
    <w:rsid w:val="00F219E7"/>
    <w:rsid w:val="00F264F8"/>
    <w:rsid w:val="00F31BA3"/>
    <w:rsid w:val="00F33BAE"/>
    <w:rsid w:val="00F33F51"/>
    <w:rsid w:val="00F3639D"/>
    <w:rsid w:val="00F51D8D"/>
    <w:rsid w:val="00F604FF"/>
    <w:rsid w:val="00F67144"/>
    <w:rsid w:val="00F70D96"/>
    <w:rsid w:val="00F71B76"/>
    <w:rsid w:val="00F8226E"/>
    <w:rsid w:val="00F8389F"/>
    <w:rsid w:val="00F90F46"/>
    <w:rsid w:val="00FA2A4D"/>
    <w:rsid w:val="00FA4ACA"/>
    <w:rsid w:val="00FA4FB3"/>
    <w:rsid w:val="00FA6FA3"/>
    <w:rsid w:val="00FB50EC"/>
    <w:rsid w:val="00FC0DF5"/>
    <w:rsid w:val="00FC26F6"/>
    <w:rsid w:val="00FD3A8A"/>
    <w:rsid w:val="00FF042A"/>
    <w:rsid w:val="00FF5F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1F4"/>
    <w:rPr>
      <w:rFonts w:ascii="Times New Roman" w:hAnsi="Times New Roman"/>
      <w:sz w:val="24"/>
    </w:rPr>
  </w:style>
  <w:style w:type="paragraph" w:styleId="Heading1">
    <w:name w:val="heading 1"/>
    <w:basedOn w:val="Normal"/>
    <w:next w:val="Normal"/>
    <w:link w:val="Heading1Char"/>
    <w:autoRedefine/>
    <w:uiPriority w:val="9"/>
    <w:qFormat/>
    <w:rsid w:val="00305B3B"/>
    <w:pPr>
      <w:keepNext/>
      <w:keepLines/>
      <w:spacing w:after="240" w:line="240" w:lineRule="auto"/>
      <w:ind w:left="720" w:hanging="720"/>
      <w:outlineLvl w:val="0"/>
    </w:pPr>
    <w:rPr>
      <w:rFonts w:eastAsia="Batang" w:cs="Times New Roman"/>
      <w:b/>
      <w:bCs/>
      <w:szCs w:val="24"/>
    </w:rPr>
  </w:style>
  <w:style w:type="paragraph" w:styleId="Heading2">
    <w:name w:val="heading 2"/>
    <w:basedOn w:val="Normal"/>
    <w:next w:val="Normal"/>
    <w:link w:val="Heading2Char"/>
    <w:autoRedefine/>
    <w:uiPriority w:val="9"/>
    <w:unhideWhenUsed/>
    <w:qFormat/>
    <w:rsid w:val="005149BD"/>
    <w:pPr>
      <w:keepNext/>
      <w:keepLines/>
      <w:spacing w:after="240" w:line="240" w:lineRule="auto"/>
      <w:ind w:left="720"/>
      <w:outlineLvl w:val="1"/>
    </w:pPr>
    <w:rPr>
      <w:rFonts w:ascii="Times New Roman Bold" w:hAnsi="Times New Roman Bold" w:eastAsiaTheme="majorEastAsia" w:cstheme="majorBidi"/>
      <w:b/>
      <w:bCs/>
      <w:szCs w:val="24"/>
    </w:rPr>
  </w:style>
  <w:style w:type="paragraph" w:styleId="Heading3">
    <w:name w:val="heading 3"/>
    <w:basedOn w:val="Normal"/>
    <w:next w:val="Normal"/>
    <w:link w:val="Heading3Char"/>
    <w:autoRedefine/>
    <w:uiPriority w:val="9"/>
    <w:unhideWhenUsed/>
    <w:qFormat/>
    <w:rsid w:val="00965FDF"/>
    <w:pPr>
      <w:keepNext/>
      <w:keepLines/>
      <w:numPr>
        <w:numId w:val="17"/>
      </w:numPr>
      <w:spacing w:after="240" w:line="240" w:lineRule="auto"/>
      <w:ind w:left="2160"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164A29"/>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autoRedefine/>
    <w:uiPriority w:val="9"/>
    <w:unhideWhenUsed/>
    <w:qFormat/>
    <w:rsid w:val="00AB095C"/>
    <w:pPr>
      <w:keepNext/>
      <w:keepLines/>
      <w:spacing w:after="240" w:line="240" w:lineRule="auto"/>
      <w:ind w:left="3600" w:right="720" w:hanging="720"/>
      <w:outlineLvl w:val="4"/>
    </w:pPr>
    <w:rPr>
      <w:rFonts w:ascii="Times New Roman Bold" w:hAnsi="Times New Roman Bold"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3B"/>
    <w:rPr>
      <w:rFonts w:ascii="Times New Roman" w:eastAsia="Batang" w:hAnsi="Times New Roman" w:cs="Times New Roman"/>
      <w:b/>
      <w:bCs/>
      <w:sz w:val="24"/>
      <w:szCs w:val="24"/>
    </w:rPr>
  </w:style>
  <w:style w:type="character" w:customStyle="1" w:styleId="Heading2Char">
    <w:name w:val="Heading 2 Char"/>
    <w:basedOn w:val="DefaultParagraphFont"/>
    <w:link w:val="Heading2"/>
    <w:uiPriority w:val="9"/>
    <w:rsid w:val="005149BD"/>
    <w:rPr>
      <w:rFonts w:ascii="Times New Roman Bold" w:hAnsi="Times New Roman Bold" w:eastAsiaTheme="majorEastAsia" w:cstheme="majorBidi"/>
      <w:b/>
      <w:bCs/>
      <w:sz w:val="24"/>
      <w:szCs w:val="24"/>
    </w:rPr>
  </w:style>
  <w:style w:type="character" w:customStyle="1" w:styleId="Heading3Char">
    <w:name w:val="Heading 3 Char"/>
    <w:basedOn w:val="DefaultParagraphFont"/>
    <w:link w:val="Heading3"/>
    <w:uiPriority w:val="9"/>
    <w:rsid w:val="00965FDF"/>
    <w:rPr>
      <w:rFonts w:ascii="Times New Roman" w:hAnsi="Times New Roman" w:eastAsiaTheme="majorEastAsia" w:cs="Times New Roman"/>
      <w:b/>
      <w:bCs/>
      <w:sz w:val="24"/>
      <w:szCs w:val="24"/>
    </w:rPr>
  </w:style>
  <w:style w:type="character" w:customStyle="1" w:styleId="Heading4Char">
    <w:name w:val="Heading 4 Char"/>
    <w:basedOn w:val="DefaultParagraphFont"/>
    <w:link w:val="Heading4"/>
    <w:uiPriority w:val="9"/>
    <w:rsid w:val="00164A29"/>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AB095C"/>
    <w:rPr>
      <w:rFonts w:ascii="Times New Roman Bold" w:hAnsi="Times New Roman Bold" w:eastAsiaTheme="majorEastAsia" w:cs="Times New Roman"/>
      <w:b/>
      <w:sz w:val="24"/>
    </w:rPr>
  </w:style>
  <w:style w:type="paragraph" w:styleId="ListParagraph">
    <w:name w:val="List Paragraph"/>
    <w:basedOn w:val="Normal"/>
    <w:uiPriority w:val="34"/>
    <w:qFormat/>
    <w:rsid w:val="00B04EB1"/>
    <w:pPr>
      <w:ind w:left="720"/>
      <w:contextualSpacing/>
    </w:pPr>
  </w:style>
  <w:style w:type="paragraph" w:styleId="HTMLPreformatted">
    <w:name w:val="HTML Preformatted"/>
    <w:basedOn w:val="Normal"/>
    <w:link w:val="HTMLPreformattedChar"/>
    <w:rsid w:val="00B0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B04EB1"/>
    <w:rPr>
      <w:rFonts w:ascii="Courier New" w:eastAsia="Courier New" w:hAnsi="Courier New" w:cs="Courier New"/>
      <w:sz w:val="20"/>
      <w:szCs w:val="20"/>
    </w:rPr>
  </w:style>
  <w:style w:type="character" w:styleId="Hyperlink">
    <w:name w:val="Hyperlink"/>
    <w:uiPriority w:val="99"/>
    <w:rsid w:val="00B04EB1"/>
    <w:rPr>
      <w:color w:val="0000FF"/>
      <w:u w:val="single"/>
    </w:rPr>
  </w:style>
  <w:style w:type="paragraph" w:styleId="Footer">
    <w:name w:val="footer"/>
    <w:aliases w:val="Char1"/>
    <w:basedOn w:val="Normal"/>
    <w:link w:val="FooterChar"/>
    <w:uiPriority w:val="99"/>
    <w:rsid w:val="00B04EB1"/>
    <w:pPr>
      <w:tabs>
        <w:tab w:val="center" w:pos="4320"/>
        <w:tab w:val="right" w:pos="8640"/>
      </w:tabs>
      <w:spacing w:after="0" w:line="240" w:lineRule="auto"/>
    </w:pPr>
    <w:rPr>
      <w:rFonts w:eastAsia="Times New Roman" w:cs="Times New Roman"/>
      <w:szCs w:val="24"/>
    </w:rPr>
  </w:style>
  <w:style w:type="character" w:customStyle="1" w:styleId="FooterChar">
    <w:name w:val="Footer Char"/>
    <w:aliases w:val="Char1 Char"/>
    <w:basedOn w:val="DefaultParagraphFont"/>
    <w:link w:val="Footer"/>
    <w:uiPriority w:val="99"/>
    <w:rsid w:val="00B04EB1"/>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B04EB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04EB1"/>
    <w:rPr>
      <w:rFonts w:ascii="Times New Roman" w:eastAsia="Times New Roman" w:hAnsi="Times New Roman" w:cs="Times New Roman"/>
      <w:sz w:val="20"/>
      <w:szCs w:val="20"/>
    </w:rPr>
  </w:style>
  <w:style w:type="paragraph" w:styleId="BodyText">
    <w:name w:val="Body Text"/>
    <w:basedOn w:val="Normal"/>
    <w:link w:val="BodyTextChar"/>
    <w:rsid w:val="00B04EB1"/>
    <w:pPr>
      <w:tabs>
        <w:tab w:val="left" w:pos="-720"/>
      </w:tabs>
      <w:suppressAutoHyphens/>
      <w:spacing w:after="0" w:line="480" w:lineRule="auto"/>
      <w:jc w:val="both"/>
    </w:pPr>
    <w:rPr>
      <w:rFonts w:eastAsia="Times New Roman" w:cs="Times New Roman"/>
      <w:snapToGrid w:val="0"/>
      <w:spacing w:val="-3"/>
      <w:szCs w:val="20"/>
    </w:rPr>
  </w:style>
  <w:style w:type="character" w:customStyle="1" w:styleId="BodyTextChar">
    <w:name w:val="Body Text Char"/>
    <w:basedOn w:val="DefaultParagraphFont"/>
    <w:link w:val="BodyText"/>
    <w:rsid w:val="00B04EB1"/>
    <w:rPr>
      <w:rFonts w:ascii="Times New Roman" w:eastAsia="Times New Roman" w:hAnsi="Times New Roman" w:cs="Times New Roman"/>
      <w:snapToGrid w:val="0"/>
      <w:spacing w:val="-3"/>
      <w:sz w:val="24"/>
      <w:szCs w:val="20"/>
    </w:rPr>
  </w:style>
  <w:style w:type="paragraph" w:styleId="EndnoteText">
    <w:name w:val="endnote text"/>
    <w:basedOn w:val="Normal"/>
    <w:link w:val="EndnoteTextChar"/>
    <w:semiHidden/>
    <w:rsid w:val="00B04EB1"/>
    <w:pPr>
      <w:widowControl w:val="0"/>
      <w:spacing w:after="0" w:line="240" w:lineRule="auto"/>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B04EB1"/>
    <w:rPr>
      <w:rFonts w:ascii="Courier New" w:eastAsia="Times New Roman" w:hAnsi="Courier New" w:cs="Times New Roman"/>
      <w:snapToGrid w:val="0"/>
      <w:sz w:val="24"/>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B04EB1"/>
    <w:pPr>
      <w:spacing w:after="0" w:line="240" w:lineRule="auto"/>
    </w:pPr>
    <w:rPr>
      <w:rFonts w:ascii="Arial" w:eastAsia="Times New Roman" w:hAnsi="Arial" w:cs="Times New Roman"/>
      <w:spacing w:val="-5"/>
      <w:sz w:val="20"/>
      <w:szCs w:val="20"/>
    </w:rPr>
  </w:style>
  <w:style w:type="character" w:customStyle="1" w:styleId="FootnoteTextChar">
    <w:name w:val="Footnote Text Char"/>
    <w:aliases w:val="ALTS FOOTNOTE Char,Footnote Text Cha Char,Footnote Text Char Char4 Char Char1,Footnote Text Char Char4 Char1 Char Char Char1,Footnote Text Char2 Char1,Footnote Text Char4 Char Char1,Footnote Text Char4 Char1 Char Char Char1,fn Char1"/>
    <w:basedOn w:val="DefaultParagraphFont"/>
    <w:link w:val="FootnoteText"/>
    <w:rsid w:val="00B04EB1"/>
    <w:rPr>
      <w:rFonts w:ascii="Arial" w:eastAsia="Times New Roman" w:hAnsi="Arial" w:cs="Times New Roman"/>
      <w:spacing w:val="-5"/>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B04EB1"/>
    <w:rPr>
      <w:vertAlign w:val="superscript"/>
    </w:rPr>
  </w:style>
  <w:style w:type="character" w:styleId="CommentReference">
    <w:name w:val="annotation reference"/>
    <w:basedOn w:val="DefaultParagraphFont"/>
    <w:uiPriority w:val="99"/>
    <w:semiHidden/>
    <w:unhideWhenUsed/>
    <w:rsid w:val="00B04EB1"/>
    <w:rPr>
      <w:sz w:val="16"/>
      <w:szCs w:val="16"/>
    </w:rPr>
  </w:style>
  <w:style w:type="paragraph" w:styleId="CommentSubject">
    <w:name w:val="annotation subject"/>
    <w:basedOn w:val="CommentText"/>
    <w:next w:val="CommentText"/>
    <w:link w:val="CommentSubjectChar"/>
    <w:uiPriority w:val="99"/>
    <w:semiHidden/>
    <w:unhideWhenUsed/>
    <w:rsid w:val="00B04EB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4E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B1"/>
    <w:rPr>
      <w:rFonts w:ascii="Tahoma" w:hAnsi="Tahoma" w:cs="Tahoma"/>
      <w:sz w:val="16"/>
      <w:szCs w:val="16"/>
    </w:rPr>
  </w:style>
  <w:style w:type="paragraph" w:customStyle="1" w:styleId="DirectNext">
    <w:name w:val="Direct Next"/>
    <w:basedOn w:val="Normal"/>
    <w:uiPriority w:val="99"/>
    <w:rsid w:val="00B04EB1"/>
    <w:pPr>
      <w:spacing w:after="0" w:line="504" w:lineRule="exact"/>
      <w:ind w:left="720"/>
    </w:pPr>
    <w:rPr>
      <w:rFonts w:eastAsia="Times New Roman" w:cs="Times New Roman"/>
      <w:szCs w:val="24"/>
    </w:rPr>
  </w:style>
  <w:style w:type="paragraph" w:customStyle="1" w:styleId="Default">
    <w:name w:val="Default"/>
    <w:rsid w:val="00B04E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0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B1"/>
    <w:rPr>
      <w:rFonts w:ascii="Times New Roman" w:hAnsi="Times New Roman"/>
      <w:sz w:val="24"/>
    </w:rPr>
  </w:style>
  <w:style w:type="character" w:customStyle="1" w:styleId="apple-converted-space">
    <w:name w:val="apple-converted-space"/>
    <w:basedOn w:val="DefaultParagraphFont"/>
    <w:rsid w:val="00B04EB1"/>
  </w:style>
  <w:style w:type="paragraph" w:styleId="BodyTextIndent3">
    <w:name w:val="Body Text Indent 3"/>
    <w:basedOn w:val="Normal"/>
    <w:link w:val="BodyTextIndent3Char"/>
    <w:uiPriority w:val="99"/>
    <w:unhideWhenUsed/>
    <w:rsid w:val="00B04EB1"/>
    <w:pPr>
      <w:spacing w:after="120"/>
      <w:ind w:left="360"/>
    </w:pPr>
    <w:rPr>
      <w:sz w:val="16"/>
      <w:szCs w:val="16"/>
    </w:rPr>
  </w:style>
  <w:style w:type="character" w:customStyle="1" w:styleId="BodyTextIndent3Char">
    <w:name w:val="Body Text Indent 3 Char"/>
    <w:basedOn w:val="DefaultParagraphFont"/>
    <w:link w:val="BodyTextIndent3"/>
    <w:uiPriority w:val="99"/>
    <w:rsid w:val="00B04EB1"/>
    <w:rPr>
      <w:rFonts w:ascii="Times New Roman" w:hAnsi="Times New Roman"/>
      <w:sz w:val="16"/>
      <w:szCs w:val="16"/>
    </w:rPr>
  </w:style>
  <w:style w:type="character" w:customStyle="1" w:styleId="FootnoteTextChar1">
    <w:name w:val="Footnote Text Char1"/>
    <w:aliases w:val="Footnote Text Char Char4 Char Char,Footnote Text Char Char4 Char1 Char Char Char,Footnote Text Char2 Char,Footnote Text Char4 Char Char,Footnote Text Char4 Char1 Char Char Char,Footnote Text Char5 Char1 Char Char Char Char Char Char"/>
    <w:rsid w:val="00B04EB1"/>
    <w:rPr>
      <w:rFonts w:ascii="Times New Roman" w:eastAsia="Times New Roman" w:hAnsi="Times New Roman" w:cs="Times New Roman"/>
      <w:sz w:val="20"/>
      <w:szCs w:val="20"/>
    </w:rPr>
  </w:style>
  <w:style w:type="paragraph" w:styleId="Title">
    <w:name w:val="Title"/>
    <w:basedOn w:val="Heading3"/>
    <w:next w:val="Heading3"/>
    <w:link w:val="TitleChar"/>
    <w:autoRedefine/>
    <w:uiPriority w:val="10"/>
    <w:qFormat/>
    <w:rsid w:val="00EF63B8"/>
    <w:pPr>
      <w:pBdr>
        <w:bottom w:val="single" w:sz="8" w:space="4" w:color="4F81BD" w:themeColor="accent1"/>
      </w:pBdr>
      <w:contextualSpacing/>
    </w:pPr>
    <w:rPr>
      <w:spacing w:val="5"/>
      <w:kern w:val="28"/>
      <w:szCs w:val="52"/>
    </w:rPr>
  </w:style>
  <w:style w:type="character" w:customStyle="1" w:styleId="TitleChar">
    <w:name w:val="Title Char"/>
    <w:basedOn w:val="DefaultParagraphFont"/>
    <w:link w:val="Title"/>
    <w:uiPriority w:val="10"/>
    <w:rsid w:val="00B04EB1"/>
    <w:rPr>
      <w:rFonts w:ascii="Times New Roman" w:hAnsi="Times New Roman" w:eastAsiaTheme="majorEastAsia" w:cs="Times New Roman"/>
      <w:b/>
      <w:bCs/>
      <w:spacing w:val="5"/>
      <w:kern w:val="28"/>
      <w:sz w:val="24"/>
      <w:szCs w:val="52"/>
    </w:rPr>
  </w:style>
  <w:style w:type="paragraph" w:styleId="Subtitle">
    <w:name w:val="Subtitle"/>
    <w:basedOn w:val="Normal"/>
    <w:next w:val="Normal"/>
    <w:link w:val="SubtitleChar"/>
    <w:autoRedefine/>
    <w:uiPriority w:val="11"/>
    <w:qFormat/>
    <w:rsid w:val="00B04EB1"/>
    <w:pPr>
      <w:numPr>
        <w:ilvl w:val="1"/>
      </w:numPr>
      <w:spacing w:after="240" w:line="240" w:lineRule="auto"/>
      <w:ind w:left="2880" w:hanging="720"/>
      <w:outlineLvl w:val="3"/>
    </w:pPr>
    <w:rPr>
      <w:rFonts w:eastAsiaTheme="majorEastAsia" w:cstheme="majorBidi"/>
      <w:iCs/>
      <w:spacing w:val="15"/>
      <w:szCs w:val="24"/>
    </w:rPr>
  </w:style>
  <w:style w:type="character" w:customStyle="1" w:styleId="SubtitleChar">
    <w:name w:val="Subtitle Char"/>
    <w:basedOn w:val="DefaultParagraphFont"/>
    <w:link w:val="Subtitle"/>
    <w:uiPriority w:val="11"/>
    <w:rsid w:val="00B04EB1"/>
    <w:rPr>
      <w:rFonts w:ascii="Times New Roman" w:hAnsi="Times New Roman" w:eastAsiaTheme="majorEastAsia" w:cstheme="majorBidi"/>
      <w:iCs/>
      <w:spacing w:val="15"/>
      <w:sz w:val="24"/>
      <w:szCs w:val="24"/>
    </w:rPr>
  </w:style>
  <w:style w:type="paragraph" w:styleId="TOC1">
    <w:name w:val="toc 1"/>
    <w:basedOn w:val="Normal"/>
    <w:next w:val="Normal"/>
    <w:autoRedefine/>
    <w:uiPriority w:val="39"/>
    <w:unhideWhenUsed/>
    <w:qFormat/>
    <w:rsid w:val="00EF63B8"/>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E90F0A"/>
    <w:pPr>
      <w:tabs>
        <w:tab w:val="decimal" w:leader="dot" w:pos="8640"/>
      </w:tabs>
      <w:spacing w:after="240" w:line="240" w:lineRule="auto"/>
      <w:ind w:left="720"/>
    </w:pPr>
    <w:rPr>
      <w:bCs/>
      <w:noProof/>
    </w:rPr>
  </w:style>
  <w:style w:type="paragraph" w:styleId="TOC3">
    <w:name w:val="toc 3"/>
    <w:basedOn w:val="Normal"/>
    <w:next w:val="Normal"/>
    <w:autoRedefine/>
    <w:uiPriority w:val="39"/>
    <w:unhideWhenUsed/>
    <w:qFormat/>
    <w:rsid w:val="00164A29"/>
    <w:pPr>
      <w:tabs>
        <w:tab w:val="decimal" w:leader="dot" w:pos="8640"/>
      </w:tabs>
      <w:spacing w:after="240" w:line="240" w:lineRule="auto"/>
      <w:ind w:left="2880" w:hanging="1440"/>
    </w:pPr>
    <w:rPr>
      <w:rFonts w:cstheme="majorBidi"/>
      <w:bCs/>
      <w:iCs/>
      <w:noProof/>
    </w:rPr>
  </w:style>
  <w:style w:type="paragraph" w:styleId="TOC4">
    <w:name w:val="toc 4"/>
    <w:basedOn w:val="Normal"/>
    <w:next w:val="Normal"/>
    <w:autoRedefine/>
    <w:uiPriority w:val="39"/>
    <w:unhideWhenUsed/>
    <w:qFormat/>
    <w:rsid w:val="00164A29"/>
    <w:pPr>
      <w:tabs>
        <w:tab w:val="decimal" w:leader="dot" w:pos="8640"/>
      </w:tabs>
      <w:spacing w:after="240" w:line="240" w:lineRule="auto"/>
      <w:ind w:left="2880" w:hanging="720"/>
    </w:pPr>
  </w:style>
  <w:style w:type="paragraph" w:styleId="TOC5">
    <w:name w:val="toc 5"/>
    <w:basedOn w:val="Normal"/>
    <w:next w:val="Normal"/>
    <w:autoRedefine/>
    <w:uiPriority w:val="39"/>
    <w:unhideWhenUsed/>
    <w:qFormat/>
    <w:rsid w:val="00EF63B8"/>
    <w:pPr>
      <w:tabs>
        <w:tab w:val="decimal" w:leader="dot" w:pos="8640"/>
      </w:tabs>
      <w:spacing w:after="240" w:line="240" w:lineRule="auto"/>
      <w:ind w:left="3600" w:hanging="720"/>
    </w:pPr>
  </w:style>
  <w:style w:type="table" w:styleId="TableGrid">
    <w:name w:val="Table Grid"/>
    <w:basedOn w:val="TableNormal"/>
    <w:uiPriority w:val="59"/>
    <w:rsid w:val="00B04EB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next w:val="A1"/>
    <w:qFormat/>
    <w:rsid w:val="00B04EB1"/>
    <w:pPr>
      <w:spacing w:after="0" w:line="480" w:lineRule="auto"/>
    </w:pPr>
    <w:rPr>
      <w:rFonts w:eastAsia="Times New Roman" w:cs="Times New Roman"/>
      <w:b/>
      <w:i/>
      <w:szCs w:val="20"/>
    </w:rPr>
  </w:style>
  <w:style w:type="paragraph" w:customStyle="1" w:styleId="A1">
    <w:name w:val="A1"/>
    <w:basedOn w:val="Normal"/>
    <w:qFormat/>
    <w:rsid w:val="00B04EB1"/>
  </w:style>
  <w:style w:type="table" w:customStyle="1" w:styleId="TableGrid1">
    <w:name w:val="Table Grid1"/>
    <w:basedOn w:val="TableNormal"/>
    <w:next w:val="TableGrid"/>
    <w:uiPriority w:val="59"/>
    <w:rsid w:val="00B0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eftalign">
    <w:name w:val="ss_leftalign"/>
    <w:basedOn w:val="DefaultParagraphFont"/>
    <w:rsid w:val="00B04EB1"/>
  </w:style>
  <w:style w:type="character" w:customStyle="1" w:styleId="sspagshow">
    <w:name w:val="ss_pag_show"/>
    <w:basedOn w:val="DefaultParagraphFont"/>
    <w:rsid w:val="00B04EB1"/>
  </w:style>
  <w:style w:type="paragraph" w:styleId="NoSpacing">
    <w:name w:val="No Spacing"/>
    <w:uiPriority w:val="1"/>
    <w:qFormat/>
    <w:rsid w:val="00B04EB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odyA">
    <w:name w:val="Body A"/>
    <w:rsid w:val="00B04EB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Revision">
    <w:name w:val="Revision"/>
    <w:hidden/>
    <w:uiPriority w:val="99"/>
    <w:semiHidden/>
    <w:rsid w:val="00B04EB1"/>
    <w:pPr>
      <w:spacing w:after="0" w:line="240" w:lineRule="auto"/>
    </w:pPr>
  </w:style>
  <w:style w:type="character" w:customStyle="1" w:styleId="FootnoteTextChar1Char">
    <w:name w:val="Footnote Text Char1 Char"/>
    <w:aliases w:val="Footnote Text Char Char Char,Footnote Text Char Char Char Char Char,Footnote Text Char1 Char Char1 Char,Footnote Text Char1 Char Char1 Char Char Char Char,Footnote Text Char2 Char Char Char Char1 Char,fn Char"/>
    <w:uiPriority w:val="99"/>
    <w:rsid w:val="00B04EB1"/>
    <w:rPr>
      <w:rFonts w:ascii="Times New Roman" w:eastAsia="Times New Roman" w:hAnsi="Times New Roman" w:cs="Times New Roman"/>
      <w:sz w:val="20"/>
      <w:szCs w:val="20"/>
    </w:rPr>
  </w:style>
  <w:style w:type="paragraph" w:styleId="TOC6">
    <w:name w:val="toc 6"/>
    <w:basedOn w:val="Normal"/>
    <w:next w:val="Normal"/>
    <w:autoRedefine/>
    <w:uiPriority w:val="39"/>
    <w:unhideWhenUsed/>
    <w:rsid w:val="00B04EB1"/>
    <w:pPr>
      <w:spacing w:after="100"/>
      <w:ind w:left="1100"/>
    </w:pPr>
    <w:rPr>
      <w:rFonts w:eastAsiaTheme="minorEastAsia"/>
    </w:rPr>
  </w:style>
  <w:style w:type="paragraph" w:styleId="TOC7">
    <w:name w:val="toc 7"/>
    <w:basedOn w:val="Normal"/>
    <w:next w:val="Normal"/>
    <w:autoRedefine/>
    <w:uiPriority w:val="39"/>
    <w:unhideWhenUsed/>
    <w:rsid w:val="00B04EB1"/>
    <w:pPr>
      <w:spacing w:after="100"/>
      <w:ind w:left="1320"/>
    </w:pPr>
    <w:rPr>
      <w:rFonts w:eastAsiaTheme="minorEastAsia"/>
    </w:rPr>
  </w:style>
  <w:style w:type="paragraph" w:styleId="TOC8">
    <w:name w:val="toc 8"/>
    <w:basedOn w:val="Normal"/>
    <w:next w:val="Normal"/>
    <w:autoRedefine/>
    <w:uiPriority w:val="39"/>
    <w:unhideWhenUsed/>
    <w:rsid w:val="00B04EB1"/>
    <w:pPr>
      <w:spacing w:after="100"/>
      <w:ind w:left="1540"/>
    </w:pPr>
    <w:rPr>
      <w:rFonts w:eastAsiaTheme="minorEastAsia"/>
    </w:rPr>
  </w:style>
  <w:style w:type="paragraph" w:styleId="TOC9">
    <w:name w:val="toc 9"/>
    <w:basedOn w:val="Normal"/>
    <w:next w:val="Normal"/>
    <w:autoRedefine/>
    <w:uiPriority w:val="39"/>
    <w:unhideWhenUsed/>
    <w:rsid w:val="00B04EB1"/>
    <w:pPr>
      <w:spacing w:after="100"/>
      <w:ind w:left="1760"/>
    </w:pPr>
    <w:rPr>
      <w:rFonts w:eastAsiaTheme="minorEastAsia"/>
    </w:rPr>
  </w:style>
  <w:style w:type="character" w:customStyle="1" w:styleId="FootnoteCharacters">
    <w:name w:val="Footnote Characters"/>
    <w:rsid w:val="00B04EB1"/>
  </w:style>
  <w:style w:type="character" w:styleId="FollowedHyperlink">
    <w:name w:val="FollowedHyperlink"/>
    <w:basedOn w:val="DefaultParagraphFont"/>
    <w:uiPriority w:val="99"/>
    <w:semiHidden/>
    <w:unhideWhenUsed/>
    <w:rsid w:val="00B04EB1"/>
    <w:rPr>
      <w:color w:val="800080" w:themeColor="followedHyperlink"/>
      <w:u w:val="single"/>
    </w:rPr>
  </w:style>
  <w:style w:type="character" w:styleId="EndnoteReference">
    <w:name w:val="endnote reference"/>
    <w:basedOn w:val="DefaultParagraphFont"/>
    <w:uiPriority w:val="99"/>
    <w:semiHidden/>
    <w:unhideWhenUsed/>
    <w:rsid w:val="00061ED4"/>
    <w:rPr>
      <w:vertAlign w:val="superscript"/>
    </w:rPr>
  </w:style>
  <w:style w:type="paragraph" w:styleId="NormalWeb">
    <w:name w:val="Normal (Web)"/>
    <w:basedOn w:val="Normal"/>
    <w:uiPriority w:val="99"/>
    <w:unhideWhenUsed/>
    <w:rsid w:val="005B6256"/>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935A62"/>
    <w:rPr>
      <w:color w:val="605E5C"/>
      <w:shd w:val="clear" w:color="auto" w:fill="E1DFDD"/>
    </w:rPr>
  </w:style>
  <w:style w:type="paragraph" w:styleId="BodyTextIndent">
    <w:name w:val="Body Text Indent"/>
    <w:basedOn w:val="Normal"/>
    <w:link w:val="BodyTextIndentChar"/>
    <w:uiPriority w:val="99"/>
    <w:semiHidden/>
    <w:unhideWhenUsed/>
    <w:rsid w:val="00935A62"/>
    <w:pPr>
      <w:spacing w:after="120"/>
      <w:ind w:left="360"/>
    </w:pPr>
  </w:style>
  <w:style w:type="character" w:customStyle="1" w:styleId="BodyTextIndentChar">
    <w:name w:val="Body Text Indent Char"/>
    <w:basedOn w:val="DefaultParagraphFont"/>
    <w:link w:val="BodyTextIndent"/>
    <w:uiPriority w:val="99"/>
    <w:semiHidden/>
    <w:rsid w:val="00935A62"/>
    <w:rPr>
      <w:rFonts w:ascii="Times New Roman" w:hAnsi="Times New Roman"/>
      <w:sz w:val="24"/>
    </w:rPr>
  </w:style>
  <w:style w:type="character" w:customStyle="1" w:styleId="ssrfcpassagedeactivated">
    <w:name w:val="ss_rfcpassage_deactivated"/>
    <w:basedOn w:val="DefaultParagraphFont"/>
    <w:rsid w:val="000860E7"/>
  </w:style>
  <w:style w:type="character" w:customStyle="1" w:styleId="ssit">
    <w:name w:val="ss_it"/>
    <w:basedOn w:val="DefaultParagraphFont"/>
    <w:rsid w:val="000860E7"/>
  </w:style>
  <w:style w:type="paragraph" w:customStyle="1" w:styleId="TableParagraph">
    <w:name w:val="Table Paragraph"/>
    <w:basedOn w:val="Normal"/>
    <w:uiPriority w:val="1"/>
    <w:qFormat/>
    <w:rsid w:val="000860E7"/>
    <w:pPr>
      <w:widowControl w:val="0"/>
      <w:autoSpaceDE w:val="0"/>
      <w:autoSpaceDN w:val="0"/>
      <w:spacing w:before="116" w:after="0" w:line="240" w:lineRule="auto"/>
    </w:pPr>
    <w:rPr>
      <w:rFonts w:eastAsia="Times New Roman" w:cs="Times New Roman"/>
      <w:sz w:val="22"/>
    </w:rPr>
  </w:style>
  <w:style w:type="character" w:customStyle="1" w:styleId="sssh">
    <w:name w:val="ss_sh"/>
    <w:basedOn w:val="DefaultParagraphFont"/>
    <w:rsid w:val="00323ED8"/>
  </w:style>
  <w:style w:type="paragraph" w:styleId="PlainText">
    <w:name w:val="Plain Text"/>
    <w:basedOn w:val="Normal"/>
    <w:link w:val="PlainTextChar"/>
    <w:uiPriority w:val="99"/>
    <w:semiHidden/>
    <w:unhideWhenUsed/>
    <w:rsid w:val="00747968"/>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747968"/>
    <w:rPr>
      <w:rFonts w:ascii="Calibri" w:hAnsi="Calibri"/>
      <w:szCs w:val="21"/>
    </w:rPr>
  </w:style>
  <w:style w:type="character" w:customStyle="1" w:styleId="UnresolvedMention2">
    <w:name w:val="Unresolved Mention2"/>
    <w:basedOn w:val="DefaultParagraphFont"/>
    <w:uiPriority w:val="99"/>
    <w:rsid w:val="00D92B7D"/>
    <w:rPr>
      <w:color w:val="605E5C"/>
      <w:shd w:val="clear" w:color="auto" w:fill="E1DFDD"/>
    </w:rPr>
  </w:style>
  <w:style w:type="character" w:customStyle="1" w:styleId="UnresolvedMention3">
    <w:name w:val="Unresolved Mention3"/>
    <w:basedOn w:val="DefaultParagraphFont"/>
    <w:uiPriority w:val="99"/>
    <w:rsid w:val="00F31BA3"/>
    <w:rPr>
      <w:color w:val="605E5C"/>
      <w:shd w:val="clear" w:color="auto" w:fill="E1DFDD"/>
    </w:rPr>
  </w:style>
  <w:style w:type="paragraph" w:customStyle="1" w:styleId="paragraph">
    <w:name w:val="paragraph"/>
    <w:basedOn w:val="Normal"/>
    <w:rsid w:val="005C5ACD"/>
    <w:pPr>
      <w:spacing w:before="100" w:beforeAutospacing="1" w:after="100" w:afterAutospacing="1" w:line="240" w:lineRule="auto"/>
    </w:pPr>
    <w:rPr>
      <w:rFonts w:cs="Times New Roman"/>
      <w:szCs w:val="24"/>
    </w:rPr>
  </w:style>
  <w:style w:type="character" w:customStyle="1" w:styleId="normaltextrun">
    <w:name w:val="normaltextrun"/>
    <w:basedOn w:val="DefaultParagraphFont"/>
    <w:rsid w:val="005C5ACD"/>
  </w:style>
  <w:style w:type="character" w:customStyle="1" w:styleId="eop">
    <w:name w:val="eop"/>
    <w:basedOn w:val="DefaultParagraphFont"/>
    <w:rsid w:val="005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yperlink" Target="mailto:Thomas.Lindgren@ohioAGO.gov" TargetMode="External" /><Relationship Id="rId15" Type="http://schemas.openxmlformats.org/officeDocument/2006/relationships/hyperlink" Target="mailto:cfaruki@ficlaw.com" TargetMode="External" /><Relationship Id="rId16" Type="http://schemas.openxmlformats.org/officeDocument/2006/relationships/hyperlink" Target="mailto:jsharkey@ficlaw.com" TargetMode="External" /><Relationship Id="rId17" Type="http://schemas.openxmlformats.org/officeDocument/2006/relationships/hyperlink" Target="mailto:joliker@igsenergy.com" TargetMode="External" /><Relationship Id="rId18" Type="http://schemas.openxmlformats.org/officeDocument/2006/relationships/hyperlink" Target="mailto:drinebolt@aol.com" TargetMode="External" /><Relationship Id="rId19" Type="http://schemas.openxmlformats.org/officeDocument/2006/relationships/hyperlink" Target="mailto:Ned.Ford@fuse.net" TargetMode="External" /><Relationship Id="rId2" Type="http://schemas.openxmlformats.org/officeDocument/2006/relationships/settings" Target="settings.xml" /><Relationship Id="rId20" Type="http://schemas.openxmlformats.org/officeDocument/2006/relationships/hyperlink" Target="mailto:mjsettineri@vorys.com" TargetMode="External" /><Relationship Id="rId21" Type="http://schemas.openxmlformats.org/officeDocument/2006/relationships/hyperlink" Target="mailto:glpetrucci@vorys.com" TargetMode="External" /><Relationship Id="rId22" Type="http://schemas.openxmlformats.org/officeDocument/2006/relationships/hyperlink" Target="mailto:BarthRoyer@aol.com" TargetMode="External" /><Relationship Id="rId23" Type="http://schemas.openxmlformats.org/officeDocument/2006/relationships/hyperlink" Target="mailto:bojko@carpenterlipps.com" TargetMode="External" /><Relationship Id="rId24" Type="http://schemas.openxmlformats.org/officeDocument/2006/relationships/hyperlink" Target="mailto:paul@carpenterlipps.com" TargetMode="External" /><Relationship Id="rId25" Type="http://schemas.openxmlformats.org/officeDocument/2006/relationships/hyperlink" Target="mailto:slesser@beneschlaw.com" TargetMode="External" /><Relationship Id="rId26" Type="http://schemas.openxmlformats.org/officeDocument/2006/relationships/hyperlink" Target="mailto:mkeaney@beneschlaw.com" TargetMode="External" /><Relationship Id="rId27" Type="http://schemas.openxmlformats.org/officeDocument/2006/relationships/hyperlink" Target="mailto:talexander@beneschlaw.com" TargetMode="External" /><Relationship Id="rId28" Type="http://schemas.openxmlformats.org/officeDocument/2006/relationships/hyperlink" Target="mailto:mswhite@igsenergy.com" TargetMode="External" /><Relationship Id="rId29" Type="http://schemas.openxmlformats.org/officeDocument/2006/relationships/hyperlink" Target="mailto:dborchers@bricker.com" TargetMode="External" /><Relationship Id="rId3" Type="http://schemas.openxmlformats.org/officeDocument/2006/relationships/webSettings" Target="webSettings.xml" /><Relationship Id="rId30" Type="http://schemas.openxmlformats.org/officeDocument/2006/relationships/hyperlink" Target="mailto:dparram@bricker.com" TargetMode="External" /><Relationship Id="rId31" Type="http://schemas.openxmlformats.org/officeDocument/2006/relationships/hyperlink" Target="mailto:Gregory.Price@puco.ohio.gov" TargetMode="External" /><Relationship Id="rId32" Type="http://schemas.openxmlformats.org/officeDocument/2006/relationships/hyperlink" Target="mailto:Jeanne.kingery@duke-energy.com" TargetMode="External" /><Relationship Id="rId33" Type="http://schemas.openxmlformats.org/officeDocument/2006/relationships/hyperlink" Target="mailto:haydenm@firstenergycorp.com" TargetMode="External" /><Relationship Id="rId34" Type="http://schemas.openxmlformats.org/officeDocument/2006/relationships/hyperlink" Target="mailto:mjsatterwhite@aep.com" TargetMode="External" /><Relationship Id="rId35" Type="http://schemas.openxmlformats.org/officeDocument/2006/relationships/hyperlink" Target="mailto:stnourse@aep.com" TargetMode="External" /><Relationship Id="rId36" Type="http://schemas.openxmlformats.org/officeDocument/2006/relationships/hyperlink" Target="mailto:jbentine@cwslaw.com" TargetMode="External" /><Relationship Id="rId37" Type="http://schemas.openxmlformats.org/officeDocument/2006/relationships/hyperlink" Target="mailto:henryeckhart@aol.com" TargetMode="External" /><Relationship Id="rId38" Type="http://schemas.openxmlformats.org/officeDocument/2006/relationships/hyperlink" Target="mailto:dboehm@bkllawfirm.com" TargetMode="External" /><Relationship Id="rId39" Type="http://schemas.openxmlformats.org/officeDocument/2006/relationships/hyperlink" Target="mailto:mkurtz@bkllawfirm.com" TargetMode="External" /><Relationship Id="rId4" Type="http://schemas.openxmlformats.org/officeDocument/2006/relationships/fontTable" Target="fontTable.xml" /><Relationship Id="rId40" Type="http://schemas.openxmlformats.org/officeDocument/2006/relationships/hyperlink" Target="mailto:jkylercohn@bkllawfirm.com" TargetMode="External" /><Relationship Id="rId41" Type="http://schemas.openxmlformats.org/officeDocument/2006/relationships/hyperlink" Target="mailto:Cynthia.brady@constellation.com" TargetMode="External" /><Relationship Id="rId42" Type="http://schemas.openxmlformats.org/officeDocument/2006/relationships/hyperlink" Target="mailto:David.fein@constellation.com" TargetMode="External" /><Relationship Id="rId43" Type="http://schemas.openxmlformats.org/officeDocument/2006/relationships/hyperlink" Target="mailto:njohnson@theoec.org" TargetMode="External" /><Relationship Id="rId44" Type="http://schemas.openxmlformats.org/officeDocument/2006/relationships/hyperlink" Target="mailto:Williams.toddm@gmail.com" TargetMode="External" /><Relationship Id="rId45" Type="http://schemas.openxmlformats.org/officeDocument/2006/relationships/hyperlink" Target="mailto:ejacobs@ablelaw.org" TargetMode="External" /><Relationship Id="rId46" Type="http://schemas.openxmlformats.org/officeDocument/2006/relationships/hyperlink" Target="mailto:myurick@taftlaw.com" TargetMode="External" /><Relationship Id="rId47" Type="http://schemas.openxmlformats.org/officeDocument/2006/relationships/hyperlink" Target="mailto:stephen.chriss@wal-mart.com" TargetMode="External" /><Relationship Id="rId48" Type="http://schemas.openxmlformats.org/officeDocument/2006/relationships/hyperlink" Target="mailto:rdove@keglerbrown.com" TargetMode="External" /><Relationship Id="rId49" Type="http://schemas.openxmlformats.org/officeDocument/2006/relationships/hyperlink" Target="mailto:fykes@whitt-sturtevant.com" TargetMode="External" /><Relationship Id="rId5" Type="http://schemas.openxmlformats.org/officeDocument/2006/relationships/customXml" Target="../customXml/item1.xml" /><Relationship Id="rId50" Type="http://schemas.openxmlformats.org/officeDocument/2006/relationships/hyperlink" Target="mailto:whitt@whitt-sturtevant.com" TargetMode="External" /><Relationship Id="rId51" Type="http://schemas.openxmlformats.org/officeDocument/2006/relationships/hyperlink" Target="mailto:mpritchard@mcneeslaw.com" TargetMode="External" /><Relationship Id="rId52" Type="http://schemas.openxmlformats.org/officeDocument/2006/relationships/header" Target="header3.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footer" Target="footer1.xml" /><Relationship Id="rId7" Type="http://schemas.openxmlformats.org/officeDocument/2006/relationships/hyperlink" Target="mailto:maureen.willis@occ.ohio.gov" TargetMode="External" /><Relationship Id="rId8" Type="http://schemas.openxmlformats.org/officeDocument/2006/relationships/hyperlink" Target="mailto:christopher.healey@occ.ohio.gov" TargetMode="External" /><Relationship Id="rId9" Type="http://schemas.openxmlformats.org/officeDocument/2006/relationships/hyperlink" Target="mailto:william.michael@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2B6B-E545-4FA8-9E06-45EC2137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7672</Words>
  <Characters>43732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2021-07-16T19:55:12Z</dcterms:created>
  <dcterms:modified xsi:type="dcterms:W3CDTF">2021-07-16T19:55:12Z</dcterms:modified>
</cp:coreProperties>
</file>