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90DB" w14:textId="77777777" w:rsidR="002A5B38" w:rsidRDefault="002A5B38">
      <w:pPr>
        <w:pStyle w:val="Title"/>
      </w:pPr>
      <w:r>
        <w:t>BEFORE</w:t>
      </w:r>
    </w:p>
    <w:p w14:paraId="3742D9AE" w14:textId="77777777" w:rsidR="002A5B38" w:rsidRDefault="002A5B38">
      <w:pPr>
        <w:jc w:val="center"/>
        <w:rPr>
          <w:b/>
          <w:sz w:val="28"/>
        </w:rPr>
      </w:pPr>
      <w:r>
        <w:rPr>
          <w:b/>
          <w:sz w:val="28"/>
        </w:rPr>
        <w:t xml:space="preserve">THE PUBLIC UTILITIES COMMISSION OF </w:t>
      </w:r>
      <w:smartTag w:uri="urn:schemas-microsoft-com:office:smarttags" w:element="place">
        <w:smartTag w:uri="urn:schemas-microsoft-com:office:smarttags" w:element="State">
          <w:r>
            <w:rPr>
              <w:b/>
              <w:sz w:val="28"/>
            </w:rPr>
            <w:t>OHIO</w:t>
          </w:r>
        </w:smartTag>
      </w:smartTag>
    </w:p>
    <w:p w14:paraId="1AA5C3ED" w14:textId="77777777" w:rsidR="002A5B38" w:rsidRDefault="002A5B38">
      <w:pPr>
        <w:jc w:val="center"/>
        <w:rPr>
          <w:b/>
          <w:sz w:val="28"/>
        </w:rPr>
      </w:pPr>
    </w:p>
    <w:p w14:paraId="645A1B29" w14:textId="77777777" w:rsidR="002A5B38" w:rsidRDefault="002A5B38">
      <w:r>
        <w:t xml:space="preserve">In the Matter of the Application of </w:t>
      </w:r>
      <w:r>
        <w:tab/>
      </w:r>
      <w:r>
        <w:tab/>
        <w:t>)</w:t>
      </w:r>
    </w:p>
    <w:p w14:paraId="6FD0D958" w14:textId="36BCED38" w:rsidR="002A5B38" w:rsidRDefault="002A5B38">
      <w:r>
        <w:t>Ohio Gas Compa</w:t>
      </w:r>
      <w:r w:rsidR="00AA62F2">
        <w:t>ny for Adjustment</w:t>
      </w:r>
      <w:r w:rsidR="00AA62F2">
        <w:tab/>
        <w:t>)</w:t>
      </w:r>
      <w:r w:rsidR="00AA62F2">
        <w:tab/>
      </w:r>
      <w:r w:rsidR="00AA62F2">
        <w:tab/>
        <w:t>Case No. 1</w:t>
      </w:r>
      <w:r w:rsidR="00937EF0">
        <w:t>8</w:t>
      </w:r>
      <w:r>
        <w:t>-411-GA-PIP</w:t>
      </w:r>
    </w:p>
    <w:p w14:paraId="3A2F02ED" w14:textId="77777777" w:rsidR="002A5B38" w:rsidRDefault="002A5B38">
      <w:r>
        <w:t>of its Percentage of Income Payment</w:t>
      </w:r>
      <w:r>
        <w:tab/>
        <w:t>)</w:t>
      </w:r>
    </w:p>
    <w:p w14:paraId="388FFE9D" w14:textId="77777777" w:rsidR="002A5B38" w:rsidRDefault="002A5B38">
      <w:r>
        <w:t>Plan Rider.</w:t>
      </w:r>
      <w:r>
        <w:tab/>
      </w:r>
      <w:r>
        <w:tab/>
      </w:r>
      <w:r>
        <w:tab/>
      </w:r>
      <w:r>
        <w:tab/>
      </w:r>
      <w:r>
        <w:tab/>
        <w:t>)</w:t>
      </w:r>
    </w:p>
    <w:p w14:paraId="07278F93" w14:textId="77777777" w:rsidR="002A5B38" w:rsidRDefault="002A5B38">
      <w:pPr>
        <w:pBdr>
          <w:bottom w:val="single" w:sz="12" w:space="1" w:color="auto"/>
        </w:pBdr>
      </w:pPr>
    </w:p>
    <w:p w14:paraId="13BBB945" w14:textId="77777777" w:rsidR="002A5B38" w:rsidRDefault="002A5B38">
      <w:pPr>
        <w:jc w:val="center"/>
        <w:rPr>
          <w:b/>
        </w:rPr>
      </w:pPr>
    </w:p>
    <w:p w14:paraId="23BF4EC1" w14:textId="77777777" w:rsidR="002A5B38" w:rsidRDefault="002A5B38">
      <w:pPr>
        <w:jc w:val="center"/>
        <w:rPr>
          <w:b/>
        </w:rPr>
      </w:pPr>
      <w:r>
        <w:rPr>
          <w:b/>
        </w:rPr>
        <w:t>APPLICATION</w:t>
      </w:r>
    </w:p>
    <w:p w14:paraId="7D3D0EE9" w14:textId="77777777" w:rsidR="002A5B38" w:rsidRDefault="002A5B38">
      <w:pPr>
        <w:pBdr>
          <w:bottom w:val="single" w:sz="12" w:space="1" w:color="auto"/>
        </w:pBdr>
        <w:jc w:val="center"/>
        <w:rPr>
          <w:b/>
        </w:rPr>
      </w:pPr>
    </w:p>
    <w:p w14:paraId="2A7207D1" w14:textId="77777777" w:rsidR="002A5B38" w:rsidRDefault="002A5B38">
      <w:pPr>
        <w:jc w:val="center"/>
        <w:rPr>
          <w:b/>
        </w:rPr>
      </w:pPr>
    </w:p>
    <w:p w14:paraId="73A2AA79" w14:textId="77777777" w:rsidR="002A5B38" w:rsidRDefault="002A5B38">
      <w:pPr>
        <w:pStyle w:val="BodyTextIndent"/>
        <w:spacing w:line="240" w:lineRule="auto"/>
        <w:ind w:firstLine="0"/>
        <w:jc w:val="center"/>
      </w:pPr>
    </w:p>
    <w:p w14:paraId="4272E416" w14:textId="77777777" w:rsidR="002A5B38" w:rsidRDefault="002A5B38">
      <w:pPr>
        <w:pStyle w:val="BodyTextIndent"/>
        <w:spacing w:line="240" w:lineRule="auto"/>
        <w:ind w:firstLine="0"/>
        <w:jc w:val="center"/>
      </w:pPr>
    </w:p>
    <w:p w14:paraId="4CA4EAD8" w14:textId="77777777" w:rsidR="002A5B38" w:rsidRDefault="002A5B38">
      <w:pPr>
        <w:pStyle w:val="BodyTextIndent"/>
        <w:spacing w:line="240" w:lineRule="auto"/>
        <w:ind w:firstLine="0"/>
        <w:jc w:val="center"/>
      </w:pPr>
    </w:p>
    <w:p w14:paraId="6DD24BEA" w14:textId="77777777" w:rsidR="002A5B38" w:rsidRDefault="002A5B38">
      <w:pPr>
        <w:pStyle w:val="BodyTextIndent"/>
        <w:spacing w:line="240" w:lineRule="auto"/>
        <w:ind w:firstLine="0"/>
        <w:jc w:val="center"/>
      </w:pPr>
    </w:p>
    <w:p w14:paraId="37B73BFB" w14:textId="77777777" w:rsidR="002A5B38" w:rsidRDefault="002A5B38">
      <w:pPr>
        <w:pStyle w:val="BodyTextIndent"/>
        <w:spacing w:line="240" w:lineRule="auto"/>
        <w:ind w:firstLine="0"/>
        <w:jc w:val="center"/>
      </w:pPr>
    </w:p>
    <w:p w14:paraId="0B84DC49" w14:textId="77777777" w:rsidR="002A5B38" w:rsidRDefault="002A5B38">
      <w:pPr>
        <w:pStyle w:val="BodyTextIndent"/>
        <w:spacing w:line="240" w:lineRule="auto"/>
        <w:ind w:firstLine="0"/>
        <w:jc w:val="center"/>
      </w:pPr>
    </w:p>
    <w:p w14:paraId="030396AB" w14:textId="77777777" w:rsidR="002A5B38" w:rsidRDefault="002A5B38">
      <w:pPr>
        <w:pStyle w:val="BodyTextIndent"/>
        <w:spacing w:line="240" w:lineRule="auto"/>
        <w:ind w:firstLine="0"/>
        <w:jc w:val="center"/>
      </w:pPr>
    </w:p>
    <w:p w14:paraId="3BB7CFCD" w14:textId="77777777" w:rsidR="002A5B38" w:rsidRDefault="002A5B38">
      <w:pPr>
        <w:pStyle w:val="BodyTextIndent"/>
        <w:spacing w:line="240" w:lineRule="auto"/>
        <w:ind w:firstLine="0"/>
        <w:jc w:val="center"/>
      </w:pPr>
    </w:p>
    <w:p w14:paraId="15ABAF5D" w14:textId="77777777" w:rsidR="002A5B38" w:rsidRDefault="002A5B38">
      <w:pPr>
        <w:pStyle w:val="BodyTextIndent"/>
        <w:spacing w:line="240" w:lineRule="auto"/>
        <w:ind w:firstLine="0"/>
        <w:jc w:val="center"/>
      </w:pPr>
    </w:p>
    <w:p w14:paraId="76733CA0" w14:textId="77777777" w:rsidR="002A5B38" w:rsidRDefault="002A5B38">
      <w:pPr>
        <w:pStyle w:val="BodyTextIndent"/>
        <w:spacing w:line="240" w:lineRule="auto"/>
        <w:ind w:firstLine="0"/>
        <w:jc w:val="center"/>
      </w:pPr>
    </w:p>
    <w:p w14:paraId="3DE9CF05" w14:textId="77777777" w:rsidR="002A5B38" w:rsidRDefault="002A5B38">
      <w:pPr>
        <w:pStyle w:val="BodyTextIndent"/>
        <w:spacing w:line="240" w:lineRule="auto"/>
        <w:ind w:firstLine="0"/>
        <w:jc w:val="center"/>
      </w:pPr>
    </w:p>
    <w:p w14:paraId="4DB7C743" w14:textId="77777777" w:rsidR="002A5B38" w:rsidRDefault="002A5B38">
      <w:pPr>
        <w:pStyle w:val="BodyTextIndent"/>
        <w:spacing w:line="240" w:lineRule="auto"/>
        <w:ind w:firstLine="0"/>
        <w:jc w:val="center"/>
      </w:pPr>
    </w:p>
    <w:p w14:paraId="1E642404" w14:textId="77777777" w:rsidR="002A5B38" w:rsidRDefault="002A5B38">
      <w:pPr>
        <w:pStyle w:val="BodyTextIndent"/>
        <w:spacing w:line="240" w:lineRule="auto"/>
        <w:ind w:firstLine="0"/>
        <w:jc w:val="center"/>
      </w:pPr>
    </w:p>
    <w:p w14:paraId="02C67CA8" w14:textId="77777777" w:rsidR="002A5B38" w:rsidRDefault="002A5B38">
      <w:pPr>
        <w:pStyle w:val="BodyTextIndent"/>
        <w:spacing w:line="240" w:lineRule="auto"/>
        <w:ind w:firstLine="0"/>
        <w:jc w:val="center"/>
      </w:pPr>
    </w:p>
    <w:p w14:paraId="13A8EC49" w14:textId="77777777" w:rsidR="002A5B38" w:rsidRDefault="002A5B38">
      <w:pPr>
        <w:pStyle w:val="BodyTextIndent"/>
        <w:spacing w:line="240" w:lineRule="auto"/>
        <w:ind w:firstLine="0"/>
        <w:jc w:val="center"/>
      </w:pPr>
    </w:p>
    <w:p w14:paraId="527D694A" w14:textId="77777777" w:rsidR="002A5B38" w:rsidRDefault="002A5B38">
      <w:pPr>
        <w:pStyle w:val="BodyTextIndent"/>
        <w:spacing w:line="240" w:lineRule="auto"/>
        <w:ind w:firstLine="0"/>
        <w:jc w:val="center"/>
      </w:pPr>
    </w:p>
    <w:p w14:paraId="303D1247" w14:textId="77777777" w:rsidR="002A5B38" w:rsidRDefault="002A5B38">
      <w:pPr>
        <w:pStyle w:val="BodyTextIndent"/>
        <w:spacing w:line="240" w:lineRule="auto"/>
        <w:ind w:firstLine="0"/>
        <w:jc w:val="center"/>
      </w:pPr>
    </w:p>
    <w:p w14:paraId="31F2F1D4" w14:textId="77777777" w:rsidR="002A5B38" w:rsidRDefault="002A5B38">
      <w:pPr>
        <w:pStyle w:val="BodyTextIndent"/>
        <w:spacing w:line="240" w:lineRule="auto"/>
        <w:ind w:left="3600"/>
      </w:pPr>
    </w:p>
    <w:p w14:paraId="50342928" w14:textId="77777777" w:rsidR="002A5B38" w:rsidRDefault="002A5B38">
      <w:pPr>
        <w:pStyle w:val="BodyTextIndent"/>
        <w:spacing w:line="240" w:lineRule="auto"/>
        <w:ind w:firstLine="0"/>
      </w:pPr>
    </w:p>
    <w:p w14:paraId="7C1BC6E2" w14:textId="77777777" w:rsidR="002A5B38" w:rsidRDefault="002A5B38">
      <w:pPr>
        <w:widowControl w:val="0"/>
        <w:ind w:left="4320"/>
        <w:jc w:val="both"/>
        <w:rPr>
          <w:rFonts w:eastAsia="Calibri" w:cs="Arial"/>
          <w:bCs/>
        </w:rPr>
      </w:pPr>
      <w:r>
        <w:rPr>
          <w:rFonts w:eastAsia="Calibri" w:cs="Arial"/>
          <w:bCs/>
        </w:rPr>
        <w:t xml:space="preserve">Frank P. </w:t>
      </w:r>
      <w:proofErr w:type="spellStart"/>
      <w:r>
        <w:rPr>
          <w:rFonts w:eastAsia="Calibri" w:cs="Arial"/>
          <w:bCs/>
        </w:rPr>
        <w:t>Darr</w:t>
      </w:r>
      <w:proofErr w:type="spellEnd"/>
      <w:r>
        <w:rPr>
          <w:rFonts w:eastAsia="Calibri" w:cs="Arial"/>
          <w:bCs/>
        </w:rPr>
        <w:t xml:space="preserve"> (Reg. No. 0025469)</w:t>
      </w:r>
    </w:p>
    <w:p w14:paraId="50A9C6C2" w14:textId="77777777" w:rsidR="002A5B38" w:rsidRDefault="002A5B38">
      <w:pPr>
        <w:widowControl w:val="0"/>
        <w:ind w:left="4320"/>
        <w:jc w:val="both"/>
        <w:rPr>
          <w:rFonts w:eastAsia="Calibri" w:cs="Arial"/>
          <w:bCs/>
        </w:rPr>
      </w:pPr>
      <w:r>
        <w:rPr>
          <w:rFonts w:eastAsia="Calibri" w:cs="Arial"/>
          <w:bCs/>
        </w:rPr>
        <w:t>Trial Attorney</w:t>
      </w:r>
    </w:p>
    <w:p w14:paraId="1C3AE7A8" w14:textId="77777777" w:rsidR="005A6856" w:rsidRDefault="005A6856" w:rsidP="005A6856">
      <w:pPr>
        <w:widowControl w:val="0"/>
        <w:ind w:left="4320"/>
        <w:jc w:val="both"/>
      </w:pPr>
      <w:r>
        <w:t>Matthew R. Pritchard (Reg. No. 0088070)</w:t>
      </w:r>
    </w:p>
    <w:p w14:paraId="1AD5D015" w14:textId="77777777" w:rsidR="005A6856" w:rsidRDefault="005A6856">
      <w:pPr>
        <w:widowControl w:val="0"/>
        <w:ind w:left="4320"/>
        <w:jc w:val="both"/>
        <w:rPr>
          <w:rFonts w:eastAsia="Calibri" w:cs="Arial"/>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14:paraId="179C6403" w14:textId="77777777" w:rsidR="005A6856" w:rsidRDefault="005A6856" w:rsidP="005A6856">
      <w:pPr>
        <w:widowControl w:val="0"/>
        <w:ind w:left="4320"/>
        <w:jc w:val="both"/>
        <w:rPr>
          <w:rFonts w:eastAsia="Calibri" w:cs="Arial"/>
          <w:b/>
          <w:bCs/>
        </w:rPr>
      </w:pPr>
      <w:r>
        <w:rPr>
          <w:rFonts w:eastAsia="Calibri" w:cs="Arial"/>
          <w:bCs/>
        </w:rPr>
        <w:t>Fifth Third Center</w:t>
      </w:r>
    </w:p>
    <w:p w14:paraId="65B58B46" w14:textId="77777777" w:rsidR="002A5B38" w:rsidRDefault="002A5B38">
      <w:pPr>
        <w:widowControl w:val="0"/>
        <w:ind w:left="4320"/>
        <w:jc w:val="both"/>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00ACE183" w14:textId="77777777" w:rsidR="002A5B38" w:rsidRDefault="002A5B38">
      <w:pPr>
        <w:tabs>
          <w:tab w:val="left" w:pos="-1440"/>
          <w:tab w:val="left" w:pos="-720"/>
          <w:tab w:val="left" w:pos="5040"/>
          <w:tab w:val="center" w:pos="7200"/>
        </w:tabs>
        <w:overflowPunct w:val="0"/>
        <w:autoSpaceDE w:val="0"/>
        <w:autoSpaceDN w:val="0"/>
        <w:adjustRightInd w:val="0"/>
        <w:ind w:left="4320"/>
        <w:jc w:val="both"/>
        <w:rPr>
          <w:rFonts w:eastAsia="Calibri" w:cs="Arial"/>
        </w:rPr>
      </w:pPr>
      <w:r>
        <w:rPr>
          <w:rFonts w:eastAsia="Calibri" w:cs="Arial"/>
        </w:rPr>
        <w:t>Columbus, OH  43215</w:t>
      </w:r>
    </w:p>
    <w:p w14:paraId="03541358" w14:textId="77777777" w:rsidR="002A5B38" w:rsidRDefault="002A5B38">
      <w:pPr>
        <w:tabs>
          <w:tab w:val="left" w:pos="-1440"/>
          <w:tab w:val="left" w:pos="-720"/>
          <w:tab w:val="left" w:pos="5040"/>
          <w:tab w:val="center" w:pos="7200"/>
        </w:tabs>
        <w:overflowPunct w:val="0"/>
        <w:autoSpaceDE w:val="0"/>
        <w:autoSpaceDN w:val="0"/>
        <w:adjustRightInd w:val="0"/>
        <w:ind w:left="4320"/>
        <w:jc w:val="both"/>
        <w:rPr>
          <w:rFonts w:eastAsia="Calibri" w:cs="Arial"/>
        </w:rPr>
      </w:pPr>
      <w:r>
        <w:rPr>
          <w:rFonts w:eastAsia="Calibri" w:cs="Arial"/>
        </w:rPr>
        <w:t>Telephone</w:t>
      </w:r>
      <w:proofErr w:type="gramStart"/>
      <w:r>
        <w:rPr>
          <w:rFonts w:eastAsia="Calibri" w:cs="Arial"/>
        </w:rPr>
        <w:t>:  (</w:t>
      </w:r>
      <w:proofErr w:type="gramEnd"/>
      <w:r>
        <w:rPr>
          <w:rFonts w:eastAsia="Calibri" w:cs="Arial"/>
        </w:rPr>
        <w:t>614) 469-8000</w:t>
      </w:r>
    </w:p>
    <w:p w14:paraId="4B76C5A6" w14:textId="77777777" w:rsidR="002A5B38" w:rsidRDefault="002A5B38">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Pr>
          <w:rFonts w:eastAsia="Calibri" w:cs="Arial"/>
          <w:color w:val="000000"/>
        </w:rPr>
        <w:t>Telecopier</w:t>
      </w:r>
      <w:proofErr w:type="gramStart"/>
      <w:r>
        <w:rPr>
          <w:rFonts w:eastAsia="Calibri" w:cs="Arial"/>
          <w:color w:val="000000"/>
        </w:rPr>
        <w:t>:  (</w:t>
      </w:r>
      <w:proofErr w:type="gramEnd"/>
      <w:r>
        <w:rPr>
          <w:rFonts w:eastAsia="Calibri" w:cs="Arial"/>
          <w:color w:val="000000"/>
        </w:rPr>
        <w:t>614) 469-4653</w:t>
      </w:r>
    </w:p>
    <w:p w14:paraId="26895CDD" w14:textId="7E11C547" w:rsidR="002A5B38" w:rsidRPr="008310F4" w:rsidRDefault="002A5B38">
      <w:pPr>
        <w:tabs>
          <w:tab w:val="left" w:pos="-1440"/>
          <w:tab w:val="left" w:pos="-720"/>
          <w:tab w:val="left" w:pos="5040"/>
          <w:tab w:val="center" w:pos="7200"/>
        </w:tabs>
        <w:overflowPunct w:val="0"/>
        <w:autoSpaceDE w:val="0"/>
        <w:autoSpaceDN w:val="0"/>
        <w:adjustRightInd w:val="0"/>
        <w:ind w:left="4320"/>
        <w:jc w:val="both"/>
        <w:rPr>
          <w:rFonts w:eastAsia="Calibri" w:cs="Arial"/>
          <w:color w:val="000000" w:themeColor="text1"/>
        </w:rPr>
      </w:pPr>
      <w:r w:rsidRPr="008310F4">
        <w:rPr>
          <w:rFonts w:eastAsia="Calibri" w:cs="Arial"/>
          <w:color w:val="000000" w:themeColor="text1"/>
        </w:rPr>
        <w:t xml:space="preserve">fdarr@mwncmh.com </w:t>
      </w:r>
    </w:p>
    <w:p w14:paraId="7EBC568F" w14:textId="77777777" w:rsidR="002A5B38" w:rsidRDefault="002A5B38">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Pr>
          <w:rFonts w:eastAsia="Calibri" w:cs="Arial"/>
          <w:color w:val="000000"/>
        </w:rPr>
        <w:t>(willing to accept service by e-mail)</w:t>
      </w:r>
    </w:p>
    <w:p w14:paraId="1A51A8B5" w14:textId="08C4DECE" w:rsidR="005A6856" w:rsidRPr="005A6856" w:rsidRDefault="005A6856" w:rsidP="005A6856">
      <w:pPr>
        <w:autoSpaceDE w:val="0"/>
        <w:autoSpaceDN w:val="0"/>
        <w:adjustRightInd w:val="0"/>
        <w:ind w:left="4320"/>
        <w:rPr>
          <w:rFonts w:cs="Arial"/>
          <w:bCs/>
          <w:color w:val="000000"/>
          <w:szCs w:val="24"/>
        </w:rPr>
      </w:pPr>
      <w:r w:rsidRPr="008310F4">
        <w:rPr>
          <w:rFonts w:cs="Arial"/>
          <w:bCs/>
          <w:szCs w:val="24"/>
        </w:rPr>
        <w:t>mpritchard@mwncmh.com</w:t>
      </w:r>
      <w:r>
        <w:rPr>
          <w:rFonts w:cs="Arial"/>
          <w:bCs/>
          <w:color w:val="000000"/>
          <w:szCs w:val="24"/>
        </w:rPr>
        <w:t xml:space="preserve"> </w:t>
      </w:r>
    </w:p>
    <w:p w14:paraId="49C1EBDD" w14:textId="77777777" w:rsidR="005A6856" w:rsidRPr="005A6856" w:rsidRDefault="005A6856" w:rsidP="005A6856">
      <w:pPr>
        <w:autoSpaceDE w:val="0"/>
        <w:autoSpaceDN w:val="0"/>
        <w:adjustRightInd w:val="0"/>
        <w:ind w:left="4320"/>
        <w:rPr>
          <w:rFonts w:cs="Arial"/>
          <w:bCs/>
          <w:color w:val="000000"/>
          <w:szCs w:val="24"/>
        </w:rPr>
      </w:pPr>
      <w:r w:rsidRPr="005A6856">
        <w:rPr>
          <w:rFonts w:cs="Arial"/>
          <w:bCs/>
          <w:color w:val="000000"/>
          <w:szCs w:val="24"/>
        </w:rPr>
        <w:t>willing to accept service by e-mail</w:t>
      </w:r>
    </w:p>
    <w:p w14:paraId="2F825B65" w14:textId="77777777" w:rsidR="002A5B38" w:rsidRDefault="002A5B38">
      <w:pPr>
        <w:pStyle w:val="Title"/>
        <w:ind w:left="4320" w:right="-360"/>
        <w:jc w:val="left"/>
        <w:rPr>
          <w:b w:val="0"/>
          <w:sz w:val="24"/>
        </w:rPr>
      </w:pPr>
    </w:p>
    <w:p w14:paraId="36F910ED" w14:textId="541382CA" w:rsidR="002A5B38" w:rsidRDefault="002A5B38">
      <w:pPr>
        <w:pStyle w:val="Title"/>
        <w:ind w:right="-360"/>
        <w:jc w:val="left"/>
        <w:rPr>
          <w:sz w:val="24"/>
        </w:rPr>
      </w:pPr>
      <w:r>
        <w:rPr>
          <w:sz w:val="24"/>
        </w:rPr>
        <w:t>May</w:t>
      </w:r>
      <w:r w:rsidR="00052C53">
        <w:rPr>
          <w:sz w:val="24"/>
        </w:rPr>
        <w:t xml:space="preserve"> </w:t>
      </w:r>
      <w:r w:rsidR="00A13B4E">
        <w:rPr>
          <w:sz w:val="24"/>
        </w:rPr>
        <w:t>11</w:t>
      </w:r>
      <w:r w:rsidR="00AA62F2">
        <w:rPr>
          <w:sz w:val="24"/>
        </w:rPr>
        <w:t>, 201</w:t>
      </w:r>
      <w:r w:rsidR="008E19FE">
        <w:rPr>
          <w:sz w:val="24"/>
        </w:rPr>
        <w:t>8</w:t>
      </w:r>
      <w:r>
        <w:rPr>
          <w:sz w:val="24"/>
        </w:rPr>
        <w:tab/>
      </w:r>
      <w:r>
        <w:rPr>
          <w:sz w:val="24"/>
        </w:rPr>
        <w:tab/>
      </w:r>
      <w:r w:rsidR="005A6856">
        <w:rPr>
          <w:sz w:val="24"/>
        </w:rPr>
        <w:tab/>
      </w:r>
      <w:r>
        <w:rPr>
          <w:sz w:val="24"/>
        </w:rPr>
        <w:tab/>
        <w:t>Attorney</w:t>
      </w:r>
      <w:r w:rsidR="005A6856">
        <w:rPr>
          <w:sz w:val="24"/>
        </w:rPr>
        <w:t>s</w:t>
      </w:r>
      <w:r>
        <w:rPr>
          <w:sz w:val="24"/>
        </w:rPr>
        <w:t xml:space="preserve"> for Ohio Gas Company</w:t>
      </w:r>
    </w:p>
    <w:p w14:paraId="0C0B28C5" w14:textId="77777777" w:rsidR="002A5B38" w:rsidRDefault="002A5B38">
      <w:pPr>
        <w:pStyle w:val="Title"/>
        <w:sectPr w:rsidR="002A5B38">
          <w:footerReference w:type="even" r:id="rId7"/>
          <w:footerReference w:type="default" r:id="rId8"/>
          <w:pgSz w:w="12240" w:h="15840"/>
          <w:pgMar w:top="1440" w:right="1440" w:bottom="1440" w:left="1440" w:header="720" w:footer="720" w:gutter="0"/>
          <w:cols w:space="720"/>
          <w:titlePg/>
          <w:docGrid w:linePitch="360"/>
        </w:sectPr>
      </w:pPr>
    </w:p>
    <w:p w14:paraId="2327CAC9" w14:textId="77777777" w:rsidR="002A5B38" w:rsidRDefault="002A5B38">
      <w:pPr>
        <w:pStyle w:val="Title"/>
      </w:pPr>
      <w:r>
        <w:lastRenderedPageBreak/>
        <w:t>BEFORE</w:t>
      </w:r>
    </w:p>
    <w:p w14:paraId="489B43DB" w14:textId="77777777" w:rsidR="002A5B38" w:rsidRDefault="002A5B38">
      <w:pPr>
        <w:jc w:val="center"/>
        <w:rPr>
          <w:b/>
          <w:sz w:val="28"/>
        </w:rPr>
      </w:pPr>
      <w:r>
        <w:rPr>
          <w:b/>
          <w:sz w:val="28"/>
        </w:rPr>
        <w:t xml:space="preserve">THE PUBLIC UTILITIES COMMISSION OF </w:t>
      </w:r>
      <w:smartTag w:uri="urn:schemas-microsoft-com:office:smarttags" w:element="place">
        <w:smartTag w:uri="urn:schemas-microsoft-com:office:smarttags" w:element="State">
          <w:r>
            <w:rPr>
              <w:b/>
              <w:sz w:val="28"/>
            </w:rPr>
            <w:t>OHIO</w:t>
          </w:r>
        </w:smartTag>
      </w:smartTag>
    </w:p>
    <w:p w14:paraId="0787034D" w14:textId="77777777" w:rsidR="002A5B38" w:rsidRDefault="002A5B38">
      <w:pPr>
        <w:jc w:val="center"/>
        <w:rPr>
          <w:b/>
          <w:sz w:val="28"/>
        </w:rPr>
      </w:pPr>
    </w:p>
    <w:p w14:paraId="6196532C" w14:textId="77777777" w:rsidR="002A5B38" w:rsidRDefault="002A5B38">
      <w:r>
        <w:t xml:space="preserve">In the Matter of the Application of </w:t>
      </w:r>
      <w:r>
        <w:tab/>
      </w:r>
      <w:r>
        <w:tab/>
        <w:t>)</w:t>
      </w:r>
    </w:p>
    <w:p w14:paraId="5F01B3A5" w14:textId="702312E8" w:rsidR="002A5B38" w:rsidRDefault="002A5B38">
      <w:r>
        <w:t>Ohio Gas Compa</w:t>
      </w:r>
      <w:r w:rsidR="00E84E78">
        <w:t>ny for Adjustment</w:t>
      </w:r>
      <w:r w:rsidR="00E84E78">
        <w:tab/>
        <w:t>)</w:t>
      </w:r>
      <w:r w:rsidR="00E84E78">
        <w:tab/>
      </w:r>
      <w:r w:rsidR="00E84E78">
        <w:tab/>
        <w:t>Case No. 1</w:t>
      </w:r>
      <w:r w:rsidR="008E19FE">
        <w:t>8</w:t>
      </w:r>
      <w:r>
        <w:t>-411-GA-PIP</w:t>
      </w:r>
    </w:p>
    <w:p w14:paraId="5F55BA06" w14:textId="77777777" w:rsidR="002A5B38" w:rsidRDefault="002A5B38">
      <w:r>
        <w:t>of its Percentage of Income Payment</w:t>
      </w:r>
      <w:r>
        <w:tab/>
        <w:t>)</w:t>
      </w:r>
    </w:p>
    <w:p w14:paraId="76CE6665" w14:textId="77777777" w:rsidR="002A5B38" w:rsidRDefault="002A5B38">
      <w:r>
        <w:t>Plan Rider.</w:t>
      </w:r>
      <w:r>
        <w:tab/>
      </w:r>
      <w:r>
        <w:tab/>
      </w:r>
      <w:r>
        <w:tab/>
      </w:r>
      <w:r>
        <w:tab/>
      </w:r>
      <w:r>
        <w:tab/>
        <w:t>)</w:t>
      </w:r>
    </w:p>
    <w:p w14:paraId="673B384F" w14:textId="77777777" w:rsidR="002A5B38" w:rsidRDefault="002A5B38">
      <w:pPr>
        <w:pBdr>
          <w:bottom w:val="single" w:sz="12" w:space="1" w:color="auto"/>
        </w:pBdr>
      </w:pPr>
    </w:p>
    <w:p w14:paraId="65EC2635" w14:textId="77777777" w:rsidR="002A5B38" w:rsidRDefault="002A5B38">
      <w:pPr>
        <w:jc w:val="center"/>
        <w:rPr>
          <w:b/>
        </w:rPr>
      </w:pPr>
    </w:p>
    <w:p w14:paraId="2F82B498" w14:textId="77777777" w:rsidR="002A5B38" w:rsidRDefault="002A5B38">
      <w:pPr>
        <w:jc w:val="center"/>
        <w:rPr>
          <w:b/>
        </w:rPr>
      </w:pPr>
      <w:r>
        <w:rPr>
          <w:b/>
        </w:rPr>
        <w:t>APPLICATION</w:t>
      </w:r>
    </w:p>
    <w:p w14:paraId="4456EFEE" w14:textId="77777777" w:rsidR="002A5B38" w:rsidRDefault="002A5B38">
      <w:pPr>
        <w:pBdr>
          <w:bottom w:val="single" w:sz="12" w:space="1" w:color="auto"/>
        </w:pBdr>
        <w:jc w:val="center"/>
        <w:rPr>
          <w:b/>
        </w:rPr>
      </w:pPr>
    </w:p>
    <w:p w14:paraId="563F4697" w14:textId="77777777" w:rsidR="002A5B38" w:rsidRDefault="002A5B38">
      <w:pPr>
        <w:jc w:val="center"/>
        <w:rPr>
          <w:b/>
        </w:rPr>
      </w:pPr>
    </w:p>
    <w:p w14:paraId="5483F37C" w14:textId="77777777" w:rsidR="002A5B38" w:rsidRDefault="002A5B38">
      <w:pPr>
        <w:pStyle w:val="BodyTextIndent"/>
        <w:spacing w:line="240" w:lineRule="auto"/>
        <w:ind w:left="3600"/>
      </w:pPr>
    </w:p>
    <w:p w14:paraId="6520B3B6" w14:textId="77777777" w:rsidR="002A5B38" w:rsidRDefault="002A5B38">
      <w:pPr>
        <w:spacing w:line="480" w:lineRule="auto"/>
        <w:ind w:firstLine="720"/>
        <w:jc w:val="both"/>
      </w:pPr>
      <w:r>
        <w:t>Now comes Ohio Gas Company (“Applicant”) and respectfully requests the approval of the Public Utilities Commission of Ohio (“Commission”) for authority to modify its Percentage of Income Payment Plan (“PIPP”) Rider.  In support of this request, Applicant states as follows:</w:t>
      </w:r>
    </w:p>
    <w:p w14:paraId="329B3AE3" w14:textId="781F9AD0" w:rsidR="002A5B38" w:rsidRDefault="002A5B38">
      <w:pPr>
        <w:spacing w:line="480" w:lineRule="auto"/>
        <w:ind w:firstLine="720"/>
        <w:jc w:val="both"/>
      </w:pPr>
      <w:r>
        <w:t>1.</w:t>
      </w:r>
      <w:r>
        <w:tab/>
        <w:t xml:space="preserve">Applicant is an Ohio corporation engaged in the business of providing natural gas service to customers in Ohio and as such is a public utility as defined by </w:t>
      </w:r>
      <w:r w:rsidR="002875E2">
        <w:t>R.C.</w:t>
      </w:r>
      <w:r w:rsidR="00865F77">
        <w:t> </w:t>
      </w:r>
      <w:r>
        <w:t>4905.02 and 4905.03.</w:t>
      </w:r>
    </w:p>
    <w:p w14:paraId="082EF447" w14:textId="7C37C140" w:rsidR="002A5B38" w:rsidRDefault="002A5B38">
      <w:pPr>
        <w:spacing w:line="480" w:lineRule="auto"/>
        <w:ind w:firstLine="720"/>
        <w:jc w:val="both"/>
      </w:pPr>
      <w:r>
        <w:t>2.</w:t>
      </w:r>
      <w:r>
        <w:tab/>
        <w:t>By this Application, and consistent with the December 2, 1993 Finding and Order of the Commission in Case Nos. 88-1115-GE-PIP, 90-705-GE-PIP, 90-879-GE-ORD, and 08-1229-GA-COI, Applicant requests authorization to modify its PIPP Rider.  The proposed revised tariff sheet</w:t>
      </w:r>
      <w:r w:rsidR="002875E2">
        <w:t>s</w:t>
      </w:r>
      <w:r>
        <w:t xml:space="preserve"> (redlined and clean version) </w:t>
      </w:r>
      <w:r w:rsidR="002875E2">
        <w:t>are</w:t>
      </w:r>
      <w:r>
        <w:t xml:space="preserve"> attached as Exhibit A.</w:t>
      </w:r>
    </w:p>
    <w:p w14:paraId="0C5E0B28" w14:textId="19DB3F4F" w:rsidR="002A5B38" w:rsidRDefault="002A5B38">
      <w:pPr>
        <w:spacing w:line="480" w:lineRule="auto"/>
        <w:ind w:firstLine="720"/>
        <w:jc w:val="both"/>
      </w:pPr>
      <w:r>
        <w:t>3.</w:t>
      </w:r>
      <w:r>
        <w:tab/>
        <w:t>Applicant’s current PIPP Rider rate be</w:t>
      </w:r>
      <w:r w:rsidR="0059019F">
        <w:t>came effective on August 1, 201</w:t>
      </w:r>
      <w:r w:rsidR="008E19FE">
        <w:t>7</w:t>
      </w:r>
      <w:r>
        <w:t>.</w:t>
      </w:r>
      <w:r w:rsidR="008E19FE">
        <w:t xml:space="preserve">  (The </w:t>
      </w:r>
      <w:r w:rsidR="002875E2">
        <w:t xml:space="preserve">approved </w:t>
      </w:r>
      <w:r w:rsidR="008E19FE">
        <w:t xml:space="preserve">rider sheet was </w:t>
      </w:r>
      <w:r w:rsidR="002875E2">
        <w:t xml:space="preserve">replaced and </w:t>
      </w:r>
      <w:r w:rsidR="008E19FE">
        <w:t>renumbered when the Commission approved new</w:t>
      </w:r>
      <w:r w:rsidR="002875E2">
        <w:t xml:space="preserve"> base distribution </w:t>
      </w:r>
      <w:r w:rsidR="008E19FE">
        <w:t>rates</w:t>
      </w:r>
      <w:r w:rsidR="002875E2">
        <w:t xml:space="preserve"> in Case 17-1139-GA-AIR, </w:t>
      </w:r>
      <w:r w:rsidR="002875E2" w:rsidRPr="002875E2">
        <w:rPr>
          <w:i/>
        </w:rPr>
        <w:t>et al</w:t>
      </w:r>
      <w:r w:rsidR="002875E2">
        <w:t>.</w:t>
      </w:r>
      <w:r w:rsidR="008E19FE">
        <w:t xml:space="preserve">, but the </w:t>
      </w:r>
      <w:r w:rsidR="002875E2">
        <w:t xml:space="preserve">PIPP </w:t>
      </w:r>
      <w:r w:rsidR="008E19FE">
        <w:t>rate remained unchanged</w:t>
      </w:r>
      <w:r w:rsidR="00BA3D8A">
        <w:t>.)</w:t>
      </w:r>
      <w:r>
        <w:t xml:space="preserve">  The method for computing the modified rate is consistent with Case No. 88-1115-GE-PIP.  The Commission’s Order dated December 14, 2011 in Case No. 08-1229-GA-COI, </w:t>
      </w:r>
      <w:proofErr w:type="gramStart"/>
      <w:r>
        <w:t>Finding</w:t>
      </w:r>
      <w:proofErr w:type="gramEnd"/>
      <w:r>
        <w:t xml:space="preserve"> paragraph (51), adopted NorthStar’s recommendation of </w:t>
      </w:r>
      <w:r>
        <w:lastRenderedPageBreak/>
        <w:t>an annual PIPP filing.  The annual filing is attached as Exhibit B.  Furthermore, the Commission found that increases in PIPP rates consisting of 10 percent or greater, or any decrease in PIPP rates, should trigger an annual rate adjustment.  The resulting rate is comprised of two components and proposes to recover within a twelve-month period:  1) those PIPP customer account balanc</w:t>
      </w:r>
      <w:r w:rsidR="0059019F">
        <w:t>es existing as of March 31, 201</w:t>
      </w:r>
      <w:r w:rsidR="00977091">
        <w:t>8</w:t>
      </w:r>
      <w:r>
        <w:t xml:space="preserve"> that have aged for a period of greater than 60 days, and 2) an amount of arrears it expects to continue to occur in succeeding twelve-month periods.  Calculations supporting the modified PIPP Rider rate are attached as Exhibit </w:t>
      </w:r>
      <w:r w:rsidR="00EA1B80">
        <w:t>C</w:t>
      </w:r>
      <w:r>
        <w:t>.</w:t>
      </w:r>
      <w:r w:rsidR="00707DFA">
        <w:t xml:space="preserve">  The new proposed rate is $</w:t>
      </w:r>
      <w:r w:rsidR="00E0431E">
        <w:t>(0.00</w:t>
      </w:r>
      <w:r w:rsidR="00BA3D8A">
        <w:t>34</w:t>
      </w:r>
      <w:r w:rsidR="00E0431E">
        <w:t>)</w:t>
      </w:r>
      <w:r>
        <w:t xml:space="preserve"> per MCF billed.</w:t>
      </w:r>
    </w:p>
    <w:p w14:paraId="0EDEBC53" w14:textId="1E0A145B" w:rsidR="002A5B38" w:rsidRDefault="002A5B38">
      <w:pPr>
        <w:spacing w:line="480" w:lineRule="auto"/>
        <w:ind w:firstLine="720"/>
        <w:jc w:val="both"/>
      </w:pPr>
      <w:r>
        <w:t>4.</w:t>
      </w:r>
      <w:r>
        <w:tab/>
        <w:t xml:space="preserve">In accordance with the procedure recommended in the direct testimony of the Commission Staff in Case Nos. 88-1115-GE-PIP, </w:t>
      </w:r>
      <w:r>
        <w:rPr>
          <w:i/>
        </w:rPr>
        <w:t>et al.</w:t>
      </w:r>
      <w:r>
        <w:t xml:space="preserve"> and the procedure established by Entry dated June 25, 1993 in Case No. 93-1000-EL-EFR, Applicant will implement the proposed PIPP Rider rate for all u</w:t>
      </w:r>
      <w:r w:rsidR="00707DFA">
        <w:t>sage on and after August 1, 201</w:t>
      </w:r>
      <w:r w:rsidR="00BA3D8A">
        <w:t>8</w:t>
      </w:r>
      <w:r>
        <w:t>, absent action by the Commission.</w:t>
      </w:r>
    </w:p>
    <w:p w14:paraId="11EB77E0" w14:textId="77777777" w:rsidR="002A5B38" w:rsidRDefault="002A5B38">
      <w:r>
        <w:tab/>
      </w:r>
      <w:r>
        <w:tab/>
      </w:r>
      <w:r>
        <w:tab/>
      </w:r>
      <w:r>
        <w:tab/>
      </w:r>
      <w:r>
        <w:tab/>
      </w:r>
      <w:r>
        <w:tab/>
        <w:t>Respectfully submitted,</w:t>
      </w:r>
    </w:p>
    <w:p w14:paraId="116276F0" w14:textId="77777777" w:rsidR="002A5B38" w:rsidRDefault="002A5B38"/>
    <w:p w14:paraId="09798F43" w14:textId="77777777" w:rsidR="002A5B38" w:rsidRDefault="002A5B38"/>
    <w:p w14:paraId="1779A80D" w14:textId="77777777" w:rsidR="002A5B38" w:rsidRDefault="002A5B38">
      <w:pPr>
        <w:rPr>
          <w:u w:val="single"/>
        </w:rPr>
      </w:pPr>
      <w:r>
        <w:tab/>
      </w:r>
      <w:r>
        <w:tab/>
      </w:r>
      <w:r>
        <w:tab/>
      </w:r>
      <w:r>
        <w:tab/>
      </w:r>
      <w:r>
        <w:tab/>
      </w:r>
      <w:r>
        <w:tab/>
      </w:r>
      <w:r w:rsidR="00707DFA">
        <w:rPr>
          <w:u w:val="single"/>
        </w:rPr>
        <w:t xml:space="preserve">/s/ Frank P. </w:t>
      </w:r>
      <w:proofErr w:type="spellStart"/>
      <w:r w:rsidR="00707DFA">
        <w:rPr>
          <w:u w:val="single"/>
        </w:rPr>
        <w:t>Darr</w:t>
      </w:r>
      <w:proofErr w:type="spellEnd"/>
      <w:r w:rsidR="00707DFA">
        <w:rPr>
          <w:u w:val="single"/>
        </w:rPr>
        <w:tab/>
      </w:r>
      <w:r>
        <w:rPr>
          <w:u w:val="single"/>
        </w:rPr>
        <w:tab/>
      </w:r>
      <w:r>
        <w:rPr>
          <w:u w:val="single"/>
        </w:rPr>
        <w:tab/>
      </w:r>
      <w:r>
        <w:rPr>
          <w:u w:val="single"/>
        </w:rPr>
        <w:tab/>
      </w:r>
    </w:p>
    <w:p w14:paraId="3130C2BB" w14:textId="77777777" w:rsidR="0051390D" w:rsidRDefault="0051390D" w:rsidP="0051390D">
      <w:pPr>
        <w:widowControl w:val="0"/>
        <w:ind w:left="4320"/>
        <w:jc w:val="both"/>
        <w:rPr>
          <w:rFonts w:eastAsia="Calibri" w:cs="Arial"/>
          <w:bCs/>
        </w:rPr>
      </w:pPr>
      <w:r>
        <w:rPr>
          <w:rFonts w:eastAsia="Calibri" w:cs="Arial"/>
          <w:bCs/>
        </w:rPr>
        <w:t xml:space="preserve">Frank P. </w:t>
      </w:r>
      <w:proofErr w:type="spellStart"/>
      <w:r>
        <w:rPr>
          <w:rFonts w:eastAsia="Calibri" w:cs="Arial"/>
          <w:bCs/>
        </w:rPr>
        <w:t>Darr</w:t>
      </w:r>
      <w:proofErr w:type="spellEnd"/>
      <w:r>
        <w:rPr>
          <w:rFonts w:eastAsia="Calibri" w:cs="Arial"/>
          <w:bCs/>
        </w:rPr>
        <w:t xml:space="preserve"> (Reg. No. 0025469)</w:t>
      </w:r>
    </w:p>
    <w:p w14:paraId="36AB48C4" w14:textId="77777777" w:rsidR="0051390D" w:rsidRDefault="0051390D" w:rsidP="0051390D">
      <w:pPr>
        <w:widowControl w:val="0"/>
        <w:ind w:left="4320"/>
        <w:jc w:val="both"/>
        <w:rPr>
          <w:rFonts w:eastAsia="Calibri" w:cs="Arial"/>
          <w:bCs/>
        </w:rPr>
      </w:pPr>
      <w:r>
        <w:rPr>
          <w:rFonts w:eastAsia="Calibri" w:cs="Arial"/>
          <w:bCs/>
        </w:rPr>
        <w:t>Trial Attorney</w:t>
      </w:r>
    </w:p>
    <w:p w14:paraId="64134FF5" w14:textId="77777777" w:rsidR="0051390D" w:rsidRDefault="0051390D" w:rsidP="0051390D">
      <w:pPr>
        <w:widowControl w:val="0"/>
        <w:ind w:left="4320"/>
        <w:jc w:val="both"/>
      </w:pPr>
      <w:r>
        <w:t>Matthew R. Pritchard (Reg. No. 0088070)</w:t>
      </w:r>
    </w:p>
    <w:p w14:paraId="53EF5227" w14:textId="77777777" w:rsidR="0051390D" w:rsidRDefault="0051390D" w:rsidP="0051390D">
      <w:pPr>
        <w:widowControl w:val="0"/>
        <w:ind w:left="4320"/>
        <w:jc w:val="both"/>
        <w:rPr>
          <w:rFonts w:eastAsia="Calibri" w:cs="Arial"/>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14:paraId="1F2F8E71" w14:textId="77777777" w:rsidR="0051390D" w:rsidRDefault="0051390D" w:rsidP="0051390D">
      <w:pPr>
        <w:widowControl w:val="0"/>
        <w:ind w:left="4320"/>
        <w:jc w:val="both"/>
        <w:rPr>
          <w:rFonts w:eastAsia="Calibri" w:cs="Arial"/>
          <w:b/>
          <w:bCs/>
        </w:rPr>
      </w:pPr>
      <w:r>
        <w:rPr>
          <w:rFonts w:eastAsia="Calibri" w:cs="Arial"/>
          <w:bCs/>
        </w:rPr>
        <w:t>Fifth Third Center</w:t>
      </w:r>
    </w:p>
    <w:p w14:paraId="7E784A95" w14:textId="77777777" w:rsidR="0051390D" w:rsidRDefault="0051390D" w:rsidP="0051390D">
      <w:pPr>
        <w:widowControl w:val="0"/>
        <w:ind w:left="4320"/>
        <w:jc w:val="both"/>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67D2258C" w14:textId="77777777" w:rsidR="0051390D" w:rsidRDefault="0051390D" w:rsidP="0051390D">
      <w:pPr>
        <w:tabs>
          <w:tab w:val="left" w:pos="-1440"/>
          <w:tab w:val="left" w:pos="-720"/>
          <w:tab w:val="left" w:pos="5040"/>
          <w:tab w:val="center" w:pos="7200"/>
        </w:tabs>
        <w:overflowPunct w:val="0"/>
        <w:autoSpaceDE w:val="0"/>
        <w:autoSpaceDN w:val="0"/>
        <w:adjustRightInd w:val="0"/>
        <w:ind w:left="4320"/>
        <w:jc w:val="both"/>
        <w:rPr>
          <w:rFonts w:eastAsia="Calibri" w:cs="Arial"/>
        </w:rPr>
      </w:pPr>
      <w:r>
        <w:rPr>
          <w:rFonts w:eastAsia="Calibri" w:cs="Arial"/>
        </w:rPr>
        <w:t>Columbus, OH  43215</w:t>
      </w:r>
    </w:p>
    <w:p w14:paraId="03F74999" w14:textId="77777777" w:rsidR="0051390D" w:rsidRDefault="0051390D" w:rsidP="0051390D">
      <w:pPr>
        <w:tabs>
          <w:tab w:val="left" w:pos="-1440"/>
          <w:tab w:val="left" w:pos="-720"/>
          <w:tab w:val="left" w:pos="5040"/>
          <w:tab w:val="center" w:pos="7200"/>
        </w:tabs>
        <w:overflowPunct w:val="0"/>
        <w:autoSpaceDE w:val="0"/>
        <w:autoSpaceDN w:val="0"/>
        <w:adjustRightInd w:val="0"/>
        <w:ind w:left="4320"/>
        <w:jc w:val="both"/>
        <w:rPr>
          <w:rFonts w:eastAsia="Calibri" w:cs="Arial"/>
        </w:rPr>
      </w:pPr>
      <w:r>
        <w:rPr>
          <w:rFonts w:eastAsia="Calibri" w:cs="Arial"/>
        </w:rPr>
        <w:t>Telephone</w:t>
      </w:r>
      <w:proofErr w:type="gramStart"/>
      <w:r>
        <w:rPr>
          <w:rFonts w:eastAsia="Calibri" w:cs="Arial"/>
        </w:rPr>
        <w:t>:  (</w:t>
      </w:r>
      <w:proofErr w:type="gramEnd"/>
      <w:r>
        <w:rPr>
          <w:rFonts w:eastAsia="Calibri" w:cs="Arial"/>
        </w:rPr>
        <w:t>614) 469-8000</w:t>
      </w:r>
    </w:p>
    <w:p w14:paraId="40CF2EF9" w14:textId="77777777" w:rsidR="0051390D" w:rsidRDefault="0051390D" w:rsidP="0051390D">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Pr>
          <w:rFonts w:eastAsia="Calibri" w:cs="Arial"/>
          <w:color w:val="000000"/>
        </w:rPr>
        <w:t>Telecopier</w:t>
      </w:r>
      <w:proofErr w:type="gramStart"/>
      <w:r>
        <w:rPr>
          <w:rFonts w:eastAsia="Calibri" w:cs="Arial"/>
          <w:color w:val="000000"/>
        </w:rPr>
        <w:t>:  (</w:t>
      </w:r>
      <w:proofErr w:type="gramEnd"/>
      <w:r>
        <w:rPr>
          <w:rFonts w:eastAsia="Calibri" w:cs="Arial"/>
          <w:color w:val="000000"/>
        </w:rPr>
        <w:t>614) 469-4653</w:t>
      </w:r>
    </w:p>
    <w:p w14:paraId="6749EFBB" w14:textId="5013AF96" w:rsidR="0051390D" w:rsidRPr="008310F4" w:rsidRDefault="0051390D" w:rsidP="0051390D">
      <w:pPr>
        <w:tabs>
          <w:tab w:val="left" w:pos="-1440"/>
          <w:tab w:val="left" w:pos="-720"/>
          <w:tab w:val="left" w:pos="5040"/>
          <w:tab w:val="center" w:pos="7200"/>
        </w:tabs>
        <w:overflowPunct w:val="0"/>
        <w:autoSpaceDE w:val="0"/>
        <w:autoSpaceDN w:val="0"/>
        <w:adjustRightInd w:val="0"/>
        <w:ind w:left="4320"/>
        <w:jc w:val="both"/>
        <w:rPr>
          <w:rFonts w:eastAsia="Calibri" w:cs="Arial"/>
          <w:color w:val="000000" w:themeColor="text1"/>
        </w:rPr>
      </w:pPr>
      <w:bookmarkStart w:id="0" w:name="_GoBack"/>
      <w:r w:rsidRPr="008310F4">
        <w:rPr>
          <w:rFonts w:eastAsia="Calibri" w:cs="Arial"/>
          <w:color w:val="000000" w:themeColor="text1"/>
        </w:rPr>
        <w:t xml:space="preserve">fdarr@mwncmh.com </w:t>
      </w:r>
    </w:p>
    <w:bookmarkEnd w:id="0"/>
    <w:p w14:paraId="1A7EBAA5" w14:textId="77777777" w:rsidR="0051390D" w:rsidRDefault="0051390D" w:rsidP="0051390D">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Pr>
          <w:rFonts w:eastAsia="Calibri" w:cs="Arial"/>
          <w:color w:val="000000"/>
        </w:rPr>
        <w:t>(willing to accept service by e-mail)</w:t>
      </w:r>
    </w:p>
    <w:p w14:paraId="0ACAFA07" w14:textId="2CACE976" w:rsidR="0051390D" w:rsidRPr="005A6856" w:rsidRDefault="0051390D" w:rsidP="0051390D">
      <w:pPr>
        <w:autoSpaceDE w:val="0"/>
        <w:autoSpaceDN w:val="0"/>
        <w:adjustRightInd w:val="0"/>
        <w:ind w:left="4320"/>
        <w:rPr>
          <w:rFonts w:cs="Arial"/>
          <w:bCs/>
          <w:color w:val="000000"/>
          <w:szCs w:val="24"/>
        </w:rPr>
      </w:pPr>
      <w:r w:rsidRPr="008310F4">
        <w:rPr>
          <w:rFonts w:cs="Arial"/>
          <w:bCs/>
          <w:szCs w:val="24"/>
        </w:rPr>
        <w:t>mpritchard@mwncmh.com</w:t>
      </w:r>
      <w:r>
        <w:rPr>
          <w:rFonts w:cs="Arial"/>
          <w:bCs/>
          <w:color w:val="000000"/>
          <w:szCs w:val="24"/>
        </w:rPr>
        <w:t xml:space="preserve"> </w:t>
      </w:r>
    </w:p>
    <w:p w14:paraId="27E686DB" w14:textId="77777777" w:rsidR="0051390D" w:rsidRPr="005A6856" w:rsidRDefault="0051390D" w:rsidP="0051390D">
      <w:pPr>
        <w:autoSpaceDE w:val="0"/>
        <w:autoSpaceDN w:val="0"/>
        <w:adjustRightInd w:val="0"/>
        <w:ind w:left="4320"/>
        <w:rPr>
          <w:rFonts w:cs="Arial"/>
          <w:bCs/>
          <w:color w:val="000000"/>
          <w:szCs w:val="24"/>
        </w:rPr>
      </w:pPr>
      <w:r w:rsidRPr="005A6856">
        <w:rPr>
          <w:rFonts w:cs="Arial"/>
          <w:bCs/>
          <w:color w:val="000000"/>
          <w:szCs w:val="24"/>
        </w:rPr>
        <w:t>willing to accept service by e-mail</w:t>
      </w:r>
    </w:p>
    <w:p w14:paraId="51D04EC2" w14:textId="77777777" w:rsidR="002A5B38" w:rsidRDefault="002A5B38">
      <w:pPr>
        <w:ind w:left="4320" w:right="-288"/>
        <w:rPr>
          <w:b/>
        </w:rPr>
      </w:pPr>
    </w:p>
    <w:p w14:paraId="3F6A4217" w14:textId="77777777" w:rsidR="002A5B38" w:rsidRDefault="002A5B38">
      <w:pPr>
        <w:ind w:left="4320" w:right="-288"/>
        <w:rPr>
          <w:b/>
        </w:rPr>
      </w:pPr>
      <w:r>
        <w:rPr>
          <w:b/>
        </w:rPr>
        <w:t>Attorney</w:t>
      </w:r>
      <w:r w:rsidR="0051390D">
        <w:rPr>
          <w:b/>
        </w:rPr>
        <w:t>s</w:t>
      </w:r>
      <w:r>
        <w:rPr>
          <w:b/>
        </w:rPr>
        <w:t xml:space="preserve"> for Ohio Gas Company</w:t>
      </w:r>
    </w:p>
    <w:p w14:paraId="6A764F7C" w14:textId="77777777" w:rsidR="002A5B38" w:rsidRDefault="002A5B38">
      <w:pPr>
        <w:ind w:left="4320" w:right="-288"/>
        <w:rPr>
          <w:b/>
        </w:rPr>
      </w:pPr>
    </w:p>
    <w:p w14:paraId="57D42DCC" w14:textId="77777777" w:rsidR="002A5B38" w:rsidRDefault="002A5B38">
      <w:pPr>
        <w:ind w:left="4320" w:right="-288"/>
        <w:rPr>
          <w:b/>
        </w:rPr>
        <w:sectPr w:rsidR="002A5B38">
          <w:footerReference w:type="first" r:id="rId9"/>
          <w:pgSz w:w="12240" w:h="15840"/>
          <w:pgMar w:top="1440" w:right="1440" w:bottom="1440" w:left="1440" w:header="720" w:footer="720" w:gutter="0"/>
          <w:pgNumType w:start="1"/>
          <w:cols w:space="720"/>
          <w:titlePg/>
          <w:docGrid w:linePitch="360"/>
        </w:sectPr>
      </w:pPr>
    </w:p>
    <w:p w14:paraId="01EDDE94" w14:textId="77777777" w:rsidR="002A5B38" w:rsidRDefault="002A5B38"/>
    <w:p w14:paraId="1D8083B9" w14:textId="77777777" w:rsidR="002A5B38" w:rsidRDefault="002A5B38"/>
    <w:p w14:paraId="664A0D46" w14:textId="77777777" w:rsidR="002A5B38" w:rsidRDefault="002A5B38"/>
    <w:p w14:paraId="41EC28B2" w14:textId="77777777" w:rsidR="002A5B38" w:rsidRDefault="002A5B38"/>
    <w:p w14:paraId="1BE20E95" w14:textId="77777777" w:rsidR="002A5B38" w:rsidRDefault="002A5B38"/>
    <w:p w14:paraId="4A561C68" w14:textId="77777777" w:rsidR="002A5B38" w:rsidRDefault="002A5B38"/>
    <w:p w14:paraId="648C970C" w14:textId="77777777" w:rsidR="002A5B38" w:rsidRDefault="002A5B38"/>
    <w:p w14:paraId="008B9C54" w14:textId="77777777" w:rsidR="002A5B38" w:rsidRDefault="002A5B38"/>
    <w:p w14:paraId="06F8E463" w14:textId="77777777" w:rsidR="002A5B38" w:rsidRDefault="002A5B38"/>
    <w:p w14:paraId="155E6157" w14:textId="77777777" w:rsidR="002A5B38" w:rsidRDefault="002A5B38"/>
    <w:p w14:paraId="60C90E7F" w14:textId="77777777" w:rsidR="002A5B38" w:rsidRDefault="002A5B38"/>
    <w:p w14:paraId="1C3E1610" w14:textId="77777777" w:rsidR="002A5B38" w:rsidRDefault="002A5B38"/>
    <w:p w14:paraId="14E11F9C" w14:textId="77777777" w:rsidR="002A5B38" w:rsidRDefault="002A5B38"/>
    <w:p w14:paraId="1B865534" w14:textId="77777777" w:rsidR="002A5B38" w:rsidRDefault="002A5B38"/>
    <w:p w14:paraId="0B7F61D8" w14:textId="77777777" w:rsidR="002A5B38" w:rsidRDefault="002A5B38"/>
    <w:p w14:paraId="30D9468E" w14:textId="77777777" w:rsidR="002A5B38" w:rsidRDefault="002A5B38"/>
    <w:p w14:paraId="1A747A13" w14:textId="77777777" w:rsidR="002A5B38" w:rsidRDefault="002A5B38"/>
    <w:p w14:paraId="017BDF22" w14:textId="77777777" w:rsidR="002A5B38" w:rsidRDefault="002A5B38"/>
    <w:p w14:paraId="082BBF9F" w14:textId="77777777" w:rsidR="002A5B38" w:rsidRDefault="002A5B38"/>
    <w:p w14:paraId="1162E6F2" w14:textId="77777777" w:rsidR="002A5B38" w:rsidRPr="00752932" w:rsidRDefault="002A5B38">
      <w:pPr>
        <w:jc w:val="center"/>
        <w:rPr>
          <w:b/>
        </w:rPr>
      </w:pPr>
      <w:r w:rsidRPr="00752932">
        <w:rPr>
          <w:b/>
        </w:rPr>
        <w:t>EXHIBIT A</w:t>
      </w:r>
    </w:p>
    <w:p w14:paraId="1A428907" w14:textId="03BBB058" w:rsidR="00BA3D8A" w:rsidRDefault="00BA3D8A">
      <w:r>
        <w:br w:type="page"/>
      </w:r>
    </w:p>
    <w:p w14:paraId="5268C5CF" w14:textId="77777777" w:rsidR="00534895" w:rsidRDefault="00534895">
      <w:pPr>
        <w:jc w:val="center"/>
        <w:sectPr w:rsidR="00534895">
          <w:footerReference w:type="first" r:id="rId10"/>
          <w:pgSz w:w="12240" w:h="15840"/>
          <w:pgMar w:top="1440" w:right="1800" w:bottom="1440" w:left="1800" w:header="720" w:footer="720" w:gutter="0"/>
          <w:cols w:space="720"/>
          <w:titlePg/>
          <w:docGrid w:linePitch="360"/>
        </w:sectPr>
      </w:pPr>
    </w:p>
    <w:p w14:paraId="2A5CC4A0" w14:textId="77777777" w:rsidR="00534895" w:rsidRDefault="00534895" w:rsidP="00534895"/>
    <w:p w14:paraId="43EFEF76" w14:textId="77777777" w:rsidR="00534895" w:rsidRDefault="00534895" w:rsidP="00534895"/>
    <w:p w14:paraId="66C26AB1" w14:textId="77777777" w:rsidR="00534895" w:rsidRDefault="00534895" w:rsidP="00534895"/>
    <w:p w14:paraId="4B83E68F" w14:textId="77777777" w:rsidR="00534895" w:rsidRDefault="00534895" w:rsidP="00534895"/>
    <w:p w14:paraId="1E30E91F" w14:textId="77777777" w:rsidR="00534895" w:rsidRDefault="00534895" w:rsidP="00534895"/>
    <w:p w14:paraId="556C16B0" w14:textId="77777777" w:rsidR="00534895" w:rsidRDefault="00534895" w:rsidP="00534895"/>
    <w:p w14:paraId="2EAF4245" w14:textId="77777777" w:rsidR="00534895" w:rsidRDefault="00534895" w:rsidP="00534895"/>
    <w:p w14:paraId="148E0CDD" w14:textId="77777777" w:rsidR="00534895" w:rsidRDefault="00534895" w:rsidP="00534895"/>
    <w:p w14:paraId="28902BD1" w14:textId="77777777" w:rsidR="00534895" w:rsidRDefault="00534895" w:rsidP="00534895"/>
    <w:p w14:paraId="3DEDA6E0" w14:textId="77777777" w:rsidR="00534895" w:rsidRPr="00752932" w:rsidRDefault="00534895" w:rsidP="00534895">
      <w:pPr>
        <w:rPr>
          <w:b/>
        </w:rPr>
      </w:pPr>
    </w:p>
    <w:p w14:paraId="6127B0D2" w14:textId="77777777" w:rsidR="00534895" w:rsidRPr="00752932" w:rsidRDefault="00534895" w:rsidP="00534895">
      <w:pPr>
        <w:rPr>
          <w:b/>
        </w:rPr>
      </w:pPr>
    </w:p>
    <w:p w14:paraId="4AB75323" w14:textId="571F3BDA" w:rsidR="00534895" w:rsidRPr="00752932" w:rsidRDefault="009D13B5" w:rsidP="009D13B5">
      <w:pPr>
        <w:jc w:val="center"/>
        <w:rPr>
          <w:b/>
        </w:rPr>
      </w:pPr>
      <w:r w:rsidRPr="00752932">
        <w:rPr>
          <w:b/>
        </w:rPr>
        <w:t>EXHIBIT B</w:t>
      </w:r>
    </w:p>
    <w:p w14:paraId="75FD404D" w14:textId="77777777" w:rsidR="00534895" w:rsidRDefault="00534895" w:rsidP="00534895"/>
    <w:p w14:paraId="0F98BAF8" w14:textId="77777777" w:rsidR="00534895" w:rsidRDefault="00534895" w:rsidP="00534895"/>
    <w:p w14:paraId="71496C45" w14:textId="77777777" w:rsidR="00534895" w:rsidRDefault="00534895" w:rsidP="00534895"/>
    <w:p w14:paraId="28CB8B67" w14:textId="77777777" w:rsidR="00534895" w:rsidRDefault="00534895" w:rsidP="00534895"/>
    <w:p w14:paraId="23AFBD78" w14:textId="77777777" w:rsidR="00534895" w:rsidRDefault="00534895" w:rsidP="00534895"/>
    <w:p w14:paraId="28047046" w14:textId="77777777" w:rsidR="00534895" w:rsidRDefault="00534895" w:rsidP="00534895"/>
    <w:p w14:paraId="4D53F270" w14:textId="3B971ED5" w:rsidR="009D13B5" w:rsidRDefault="009D13B5">
      <w:r>
        <w:br w:type="page"/>
      </w:r>
    </w:p>
    <w:p w14:paraId="2F86AC45" w14:textId="77777777" w:rsidR="00534895" w:rsidRDefault="00534895" w:rsidP="00534895"/>
    <w:p w14:paraId="288897B1" w14:textId="0BA514E5" w:rsidR="00534895" w:rsidRDefault="009D13B5" w:rsidP="00534895">
      <w:pPr>
        <w:jc w:val="center"/>
      </w:pPr>
      <w:r w:rsidRPr="00172BF2">
        <w:rPr>
          <w:noProof/>
        </w:rPr>
        <w:drawing>
          <wp:inline distT="0" distB="0" distL="0" distR="0" wp14:anchorId="197E8A23" wp14:editId="649A2755">
            <wp:extent cx="5486400" cy="216873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168737"/>
                    </a:xfrm>
                    <a:prstGeom prst="rect">
                      <a:avLst/>
                    </a:prstGeom>
                    <a:noFill/>
                    <a:ln>
                      <a:noFill/>
                    </a:ln>
                  </pic:spPr>
                </pic:pic>
              </a:graphicData>
            </a:graphic>
          </wp:inline>
        </w:drawing>
      </w:r>
    </w:p>
    <w:p w14:paraId="1B303573" w14:textId="77777777" w:rsidR="00534895" w:rsidRDefault="00534895">
      <w:pPr>
        <w:jc w:val="center"/>
        <w:sectPr w:rsidR="00534895">
          <w:footerReference w:type="default" r:id="rId12"/>
          <w:footerReference w:type="first" r:id="rId13"/>
          <w:pgSz w:w="12240" w:h="15840"/>
          <w:pgMar w:top="1440" w:right="1800" w:bottom="1440" w:left="1800" w:header="720" w:footer="720" w:gutter="0"/>
          <w:cols w:space="720"/>
          <w:titlePg/>
          <w:docGrid w:linePitch="360"/>
        </w:sectPr>
      </w:pPr>
    </w:p>
    <w:p w14:paraId="2DCCD2D5" w14:textId="64480FE8" w:rsidR="009D13B5" w:rsidRDefault="009D13B5" w:rsidP="009D13B5"/>
    <w:p w14:paraId="61512073" w14:textId="49174E14" w:rsidR="00171B6E" w:rsidRDefault="00172BF2">
      <w:pPr>
        <w:jc w:val="center"/>
        <w:sectPr w:rsidR="00171B6E" w:rsidSect="00DE63C7">
          <w:pgSz w:w="15840" w:h="12240" w:orient="landscape"/>
          <w:pgMar w:top="1800" w:right="1440" w:bottom="1800" w:left="1440" w:header="720" w:footer="720" w:gutter="0"/>
          <w:cols w:space="720"/>
          <w:titlePg/>
          <w:docGrid w:linePitch="360"/>
        </w:sectPr>
      </w:pPr>
      <w:r w:rsidRPr="00172BF2">
        <w:rPr>
          <w:noProof/>
        </w:rPr>
        <w:drawing>
          <wp:inline distT="0" distB="0" distL="0" distR="0" wp14:anchorId="36258FBC" wp14:editId="614961E9">
            <wp:extent cx="8229600" cy="324953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3249537"/>
                    </a:xfrm>
                    <a:prstGeom prst="rect">
                      <a:avLst/>
                    </a:prstGeom>
                    <a:noFill/>
                    <a:ln>
                      <a:noFill/>
                    </a:ln>
                  </pic:spPr>
                </pic:pic>
              </a:graphicData>
            </a:graphic>
          </wp:inline>
        </w:drawing>
      </w:r>
    </w:p>
    <w:p w14:paraId="7B9E0B32" w14:textId="77777777" w:rsidR="009D13B5" w:rsidRDefault="009D13B5"/>
    <w:p w14:paraId="6FDDA0A7" w14:textId="77777777" w:rsidR="009D13B5" w:rsidRDefault="009D13B5"/>
    <w:p w14:paraId="6E8127BA" w14:textId="77777777" w:rsidR="009D13B5" w:rsidRDefault="009D13B5"/>
    <w:p w14:paraId="3BE67294" w14:textId="77777777" w:rsidR="009D13B5" w:rsidRDefault="009D13B5"/>
    <w:p w14:paraId="5F88B56E" w14:textId="77777777" w:rsidR="009D13B5" w:rsidRDefault="009D13B5"/>
    <w:p w14:paraId="4DFA9F05" w14:textId="77777777" w:rsidR="009D13B5" w:rsidRDefault="009D13B5"/>
    <w:p w14:paraId="54F97615" w14:textId="77777777" w:rsidR="009D13B5" w:rsidRDefault="009D13B5"/>
    <w:p w14:paraId="404DB90A" w14:textId="77777777" w:rsidR="009D13B5" w:rsidRDefault="009D13B5"/>
    <w:p w14:paraId="747D283B" w14:textId="77777777" w:rsidR="009D13B5" w:rsidRDefault="009D13B5"/>
    <w:p w14:paraId="62F082C3" w14:textId="77777777" w:rsidR="009D13B5" w:rsidRDefault="009D13B5"/>
    <w:p w14:paraId="78DC7EF3" w14:textId="77777777" w:rsidR="009D13B5" w:rsidRDefault="009D13B5"/>
    <w:p w14:paraId="42100717" w14:textId="77777777" w:rsidR="009D13B5" w:rsidRPr="009D13B5" w:rsidRDefault="009D13B5" w:rsidP="009D13B5">
      <w:pPr>
        <w:jc w:val="center"/>
        <w:rPr>
          <w:b/>
        </w:rPr>
      </w:pPr>
      <w:r w:rsidRPr="009D13B5">
        <w:rPr>
          <w:b/>
        </w:rPr>
        <w:t>EXHIBIT C</w:t>
      </w:r>
    </w:p>
    <w:p w14:paraId="45426AC8" w14:textId="77777777" w:rsidR="009D13B5" w:rsidRDefault="009D13B5">
      <w:r>
        <w:br w:type="page"/>
      </w:r>
    </w:p>
    <w:p w14:paraId="0056B3E6" w14:textId="32E75F4B" w:rsidR="009D13B5" w:rsidRDefault="009D13B5">
      <w:r w:rsidRPr="00172BF2">
        <w:rPr>
          <w:noProof/>
        </w:rPr>
        <w:lastRenderedPageBreak/>
        <w:drawing>
          <wp:inline distT="0" distB="0" distL="0" distR="0" wp14:anchorId="5183FD5D" wp14:editId="120CAD69">
            <wp:extent cx="5486400" cy="3144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144520"/>
                    </a:xfrm>
                    <a:prstGeom prst="rect">
                      <a:avLst/>
                    </a:prstGeom>
                    <a:noFill/>
                    <a:ln>
                      <a:noFill/>
                    </a:ln>
                  </pic:spPr>
                </pic:pic>
              </a:graphicData>
            </a:graphic>
          </wp:inline>
        </w:drawing>
      </w:r>
    </w:p>
    <w:sectPr w:rsidR="009D13B5" w:rsidSect="00171B6E">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E8E7A" w14:textId="77777777" w:rsidR="006255DA" w:rsidRDefault="006255DA">
      <w:r>
        <w:separator/>
      </w:r>
    </w:p>
  </w:endnote>
  <w:endnote w:type="continuationSeparator" w:id="0">
    <w:p w14:paraId="1FA69199" w14:textId="77777777" w:rsidR="006255DA" w:rsidRDefault="0062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B5FA" w14:textId="77777777" w:rsidR="002A5B38" w:rsidRDefault="002A5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F5181A" w14:textId="77777777" w:rsidR="002A5B38" w:rsidRDefault="002A5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423318"/>
      <w:docPartObj>
        <w:docPartGallery w:val="Page Numbers (Bottom of Page)"/>
        <w:docPartUnique/>
      </w:docPartObj>
    </w:sdtPr>
    <w:sdtEndPr>
      <w:rPr>
        <w:noProof/>
      </w:rPr>
    </w:sdtEndPr>
    <w:sdtContent>
      <w:p w14:paraId="7488F0A0" w14:textId="1992D5B8" w:rsidR="00D51939" w:rsidRDefault="00D519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C22A" w14:textId="77777777" w:rsidR="002A5B38" w:rsidRDefault="002A5B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1268" w14:textId="77777777" w:rsidR="00764FE1" w:rsidRPr="005126D3" w:rsidRDefault="00764FE1" w:rsidP="005126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314080"/>
      <w:docPartObj>
        <w:docPartGallery w:val="Page Numbers (Bottom of Page)"/>
        <w:docPartUnique/>
      </w:docPartObj>
    </w:sdtPr>
    <w:sdtEndPr>
      <w:rPr>
        <w:noProof/>
      </w:rPr>
    </w:sdtEndPr>
    <w:sdtContent>
      <w:p w14:paraId="260DC5C4" w14:textId="7968B030" w:rsidR="008310F4" w:rsidRDefault="008310F4">
        <w:pPr>
          <w:pStyle w:val="Footer"/>
          <w:jc w:val="cen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0D17" w14:textId="77777777" w:rsidR="00AE2C9E" w:rsidRPr="00AE2C9E" w:rsidRDefault="00AE2C9E" w:rsidP="00AE2C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645256"/>
      <w:docPartObj>
        <w:docPartGallery w:val="Page Numbers (Bottom of Page)"/>
        <w:docPartUnique/>
      </w:docPartObj>
    </w:sdtPr>
    <w:sdtEndPr>
      <w:rPr>
        <w:noProof/>
      </w:rPr>
    </w:sdtEndPr>
    <w:sdtContent>
      <w:p w14:paraId="4504D7E1" w14:textId="65DAB6D7" w:rsidR="008310F4" w:rsidRDefault="008310F4">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D4872" w14:textId="77777777" w:rsidR="006255DA" w:rsidRDefault="006255DA">
      <w:pPr>
        <w:rPr>
          <w:noProof/>
        </w:rPr>
      </w:pPr>
      <w:r>
        <w:rPr>
          <w:noProof/>
        </w:rPr>
        <w:separator/>
      </w:r>
    </w:p>
  </w:footnote>
  <w:footnote w:type="continuationSeparator" w:id="0">
    <w:p w14:paraId="06A4FC6D" w14:textId="77777777" w:rsidR="006255DA" w:rsidRDefault="00625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0A"/>
    <w:rsid w:val="00052C53"/>
    <w:rsid w:val="001344C0"/>
    <w:rsid w:val="00141D7E"/>
    <w:rsid w:val="00164F7F"/>
    <w:rsid w:val="00171B6E"/>
    <w:rsid w:val="00172BF2"/>
    <w:rsid w:val="001A5B1B"/>
    <w:rsid w:val="001E68DF"/>
    <w:rsid w:val="00286ABE"/>
    <w:rsid w:val="002875E2"/>
    <w:rsid w:val="0029111A"/>
    <w:rsid w:val="002A5B38"/>
    <w:rsid w:val="002B39C8"/>
    <w:rsid w:val="002E6F08"/>
    <w:rsid w:val="00314BBC"/>
    <w:rsid w:val="00343297"/>
    <w:rsid w:val="004725BF"/>
    <w:rsid w:val="004C490A"/>
    <w:rsid w:val="004E72EE"/>
    <w:rsid w:val="005126D3"/>
    <w:rsid w:val="0051390D"/>
    <w:rsid w:val="00515466"/>
    <w:rsid w:val="00534895"/>
    <w:rsid w:val="005413C9"/>
    <w:rsid w:val="0058526B"/>
    <w:rsid w:val="0059019F"/>
    <w:rsid w:val="00597271"/>
    <w:rsid w:val="005A6856"/>
    <w:rsid w:val="005B1F49"/>
    <w:rsid w:val="005D2753"/>
    <w:rsid w:val="005E4DDA"/>
    <w:rsid w:val="0061379F"/>
    <w:rsid w:val="006255DA"/>
    <w:rsid w:val="00642FB7"/>
    <w:rsid w:val="00706C10"/>
    <w:rsid w:val="00707DFA"/>
    <w:rsid w:val="00752932"/>
    <w:rsid w:val="00764FE1"/>
    <w:rsid w:val="00772411"/>
    <w:rsid w:val="00805B33"/>
    <w:rsid w:val="008310F4"/>
    <w:rsid w:val="0084463E"/>
    <w:rsid w:val="00865F77"/>
    <w:rsid w:val="008D6087"/>
    <w:rsid w:val="008E19FE"/>
    <w:rsid w:val="008F3E87"/>
    <w:rsid w:val="00937EF0"/>
    <w:rsid w:val="009515E4"/>
    <w:rsid w:val="00977091"/>
    <w:rsid w:val="00993620"/>
    <w:rsid w:val="009A3D4E"/>
    <w:rsid w:val="009D13B5"/>
    <w:rsid w:val="009D7C62"/>
    <w:rsid w:val="009F745F"/>
    <w:rsid w:val="00A13B4E"/>
    <w:rsid w:val="00A57A1C"/>
    <w:rsid w:val="00AA62F2"/>
    <w:rsid w:val="00AE2C9E"/>
    <w:rsid w:val="00B11DC1"/>
    <w:rsid w:val="00B8269E"/>
    <w:rsid w:val="00BA3D8A"/>
    <w:rsid w:val="00BB03BF"/>
    <w:rsid w:val="00BD7AFC"/>
    <w:rsid w:val="00C00459"/>
    <w:rsid w:val="00C614B9"/>
    <w:rsid w:val="00C6284B"/>
    <w:rsid w:val="00C76CBC"/>
    <w:rsid w:val="00C96493"/>
    <w:rsid w:val="00CA6878"/>
    <w:rsid w:val="00CB0F10"/>
    <w:rsid w:val="00CC0D05"/>
    <w:rsid w:val="00D51939"/>
    <w:rsid w:val="00D72503"/>
    <w:rsid w:val="00D861DC"/>
    <w:rsid w:val="00D9312E"/>
    <w:rsid w:val="00DA675A"/>
    <w:rsid w:val="00DE63C7"/>
    <w:rsid w:val="00DF6EA8"/>
    <w:rsid w:val="00E0431E"/>
    <w:rsid w:val="00E058AE"/>
    <w:rsid w:val="00E84E78"/>
    <w:rsid w:val="00EA1B80"/>
    <w:rsid w:val="00FA2F0C"/>
    <w:rsid w:val="00FA396F"/>
    <w:rsid w:val="00FB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14:docId w14:val="410871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spacing w:line="480" w:lineRule="auto"/>
      <w:ind w:firstLine="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lang w:val="x-none" w:eastAsia="x-none"/>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character" w:styleId="Hyperlink">
    <w:name w:val="Hyperlink"/>
    <w:rPr>
      <w:color w:val="0000FF"/>
      <w:u w:val="single"/>
    </w:rPr>
  </w:style>
  <w:style w:type="character" w:customStyle="1" w:styleId="FooterChar">
    <w:name w:val="Footer Char"/>
    <w:link w:val="Footer"/>
    <w:uiPriority w:val="99"/>
    <w:rPr>
      <w:rFonts w:ascii="Arial" w:hAnsi="Arial"/>
      <w:sz w:val="24"/>
    </w:rPr>
  </w:style>
  <w:style w:type="paragraph" w:styleId="BodyText2">
    <w:name w:val="Body Text 2"/>
    <w:basedOn w:val="Normal"/>
    <w:link w:val="BodyText2Char"/>
    <w:pPr>
      <w:spacing w:after="120" w:line="480" w:lineRule="auto"/>
    </w:pPr>
    <w:rPr>
      <w:lang w:val="x-none" w:eastAsia="x-none"/>
    </w:rPr>
  </w:style>
  <w:style w:type="character" w:customStyle="1" w:styleId="BodyText2Char">
    <w:name w:val="Body Text 2 Char"/>
    <w:link w:val="BodyText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09551">
      <w:bodyDiv w:val="1"/>
      <w:marLeft w:val="0"/>
      <w:marRight w:val="0"/>
      <w:marTop w:val="0"/>
      <w:marBottom w:val="0"/>
      <w:divBdr>
        <w:top w:val="none" w:sz="0" w:space="0" w:color="auto"/>
        <w:left w:val="none" w:sz="0" w:space="0" w:color="auto"/>
        <w:bottom w:val="none" w:sz="0" w:space="0" w:color="auto"/>
        <w:right w:val="none" w:sz="0" w:space="0" w:color="auto"/>
      </w:divBdr>
    </w:div>
    <w:div w:id="927421580">
      <w:bodyDiv w:val="1"/>
      <w:marLeft w:val="0"/>
      <w:marRight w:val="0"/>
      <w:marTop w:val="0"/>
      <w:marBottom w:val="0"/>
      <w:divBdr>
        <w:top w:val="none" w:sz="0" w:space="0" w:color="auto"/>
        <w:left w:val="none" w:sz="0" w:space="0" w:color="auto"/>
        <w:bottom w:val="none" w:sz="0" w:space="0" w:color="auto"/>
        <w:right w:val="none" w:sz="0" w:space="0" w:color="auto"/>
      </w:divBdr>
    </w:div>
    <w:div w:id="100863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98FF-6B4F-4415-BACB-99303259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3019</Characters>
  <Application>Microsoft Office Word</Application>
  <DocSecurity>0</DocSecurity>
  <PresentationFormat>15|.DOCX</PresentationFormat>
  <Lines>172</Lines>
  <Paragraphs>52</Paragraphs>
  <ScaleCrop>false</ScaleCrop>
  <HeadingPairs>
    <vt:vector size="2" baseType="variant">
      <vt:variant>
        <vt:lpstr>Title</vt:lpstr>
      </vt:variant>
      <vt:variant>
        <vt:i4>1</vt:i4>
      </vt:variant>
    </vt:vector>
  </HeadingPairs>
  <TitlesOfParts>
    <vt:vector size="1" baseType="lpstr">
      <vt:lpstr>2018 Ohio Gas PIPP Filing (C0111477-1).DOCX</vt:lpstr>
    </vt:vector>
  </TitlesOfParts>
  <Manager/>
  <Company/>
  <LinksUpToDate>false</LinksUpToDate>
  <CharactersWithSpaces>3575</CharactersWithSpaces>
  <SharedDoc>false</SharedDoc>
  <HyperlinkBase> </HyperlinkBase>
  <HLinks>
    <vt:vector size="24" baseType="variant">
      <vt:variant>
        <vt:i4>2162714</vt:i4>
      </vt:variant>
      <vt:variant>
        <vt:i4>9</vt:i4>
      </vt:variant>
      <vt:variant>
        <vt:i4>0</vt:i4>
      </vt:variant>
      <vt:variant>
        <vt:i4>5</vt:i4>
      </vt:variant>
      <vt:variant>
        <vt:lpwstr>mailto:mpritchard@mwncmh.com</vt:lpwstr>
      </vt:variant>
      <vt:variant>
        <vt:lpwstr/>
      </vt:variant>
      <vt:variant>
        <vt:i4>3670019</vt:i4>
      </vt:variant>
      <vt:variant>
        <vt:i4>6</vt:i4>
      </vt:variant>
      <vt:variant>
        <vt:i4>0</vt:i4>
      </vt:variant>
      <vt:variant>
        <vt:i4>5</vt:i4>
      </vt:variant>
      <vt:variant>
        <vt:lpwstr>mailto:fdarr@mwncmh.com</vt:lpwstr>
      </vt:variant>
      <vt:variant>
        <vt:lpwstr/>
      </vt:variant>
      <vt:variant>
        <vt:i4>2162714</vt:i4>
      </vt:variant>
      <vt:variant>
        <vt:i4>3</vt:i4>
      </vt:variant>
      <vt:variant>
        <vt:i4>0</vt:i4>
      </vt:variant>
      <vt:variant>
        <vt:i4>5</vt:i4>
      </vt:variant>
      <vt:variant>
        <vt:lpwstr>mailto:mpritchard@mwncmh.com</vt:lpwstr>
      </vt:variant>
      <vt:variant>
        <vt:lpwstr/>
      </vt:variant>
      <vt:variant>
        <vt:i4>3670019</vt:i4>
      </vt:variant>
      <vt:variant>
        <vt:i4>0</vt:i4>
      </vt:variant>
      <vt:variant>
        <vt:i4>0</vt:i4>
      </vt:variant>
      <vt:variant>
        <vt:i4>5</vt:i4>
      </vt:variant>
      <vt:variant>
        <vt:lpwstr>mailto:fdarr@mwncmh.com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18-411-GA-PIP Application 5-11-18.docx</dc:title>
  <dc:subject/>
  <dc:creator/>
  <cp:keywords> </cp:keywords>
  <dc:description/>
  <cp:lastModifiedBy/>
  <cp:revision>1</cp:revision>
  <cp:lastPrinted>2006-10-30T15:07:00Z</cp:lastPrinted>
  <dcterms:created xsi:type="dcterms:W3CDTF">2018-05-11T13:24:00Z</dcterms:created>
  <dcterms:modified xsi:type="dcterms:W3CDTF">2018-05-11T13:27:00Z</dcterms:modified>
  <cp:category> </cp:category>
  <cp:contentStatus> </cp:contentStatus>
</cp:coreProperties>
</file>