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804644" w:rsidRPr="00C84921" w:rsidP="00804644" w14:paraId="5CB3DA4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b/>
          <w:bCs/>
        </w:rPr>
      </w:pPr>
      <w:r w:rsidRPr="00C84921">
        <w:rPr>
          <w:rFonts w:eastAsia="Courier New"/>
          <w:b/>
          <w:bCs/>
        </w:rPr>
        <w:t>BEFORE</w:t>
      </w:r>
    </w:p>
    <w:p w:rsidR="00804644" w:rsidRPr="00C84921" w:rsidP="00804644" w14:paraId="7AC965A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rPr>
      </w:pPr>
      <w:r w:rsidRPr="00C84921">
        <w:rPr>
          <w:rFonts w:eastAsia="Courier New"/>
          <w:b/>
          <w:bCs/>
        </w:rPr>
        <w:t>THE PUBLIC UTILITIES COMMISSION OF OHIO</w:t>
      </w:r>
    </w:p>
    <w:p w:rsidR="00804644" w:rsidRPr="00C84921" w:rsidP="00804644" w14:paraId="1B4E8B2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rPr>
      </w:pPr>
    </w:p>
    <w:tbl>
      <w:tblPr>
        <w:tblW w:w="8748" w:type="dxa"/>
        <w:tblLook w:val="01E0"/>
      </w:tblPr>
      <w:tblGrid>
        <w:gridCol w:w="4332"/>
        <w:gridCol w:w="360"/>
        <w:gridCol w:w="4056"/>
      </w:tblGrid>
      <w:tr w14:paraId="48BB8A12" w14:textId="77777777" w:rsidTr="002C3863">
        <w:tblPrEx>
          <w:tblW w:w="8748" w:type="dxa"/>
          <w:tblLook w:val="01E0"/>
        </w:tblPrEx>
        <w:trPr>
          <w:trHeight w:val="807"/>
        </w:trPr>
        <w:tc>
          <w:tcPr>
            <w:tcW w:w="4332" w:type="dxa"/>
            <w:shd w:val="clear" w:color="auto" w:fill="auto"/>
          </w:tcPr>
          <w:p w:rsidR="00804644" w:rsidRPr="00C84921" w:rsidP="002C3863" w14:paraId="2F3DCB10" w14:textId="77777777">
            <w:pPr>
              <w:spacing w:after="0" w:line="240" w:lineRule="auto"/>
              <w:rPr>
                <w:rFonts w:eastAsia="Times New Roman"/>
              </w:rPr>
            </w:pPr>
            <w:r w:rsidRPr="00C84921">
              <w:rPr>
                <w:rFonts w:eastAsia="Times New Roman"/>
              </w:rPr>
              <w:t xml:space="preserve">In the Matter of the Application of Ohio Edison Company, the Cleveland Electric Illuminating Company and the Toledo Edison Company to Revise Reliability Performance Standards Pursuant to O.A.C. 4901:1-10-10(B)(7). </w:t>
            </w:r>
          </w:p>
          <w:p w:rsidR="00804644" w:rsidRPr="00C84921" w:rsidP="002C3863" w14:paraId="70A3E180" w14:textId="77777777">
            <w:pPr>
              <w:spacing w:after="0" w:line="240" w:lineRule="auto"/>
              <w:rPr>
                <w:rFonts w:eastAsia="Times New Roman"/>
              </w:rPr>
            </w:pPr>
          </w:p>
          <w:p w:rsidR="00804644" w:rsidRPr="00C84921" w:rsidP="002C3863" w14:paraId="5A0EF0A5" w14:textId="77777777">
            <w:pPr>
              <w:spacing w:after="0" w:line="240" w:lineRule="auto"/>
              <w:rPr>
                <w:rFonts w:eastAsia="Times New Roman"/>
              </w:rPr>
            </w:pPr>
            <w:r w:rsidRPr="00C84921">
              <w:rPr>
                <w:rFonts w:eastAsia="Times New Roman"/>
              </w:rPr>
              <w:t xml:space="preserve">In the Matter of the Application of Ohio Edison Company, the Cleveland Electric Illuminating Company and the Toledo Edison Company for Approval of a Waiver of O.A.C. 4901:1-10-10(B)(3), (4), (5) and (6)(a). </w:t>
            </w:r>
          </w:p>
        </w:tc>
        <w:tc>
          <w:tcPr>
            <w:tcW w:w="360" w:type="dxa"/>
            <w:shd w:val="clear" w:color="auto" w:fill="auto"/>
          </w:tcPr>
          <w:p w:rsidR="00804644" w:rsidRPr="00C84921" w:rsidP="002C3863" w14:paraId="0A32E19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rPr>
            </w:pPr>
            <w:r w:rsidRPr="00C84921">
              <w:rPr>
                <w:rFonts w:eastAsia="Courier New"/>
              </w:rPr>
              <w:t>)</w:t>
            </w:r>
          </w:p>
          <w:p w:rsidR="00804644" w:rsidRPr="00C84921" w:rsidP="002C3863" w14:paraId="5D05ADD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rPr>
            </w:pPr>
            <w:r w:rsidRPr="00C84921">
              <w:rPr>
                <w:rFonts w:eastAsia="Courier New"/>
              </w:rPr>
              <w:t>)</w:t>
            </w:r>
          </w:p>
          <w:p w:rsidR="00804644" w:rsidRPr="00C84921" w:rsidP="002C3863" w14:paraId="3DEB8D6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rPr>
            </w:pPr>
            <w:r w:rsidRPr="00C84921">
              <w:rPr>
                <w:rFonts w:eastAsia="Courier New"/>
              </w:rPr>
              <w:t>)</w:t>
            </w:r>
          </w:p>
          <w:p w:rsidR="00804644" w:rsidRPr="00C84921" w:rsidP="002C3863" w14:paraId="109BFF3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rPr>
            </w:pPr>
            <w:r w:rsidRPr="00C84921">
              <w:rPr>
                <w:rFonts w:eastAsia="Courier New"/>
              </w:rPr>
              <w:t>)</w:t>
            </w:r>
          </w:p>
          <w:p w:rsidR="00804644" w:rsidRPr="00C84921" w:rsidP="002C3863" w14:paraId="4B9A71D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rPr>
            </w:pPr>
            <w:r w:rsidRPr="00C84921">
              <w:rPr>
                <w:rFonts w:eastAsia="Courier New"/>
              </w:rPr>
              <w:t>)</w:t>
            </w:r>
          </w:p>
          <w:p w:rsidR="00804644" w:rsidRPr="00C84921" w:rsidP="002C3863" w14:paraId="7F0E19E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rPr>
            </w:pPr>
            <w:r w:rsidRPr="00C84921">
              <w:rPr>
                <w:rFonts w:eastAsia="Courier New"/>
              </w:rPr>
              <w:t>)</w:t>
            </w:r>
          </w:p>
          <w:p w:rsidR="00804644" w:rsidRPr="00C84921" w:rsidP="002C3863" w14:paraId="5B05644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rPr>
            </w:pPr>
          </w:p>
          <w:p w:rsidR="00804644" w:rsidRPr="00C84921" w:rsidP="002C3863" w14:paraId="78E3CC4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rPr>
            </w:pPr>
            <w:r w:rsidRPr="00C84921">
              <w:rPr>
                <w:rFonts w:eastAsia="Courier New"/>
              </w:rPr>
              <w:t>)</w:t>
            </w:r>
          </w:p>
          <w:p w:rsidR="00804644" w:rsidRPr="00C84921" w:rsidP="002C3863" w14:paraId="5620C89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rPr>
            </w:pPr>
            <w:r w:rsidRPr="00C84921">
              <w:rPr>
                <w:rFonts w:eastAsia="Courier New"/>
              </w:rPr>
              <w:t>)</w:t>
            </w:r>
          </w:p>
          <w:p w:rsidR="00804644" w:rsidRPr="00C84921" w:rsidP="002C3863" w14:paraId="42BCFC9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rPr>
            </w:pPr>
            <w:r w:rsidRPr="00C84921">
              <w:rPr>
                <w:rFonts w:eastAsia="Courier New"/>
              </w:rPr>
              <w:t>)</w:t>
            </w:r>
          </w:p>
          <w:p w:rsidR="00804644" w:rsidRPr="00C84921" w:rsidP="002C3863" w14:paraId="6732E04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rPr>
            </w:pPr>
            <w:r w:rsidRPr="00C84921">
              <w:rPr>
                <w:rFonts w:eastAsia="Courier New"/>
              </w:rPr>
              <w:t>)</w:t>
            </w:r>
          </w:p>
          <w:p w:rsidR="00804644" w:rsidRPr="00C84921" w:rsidP="002C3863" w14:paraId="25D20EA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rPr>
            </w:pPr>
            <w:r w:rsidRPr="00C84921">
              <w:rPr>
                <w:rFonts w:eastAsia="Courier New"/>
              </w:rPr>
              <w:t>)</w:t>
            </w:r>
          </w:p>
          <w:p w:rsidR="00804644" w:rsidRPr="00C84921" w:rsidP="002C3863" w14:paraId="068A06B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rPr>
            </w:pPr>
            <w:r w:rsidRPr="00C84921">
              <w:rPr>
                <w:rFonts w:eastAsia="Courier New"/>
              </w:rPr>
              <w:t>)</w:t>
            </w:r>
          </w:p>
        </w:tc>
        <w:tc>
          <w:tcPr>
            <w:tcW w:w="4056" w:type="dxa"/>
            <w:shd w:val="clear" w:color="auto" w:fill="auto"/>
          </w:tcPr>
          <w:p w:rsidR="00804644" w:rsidRPr="00C84921" w:rsidP="002C3863" w14:paraId="7830B50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rPr>
            </w:pPr>
          </w:p>
          <w:p w:rsidR="00804644" w:rsidRPr="00C84921" w:rsidP="002C3863" w14:paraId="7F9ECFB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rPr>
            </w:pPr>
          </w:p>
          <w:p w:rsidR="00804644" w:rsidRPr="00C84921" w:rsidP="002C3863" w14:paraId="0A93CCF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rPr>
            </w:pPr>
            <w:r w:rsidRPr="00C84921">
              <w:rPr>
                <w:rFonts w:eastAsia="Courier New"/>
              </w:rPr>
              <w:t>Case No. 20-580-EL-ESS</w:t>
            </w:r>
          </w:p>
          <w:p w:rsidR="00804644" w:rsidRPr="00C84921" w:rsidP="002C3863" w14:paraId="632A003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rPr>
            </w:pPr>
          </w:p>
          <w:p w:rsidR="00804644" w:rsidRPr="00C84921" w:rsidP="002C3863" w14:paraId="5D56D61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rPr>
            </w:pPr>
          </w:p>
          <w:p w:rsidR="00804644" w:rsidRPr="00C84921" w:rsidP="002C3863" w14:paraId="6760B66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rPr>
            </w:pPr>
          </w:p>
          <w:p w:rsidR="00804644" w:rsidRPr="00C84921" w:rsidP="002C3863" w14:paraId="044188A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rPr>
            </w:pPr>
          </w:p>
          <w:p w:rsidR="00804644" w:rsidRPr="00C84921" w:rsidP="002C3863" w14:paraId="612400E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rPr>
            </w:pPr>
          </w:p>
          <w:p w:rsidR="00804644" w:rsidRPr="00C84921" w:rsidP="002C3863" w14:paraId="3D42708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rPr>
            </w:pPr>
          </w:p>
          <w:p w:rsidR="00804644" w:rsidRPr="00C84921" w:rsidP="002C3863" w14:paraId="38E4057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rPr>
            </w:pPr>
            <w:r w:rsidRPr="00C84921">
              <w:rPr>
                <w:rFonts w:eastAsia="Courier New"/>
              </w:rPr>
              <w:t>Case No. 20-581-EL-WVR</w:t>
            </w:r>
          </w:p>
          <w:p w:rsidR="00804644" w:rsidRPr="00C84921" w:rsidP="002C3863" w14:paraId="1EB2B44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rPr>
            </w:pPr>
          </w:p>
        </w:tc>
      </w:tr>
    </w:tbl>
    <w:p w:rsidR="00804644" w:rsidRPr="00C84921" w:rsidP="00804644" w14:paraId="5DACB2C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rPr>
      </w:pPr>
    </w:p>
    <w:p w:rsidR="00804644" w:rsidRPr="00C84921" w:rsidP="00804644" w14:paraId="45542948" w14:textId="77777777">
      <w:pPr>
        <w:pBdr>
          <w:top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rPr>
      </w:pPr>
    </w:p>
    <w:p w:rsidR="00804644" w:rsidRPr="00C84921" w:rsidP="00804644" w14:paraId="48C07B95" w14:textId="4B433026">
      <w:pPr>
        <w:spacing w:after="0" w:line="240" w:lineRule="auto"/>
        <w:jc w:val="center"/>
        <w:rPr>
          <w:rFonts w:eastAsia="Times New Roman"/>
          <w:b/>
          <w:bCs/>
        </w:rPr>
      </w:pPr>
      <w:r w:rsidRPr="00C84921">
        <w:rPr>
          <w:rFonts w:eastAsia="Times New Roman"/>
          <w:b/>
          <w:bCs/>
        </w:rPr>
        <w:t>REPLY COMMENTS FOR CONSUMER PROTECTION</w:t>
      </w:r>
    </w:p>
    <w:p w:rsidR="00804644" w:rsidRPr="00C84921" w:rsidP="00804644" w14:paraId="1B51E776" w14:textId="77777777">
      <w:pPr>
        <w:spacing w:after="0" w:line="240" w:lineRule="auto"/>
        <w:jc w:val="center"/>
        <w:rPr>
          <w:rFonts w:eastAsia="Times New Roman"/>
          <w:b/>
          <w:bCs/>
        </w:rPr>
      </w:pPr>
      <w:r w:rsidRPr="00C84921">
        <w:rPr>
          <w:rFonts w:eastAsia="Times New Roman"/>
          <w:b/>
          <w:bCs/>
        </w:rPr>
        <w:t>BY</w:t>
      </w:r>
    </w:p>
    <w:p w:rsidR="00804644" w:rsidRPr="00C84921" w:rsidP="00804644" w14:paraId="302955A9" w14:textId="77777777">
      <w:pPr>
        <w:spacing w:after="0" w:line="240" w:lineRule="auto"/>
        <w:jc w:val="center"/>
        <w:rPr>
          <w:rFonts w:eastAsia="Times New Roman"/>
          <w:b/>
          <w:bCs/>
        </w:rPr>
      </w:pPr>
      <w:r w:rsidRPr="00C84921">
        <w:rPr>
          <w:rFonts w:eastAsia="Times New Roman"/>
          <w:b/>
          <w:bCs/>
        </w:rPr>
        <w:t>OFFICE OF THE OHIO CONSUMERS’ COUNSEL</w:t>
      </w:r>
    </w:p>
    <w:p w:rsidR="00804644" w:rsidRPr="00C84921" w:rsidP="00804644" w14:paraId="3CC80C49" w14:textId="77777777">
      <w:pPr>
        <w:pBdr>
          <w:bottom w:val="single" w:sz="12" w:space="1" w:color="auto"/>
        </w:pBdr>
        <w:tabs>
          <w:tab w:val="left" w:pos="4320"/>
        </w:tabs>
        <w:spacing w:after="0" w:line="240" w:lineRule="auto"/>
        <w:rPr>
          <w:rFonts w:eastAsia="Times New Roman"/>
        </w:rPr>
      </w:pPr>
    </w:p>
    <w:p w:rsidR="00245180" w:rsidRPr="00C84921" w:rsidP="006E6EDB" w14:paraId="3DC25A91" w14:textId="77777777">
      <w:pPr>
        <w:spacing w:after="0" w:line="240" w:lineRule="auto"/>
        <w:rPr>
          <w:b/>
          <w:bCs/>
        </w:rPr>
      </w:pPr>
    </w:p>
    <w:p w:rsidR="00BD6D30" w:rsidRPr="00C84921" w:rsidP="006E6EDB" w14:paraId="144B9AD9" w14:textId="0744B005">
      <w:pPr>
        <w:pStyle w:val="Heading1"/>
      </w:pPr>
      <w:bookmarkStart w:id="0" w:name="_Toc137465701"/>
      <w:r w:rsidRPr="00C84921">
        <w:t>I.</w:t>
      </w:r>
      <w:r w:rsidRPr="00C84921">
        <w:tab/>
      </w:r>
      <w:r w:rsidRPr="00C84921" w:rsidR="000B5236">
        <w:t>INTRODUCTION</w:t>
      </w:r>
      <w:bookmarkEnd w:id="0"/>
    </w:p>
    <w:p w:rsidR="00620F6F" w:rsidRPr="00C84921" w:rsidP="006E6EDB" w14:paraId="3F435DC5" w14:textId="6B470BDE">
      <w:pPr>
        <w:spacing w:after="0" w:line="480" w:lineRule="auto"/>
        <w:ind w:firstLine="720"/>
      </w:pPr>
      <w:r w:rsidRPr="00C84921">
        <w:t xml:space="preserve">Ohio law requires the </w:t>
      </w:r>
      <w:r w:rsidRPr="00C84921" w:rsidR="000B5236">
        <w:t xml:space="preserve">Ohio Edison Company (“OE”), </w:t>
      </w:r>
      <w:r w:rsidRPr="00C84921" w:rsidR="00EE3814">
        <w:t>t</w:t>
      </w:r>
      <w:r w:rsidRPr="00C84921" w:rsidR="000B5236">
        <w:t xml:space="preserve">he Toledo Edison Company (“TE”), and </w:t>
      </w:r>
      <w:r w:rsidRPr="00C84921" w:rsidR="00EE3814">
        <w:t>t</w:t>
      </w:r>
      <w:r w:rsidRPr="00C84921" w:rsidR="000B5236">
        <w:t xml:space="preserve">he Cleveland Electric Illuminating Company (“CEI”) (collectively, the “FirstEnergy </w:t>
      </w:r>
      <w:r w:rsidRPr="00C84921" w:rsidR="00FC6BB2">
        <w:t>Utilities</w:t>
      </w:r>
      <w:r w:rsidRPr="00C84921" w:rsidR="000B5236">
        <w:t xml:space="preserve">”) </w:t>
      </w:r>
      <w:r w:rsidRPr="00C84921">
        <w:t>to provid</w:t>
      </w:r>
      <w:r w:rsidRPr="00C84921" w:rsidR="00FC6BB2">
        <w:t>e</w:t>
      </w:r>
      <w:r w:rsidRPr="00C84921">
        <w:t xml:space="preserve"> safe, reliable, and reasonably priced electric distribution service.</w:t>
      </w:r>
      <w:r>
        <w:rPr>
          <w:rStyle w:val="FootnoteReference"/>
        </w:rPr>
        <w:footnoteReference w:id="2"/>
      </w:r>
      <w:r w:rsidRPr="00C84921" w:rsidR="00C45432">
        <w:t xml:space="preserve"> </w:t>
      </w:r>
      <w:r w:rsidRPr="00C84921">
        <w:t xml:space="preserve">Ohio law also requires the Public Utilities Commission of Ohio to (“PUCO”) to establish the minimum accepted standards that govern the level of distribution reliability that the FirstEnergy </w:t>
      </w:r>
      <w:r w:rsidRPr="00C84921" w:rsidR="007C02FD">
        <w:t>Utilities</w:t>
      </w:r>
      <w:r w:rsidRPr="00C84921">
        <w:t xml:space="preserve"> must provide consumers.</w:t>
      </w:r>
      <w:r>
        <w:rPr>
          <w:rStyle w:val="FootnoteReference"/>
        </w:rPr>
        <w:footnoteReference w:id="3"/>
      </w:r>
      <w:r w:rsidRPr="00C84921">
        <w:t xml:space="preserve"> The PUCO establishe</w:t>
      </w:r>
      <w:r w:rsidRPr="00C84921" w:rsidR="000C68A1">
        <w:t>s</w:t>
      </w:r>
      <w:r w:rsidRPr="00C84921">
        <w:t xml:space="preserve"> these standards </w:t>
      </w:r>
      <w:r w:rsidRPr="00C84921" w:rsidR="000C68A1">
        <w:t>based on</w:t>
      </w:r>
      <w:r w:rsidRPr="00C84921">
        <w:t xml:space="preserve"> System Average Interruption Frequency Index (“SAIFI”) metrics and a Customer Average Interruption Duration Index (“CAIDI”)</w:t>
      </w:r>
      <w:r w:rsidRPr="00C84921" w:rsidR="0007558E">
        <w:t xml:space="preserve"> </w:t>
      </w:r>
      <w:r w:rsidRPr="00C84921" w:rsidR="0007558E">
        <w:t>metrics</w:t>
      </w:r>
      <w:r w:rsidRPr="00C84921">
        <w:t>.</w:t>
      </w:r>
      <w:r>
        <w:rPr>
          <w:rStyle w:val="FootnoteReference"/>
        </w:rPr>
        <w:footnoteReference w:id="4"/>
      </w:r>
      <w:r w:rsidRPr="00C84921">
        <w:t xml:space="preserve"> </w:t>
      </w:r>
      <w:r w:rsidRPr="00C84921" w:rsidR="0007558E">
        <w:t xml:space="preserve">SAIFI is the average number of power interruptions consumers should experience annually. CAIDI is the average duration of time </w:t>
      </w:r>
      <w:r w:rsidRPr="00C84921" w:rsidR="00C42D6B">
        <w:t xml:space="preserve">(in minutes) </w:t>
      </w:r>
      <w:r w:rsidRPr="00C84921" w:rsidR="0007558E">
        <w:t xml:space="preserve">annually that consumers </w:t>
      </w:r>
      <w:r w:rsidRPr="00C84921" w:rsidR="00594A1F">
        <w:t xml:space="preserve">should </w:t>
      </w:r>
      <w:r w:rsidRPr="00C84921" w:rsidR="00DD0854">
        <w:t xml:space="preserve">be </w:t>
      </w:r>
      <w:r w:rsidRPr="00C84921" w:rsidR="0007558E">
        <w:t>wait</w:t>
      </w:r>
      <w:r w:rsidRPr="00C84921" w:rsidR="00DD0854">
        <w:t>ing</w:t>
      </w:r>
      <w:r w:rsidRPr="00C84921" w:rsidR="00594A1F">
        <w:t xml:space="preserve"> </w:t>
      </w:r>
      <w:r w:rsidRPr="00C84921" w:rsidR="0007558E">
        <w:t>to have services restored.</w:t>
      </w:r>
      <w:r>
        <w:rPr>
          <w:rStyle w:val="FootnoteReference"/>
        </w:rPr>
        <w:footnoteReference w:id="5"/>
      </w:r>
    </w:p>
    <w:p w:rsidR="00E605EC" w:rsidP="00DC63FC" w14:paraId="4DD7A951" w14:textId="71A8E311">
      <w:pPr>
        <w:spacing w:after="0" w:line="480" w:lineRule="auto"/>
        <w:ind w:firstLine="720"/>
      </w:pPr>
      <w:r w:rsidRPr="00C84921">
        <w:t>The PUCO should protect consumers by adopting reasonable reliability standards for</w:t>
      </w:r>
      <w:r w:rsidR="00C84921">
        <w:t xml:space="preserve"> </w:t>
      </w:r>
      <w:r w:rsidRPr="00C84921">
        <w:t>consumers of</w:t>
      </w:r>
      <w:r w:rsidR="00C84921">
        <w:t xml:space="preserve"> </w:t>
      </w:r>
      <w:r w:rsidRPr="00C84921">
        <w:t xml:space="preserve">the FirstEnergy </w:t>
      </w:r>
      <w:r w:rsidRPr="00C84921" w:rsidR="007C02FD">
        <w:t>Utilities</w:t>
      </w:r>
      <w:r w:rsidRPr="00C84921">
        <w:t>.</w:t>
      </w:r>
      <w:r>
        <w:rPr>
          <w:rStyle w:val="FootnoteReference"/>
        </w:rPr>
        <w:footnoteReference w:id="6"/>
      </w:r>
      <w:r w:rsidRPr="00C84921">
        <w:t xml:space="preserve"> The PUCO should schedule this matter for a hearing.</w:t>
      </w:r>
      <w:r>
        <w:rPr>
          <w:rStyle w:val="FootnoteReference"/>
        </w:rPr>
        <w:footnoteReference w:id="7"/>
      </w:r>
      <w:r w:rsidRPr="00C84921">
        <w:t xml:space="preserve"> </w:t>
      </w:r>
      <w:r w:rsidRPr="00C84921" w:rsidR="00615AA9">
        <w:t xml:space="preserve">While the </w:t>
      </w:r>
      <w:r w:rsidRPr="00C84921" w:rsidR="007C02FD">
        <w:t xml:space="preserve">Staff Comments </w:t>
      </w:r>
      <w:r w:rsidRPr="00C84921" w:rsidR="00FC6BB2">
        <w:t>have recommended more stringent reliability standards</w:t>
      </w:r>
      <w:r w:rsidRPr="00C84921" w:rsidR="007C02FD">
        <w:t xml:space="preserve"> than proposed by the FirstEnergy Utilities, </w:t>
      </w:r>
      <w:r w:rsidRPr="00C84921" w:rsidR="00615AA9">
        <w:t>further improvement is supported by the PUCO rules.</w:t>
      </w:r>
      <w:r>
        <w:rPr>
          <w:rStyle w:val="FootnoteReference"/>
        </w:rPr>
        <w:footnoteReference w:id="8"/>
      </w:r>
      <w:r w:rsidRPr="00C84921" w:rsidR="00615AA9">
        <w:t xml:space="preserve"> </w:t>
      </w:r>
      <w:r w:rsidRPr="00C84921" w:rsidR="000C68A1">
        <w:t>Also</w:t>
      </w:r>
      <w:r w:rsidRPr="00C84921" w:rsidR="00615AA9">
        <w:t xml:space="preserve">, the PUCO rules for establishing reliability standards supports </w:t>
      </w:r>
      <w:r w:rsidRPr="00C84921" w:rsidR="007C02FD">
        <w:t xml:space="preserve">SAIFI and </w:t>
      </w:r>
      <w:r w:rsidRPr="00C84921" w:rsidR="00615AA9">
        <w:t xml:space="preserve">CAIDI improvement over </w:t>
      </w:r>
      <w:r w:rsidRPr="00C84921" w:rsidR="007C02FD">
        <w:t xml:space="preserve">the </w:t>
      </w:r>
      <w:r w:rsidRPr="00C84921" w:rsidR="00615AA9">
        <w:t xml:space="preserve">standards </w:t>
      </w:r>
      <w:r w:rsidRPr="00C84921">
        <w:t xml:space="preserve">proposed </w:t>
      </w:r>
      <w:r w:rsidRPr="00C84921" w:rsidR="007C02FD">
        <w:t xml:space="preserve">by the </w:t>
      </w:r>
      <w:r w:rsidRPr="00C84921" w:rsidR="00615AA9">
        <w:t xml:space="preserve">FirstEnergy </w:t>
      </w:r>
      <w:r w:rsidRPr="00C84921" w:rsidR="007C02FD">
        <w:t>Utilities</w:t>
      </w:r>
      <w:r w:rsidRPr="00C84921" w:rsidR="00615AA9">
        <w:t>.</w:t>
      </w:r>
      <w:r>
        <w:rPr>
          <w:rStyle w:val="FootnoteReference"/>
        </w:rPr>
        <w:footnoteReference w:id="9"/>
      </w:r>
      <w:r w:rsidRPr="00C84921" w:rsidR="00615AA9">
        <w:t xml:space="preserve"> </w:t>
      </w:r>
      <w:bookmarkStart w:id="1" w:name="_Toc137465705"/>
    </w:p>
    <w:p w:rsidR="00E605EC" w14:paraId="771C046D" w14:textId="77777777">
      <w:r>
        <w:br w:type="page"/>
      </w:r>
    </w:p>
    <w:p w:rsidR="00BD6D30" w:rsidRPr="00C84921" w:rsidP="00DC63FC" w14:paraId="4E697E36" w14:textId="71D685CB">
      <w:pPr>
        <w:pStyle w:val="Heading1"/>
      </w:pPr>
      <w:r w:rsidRPr="00C84921">
        <w:t>II.</w:t>
      </w:r>
      <w:r w:rsidRPr="00C84921">
        <w:tab/>
      </w:r>
      <w:r w:rsidRPr="00C84921" w:rsidR="00D31AC4">
        <w:t xml:space="preserve">REPLY </w:t>
      </w:r>
      <w:r w:rsidRPr="00C84921">
        <w:t>COMMENTS/ RECOMMENDATIONS</w:t>
      </w:r>
      <w:bookmarkEnd w:id="1"/>
    </w:p>
    <w:p w:rsidR="00620F6F" w:rsidRPr="00C84921" w:rsidP="00F3126F" w14:paraId="79D4DAF1" w14:textId="39A586A8">
      <w:pPr>
        <w:pStyle w:val="Heading2"/>
        <w:rPr>
          <w:rFonts w:ascii="Times New Roman" w:hAnsi="Times New Roman"/>
        </w:rPr>
      </w:pPr>
      <w:bookmarkStart w:id="2" w:name="_Toc137465706"/>
      <w:r w:rsidRPr="00C84921">
        <w:rPr>
          <w:rFonts w:ascii="Times New Roman" w:hAnsi="Times New Roman"/>
        </w:rPr>
        <w:t>A.</w:t>
      </w:r>
      <w:r w:rsidRPr="00C84921">
        <w:rPr>
          <w:rFonts w:ascii="Times New Roman" w:hAnsi="Times New Roman"/>
        </w:rPr>
        <w:tab/>
      </w:r>
      <w:r w:rsidRPr="00C84921" w:rsidR="00695E9A">
        <w:rPr>
          <w:rFonts w:ascii="Times New Roman" w:hAnsi="Times New Roman"/>
        </w:rPr>
        <w:t>T</w:t>
      </w:r>
      <w:r w:rsidRPr="00C84921" w:rsidR="003971BB">
        <w:rPr>
          <w:rFonts w:ascii="Times New Roman" w:hAnsi="Times New Roman"/>
        </w:rPr>
        <w:t>o consumers’ detriment, t</w:t>
      </w:r>
      <w:r w:rsidRPr="00C84921" w:rsidR="00483A34">
        <w:rPr>
          <w:rFonts w:ascii="Times New Roman" w:hAnsi="Times New Roman"/>
        </w:rPr>
        <w:t xml:space="preserve">he PUCO Staff Comments </w:t>
      </w:r>
      <w:r w:rsidRPr="00C84921" w:rsidR="00E85898">
        <w:rPr>
          <w:rFonts w:ascii="Times New Roman" w:hAnsi="Times New Roman"/>
        </w:rPr>
        <w:t>unreasonably recommend that the PUCO approve the proposed SAIFI standard</w:t>
      </w:r>
      <w:r w:rsidRPr="00C84921">
        <w:rPr>
          <w:rFonts w:ascii="Times New Roman" w:hAnsi="Times New Roman"/>
        </w:rPr>
        <w:t>s</w:t>
      </w:r>
      <w:r w:rsidRPr="00C84921" w:rsidR="00E85898">
        <w:rPr>
          <w:rFonts w:ascii="Times New Roman" w:hAnsi="Times New Roman"/>
        </w:rPr>
        <w:t xml:space="preserve"> for all three FirstEnergy </w:t>
      </w:r>
      <w:r w:rsidRPr="00C84921" w:rsidR="007C02FD">
        <w:rPr>
          <w:rFonts w:ascii="Times New Roman" w:hAnsi="Times New Roman"/>
        </w:rPr>
        <w:t xml:space="preserve">Utilities </w:t>
      </w:r>
      <w:r w:rsidRPr="00C84921" w:rsidR="00E85898">
        <w:rPr>
          <w:rFonts w:ascii="Times New Roman" w:hAnsi="Times New Roman"/>
        </w:rPr>
        <w:t xml:space="preserve">even though it provides no </w:t>
      </w:r>
      <w:r w:rsidRPr="00C84921">
        <w:rPr>
          <w:rFonts w:ascii="Times New Roman" w:hAnsi="Times New Roman"/>
        </w:rPr>
        <w:t xml:space="preserve">analysis, </w:t>
      </w:r>
      <w:r w:rsidRPr="00C84921" w:rsidR="00E85898">
        <w:rPr>
          <w:rFonts w:ascii="Times New Roman" w:hAnsi="Times New Roman"/>
        </w:rPr>
        <w:t>rationale</w:t>
      </w:r>
      <w:r w:rsidRPr="00C84921" w:rsidR="003971BB">
        <w:rPr>
          <w:rFonts w:ascii="Times New Roman" w:hAnsi="Times New Roman"/>
        </w:rPr>
        <w:t>,</w:t>
      </w:r>
      <w:r w:rsidRPr="00C84921" w:rsidR="00E85898">
        <w:rPr>
          <w:rFonts w:ascii="Times New Roman" w:hAnsi="Times New Roman"/>
        </w:rPr>
        <w:t xml:space="preserve"> </w:t>
      </w:r>
      <w:r w:rsidRPr="00C84921">
        <w:rPr>
          <w:rFonts w:ascii="Times New Roman" w:hAnsi="Times New Roman"/>
        </w:rPr>
        <w:t xml:space="preserve">or </w:t>
      </w:r>
      <w:r w:rsidRPr="00C84921" w:rsidR="00E85898">
        <w:rPr>
          <w:rFonts w:ascii="Times New Roman" w:hAnsi="Times New Roman"/>
        </w:rPr>
        <w:t>support</w:t>
      </w:r>
      <w:r w:rsidRPr="00C84921">
        <w:rPr>
          <w:rFonts w:ascii="Times New Roman" w:hAnsi="Times New Roman"/>
        </w:rPr>
        <w:t xml:space="preserve"> for </w:t>
      </w:r>
      <w:r w:rsidRPr="00C84921" w:rsidR="00B06D4B">
        <w:rPr>
          <w:rFonts w:ascii="Times New Roman" w:hAnsi="Times New Roman"/>
        </w:rPr>
        <w:t xml:space="preserve">an </w:t>
      </w:r>
      <w:r w:rsidRPr="00C84921" w:rsidR="007C02FD">
        <w:rPr>
          <w:rFonts w:ascii="Times New Roman" w:hAnsi="Times New Roman"/>
        </w:rPr>
        <w:t xml:space="preserve">unprecedented </w:t>
      </w:r>
      <w:r w:rsidRPr="00C84921" w:rsidR="00B06D4B">
        <w:rPr>
          <w:rFonts w:ascii="Times New Roman" w:hAnsi="Times New Roman"/>
        </w:rPr>
        <w:t>adjustment that would decrease reliability for consumers</w:t>
      </w:r>
      <w:r w:rsidRPr="00C84921" w:rsidR="004430D0">
        <w:rPr>
          <w:rFonts w:ascii="Times New Roman" w:hAnsi="Times New Roman"/>
        </w:rPr>
        <w:t>.</w:t>
      </w:r>
      <w:r w:rsidR="00C84921">
        <w:rPr>
          <w:rFonts w:ascii="Times New Roman" w:hAnsi="Times New Roman"/>
        </w:rPr>
        <w:t xml:space="preserve"> </w:t>
      </w:r>
      <w:bookmarkEnd w:id="2"/>
    </w:p>
    <w:p w:rsidR="00AE7A8F" w:rsidRPr="00C84921" w:rsidP="006E6EDB" w14:paraId="6741676D" w14:textId="4536416C">
      <w:pPr>
        <w:spacing w:after="0" w:line="480" w:lineRule="auto"/>
        <w:ind w:firstLine="720"/>
      </w:pPr>
      <w:r w:rsidRPr="00C84921">
        <w:t>Ohio Edison proposed in its revised application a SAIFI standard of 1.0 compared to the current standard of 1.11.</w:t>
      </w:r>
      <w:r>
        <w:rPr>
          <w:rStyle w:val="FootnoteReference"/>
        </w:rPr>
        <w:footnoteReference w:id="10"/>
      </w:r>
      <w:r w:rsidRPr="00C84921">
        <w:rPr>
          <w:i/>
          <w:iCs/>
        </w:rPr>
        <w:t xml:space="preserve"> </w:t>
      </w:r>
      <w:r w:rsidRPr="00C84921">
        <w:t>Ohio Edison proposed a CAIDI standard of 115.9 minutes compared to the current standard of 114.37 minutes.</w:t>
      </w:r>
      <w:r>
        <w:rPr>
          <w:rStyle w:val="FootnoteReference"/>
        </w:rPr>
        <w:footnoteReference w:id="11"/>
      </w:r>
      <w:r w:rsidRPr="00C84921">
        <w:t xml:space="preserve"> Cleveland Electric Illuminating proposed in its revised application a SAIFI standard of 1.13 compared to the current standard of 1.30.</w:t>
      </w:r>
      <w:r>
        <w:rPr>
          <w:rStyle w:val="FootnoteReference"/>
        </w:rPr>
        <w:footnoteReference w:id="12"/>
      </w:r>
      <w:r w:rsidRPr="00C84921">
        <w:t xml:space="preserve"> Cleveland Electric Illuminating proposed a CAIDI standard of 137.6 minutes compared to the current standard of 135.00 minutes.</w:t>
      </w:r>
      <w:r>
        <w:rPr>
          <w:rStyle w:val="FootnoteReference"/>
        </w:rPr>
        <w:footnoteReference w:id="13"/>
      </w:r>
      <w:r w:rsidRPr="00C84921">
        <w:t xml:space="preserve"> Toledo Edison proposed in its revised application a SAIFI standard of 0.76 compared to the current standard of 1.0.</w:t>
      </w:r>
      <w:r>
        <w:rPr>
          <w:rStyle w:val="FootnoteReference"/>
        </w:rPr>
        <w:footnoteReference w:id="14"/>
      </w:r>
      <w:r w:rsidRPr="00C84921">
        <w:t xml:space="preserve"> Toledo Edison proposed a CAIDI standard of 108.8 minutes compared to the current standard of 112.33 minutes.</w:t>
      </w:r>
      <w:r>
        <w:rPr>
          <w:rStyle w:val="FootnoteReference"/>
        </w:rPr>
        <w:footnoteReference w:id="15"/>
      </w:r>
      <w:r w:rsidRPr="00C84921">
        <w:t xml:space="preserve"> </w:t>
      </w:r>
    </w:p>
    <w:p w:rsidR="00074DAE" w:rsidRPr="00C84921" w:rsidP="006E6EDB" w14:paraId="434F63D1" w14:textId="546F6629">
      <w:pPr>
        <w:spacing w:after="0" w:line="480" w:lineRule="auto"/>
        <w:ind w:firstLine="720"/>
      </w:pPr>
      <w:r w:rsidRPr="00C84921">
        <w:t xml:space="preserve">The </w:t>
      </w:r>
      <w:r w:rsidRPr="00C84921" w:rsidR="00E032A0">
        <w:t xml:space="preserve">PUCO Staff recommended that the PUCO approve the SAIFI standard as proposed for each of the three </w:t>
      </w:r>
      <w:r w:rsidRPr="00C84921">
        <w:t xml:space="preserve">FirstEnergy </w:t>
      </w:r>
      <w:r w:rsidRPr="00C84921" w:rsidR="007C02FD">
        <w:t>Utilities</w:t>
      </w:r>
      <w:r w:rsidRPr="00C84921" w:rsidR="00E032A0">
        <w:t>.</w:t>
      </w:r>
      <w:r>
        <w:rPr>
          <w:rStyle w:val="FootnoteReference"/>
        </w:rPr>
        <w:footnoteReference w:id="16"/>
      </w:r>
      <w:r w:rsidRPr="00C84921" w:rsidR="00E032A0">
        <w:t xml:space="preserve"> But the SAIFI standards as </w:t>
      </w:r>
      <w:r w:rsidRPr="00C84921">
        <w:t xml:space="preserve">proposed </w:t>
      </w:r>
      <w:r w:rsidRPr="00C84921" w:rsidR="00E032A0">
        <w:t xml:space="preserve">included </w:t>
      </w:r>
      <w:r w:rsidRPr="00C84921">
        <w:t xml:space="preserve">an adjustment to account for what </w:t>
      </w:r>
      <w:r w:rsidRPr="00C84921" w:rsidR="003971BB">
        <w:t xml:space="preserve">the </w:t>
      </w:r>
      <w:r w:rsidRPr="00C84921" w:rsidR="00E032A0">
        <w:t>FirstEnergy</w:t>
      </w:r>
      <w:r w:rsidRPr="00C84921" w:rsidR="003971BB">
        <w:t xml:space="preserve"> </w:t>
      </w:r>
      <w:r w:rsidRPr="00C84921" w:rsidR="007C02FD">
        <w:t xml:space="preserve">Utilities </w:t>
      </w:r>
      <w:r w:rsidRPr="00C84921">
        <w:t>consider</w:t>
      </w:r>
      <w:r w:rsidRPr="00C84921" w:rsidR="00E032A0">
        <w:t xml:space="preserve"> </w:t>
      </w:r>
      <w:r w:rsidRPr="00C84921">
        <w:t>to be an increasing trend in annual rainfall amounts in Ohio over the last 22 years.</w:t>
      </w:r>
      <w:r>
        <w:rPr>
          <w:rStyle w:val="FootnoteReference"/>
        </w:rPr>
        <w:footnoteReference w:id="17"/>
      </w:r>
      <w:r w:rsidRPr="00C84921">
        <w:t xml:space="preserve"> </w:t>
      </w:r>
      <w:r w:rsidRPr="00C84921" w:rsidR="00B06D4B">
        <w:t xml:space="preserve">If the adjustment is adopted, FirstEnergy </w:t>
      </w:r>
      <w:r w:rsidRPr="00C84921" w:rsidR="004430D0">
        <w:t>U</w:t>
      </w:r>
      <w:r w:rsidRPr="00C84921" w:rsidR="00B06D4B">
        <w:t>tility cons</w:t>
      </w:r>
      <w:r w:rsidRPr="00C84921" w:rsidR="007C02FD">
        <w:t xml:space="preserve">umers </w:t>
      </w:r>
      <w:r w:rsidRPr="00C84921" w:rsidR="00B06D4B">
        <w:t xml:space="preserve">will </w:t>
      </w:r>
      <w:r w:rsidRPr="00C84921" w:rsidR="007C02FD">
        <w:t xml:space="preserve">be subject to </w:t>
      </w:r>
      <w:r w:rsidRPr="00C84921" w:rsidR="00B06D4B">
        <w:t>receiv</w:t>
      </w:r>
      <w:r w:rsidRPr="00C84921" w:rsidR="007C02FD">
        <w:t xml:space="preserve">ing more frequent outages annually than supported under the rules. </w:t>
      </w:r>
      <w:r w:rsidRPr="00C84921" w:rsidR="00653B39">
        <w:t xml:space="preserve">The </w:t>
      </w:r>
      <w:r w:rsidRPr="00C84921" w:rsidR="003971BB">
        <w:t xml:space="preserve">PUCO </w:t>
      </w:r>
      <w:r w:rsidRPr="00C84921" w:rsidR="00653B39">
        <w:t xml:space="preserve">Staff comments provided no rationale to support </w:t>
      </w:r>
      <w:r w:rsidRPr="00C84921" w:rsidR="007A0C27">
        <w:t xml:space="preserve">why it recommended the PUCO approve the </w:t>
      </w:r>
      <w:r w:rsidRPr="00C84921" w:rsidR="00653B39">
        <w:t>proposed rainfall adjustment</w:t>
      </w:r>
      <w:r w:rsidRPr="00C84921" w:rsidR="007A0C27">
        <w:t xml:space="preserve"> to the </w:t>
      </w:r>
      <w:r w:rsidRPr="00C84921" w:rsidR="00653B39">
        <w:t xml:space="preserve">five-year average historical performance. </w:t>
      </w:r>
    </w:p>
    <w:p w:rsidR="003971BB" w:rsidRPr="00C84921" w:rsidP="006E6EDB" w14:paraId="353D1486" w14:textId="2B57D668">
      <w:pPr>
        <w:spacing w:after="0" w:line="480" w:lineRule="auto"/>
        <w:ind w:firstLine="720"/>
      </w:pPr>
      <w:r w:rsidRPr="00C84921">
        <w:t>Under the PUCO rules, reliability performance standards should be based on historical system performance, system design, technological advancements, service area geography, customer perception survey results, and other relevant factors.</w:t>
      </w:r>
      <w:r>
        <w:rPr>
          <w:rStyle w:val="FootnoteReference"/>
        </w:rPr>
        <w:footnoteReference w:id="18"/>
      </w:r>
      <w:r w:rsidRPr="00C84921">
        <w:t xml:space="preserve"> </w:t>
      </w:r>
      <w:r w:rsidRPr="00C84921" w:rsidR="00074DAE">
        <w:t xml:space="preserve">OCC explained </w:t>
      </w:r>
      <w:r w:rsidRPr="00C84921">
        <w:t xml:space="preserve">in its initial comments </w:t>
      </w:r>
      <w:r w:rsidRPr="00C84921" w:rsidR="00074DAE">
        <w:t>that the impact of increased rainfall (if any) w</w:t>
      </w:r>
      <w:r w:rsidRPr="00C84921" w:rsidR="007A0C27">
        <w:t xml:space="preserve">as </w:t>
      </w:r>
      <w:r w:rsidRPr="00C84921" w:rsidR="00074DAE">
        <w:t xml:space="preserve">already reflected in the historical SAIFI performance </w:t>
      </w:r>
      <w:r w:rsidRPr="00C84921" w:rsidR="007A0C27">
        <w:t xml:space="preserve">for each of the FirstEnergy </w:t>
      </w:r>
      <w:r w:rsidRPr="00C84921" w:rsidR="007C02FD">
        <w:t xml:space="preserve">Utilities </w:t>
      </w:r>
      <w:r w:rsidRPr="00C84921" w:rsidR="00074DAE">
        <w:t>over a long period of time</w:t>
      </w:r>
      <w:r w:rsidRPr="00C84921">
        <w:t xml:space="preserve"> and that a separate rainfall adjustment was not necessary.</w:t>
      </w:r>
      <w:r>
        <w:rPr>
          <w:rStyle w:val="FootnoteReference"/>
        </w:rPr>
        <w:footnoteReference w:id="19"/>
      </w:r>
      <w:r w:rsidRPr="00C84921" w:rsidR="00074DAE">
        <w:t xml:space="preserve"> </w:t>
      </w:r>
      <w:r w:rsidRPr="00C84921" w:rsidR="007A0C27">
        <w:t xml:space="preserve">OCC </w:t>
      </w:r>
      <w:r w:rsidRPr="00C84921">
        <w:t xml:space="preserve">also </w:t>
      </w:r>
      <w:r w:rsidRPr="00C84921" w:rsidR="007A0C27">
        <w:t>commented that t</w:t>
      </w:r>
      <w:r w:rsidRPr="00C84921" w:rsidR="00CB119D">
        <w:t xml:space="preserve">he FirstEnergy </w:t>
      </w:r>
      <w:r w:rsidRPr="00C84921" w:rsidR="007C02FD">
        <w:t xml:space="preserve">Utilities </w:t>
      </w:r>
      <w:r w:rsidRPr="00C84921" w:rsidR="00CB119D">
        <w:t xml:space="preserve">have not provided any support or predictions </w:t>
      </w:r>
      <w:r w:rsidRPr="00C84921" w:rsidR="00E077F4">
        <w:t xml:space="preserve">for </w:t>
      </w:r>
      <w:r w:rsidRPr="00C84921" w:rsidR="00CB119D">
        <w:t xml:space="preserve">future rainfall amounts that might </w:t>
      </w:r>
      <w:r w:rsidRPr="00C84921" w:rsidR="00E077F4">
        <w:t xml:space="preserve">support an adjustment in the SAIFI standard </w:t>
      </w:r>
      <w:r w:rsidRPr="00C84921" w:rsidR="007A0C27">
        <w:t xml:space="preserve">on a </w:t>
      </w:r>
      <w:r w:rsidRPr="00C84921" w:rsidR="00E077F4">
        <w:t>going</w:t>
      </w:r>
      <w:r w:rsidRPr="00C84921" w:rsidR="007A0C27">
        <w:t>-</w:t>
      </w:r>
      <w:r w:rsidRPr="00C84921" w:rsidR="00E077F4">
        <w:t>forward</w:t>
      </w:r>
      <w:r w:rsidRPr="00C84921" w:rsidR="007A0C27">
        <w:t xml:space="preserve"> basis</w:t>
      </w:r>
      <w:r w:rsidRPr="00C84921" w:rsidR="00E077F4">
        <w:t>.</w:t>
      </w:r>
      <w:r>
        <w:rPr>
          <w:rStyle w:val="FootnoteReference"/>
        </w:rPr>
        <w:footnoteReference w:id="20"/>
      </w:r>
      <w:r w:rsidRPr="00C84921" w:rsidR="00E077F4">
        <w:t xml:space="preserve"> </w:t>
      </w:r>
      <w:r w:rsidRPr="00C84921">
        <w:t xml:space="preserve">Without a supportable future prediction of rainfall amounts and the impact on vegetation, </w:t>
      </w:r>
      <w:r w:rsidRPr="00C84921">
        <w:t xml:space="preserve">the </w:t>
      </w:r>
      <w:r w:rsidRPr="00C84921">
        <w:t>FirstEnergy</w:t>
      </w:r>
      <w:r w:rsidRPr="00C84921">
        <w:t xml:space="preserve"> </w:t>
      </w:r>
      <w:r w:rsidRPr="00C84921" w:rsidR="007C02FD">
        <w:t xml:space="preserve">Utilities </w:t>
      </w:r>
      <w:r w:rsidRPr="00C84921">
        <w:t>ha</w:t>
      </w:r>
      <w:r w:rsidRPr="00C84921">
        <w:t>ve</w:t>
      </w:r>
      <w:r w:rsidRPr="00C84921">
        <w:t xml:space="preserve"> provided no basis for the PUCO to approve such an adjustment to the five-year average SAIFI performance. </w:t>
      </w:r>
    </w:p>
    <w:p w:rsidR="00CC7E72" w:rsidRPr="00C84921" w:rsidP="003971BB" w14:paraId="5E3B0000" w14:textId="1BA00124">
      <w:pPr>
        <w:spacing w:after="0" w:line="480" w:lineRule="auto"/>
        <w:ind w:firstLine="720"/>
      </w:pPr>
      <w:r w:rsidRPr="00C84921">
        <w:t xml:space="preserve">Regrettably, </w:t>
      </w:r>
      <w:r w:rsidRPr="00C84921" w:rsidR="003971BB">
        <w:t xml:space="preserve">the PUCO </w:t>
      </w:r>
      <w:r w:rsidRPr="00C84921" w:rsidR="007A0C27">
        <w:t xml:space="preserve">Staff </w:t>
      </w:r>
      <w:r w:rsidRPr="00C84921" w:rsidR="003971BB">
        <w:t xml:space="preserve">has </w:t>
      </w:r>
      <w:r w:rsidRPr="00C84921" w:rsidR="007A0C27">
        <w:t xml:space="preserve">merely supported the FirstEnergy </w:t>
      </w:r>
      <w:r w:rsidRPr="00C84921" w:rsidR="007C02FD">
        <w:t xml:space="preserve">Utilities </w:t>
      </w:r>
      <w:r w:rsidRPr="00C84921" w:rsidR="007A0C27">
        <w:t xml:space="preserve">proposed SAIFI standards without </w:t>
      </w:r>
      <w:r w:rsidRPr="00C84921">
        <w:t xml:space="preserve">providing any analysis </w:t>
      </w:r>
      <w:r w:rsidRPr="00C84921" w:rsidR="003971BB">
        <w:t xml:space="preserve">or </w:t>
      </w:r>
      <w:r w:rsidRPr="00C84921">
        <w:t>support</w:t>
      </w:r>
      <w:r w:rsidRPr="00C84921" w:rsidR="003971BB">
        <w:t>. There is no basis for the PUCO to conclude</w:t>
      </w:r>
      <w:r w:rsidRPr="00C84921">
        <w:t xml:space="preserve"> </w:t>
      </w:r>
      <w:r w:rsidRPr="00C84921" w:rsidR="003971BB">
        <w:t>that</w:t>
      </w:r>
      <w:r w:rsidRPr="00C84921" w:rsidR="007A0C27">
        <w:t xml:space="preserve"> </w:t>
      </w:r>
      <w:r w:rsidRPr="00C84921" w:rsidR="007C6C47">
        <w:t xml:space="preserve">the </w:t>
      </w:r>
      <w:r w:rsidRPr="00C84921">
        <w:t xml:space="preserve">FirstEnergy </w:t>
      </w:r>
      <w:r w:rsidRPr="00C84921" w:rsidR="007C02FD">
        <w:t xml:space="preserve">Utilities </w:t>
      </w:r>
      <w:r w:rsidRPr="00C84921" w:rsidR="007A0C27">
        <w:t xml:space="preserve">increased rainfall adjustment </w:t>
      </w:r>
      <w:r w:rsidRPr="00C84921" w:rsidR="007C6C47">
        <w:t xml:space="preserve">to the standard </w:t>
      </w:r>
      <w:r w:rsidRPr="00C84921" w:rsidR="007A0C27">
        <w:t xml:space="preserve">is just and reasonable. </w:t>
      </w:r>
      <w:r w:rsidRPr="00C84921">
        <w:t xml:space="preserve">The PUCO should require the FirstEnergy </w:t>
      </w:r>
      <w:r w:rsidRPr="00C84921" w:rsidR="007C02FD">
        <w:t xml:space="preserve">Utilities </w:t>
      </w:r>
      <w:r w:rsidRPr="00C84921">
        <w:t xml:space="preserve">to comply with the PUCO rules for establishing new reliability standards and eliminate the proposed increased rainfall adjustment as an adder on the five-year average historical performance in establishing the new SAIFI standards. </w:t>
      </w:r>
      <w:r w:rsidRPr="00C84921" w:rsidR="007C02FD">
        <w:t>The adjustment is not necessary and contributes to consumers experienc</w:t>
      </w:r>
      <w:r w:rsidRPr="00C84921" w:rsidR="004430D0">
        <w:t>ing</w:t>
      </w:r>
      <w:r w:rsidRPr="00C84921" w:rsidR="007C02FD">
        <w:t xml:space="preserve"> more outages annually than supported under the PUCO rules.</w:t>
      </w:r>
    </w:p>
    <w:p w:rsidR="00F365EA" w:rsidRPr="00C84921" w:rsidP="00F3126F" w14:paraId="67B48331" w14:textId="09E4C9A8">
      <w:pPr>
        <w:pStyle w:val="Heading2"/>
        <w:rPr>
          <w:rFonts w:ascii="Times New Roman" w:hAnsi="Times New Roman"/>
        </w:rPr>
      </w:pPr>
      <w:bookmarkStart w:id="3" w:name="_Toc137465707"/>
      <w:r w:rsidRPr="00C84921">
        <w:rPr>
          <w:rFonts w:ascii="Times New Roman" w:hAnsi="Times New Roman"/>
        </w:rPr>
        <w:t>B.</w:t>
      </w:r>
      <w:r w:rsidRPr="00C84921">
        <w:rPr>
          <w:rFonts w:ascii="Times New Roman" w:hAnsi="Times New Roman"/>
        </w:rPr>
        <w:tab/>
      </w:r>
      <w:r w:rsidRPr="00C84921" w:rsidR="003C075C">
        <w:rPr>
          <w:rFonts w:ascii="Times New Roman" w:hAnsi="Times New Roman"/>
        </w:rPr>
        <w:t>T</w:t>
      </w:r>
      <w:r w:rsidRPr="00C84921" w:rsidR="003971BB">
        <w:rPr>
          <w:rFonts w:ascii="Times New Roman" w:hAnsi="Times New Roman"/>
        </w:rPr>
        <w:t>o consumers’ detriment, t</w:t>
      </w:r>
      <w:r w:rsidRPr="00C84921" w:rsidR="003C075C">
        <w:rPr>
          <w:rFonts w:ascii="Times New Roman" w:hAnsi="Times New Roman"/>
        </w:rPr>
        <w:t>he PUCO Staff Comments unreasonably recommend that the PUCO approve the proposed SAIFI standard</w:t>
      </w:r>
      <w:r w:rsidRPr="00C84921" w:rsidR="000B5236">
        <w:rPr>
          <w:rFonts w:ascii="Times New Roman" w:hAnsi="Times New Roman"/>
        </w:rPr>
        <w:t>s</w:t>
      </w:r>
      <w:r w:rsidRPr="00C84921" w:rsidR="003C075C">
        <w:rPr>
          <w:rFonts w:ascii="Times New Roman" w:hAnsi="Times New Roman"/>
        </w:rPr>
        <w:t xml:space="preserve"> for all three FirstEnergy </w:t>
      </w:r>
      <w:r w:rsidRPr="00C84921" w:rsidR="007C02FD">
        <w:rPr>
          <w:rFonts w:ascii="Times New Roman" w:hAnsi="Times New Roman"/>
        </w:rPr>
        <w:t xml:space="preserve">Utilities </w:t>
      </w:r>
      <w:r w:rsidRPr="00C84921" w:rsidR="003C075C">
        <w:rPr>
          <w:rFonts w:ascii="Times New Roman" w:hAnsi="Times New Roman"/>
        </w:rPr>
        <w:t>even though it provides no rationale</w:t>
      </w:r>
      <w:r w:rsidRPr="00C84921" w:rsidR="000B5236">
        <w:rPr>
          <w:rFonts w:ascii="Times New Roman" w:hAnsi="Times New Roman"/>
        </w:rPr>
        <w:t>, analysis</w:t>
      </w:r>
      <w:r w:rsidRPr="00C84921" w:rsidR="003971BB">
        <w:rPr>
          <w:rFonts w:ascii="Times New Roman" w:hAnsi="Times New Roman"/>
        </w:rPr>
        <w:t>,</w:t>
      </w:r>
      <w:r w:rsidRPr="00C84921" w:rsidR="000B5236">
        <w:rPr>
          <w:rFonts w:ascii="Times New Roman" w:hAnsi="Times New Roman"/>
        </w:rPr>
        <w:t xml:space="preserve"> or </w:t>
      </w:r>
      <w:r w:rsidRPr="00C84921" w:rsidR="003C075C">
        <w:rPr>
          <w:rFonts w:ascii="Times New Roman" w:hAnsi="Times New Roman"/>
        </w:rPr>
        <w:t>support</w:t>
      </w:r>
      <w:r w:rsidRPr="00C84921" w:rsidR="000B5236">
        <w:rPr>
          <w:rFonts w:ascii="Times New Roman" w:hAnsi="Times New Roman"/>
        </w:rPr>
        <w:t xml:space="preserve"> for the </w:t>
      </w:r>
      <w:r w:rsidRPr="00C84921" w:rsidR="007C6C47">
        <w:rPr>
          <w:rFonts w:ascii="Times New Roman" w:hAnsi="Times New Roman"/>
        </w:rPr>
        <w:t xml:space="preserve">two standard deviation variance </w:t>
      </w:r>
      <w:r w:rsidRPr="00C84921" w:rsidR="007C02FD">
        <w:rPr>
          <w:rFonts w:ascii="Times New Roman" w:hAnsi="Times New Roman"/>
        </w:rPr>
        <w:t xml:space="preserve">that results in </w:t>
      </w:r>
      <w:r w:rsidRPr="00C84921" w:rsidR="003104BE">
        <w:rPr>
          <w:rFonts w:ascii="Times New Roman" w:hAnsi="Times New Roman"/>
        </w:rPr>
        <w:t xml:space="preserve">the potential for </w:t>
      </w:r>
      <w:r w:rsidRPr="00C84921" w:rsidR="007C02FD">
        <w:rPr>
          <w:rFonts w:ascii="Times New Roman" w:hAnsi="Times New Roman"/>
        </w:rPr>
        <w:t xml:space="preserve">consumers to </w:t>
      </w:r>
      <w:r w:rsidRPr="00C84921" w:rsidR="003104BE">
        <w:rPr>
          <w:rFonts w:ascii="Times New Roman" w:hAnsi="Times New Roman"/>
        </w:rPr>
        <w:t xml:space="preserve">experience </w:t>
      </w:r>
      <w:r w:rsidRPr="00C84921" w:rsidR="007C02FD">
        <w:rPr>
          <w:rFonts w:ascii="Times New Roman" w:hAnsi="Times New Roman"/>
        </w:rPr>
        <w:t xml:space="preserve">more frequent annual outages than supported under </w:t>
      </w:r>
      <w:r w:rsidRPr="00C84921" w:rsidR="000B5236">
        <w:rPr>
          <w:rFonts w:ascii="Times New Roman" w:hAnsi="Times New Roman"/>
        </w:rPr>
        <w:t>the PUCO rules for establishing new reliability standards.</w:t>
      </w:r>
      <w:bookmarkEnd w:id="3"/>
    </w:p>
    <w:p w:rsidR="003971BB" w:rsidRPr="00C84921" w:rsidP="006E6EDB" w14:paraId="52E8B942" w14:textId="5AB8F8A0">
      <w:pPr>
        <w:spacing w:after="0" w:line="480" w:lineRule="auto"/>
        <w:ind w:firstLine="720"/>
      </w:pPr>
      <w:r w:rsidRPr="00C84921">
        <w:t xml:space="preserve">The PUCO Staff recommended that the PUCO approve the SAIFI standard as proposed for each of the three FirstEnergy </w:t>
      </w:r>
      <w:r w:rsidRPr="00C84921" w:rsidR="003104BE">
        <w:t>Utilities</w:t>
      </w:r>
      <w:r w:rsidRPr="00C84921">
        <w:t>.</w:t>
      </w:r>
      <w:r>
        <w:rPr>
          <w:rStyle w:val="FootnoteReference"/>
        </w:rPr>
        <w:footnoteReference w:id="21"/>
      </w:r>
      <w:r w:rsidRPr="00C84921">
        <w:t xml:space="preserve"> </w:t>
      </w:r>
      <w:r w:rsidRPr="00C84921">
        <w:t>T</w:t>
      </w:r>
      <w:r w:rsidRPr="00C84921">
        <w:t>he F</w:t>
      </w:r>
      <w:r w:rsidRPr="00C84921" w:rsidR="000B5236">
        <w:t xml:space="preserve">irstEnergy </w:t>
      </w:r>
      <w:r w:rsidRPr="00C84921" w:rsidR="003104BE">
        <w:t xml:space="preserve">Utilities </w:t>
      </w:r>
      <w:r w:rsidRPr="00C84921" w:rsidR="000B5236">
        <w:t>proposed adding a</w:t>
      </w:r>
      <w:r w:rsidRPr="00C84921" w:rsidR="006E2AA4">
        <w:t>n unprecedented</w:t>
      </w:r>
      <w:r w:rsidRPr="00C84921" w:rsidR="005209C5">
        <w:t xml:space="preserve"> </w:t>
      </w:r>
      <w:r w:rsidRPr="00C84921" w:rsidR="000B5236">
        <w:t xml:space="preserve">two standard deviation </w:t>
      </w:r>
      <w:r w:rsidRPr="00C84921" w:rsidR="00F365EA">
        <w:t>variance to the five-year average SAIFI performance for 201</w:t>
      </w:r>
      <w:r w:rsidRPr="00C84921" w:rsidR="000B5236">
        <w:t>7</w:t>
      </w:r>
      <w:r w:rsidRPr="00C84921" w:rsidR="00F365EA">
        <w:t xml:space="preserve"> through 202</w:t>
      </w:r>
      <w:r w:rsidRPr="00C84921" w:rsidR="000B5236">
        <w:t>1</w:t>
      </w:r>
      <w:r w:rsidRPr="00C84921" w:rsidR="00F365EA">
        <w:t xml:space="preserve"> for </w:t>
      </w:r>
      <w:r w:rsidRPr="00C84921" w:rsidR="00FA289C">
        <w:t xml:space="preserve">their </w:t>
      </w:r>
      <w:r w:rsidRPr="00C84921" w:rsidR="00F365EA">
        <w:t xml:space="preserve">new </w:t>
      </w:r>
      <w:r w:rsidRPr="00C84921" w:rsidR="000B5236">
        <w:t xml:space="preserve">SAIFI </w:t>
      </w:r>
      <w:r w:rsidRPr="00C84921" w:rsidR="00F365EA">
        <w:t>standards.</w:t>
      </w:r>
      <w:r>
        <w:rPr>
          <w:rStyle w:val="FootnoteReference"/>
        </w:rPr>
        <w:footnoteReference w:id="22"/>
      </w:r>
      <w:r w:rsidRPr="00C84921" w:rsidR="00F365EA">
        <w:t xml:space="preserve"> </w:t>
      </w:r>
      <w:r w:rsidRPr="00C84921">
        <w:t xml:space="preserve">As explained in the OCC initial comments, </w:t>
      </w:r>
      <w:r w:rsidRPr="00C84921" w:rsidR="00F365EA">
        <w:t xml:space="preserve">the proposed </w:t>
      </w:r>
      <w:r w:rsidRPr="00C84921" w:rsidR="000B5236">
        <w:t xml:space="preserve">addition of two standard deviations </w:t>
      </w:r>
      <w:r w:rsidRPr="00C84921" w:rsidR="00F277FC">
        <w:t xml:space="preserve">to the five year average historical performance </w:t>
      </w:r>
      <w:r w:rsidRPr="00C84921" w:rsidR="00F365EA">
        <w:t>does not comply with the PUCO rules for establishing new standards.</w:t>
      </w:r>
      <w:r>
        <w:rPr>
          <w:rStyle w:val="FootnoteReference"/>
        </w:rPr>
        <w:footnoteReference w:id="23"/>
      </w:r>
      <w:r w:rsidRPr="00C84921" w:rsidR="00F365EA">
        <w:t xml:space="preserve"> </w:t>
      </w:r>
    </w:p>
    <w:p w:rsidR="008C6070" w:rsidRPr="00C84921" w:rsidP="006E6EDB" w14:paraId="492F0B5A" w14:textId="7B8D7B72">
      <w:pPr>
        <w:spacing w:after="0" w:line="480" w:lineRule="auto"/>
        <w:ind w:firstLine="720"/>
      </w:pPr>
      <w:r w:rsidRPr="00C84921">
        <w:t>Under the PUCO rules, reliability performance standards should be based on historical system performance, system design, technological advancements, service area geography, customer perception survey results, and other relevant factors</w:t>
      </w:r>
      <w:r w:rsidRPr="00C84921" w:rsidR="000B5236">
        <w:t xml:space="preserve">, not some arbitrary adder like the FirstEnergy </w:t>
      </w:r>
      <w:r w:rsidRPr="00C84921" w:rsidR="003104BE">
        <w:t>Utilities</w:t>
      </w:r>
      <w:r w:rsidRPr="00C84921" w:rsidR="000B5236">
        <w:t xml:space="preserve"> propos</w:t>
      </w:r>
      <w:r w:rsidRPr="00C84921" w:rsidR="00E323D6">
        <w:t>ed</w:t>
      </w:r>
      <w:r w:rsidRPr="00C84921" w:rsidR="000B5236">
        <w:t>.</w:t>
      </w:r>
      <w:r>
        <w:rPr>
          <w:rStyle w:val="FootnoteReference"/>
        </w:rPr>
        <w:footnoteReference w:id="24"/>
      </w:r>
      <w:r w:rsidRPr="00C84921">
        <w:t xml:space="preserve"> </w:t>
      </w:r>
      <w:r w:rsidRPr="00C84921" w:rsidR="00F277FC">
        <w:t xml:space="preserve">The FirstEnergy </w:t>
      </w:r>
      <w:r w:rsidRPr="00C84921" w:rsidR="003104BE">
        <w:t xml:space="preserve">Utilities </w:t>
      </w:r>
      <w:r w:rsidRPr="00C84921" w:rsidR="00F277FC">
        <w:t xml:space="preserve">failed to provide any meaningful analysis or support for why there was a need for </w:t>
      </w:r>
      <w:r w:rsidRPr="00C84921" w:rsidR="003971BB">
        <w:t xml:space="preserve">a </w:t>
      </w:r>
      <w:r w:rsidRPr="00C84921" w:rsidR="00F277FC">
        <w:t xml:space="preserve">two standard deviation variance. </w:t>
      </w:r>
      <w:r w:rsidRPr="00C84921" w:rsidR="003104BE">
        <w:t>Nor did the Staff provide any analysis behind its recommendation to support such a high variance.</w:t>
      </w:r>
      <w:r w:rsidRPr="00C84921" w:rsidR="00E323D6">
        <w:t xml:space="preserve"> Without any analysis or support from </w:t>
      </w:r>
      <w:r w:rsidRPr="00C84921" w:rsidR="003971BB">
        <w:t xml:space="preserve">the PUCO </w:t>
      </w:r>
      <w:r w:rsidRPr="00C84921" w:rsidR="00E323D6">
        <w:t xml:space="preserve">Staff, the PUCO cannot determine that </w:t>
      </w:r>
      <w:r w:rsidRPr="00C84921" w:rsidR="00F277FC">
        <w:t xml:space="preserve">the </w:t>
      </w:r>
      <w:r w:rsidRPr="00C84921" w:rsidR="00E323D6">
        <w:t xml:space="preserve">two standard deviation </w:t>
      </w:r>
      <w:r w:rsidRPr="00C84921" w:rsidR="00F277FC">
        <w:t xml:space="preserve">variance to the </w:t>
      </w:r>
      <w:r w:rsidRPr="00C84921" w:rsidR="00117084">
        <w:t>five-year</w:t>
      </w:r>
      <w:r w:rsidRPr="00C84921" w:rsidR="00F277FC">
        <w:t xml:space="preserve"> average SAIFI performance a</w:t>
      </w:r>
      <w:r w:rsidRPr="00C84921" w:rsidR="00E323D6">
        <w:t xml:space="preserve">s proposed by the FirstEnergy </w:t>
      </w:r>
      <w:r w:rsidRPr="00C84921" w:rsidR="005167A9">
        <w:t xml:space="preserve">Utilities </w:t>
      </w:r>
      <w:r w:rsidRPr="00C84921" w:rsidR="00E323D6">
        <w:t>is just and reasonable as required under the PUCO rules.</w:t>
      </w:r>
      <w:r>
        <w:rPr>
          <w:rStyle w:val="FootnoteReference"/>
        </w:rPr>
        <w:footnoteReference w:id="25"/>
      </w:r>
      <w:r w:rsidRPr="00C84921" w:rsidR="00C45432">
        <w:t xml:space="preserve"> </w:t>
      </w:r>
    </w:p>
    <w:p w:rsidR="00CC7E72" w:rsidRPr="00C84921" w:rsidP="00F3126F" w14:paraId="24557CEA" w14:textId="674A1F74">
      <w:pPr>
        <w:pStyle w:val="Heading2"/>
        <w:rPr>
          <w:rFonts w:ascii="Times New Roman" w:hAnsi="Times New Roman"/>
        </w:rPr>
      </w:pPr>
      <w:bookmarkStart w:id="4" w:name="_Hlk139448357"/>
      <w:r w:rsidRPr="00C84921">
        <w:rPr>
          <w:rFonts w:ascii="Times New Roman" w:hAnsi="Times New Roman"/>
        </w:rPr>
        <w:t>C.</w:t>
      </w:r>
      <w:r w:rsidRPr="00C84921">
        <w:rPr>
          <w:rFonts w:ascii="Times New Roman" w:hAnsi="Times New Roman"/>
        </w:rPr>
        <w:tab/>
      </w:r>
      <w:r w:rsidRPr="00C84921">
        <w:rPr>
          <w:rFonts w:ascii="Times New Roman" w:hAnsi="Times New Roman"/>
        </w:rPr>
        <w:t xml:space="preserve">The PUCO Staff Comments unreasonably recommend that the PUCO approve CAIDI Standards for all three FirstEnergy </w:t>
      </w:r>
      <w:r w:rsidRPr="00C84921" w:rsidR="00177824">
        <w:rPr>
          <w:rFonts w:ascii="Times New Roman" w:hAnsi="Times New Roman"/>
        </w:rPr>
        <w:t xml:space="preserve">Utilities </w:t>
      </w:r>
      <w:r w:rsidRPr="00C84921">
        <w:rPr>
          <w:rFonts w:ascii="Times New Roman" w:hAnsi="Times New Roman"/>
        </w:rPr>
        <w:t>that fail</w:t>
      </w:r>
      <w:r w:rsidRPr="00C84921" w:rsidR="006E2FC4">
        <w:rPr>
          <w:rFonts w:ascii="Times New Roman" w:hAnsi="Times New Roman"/>
        </w:rPr>
        <w:t xml:space="preserve"> </w:t>
      </w:r>
      <w:r w:rsidRPr="00C84921">
        <w:rPr>
          <w:rFonts w:ascii="Times New Roman" w:hAnsi="Times New Roman"/>
        </w:rPr>
        <w:t>to comply with the PUCO rules for establishing new reliability standards.</w:t>
      </w:r>
    </w:p>
    <w:bookmarkEnd w:id="4"/>
    <w:p w:rsidR="00E25359" w:rsidRPr="00C84921" w:rsidP="006E6EDB" w14:paraId="69FEBA02" w14:textId="539E8724">
      <w:pPr>
        <w:spacing w:after="0" w:line="480" w:lineRule="auto"/>
      </w:pPr>
      <w:r w:rsidRPr="00C84921">
        <w:rPr>
          <w:b/>
          <w:bCs/>
        </w:rPr>
        <w:tab/>
      </w:r>
      <w:r w:rsidRPr="00C84921">
        <w:t xml:space="preserve">The PUCO Staff recommended that the PUCO approve the Toledo Edison CAIDI </w:t>
      </w:r>
      <w:r w:rsidRPr="00C84921" w:rsidR="00E8162C">
        <w:t xml:space="preserve">standard </w:t>
      </w:r>
      <w:r w:rsidRPr="00C84921">
        <w:t xml:space="preserve">at </w:t>
      </w:r>
      <w:r w:rsidRPr="00C84921" w:rsidR="00706B81">
        <w:t>1</w:t>
      </w:r>
      <w:r w:rsidRPr="00C84921">
        <w:t>08.8 minute</w:t>
      </w:r>
      <w:r w:rsidRPr="00C84921" w:rsidR="00706B81">
        <w:t xml:space="preserve">s </w:t>
      </w:r>
      <w:r w:rsidRPr="00C84921">
        <w:t xml:space="preserve">as proposed by the </w:t>
      </w:r>
      <w:r w:rsidRPr="00C84921" w:rsidR="00E8162C">
        <w:t>utility,</w:t>
      </w:r>
      <w:r>
        <w:rPr>
          <w:rStyle w:val="FootnoteReference"/>
        </w:rPr>
        <w:footnoteReference w:id="26"/>
      </w:r>
      <w:r w:rsidRPr="00C84921" w:rsidR="00E8162C">
        <w:t xml:space="preserve"> </w:t>
      </w:r>
      <w:r w:rsidRPr="00C84921">
        <w:t xml:space="preserve">and that the Ohio Edison and Cleveland Electric Illuminating CAIDI standards be continued at their current </w:t>
      </w:r>
      <w:r w:rsidRPr="00C84921" w:rsidR="00E8162C">
        <w:t xml:space="preserve">PUCO </w:t>
      </w:r>
      <w:r w:rsidRPr="00C84921">
        <w:t xml:space="preserve">approved level of </w:t>
      </w:r>
      <w:r w:rsidRPr="00C84921" w:rsidR="00706B81">
        <w:t>114.37 and 135.00 minutes respectively.</w:t>
      </w:r>
      <w:r>
        <w:rPr>
          <w:rStyle w:val="FootnoteReference"/>
        </w:rPr>
        <w:footnoteReference w:id="27"/>
      </w:r>
      <w:r w:rsidRPr="00C84921" w:rsidR="00706B81">
        <w:t xml:space="preserve"> </w:t>
      </w:r>
      <w:bookmarkStart w:id="5" w:name="_Toc137465708"/>
      <w:r w:rsidRPr="00C84921" w:rsidR="00706B81">
        <w:t xml:space="preserve">But </w:t>
      </w:r>
      <w:r w:rsidRPr="00C84921" w:rsidR="00E8162C">
        <w:t xml:space="preserve">as explained earlier, </w:t>
      </w:r>
      <w:r w:rsidRPr="00C84921" w:rsidR="00706B81">
        <w:t>the</w:t>
      </w:r>
      <w:r w:rsidRPr="00C84921" w:rsidR="00AE7A8F">
        <w:t xml:space="preserve"> PUCO rules support performance standards being based on quantifiable factors including the historical performance, system design, technological advancements, service area geography, and the results of customer perception surveys.</w:t>
      </w:r>
      <w:r>
        <w:rPr>
          <w:rStyle w:val="FootnoteReference"/>
        </w:rPr>
        <w:footnoteReference w:id="28"/>
      </w:r>
      <w:r w:rsidR="00C84921">
        <w:t xml:space="preserve"> </w:t>
      </w:r>
      <w:r w:rsidRPr="00C84921" w:rsidR="002935C6">
        <w:t xml:space="preserve">The </w:t>
      </w:r>
      <w:r w:rsidRPr="00C84921" w:rsidR="00E8162C">
        <w:t>proposed Toledo Edison CAIDI was calculated using a</w:t>
      </w:r>
      <w:r w:rsidRPr="00C84921" w:rsidR="003D77CA">
        <w:t xml:space="preserve"> </w:t>
      </w:r>
      <w:r w:rsidRPr="00C84921" w:rsidR="00E8162C">
        <w:t xml:space="preserve">two standard deviation variance </w:t>
      </w:r>
      <w:r w:rsidRPr="00C84921" w:rsidR="003D77CA">
        <w:t xml:space="preserve">as an adder </w:t>
      </w:r>
      <w:r w:rsidRPr="00C84921" w:rsidR="00E8162C">
        <w:t>on the five-year average historical performance that is not supported in the PUCO rules.</w:t>
      </w:r>
      <w:r>
        <w:rPr>
          <w:rStyle w:val="FootnoteReference"/>
        </w:rPr>
        <w:footnoteReference w:id="29"/>
      </w:r>
      <w:r w:rsidRPr="00C84921" w:rsidR="00E8162C">
        <w:t xml:space="preserve"> </w:t>
      </w:r>
      <w:r w:rsidRPr="00C84921" w:rsidR="003971BB">
        <w:t xml:space="preserve">The PUCO </w:t>
      </w:r>
      <w:r w:rsidRPr="00C84921" w:rsidR="003D77CA">
        <w:t xml:space="preserve">Staff provided no </w:t>
      </w:r>
      <w:r w:rsidRPr="00C84921">
        <w:t xml:space="preserve">support or analysis regarding the reasonableness of the proposed two standard variance to the five- year average Toledo Edison historical CAIDI performance. Without such support and analysis, there is no basis for the PUCO to determine that the proposed Toledo Edison CAIDI standard is just and reasonable. </w:t>
      </w:r>
    </w:p>
    <w:p w:rsidR="006E2FC4" w:rsidRPr="00C84921" w:rsidP="001534F4" w14:paraId="49C50EF2" w14:textId="3345AC8A">
      <w:pPr>
        <w:spacing w:after="0" w:line="480" w:lineRule="auto"/>
        <w:ind w:firstLine="720"/>
      </w:pPr>
      <w:r w:rsidRPr="00C84921">
        <w:t xml:space="preserve">Further, </w:t>
      </w:r>
      <w:r w:rsidRPr="00C84921" w:rsidR="00E25359">
        <w:t xml:space="preserve">the </w:t>
      </w:r>
      <w:r w:rsidRPr="00C84921" w:rsidR="003971BB">
        <w:t xml:space="preserve">PUCO </w:t>
      </w:r>
      <w:r w:rsidRPr="00C84921">
        <w:t xml:space="preserve">Staff </w:t>
      </w:r>
      <w:r w:rsidRPr="00C84921" w:rsidR="00E25359">
        <w:t xml:space="preserve">recommendation to continue the </w:t>
      </w:r>
      <w:r w:rsidRPr="00C84921" w:rsidR="00E8162C">
        <w:t xml:space="preserve">Ohio Edison and Cleveland Electric Illuminating CAIDI standards at their current levels </w:t>
      </w:r>
      <w:r w:rsidRPr="00C84921" w:rsidR="00E25359">
        <w:t>is unjust and unreasonable</w:t>
      </w:r>
      <w:r w:rsidRPr="00C84921" w:rsidR="00EE0A0C">
        <w:t>. It</w:t>
      </w:r>
      <w:r w:rsidRPr="00C84921" w:rsidR="00E25359">
        <w:t xml:space="preserve"> fails to comply with PUCO rules regarding establish</w:t>
      </w:r>
      <w:r w:rsidRPr="00C84921" w:rsidR="00EE0A0C">
        <w:t>ing</w:t>
      </w:r>
      <w:r w:rsidRPr="00C84921" w:rsidR="00E25359">
        <w:t xml:space="preserve"> new reliability standards. </w:t>
      </w:r>
      <w:r w:rsidRPr="00C84921" w:rsidR="00FF305D">
        <w:t xml:space="preserve">The PUCO rules support the </w:t>
      </w:r>
      <w:r w:rsidRPr="00C84921" w:rsidR="00E8162C">
        <w:t xml:space="preserve">CAIDI standards </w:t>
      </w:r>
      <w:r w:rsidRPr="00C84921" w:rsidR="00FF305D">
        <w:t xml:space="preserve">for all three FirstEnergy </w:t>
      </w:r>
      <w:r w:rsidRPr="00C84921" w:rsidR="00177824">
        <w:t xml:space="preserve">Utilities </w:t>
      </w:r>
      <w:r w:rsidRPr="00C84921" w:rsidR="00FF305D">
        <w:t>being based on their five-year average historical performance.</w:t>
      </w:r>
      <w:r>
        <w:rPr>
          <w:rStyle w:val="FootnoteReference"/>
        </w:rPr>
        <w:footnoteReference w:id="30"/>
      </w:r>
      <w:r w:rsidRPr="00C84921" w:rsidR="00C45432">
        <w:t xml:space="preserve"> </w:t>
      </w:r>
    </w:p>
    <w:p w:rsidR="00FF305D" w:rsidRPr="00C84921" w:rsidP="00F3126F" w14:paraId="03253826" w14:textId="63DC49C8">
      <w:pPr>
        <w:pStyle w:val="Heading2"/>
        <w:rPr>
          <w:rFonts w:ascii="Times New Roman" w:hAnsi="Times New Roman"/>
        </w:rPr>
      </w:pPr>
      <w:r w:rsidRPr="00C84921">
        <w:rPr>
          <w:rFonts w:ascii="Times New Roman" w:hAnsi="Times New Roman"/>
        </w:rPr>
        <w:t>D.</w:t>
      </w:r>
      <w:r w:rsidRPr="00C84921">
        <w:rPr>
          <w:rFonts w:ascii="Times New Roman" w:hAnsi="Times New Roman"/>
        </w:rPr>
        <w:tab/>
        <w:t xml:space="preserve">The PUCO should not approve FirstEnergy </w:t>
      </w:r>
      <w:r w:rsidRPr="00C84921" w:rsidR="00177824">
        <w:rPr>
          <w:rFonts w:ascii="Times New Roman" w:hAnsi="Times New Roman"/>
        </w:rPr>
        <w:t xml:space="preserve">Utilities </w:t>
      </w:r>
      <w:r w:rsidRPr="00C84921" w:rsidR="00BD5998">
        <w:rPr>
          <w:rFonts w:ascii="Times New Roman" w:hAnsi="Times New Roman"/>
        </w:rPr>
        <w:t xml:space="preserve">proposed </w:t>
      </w:r>
      <w:r w:rsidRPr="00C84921">
        <w:rPr>
          <w:rFonts w:ascii="Times New Roman" w:hAnsi="Times New Roman"/>
        </w:rPr>
        <w:t xml:space="preserve">reliability standards that exceed the </w:t>
      </w:r>
      <w:r w:rsidRPr="00C84921" w:rsidR="00BD5998">
        <w:rPr>
          <w:rFonts w:ascii="Times New Roman" w:hAnsi="Times New Roman"/>
        </w:rPr>
        <w:t xml:space="preserve">just and reasonable </w:t>
      </w:r>
      <w:r w:rsidRPr="00C84921">
        <w:rPr>
          <w:rFonts w:ascii="Times New Roman" w:hAnsi="Times New Roman"/>
        </w:rPr>
        <w:t>levels recommended by OCC.</w:t>
      </w:r>
    </w:p>
    <w:p w:rsidR="00075B08" w:rsidRPr="00C84921" w:rsidP="006E6EDB" w14:paraId="764F2620" w14:textId="36C82D5C">
      <w:pPr>
        <w:spacing w:line="480" w:lineRule="auto"/>
      </w:pPr>
      <w:r w:rsidRPr="00C84921">
        <w:tab/>
        <w:t xml:space="preserve">As explained in </w:t>
      </w:r>
      <w:r w:rsidRPr="00C84921" w:rsidR="00EE0A0C">
        <w:t xml:space="preserve">our comments and </w:t>
      </w:r>
      <w:r w:rsidRPr="00C84921">
        <w:t xml:space="preserve">these </w:t>
      </w:r>
      <w:r w:rsidRPr="00C84921" w:rsidR="00EE0A0C">
        <w:t xml:space="preserve">reply </w:t>
      </w:r>
      <w:r w:rsidRPr="00C84921">
        <w:t>comments, the PUCO</w:t>
      </w:r>
      <w:r w:rsidRPr="00C84921">
        <w:t xml:space="preserve"> should </w:t>
      </w:r>
      <w:r w:rsidRPr="00C84921">
        <w:t xml:space="preserve">not approve the proposed FirstEnergy </w:t>
      </w:r>
      <w:r w:rsidRPr="00C84921" w:rsidR="00177824">
        <w:t xml:space="preserve">Utilities </w:t>
      </w:r>
      <w:r w:rsidRPr="00C84921">
        <w:t xml:space="preserve">reliability standards that exceed the just and reasonable levels recommended by OCC. The following table provides a summary of the </w:t>
      </w:r>
      <w:r w:rsidRPr="00C84921">
        <w:t xml:space="preserve">SAIFI and CAIDI </w:t>
      </w:r>
      <w:r w:rsidRPr="00C84921">
        <w:t xml:space="preserve">standards </w:t>
      </w:r>
      <w:r w:rsidRPr="00C84921">
        <w:t xml:space="preserve">as </w:t>
      </w:r>
      <w:r w:rsidRPr="00C84921">
        <w:t xml:space="preserve">proposed by </w:t>
      </w:r>
      <w:r w:rsidRPr="00C84921" w:rsidR="00EE0A0C">
        <w:t xml:space="preserve">the </w:t>
      </w:r>
      <w:r w:rsidRPr="00C84921">
        <w:t>FirstEnergy</w:t>
      </w:r>
      <w:r w:rsidRPr="00C84921" w:rsidR="00EE0A0C">
        <w:t xml:space="preserve"> </w:t>
      </w:r>
      <w:r w:rsidRPr="00C84921" w:rsidR="00177824">
        <w:t xml:space="preserve">Utilities </w:t>
      </w:r>
      <w:r w:rsidRPr="00C84921">
        <w:t>compared with th</w:t>
      </w:r>
      <w:r w:rsidRPr="00C84921" w:rsidR="00D36322">
        <w:t xml:space="preserve">ose </w:t>
      </w:r>
      <w:r w:rsidRPr="00C84921">
        <w:t>recommend</w:t>
      </w:r>
      <w:r w:rsidRPr="00C84921" w:rsidR="00D36322">
        <w:t xml:space="preserve">ed </w:t>
      </w:r>
      <w:r w:rsidRPr="00C84921">
        <w:t xml:space="preserve">by </w:t>
      </w:r>
      <w:r w:rsidRPr="00C84921" w:rsidR="00EE0A0C">
        <w:t xml:space="preserve">the PUCO </w:t>
      </w:r>
      <w:r w:rsidRPr="00C84921">
        <w:t xml:space="preserve">Staff </w:t>
      </w:r>
      <w:r w:rsidRPr="00C84921">
        <w:t xml:space="preserve">and OCC. </w:t>
      </w:r>
    </w:p>
    <w:tbl>
      <w:tblPr>
        <w:tblStyle w:val="TableGrid"/>
        <w:tblW w:w="0" w:type="auto"/>
        <w:tblInd w:w="1003" w:type="dxa"/>
        <w:tblLook w:val="04A0"/>
      </w:tblPr>
      <w:tblGrid>
        <w:gridCol w:w="1345"/>
        <w:gridCol w:w="1070"/>
        <w:gridCol w:w="1350"/>
        <w:gridCol w:w="1205"/>
        <w:gridCol w:w="1656"/>
      </w:tblGrid>
      <w:tr w14:paraId="3401A329" w14:textId="77777777" w:rsidTr="00714388">
        <w:tblPrEx>
          <w:tblW w:w="0" w:type="auto"/>
          <w:tblInd w:w="1003" w:type="dxa"/>
          <w:tblLook w:val="04A0"/>
        </w:tblPrEx>
        <w:tc>
          <w:tcPr>
            <w:tcW w:w="1345" w:type="dxa"/>
          </w:tcPr>
          <w:p w:rsidR="00075B08" w:rsidRPr="00C84921" w:rsidP="006E6EDB" w14:paraId="06510FE3" w14:textId="723E877E">
            <w:r w:rsidRPr="00C84921">
              <w:t>Operating Company</w:t>
            </w:r>
          </w:p>
        </w:tc>
        <w:tc>
          <w:tcPr>
            <w:tcW w:w="1070" w:type="dxa"/>
          </w:tcPr>
          <w:p w:rsidR="00075B08" w:rsidRPr="00C84921" w:rsidP="006E6EDB" w14:paraId="6EDB2BEA" w14:textId="0828A680">
            <w:r w:rsidRPr="00C84921">
              <w:t>Current S</w:t>
            </w:r>
            <w:r w:rsidRPr="00C84921" w:rsidR="00714388">
              <w:t>tandard</w:t>
            </w:r>
            <w:r w:rsidRPr="00C84921">
              <w:t xml:space="preserve"> </w:t>
            </w:r>
          </w:p>
        </w:tc>
        <w:tc>
          <w:tcPr>
            <w:tcW w:w="1350" w:type="dxa"/>
          </w:tcPr>
          <w:p w:rsidR="00075B08" w:rsidRPr="00C84921" w:rsidP="006E6EDB" w14:paraId="69308F8A" w14:textId="1A38A356">
            <w:r w:rsidRPr="00C84921">
              <w:t>FirstEnergy Proposed Standard</w:t>
            </w:r>
          </w:p>
        </w:tc>
        <w:tc>
          <w:tcPr>
            <w:tcW w:w="1205" w:type="dxa"/>
          </w:tcPr>
          <w:p w:rsidR="00075B08" w:rsidRPr="00C84921" w:rsidP="006E6EDB" w14:paraId="06FF91C1" w14:textId="291382EE">
            <w:r w:rsidRPr="00C84921">
              <w:t>Staff Proposed Standard</w:t>
            </w:r>
          </w:p>
        </w:tc>
        <w:tc>
          <w:tcPr>
            <w:tcW w:w="1656" w:type="dxa"/>
          </w:tcPr>
          <w:p w:rsidR="00075B08" w:rsidRPr="00C84921" w:rsidP="006E6EDB" w14:paraId="15874CD1" w14:textId="7157FF18">
            <w:r w:rsidRPr="00C84921">
              <w:t>OCC Recommended Standard</w:t>
            </w:r>
            <w:r>
              <w:rPr>
                <w:rStyle w:val="FootnoteReference"/>
              </w:rPr>
              <w:footnoteReference w:id="31"/>
            </w:r>
          </w:p>
        </w:tc>
      </w:tr>
      <w:tr w14:paraId="038CDEB0" w14:textId="77777777" w:rsidTr="00714388">
        <w:tblPrEx>
          <w:tblW w:w="0" w:type="auto"/>
          <w:tblInd w:w="1003" w:type="dxa"/>
          <w:tblLook w:val="04A0"/>
        </w:tblPrEx>
        <w:tc>
          <w:tcPr>
            <w:tcW w:w="1345" w:type="dxa"/>
          </w:tcPr>
          <w:p w:rsidR="00075B08" w:rsidRPr="00C84921" w:rsidP="006E6EDB" w14:paraId="3DDD3415" w14:textId="7A897EEE">
            <w:r w:rsidRPr="00C84921">
              <w:t>C</w:t>
            </w:r>
            <w:r w:rsidRPr="00C84921" w:rsidR="00714388">
              <w:t xml:space="preserve">EI </w:t>
            </w:r>
            <w:r w:rsidRPr="00C84921">
              <w:t>SAIFI</w:t>
            </w:r>
          </w:p>
        </w:tc>
        <w:tc>
          <w:tcPr>
            <w:tcW w:w="1070" w:type="dxa"/>
          </w:tcPr>
          <w:p w:rsidR="00075B08" w:rsidRPr="00C84921" w:rsidP="006E6EDB" w14:paraId="6A23D3CE" w14:textId="4D46A078">
            <w:pPr>
              <w:jc w:val="center"/>
            </w:pPr>
            <w:r w:rsidRPr="00C84921">
              <w:t>1.3</w:t>
            </w:r>
          </w:p>
        </w:tc>
        <w:tc>
          <w:tcPr>
            <w:tcW w:w="1350" w:type="dxa"/>
          </w:tcPr>
          <w:p w:rsidR="00075B08" w:rsidRPr="00C84921" w:rsidP="006E6EDB" w14:paraId="7B817F4B" w14:textId="343B703A">
            <w:pPr>
              <w:jc w:val="center"/>
            </w:pPr>
            <w:r w:rsidRPr="00C84921">
              <w:t>1.13</w:t>
            </w:r>
          </w:p>
        </w:tc>
        <w:tc>
          <w:tcPr>
            <w:tcW w:w="1205" w:type="dxa"/>
          </w:tcPr>
          <w:p w:rsidR="00075B08" w:rsidRPr="00C84921" w:rsidP="006E6EDB" w14:paraId="31FD4AF2" w14:textId="4AA65507">
            <w:pPr>
              <w:jc w:val="center"/>
            </w:pPr>
            <w:r w:rsidRPr="00C84921">
              <w:t>1.13</w:t>
            </w:r>
          </w:p>
        </w:tc>
        <w:tc>
          <w:tcPr>
            <w:tcW w:w="1656" w:type="dxa"/>
          </w:tcPr>
          <w:p w:rsidR="00075B08" w:rsidRPr="00C84921" w:rsidP="006E6EDB" w14:paraId="5D30F290" w14:textId="459146DA">
            <w:pPr>
              <w:jc w:val="center"/>
            </w:pPr>
            <w:r w:rsidRPr="00C84921">
              <w:t>1.0</w:t>
            </w:r>
          </w:p>
        </w:tc>
      </w:tr>
      <w:tr w14:paraId="6C72E525" w14:textId="77777777" w:rsidTr="00714388">
        <w:tblPrEx>
          <w:tblW w:w="0" w:type="auto"/>
          <w:tblInd w:w="1003" w:type="dxa"/>
          <w:tblLook w:val="04A0"/>
        </w:tblPrEx>
        <w:tc>
          <w:tcPr>
            <w:tcW w:w="1345" w:type="dxa"/>
          </w:tcPr>
          <w:p w:rsidR="00075B08" w:rsidRPr="00C84921" w:rsidP="006E6EDB" w14:paraId="4E47B152" w14:textId="0D76B2BA">
            <w:r w:rsidRPr="00C84921">
              <w:t>CEI CAIDI</w:t>
            </w:r>
          </w:p>
        </w:tc>
        <w:tc>
          <w:tcPr>
            <w:tcW w:w="1070" w:type="dxa"/>
          </w:tcPr>
          <w:p w:rsidR="00075B08" w:rsidRPr="00C84921" w:rsidP="006E6EDB" w14:paraId="2F6A7726" w14:textId="54236DF5">
            <w:pPr>
              <w:jc w:val="center"/>
            </w:pPr>
            <w:r w:rsidRPr="00C84921">
              <w:t>135.00</w:t>
            </w:r>
          </w:p>
        </w:tc>
        <w:tc>
          <w:tcPr>
            <w:tcW w:w="1350" w:type="dxa"/>
          </w:tcPr>
          <w:p w:rsidR="00075B08" w:rsidRPr="00C84921" w:rsidP="006E6EDB" w14:paraId="2269B6E9" w14:textId="2080B768">
            <w:pPr>
              <w:jc w:val="center"/>
            </w:pPr>
            <w:r w:rsidRPr="00C84921">
              <w:t>137.6</w:t>
            </w:r>
          </w:p>
        </w:tc>
        <w:tc>
          <w:tcPr>
            <w:tcW w:w="1205" w:type="dxa"/>
          </w:tcPr>
          <w:p w:rsidR="00075B08" w:rsidRPr="00C84921" w:rsidP="006E6EDB" w14:paraId="4C9AD4C5" w14:textId="5C77AE9C">
            <w:pPr>
              <w:jc w:val="center"/>
            </w:pPr>
            <w:r w:rsidRPr="00C84921">
              <w:t>135.00</w:t>
            </w:r>
          </w:p>
        </w:tc>
        <w:tc>
          <w:tcPr>
            <w:tcW w:w="1656" w:type="dxa"/>
          </w:tcPr>
          <w:p w:rsidR="00075B08" w:rsidRPr="00C84921" w:rsidP="006E6EDB" w14:paraId="6AE17862" w14:textId="7A61CEE0">
            <w:pPr>
              <w:jc w:val="center"/>
            </w:pPr>
            <w:r w:rsidRPr="00C84921">
              <w:t>124.69</w:t>
            </w:r>
          </w:p>
        </w:tc>
      </w:tr>
      <w:tr w14:paraId="0FCB0D2C" w14:textId="77777777" w:rsidTr="00714388">
        <w:tblPrEx>
          <w:tblW w:w="0" w:type="auto"/>
          <w:tblInd w:w="1003" w:type="dxa"/>
          <w:tblLook w:val="04A0"/>
        </w:tblPrEx>
        <w:tc>
          <w:tcPr>
            <w:tcW w:w="1345" w:type="dxa"/>
          </w:tcPr>
          <w:p w:rsidR="00075B08" w:rsidRPr="00C84921" w:rsidP="006E6EDB" w14:paraId="0ECDB1DB" w14:textId="0A8F2129">
            <w:r w:rsidRPr="00C84921">
              <w:t>OE SAIFI</w:t>
            </w:r>
          </w:p>
        </w:tc>
        <w:tc>
          <w:tcPr>
            <w:tcW w:w="1070" w:type="dxa"/>
          </w:tcPr>
          <w:p w:rsidR="00075B08" w:rsidRPr="00C84921" w:rsidP="006E6EDB" w14:paraId="042CEA51" w14:textId="0EAFEC87">
            <w:pPr>
              <w:jc w:val="center"/>
            </w:pPr>
            <w:r w:rsidRPr="00C84921">
              <w:t>1.11</w:t>
            </w:r>
          </w:p>
        </w:tc>
        <w:tc>
          <w:tcPr>
            <w:tcW w:w="1350" w:type="dxa"/>
          </w:tcPr>
          <w:p w:rsidR="00075B08" w:rsidRPr="00C84921" w:rsidP="006E6EDB" w14:paraId="4A25CB0A" w14:textId="7F499DE7">
            <w:pPr>
              <w:jc w:val="center"/>
            </w:pPr>
            <w:r w:rsidRPr="00C84921">
              <w:t>1.0</w:t>
            </w:r>
          </w:p>
        </w:tc>
        <w:tc>
          <w:tcPr>
            <w:tcW w:w="1205" w:type="dxa"/>
          </w:tcPr>
          <w:p w:rsidR="00075B08" w:rsidRPr="00C84921" w:rsidP="006E6EDB" w14:paraId="26EB1F84" w14:textId="2768E5DE">
            <w:pPr>
              <w:jc w:val="center"/>
            </w:pPr>
            <w:r w:rsidRPr="00C84921">
              <w:t>1.0</w:t>
            </w:r>
          </w:p>
        </w:tc>
        <w:tc>
          <w:tcPr>
            <w:tcW w:w="1656" w:type="dxa"/>
          </w:tcPr>
          <w:p w:rsidR="00075B08" w:rsidRPr="00C84921" w:rsidP="006E6EDB" w14:paraId="2524DF79" w14:textId="668F81BD">
            <w:pPr>
              <w:jc w:val="center"/>
            </w:pPr>
            <w:r w:rsidRPr="00C84921">
              <w:t>0.91</w:t>
            </w:r>
          </w:p>
        </w:tc>
      </w:tr>
      <w:tr w14:paraId="4A973B12" w14:textId="77777777" w:rsidTr="00714388">
        <w:tblPrEx>
          <w:tblW w:w="0" w:type="auto"/>
          <w:tblInd w:w="1003" w:type="dxa"/>
          <w:tblLook w:val="04A0"/>
        </w:tblPrEx>
        <w:tc>
          <w:tcPr>
            <w:tcW w:w="1345" w:type="dxa"/>
          </w:tcPr>
          <w:p w:rsidR="00075B08" w:rsidRPr="00C84921" w:rsidP="006E6EDB" w14:paraId="7BC50A3A" w14:textId="055C7850">
            <w:r w:rsidRPr="00C84921">
              <w:t>OE CAIDI</w:t>
            </w:r>
          </w:p>
        </w:tc>
        <w:tc>
          <w:tcPr>
            <w:tcW w:w="1070" w:type="dxa"/>
          </w:tcPr>
          <w:p w:rsidR="00075B08" w:rsidRPr="00C84921" w:rsidP="006E6EDB" w14:paraId="51264A95" w14:textId="32FBEE13">
            <w:pPr>
              <w:jc w:val="center"/>
            </w:pPr>
            <w:r w:rsidRPr="00C84921">
              <w:t>114.37</w:t>
            </w:r>
          </w:p>
        </w:tc>
        <w:tc>
          <w:tcPr>
            <w:tcW w:w="1350" w:type="dxa"/>
          </w:tcPr>
          <w:p w:rsidR="00075B08" w:rsidRPr="00C84921" w:rsidP="006E6EDB" w14:paraId="4508052E" w14:textId="0ED4A29A">
            <w:pPr>
              <w:jc w:val="center"/>
            </w:pPr>
            <w:r w:rsidRPr="00C84921">
              <w:t>115.9</w:t>
            </w:r>
          </w:p>
        </w:tc>
        <w:tc>
          <w:tcPr>
            <w:tcW w:w="1205" w:type="dxa"/>
          </w:tcPr>
          <w:p w:rsidR="00075B08" w:rsidRPr="00C84921" w:rsidP="006E6EDB" w14:paraId="5FBB8163" w14:textId="0F695932">
            <w:pPr>
              <w:jc w:val="center"/>
            </w:pPr>
            <w:r w:rsidRPr="00C84921">
              <w:t>114.37</w:t>
            </w:r>
          </w:p>
        </w:tc>
        <w:tc>
          <w:tcPr>
            <w:tcW w:w="1656" w:type="dxa"/>
          </w:tcPr>
          <w:p w:rsidR="00075B08" w:rsidRPr="00C84921" w:rsidP="006E6EDB" w14:paraId="375F9E57" w14:textId="67377C79">
            <w:pPr>
              <w:jc w:val="center"/>
            </w:pPr>
            <w:r w:rsidRPr="00C84921">
              <w:t>107.72</w:t>
            </w:r>
          </w:p>
        </w:tc>
      </w:tr>
      <w:tr w14:paraId="035442BD" w14:textId="77777777" w:rsidTr="00714388">
        <w:tblPrEx>
          <w:tblW w:w="0" w:type="auto"/>
          <w:tblInd w:w="1003" w:type="dxa"/>
          <w:tblLook w:val="04A0"/>
        </w:tblPrEx>
        <w:tc>
          <w:tcPr>
            <w:tcW w:w="1345" w:type="dxa"/>
          </w:tcPr>
          <w:p w:rsidR="00075B08" w:rsidRPr="00C84921" w:rsidP="006E6EDB" w14:paraId="26C20139" w14:textId="53E4123E">
            <w:r w:rsidRPr="00C84921">
              <w:t>TE SAIFI</w:t>
            </w:r>
          </w:p>
        </w:tc>
        <w:tc>
          <w:tcPr>
            <w:tcW w:w="1070" w:type="dxa"/>
          </w:tcPr>
          <w:p w:rsidR="00075B08" w:rsidRPr="00C84921" w:rsidP="006E6EDB" w14:paraId="7BB5BFD2" w14:textId="3FDFA3FD">
            <w:pPr>
              <w:jc w:val="center"/>
            </w:pPr>
            <w:r w:rsidRPr="00C84921">
              <w:t>1.0</w:t>
            </w:r>
          </w:p>
        </w:tc>
        <w:tc>
          <w:tcPr>
            <w:tcW w:w="1350" w:type="dxa"/>
          </w:tcPr>
          <w:p w:rsidR="00075B08" w:rsidRPr="00C84921" w:rsidP="006E6EDB" w14:paraId="068CCC82" w14:textId="7EE6727E">
            <w:pPr>
              <w:jc w:val="center"/>
            </w:pPr>
            <w:r w:rsidRPr="00C84921">
              <w:t>0.76</w:t>
            </w:r>
          </w:p>
        </w:tc>
        <w:tc>
          <w:tcPr>
            <w:tcW w:w="1205" w:type="dxa"/>
          </w:tcPr>
          <w:p w:rsidR="00075B08" w:rsidRPr="00C84921" w:rsidP="006E6EDB" w14:paraId="628E5C62" w14:textId="0995F0FF">
            <w:pPr>
              <w:jc w:val="center"/>
            </w:pPr>
            <w:r w:rsidRPr="00C84921">
              <w:t>0.76</w:t>
            </w:r>
          </w:p>
        </w:tc>
        <w:tc>
          <w:tcPr>
            <w:tcW w:w="1656" w:type="dxa"/>
          </w:tcPr>
          <w:p w:rsidR="00075B08" w:rsidRPr="00C84921" w:rsidP="006E6EDB" w14:paraId="0A7B0E8C" w14:textId="5BA8953C">
            <w:pPr>
              <w:jc w:val="center"/>
            </w:pPr>
            <w:r w:rsidRPr="00C84921">
              <w:t>0.59</w:t>
            </w:r>
          </w:p>
        </w:tc>
      </w:tr>
      <w:tr w14:paraId="4658920A" w14:textId="77777777" w:rsidTr="00714388">
        <w:tblPrEx>
          <w:tblW w:w="0" w:type="auto"/>
          <w:tblInd w:w="1003" w:type="dxa"/>
          <w:tblLook w:val="04A0"/>
        </w:tblPrEx>
        <w:tc>
          <w:tcPr>
            <w:tcW w:w="1345" w:type="dxa"/>
          </w:tcPr>
          <w:p w:rsidR="00075B08" w:rsidRPr="00C84921" w:rsidP="006E6EDB" w14:paraId="5290FBA4" w14:textId="69C5D610">
            <w:r w:rsidRPr="00C84921">
              <w:t>TE CAIDI</w:t>
            </w:r>
          </w:p>
        </w:tc>
        <w:tc>
          <w:tcPr>
            <w:tcW w:w="1070" w:type="dxa"/>
          </w:tcPr>
          <w:p w:rsidR="00075B08" w:rsidRPr="00C84921" w:rsidP="006E6EDB" w14:paraId="1F129827" w14:textId="07D1D384">
            <w:pPr>
              <w:jc w:val="center"/>
            </w:pPr>
            <w:r w:rsidRPr="00C84921">
              <w:t>112.33</w:t>
            </w:r>
          </w:p>
        </w:tc>
        <w:tc>
          <w:tcPr>
            <w:tcW w:w="1350" w:type="dxa"/>
          </w:tcPr>
          <w:p w:rsidR="00075B08" w:rsidRPr="00C84921" w:rsidP="006E6EDB" w14:paraId="2763C4EB" w14:textId="63D2E5E4">
            <w:pPr>
              <w:jc w:val="center"/>
            </w:pPr>
            <w:r w:rsidRPr="00C84921">
              <w:t>108.8</w:t>
            </w:r>
          </w:p>
        </w:tc>
        <w:tc>
          <w:tcPr>
            <w:tcW w:w="1205" w:type="dxa"/>
          </w:tcPr>
          <w:p w:rsidR="00075B08" w:rsidRPr="00C84921" w:rsidP="006E6EDB" w14:paraId="3986406A" w14:textId="17181E04">
            <w:pPr>
              <w:jc w:val="center"/>
            </w:pPr>
            <w:r w:rsidRPr="00C84921">
              <w:t>108.8</w:t>
            </w:r>
          </w:p>
        </w:tc>
        <w:tc>
          <w:tcPr>
            <w:tcW w:w="1656" w:type="dxa"/>
          </w:tcPr>
          <w:p w:rsidR="00075B08" w:rsidRPr="00C84921" w:rsidP="006E6EDB" w14:paraId="6E620290" w14:textId="2E008F15">
            <w:pPr>
              <w:jc w:val="center"/>
            </w:pPr>
            <w:r w:rsidRPr="00C84921">
              <w:t>100.41</w:t>
            </w:r>
          </w:p>
        </w:tc>
      </w:tr>
    </w:tbl>
    <w:p w:rsidR="00E605EC" w:rsidP="00E605EC" w14:paraId="24075280" w14:textId="77777777">
      <w:pPr>
        <w:pStyle w:val="Heading1"/>
      </w:pPr>
      <w:bookmarkStart w:id="6" w:name="_Toc137465709"/>
      <w:bookmarkEnd w:id="5"/>
    </w:p>
    <w:p w:rsidR="00BD6D30" w:rsidRPr="00C84921" w:rsidP="001534F4" w14:paraId="3858EF9C" w14:textId="5511B987">
      <w:pPr>
        <w:pStyle w:val="Heading1"/>
      </w:pPr>
      <w:r w:rsidRPr="00C84921">
        <w:t>I</w:t>
      </w:r>
      <w:r w:rsidRPr="00C84921" w:rsidR="00D36322">
        <w:t>II</w:t>
      </w:r>
      <w:r w:rsidRPr="00C84921">
        <w:t>.</w:t>
      </w:r>
      <w:r w:rsidRPr="00C84921">
        <w:tab/>
        <w:t>CONCLUSION</w:t>
      </w:r>
      <w:bookmarkEnd w:id="6"/>
    </w:p>
    <w:p w:rsidR="00757783" w:rsidRPr="00C84921" w:rsidP="00CB0BA2" w14:paraId="393394B8" w14:textId="31ED7AAF">
      <w:pPr>
        <w:spacing w:after="0" w:line="480" w:lineRule="auto"/>
        <w:ind w:firstLine="720"/>
      </w:pPr>
      <w:r w:rsidRPr="00C84921">
        <w:t xml:space="preserve">For all the reasons that are addressed in </w:t>
      </w:r>
      <w:r w:rsidRPr="00C84921" w:rsidR="00EE0A0C">
        <w:t xml:space="preserve">our comments and </w:t>
      </w:r>
      <w:r w:rsidRPr="00C84921">
        <w:t xml:space="preserve">these </w:t>
      </w:r>
      <w:r w:rsidRPr="00C84921" w:rsidR="00EE0A0C">
        <w:t xml:space="preserve">reply </w:t>
      </w:r>
      <w:r w:rsidRPr="00C84921">
        <w:t>comments, t</w:t>
      </w:r>
      <w:r w:rsidRPr="00C84921" w:rsidR="00710329">
        <w:t xml:space="preserve">he PUCO should </w:t>
      </w:r>
      <w:r w:rsidRPr="00C84921">
        <w:t xml:space="preserve">protect consumers by finding </w:t>
      </w:r>
      <w:r w:rsidRPr="00C84921" w:rsidR="00710329">
        <w:t>that the</w:t>
      </w:r>
      <w:r w:rsidRPr="00C84921" w:rsidR="00570FE2">
        <w:t xml:space="preserve"> reliability standards</w:t>
      </w:r>
      <w:r w:rsidRPr="00C84921" w:rsidR="00710329">
        <w:t xml:space="preserve"> proposed</w:t>
      </w:r>
      <w:r w:rsidRPr="00C84921" w:rsidR="00570FE2">
        <w:t xml:space="preserve"> by the</w:t>
      </w:r>
      <w:r w:rsidRPr="00C84921" w:rsidR="00710329">
        <w:t xml:space="preserve"> </w:t>
      </w:r>
      <w:r w:rsidRPr="00C84921" w:rsidR="00AA0938">
        <w:t xml:space="preserve">FirstEnergy </w:t>
      </w:r>
      <w:r w:rsidRPr="00C84921" w:rsidR="00177824">
        <w:t xml:space="preserve">Utilities </w:t>
      </w:r>
      <w:r w:rsidRPr="00C84921" w:rsidR="00710329">
        <w:t>are unjust and unreasonable</w:t>
      </w:r>
      <w:r w:rsidRPr="00C84921">
        <w:t xml:space="preserve">. The PUCO should </w:t>
      </w:r>
      <w:r w:rsidRPr="00C84921" w:rsidR="00570FE2">
        <w:t xml:space="preserve">also </w:t>
      </w:r>
      <w:r w:rsidRPr="00C84921">
        <w:t xml:space="preserve">schedule this </w:t>
      </w:r>
      <w:r w:rsidRPr="00C84921" w:rsidR="00710329">
        <w:t>matter for hearing</w:t>
      </w:r>
      <w:r w:rsidRPr="00C84921">
        <w:t>.</w:t>
      </w:r>
      <w:r w:rsidRPr="00C84921" w:rsidR="00245180">
        <w:t xml:space="preserve"> </w:t>
      </w:r>
    </w:p>
    <w:p w:rsidR="00757783" w:rsidRPr="00C84921" w:rsidP="00757783" w14:paraId="4F45EBDD" w14:textId="77777777">
      <w:pPr>
        <w:widowControl w:val="0"/>
        <w:spacing w:after="0" w:line="480" w:lineRule="atLeast"/>
        <w:ind w:left="3600" w:right="-672" w:firstLine="720"/>
        <w:rPr>
          <w:rFonts w:eastAsia="Times New Roman"/>
        </w:rPr>
      </w:pPr>
      <w:r w:rsidRPr="00C84921">
        <w:rPr>
          <w:rFonts w:eastAsia="Times New Roman"/>
        </w:rPr>
        <w:t>Respectfully submitted,</w:t>
      </w:r>
    </w:p>
    <w:p w:rsidR="00757783" w:rsidRPr="00C84921" w:rsidP="00757783" w14:paraId="48766C41" w14:textId="77777777">
      <w:pPr>
        <w:spacing w:after="0" w:line="240" w:lineRule="auto"/>
        <w:jc w:val="both"/>
        <w:rPr>
          <w:rFonts w:eastAsia="Times New Roman"/>
        </w:rPr>
      </w:pPr>
      <w:r w:rsidRPr="00C84921">
        <w:rPr>
          <w:rFonts w:eastAsia="Times New Roman"/>
        </w:rPr>
        <w:tab/>
      </w:r>
    </w:p>
    <w:p w:rsidR="00757783" w:rsidRPr="00C84921" w:rsidP="00757783" w14:paraId="0223D3D5" w14:textId="77777777">
      <w:pPr>
        <w:spacing w:after="0" w:line="240" w:lineRule="auto"/>
        <w:ind w:left="4320"/>
        <w:jc w:val="both"/>
        <w:rPr>
          <w:rFonts w:eastAsia="Times New Roman"/>
        </w:rPr>
      </w:pPr>
      <w:r w:rsidRPr="00C84921">
        <w:rPr>
          <w:rFonts w:eastAsia="Times New Roman"/>
        </w:rPr>
        <w:t>Bruce Weston (0016973)</w:t>
      </w:r>
    </w:p>
    <w:p w:rsidR="00757783" w:rsidRPr="00C84921" w:rsidP="00757783" w14:paraId="33823A2B" w14:textId="77777777">
      <w:pPr>
        <w:tabs>
          <w:tab w:val="left" w:pos="4320"/>
        </w:tabs>
        <w:spacing w:after="0" w:line="240" w:lineRule="auto"/>
        <w:ind w:left="4320" w:hanging="450"/>
        <w:jc w:val="both"/>
        <w:rPr>
          <w:rFonts w:eastAsia="Times New Roman"/>
        </w:rPr>
      </w:pPr>
      <w:r w:rsidRPr="00C84921">
        <w:rPr>
          <w:rFonts w:eastAsia="Times New Roman"/>
        </w:rPr>
        <w:tab/>
        <w:t>Ohio Consumers’ Counsel</w:t>
      </w:r>
    </w:p>
    <w:p w:rsidR="00757783" w:rsidRPr="00C84921" w:rsidP="00757783" w14:paraId="25FE4869" w14:textId="77777777">
      <w:pPr>
        <w:tabs>
          <w:tab w:val="left" w:pos="4320"/>
        </w:tabs>
        <w:spacing w:after="0" w:line="240" w:lineRule="auto"/>
        <w:ind w:left="4320"/>
        <w:jc w:val="both"/>
        <w:rPr>
          <w:rFonts w:eastAsia="Times New Roman"/>
        </w:rPr>
      </w:pPr>
    </w:p>
    <w:p w:rsidR="00757783" w:rsidRPr="00C84921" w:rsidP="00757783" w14:paraId="272CA4E2" w14:textId="77777777">
      <w:pPr>
        <w:tabs>
          <w:tab w:val="left" w:pos="4320"/>
        </w:tabs>
        <w:spacing w:after="0" w:line="240" w:lineRule="auto"/>
        <w:ind w:left="4320"/>
        <w:jc w:val="both"/>
        <w:rPr>
          <w:rFonts w:eastAsia="Times New Roman"/>
          <w:i/>
          <w:iCs/>
          <w:u w:val="single"/>
        </w:rPr>
      </w:pPr>
      <w:r w:rsidRPr="00C84921">
        <w:rPr>
          <w:rFonts w:eastAsia="Times New Roman"/>
          <w:i/>
          <w:iCs/>
          <w:u w:val="single"/>
        </w:rPr>
        <w:t>/s/ William J. Michael</w:t>
      </w:r>
    </w:p>
    <w:p w:rsidR="00757783" w:rsidRPr="00C84921" w:rsidP="00757783" w14:paraId="76BE498A" w14:textId="77777777">
      <w:pPr>
        <w:tabs>
          <w:tab w:val="left" w:pos="4320"/>
        </w:tabs>
        <w:spacing w:after="0" w:line="240" w:lineRule="auto"/>
        <w:ind w:left="4320"/>
        <w:jc w:val="both"/>
        <w:rPr>
          <w:rFonts w:eastAsia="Times New Roman"/>
        </w:rPr>
      </w:pPr>
      <w:r w:rsidRPr="00C84921">
        <w:rPr>
          <w:rFonts w:eastAsia="Times New Roman"/>
        </w:rPr>
        <w:t>William J. Michael (0070921)</w:t>
      </w:r>
    </w:p>
    <w:p w:rsidR="00757783" w:rsidRPr="00C84921" w:rsidP="00757783" w14:paraId="7D18325C" w14:textId="77777777">
      <w:pPr>
        <w:tabs>
          <w:tab w:val="left" w:pos="4320"/>
        </w:tabs>
        <w:spacing w:after="0" w:line="240" w:lineRule="auto"/>
        <w:ind w:left="4320"/>
        <w:jc w:val="both"/>
        <w:rPr>
          <w:rFonts w:eastAsia="Times New Roman"/>
        </w:rPr>
      </w:pPr>
      <w:r w:rsidRPr="00C84921">
        <w:rPr>
          <w:rFonts w:eastAsia="Times New Roman"/>
        </w:rPr>
        <w:t>Counsel of Record</w:t>
      </w:r>
    </w:p>
    <w:p w:rsidR="00757783" w:rsidRPr="00C84921" w:rsidP="00757783" w14:paraId="2450DDBF" w14:textId="77777777">
      <w:pPr>
        <w:tabs>
          <w:tab w:val="left" w:pos="3870"/>
          <w:tab w:val="left" w:pos="4320"/>
        </w:tabs>
        <w:spacing w:after="0" w:line="240" w:lineRule="auto"/>
        <w:ind w:left="4320"/>
        <w:jc w:val="both"/>
        <w:rPr>
          <w:rFonts w:eastAsia="Times New Roman"/>
        </w:rPr>
      </w:pPr>
      <w:r w:rsidRPr="00C84921">
        <w:rPr>
          <w:rFonts w:eastAsia="Times New Roman"/>
        </w:rPr>
        <w:t>Assistant Consumers’ Counsel</w:t>
      </w:r>
    </w:p>
    <w:p w:rsidR="00757783" w:rsidRPr="00C84921" w:rsidP="00757783" w14:paraId="4D57B8A2" w14:textId="77777777">
      <w:pPr>
        <w:tabs>
          <w:tab w:val="left" w:pos="3870"/>
          <w:tab w:val="left" w:pos="4320"/>
        </w:tabs>
        <w:spacing w:after="0" w:line="240" w:lineRule="auto"/>
        <w:ind w:left="4320"/>
        <w:jc w:val="both"/>
        <w:rPr>
          <w:rFonts w:eastAsia="Times New Roman"/>
        </w:rPr>
      </w:pPr>
    </w:p>
    <w:p w:rsidR="00757783" w:rsidRPr="00C84921" w:rsidP="00757783" w14:paraId="39530D4C" w14:textId="77777777">
      <w:pPr>
        <w:spacing w:after="0" w:line="240" w:lineRule="auto"/>
        <w:ind w:left="4320"/>
        <w:jc w:val="both"/>
        <w:rPr>
          <w:rFonts w:eastAsia="Times New Roman"/>
          <w:b/>
          <w:bCs/>
        </w:rPr>
      </w:pPr>
      <w:r w:rsidRPr="00C84921">
        <w:rPr>
          <w:rFonts w:eastAsia="Times New Roman"/>
          <w:b/>
          <w:bCs/>
        </w:rPr>
        <w:t>Office of the Ohio Consumers' Counsel</w:t>
      </w:r>
    </w:p>
    <w:p w:rsidR="00757783" w:rsidRPr="00C84921" w:rsidP="00757783" w14:paraId="4231EC68" w14:textId="77777777">
      <w:pPr>
        <w:spacing w:after="0" w:line="240" w:lineRule="auto"/>
        <w:ind w:left="4320"/>
        <w:jc w:val="both"/>
        <w:rPr>
          <w:rFonts w:eastAsia="Times New Roman"/>
        </w:rPr>
      </w:pPr>
      <w:r w:rsidRPr="00C84921">
        <w:rPr>
          <w:rFonts w:eastAsia="Times New Roman"/>
        </w:rPr>
        <w:t>65 East State Street, Suite 700</w:t>
      </w:r>
    </w:p>
    <w:p w:rsidR="00757783" w:rsidRPr="00C84921" w:rsidP="00757783" w14:paraId="10473CC8" w14:textId="77777777">
      <w:pPr>
        <w:spacing w:after="0" w:line="240" w:lineRule="auto"/>
        <w:ind w:left="4320"/>
        <w:jc w:val="both"/>
        <w:rPr>
          <w:rFonts w:eastAsia="Times New Roman"/>
        </w:rPr>
      </w:pPr>
      <w:r w:rsidRPr="00C84921">
        <w:rPr>
          <w:rFonts w:eastAsia="Times New Roman"/>
        </w:rPr>
        <w:t>Columbus, Ohio 43215</w:t>
      </w:r>
    </w:p>
    <w:p w:rsidR="00757783" w:rsidRPr="00C84921" w:rsidP="00757783" w14:paraId="17F386D2" w14:textId="77777777">
      <w:pPr>
        <w:autoSpaceDE w:val="0"/>
        <w:autoSpaceDN w:val="0"/>
        <w:adjustRightInd w:val="0"/>
        <w:spacing w:after="0" w:line="240" w:lineRule="auto"/>
        <w:ind w:left="4320"/>
        <w:jc w:val="both"/>
        <w:rPr>
          <w:rFonts w:eastAsia="Times New Roman"/>
        </w:rPr>
      </w:pPr>
      <w:r w:rsidRPr="00C84921">
        <w:rPr>
          <w:rFonts w:eastAsia="Times New Roman"/>
        </w:rPr>
        <w:t>Telephone: [Michael]: (614) 466-1291</w:t>
      </w:r>
    </w:p>
    <w:p w:rsidR="00757783" w:rsidRPr="00C84921" w:rsidP="00757783" w14:paraId="7487E8AC" w14:textId="77777777">
      <w:pPr>
        <w:spacing w:after="0" w:line="240" w:lineRule="auto"/>
        <w:ind w:left="4320"/>
        <w:jc w:val="both"/>
        <w:rPr>
          <w:rFonts w:eastAsia="Times New Roman"/>
        </w:rPr>
      </w:pPr>
      <w:hyperlink r:id="rId6" w:history="1">
        <w:r w:rsidRPr="00C84921">
          <w:rPr>
            <w:rFonts w:eastAsia="Times New Roman"/>
            <w:color w:val="0000FF"/>
            <w:u w:val="single"/>
          </w:rPr>
          <w:t>william.michael@occ.ohio.gov</w:t>
        </w:r>
      </w:hyperlink>
    </w:p>
    <w:p w:rsidR="00757783" w:rsidRPr="00C84921" w:rsidP="00757783" w14:paraId="1CF60C24" w14:textId="77777777">
      <w:pPr>
        <w:spacing w:after="0" w:line="240" w:lineRule="auto"/>
        <w:ind w:left="4320" w:hanging="4320"/>
        <w:jc w:val="both"/>
        <w:rPr>
          <w:rFonts w:eastAsia="Times New Roman"/>
        </w:rPr>
      </w:pPr>
      <w:r w:rsidRPr="00C84921">
        <w:rPr>
          <w:rFonts w:eastAsia="Times New Roman"/>
        </w:rPr>
        <w:tab/>
        <w:t>(willing to accept service by e-mail)</w:t>
      </w:r>
    </w:p>
    <w:p w:rsidR="00757783" w:rsidRPr="00C84921" w:rsidP="00757783" w14:paraId="263C8C15" w14:textId="77777777">
      <w:r w:rsidRPr="00C84921">
        <w:br w:type="page"/>
      </w:r>
    </w:p>
    <w:p w:rsidR="00757783" w:rsidRPr="00C84921" w:rsidP="00757783" w14:paraId="12AADE70" w14:textId="77777777">
      <w:pPr>
        <w:spacing w:after="0" w:line="240" w:lineRule="auto"/>
        <w:jc w:val="center"/>
        <w:rPr>
          <w:rFonts w:eastAsia="Times New Roman"/>
          <w:b/>
          <w:bCs/>
          <w:u w:val="single"/>
        </w:rPr>
      </w:pPr>
      <w:r w:rsidRPr="00C84921">
        <w:rPr>
          <w:rFonts w:eastAsia="Times New Roman"/>
          <w:b/>
          <w:bCs/>
          <w:u w:val="single"/>
        </w:rPr>
        <w:t>CERTIFICATE OF SERVICE</w:t>
      </w:r>
    </w:p>
    <w:p w:rsidR="00757783" w:rsidRPr="00C84921" w:rsidP="00757783" w14:paraId="40243844" w14:textId="35486ACD">
      <w:pPr>
        <w:spacing w:after="0" w:line="480" w:lineRule="atLeast"/>
        <w:rPr>
          <w:rFonts w:eastAsia="Times New Roman"/>
        </w:rPr>
      </w:pPr>
      <w:r w:rsidRPr="00C84921">
        <w:rPr>
          <w:rFonts w:eastAsia="Times New Roman"/>
        </w:rPr>
        <w:tab/>
        <w:t xml:space="preserve">I hereby certify that a copy of these Reply Comments for Consumer Protection was served on the persons stated below </w:t>
      </w:r>
      <w:r w:rsidRPr="00C84921">
        <w:rPr>
          <w:rFonts w:eastAsia="Times New Roman"/>
          <w:iCs/>
        </w:rPr>
        <w:t xml:space="preserve">via </w:t>
      </w:r>
      <w:r w:rsidRPr="00C84921">
        <w:rPr>
          <w:rFonts w:eastAsia="Times New Roman"/>
        </w:rPr>
        <w:t>electronic transmission, this 12</w:t>
      </w:r>
      <w:r w:rsidRPr="00C84921">
        <w:rPr>
          <w:rFonts w:eastAsia="Times New Roman"/>
          <w:vertAlign w:val="superscript"/>
        </w:rPr>
        <w:t>th</w:t>
      </w:r>
      <w:r w:rsidRPr="00C84921">
        <w:rPr>
          <w:rFonts w:eastAsia="Times New Roman"/>
        </w:rPr>
        <w:t xml:space="preserve"> day of Ju</w:t>
      </w:r>
      <w:r w:rsidRPr="00C84921" w:rsidR="000D294E">
        <w:rPr>
          <w:rFonts w:eastAsia="Times New Roman"/>
        </w:rPr>
        <w:t>ly</w:t>
      </w:r>
      <w:r w:rsidRPr="00C84921">
        <w:rPr>
          <w:rFonts w:eastAsia="Times New Roman"/>
        </w:rPr>
        <w:t xml:space="preserve"> 2023.</w:t>
      </w:r>
    </w:p>
    <w:p w:rsidR="00757783" w:rsidRPr="00C84921" w:rsidP="00757783" w14:paraId="488F70C7" w14:textId="77777777">
      <w:pPr>
        <w:spacing w:after="0" w:line="240" w:lineRule="auto"/>
        <w:rPr>
          <w:rFonts w:eastAsia="Times New Roman"/>
        </w:rPr>
      </w:pPr>
    </w:p>
    <w:p w:rsidR="00757783" w:rsidRPr="00C84921" w:rsidP="00757783" w14:paraId="41E66799" w14:textId="77777777">
      <w:pPr>
        <w:tabs>
          <w:tab w:val="left" w:pos="4320"/>
        </w:tabs>
        <w:spacing w:after="0" w:line="240" w:lineRule="auto"/>
        <w:rPr>
          <w:rFonts w:eastAsia="Times New Roman"/>
          <w:i/>
          <w:u w:val="single"/>
        </w:rPr>
      </w:pPr>
      <w:r w:rsidRPr="00C84921">
        <w:rPr>
          <w:rFonts w:eastAsia="Times New Roman"/>
        </w:rPr>
        <w:tab/>
      </w:r>
      <w:r w:rsidRPr="00C84921">
        <w:rPr>
          <w:rFonts w:eastAsia="Times New Roman"/>
          <w:i/>
          <w:u w:val="single"/>
        </w:rPr>
        <w:t>/s/ William J. Michael</w:t>
      </w:r>
    </w:p>
    <w:p w:rsidR="00757783" w:rsidRPr="00C84921" w:rsidP="00757783" w14:paraId="3F21223D" w14:textId="77777777">
      <w:pPr>
        <w:tabs>
          <w:tab w:val="left" w:pos="4320"/>
        </w:tabs>
        <w:spacing w:after="0" w:line="240" w:lineRule="auto"/>
        <w:rPr>
          <w:rFonts w:eastAsia="Times New Roman"/>
        </w:rPr>
      </w:pPr>
      <w:r w:rsidRPr="00C84921">
        <w:rPr>
          <w:rFonts w:eastAsia="Times New Roman"/>
        </w:rPr>
        <w:tab/>
        <w:t>William J. Michael</w:t>
      </w:r>
    </w:p>
    <w:p w:rsidR="00757783" w:rsidRPr="00C84921" w:rsidP="00757783" w14:paraId="752B46D6" w14:textId="77777777">
      <w:pPr>
        <w:tabs>
          <w:tab w:val="left" w:pos="4320"/>
        </w:tabs>
        <w:spacing w:after="0" w:line="240" w:lineRule="auto"/>
        <w:rPr>
          <w:rFonts w:eastAsia="Times New Roman"/>
        </w:rPr>
      </w:pPr>
      <w:r w:rsidRPr="00C84921">
        <w:rPr>
          <w:rFonts w:eastAsia="Times New Roman"/>
        </w:rPr>
        <w:tab/>
        <w:t>Assistant Consumers’ Counsel</w:t>
      </w:r>
    </w:p>
    <w:p w:rsidR="00757783" w:rsidRPr="00C84921" w:rsidP="00757783" w14:paraId="1849874A" w14:textId="77777777">
      <w:pPr>
        <w:spacing w:after="0" w:line="240" w:lineRule="auto"/>
        <w:rPr>
          <w:rFonts w:eastAsia="Times New Roman"/>
        </w:rPr>
      </w:pPr>
    </w:p>
    <w:p w:rsidR="00757783" w:rsidRPr="00C84921" w:rsidP="00757783" w14:paraId="57D7EBFC" w14:textId="77777777">
      <w:pPr>
        <w:spacing w:after="0" w:line="240" w:lineRule="auto"/>
        <w:rPr>
          <w:rFonts w:eastAsia="Times New Roman"/>
        </w:rPr>
      </w:pPr>
      <w:r w:rsidRPr="00C84921">
        <w:rPr>
          <w:rFonts w:eastAsia="Times New Roman"/>
        </w:rPr>
        <w:t>The PUCO’s e-filing system will electronically serve notice of the filing of this document on the following parties:</w:t>
      </w:r>
    </w:p>
    <w:p w:rsidR="00757783" w:rsidRPr="00C84921" w:rsidP="00757783" w14:paraId="1185150A" w14:textId="77777777">
      <w:pPr>
        <w:spacing w:after="0" w:line="240" w:lineRule="auto"/>
        <w:rPr>
          <w:rFonts w:eastAsia="Times New Roman"/>
        </w:rPr>
      </w:pPr>
    </w:p>
    <w:p w:rsidR="00757783" w:rsidRPr="00C84921" w:rsidP="00757783" w14:paraId="3984E917" w14:textId="77777777">
      <w:pPr>
        <w:spacing w:after="0" w:line="240" w:lineRule="auto"/>
        <w:jc w:val="center"/>
        <w:rPr>
          <w:rFonts w:eastAsia="Times New Roman"/>
          <w:b/>
          <w:u w:val="single"/>
        </w:rPr>
      </w:pPr>
      <w:r w:rsidRPr="00C84921">
        <w:rPr>
          <w:rFonts w:eastAsia="Times New Roman"/>
          <w:b/>
          <w:u w:val="single"/>
        </w:rPr>
        <w:t>SERVICE LIST</w:t>
      </w:r>
    </w:p>
    <w:p w:rsidR="00757783" w:rsidRPr="00C84921" w:rsidP="00757783" w14:paraId="3AEEE3A2" w14:textId="77777777">
      <w:pPr>
        <w:spacing w:after="0" w:line="240" w:lineRule="auto"/>
        <w:jc w:val="center"/>
        <w:rPr>
          <w:rFonts w:eastAsia="Times New Roman"/>
          <w:b/>
          <w:u w:val="single"/>
        </w:rPr>
      </w:pPr>
    </w:p>
    <w:tbl>
      <w:tblPr>
        <w:tblW w:w="0" w:type="auto"/>
        <w:tblLook w:val="04A0"/>
      </w:tblPr>
      <w:tblGrid>
        <w:gridCol w:w="4315"/>
        <w:gridCol w:w="4325"/>
      </w:tblGrid>
      <w:tr w14:paraId="3CAEB50F" w14:textId="77777777" w:rsidTr="002C3863">
        <w:tblPrEx>
          <w:tblW w:w="0" w:type="auto"/>
          <w:tblLook w:val="04A0"/>
        </w:tblPrEx>
        <w:tc>
          <w:tcPr>
            <w:tcW w:w="4428" w:type="dxa"/>
            <w:shd w:val="clear" w:color="auto" w:fill="auto"/>
          </w:tcPr>
          <w:p w:rsidR="00757783" w:rsidRPr="00C84921" w:rsidP="002C3863" w14:paraId="799F943E" w14:textId="77777777">
            <w:pPr>
              <w:spacing w:after="0" w:line="240" w:lineRule="auto"/>
              <w:rPr>
                <w:rFonts w:eastAsia="Times New Roman"/>
                <w:bCs/>
                <w:color w:val="0000FF"/>
              </w:rPr>
            </w:pPr>
            <w:hyperlink r:id="rId7" w:history="1">
              <w:r w:rsidRPr="00C84921">
                <w:rPr>
                  <w:rStyle w:val="Hyperlink"/>
                  <w:rFonts w:eastAsia="Times New Roman"/>
                  <w:bCs/>
                  <w:color w:val="0000FF"/>
                </w:rPr>
                <w:t>robert.eubanks@ohioago.gov</w:t>
              </w:r>
            </w:hyperlink>
          </w:p>
          <w:p w:rsidR="00757783" w:rsidRPr="00C84921" w:rsidP="002C3863" w14:paraId="7A06F8EB" w14:textId="77777777">
            <w:pPr>
              <w:spacing w:after="0" w:line="240" w:lineRule="auto"/>
              <w:rPr>
                <w:rFonts w:eastAsia="Times New Roman"/>
                <w:bCs/>
                <w:color w:val="0000FF"/>
              </w:rPr>
            </w:pPr>
            <w:hyperlink r:id="rId8" w:history="1">
              <w:r w:rsidRPr="00C84921">
                <w:rPr>
                  <w:rStyle w:val="Hyperlink"/>
                  <w:rFonts w:eastAsia="Times New Roman"/>
                  <w:bCs/>
                  <w:color w:val="0000FF"/>
                </w:rPr>
                <w:t>rhiannon.howard@ohioago.gov</w:t>
              </w:r>
            </w:hyperlink>
          </w:p>
          <w:p w:rsidR="00757783" w:rsidRPr="00C84921" w:rsidP="002C3863" w14:paraId="78884CDF" w14:textId="77777777">
            <w:pPr>
              <w:spacing w:after="0" w:line="240" w:lineRule="auto"/>
              <w:rPr>
                <w:rFonts w:eastAsia="Times New Roman"/>
                <w:bCs/>
              </w:rPr>
            </w:pPr>
          </w:p>
          <w:p w:rsidR="00757783" w:rsidRPr="00C84921" w:rsidP="002C3863" w14:paraId="1FFA10CF" w14:textId="77777777">
            <w:pPr>
              <w:spacing w:after="0" w:line="240" w:lineRule="auto"/>
              <w:rPr>
                <w:rFonts w:eastAsia="Times New Roman"/>
                <w:bCs/>
              </w:rPr>
            </w:pPr>
            <w:r w:rsidRPr="00C84921">
              <w:rPr>
                <w:rFonts w:eastAsia="Times New Roman"/>
                <w:bCs/>
              </w:rPr>
              <w:t>Attorney Examiners:</w:t>
            </w:r>
          </w:p>
          <w:p w:rsidR="00757783" w:rsidRPr="00C84921" w:rsidP="002C3863" w14:paraId="57638A2C" w14:textId="77777777">
            <w:pPr>
              <w:spacing w:after="0" w:line="240" w:lineRule="auto"/>
              <w:rPr>
                <w:rFonts w:eastAsia="Times New Roman"/>
                <w:bCs/>
                <w:color w:val="0000FF"/>
              </w:rPr>
            </w:pPr>
            <w:hyperlink r:id="rId9" w:history="1">
              <w:r w:rsidRPr="00C84921">
                <w:rPr>
                  <w:rStyle w:val="Hyperlink"/>
                  <w:rFonts w:eastAsia="Times New Roman"/>
                  <w:bCs/>
                  <w:color w:val="0000FF"/>
                </w:rPr>
                <w:t>megan.addison@puco.ohio.gov</w:t>
              </w:r>
            </w:hyperlink>
          </w:p>
          <w:p w:rsidR="00757783" w:rsidRPr="00C84921" w:rsidP="002C3863" w14:paraId="20B8A3EF" w14:textId="77777777">
            <w:pPr>
              <w:spacing w:after="0" w:line="240" w:lineRule="auto"/>
              <w:rPr>
                <w:rFonts w:eastAsia="Times New Roman"/>
                <w:bCs/>
                <w:color w:val="0000FF"/>
              </w:rPr>
            </w:pPr>
            <w:hyperlink r:id="rId10" w:history="1">
              <w:r w:rsidRPr="00C84921">
                <w:rPr>
                  <w:rStyle w:val="Hyperlink"/>
                  <w:rFonts w:eastAsia="Times New Roman"/>
                  <w:bCs/>
                  <w:color w:val="0000FF"/>
                </w:rPr>
                <w:t>gregory.price@puco.ohio.gov</w:t>
              </w:r>
            </w:hyperlink>
          </w:p>
          <w:p w:rsidR="00757783" w:rsidRPr="00C84921" w:rsidP="002C3863" w14:paraId="6675DB84" w14:textId="77777777">
            <w:pPr>
              <w:spacing w:after="0" w:line="240" w:lineRule="auto"/>
              <w:rPr>
                <w:rFonts w:eastAsia="Times New Roman"/>
                <w:bCs/>
              </w:rPr>
            </w:pPr>
          </w:p>
        </w:tc>
        <w:tc>
          <w:tcPr>
            <w:tcW w:w="4428" w:type="dxa"/>
            <w:shd w:val="clear" w:color="auto" w:fill="auto"/>
          </w:tcPr>
          <w:p w:rsidR="00975081" w:rsidRPr="00C84921" w:rsidP="00975081" w14:paraId="11D0417C" w14:textId="77777777">
            <w:pPr>
              <w:autoSpaceDE w:val="0"/>
              <w:autoSpaceDN w:val="0"/>
              <w:adjustRightInd w:val="0"/>
              <w:spacing w:after="0" w:line="240" w:lineRule="auto"/>
              <w:rPr>
                <w:rFonts w:eastAsia="Times New Roman"/>
                <w:color w:val="0000FF"/>
              </w:rPr>
            </w:pPr>
            <w:hyperlink r:id="rId11" w:history="1">
              <w:r w:rsidRPr="00C84921">
                <w:rPr>
                  <w:rStyle w:val="Hyperlink"/>
                  <w:rFonts w:eastAsia="Times New Roman"/>
                  <w:color w:val="0000FF"/>
                </w:rPr>
                <w:t>edanford@firstenergycorp.com</w:t>
              </w:r>
            </w:hyperlink>
          </w:p>
          <w:p w:rsidR="00757783" w:rsidRPr="00975081" w:rsidP="002C3863" w14:paraId="52735309" w14:textId="76639A31">
            <w:pPr>
              <w:autoSpaceDE w:val="0"/>
              <w:autoSpaceDN w:val="0"/>
              <w:adjustRightInd w:val="0"/>
              <w:spacing w:after="0" w:line="240" w:lineRule="auto"/>
              <w:rPr>
                <w:rFonts w:eastAsia="Times New Roman"/>
                <w:color w:val="0000FF"/>
              </w:rPr>
            </w:pPr>
            <w:hyperlink r:id="rId12" w:history="1">
              <w:r w:rsidRPr="00975081" w:rsidR="00975081">
                <w:rPr>
                  <w:rStyle w:val="Hyperlink"/>
                  <w:rFonts w:eastAsia="Times New Roman"/>
                  <w:color w:val="0000FF"/>
                </w:rPr>
                <w:t>cwatchorn@firstenergycorp.com</w:t>
              </w:r>
            </w:hyperlink>
          </w:p>
          <w:p w:rsidR="00757783" w:rsidRPr="00C84921" w:rsidP="002C3863" w14:paraId="5773C34B" w14:textId="77777777">
            <w:pPr>
              <w:spacing w:after="0" w:line="240" w:lineRule="auto"/>
              <w:rPr>
                <w:rFonts w:eastAsia="Times New Roman"/>
                <w:color w:val="0000FF"/>
              </w:rPr>
            </w:pPr>
            <w:hyperlink r:id="rId13" w:history="1">
              <w:r w:rsidRPr="00C84921">
                <w:rPr>
                  <w:rFonts w:eastAsia="Times New Roman"/>
                  <w:color w:val="0000FF"/>
                  <w:u w:val="single"/>
                </w:rPr>
                <w:t>bknipe@firstenergycorp.com</w:t>
              </w:r>
            </w:hyperlink>
          </w:p>
          <w:p w:rsidR="00757783" w:rsidRPr="00C84921" w:rsidP="002C3863" w14:paraId="0F17F43C" w14:textId="77777777">
            <w:pPr>
              <w:spacing w:after="0" w:line="240" w:lineRule="auto"/>
              <w:rPr>
                <w:rFonts w:eastAsia="Times New Roman"/>
                <w:bCs/>
                <w:color w:val="0000FF"/>
              </w:rPr>
            </w:pPr>
            <w:hyperlink r:id="rId14" w:history="1">
              <w:r w:rsidRPr="00C84921">
                <w:rPr>
                  <w:rStyle w:val="Hyperlink"/>
                  <w:rFonts w:eastAsia="Times New Roman"/>
                  <w:bCs/>
                  <w:color w:val="0000FF"/>
                </w:rPr>
                <w:t>gjack@firstenergycorp.com</w:t>
              </w:r>
            </w:hyperlink>
          </w:p>
          <w:p w:rsidR="00757783" w:rsidRPr="00C84921" w:rsidP="002C3863" w14:paraId="25014910" w14:textId="77777777">
            <w:pPr>
              <w:spacing w:after="0" w:line="240" w:lineRule="auto"/>
              <w:rPr>
                <w:rFonts w:eastAsia="Times New Roman"/>
                <w:bCs/>
                <w:color w:val="0000FF"/>
              </w:rPr>
            </w:pPr>
            <w:hyperlink r:id="rId15" w:history="1">
              <w:r w:rsidRPr="00C84921">
                <w:rPr>
                  <w:rStyle w:val="Hyperlink"/>
                  <w:rFonts w:eastAsia="Times New Roman"/>
                  <w:bCs/>
                  <w:color w:val="0000FF"/>
                </w:rPr>
                <w:t>dproano@bakerlaw.com</w:t>
              </w:r>
            </w:hyperlink>
          </w:p>
          <w:p w:rsidR="00757783" w:rsidRPr="00C84921" w:rsidP="002C3863" w14:paraId="3D5CA52F" w14:textId="77777777">
            <w:pPr>
              <w:spacing w:after="0" w:line="240" w:lineRule="auto"/>
              <w:rPr>
                <w:color w:val="0000FF"/>
              </w:rPr>
            </w:pPr>
            <w:hyperlink r:id="rId16" w:history="1">
              <w:r w:rsidRPr="00C84921">
                <w:rPr>
                  <w:rStyle w:val="Hyperlink"/>
                  <w:color w:val="0000FF"/>
                </w:rPr>
                <w:t>ahaque@bakerlaw.com</w:t>
              </w:r>
            </w:hyperlink>
          </w:p>
          <w:p w:rsidR="00757783" w:rsidRPr="00C84921" w:rsidP="002C3863" w14:paraId="2639C2A9" w14:textId="77777777">
            <w:pPr>
              <w:spacing w:after="0" w:line="240" w:lineRule="auto"/>
              <w:rPr>
                <w:color w:val="0000FF"/>
              </w:rPr>
            </w:pPr>
            <w:hyperlink r:id="rId17" w:history="1">
              <w:r w:rsidRPr="00C84921">
                <w:rPr>
                  <w:rStyle w:val="Hyperlink"/>
                  <w:color w:val="0000FF"/>
                </w:rPr>
                <w:t>eprouty@bakerlaw.com</w:t>
              </w:r>
            </w:hyperlink>
          </w:p>
          <w:p w:rsidR="00757783" w:rsidRPr="00C84921" w:rsidP="002C3863" w14:paraId="10ED84EB" w14:textId="77777777">
            <w:pPr>
              <w:spacing w:after="0" w:line="240" w:lineRule="auto"/>
              <w:rPr>
                <w:color w:val="0000FF"/>
              </w:rPr>
            </w:pPr>
            <w:hyperlink r:id="rId18" w:history="1">
              <w:r w:rsidRPr="00C84921">
                <w:rPr>
                  <w:rStyle w:val="Hyperlink"/>
                  <w:color w:val="0000FF"/>
                </w:rPr>
                <w:t>pwillison@bakerlaw.com</w:t>
              </w:r>
            </w:hyperlink>
          </w:p>
          <w:p w:rsidR="00757783" w:rsidRPr="00C84921" w:rsidP="002C3863" w14:paraId="0310F5B4" w14:textId="77777777">
            <w:pPr>
              <w:spacing w:after="0" w:line="240" w:lineRule="auto"/>
              <w:rPr>
                <w:rFonts w:eastAsia="Times New Roman"/>
                <w:bCs/>
              </w:rPr>
            </w:pPr>
          </w:p>
        </w:tc>
      </w:tr>
    </w:tbl>
    <w:p w:rsidR="007543D3" w:rsidRPr="00C84921" w:rsidP="006E6EDB" w14:paraId="76881A6C" w14:textId="77777777">
      <w:pPr>
        <w:spacing w:after="0" w:line="480" w:lineRule="auto"/>
        <w:ind w:firstLine="720"/>
        <w:rPr>
          <w:rFonts w:eastAsia="Times New Roman"/>
        </w:rPr>
      </w:pPr>
    </w:p>
    <w:sectPr w:rsidSect="00C40148">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27D9" w14:paraId="47C2EE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74229933"/>
      <w:docPartObj>
        <w:docPartGallery w:val="Page Numbers (Bottom of Page)"/>
        <w:docPartUnique/>
      </w:docPartObj>
    </w:sdtPr>
    <w:sdtEndPr>
      <w:rPr>
        <w:noProof/>
      </w:rPr>
    </w:sdtEndPr>
    <w:sdtContent>
      <w:p w:rsidR="00E25A81" w14:paraId="31CECB5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27D9" w14:paraId="49F8F6E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0575" w:rsidP="00915D13" w14:paraId="0DF326A8" w14:textId="77777777">
      <w:pPr>
        <w:spacing w:after="0" w:line="240" w:lineRule="auto"/>
      </w:pPr>
      <w:r>
        <w:separator/>
      </w:r>
    </w:p>
  </w:footnote>
  <w:footnote w:type="continuationSeparator" w:id="1">
    <w:p w:rsidR="00540575" w:rsidP="00915D13" w14:paraId="67252DE4" w14:textId="77777777">
      <w:pPr>
        <w:spacing w:after="0" w:line="240" w:lineRule="auto"/>
      </w:pPr>
      <w:r>
        <w:continuationSeparator/>
      </w:r>
    </w:p>
  </w:footnote>
  <w:footnote w:id="2">
    <w:p w:rsidR="009B35DD" w:rsidP="00C84921" w14:paraId="6D428E8D" w14:textId="77A9203B">
      <w:pPr>
        <w:pStyle w:val="FootnoteText"/>
        <w:spacing w:after="120"/>
      </w:pPr>
      <w:r>
        <w:rPr>
          <w:rStyle w:val="FootnoteReference"/>
        </w:rPr>
        <w:footnoteRef/>
      </w:r>
      <w:r>
        <w:t xml:space="preserve"> </w:t>
      </w:r>
      <w:r w:rsidR="00C45432">
        <w:t>R.C.</w:t>
      </w:r>
      <w:r>
        <w:t xml:space="preserve"> 4928.02(A).</w:t>
      </w:r>
    </w:p>
  </w:footnote>
  <w:footnote w:id="3">
    <w:p w:rsidR="009B35DD" w:rsidP="00C84921" w14:paraId="01C82E85" w14:textId="484712A9">
      <w:pPr>
        <w:pStyle w:val="FootnoteText"/>
        <w:spacing w:after="120"/>
      </w:pPr>
      <w:r>
        <w:rPr>
          <w:rStyle w:val="FootnoteReference"/>
        </w:rPr>
        <w:footnoteRef/>
      </w:r>
      <w:r>
        <w:t xml:space="preserve"> </w:t>
      </w:r>
      <w:r w:rsidR="00C45432">
        <w:t>R.C.</w:t>
      </w:r>
      <w:r>
        <w:t xml:space="preserve"> 4928.11</w:t>
      </w:r>
      <w:r w:rsidR="003325ED">
        <w:t>.</w:t>
      </w:r>
    </w:p>
  </w:footnote>
  <w:footnote w:id="4">
    <w:p w:rsidR="0007558E" w:rsidP="00C84921" w14:paraId="71CB6134" w14:textId="69A3C997">
      <w:pPr>
        <w:pStyle w:val="FootnoteText"/>
        <w:spacing w:after="120"/>
      </w:pPr>
      <w:r>
        <w:rPr>
          <w:rStyle w:val="FootnoteReference"/>
        </w:rPr>
        <w:footnoteRef/>
      </w:r>
      <w:r>
        <w:t xml:space="preserve"> </w:t>
      </w:r>
      <w:r w:rsidR="00C45432">
        <w:t>O.A.C.</w:t>
      </w:r>
      <w:r>
        <w:t xml:space="preserve"> 4901:1-10-10(B)</w:t>
      </w:r>
      <w:r w:rsidR="003325ED">
        <w:t>.</w:t>
      </w:r>
    </w:p>
  </w:footnote>
  <w:footnote w:id="5">
    <w:p w:rsidR="000C68A1" w:rsidP="00C84921" w14:paraId="45484B41" w14:textId="5B7974FA">
      <w:pPr>
        <w:pStyle w:val="FootnoteText"/>
        <w:spacing w:after="120"/>
      </w:pPr>
      <w:r>
        <w:rPr>
          <w:rStyle w:val="FootnoteReference"/>
        </w:rPr>
        <w:footnoteRef/>
      </w:r>
      <w:r>
        <w:t xml:space="preserve"> </w:t>
      </w:r>
      <w:r w:rsidRPr="00C45432">
        <w:t>The reliability standards that are being established in this proceeding are considered “blue sky</w:t>
      </w:r>
      <w:r>
        <w:t>.</w:t>
      </w:r>
      <w:r w:rsidRPr="00C45432">
        <w:t xml:space="preserve">” </w:t>
      </w:r>
      <w:r>
        <w:t>They</w:t>
      </w:r>
      <w:r w:rsidRPr="00C45432">
        <w:t xml:space="preserve"> are a measure of the normal operations of the distribution system where the </w:t>
      </w:r>
      <w:r>
        <w:t>FirstEnergy Operating Companies</w:t>
      </w:r>
      <w:r w:rsidRPr="00C45432">
        <w:t xml:space="preserve"> largely have control over the major factors that cause interruptions. There are many other factors that can impact the reliability that consumers experience </w:t>
      </w:r>
      <w:r>
        <w:t>(</w:t>
      </w:r>
      <w:r w:rsidRPr="00785005">
        <w:rPr>
          <w:i/>
          <w:iCs/>
        </w:rPr>
        <w:t>e.g</w:t>
      </w:r>
      <w:r>
        <w:t xml:space="preserve">., </w:t>
      </w:r>
      <w:r w:rsidRPr="00C45432">
        <w:t>momentary interruptions, significant major weather events, transmission, and generation-caused interruptions</w:t>
      </w:r>
      <w:r>
        <w:t>)</w:t>
      </w:r>
      <w:r w:rsidRPr="00C45432">
        <w:t xml:space="preserve">. But these factors are excluded from the reliability standards calculations to provide a reasonable measure of the reliability performance </w:t>
      </w:r>
      <w:r>
        <w:t>that the FirstEnergy Operating Companies are</w:t>
      </w:r>
      <w:r w:rsidRPr="00C45432">
        <w:t xml:space="preserve"> providing.</w:t>
      </w:r>
      <w:r w:rsidRPr="000C68A1">
        <w:t xml:space="preserve"> </w:t>
      </w:r>
      <w:r>
        <w:rPr>
          <w:i/>
          <w:iCs/>
        </w:rPr>
        <w:t xml:space="preserve">See </w:t>
      </w:r>
      <w:r>
        <w:t>O.A.C. 4901:1-10-01(T) and (V); O.A.C. 4901:1-10-10(B)(4)(c).</w:t>
      </w:r>
    </w:p>
  </w:footnote>
  <w:footnote w:id="6">
    <w:p w:rsidR="00D471E0" w:rsidP="00C84921" w14:paraId="372277E3" w14:textId="77777777">
      <w:pPr>
        <w:pStyle w:val="FootnoteText"/>
        <w:spacing w:after="120"/>
      </w:pPr>
      <w:r>
        <w:rPr>
          <w:rStyle w:val="FootnoteReference"/>
        </w:rPr>
        <w:footnoteRef/>
      </w:r>
      <w:r>
        <w:t xml:space="preserve"> O.A.C. 4901:1-10-10(B)(6)(e).</w:t>
      </w:r>
    </w:p>
  </w:footnote>
  <w:footnote w:id="7">
    <w:p w:rsidR="00D471E0" w:rsidP="00C84921" w14:paraId="405E11D0" w14:textId="77777777">
      <w:pPr>
        <w:pStyle w:val="FootnoteText"/>
        <w:spacing w:after="120"/>
      </w:pPr>
      <w:r>
        <w:rPr>
          <w:rStyle w:val="FootnoteReference"/>
        </w:rPr>
        <w:footnoteRef/>
      </w:r>
      <w:r>
        <w:t xml:space="preserve"> </w:t>
      </w:r>
      <w:r w:rsidRPr="00B55A76">
        <w:rPr>
          <w:i/>
          <w:iCs/>
        </w:rPr>
        <w:t>Id.</w:t>
      </w:r>
    </w:p>
  </w:footnote>
  <w:footnote w:id="8">
    <w:p w:rsidR="00615AA9" w:rsidP="00C84921" w14:paraId="4EA40946" w14:textId="0826B2C1">
      <w:pPr>
        <w:pStyle w:val="FootnoteText"/>
        <w:spacing w:after="120"/>
      </w:pPr>
      <w:r>
        <w:rPr>
          <w:rStyle w:val="FootnoteReference"/>
        </w:rPr>
        <w:footnoteRef/>
      </w:r>
      <w:r>
        <w:t xml:space="preserve"> O.A.C. 4901:1-10-10(B)</w:t>
      </w:r>
      <w:r w:rsidR="00D31AC4">
        <w:t>(4)(a).</w:t>
      </w:r>
    </w:p>
  </w:footnote>
  <w:footnote w:id="9">
    <w:p w:rsidR="00D31AC4" w:rsidP="00C84921" w14:paraId="6CEFD44B" w14:textId="09BB4C43">
      <w:pPr>
        <w:pStyle w:val="FootnoteText"/>
        <w:spacing w:after="120"/>
      </w:pPr>
      <w:r>
        <w:rPr>
          <w:rStyle w:val="FootnoteReference"/>
        </w:rPr>
        <w:footnoteRef/>
      </w:r>
      <w:r>
        <w:t xml:space="preserve"> </w:t>
      </w:r>
      <w:r w:rsidRPr="00D31AC4">
        <w:rPr>
          <w:i/>
          <w:iCs/>
        </w:rPr>
        <w:t>Id.</w:t>
      </w:r>
    </w:p>
  </w:footnote>
  <w:footnote w:id="10">
    <w:p w:rsidR="00AE7A8F" w:rsidP="00C84921" w14:paraId="2261CB5A" w14:textId="77777777">
      <w:pPr>
        <w:pStyle w:val="FootnoteText"/>
        <w:spacing w:after="120"/>
      </w:pPr>
      <w:r>
        <w:rPr>
          <w:rStyle w:val="FootnoteReference"/>
        </w:rPr>
        <w:footnoteRef/>
      </w:r>
      <w:r>
        <w:t xml:space="preserve"> </w:t>
      </w:r>
      <w:r w:rsidRPr="00620F6F">
        <w:rPr>
          <w:i/>
          <w:iCs/>
        </w:rPr>
        <w:t xml:space="preserve">In the Matter of Ohio Edison Company, </w:t>
      </w:r>
      <w:r>
        <w:rPr>
          <w:i/>
          <w:iCs/>
        </w:rPr>
        <w:t>t</w:t>
      </w:r>
      <w:r w:rsidRPr="00620F6F">
        <w:rPr>
          <w:i/>
          <w:iCs/>
        </w:rPr>
        <w:t xml:space="preserve">he Cleveland Electric Illuminating Company, and </w:t>
      </w:r>
      <w:r>
        <w:rPr>
          <w:i/>
          <w:iCs/>
        </w:rPr>
        <w:t>t</w:t>
      </w:r>
      <w:r w:rsidRPr="00620F6F">
        <w:rPr>
          <w:i/>
          <w:iCs/>
        </w:rPr>
        <w:t>he Toledo Edison Company to Establish Company-Specific Minimum Reliability Performance Standards</w:t>
      </w:r>
      <w:r>
        <w:t>, Revised Application, (May 2, 2022) at Table 1.</w:t>
      </w:r>
    </w:p>
  </w:footnote>
  <w:footnote w:id="11">
    <w:p w:rsidR="00AE7A8F" w:rsidP="00C84921" w14:paraId="1CC2F4DE" w14:textId="77777777">
      <w:pPr>
        <w:pStyle w:val="FootnoteText"/>
        <w:spacing w:after="120"/>
      </w:pPr>
      <w:r>
        <w:rPr>
          <w:rStyle w:val="FootnoteReference"/>
        </w:rPr>
        <w:footnoteRef/>
      </w:r>
      <w:r>
        <w:t xml:space="preserve"> </w:t>
      </w:r>
      <w:r w:rsidRPr="00B55A76">
        <w:rPr>
          <w:i/>
          <w:iCs/>
        </w:rPr>
        <w:t>Id.</w:t>
      </w:r>
    </w:p>
  </w:footnote>
  <w:footnote w:id="12">
    <w:p w:rsidR="00AE7A8F" w:rsidP="00C84921" w14:paraId="7E38B2D3" w14:textId="77777777">
      <w:pPr>
        <w:pStyle w:val="FootnoteText"/>
        <w:spacing w:after="120"/>
      </w:pPr>
      <w:r>
        <w:rPr>
          <w:rStyle w:val="FootnoteReference"/>
        </w:rPr>
        <w:footnoteRef/>
      </w:r>
      <w:r>
        <w:t xml:space="preserve"> </w:t>
      </w:r>
      <w:r w:rsidRPr="00B55A76">
        <w:rPr>
          <w:i/>
          <w:iCs/>
        </w:rPr>
        <w:t>Id.</w:t>
      </w:r>
    </w:p>
  </w:footnote>
  <w:footnote w:id="13">
    <w:p w:rsidR="00AE7A8F" w:rsidP="00C84921" w14:paraId="6031421C" w14:textId="77777777">
      <w:pPr>
        <w:pStyle w:val="FootnoteText"/>
        <w:spacing w:after="120"/>
      </w:pPr>
      <w:r>
        <w:rPr>
          <w:rStyle w:val="FootnoteReference"/>
        </w:rPr>
        <w:footnoteRef/>
      </w:r>
      <w:r>
        <w:t xml:space="preserve"> </w:t>
      </w:r>
      <w:r w:rsidRPr="00B55A76">
        <w:rPr>
          <w:i/>
          <w:iCs/>
        </w:rPr>
        <w:t>Id.</w:t>
      </w:r>
    </w:p>
  </w:footnote>
  <w:footnote w:id="14">
    <w:p w:rsidR="00AE7A8F" w:rsidP="00C84921" w14:paraId="5CC216F1" w14:textId="77777777">
      <w:pPr>
        <w:pStyle w:val="FootnoteText"/>
        <w:spacing w:after="120"/>
      </w:pPr>
      <w:r>
        <w:rPr>
          <w:rStyle w:val="FootnoteReference"/>
        </w:rPr>
        <w:footnoteRef/>
      </w:r>
      <w:r>
        <w:t xml:space="preserve"> </w:t>
      </w:r>
      <w:r w:rsidRPr="00B55A76">
        <w:rPr>
          <w:i/>
          <w:iCs/>
        </w:rPr>
        <w:t>Id.</w:t>
      </w:r>
    </w:p>
  </w:footnote>
  <w:footnote w:id="15">
    <w:p w:rsidR="00AE7A8F" w:rsidP="00C84921" w14:paraId="1CF71589" w14:textId="77777777">
      <w:pPr>
        <w:pStyle w:val="FootnoteText"/>
        <w:spacing w:after="120"/>
      </w:pPr>
      <w:r>
        <w:rPr>
          <w:rStyle w:val="FootnoteReference"/>
        </w:rPr>
        <w:footnoteRef/>
      </w:r>
      <w:r>
        <w:t xml:space="preserve"> </w:t>
      </w:r>
      <w:r w:rsidRPr="00B55A76">
        <w:rPr>
          <w:i/>
          <w:iCs/>
        </w:rPr>
        <w:t>Id.</w:t>
      </w:r>
    </w:p>
  </w:footnote>
  <w:footnote w:id="16">
    <w:p w:rsidR="00653B39" w:rsidP="00C84921" w14:paraId="4BE911C2" w14:textId="290AE330">
      <w:pPr>
        <w:pStyle w:val="FootnoteText"/>
        <w:spacing w:after="120"/>
      </w:pPr>
      <w:r>
        <w:rPr>
          <w:rStyle w:val="FootnoteReference"/>
        </w:rPr>
        <w:footnoteRef/>
      </w:r>
      <w:r>
        <w:t xml:space="preserve"> Case No. 20-580-EL-ESS, Staff Comments (June 22, 2023) at 8.</w:t>
      </w:r>
    </w:p>
  </w:footnote>
  <w:footnote w:id="17">
    <w:p w:rsidR="00620F6F" w:rsidP="00C84921" w14:paraId="16B9B7EE" w14:textId="6439E06B">
      <w:pPr>
        <w:pStyle w:val="FootnoteText"/>
        <w:spacing w:after="120"/>
      </w:pPr>
      <w:r>
        <w:rPr>
          <w:rStyle w:val="FootnoteReference"/>
        </w:rPr>
        <w:footnoteRef/>
      </w:r>
      <w:r>
        <w:t xml:space="preserve"> Revised Application at 6.</w:t>
      </w:r>
    </w:p>
  </w:footnote>
  <w:footnote w:id="18">
    <w:p w:rsidR="003C075C" w:rsidP="00C84921" w14:paraId="30A4B15A" w14:textId="5214355B">
      <w:pPr>
        <w:pStyle w:val="FootnoteText"/>
        <w:spacing w:after="120"/>
      </w:pPr>
      <w:r>
        <w:rPr>
          <w:rStyle w:val="FootnoteReference"/>
        </w:rPr>
        <w:footnoteRef/>
      </w:r>
      <w:r>
        <w:t xml:space="preserve"> O.A.C. 4901:1-10-10(B)</w:t>
      </w:r>
      <w:r w:rsidR="00644E55">
        <w:t>.</w:t>
      </w:r>
    </w:p>
  </w:footnote>
  <w:footnote w:id="19">
    <w:p w:rsidR="00074DAE" w:rsidP="00C84921" w14:paraId="149E58C5" w14:textId="27ABB571">
      <w:pPr>
        <w:pStyle w:val="FootnoteText"/>
        <w:spacing w:after="120"/>
      </w:pPr>
      <w:r>
        <w:rPr>
          <w:rStyle w:val="FootnoteReference"/>
        </w:rPr>
        <w:footnoteRef/>
      </w:r>
      <w:r>
        <w:t xml:space="preserve"> Case No. 20-580-EL-ESS, OCC Comments (June 12, 2023) at 8.</w:t>
      </w:r>
    </w:p>
  </w:footnote>
  <w:footnote w:id="20">
    <w:p w:rsidR="007A0C27" w:rsidP="00C84921" w14:paraId="4609E135" w14:textId="10F0DA47">
      <w:pPr>
        <w:pStyle w:val="FootnoteText"/>
        <w:spacing w:after="120"/>
      </w:pPr>
      <w:r>
        <w:rPr>
          <w:rStyle w:val="FootnoteReference"/>
        </w:rPr>
        <w:footnoteRef/>
      </w:r>
      <w:r>
        <w:t xml:space="preserve"> </w:t>
      </w:r>
      <w:r w:rsidRPr="00430979">
        <w:rPr>
          <w:i/>
          <w:iCs/>
        </w:rPr>
        <w:t>Id</w:t>
      </w:r>
      <w:r>
        <w:t>.</w:t>
      </w:r>
    </w:p>
  </w:footnote>
  <w:footnote w:id="21">
    <w:p w:rsidR="007C6C47" w:rsidP="00C84921" w14:paraId="50815E7E" w14:textId="4D637F58">
      <w:pPr>
        <w:pStyle w:val="FootnoteText"/>
        <w:spacing w:after="120"/>
      </w:pPr>
      <w:r>
        <w:rPr>
          <w:rStyle w:val="FootnoteReference"/>
        </w:rPr>
        <w:footnoteRef/>
      </w:r>
      <w:r>
        <w:t xml:space="preserve"> Case No. 20-580-EL-ESS (June 22, 2023) at 8.</w:t>
      </w:r>
    </w:p>
  </w:footnote>
  <w:footnote w:id="22">
    <w:p w:rsidR="008C6070" w:rsidP="00C84921" w14:paraId="1BFCA725" w14:textId="3BD54761">
      <w:pPr>
        <w:pStyle w:val="FootnoteText"/>
        <w:spacing w:after="120"/>
      </w:pPr>
      <w:r>
        <w:rPr>
          <w:rStyle w:val="FootnoteReference"/>
        </w:rPr>
        <w:footnoteRef/>
      </w:r>
      <w:r>
        <w:t xml:space="preserve"> </w:t>
      </w:r>
      <w:r w:rsidR="00620F6F">
        <w:t>Revised Application at 5</w:t>
      </w:r>
      <w:r>
        <w:t>.</w:t>
      </w:r>
    </w:p>
  </w:footnote>
  <w:footnote w:id="23">
    <w:p w:rsidR="007C6C47" w:rsidP="00C84921" w14:paraId="1040F2E4" w14:textId="4BC62384">
      <w:pPr>
        <w:pStyle w:val="FootnoteText"/>
        <w:spacing w:after="120"/>
      </w:pPr>
      <w:r>
        <w:rPr>
          <w:rStyle w:val="FootnoteReference"/>
        </w:rPr>
        <w:footnoteRef/>
      </w:r>
      <w:r>
        <w:t xml:space="preserve"> Case 20-580-EL-ESS (June 12, 2023) at 9.</w:t>
      </w:r>
    </w:p>
  </w:footnote>
  <w:footnote w:id="24">
    <w:p w:rsidR="00F365EA" w:rsidP="00C84921" w14:paraId="7D89969B" w14:textId="4AEB0BC1">
      <w:pPr>
        <w:pStyle w:val="FootnoteText"/>
        <w:spacing w:after="120"/>
      </w:pPr>
      <w:r>
        <w:rPr>
          <w:rStyle w:val="FootnoteReference"/>
        </w:rPr>
        <w:footnoteRef/>
      </w:r>
      <w:r w:rsidR="005209C5">
        <w:t xml:space="preserve"> </w:t>
      </w:r>
      <w:r w:rsidR="00B41826">
        <w:t>O.A.C.</w:t>
      </w:r>
      <w:r>
        <w:t xml:space="preserve"> 4901:1-10-10(B)(4)(a)</w:t>
      </w:r>
      <w:r w:rsidR="007258E6">
        <w:t>.</w:t>
      </w:r>
    </w:p>
  </w:footnote>
  <w:footnote w:id="25">
    <w:p w:rsidR="005167A9" w:rsidP="00C84921" w14:paraId="14E3D7DD" w14:textId="0B5615C2">
      <w:pPr>
        <w:pStyle w:val="FootnoteText"/>
        <w:spacing w:after="120"/>
      </w:pPr>
      <w:r>
        <w:rPr>
          <w:rStyle w:val="FootnoteReference"/>
        </w:rPr>
        <w:footnoteRef/>
      </w:r>
      <w:r>
        <w:t xml:space="preserve"> O.A.C. 4901:1-10-10</w:t>
      </w:r>
      <w:r w:rsidR="00177824">
        <w:t>(B)(6)(9</w:t>
      </w:r>
      <w:r w:rsidR="00C84921">
        <w:t>)</w:t>
      </w:r>
      <w:r w:rsidR="00177824">
        <w:t>(e).</w:t>
      </w:r>
    </w:p>
  </w:footnote>
  <w:footnote w:id="26">
    <w:p w:rsidR="00D36322" w:rsidP="00C84921" w14:paraId="51452585" w14:textId="793C90E5">
      <w:pPr>
        <w:pStyle w:val="FootnoteText"/>
        <w:spacing w:after="120"/>
      </w:pPr>
      <w:r>
        <w:rPr>
          <w:rStyle w:val="FootnoteReference"/>
        </w:rPr>
        <w:footnoteRef/>
      </w:r>
      <w:r>
        <w:t xml:space="preserve"> Staff Comments (June 22, 2023) at 4.</w:t>
      </w:r>
    </w:p>
  </w:footnote>
  <w:footnote w:id="27">
    <w:p w:rsidR="00706B81" w:rsidP="00C84921" w14:paraId="652C5D65" w14:textId="1B0AAD52">
      <w:pPr>
        <w:pStyle w:val="FootnoteText"/>
        <w:spacing w:after="120"/>
      </w:pPr>
      <w:r>
        <w:rPr>
          <w:rStyle w:val="FootnoteReference"/>
        </w:rPr>
        <w:footnoteRef/>
      </w:r>
      <w:r>
        <w:t xml:space="preserve"> Staff Comments (June 22, 2023) at 8.</w:t>
      </w:r>
    </w:p>
  </w:footnote>
  <w:footnote w:id="28">
    <w:p w:rsidR="00AE7A8F" w:rsidP="00C84921" w14:paraId="1BE43FE8" w14:textId="6AA5CB16">
      <w:pPr>
        <w:pStyle w:val="FootnoteText"/>
        <w:spacing w:after="120"/>
      </w:pPr>
      <w:r>
        <w:rPr>
          <w:rStyle w:val="FootnoteReference"/>
        </w:rPr>
        <w:footnoteRef/>
      </w:r>
      <w:r>
        <w:t xml:space="preserve"> O.A.C. 4901:1-10-10(B)</w:t>
      </w:r>
      <w:r w:rsidR="002935C6">
        <w:t>(4)(a).</w:t>
      </w:r>
    </w:p>
  </w:footnote>
  <w:footnote w:id="29">
    <w:p w:rsidR="00D36322" w:rsidP="00C84921" w14:paraId="586EAE98" w14:textId="30F1713F">
      <w:pPr>
        <w:pStyle w:val="FootnoteText"/>
        <w:spacing w:after="120"/>
      </w:pPr>
      <w:r>
        <w:rPr>
          <w:rStyle w:val="FootnoteReference"/>
        </w:rPr>
        <w:footnoteRef/>
      </w:r>
      <w:r>
        <w:t xml:space="preserve"> Staff Comments (June 22, 2023) at 4. </w:t>
      </w:r>
    </w:p>
  </w:footnote>
  <w:footnote w:id="30">
    <w:p w:rsidR="00177824" w:rsidP="00C84921" w14:paraId="4ECFB3B7" w14:textId="077FD05E">
      <w:pPr>
        <w:pStyle w:val="FootnoteText"/>
        <w:spacing w:after="120"/>
      </w:pPr>
      <w:r>
        <w:rPr>
          <w:rStyle w:val="FootnoteReference"/>
        </w:rPr>
        <w:footnoteRef/>
      </w:r>
      <w:r>
        <w:t xml:space="preserve"> O.A.C. 4901:1-10-10(B)(4)(a).</w:t>
      </w:r>
    </w:p>
  </w:footnote>
  <w:footnote w:id="31">
    <w:p w:rsidR="00714388" w:rsidP="00C84921" w14:paraId="57E23D1E" w14:textId="2607E4A6">
      <w:pPr>
        <w:pStyle w:val="FootnoteText"/>
        <w:spacing w:after="120"/>
      </w:pPr>
      <w:r>
        <w:rPr>
          <w:rStyle w:val="FootnoteReference"/>
        </w:rPr>
        <w:footnoteRef/>
      </w:r>
      <w:r>
        <w:t xml:space="preserve"> </w:t>
      </w:r>
      <w:r w:rsidRPr="004F449E" w:rsidR="000B5236">
        <w:rPr>
          <w:i/>
          <w:iCs/>
        </w:rPr>
        <w:t>See</w:t>
      </w:r>
      <w:r w:rsidR="000B5236">
        <w:t xml:space="preserve"> OCC </w:t>
      </w:r>
      <w:r w:rsidR="004F449E">
        <w:t>C</w:t>
      </w:r>
      <w:r w:rsidR="000B5236">
        <w:t>omments (June 12, 2023) on p</w:t>
      </w:r>
      <w:r w:rsidR="00B81227">
        <w:t>.</w:t>
      </w:r>
      <w:r w:rsidR="000B5236">
        <w:t xml:space="preserve"> 7 for the </w:t>
      </w:r>
      <w:r>
        <w:t xml:space="preserve">five-year average SAIFI and CAIDI historical performance </w:t>
      </w:r>
      <w:r w:rsidR="000B5236">
        <w:t xml:space="preserve">values </w:t>
      </w:r>
      <w:r>
        <w:t>(2017</w:t>
      </w:r>
      <w:r w:rsidR="0026769B">
        <w:t>-</w:t>
      </w:r>
      <w:r>
        <w:t>2021)</w:t>
      </w:r>
      <w:r w:rsidR="000B523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27D9" w14:paraId="7E4B8F1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27D9" w14:paraId="7A73DDD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27D9" w14:paraId="6283148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2273CB"/>
    <w:multiLevelType w:val="hybridMultilevel"/>
    <w:tmpl w:val="8C9A83F4"/>
    <w:lvl w:ilvl="0">
      <w:start w:val="1"/>
      <w:numFmt w:val="upp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
    <w:nsid w:val="1F7E4AC1"/>
    <w:multiLevelType w:val="hybridMultilevel"/>
    <w:tmpl w:val="BCB6375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0B7387C"/>
    <w:multiLevelType w:val="hybridMultilevel"/>
    <w:tmpl w:val="F12E1CAC"/>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51E90C27"/>
    <w:multiLevelType w:val="hybridMultilevel"/>
    <w:tmpl w:val="776009FC"/>
    <w:lvl w:ilvl="0">
      <w:start w:val="1"/>
      <w:numFmt w:val="decimal"/>
      <w:pStyle w:val="Heading3"/>
      <w:lvlText w:val="%1."/>
      <w:lvlJc w:val="left"/>
      <w:pPr>
        <w:ind w:left="1440" w:hanging="360"/>
      </w:pPr>
      <w:rPr>
        <w:rFonts w:ascii="Times New Roman" w:hAnsi="Times New Roman" w:eastAsiaTheme="minorHAnsi" w:cs="Times New Roman"/>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6E660A26"/>
    <w:multiLevelType w:val="hybridMultilevel"/>
    <w:tmpl w:val="91C84C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6B02132"/>
    <w:multiLevelType w:val="hybridMultilevel"/>
    <w:tmpl w:val="CA466E9C"/>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39"/>
    <w:rsid w:val="0000358C"/>
    <w:rsid w:val="000107E6"/>
    <w:rsid w:val="000131BE"/>
    <w:rsid w:val="00035B3E"/>
    <w:rsid w:val="00036FE7"/>
    <w:rsid w:val="000617DA"/>
    <w:rsid w:val="0006270A"/>
    <w:rsid w:val="00062BAC"/>
    <w:rsid w:val="00063CEE"/>
    <w:rsid w:val="000727D9"/>
    <w:rsid w:val="00074DAE"/>
    <w:rsid w:val="0007558E"/>
    <w:rsid w:val="00075B08"/>
    <w:rsid w:val="0008004A"/>
    <w:rsid w:val="000906F4"/>
    <w:rsid w:val="000B1377"/>
    <w:rsid w:val="000B5236"/>
    <w:rsid w:val="000C68A1"/>
    <w:rsid w:val="000D245C"/>
    <w:rsid w:val="000D294E"/>
    <w:rsid w:val="000E4C25"/>
    <w:rsid w:val="000E61E4"/>
    <w:rsid w:val="000F6387"/>
    <w:rsid w:val="000F6FA1"/>
    <w:rsid w:val="001116DB"/>
    <w:rsid w:val="00117084"/>
    <w:rsid w:val="00122FA6"/>
    <w:rsid w:val="00133E99"/>
    <w:rsid w:val="00137480"/>
    <w:rsid w:val="001534F4"/>
    <w:rsid w:val="00153C43"/>
    <w:rsid w:val="001758BE"/>
    <w:rsid w:val="00177824"/>
    <w:rsid w:val="00185C85"/>
    <w:rsid w:val="001A3C06"/>
    <w:rsid w:val="001C0195"/>
    <w:rsid w:val="001C4988"/>
    <w:rsid w:val="001D6CA7"/>
    <w:rsid w:val="001E1DB7"/>
    <w:rsid w:val="001E2720"/>
    <w:rsid w:val="001E4696"/>
    <w:rsid w:val="001F6832"/>
    <w:rsid w:val="0020634E"/>
    <w:rsid w:val="00212462"/>
    <w:rsid w:val="00222BEE"/>
    <w:rsid w:val="00226B2C"/>
    <w:rsid w:val="002349AB"/>
    <w:rsid w:val="00237794"/>
    <w:rsid w:val="00245180"/>
    <w:rsid w:val="002505E9"/>
    <w:rsid w:val="002543EC"/>
    <w:rsid w:val="002554BF"/>
    <w:rsid w:val="0026769B"/>
    <w:rsid w:val="00275A61"/>
    <w:rsid w:val="002778AC"/>
    <w:rsid w:val="00277AED"/>
    <w:rsid w:val="002922D9"/>
    <w:rsid w:val="002935C6"/>
    <w:rsid w:val="00295433"/>
    <w:rsid w:val="002B1900"/>
    <w:rsid w:val="002C3863"/>
    <w:rsid w:val="002D1CBF"/>
    <w:rsid w:val="002E6153"/>
    <w:rsid w:val="002F2B8C"/>
    <w:rsid w:val="003012C4"/>
    <w:rsid w:val="003104BE"/>
    <w:rsid w:val="00324907"/>
    <w:rsid w:val="00331B11"/>
    <w:rsid w:val="003325ED"/>
    <w:rsid w:val="0034192C"/>
    <w:rsid w:val="003518D5"/>
    <w:rsid w:val="00352317"/>
    <w:rsid w:val="00352A8E"/>
    <w:rsid w:val="00352BEE"/>
    <w:rsid w:val="00362B1E"/>
    <w:rsid w:val="00365785"/>
    <w:rsid w:val="0037003F"/>
    <w:rsid w:val="003744DF"/>
    <w:rsid w:val="003757BB"/>
    <w:rsid w:val="00382BA2"/>
    <w:rsid w:val="0039540A"/>
    <w:rsid w:val="003971BB"/>
    <w:rsid w:val="003C075C"/>
    <w:rsid w:val="003D5E39"/>
    <w:rsid w:val="003D77CA"/>
    <w:rsid w:val="003F2D73"/>
    <w:rsid w:val="00401591"/>
    <w:rsid w:val="004063AB"/>
    <w:rsid w:val="00416DE9"/>
    <w:rsid w:val="00430979"/>
    <w:rsid w:val="00431EFC"/>
    <w:rsid w:val="004430D0"/>
    <w:rsid w:val="0044361E"/>
    <w:rsid w:val="00450FE5"/>
    <w:rsid w:val="004609B7"/>
    <w:rsid w:val="00462B5C"/>
    <w:rsid w:val="00466348"/>
    <w:rsid w:val="00483A34"/>
    <w:rsid w:val="00484570"/>
    <w:rsid w:val="004866A1"/>
    <w:rsid w:val="004B1C03"/>
    <w:rsid w:val="004B2AA1"/>
    <w:rsid w:val="004B33D8"/>
    <w:rsid w:val="004D1957"/>
    <w:rsid w:val="004D3EC0"/>
    <w:rsid w:val="004D4774"/>
    <w:rsid w:val="004D6D10"/>
    <w:rsid w:val="004F028D"/>
    <w:rsid w:val="004F3571"/>
    <w:rsid w:val="004F449E"/>
    <w:rsid w:val="0051651B"/>
    <w:rsid w:val="005167A9"/>
    <w:rsid w:val="00520590"/>
    <w:rsid w:val="005209C5"/>
    <w:rsid w:val="00525F6B"/>
    <w:rsid w:val="00540575"/>
    <w:rsid w:val="005529A1"/>
    <w:rsid w:val="00570FE2"/>
    <w:rsid w:val="00573F3F"/>
    <w:rsid w:val="0058287B"/>
    <w:rsid w:val="0058445A"/>
    <w:rsid w:val="00594A1F"/>
    <w:rsid w:val="005A1C56"/>
    <w:rsid w:val="005A465D"/>
    <w:rsid w:val="005A5F11"/>
    <w:rsid w:val="005B1D5B"/>
    <w:rsid w:val="005B2C79"/>
    <w:rsid w:val="005C1A85"/>
    <w:rsid w:val="00606800"/>
    <w:rsid w:val="00611CFE"/>
    <w:rsid w:val="006143B1"/>
    <w:rsid w:val="00615AA9"/>
    <w:rsid w:val="00617588"/>
    <w:rsid w:val="00620F6F"/>
    <w:rsid w:val="00630924"/>
    <w:rsid w:val="00634255"/>
    <w:rsid w:val="00644E55"/>
    <w:rsid w:val="00651F80"/>
    <w:rsid w:val="00653B39"/>
    <w:rsid w:val="00660412"/>
    <w:rsid w:val="0067358A"/>
    <w:rsid w:val="00684C84"/>
    <w:rsid w:val="00690FFA"/>
    <w:rsid w:val="00694219"/>
    <w:rsid w:val="00695E9A"/>
    <w:rsid w:val="006A227B"/>
    <w:rsid w:val="006A5B18"/>
    <w:rsid w:val="006B3739"/>
    <w:rsid w:val="006C597B"/>
    <w:rsid w:val="006D47A8"/>
    <w:rsid w:val="006E19B7"/>
    <w:rsid w:val="006E2AA4"/>
    <w:rsid w:val="006E2FC4"/>
    <w:rsid w:val="006E5B14"/>
    <w:rsid w:val="006E5FA9"/>
    <w:rsid w:val="006E6EDB"/>
    <w:rsid w:val="006F3B6B"/>
    <w:rsid w:val="006F431E"/>
    <w:rsid w:val="007012CE"/>
    <w:rsid w:val="00705311"/>
    <w:rsid w:val="00706B81"/>
    <w:rsid w:val="00710329"/>
    <w:rsid w:val="00714388"/>
    <w:rsid w:val="007258E6"/>
    <w:rsid w:val="007262CA"/>
    <w:rsid w:val="00733E53"/>
    <w:rsid w:val="007543D3"/>
    <w:rsid w:val="00757783"/>
    <w:rsid w:val="00776A4C"/>
    <w:rsid w:val="0078029D"/>
    <w:rsid w:val="00784EAA"/>
    <w:rsid w:val="00785005"/>
    <w:rsid w:val="00794012"/>
    <w:rsid w:val="007A0C27"/>
    <w:rsid w:val="007C02FD"/>
    <w:rsid w:val="007C6C47"/>
    <w:rsid w:val="007D171E"/>
    <w:rsid w:val="007D7F4E"/>
    <w:rsid w:val="00804644"/>
    <w:rsid w:val="00844800"/>
    <w:rsid w:val="00846947"/>
    <w:rsid w:val="00851EED"/>
    <w:rsid w:val="00855489"/>
    <w:rsid w:val="00872E6B"/>
    <w:rsid w:val="008854F9"/>
    <w:rsid w:val="008903FF"/>
    <w:rsid w:val="00892CA6"/>
    <w:rsid w:val="00897A8A"/>
    <w:rsid w:val="008A4820"/>
    <w:rsid w:val="008B21AA"/>
    <w:rsid w:val="008B50F3"/>
    <w:rsid w:val="008C20F7"/>
    <w:rsid w:val="008C2C05"/>
    <w:rsid w:val="008C6070"/>
    <w:rsid w:val="008D4597"/>
    <w:rsid w:val="008D6CE5"/>
    <w:rsid w:val="008F22BE"/>
    <w:rsid w:val="008F5554"/>
    <w:rsid w:val="008F564A"/>
    <w:rsid w:val="00904E85"/>
    <w:rsid w:val="00911FB6"/>
    <w:rsid w:val="009154EF"/>
    <w:rsid w:val="00915D13"/>
    <w:rsid w:val="00917D95"/>
    <w:rsid w:val="00921611"/>
    <w:rsid w:val="009433F6"/>
    <w:rsid w:val="00960A35"/>
    <w:rsid w:val="00973512"/>
    <w:rsid w:val="0097424C"/>
    <w:rsid w:val="00975081"/>
    <w:rsid w:val="0099538F"/>
    <w:rsid w:val="009965C5"/>
    <w:rsid w:val="009A57C9"/>
    <w:rsid w:val="009A7E6D"/>
    <w:rsid w:val="009B35DD"/>
    <w:rsid w:val="009C05DF"/>
    <w:rsid w:val="009E2FC4"/>
    <w:rsid w:val="009E7DB0"/>
    <w:rsid w:val="009F313C"/>
    <w:rsid w:val="00A013D0"/>
    <w:rsid w:val="00A070E8"/>
    <w:rsid w:val="00A10FAF"/>
    <w:rsid w:val="00A37DA8"/>
    <w:rsid w:val="00A416FB"/>
    <w:rsid w:val="00A50F82"/>
    <w:rsid w:val="00A90DEC"/>
    <w:rsid w:val="00AA0938"/>
    <w:rsid w:val="00AA0EB3"/>
    <w:rsid w:val="00AD1171"/>
    <w:rsid w:val="00AE7A8F"/>
    <w:rsid w:val="00B023D7"/>
    <w:rsid w:val="00B066AB"/>
    <w:rsid w:val="00B06D4B"/>
    <w:rsid w:val="00B20E11"/>
    <w:rsid w:val="00B22EEE"/>
    <w:rsid w:val="00B27CEB"/>
    <w:rsid w:val="00B30621"/>
    <w:rsid w:val="00B41826"/>
    <w:rsid w:val="00B519BE"/>
    <w:rsid w:val="00B51A4E"/>
    <w:rsid w:val="00B55A76"/>
    <w:rsid w:val="00B56C66"/>
    <w:rsid w:val="00B81227"/>
    <w:rsid w:val="00B8473E"/>
    <w:rsid w:val="00B91F27"/>
    <w:rsid w:val="00B97CCA"/>
    <w:rsid w:val="00BA14B4"/>
    <w:rsid w:val="00BA7940"/>
    <w:rsid w:val="00BB4CC0"/>
    <w:rsid w:val="00BC3A9D"/>
    <w:rsid w:val="00BC7BD9"/>
    <w:rsid w:val="00BD5998"/>
    <w:rsid w:val="00BD6D30"/>
    <w:rsid w:val="00BF3585"/>
    <w:rsid w:val="00C01ED7"/>
    <w:rsid w:val="00C14760"/>
    <w:rsid w:val="00C16B91"/>
    <w:rsid w:val="00C364AF"/>
    <w:rsid w:val="00C40148"/>
    <w:rsid w:val="00C42D6B"/>
    <w:rsid w:val="00C45432"/>
    <w:rsid w:val="00C51209"/>
    <w:rsid w:val="00C54DED"/>
    <w:rsid w:val="00C665E5"/>
    <w:rsid w:val="00C72B5D"/>
    <w:rsid w:val="00C734BF"/>
    <w:rsid w:val="00C84921"/>
    <w:rsid w:val="00C858D9"/>
    <w:rsid w:val="00CB0BA2"/>
    <w:rsid w:val="00CB119D"/>
    <w:rsid w:val="00CC7E72"/>
    <w:rsid w:val="00CF063C"/>
    <w:rsid w:val="00D05ACC"/>
    <w:rsid w:val="00D10402"/>
    <w:rsid w:val="00D120E4"/>
    <w:rsid w:val="00D200CF"/>
    <w:rsid w:val="00D23530"/>
    <w:rsid w:val="00D31AC4"/>
    <w:rsid w:val="00D36322"/>
    <w:rsid w:val="00D471E0"/>
    <w:rsid w:val="00D62610"/>
    <w:rsid w:val="00D67328"/>
    <w:rsid w:val="00D67719"/>
    <w:rsid w:val="00D72DF2"/>
    <w:rsid w:val="00D75180"/>
    <w:rsid w:val="00D8256A"/>
    <w:rsid w:val="00D85042"/>
    <w:rsid w:val="00DB38F4"/>
    <w:rsid w:val="00DC3F4F"/>
    <w:rsid w:val="00DC63FC"/>
    <w:rsid w:val="00DD0854"/>
    <w:rsid w:val="00DF4D6C"/>
    <w:rsid w:val="00DF526B"/>
    <w:rsid w:val="00E032A0"/>
    <w:rsid w:val="00E077F4"/>
    <w:rsid w:val="00E11EDE"/>
    <w:rsid w:val="00E1316D"/>
    <w:rsid w:val="00E233DB"/>
    <w:rsid w:val="00E25359"/>
    <w:rsid w:val="00E25A81"/>
    <w:rsid w:val="00E323D6"/>
    <w:rsid w:val="00E36EC4"/>
    <w:rsid w:val="00E37C78"/>
    <w:rsid w:val="00E4014B"/>
    <w:rsid w:val="00E5636B"/>
    <w:rsid w:val="00E605EC"/>
    <w:rsid w:val="00E723FB"/>
    <w:rsid w:val="00E8162C"/>
    <w:rsid w:val="00E82822"/>
    <w:rsid w:val="00E85898"/>
    <w:rsid w:val="00E93291"/>
    <w:rsid w:val="00EA355B"/>
    <w:rsid w:val="00EA4AFA"/>
    <w:rsid w:val="00EA5216"/>
    <w:rsid w:val="00EA5A02"/>
    <w:rsid w:val="00EC138D"/>
    <w:rsid w:val="00EC76E0"/>
    <w:rsid w:val="00ED6761"/>
    <w:rsid w:val="00ED6A02"/>
    <w:rsid w:val="00ED71AB"/>
    <w:rsid w:val="00EE0A0C"/>
    <w:rsid w:val="00EE3814"/>
    <w:rsid w:val="00EF06AF"/>
    <w:rsid w:val="00EF5AE3"/>
    <w:rsid w:val="00F15E38"/>
    <w:rsid w:val="00F17C37"/>
    <w:rsid w:val="00F250D5"/>
    <w:rsid w:val="00F277FC"/>
    <w:rsid w:val="00F3126F"/>
    <w:rsid w:val="00F365EA"/>
    <w:rsid w:val="00F54105"/>
    <w:rsid w:val="00F5753A"/>
    <w:rsid w:val="00F70E3A"/>
    <w:rsid w:val="00F72BA5"/>
    <w:rsid w:val="00F8754F"/>
    <w:rsid w:val="00F95B31"/>
    <w:rsid w:val="00FA289C"/>
    <w:rsid w:val="00FC03FA"/>
    <w:rsid w:val="00FC6BB2"/>
    <w:rsid w:val="00FD02F0"/>
    <w:rsid w:val="00FF305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D320D19"/>
  <w15:chartTrackingRefBased/>
  <w15:docId w15:val="{EE29668B-F83C-4BD0-8853-F2389ECC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C37"/>
  </w:style>
  <w:style w:type="paragraph" w:styleId="Heading1">
    <w:name w:val="heading 1"/>
    <w:basedOn w:val="Normal"/>
    <w:next w:val="Normal"/>
    <w:link w:val="Heading1Char"/>
    <w:uiPriority w:val="9"/>
    <w:qFormat/>
    <w:rsid w:val="00DC63FC"/>
    <w:pPr>
      <w:spacing w:after="240" w:line="240" w:lineRule="auto"/>
      <w:ind w:left="720" w:hanging="720"/>
      <w:outlineLvl w:val="0"/>
    </w:pPr>
    <w:rPr>
      <w:b/>
      <w:bCs/>
    </w:rPr>
  </w:style>
  <w:style w:type="paragraph" w:styleId="Heading2">
    <w:name w:val="heading 2"/>
    <w:basedOn w:val="ListParagraph"/>
    <w:next w:val="Normal"/>
    <w:link w:val="Heading2Char"/>
    <w:uiPriority w:val="9"/>
    <w:unhideWhenUsed/>
    <w:qFormat/>
    <w:rsid w:val="00F3126F"/>
    <w:pPr>
      <w:spacing w:after="240" w:line="240" w:lineRule="auto"/>
      <w:ind w:left="1440" w:hanging="720"/>
      <w:outlineLvl w:val="1"/>
    </w:pPr>
    <w:rPr>
      <w:rFonts w:ascii="Times New Roman Bold" w:hAnsi="Times New Roman Bold"/>
      <w:b/>
      <w:bCs/>
    </w:rPr>
  </w:style>
  <w:style w:type="paragraph" w:styleId="Heading3">
    <w:name w:val="heading 3"/>
    <w:basedOn w:val="ListParagraph"/>
    <w:next w:val="Normal"/>
    <w:link w:val="Heading3Char"/>
    <w:uiPriority w:val="9"/>
    <w:unhideWhenUsed/>
    <w:qFormat/>
    <w:rsid w:val="009E2FC4"/>
    <w:pPr>
      <w:numPr>
        <w:numId w:val="4"/>
      </w:numPr>
      <w:spacing w:after="240" w:line="240" w:lineRule="auto"/>
      <w:ind w:left="216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E39"/>
    <w:pPr>
      <w:ind w:left="720"/>
      <w:contextualSpacing/>
    </w:pPr>
  </w:style>
  <w:style w:type="paragraph" w:styleId="FootnoteText">
    <w:name w:val="footnote text"/>
    <w:basedOn w:val="Normal"/>
    <w:link w:val="FootnoteTextChar"/>
    <w:uiPriority w:val="99"/>
    <w:semiHidden/>
    <w:unhideWhenUsed/>
    <w:rsid w:val="00915D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5D13"/>
    <w:rPr>
      <w:sz w:val="20"/>
      <w:szCs w:val="20"/>
    </w:rPr>
  </w:style>
  <w:style w:type="character" w:styleId="FootnoteReference">
    <w:name w:val="footnote reference"/>
    <w:basedOn w:val="DefaultParagraphFont"/>
    <w:uiPriority w:val="99"/>
    <w:semiHidden/>
    <w:unhideWhenUsed/>
    <w:rsid w:val="00915D13"/>
    <w:rPr>
      <w:vertAlign w:val="superscript"/>
    </w:rPr>
  </w:style>
  <w:style w:type="character" w:customStyle="1" w:styleId="markedcontent">
    <w:name w:val="markedcontent"/>
    <w:basedOn w:val="DefaultParagraphFont"/>
    <w:rsid w:val="00DF4D6C"/>
  </w:style>
  <w:style w:type="table" w:styleId="TableGrid">
    <w:name w:val="Table Grid"/>
    <w:basedOn w:val="TableNormal"/>
    <w:uiPriority w:val="39"/>
    <w:rsid w:val="00F57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0A35"/>
    <w:rPr>
      <w:sz w:val="16"/>
      <w:szCs w:val="16"/>
    </w:rPr>
  </w:style>
  <w:style w:type="paragraph" w:styleId="CommentText">
    <w:name w:val="annotation text"/>
    <w:basedOn w:val="Normal"/>
    <w:link w:val="CommentTextChar"/>
    <w:uiPriority w:val="99"/>
    <w:unhideWhenUsed/>
    <w:rsid w:val="00960A35"/>
    <w:pPr>
      <w:spacing w:line="240" w:lineRule="auto"/>
    </w:pPr>
    <w:rPr>
      <w:sz w:val="20"/>
      <w:szCs w:val="20"/>
    </w:rPr>
  </w:style>
  <w:style w:type="character" w:customStyle="1" w:styleId="CommentTextChar">
    <w:name w:val="Comment Text Char"/>
    <w:basedOn w:val="DefaultParagraphFont"/>
    <w:link w:val="CommentText"/>
    <w:uiPriority w:val="99"/>
    <w:rsid w:val="00960A35"/>
    <w:rPr>
      <w:sz w:val="20"/>
      <w:szCs w:val="20"/>
    </w:rPr>
  </w:style>
  <w:style w:type="paragraph" w:styleId="CommentSubject">
    <w:name w:val="annotation subject"/>
    <w:basedOn w:val="CommentText"/>
    <w:next w:val="CommentText"/>
    <w:link w:val="CommentSubjectChar"/>
    <w:uiPriority w:val="99"/>
    <w:semiHidden/>
    <w:unhideWhenUsed/>
    <w:rsid w:val="00960A35"/>
    <w:rPr>
      <w:b/>
      <w:bCs/>
    </w:rPr>
  </w:style>
  <w:style w:type="character" w:customStyle="1" w:styleId="CommentSubjectChar">
    <w:name w:val="Comment Subject Char"/>
    <w:basedOn w:val="CommentTextChar"/>
    <w:link w:val="CommentSubject"/>
    <w:uiPriority w:val="99"/>
    <w:semiHidden/>
    <w:rsid w:val="00960A35"/>
    <w:rPr>
      <w:b/>
      <w:bCs/>
      <w:sz w:val="20"/>
      <w:szCs w:val="20"/>
    </w:rPr>
  </w:style>
  <w:style w:type="paragraph" w:styleId="BalloonText">
    <w:name w:val="Balloon Text"/>
    <w:basedOn w:val="Normal"/>
    <w:link w:val="BalloonTextChar"/>
    <w:uiPriority w:val="99"/>
    <w:semiHidden/>
    <w:unhideWhenUsed/>
    <w:rsid w:val="00BA7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940"/>
    <w:rPr>
      <w:rFonts w:ascii="Segoe UI" w:hAnsi="Segoe UI" w:cs="Segoe UI"/>
      <w:sz w:val="18"/>
      <w:szCs w:val="18"/>
    </w:rPr>
  </w:style>
  <w:style w:type="character" w:customStyle="1" w:styleId="Heading1Char">
    <w:name w:val="Heading 1 Char"/>
    <w:basedOn w:val="DefaultParagraphFont"/>
    <w:link w:val="Heading1"/>
    <w:uiPriority w:val="9"/>
    <w:rsid w:val="00DC63FC"/>
    <w:rPr>
      <w:b/>
      <w:bCs/>
    </w:rPr>
  </w:style>
  <w:style w:type="character" w:customStyle="1" w:styleId="Heading2Char">
    <w:name w:val="Heading 2 Char"/>
    <w:basedOn w:val="DefaultParagraphFont"/>
    <w:link w:val="Heading2"/>
    <w:uiPriority w:val="9"/>
    <w:rsid w:val="00F3126F"/>
    <w:rPr>
      <w:rFonts w:ascii="Times New Roman Bold" w:hAnsi="Times New Roman Bold"/>
      <w:b/>
      <w:bCs/>
    </w:rPr>
  </w:style>
  <w:style w:type="character" w:customStyle="1" w:styleId="Heading3Char">
    <w:name w:val="Heading 3 Char"/>
    <w:basedOn w:val="DefaultParagraphFont"/>
    <w:link w:val="Heading3"/>
    <w:uiPriority w:val="9"/>
    <w:rsid w:val="009E2FC4"/>
    <w:rPr>
      <w:b/>
      <w:bCs/>
    </w:rPr>
  </w:style>
  <w:style w:type="character" w:styleId="Hyperlink">
    <w:name w:val="Hyperlink"/>
    <w:basedOn w:val="DefaultParagraphFont"/>
    <w:uiPriority w:val="99"/>
    <w:unhideWhenUsed/>
    <w:rsid w:val="00362B1E"/>
    <w:rPr>
      <w:color w:val="0563C1" w:themeColor="hyperlink"/>
      <w:u w:val="single"/>
    </w:rPr>
  </w:style>
  <w:style w:type="character" w:customStyle="1" w:styleId="UnresolvedMention1">
    <w:name w:val="Unresolved Mention1"/>
    <w:basedOn w:val="DefaultParagraphFont"/>
    <w:uiPriority w:val="99"/>
    <w:semiHidden/>
    <w:unhideWhenUsed/>
    <w:rsid w:val="00362B1E"/>
    <w:rPr>
      <w:color w:val="605E5C"/>
      <w:shd w:val="clear" w:color="auto" w:fill="E1DFDD"/>
    </w:rPr>
  </w:style>
  <w:style w:type="paragraph" w:styleId="Header">
    <w:name w:val="header"/>
    <w:basedOn w:val="Normal"/>
    <w:link w:val="HeaderChar"/>
    <w:uiPriority w:val="99"/>
    <w:unhideWhenUsed/>
    <w:rsid w:val="00484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570"/>
  </w:style>
  <w:style w:type="paragraph" w:styleId="Footer">
    <w:name w:val="footer"/>
    <w:basedOn w:val="Normal"/>
    <w:link w:val="FooterChar"/>
    <w:uiPriority w:val="99"/>
    <w:unhideWhenUsed/>
    <w:rsid w:val="00484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570"/>
  </w:style>
  <w:style w:type="paragraph" w:styleId="Revision">
    <w:name w:val="Revision"/>
    <w:hidden/>
    <w:uiPriority w:val="99"/>
    <w:semiHidden/>
    <w:rsid w:val="00035B3E"/>
    <w:pPr>
      <w:spacing w:after="0" w:line="240" w:lineRule="auto"/>
    </w:pPr>
  </w:style>
  <w:style w:type="paragraph" w:styleId="TOC1">
    <w:name w:val="toc 1"/>
    <w:basedOn w:val="Normal"/>
    <w:next w:val="Normal"/>
    <w:autoRedefine/>
    <w:uiPriority w:val="39"/>
    <w:unhideWhenUsed/>
    <w:rsid w:val="00226B2C"/>
    <w:pPr>
      <w:tabs>
        <w:tab w:val="decimal" w:leader="dot" w:pos="9360"/>
      </w:tabs>
      <w:spacing w:after="240" w:line="240" w:lineRule="auto"/>
      <w:ind w:left="720" w:hanging="720"/>
    </w:pPr>
  </w:style>
  <w:style w:type="paragraph" w:styleId="TOC2">
    <w:name w:val="toc 2"/>
    <w:basedOn w:val="Normal"/>
    <w:next w:val="Normal"/>
    <w:autoRedefine/>
    <w:uiPriority w:val="39"/>
    <w:unhideWhenUsed/>
    <w:rsid w:val="00B20E11"/>
    <w:pPr>
      <w:tabs>
        <w:tab w:val="left" w:pos="1440"/>
        <w:tab w:val="decimal" w:leader="dot" w:pos="9360"/>
      </w:tabs>
      <w:spacing w:after="240" w:line="240" w:lineRule="auto"/>
      <w:ind w:left="1440" w:hanging="720"/>
    </w:pPr>
  </w:style>
  <w:style w:type="character" w:customStyle="1" w:styleId="UnresolvedMention">
    <w:name w:val="Unresolved Mention"/>
    <w:basedOn w:val="DefaultParagraphFont"/>
    <w:uiPriority w:val="99"/>
    <w:rsid w:val="00975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gregory.price@puco.ohio.gov" TargetMode="External" /><Relationship Id="rId11" Type="http://schemas.openxmlformats.org/officeDocument/2006/relationships/hyperlink" Target="mailto:edanford@firstenergycorp.com" TargetMode="External" /><Relationship Id="rId12" Type="http://schemas.openxmlformats.org/officeDocument/2006/relationships/hyperlink" Target="mailto:cwatchorn@firstenergycorp.com" TargetMode="External" /><Relationship Id="rId13" Type="http://schemas.openxmlformats.org/officeDocument/2006/relationships/hyperlink" Target="mailto:bknipe@firstenergycorp.com" TargetMode="External" /><Relationship Id="rId14" Type="http://schemas.openxmlformats.org/officeDocument/2006/relationships/hyperlink" Target="mailto:gjack@firstenergycorp.com" TargetMode="External" /><Relationship Id="rId15" Type="http://schemas.openxmlformats.org/officeDocument/2006/relationships/hyperlink" Target="mailto:dproano@bakerlaw.com" TargetMode="External" /><Relationship Id="rId16" Type="http://schemas.openxmlformats.org/officeDocument/2006/relationships/hyperlink" Target="mailto:ahaque@bakerlaw.com" TargetMode="External" /><Relationship Id="rId17" Type="http://schemas.openxmlformats.org/officeDocument/2006/relationships/hyperlink" Target="mailto:eprouty@bakerlaw.com" TargetMode="External" /><Relationship Id="rId18" Type="http://schemas.openxmlformats.org/officeDocument/2006/relationships/hyperlink" Target="mailto:pwillison@bakerlaw.com" TargetMode="External" /><Relationship Id="rId19" Type="http://schemas.openxmlformats.org/officeDocument/2006/relationships/header" Target="header1.xml" /><Relationship Id="rId2" Type="http://schemas.openxmlformats.org/officeDocument/2006/relationships/settings" Target="settings.xml" /><Relationship Id="rId20" Type="http://schemas.openxmlformats.org/officeDocument/2006/relationships/header" Target="header2.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header" Target="header3.xml" /><Relationship Id="rId24" Type="http://schemas.openxmlformats.org/officeDocument/2006/relationships/footer" Target="footer3.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robert.eubanks@ohioago.gov" TargetMode="External" /><Relationship Id="rId8" Type="http://schemas.openxmlformats.org/officeDocument/2006/relationships/hyperlink" Target="mailto:rhiannon.howard@ohioago.gov" TargetMode="External" /><Relationship Id="rId9" Type="http://schemas.openxmlformats.org/officeDocument/2006/relationships/hyperlink" Target="mailto:megan.addison@puco.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2FC92-FF91-4D54-AB94-34BDE8C0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2023-07-12T17:10:25Z</dcterms:created>
  <dcterms:modified xsi:type="dcterms:W3CDTF">2023-07-12T17:10:25Z</dcterms:modified>
</cp:coreProperties>
</file>