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AC" w:rsidRDefault="0074108B">
      <w:pPr>
        <w:pStyle w:val="Title"/>
        <w:spacing w:after="0"/>
        <w:rPr>
          <w:rFonts w:ascii="Arial Bold" w:hAnsi="Arial Bold"/>
          <w:b/>
          <w:smallCaps/>
          <w:sz w:val="28"/>
        </w:rPr>
      </w:pPr>
      <w:r>
        <w:rPr>
          <w:rFonts w:ascii="Arial Bold" w:hAnsi="Arial Bold"/>
          <w:b/>
          <w:smallCaps/>
          <w:sz w:val="28"/>
        </w:rPr>
        <w:t>Before</w:t>
      </w:r>
    </w:p>
    <w:p w:rsidR="00D55FAC" w:rsidRDefault="0074108B">
      <w:pPr>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rsidR="00D55FAC" w:rsidRDefault="00D55FAC">
      <w:pPr>
        <w:autoSpaceDE w:val="0"/>
        <w:autoSpaceDN w:val="0"/>
        <w:adjustRightInd w:val="0"/>
        <w:rPr>
          <w:rFonts w:eastAsiaTheme="minorHAnsi" w:cs="Arial"/>
        </w:rPr>
      </w:pPr>
    </w:p>
    <w:p w:rsidR="00D55FAC" w:rsidRDefault="0074108B" w:rsidP="005F634D">
      <w:pPr>
        <w:tabs>
          <w:tab w:val="left" w:pos="5220"/>
          <w:tab w:val="left" w:pos="5760"/>
        </w:tabs>
        <w:autoSpaceDE w:val="0"/>
        <w:autoSpaceDN w:val="0"/>
        <w:adjustRightInd w:val="0"/>
        <w:rPr>
          <w:rFonts w:eastAsiaTheme="minorHAnsi" w:cs="Arial"/>
        </w:rPr>
      </w:pPr>
      <w:r>
        <w:rPr>
          <w:rFonts w:eastAsiaTheme="minorHAnsi" w:cs="Arial"/>
        </w:rPr>
        <w:t xml:space="preserve">In the Matter </w:t>
      </w:r>
      <w:r w:rsidR="005F634D">
        <w:rPr>
          <w:rFonts w:eastAsiaTheme="minorHAnsi" w:cs="Arial"/>
        </w:rPr>
        <w:t xml:space="preserve">of </w:t>
      </w:r>
      <w:r>
        <w:rPr>
          <w:rFonts w:eastAsiaTheme="minorHAnsi" w:cs="Arial"/>
        </w:rPr>
        <w:t>the Application of Duke Energy</w:t>
      </w:r>
      <w:r>
        <w:rPr>
          <w:rFonts w:eastAsiaTheme="minorHAnsi" w:cs="Arial"/>
        </w:rPr>
        <w:tab/>
        <w:t>)</w:t>
      </w:r>
    </w:p>
    <w:p w:rsidR="00D55FAC" w:rsidRDefault="0074108B" w:rsidP="005F634D">
      <w:pPr>
        <w:tabs>
          <w:tab w:val="left" w:pos="5220"/>
          <w:tab w:val="left" w:pos="5760"/>
        </w:tabs>
        <w:autoSpaceDE w:val="0"/>
        <w:autoSpaceDN w:val="0"/>
        <w:adjustRightInd w:val="0"/>
        <w:rPr>
          <w:rFonts w:eastAsiaTheme="minorHAnsi" w:cs="Arial"/>
        </w:rPr>
      </w:pPr>
      <w:r>
        <w:rPr>
          <w:rFonts w:eastAsiaTheme="minorHAnsi" w:cs="Arial"/>
        </w:rPr>
        <w:t xml:space="preserve">Ohio, Inc. for the Establishment of a Charge </w:t>
      </w:r>
      <w:r>
        <w:rPr>
          <w:rFonts w:eastAsiaTheme="minorHAnsi" w:cs="Arial"/>
        </w:rPr>
        <w:tab/>
        <w:t>)</w:t>
      </w:r>
      <w:r>
        <w:rPr>
          <w:rFonts w:eastAsiaTheme="minorHAnsi" w:cs="Arial"/>
        </w:rPr>
        <w:tab/>
        <w:t>Case No. 12-2400-EL-UNC</w:t>
      </w:r>
    </w:p>
    <w:p w:rsidR="00D55FAC" w:rsidRDefault="0074108B" w:rsidP="005F634D">
      <w:pPr>
        <w:tabs>
          <w:tab w:val="left" w:pos="5220"/>
          <w:tab w:val="left" w:pos="5760"/>
        </w:tabs>
        <w:autoSpaceDE w:val="0"/>
        <w:autoSpaceDN w:val="0"/>
        <w:adjustRightInd w:val="0"/>
        <w:rPr>
          <w:rFonts w:eastAsiaTheme="minorHAnsi" w:cs="Arial"/>
        </w:rPr>
      </w:pPr>
      <w:r>
        <w:rPr>
          <w:rFonts w:eastAsiaTheme="minorHAnsi" w:cs="Arial"/>
        </w:rPr>
        <w:t>Pursuant to Section 4909.18</w:t>
      </w:r>
      <w:r w:rsidR="005F634D">
        <w:rPr>
          <w:rFonts w:eastAsiaTheme="minorHAnsi" w:cs="Arial"/>
        </w:rPr>
        <w:t>, Revised Code.</w:t>
      </w:r>
      <w:r>
        <w:rPr>
          <w:rFonts w:eastAsiaTheme="minorHAnsi" w:cs="Arial"/>
        </w:rPr>
        <w:tab/>
        <w:t>)</w:t>
      </w:r>
    </w:p>
    <w:p w:rsidR="00D55FAC" w:rsidRDefault="00D55FAC" w:rsidP="005F634D">
      <w:pPr>
        <w:tabs>
          <w:tab w:val="left" w:pos="5220"/>
          <w:tab w:val="left" w:pos="5760"/>
        </w:tabs>
        <w:autoSpaceDE w:val="0"/>
        <w:autoSpaceDN w:val="0"/>
        <w:adjustRightInd w:val="0"/>
        <w:rPr>
          <w:rFonts w:eastAsiaTheme="minorHAnsi" w:cs="Arial"/>
        </w:rPr>
      </w:pPr>
    </w:p>
    <w:p w:rsidR="00D55FAC" w:rsidRDefault="0074108B" w:rsidP="005F634D">
      <w:pPr>
        <w:tabs>
          <w:tab w:val="left" w:pos="5220"/>
          <w:tab w:val="left" w:pos="5760"/>
        </w:tabs>
        <w:autoSpaceDE w:val="0"/>
        <w:autoSpaceDN w:val="0"/>
        <w:adjustRightInd w:val="0"/>
        <w:rPr>
          <w:rFonts w:eastAsiaTheme="minorHAnsi" w:cs="Arial"/>
        </w:rPr>
      </w:pPr>
      <w:r>
        <w:rPr>
          <w:rFonts w:eastAsiaTheme="minorHAnsi" w:cs="Arial"/>
        </w:rPr>
        <w:t>In the Matter of the Application of Duke Energy</w:t>
      </w:r>
      <w:r>
        <w:rPr>
          <w:rFonts w:eastAsiaTheme="minorHAnsi" w:cs="Arial"/>
        </w:rPr>
        <w:tab/>
        <w:t>)</w:t>
      </w:r>
    </w:p>
    <w:p w:rsidR="00D55FAC" w:rsidRDefault="0074108B" w:rsidP="005F634D">
      <w:pPr>
        <w:tabs>
          <w:tab w:val="left" w:pos="5220"/>
          <w:tab w:val="left" w:pos="5760"/>
        </w:tabs>
        <w:autoSpaceDE w:val="0"/>
        <w:autoSpaceDN w:val="0"/>
        <w:adjustRightInd w:val="0"/>
        <w:rPr>
          <w:rFonts w:eastAsiaTheme="minorHAnsi" w:cs="Arial"/>
        </w:rPr>
      </w:pPr>
      <w:r>
        <w:rPr>
          <w:rFonts w:eastAsiaTheme="minorHAnsi" w:cs="Arial"/>
        </w:rPr>
        <w:t>Ohio, Inc. for Approval to Change Accounting</w:t>
      </w:r>
      <w:r>
        <w:rPr>
          <w:rFonts w:eastAsiaTheme="minorHAnsi" w:cs="Arial"/>
        </w:rPr>
        <w:tab/>
        <w:t>)</w:t>
      </w:r>
      <w:r>
        <w:rPr>
          <w:rFonts w:eastAsiaTheme="minorHAnsi" w:cs="Arial"/>
        </w:rPr>
        <w:tab/>
        <w:t>Case No. 12-2401-EL-AAM</w:t>
      </w:r>
    </w:p>
    <w:p w:rsidR="00D55FAC" w:rsidRDefault="0074108B" w:rsidP="005F634D">
      <w:pPr>
        <w:tabs>
          <w:tab w:val="left" w:pos="5220"/>
          <w:tab w:val="left" w:pos="5760"/>
        </w:tabs>
        <w:autoSpaceDE w:val="0"/>
        <w:autoSpaceDN w:val="0"/>
        <w:adjustRightInd w:val="0"/>
        <w:rPr>
          <w:rFonts w:eastAsiaTheme="minorHAnsi" w:cs="Arial"/>
        </w:rPr>
      </w:pPr>
      <w:r>
        <w:rPr>
          <w:rFonts w:eastAsiaTheme="minorHAnsi" w:cs="Arial"/>
        </w:rPr>
        <w:t>Methods</w:t>
      </w:r>
      <w:r w:rsidR="005F634D">
        <w:rPr>
          <w:rFonts w:eastAsiaTheme="minorHAnsi" w:cs="Arial"/>
        </w:rPr>
        <w:t>.</w:t>
      </w:r>
      <w:r>
        <w:rPr>
          <w:rFonts w:eastAsiaTheme="minorHAnsi" w:cs="Arial"/>
        </w:rPr>
        <w:tab/>
        <w:t>)</w:t>
      </w:r>
    </w:p>
    <w:p w:rsidR="00D55FAC" w:rsidRDefault="00D55FAC" w:rsidP="005F634D">
      <w:pPr>
        <w:tabs>
          <w:tab w:val="left" w:pos="5220"/>
          <w:tab w:val="left" w:pos="5760"/>
        </w:tabs>
        <w:autoSpaceDE w:val="0"/>
        <w:autoSpaceDN w:val="0"/>
        <w:adjustRightInd w:val="0"/>
        <w:rPr>
          <w:rFonts w:eastAsiaTheme="minorHAnsi" w:cs="Arial"/>
        </w:rPr>
      </w:pPr>
    </w:p>
    <w:p w:rsidR="00D55FAC" w:rsidRDefault="0074108B" w:rsidP="005F634D">
      <w:pPr>
        <w:tabs>
          <w:tab w:val="left" w:pos="5220"/>
          <w:tab w:val="left" w:pos="5760"/>
        </w:tabs>
        <w:autoSpaceDE w:val="0"/>
        <w:autoSpaceDN w:val="0"/>
        <w:adjustRightInd w:val="0"/>
        <w:rPr>
          <w:rFonts w:eastAsiaTheme="minorHAnsi" w:cs="Arial"/>
        </w:rPr>
      </w:pPr>
      <w:r>
        <w:rPr>
          <w:rFonts w:eastAsiaTheme="minorHAnsi" w:cs="Arial"/>
        </w:rPr>
        <w:t>In the Matter of the Application of Duke Energy</w:t>
      </w:r>
      <w:r>
        <w:rPr>
          <w:rFonts w:eastAsiaTheme="minorHAnsi" w:cs="Arial"/>
        </w:rPr>
        <w:tab/>
        <w:t>)</w:t>
      </w:r>
    </w:p>
    <w:p w:rsidR="00D55FAC" w:rsidRDefault="0074108B" w:rsidP="005F634D">
      <w:pPr>
        <w:tabs>
          <w:tab w:val="left" w:pos="5220"/>
          <w:tab w:val="left" w:pos="5760"/>
        </w:tabs>
        <w:autoSpaceDE w:val="0"/>
        <w:autoSpaceDN w:val="0"/>
        <w:adjustRightInd w:val="0"/>
        <w:rPr>
          <w:rFonts w:eastAsiaTheme="minorHAnsi" w:cs="Arial"/>
        </w:rPr>
      </w:pPr>
      <w:r>
        <w:rPr>
          <w:rFonts w:eastAsiaTheme="minorHAnsi" w:cs="Arial"/>
        </w:rPr>
        <w:t xml:space="preserve">Ohio, Inc. for the Approval of a Tariff for a </w:t>
      </w:r>
      <w:r>
        <w:rPr>
          <w:rFonts w:eastAsiaTheme="minorHAnsi" w:cs="Arial"/>
        </w:rPr>
        <w:tab/>
        <w:t>)</w:t>
      </w:r>
      <w:r>
        <w:rPr>
          <w:rFonts w:eastAsiaTheme="minorHAnsi" w:cs="Arial"/>
        </w:rPr>
        <w:tab/>
        <w:t>Case No. 12-2402-EL-ATA</w:t>
      </w:r>
    </w:p>
    <w:p w:rsidR="00D55FAC" w:rsidRDefault="0074108B" w:rsidP="005F634D">
      <w:pPr>
        <w:tabs>
          <w:tab w:val="left" w:pos="5220"/>
          <w:tab w:val="left" w:pos="5760"/>
        </w:tabs>
        <w:autoSpaceDE w:val="0"/>
        <w:autoSpaceDN w:val="0"/>
        <w:adjustRightInd w:val="0"/>
        <w:rPr>
          <w:rFonts w:eastAsiaTheme="minorHAnsi" w:cs="Arial"/>
        </w:rPr>
      </w:pPr>
      <w:r>
        <w:rPr>
          <w:rFonts w:eastAsiaTheme="minorHAnsi" w:cs="Arial"/>
        </w:rPr>
        <w:t>New Service</w:t>
      </w:r>
      <w:r w:rsidR="005F634D">
        <w:rPr>
          <w:rFonts w:eastAsiaTheme="minorHAnsi" w:cs="Arial"/>
        </w:rPr>
        <w:t>.</w:t>
      </w:r>
      <w:r>
        <w:rPr>
          <w:rFonts w:eastAsiaTheme="minorHAnsi" w:cs="Arial"/>
        </w:rPr>
        <w:tab/>
        <w:t>)</w:t>
      </w:r>
    </w:p>
    <w:p w:rsidR="00D55FAC" w:rsidRDefault="00D55FAC">
      <w:pPr>
        <w:spacing w:line="480" w:lineRule="auto"/>
        <w:jc w:val="both"/>
      </w:pPr>
    </w:p>
    <w:p w:rsidR="00D55FAC" w:rsidRDefault="0074108B">
      <w:pPr>
        <w:spacing w:line="480" w:lineRule="auto"/>
        <w:jc w:val="both"/>
        <w:rPr>
          <w:b/>
        </w:rPr>
      </w:pPr>
      <w:r>
        <w:rPr>
          <w:b/>
        </w:rPr>
        <w:t>______________________________________________________________________</w:t>
      </w:r>
    </w:p>
    <w:p w:rsidR="00D55FAC" w:rsidRDefault="0074108B">
      <w:pPr>
        <w:jc w:val="center"/>
        <w:rPr>
          <w:b/>
        </w:rPr>
      </w:pPr>
      <w:r>
        <w:rPr>
          <w:b/>
        </w:rPr>
        <w:t xml:space="preserve">INDUSTRIAL ENERGY USERS-OHIO’S MEMORANDUM </w:t>
      </w:r>
      <w:r>
        <w:rPr>
          <w:rFonts w:ascii="Arial Bold" w:hAnsi="Arial Bold"/>
          <w:b/>
          <w:caps/>
        </w:rPr>
        <w:t>CONTRA Motion of Duke Energy Ohio</w:t>
      </w:r>
      <w:r w:rsidR="007032B9">
        <w:rPr>
          <w:rFonts w:ascii="Arial Bold" w:hAnsi="Arial Bold"/>
          <w:b/>
          <w:caps/>
        </w:rPr>
        <w:t>,</w:t>
      </w:r>
      <w:r>
        <w:rPr>
          <w:rFonts w:ascii="Arial Bold" w:hAnsi="Arial Bold"/>
          <w:b/>
          <w:caps/>
        </w:rPr>
        <w:t xml:space="preserve"> Inc., to Vacate the October 3, 2012, Entry and for </w:t>
      </w:r>
      <w:r w:rsidR="005F634D">
        <w:rPr>
          <w:rFonts w:ascii="Arial Bold" w:hAnsi="Arial Bold"/>
          <w:b/>
          <w:caps/>
        </w:rPr>
        <w:t xml:space="preserve">the </w:t>
      </w:r>
      <w:r>
        <w:rPr>
          <w:rFonts w:ascii="Arial Bold" w:hAnsi="Arial Bold"/>
          <w:b/>
          <w:caps/>
        </w:rPr>
        <w:t>Issuance of a Procedural Schedule Consistent with R.C. 4909.18 and Application for Review and Interlocutory Appeal Filed by Duke Energy Ohio, Inc.</w:t>
      </w:r>
    </w:p>
    <w:p w:rsidR="00D55FAC" w:rsidRDefault="0074108B">
      <w:pPr>
        <w:spacing w:line="480" w:lineRule="auto"/>
        <w:jc w:val="both"/>
        <w:rPr>
          <w:b/>
        </w:rPr>
      </w:pPr>
      <w:r>
        <w:rPr>
          <w:b/>
        </w:rPr>
        <w:t>______________________________________________________________________</w:t>
      </w:r>
    </w:p>
    <w:p w:rsidR="00D55FAC" w:rsidRDefault="00D55FAC">
      <w:pPr>
        <w:pStyle w:val="Title"/>
        <w:spacing w:after="0"/>
        <w:rPr>
          <w:rFonts w:ascii="Arial Bold" w:hAnsi="Arial Bold"/>
          <w:b/>
          <w:smallCaps/>
          <w:sz w:val="28"/>
        </w:rPr>
      </w:pPr>
    </w:p>
    <w:p w:rsidR="00D55FAC" w:rsidRDefault="00D55FAC">
      <w:pPr>
        <w:pStyle w:val="Title"/>
        <w:spacing w:after="0"/>
        <w:rPr>
          <w:rFonts w:ascii="Arial Bold" w:hAnsi="Arial Bold"/>
          <w:b/>
          <w:smallCaps/>
          <w:sz w:val="28"/>
        </w:rPr>
      </w:pPr>
    </w:p>
    <w:p w:rsidR="00D55FAC" w:rsidRDefault="00D55FAC">
      <w:pPr>
        <w:pStyle w:val="Title"/>
        <w:spacing w:after="0"/>
        <w:rPr>
          <w:rFonts w:ascii="Arial Bold" w:hAnsi="Arial Bold"/>
          <w:b/>
          <w:smallCaps/>
          <w:sz w:val="28"/>
        </w:rPr>
      </w:pPr>
    </w:p>
    <w:p w:rsidR="00D55FAC" w:rsidRDefault="00D55FAC">
      <w:pPr>
        <w:pStyle w:val="Title"/>
        <w:spacing w:after="0"/>
        <w:rPr>
          <w:rFonts w:ascii="Arial Bold" w:hAnsi="Arial Bold"/>
          <w:b/>
          <w:smallCaps/>
          <w:sz w:val="28"/>
        </w:rPr>
      </w:pPr>
    </w:p>
    <w:p w:rsidR="00D55FAC" w:rsidRDefault="00D55FAC">
      <w:pPr>
        <w:pStyle w:val="Title"/>
        <w:spacing w:after="0"/>
        <w:rPr>
          <w:rFonts w:ascii="Arial Bold" w:hAnsi="Arial Bold"/>
          <w:b/>
          <w:smallCaps/>
          <w:sz w:val="28"/>
        </w:rPr>
      </w:pPr>
    </w:p>
    <w:p w:rsidR="00D55FAC" w:rsidRDefault="00D55FAC">
      <w:pPr>
        <w:pStyle w:val="Title"/>
        <w:spacing w:after="0"/>
        <w:rPr>
          <w:rFonts w:ascii="Arial Bold" w:hAnsi="Arial Bold"/>
          <w:b/>
          <w:smallCaps/>
          <w:sz w:val="28"/>
        </w:rPr>
      </w:pPr>
    </w:p>
    <w:p w:rsidR="00D55FAC" w:rsidRDefault="0074108B">
      <w:pPr>
        <w:tabs>
          <w:tab w:val="left" w:pos="4320"/>
          <w:tab w:val="right" w:pos="8640"/>
        </w:tabs>
        <w:ind w:left="4320"/>
        <w:jc w:val="both"/>
        <w:rPr>
          <w:rFonts w:cs="Arial"/>
        </w:rPr>
      </w:pPr>
      <w:r>
        <w:rPr>
          <w:rFonts w:cs="Arial"/>
        </w:rPr>
        <w:t>Samuel C. Randazzo (Counsel of Record)</w:t>
      </w:r>
    </w:p>
    <w:p w:rsidR="00D55FAC" w:rsidRDefault="0074108B">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D55FAC" w:rsidRDefault="0074108B">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D55FAC" w:rsidRDefault="0074108B">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D55FAC" w:rsidRDefault="0074108B">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D55FAC" w:rsidRDefault="0074108B">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D55FAC" w:rsidRDefault="0074108B">
      <w:pPr>
        <w:pStyle w:val="BodyText"/>
        <w:tabs>
          <w:tab w:val="left" w:pos="4320"/>
        </w:tabs>
        <w:ind w:left="4320"/>
      </w:pPr>
      <w:r>
        <w:t>Columbus, OH  43215</w:t>
      </w:r>
    </w:p>
    <w:p w:rsidR="00D55FAC" w:rsidRDefault="0074108B">
      <w:pPr>
        <w:pStyle w:val="BodyText"/>
        <w:tabs>
          <w:tab w:val="left" w:pos="4320"/>
        </w:tabs>
        <w:ind w:left="4320"/>
      </w:pPr>
      <w:r>
        <w:t>Telephone:  (614) 469-8000</w:t>
      </w:r>
    </w:p>
    <w:p w:rsidR="00D55FAC" w:rsidRDefault="0074108B">
      <w:pPr>
        <w:pStyle w:val="BodyText"/>
        <w:tabs>
          <w:tab w:val="left" w:pos="4320"/>
        </w:tabs>
        <w:ind w:left="4320"/>
      </w:pPr>
      <w:r>
        <w:t>Telecopier:  (614) 469-4653</w:t>
      </w:r>
    </w:p>
    <w:p w:rsidR="00D55FAC" w:rsidRDefault="0074108B">
      <w:pPr>
        <w:pStyle w:val="BodyText"/>
        <w:ind w:left="4320"/>
      </w:pPr>
      <w:r>
        <w:t>sam@mwncmh.com</w:t>
      </w:r>
    </w:p>
    <w:p w:rsidR="00D55FAC" w:rsidRDefault="0074108B">
      <w:pPr>
        <w:pStyle w:val="BodyText"/>
        <w:ind w:left="4320"/>
      </w:pPr>
      <w:r>
        <w:t>fdarr@mwncmh.com</w:t>
      </w:r>
    </w:p>
    <w:p w:rsidR="00D55FAC" w:rsidRDefault="0074108B">
      <w:pPr>
        <w:pStyle w:val="BodyText"/>
        <w:ind w:left="4320"/>
      </w:pPr>
      <w:r>
        <w:t>joliker@mwncmh.com</w:t>
      </w:r>
    </w:p>
    <w:p w:rsidR="00D55FAC" w:rsidRDefault="0074108B">
      <w:pPr>
        <w:pStyle w:val="BodyText"/>
        <w:ind w:left="4320"/>
      </w:pPr>
      <w:r>
        <w:t>mpritchard@mwncmh.com</w:t>
      </w:r>
    </w:p>
    <w:p w:rsidR="00D55FAC" w:rsidRDefault="00D55FAC">
      <w:pPr>
        <w:pStyle w:val="BodyText"/>
      </w:pPr>
    </w:p>
    <w:p w:rsidR="00D55FAC" w:rsidRDefault="0074108B">
      <w:pPr>
        <w:pStyle w:val="Title"/>
        <w:jc w:val="left"/>
        <w:rPr>
          <w:b/>
          <w:smallCaps/>
          <w:sz w:val="24"/>
        </w:rPr>
      </w:pPr>
      <w:r>
        <w:rPr>
          <w:b/>
          <w:sz w:val="24"/>
        </w:rPr>
        <w:t>October 15, 2012</w:t>
      </w:r>
      <w:r>
        <w:rPr>
          <w:b/>
          <w:sz w:val="24"/>
        </w:rPr>
        <w:tab/>
      </w:r>
      <w:r>
        <w:rPr>
          <w:b/>
          <w:sz w:val="24"/>
        </w:rPr>
        <w:tab/>
      </w:r>
      <w:r>
        <w:rPr>
          <w:b/>
          <w:sz w:val="24"/>
        </w:rPr>
        <w:tab/>
      </w:r>
      <w:r>
        <w:rPr>
          <w:b/>
          <w:sz w:val="24"/>
        </w:rPr>
        <w:tab/>
        <w:t>Attorneys for Industrial Energy Users-Ohio</w:t>
      </w:r>
    </w:p>
    <w:p w:rsidR="00D55FAC" w:rsidRDefault="00D55FAC">
      <w:pPr>
        <w:pStyle w:val="Title"/>
        <w:rPr>
          <w:b/>
          <w:sz w:val="28"/>
        </w:rPr>
        <w:sectPr w:rsidR="00D55FA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D55FAC" w:rsidRDefault="0074108B">
      <w:pPr>
        <w:pStyle w:val="Title"/>
        <w:spacing w:after="0"/>
        <w:rPr>
          <w:rFonts w:ascii="Arial Bold" w:hAnsi="Arial Bold"/>
          <w:b/>
          <w:smallCaps/>
          <w:sz w:val="28"/>
        </w:rPr>
      </w:pPr>
      <w:r>
        <w:rPr>
          <w:rFonts w:ascii="Arial Bold" w:hAnsi="Arial Bold"/>
          <w:b/>
          <w:smallCaps/>
          <w:sz w:val="28"/>
        </w:rPr>
        <w:lastRenderedPageBreak/>
        <w:t>Before</w:t>
      </w:r>
    </w:p>
    <w:p w:rsidR="00D55FAC" w:rsidRDefault="0074108B">
      <w:pPr>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rsidR="00D55FAC" w:rsidRDefault="00D55FAC">
      <w:pPr>
        <w:autoSpaceDE w:val="0"/>
        <w:autoSpaceDN w:val="0"/>
        <w:adjustRightInd w:val="0"/>
        <w:rPr>
          <w:rFonts w:eastAsiaTheme="minorHAnsi" w:cs="Arial"/>
        </w:rPr>
      </w:pPr>
    </w:p>
    <w:p w:rsidR="005F634D" w:rsidRDefault="005F634D" w:rsidP="005F634D">
      <w:pPr>
        <w:tabs>
          <w:tab w:val="left" w:pos="5220"/>
          <w:tab w:val="left" w:pos="5760"/>
        </w:tabs>
        <w:autoSpaceDE w:val="0"/>
        <w:autoSpaceDN w:val="0"/>
        <w:adjustRightInd w:val="0"/>
        <w:rPr>
          <w:rFonts w:eastAsiaTheme="minorHAnsi" w:cs="Arial"/>
        </w:rPr>
      </w:pPr>
      <w:r>
        <w:rPr>
          <w:rFonts w:eastAsiaTheme="minorHAnsi" w:cs="Arial"/>
        </w:rPr>
        <w:t>In the Matter of the Application of Duke Energy</w:t>
      </w:r>
      <w:r>
        <w:rPr>
          <w:rFonts w:eastAsiaTheme="minorHAnsi" w:cs="Arial"/>
        </w:rPr>
        <w:tab/>
        <w:t>)</w:t>
      </w:r>
    </w:p>
    <w:p w:rsidR="005F634D" w:rsidRDefault="005F634D" w:rsidP="005F634D">
      <w:pPr>
        <w:tabs>
          <w:tab w:val="left" w:pos="5220"/>
          <w:tab w:val="left" w:pos="5760"/>
        </w:tabs>
        <w:autoSpaceDE w:val="0"/>
        <w:autoSpaceDN w:val="0"/>
        <w:adjustRightInd w:val="0"/>
        <w:rPr>
          <w:rFonts w:eastAsiaTheme="minorHAnsi" w:cs="Arial"/>
        </w:rPr>
      </w:pPr>
      <w:r>
        <w:rPr>
          <w:rFonts w:eastAsiaTheme="minorHAnsi" w:cs="Arial"/>
        </w:rPr>
        <w:t xml:space="preserve">Ohio, Inc. for the Establishment of a Charge </w:t>
      </w:r>
      <w:r>
        <w:rPr>
          <w:rFonts w:eastAsiaTheme="minorHAnsi" w:cs="Arial"/>
        </w:rPr>
        <w:tab/>
        <w:t>)</w:t>
      </w:r>
      <w:r>
        <w:rPr>
          <w:rFonts w:eastAsiaTheme="minorHAnsi" w:cs="Arial"/>
        </w:rPr>
        <w:tab/>
        <w:t>Case No. 12-2400-EL-UNC</w:t>
      </w:r>
    </w:p>
    <w:p w:rsidR="005F634D" w:rsidRDefault="005F634D" w:rsidP="005F634D">
      <w:pPr>
        <w:tabs>
          <w:tab w:val="left" w:pos="5220"/>
          <w:tab w:val="left" w:pos="5760"/>
        </w:tabs>
        <w:autoSpaceDE w:val="0"/>
        <w:autoSpaceDN w:val="0"/>
        <w:adjustRightInd w:val="0"/>
        <w:rPr>
          <w:rFonts w:eastAsiaTheme="minorHAnsi" w:cs="Arial"/>
        </w:rPr>
      </w:pPr>
      <w:r>
        <w:rPr>
          <w:rFonts w:eastAsiaTheme="minorHAnsi" w:cs="Arial"/>
        </w:rPr>
        <w:t>Pursuant to Section 4909.18, Revised Code.</w:t>
      </w:r>
      <w:r>
        <w:rPr>
          <w:rFonts w:eastAsiaTheme="minorHAnsi" w:cs="Arial"/>
        </w:rPr>
        <w:tab/>
        <w:t>)</w:t>
      </w:r>
    </w:p>
    <w:p w:rsidR="005F634D" w:rsidRDefault="005F634D" w:rsidP="005F634D">
      <w:pPr>
        <w:tabs>
          <w:tab w:val="left" w:pos="5220"/>
          <w:tab w:val="left" w:pos="5760"/>
        </w:tabs>
        <w:autoSpaceDE w:val="0"/>
        <w:autoSpaceDN w:val="0"/>
        <w:adjustRightInd w:val="0"/>
        <w:rPr>
          <w:rFonts w:eastAsiaTheme="minorHAnsi" w:cs="Arial"/>
        </w:rPr>
      </w:pPr>
    </w:p>
    <w:p w:rsidR="005F634D" w:rsidRDefault="005F634D" w:rsidP="005F634D">
      <w:pPr>
        <w:tabs>
          <w:tab w:val="left" w:pos="5220"/>
          <w:tab w:val="left" w:pos="5760"/>
        </w:tabs>
        <w:autoSpaceDE w:val="0"/>
        <w:autoSpaceDN w:val="0"/>
        <w:adjustRightInd w:val="0"/>
        <w:rPr>
          <w:rFonts w:eastAsiaTheme="minorHAnsi" w:cs="Arial"/>
        </w:rPr>
      </w:pPr>
      <w:r>
        <w:rPr>
          <w:rFonts w:eastAsiaTheme="minorHAnsi" w:cs="Arial"/>
        </w:rPr>
        <w:t>In the Matter of the Application of Duke Energy</w:t>
      </w:r>
      <w:r>
        <w:rPr>
          <w:rFonts w:eastAsiaTheme="minorHAnsi" w:cs="Arial"/>
        </w:rPr>
        <w:tab/>
        <w:t>)</w:t>
      </w:r>
    </w:p>
    <w:p w:rsidR="005F634D" w:rsidRDefault="005F634D" w:rsidP="005F634D">
      <w:pPr>
        <w:tabs>
          <w:tab w:val="left" w:pos="5220"/>
          <w:tab w:val="left" w:pos="5760"/>
        </w:tabs>
        <w:autoSpaceDE w:val="0"/>
        <w:autoSpaceDN w:val="0"/>
        <w:adjustRightInd w:val="0"/>
        <w:rPr>
          <w:rFonts w:eastAsiaTheme="minorHAnsi" w:cs="Arial"/>
        </w:rPr>
      </w:pPr>
      <w:r>
        <w:rPr>
          <w:rFonts w:eastAsiaTheme="minorHAnsi" w:cs="Arial"/>
        </w:rPr>
        <w:t>Ohio, Inc. for Approval to Change Accounting</w:t>
      </w:r>
      <w:r>
        <w:rPr>
          <w:rFonts w:eastAsiaTheme="minorHAnsi" w:cs="Arial"/>
        </w:rPr>
        <w:tab/>
        <w:t>)</w:t>
      </w:r>
      <w:r>
        <w:rPr>
          <w:rFonts w:eastAsiaTheme="minorHAnsi" w:cs="Arial"/>
        </w:rPr>
        <w:tab/>
        <w:t>Case No. 12-2401-EL-AAM</w:t>
      </w:r>
    </w:p>
    <w:p w:rsidR="005F634D" w:rsidRDefault="005F634D" w:rsidP="005F634D">
      <w:pPr>
        <w:tabs>
          <w:tab w:val="left" w:pos="5220"/>
          <w:tab w:val="left" w:pos="5760"/>
        </w:tabs>
        <w:autoSpaceDE w:val="0"/>
        <w:autoSpaceDN w:val="0"/>
        <w:adjustRightInd w:val="0"/>
        <w:rPr>
          <w:rFonts w:eastAsiaTheme="minorHAnsi" w:cs="Arial"/>
        </w:rPr>
      </w:pPr>
      <w:r>
        <w:rPr>
          <w:rFonts w:eastAsiaTheme="minorHAnsi" w:cs="Arial"/>
        </w:rPr>
        <w:t>Methods.</w:t>
      </w:r>
      <w:r>
        <w:rPr>
          <w:rFonts w:eastAsiaTheme="minorHAnsi" w:cs="Arial"/>
        </w:rPr>
        <w:tab/>
        <w:t>)</w:t>
      </w:r>
    </w:p>
    <w:p w:rsidR="005F634D" w:rsidRDefault="005F634D" w:rsidP="005F634D">
      <w:pPr>
        <w:tabs>
          <w:tab w:val="left" w:pos="5220"/>
          <w:tab w:val="left" w:pos="5760"/>
        </w:tabs>
        <w:autoSpaceDE w:val="0"/>
        <w:autoSpaceDN w:val="0"/>
        <w:adjustRightInd w:val="0"/>
        <w:rPr>
          <w:rFonts w:eastAsiaTheme="minorHAnsi" w:cs="Arial"/>
        </w:rPr>
      </w:pPr>
    </w:p>
    <w:p w:rsidR="005F634D" w:rsidRDefault="005F634D" w:rsidP="005F634D">
      <w:pPr>
        <w:tabs>
          <w:tab w:val="left" w:pos="5220"/>
          <w:tab w:val="left" w:pos="5760"/>
        </w:tabs>
        <w:autoSpaceDE w:val="0"/>
        <w:autoSpaceDN w:val="0"/>
        <w:adjustRightInd w:val="0"/>
        <w:rPr>
          <w:rFonts w:eastAsiaTheme="minorHAnsi" w:cs="Arial"/>
        </w:rPr>
      </w:pPr>
      <w:r>
        <w:rPr>
          <w:rFonts w:eastAsiaTheme="minorHAnsi" w:cs="Arial"/>
        </w:rPr>
        <w:t>In the Matter of the Application of Duke Energy</w:t>
      </w:r>
      <w:r>
        <w:rPr>
          <w:rFonts w:eastAsiaTheme="minorHAnsi" w:cs="Arial"/>
        </w:rPr>
        <w:tab/>
        <w:t>)</w:t>
      </w:r>
    </w:p>
    <w:p w:rsidR="005F634D" w:rsidRDefault="005F634D" w:rsidP="005F634D">
      <w:pPr>
        <w:tabs>
          <w:tab w:val="left" w:pos="5220"/>
          <w:tab w:val="left" w:pos="5760"/>
        </w:tabs>
        <w:autoSpaceDE w:val="0"/>
        <w:autoSpaceDN w:val="0"/>
        <w:adjustRightInd w:val="0"/>
        <w:rPr>
          <w:rFonts w:eastAsiaTheme="minorHAnsi" w:cs="Arial"/>
        </w:rPr>
      </w:pPr>
      <w:r>
        <w:rPr>
          <w:rFonts w:eastAsiaTheme="minorHAnsi" w:cs="Arial"/>
        </w:rPr>
        <w:t xml:space="preserve">Ohio, Inc. for the Approval of a Tariff for a </w:t>
      </w:r>
      <w:r>
        <w:rPr>
          <w:rFonts w:eastAsiaTheme="minorHAnsi" w:cs="Arial"/>
        </w:rPr>
        <w:tab/>
        <w:t>)</w:t>
      </w:r>
      <w:r>
        <w:rPr>
          <w:rFonts w:eastAsiaTheme="minorHAnsi" w:cs="Arial"/>
        </w:rPr>
        <w:tab/>
        <w:t>Case No. 12-2402-EL-ATA</w:t>
      </w:r>
    </w:p>
    <w:p w:rsidR="005F634D" w:rsidRDefault="005F634D" w:rsidP="005F634D">
      <w:pPr>
        <w:tabs>
          <w:tab w:val="left" w:pos="5220"/>
          <w:tab w:val="left" w:pos="5760"/>
        </w:tabs>
        <w:autoSpaceDE w:val="0"/>
        <w:autoSpaceDN w:val="0"/>
        <w:adjustRightInd w:val="0"/>
        <w:rPr>
          <w:rFonts w:eastAsiaTheme="minorHAnsi" w:cs="Arial"/>
        </w:rPr>
      </w:pPr>
      <w:r>
        <w:rPr>
          <w:rFonts w:eastAsiaTheme="minorHAnsi" w:cs="Arial"/>
        </w:rPr>
        <w:t>New Service.</w:t>
      </w:r>
      <w:r>
        <w:rPr>
          <w:rFonts w:eastAsiaTheme="minorHAnsi" w:cs="Arial"/>
        </w:rPr>
        <w:tab/>
        <w:t>)</w:t>
      </w:r>
    </w:p>
    <w:p w:rsidR="00D55FAC" w:rsidRDefault="00D55FAC">
      <w:pPr>
        <w:autoSpaceDE w:val="0"/>
        <w:autoSpaceDN w:val="0"/>
        <w:adjustRightInd w:val="0"/>
        <w:rPr>
          <w:rFonts w:eastAsiaTheme="minorHAnsi" w:cs="Arial"/>
        </w:rPr>
      </w:pPr>
    </w:p>
    <w:p w:rsidR="00E02B2C" w:rsidRDefault="00E02B2C">
      <w:pPr>
        <w:autoSpaceDE w:val="0"/>
        <w:autoSpaceDN w:val="0"/>
        <w:adjustRightInd w:val="0"/>
        <w:rPr>
          <w:rFonts w:eastAsiaTheme="minorHAnsi" w:cs="Arial"/>
        </w:rPr>
      </w:pPr>
    </w:p>
    <w:p w:rsidR="00D55FAC" w:rsidRDefault="0074108B">
      <w:pPr>
        <w:spacing w:line="480" w:lineRule="auto"/>
        <w:jc w:val="both"/>
        <w:rPr>
          <w:b/>
        </w:rPr>
      </w:pPr>
      <w:r>
        <w:rPr>
          <w:b/>
        </w:rPr>
        <w:t>______________________________________________________________________</w:t>
      </w:r>
    </w:p>
    <w:p w:rsidR="00D55FAC" w:rsidRDefault="0074108B">
      <w:pPr>
        <w:jc w:val="center"/>
        <w:rPr>
          <w:b/>
        </w:rPr>
      </w:pPr>
      <w:r>
        <w:rPr>
          <w:b/>
        </w:rPr>
        <w:t xml:space="preserve">INDUSTRIAL ENERGY USERS-OHIO’S MEMORANDUM </w:t>
      </w:r>
      <w:r>
        <w:rPr>
          <w:rFonts w:ascii="Arial Bold" w:hAnsi="Arial Bold"/>
          <w:b/>
          <w:caps/>
        </w:rPr>
        <w:t>CONTRA Motion of Duke Energy Ohio</w:t>
      </w:r>
      <w:r w:rsidR="007032B9">
        <w:rPr>
          <w:rFonts w:ascii="Arial Bold" w:hAnsi="Arial Bold"/>
          <w:b/>
          <w:caps/>
        </w:rPr>
        <w:t>,</w:t>
      </w:r>
      <w:r>
        <w:rPr>
          <w:rFonts w:ascii="Arial Bold" w:hAnsi="Arial Bold"/>
          <w:b/>
          <w:caps/>
        </w:rPr>
        <w:t xml:space="preserve"> Inc., to Vacate the October 3, 2012, Entry and for </w:t>
      </w:r>
      <w:r w:rsidR="005F634D">
        <w:rPr>
          <w:rFonts w:ascii="Arial Bold" w:hAnsi="Arial Bold"/>
          <w:b/>
          <w:caps/>
        </w:rPr>
        <w:t xml:space="preserve">the </w:t>
      </w:r>
      <w:r>
        <w:rPr>
          <w:rFonts w:ascii="Arial Bold" w:hAnsi="Arial Bold"/>
          <w:b/>
          <w:caps/>
        </w:rPr>
        <w:t>Issuance of a Procedural Schedule Consistent with R.C. 4909.18 and Application for Review and Interlocutory Appeal Filed by Duke Energy Ohio, Inc.</w:t>
      </w:r>
    </w:p>
    <w:p w:rsidR="00D55FAC" w:rsidRDefault="0074108B">
      <w:pPr>
        <w:spacing w:line="480" w:lineRule="auto"/>
        <w:jc w:val="both"/>
        <w:rPr>
          <w:b/>
        </w:rPr>
      </w:pPr>
      <w:r>
        <w:rPr>
          <w:b/>
        </w:rPr>
        <w:t>______________________________________________________________________</w:t>
      </w:r>
    </w:p>
    <w:p w:rsidR="00D55FAC" w:rsidRDefault="00D55FAC">
      <w:pPr>
        <w:jc w:val="both"/>
        <w:rPr>
          <w:b/>
        </w:rPr>
      </w:pPr>
    </w:p>
    <w:p w:rsidR="00E02B2C" w:rsidRDefault="00E02B2C">
      <w:pPr>
        <w:jc w:val="both"/>
        <w:rPr>
          <w:b/>
        </w:rPr>
      </w:pPr>
    </w:p>
    <w:p w:rsidR="00D55FAC" w:rsidRDefault="0074108B">
      <w:pPr>
        <w:spacing w:line="480" w:lineRule="auto"/>
        <w:jc w:val="both"/>
      </w:pPr>
      <w:r>
        <w:tab/>
        <w:t xml:space="preserve">Pursuant to Rules 4901-1-12(C), and 4901-1-15(D), Ohio Administrative Code (“O.A.C.”), </w:t>
      </w:r>
      <w:r>
        <w:rPr>
          <w:szCs w:val="24"/>
        </w:rPr>
        <w:t xml:space="preserve">Industrial Energy Users-Ohio (“IEU-Ohio”) hereby files its memorandum contra to Duke Energy Ohio, Inc.’s (“Duke”) </w:t>
      </w:r>
      <w:r>
        <w:rPr>
          <w:rFonts w:cs="Arial"/>
          <w:szCs w:val="24"/>
        </w:rPr>
        <w:t>Motion to Vacate</w:t>
      </w:r>
      <w:r>
        <w:rPr>
          <w:rStyle w:val="FootnoteReference"/>
          <w:szCs w:val="24"/>
        </w:rPr>
        <w:footnoteReference w:id="1"/>
      </w:r>
      <w:r>
        <w:rPr>
          <w:szCs w:val="24"/>
        </w:rPr>
        <w:t xml:space="preserve"> and </w:t>
      </w:r>
      <w:r>
        <w:rPr>
          <w:rFonts w:cs="Arial"/>
          <w:szCs w:val="24"/>
        </w:rPr>
        <w:t>Interlocutory Appeal</w:t>
      </w:r>
      <w:r>
        <w:rPr>
          <w:rStyle w:val="FootnoteReference"/>
          <w:szCs w:val="24"/>
        </w:rPr>
        <w:footnoteReference w:id="2"/>
      </w:r>
      <w:r>
        <w:rPr>
          <w:szCs w:val="24"/>
        </w:rPr>
        <w:t xml:space="preserve"> filed on October 9, 2012 in the</w:t>
      </w:r>
      <w:r>
        <w:t xml:space="preserve"> above-captioned matters.  Although the Public Utilities Commission of Ohio (“Commission”) should vacate the procedural schedule, it should deny Duke’s request for approval of its application without hearing or for a compressed procedural schedule.  Instead, the Commission should suspend the procedural </w:t>
      </w:r>
      <w:r>
        <w:lastRenderedPageBreak/>
        <w:t>schedule contained in the October 3, 2012 Entry until the Commission issues a decision on the motion to dismiss filed in these proceedings on October 4, 2012.</w:t>
      </w:r>
    </w:p>
    <w:p w:rsidR="00D55FAC" w:rsidRDefault="0074108B" w:rsidP="00E02B2C">
      <w:pPr>
        <w:pStyle w:val="Heading1"/>
        <w:spacing w:before="240" w:after="360"/>
      </w:pPr>
      <w:r>
        <w:t>Background</w:t>
      </w:r>
    </w:p>
    <w:p w:rsidR="00D55FAC" w:rsidRDefault="0074108B">
      <w:pPr>
        <w:spacing w:line="480" w:lineRule="auto"/>
        <w:ind w:firstLine="720"/>
        <w:jc w:val="both"/>
      </w:pPr>
      <w:r>
        <w:t>On August 29, 2012, Duke filed an Application that seeks to increase the compensation it receives for generation-related capacity service by $776 million.</w:t>
      </w:r>
      <w:r>
        <w:rPr>
          <w:rStyle w:val="FootnoteReference"/>
        </w:rPr>
        <w:footnoteReference w:id="3"/>
      </w:r>
      <w:r>
        <w:t xml:space="preserve">  The Application essentially asks the Commission to give Duke guaranteed above-market compensation for generation-related capacity service along the lines the Commission regrettably awarded to the Ohio Power Company.</w:t>
      </w:r>
      <w:r>
        <w:rPr>
          <w:rStyle w:val="FootnoteReference"/>
        </w:rPr>
        <w:footnoteReference w:id="4"/>
      </w:r>
      <w:r>
        <w:t xml:space="preserve">  Despite the fact that the Application provides that Duke is seeking to defer and then bill and collect through a non-bypassable charge $776 million in addition to the compensation it currently is approved to receive for generation-related capacity service, Duke’s Application requests that the Commission grant this increase without a hearing on the theory that it is not seeking an increase in rates for an existing service and that the Commission may act on the Application under Section 4909.18, Revised Code, which is not applicable to applications to establish compensation for competitive retail electric services.</w:t>
      </w:r>
      <w:r>
        <w:rPr>
          <w:rStyle w:val="FootnoteReference"/>
        </w:rPr>
        <w:footnoteReference w:id="5"/>
      </w:r>
      <w:r>
        <w:t xml:space="preserve">  Regardless of Duke’s baseless theory, Duke’s Application is prohibited by the terms of </w:t>
      </w:r>
      <w:r>
        <w:lastRenderedPageBreak/>
        <w:t>two Commission-approved stipulations, and it is prohibited by Ohio law.</w:t>
      </w:r>
      <w:r>
        <w:rPr>
          <w:rStyle w:val="FootnoteReference"/>
        </w:rPr>
        <w:footnoteReference w:id="6"/>
      </w:r>
      <w:r>
        <w:t xml:space="preserve">  For these reasons</w:t>
      </w:r>
      <w:r w:rsidR="005F634D">
        <w:t>,</w:t>
      </w:r>
      <w:r>
        <w:t xml:space="preserve"> the Motion to Dismiss was jointly filed by several parties on October 4, 2012.</w:t>
      </w:r>
      <w:r>
        <w:rPr>
          <w:rStyle w:val="FootnoteReference"/>
        </w:rPr>
        <w:footnoteReference w:id="7"/>
      </w:r>
      <w:r>
        <w:t xml:space="preserve">  </w:t>
      </w:r>
    </w:p>
    <w:p w:rsidR="00D55FAC" w:rsidRDefault="0074108B">
      <w:pPr>
        <w:spacing w:line="480" w:lineRule="auto"/>
        <w:jc w:val="both"/>
      </w:pPr>
      <w:r>
        <w:tab/>
        <w:t>Without rehashing all of the Motion to Dismiss, IEU-Ohio notes that in Duke’s recent electric security plan (“ESP”) proceeding</w:t>
      </w:r>
      <w:r>
        <w:rPr>
          <w:rStyle w:val="FootnoteReference"/>
        </w:rPr>
        <w:footnoteReference w:id="8"/>
      </w:r>
      <w:r>
        <w:t xml:space="preserve"> Duke agreed to charge competitive retail electric service (“CRES”) providers serving retail customers in its territory prices established by PJM Interconnection</w:t>
      </w:r>
      <w:r w:rsidR="005F634D">
        <w:t>,</w:t>
      </w:r>
      <w:r>
        <w:t xml:space="preserve"> L</w:t>
      </w:r>
      <w:r w:rsidR="005F634D">
        <w:t>.</w:t>
      </w:r>
      <w:r>
        <w:t>L</w:t>
      </w:r>
      <w:r w:rsidR="005F634D">
        <w:t>.</w:t>
      </w:r>
      <w:r>
        <w:t>C</w:t>
      </w:r>
      <w:r w:rsidR="005F634D">
        <w:t>.</w:t>
      </w:r>
      <w:r>
        <w:t>’s (“PJM”) Reliability Pricing Model (“RPM”) for capacity service.</w:t>
      </w:r>
      <w:r>
        <w:rPr>
          <w:rStyle w:val="FootnoteReference"/>
        </w:rPr>
        <w:footnoteReference w:id="9"/>
      </w:r>
      <w:r>
        <w:t xml:space="preserve">  In Duke’s proceeding regarding the transfer of control of its transmission assets from the Midwest </w:t>
      </w:r>
      <w:r w:rsidR="00A95DA5">
        <w:t xml:space="preserve">Independent Transmission System Operator </w:t>
      </w:r>
      <w:r>
        <w:t>(“MISO”) to PJM,</w:t>
      </w:r>
      <w:r>
        <w:rPr>
          <w:rStyle w:val="FootnoteReference"/>
        </w:rPr>
        <w:footnoteReference w:id="10"/>
      </w:r>
      <w:r>
        <w:t xml:space="preserve"> Duke also agreed that it would forgo seeking an increase in the compensation it receives from CRES providers from the Federal Energy Regulatory Commission (“FERC”).  The Motion to Dismiss also identifies that the </w:t>
      </w:r>
      <w:r w:rsidR="00920042">
        <w:t>S</w:t>
      </w:r>
      <w:r>
        <w:t xml:space="preserve">ignatory </w:t>
      </w:r>
      <w:r w:rsidR="00920042">
        <w:t>P</w:t>
      </w:r>
      <w:r>
        <w:t>arties contest the legal basis asserted by Duke for authority to increase the compensation it receives for capacity service from CRES providers.</w:t>
      </w:r>
      <w:r>
        <w:rPr>
          <w:rStyle w:val="FootnoteReference"/>
        </w:rPr>
        <w:footnoteReference w:id="11"/>
      </w:r>
      <w:r>
        <w:t xml:space="preserve">  Duke has not yet responded to the Motion to Dismiss. </w:t>
      </w:r>
    </w:p>
    <w:p w:rsidR="00D55FAC" w:rsidRDefault="0074108B">
      <w:pPr>
        <w:spacing w:line="480" w:lineRule="auto"/>
        <w:jc w:val="both"/>
      </w:pPr>
      <w:r>
        <w:tab/>
        <w:t>On October 3, 2012</w:t>
      </w:r>
      <w:r w:rsidR="005F634D">
        <w:t>,</w:t>
      </w:r>
      <w:r>
        <w:t xml:space="preserve"> the Commission issued a procedural schedule in these proceedings.  Comments are due January 2, 2013; reply comments are due February 1, </w:t>
      </w:r>
      <w:r>
        <w:lastRenderedPageBreak/>
        <w:t>2013; Duke’s testimony is due by March 1, 2013; Staff and intervenor testimony are due March 9, 2013; and an evidentiary hearing is scheduled to commence April 2, 201</w:t>
      </w:r>
      <w:r w:rsidR="005F634D">
        <w:t>3</w:t>
      </w:r>
      <w:r>
        <w:t xml:space="preserve">.  </w:t>
      </w:r>
    </w:p>
    <w:p w:rsidR="00D55FAC" w:rsidRDefault="0074108B">
      <w:pPr>
        <w:spacing w:line="480" w:lineRule="auto"/>
        <w:ind w:firstLine="720"/>
        <w:jc w:val="both"/>
      </w:pPr>
      <w:r>
        <w:t xml:space="preserve">On October 9, 2012, Duke filed the Motion to Vacate and Interlocutory Appeal challenging the procedural schedule.  Though filed separately, the </w:t>
      </w:r>
      <w:r w:rsidR="005F634D">
        <w:t>M</w:t>
      </w:r>
      <w:r>
        <w:t xml:space="preserve">otion </w:t>
      </w:r>
      <w:r w:rsidR="005F634D">
        <w:t xml:space="preserve">to Vacate </w:t>
      </w:r>
      <w:r>
        <w:t xml:space="preserve">and the </w:t>
      </w:r>
      <w:r w:rsidR="005F634D">
        <w:t>I</w:t>
      </w:r>
      <w:r>
        <w:t xml:space="preserve">nterlocutory </w:t>
      </w:r>
      <w:r w:rsidR="005F634D">
        <w:t>A</w:t>
      </w:r>
      <w:r>
        <w:t xml:space="preserve">ppeal are based on the same faulty legal claims.  First, Duke claims that the Commission must attempt to issue a decision within </w:t>
      </w:r>
      <w:r w:rsidR="005F634D">
        <w:t>six (</w:t>
      </w:r>
      <w:r>
        <w:t>6</w:t>
      </w:r>
      <w:r w:rsidR="005F634D">
        <w:t>)</w:t>
      </w:r>
      <w:r>
        <w:t xml:space="preserve"> months of the date its Application was filed, and argues that the current procedural schedule will not allow for that to happen.</w:t>
      </w:r>
      <w:r>
        <w:rPr>
          <w:rStyle w:val="FootnoteReference"/>
        </w:rPr>
        <w:footnoteReference w:id="12"/>
      </w:r>
      <w:r>
        <w:t xml:space="preserve">  Second, Duke claims that the Commission erred by scheduling a hearing because the Application is not for an increase in rates and that a hearing should be scheduled only if it appears to the Commission that Duke’s application may be unjust or unreasonable.</w:t>
      </w:r>
      <w:r>
        <w:rPr>
          <w:rStyle w:val="FootnoteReference"/>
        </w:rPr>
        <w:footnoteReference w:id="13"/>
      </w:r>
    </w:p>
    <w:p w:rsidR="00D55FAC" w:rsidRDefault="0074108B" w:rsidP="00E02B2C">
      <w:pPr>
        <w:pStyle w:val="Heading1"/>
        <w:spacing w:before="240" w:after="360"/>
      </w:pPr>
      <w:r>
        <w:t>Argument</w:t>
      </w:r>
    </w:p>
    <w:p w:rsidR="00D55FAC" w:rsidRDefault="0074108B">
      <w:pPr>
        <w:spacing w:line="480" w:lineRule="auto"/>
        <w:ind w:firstLine="720"/>
        <w:jc w:val="both"/>
      </w:pPr>
      <w:r>
        <w:t>The Commission should reject Duke’s legal assertions in its Motion to Vacate and Interlocutory Appeal.  Rather, the Commission should vacate the procedural schedule and rule on the dispositive Motion to Dismiss before any procedural schedule is established.  If the Commission does not rule on the Motion to Dismiss before setting a procedural schedule</w:t>
      </w:r>
      <w:r w:rsidR="005F634D">
        <w:t>,</w:t>
      </w:r>
      <w:r>
        <w:t xml:space="preserve"> the intervening parties will have to expend considerable resources preparing for what will likely be a lengthy hearing involving issues that are presently before the Commission in other contested proceedings as well as unique issues raised by Duke’s copycat Application.</w:t>
      </w:r>
    </w:p>
    <w:p w:rsidR="007032B9" w:rsidRDefault="0074108B">
      <w:pPr>
        <w:spacing w:line="480" w:lineRule="auto"/>
        <w:ind w:firstLine="720"/>
        <w:jc w:val="both"/>
        <w:rPr>
          <w:rFonts w:cs="Arial"/>
        </w:rPr>
      </w:pPr>
      <w:r>
        <w:lastRenderedPageBreak/>
        <w:t>First, Duke’s Application, Motion to Vacate, and Interlocutory Appeal are meritless.</w:t>
      </w:r>
      <w:r w:rsidR="00B87BA4">
        <w:rPr>
          <w:rStyle w:val="FootnoteReference"/>
        </w:rPr>
        <w:footnoteReference w:id="14"/>
      </w:r>
      <w:r>
        <w:t xml:space="preserve">  </w:t>
      </w:r>
      <w:r>
        <w:rPr>
          <w:rFonts w:cs="Arial"/>
        </w:rPr>
        <w:t>These three pleadings all make the nonsensical claim that Duke is not seeking an increase in rates.</w:t>
      </w:r>
      <w:r>
        <w:rPr>
          <w:rStyle w:val="FootnoteReference"/>
          <w:rFonts w:cs="Arial"/>
        </w:rPr>
        <w:footnoteReference w:id="15"/>
      </w:r>
      <w:r>
        <w:rPr>
          <w:rFonts w:cs="Arial"/>
        </w:rPr>
        <w:t xml:space="preserve">  Duke’s Application directly contradicts this, stating that it is currently collecting compensation for the capacity service it provides CRES providers in accordance with RPM-</w:t>
      </w:r>
      <w:r w:rsidR="005F634D">
        <w:rPr>
          <w:rFonts w:cs="Arial"/>
        </w:rPr>
        <w:t>b</w:t>
      </w:r>
      <w:r>
        <w:rPr>
          <w:rFonts w:cs="Arial"/>
        </w:rPr>
        <w:t xml:space="preserve">ased </w:t>
      </w:r>
      <w:r w:rsidR="005F634D">
        <w:rPr>
          <w:rFonts w:cs="Arial"/>
        </w:rPr>
        <w:t>p</w:t>
      </w:r>
      <w:r>
        <w:rPr>
          <w:rFonts w:cs="Arial"/>
        </w:rPr>
        <w:t xml:space="preserve">ricing and has requested that the Commission increase that compensation by $776 million over the next </w:t>
      </w:r>
      <w:r w:rsidR="005F634D">
        <w:rPr>
          <w:rFonts w:cs="Arial"/>
        </w:rPr>
        <w:t>three (</w:t>
      </w:r>
      <w:r>
        <w:rPr>
          <w:rFonts w:cs="Arial"/>
        </w:rPr>
        <w:t>3</w:t>
      </w:r>
      <w:r w:rsidR="005F634D">
        <w:rPr>
          <w:rFonts w:cs="Arial"/>
        </w:rPr>
        <w:t>)</w:t>
      </w:r>
      <w:r>
        <w:rPr>
          <w:rFonts w:cs="Arial"/>
        </w:rPr>
        <w:t xml:space="preserve"> years.</w:t>
      </w:r>
      <w:r>
        <w:rPr>
          <w:rStyle w:val="FootnoteReference"/>
          <w:rFonts w:cs="Arial"/>
        </w:rPr>
        <w:footnoteReference w:id="16"/>
      </w:r>
      <w:r>
        <w:rPr>
          <w:rFonts w:cs="Arial"/>
        </w:rPr>
        <w:t xml:space="preserve">  Duke’s Application seeks more compensation than it is presently authorized to collect.  </w:t>
      </w:r>
      <w:r w:rsidR="007032B9">
        <w:rPr>
          <w:rFonts w:cs="Arial"/>
        </w:rPr>
        <w:t xml:space="preserve">Thus, </w:t>
      </w:r>
      <w:r>
        <w:rPr>
          <w:rFonts w:cs="Arial"/>
        </w:rPr>
        <w:t xml:space="preserve">Duke’s Application seeks an increase in </w:t>
      </w:r>
      <w:r w:rsidR="007032B9">
        <w:rPr>
          <w:rFonts w:cs="Arial"/>
        </w:rPr>
        <w:t>rates</w:t>
      </w:r>
      <w:r>
        <w:rPr>
          <w:rFonts w:cs="Arial"/>
        </w:rPr>
        <w:t xml:space="preserve">.  </w:t>
      </w:r>
    </w:p>
    <w:p w:rsidR="00D55FAC" w:rsidRDefault="004F691C">
      <w:pPr>
        <w:spacing w:line="480" w:lineRule="auto"/>
        <w:ind w:firstLine="720"/>
        <w:jc w:val="both"/>
      </w:pPr>
      <w:r>
        <w:rPr>
          <w:rFonts w:cs="Arial"/>
        </w:rPr>
        <w:t xml:space="preserve">Yet, </w:t>
      </w:r>
      <w:r w:rsidR="0074108B">
        <w:rPr>
          <w:rFonts w:cs="Arial"/>
        </w:rPr>
        <w:t xml:space="preserve">Duke’s Interlocutory Appeal </w:t>
      </w:r>
      <w:r>
        <w:rPr>
          <w:rFonts w:cs="Arial"/>
        </w:rPr>
        <w:t xml:space="preserve">asserts that the Application is not seeking an increase in rates to claim </w:t>
      </w:r>
      <w:r w:rsidR="0074108B">
        <w:rPr>
          <w:rFonts w:cs="Arial"/>
        </w:rPr>
        <w:t xml:space="preserve">that the Commission has deviated from past precedent by setting its Application for a hearing without first finding that the </w:t>
      </w:r>
      <w:r>
        <w:rPr>
          <w:rFonts w:cs="Arial"/>
        </w:rPr>
        <w:t>A</w:t>
      </w:r>
      <w:r w:rsidR="0074108B">
        <w:rPr>
          <w:rFonts w:cs="Arial"/>
        </w:rPr>
        <w:t>pplication appears to be unjust and unreasonable.</w:t>
      </w:r>
      <w:r w:rsidR="0074108B">
        <w:rPr>
          <w:rStyle w:val="FootnoteReference"/>
          <w:rFonts w:cs="Arial"/>
        </w:rPr>
        <w:footnoteReference w:id="17"/>
      </w:r>
      <w:r w:rsidR="0074108B">
        <w:rPr>
          <w:rFonts w:cs="Arial"/>
        </w:rPr>
        <w:t xml:space="preserve">  If Chapter 4909, Revised Code, is applicable at all (and Section 4928.05(A)(1), Revised Code</w:t>
      </w:r>
      <w:r w:rsidR="005F634D">
        <w:rPr>
          <w:rFonts w:cs="Arial"/>
        </w:rPr>
        <w:t>,</w:t>
      </w:r>
      <w:r w:rsidR="0074108B">
        <w:rPr>
          <w:rFonts w:cs="Arial"/>
        </w:rPr>
        <w:t xml:space="preserve"> specifically holds that it is not applicable) then the Commission would be required to fulfill extensive statutory requirements, including holding a hearing, before it could authorize an increase in rates.  Thus, Duke’s request for certification of its Interlocutory Appeal is meritless.</w:t>
      </w:r>
    </w:p>
    <w:p w:rsidR="00D55FAC" w:rsidRDefault="0074108B">
      <w:pPr>
        <w:spacing w:line="480" w:lineRule="auto"/>
        <w:ind w:firstLine="720"/>
        <w:jc w:val="both"/>
      </w:pPr>
      <w:r>
        <w:lastRenderedPageBreak/>
        <w:t xml:space="preserve">Additionally, Duke’s Application, Motion to Vacate, and Interlocutory Appeal ignore the commitments it recently made in resolving its </w:t>
      </w:r>
      <w:r>
        <w:rPr>
          <w:i/>
        </w:rPr>
        <w:t>ESP Proceeding</w:t>
      </w:r>
      <w:r>
        <w:t xml:space="preserve"> and </w:t>
      </w:r>
      <w:r>
        <w:rPr>
          <w:i/>
        </w:rPr>
        <w:t>RTO Migration Proceeding</w:t>
      </w:r>
      <w:r>
        <w:t>.  The Commission may promptly dispose of this Application by granting the Motion to Dismiss.  If the Commission withholds a decision on the Motion to Dismiss, the parties and Commission Staff (“Staff”) will be required to invest considerable time and resources to contest the unlawful and unreasonable claims contained in the Application.  Based on the recent experience in AEP-Ohio</w:t>
      </w:r>
      <w:r w:rsidR="006C0961">
        <w:t>’s</w:t>
      </w:r>
      <w:r>
        <w:t xml:space="preserve"> </w:t>
      </w:r>
      <w:r>
        <w:rPr>
          <w:i/>
        </w:rPr>
        <w:t>Capacity Case</w:t>
      </w:r>
      <w:r>
        <w:t>,</w:t>
      </w:r>
      <w:r>
        <w:rPr>
          <w:rStyle w:val="FootnoteReference"/>
        </w:rPr>
        <w:footnoteReference w:id="18"/>
      </w:r>
      <w:r>
        <w:t xml:space="preserve"> the resource commitment will be substantial.  </w:t>
      </w:r>
    </w:p>
    <w:p w:rsidR="00D55FAC" w:rsidRDefault="0074108B">
      <w:pPr>
        <w:spacing w:line="480" w:lineRule="auto"/>
        <w:ind w:firstLine="720"/>
        <w:jc w:val="both"/>
      </w:pPr>
      <w:r>
        <w:t xml:space="preserve">As the Commission is aware, the </w:t>
      </w:r>
      <w:r>
        <w:rPr>
          <w:i/>
        </w:rPr>
        <w:t xml:space="preserve">Capacity Case </w:t>
      </w:r>
      <w:r>
        <w:t>that Duke relies upon for its Application in these proceedings was and is a strongly contested proceeding.  AEP</w:t>
      </w:r>
      <w:r w:rsidR="005F634D">
        <w:noBreakHyphen/>
      </w:r>
      <w:r>
        <w:t xml:space="preserve">Ohio’s </w:t>
      </w:r>
      <w:r>
        <w:rPr>
          <w:i/>
        </w:rPr>
        <w:t>Capacity Case</w:t>
      </w:r>
      <w:r>
        <w:t xml:space="preserve"> has lasted almost two years and with layers of complexity associated with jurisdictional conflicts, discovery disputes, and two evidentiary hearings</w:t>
      </w:r>
      <w:r>
        <w:rPr>
          <w:rStyle w:val="FootnoteReference"/>
        </w:rPr>
        <w:footnoteReference w:id="19"/>
      </w:r>
      <w:r>
        <w:t xml:space="preserve"> over a month in length that addressed AEP-Ohio’s request to significantly increase its compensation for generation-related capacity service.  In fact, almost all of AEP-Ohio’s efforts to secure above-market compensation for generation-related service were challenged in one way or another:  from the legal basis that could support the requested above-market compensation to procedural and substantive issues that must be addressed when the Commission invents and </w:t>
      </w:r>
      <w:r w:rsidR="007032B9">
        <w:t xml:space="preserve">applies </w:t>
      </w:r>
      <w:r>
        <w:t xml:space="preserve">a cost-based method of ratemaking to authorize prices providing above-market compensation for such service.  </w:t>
      </w:r>
      <w:r>
        <w:lastRenderedPageBreak/>
        <w:t>And the contested proceedings involving AEP-Ohio’s compensation for generation-related capacity service are still before the Commission as a result of multiple applications for rehearing that have been granted.  Additionally, IEU-Ohio has filed a complaint seeking writs of prohibition and mandamus from the Ohio Supreme Court based on its view that the Commission’s decisions regarding AEP-Ohio’s compensation for generation capacity service exceed the Commission’s authority.  Since Duke’s Application seeks to harvest increased compensatio</w:t>
      </w:r>
      <w:r w:rsidR="006D58FF">
        <w:t>n based on the Commission’s AEP</w:t>
      </w:r>
      <w:r w:rsidR="006D58FF">
        <w:noBreakHyphen/>
      </w:r>
      <w:r>
        <w:t xml:space="preserve">Ohio related decisions, Duke’s Application will, if addressed on the merits, raise the issues that have been hotly contested in the AEP-Ohio proceedings.  All of the unnecessary cost and time associated with the litigation invited by Duke’s Application can be avoided if the Commission promptly (and properly) grants the Motion to Dismiss.  </w:t>
      </w:r>
    </w:p>
    <w:p w:rsidR="00D55FAC" w:rsidRDefault="0074108B">
      <w:pPr>
        <w:spacing w:line="480" w:lineRule="auto"/>
        <w:ind w:firstLine="720"/>
        <w:jc w:val="both"/>
      </w:pPr>
      <w:r>
        <w:t>In any case, no party or the Staff should be required to invest resources to address Duke’s unlawful and unreasonable Application until the Commission decides the Motion to Dismiss.</w:t>
      </w:r>
    </w:p>
    <w:p w:rsidR="00D55FAC" w:rsidRDefault="0074108B">
      <w:pPr>
        <w:spacing w:line="480" w:lineRule="auto"/>
        <w:ind w:firstLine="720"/>
        <w:jc w:val="both"/>
      </w:pPr>
      <w:r>
        <w:t xml:space="preserve">In sum, IEU-Ohio agrees that the procedural schedule announced on October 3, 2012 should be vacated as Duke has requested but for different reasons than Duke has advanced.  The current procedural schedule is unreasonable because it requires parties like IEU-Ohio to spend considerable time and resources on a process associated with Duke’s copycat Application in circumstances where Duke’s Application should be rejected on its face for the reasons contained in the Motion to Dismiss.  Any procedural schedule regarding Duke’s Application should be adopted </w:t>
      </w:r>
      <w:r w:rsidR="004F691C">
        <w:t xml:space="preserve">only </w:t>
      </w:r>
      <w:r>
        <w:t xml:space="preserve">after the Commission rules on the dispositive Motion to Dismiss.  To do otherwise would be fundamentally unfair.  </w:t>
      </w:r>
    </w:p>
    <w:p w:rsidR="00D55FAC" w:rsidRDefault="0074108B" w:rsidP="00E02B2C">
      <w:pPr>
        <w:pStyle w:val="Heading1"/>
        <w:spacing w:before="240"/>
      </w:pPr>
      <w:r>
        <w:lastRenderedPageBreak/>
        <w:t>Conclusion</w:t>
      </w:r>
    </w:p>
    <w:p w:rsidR="00D55FAC" w:rsidRDefault="0074108B" w:rsidP="00E02B2C">
      <w:pPr>
        <w:spacing w:line="480" w:lineRule="auto"/>
        <w:ind w:firstLine="720"/>
        <w:jc w:val="both"/>
      </w:pPr>
      <w:r>
        <w:t>For the foregoing reasons</w:t>
      </w:r>
      <w:r w:rsidR="005F634D">
        <w:t>,</w:t>
      </w:r>
      <w:r>
        <w:t xml:space="preserve"> the Commission should deny Duke’s Interlocutory Appeal and should </w:t>
      </w:r>
      <w:r w:rsidR="00A95DA5">
        <w:t xml:space="preserve">vacate the current </w:t>
      </w:r>
      <w:r w:rsidR="00E50C66">
        <w:t xml:space="preserve">procedural schedule.  A procedural schedule should be adopted (if one is necessary at all) </w:t>
      </w:r>
      <w:r w:rsidR="00A95DA5">
        <w:t xml:space="preserve">only </w:t>
      </w:r>
      <w:r w:rsidR="00E50C66">
        <w:t>after the Commission</w:t>
      </w:r>
      <w:r w:rsidR="00D606D7">
        <w:t xml:space="preserve"> rules on the Motion to Dismiss.</w:t>
      </w:r>
    </w:p>
    <w:p w:rsidR="00D55FAC" w:rsidRDefault="00D55FAC">
      <w:pPr>
        <w:ind w:firstLine="720"/>
        <w:jc w:val="both"/>
      </w:pPr>
    </w:p>
    <w:p w:rsidR="00D55FAC" w:rsidRDefault="0074108B">
      <w:pPr>
        <w:tabs>
          <w:tab w:val="left" w:pos="4320"/>
          <w:tab w:val="right" w:pos="8640"/>
        </w:tabs>
        <w:spacing w:line="480" w:lineRule="auto"/>
        <w:jc w:val="both"/>
        <w:rPr>
          <w:rFonts w:cs="Arial"/>
        </w:rPr>
      </w:pPr>
      <w:r>
        <w:tab/>
      </w:r>
      <w:r>
        <w:rPr>
          <w:rFonts w:cs="Arial"/>
        </w:rPr>
        <w:t>Respectfully submitted,</w:t>
      </w:r>
    </w:p>
    <w:p w:rsidR="00D55FAC" w:rsidRDefault="00D55FAC">
      <w:pPr>
        <w:tabs>
          <w:tab w:val="left" w:pos="4320"/>
          <w:tab w:val="right" w:pos="8640"/>
        </w:tabs>
        <w:jc w:val="both"/>
        <w:rPr>
          <w:rFonts w:cs="Arial"/>
        </w:rPr>
      </w:pPr>
    </w:p>
    <w:p w:rsidR="00E02B2C" w:rsidRDefault="00E02B2C">
      <w:pPr>
        <w:tabs>
          <w:tab w:val="left" w:pos="4320"/>
          <w:tab w:val="right" w:pos="8640"/>
        </w:tabs>
        <w:jc w:val="both"/>
        <w:rPr>
          <w:rFonts w:cs="Arial"/>
        </w:rPr>
      </w:pPr>
    </w:p>
    <w:p w:rsidR="00D55FAC" w:rsidRDefault="0074108B">
      <w:pPr>
        <w:tabs>
          <w:tab w:val="left" w:pos="4320"/>
          <w:tab w:val="right" w:pos="8640"/>
        </w:tabs>
        <w:jc w:val="both"/>
        <w:rPr>
          <w:rFonts w:cs="Arial"/>
          <w:u w:val="single"/>
        </w:rPr>
      </w:pPr>
      <w:r>
        <w:rPr>
          <w:rFonts w:cs="Arial"/>
        </w:rPr>
        <w:tab/>
      </w:r>
      <w:r w:rsidR="00D954D4" w:rsidRPr="00D954D4">
        <w:rPr>
          <w:rFonts w:cs="Arial"/>
          <w:u w:val="single"/>
        </w:rPr>
        <w:t xml:space="preserve">    </w:t>
      </w:r>
      <w:r w:rsidR="00D954D4" w:rsidRPr="00E02B2C">
        <w:rPr>
          <w:smallCaps/>
          <w:u w:val="single"/>
        </w:rPr>
        <w:t xml:space="preserve">/s/ </w:t>
      </w:r>
      <w:r w:rsidR="00D954D4">
        <w:rPr>
          <w:u w:val="single"/>
        </w:rPr>
        <w:t>Matthew R. Pritchard</w:t>
      </w:r>
      <w:r w:rsidR="00D954D4">
        <w:rPr>
          <w:u w:val="single"/>
        </w:rPr>
        <w:tab/>
      </w:r>
      <w:r w:rsidR="00A95DA5">
        <w:rPr>
          <w:u w:val="single"/>
        </w:rPr>
        <w:tab/>
      </w:r>
    </w:p>
    <w:p w:rsidR="00D55FAC" w:rsidRDefault="0074108B">
      <w:pPr>
        <w:tabs>
          <w:tab w:val="left" w:pos="4320"/>
          <w:tab w:val="right" w:pos="8640"/>
        </w:tabs>
        <w:ind w:left="4320"/>
        <w:jc w:val="both"/>
        <w:rPr>
          <w:rFonts w:cs="Arial"/>
        </w:rPr>
      </w:pPr>
      <w:r>
        <w:rPr>
          <w:rFonts w:cs="Arial"/>
        </w:rPr>
        <w:tab/>
        <w:t>Samuel C. Randazzo (Counsel of Record)</w:t>
      </w:r>
    </w:p>
    <w:p w:rsidR="00D55FAC" w:rsidRDefault="0074108B">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D55FAC" w:rsidRDefault="0074108B">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D55FAC" w:rsidRDefault="0074108B">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D55FAC" w:rsidRDefault="0074108B">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D55FAC" w:rsidRDefault="0074108B">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D55FAC" w:rsidRDefault="0074108B">
      <w:pPr>
        <w:pStyle w:val="BodyText"/>
        <w:tabs>
          <w:tab w:val="left" w:pos="4320"/>
        </w:tabs>
        <w:ind w:left="4320"/>
      </w:pPr>
      <w:r>
        <w:t>Columbus, OH  43215</w:t>
      </w:r>
    </w:p>
    <w:p w:rsidR="00D55FAC" w:rsidRDefault="0074108B">
      <w:pPr>
        <w:pStyle w:val="BodyText"/>
        <w:tabs>
          <w:tab w:val="left" w:pos="4320"/>
        </w:tabs>
        <w:ind w:left="4320"/>
      </w:pPr>
      <w:r>
        <w:t>Telephone:  (614) 469-8000</w:t>
      </w:r>
    </w:p>
    <w:p w:rsidR="00D55FAC" w:rsidRDefault="0074108B">
      <w:pPr>
        <w:pStyle w:val="BodyText"/>
        <w:tabs>
          <w:tab w:val="left" w:pos="4320"/>
        </w:tabs>
        <w:ind w:left="4320"/>
      </w:pPr>
      <w:r>
        <w:t>Telecopier:  (614) 469-4653</w:t>
      </w:r>
    </w:p>
    <w:p w:rsidR="00D55FAC" w:rsidRDefault="0074108B">
      <w:pPr>
        <w:pStyle w:val="BodyText"/>
        <w:ind w:left="4320"/>
      </w:pPr>
      <w:r>
        <w:t>sam@mwncmh.com</w:t>
      </w:r>
    </w:p>
    <w:p w:rsidR="00D55FAC" w:rsidRDefault="0074108B">
      <w:pPr>
        <w:pStyle w:val="BodyText"/>
        <w:ind w:left="4320"/>
      </w:pPr>
      <w:r>
        <w:t>fdarr@mwncmh.com</w:t>
      </w:r>
    </w:p>
    <w:p w:rsidR="00D55FAC" w:rsidRDefault="0074108B">
      <w:pPr>
        <w:pStyle w:val="BodyText"/>
        <w:ind w:left="4320"/>
      </w:pPr>
      <w:r>
        <w:t>joliker@mwncmh.com</w:t>
      </w:r>
    </w:p>
    <w:p w:rsidR="00D55FAC" w:rsidRDefault="0074108B">
      <w:pPr>
        <w:pStyle w:val="BodyText"/>
        <w:ind w:left="4320"/>
      </w:pPr>
      <w:r>
        <w:t>mpritchard@mwncmh.com</w:t>
      </w:r>
    </w:p>
    <w:p w:rsidR="00D55FAC" w:rsidRDefault="00D55FAC">
      <w:pPr>
        <w:pStyle w:val="BodyText"/>
      </w:pPr>
    </w:p>
    <w:p w:rsidR="00D55FAC" w:rsidRDefault="0074108B">
      <w:pPr>
        <w:pStyle w:val="Title"/>
        <w:jc w:val="left"/>
        <w:rPr>
          <w:b/>
          <w:bCs/>
        </w:rPr>
      </w:pPr>
      <w:r>
        <w:rPr>
          <w:sz w:val="24"/>
        </w:rPr>
        <w:tab/>
      </w:r>
      <w:r>
        <w:rPr>
          <w:sz w:val="24"/>
        </w:rPr>
        <w:tab/>
      </w:r>
      <w:r>
        <w:rPr>
          <w:sz w:val="24"/>
        </w:rPr>
        <w:tab/>
      </w:r>
      <w:r>
        <w:rPr>
          <w:sz w:val="24"/>
        </w:rPr>
        <w:tab/>
      </w:r>
      <w:r>
        <w:rPr>
          <w:sz w:val="24"/>
        </w:rPr>
        <w:tab/>
      </w:r>
      <w:r>
        <w:rPr>
          <w:sz w:val="24"/>
        </w:rPr>
        <w:tab/>
      </w:r>
      <w:r>
        <w:rPr>
          <w:b/>
          <w:sz w:val="24"/>
        </w:rPr>
        <w:t>Attorneys for Industrial Energy Users-Ohio</w:t>
      </w:r>
    </w:p>
    <w:p w:rsidR="00D55FAC" w:rsidRDefault="0074108B">
      <w:pPr>
        <w:pStyle w:val="Title"/>
        <w:sectPr w:rsidR="00D55FAC" w:rsidSect="00E02B2C">
          <w:headerReference w:type="even" r:id="rId15"/>
          <w:headerReference w:type="default" r:id="rId16"/>
          <w:footerReference w:type="even" r:id="rId17"/>
          <w:footerReference w:type="default" r:id="rId18"/>
          <w:headerReference w:type="first" r:id="rId19"/>
          <w:footerReference w:type="first" r:id="rId20"/>
          <w:pgSz w:w="12240" w:h="15840" w:code="1"/>
          <w:pgMar w:top="1584" w:right="1440" w:bottom="1584" w:left="1440" w:header="720" w:footer="720" w:gutter="0"/>
          <w:pgNumType w:start="1"/>
          <w:cols w:space="720"/>
          <w:titlePg/>
          <w:docGrid w:linePitch="326"/>
        </w:sectPr>
      </w:pPr>
      <w:r>
        <w:br w:type="page"/>
      </w:r>
    </w:p>
    <w:p w:rsidR="00D55FAC" w:rsidRPr="00E02B2C" w:rsidRDefault="00E02B2C">
      <w:pPr>
        <w:tabs>
          <w:tab w:val="left" w:pos="2160"/>
          <w:tab w:val="left" w:pos="2280"/>
        </w:tabs>
        <w:jc w:val="center"/>
        <w:rPr>
          <w:rFonts w:ascii="Arial Bold" w:eastAsiaTheme="minorHAnsi" w:hAnsi="Arial Bold" w:cs="Arial"/>
          <w:b/>
          <w:smallCaps/>
          <w:sz w:val="28"/>
          <w:szCs w:val="28"/>
        </w:rPr>
      </w:pPr>
      <w:r w:rsidRPr="00E02B2C">
        <w:rPr>
          <w:rFonts w:ascii="Arial Bold" w:eastAsiaTheme="minorHAnsi" w:hAnsi="Arial Bold" w:cs="Arial"/>
          <w:b/>
          <w:smallCaps/>
          <w:sz w:val="28"/>
          <w:szCs w:val="28"/>
        </w:rPr>
        <w:lastRenderedPageBreak/>
        <w:t>Certificate Of Service</w:t>
      </w:r>
    </w:p>
    <w:p w:rsidR="00D55FAC" w:rsidRDefault="00D55FAC">
      <w:pPr>
        <w:rPr>
          <w:rFonts w:eastAsiaTheme="minorHAnsi" w:cs="Arial"/>
          <w:sz w:val="20"/>
        </w:rPr>
      </w:pPr>
    </w:p>
    <w:p w:rsidR="00D55FAC" w:rsidRDefault="0074108B">
      <w:pPr>
        <w:keepNext/>
        <w:spacing w:line="480" w:lineRule="auto"/>
        <w:ind w:firstLine="720"/>
        <w:jc w:val="both"/>
        <w:outlineLvl w:val="3"/>
        <w:rPr>
          <w:rFonts w:eastAsiaTheme="minorHAnsi" w:cs="Arial"/>
        </w:rPr>
      </w:pPr>
      <w:r>
        <w:rPr>
          <w:rFonts w:eastAsiaTheme="minorHAnsi" w:cs="Arial"/>
        </w:rPr>
        <w:t xml:space="preserve">I hereby certify that a copy of the foregoing </w:t>
      </w:r>
      <w:r>
        <w:rPr>
          <w:rFonts w:eastAsiaTheme="minorHAnsi" w:cs="Arial"/>
          <w:i/>
        </w:rPr>
        <w:t>Industrial Energy Users-Ohio’s Memorandum Contra Duke Energy Ohio, Inc.’s Motion to Vacate and Interlocutory Appeal</w:t>
      </w:r>
      <w:r>
        <w:rPr>
          <w:rFonts w:eastAsiaTheme="minorHAnsi" w:cs="Arial"/>
        </w:rPr>
        <w:t>, was served upon the following parties of record this 15</w:t>
      </w:r>
      <w:r>
        <w:rPr>
          <w:rFonts w:eastAsiaTheme="minorHAnsi" w:cs="Arial"/>
          <w:vertAlign w:val="superscript"/>
        </w:rPr>
        <w:t>th</w:t>
      </w:r>
      <w:r>
        <w:rPr>
          <w:rFonts w:eastAsiaTheme="minorHAnsi" w:cs="Arial"/>
        </w:rPr>
        <w:t xml:space="preserve"> day of October 2012, </w:t>
      </w:r>
      <w:r>
        <w:rPr>
          <w:rFonts w:eastAsiaTheme="minorHAnsi" w:cs="Arial"/>
          <w:i/>
        </w:rPr>
        <w:t>via</w:t>
      </w:r>
      <w:r>
        <w:rPr>
          <w:rFonts w:eastAsiaTheme="minorHAnsi" w:cs="Arial"/>
        </w:rPr>
        <w:t xml:space="preserve"> hand-delivery, electronic transmission, or first class mail, U.S. postage prepaid.</w:t>
      </w:r>
    </w:p>
    <w:p w:rsidR="00E02B2C" w:rsidRPr="00E02B2C" w:rsidRDefault="00E02B2C" w:rsidP="00E02B2C">
      <w:pPr>
        <w:pStyle w:val="BodyText"/>
      </w:pPr>
    </w:p>
    <w:p w:rsidR="00E02B2C" w:rsidRPr="00E02B2C" w:rsidRDefault="00E02B2C" w:rsidP="00E02B2C">
      <w:pPr>
        <w:pStyle w:val="Title"/>
        <w:tabs>
          <w:tab w:val="center" w:pos="7200"/>
          <w:tab w:val="right" w:pos="9270"/>
        </w:tabs>
        <w:spacing w:after="0"/>
        <w:ind w:left="5040"/>
        <w:jc w:val="left"/>
        <w:rPr>
          <w:smallCaps/>
          <w:sz w:val="24"/>
          <w:u w:val="single"/>
        </w:rPr>
      </w:pPr>
      <w:r w:rsidRPr="00E02B2C">
        <w:rPr>
          <w:smallCaps/>
          <w:sz w:val="24"/>
          <w:u w:val="single"/>
        </w:rPr>
        <w:t xml:space="preserve"> </w:t>
      </w:r>
      <w:r w:rsidRPr="00E02B2C">
        <w:rPr>
          <w:smallCaps/>
          <w:sz w:val="24"/>
          <w:u w:val="single"/>
        </w:rPr>
        <w:tab/>
        <w:t xml:space="preserve">/s/ </w:t>
      </w:r>
      <w:r w:rsidR="00D954D4">
        <w:rPr>
          <w:sz w:val="24"/>
          <w:u w:val="single"/>
        </w:rPr>
        <w:t>Matthew R. Pritchard</w:t>
      </w:r>
      <w:r w:rsidRPr="00E02B2C">
        <w:rPr>
          <w:smallCaps/>
          <w:sz w:val="24"/>
          <w:u w:val="single"/>
        </w:rPr>
        <w:tab/>
      </w:r>
      <w:r w:rsidRPr="00E02B2C">
        <w:rPr>
          <w:smallCaps/>
          <w:sz w:val="24"/>
          <w:u w:val="single"/>
        </w:rPr>
        <w:tab/>
      </w:r>
    </w:p>
    <w:p w:rsidR="00E02B2C" w:rsidRDefault="00E02B2C" w:rsidP="00E02B2C">
      <w:pPr>
        <w:pStyle w:val="BodyText2"/>
        <w:tabs>
          <w:tab w:val="center" w:pos="7200"/>
        </w:tabs>
        <w:spacing w:after="0" w:line="240" w:lineRule="auto"/>
        <w:rPr>
          <w:rFonts w:cs="Arial"/>
          <w:bCs/>
          <w:smallCaps/>
        </w:rPr>
      </w:pPr>
      <w:r w:rsidRPr="00E02B2C">
        <w:rPr>
          <w:rFonts w:cs="Arial"/>
          <w:bCs/>
          <w:smallCaps/>
        </w:rPr>
        <w:tab/>
      </w:r>
      <w:r w:rsidR="00D954D4">
        <w:rPr>
          <w:rFonts w:cs="Arial"/>
          <w:bCs/>
          <w:smallCaps/>
        </w:rPr>
        <w:t>Matthew R. Pritchard</w:t>
      </w:r>
    </w:p>
    <w:p w:rsidR="00F116AB" w:rsidRPr="00E02B2C" w:rsidRDefault="00F116AB" w:rsidP="00E02B2C">
      <w:pPr>
        <w:pStyle w:val="BodyText2"/>
        <w:tabs>
          <w:tab w:val="center" w:pos="7200"/>
        </w:tabs>
        <w:spacing w:after="0" w:line="240" w:lineRule="auto"/>
        <w:rPr>
          <w:rFonts w:cs="Arial"/>
          <w:bCs/>
          <w:smallCaps/>
        </w:rPr>
      </w:pPr>
    </w:p>
    <w:p w:rsidR="00E02B2C" w:rsidRDefault="00E02B2C" w:rsidP="00E02B2C">
      <w:pPr>
        <w:tabs>
          <w:tab w:val="left" w:pos="2160"/>
          <w:tab w:val="left" w:pos="2280"/>
        </w:tabs>
        <w:rPr>
          <w:rFonts w:cs="Arial"/>
          <w:sz w:val="20"/>
        </w:rPr>
        <w:sectPr w:rsidR="00E02B2C" w:rsidSect="00E02B2C">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rsidR="00E02B2C" w:rsidRPr="00E02B2C" w:rsidRDefault="00E02B2C" w:rsidP="00E02B2C">
      <w:pPr>
        <w:tabs>
          <w:tab w:val="left" w:pos="2160"/>
          <w:tab w:val="left" w:pos="2280"/>
        </w:tabs>
        <w:rPr>
          <w:rFonts w:cs="Arial"/>
          <w:sz w:val="20"/>
        </w:rPr>
      </w:pPr>
      <w:r w:rsidRPr="00E02B2C">
        <w:rPr>
          <w:rFonts w:cs="Arial"/>
          <w:sz w:val="20"/>
        </w:rPr>
        <w:lastRenderedPageBreak/>
        <w:t>Amy B. Spiller</w:t>
      </w:r>
    </w:p>
    <w:p w:rsidR="00E02B2C" w:rsidRPr="00E02B2C" w:rsidRDefault="00E02B2C" w:rsidP="00E02B2C">
      <w:pPr>
        <w:tabs>
          <w:tab w:val="left" w:pos="2160"/>
          <w:tab w:val="left" w:pos="2280"/>
        </w:tabs>
        <w:rPr>
          <w:rFonts w:cs="Arial"/>
          <w:sz w:val="20"/>
        </w:rPr>
      </w:pPr>
      <w:r w:rsidRPr="00E02B2C">
        <w:rPr>
          <w:rFonts w:cs="Arial"/>
          <w:sz w:val="20"/>
        </w:rPr>
        <w:t>Rocco D’Ascenzo</w:t>
      </w:r>
    </w:p>
    <w:p w:rsidR="00E02B2C" w:rsidRPr="00E02B2C" w:rsidRDefault="00E02B2C" w:rsidP="00E02B2C">
      <w:pPr>
        <w:tabs>
          <w:tab w:val="left" w:pos="2160"/>
          <w:tab w:val="left" w:pos="2280"/>
        </w:tabs>
        <w:rPr>
          <w:rFonts w:cs="Arial"/>
          <w:sz w:val="20"/>
        </w:rPr>
      </w:pPr>
      <w:r w:rsidRPr="00E02B2C">
        <w:rPr>
          <w:rFonts w:cs="Arial"/>
          <w:sz w:val="20"/>
        </w:rPr>
        <w:t>Jeanne Kingery</w:t>
      </w:r>
    </w:p>
    <w:p w:rsidR="00E02B2C" w:rsidRPr="00E02B2C" w:rsidRDefault="00E02B2C" w:rsidP="00E02B2C">
      <w:pPr>
        <w:tabs>
          <w:tab w:val="left" w:pos="2160"/>
          <w:tab w:val="left" w:pos="2280"/>
        </w:tabs>
        <w:rPr>
          <w:rFonts w:cs="Arial"/>
          <w:sz w:val="20"/>
        </w:rPr>
      </w:pPr>
      <w:r w:rsidRPr="00E02B2C">
        <w:rPr>
          <w:rFonts w:cs="Arial"/>
          <w:sz w:val="20"/>
        </w:rPr>
        <w:t>Elizabeth Watts</w:t>
      </w:r>
    </w:p>
    <w:p w:rsidR="00E02B2C" w:rsidRPr="00E02B2C" w:rsidRDefault="00E02B2C" w:rsidP="00E02B2C">
      <w:pPr>
        <w:tabs>
          <w:tab w:val="left" w:pos="2160"/>
          <w:tab w:val="left" w:pos="2280"/>
        </w:tabs>
        <w:rPr>
          <w:rFonts w:cs="Arial"/>
          <w:sz w:val="20"/>
        </w:rPr>
      </w:pPr>
      <w:r w:rsidRPr="00E02B2C">
        <w:rPr>
          <w:rFonts w:cs="Arial"/>
          <w:sz w:val="20"/>
        </w:rPr>
        <w:t>Duke Energy Business Services LLC</w:t>
      </w:r>
    </w:p>
    <w:p w:rsidR="00E02B2C" w:rsidRPr="00E02B2C" w:rsidRDefault="00E02B2C" w:rsidP="00E02B2C">
      <w:pPr>
        <w:tabs>
          <w:tab w:val="left" w:pos="2160"/>
          <w:tab w:val="left" w:pos="2280"/>
        </w:tabs>
        <w:rPr>
          <w:rFonts w:cs="Arial"/>
          <w:sz w:val="20"/>
        </w:rPr>
      </w:pPr>
      <w:r w:rsidRPr="00E02B2C">
        <w:rPr>
          <w:rFonts w:cs="Arial"/>
          <w:sz w:val="20"/>
        </w:rPr>
        <w:t>139 East Fourth Street</w:t>
      </w:r>
    </w:p>
    <w:p w:rsidR="00E02B2C" w:rsidRPr="00E02B2C" w:rsidRDefault="00E02B2C" w:rsidP="00E02B2C">
      <w:pPr>
        <w:tabs>
          <w:tab w:val="left" w:pos="2160"/>
          <w:tab w:val="left" w:pos="2280"/>
        </w:tabs>
        <w:rPr>
          <w:rFonts w:cs="Arial"/>
          <w:sz w:val="20"/>
        </w:rPr>
      </w:pPr>
      <w:r w:rsidRPr="00E02B2C">
        <w:rPr>
          <w:rFonts w:cs="Arial"/>
          <w:sz w:val="20"/>
        </w:rPr>
        <w:t>1303 Main</w:t>
      </w:r>
    </w:p>
    <w:p w:rsidR="00E02B2C" w:rsidRPr="00E02B2C" w:rsidRDefault="00E02B2C" w:rsidP="00E02B2C">
      <w:pPr>
        <w:tabs>
          <w:tab w:val="left" w:pos="2160"/>
          <w:tab w:val="left" w:pos="2280"/>
        </w:tabs>
        <w:rPr>
          <w:rFonts w:cs="Arial"/>
          <w:sz w:val="20"/>
        </w:rPr>
      </w:pPr>
      <w:r w:rsidRPr="00E02B2C">
        <w:rPr>
          <w:rFonts w:cs="Arial"/>
          <w:sz w:val="20"/>
        </w:rPr>
        <w:t>Cincinnati, Ohio  45202</w:t>
      </w:r>
    </w:p>
    <w:p w:rsidR="00E02B2C" w:rsidRPr="00E02B2C" w:rsidRDefault="00E02B2C" w:rsidP="00E02B2C">
      <w:pPr>
        <w:tabs>
          <w:tab w:val="left" w:pos="2160"/>
          <w:tab w:val="left" w:pos="2280"/>
        </w:tabs>
        <w:rPr>
          <w:rFonts w:cs="Arial"/>
          <w:sz w:val="20"/>
        </w:rPr>
      </w:pPr>
      <w:r w:rsidRPr="00E02B2C">
        <w:rPr>
          <w:rFonts w:cs="Arial"/>
          <w:sz w:val="20"/>
        </w:rPr>
        <w:t>amy.spiller@duke-energy.com</w:t>
      </w:r>
    </w:p>
    <w:p w:rsidR="00E02B2C" w:rsidRPr="00E02B2C" w:rsidRDefault="00E02B2C" w:rsidP="00E02B2C">
      <w:pPr>
        <w:tabs>
          <w:tab w:val="left" w:pos="2160"/>
          <w:tab w:val="left" w:pos="2280"/>
        </w:tabs>
        <w:rPr>
          <w:rFonts w:cs="Arial"/>
          <w:sz w:val="20"/>
        </w:rPr>
      </w:pPr>
      <w:r w:rsidRPr="00E02B2C">
        <w:rPr>
          <w:rFonts w:cs="Arial"/>
          <w:sz w:val="20"/>
        </w:rPr>
        <w:t>rocco.dascenzo@duke-energy.com</w:t>
      </w:r>
    </w:p>
    <w:p w:rsidR="00E02B2C" w:rsidRPr="00E02B2C" w:rsidRDefault="00E02B2C" w:rsidP="00E02B2C">
      <w:pPr>
        <w:tabs>
          <w:tab w:val="left" w:pos="2160"/>
          <w:tab w:val="left" w:pos="2280"/>
        </w:tabs>
        <w:rPr>
          <w:rFonts w:cs="Arial"/>
          <w:sz w:val="20"/>
        </w:rPr>
      </w:pPr>
      <w:r w:rsidRPr="00E02B2C">
        <w:rPr>
          <w:rFonts w:cs="Arial"/>
          <w:sz w:val="20"/>
        </w:rPr>
        <w:t>jeanne.kingery@duke-energy.com</w:t>
      </w:r>
    </w:p>
    <w:p w:rsidR="00E02B2C" w:rsidRPr="00E02B2C" w:rsidRDefault="00E02B2C" w:rsidP="00E02B2C">
      <w:pPr>
        <w:tabs>
          <w:tab w:val="left" w:pos="2160"/>
          <w:tab w:val="left" w:pos="2280"/>
        </w:tabs>
        <w:rPr>
          <w:rFonts w:cs="Arial"/>
          <w:sz w:val="20"/>
        </w:rPr>
      </w:pPr>
      <w:r w:rsidRPr="00E02B2C">
        <w:rPr>
          <w:rFonts w:cs="Arial"/>
          <w:sz w:val="20"/>
        </w:rPr>
        <w:t>elizabeth.watts@duke-energy.com</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b/>
          <w:sz w:val="20"/>
        </w:rPr>
      </w:pPr>
      <w:r w:rsidRPr="00E02B2C">
        <w:rPr>
          <w:rFonts w:cs="Arial"/>
          <w:b/>
          <w:sz w:val="20"/>
        </w:rPr>
        <w:t>On Behalf of Duke Energy Ohio, Inc.</w:t>
      </w:r>
    </w:p>
    <w:p w:rsidR="00E02B2C" w:rsidRPr="00E02B2C" w:rsidRDefault="00E02B2C" w:rsidP="00E02B2C">
      <w:pPr>
        <w:tabs>
          <w:tab w:val="left" w:pos="2160"/>
          <w:tab w:val="left" w:pos="2280"/>
        </w:tabs>
        <w:rPr>
          <w:rFonts w:cs="Arial"/>
          <w:b/>
          <w:sz w:val="20"/>
        </w:rPr>
      </w:pPr>
    </w:p>
    <w:p w:rsidR="00E02B2C" w:rsidRPr="00E02B2C" w:rsidRDefault="00E02B2C" w:rsidP="00E02B2C">
      <w:pPr>
        <w:tabs>
          <w:tab w:val="left" w:pos="2160"/>
          <w:tab w:val="left" w:pos="2280"/>
        </w:tabs>
        <w:rPr>
          <w:rFonts w:cs="Arial"/>
          <w:sz w:val="20"/>
        </w:rPr>
      </w:pPr>
      <w:r w:rsidRPr="00E02B2C">
        <w:rPr>
          <w:rFonts w:cs="Arial"/>
          <w:sz w:val="20"/>
        </w:rPr>
        <w:t>Bruce J. Weston</w:t>
      </w:r>
    </w:p>
    <w:p w:rsidR="00E02B2C" w:rsidRPr="00E02B2C" w:rsidRDefault="00E02B2C" w:rsidP="00E02B2C">
      <w:pPr>
        <w:tabs>
          <w:tab w:val="left" w:pos="2160"/>
          <w:tab w:val="left" w:pos="2280"/>
        </w:tabs>
        <w:rPr>
          <w:rFonts w:cs="Arial"/>
          <w:sz w:val="20"/>
        </w:rPr>
      </w:pPr>
      <w:r w:rsidRPr="00E02B2C">
        <w:rPr>
          <w:rFonts w:cs="Arial"/>
          <w:sz w:val="20"/>
        </w:rPr>
        <w:t>Consumers’ Counsel</w:t>
      </w:r>
    </w:p>
    <w:p w:rsidR="00E02B2C" w:rsidRPr="00E02B2C" w:rsidRDefault="00E02B2C" w:rsidP="00E02B2C">
      <w:pPr>
        <w:tabs>
          <w:tab w:val="left" w:pos="2160"/>
          <w:tab w:val="left" w:pos="2280"/>
        </w:tabs>
        <w:rPr>
          <w:rFonts w:cs="Arial"/>
          <w:sz w:val="20"/>
        </w:rPr>
      </w:pPr>
      <w:r w:rsidRPr="00E02B2C">
        <w:rPr>
          <w:rFonts w:cs="Arial"/>
          <w:sz w:val="20"/>
        </w:rPr>
        <w:t>Maureen R. Grady (Counsel of Record)</w:t>
      </w:r>
    </w:p>
    <w:p w:rsidR="00E02B2C" w:rsidRPr="00E02B2C" w:rsidRDefault="00E02B2C" w:rsidP="00E02B2C">
      <w:pPr>
        <w:tabs>
          <w:tab w:val="left" w:pos="2160"/>
          <w:tab w:val="left" w:pos="2280"/>
        </w:tabs>
        <w:rPr>
          <w:rFonts w:cs="Arial"/>
          <w:sz w:val="20"/>
        </w:rPr>
      </w:pPr>
      <w:r w:rsidRPr="00E02B2C">
        <w:rPr>
          <w:rFonts w:cs="Arial"/>
          <w:sz w:val="20"/>
        </w:rPr>
        <w:t>Kyle L. Kern</w:t>
      </w:r>
    </w:p>
    <w:p w:rsidR="00E02B2C" w:rsidRPr="00E02B2C" w:rsidRDefault="00E02B2C" w:rsidP="00E02B2C">
      <w:pPr>
        <w:tabs>
          <w:tab w:val="left" w:pos="2160"/>
          <w:tab w:val="left" w:pos="2280"/>
        </w:tabs>
        <w:rPr>
          <w:rFonts w:cs="Arial"/>
          <w:sz w:val="20"/>
        </w:rPr>
      </w:pPr>
      <w:r w:rsidRPr="00E02B2C">
        <w:rPr>
          <w:rFonts w:cs="Arial"/>
          <w:sz w:val="20"/>
        </w:rPr>
        <w:t>Office of the Ohio Consumers’ Counsel</w:t>
      </w:r>
    </w:p>
    <w:p w:rsidR="00E02B2C" w:rsidRPr="00E02B2C" w:rsidRDefault="00E02B2C" w:rsidP="00E02B2C">
      <w:pPr>
        <w:tabs>
          <w:tab w:val="left" w:pos="2160"/>
          <w:tab w:val="left" w:pos="2280"/>
        </w:tabs>
        <w:rPr>
          <w:rFonts w:cs="Arial"/>
          <w:sz w:val="20"/>
        </w:rPr>
      </w:pPr>
      <w:r w:rsidRPr="00E02B2C">
        <w:rPr>
          <w:rFonts w:cs="Arial"/>
          <w:sz w:val="20"/>
        </w:rPr>
        <w:t>10 West Broad Street, Suite 1800</w:t>
      </w:r>
    </w:p>
    <w:p w:rsidR="00E02B2C" w:rsidRPr="00E02B2C" w:rsidRDefault="00E02B2C" w:rsidP="00E02B2C">
      <w:pPr>
        <w:tabs>
          <w:tab w:val="left" w:pos="2160"/>
          <w:tab w:val="left" w:pos="2280"/>
        </w:tabs>
        <w:rPr>
          <w:rFonts w:cs="Arial"/>
          <w:sz w:val="20"/>
        </w:rPr>
      </w:pPr>
      <w:r w:rsidRPr="00E02B2C">
        <w:rPr>
          <w:rFonts w:cs="Arial"/>
          <w:sz w:val="20"/>
        </w:rPr>
        <w:t>Columbus, Ohio  43215</w:t>
      </w:r>
    </w:p>
    <w:p w:rsidR="00E02B2C" w:rsidRPr="00E02B2C" w:rsidRDefault="00E02B2C" w:rsidP="00E02B2C">
      <w:pPr>
        <w:tabs>
          <w:tab w:val="left" w:pos="2160"/>
          <w:tab w:val="left" w:pos="2280"/>
        </w:tabs>
        <w:rPr>
          <w:rFonts w:cs="Arial"/>
          <w:sz w:val="20"/>
        </w:rPr>
      </w:pPr>
      <w:r w:rsidRPr="00E02B2C">
        <w:rPr>
          <w:rFonts w:cs="Arial"/>
          <w:sz w:val="20"/>
        </w:rPr>
        <w:t>grady@occ.state.oh.us</w:t>
      </w:r>
    </w:p>
    <w:p w:rsidR="00E02B2C" w:rsidRPr="00E02B2C" w:rsidRDefault="00E02B2C" w:rsidP="00E02B2C">
      <w:pPr>
        <w:tabs>
          <w:tab w:val="left" w:pos="2160"/>
          <w:tab w:val="left" w:pos="2280"/>
        </w:tabs>
        <w:rPr>
          <w:rFonts w:cs="Arial"/>
          <w:sz w:val="20"/>
        </w:rPr>
      </w:pPr>
      <w:r w:rsidRPr="00E02B2C">
        <w:rPr>
          <w:rFonts w:cs="Arial"/>
          <w:sz w:val="20"/>
        </w:rPr>
        <w:t>kern@occ.state.oh.us</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b/>
          <w:sz w:val="20"/>
        </w:rPr>
      </w:pPr>
      <w:r w:rsidRPr="00E02B2C">
        <w:rPr>
          <w:rFonts w:cs="Arial"/>
          <w:b/>
          <w:sz w:val="20"/>
        </w:rPr>
        <w:t>On Behalf of the Office of the Ohio Consumers’ Counsel</w:t>
      </w:r>
    </w:p>
    <w:p w:rsidR="00E02B2C" w:rsidRPr="00E02B2C" w:rsidRDefault="00E02B2C" w:rsidP="00E02B2C">
      <w:pPr>
        <w:tabs>
          <w:tab w:val="left" w:pos="2160"/>
          <w:tab w:val="left" w:pos="2280"/>
        </w:tabs>
        <w:rPr>
          <w:rFonts w:cs="Arial"/>
          <w:b/>
          <w:sz w:val="20"/>
        </w:rPr>
      </w:pPr>
    </w:p>
    <w:p w:rsidR="00E02B2C" w:rsidRPr="00E02B2C" w:rsidRDefault="00E02B2C" w:rsidP="00E02B2C">
      <w:pPr>
        <w:tabs>
          <w:tab w:val="left" w:pos="2160"/>
          <w:tab w:val="left" w:pos="2280"/>
        </w:tabs>
        <w:rPr>
          <w:rFonts w:cs="Arial"/>
          <w:sz w:val="20"/>
        </w:rPr>
      </w:pPr>
      <w:r w:rsidRPr="00E02B2C">
        <w:rPr>
          <w:rFonts w:cs="Arial"/>
          <w:sz w:val="20"/>
        </w:rPr>
        <w:t>David F. Boehm</w:t>
      </w:r>
    </w:p>
    <w:p w:rsidR="00E02B2C" w:rsidRPr="00E02B2C" w:rsidRDefault="00E02B2C" w:rsidP="00E02B2C">
      <w:pPr>
        <w:tabs>
          <w:tab w:val="left" w:pos="2160"/>
          <w:tab w:val="left" w:pos="2280"/>
        </w:tabs>
        <w:rPr>
          <w:rFonts w:cs="Arial"/>
          <w:sz w:val="20"/>
        </w:rPr>
      </w:pPr>
      <w:r w:rsidRPr="00E02B2C">
        <w:rPr>
          <w:rFonts w:cs="Arial"/>
          <w:sz w:val="20"/>
        </w:rPr>
        <w:t>Michael L. Kurtz</w:t>
      </w:r>
    </w:p>
    <w:p w:rsidR="00E02B2C" w:rsidRPr="00E02B2C" w:rsidRDefault="00E02B2C" w:rsidP="00E02B2C">
      <w:pPr>
        <w:tabs>
          <w:tab w:val="left" w:pos="2160"/>
          <w:tab w:val="left" w:pos="2280"/>
        </w:tabs>
        <w:rPr>
          <w:rFonts w:cs="Arial"/>
          <w:sz w:val="20"/>
        </w:rPr>
      </w:pPr>
      <w:r w:rsidRPr="00E02B2C">
        <w:rPr>
          <w:rFonts w:cs="Arial"/>
          <w:sz w:val="20"/>
        </w:rPr>
        <w:t>Jody M. Kyler</w:t>
      </w:r>
    </w:p>
    <w:p w:rsidR="00E02B2C" w:rsidRPr="00E02B2C" w:rsidRDefault="00E02B2C" w:rsidP="00E02B2C">
      <w:pPr>
        <w:tabs>
          <w:tab w:val="left" w:pos="2160"/>
          <w:tab w:val="left" w:pos="2280"/>
        </w:tabs>
        <w:rPr>
          <w:rFonts w:cs="Arial"/>
          <w:sz w:val="20"/>
        </w:rPr>
      </w:pPr>
      <w:r w:rsidRPr="00E02B2C">
        <w:rPr>
          <w:rFonts w:cs="Arial"/>
          <w:sz w:val="20"/>
        </w:rPr>
        <w:t>Boehm, Kurtz &amp; Lowry</w:t>
      </w:r>
    </w:p>
    <w:p w:rsidR="00E02B2C" w:rsidRPr="00E02B2C" w:rsidRDefault="00E02B2C" w:rsidP="00E02B2C">
      <w:pPr>
        <w:tabs>
          <w:tab w:val="left" w:pos="2160"/>
          <w:tab w:val="left" w:pos="2280"/>
        </w:tabs>
        <w:rPr>
          <w:rFonts w:cs="Arial"/>
          <w:sz w:val="20"/>
        </w:rPr>
      </w:pPr>
      <w:r w:rsidRPr="00E02B2C">
        <w:rPr>
          <w:rFonts w:cs="Arial"/>
          <w:sz w:val="20"/>
        </w:rPr>
        <w:t>36 East Seventh Street, Suite 1510</w:t>
      </w:r>
    </w:p>
    <w:p w:rsidR="00E02B2C" w:rsidRPr="00E02B2C" w:rsidRDefault="00E02B2C" w:rsidP="00E02B2C">
      <w:pPr>
        <w:tabs>
          <w:tab w:val="left" w:pos="2160"/>
          <w:tab w:val="left" w:pos="2280"/>
        </w:tabs>
        <w:rPr>
          <w:rFonts w:cs="Arial"/>
          <w:sz w:val="20"/>
        </w:rPr>
      </w:pPr>
      <w:r w:rsidRPr="00E02B2C">
        <w:rPr>
          <w:rFonts w:cs="Arial"/>
          <w:sz w:val="20"/>
        </w:rPr>
        <w:t>Cincinnati, Ohio  45202</w:t>
      </w:r>
    </w:p>
    <w:p w:rsidR="00E02B2C" w:rsidRPr="00E02B2C" w:rsidRDefault="00E02B2C" w:rsidP="00E02B2C">
      <w:pPr>
        <w:tabs>
          <w:tab w:val="left" w:pos="2160"/>
          <w:tab w:val="left" w:pos="2280"/>
        </w:tabs>
        <w:rPr>
          <w:rFonts w:cs="Arial"/>
          <w:sz w:val="20"/>
        </w:rPr>
      </w:pPr>
      <w:r w:rsidRPr="00E02B2C">
        <w:rPr>
          <w:rFonts w:cs="Arial"/>
          <w:sz w:val="20"/>
        </w:rPr>
        <w:t>dboehm@bkllawfirm.com</w:t>
      </w:r>
    </w:p>
    <w:p w:rsidR="00E02B2C" w:rsidRPr="00E02B2C" w:rsidRDefault="00E02B2C" w:rsidP="00E02B2C">
      <w:pPr>
        <w:tabs>
          <w:tab w:val="left" w:pos="2160"/>
          <w:tab w:val="left" w:pos="2280"/>
        </w:tabs>
        <w:rPr>
          <w:rFonts w:cs="Arial"/>
          <w:sz w:val="20"/>
        </w:rPr>
      </w:pPr>
      <w:r w:rsidRPr="00E02B2C">
        <w:rPr>
          <w:rFonts w:cs="Arial"/>
          <w:sz w:val="20"/>
        </w:rPr>
        <w:t>mkurtz@bkllawfirm.com</w:t>
      </w:r>
    </w:p>
    <w:p w:rsidR="00E02B2C" w:rsidRPr="00E02B2C" w:rsidRDefault="00E02B2C" w:rsidP="00E02B2C">
      <w:pPr>
        <w:tabs>
          <w:tab w:val="left" w:pos="2160"/>
          <w:tab w:val="left" w:pos="2280"/>
        </w:tabs>
        <w:rPr>
          <w:rFonts w:cs="Arial"/>
          <w:sz w:val="20"/>
        </w:rPr>
      </w:pPr>
      <w:r w:rsidRPr="00E02B2C">
        <w:rPr>
          <w:rFonts w:cs="Arial"/>
          <w:sz w:val="20"/>
        </w:rPr>
        <w:t>jkyler@bkllawfirm.com</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b/>
          <w:sz w:val="20"/>
        </w:rPr>
      </w:pPr>
      <w:r w:rsidRPr="00E02B2C">
        <w:rPr>
          <w:rFonts w:cs="Arial"/>
          <w:b/>
          <w:sz w:val="20"/>
        </w:rPr>
        <w:t>On Behalf of the Ohio Energy Group</w:t>
      </w:r>
    </w:p>
    <w:p w:rsidR="00E02B2C" w:rsidRPr="00E02B2C" w:rsidRDefault="00E02B2C" w:rsidP="00E02B2C">
      <w:pPr>
        <w:tabs>
          <w:tab w:val="left" w:pos="2160"/>
          <w:tab w:val="left" w:pos="2280"/>
        </w:tabs>
        <w:rPr>
          <w:rFonts w:cs="Arial"/>
          <w:sz w:val="20"/>
        </w:rPr>
      </w:pPr>
      <w:r>
        <w:rPr>
          <w:rFonts w:cs="Arial"/>
          <w:sz w:val="20"/>
        </w:rPr>
        <w:br w:type="column"/>
      </w:r>
      <w:r w:rsidRPr="00E02B2C">
        <w:rPr>
          <w:rFonts w:cs="Arial"/>
          <w:sz w:val="20"/>
        </w:rPr>
        <w:lastRenderedPageBreak/>
        <w:t>Colleen L. Mooney</w:t>
      </w:r>
    </w:p>
    <w:p w:rsidR="00E02B2C" w:rsidRPr="00E02B2C" w:rsidRDefault="00E02B2C" w:rsidP="00E02B2C">
      <w:pPr>
        <w:tabs>
          <w:tab w:val="left" w:pos="2160"/>
          <w:tab w:val="left" w:pos="2280"/>
        </w:tabs>
        <w:rPr>
          <w:rFonts w:cs="Arial"/>
          <w:sz w:val="20"/>
        </w:rPr>
      </w:pPr>
      <w:r w:rsidRPr="00E02B2C">
        <w:rPr>
          <w:rFonts w:cs="Arial"/>
          <w:sz w:val="20"/>
        </w:rPr>
        <w:t>Ohio Partners for Affordable Energy</w:t>
      </w:r>
    </w:p>
    <w:p w:rsidR="00E02B2C" w:rsidRPr="00E02B2C" w:rsidRDefault="00E02B2C" w:rsidP="00E02B2C">
      <w:pPr>
        <w:tabs>
          <w:tab w:val="left" w:pos="2160"/>
          <w:tab w:val="left" w:pos="2280"/>
        </w:tabs>
        <w:rPr>
          <w:rFonts w:cs="Arial"/>
          <w:sz w:val="20"/>
        </w:rPr>
      </w:pPr>
      <w:r w:rsidRPr="00E02B2C">
        <w:rPr>
          <w:rFonts w:cs="Arial"/>
          <w:sz w:val="20"/>
        </w:rPr>
        <w:t>231 West Lima Street</w:t>
      </w:r>
    </w:p>
    <w:p w:rsidR="00E02B2C" w:rsidRPr="00E02B2C" w:rsidRDefault="00E02B2C" w:rsidP="00E02B2C">
      <w:pPr>
        <w:tabs>
          <w:tab w:val="left" w:pos="2160"/>
          <w:tab w:val="left" w:pos="2280"/>
        </w:tabs>
        <w:rPr>
          <w:rFonts w:cs="Arial"/>
          <w:sz w:val="20"/>
        </w:rPr>
      </w:pPr>
      <w:r w:rsidRPr="00E02B2C">
        <w:rPr>
          <w:rFonts w:cs="Arial"/>
          <w:sz w:val="20"/>
        </w:rPr>
        <w:t>Findlay, Ohio 45839-1793</w:t>
      </w:r>
    </w:p>
    <w:p w:rsidR="00E02B2C" w:rsidRPr="00E02B2C" w:rsidRDefault="00E02B2C" w:rsidP="00E02B2C">
      <w:pPr>
        <w:tabs>
          <w:tab w:val="left" w:pos="2160"/>
          <w:tab w:val="left" w:pos="2280"/>
        </w:tabs>
        <w:rPr>
          <w:rFonts w:cs="Arial"/>
          <w:sz w:val="20"/>
        </w:rPr>
      </w:pPr>
      <w:r w:rsidRPr="00E02B2C">
        <w:rPr>
          <w:rFonts w:cs="Arial"/>
          <w:sz w:val="20"/>
        </w:rPr>
        <w:t>Cmooney2@columbus.rr.com</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b/>
          <w:sz w:val="20"/>
        </w:rPr>
      </w:pPr>
      <w:r w:rsidRPr="00E02B2C">
        <w:rPr>
          <w:rFonts w:cs="Arial"/>
          <w:b/>
          <w:sz w:val="20"/>
        </w:rPr>
        <w:t>On Behalf of Ohio Partners for Affordable Energy</w:t>
      </w:r>
    </w:p>
    <w:p w:rsidR="00E02B2C" w:rsidRPr="00E02B2C" w:rsidRDefault="00E02B2C" w:rsidP="00E02B2C">
      <w:pPr>
        <w:tabs>
          <w:tab w:val="left" w:pos="2160"/>
          <w:tab w:val="left" w:pos="2280"/>
        </w:tabs>
        <w:rPr>
          <w:rFonts w:cs="Arial"/>
          <w:b/>
          <w:sz w:val="20"/>
        </w:rPr>
      </w:pPr>
    </w:p>
    <w:p w:rsidR="00E02B2C" w:rsidRPr="00E02B2C" w:rsidRDefault="00E02B2C" w:rsidP="00E02B2C">
      <w:pPr>
        <w:tabs>
          <w:tab w:val="left" w:pos="2160"/>
          <w:tab w:val="left" w:pos="2280"/>
        </w:tabs>
        <w:rPr>
          <w:rFonts w:cs="Arial"/>
          <w:sz w:val="20"/>
        </w:rPr>
      </w:pPr>
      <w:r w:rsidRPr="00E02B2C">
        <w:rPr>
          <w:rFonts w:cs="Arial"/>
          <w:sz w:val="20"/>
        </w:rPr>
        <w:t>Douglas E. Hart</w:t>
      </w:r>
    </w:p>
    <w:p w:rsidR="00E02B2C" w:rsidRPr="00E02B2C" w:rsidRDefault="00E02B2C" w:rsidP="00E02B2C">
      <w:pPr>
        <w:tabs>
          <w:tab w:val="left" w:pos="2160"/>
          <w:tab w:val="left" w:pos="2280"/>
        </w:tabs>
        <w:rPr>
          <w:rFonts w:cs="Arial"/>
          <w:sz w:val="20"/>
        </w:rPr>
      </w:pPr>
      <w:r w:rsidRPr="00E02B2C">
        <w:rPr>
          <w:rFonts w:cs="Arial"/>
          <w:sz w:val="20"/>
        </w:rPr>
        <w:t>411 Vine Street, Suite 4192</w:t>
      </w:r>
    </w:p>
    <w:p w:rsidR="00E02B2C" w:rsidRPr="00E02B2C" w:rsidRDefault="00E02B2C" w:rsidP="00E02B2C">
      <w:pPr>
        <w:tabs>
          <w:tab w:val="left" w:pos="2160"/>
          <w:tab w:val="left" w:pos="2280"/>
        </w:tabs>
        <w:rPr>
          <w:rFonts w:cs="Arial"/>
          <w:sz w:val="20"/>
        </w:rPr>
      </w:pPr>
      <w:r w:rsidRPr="00E02B2C">
        <w:rPr>
          <w:rFonts w:cs="Arial"/>
          <w:sz w:val="20"/>
        </w:rPr>
        <w:t>Cincinnati, Ohio 45202</w:t>
      </w:r>
    </w:p>
    <w:p w:rsidR="00E02B2C" w:rsidRPr="00E02B2C" w:rsidRDefault="00E02B2C" w:rsidP="00E02B2C">
      <w:pPr>
        <w:tabs>
          <w:tab w:val="left" w:pos="2160"/>
          <w:tab w:val="left" w:pos="2280"/>
        </w:tabs>
        <w:rPr>
          <w:rFonts w:cs="Arial"/>
          <w:sz w:val="20"/>
        </w:rPr>
      </w:pPr>
      <w:r w:rsidRPr="00E02B2C">
        <w:rPr>
          <w:rFonts w:cs="Arial"/>
          <w:sz w:val="20"/>
        </w:rPr>
        <w:t>dhart@douglasehart.com</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b/>
          <w:sz w:val="20"/>
        </w:rPr>
      </w:pPr>
      <w:r w:rsidRPr="00E02B2C">
        <w:rPr>
          <w:rFonts w:cs="Arial"/>
          <w:b/>
          <w:sz w:val="20"/>
        </w:rPr>
        <w:t>On Behalf of The Greater Cincinnati Health Council and Cincinnati Bell Inc.</w:t>
      </w:r>
    </w:p>
    <w:p w:rsidR="00E02B2C" w:rsidRPr="00E02B2C" w:rsidRDefault="00E02B2C" w:rsidP="00E02B2C">
      <w:pPr>
        <w:tabs>
          <w:tab w:val="left" w:pos="2160"/>
          <w:tab w:val="left" w:pos="2280"/>
          <w:tab w:val="left" w:pos="4230"/>
        </w:tabs>
        <w:rPr>
          <w:rFonts w:cs="Arial"/>
          <w:sz w:val="20"/>
        </w:rPr>
      </w:pPr>
    </w:p>
    <w:p w:rsidR="00E02B2C" w:rsidRPr="00E02B2C" w:rsidRDefault="00E02B2C" w:rsidP="00E02B2C">
      <w:pPr>
        <w:tabs>
          <w:tab w:val="left" w:pos="2160"/>
          <w:tab w:val="left" w:pos="2280"/>
          <w:tab w:val="left" w:pos="4230"/>
        </w:tabs>
        <w:rPr>
          <w:rFonts w:cs="Arial"/>
          <w:sz w:val="20"/>
        </w:rPr>
      </w:pPr>
      <w:r w:rsidRPr="00E02B2C">
        <w:rPr>
          <w:rFonts w:cs="Arial"/>
          <w:sz w:val="20"/>
        </w:rPr>
        <w:t>Kimberly W. Bojko (Counsel of Record)</w:t>
      </w:r>
    </w:p>
    <w:p w:rsidR="00E02B2C" w:rsidRPr="00E02B2C" w:rsidRDefault="00E02B2C" w:rsidP="00E02B2C">
      <w:pPr>
        <w:tabs>
          <w:tab w:val="left" w:pos="2160"/>
          <w:tab w:val="left" w:pos="2280"/>
        </w:tabs>
        <w:rPr>
          <w:rFonts w:cs="Arial"/>
          <w:sz w:val="20"/>
        </w:rPr>
      </w:pPr>
      <w:r w:rsidRPr="00E02B2C">
        <w:rPr>
          <w:rFonts w:cs="Arial"/>
          <w:sz w:val="20"/>
        </w:rPr>
        <w:t>Mallory M. Mohler</w:t>
      </w:r>
    </w:p>
    <w:p w:rsidR="00E02B2C" w:rsidRPr="00E02B2C" w:rsidRDefault="00E02B2C" w:rsidP="00E02B2C">
      <w:pPr>
        <w:tabs>
          <w:tab w:val="left" w:pos="2160"/>
          <w:tab w:val="left" w:pos="2280"/>
        </w:tabs>
        <w:rPr>
          <w:rFonts w:cs="Arial"/>
          <w:sz w:val="20"/>
        </w:rPr>
      </w:pPr>
      <w:r w:rsidRPr="00E02B2C">
        <w:rPr>
          <w:rFonts w:cs="Arial"/>
          <w:sz w:val="20"/>
        </w:rPr>
        <w:t>Carpenter Lipps &amp; Leland LLP</w:t>
      </w:r>
    </w:p>
    <w:p w:rsidR="00E02B2C" w:rsidRPr="00E02B2C" w:rsidRDefault="00E02B2C" w:rsidP="00E02B2C">
      <w:pPr>
        <w:tabs>
          <w:tab w:val="left" w:pos="2160"/>
          <w:tab w:val="left" w:pos="2280"/>
        </w:tabs>
        <w:rPr>
          <w:rFonts w:cs="Arial"/>
          <w:sz w:val="20"/>
        </w:rPr>
      </w:pPr>
      <w:r w:rsidRPr="00E02B2C">
        <w:rPr>
          <w:rFonts w:cs="Arial"/>
          <w:sz w:val="20"/>
        </w:rPr>
        <w:t>280 North High Street</w:t>
      </w:r>
    </w:p>
    <w:p w:rsidR="00E02B2C" w:rsidRPr="00E02B2C" w:rsidRDefault="00E02B2C" w:rsidP="00E02B2C">
      <w:pPr>
        <w:tabs>
          <w:tab w:val="left" w:pos="2160"/>
          <w:tab w:val="left" w:pos="2280"/>
        </w:tabs>
        <w:rPr>
          <w:rFonts w:cs="Arial"/>
          <w:sz w:val="20"/>
        </w:rPr>
      </w:pPr>
      <w:r w:rsidRPr="00E02B2C">
        <w:rPr>
          <w:rFonts w:cs="Arial"/>
          <w:sz w:val="20"/>
        </w:rPr>
        <w:t>Suite 1300</w:t>
      </w:r>
    </w:p>
    <w:p w:rsidR="00E02B2C" w:rsidRPr="00E02B2C" w:rsidRDefault="00E02B2C" w:rsidP="00E02B2C">
      <w:pPr>
        <w:tabs>
          <w:tab w:val="left" w:pos="2160"/>
          <w:tab w:val="left" w:pos="2280"/>
        </w:tabs>
        <w:rPr>
          <w:rFonts w:cs="Arial"/>
          <w:sz w:val="20"/>
        </w:rPr>
      </w:pPr>
      <w:r w:rsidRPr="00E02B2C">
        <w:rPr>
          <w:rFonts w:cs="Arial"/>
          <w:sz w:val="20"/>
        </w:rPr>
        <w:t>Columbus, Ohio 43215</w:t>
      </w:r>
    </w:p>
    <w:p w:rsidR="00E02B2C" w:rsidRPr="00E02B2C" w:rsidRDefault="00E02B2C" w:rsidP="00E02B2C">
      <w:pPr>
        <w:tabs>
          <w:tab w:val="left" w:pos="2160"/>
          <w:tab w:val="left" w:pos="2280"/>
        </w:tabs>
        <w:rPr>
          <w:rFonts w:cs="Arial"/>
          <w:sz w:val="20"/>
        </w:rPr>
      </w:pPr>
      <w:r w:rsidRPr="00E02B2C">
        <w:rPr>
          <w:rFonts w:cs="Arial"/>
          <w:sz w:val="20"/>
        </w:rPr>
        <w:t>bojko@carpenterlipps.com</w:t>
      </w:r>
    </w:p>
    <w:p w:rsidR="00E02B2C" w:rsidRPr="00E02B2C" w:rsidRDefault="00E02B2C" w:rsidP="00E02B2C">
      <w:pPr>
        <w:tabs>
          <w:tab w:val="left" w:pos="2160"/>
          <w:tab w:val="left" w:pos="2280"/>
        </w:tabs>
        <w:rPr>
          <w:rFonts w:cs="Arial"/>
          <w:sz w:val="20"/>
        </w:rPr>
      </w:pPr>
      <w:r w:rsidRPr="00E02B2C">
        <w:rPr>
          <w:rFonts w:cs="Arial"/>
          <w:sz w:val="20"/>
        </w:rPr>
        <w:t>mohler@carpenterlipps.com</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b/>
          <w:sz w:val="20"/>
        </w:rPr>
      </w:pPr>
      <w:r w:rsidRPr="00E02B2C">
        <w:rPr>
          <w:rFonts w:cs="Arial"/>
          <w:b/>
          <w:sz w:val="20"/>
        </w:rPr>
        <w:t>On Behalf of Kroger Co.</w:t>
      </w:r>
    </w:p>
    <w:p w:rsidR="00E02B2C" w:rsidRPr="00E02B2C" w:rsidRDefault="00E02B2C" w:rsidP="00E02B2C">
      <w:pPr>
        <w:tabs>
          <w:tab w:val="left" w:pos="2160"/>
          <w:tab w:val="left" w:pos="2280"/>
        </w:tabs>
        <w:rPr>
          <w:rFonts w:cs="Arial"/>
          <w:b/>
          <w:sz w:val="20"/>
        </w:rPr>
      </w:pPr>
    </w:p>
    <w:p w:rsidR="00E02B2C" w:rsidRPr="00E02B2C" w:rsidRDefault="00E02B2C" w:rsidP="00E02B2C">
      <w:pPr>
        <w:tabs>
          <w:tab w:val="left" w:pos="2160"/>
          <w:tab w:val="left" w:pos="2280"/>
        </w:tabs>
        <w:rPr>
          <w:rFonts w:cs="Arial"/>
          <w:sz w:val="20"/>
        </w:rPr>
      </w:pPr>
      <w:r w:rsidRPr="00E02B2C">
        <w:rPr>
          <w:rFonts w:cs="Arial"/>
          <w:sz w:val="20"/>
        </w:rPr>
        <w:t>Thomas J. O’Brien</w:t>
      </w:r>
    </w:p>
    <w:p w:rsidR="00E02B2C" w:rsidRPr="00E02B2C" w:rsidRDefault="00E02B2C" w:rsidP="00E02B2C">
      <w:pPr>
        <w:tabs>
          <w:tab w:val="left" w:pos="2160"/>
          <w:tab w:val="left" w:pos="2280"/>
        </w:tabs>
        <w:rPr>
          <w:rFonts w:cs="Arial"/>
          <w:sz w:val="20"/>
        </w:rPr>
      </w:pPr>
      <w:r w:rsidRPr="00E02B2C">
        <w:rPr>
          <w:rFonts w:cs="Arial"/>
          <w:sz w:val="20"/>
        </w:rPr>
        <w:t>Bricker &amp; Eckler LLP</w:t>
      </w:r>
    </w:p>
    <w:p w:rsidR="00E02B2C" w:rsidRPr="00E02B2C" w:rsidRDefault="00E02B2C" w:rsidP="00E02B2C">
      <w:pPr>
        <w:tabs>
          <w:tab w:val="left" w:pos="2160"/>
          <w:tab w:val="left" w:pos="2280"/>
        </w:tabs>
        <w:rPr>
          <w:rFonts w:cs="Arial"/>
          <w:sz w:val="20"/>
        </w:rPr>
      </w:pPr>
      <w:r w:rsidRPr="00E02B2C">
        <w:rPr>
          <w:rFonts w:cs="Arial"/>
          <w:sz w:val="20"/>
        </w:rPr>
        <w:t>100 South Third Street</w:t>
      </w:r>
    </w:p>
    <w:p w:rsidR="00E02B2C" w:rsidRPr="00E02B2C" w:rsidRDefault="00E02B2C" w:rsidP="00E02B2C">
      <w:pPr>
        <w:tabs>
          <w:tab w:val="left" w:pos="2160"/>
          <w:tab w:val="left" w:pos="2280"/>
        </w:tabs>
        <w:rPr>
          <w:rFonts w:cs="Arial"/>
          <w:sz w:val="20"/>
        </w:rPr>
      </w:pPr>
      <w:r w:rsidRPr="00E02B2C">
        <w:rPr>
          <w:rFonts w:cs="Arial"/>
          <w:sz w:val="20"/>
        </w:rPr>
        <w:t>Columbus, Ohio  43215</w:t>
      </w:r>
    </w:p>
    <w:p w:rsidR="00E02B2C" w:rsidRPr="00E02B2C" w:rsidRDefault="00E02B2C" w:rsidP="00E02B2C">
      <w:pPr>
        <w:tabs>
          <w:tab w:val="left" w:pos="2160"/>
          <w:tab w:val="left" w:pos="2280"/>
        </w:tabs>
        <w:rPr>
          <w:rFonts w:cs="Arial"/>
          <w:b/>
          <w:sz w:val="20"/>
        </w:rPr>
      </w:pPr>
      <w:r w:rsidRPr="00E02B2C">
        <w:rPr>
          <w:rFonts w:cs="Arial"/>
          <w:sz w:val="20"/>
        </w:rPr>
        <w:t>tobrien@bricker.com</w:t>
      </w:r>
    </w:p>
    <w:p w:rsidR="00E02B2C" w:rsidRPr="00E02B2C" w:rsidRDefault="00E02B2C" w:rsidP="00E02B2C">
      <w:pPr>
        <w:tabs>
          <w:tab w:val="left" w:pos="2160"/>
          <w:tab w:val="left" w:pos="2280"/>
        </w:tabs>
        <w:rPr>
          <w:rFonts w:cs="Arial"/>
          <w:b/>
          <w:sz w:val="20"/>
        </w:rPr>
      </w:pPr>
    </w:p>
    <w:p w:rsidR="00E02B2C" w:rsidRPr="00E02B2C" w:rsidRDefault="00E02B2C" w:rsidP="00E02B2C">
      <w:pPr>
        <w:tabs>
          <w:tab w:val="left" w:pos="2160"/>
          <w:tab w:val="left" w:pos="2280"/>
        </w:tabs>
        <w:rPr>
          <w:rFonts w:cs="Arial"/>
          <w:b/>
          <w:sz w:val="20"/>
        </w:rPr>
      </w:pPr>
      <w:r w:rsidRPr="00E02B2C">
        <w:rPr>
          <w:rFonts w:cs="Arial"/>
          <w:b/>
          <w:sz w:val="20"/>
        </w:rPr>
        <w:t>On Behalf of the City of Cincinnati</w:t>
      </w:r>
    </w:p>
    <w:p w:rsidR="00E02B2C" w:rsidRPr="00E02B2C" w:rsidRDefault="00E02B2C" w:rsidP="00E02B2C">
      <w:pPr>
        <w:tabs>
          <w:tab w:val="left" w:pos="2160"/>
          <w:tab w:val="left" w:pos="2280"/>
        </w:tabs>
        <w:rPr>
          <w:rFonts w:cs="Arial"/>
          <w:b/>
          <w:sz w:val="20"/>
        </w:rPr>
      </w:pPr>
    </w:p>
    <w:p w:rsidR="00E02B2C" w:rsidRPr="00E02B2C" w:rsidRDefault="00E02B2C" w:rsidP="00E02B2C">
      <w:pPr>
        <w:tabs>
          <w:tab w:val="left" w:pos="2160"/>
          <w:tab w:val="left" w:pos="2280"/>
        </w:tabs>
        <w:rPr>
          <w:rFonts w:cs="Arial"/>
          <w:sz w:val="20"/>
        </w:rPr>
      </w:pPr>
      <w:r w:rsidRPr="00E02B2C">
        <w:rPr>
          <w:rFonts w:cs="Arial"/>
          <w:sz w:val="20"/>
        </w:rPr>
        <w:br w:type="column"/>
      </w:r>
      <w:r w:rsidRPr="00E02B2C">
        <w:rPr>
          <w:rFonts w:cs="Arial"/>
          <w:sz w:val="20"/>
        </w:rPr>
        <w:lastRenderedPageBreak/>
        <w:t>J. Thomas Siwo</w:t>
      </w:r>
    </w:p>
    <w:p w:rsidR="00E02B2C" w:rsidRPr="00E02B2C" w:rsidRDefault="00E02B2C" w:rsidP="00E02B2C">
      <w:pPr>
        <w:tabs>
          <w:tab w:val="left" w:pos="2160"/>
          <w:tab w:val="left" w:pos="2280"/>
        </w:tabs>
        <w:rPr>
          <w:rFonts w:cs="Arial"/>
          <w:sz w:val="20"/>
        </w:rPr>
      </w:pPr>
      <w:r w:rsidRPr="00E02B2C">
        <w:rPr>
          <w:rFonts w:cs="Arial"/>
          <w:sz w:val="20"/>
        </w:rPr>
        <w:t>Matthew W. Warnock</w:t>
      </w:r>
    </w:p>
    <w:p w:rsidR="00E02B2C" w:rsidRPr="00E02B2C" w:rsidRDefault="00E02B2C" w:rsidP="00E02B2C">
      <w:pPr>
        <w:tabs>
          <w:tab w:val="left" w:pos="2160"/>
          <w:tab w:val="left" w:pos="2280"/>
        </w:tabs>
        <w:rPr>
          <w:rFonts w:cs="Arial"/>
          <w:sz w:val="20"/>
        </w:rPr>
      </w:pPr>
      <w:r w:rsidRPr="00E02B2C">
        <w:rPr>
          <w:rFonts w:cs="Arial"/>
          <w:sz w:val="20"/>
        </w:rPr>
        <w:t>Bricker &amp; Eckler, LLP</w:t>
      </w:r>
    </w:p>
    <w:p w:rsidR="00E02B2C" w:rsidRPr="00E02B2C" w:rsidRDefault="00E02B2C" w:rsidP="00E02B2C">
      <w:pPr>
        <w:tabs>
          <w:tab w:val="left" w:pos="2160"/>
          <w:tab w:val="left" w:pos="2280"/>
        </w:tabs>
        <w:rPr>
          <w:rFonts w:cs="Arial"/>
          <w:sz w:val="20"/>
        </w:rPr>
      </w:pPr>
      <w:r w:rsidRPr="00E02B2C">
        <w:rPr>
          <w:rFonts w:cs="Arial"/>
          <w:sz w:val="20"/>
        </w:rPr>
        <w:t>100 South Third Street</w:t>
      </w:r>
    </w:p>
    <w:p w:rsidR="00E02B2C" w:rsidRPr="00E02B2C" w:rsidRDefault="00E02B2C" w:rsidP="00E02B2C">
      <w:pPr>
        <w:tabs>
          <w:tab w:val="left" w:pos="2160"/>
          <w:tab w:val="left" w:pos="2280"/>
        </w:tabs>
        <w:rPr>
          <w:rFonts w:cs="Arial"/>
          <w:sz w:val="20"/>
        </w:rPr>
      </w:pPr>
      <w:r w:rsidRPr="00E02B2C">
        <w:rPr>
          <w:rFonts w:cs="Arial"/>
          <w:sz w:val="20"/>
        </w:rPr>
        <w:t>Columbus, Ohio  43215</w:t>
      </w:r>
    </w:p>
    <w:p w:rsidR="00E02B2C" w:rsidRPr="00E02B2C" w:rsidRDefault="00E02B2C" w:rsidP="00E02B2C">
      <w:pPr>
        <w:tabs>
          <w:tab w:val="left" w:pos="2160"/>
          <w:tab w:val="left" w:pos="2280"/>
        </w:tabs>
        <w:rPr>
          <w:rFonts w:cs="Arial"/>
          <w:sz w:val="20"/>
        </w:rPr>
      </w:pPr>
      <w:r w:rsidRPr="00E02B2C">
        <w:rPr>
          <w:rFonts w:cs="Arial"/>
          <w:sz w:val="20"/>
        </w:rPr>
        <w:t>tsiwo@bricker.com</w:t>
      </w:r>
    </w:p>
    <w:p w:rsidR="00E02B2C" w:rsidRPr="00E02B2C" w:rsidRDefault="00E02B2C" w:rsidP="00E02B2C">
      <w:pPr>
        <w:tabs>
          <w:tab w:val="left" w:pos="2160"/>
          <w:tab w:val="left" w:pos="2280"/>
        </w:tabs>
        <w:rPr>
          <w:rFonts w:cs="Arial"/>
          <w:sz w:val="20"/>
        </w:rPr>
      </w:pPr>
      <w:r w:rsidRPr="00E02B2C">
        <w:rPr>
          <w:rFonts w:cs="Arial"/>
          <w:sz w:val="20"/>
        </w:rPr>
        <w:t>mwarnock@bricker.com</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b/>
          <w:sz w:val="20"/>
        </w:rPr>
      </w:pPr>
      <w:r w:rsidRPr="00E02B2C">
        <w:rPr>
          <w:rFonts w:cs="Arial"/>
          <w:b/>
          <w:sz w:val="20"/>
        </w:rPr>
        <w:t>On Behalf of the Ohio Manufacturers’ Association</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sz w:val="20"/>
        </w:rPr>
      </w:pPr>
      <w:r w:rsidRPr="00E02B2C">
        <w:rPr>
          <w:rFonts w:cs="Arial"/>
          <w:sz w:val="20"/>
        </w:rPr>
        <w:t>Mark A. Hayden</w:t>
      </w:r>
    </w:p>
    <w:p w:rsidR="00E02B2C" w:rsidRPr="00E02B2C" w:rsidRDefault="00E02B2C" w:rsidP="00E02B2C">
      <w:pPr>
        <w:tabs>
          <w:tab w:val="left" w:pos="2160"/>
          <w:tab w:val="left" w:pos="2280"/>
        </w:tabs>
        <w:rPr>
          <w:rFonts w:cs="Arial"/>
          <w:sz w:val="20"/>
        </w:rPr>
      </w:pPr>
      <w:r w:rsidRPr="00E02B2C">
        <w:rPr>
          <w:rFonts w:cs="Arial"/>
          <w:sz w:val="20"/>
        </w:rPr>
        <w:t>FirstEnergy Service Company</w:t>
      </w:r>
    </w:p>
    <w:p w:rsidR="00E02B2C" w:rsidRPr="00E02B2C" w:rsidRDefault="00E02B2C" w:rsidP="00E02B2C">
      <w:pPr>
        <w:tabs>
          <w:tab w:val="left" w:pos="2160"/>
          <w:tab w:val="left" w:pos="2280"/>
        </w:tabs>
        <w:rPr>
          <w:rFonts w:cs="Arial"/>
          <w:sz w:val="20"/>
        </w:rPr>
      </w:pPr>
      <w:r w:rsidRPr="00E02B2C">
        <w:rPr>
          <w:rFonts w:cs="Arial"/>
          <w:sz w:val="20"/>
        </w:rPr>
        <w:t>76 South Main Street</w:t>
      </w:r>
    </w:p>
    <w:p w:rsidR="00E02B2C" w:rsidRPr="00E02B2C" w:rsidRDefault="00E02B2C" w:rsidP="00E02B2C">
      <w:pPr>
        <w:tabs>
          <w:tab w:val="left" w:pos="2160"/>
          <w:tab w:val="left" w:pos="2280"/>
        </w:tabs>
        <w:rPr>
          <w:rFonts w:cs="Arial"/>
          <w:sz w:val="20"/>
        </w:rPr>
      </w:pPr>
      <w:r w:rsidRPr="00E02B2C">
        <w:rPr>
          <w:rFonts w:cs="Arial"/>
          <w:sz w:val="20"/>
        </w:rPr>
        <w:t>Akron, Ohio  44308</w:t>
      </w:r>
    </w:p>
    <w:p w:rsidR="00E02B2C" w:rsidRPr="00E02B2C" w:rsidRDefault="00E02B2C" w:rsidP="00E02B2C">
      <w:pPr>
        <w:tabs>
          <w:tab w:val="left" w:pos="2160"/>
          <w:tab w:val="left" w:pos="2280"/>
        </w:tabs>
        <w:rPr>
          <w:rFonts w:cs="Arial"/>
          <w:sz w:val="20"/>
        </w:rPr>
      </w:pPr>
      <w:r w:rsidRPr="00E02B2C">
        <w:rPr>
          <w:rFonts w:cs="Arial"/>
          <w:sz w:val="20"/>
        </w:rPr>
        <w:t>haydenm@firstenergycorp.com</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sz w:val="20"/>
        </w:rPr>
      </w:pPr>
      <w:r w:rsidRPr="00E02B2C">
        <w:rPr>
          <w:rFonts w:cs="Arial"/>
          <w:sz w:val="20"/>
        </w:rPr>
        <w:t>James F. Lang</w:t>
      </w:r>
    </w:p>
    <w:p w:rsidR="00E02B2C" w:rsidRPr="00E02B2C" w:rsidRDefault="00E02B2C" w:rsidP="00E02B2C">
      <w:pPr>
        <w:tabs>
          <w:tab w:val="left" w:pos="2160"/>
          <w:tab w:val="left" w:pos="2280"/>
        </w:tabs>
        <w:rPr>
          <w:rFonts w:cs="Arial"/>
          <w:sz w:val="20"/>
        </w:rPr>
      </w:pPr>
      <w:r w:rsidRPr="00E02B2C">
        <w:rPr>
          <w:rFonts w:cs="Arial"/>
          <w:sz w:val="20"/>
        </w:rPr>
        <w:t>Laura C. McBride</w:t>
      </w:r>
    </w:p>
    <w:p w:rsidR="00E02B2C" w:rsidRPr="00E02B2C" w:rsidRDefault="00E02B2C" w:rsidP="00E02B2C">
      <w:pPr>
        <w:tabs>
          <w:tab w:val="left" w:pos="2160"/>
          <w:tab w:val="left" w:pos="2280"/>
        </w:tabs>
        <w:rPr>
          <w:rFonts w:cs="Arial"/>
          <w:sz w:val="20"/>
        </w:rPr>
      </w:pPr>
      <w:r w:rsidRPr="00E02B2C">
        <w:rPr>
          <w:rFonts w:cs="Arial"/>
          <w:sz w:val="20"/>
        </w:rPr>
        <w:t>N. Trevor Alexander</w:t>
      </w:r>
    </w:p>
    <w:p w:rsidR="00E02B2C" w:rsidRPr="00E02B2C" w:rsidRDefault="00E02B2C" w:rsidP="00E02B2C">
      <w:pPr>
        <w:tabs>
          <w:tab w:val="left" w:pos="2160"/>
          <w:tab w:val="left" w:pos="2280"/>
        </w:tabs>
        <w:rPr>
          <w:rFonts w:cs="Arial"/>
          <w:sz w:val="20"/>
        </w:rPr>
      </w:pPr>
      <w:r w:rsidRPr="00E02B2C">
        <w:rPr>
          <w:rFonts w:cs="Arial"/>
          <w:sz w:val="20"/>
        </w:rPr>
        <w:t>Calfee, Halter &amp; Griswold LLP</w:t>
      </w:r>
    </w:p>
    <w:p w:rsidR="00E02B2C" w:rsidRPr="00E02B2C" w:rsidRDefault="00E02B2C" w:rsidP="00E02B2C">
      <w:pPr>
        <w:tabs>
          <w:tab w:val="left" w:pos="2160"/>
          <w:tab w:val="left" w:pos="2280"/>
        </w:tabs>
        <w:rPr>
          <w:rFonts w:cs="Arial"/>
          <w:sz w:val="20"/>
        </w:rPr>
      </w:pPr>
      <w:r w:rsidRPr="00E02B2C">
        <w:rPr>
          <w:rFonts w:cs="Arial"/>
          <w:sz w:val="20"/>
        </w:rPr>
        <w:t>1405 East Sixth Street</w:t>
      </w:r>
    </w:p>
    <w:p w:rsidR="00E02B2C" w:rsidRPr="00E02B2C" w:rsidRDefault="00E02B2C" w:rsidP="00E02B2C">
      <w:pPr>
        <w:tabs>
          <w:tab w:val="left" w:pos="2160"/>
          <w:tab w:val="left" w:pos="2280"/>
        </w:tabs>
        <w:rPr>
          <w:rFonts w:cs="Arial"/>
          <w:sz w:val="20"/>
        </w:rPr>
      </w:pPr>
      <w:r w:rsidRPr="00E02B2C">
        <w:rPr>
          <w:rFonts w:cs="Arial"/>
          <w:sz w:val="20"/>
        </w:rPr>
        <w:t>Cleveland, Ohio 44114</w:t>
      </w:r>
    </w:p>
    <w:p w:rsidR="00E02B2C" w:rsidRPr="00E02B2C" w:rsidRDefault="00E02B2C" w:rsidP="00E02B2C">
      <w:pPr>
        <w:tabs>
          <w:tab w:val="left" w:pos="2160"/>
          <w:tab w:val="left" w:pos="2280"/>
        </w:tabs>
        <w:rPr>
          <w:rFonts w:cs="Arial"/>
          <w:sz w:val="20"/>
        </w:rPr>
      </w:pPr>
      <w:r w:rsidRPr="00E02B2C">
        <w:rPr>
          <w:rFonts w:cs="Arial"/>
          <w:sz w:val="20"/>
        </w:rPr>
        <w:t>jlang@calfee.com</w:t>
      </w:r>
    </w:p>
    <w:p w:rsidR="00E02B2C" w:rsidRPr="00E02B2C" w:rsidRDefault="00E02B2C" w:rsidP="00E02B2C">
      <w:pPr>
        <w:tabs>
          <w:tab w:val="left" w:pos="2160"/>
          <w:tab w:val="left" w:pos="2280"/>
        </w:tabs>
        <w:rPr>
          <w:rFonts w:cs="Arial"/>
          <w:sz w:val="20"/>
        </w:rPr>
      </w:pPr>
      <w:r w:rsidRPr="00E02B2C">
        <w:rPr>
          <w:rFonts w:cs="Arial"/>
          <w:sz w:val="20"/>
        </w:rPr>
        <w:t>lmcbride@calfee.com</w:t>
      </w:r>
    </w:p>
    <w:p w:rsidR="00E02B2C" w:rsidRPr="00E02B2C" w:rsidRDefault="00E02B2C" w:rsidP="00E02B2C">
      <w:pPr>
        <w:tabs>
          <w:tab w:val="left" w:pos="2160"/>
          <w:tab w:val="left" w:pos="2280"/>
        </w:tabs>
        <w:rPr>
          <w:rFonts w:cs="Arial"/>
          <w:sz w:val="20"/>
        </w:rPr>
      </w:pPr>
      <w:r w:rsidRPr="00E02B2C">
        <w:rPr>
          <w:rFonts w:cs="Arial"/>
          <w:sz w:val="20"/>
        </w:rPr>
        <w:t>talexander@calfee.com</w:t>
      </w:r>
    </w:p>
    <w:p w:rsidR="00E02B2C" w:rsidRPr="00E02B2C" w:rsidRDefault="00E02B2C" w:rsidP="00E02B2C">
      <w:pPr>
        <w:tabs>
          <w:tab w:val="left" w:pos="2160"/>
          <w:tab w:val="left" w:pos="2280"/>
        </w:tabs>
        <w:rPr>
          <w:rFonts w:cs="Arial"/>
          <w:b/>
          <w:sz w:val="20"/>
        </w:rPr>
      </w:pPr>
    </w:p>
    <w:p w:rsidR="00E02B2C" w:rsidRPr="00E02B2C" w:rsidRDefault="00E02B2C" w:rsidP="00E02B2C">
      <w:pPr>
        <w:tabs>
          <w:tab w:val="left" w:pos="2160"/>
          <w:tab w:val="left" w:pos="2280"/>
        </w:tabs>
        <w:rPr>
          <w:rFonts w:cs="Arial"/>
          <w:b/>
          <w:sz w:val="20"/>
        </w:rPr>
      </w:pPr>
      <w:r w:rsidRPr="00E02B2C">
        <w:rPr>
          <w:rFonts w:cs="Arial"/>
          <w:b/>
          <w:sz w:val="20"/>
        </w:rPr>
        <w:t>On Behalf of FirstEnergy Solutions Corp.</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sz w:val="20"/>
        </w:rPr>
      </w:pPr>
      <w:r w:rsidRPr="00E02B2C">
        <w:rPr>
          <w:rFonts w:cs="Arial"/>
          <w:sz w:val="20"/>
        </w:rPr>
        <w:t>M. Howard Petricoff</w:t>
      </w:r>
    </w:p>
    <w:p w:rsidR="00E02B2C" w:rsidRPr="00E02B2C" w:rsidRDefault="00E02B2C" w:rsidP="00E02B2C">
      <w:pPr>
        <w:tabs>
          <w:tab w:val="left" w:pos="2160"/>
          <w:tab w:val="left" w:pos="2280"/>
        </w:tabs>
        <w:rPr>
          <w:rFonts w:cs="Arial"/>
          <w:sz w:val="20"/>
        </w:rPr>
      </w:pPr>
      <w:r w:rsidRPr="00E02B2C">
        <w:rPr>
          <w:rFonts w:cs="Arial"/>
          <w:sz w:val="20"/>
        </w:rPr>
        <w:t>Lija Kaleps-Clark</w:t>
      </w:r>
    </w:p>
    <w:p w:rsidR="00E02B2C" w:rsidRPr="00E02B2C" w:rsidRDefault="00E02B2C" w:rsidP="00E02B2C">
      <w:pPr>
        <w:tabs>
          <w:tab w:val="left" w:pos="2160"/>
          <w:tab w:val="left" w:pos="2280"/>
        </w:tabs>
        <w:rPr>
          <w:rFonts w:cs="Arial"/>
          <w:sz w:val="20"/>
        </w:rPr>
      </w:pPr>
      <w:r w:rsidRPr="00E02B2C">
        <w:rPr>
          <w:rFonts w:cs="Arial"/>
          <w:sz w:val="20"/>
        </w:rPr>
        <w:t>Vorys, Sater, Seymour and Pease LLP</w:t>
      </w:r>
    </w:p>
    <w:p w:rsidR="00E02B2C" w:rsidRPr="00E02B2C" w:rsidRDefault="00E02B2C" w:rsidP="00E02B2C">
      <w:pPr>
        <w:tabs>
          <w:tab w:val="left" w:pos="2160"/>
          <w:tab w:val="left" w:pos="2280"/>
        </w:tabs>
        <w:rPr>
          <w:rFonts w:cs="Arial"/>
          <w:sz w:val="20"/>
        </w:rPr>
      </w:pPr>
      <w:r w:rsidRPr="00E02B2C">
        <w:rPr>
          <w:rFonts w:cs="Arial"/>
          <w:sz w:val="20"/>
        </w:rPr>
        <w:t>52 East Gay Street, P.O. Box 1008</w:t>
      </w:r>
    </w:p>
    <w:p w:rsidR="00E02B2C" w:rsidRPr="00E02B2C" w:rsidRDefault="00E02B2C" w:rsidP="00E02B2C">
      <w:pPr>
        <w:tabs>
          <w:tab w:val="left" w:pos="2160"/>
          <w:tab w:val="left" w:pos="2280"/>
        </w:tabs>
        <w:rPr>
          <w:rFonts w:cs="Arial"/>
          <w:sz w:val="20"/>
        </w:rPr>
      </w:pPr>
      <w:r w:rsidRPr="00E02B2C">
        <w:rPr>
          <w:rFonts w:cs="Arial"/>
          <w:sz w:val="20"/>
        </w:rPr>
        <w:t>Columbus, Ohio  43216-1008</w:t>
      </w:r>
    </w:p>
    <w:p w:rsidR="00E02B2C" w:rsidRPr="00E02B2C" w:rsidRDefault="00E02B2C" w:rsidP="00E02B2C">
      <w:pPr>
        <w:tabs>
          <w:tab w:val="left" w:pos="2160"/>
          <w:tab w:val="left" w:pos="2280"/>
        </w:tabs>
        <w:rPr>
          <w:rFonts w:cs="Arial"/>
          <w:sz w:val="20"/>
        </w:rPr>
      </w:pPr>
      <w:r w:rsidRPr="00E02B2C">
        <w:rPr>
          <w:rFonts w:cs="Arial"/>
          <w:sz w:val="20"/>
        </w:rPr>
        <w:t>mhpetrocoff@vorys.com</w:t>
      </w:r>
    </w:p>
    <w:p w:rsidR="00E02B2C" w:rsidRPr="00E02B2C" w:rsidRDefault="00E02B2C" w:rsidP="00E02B2C">
      <w:pPr>
        <w:tabs>
          <w:tab w:val="left" w:pos="2160"/>
          <w:tab w:val="left" w:pos="2280"/>
        </w:tabs>
        <w:rPr>
          <w:rFonts w:cs="Arial"/>
          <w:sz w:val="20"/>
        </w:rPr>
      </w:pPr>
      <w:r w:rsidRPr="00E02B2C">
        <w:rPr>
          <w:rFonts w:cs="Arial"/>
          <w:sz w:val="20"/>
        </w:rPr>
        <w:t>lkalepsclark@vorys.com</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sz w:val="20"/>
        </w:rPr>
      </w:pPr>
      <w:r w:rsidRPr="00E02B2C">
        <w:rPr>
          <w:rFonts w:cs="Arial"/>
          <w:b/>
          <w:sz w:val="20"/>
        </w:rPr>
        <w:t>On Behalf of Constellation NewEnergy, Inc. and Exelon Generation Company, LLC</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sz w:val="20"/>
        </w:rPr>
      </w:pPr>
      <w:r w:rsidRPr="00E02B2C">
        <w:rPr>
          <w:rFonts w:cs="Arial"/>
          <w:sz w:val="20"/>
        </w:rPr>
        <w:t>M. Howard Petricoff</w:t>
      </w:r>
    </w:p>
    <w:p w:rsidR="00E02B2C" w:rsidRPr="00E02B2C" w:rsidRDefault="00E02B2C" w:rsidP="00E02B2C">
      <w:pPr>
        <w:tabs>
          <w:tab w:val="left" w:pos="2160"/>
          <w:tab w:val="left" w:pos="2280"/>
        </w:tabs>
        <w:rPr>
          <w:rFonts w:cs="Arial"/>
          <w:sz w:val="20"/>
        </w:rPr>
      </w:pPr>
      <w:r w:rsidRPr="00E02B2C">
        <w:rPr>
          <w:rFonts w:cs="Arial"/>
          <w:sz w:val="20"/>
        </w:rPr>
        <w:t>Stephen M. Howard</w:t>
      </w:r>
    </w:p>
    <w:p w:rsidR="00E02B2C" w:rsidRPr="00E02B2C" w:rsidRDefault="00E02B2C" w:rsidP="00E02B2C">
      <w:pPr>
        <w:tabs>
          <w:tab w:val="left" w:pos="2160"/>
          <w:tab w:val="left" w:pos="2280"/>
        </w:tabs>
        <w:rPr>
          <w:rFonts w:cs="Arial"/>
          <w:sz w:val="20"/>
        </w:rPr>
      </w:pPr>
      <w:r w:rsidRPr="00E02B2C">
        <w:rPr>
          <w:rFonts w:cs="Arial"/>
          <w:sz w:val="20"/>
        </w:rPr>
        <w:t>Vorys, Sater, Seymour and Pease LLP</w:t>
      </w:r>
    </w:p>
    <w:p w:rsidR="00E02B2C" w:rsidRPr="00E02B2C" w:rsidRDefault="00E02B2C" w:rsidP="00E02B2C">
      <w:pPr>
        <w:tabs>
          <w:tab w:val="left" w:pos="2160"/>
          <w:tab w:val="left" w:pos="2280"/>
        </w:tabs>
        <w:rPr>
          <w:rFonts w:cs="Arial"/>
          <w:sz w:val="20"/>
        </w:rPr>
      </w:pPr>
      <w:r w:rsidRPr="00E02B2C">
        <w:rPr>
          <w:rFonts w:cs="Arial"/>
          <w:sz w:val="20"/>
        </w:rPr>
        <w:t>52 East Gay Street, P.O. Box 1008</w:t>
      </w:r>
    </w:p>
    <w:p w:rsidR="00E02B2C" w:rsidRPr="00E02B2C" w:rsidRDefault="00E02B2C" w:rsidP="00E02B2C">
      <w:pPr>
        <w:tabs>
          <w:tab w:val="left" w:pos="2160"/>
          <w:tab w:val="left" w:pos="2280"/>
        </w:tabs>
        <w:rPr>
          <w:rFonts w:cs="Arial"/>
          <w:sz w:val="20"/>
        </w:rPr>
      </w:pPr>
      <w:r w:rsidRPr="00E02B2C">
        <w:rPr>
          <w:rFonts w:cs="Arial"/>
          <w:sz w:val="20"/>
        </w:rPr>
        <w:t>Columbus, Ohio  43216-1008</w:t>
      </w:r>
    </w:p>
    <w:p w:rsidR="00E02B2C" w:rsidRPr="00E02B2C" w:rsidRDefault="00E02B2C" w:rsidP="00E02B2C">
      <w:pPr>
        <w:tabs>
          <w:tab w:val="left" w:pos="2160"/>
          <w:tab w:val="left" w:pos="2280"/>
        </w:tabs>
        <w:rPr>
          <w:rFonts w:cs="Arial"/>
          <w:sz w:val="20"/>
        </w:rPr>
      </w:pPr>
      <w:r w:rsidRPr="00E02B2C">
        <w:rPr>
          <w:rFonts w:cs="Arial"/>
          <w:sz w:val="20"/>
        </w:rPr>
        <w:t>mhpetrocoff@vorys.com</w:t>
      </w:r>
    </w:p>
    <w:p w:rsidR="00E02B2C" w:rsidRPr="00E02B2C" w:rsidRDefault="00E02B2C" w:rsidP="00E02B2C">
      <w:pPr>
        <w:tabs>
          <w:tab w:val="left" w:pos="2160"/>
          <w:tab w:val="left" w:pos="2280"/>
        </w:tabs>
        <w:rPr>
          <w:rFonts w:cs="Arial"/>
          <w:sz w:val="20"/>
        </w:rPr>
      </w:pPr>
      <w:r w:rsidRPr="00E02B2C">
        <w:rPr>
          <w:rFonts w:cs="Arial"/>
          <w:sz w:val="20"/>
        </w:rPr>
        <w:t>smhoward@vorys.com</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sz w:val="20"/>
        </w:rPr>
      </w:pPr>
      <w:r w:rsidRPr="00E02B2C">
        <w:rPr>
          <w:rFonts w:cs="Arial"/>
          <w:b/>
          <w:sz w:val="20"/>
        </w:rPr>
        <w:t>On Behalf of Interstate Gas Supply, Inc.</w:t>
      </w:r>
      <w:r w:rsidR="007E5150">
        <w:rPr>
          <w:rFonts w:cs="Arial"/>
          <w:b/>
          <w:sz w:val="20"/>
        </w:rPr>
        <w:t xml:space="preserve"> and Retail Energy Supply Association</w:t>
      </w:r>
    </w:p>
    <w:p w:rsidR="00E02B2C" w:rsidRPr="00E02B2C" w:rsidRDefault="00E02B2C" w:rsidP="00E02B2C">
      <w:pPr>
        <w:tabs>
          <w:tab w:val="left" w:pos="2160"/>
          <w:tab w:val="left" w:pos="2280"/>
        </w:tabs>
        <w:rPr>
          <w:rFonts w:cs="Arial"/>
          <w:sz w:val="20"/>
        </w:rPr>
      </w:pPr>
      <w:r w:rsidRPr="00E02B2C">
        <w:rPr>
          <w:rFonts w:cs="Arial"/>
          <w:sz w:val="20"/>
        </w:rPr>
        <w:br w:type="column"/>
      </w:r>
      <w:r w:rsidRPr="00E02B2C">
        <w:rPr>
          <w:rFonts w:cs="Arial"/>
          <w:sz w:val="20"/>
        </w:rPr>
        <w:lastRenderedPageBreak/>
        <w:t>Jay E. Jadwin</w:t>
      </w:r>
    </w:p>
    <w:p w:rsidR="00E02B2C" w:rsidRPr="00E02B2C" w:rsidRDefault="00E02B2C" w:rsidP="00E02B2C">
      <w:pPr>
        <w:tabs>
          <w:tab w:val="left" w:pos="2160"/>
          <w:tab w:val="left" w:pos="2280"/>
        </w:tabs>
        <w:rPr>
          <w:rFonts w:cs="Arial"/>
          <w:sz w:val="20"/>
        </w:rPr>
      </w:pPr>
      <w:r w:rsidRPr="00E02B2C">
        <w:rPr>
          <w:rFonts w:cs="Arial"/>
          <w:sz w:val="20"/>
        </w:rPr>
        <w:t>Yazen Alami</w:t>
      </w:r>
    </w:p>
    <w:p w:rsidR="00E02B2C" w:rsidRPr="00E02B2C" w:rsidRDefault="00E02B2C" w:rsidP="00E02B2C">
      <w:pPr>
        <w:tabs>
          <w:tab w:val="left" w:pos="2160"/>
          <w:tab w:val="left" w:pos="2280"/>
        </w:tabs>
        <w:rPr>
          <w:rFonts w:cs="Arial"/>
          <w:sz w:val="20"/>
        </w:rPr>
      </w:pPr>
      <w:r w:rsidRPr="00E02B2C">
        <w:rPr>
          <w:rFonts w:cs="Arial"/>
          <w:sz w:val="20"/>
        </w:rPr>
        <w:t>American Electric Power Service Corporation</w:t>
      </w:r>
    </w:p>
    <w:p w:rsidR="00E02B2C" w:rsidRPr="00E02B2C" w:rsidRDefault="00E02B2C" w:rsidP="00E02B2C">
      <w:pPr>
        <w:tabs>
          <w:tab w:val="left" w:pos="2160"/>
          <w:tab w:val="left" w:pos="2280"/>
        </w:tabs>
        <w:rPr>
          <w:rFonts w:cs="Arial"/>
          <w:sz w:val="20"/>
        </w:rPr>
      </w:pPr>
      <w:r w:rsidRPr="00E02B2C">
        <w:rPr>
          <w:rFonts w:cs="Arial"/>
          <w:sz w:val="20"/>
        </w:rPr>
        <w:t>155 Nationwide Ave.</w:t>
      </w:r>
    </w:p>
    <w:p w:rsidR="00E02B2C" w:rsidRPr="00E02B2C" w:rsidRDefault="00E02B2C" w:rsidP="00E02B2C">
      <w:pPr>
        <w:tabs>
          <w:tab w:val="left" w:pos="2160"/>
          <w:tab w:val="left" w:pos="2280"/>
        </w:tabs>
        <w:rPr>
          <w:rFonts w:cs="Arial"/>
          <w:sz w:val="20"/>
        </w:rPr>
      </w:pPr>
      <w:r w:rsidRPr="00E02B2C">
        <w:rPr>
          <w:rFonts w:cs="Arial"/>
          <w:sz w:val="20"/>
        </w:rPr>
        <w:t>Columbus, Ohio  43215</w:t>
      </w:r>
    </w:p>
    <w:p w:rsidR="00E02B2C" w:rsidRPr="00E02B2C" w:rsidRDefault="00E02B2C" w:rsidP="00E02B2C">
      <w:pPr>
        <w:tabs>
          <w:tab w:val="left" w:pos="2160"/>
          <w:tab w:val="left" w:pos="2280"/>
        </w:tabs>
        <w:rPr>
          <w:rFonts w:cs="Arial"/>
          <w:sz w:val="20"/>
        </w:rPr>
      </w:pPr>
      <w:r w:rsidRPr="00E02B2C">
        <w:rPr>
          <w:rFonts w:cs="Arial"/>
          <w:sz w:val="20"/>
        </w:rPr>
        <w:t>jejadwin@aep.com</w:t>
      </w:r>
    </w:p>
    <w:p w:rsidR="00E02B2C" w:rsidRPr="00E02B2C" w:rsidRDefault="00E02B2C" w:rsidP="00E02B2C">
      <w:pPr>
        <w:tabs>
          <w:tab w:val="left" w:pos="2160"/>
          <w:tab w:val="left" w:pos="2280"/>
        </w:tabs>
        <w:rPr>
          <w:rFonts w:cs="Arial"/>
          <w:sz w:val="20"/>
        </w:rPr>
      </w:pPr>
      <w:r w:rsidRPr="00E02B2C">
        <w:rPr>
          <w:rFonts w:cs="Arial"/>
          <w:sz w:val="20"/>
        </w:rPr>
        <w:t>yalami@aep.com</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b/>
          <w:sz w:val="20"/>
        </w:rPr>
      </w:pPr>
      <w:r w:rsidRPr="00E02B2C">
        <w:rPr>
          <w:rFonts w:cs="Arial"/>
          <w:b/>
          <w:sz w:val="20"/>
        </w:rPr>
        <w:t>On Behalf of AEP Energy</w:t>
      </w:r>
    </w:p>
    <w:p w:rsidR="00E02B2C" w:rsidRPr="00E02B2C" w:rsidRDefault="00E02B2C" w:rsidP="00E02B2C">
      <w:pPr>
        <w:tabs>
          <w:tab w:val="left" w:pos="2160"/>
          <w:tab w:val="left" w:pos="2280"/>
        </w:tabs>
        <w:rPr>
          <w:rFonts w:cs="Arial"/>
          <w:sz w:val="20"/>
        </w:rPr>
      </w:pPr>
    </w:p>
    <w:p w:rsidR="00E02B2C" w:rsidRPr="00E02B2C" w:rsidRDefault="00E02B2C" w:rsidP="00E02B2C">
      <w:pPr>
        <w:rPr>
          <w:rFonts w:cs="Arial"/>
          <w:sz w:val="20"/>
        </w:rPr>
      </w:pPr>
      <w:r w:rsidRPr="00E02B2C">
        <w:rPr>
          <w:rFonts w:cs="Arial"/>
          <w:sz w:val="20"/>
        </w:rPr>
        <w:t>Samuel C. Randazzo (Counsel of Record)</w:t>
      </w:r>
    </w:p>
    <w:p w:rsidR="00E02B2C" w:rsidRPr="00E02B2C" w:rsidRDefault="00E02B2C" w:rsidP="00E02B2C">
      <w:pPr>
        <w:rPr>
          <w:rFonts w:cs="Arial"/>
          <w:b/>
          <w:bCs/>
          <w:sz w:val="20"/>
        </w:rPr>
      </w:pPr>
      <w:r w:rsidRPr="00E02B2C">
        <w:rPr>
          <w:rFonts w:cs="Arial"/>
          <w:bCs/>
          <w:sz w:val="20"/>
        </w:rPr>
        <w:t>Frank P. Darr</w:t>
      </w:r>
    </w:p>
    <w:p w:rsidR="00E02B2C" w:rsidRPr="00E02B2C" w:rsidRDefault="00E02B2C" w:rsidP="00E02B2C">
      <w:pPr>
        <w:rPr>
          <w:rFonts w:cs="Arial"/>
          <w:b/>
          <w:bCs/>
          <w:sz w:val="20"/>
        </w:rPr>
      </w:pPr>
      <w:r w:rsidRPr="00E02B2C">
        <w:rPr>
          <w:rFonts w:cs="Arial"/>
          <w:bCs/>
          <w:sz w:val="20"/>
        </w:rPr>
        <w:t>Joseph E. Oliker</w:t>
      </w:r>
    </w:p>
    <w:p w:rsidR="00E02B2C" w:rsidRPr="00E02B2C" w:rsidRDefault="00E02B2C" w:rsidP="00E02B2C">
      <w:pPr>
        <w:rPr>
          <w:rFonts w:cs="Arial"/>
          <w:b/>
          <w:bCs/>
          <w:sz w:val="20"/>
        </w:rPr>
      </w:pPr>
      <w:r w:rsidRPr="00E02B2C">
        <w:rPr>
          <w:rFonts w:cs="Arial"/>
          <w:bCs/>
          <w:sz w:val="20"/>
        </w:rPr>
        <w:t>Matthew R. Pritchard</w:t>
      </w:r>
    </w:p>
    <w:p w:rsidR="00E02B2C" w:rsidRPr="00E02B2C" w:rsidRDefault="00E02B2C" w:rsidP="00E02B2C">
      <w:pPr>
        <w:rPr>
          <w:rFonts w:cs="Arial"/>
          <w:b/>
          <w:bCs/>
          <w:smallCaps/>
          <w:sz w:val="20"/>
        </w:rPr>
      </w:pPr>
      <w:r w:rsidRPr="00E02B2C">
        <w:rPr>
          <w:rFonts w:cs="Arial"/>
          <w:bCs/>
          <w:smallCaps/>
          <w:sz w:val="20"/>
        </w:rPr>
        <w:t>McNees Wallace &amp; Nurick LLC</w:t>
      </w:r>
    </w:p>
    <w:p w:rsidR="00E02B2C" w:rsidRPr="00E02B2C" w:rsidRDefault="00E02B2C" w:rsidP="00E02B2C">
      <w:pPr>
        <w:rPr>
          <w:rFonts w:cs="Arial"/>
          <w:b/>
          <w:bCs/>
          <w:sz w:val="20"/>
        </w:rPr>
      </w:pPr>
      <w:r w:rsidRPr="00E02B2C">
        <w:rPr>
          <w:rFonts w:cs="Arial"/>
          <w:bCs/>
          <w:sz w:val="20"/>
        </w:rPr>
        <w:t>21 East State Street, 17</w:t>
      </w:r>
      <w:r w:rsidRPr="00E02B2C">
        <w:rPr>
          <w:rFonts w:cs="Arial"/>
          <w:bCs/>
          <w:sz w:val="20"/>
          <w:vertAlign w:val="superscript"/>
        </w:rPr>
        <w:t>TH</w:t>
      </w:r>
      <w:r w:rsidRPr="00E02B2C">
        <w:rPr>
          <w:rFonts w:cs="Arial"/>
          <w:bCs/>
          <w:sz w:val="20"/>
        </w:rPr>
        <w:t xml:space="preserve"> Floor</w:t>
      </w:r>
    </w:p>
    <w:p w:rsidR="00E02B2C" w:rsidRPr="00E02B2C" w:rsidRDefault="00E02B2C" w:rsidP="00E02B2C">
      <w:pPr>
        <w:rPr>
          <w:rFonts w:cs="Arial"/>
          <w:sz w:val="20"/>
        </w:rPr>
      </w:pPr>
      <w:r w:rsidRPr="00E02B2C">
        <w:rPr>
          <w:rFonts w:cs="Arial"/>
          <w:sz w:val="20"/>
        </w:rPr>
        <w:t>Columbus, OH  43215</w:t>
      </w:r>
    </w:p>
    <w:p w:rsidR="00E02B2C" w:rsidRPr="00E02B2C" w:rsidRDefault="00E02B2C" w:rsidP="00E02B2C">
      <w:pPr>
        <w:rPr>
          <w:rFonts w:cs="Arial"/>
          <w:sz w:val="20"/>
        </w:rPr>
      </w:pPr>
      <w:r w:rsidRPr="00E02B2C">
        <w:rPr>
          <w:rFonts w:cs="Arial"/>
          <w:sz w:val="20"/>
        </w:rPr>
        <w:t>Telephone:  (614) 469-8000</w:t>
      </w:r>
    </w:p>
    <w:p w:rsidR="00E02B2C" w:rsidRPr="00E02B2C" w:rsidRDefault="00E02B2C" w:rsidP="00E02B2C">
      <w:pPr>
        <w:rPr>
          <w:rFonts w:cs="Arial"/>
          <w:sz w:val="20"/>
        </w:rPr>
      </w:pPr>
      <w:r w:rsidRPr="00E02B2C">
        <w:rPr>
          <w:rFonts w:cs="Arial"/>
          <w:sz w:val="20"/>
        </w:rPr>
        <w:t>Telecopier:  (614) 469-4653</w:t>
      </w:r>
    </w:p>
    <w:p w:rsidR="00E02B2C" w:rsidRPr="00E02B2C" w:rsidRDefault="00E02B2C" w:rsidP="00E02B2C">
      <w:pPr>
        <w:rPr>
          <w:rFonts w:cs="Arial"/>
          <w:sz w:val="20"/>
        </w:rPr>
      </w:pPr>
      <w:r w:rsidRPr="00E02B2C">
        <w:rPr>
          <w:rFonts w:cs="Arial"/>
          <w:sz w:val="20"/>
        </w:rPr>
        <w:t>sam@mwncmh.com</w:t>
      </w:r>
    </w:p>
    <w:p w:rsidR="00E02B2C" w:rsidRPr="00E02B2C" w:rsidRDefault="00E02B2C" w:rsidP="00E02B2C">
      <w:pPr>
        <w:rPr>
          <w:rFonts w:cs="Arial"/>
          <w:sz w:val="20"/>
        </w:rPr>
      </w:pPr>
      <w:r w:rsidRPr="00E02B2C">
        <w:rPr>
          <w:rFonts w:cs="Arial"/>
          <w:sz w:val="20"/>
        </w:rPr>
        <w:t>fdarr@mwncmh.com</w:t>
      </w:r>
    </w:p>
    <w:p w:rsidR="00E02B2C" w:rsidRPr="00E02B2C" w:rsidRDefault="00E02B2C" w:rsidP="00E02B2C">
      <w:pPr>
        <w:rPr>
          <w:rFonts w:cs="Arial"/>
          <w:color w:val="000000" w:themeColor="text1"/>
          <w:sz w:val="20"/>
        </w:rPr>
      </w:pPr>
      <w:r w:rsidRPr="00E02B2C">
        <w:rPr>
          <w:rFonts w:cs="Arial"/>
          <w:sz w:val="20"/>
        </w:rPr>
        <w:t>joliker@mwncmh.com</w:t>
      </w:r>
    </w:p>
    <w:p w:rsidR="00E02B2C" w:rsidRPr="00E02B2C" w:rsidRDefault="00E02B2C" w:rsidP="00E02B2C">
      <w:pPr>
        <w:rPr>
          <w:rFonts w:cs="Arial"/>
          <w:sz w:val="20"/>
        </w:rPr>
      </w:pPr>
      <w:r w:rsidRPr="00E02B2C">
        <w:rPr>
          <w:rFonts w:cs="Arial"/>
          <w:sz w:val="20"/>
        </w:rPr>
        <w:t>mpritchard@mwncmh.com</w:t>
      </w:r>
    </w:p>
    <w:p w:rsidR="00E02B2C" w:rsidRPr="00E02B2C" w:rsidRDefault="00E02B2C" w:rsidP="00E02B2C">
      <w:pPr>
        <w:rPr>
          <w:rFonts w:cs="Arial"/>
          <w:smallCaps/>
          <w:sz w:val="20"/>
        </w:rPr>
      </w:pPr>
    </w:p>
    <w:p w:rsidR="00E02B2C" w:rsidRPr="00E02B2C" w:rsidRDefault="00E02B2C" w:rsidP="00E02B2C">
      <w:pPr>
        <w:rPr>
          <w:rFonts w:cs="Arial"/>
          <w:color w:val="000000"/>
          <w:sz w:val="20"/>
        </w:rPr>
      </w:pPr>
      <w:r w:rsidRPr="00E02B2C">
        <w:rPr>
          <w:rFonts w:cs="Arial"/>
          <w:color w:val="000000"/>
          <w:sz w:val="20"/>
        </w:rPr>
        <w:t>Mr. Thomas W. Craven</w:t>
      </w:r>
    </w:p>
    <w:p w:rsidR="00E02B2C" w:rsidRPr="00E02B2C" w:rsidRDefault="00E02B2C" w:rsidP="00E02B2C">
      <w:pPr>
        <w:rPr>
          <w:rFonts w:cs="Arial"/>
          <w:color w:val="000000"/>
          <w:sz w:val="20"/>
        </w:rPr>
      </w:pPr>
      <w:r w:rsidRPr="00E02B2C">
        <w:rPr>
          <w:rFonts w:cs="Arial"/>
          <w:color w:val="000000"/>
          <w:sz w:val="20"/>
        </w:rPr>
        <w:t>Vice President – Supply Chain Management</w:t>
      </w:r>
    </w:p>
    <w:p w:rsidR="00E02B2C" w:rsidRPr="00E02B2C" w:rsidRDefault="00E02B2C" w:rsidP="00E02B2C">
      <w:pPr>
        <w:rPr>
          <w:rFonts w:cs="Arial"/>
          <w:color w:val="000000"/>
          <w:sz w:val="20"/>
        </w:rPr>
      </w:pPr>
      <w:r w:rsidRPr="00E02B2C">
        <w:rPr>
          <w:rFonts w:cs="Arial"/>
          <w:color w:val="000000"/>
          <w:sz w:val="20"/>
        </w:rPr>
        <w:t>Wausau Paper Corp.</w:t>
      </w:r>
    </w:p>
    <w:p w:rsidR="00E02B2C" w:rsidRPr="00E02B2C" w:rsidRDefault="00E02B2C" w:rsidP="00E02B2C">
      <w:pPr>
        <w:rPr>
          <w:rFonts w:cs="Arial"/>
          <w:color w:val="000000"/>
          <w:sz w:val="20"/>
        </w:rPr>
      </w:pPr>
      <w:r w:rsidRPr="00E02B2C">
        <w:rPr>
          <w:rFonts w:cs="Arial"/>
          <w:color w:val="000000"/>
          <w:sz w:val="20"/>
        </w:rPr>
        <w:t>200 Paper Place</w:t>
      </w:r>
    </w:p>
    <w:p w:rsidR="00E02B2C" w:rsidRPr="00E02B2C" w:rsidRDefault="00E02B2C" w:rsidP="00E02B2C">
      <w:pPr>
        <w:rPr>
          <w:rFonts w:cs="Arial"/>
          <w:color w:val="000000"/>
          <w:sz w:val="20"/>
        </w:rPr>
      </w:pPr>
      <w:r w:rsidRPr="00E02B2C">
        <w:rPr>
          <w:rFonts w:cs="Arial"/>
          <w:color w:val="000000"/>
          <w:sz w:val="20"/>
        </w:rPr>
        <w:t>Mosinee, Wisconsin 54455-9099</w:t>
      </w:r>
    </w:p>
    <w:p w:rsidR="00E02B2C" w:rsidRPr="00E02B2C" w:rsidRDefault="00E02B2C" w:rsidP="00E02B2C">
      <w:pPr>
        <w:rPr>
          <w:rFonts w:cs="Arial"/>
          <w:color w:val="000000"/>
          <w:sz w:val="20"/>
        </w:rPr>
      </w:pPr>
      <w:r w:rsidRPr="00E02B2C">
        <w:rPr>
          <w:rFonts w:cs="Arial"/>
          <w:color w:val="000000"/>
          <w:sz w:val="20"/>
        </w:rPr>
        <w:t>tcraven@wausaupaper.com</w:t>
      </w:r>
    </w:p>
    <w:p w:rsidR="00E02B2C" w:rsidRPr="00E02B2C" w:rsidRDefault="00E02B2C" w:rsidP="00E02B2C">
      <w:pPr>
        <w:rPr>
          <w:rFonts w:cs="Arial"/>
          <w:sz w:val="20"/>
        </w:rPr>
      </w:pPr>
    </w:p>
    <w:p w:rsidR="00E02B2C" w:rsidRPr="00E02B2C" w:rsidRDefault="00E02B2C" w:rsidP="00E02B2C">
      <w:pPr>
        <w:rPr>
          <w:rFonts w:cs="Arial"/>
          <w:color w:val="000000"/>
          <w:sz w:val="20"/>
        </w:rPr>
      </w:pPr>
      <w:r w:rsidRPr="00E02B2C">
        <w:rPr>
          <w:rFonts w:cs="Arial"/>
          <w:color w:val="000000"/>
          <w:sz w:val="20"/>
        </w:rPr>
        <w:t>Mr. Lawrence W. Thompson</w:t>
      </w:r>
    </w:p>
    <w:p w:rsidR="00E02B2C" w:rsidRPr="00E02B2C" w:rsidRDefault="00E02B2C" w:rsidP="00E02B2C">
      <w:pPr>
        <w:rPr>
          <w:rFonts w:cs="Arial"/>
          <w:color w:val="000000"/>
          <w:sz w:val="20"/>
        </w:rPr>
      </w:pPr>
      <w:r w:rsidRPr="00E02B2C">
        <w:rPr>
          <w:rFonts w:cs="Arial"/>
          <w:color w:val="000000"/>
          <w:sz w:val="20"/>
        </w:rPr>
        <w:t>Energy Consultant</w:t>
      </w:r>
    </w:p>
    <w:p w:rsidR="00E02B2C" w:rsidRPr="00E02B2C" w:rsidRDefault="00E02B2C" w:rsidP="00E02B2C">
      <w:pPr>
        <w:rPr>
          <w:rFonts w:cs="Arial"/>
          <w:color w:val="000000"/>
          <w:sz w:val="20"/>
        </w:rPr>
      </w:pPr>
      <w:r w:rsidRPr="00E02B2C">
        <w:rPr>
          <w:rFonts w:cs="Arial"/>
          <w:color w:val="000000"/>
          <w:sz w:val="20"/>
        </w:rPr>
        <w:t>Energy Strategies, Inc.</w:t>
      </w:r>
    </w:p>
    <w:p w:rsidR="00E02B2C" w:rsidRPr="00E02B2C" w:rsidRDefault="00E02B2C" w:rsidP="00E02B2C">
      <w:pPr>
        <w:rPr>
          <w:rFonts w:cs="Arial"/>
          <w:color w:val="000000"/>
          <w:sz w:val="20"/>
        </w:rPr>
      </w:pPr>
      <w:r w:rsidRPr="00E02B2C">
        <w:rPr>
          <w:rFonts w:cs="Arial"/>
          <w:color w:val="000000"/>
          <w:sz w:val="20"/>
        </w:rPr>
        <w:t>525 South Main Street, Suite 900</w:t>
      </w:r>
    </w:p>
    <w:p w:rsidR="00E02B2C" w:rsidRPr="00E02B2C" w:rsidRDefault="00E02B2C" w:rsidP="00E02B2C">
      <w:pPr>
        <w:rPr>
          <w:rFonts w:cs="Arial"/>
          <w:color w:val="000000"/>
          <w:sz w:val="20"/>
        </w:rPr>
      </w:pPr>
      <w:r w:rsidRPr="00E02B2C">
        <w:rPr>
          <w:rFonts w:cs="Arial"/>
          <w:color w:val="000000"/>
          <w:sz w:val="20"/>
        </w:rPr>
        <w:t>Tulsa, Oklahoma 74103-4510</w:t>
      </w:r>
    </w:p>
    <w:p w:rsidR="00E02B2C" w:rsidRPr="00E02B2C" w:rsidRDefault="00E02B2C" w:rsidP="00E02B2C">
      <w:pPr>
        <w:rPr>
          <w:rFonts w:cs="Arial"/>
          <w:sz w:val="20"/>
        </w:rPr>
      </w:pPr>
      <w:r w:rsidRPr="00E02B2C">
        <w:rPr>
          <w:rFonts w:cs="Arial"/>
          <w:sz w:val="20"/>
        </w:rPr>
        <w:t>lthompson@energy-strategies.com</w:t>
      </w:r>
    </w:p>
    <w:p w:rsidR="00E02B2C" w:rsidRPr="00E02B2C" w:rsidRDefault="00E02B2C" w:rsidP="00E02B2C">
      <w:pPr>
        <w:rPr>
          <w:rFonts w:cs="Arial"/>
          <w:color w:val="000000"/>
          <w:sz w:val="20"/>
        </w:rPr>
      </w:pPr>
    </w:p>
    <w:p w:rsidR="00E02B2C" w:rsidRPr="00E02B2C" w:rsidRDefault="00E02B2C" w:rsidP="00E02B2C">
      <w:pPr>
        <w:rPr>
          <w:rFonts w:cs="Arial"/>
          <w:color w:val="000000"/>
          <w:sz w:val="20"/>
        </w:rPr>
      </w:pPr>
      <w:r w:rsidRPr="00E02B2C">
        <w:rPr>
          <w:rFonts w:cs="Arial"/>
          <w:color w:val="000000"/>
          <w:sz w:val="20"/>
        </w:rPr>
        <w:t>Ms. Karen Campbell</w:t>
      </w:r>
    </w:p>
    <w:p w:rsidR="00E02B2C" w:rsidRPr="00E02B2C" w:rsidRDefault="00E02B2C" w:rsidP="00E02B2C">
      <w:pPr>
        <w:rPr>
          <w:rFonts w:cs="Arial"/>
          <w:color w:val="000000"/>
          <w:sz w:val="20"/>
        </w:rPr>
      </w:pPr>
      <w:r w:rsidRPr="00E02B2C">
        <w:rPr>
          <w:rFonts w:cs="Arial"/>
          <w:color w:val="000000"/>
          <w:sz w:val="20"/>
        </w:rPr>
        <w:t>Energy Consultant</w:t>
      </w:r>
    </w:p>
    <w:p w:rsidR="00E02B2C" w:rsidRPr="00E02B2C" w:rsidRDefault="00E02B2C" w:rsidP="00E02B2C">
      <w:pPr>
        <w:rPr>
          <w:rFonts w:cs="Arial"/>
          <w:color w:val="000000"/>
          <w:sz w:val="20"/>
        </w:rPr>
      </w:pPr>
      <w:r w:rsidRPr="00E02B2C">
        <w:rPr>
          <w:rFonts w:cs="Arial"/>
          <w:color w:val="000000"/>
          <w:sz w:val="20"/>
        </w:rPr>
        <w:t>Energy Strategies, Inc.</w:t>
      </w:r>
    </w:p>
    <w:p w:rsidR="00E02B2C" w:rsidRPr="00E02B2C" w:rsidRDefault="00E02B2C" w:rsidP="00E02B2C">
      <w:pPr>
        <w:rPr>
          <w:rFonts w:cs="Arial"/>
          <w:color w:val="000000"/>
          <w:sz w:val="20"/>
        </w:rPr>
      </w:pPr>
      <w:r w:rsidRPr="00E02B2C">
        <w:rPr>
          <w:rFonts w:cs="Arial"/>
          <w:color w:val="000000"/>
          <w:sz w:val="20"/>
        </w:rPr>
        <w:t>525 South Main Street, Suite 900</w:t>
      </w:r>
    </w:p>
    <w:p w:rsidR="00E02B2C" w:rsidRPr="00E02B2C" w:rsidRDefault="00E02B2C" w:rsidP="00E02B2C">
      <w:pPr>
        <w:rPr>
          <w:rFonts w:cs="Arial"/>
          <w:color w:val="000000"/>
          <w:sz w:val="20"/>
        </w:rPr>
      </w:pPr>
      <w:r w:rsidRPr="00E02B2C">
        <w:rPr>
          <w:rFonts w:cs="Arial"/>
          <w:color w:val="000000"/>
          <w:sz w:val="20"/>
        </w:rPr>
        <w:t>Tulsa, Oklahoma 74103-4510</w:t>
      </w:r>
    </w:p>
    <w:p w:rsidR="00E02B2C" w:rsidRPr="00E02B2C" w:rsidRDefault="00E02B2C" w:rsidP="00E02B2C">
      <w:pPr>
        <w:rPr>
          <w:rFonts w:cs="Arial"/>
          <w:color w:val="000000"/>
          <w:sz w:val="20"/>
        </w:rPr>
      </w:pPr>
      <w:r w:rsidRPr="00E02B2C">
        <w:rPr>
          <w:rFonts w:cs="Arial"/>
          <w:color w:val="000000"/>
          <w:sz w:val="20"/>
        </w:rPr>
        <w:t>kcampbell@energy-strategies.com</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b/>
          <w:sz w:val="20"/>
        </w:rPr>
      </w:pPr>
      <w:r w:rsidRPr="00E02B2C">
        <w:rPr>
          <w:rFonts w:cs="Arial"/>
          <w:b/>
          <w:sz w:val="20"/>
        </w:rPr>
        <w:t>On Behalf of Wausau Paper Towel &amp; Tissue, LLC</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sz w:val="20"/>
        </w:rPr>
      </w:pPr>
      <w:r w:rsidRPr="00E02B2C">
        <w:rPr>
          <w:rFonts w:cs="Arial"/>
          <w:sz w:val="20"/>
        </w:rPr>
        <w:br w:type="column"/>
      </w:r>
      <w:r w:rsidRPr="00E02B2C">
        <w:rPr>
          <w:rFonts w:cs="Arial"/>
          <w:sz w:val="20"/>
        </w:rPr>
        <w:lastRenderedPageBreak/>
        <w:t>Steven T. Nourse</w:t>
      </w:r>
    </w:p>
    <w:p w:rsidR="00E02B2C" w:rsidRPr="00E02B2C" w:rsidRDefault="00E02B2C" w:rsidP="00E02B2C">
      <w:pPr>
        <w:tabs>
          <w:tab w:val="left" w:pos="2160"/>
          <w:tab w:val="left" w:pos="2280"/>
        </w:tabs>
        <w:rPr>
          <w:rFonts w:cs="Arial"/>
          <w:sz w:val="20"/>
        </w:rPr>
      </w:pPr>
      <w:r w:rsidRPr="00E02B2C">
        <w:rPr>
          <w:rFonts w:cs="Arial"/>
          <w:sz w:val="20"/>
        </w:rPr>
        <w:t>Matthew J. Satterwhite</w:t>
      </w:r>
    </w:p>
    <w:p w:rsidR="00E02B2C" w:rsidRPr="00E02B2C" w:rsidRDefault="00E02B2C" w:rsidP="00E02B2C">
      <w:pPr>
        <w:tabs>
          <w:tab w:val="left" w:pos="2160"/>
          <w:tab w:val="left" w:pos="2280"/>
        </w:tabs>
        <w:rPr>
          <w:rFonts w:cs="Arial"/>
          <w:sz w:val="20"/>
        </w:rPr>
      </w:pPr>
      <w:r w:rsidRPr="00E02B2C">
        <w:rPr>
          <w:rFonts w:cs="Arial"/>
          <w:sz w:val="20"/>
        </w:rPr>
        <w:t>American Electric Power Service Corp.</w:t>
      </w:r>
    </w:p>
    <w:p w:rsidR="00E02B2C" w:rsidRPr="00E02B2C" w:rsidRDefault="00E02B2C" w:rsidP="00E02B2C">
      <w:pPr>
        <w:tabs>
          <w:tab w:val="left" w:pos="2160"/>
          <w:tab w:val="left" w:pos="2280"/>
        </w:tabs>
        <w:rPr>
          <w:rFonts w:cs="Arial"/>
          <w:sz w:val="20"/>
        </w:rPr>
      </w:pPr>
      <w:r w:rsidRPr="00E02B2C">
        <w:rPr>
          <w:rFonts w:cs="Arial"/>
          <w:sz w:val="20"/>
        </w:rPr>
        <w:t>1 Riverside Plaza 29</w:t>
      </w:r>
      <w:r w:rsidRPr="00E02B2C">
        <w:rPr>
          <w:rFonts w:cs="Arial"/>
          <w:sz w:val="20"/>
          <w:vertAlign w:val="superscript"/>
        </w:rPr>
        <w:t>th</w:t>
      </w:r>
      <w:r w:rsidRPr="00E02B2C">
        <w:rPr>
          <w:rFonts w:cs="Arial"/>
          <w:sz w:val="20"/>
        </w:rPr>
        <w:t xml:space="preserve"> Floor</w:t>
      </w:r>
    </w:p>
    <w:p w:rsidR="00E02B2C" w:rsidRPr="00E02B2C" w:rsidRDefault="00E02B2C" w:rsidP="00E02B2C">
      <w:pPr>
        <w:tabs>
          <w:tab w:val="left" w:pos="2160"/>
          <w:tab w:val="left" w:pos="2280"/>
        </w:tabs>
        <w:rPr>
          <w:rFonts w:cs="Arial"/>
          <w:sz w:val="20"/>
        </w:rPr>
      </w:pPr>
      <w:r w:rsidRPr="00E02B2C">
        <w:rPr>
          <w:rFonts w:cs="Arial"/>
          <w:sz w:val="20"/>
        </w:rPr>
        <w:t>Columbus, Ohio  43215</w:t>
      </w:r>
    </w:p>
    <w:p w:rsidR="00E02B2C" w:rsidRPr="00E02B2C" w:rsidRDefault="00E02B2C" w:rsidP="00E02B2C">
      <w:pPr>
        <w:tabs>
          <w:tab w:val="left" w:pos="2160"/>
          <w:tab w:val="left" w:pos="2280"/>
        </w:tabs>
        <w:rPr>
          <w:rFonts w:cs="Arial"/>
          <w:sz w:val="20"/>
        </w:rPr>
      </w:pPr>
      <w:r w:rsidRPr="00E02B2C">
        <w:rPr>
          <w:rFonts w:cs="Arial"/>
          <w:sz w:val="20"/>
        </w:rPr>
        <w:t>stnourse@aep.com</w:t>
      </w:r>
    </w:p>
    <w:p w:rsidR="00E02B2C" w:rsidRPr="00E02B2C" w:rsidRDefault="00E02B2C" w:rsidP="00E02B2C">
      <w:pPr>
        <w:tabs>
          <w:tab w:val="left" w:pos="2160"/>
          <w:tab w:val="left" w:pos="2280"/>
        </w:tabs>
        <w:rPr>
          <w:rFonts w:cs="Arial"/>
          <w:sz w:val="20"/>
        </w:rPr>
      </w:pPr>
      <w:r w:rsidRPr="00E02B2C">
        <w:rPr>
          <w:rFonts w:cs="Arial"/>
          <w:sz w:val="20"/>
        </w:rPr>
        <w:t>mjsatterwhite@aep.com</w:t>
      </w:r>
    </w:p>
    <w:p w:rsidR="00E02B2C" w:rsidRPr="00E02B2C" w:rsidRDefault="00E02B2C" w:rsidP="00E02B2C">
      <w:pPr>
        <w:tabs>
          <w:tab w:val="left" w:pos="2160"/>
          <w:tab w:val="left" w:pos="2280"/>
        </w:tabs>
        <w:rPr>
          <w:rFonts w:cs="Arial"/>
          <w:b/>
          <w:sz w:val="20"/>
        </w:rPr>
      </w:pPr>
    </w:p>
    <w:p w:rsidR="00E02B2C" w:rsidRPr="00E02B2C" w:rsidRDefault="00E02B2C" w:rsidP="00E02B2C">
      <w:pPr>
        <w:tabs>
          <w:tab w:val="left" w:pos="2160"/>
          <w:tab w:val="left" w:pos="2280"/>
        </w:tabs>
        <w:rPr>
          <w:rFonts w:cs="Arial"/>
          <w:sz w:val="20"/>
        </w:rPr>
      </w:pPr>
      <w:r w:rsidRPr="00E02B2C">
        <w:rPr>
          <w:rFonts w:cs="Arial"/>
          <w:b/>
          <w:sz w:val="20"/>
        </w:rPr>
        <w:t>On Behalf of Ohio Power Company</w:t>
      </w:r>
    </w:p>
    <w:p w:rsidR="00E02B2C" w:rsidRPr="00E02B2C" w:rsidRDefault="00E02B2C" w:rsidP="00E02B2C">
      <w:pPr>
        <w:tabs>
          <w:tab w:val="left" w:pos="2160"/>
          <w:tab w:val="left" w:pos="2280"/>
        </w:tabs>
        <w:rPr>
          <w:rFonts w:cs="Arial"/>
          <w:sz w:val="20"/>
        </w:rPr>
      </w:pPr>
    </w:p>
    <w:p w:rsidR="007E5150" w:rsidRDefault="007E5150" w:rsidP="00E02B2C">
      <w:pPr>
        <w:tabs>
          <w:tab w:val="left" w:pos="2160"/>
          <w:tab w:val="left" w:pos="2280"/>
        </w:tabs>
        <w:rPr>
          <w:rFonts w:cs="Arial"/>
          <w:sz w:val="20"/>
        </w:rPr>
      </w:pPr>
      <w:r>
        <w:rPr>
          <w:rFonts w:cs="Arial"/>
          <w:sz w:val="20"/>
        </w:rPr>
        <w:t>M. Howard Petricoff</w:t>
      </w:r>
    </w:p>
    <w:p w:rsidR="007E5150" w:rsidRDefault="007E5150" w:rsidP="00E02B2C">
      <w:pPr>
        <w:tabs>
          <w:tab w:val="left" w:pos="2160"/>
          <w:tab w:val="left" w:pos="2280"/>
        </w:tabs>
        <w:rPr>
          <w:rFonts w:cs="Arial"/>
          <w:sz w:val="20"/>
        </w:rPr>
      </w:pPr>
      <w:r>
        <w:rPr>
          <w:rFonts w:cs="Arial"/>
          <w:sz w:val="20"/>
        </w:rPr>
        <w:t xml:space="preserve">Special Assistant Attorney General </w:t>
      </w:r>
    </w:p>
    <w:p w:rsidR="007E5150" w:rsidRDefault="007E5150" w:rsidP="00E02B2C">
      <w:pPr>
        <w:tabs>
          <w:tab w:val="left" w:pos="2160"/>
          <w:tab w:val="left" w:pos="2280"/>
        </w:tabs>
        <w:rPr>
          <w:rFonts w:cs="Arial"/>
          <w:sz w:val="20"/>
        </w:rPr>
      </w:pPr>
      <w:r>
        <w:rPr>
          <w:rFonts w:cs="Arial"/>
          <w:sz w:val="20"/>
        </w:rPr>
        <w:t>Vorys, Sater, Seymour and Pease LLP</w:t>
      </w:r>
    </w:p>
    <w:p w:rsidR="007E5150" w:rsidRDefault="007E5150" w:rsidP="00E02B2C">
      <w:pPr>
        <w:tabs>
          <w:tab w:val="left" w:pos="2160"/>
          <w:tab w:val="left" w:pos="2280"/>
        </w:tabs>
        <w:rPr>
          <w:rFonts w:cs="Arial"/>
          <w:sz w:val="20"/>
        </w:rPr>
      </w:pPr>
      <w:r>
        <w:rPr>
          <w:rFonts w:cs="Arial"/>
          <w:sz w:val="20"/>
        </w:rPr>
        <w:t>52 East Gay Street</w:t>
      </w:r>
    </w:p>
    <w:p w:rsidR="007E5150" w:rsidRDefault="007E5150" w:rsidP="00E02B2C">
      <w:pPr>
        <w:tabs>
          <w:tab w:val="left" w:pos="2160"/>
          <w:tab w:val="left" w:pos="2280"/>
        </w:tabs>
        <w:rPr>
          <w:rFonts w:cs="Arial"/>
          <w:sz w:val="20"/>
        </w:rPr>
      </w:pPr>
      <w:r>
        <w:rPr>
          <w:rFonts w:cs="Arial"/>
          <w:sz w:val="20"/>
        </w:rPr>
        <w:t>PO Box 1008</w:t>
      </w:r>
    </w:p>
    <w:p w:rsidR="007E5150" w:rsidRDefault="007E5150" w:rsidP="00E02B2C">
      <w:pPr>
        <w:tabs>
          <w:tab w:val="left" w:pos="2160"/>
          <w:tab w:val="left" w:pos="2280"/>
        </w:tabs>
        <w:rPr>
          <w:rFonts w:cs="Arial"/>
          <w:sz w:val="20"/>
        </w:rPr>
      </w:pPr>
      <w:r>
        <w:rPr>
          <w:rFonts w:cs="Arial"/>
          <w:sz w:val="20"/>
        </w:rPr>
        <w:t>Columbus, OH  43216-1008</w:t>
      </w:r>
    </w:p>
    <w:p w:rsidR="007E5150" w:rsidRDefault="007E5150" w:rsidP="00E02B2C">
      <w:pPr>
        <w:tabs>
          <w:tab w:val="left" w:pos="2160"/>
          <w:tab w:val="left" w:pos="2280"/>
        </w:tabs>
        <w:rPr>
          <w:rFonts w:cs="Arial"/>
          <w:sz w:val="20"/>
        </w:rPr>
      </w:pPr>
      <w:r>
        <w:rPr>
          <w:rFonts w:cs="Arial"/>
          <w:sz w:val="20"/>
        </w:rPr>
        <w:t>mhpetricoff@vorys.com</w:t>
      </w:r>
    </w:p>
    <w:p w:rsidR="007E5150" w:rsidRDefault="007E5150" w:rsidP="00E02B2C">
      <w:pPr>
        <w:tabs>
          <w:tab w:val="left" w:pos="2160"/>
          <w:tab w:val="left" w:pos="2280"/>
        </w:tabs>
        <w:rPr>
          <w:rFonts w:cs="Arial"/>
          <w:sz w:val="20"/>
        </w:rPr>
      </w:pPr>
    </w:p>
    <w:p w:rsidR="007E5150" w:rsidRPr="006C5951" w:rsidRDefault="007E5150" w:rsidP="00E02B2C">
      <w:pPr>
        <w:tabs>
          <w:tab w:val="left" w:pos="2160"/>
          <w:tab w:val="left" w:pos="2280"/>
        </w:tabs>
        <w:rPr>
          <w:rFonts w:cs="Arial"/>
          <w:b/>
          <w:sz w:val="20"/>
        </w:rPr>
      </w:pPr>
      <w:r w:rsidRPr="006C5951">
        <w:rPr>
          <w:rFonts w:cs="Arial"/>
          <w:b/>
          <w:sz w:val="20"/>
        </w:rPr>
        <w:t>On Behalf of Miami University and the University of Cincinnati</w:t>
      </w:r>
    </w:p>
    <w:p w:rsidR="007E5150" w:rsidRPr="00EA39FC" w:rsidRDefault="007E5150" w:rsidP="00E02B2C">
      <w:pPr>
        <w:tabs>
          <w:tab w:val="left" w:pos="2160"/>
          <w:tab w:val="left" w:pos="2280"/>
        </w:tabs>
        <w:rPr>
          <w:rFonts w:cs="Arial"/>
          <w:sz w:val="20"/>
        </w:rPr>
      </w:pPr>
    </w:p>
    <w:p w:rsidR="00EA39FC" w:rsidRPr="00EA39FC" w:rsidRDefault="00EA39FC" w:rsidP="00EA39FC">
      <w:pPr>
        <w:tabs>
          <w:tab w:val="left" w:pos="2160"/>
          <w:tab w:val="left" w:pos="2280"/>
        </w:tabs>
        <w:rPr>
          <w:rFonts w:cs="Arial"/>
          <w:sz w:val="20"/>
        </w:rPr>
      </w:pPr>
      <w:r w:rsidRPr="00EA39FC">
        <w:rPr>
          <w:rFonts w:cs="Arial"/>
          <w:sz w:val="20"/>
        </w:rPr>
        <w:t>Joseph G. Strines</w:t>
      </w:r>
    </w:p>
    <w:p w:rsidR="00EA39FC" w:rsidRPr="00EA39FC" w:rsidRDefault="00EA39FC" w:rsidP="00EA39FC">
      <w:pPr>
        <w:tabs>
          <w:tab w:val="left" w:pos="2160"/>
          <w:tab w:val="left" w:pos="2280"/>
        </w:tabs>
        <w:rPr>
          <w:rFonts w:cs="Arial"/>
          <w:sz w:val="20"/>
        </w:rPr>
      </w:pPr>
      <w:r w:rsidRPr="00EA39FC">
        <w:rPr>
          <w:rFonts w:cs="Arial"/>
          <w:sz w:val="20"/>
        </w:rPr>
        <w:t>DPL Energy Resources Inc.</w:t>
      </w:r>
    </w:p>
    <w:p w:rsidR="00EA39FC" w:rsidRPr="00EA39FC" w:rsidRDefault="00EA39FC" w:rsidP="00EA39FC">
      <w:pPr>
        <w:tabs>
          <w:tab w:val="left" w:pos="2160"/>
          <w:tab w:val="left" w:pos="2280"/>
        </w:tabs>
        <w:rPr>
          <w:rFonts w:cs="Arial"/>
          <w:sz w:val="20"/>
        </w:rPr>
      </w:pPr>
      <w:r w:rsidRPr="00EA39FC">
        <w:rPr>
          <w:rFonts w:cs="Arial"/>
          <w:sz w:val="20"/>
        </w:rPr>
        <w:t>1065 Woodman Drive</w:t>
      </w:r>
    </w:p>
    <w:p w:rsidR="00EA39FC" w:rsidRPr="00EA39FC" w:rsidRDefault="00EA39FC" w:rsidP="00EA39FC">
      <w:pPr>
        <w:tabs>
          <w:tab w:val="left" w:pos="2160"/>
          <w:tab w:val="left" w:pos="2280"/>
        </w:tabs>
        <w:rPr>
          <w:rFonts w:cs="Arial"/>
          <w:sz w:val="20"/>
        </w:rPr>
      </w:pPr>
      <w:r w:rsidRPr="00EA39FC">
        <w:rPr>
          <w:rFonts w:cs="Arial"/>
          <w:sz w:val="20"/>
        </w:rPr>
        <w:t>Dayton, OH  45432</w:t>
      </w:r>
    </w:p>
    <w:p w:rsidR="00EA39FC" w:rsidRPr="00EA39FC" w:rsidRDefault="00EA39FC" w:rsidP="00EA39FC">
      <w:pPr>
        <w:tabs>
          <w:tab w:val="left" w:pos="2160"/>
          <w:tab w:val="left" w:pos="2280"/>
        </w:tabs>
        <w:rPr>
          <w:rFonts w:cs="Arial"/>
          <w:sz w:val="20"/>
        </w:rPr>
      </w:pPr>
      <w:r w:rsidRPr="00EA39FC">
        <w:rPr>
          <w:rFonts w:cs="Arial"/>
          <w:sz w:val="20"/>
        </w:rPr>
        <w:t>Jospeh.strines@DPLINC.com</w:t>
      </w:r>
    </w:p>
    <w:p w:rsidR="00EA39FC" w:rsidRPr="00EA39FC" w:rsidRDefault="00EA39FC" w:rsidP="00EA39FC">
      <w:pPr>
        <w:tabs>
          <w:tab w:val="left" w:pos="2160"/>
          <w:tab w:val="left" w:pos="2280"/>
        </w:tabs>
        <w:rPr>
          <w:rFonts w:cs="Arial"/>
          <w:sz w:val="20"/>
        </w:rPr>
      </w:pPr>
    </w:p>
    <w:p w:rsidR="00EA39FC" w:rsidRPr="00EA39FC" w:rsidRDefault="00EA39FC" w:rsidP="00EA39FC">
      <w:pPr>
        <w:tabs>
          <w:tab w:val="left" w:pos="2160"/>
          <w:tab w:val="left" w:pos="2280"/>
        </w:tabs>
        <w:rPr>
          <w:rFonts w:cs="Arial"/>
          <w:b/>
          <w:sz w:val="20"/>
        </w:rPr>
      </w:pPr>
      <w:r w:rsidRPr="00EA39FC">
        <w:rPr>
          <w:rFonts w:cs="Arial"/>
          <w:b/>
          <w:sz w:val="20"/>
        </w:rPr>
        <w:t>On Behalf of DPL Energy Resources Inc.</w:t>
      </w:r>
    </w:p>
    <w:p w:rsidR="00EA39FC" w:rsidRPr="00EA39FC" w:rsidRDefault="00EA39FC" w:rsidP="00E02B2C">
      <w:pPr>
        <w:tabs>
          <w:tab w:val="left" w:pos="2160"/>
          <w:tab w:val="left" w:pos="2280"/>
        </w:tabs>
        <w:rPr>
          <w:rFonts w:cs="Arial"/>
          <w:sz w:val="20"/>
        </w:rPr>
      </w:pPr>
    </w:p>
    <w:p w:rsidR="00866FE8" w:rsidRDefault="00866FE8" w:rsidP="00E02B2C">
      <w:pPr>
        <w:tabs>
          <w:tab w:val="left" w:pos="2160"/>
          <w:tab w:val="left" w:pos="2280"/>
        </w:tabs>
        <w:rPr>
          <w:rFonts w:cs="Arial"/>
          <w:sz w:val="20"/>
        </w:rPr>
      </w:pPr>
      <w:r>
        <w:rPr>
          <w:rFonts w:cs="Arial"/>
          <w:sz w:val="20"/>
        </w:rPr>
        <w:t>Judi L. Sobecki</w:t>
      </w:r>
    </w:p>
    <w:p w:rsidR="00866FE8" w:rsidRDefault="00866FE8" w:rsidP="00E02B2C">
      <w:pPr>
        <w:tabs>
          <w:tab w:val="left" w:pos="2160"/>
          <w:tab w:val="left" w:pos="2280"/>
        </w:tabs>
        <w:rPr>
          <w:rFonts w:cs="Arial"/>
          <w:sz w:val="20"/>
        </w:rPr>
      </w:pPr>
      <w:r>
        <w:rPr>
          <w:rFonts w:cs="Arial"/>
          <w:sz w:val="20"/>
        </w:rPr>
        <w:t>Randall V. Griffin</w:t>
      </w:r>
    </w:p>
    <w:p w:rsidR="00866FE8" w:rsidRDefault="00866FE8" w:rsidP="00E02B2C">
      <w:pPr>
        <w:tabs>
          <w:tab w:val="left" w:pos="2160"/>
          <w:tab w:val="left" w:pos="2280"/>
        </w:tabs>
        <w:rPr>
          <w:rFonts w:cs="Arial"/>
          <w:sz w:val="20"/>
        </w:rPr>
      </w:pPr>
      <w:r>
        <w:rPr>
          <w:rFonts w:cs="Arial"/>
          <w:sz w:val="20"/>
        </w:rPr>
        <w:t>The Dayton Power and Light Company</w:t>
      </w:r>
    </w:p>
    <w:p w:rsidR="00866FE8" w:rsidRDefault="00866FE8" w:rsidP="00E02B2C">
      <w:pPr>
        <w:tabs>
          <w:tab w:val="left" w:pos="2160"/>
          <w:tab w:val="left" w:pos="2280"/>
        </w:tabs>
        <w:rPr>
          <w:rFonts w:cs="Arial"/>
          <w:sz w:val="20"/>
        </w:rPr>
      </w:pPr>
      <w:r>
        <w:rPr>
          <w:rFonts w:cs="Arial"/>
          <w:sz w:val="20"/>
        </w:rPr>
        <w:t>1065 Woodman Drive</w:t>
      </w:r>
    </w:p>
    <w:p w:rsidR="00866FE8" w:rsidRDefault="00866FE8" w:rsidP="00E02B2C">
      <w:pPr>
        <w:tabs>
          <w:tab w:val="left" w:pos="2160"/>
          <w:tab w:val="left" w:pos="2280"/>
        </w:tabs>
        <w:rPr>
          <w:rFonts w:cs="Arial"/>
          <w:sz w:val="20"/>
        </w:rPr>
      </w:pPr>
      <w:r>
        <w:rPr>
          <w:rFonts w:cs="Arial"/>
          <w:sz w:val="20"/>
        </w:rPr>
        <w:t>Dayton, OH  45432</w:t>
      </w:r>
    </w:p>
    <w:p w:rsidR="00866FE8" w:rsidRDefault="00866FE8" w:rsidP="00E02B2C">
      <w:pPr>
        <w:tabs>
          <w:tab w:val="left" w:pos="2160"/>
          <w:tab w:val="left" w:pos="2280"/>
        </w:tabs>
        <w:rPr>
          <w:rFonts w:cs="Arial"/>
          <w:sz w:val="20"/>
        </w:rPr>
      </w:pPr>
      <w:r w:rsidRPr="00866FE8">
        <w:rPr>
          <w:rFonts w:cs="Arial"/>
          <w:sz w:val="20"/>
        </w:rPr>
        <w:t>judi.sobecki@DPLINC.com</w:t>
      </w:r>
    </w:p>
    <w:p w:rsidR="00866FE8" w:rsidRDefault="00866FE8" w:rsidP="00E02B2C">
      <w:pPr>
        <w:tabs>
          <w:tab w:val="left" w:pos="2160"/>
          <w:tab w:val="left" w:pos="2280"/>
        </w:tabs>
        <w:rPr>
          <w:rFonts w:cs="Arial"/>
          <w:sz w:val="20"/>
        </w:rPr>
      </w:pPr>
      <w:r w:rsidRPr="00866FE8">
        <w:rPr>
          <w:rFonts w:cs="Arial"/>
          <w:sz w:val="20"/>
        </w:rPr>
        <w:t>randall.griffin@DPLINC.com</w:t>
      </w:r>
    </w:p>
    <w:p w:rsidR="00866FE8" w:rsidRDefault="00866FE8" w:rsidP="00E02B2C">
      <w:pPr>
        <w:tabs>
          <w:tab w:val="left" w:pos="2160"/>
          <w:tab w:val="left" w:pos="2280"/>
        </w:tabs>
        <w:rPr>
          <w:rFonts w:cs="Arial"/>
          <w:sz w:val="20"/>
        </w:rPr>
      </w:pPr>
    </w:p>
    <w:p w:rsidR="00866FE8" w:rsidRPr="00866FE8" w:rsidRDefault="00866FE8" w:rsidP="00E02B2C">
      <w:pPr>
        <w:tabs>
          <w:tab w:val="left" w:pos="2160"/>
          <w:tab w:val="left" w:pos="2280"/>
        </w:tabs>
        <w:rPr>
          <w:rFonts w:cs="Arial"/>
          <w:b/>
          <w:sz w:val="20"/>
        </w:rPr>
      </w:pPr>
      <w:r w:rsidRPr="00866FE8">
        <w:rPr>
          <w:rFonts w:cs="Arial"/>
          <w:b/>
          <w:sz w:val="20"/>
        </w:rPr>
        <w:t>On Behalf of The Dayton Power and Light Company</w:t>
      </w:r>
    </w:p>
    <w:p w:rsidR="00866FE8" w:rsidRDefault="00866FE8" w:rsidP="00E02B2C">
      <w:pPr>
        <w:tabs>
          <w:tab w:val="left" w:pos="2160"/>
          <w:tab w:val="left" w:pos="2280"/>
        </w:tabs>
        <w:rPr>
          <w:rFonts w:cs="Arial"/>
          <w:sz w:val="20"/>
        </w:rPr>
      </w:pPr>
    </w:p>
    <w:p w:rsidR="00866FE8" w:rsidRDefault="00866FE8" w:rsidP="00E02B2C">
      <w:pPr>
        <w:tabs>
          <w:tab w:val="left" w:pos="2160"/>
          <w:tab w:val="left" w:pos="2280"/>
        </w:tabs>
        <w:rPr>
          <w:rFonts w:cs="Arial"/>
          <w:sz w:val="20"/>
        </w:rPr>
      </w:pPr>
    </w:p>
    <w:p w:rsidR="00866FE8" w:rsidRDefault="00866FE8" w:rsidP="00E02B2C">
      <w:pPr>
        <w:tabs>
          <w:tab w:val="left" w:pos="2160"/>
          <w:tab w:val="left" w:pos="2280"/>
        </w:tabs>
        <w:rPr>
          <w:rFonts w:cs="Arial"/>
          <w:sz w:val="20"/>
        </w:rPr>
      </w:pPr>
    </w:p>
    <w:p w:rsidR="00866FE8" w:rsidRDefault="00866FE8" w:rsidP="00E02B2C">
      <w:pPr>
        <w:tabs>
          <w:tab w:val="left" w:pos="2160"/>
          <w:tab w:val="left" w:pos="2280"/>
        </w:tabs>
        <w:rPr>
          <w:rFonts w:cs="Arial"/>
          <w:sz w:val="20"/>
        </w:rPr>
      </w:pPr>
    </w:p>
    <w:p w:rsidR="00E02B2C" w:rsidRPr="00E02B2C" w:rsidRDefault="00866FE8" w:rsidP="00E02B2C">
      <w:pPr>
        <w:tabs>
          <w:tab w:val="left" w:pos="2160"/>
          <w:tab w:val="left" w:pos="2280"/>
        </w:tabs>
        <w:rPr>
          <w:rFonts w:cs="Arial"/>
          <w:sz w:val="20"/>
        </w:rPr>
      </w:pPr>
      <w:r>
        <w:rPr>
          <w:rFonts w:cs="Arial"/>
          <w:sz w:val="20"/>
        </w:rPr>
        <w:br w:type="column"/>
      </w:r>
      <w:r w:rsidR="00E02B2C" w:rsidRPr="00E02B2C">
        <w:rPr>
          <w:rFonts w:cs="Arial"/>
          <w:sz w:val="20"/>
        </w:rPr>
        <w:lastRenderedPageBreak/>
        <w:t>Steven Beeler</w:t>
      </w:r>
    </w:p>
    <w:p w:rsidR="00E02B2C" w:rsidRPr="00E02B2C" w:rsidRDefault="00E02B2C" w:rsidP="00E02B2C">
      <w:pPr>
        <w:tabs>
          <w:tab w:val="left" w:pos="2160"/>
          <w:tab w:val="left" w:pos="2280"/>
        </w:tabs>
        <w:rPr>
          <w:rFonts w:cs="Arial"/>
          <w:sz w:val="20"/>
        </w:rPr>
      </w:pPr>
      <w:r w:rsidRPr="00E02B2C">
        <w:rPr>
          <w:rFonts w:cs="Arial"/>
          <w:sz w:val="20"/>
        </w:rPr>
        <w:t>John Jones</w:t>
      </w:r>
    </w:p>
    <w:p w:rsidR="00E02B2C" w:rsidRPr="00E02B2C" w:rsidRDefault="00E02B2C" w:rsidP="00E02B2C">
      <w:pPr>
        <w:tabs>
          <w:tab w:val="left" w:pos="2160"/>
          <w:tab w:val="left" w:pos="2280"/>
        </w:tabs>
        <w:rPr>
          <w:rFonts w:cs="Arial"/>
          <w:sz w:val="20"/>
        </w:rPr>
      </w:pPr>
      <w:r w:rsidRPr="00E02B2C">
        <w:rPr>
          <w:rFonts w:cs="Arial"/>
          <w:sz w:val="20"/>
        </w:rPr>
        <w:t>Assistant Attorneys General</w:t>
      </w:r>
    </w:p>
    <w:p w:rsidR="00E02B2C" w:rsidRPr="00E02B2C" w:rsidRDefault="00E02B2C" w:rsidP="00E02B2C">
      <w:pPr>
        <w:tabs>
          <w:tab w:val="left" w:pos="2160"/>
          <w:tab w:val="left" w:pos="2280"/>
        </w:tabs>
        <w:rPr>
          <w:rFonts w:cs="Arial"/>
          <w:sz w:val="20"/>
        </w:rPr>
      </w:pPr>
      <w:r w:rsidRPr="00E02B2C">
        <w:rPr>
          <w:rFonts w:cs="Arial"/>
          <w:sz w:val="20"/>
        </w:rPr>
        <w:t>Public Utilities Section</w:t>
      </w:r>
    </w:p>
    <w:p w:rsidR="00E02B2C" w:rsidRPr="00E02B2C" w:rsidRDefault="00E02B2C" w:rsidP="00E02B2C">
      <w:pPr>
        <w:tabs>
          <w:tab w:val="left" w:pos="2160"/>
          <w:tab w:val="left" w:pos="2280"/>
        </w:tabs>
        <w:rPr>
          <w:rFonts w:cs="Arial"/>
          <w:sz w:val="20"/>
        </w:rPr>
      </w:pPr>
      <w:r w:rsidRPr="00E02B2C">
        <w:rPr>
          <w:rFonts w:cs="Arial"/>
          <w:sz w:val="20"/>
        </w:rPr>
        <w:t>180 East Broad Street</w:t>
      </w:r>
    </w:p>
    <w:p w:rsidR="00E02B2C" w:rsidRPr="00E02B2C" w:rsidRDefault="00E02B2C" w:rsidP="00E02B2C">
      <w:pPr>
        <w:tabs>
          <w:tab w:val="left" w:pos="2160"/>
          <w:tab w:val="left" w:pos="2280"/>
        </w:tabs>
        <w:rPr>
          <w:rFonts w:cs="Arial"/>
          <w:sz w:val="20"/>
        </w:rPr>
      </w:pPr>
      <w:r w:rsidRPr="00E02B2C">
        <w:rPr>
          <w:rFonts w:cs="Arial"/>
          <w:sz w:val="20"/>
        </w:rPr>
        <w:t>Columbus, Ohio 43215</w:t>
      </w:r>
    </w:p>
    <w:p w:rsidR="00E02B2C" w:rsidRPr="00E02B2C" w:rsidRDefault="008670BC" w:rsidP="00E02B2C">
      <w:pPr>
        <w:rPr>
          <w:rFonts w:cs="Arial"/>
          <w:sz w:val="20"/>
        </w:rPr>
      </w:pPr>
      <w:hyperlink r:id="rId27" w:history="1">
        <w:r w:rsidR="00E02B2C" w:rsidRPr="00E02B2C">
          <w:rPr>
            <w:rStyle w:val="Hyperlink"/>
            <w:rFonts w:eastAsiaTheme="majorEastAsia" w:cs="Arial"/>
            <w:color w:val="auto"/>
            <w:sz w:val="20"/>
            <w:u w:val="none"/>
          </w:rPr>
          <w:t>steven.beeler@puc.state.oh.us</w:t>
        </w:r>
      </w:hyperlink>
    </w:p>
    <w:p w:rsidR="00E02B2C" w:rsidRPr="00E02B2C" w:rsidRDefault="00E02B2C" w:rsidP="00E02B2C">
      <w:pPr>
        <w:tabs>
          <w:tab w:val="left" w:pos="2160"/>
          <w:tab w:val="left" w:pos="2280"/>
        </w:tabs>
        <w:rPr>
          <w:rFonts w:cs="Arial"/>
          <w:sz w:val="20"/>
        </w:rPr>
      </w:pPr>
      <w:r w:rsidRPr="00E02B2C">
        <w:rPr>
          <w:rFonts w:cs="Arial"/>
          <w:sz w:val="20"/>
        </w:rPr>
        <w:t>john.jones@puc.state.oh.us</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b/>
          <w:sz w:val="20"/>
        </w:rPr>
      </w:pPr>
      <w:r w:rsidRPr="00E02B2C">
        <w:rPr>
          <w:rFonts w:cs="Arial"/>
          <w:b/>
          <w:sz w:val="20"/>
        </w:rPr>
        <w:t xml:space="preserve">On Behalf of the </w:t>
      </w:r>
      <w:r w:rsidR="00F116AB">
        <w:rPr>
          <w:rFonts w:cs="Arial"/>
          <w:b/>
          <w:sz w:val="20"/>
        </w:rPr>
        <w:t xml:space="preserve">Staff of the </w:t>
      </w:r>
      <w:r w:rsidRPr="00E02B2C">
        <w:rPr>
          <w:rFonts w:cs="Arial"/>
          <w:b/>
          <w:sz w:val="20"/>
        </w:rPr>
        <w:t>Public Utilities Commission of Ohio</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sz w:val="20"/>
        </w:rPr>
      </w:pPr>
      <w:r w:rsidRPr="00E02B2C">
        <w:rPr>
          <w:rFonts w:cs="Arial"/>
          <w:sz w:val="20"/>
        </w:rPr>
        <w:t>Christine Pirik</w:t>
      </w:r>
    </w:p>
    <w:p w:rsidR="00E02B2C" w:rsidRPr="00E02B2C" w:rsidRDefault="00E02B2C" w:rsidP="00E02B2C">
      <w:pPr>
        <w:tabs>
          <w:tab w:val="left" w:pos="2160"/>
          <w:tab w:val="left" w:pos="2280"/>
        </w:tabs>
        <w:rPr>
          <w:rFonts w:cs="Arial"/>
          <w:sz w:val="20"/>
        </w:rPr>
      </w:pPr>
      <w:r w:rsidRPr="00E02B2C">
        <w:rPr>
          <w:rFonts w:cs="Arial"/>
          <w:sz w:val="20"/>
        </w:rPr>
        <w:t>Katie Stenman</w:t>
      </w:r>
    </w:p>
    <w:p w:rsidR="00E02B2C" w:rsidRPr="00E02B2C" w:rsidRDefault="00E02B2C" w:rsidP="00E02B2C">
      <w:pPr>
        <w:tabs>
          <w:tab w:val="left" w:pos="2160"/>
          <w:tab w:val="left" w:pos="2280"/>
        </w:tabs>
        <w:rPr>
          <w:rFonts w:cs="Arial"/>
          <w:sz w:val="20"/>
        </w:rPr>
      </w:pPr>
      <w:r w:rsidRPr="00E02B2C">
        <w:rPr>
          <w:rFonts w:cs="Arial"/>
          <w:sz w:val="20"/>
        </w:rPr>
        <w:t>Attorney Examiners</w:t>
      </w:r>
    </w:p>
    <w:p w:rsidR="00E02B2C" w:rsidRPr="00E02B2C" w:rsidRDefault="00E02B2C" w:rsidP="00E02B2C">
      <w:pPr>
        <w:tabs>
          <w:tab w:val="left" w:pos="2160"/>
          <w:tab w:val="left" w:pos="2280"/>
        </w:tabs>
        <w:rPr>
          <w:rFonts w:cs="Arial"/>
          <w:sz w:val="20"/>
        </w:rPr>
      </w:pPr>
      <w:r w:rsidRPr="00E02B2C">
        <w:rPr>
          <w:rFonts w:cs="Arial"/>
          <w:sz w:val="20"/>
        </w:rPr>
        <w:t>Public Utilities Commission of Ohio</w:t>
      </w:r>
    </w:p>
    <w:p w:rsidR="00E02B2C" w:rsidRPr="00E02B2C" w:rsidRDefault="00E02B2C" w:rsidP="00E02B2C">
      <w:pPr>
        <w:tabs>
          <w:tab w:val="left" w:pos="2160"/>
          <w:tab w:val="left" w:pos="2280"/>
        </w:tabs>
        <w:rPr>
          <w:rFonts w:cs="Arial"/>
          <w:sz w:val="20"/>
        </w:rPr>
      </w:pPr>
      <w:r w:rsidRPr="00E02B2C">
        <w:rPr>
          <w:rFonts w:cs="Arial"/>
          <w:sz w:val="20"/>
        </w:rPr>
        <w:t>180 East Broad Street</w:t>
      </w:r>
    </w:p>
    <w:p w:rsidR="00E02B2C" w:rsidRPr="00E02B2C" w:rsidRDefault="00E02B2C" w:rsidP="00E02B2C">
      <w:pPr>
        <w:tabs>
          <w:tab w:val="left" w:pos="2160"/>
          <w:tab w:val="left" w:pos="2280"/>
        </w:tabs>
        <w:rPr>
          <w:rFonts w:cs="Arial"/>
          <w:sz w:val="20"/>
        </w:rPr>
      </w:pPr>
      <w:r w:rsidRPr="00E02B2C">
        <w:rPr>
          <w:rFonts w:cs="Arial"/>
          <w:sz w:val="20"/>
        </w:rPr>
        <w:t>Columbus, Ohio 43215</w:t>
      </w:r>
    </w:p>
    <w:p w:rsidR="00E02B2C" w:rsidRPr="00E02B2C" w:rsidRDefault="00E02B2C" w:rsidP="00E02B2C">
      <w:pPr>
        <w:tabs>
          <w:tab w:val="left" w:pos="2160"/>
          <w:tab w:val="left" w:pos="2280"/>
        </w:tabs>
        <w:rPr>
          <w:rFonts w:cs="Arial"/>
          <w:sz w:val="20"/>
        </w:rPr>
      </w:pPr>
      <w:r w:rsidRPr="00E02B2C">
        <w:rPr>
          <w:rFonts w:cs="Arial"/>
          <w:sz w:val="20"/>
        </w:rPr>
        <w:t>Christine.pirik@puc.state.oh.us</w:t>
      </w:r>
    </w:p>
    <w:p w:rsidR="00E02B2C" w:rsidRPr="00E02B2C" w:rsidRDefault="00E02B2C" w:rsidP="00E02B2C">
      <w:pPr>
        <w:tabs>
          <w:tab w:val="left" w:pos="2160"/>
          <w:tab w:val="left" w:pos="2280"/>
        </w:tabs>
        <w:rPr>
          <w:rFonts w:cs="Arial"/>
          <w:sz w:val="20"/>
        </w:rPr>
      </w:pPr>
      <w:r w:rsidRPr="00E02B2C">
        <w:rPr>
          <w:rFonts w:cs="Arial"/>
          <w:sz w:val="20"/>
        </w:rPr>
        <w:t>Katie.stenman@puc.state.oh.us</w:t>
      </w:r>
    </w:p>
    <w:p w:rsidR="00E02B2C" w:rsidRPr="00E02B2C" w:rsidRDefault="00E02B2C" w:rsidP="00E02B2C">
      <w:pPr>
        <w:tabs>
          <w:tab w:val="left" w:pos="2160"/>
          <w:tab w:val="left" w:pos="2280"/>
        </w:tabs>
        <w:rPr>
          <w:rFonts w:cs="Arial"/>
          <w:sz w:val="20"/>
        </w:rPr>
      </w:pPr>
    </w:p>
    <w:p w:rsidR="00E02B2C" w:rsidRPr="00E02B2C" w:rsidRDefault="00E02B2C" w:rsidP="00E02B2C">
      <w:pPr>
        <w:tabs>
          <w:tab w:val="left" w:pos="2160"/>
          <w:tab w:val="left" w:pos="2280"/>
        </w:tabs>
        <w:rPr>
          <w:rFonts w:cs="Arial"/>
          <w:b/>
          <w:sz w:val="20"/>
        </w:rPr>
      </w:pPr>
      <w:r w:rsidRPr="00E02B2C">
        <w:rPr>
          <w:rFonts w:cs="Arial"/>
          <w:b/>
          <w:sz w:val="20"/>
        </w:rPr>
        <w:t>Attorney Examiners</w:t>
      </w:r>
    </w:p>
    <w:p w:rsidR="00D55FAC" w:rsidRPr="00E02B2C" w:rsidRDefault="00D55FAC">
      <w:pPr>
        <w:rPr>
          <w:rFonts w:cs="Arial"/>
          <w:sz w:val="20"/>
        </w:rPr>
      </w:pPr>
      <w:bookmarkStart w:id="0" w:name="_GoBack"/>
      <w:bookmarkEnd w:id="0"/>
    </w:p>
    <w:sectPr w:rsidR="00D55FAC" w:rsidRPr="00E02B2C" w:rsidSect="00E02B2C">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90" w:rsidRDefault="00363490">
      <w:r>
        <w:separator/>
      </w:r>
    </w:p>
  </w:endnote>
  <w:endnote w:type="continuationSeparator" w:id="0">
    <w:p w:rsidR="00363490" w:rsidRDefault="0036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363490">
    <w:pPr>
      <w:pStyle w:val="Footer"/>
      <w:framePr w:wrap="around" w:vAnchor="text" w:hAnchor="margin" w:xAlign="center" w:y="1"/>
      <w:rPr>
        <w:rStyle w:val="PageNumber"/>
        <w:rFonts w:eastAsiaTheme="majorEastAsia"/>
      </w:rPr>
    </w:pPr>
    <w:r>
      <w:rPr>
        <w:rStyle w:val="PageNumber"/>
        <w:rFonts w:eastAsiaTheme="majorEastAsia"/>
        <w:noProof/>
        <w:sz w:val="16"/>
      </w:rPr>
      <w:t>{C29267:2 }</w:t>
    </w: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363490" w:rsidRDefault="00363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363490">
    <w:pPr>
      <w:pStyle w:val="Footer"/>
      <w:framePr w:wrap="around" w:vAnchor="text" w:hAnchor="margin" w:xAlign="center" w:y="1"/>
      <w:rPr>
        <w:rStyle w:val="PageNumber"/>
        <w:rFonts w:eastAsiaTheme="majorEastAsia" w:cs="Arial"/>
        <w:noProof/>
      </w:rPr>
    </w:pPr>
    <w:r>
      <w:rPr>
        <w:rStyle w:val="PageNumber"/>
        <w:rFonts w:eastAsiaTheme="majorEastAsia" w:cs="Arial"/>
        <w:noProof/>
      </w:rPr>
      <w:fldChar w:fldCharType="begin"/>
    </w:r>
    <w:r>
      <w:rPr>
        <w:rStyle w:val="PageNumber"/>
        <w:rFonts w:eastAsiaTheme="majorEastAsia" w:cs="Arial"/>
        <w:noProof/>
      </w:rPr>
      <w:instrText xml:space="preserve">PAGE  </w:instrText>
    </w:r>
    <w:r>
      <w:rPr>
        <w:rStyle w:val="PageNumber"/>
        <w:rFonts w:eastAsiaTheme="majorEastAsia" w:cs="Arial"/>
        <w:noProof/>
      </w:rPr>
      <w:fldChar w:fldCharType="separate"/>
    </w:r>
    <w:r>
      <w:rPr>
        <w:rStyle w:val="PageNumber"/>
        <w:rFonts w:eastAsiaTheme="majorEastAsia" w:cs="Arial"/>
        <w:noProof/>
      </w:rPr>
      <w:t>1</w:t>
    </w:r>
    <w:r>
      <w:rPr>
        <w:rStyle w:val="PageNumber"/>
        <w:rFonts w:eastAsiaTheme="majorEastAsia" w:cs="Arial"/>
        <w:noProof/>
      </w:rPr>
      <w:fldChar w:fldCharType="end"/>
    </w:r>
  </w:p>
  <w:p w:rsidR="00363490" w:rsidRDefault="00866FE8">
    <w:pPr>
      <w:pStyle w:val="Footer"/>
    </w:pPr>
    <w:r w:rsidRPr="00866FE8">
      <w:rPr>
        <w:sz w:val="16"/>
      </w:rPr>
      <w:t>{</w:t>
    </w:r>
    <w:proofErr w:type="gramStart"/>
    <w:r w:rsidRPr="00866FE8">
      <w:rPr>
        <w:sz w:val="16"/>
      </w:rPr>
      <w:t>C38883:2 }</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866FE8">
    <w:pPr>
      <w:pStyle w:val="Footer"/>
    </w:pPr>
    <w:r w:rsidRPr="00866FE8">
      <w:rPr>
        <w:noProof/>
        <w:sz w:val="16"/>
      </w:rPr>
      <w:t>{C38883:2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363490">
    <w:pPr>
      <w:pStyle w:val="Footer"/>
      <w:framePr w:wrap="around" w:vAnchor="text" w:hAnchor="margin" w:xAlign="center" w:y="1"/>
      <w:rPr>
        <w:rStyle w:val="PageNumber"/>
        <w:rFonts w:eastAsiaTheme="majorEastAsia"/>
      </w:rPr>
    </w:pPr>
    <w:r>
      <w:rPr>
        <w:rStyle w:val="PageNumber"/>
        <w:rFonts w:eastAsiaTheme="majorEastAsia"/>
        <w:noProof/>
        <w:sz w:val="16"/>
      </w:rPr>
      <w:t>{C29267:2 }</w:t>
    </w: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363490" w:rsidRDefault="003634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363490">
    <w:pPr>
      <w:pStyle w:val="Footer"/>
      <w:framePr w:wrap="around" w:vAnchor="text" w:hAnchor="margin" w:xAlign="center" w:y="1"/>
      <w:rPr>
        <w:rStyle w:val="PageNumber"/>
        <w:rFonts w:eastAsiaTheme="majorEastAsia" w:cs="Arial"/>
        <w:noProof/>
      </w:rPr>
    </w:pPr>
    <w:r>
      <w:rPr>
        <w:rStyle w:val="PageNumber"/>
        <w:rFonts w:eastAsiaTheme="majorEastAsia" w:cs="Arial"/>
        <w:noProof/>
      </w:rPr>
      <w:fldChar w:fldCharType="begin"/>
    </w:r>
    <w:r>
      <w:rPr>
        <w:rStyle w:val="PageNumber"/>
        <w:rFonts w:eastAsiaTheme="majorEastAsia" w:cs="Arial"/>
        <w:noProof/>
      </w:rPr>
      <w:instrText xml:space="preserve">PAGE  </w:instrText>
    </w:r>
    <w:r>
      <w:rPr>
        <w:rStyle w:val="PageNumber"/>
        <w:rFonts w:eastAsiaTheme="majorEastAsia" w:cs="Arial"/>
        <w:noProof/>
      </w:rPr>
      <w:fldChar w:fldCharType="separate"/>
    </w:r>
    <w:r w:rsidR="008670BC">
      <w:rPr>
        <w:rStyle w:val="PageNumber"/>
        <w:rFonts w:eastAsiaTheme="majorEastAsia" w:cs="Arial"/>
        <w:noProof/>
      </w:rPr>
      <w:t>8</w:t>
    </w:r>
    <w:r>
      <w:rPr>
        <w:rStyle w:val="PageNumber"/>
        <w:rFonts w:eastAsiaTheme="majorEastAsia" w:cs="Arial"/>
        <w:noProof/>
      </w:rPr>
      <w:fldChar w:fldCharType="end"/>
    </w:r>
  </w:p>
  <w:p w:rsidR="00363490" w:rsidRDefault="00866FE8">
    <w:pPr>
      <w:pStyle w:val="Footer"/>
    </w:pPr>
    <w:r w:rsidRPr="00866FE8">
      <w:rPr>
        <w:sz w:val="16"/>
      </w:rPr>
      <w:t>{</w:t>
    </w:r>
    <w:proofErr w:type="gramStart"/>
    <w:r w:rsidRPr="00866FE8">
      <w:rPr>
        <w:sz w:val="16"/>
      </w:rPr>
      <w:t>C38883:2 }</w:t>
    </w:r>
    <w:proofErr w:type="gram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866FE8">
    <w:pPr>
      <w:pStyle w:val="Footer"/>
    </w:pPr>
    <w:r w:rsidRPr="00866FE8">
      <w:rPr>
        <w:noProof/>
        <w:sz w:val="16"/>
      </w:rPr>
      <w:t>{C38883:2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36349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866FE8">
    <w:pPr>
      <w:pStyle w:val="Footer"/>
    </w:pPr>
    <w:r w:rsidRPr="00866FE8">
      <w:rPr>
        <w:noProof/>
        <w:sz w:val="16"/>
      </w:rPr>
      <w:t>{C38883:2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866FE8">
    <w:pPr>
      <w:pStyle w:val="Footer"/>
    </w:pPr>
    <w:r w:rsidRPr="00866FE8">
      <w:rPr>
        <w:noProof/>
        <w:sz w:val="16"/>
      </w:rPr>
      <w:t>{C38883:2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90" w:rsidRDefault="00363490">
      <w:pPr>
        <w:rPr>
          <w:noProof/>
        </w:rPr>
      </w:pPr>
      <w:r>
        <w:rPr>
          <w:noProof/>
        </w:rPr>
        <w:separator/>
      </w:r>
    </w:p>
  </w:footnote>
  <w:footnote w:type="continuationSeparator" w:id="0">
    <w:p w:rsidR="00363490" w:rsidRDefault="00363490">
      <w:r>
        <w:continuationSeparator/>
      </w:r>
    </w:p>
  </w:footnote>
  <w:footnote w:id="1">
    <w:p w:rsidR="00363490" w:rsidRDefault="00363490" w:rsidP="00E02B2C">
      <w:pPr>
        <w:autoSpaceDE w:val="0"/>
        <w:autoSpaceDN w:val="0"/>
        <w:adjustRightInd w:val="0"/>
        <w:spacing w:after="180"/>
        <w:jc w:val="both"/>
        <w:rPr>
          <w:rFonts w:cs="Arial"/>
          <w:sz w:val="20"/>
        </w:rPr>
      </w:pPr>
      <w:r>
        <w:rPr>
          <w:rStyle w:val="FootnoteReference"/>
          <w:rFonts w:cs="Arial"/>
          <w:sz w:val="20"/>
        </w:rPr>
        <w:footnoteRef/>
      </w:r>
      <w:r>
        <w:rPr>
          <w:rFonts w:cs="Arial"/>
          <w:sz w:val="20"/>
        </w:rPr>
        <w:t xml:space="preserve"> </w:t>
      </w:r>
      <w:proofErr w:type="gramStart"/>
      <w:r>
        <w:rPr>
          <w:rFonts w:cs="Arial"/>
          <w:sz w:val="20"/>
        </w:rPr>
        <w:t>Motion of Duke Energy Ohio, Inc., to Vacate the October 3, 2012, Entry and for the Issuance of a Procedural Schedule Consistent with R.C. 4909.18 (Oct. 9, 2012).</w:t>
      </w:r>
      <w:proofErr w:type="gramEnd"/>
    </w:p>
  </w:footnote>
  <w:footnote w:id="2">
    <w:p w:rsidR="00363490" w:rsidRDefault="00363490" w:rsidP="00E02B2C">
      <w:pPr>
        <w:pStyle w:val="FootnoteText"/>
        <w:spacing w:after="180"/>
        <w:jc w:val="both"/>
        <w:rPr>
          <w:rFonts w:cs="Arial"/>
        </w:rPr>
      </w:pPr>
      <w:r>
        <w:rPr>
          <w:rStyle w:val="FootnoteReference"/>
          <w:rFonts w:cs="Arial"/>
        </w:rPr>
        <w:footnoteRef/>
      </w:r>
      <w:r>
        <w:rPr>
          <w:rFonts w:cs="Arial"/>
        </w:rPr>
        <w:t xml:space="preserve"> Application for Review and Interlocutory Appeal Filed by Duke Energy Ohio, Inc. (Oct. 9, 2012).</w:t>
      </w:r>
    </w:p>
  </w:footnote>
  <w:footnote w:id="3">
    <w:p w:rsidR="00363490" w:rsidRDefault="00363490" w:rsidP="00E02B2C">
      <w:pPr>
        <w:pStyle w:val="FootnoteText"/>
        <w:spacing w:after="180"/>
        <w:jc w:val="both"/>
        <w:rPr>
          <w:rFonts w:cs="Arial"/>
        </w:rPr>
      </w:pPr>
      <w:r>
        <w:rPr>
          <w:rStyle w:val="FootnoteReference"/>
          <w:rFonts w:cs="Arial"/>
        </w:rPr>
        <w:footnoteRef/>
      </w:r>
      <w:r>
        <w:rPr>
          <w:rFonts w:cs="Arial"/>
        </w:rPr>
        <w:t xml:space="preserve"> </w:t>
      </w:r>
      <w:proofErr w:type="gramStart"/>
      <w:r>
        <w:rPr>
          <w:rFonts w:cs="Arial"/>
        </w:rPr>
        <w:t>Application of Duke Energy Ohio, Inc. at 9 (Aug. 29, 2012) (“Application”).</w:t>
      </w:r>
      <w:proofErr w:type="gramEnd"/>
    </w:p>
  </w:footnote>
  <w:footnote w:id="4">
    <w:p w:rsidR="00363490" w:rsidRDefault="00363490" w:rsidP="00E02B2C">
      <w:pPr>
        <w:pStyle w:val="FootnoteText"/>
        <w:spacing w:after="180"/>
        <w:jc w:val="both"/>
      </w:pPr>
      <w:r>
        <w:rPr>
          <w:rStyle w:val="FootnoteReference"/>
        </w:rPr>
        <w:footnoteRef/>
      </w:r>
      <w:r>
        <w:t xml:space="preserve"> The Ohio Power Company and Columbus Southern Power Company merged in 2011.  Collectively they are referred to as AEP-Ohio.  AEP-Ohio is a wholly-owned operating utility of American Electric Power Company, Inc. (“AEP”).</w:t>
      </w:r>
    </w:p>
  </w:footnote>
  <w:footnote w:id="5">
    <w:p w:rsidR="00363490" w:rsidRDefault="00363490" w:rsidP="00E02B2C">
      <w:pPr>
        <w:pStyle w:val="FootnoteText"/>
        <w:spacing w:after="180"/>
        <w:jc w:val="both"/>
        <w:rPr>
          <w:rFonts w:cs="Arial"/>
        </w:rPr>
      </w:pPr>
      <w:r>
        <w:rPr>
          <w:rStyle w:val="FootnoteReference"/>
          <w:rFonts w:cs="Arial"/>
        </w:rPr>
        <w:footnoteRef/>
      </w:r>
      <w:r>
        <w:rPr>
          <w:rFonts w:cs="Arial"/>
        </w:rPr>
        <w:t xml:space="preserve"> </w:t>
      </w:r>
      <w:proofErr w:type="gramStart"/>
      <w:r w:rsidRPr="00E02B2C">
        <w:rPr>
          <w:rFonts w:cs="Arial"/>
        </w:rPr>
        <w:t>Application</w:t>
      </w:r>
      <w:r>
        <w:rPr>
          <w:rFonts w:cs="Arial"/>
          <w:i/>
        </w:rPr>
        <w:t xml:space="preserve"> </w:t>
      </w:r>
      <w:r>
        <w:rPr>
          <w:rFonts w:cs="Arial"/>
        </w:rPr>
        <w:t>at 6.</w:t>
      </w:r>
      <w:proofErr w:type="gramEnd"/>
    </w:p>
  </w:footnote>
  <w:footnote w:id="6">
    <w:p w:rsidR="00363490" w:rsidRDefault="00363490" w:rsidP="00E02B2C">
      <w:pPr>
        <w:pStyle w:val="FootnoteText"/>
        <w:spacing w:after="180"/>
        <w:jc w:val="both"/>
        <w:rPr>
          <w:rFonts w:cs="Arial"/>
        </w:rPr>
      </w:pPr>
      <w:r>
        <w:rPr>
          <w:rStyle w:val="FootnoteReference"/>
          <w:rFonts w:cs="Arial"/>
        </w:rPr>
        <w:footnoteRef/>
      </w:r>
      <w:r>
        <w:rPr>
          <w:rFonts w:cs="Arial"/>
        </w:rPr>
        <w:t xml:space="preserve"> </w:t>
      </w:r>
      <w:proofErr w:type="gramStart"/>
      <w:r>
        <w:rPr>
          <w:rFonts w:cs="Arial"/>
        </w:rPr>
        <w:t>Joint Motion to Dismiss by Signatory Parties (Oct. 4, 2012) (“Motion to Dismiss”).</w:t>
      </w:r>
      <w:proofErr w:type="gramEnd"/>
    </w:p>
  </w:footnote>
  <w:footnote w:id="7">
    <w:p w:rsidR="00363490" w:rsidRDefault="00363490" w:rsidP="00E02B2C">
      <w:pPr>
        <w:pStyle w:val="FootnoteText"/>
        <w:spacing w:after="180"/>
        <w:jc w:val="both"/>
        <w:rPr>
          <w:rFonts w:cs="Arial"/>
          <w:i/>
        </w:rPr>
      </w:pPr>
      <w:r>
        <w:rPr>
          <w:rStyle w:val="FootnoteReference"/>
          <w:rFonts w:cs="Arial"/>
        </w:rPr>
        <w:footnoteRef/>
      </w:r>
      <w:r>
        <w:rPr>
          <w:rFonts w:cs="Arial"/>
        </w:rPr>
        <w:t xml:space="preserve"> </w:t>
      </w:r>
      <w:r>
        <w:rPr>
          <w:rFonts w:cs="Arial"/>
          <w:i/>
        </w:rPr>
        <w:t>Id.</w:t>
      </w:r>
    </w:p>
  </w:footnote>
  <w:footnote w:id="8">
    <w:p w:rsidR="00363490" w:rsidRDefault="00363490" w:rsidP="00E02B2C">
      <w:pPr>
        <w:autoSpaceDE w:val="0"/>
        <w:autoSpaceDN w:val="0"/>
        <w:adjustRightInd w:val="0"/>
        <w:spacing w:after="180"/>
        <w:jc w:val="both"/>
        <w:rPr>
          <w:rFonts w:cs="Arial"/>
          <w:sz w:val="20"/>
        </w:rPr>
      </w:pPr>
      <w:r>
        <w:rPr>
          <w:rStyle w:val="FootnoteReference"/>
          <w:rFonts w:cs="Arial"/>
          <w:sz w:val="20"/>
        </w:rPr>
        <w:footnoteRef/>
      </w:r>
      <w:r>
        <w:rPr>
          <w:rFonts w:cs="Arial"/>
          <w:sz w:val="20"/>
        </w:rPr>
        <w:t xml:space="preserve"> </w:t>
      </w:r>
      <w:r>
        <w:rPr>
          <w:rFonts w:cs="Arial"/>
          <w:i/>
          <w:iCs/>
          <w:sz w:val="20"/>
        </w:rPr>
        <w:t>In the Matter of the Application of Duke Energy Ohio, Inc. for Authority to Establish a Standard Service Offer Pursuant to Section 4928.143, Revised Code, in the Form of an Electric Security Plan, Accounting Modifications, and Tariffs for Generation Service</w:t>
      </w:r>
      <w:r>
        <w:rPr>
          <w:rFonts w:cs="Arial"/>
          <w:sz w:val="20"/>
        </w:rPr>
        <w:t xml:space="preserve">, Case Nos. 11-3549-EL-SSO, </w:t>
      </w:r>
      <w:r>
        <w:rPr>
          <w:rFonts w:cs="Arial"/>
          <w:i/>
          <w:sz w:val="20"/>
        </w:rPr>
        <w:t>et al</w:t>
      </w:r>
      <w:r>
        <w:rPr>
          <w:rFonts w:cs="Arial"/>
          <w:sz w:val="20"/>
        </w:rPr>
        <w:t>., (hereinafter “</w:t>
      </w:r>
      <w:r>
        <w:rPr>
          <w:rFonts w:cs="Arial"/>
          <w:i/>
          <w:sz w:val="20"/>
        </w:rPr>
        <w:t>ESP Proceeding</w:t>
      </w:r>
      <w:r>
        <w:rPr>
          <w:rFonts w:cs="Arial"/>
          <w:sz w:val="20"/>
        </w:rPr>
        <w:t>”)</w:t>
      </w:r>
    </w:p>
  </w:footnote>
  <w:footnote w:id="9">
    <w:p w:rsidR="00363490" w:rsidRDefault="00363490" w:rsidP="00E02B2C">
      <w:pPr>
        <w:pStyle w:val="FootnoteText"/>
        <w:spacing w:after="180"/>
        <w:jc w:val="both"/>
        <w:rPr>
          <w:rFonts w:cs="Arial"/>
        </w:rPr>
      </w:pPr>
      <w:r>
        <w:rPr>
          <w:rStyle w:val="FootnoteReference"/>
          <w:rFonts w:cs="Arial"/>
        </w:rPr>
        <w:footnoteRef/>
      </w:r>
      <w:r>
        <w:rPr>
          <w:rFonts w:cs="Arial"/>
        </w:rPr>
        <w:t xml:space="preserve"> </w:t>
      </w:r>
      <w:r>
        <w:rPr>
          <w:rFonts w:cs="Arial"/>
          <w:i/>
        </w:rPr>
        <w:t>Id.</w:t>
      </w:r>
      <w:r>
        <w:rPr>
          <w:rFonts w:cs="Arial"/>
        </w:rPr>
        <w:t xml:space="preserve"> at 2-8, 13-16.</w:t>
      </w:r>
    </w:p>
  </w:footnote>
  <w:footnote w:id="10">
    <w:p w:rsidR="00363490" w:rsidRDefault="00363490" w:rsidP="00E02B2C">
      <w:pPr>
        <w:autoSpaceDE w:val="0"/>
        <w:autoSpaceDN w:val="0"/>
        <w:adjustRightInd w:val="0"/>
        <w:spacing w:after="180"/>
        <w:jc w:val="both"/>
        <w:rPr>
          <w:rFonts w:cs="Arial"/>
          <w:sz w:val="20"/>
        </w:rPr>
      </w:pPr>
      <w:r>
        <w:rPr>
          <w:rStyle w:val="FootnoteReference"/>
          <w:rFonts w:cs="Arial"/>
          <w:sz w:val="20"/>
        </w:rPr>
        <w:footnoteRef/>
      </w:r>
      <w:r>
        <w:rPr>
          <w:rFonts w:cs="Arial"/>
          <w:sz w:val="20"/>
        </w:rPr>
        <w:t xml:space="preserve"> </w:t>
      </w:r>
      <w:r>
        <w:rPr>
          <w:rFonts w:cs="Arial"/>
          <w:i/>
          <w:sz w:val="20"/>
        </w:rPr>
        <w:t>I</w:t>
      </w:r>
      <w:r>
        <w:rPr>
          <w:rFonts w:cs="Arial"/>
          <w:i/>
          <w:iCs/>
          <w:sz w:val="20"/>
        </w:rPr>
        <w:t xml:space="preserve">n the Matter of the Application of Duke Energy Ohio, Inc. for Approval of the Establishment of Rider BTR and Rider RTO and Associated Tariff Approvals, </w:t>
      </w:r>
      <w:r>
        <w:rPr>
          <w:rFonts w:cs="Arial"/>
          <w:sz w:val="20"/>
        </w:rPr>
        <w:t>Case Nos. 11-2641</w:t>
      </w:r>
      <w:r>
        <w:rPr>
          <w:rFonts w:cs="Arial"/>
          <w:sz w:val="20"/>
        </w:rPr>
        <w:noBreakHyphen/>
        <w:t>EL</w:t>
      </w:r>
      <w:r>
        <w:rPr>
          <w:rFonts w:cs="Arial"/>
          <w:sz w:val="20"/>
        </w:rPr>
        <w:noBreakHyphen/>
        <w:t xml:space="preserve">RDR, </w:t>
      </w:r>
      <w:r>
        <w:rPr>
          <w:rFonts w:cs="Arial"/>
          <w:i/>
          <w:sz w:val="20"/>
        </w:rPr>
        <w:t>et al</w:t>
      </w:r>
      <w:r>
        <w:rPr>
          <w:rFonts w:cs="Arial"/>
          <w:sz w:val="20"/>
        </w:rPr>
        <w:t>. (hereinafter “</w:t>
      </w:r>
      <w:r>
        <w:rPr>
          <w:rFonts w:cs="Arial"/>
          <w:i/>
          <w:sz w:val="20"/>
        </w:rPr>
        <w:t>RTO Migration Proceeding</w:t>
      </w:r>
      <w:r>
        <w:rPr>
          <w:rFonts w:cs="Arial"/>
          <w:sz w:val="20"/>
        </w:rPr>
        <w:t>”).</w:t>
      </w:r>
    </w:p>
  </w:footnote>
  <w:footnote w:id="11">
    <w:p w:rsidR="00363490" w:rsidRDefault="00363490" w:rsidP="00E02B2C">
      <w:pPr>
        <w:pStyle w:val="FootnoteText"/>
        <w:spacing w:after="180"/>
        <w:jc w:val="both"/>
        <w:rPr>
          <w:rFonts w:cs="Arial"/>
        </w:rPr>
      </w:pPr>
      <w:r>
        <w:rPr>
          <w:rStyle w:val="FootnoteReference"/>
          <w:rFonts w:cs="Arial"/>
        </w:rPr>
        <w:footnoteRef/>
      </w:r>
      <w:r>
        <w:rPr>
          <w:rFonts w:cs="Arial"/>
        </w:rPr>
        <w:t xml:space="preserve"> Motion to Dismiss </w:t>
      </w:r>
      <w:proofErr w:type="gramStart"/>
      <w:r>
        <w:rPr>
          <w:rFonts w:cs="Arial"/>
        </w:rPr>
        <w:t>at 2 n.5</w:t>
      </w:r>
      <w:proofErr w:type="gramEnd"/>
      <w:r>
        <w:rPr>
          <w:rFonts w:cs="Arial"/>
        </w:rPr>
        <w:t>.</w:t>
      </w:r>
    </w:p>
  </w:footnote>
  <w:footnote w:id="12">
    <w:p w:rsidR="00363490" w:rsidRDefault="00363490" w:rsidP="00E02B2C">
      <w:pPr>
        <w:pStyle w:val="FootnoteText"/>
        <w:spacing w:after="180"/>
        <w:jc w:val="both"/>
        <w:rPr>
          <w:rFonts w:cs="Arial"/>
        </w:rPr>
      </w:pPr>
      <w:r>
        <w:rPr>
          <w:rStyle w:val="FootnoteReference"/>
          <w:rFonts w:cs="Arial"/>
        </w:rPr>
        <w:footnoteRef/>
      </w:r>
      <w:r>
        <w:rPr>
          <w:rFonts w:cs="Arial"/>
        </w:rPr>
        <w:t xml:space="preserve"> </w:t>
      </w:r>
      <w:proofErr w:type="gramStart"/>
      <w:r>
        <w:rPr>
          <w:rFonts w:cs="Arial"/>
        </w:rPr>
        <w:t>Motion to Vacate at 4-5; Interlocutory Appeal at 7.</w:t>
      </w:r>
      <w:proofErr w:type="gramEnd"/>
    </w:p>
  </w:footnote>
  <w:footnote w:id="13">
    <w:p w:rsidR="00363490" w:rsidRDefault="00363490" w:rsidP="00E02B2C">
      <w:pPr>
        <w:pStyle w:val="FootnoteText"/>
        <w:spacing w:after="180"/>
        <w:jc w:val="both"/>
        <w:rPr>
          <w:rFonts w:cs="Arial"/>
        </w:rPr>
      </w:pPr>
      <w:r>
        <w:rPr>
          <w:rStyle w:val="FootnoteReference"/>
          <w:rFonts w:cs="Arial"/>
        </w:rPr>
        <w:footnoteRef/>
      </w:r>
      <w:r>
        <w:rPr>
          <w:rFonts w:cs="Arial"/>
        </w:rPr>
        <w:t xml:space="preserve"> </w:t>
      </w:r>
      <w:proofErr w:type="gramStart"/>
      <w:r>
        <w:rPr>
          <w:rFonts w:cs="Arial"/>
        </w:rPr>
        <w:t>Motion to Vacate at 4; Interlocutory Appeal at 6-7.</w:t>
      </w:r>
      <w:proofErr w:type="gramEnd"/>
    </w:p>
  </w:footnote>
  <w:footnote w:id="14">
    <w:p w:rsidR="00363490" w:rsidRDefault="00363490" w:rsidP="00E02B2C">
      <w:pPr>
        <w:pStyle w:val="FootnoteText"/>
        <w:spacing w:after="180"/>
        <w:jc w:val="both"/>
      </w:pPr>
      <w:r>
        <w:rPr>
          <w:rStyle w:val="FootnoteReference"/>
        </w:rPr>
        <w:footnoteRef/>
      </w:r>
      <w:r>
        <w:t xml:space="preserve"> IEU-Ohio joins the arguments of the Signatory Parties that have filed a Joint Memorandum Contra Duke Energy Ohio, Inc. Application for Review and Interlocutory Appeal on October 15, 2012.</w:t>
      </w:r>
    </w:p>
  </w:footnote>
  <w:footnote w:id="15">
    <w:p w:rsidR="00363490" w:rsidRDefault="00363490" w:rsidP="00E02B2C">
      <w:pPr>
        <w:pStyle w:val="FootnoteText"/>
        <w:spacing w:after="180"/>
      </w:pPr>
      <w:r>
        <w:rPr>
          <w:rStyle w:val="FootnoteReference"/>
        </w:rPr>
        <w:footnoteRef/>
      </w:r>
      <w:r>
        <w:t xml:space="preserve"> </w:t>
      </w:r>
      <w:proofErr w:type="gramStart"/>
      <w:r>
        <w:rPr>
          <w:rFonts w:cs="Arial"/>
        </w:rPr>
        <w:t>Application at 4; Motion to Vacate at 4; Interlocutory Appeal at 5.</w:t>
      </w:r>
      <w:proofErr w:type="gramEnd"/>
    </w:p>
  </w:footnote>
  <w:footnote w:id="16">
    <w:p w:rsidR="00363490" w:rsidRDefault="00363490" w:rsidP="00E02B2C">
      <w:pPr>
        <w:pStyle w:val="FootnoteText"/>
        <w:spacing w:after="180"/>
        <w:jc w:val="both"/>
      </w:pPr>
      <w:r>
        <w:rPr>
          <w:rStyle w:val="FootnoteReference"/>
        </w:rPr>
        <w:footnoteRef/>
      </w:r>
      <w:r>
        <w:t xml:space="preserve"> </w:t>
      </w:r>
      <w:proofErr w:type="gramStart"/>
      <w:r>
        <w:t>Application at 4, 8.</w:t>
      </w:r>
      <w:proofErr w:type="gramEnd"/>
      <w:r>
        <w:t xml:space="preserve">  As identified in the Motion to Dismiss, parties contest Duke’s claim that Chapter 4909, Revised Code, applies.  Motion to </w:t>
      </w:r>
      <w:proofErr w:type="gramStart"/>
      <w:r>
        <w:t>Dismiss</w:t>
      </w:r>
      <w:proofErr w:type="gramEnd"/>
      <w:r>
        <w:t xml:space="preserve"> at 2, n.5.</w:t>
      </w:r>
    </w:p>
  </w:footnote>
  <w:footnote w:id="17">
    <w:p w:rsidR="00363490" w:rsidRDefault="00363490" w:rsidP="00E02B2C">
      <w:pPr>
        <w:autoSpaceDE w:val="0"/>
        <w:autoSpaceDN w:val="0"/>
        <w:adjustRightInd w:val="0"/>
        <w:spacing w:after="180"/>
        <w:jc w:val="both"/>
        <w:rPr>
          <w:rFonts w:cs="Arial"/>
          <w:sz w:val="20"/>
        </w:rPr>
      </w:pPr>
      <w:r>
        <w:rPr>
          <w:rStyle w:val="FootnoteReference"/>
          <w:rFonts w:cs="Arial"/>
          <w:sz w:val="20"/>
        </w:rPr>
        <w:footnoteRef/>
      </w:r>
      <w:r>
        <w:rPr>
          <w:rFonts w:cs="Arial"/>
          <w:sz w:val="20"/>
        </w:rPr>
        <w:t xml:space="preserve"> Interlocutory Appeal at 5-8; </w:t>
      </w:r>
      <w:r>
        <w:rPr>
          <w:rFonts w:cs="Arial"/>
          <w:i/>
          <w:sz w:val="20"/>
        </w:rPr>
        <w:t>In the Matter of Ohio Edison Company, The Cleveland Electric Illuminating Company, and The Toledo Edison Company for Authority to Provide for a Standard Service Offer Pursuant to Section 4928.143, Revised Code, in the Form of an Electric Security Plan</w:t>
      </w:r>
      <w:r>
        <w:rPr>
          <w:rFonts w:cs="Arial"/>
          <w:sz w:val="20"/>
        </w:rPr>
        <w:t xml:space="preserve">, Case No. 12-1230-EL-SSO, Entry at 3 (June 21, 2012) (a party may seek an interlocutory appeal “if an attorney in the Commission’s Legal Department” certifies the interlocutory appeal because it “presents a new or novel question of interpretation, law, or policy, or is taken from a ruling which represents a departure from past precedent and an immediate determination by the Commission is needed to prevent undue prejudice or expense to one or more of the parties ... .”); Rule 4901-1-15, O.A.C.  </w:t>
      </w:r>
    </w:p>
  </w:footnote>
  <w:footnote w:id="18">
    <w:p w:rsidR="00363490" w:rsidRDefault="00363490" w:rsidP="00E02B2C">
      <w:pPr>
        <w:autoSpaceDE w:val="0"/>
        <w:autoSpaceDN w:val="0"/>
        <w:adjustRightInd w:val="0"/>
        <w:spacing w:after="180"/>
        <w:jc w:val="both"/>
        <w:rPr>
          <w:rFonts w:cs="Arial"/>
          <w:sz w:val="20"/>
        </w:rPr>
      </w:pPr>
      <w:r>
        <w:rPr>
          <w:rStyle w:val="FootnoteReference"/>
          <w:rFonts w:cs="Arial"/>
          <w:sz w:val="20"/>
        </w:rPr>
        <w:footnoteRef/>
      </w:r>
      <w:r>
        <w:rPr>
          <w:rFonts w:cs="Arial"/>
          <w:sz w:val="20"/>
        </w:rPr>
        <w:t xml:space="preserve"> </w:t>
      </w:r>
      <w:r>
        <w:rPr>
          <w:rFonts w:cs="Arial"/>
          <w:i/>
          <w:sz w:val="20"/>
        </w:rPr>
        <w:t>In the Matter of the Commission Review of the Capacity Charges of Ohio Power Company and Columbus Southern Power Company</w:t>
      </w:r>
      <w:r>
        <w:rPr>
          <w:rFonts w:cs="Arial"/>
          <w:sz w:val="20"/>
        </w:rPr>
        <w:t>, Case No. 10-2929-EL-UNC.</w:t>
      </w:r>
    </w:p>
  </w:footnote>
  <w:footnote w:id="19">
    <w:p w:rsidR="00363490" w:rsidRDefault="00363490" w:rsidP="00E02B2C">
      <w:pPr>
        <w:pStyle w:val="FootnoteText"/>
        <w:spacing w:after="180"/>
        <w:jc w:val="both"/>
      </w:pPr>
      <w:r>
        <w:rPr>
          <w:rStyle w:val="FootnoteReference"/>
        </w:rPr>
        <w:footnoteRef/>
      </w:r>
      <w:r>
        <w:t xml:space="preserve"> The first hearing, in the fall of 2011, lasted almost a month and addressed AEP-Ohio’s request to significantly increase its compensation for capacity service as well as the other proceedings that AEP</w:t>
      </w:r>
      <w:r>
        <w:noBreakHyphen/>
        <w:t xml:space="preserve">Ohio’s </w:t>
      </w:r>
      <w:r>
        <w:rPr>
          <w:i/>
        </w:rPr>
        <w:t>Capacity Case</w:t>
      </w:r>
      <w:r>
        <w:t xml:space="preserve"> was consolidated with, namely AEP-Ohio’s ESP.  The second hearing in AEP</w:t>
      </w:r>
      <w:r>
        <w:noBreakHyphen/>
        <w:t xml:space="preserve">Ohio’s </w:t>
      </w:r>
      <w:r>
        <w:rPr>
          <w:i/>
        </w:rPr>
        <w:t xml:space="preserve">Capacity Case </w:t>
      </w:r>
      <w:r>
        <w:t>only addressed AEP-Ohio’s request to significantly increase its compensation for capacity service and lasted approximately a month.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363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363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3634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3634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3634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3634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36349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3634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0" w:rsidRDefault="00363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068C4F3E"/>
    <w:multiLevelType w:val="hybridMultilevel"/>
    <w:tmpl w:val="60C609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00949"/>
    <w:multiLevelType w:val="hybridMultilevel"/>
    <w:tmpl w:val="F1D885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71568"/>
    <w:multiLevelType w:val="multilevel"/>
    <w:tmpl w:val="D9844562"/>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abstractNum w:abstractNumId="6">
    <w:nsid w:val="72852651"/>
    <w:multiLevelType w:val="hybridMultilevel"/>
    <w:tmpl w:val="D6C84ED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5"/>
  </w:num>
  <w:num w:numId="3">
    <w:abstractNumId w:val="5"/>
  </w:num>
  <w:num w:numId="4">
    <w:abstractNumId w:val="5"/>
  </w:num>
  <w:num w:numId="5">
    <w:abstractNumId w:val="1"/>
  </w:num>
  <w:num w:numId="6">
    <w:abstractNumId w:val="4"/>
  </w:num>
  <w:num w:numId="7">
    <w:abstractNumId w:val="0"/>
  </w:num>
  <w:num w:numId="8">
    <w:abstractNumId w:val="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AC"/>
    <w:rsid w:val="000E3CA6"/>
    <w:rsid w:val="001A22FC"/>
    <w:rsid w:val="00363490"/>
    <w:rsid w:val="004F691C"/>
    <w:rsid w:val="005F634D"/>
    <w:rsid w:val="006C0961"/>
    <w:rsid w:val="006C5951"/>
    <w:rsid w:val="006D58FF"/>
    <w:rsid w:val="007032B9"/>
    <w:rsid w:val="0074108B"/>
    <w:rsid w:val="007A087B"/>
    <w:rsid w:val="007E5150"/>
    <w:rsid w:val="00866FE8"/>
    <w:rsid w:val="008670BC"/>
    <w:rsid w:val="00920042"/>
    <w:rsid w:val="00A95DA5"/>
    <w:rsid w:val="00AB6052"/>
    <w:rsid w:val="00B77242"/>
    <w:rsid w:val="00B87BA4"/>
    <w:rsid w:val="00D55FAC"/>
    <w:rsid w:val="00D606D7"/>
    <w:rsid w:val="00D954D4"/>
    <w:rsid w:val="00E02B2C"/>
    <w:rsid w:val="00E23D35"/>
    <w:rsid w:val="00E50C66"/>
    <w:rsid w:val="00EA39FC"/>
    <w:rsid w:val="00F1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page number" w:uiPriority="0"/>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Pr>
      <w:rFonts w:ascii="Arial" w:hAnsi="Arial"/>
      <w:sz w:val="24"/>
    </w:rPr>
  </w:style>
  <w:style w:type="paragraph" w:styleId="Heading1">
    <w:name w:val="heading 1"/>
    <w:basedOn w:val="Normal"/>
    <w:next w:val="Normal"/>
    <w:link w:val="Heading1Char"/>
    <w:uiPriority w:val="9"/>
    <w:qFormat/>
    <w:pPr>
      <w:numPr>
        <w:numId w:val="4"/>
      </w:numPr>
      <w:spacing w:after="240"/>
      <w:jc w:val="both"/>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4"/>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jc w:val="both"/>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jc w:val="both"/>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ind w:left="72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left="720" w:right="720"/>
    </w:pPr>
    <w:rPr>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pPr>
      <w:ind w:left="720"/>
      <w:contextualSpacing/>
    </w:pPr>
  </w:style>
  <w:style w:type="paragraph" w:styleId="BodyText">
    <w:name w:val="Body Text"/>
    <w:basedOn w:val="Normal"/>
    <w:link w:val="BodyTextChar"/>
    <w:rsid w:val="00433B11"/>
    <w:pPr>
      <w:jc w:val="both"/>
    </w:pPr>
    <w:rPr>
      <w:rFonts w:cs="Arial"/>
      <w:szCs w:val="24"/>
    </w:rPr>
  </w:style>
  <w:style w:type="character" w:customStyle="1" w:styleId="BodyTextChar">
    <w:name w:val="Body Text Char"/>
    <w:basedOn w:val="DefaultParagraphFont"/>
    <w:link w:val="BodyText"/>
    <w:rsid w:val="00433B11"/>
    <w:rPr>
      <w:rFonts w:ascii="Arial" w:hAnsi="Arial" w:cs="Arial"/>
      <w:sz w:val="24"/>
      <w:szCs w:val="24"/>
    </w:rPr>
  </w:style>
  <w:style w:type="character" w:styleId="PageNumber">
    <w:name w:val="page number"/>
    <w:basedOn w:val="DefaultParagraphFont"/>
    <w:rsid w:val="00433B11"/>
  </w:style>
  <w:style w:type="paragraph" w:styleId="BodyText3">
    <w:name w:val="Body Text 3"/>
    <w:basedOn w:val="Normal"/>
    <w:link w:val="BodyText3Char"/>
    <w:rsid w:val="00433B11"/>
    <w:rPr>
      <w:rFonts w:ascii="Times New Roman" w:hAnsi="Times New Roman"/>
      <w:b/>
    </w:rPr>
  </w:style>
  <w:style w:type="character" w:customStyle="1" w:styleId="BodyText3Char">
    <w:name w:val="Body Text 3 Char"/>
    <w:basedOn w:val="DefaultParagraphFont"/>
    <w:link w:val="BodyText3"/>
    <w:rsid w:val="00433B11"/>
    <w:rPr>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95890"/>
    <w:rPr>
      <w:b/>
      <w:bCs/>
    </w:rPr>
  </w:style>
  <w:style w:type="character" w:customStyle="1" w:styleId="CommentSubjectChar">
    <w:name w:val="Comment Subject Char"/>
    <w:basedOn w:val="CommentTextChar"/>
    <w:link w:val="CommentSubject"/>
    <w:uiPriority w:val="99"/>
    <w:semiHidden/>
    <w:rsid w:val="00195890"/>
    <w:rPr>
      <w:rFonts w:ascii="Arial" w:hAnsi="Arial"/>
      <w:b/>
      <w:bCs/>
    </w:rPr>
  </w:style>
  <w:style w:type="paragraph" w:styleId="BodyText2">
    <w:name w:val="Body Text 2"/>
    <w:basedOn w:val="Normal"/>
    <w:link w:val="BodyText2Char"/>
    <w:uiPriority w:val="99"/>
    <w:semiHidden/>
    <w:unhideWhenUsed/>
    <w:rsid w:val="00E02B2C"/>
    <w:pPr>
      <w:spacing w:after="120" w:line="480" w:lineRule="auto"/>
    </w:pPr>
  </w:style>
  <w:style w:type="character" w:customStyle="1" w:styleId="BodyText2Char">
    <w:name w:val="Body Text 2 Char"/>
    <w:basedOn w:val="DefaultParagraphFont"/>
    <w:link w:val="BodyText2"/>
    <w:uiPriority w:val="99"/>
    <w:semiHidden/>
    <w:rsid w:val="00E02B2C"/>
    <w:rPr>
      <w:rFonts w:ascii="Arial" w:hAnsi="Arial"/>
      <w:sz w:val="24"/>
    </w:rPr>
  </w:style>
  <w:style w:type="character" w:styleId="Hyperlink">
    <w:name w:val="Hyperlink"/>
    <w:basedOn w:val="DefaultParagraphFont"/>
    <w:uiPriority w:val="99"/>
    <w:unhideWhenUsed/>
    <w:rsid w:val="00E02B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page number" w:uiPriority="0"/>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Pr>
      <w:rFonts w:ascii="Arial" w:hAnsi="Arial"/>
      <w:sz w:val="24"/>
    </w:rPr>
  </w:style>
  <w:style w:type="paragraph" w:styleId="Heading1">
    <w:name w:val="heading 1"/>
    <w:basedOn w:val="Normal"/>
    <w:next w:val="Normal"/>
    <w:link w:val="Heading1Char"/>
    <w:uiPriority w:val="9"/>
    <w:qFormat/>
    <w:pPr>
      <w:numPr>
        <w:numId w:val="4"/>
      </w:numPr>
      <w:spacing w:after="240"/>
      <w:jc w:val="both"/>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4"/>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jc w:val="both"/>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jc w:val="both"/>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ind w:left="72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left="720" w:right="720"/>
    </w:pPr>
    <w:rPr>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pPr>
      <w:ind w:left="720"/>
      <w:contextualSpacing/>
    </w:pPr>
  </w:style>
  <w:style w:type="paragraph" w:styleId="BodyText">
    <w:name w:val="Body Text"/>
    <w:basedOn w:val="Normal"/>
    <w:link w:val="BodyTextChar"/>
    <w:rsid w:val="00433B11"/>
    <w:pPr>
      <w:jc w:val="both"/>
    </w:pPr>
    <w:rPr>
      <w:rFonts w:cs="Arial"/>
      <w:szCs w:val="24"/>
    </w:rPr>
  </w:style>
  <w:style w:type="character" w:customStyle="1" w:styleId="BodyTextChar">
    <w:name w:val="Body Text Char"/>
    <w:basedOn w:val="DefaultParagraphFont"/>
    <w:link w:val="BodyText"/>
    <w:rsid w:val="00433B11"/>
    <w:rPr>
      <w:rFonts w:ascii="Arial" w:hAnsi="Arial" w:cs="Arial"/>
      <w:sz w:val="24"/>
      <w:szCs w:val="24"/>
    </w:rPr>
  </w:style>
  <w:style w:type="character" w:styleId="PageNumber">
    <w:name w:val="page number"/>
    <w:basedOn w:val="DefaultParagraphFont"/>
    <w:rsid w:val="00433B11"/>
  </w:style>
  <w:style w:type="paragraph" w:styleId="BodyText3">
    <w:name w:val="Body Text 3"/>
    <w:basedOn w:val="Normal"/>
    <w:link w:val="BodyText3Char"/>
    <w:rsid w:val="00433B11"/>
    <w:rPr>
      <w:rFonts w:ascii="Times New Roman" w:hAnsi="Times New Roman"/>
      <w:b/>
    </w:rPr>
  </w:style>
  <w:style w:type="character" w:customStyle="1" w:styleId="BodyText3Char">
    <w:name w:val="Body Text 3 Char"/>
    <w:basedOn w:val="DefaultParagraphFont"/>
    <w:link w:val="BodyText3"/>
    <w:rsid w:val="00433B11"/>
    <w:rPr>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95890"/>
    <w:rPr>
      <w:b/>
      <w:bCs/>
    </w:rPr>
  </w:style>
  <w:style w:type="character" w:customStyle="1" w:styleId="CommentSubjectChar">
    <w:name w:val="Comment Subject Char"/>
    <w:basedOn w:val="CommentTextChar"/>
    <w:link w:val="CommentSubject"/>
    <w:uiPriority w:val="99"/>
    <w:semiHidden/>
    <w:rsid w:val="00195890"/>
    <w:rPr>
      <w:rFonts w:ascii="Arial" w:hAnsi="Arial"/>
      <w:b/>
      <w:bCs/>
    </w:rPr>
  </w:style>
  <w:style w:type="paragraph" w:styleId="BodyText2">
    <w:name w:val="Body Text 2"/>
    <w:basedOn w:val="Normal"/>
    <w:link w:val="BodyText2Char"/>
    <w:uiPriority w:val="99"/>
    <w:semiHidden/>
    <w:unhideWhenUsed/>
    <w:rsid w:val="00E02B2C"/>
    <w:pPr>
      <w:spacing w:after="120" w:line="480" w:lineRule="auto"/>
    </w:pPr>
  </w:style>
  <w:style w:type="character" w:customStyle="1" w:styleId="BodyText2Char">
    <w:name w:val="Body Text 2 Char"/>
    <w:basedOn w:val="DefaultParagraphFont"/>
    <w:link w:val="BodyText2"/>
    <w:uiPriority w:val="99"/>
    <w:semiHidden/>
    <w:rsid w:val="00E02B2C"/>
    <w:rPr>
      <w:rFonts w:ascii="Arial" w:hAnsi="Arial"/>
      <w:sz w:val="24"/>
    </w:rPr>
  </w:style>
  <w:style w:type="character" w:styleId="Hyperlink">
    <w:name w:val="Hyperlink"/>
    <w:basedOn w:val="DefaultParagraphFont"/>
    <w:uiPriority w:val="99"/>
    <w:unhideWhenUsed/>
    <w:rsid w:val="00E02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mailto:steven.beeler@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4DE24-2645-4035-A913-DE150F20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2458</Words>
  <Characters>14711</Characters>
  <Application>Microsoft Office Word</Application>
  <DocSecurity>0</DocSecurity>
  <PresentationFormat/>
  <Lines>467</Lines>
  <Paragraphs>264</Paragraphs>
  <ScaleCrop>false</ScaleCrop>
  <HeadingPairs>
    <vt:vector size="2" baseType="variant">
      <vt:variant>
        <vt:lpstr>Title</vt:lpstr>
      </vt:variant>
      <vt:variant>
        <vt:i4>1</vt:i4>
      </vt:variant>
    </vt:vector>
  </HeadingPairs>
  <TitlesOfParts>
    <vt:vector size="1" baseType="lpstr">
      <vt:lpstr>Memo Contra Duke's Motion to Vacate &amp; Interlocutory Appeal (C38883-2).DOCX</vt:lpstr>
    </vt:vector>
  </TitlesOfParts>
  <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Duke's Motion to Vacate &amp; Interlocutory Appeal (C38883-2).DOCX</dc:title>
  <dc:subject>C38883:2 /font=8</dc:subject>
  <dc:creator>mpritchard</dc:creator>
  <cp:lastModifiedBy>_</cp:lastModifiedBy>
  <cp:revision>2</cp:revision>
  <dcterms:created xsi:type="dcterms:W3CDTF">2012-10-15T20:25:00Z</dcterms:created>
  <dcterms:modified xsi:type="dcterms:W3CDTF">2012-10-15T20:25:00Z</dcterms:modified>
</cp:coreProperties>
</file>