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5C" w:rsidRPr="004137C8" w:rsidRDefault="00387F5C" w:rsidP="00F85A9F">
      <w:pPr>
        <w:spacing w:after="0"/>
        <w:jc w:val="center"/>
        <w:rPr>
          <w:rFonts w:ascii="Times New Roman" w:hAnsi="Times New Roman" w:cs="Times New Roman"/>
          <w:b/>
          <w:sz w:val="24"/>
          <w:szCs w:val="24"/>
        </w:rPr>
      </w:pPr>
      <w:bookmarkStart w:id="0" w:name="_GoBack"/>
      <w:bookmarkEnd w:id="0"/>
      <w:r w:rsidRPr="004137C8">
        <w:rPr>
          <w:rFonts w:ascii="Times New Roman" w:hAnsi="Times New Roman" w:cs="Times New Roman"/>
          <w:b/>
          <w:sz w:val="24"/>
          <w:szCs w:val="24"/>
        </w:rPr>
        <w:t>BEFORE</w:t>
      </w:r>
    </w:p>
    <w:p w:rsidR="00387F5C" w:rsidRPr="004137C8" w:rsidRDefault="00387F5C" w:rsidP="00F85A9F">
      <w:pPr>
        <w:spacing w:after="0"/>
        <w:jc w:val="center"/>
        <w:rPr>
          <w:rFonts w:ascii="Times New Roman" w:hAnsi="Times New Roman" w:cs="Times New Roman"/>
          <w:b/>
          <w:sz w:val="24"/>
          <w:szCs w:val="24"/>
        </w:rPr>
      </w:pPr>
      <w:r w:rsidRPr="004137C8">
        <w:rPr>
          <w:rFonts w:ascii="Times New Roman" w:hAnsi="Times New Roman" w:cs="Times New Roman"/>
          <w:b/>
          <w:sz w:val="24"/>
          <w:szCs w:val="24"/>
        </w:rPr>
        <w:t>THE PUBLIC UTILITIES COMMISSION OF OHIO</w:t>
      </w:r>
    </w:p>
    <w:p w:rsidR="00387F5C" w:rsidRPr="004137C8" w:rsidRDefault="00387F5C" w:rsidP="00F85A9F">
      <w:pPr>
        <w:spacing w:after="0"/>
        <w:jc w:val="center"/>
        <w:rPr>
          <w:rFonts w:ascii="Times New Roman" w:hAnsi="Times New Roman" w:cs="Times New Roman"/>
          <w:b/>
          <w:sz w:val="24"/>
          <w:szCs w:val="24"/>
        </w:rPr>
      </w:pP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In</w:t>
      </w:r>
      <w:r w:rsidR="00EC6653">
        <w:rPr>
          <w:rFonts w:ascii="Times New Roman" w:hAnsi="Times New Roman" w:cs="Times New Roman"/>
          <w:sz w:val="24"/>
          <w:szCs w:val="24"/>
        </w:rPr>
        <w:t xml:space="preserve"> the Matter of the Complaint</w:t>
      </w:r>
      <w:r w:rsidR="00EC6653">
        <w:rPr>
          <w:rFonts w:ascii="Times New Roman" w:hAnsi="Times New Roman" w:cs="Times New Roman"/>
          <w:sz w:val="24"/>
          <w:szCs w:val="24"/>
        </w:rPr>
        <w:tab/>
      </w:r>
      <w:r w:rsidR="00EC6653">
        <w:rPr>
          <w:rFonts w:ascii="Times New Roman" w:hAnsi="Times New Roman" w:cs="Times New Roman"/>
          <w:sz w:val="24"/>
          <w:szCs w:val="24"/>
        </w:rPr>
        <w:tab/>
      </w:r>
      <w:r w:rsidR="00EC6653">
        <w:rPr>
          <w:rFonts w:ascii="Times New Roman" w:hAnsi="Times New Roman" w:cs="Times New Roman"/>
          <w:sz w:val="24"/>
          <w:szCs w:val="24"/>
        </w:rPr>
        <w:tab/>
      </w:r>
      <w:r w:rsidRPr="004137C8">
        <w:rPr>
          <w:rFonts w:ascii="Times New Roman" w:hAnsi="Times New Roman" w:cs="Times New Roman"/>
          <w:sz w:val="24"/>
          <w:szCs w:val="24"/>
        </w:rPr>
        <w:t>)</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of United Services Automobile Association,</w:t>
      </w:r>
      <w:r w:rsidRPr="004137C8">
        <w:rPr>
          <w:rFonts w:ascii="Times New Roman" w:hAnsi="Times New Roman" w:cs="Times New Roman"/>
          <w:sz w:val="24"/>
          <w:szCs w:val="24"/>
        </w:rPr>
        <w:tab/>
      </w:r>
      <w:r w:rsidRPr="004137C8">
        <w:rPr>
          <w:rFonts w:ascii="Times New Roman" w:hAnsi="Times New Roman" w:cs="Times New Roman"/>
          <w:sz w:val="24"/>
          <w:szCs w:val="24"/>
        </w:rPr>
        <w:tab/>
        <w:t>)</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Complainant</w:t>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w:t>
      </w:r>
      <w:r w:rsidRPr="004137C8">
        <w:rPr>
          <w:rFonts w:ascii="Times New Roman" w:hAnsi="Times New Roman" w:cs="Times New Roman"/>
          <w:sz w:val="24"/>
          <w:szCs w:val="24"/>
        </w:rPr>
        <w:tab/>
        <w:t>Case No. 14-1176-GA-CSS</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v.</w:t>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 xml:space="preserve">NiSource Inc., </w:t>
      </w:r>
      <w:r w:rsidRPr="004137C8">
        <w:rPr>
          <w:rFonts w:ascii="Times New Roman" w:hAnsi="Times New Roman" w:cs="Times New Roman"/>
          <w:i/>
          <w:sz w:val="24"/>
          <w:szCs w:val="24"/>
        </w:rPr>
        <w:t>et al</w:t>
      </w:r>
      <w:r w:rsidRPr="004137C8">
        <w:rPr>
          <w:rFonts w:ascii="Times New Roman" w:hAnsi="Times New Roman" w:cs="Times New Roman"/>
          <w:sz w:val="24"/>
          <w:szCs w:val="24"/>
        </w:rPr>
        <w:t>,</w:t>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w:t>
      </w:r>
    </w:p>
    <w:p w:rsidR="00387F5C" w:rsidRPr="004137C8" w:rsidRDefault="00387F5C" w:rsidP="00387F5C">
      <w:pPr>
        <w:spacing w:after="0"/>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w:t>
      </w:r>
    </w:p>
    <w:p w:rsidR="00387F5C" w:rsidRPr="004137C8" w:rsidRDefault="009B5FB1" w:rsidP="00387F5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Respondents</w:t>
      </w:r>
      <w:r w:rsidR="00387F5C" w:rsidRPr="004137C8">
        <w:rPr>
          <w:rFonts w:ascii="Times New Roman" w:hAnsi="Times New Roman" w:cs="Times New Roman"/>
          <w:sz w:val="24"/>
          <w:szCs w:val="24"/>
        </w:rPr>
        <w:tab/>
      </w:r>
      <w:r w:rsidR="00387F5C" w:rsidRPr="004137C8">
        <w:rPr>
          <w:rFonts w:ascii="Times New Roman" w:hAnsi="Times New Roman" w:cs="Times New Roman"/>
          <w:sz w:val="24"/>
          <w:szCs w:val="24"/>
        </w:rPr>
        <w:tab/>
      </w:r>
      <w:r w:rsidR="00387F5C" w:rsidRPr="004137C8">
        <w:rPr>
          <w:rFonts w:ascii="Times New Roman" w:hAnsi="Times New Roman" w:cs="Times New Roman"/>
          <w:sz w:val="24"/>
          <w:szCs w:val="24"/>
        </w:rPr>
        <w:tab/>
        <w:t>)</w:t>
      </w:r>
    </w:p>
    <w:p w:rsidR="00387F5C" w:rsidRPr="004137C8" w:rsidRDefault="00387F5C" w:rsidP="00F85A9F">
      <w:pPr>
        <w:spacing w:after="0"/>
        <w:jc w:val="center"/>
        <w:rPr>
          <w:rFonts w:ascii="Times New Roman" w:hAnsi="Times New Roman" w:cs="Times New Roman"/>
          <w:b/>
          <w:sz w:val="24"/>
          <w:szCs w:val="24"/>
        </w:rPr>
      </w:pPr>
      <w:r w:rsidRPr="004137C8">
        <w:rPr>
          <w:rFonts w:ascii="Times New Roman" w:hAnsi="Times New Roman" w:cs="Times New Roman"/>
          <w:b/>
          <w:sz w:val="24"/>
          <w:szCs w:val="24"/>
        </w:rPr>
        <w:tab/>
      </w:r>
    </w:p>
    <w:p w:rsidR="00387F5C" w:rsidRPr="004137C8" w:rsidRDefault="002C574A" w:rsidP="00387F5C">
      <w:pPr>
        <w:spacing w:after="0"/>
        <w:rPr>
          <w:rFonts w:ascii="Times New Roman" w:hAnsi="Times New Roman" w:cs="Times New Roman"/>
          <w:b/>
          <w:sz w:val="24"/>
          <w:szCs w:val="24"/>
        </w:rPr>
      </w:pPr>
      <w:r w:rsidRPr="004137C8">
        <w:rPr>
          <w:rFonts w:ascii="Times New Roman" w:hAnsi="Times New Roman" w:cs="Times New Roman"/>
          <w:b/>
          <w:sz w:val="24"/>
          <w:szCs w:val="24"/>
        </w:rPr>
        <w:t>_______</w:t>
      </w:r>
      <w:r w:rsidR="00387F5C" w:rsidRPr="004137C8">
        <w:rPr>
          <w:rFonts w:ascii="Times New Roman" w:hAnsi="Times New Roman" w:cs="Times New Roman"/>
          <w:b/>
          <w:sz w:val="24"/>
          <w:szCs w:val="24"/>
        </w:rPr>
        <w:t>______________________________________________________________________</w:t>
      </w:r>
      <w:r w:rsidRPr="004137C8">
        <w:rPr>
          <w:rFonts w:ascii="Times New Roman" w:hAnsi="Times New Roman" w:cs="Times New Roman"/>
          <w:b/>
          <w:sz w:val="24"/>
          <w:szCs w:val="24"/>
        </w:rPr>
        <w:t>_</w:t>
      </w:r>
    </w:p>
    <w:p w:rsidR="00387F5C" w:rsidRPr="004137C8" w:rsidRDefault="00387F5C" w:rsidP="00F85A9F">
      <w:pPr>
        <w:spacing w:after="0"/>
        <w:jc w:val="center"/>
        <w:rPr>
          <w:rFonts w:ascii="Times New Roman" w:hAnsi="Times New Roman" w:cs="Times New Roman"/>
          <w:b/>
          <w:sz w:val="24"/>
          <w:szCs w:val="24"/>
        </w:rPr>
      </w:pPr>
    </w:p>
    <w:p w:rsidR="00647B89" w:rsidRPr="004137C8" w:rsidRDefault="00322C45" w:rsidP="00F85A9F">
      <w:pPr>
        <w:spacing w:after="0"/>
        <w:jc w:val="center"/>
        <w:rPr>
          <w:rFonts w:ascii="Times New Roman" w:hAnsi="Times New Roman" w:cs="Times New Roman"/>
          <w:b/>
          <w:sz w:val="24"/>
          <w:szCs w:val="24"/>
        </w:rPr>
      </w:pPr>
      <w:r w:rsidRPr="004137C8">
        <w:rPr>
          <w:rFonts w:ascii="Times New Roman" w:hAnsi="Times New Roman" w:cs="Times New Roman"/>
          <w:b/>
          <w:sz w:val="24"/>
          <w:szCs w:val="24"/>
        </w:rPr>
        <w:t xml:space="preserve">RESPONSE </w:t>
      </w:r>
      <w:r w:rsidR="00F85A9F" w:rsidRPr="004137C8">
        <w:rPr>
          <w:rFonts w:ascii="Times New Roman" w:hAnsi="Times New Roman" w:cs="Times New Roman"/>
          <w:b/>
          <w:sz w:val="24"/>
          <w:szCs w:val="24"/>
        </w:rPr>
        <w:t>CONTRA</w:t>
      </w:r>
      <w:r w:rsidRPr="004137C8">
        <w:rPr>
          <w:rFonts w:ascii="Times New Roman" w:hAnsi="Times New Roman" w:cs="Times New Roman"/>
          <w:b/>
          <w:sz w:val="24"/>
          <w:szCs w:val="24"/>
        </w:rPr>
        <w:t xml:space="preserve"> TO</w:t>
      </w:r>
    </w:p>
    <w:p w:rsidR="00A51CEE" w:rsidRPr="004137C8" w:rsidRDefault="00A51CEE" w:rsidP="00F85A9F">
      <w:pPr>
        <w:spacing w:after="0"/>
        <w:jc w:val="center"/>
        <w:rPr>
          <w:rFonts w:ascii="Times New Roman" w:hAnsi="Times New Roman" w:cs="Times New Roman"/>
          <w:b/>
          <w:sz w:val="24"/>
          <w:szCs w:val="24"/>
        </w:rPr>
      </w:pPr>
      <w:r w:rsidRPr="004137C8">
        <w:rPr>
          <w:rFonts w:ascii="Times New Roman" w:hAnsi="Times New Roman" w:cs="Times New Roman"/>
          <w:b/>
          <w:sz w:val="24"/>
          <w:szCs w:val="24"/>
        </w:rPr>
        <w:t>RESPONDENTS’ MOTION TO DISMISS</w:t>
      </w:r>
      <w:r w:rsidR="00A60FC0" w:rsidRPr="004137C8">
        <w:rPr>
          <w:rFonts w:ascii="Times New Roman" w:hAnsi="Times New Roman" w:cs="Times New Roman"/>
          <w:b/>
          <w:sz w:val="24"/>
          <w:szCs w:val="24"/>
        </w:rPr>
        <w:t xml:space="preserve"> FIRST AMENDED COMPLAINT</w:t>
      </w:r>
    </w:p>
    <w:p w:rsidR="00F85A9F" w:rsidRPr="004137C8" w:rsidRDefault="00A51CEE" w:rsidP="00F85A9F">
      <w:pPr>
        <w:spacing w:after="0"/>
        <w:jc w:val="center"/>
        <w:rPr>
          <w:rFonts w:ascii="Times New Roman" w:hAnsi="Times New Roman" w:cs="Times New Roman"/>
          <w:b/>
          <w:sz w:val="24"/>
          <w:szCs w:val="24"/>
        </w:rPr>
      </w:pPr>
      <w:r w:rsidRPr="004137C8">
        <w:rPr>
          <w:rFonts w:ascii="Times New Roman" w:hAnsi="Times New Roman" w:cs="Times New Roman"/>
          <w:b/>
          <w:sz w:val="24"/>
          <w:szCs w:val="24"/>
        </w:rPr>
        <w:t xml:space="preserve">SUBMITTED ON BEHALF </w:t>
      </w:r>
      <w:r w:rsidR="00F85A9F" w:rsidRPr="004137C8">
        <w:rPr>
          <w:rFonts w:ascii="Times New Roman" w:hAnsi="Times New Roman" w:cs="Times New Roman"/>
          <w:b/>
          <w:sz w:val="24"/>
          <w:szCs w:val="24"/>
        </w:rPr>
        <w:t>OF UNITED S</w:t>
      </w:r>
      <w:r w:rsidR="007B0CAA">
        <w:rPr>
          <w:rFonts w:ascii="Times New Roman" w:hAnsi="Times New Roman" w:cs="Times New Roman"/>
          <w:b/>
          <w:sz w:val="24"/>
          <w:szCs w:val="24"/>
        </w:rPr>
        <w:t>ERVICES</w:t>
      </w:r>
      <w:r w:rsidR="00F85A9F" w:rsidRPr="004137C8">
        <w:rPr>
          <w:rFonts w:ascii="Times New Roman" w:hAnsi="Times New Roman" w:cs="Times New Roman"/>
          <w:b/>
          <w:sz w:val="24"/>
          <w:szCs w:val="24"/>
        </w:rPr>
        <w:t xml:space="preserve"> AUTOMOBILE ASSOCIATION</w:t>
      </w:r>
    </w:p>
    <w:p w:rsidR="002C574A" w:rsidRPr="004137C8" w:rsidRDefault="002C574A" w:rsidP="002C574A">
      <w:pPr>
        <w:spacing w:after="0"/>
        <w:rPr>
          <w:rFonts w:ascii="Times New Roman" w:hAnsi="Times New Roman" w:cs="Times New Roman"/>
          <w:b/>
          <w:sz w:val="24"/>
          <w:szCs w:val="24"/>
        </w:rPr>
      </w:pPr>
      <w:r w:rsidRPr="004137C8">
        <w:rPr>
          <w:rFonts w:ascii="Times New Roman" w:hAnsi="Times New Roman" w:cs="Times New Roman"/>
          <w:b/>
          <w:sz w:val="24"/>
          <w:szCs w:val="24"/>
        </w:rPr>
        <w:t>______________________________________________________________________________</w:t>
      </w:r>
    </w:p>
    <w:p w:rsidR="00C15517" w:rsidRPr="004137C8" w:rsidRDefault="00C15517" w:rsidP="00F85A9F">
      <w:pPr>
        <w:spacing w:after="0"/>
        <w:jc w:val="center"/>
        <w:rPr>
          <w:rFonts w:ascii="Times New Roman" w:hAnsi="Times New Roman" w:cs="Times New Roman"/>
          <w:b/>
          <w:sz w:val="24"/>
          <w:szCs w:val="24"/>
        </w:rPr>
      </w:pPr>
    </w:p>
    <w:p w:rsidR="00C15517" w:rsidRPr="004137C8" w:rsidRDefault="00C15517" w:rsidP="00C921CD">
      <w:pPr>
        <w:spacing w:after="0"/>
        <w:jc w:val="both"/>
        <w:rPr>
          <w:rFonts w:ascii="Times New Roman" w:hAnsi="Times New Roman" w:cs="Times New Roman"/>
          <w:b/>
          <w:sz w:val="24"/>
          <w:szCs w:val="24"/>
        </w:rPr>
      </w:pPr>
    </w:p>
    <w:p w:rsidR="00C15517" w:rsidRPr="004137C8" w:rsidRDefault="006D0579" w:rsidP="00C921CD">
      <w:pPr>
        <w:spacing w:after="0"/>
        <w:jc w:val="both"/>
        <w:rPr>
          <w:rFonts w:ascii="Times New Roman" w:hAnsi="Times New Roman" w:cs="Times New Roman"/>
          <w:sz w:val="24"/>
          <w:szCs w:val="24"/>
        </w:rPr>
      </w:pPr>
      <w:r w:rsidRPr="004137C8">
        <w:rPr>
          <w:rFonts w:ascii="Times New Roman" w:hAnsi="Times New Roman" w:cs="Times New Roman"/>
          <w:b/>
          <w:sz w:val="24"/>
          <w:szCs w:val="24"/>
        </w:rPr>
        <w:tab/>
      </w:r>
      <w:r w:rsidRPr="004137C8">
        <w:rPr>
          <w:rFonts w:ascii="Times New Roman" w:hAnsi="Times New Roman" w:cs="Times New Roman"/>
          <w:sz w:val="24"/>
          <w:szCs w:val="24"/>
        </w:rPr>
        <w:t>The United S</w:t>
      </w:r>
      <w:r w:rsidR="007B0CAA">
        <w:rPr>
          <w:rFonts w:ascii="Times New Roman" w:hAnsi="Times New Roman" w:cs="Times New Roman"/>
          <w:sz w:val="24"/>
          <w:szCs w:val="24"/>
        </w:rPr>
        <w:t>ervices</w:t>
      </w:r>
      <w:r w:rsidRPr="004137C8">
        <w:rPr>
          <w:rFonts w:ascii="Times New Roman" w:hAnsi="Times New Roman" w:cs="Times New Roman"/>
          <w:sz w:val="24"/>
          <w:szCs w:val="24"/>
        </w:rPr>
        <w:t xml:space="preserve"> Automobile Association (“USAA”) hereby submits the following response to the Motion to Dismiss </w:t>
      </w:r>
      <w:r w:rsidR="00A60FC0" w:rsidRPr="004137C8">
        <w:rPr>
          <w:rFonts w:ascii="Times New Roman" w:hAnsi="Times New Roman" w:cs="Times New Roman"/>
          <w:sz w:val="24"/>
          <w:szCs w:val="24"/>
        </w:rPr>
        <w:t xml:space="preserve">First Amended Complaint </w:t>
      </w:r>
      <w:r w:rsidRPr="004137C8">
        <w:rPr>
          <w:rFonts w:ascii="Times New Roman" w:hAnsi="Times New Roman" w:cs="Times New Roman"/>
          <w:sz w:val="24"/>
          <w:szCs w:val="24"/>
        </w:rPr>
        <w:t>of Columbia Gas of Ohio, Inc. (“Columbia”).</w:t>
      </w:r>
    </w:p>
    <w:p w:rsidR="00F808E4" w:rsidRPr="004137C8" w:rsidRDefault="00F808E4" w:rsidP="00C921CD">
      <w:pPr>
        <w:spacing w:after="0"/>
        <w:jc w:val="both"/>
        <w:rPr>
          <w:rFonts w:ascii="Times New Roman" w:hAnsi="Times New Roman" w:cs="Times New Roman"/>
          <w:sz w:val="24"/>
          <w:szCs w:val="24"/>
        </w:rPr>
      </w:pPr>
    </w:p>
    <w:p w:rsidR="00A60FC0" w:rsidRPr="004137C8" w:rsidRDefault="00F808E4" w:rsidP="00277D1C">
      <w:pPr>
        <w:spacing w:after="0"/>
        <w:jc w:val="both"/>
        <w:rPr>
          <w:rFonts w:ascii="Times New Roman" w:hAnsi="Times New Roman" w:cs="Times New Roman"/>
          <w:sz w:val="24"/>
          <w:szCs w:val="24"/>
        </w:rPr>
      </w:pPr>
      <w:r w:rsidRPr="004137C8">
        <w:rPr>
          <w:rFonts w:ascii="Times New Roman" w:hAnsi="Times New Roman" w:cs="Times New Roman"/>
          <w:sz w:val="24"/>
          <w:szCs w:val="24"/>
        </w:rPr>
        <w:tab/>
      </w:r>
      <w:r w:rsidR="00B34281" w:rsidRPr="004137C8">
        <w:rPr>
          <w:rFonts w:ascii="Times New Roman" w:hAnsi="Times New Roman" w:cs="Times New Roman"/>
          <w:sz w:val="24"/>
          <w:szCs w:val="24"/>
        </w:rPr>
        <w:t>Prior to the present motion, Columbia filed a Motion to Dismiss USAA’s initial Complaint.  USAA responded, and conceded certain arguments which concessions were adopted by PUCO and a corresponding First Amended Complaint was deemed filed.  The concessions involve</w:t>
      </w:r>
      <w:r w:rsidR="006F04F3" w:rsidRPr="004137C8">
        <w:rPr>
          <w:rFonts w:ascii="Times New Roman" w:hAnsi="Times New Roman" w:cs="Times New Roman"/>
          <w:sz w:val="24"/>
          <w:szCs w:val="24"/>
        </w:rPr>
        <w:t xml:space="preserve">d removing NiSource as a party and </w:t>
      </w:r>
      <w:r w:rsidR="00B34281" w:rsidRPr="004137C8">
        <w:rPr>
          <w:rFonts w:ascii="Times New Roman" w:hAnsi="Times New Roman" w:cs="Times New Roman"/>
          <w:sz w:val="24"/>
          <w:szCs w:val="24"/>
        </w:rPr>
        <w:t>removing its strict liability and implied contract claims.</w:t>
      </w:r>
    </w:p>
    <w:p w:rsidR="006F04F3" w:rsidRPr="004137C8" w:rsidRDefault="006F04F3" w:rsidP="00277D1C">
      <w:pPr>
        <w:spacing w:after="0"/>
        <w:jc w:val="both"/>
        <w:rPr>
          <w:rFonts w:ascii="Times New Roman" w:hAnsi="Times New Roman" w:cs="Times New Roman"/>
          <w:sz w:val="24"/>
          <w:szCs w:val="24"/>
        </w:rPr>
      </w:pPr>
    </w:p>
    <w:p w:rsidR="00BF1A78" w:rsidRPr="004137C8" w:rsidRDefault="006F04F3" w:rsidP="00277D1C">
      <w:pPr>
        <w:spacing w:after="0"/>
        <w:jc w:val="both"/>
        <w:rPr>
          <w:rFonts w:ascii="Times New Roman" w:hAnsi="Times New Roman" w:cs="Times New Roman"/>
          <w:sz w:val="24"/>
          <w:szCs w:val="24"/>
        </w:rPr>
      </w:pPr>
      <w:r w:rsidRPr="004137C8">
        <w:rPr>
          <w:rFonts w:ascii="Times New Roman" w:hAnsi="Times New Roman" w:cs="Times New Roman"/>
          <w:sz w:val="24"/>
          <w:szCs w:val="24"/>
        </w:rPr>
        <w:tab/>
        <w:t xml:space="preserve">In its First Amended Complaint, USAA continued its service-related negligence claims, breach of tariff and regulatory violations claims.  </w:t>
      </w:r>
      <w:r w:rsidR="00BF1A78" w:rsidRPr="004137C8">
        <w:rPr>
          <w:rFonts w:ascii="Times New Roman" w:hAnsi="Times New Roman" w:cs="Times New Roman"/>
          <w:sz w:val="24"/>
          <w:szCs w:val="24"/>
        </w:rPr>
        <w:t xml:space="preserve">Because </w:t>
      </w:r>
      <w:r w:rsidRPr="004137C8">
        <w:rPr>
          <w:rFonts w:ascii="Times New Roman" w:hAnsi="Times New Roman" w:cs="Times New Roman"/>
          <w:sz w:val="24"/>
          <w:szCs w:val="24"/>
        </w:rPr>
        <w:t>Columbia</w:t>
      </w:r>
      <w:r w:rsidR="00BF1A78" w:rsidRPr="004137C8">
        <w:rPr>
          <w:rFonts w:ascii="Times New Roman" w:hAnsi="Times New Roman" w:cs="Times New Roman"/>
          <w:sz w:val="24"/>
          <w:szCs w:val="24"/>
        </w:rPr>
        <w:t xml:space="preserve"> made arguments in its initial Motion to Dismiss that relate to claims presented in Plaintiff’s First Amended Complaint, Columbia has renewed those argument</w:t>
      </w:r>
      <w:r w:rsidR="00EC6653">
        <w:rPr>
          <w:rFonts w:ascii="Times New Roman" w:hAnsi="Times New Roman" w:cs="Times New Roman"/>
          <w:sz w:val="24"/>
          <w:szCs w:val="24"/>
        </w:rPr>
        <w:t>s</w:t>
      </w:r>
      <w:r w:rsidR="00BF1A78" w:rsidRPr="004137C8">
        <w:rPr>
          <w:rFonts w:ascii="Times New Roman" w:hAnsi="Times New Roman" w:cs="Times New Roman"/>
          <w:sz w:val="24"/>
          <w:szCs w:val="24"/>
        </w:rPr>
        <w:t xml:space="preserve"> with respect to the First Amended Complaint as well.  To that extent, Plaintiff incorporates herein by reference its</w:t>
      </w:r>
      <w:r w:rsidR="00E32A38" w:rsidRPr="004137C8">
        <w:rPr>
          <w:rFonts w:ascii="Times New Roman" w:hAnsi="Times New Roman" w:cs="Times New Roman"/>
          <w:sz w:val="24"/>
          <w:szCs w:val="24"/>
        </w:rPr>
        <w:t xml:space="preserve"> Response Contra and</w:t>
      </w:r>
      <w:r w:rsidR="00BF1A78" w:rsidRPr="004137C8">
        <w:rPr>
          <w:rFonts w:ascii="Times New Roman" w:hAnsi="Times New Roman" w:cs="Times New Roman"/>
          <w:sz w:val="24"/>
          <w:szCs w:val="24"/>
        </w:rPr>
        <w:t xml:space="preserve"> Memorandum Contra to Columbia’s initial Motion to </w:t>
      </w:r>
      <w:r w:rsidR="00283CB2" w:rsidRPr="004137C8">
        <w:rPr>
          <w:rFonts w:ascii="Times New Roman" w:hAnsi="Times New Roman" w:cs="Times New Roman"/>
          <w:sz w:val="24"/>
          <w:szCs w:val="24"/>
        </w:rPr>
        <w:t>Dismiss and continues to assert that Columbia’s Motion to Dismiss should be denied.</w:t>
      </w:r>
    </w:p>
    <w:p w:rsidR="00BF1A78" w:rsidRPr="004137C8" w:rsidRDefault="00BF1A78" w:rsidP="00277D1C">
      <w:pPr>
        <w:spacing w:after="0"/>
        <w:jc w:val="both"/>
        <w:rPr>
          <w:rFonts w:ascii="Times New Roman" w:hAnsi="Times New Roman" w:cs="Times New Roman"/>
          <w:sz w:val="24"/>
          <w:szCs w:val="24"/>
        </w:rPr>
      </w:pPr>
    </w:p>
    <w:p w:rsidR="00BF1A78" w:rsidRPr="004137C8" w:rsidRDefault="00BF1A78" w:rsidP="00BF1A78">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lastRenderedPageBreak/>
        <w:t xml:space="preserve">Further, by way of the present motion, Columbia has added additional arguments with respect to Plaintiff’s First Amended Complaint.  Columbia asserts in addition that </w:t>
      </w:r>
      <w:r w:rsidR="00B96DA2" w:rsidRPr="004137C8">
        <w:rPr>
          <w:rFonts w:ascii="Times New Roman" w:hAnsi="Times New Roman" w:cs="Times New Roman"/>
          <w:sz w:val="24"/>
          <w:szCs w:val="24"/>
        </w:rPr>
        <w:t xml:space="preserve">PUCO has no jurisdiction over subrogation, and also adds additional arguments </w:t>
      </w:r>
      <w:r w:rsidR="00F96EB5" w:rsidRPr="004137C8">
        <w:rPr>
          <w:rFonts w:ascii="Times New Roman" w:hAnsi="Times New Roman" w:cs="Times New Roman"/>
          <w:sz w:val="24"/>
          <w:szCs w:val="24"/>
        </w:rPr>
        <w:t>that</w:t>
      </w:r>
      <w:r w:rsidR="00283CB2" w:rsidRPr="004137C8">
        <w:rPr>
          <w:rFonts w:ascii="Times New Roman" w:hAnsi="Times New Roman" w:cs="Times New Roman"/>
          <w:sz w:val="24"/>
          <w:szCs w:val="24"/>
        </w:rPr>
        <w:t xml:space="preserve"> PUCO has no jurisdiction over USAA’s claims for service-related negligence, breach of tariff, and regulatory violations.  However, Columbia’s additional arguments fail as well, and Columbia’s Motion to Dismiss the First Amended Complaint should be denied.  PUCO has jurisdiction over the claims presented by USAA in the First Amended Complaint.</w:t>
      </w:r>
      <w:r w:rsidR="008159B3" w:rsidRPr="004137C8">
        <w:rPr>
          <w:rFonts w:ascii="Times New Roman" w:hAnsi="Times New Roman" w:cs="Times New Roman"/>
          <w:sz w:val="24"/>
          <w:szCs w:val="24"/>
        </w:rPr>
        <w:t xml:space="preserve">  Columbia has presented no law or other support that subrogation claims are outside of PUCO’s jurisdic</w:t>
      </w:r>
      <w:r w:rsidR="00EC6653">
        <w:rPr>
          <w:rFonts w:ascii="Times New Roman" w:hAnsi="Times New Roman" w:cs="Times New Roman"/>
          <w:sz w:val="24"/>
          <w:szCs w:val="24"/>
        </w:rPr>
        <w:t>tion</w:t>
      </w:r>
      <w:r w:rsidR="008159B3" w:rsidRPr="004137C8">
        <w:rPr>
          <w:rFonts w:ascii="Times New Roman" w:hAnsi="Times New Roman" w:cs="Times New Roman"/>
          <w:sz w:val="24"/>
          <w:szCs w:val="24"/>
        </w:rPr>
        <w:t xml:space="preserve">.  </w:t>
      </w:r>
      <w:r w:rsidR="00D91A4C" w:rsidRPr="004137C8">
        <w:rPr>
          <w:rFonts w:ascii="Times New Roman" w:hAnsi="Times New Roman" w:cs="Times New Roman"/>
          <w:sz w:val="24"/>
          <w:szCs w:val="24"/>
        </w:rPr>
        <w:t>Further, PUCO has</w:t>
      </w:r>
      <w:r w:rsidR="00EC6653">
        <w:rPr>
          <w:rFonts w:ascii="Times New Roman" w:hAnsi="Times New Roman" w:cs="Times New Roman"/>
          <w:sz w:val="24"/>
          <w:szCs w:val="24"/>
        </w:rPr>
        <w:t xml:space="preserve"> exclusive jurisdiction over</w:t>
      </w:r>
      <w:r w:rsidR="00D91A4C" w:rsidRPr="004137C8">
        <w:rPr>
          <w:rFonts w:ascii="Times New Roman" w:hAnsi="Times New Roman" w:cs="Times New Roman"/>
          <w:sz w:val="24"/>
          <w:szCs w:val="24"/>
        </w:rPr>
        <w:t xml:space="preserve"> service-related negligence claims, breach of tariff claims and regulator violation claims related to the gas industry.  Columbia has made short-sighted arguments based on the premise that situation involved in this case could not give rise to claims that must</w:t>
      </w:r>
      <w:r w:rsidR="00EC6653">
        <w:rPr>
          <w:rFonts w:ascii="Times New Roman" w:hAnsi="Times New Roman" w:cs="Times New Roman"/>
          <w:sz w:val="24"/>
          <w:szCs w:val="24"/>
        </w:rPr>
        <w:t xml:space="preserve"> be brought in PUCO and in the s</w:t>
      </w:r>
      <w:r w:rsidR="00D91A4C" w:rsidRPr="004137C8">
        <w:rPr>
          <w:rFonts w:ascii="Times New Roman" w:hAnsi="Times New Roman" w:cs="Times New Roman"/>
          <w:sz w:val="24"/>
          <w:szCs w:val="24"/>
        </w:rPr>
        <w:t>tate Court.   Because PUCO’s exclusive jurisdiction is not all-encompassing, and because</w:t>
      </w:r>
      <w:r w:rsidR="00EC6653">
        <w:rPr>
          <w:rFonts w:ascii="Times New Roman" w:hAnsi="Times New Roman" w:cs="Times New Roman"/>
          <w:sz w:val="24"/>
          <w:szCs w:val="24"/>
        </w:rPr>
        <w:t xml:space="preserve"> the s</w:t>
      </w:r>
      <w:r w:rsidR="00D91A4C" w:rsidRPr="004137C8">
        <w:rPr>
          <w:rFonts w:ascii="Times New Roman" w:hAnsi="Times New Roman" w:cs="Times New Roman"/>
          <w:sz w:val="24"/>
          <w:szCs w:val="24"/>
        </w:rPr>
        <w:t xml:space="preserve">tate Court still maintains jurisdiction over certain claims, </w:t>
      </w:r>
      <w:r w:rsidR="00E32A38" w:rsidRPr="004137C8">
        <w:rPr>
          <w:rFonts w:ascii="Times New Roman" w:hAnsi="Times New Roman" w:cs="Times New Roman"/>
          <w:sz w:val="24"/>
          <w:szCs w:val="24"/>
        </w:rPr>
        <w:t>forcing a party with claims within each jurisdiction to only proceed in one venue would be limiting an injured party’s access to a tribunal.  There is no basis in law or public policy that has been presented by Columbia to support its continuing jurisdictional arguments.</w:t>
      </w:r>
    </w:p>
    <w:p w:rsidR="008159B3" w:rsidRPr="004137C8" w:rsidRDefault="008159B3" w:rsidP="00E32A38">
      <w:pPr>
        <w:spacing w:after="0"/>
        <w:jc w:val="both"/>
        <w:rPr>
          <w:rFonts w:ascii="Times New Roman" w:hAnsi="Times New Roman" w:cs="Times New Roman"/>
          <w:sz w:val="24"/>
          <w:szCs w:val="24"/>
        </w:rPr>
      </w:pPr>
    </w:p>
    <w:p w:rsidR="00F808E4" w:rsidRPr="004137C8" w:rsidRDefault="00C921CD" w:rsidP="00D471FC">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For </w:t>
      </w:r>
      <w:r w:rsidR="00D471FC" w:rsidRPr="004137C8">
        <w:rPr>
          <w:rFonts w:ascii="Times New Roman" w:hAnsi="Times New Roman" w:cs="Times New Roman"/>
          <w:sz w:val="24"/>
          <w:szCs w:val="24"/>
        </w:rPr>
        <w:t>all of these reasons</w:t>
      </w:r>
      <w:r w:rsidRPr="004137C8">
        <w:rPr>
          <w:rFonts w:ascii="Times New Roman" w:hAnsi="Times New Roman" w:cs="Times New Roman"/>
          <w:sz w:val="24"/>
          <w:szCs w:val="24"/>
        </w:rPr>
        <w:t>,</w:t>
      </w:r>
      <w:r w:rsidR="00D471FC" w:rsidRPr="004137C8">
        <w:rPr>
          <w:rFonts w:ascii="Times New Roman" w:hAnsi="Times New Roman" w:cs="Times New Roman"/>
          <w:sz w:val="24"/>
          <w:szCs w:val="24"/>
        </w:rPr>
        <w:t xml:space="preserve"> as further explained in the attached Memorandum </w:t>
      </w:r>
      <w:r w:rsidR="00322C45" w:rsidRPr="004137C8">
        <w:rPr>
          <w:rFonts w:ascii="Times New Roman" w:hAnsi="Times New Roman" w:cs="Times New Roman"/>
          <w:sz w:val="24"/>
          <w:szCs w:val="24"/>
        </w:rPr>
        <w:t>Contra</w:t>
      </w:r>
      <w:r w:rsidR="00D471FC" w:rsidRPr="004137C8">
        <w:rPr>
          <w:rFonts w:ascii="Times New Roman" w:hAnsi="Times New Roman" w:cs="Times New Roman"/>
          <w:sz w:val="24"/>
          <w:szCs w:val="24"/>
        </w:rPr>
        <w:t xml:space="preserve">, </w:t>
      </w:r>
      <w:r w:rsidR="00E32A38" w:rsidRPr="004137C8">
        <w:rPr>
          <w:rFonts w:ascii="Times New Roman" w:hAnsi="Times New Roman" w:cs="Times New Roman"/>
          <w:sz w:val="24"/>
          <w:szCs w:val="24"/>
        </w:rPr>
        <w:t>as well as the Response Contra and Memorandum Contra filed with respect to the Motion to Dismiss the Com</w:t>
      </w:r>
      <w:r w:rsidR="00CE232D" w:rsidRPr="004137C8">
        <w:rPr>
          <w:rFonts w:ascii="Times New Roman" w:hAnsi="Times New Roman" w:cs="Times New Roman"/>
          <w:sz w:val="24"/>
          <w:szCs w:val="24"/>
        </w:rPr>
        <w:t>plain</w:t>
      </w:r>
      <w:r w:rsidR="00E32A38" w:rsidRPr="004137C8">
        <w:rPr>
          <w:rFonts w:ascii="Times New Roman" w:hAnsi="Times New Roman" w:cs="Times New Roman"/>
          <w:sz w:val="24"/>
          <w:szCs w:val="24"/>
        </w:rPr>
        <w:t xml:space="preserve">t, </w:t>
      </w:r>
      <w:r w:rsidR="00D471FC" w:rsidRPr="004137C8">
        <w:rPr>
          <w:rFonts w:ascii="Times New Roman" w:hAnsi="Times New Roman" w:cs="Times New Roman"/>
          <w:sz w:val="24"/>
          <w:szCs w:val="24"/>
        </w:rPr>
        <w:t>Complainant</w:t>
      </w:r>
      <w:r w:rsidRPr="004137C8">
        <w:rPr>
          <w:rFonts w:ascii="Times New Roman" w:hAnsi="Times New Roman" w:cs="Times New Roman"/>
          <w:sz w:val="24"/>
          <w:szCs w:val="24"/>
        </w:rPr>
        <w:t xml:space="preserve"> USAA respectfully requests that</w:t>
      </w:r>
      <w:r w:rsidR="00322C45" w:rsidRPr="004137C8">
        <w:rPr>
          <w:rFonts w:ascii="Times New Roman" w:hAnsi="Times New Roman" w:cs="Times New Roman"/>
          <w:sz w:val="24"/>
          <w:szCs w:val="24"/>
        </w:rPr>
        <w:t xml:space="preserve"> </w:t>
      </w:r>
      <w:r w:rsidR="0011315B" w:rsidRPr="004137C8">
        <w:rPr>
          <w:rFonts w:ascii="Times New Roman" w:hAnsi="Times New Roman" w:cs="Times New Roman"/>
          <w:sz w:val="24"/>
          <w:szCs w:val="24"/>
        </w:rPr>
        <w:t>Columbia’s Motion</w:t>
      </w:r>
      <w:r w:rsidR="00CE232D" w:rsidRPr="004137C8">
        <w:rPr>
          <w:rFonts w:ascii="Times New Roman" w:hAnsi="Times New Roman" w:cs="Times New Roman"/>
          <w:sz w:val="24"/>
          <w:szCs w:val="24"/>
        </w:rPr>
        <w:t>s</w:t>
      </w:r>
      <w:r w:rsidR="0011315B" w:rsidRPr="004137C8">
        <w:rPr>
          <w:rFonts w:ascii="Times New Roman" w:hAnsi="Times New Roman" w:cs="Times New Roman"/>
          <w:sz w:val="24"/>
          <w:szCs w:val="24"/>
        </w:rPr>
        <w:t xml:space="preserve"> to D</w:t>
      </w:r>
      <w:r w:rsidRPr="004137C8">
        <w:rPr>
          <w:rFonts w:ascii="Times New Roman" w:hAnsi="Times New Roman" w:cs="Times New Roman"/>
          <w:sz w:val="24"/>
          <w:szCs w:val="24"/>
        </w:rPr>
        <w:t>ismiss</w:t>
      </w:r>
      <w:r w:rsidR="00322C45" w:rsidRPr="004137C8">
        <w:rPr>
          <w:rFonts w:ascii="Times New Roman" w:hAnsi="Times New Roman" w:cs="Times New Roman"/>
          <w:sz w:val="24"/>
          <w:szCs w:val="24"/>
        </w:rPr>
        <w:t xml:space="preserve"> be denied</w:t>
      </w:r>
      <w:r w:rsidRPr="004137C8">
        <w:rPr>
          <w:rFonts w:ascii="Times New Roman" w:hAnsi="Times New Roman" w:cs="Times New Roman"/>
          <w:sz w:val="24"/>
          <w:szCs w:val="24"/>
        </w:rPr>
        <w:t xml:space="preserve">. </w:t>
      </w:r>
    </w:p>
    <w:p w:rsidR="00C963BD" w:rsidRDefault="00C963BD" w:rsidP="00D471FC">
      <w:pPr>
        <w:spacing w:after="0"/>
        <w:ind w:firstLine="720"/>
        <w:jc w:val="both"/>
        <w:rPr>
          <w:rFonts w:ascii="Times New Roman" w:hAnsi="Times New Roman" w:cs="Times New Roman"/>
          <w:sz w:val="24"/>
          <w:szCs w:val="24"/>
        </w:rPr>
      </w:pPr>
    </w:p>
    <w:p w:rsidR="00D471FC" w:rsidRPr="004137C8" w:rsidRDefault="00D471FC" w:rsidP="00D471FC">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Respectfully submitted,</w:t>
      </w:r>
    </w:p>
    <w:p w:rsidR="00D471FC" w:rsidRPr="004137C8" w:rsidRDefault="00D471FC" w:rsidP="004137C8">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P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r>
      <w:r w:rsidR="004137C8">
        <w:rPr>
          <w:rFonts w:ascii="Times New Roman" w:hAnsi="Times New Roman" w:cs="Times New Roman"/>
          <w:sz w:val="24"/>
          <w:szCs w:val="24"/>
        </w:rPr>
        <w:tab/>
        <w:t>BY:</w:t>
      </w:r>
      <w:r w:rsidR="008635E4">
        <w:rPr>
          <w:rFonts w:ascii="Times New Roman" w:hAnsi="Times New Roman" w:cs="Times New Roman"/>
          <w:sz w:val="24"/>
          <w:szCs w:val="24"/>
        </w:rPr>
        <w:t xml:space="preserve"> </w:t>
      </w:r>
      <w:r w:rsidR="008635E4" w:rsidRPr="008635E4">
        <w:rPr>
          <w:rFonts w:ascii="Times New Roman" w:hAnsi="Times New Roman" w:cs="Times New Roman"/>
          <w:sz w:val="24"/>
          <w:szCs w:val="24"/>
          <w:u w:val="single"/>
        </w:rPr>
        <w:t xml:space="preserve">   /s/  Erick J Kirker</w:t>
      </w:r>
      <w:r w:rsidR="008635E4" w:rsidRPr="008635E4">
        <w:rPr>
          <w:rFonts w:ascii="Times New Roman" w:hAnsi="Times New Roman" w:cs="Times New Roman"/>
          <w:sz w:val="24"/>
          <w:szCs w:val="24"/>
          <w:u w:val="single"/>
        </w:rPr>
        <w:tab/>
      </w:r>
      <w:r w:rsidR="008635E4" w:rsidRPr="008635E4">
        <w:rPr>
          <w:rFonts w:ascii="Times New Roman" w:hAnsi="Times New Roman" w:cs="Times New Roman"/>
          <w:sz w:val="24"/>
          <w:szCs w:val="24"/>
          <w:u w:val="single"/>
        </w:rPr>
        <w:tab/>
      </w:r>
    </w:p>
    <w:p w:rsidR="00CE232D" w:rsidRDefault="00D471FC" w:rsidP="00CE232D">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00583A3F" w:rsidRPr="004137C8">
        <w:rPr>
          <w:rFonts w:ascii="Times New Roman" w:hAnsi="Times New Roman" w:cs="Times New Roman"/>
          <w:sz w:val="24"/>
          <w:szCs w:val="24"/>
        </w:rPr>
        <w:tab/>
      </w:r>
      <w:r w:rsidR="00CE232D" w:rsidRPr="004137C8">
        <w:rPr>
          <w:rFonts w:ascii="Times New Roman" w:hAnsi="Times New Roman" w:cs="Times New Roman"/>
          <w:sz w:val="24"/>
          <w:szCs w:val="24"/>
        </w:rPr>
        <w:t>Erick J. Kirker, Esq.</w:t>
      </w:r>
      <w:r w:rsidR="008635E4">
        <w:rPr>
          <w:rFonts w:ascii="Times New Roman" w:hAnsi="Times New Roman" w:cs="Times New Roman"/>
          <w:sz w:val="24"/>
          <w:szCs w:val="24"/>
        </w:rPr>
        <w:t xml:space="preserve"> </w:t>
      </w:r>
      <w:r w:rsidR="008635E4" w:rsidRPr="008635E4">
        <w:rPr>
          <w:rFonts w:ascii="Times New Roman" w:hAnsi="Times New Roman" w:cs="Times New Roman"/>
          <w:i/>
          <w:sz w:val="24"/>
          <w:szCs w:val="24"/>
        </w:rPr>
        <w:t>Counsel of Record</w:t>
      </w:r>
      <w:r w:rsidR="008635E4">
        <w:rPr>
          <w:rFonts w:ascii="Times New Roman" w:hAnsi="Times New Roman" w:cs="Times New Roman"/>
          <w:sz w:val="24"/>
          <w:szCs w:val="24"/>
        </w:rPr>
        <w:t xml:space="preserve"> </w:t>
      </w:r>
    </w:p>
    <w:p w:rsidR="00CE232D" w:rsidRPr="004137C8" w:rsidRDefault="00CE232D" w:rsidP="008635E4">
      <w:pPr>
        <w:spacing w:after="0"/>
        <w:ind w:left="5040"/>
        <w:jc w:val="both"/>
        <w:rPr>
          <w:rFonts w:ascii="Times New Roman" w:hAnsi="Times New Roman" w:cs="Times New Roman"/>
          <w:i/>
          <w:sz w:val="24"/>
          <w:szCs w:val="24"/>
        </w:rPr>
      </w:pPr>
      <w:r w:rsidRPr="004137C8">
        <w:rPr>
          <w:rFonts w:ascii="Times New Roman" w:hAnsi="Times New Roman" w:cs="Times New Roman"/>
          <w:i/>
          <w:sz w:val="24"/>
          <w:szCs w:val="24"/>
        </w:rPr>
        <w:t>Admitted Pro Hac Vice</w:t>
      </w:r>
    </w:p>
    <w:p w:rsidR="001450F0" w:rsidRPr="001450F0" w:rsidRDefault="001450F0" w:rsidP="008635E4">
      <w:pPr>
        <w:spacing w:after="0"/>
        <w:ind w:left="5040"/>
        <w:jc w:val="both"/>
        <w:rPr>
          <w:rFonts w:ascii="Times New Roman" w:hAnsi="Times New Roman" w:cs="Times New Roman"/>
          <w:i/>
          <w:sz w:val="24"/>
          <w:szCs w:val="24"/>
        </w:rPr>
      </w:pPr>
      <w:r w:rsidRPr="001450F0">
        <w:rPr>
          <w:rFonts w:ascii="Times New Roman" w:hAnsi="Times New Roman" w:cs="Times New Roman"/>
          <w:i/>
          <w:sz w:val="24"/>
          <w:szCs w:val="24"/>
        </w:rPr>
        <w:t>PHV Registration #1399-2015</w:t>
      </w:r>
    </w:p>
    <w:p w:rsidR="00CE232D" w:rsidRPr="004137C8" w:rsidRDefault="00CE232D"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COZEN O’CONNOR</w:t>
      </w:r>
    </w:p>
    <w:p w:rsidR="00CE232D" w:rsidRPr="004137C8" w:rsidRDefault="00CE232D"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1900 Market Street</w:t>
      </w:r>
    </w:p>
    <w:p w:rsidR="00CE232D" w:rsidRPr="004137C8" w:rsidRDefault="00CE232D"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Philadelphia, PA 19103</w:t>
      </w:r>
    </w:p>
    <w:p w:rsidR="00CE232D" w:rsidRPr="004137C8" w:rsidRDefault="00CE232D"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(215) 665-2172 (Phone)</w:t>
      </w:r>
    </w:p>
    <w:p w:rsidR="00CE232D" w:rsidRPr="004137C8" w:rsidRDefault="00CE232D"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(215) 701-2172 (Fax)</w:t>
      </w:r>
    </w:p>
    <w:p w:rsidR="008635E4" w:rsidRDefault="008635E4" w:rsidP="008635E4">
      <w:pPr>
        <w:spacing w:after="0"/>
        <w:ind w:left="5040"/>
        <w:jc w:val="both"/>
        <w:rPr>
          <w:rFonts w:ascii="Times New Roman" w:hAnsi="Times New Roman" w:cs="Times New Roman"/>
          <w:sz w:val="24"/>
          <w:szCs w:val="24"/>
        </w:rPr>
      </w:pPr>
      <w:r w:rsidRPr="006C4EAC">
        <w:rPr>
          <w:rFonts w:ascii="Times New Roman" w:hAnsi="Times New Roman" w:cs="Times New Roman"/>
          <w:sz w:val="24"/>
          <w:szCs w:val="24"/>
        </w:rPr>
        <w:t>ekirker@cozen.com</w:t>
      </w:r>
    </w:p>
    <w:p w:rsidR="00CE232D" w:rsidRDefault="00CE232D"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 xml:space="preserve"> </w:t>
      </w:r>
    </w:p>
    <w:p w:rsidR="008635E4" w:rsidRDefault="008635E4" w:rsidP="008635E4">
      <w:pPr>
        <w:spacing w:after="0"/>
        <w:ind w:left="5040"/>
        <w:jc w:val="both"/>
        <w:rPr>
          <w:rFonts w:ascii="Times New Roman" w:hAnsi="Times New Roman" w:cs="Times New Roman"/>
          <w:sz w:val="24"/>
          <w:szCs w:val="24"/>
        </w:rPr>
      </w:pPr>
      <w:r>
        <w:rPr>
          <w:rFonts w:ascii="Times New Roman" w:hAnsi="Times New Roman" w:cs="Times New Roman"/>
          <w:sz w:val="24"/>
          <w:szCs w:val="24"/>
        </w:rPr>
        <w:t>and</w:t>
      </w:r>
    </w:p>
    <w:p w:rsidR="008635E4" w:rsidRDefault="008635E4" w:rsidP="008635E4">
      <w:pPr>
        <w:spacing w:after="0"/>
        <w:ind w:left="5040"/>
        <w:jc w:val="both"/>
        <w:rPr>
          <w:rFonts w:ascii="Times New Roman" w:hAnsi="Times New Roman" w:cs="Times New Roman"/>
          <w:sz w:val="24"/>
          <w:szCs w:val="24"/>
        </w:rPr>
      </w:pPr>
    </w:p>
    <w:p w:rsidR="00C963BD" w:rsidRDefault="00C963BD" w:rsidP="008635E4">
      <w:pPr>
        <w:spacing w:after="0"/>
        <w:ind w:left="5040"/>
        <w:jc w:val="both"/>
        <w:rPr>
          <w:rFonts w:ascii="Times New Roman" w:hAnsi="Times New Roman" w:cs="Times New Roman"/>
          <w:sz w:val="24"/>
          <w:szCs w:val="24"/>
        </w:rPr>
      </w:pPr>
    </w:p>
    <w:p w:rsidR="00C963BD" w:rsidRDefault="00C963BD" w:rsidP="008635E4">
      <w:pPr>
        <w:spacing w:after="0"/>
        <w:ind w:left="5040"/>
        <w:jc w:val="both"/>
        <w:rPr>
          <w:rFonts w:ascii="Times New Roman" w:hAnsi="Times New Roman" w:cs="Times New Roman"/>
          <w:sz w:val="24"/>
          <w:szCs w:val="24"/>
        </w:rPr>
      </w:pPr>
    </w:p>
    <w:p w:rsidR="00C963BD" w:rsidRDefault="00C963BD" w:rsidP="008635E4">
      <w:pPr>
        <w:spacing w:after="0"/>
        <w:ind w:left="5040"/>
        <w:jc w:val="both"/>
        <w:rPr>
          <w:rFonts w:ascii="Times New Roman" w:hAnsi="Times New Roman" w:cs="Times New Roman"/>
          <w:sz w:val="24"/>
          <w:szCs w:val="24"/>
        </w:rPr>
      </w:pPr>
    </w:p>
    <w:p w:rsidR="008635E4" w:rsidRPr="008635E4" w:rsidRDefault="008635E4" w:rsidP="008635E4">
      <w:pPr>
        <w:spacing w:after="0"/>
        <w:ind w:left="5040"/>
        <w:jc w:val="both"/>
        <w:rPr>
          <w:rFonts w:ascii="Times New Roman" w:hAnsi="Times New Roman" w:cs="Times New Roman"/>
          <w:sz w:val="24"/>
          <w:szCs w:val="24"/>
          <w:u w:val="single"/>
        </w:rPr>
      </w:pPr>
      <w:r w:rsidRPr="008635E4">
        <w:rPr>
          <w:rFonts w:ascii="Times New Roman" w:hAnsi="Times New Roman" w:cs="Times New Roman"/>
          <w:sz w:val="24"/>
          <w:szCs w:val="24"/>
          <w:u w:val="single"/>
        </w:rPr>
        <w:lastRenderedPageBreak/>
        <w:t xml:space="preserve">   /s/  Andrew </w:t>
      </w:r>
      <w:r w:rsidR="00C963BD">
        <w:rPr>
          <w:rFonts w:ascii="Times New Roman" w:hAnsi="Times New Roman" w:cs="Times New Roman"/>
          <w:sz w:val="24"/>
          <w:szCs w:val="24"/>
          <w:u w:val="single"/>
        </w:rPr>
        <w:t xml:space="preserve">P. </w:t>
      </w:r>
      <w:r w:rsidRPr="008635E4">
        <w:rPr>
          <w:rFonts w:ascii="Times New Roman" w:hAnsi="Times New Roman" w:cs="Times New Roman"/>
          <w:sz w:val="24"/>
          <w:szCs w:val="24"/>
          <w:u w:val="single"/>
        </w:rPr>
        <w:t>Avellano</w:t>
      </w:r>
      <w:r w:rsidRPr="008635E4">
        <w:rPr>
          <w:rFonts w:ascii="Times New Roman" w:hAnsi="Times New Roman" w:cs="Times New Roman"/>
          <w:sz w:val="24"/>
          <w:szCs w:val="24"/>
          <w:u w:val="single"/>
        </w:rPr>
        <w:tab/>
      </w:r>
    </w:p>
    <w:p w:rsidR="00CE232D" w:rsidRDefault="008635E4" w:rsidP="008635E4">
      <w:pPr>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63BD">
        <w:rPr>
          <w:rFonts w:ascii="Times New Roman" w:hAnsi="Times New Roman" w:cs="Times New Roman"/>
          <w:sz w:val="24"/>
          <w:szCs w:val="24"/>
        </w:rPr>
        <w:t xml:space="preserve">Andrew P. Avellano  </w:t>
      </w:r>
      <w:r w:rsidR="00C963BD">
        <w:rPr>
          <w:rFonts w:ascii="Times New Roman" w:hAnsi="Times New Roman" w:cs="Times New Roman"/>
          <w:i/>
          <w:sz w:val="24"/>
          <w:szCs w:val="24"/>
        </w:rPr>
        <w:t>Local Counsel</w:t>
      </w:r>
    </w:p>
    <w:p w:rsidR="00C963BD" w:rsidRDefault="00C963BD" w:rsidP="008635E4">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4181 East Main Street</w:t>
      </w:r>
    </w:p>
    <w:p w:rsidR="00C963BD" w:rsidRDefault="00C963BD" w:rsidP="008635E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  43213</w:t>
      </w:r>
    </w:p>
    <w:p w:rsidR="00C963BD" w:rsidRDefault="00C963BD" w:rsidP="008635E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 237-8050 (Phone)</w:t>
      </w:r>
    </w:p>
    <w:p w:rsidR="00C963BD" w:rsidRDefault="00C963BD" w:rsidP="008635E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 237-3505 (Fax)</w:t>
      </w:r>
    </w:p>
    <w:p w:rsidR="00C963BD" w:rsidRDefault="00C963BD" w:rsidP="008635E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4EAC">
        <w:rPr>
          <w:rFonts w:ascii="Times New Roman" w:hAnsi="Times New Roman" w:cs="Times New Roman"/>
          <w:sz w:val="24"/>
          <w:szCs w:val="24"/>
        </w:rPr>
        <w:t>drewavo@wowway.com</w:t>
      </w:r>
    </w:p>
    <w:p w:rsidR="00C963BD" w:rsidRDefault="00C963BD" w:rsidP="008635E4">
      <w:pPr>
        <w:spacing w:after="0"/>
        <w:jc w:val="both"/>
        <w:rPr>
          <w:rFonts w:ascii="Times New Roman" w:hAnsi="Times New Roman" w:cs="Times New Roman"/>
          <w:sz w:val="24"/>
          <w:szCs w:val="24"/>
        </w:rPr>
      </w:pPr>
    </w:p>
    <w:p w:rsidR="00583A3F" w:rsidRPr="004137C8" w:rsidRDefault="00583A3F" w:rsidP="008635E4">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COUNSEL FOR COMPLAINANT</w:t>
      </w:r>
    </w:p>
    <w:p w:rsidR="00C41083" w:rsidRDefault="00CE232D" w:rsidP="004137C8">
      <w:pPr>
        <w:spacing w:after="0"/>
        <w:jc w:val="both"/>
        <w:rPr>
          <w:rFonts w:ascii="Times New Roman" w:hAnsi="Times New Roman" w:cs="Times New Roman"/>
          <w:b/>
        </w:rPr>
      </w:pPr>
      <w:r w:rsidRPr="004137C8">
        <w:rPr>
          <w:rFonts w:ascii="Times New Roman" w:hAnsi="Times New Roman" w:cs="Times New Roman"/>
          <w:sz w:val="24"/>
          <w:szCs w:val="24"/>
        </w:rPr>
        <w:t>Dated:  January 13, 2015</w:t>
      </w:r>
    </w:p>
    <w:p w:rsidR="00EB2755" w:rsidRDefault="00EB2755" w:rsidP="00F85A9F">
      <w:pPr>
        <w:spacing w:after="0"/>
        <w:jc w:val="center"/>
        <w:rPr>
          <w:rFonts w:ascii="Times New Roman" w:hAnsi="Times New Roman" w:cs="Times New Roman"/>
          <w:b/>
          <w:sz w:val="72"/>
          <w:szCs w:val="72"/>
        </w:rPr>
        <w:sectPr w:rsidR="00EB2755" w:rsidSect="00C6726A">
          <w:footerReference w:type="default" r:id="rId8"/>
          <w:pgSz w:w="12240" w:h="15840" w:code="1"/>
          <w:pgMar w:top="1440" w:right="1440" w:bottom="1440" w:left="1440" w:header="720" w:footer="720" w:gutter="0"/>
          <w:cols w:space="720"/>
          <w:titlePg/>
          <w:docGrid w:linePitch="360"/>
        </w:sect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EB2755" w:rsidRDefault="00EB2755" w:rsidP="00F85A9F">
      <w:pPr>
        <w:spacing w:after="0"/>
        <w:jc w:val="center"/>
        <w:rPr>
          <w:rFonts w:ascii="Times New Roman" w:hAnsi="Times New Roman" w:cs="Times New Roman"/>
          <w:b/>
          <w:sz w:val="72"/>
          <w:szCs w:val="72"/>
        </w:rPr>
      </w:pPr>
    </w:p>
    <w:p w:rsidR="00C41083" w:rsidRPr="00C41083" w:rsidRDefault="00C41083" w:rsidP="00F85A9F">
      <w:pPr>
        <w:spacing w:after="0"/>
        <w:jc w:val="center"/>
        <w:rPr>
          <w:rFonts w:ascii="Times New Roman" w:hAnsi="Times New Roman" w:cs="Times New Roman"/>
          <w:b/>
          <w:sz w:val="72"/>
          <w:szCs w:val="72"/>
        </w:rPr>
      </w:pPr>
      <w:r w:rsidRPr="00C41083">
        <w:rPr>
          <w:rFonts w:ascii="Times New Roman" w:hAnsi="Times New Roman" w:cs="Times New Roman"/>
          <w:b/>
          <w:sz w:val="72"/>
          <w:szCs w:val="72"/>
        </w:rPr>
        <w:t xml:space="preserve">EXHIBIT A </w:t>
      </w:r>
    </w:p>
    <w:p w:rsidR="00C41083" w:rsidRDefault="00C41083" w:rsidP="00F85A9F">
      <w:pPr>
        <w:spacing w:after="0"/>
        <w:jc w:val="center"/>
        <w:rPr>
          <w:rFonts w:ascii="Times New Roman" w:hAnsi="Times New Roman" w:cs="Times New Roman"/>
          <w:b/>
        </w:rPr>
      </w:pPr>
    </w:p>
    <w:p w:rsidR="00C41083" w:rsidRDefault="00C41083" w:rsidP="00F85A9F">
      <w:pPr>
        <w:spacing w:after="0"/>
        <w:jc w:val="center"/>
        <w:rPr>
          <w:rFonts w:ascii="Times New Roman" w:hAnsi="Times New Roman" w:cs="Times New Roman"/>
          <w:b/>
        </w:rPr>
      </w:pPr>
    </w:p>
    <w:p w:rsidR="00C41083" w:rsidRDefault="00C41083" w:rsidP="00F85A9F">
      <w:pPr>
        <w:spacing w:after="0"/>
        <w:jc w:val="center"/>
        <w:rPr>
          <w:rFonts w:ascii="Times New Roman" w:hAnsi="Times New Roman" w:cs="Times New Roman"/>
          <w:b/>
        </w:rPr>
      </w:pPr>
    </w:p>
    <w:p w:rsidR="00EB2755" w:rsidRDefault="00EB2755" w:rsidP="00EB2755">
      <w:pPr>
        <w:rPr>
          <w:rFonts w:ascii="Times New Roman" w:hAnsi="Times New Roman" w:cs="Times New Roman"/>
          <w:b/>
        </w:rPr>
        <w:sectPr w:rsidR="00EB2755" w:rsidSect="00C6726A">
          <w:pgSz w:w="12240" w:h="15840" w:code="1"/>
          <w:pgMar w:top="1440" w:right="1440" w:bottom="1440" w:left="1440" w:header="720" w:footer="720" w:gutter="0"/>
          <w:cols w:space="720"/>
          <w:titlePg/>
          <w:docGrid w:linePitch="360"/>
        </w:sectPr>
      </w:pPr>
    </w:p>
    <w:p w:rsidR="00C15517" w:rsidRPr="004137C8" w:rsidRDefault="00C15517" w:rsidP="00EB2755">
      <w:pPr>
        <w:jc w:val="center"/>
        <w:rPr>
          <w:rFonts w:ascii="Times New Roman" w:hAnsi="Times New Roman" w:cs="Times New Roman"/>
          <w:b/>
          <w:sz w:val="24"/>
          <w:szCs w:val="24"/>
        </w:rPr>
      </w:pPr>
      <w:r w:rsidRPr="004137C8">
        <w:rPr>
          <w:rFonts w:ascii="Times New Roman" w:hAnsi="Times New Roman" w:cs="Times New Roman"/>
          <w:b/>
          <w:sz w:val="24"/>
          <w:szCs w:val="24"/>
        </w:rPr>
        <w:t>MEMORANDUM CONTRA</w:t>
      </w:r>
    </w:p>
    <w:p w:rsidR="00F85A9F" w:rsidRPr="004137C8" w:rsidRDefault="00F85A9F" w:rsidP="00F85A9F">
      <w:pPr>
        <w:spacing w:after="0"/>
        <w:jc w:val="center"/>
        <w:rPr>
          <w:rFonts w:ascii="Times New Roman" w:hAnsi="Times New Roman" w:cs="Times New Roman"/>
          <w:b/>
          <w:sz w:val="24"/>
          <w:szCs w:val="24"/>
        </w:rPr>
      </w:pPr>
    </w:p>
    <w:p w:rsidR="00B63C5D" w:rsidRPr="004137C8" w:rsidRDefault="00B63C5D" w:rsidP="007A0D94">
      <w:pPr>
        <w:jc w:val="both"/>
        <w:rPr>
          <w:rFonts w:ascii="Times New Roman" w:hAnsi="Times New Roman" w:cs="Times New Roman"/>
          <w:b/>
          <w:sz w:val="24"/>
          <w:szCs w:val="24"/>
        </w:rPr>
      </w:pPr>
      <w:r w:rsidRPr="004137C8">
        <w:rPr>
          <w:rFonts w:ascii="Times New Roman" w:hAnsi="Times New Roman" w:cs="Times New Roman"/>
          <w:b/>
          <w:sz w:val="24"/>
          <w:szCs w:val="24"/>
        </w:rPr>
        <w:t>1.</w:t>
      </w:r>
      <w:r w:rsidRPr="004137C8">
        <w:rPr>
          <w:rFonts w:ascii="Times New Roman" w:hAnsi="Times New Roman" w:cs="Times New Roman"/>
          <w:b/>
          <w:sz w:val="24"/>
          <w:szCs w:val="24"/>
        </w:rPr>
        <w:tab/>
        <w:t>Introduction</w:t>
      </w:r>
    </w:p>
    <w:p w:rsidR="00AF45DE" w:rsidRPr="004137C8" w:rsidRDefault="00992EB8" w:rsidP="00514ABE">
      <w:pPr>
        <w:jc w:val="both"/>
        <w:rPr>
          <w:rFonts w:ascii="Times New Roman" w:hAnsi="Times New Roman" w:cs="Times New Roman"/>
          <w:sz w:val="24"/>
          <w:szCs w:val="24"/>
        </w:rPr>
      </w:pPr>
      <w:r w:rsidRPr="004137C8">
        <w:rPr>
          <w:rFonts w:ascii="Times New Roman" w:hAnsi="Times New Roman" w:cs="Times New Roman"/>
          <w:b/>
          <w:sz w:val="24"/>
          <w:szCs w:val="24"/>
        </w:rPr>
        <w:tab/>
      </w:r>
      <w:r w:rsidRPr="004137C8">
        <w:rPr>
          <w:rFonts w:ascii="Times New Roman" w:hAnsi="Times New Roman" w:cs="Times New Roman"/>
          <w:sz w:val="24"/>
          <w:szCs w:val="24"/>
        </w:rPr>
        <w:t xml:space="preserve">On July 17, 2012, a </w:t>
      </w:r>
      <w:r w:rsidR="00326626" w:rsidRPr="004137C8">
        <w:rPr>
          <w:rFonts w:ascii="Times New Roman" w:hAnsi="Times New Roman" w:cs="Times New Roman"/>
          <w:sz w:val="24"/>
          <w:szCs w:val="24"/>
        </w:rPr>
        <w:t>fire</w:t>
      </w:r>
      <w:r w:rsidRPr="004137C8">
        <w:rPr>
          <w:rFonts w:ascii="Times New Roman" w:hAnsi="Times New Roman" w:cs="Times New Roman"/>
          <w:sz w:val="24"/>
          <w:szCs w:val="24"/>
        </w:rPr>
        <w:t xml:space="preserve"> at the home of Roger and Joy Ellen Wood </w:t>
      </w:r>
      <w:r w:rsidR="005E6506" w:rsidRPr="004137C8">
        <w:rPr>
          <w:rFonts w:ascii="Times New Roman" w:hAnsi="Times New Roman" w:cs="Times New Roman"/>
          <w:sz w:val="24"/>
          <w:szCs w:val="24"/>
        </w:rPr>
        <w:t xml:space="preserve">resulted in over $368,000 </w:t>
      </w:r>
      <w:r w:rsidR="00346BF0" w:rsidRPr="004137C8">
        <w:rPr>
          <w:rFonts w:ascii="Times New Roman" w:hAnsi="Times New Roman" w:cs="Times New Roman"/>
          <w:sz w:val="24"/>
          <w:szCs w:val="24"/>
        </w:rPr>
        <w:t xml:space="preserve">worth </w:t>
      </w:r>
      <w:r w:rsidR="005E6506" w:rsidRPr="004137C8">
        <w:rPr>
          <w:rFonts w:ascii="Times New Roman" w:hAnsi="Times New Roman" w:cs="Times New Roman"/>
          <w:sz w:val="24"/>
          <w:szCs w:val="24"/>
        </w:rPr>
        <w:t xml:space="preserve">of damage.  </w:t>
      </w:r>
      <w:r w:rsidR="00326626" w:rsidRPr="004137C8">
        <w:rPr>
          <w:rFonts w:ascii="Times New Roman" w:hAnsi="Times New Roman" w:cs="Times New Roman"/>
          <w:sz w:val="24"/>
          <w:szCs w:val="24"/>
        </w:rPr>
        <w:t>The fire was caused by a leakage of gas supplied and distributed by Columbia Gas to the Wood residence</w:t>
      </w:r>
      <w:r w:rsidR="00123002" w:rsidRPr="004137C8">
        <w:rPr>
          <w:rFonts w:ascii="Times New Roman" w:hAnsi="Times New Roman" w:cs="Times New Roman"/>
          <w:sz w:val="24"/>
          <w:szCs w:val="24"/>
        </w:rPr>
        <w:t>, which was caused and allowed to happen by the improper actions and omissions of Columbia Gas</w:t>
      </w:r>
      <w:r w:rsidR="00EC6653">
        <w:rPr>
          <w:rStyle w:val="FootnoteReference"/>
          <w:rFonts w:ascii="Times New Roman" w:hAnsi="Times New Roman" w:cs="Times New Roman"/>
          <w:sz w:val="24"/>
          <w:szCs w:val="24"/>
        </w:rPr>
        <w:footnoteReference w:id="1"/>
      </w:r>
      <w:r w:rsidR="00514ABE" w:rsidRPr="004137C8">
        <w:rPr>
          <w:rFonts w:ascii="Times New Roman" w:hAnsi="Times New Roman" w:cs="Times New Roman"/>
          <w:sz w:val="24"/>
          <w:szCs w:val="24"/>
        </w:rPr>
        <w:t xml:space="preserve"> as presented in the First Amended Complaint</w:t>
      </w:r>
      <w:r w:rsidR="002174EF" w:rsidRPr="004137C8">
        <w:rPr>
          <w:rFonts w:ascii="Times New Roman" w:hAnsi="Times New Roman" w:cs="Times New Roman"/>
          <w:sz w:val="24"/>
          <w:szCs w:val="24"/>
        </w:rPr>
        <w:t xml:space="preserve">.  USAA brings </w:t>
      </w:r>
      <w:r w:rsidR="00346BF0" w:rsidRPr="004137C8">
        <w:rPr>
          <w:rFonts w:ascii="Times New Roman" w:hAnsi="Times New Roman" w:cs="Times New Roman"/>
          <w:sz w:val="24"/>
          <w:szCs w:val="24"/>
        </w:rPr>
        <w:t>this action</w:t>
      </w:r>
      <w:r w:rsidR="002174EF" w:rsidRPr="004137C8">
        <w:rPr>
          <w:rFonts w:ascii="Times New Roman" w:hAnsi="Times New Roman" w:cs="Times New Roman"/>
          <w:sz w:val="24"/>
          <w:szCs w:val="24"/>
        </w:rPr>
        <w:t xml:space="preserve"> as the Woods’ subrogee.</w:t>
      </w:r>
      <w:r w:rsidR="00326626" w:rsidRPr="004137C8">
        <w:rPr>
          <w:rFonts w:ascii="Times New Roman" w:hAnsi="Times New Roman" w:cs="Times New Roman"/>
          <w:sz w:val="24"/>
          <w:szCs w:val="24"/>
        </w:rPr>
        <w:t xml:space="preserve"> </w:t>
      </w:r>
    </w:p>
    <w:p w:rsidR="004C411D" w:rsidRPr="004137C8" w:rsidRDefault="004C411D" w:rsidP="007A0D94">
      <w:pPr>
        <w:jc w:val="both"/>
        <w:rPr>
          <w:rFonts w:ascii="Times New Roman" w:hAnsi="Times New Roman" w:cs="Times New Roman"/>
          <w:b/>
          <w:sz w:val="24"/>
          <w:szCs w:val="24"/>
        </w:rPr>
      </w:pPr>
      <w:r w:rsidRPr="004137C8">
        <w:rPr>
          <w:rFonts w:ascii="Times New Roman" w:hAnsi="Times New Roman" w:cs="Times New Roman"/>
          <w:b/>
          <w:sz w:val="24"/>
          <w:szCs w:val="24"/>
        </w:rPr>
        <w:t>2.</w:t>
      </w:r>
      <w:r w:rsidRPr="004137C8">
        <w:rPr>
          <w:rFonts w:ascii="Times New Roman" w:hAnsi="Times New Roman" w:cs="Times New Roman"/>
          <w:b/>
          <w:sz w:val="24"/>
          <w:szCs w:val="24"/>
        </w:rPr>
        <w:tab/>
        <w:t>Law and Argument</w:t>
      </w:r>
    </w:p>
    <w:p w:rsidR="00A60375" w:rsidRPr="004137C8" w:rsidRDefault="00A60375" w:rsidP="00A60375">
      <w:pPr>
        <w:ind w:firstLine="720"/>
        <w:jc w:val="both"/>
        <w:rPr>
          <w:rFonts w:ascii="Times New Roman" w:hAnsi="Times New Roman" w:cs="Times New Roman"/>
          <w:b/>
          <w:sz w:val="24"/>
          <w:szCs w:val="24"/>
        </w:rPr>
      </w:pPr>
      <w:r w:rsidRPr="004137C8">
        <w:rPr>
          <w:rFonts w:ascii="Times New Roman" w:hAnsi="Times New Roman" w:cs="Times New Roman"/>
          <w:b/>
          <w:sz w:val="24"/>
          <w:szCs w:val="24"/>
        </w:rPr>
        <w:t>2.1.</w:t>
      </w:r>
      <w:r w:rsidRPr="004137C8">
        <w:rPr>
          <w:rFonts w:ascii="Times New Roman" w:hAnsi="Times New Roman" w:cs="Times New Roman"/>
          <w:b/>
          <w:sz w:val="24"/>
          <w:szCs w:val="24"/>
        </w:rPr>
        <w:tab/>
        <w:t xml:space="preserve">USAA continues the arguments it presented in its Response Contra and its Memorandum Contra, and the additional arguments raised by Columbia in the present motion are without merit, therefore Columbia’s Motions to Dismiss should be denied. </w:t>
      </w:r>
    </w:p>
    <w:p w:rsidR="00514ABE" w:rsidRPr="004137C8" w:rsidRDefault="00514ABE" w:rsidP="00514ABE">
      <w:pPr>
        <w:ind w:firstLine="720"/>
        <w:jc w:val="both"/>
        <w:rPr>
          <w:rFonts w:ascii="Times New Roman" w:hAnsi="Times New Roman" w:cs="Times New Roman"/>
          <w:sz w:val="24"/>
          <w:szCs w:val="24"/>
        </w:rPr>
      </w:pPr>
      <w:r w:rsidRPr="004137C8">
        <w:rPr>
          <w:rFonts w:ascii="Times New Roman" w:hAnsi="Times New Roman" w:cs="Times New Roman"/>
          <w:sz w:val="24"/>
          <w:szCs w:val="24"/>
        </w:rPr>
        <w:t>As presented in USAA’s Response Contra and Memorandum Contra, USAA has plead reasonable grounds to support its service-related negligence, breach of tariff, and regulatory violations claims.  Moreover, USAA’s service-related negligence claim is properly before the Commission because it represents a service-related complaint falling within the Commission’s jurisdiction.  Finally, USAA’s breach of tariff claim and regulatory violations claim fall squarely within the Commission’s jurisdiction.  As such, Columbia’s motion to dismiss should be denied, and USAA should be permitted to proceed with the instant action before the Commission.  USAA’s Response Contra and Memorandum Contra are incorporated herein by reference and arguments contained therein are continued with respect to the Motions to Dismiss presented by Columbia.</w:t>
      </w:r>
    </w:p>
    <w:p w:rsidR="00514ABE" w:rsidRPr="004137C8" w:rsidRDefault="00514ABE" w:rsidP="00514ABE">
      <w:pPr>
        <w:ind w:firstLine="720"/>
        <w:jc w:val="both"/>
        <w:rPr>
          <w:rFonts w:ascii="Times New Roman" w:hAnsi="Times New Roman" w:cs="Times New Roman"/>
          <w:sz w:val="24"/>
          <w:szCs w:val="24"/>
        </w:rPr>
      </w:pPr>
      <w:r w:rsidRPr="004137C8">
        <w:rPr>
          <w:rFonts w:ascii="Times New Roman" w:hAnsi="Times New Roman" w:cs="Times New Roman"/>
          <w:sz w:val="24"/>
          <w:szCs w:val="24"/>
        </w:rPr>
        <w:t>In addition to the previously briefed arguments, Columbia raised “two additional arguments” in the Motion to Dismiss the First Amended Complaint.  Columbia also presented public policy arguments as well.  But, each of Columbia’s additional arguments is without merit.  First, PUCO has jurisdiction over subrogation claims, because USAA is merely “standing in the shoes of its insured” and asserting a right of interest long-settled under Ohio law.  For the negligence claims, Plaintiff’s First Amended Complaint clearly identifies them as being the service-related negligence claims that Plaintiff has against Columbia</w:t>
      </w:r>
      <w:r w:rsidR="00444F97" w:rsidRPr="004137C8">
        <w:rPr>
          <w:rFonts w:ascii="Times New Roman" w:hAnsi="Times New Roman" w:cs="Times New Roman"/>
          <w:sz w:val="24"/>
          <w:szCs w:val="24"/>
        </w:rPr>
        <w:t xml:space="preserve"> that relate to claims exclusive to PUCO</w:t>
      </w:r>
      <w:r w:rsidRPr="004137C8">
        <w:rPr>
          <w:rFonts w:ascii="Times New Roman" w:hAnsi="Times New Roman" w:cs="Times New Roman"/>
          <w:sz w:val="24"/>
          <w:szCs w:val="24"/>
        </w:rPr>
        <w:t xml:space="preserve">.  The remainder of USAA’s negligence claims are what has been </w:t>
      </w:r>
      <w:r w:rsidR="00EC6653">
        <w:rPr>
          <w:rFonts w:ascii="Times New Roman" w:hAnsi="Times New Roman" w:cs="Times New Roman"/>
          <w:sz w:val="24"/>
          <w:szCs w:val="24"/>
        </w:rPr>
        <w:t>brought in s</w:t>
      </w:r>
      <w:r w:rsidRPr="004137C8">
        <w:rPr>
          <w:rFonts w:ascii="Times New Roman" w:hAnsi="Times New Roman" w:cs="Times New Roman"/>
          <w:sz w:val="24"/>
          <w:szCs w:val="24"/>
        </w:rPr>
        <w:t xml:space="preserve">tate Court.  Further, USAA only brought the specific breach of tariff and regulatory violations claims in PUCO because they fall under PUCO’s  jurisdiction.  With respect to public policy, the underlying principle that an injured party must have access to a tribunal is </w:t>
      </w:r>
      <w:r w:rsidR="00EC6653">
        <w:rPr>
          <w:rFonts w:ascii="Times New Roman" w:hAnsi="Times New Roman" w:cs="Times New Roman"/>
          <w:sz w:val="24"/>
          <w:szCs w:val="24"/>
        </w:rPr>
        <w:t xml:space="preserve">of </w:t>
      </w:r>
      <w:r w:rsidRPr="004137C8">
        <w:rPr>
          <w:rFonts w:ascii="Times New Roman" w:hAnsi="Times New Roman" w:cs="Times New Roman"/>
          <w:sz w:val="24"/>
          <w:szCs w:val="24"/>
        </w:rPr>
        <w:t>far greater</w:t>
      </w:r>
      <w:r w:rsidR="00EC6653">
        <w:rPr>
          <w:rFonts w:ascii="Times New Roman" w:hAnsi="Times New Roman" w:cs="Times New Roman"/>
          <w:sz w:val="24"/>
          <w:szCs w:val="24"/>
        </w:rPr>
        <w:t xml:space="preserve"> weight than any disfavor of</w:t>
      </w:r>
      <w:r w:rsidRPr="004137C8">
        <w:rPr>
          <w:rFonts w:ascii="Times New Roman" w:hAnsi="Times New Roman" w:cs="Times New Roman"/>
          <w:sz w:val="24"/>
          <w:szCs w:val="24"/>
        </w:rPr>
        <w:t xml:space="preserve"> multiple proceedings.  Any argument that judicial economy outweighs an injured party’s right to have its disputes decided by a tribunal is unsupportable.  </w:t>
      </w:r>
    </w:p>
    <w:p w:rsidR="00647B89" w:rsidRPr="004137C8" w:rsidRDefault="00263242" w:rsidP="007A0D94">
      <w:pPr>
        <w:ind w:left="1440" w:hanging="720"/>
        <w:jc w:val="both"/>
        <w:rPr>
          <w:rFonts w:ascii="Times New Roman" w:hAnsi="Times New Roman" w:cs="Times New Roman"/>
          <w:b/>
          <w:sz w:val="24"/>
          <w:szCs w:val="24"/>
        </w:rPr>
      </w:pPr>
      <w:r w:rsidRPr="004137C8">
        <w:rPr>
          <w:rFonts w:ascii="Times New Roman" w:hAnsi="Times New Roman" w:cs="Times New Roman"/>
          <w:b/>
          <w:sz w:val="24"/>
          <w:szCs w:val="24"/>
        </w:rPr>
        <w:t>2.2</w:t>
      </w:r>
      <w:r w:rsidR="00F96CD0" w:rsidRPr="004137C8">
        <w:rPr>
          <w:rFonts w:ascii="Times New Roman" w:hAnsi="Times New Roman" w:cs="Times New Roman"/>
          <w:b/>
          <w:sz w:val="24"/>
          <w:szCs w:val="24"/>
        </w:rPr>
        <w:t>.</w:t>
      </w:r>
      <w:r w:rsidRPr="004137C8">
        <w:rPr>
          <w:rFonts w:ascii="Times New Roman" w:hAnsi="Times New Roman" w:cs="Times New Roman"/>
          <w:b/>
          <w:sz w:val="24"/>
          <w:szCs w:val="24"/>
        </w:rPr>
        <w:tab/>
      </w:r>
      <w:r w:rsidR="00350150" w:rsidRPr="004137C8">
        <w:rPr>
          <w:rFonts w:ascii="Times New Roman" w:hAnsi="Times New Roman" w:cs="Times New Roman"/>
          <w:b/>
          <w:sz w:val="24"/>
          <w:szCs w:val="24"/>
        </w:rPr>
        <w:t>USAA</w:t>
      </w:r>
      <w:r w:rsidR="0024394D" w:rsidRPr="004137C8">
        <w:rPr>
          <w:rFonts w:ascii="Times New Roman" w:hAnsi="Times New Roman" w:cs="Times New Roman"/>
          <w:b/>
          <w:sz w:val="24"/>
          <w:szCs w:val="24"/>
        </w:rPr>
        <w:t xml:space="preserve">’s Complaint </w:t>
      </w:r>
      <w:r w:rsidR="00681E10" w:rsidRPr="004137C8">
        <w:rPr>
          <w:rFonts w:ascii="Times New Roman" w:hAnsi="Times New Roman" w:cs="Times New Roman"/>
          <w:b/>
          <w:sz w:val="24"/>
          <w:szCs w:val="24"/>
        </w:rPr>
        <w:t>Should Not Be Dismissed</w:t>
      </w:r>
      <w:r w:rsidR="0024394D" w:rsidRPr="004137C8">
        <w:rPr>
          <w:rFonts w:ascii="Times New Roman" w:hAnsi="Times New Roman" w:cs="Times New Roman"/>
          <w:b/>
          <w:sz w:val="24"/>
          <w:szCs w:val="24"/>
        </w:rPr>
        <w:t xml:space="preserve"> Because USAA</w:t>
      </w:r>
      <w:r w:rsidR="00350150" w:rsidRPr="004137C8">
        <w:rPr>
          <w:rFonts w:ascii="Times New Roman" w:hAnsi="Times New Roman" w:cs="Times New Roman"/>
          <w:b/>
          <w:sz w:val="24"/>
          <w:szCs w:val="24"/>
        </w:rPr>
        <w:t xml:space="preserve"> Has Plead Reasonable Grounds to Support its </w:t>
      </w:r>
      <w:r w:rsidR="00897FEF" w:rsidRPr="004137C8">
        <w:rPr>
          <w:rFonts w:ascii="Times New Roman" w:hAnsi="Times New Roman" w:cs="Times New Roman"/>
          <w:b/>
          <w:sz w:val="24"/>
          <w:szCs w:val="24"/>
        </w:rPr>
        <w:t xml:space="preserve">Service-Related </w:t>
      </w:r>
      <w:r w:rsidR="00023B01" w:rsidRPr="004137C8">
        <w:rPr>
          <w:rFonts w:ascii="Times New Roman" w:hAnsi="Times New Roman" w:cs="Times New Roman"/>
          <w:b/>
          <w:sz w:val="24"/>
          <w:szCs w:val="24"/>
        </w:rPr>
        <w:t>Negligence</w:t>
      </w:r>
      <w:r w:rsidR="00350150" w:rsidRPr="004137C8">
        <w:rPr>
          <w:rFonts w:ascii="Times New Roman" w:hAnsi="Times New Roman" w:cs="Times New Roman"/>
          <w:b/>
          <w:sz w:val="24"/>
          <w:szCs w:val="24"/>
        </w:rPr>
        <w:t>, Breach of Tariff, and Regulatory Violation</w:t>
      </w:r>
      <w:r w:rsidR="00420ECF" w:rsidRPr="004137C8">
        <w:rPr>
          <w:rFonts w:ascii="Times New Roman" w:hAnsi="Times New Roman" w:cs="Times New Roman"/>
          <w:b/>
          <w:sz w:val="24"/>
          <w:szCs w:val="24"/>
        </w:rPr>
        <w:t>s</w:t>
      </w:r>
      <w:r w:rsidR="00350150" w:rsidRPr="004137C8">
        <w:rPr>
          <w:rFonts w:ascii="Times New Roman" w:hAnsi="Times New Roman" w:cs="Times New Roman"/>
          <w:b/>
          <w:sz w:val="24"/>
          <w:szCs w:val="24"/>
        </w:rPr>
        <w:t xml:space="preserve"> Claims</w:t>
      </w:r>
      <w:r w:rsidR="00005DC5" w:rsidRPr="004137C8">
        <w:rPr>
          <w:rFonts w:ascii="Times New Roman" w:hAnsi="Times New Roman" w:cs="Times New Roman"/>
          <w:b/>
          <w:sz w:val="24"/>
          <w:szCs w:val="24"/>
        </w:rPr>
        <w:t>.</w:t>
      </w:r>
    </w:p>
    <w:p w:rsidR="00CF6CAC" w:rsidRPr="004137C8" w:rsidRDefault="006410AE" w:rsidP="007A0D94">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Dismissal is inappropriate because USAA has plead reasonable grounds to support its </w:t>
      </w:r>
      <w:r w:rsidR="00930BD2" w:rsidRPr="004137C8">
        <w:rPr>
          <w:rFonts w:ascii="Times New Roman" w:hAnsi="Times New Roman" w:cs="Times New Roman"/>
          <w:sz w:val="24"/>
          <w:szCs w:val="24"/>
        </w:rPr>
        <w:t xml:space="preserve">service-related </w:t>
      </w:r>
      <w:r w:rsidR="00023B01" w:rsidRPr="004137C8">
        <w:rPr>
          <w:rFonts w:ascii="Times New Roman" w:hAnsi="Times New Roman" w:cs="Times New Roman"/>
          <w:sz w:val="24"/>
          <w:szCs w:val="24"/>
        </w:rPr>
        <w:t>negligence</w:t>
      </w:r>
      <w:r w:rsidRPr="004137C8">
        <w:rPr>
          <w:rFonts w:ascii="Times New Roman" w:hAnsi="Times New Roman" w:cs="Times New Roman"/>
          <w:sz w:val="24"/>
          <w:szCs w:val="24"/>
        </w:rPr>
        <w:t xml:space="preserve">, breach of tariff, and regulatory violations claims.  Pursuant to </w:t>
      </w:r>
      <w:r w:rsidR="00B9656F" w:rsidRPr="004137C8">
        <w:rPr>
          <w:rFonts w:ascii="Times New Roman" w:hAnsi="Times New Roman" w:cs="Times New Roman"/>
          <w:smallCaps/>
          <w:sz w:val="24"/>
          <w:szCs w:val="24"/>
        </w:rPr>
        <w:t xml:space="preserve">Ohio Rev. Code. Ann. </w:t>
      </w:r>
      <w:r w:rsidRPr="004137C8">
        <w:rPr>
          <w:rFonts w:ascii="Times New Roman" w:hAnsi="Times New Roman" w:cs="Times New Roman"/>
          <w:sz w:val="24"/>
          <w:szCs w:val="24"/>
        </w:rPr>
        <w:t xml:space="preserve">§ 4905.26, </w:t>
      </w:r>
      <w:r w:rsidR="00AB6F56" w:rsidRPr="004137C8">
        <w:rPr>
          <w:rFonts w:ascii="Times New Roman" w:hAnsi="Times New Roman" w:cs="Times New Roman"/>
          <w:sz w:val="24"/>
          <w:szCs w:val="24"/>
        </w:rPr>
        <w:t>“…if it appears that reasonable grounds for complaint are stated, the commission shall fix a time for a hearing and shall notify complainants and the public utility thereof.”</w:t>
      </w:r>
      <w:r w:rsidR="00F64805" w:rsidRPr="004137C8">
        <w:rPr>
          <w:rFonts w:ascii="Times New Roman" w:hAnsi="Times New Roman" w:cs="Times New Roman"/>
          <w:sz w:val="24"/>
          <w:szCs w:val="24"/>
        </w:rPr>
        <w:t xml:space="preserve">  A claimant ne</w:t>
      </w:r>
      <w:r w:rsidR="0065598D" w:rsidRPr="004137C8">
        <w:rPr>
          <w:rFonts w:ascii="Times New Roman" w:hAnsi="Times New Roman" w:cs="Times New Roman"/>
          <w:sz w:val="24"/>
          <w:szCs w:val="24"/>
        </w:rPr>
        <w:t>ed not specify on which</w:t>
      </w:r>
      <w:r w:rsidR="00023B01" w:rsidRPr="004137C8">
        <w:rPr>
          <w:rFonts w:ascii="Times New Roman" w:hAnsi="Times New Roman" w:cs="Times New Roman"/>
          <w:sz w:val="24"/>
          <w:szCs w:val="24"/>
        </w:rPr>
        <w:t xml:space="preserve"> statutory subs</w:t>
      </w:r>
      <w:r w:rsidR="0065598D" w:rsidRPr="004137C8">
        <w:rPr>
          <w:rFonts w:ascii="Times New Roman" w:hAnsi="Times New Roman" w:cs="Times New Roman"/>
          <w:sz w:val="24"/>
          <w:szCs w:val="24"/>
        </w:rPr>
        <w:t xml:space="preserve">ection </w:t>
      </w:r>
      <w:r w:rsidR="00F64805" w:rsidRPr="004137C8">
        <w:rPr>
          <w:rFonts w:ascii="Times New Roman" w:hAnsi="Times New Roman" w:cs="Times New Roman"/>
          <w:sz w:val="24"/>
          <w:szCs w:val="24"/>
        </w:rPr>
        <w:t>it rests its claim</w:t>
      </w:r>
      <w:r w:rsidR="0065598D" w:rsidRPr="004137C8">
        <w:rPr>
          <w:rFonts w:ascii="Times New Roman" w:hAnsi="Times New Roman" w:cs="Times New Roman"/>
          <w:sz w:val="24"/>
          <w:szCs w:val="24"/>
        </w:rPr>
        <w:t>s</w:t>
      </w:r>
      <w:r w:rsidR="00F64805" w:rsidRPr="004137C8">
        <w:rPr>
          <w:rFonts w:ascii="Times New Roman" w:hAnsi="Times New Roman" w:cs="Times New Roman"/>
          <w:sz w:val="24"/>
          <w:szCs w:val="24"/>
        </w:rPr>
        <w:t>.</w:t>
      </w:r>
      <w:r w:rsidR="00023B01" w:rsidRPr="004137C8">
        <w:rPr>
          <w:rStyle w:val="FootnoteReference"/>
          <w:rFonts w:ascii="Times New Roman" w:hAnsi="Times New Roman" w:cs="Times New Roman"/>
          <w:sz w:val="24"/>
          <w:szCs w:val="24"/>
        </w:rPr>
        <w:footnoteReference w:id="2"/>
      </w:r>
      <w:r w:rsidR="00AB6F56" w:rsidRPr="004137C8">
        <w:rPr>
          <w:rFonts w:ascii="Times New Roman" w:hAnsi="Times New Roman" w:cs="Times New Roman"/>
          <w:sz w:val="24"/>
          <w:szCs w:val="24"/>
        </w:rPr>
        <w:t xml:space="preserve">  </w:t>
      </w:r>
      <w:r w:rsidR="00897FEF" w:rsidRPr="004137C8">
        <w:rPr>
          <w:rFonts w:ascii="Times New Roman" w:hAnsi="Times New Roman" w:cs="Times New Roman"/>
          <w:sz w:val="24"/>
          <w:szCs w:val="24"/>
        </w:rPr>
        <w:t xml:space="preserve">USAA’s claims cannot be dismissed merely because they are based on their rights as a subrogee, nor should they be dismissed because </w:t>
      </w:r>
      <w:r w:rsidR="00444F97" w:rsidRPr="004137C8">
        <w:rPr>
          <w:rFonts w:ascii="Times New Roman" w:hAnsi="Times New Roman" w:cs="Times New Roman"/>
          <w:sz w:val="24"/>
          <w:szCs w:val="24"/>
        </w:rPr>
        <w:t>USAA filed a s</w:t>
      </w:r>
      <w:r w:rsidR="00897FEF" w:rsidRPr="004137C8">
        <w:rPr>
          <w:rFonts w:ascii="Times New Roman" w:hAnsi="Times New Roman" w:cs="Times New Roman"/>
          <w:sz w:val="24"/>
          <w:szCs w:val="24"/>
        </w:rPr>
        <w:t>tate Court action to make certain that all its claims against Columbia not exclusive to PUCO get heard</w:t>
      </w:r>
      <w:r w:rsidR="00CF6CAC" w:rsidRPr="004137C8">
        <w:rPr>
          <w:rFonts w:ascii="Times New Roman" w:hAnsi="Times New Roman" w:cs="Times New Roman"/>
          <w:sz w:val="24"/>
          <w:szCs w:val="24"/>
        </w:rPr>
        <w:t xml:space="preserve"> as well as its claims against third parties not subject to PUCO’s jurisdiction.</w:t>
      </w:r>
    </w:p>
    <w:p w:rsidR="00191803" w:rsidRPr="004137C8" w:rsidRDefault="00897FEF" w:rsidP="007A0D94">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 </w:t>
      </w:r>
      <w:r w:rsidR="00CF6CAC" w:rsidRPr="004137C8">
        <w:rPr>
          <w:rFonts w:ascii="Times New Roman" w:hAnsi="Times New Roman" w:cs="Times New Roman"/>
          <w:b/>
          <w:sz w:val="24"/>
          <w:szCs w:val="24"/>
        </w:rPr>
        <w:t>2.2.1</w:t>
      </w:r>
      <w:r w:rsidR="00CF6CAC" w:rsidRPr="004137C8">
        <w:rPr>
          <w:rFonts w:ascii="Times New Roman" w:hAnsi="Times New Roman" w:cs="Times New Roman"/>
          <w:b/>
          <w:sz w:val="24"/>
          <w:szCs w:val="24"/>
        </w:rPr>
        <w:tab/>
        <w:t>PUCO has jurisdiction over subrogation claims.</w:t>
      </w:r>
    </w:p>
    <w:p w:rsidR="00897FEF" w:rsidRPr="004137C8" w:rsidRDefault="00CF6CAC" w:rsidP="00B5713C">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 </w:t>
      </w:r>
      <w:r w:rsidR="00B5713C" w:rsidRPr="004137C8">
        <w:rPr>
          <w:rFonts w:ascii="Times New Roman" w:hAnsi="Times New Roman" w:cs="Times New Roman"/>
          <w:sz w:val="24"/>
          <w:szCs w:val="24"/>
        </w:rPr>
        <w:t xml:space="preserve">Subrogation is defined as “[t]he substitution of one party for another whose debt the party pays, entitling the paying party to rights, remedies, or securities that would otherwise belong to the debtor.” Black's Law Dictionary (8 Ed.2004) 1467.  Specific to insurance law, subrogation is also defined as “[t]he principle under which an insurer that has paid a loss under an insurance policy is entitled to all the rights and remedies belonging to the insured against a third party with respect to any loss covered by the policy.” Id.  In essence, subrogation allows one person to stand in the shoes of another and to-exercise the rights or privileges of that person.  </w:t>
      </w:r>
      <w:r w:rsidR="00B5713C" w:rsidRPr="004137C8">
        <w:rPr>
          <w:rFonts w:ascii="Times New Roman" w:hAnsi="Times New Roman" w:cs="Times New Roman"/>
          <w:i/>
          <w:iCs/>
          <w:sz w:val="24"/>
          <w:szCs w:val="24"/>
        </w:rPr>
        <w:t>Indiana Ins. Co. v. Barnes</w:t>
      </w:r>
      <w:r w:rsidR="00B5713C" w:rsidRPr="004137C8">
        <w:rPr>
          <w:rFonts w:ascii="Times New Roman" w:hAnsi="Times New Roman" w:cs="Times New Roman"/>
          <w:sz w:val="24"/>
          <w:szCs w:val="24"/>
        </w:rPr>
        <w:t>, 846 N.E.2d 73, 78 (Ohio App. 2005).  Therefore, USAA is merely standing in the shoes of its insured and exercising all the rights and privileges</w:t>
      </w:r>
      <w:r w:rsidR="006B5676">
        <w:rPr>
          <w:rFonts w:ascii="Times New Roman" w:hAnsi="Times New Roman" w:cs="Times New Roman"/>
          <w:sz w:val="24"/>
          <w:szCs w:val="24"/>
        </w:rPr>
        <w:t xml:space="preserve"> of</w:t>
      </w:r>
      <w:r w:rsidR="00B5713C" w:rsidRPr="004137C8">
        <w:rPr>
          <w:rFonts w:ascii="Times New Roman" w:hAnsi="Times New Roman" w:cs="Times New Roman"/>
          <w:sz w:val="24"/>
          <w:szCs w:val="24"/>
        </w:rPr>
        <w:t xml:space="preserve"> the insured, including the right to bring a claim in PUCO.  Subrogation is a long-settled principle of Ohio law.</w:t>
      </w:r>
    </w:p>
    <w:p w:rsidR="004D35F9" w:rsidRPr="004137C8" w:rsidRDefault="00B5713C" w:rsidP="00B5713C">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Columbia presented no law that provides that subrogation claims are outside of the scope of PUCO’s jurisdiction.  Instead, Columbia cited to </w:t>
      </w:r>
      <w:r w:rsidR="00BC04F5" w:rsidRPr="004137C8">
        <w:rPr>
          <w:rFonts w:ascii="Times New Roman" w:hAnsi="Times New Roman" w:cs="Times New Roman"/>
          <w:sz w:val="24"/>
          <w:szCs w:val="24"/>
          <w:u w:val="single"/>
        </w:rPr>
        <w:t>Allstate Ins. Co. v. Cleveland Elec. Illum. Co.</w:t>
      </w:r>
      <w:r w:rsidR="00BC04F5" w:rsidRPr="004137C8">
        <w:rPr>
          <w:rFonts w:ascii="Times New Roman" w:hAnsi="Times New Roman" w:cs="Times New Roman"/>
          <w:sz w:val="24"/>
          <w:szCs w:val="24"/>
        </w:rPr>
        <w:t xml:space="preserve">, 119 Ohio St. 3d 301, 2008-Ohio-3917, 893 N.E.2d 824 (2008) and </w:t>
      </w:r>
      <w:r w:rsidR="00BC04F5" w:rsidRPr="004137C8">
        <w:rPr>
          <w:rFonts w:ascii="Times New Roman" w:hAnsi="Times New Roman" w:cs="Times New Roman"/>
          <w:sz w:val="24"/>
          <w:szCs w:val="24"/>
          <w:u w:val="single"/>
        </w:rPr>
        <w:t>New Brennan v. Pub. Utils. Comm.</w:t>
      </w:r>
      <w:r w:rsidR="00BC04F5" w:rsidRPr="004137C8">
        <w:rPr>
          <w:rFonts w:ascii="Times New Roman" w:hAnsi="Times New Roman" w:cs="Times New Roman"/>
          <w:sz w:val="24"/>
          <w:szCs w:val="24"/>
        </w:rPr>
        <w:t xml:space="preserve">, 103 Ohio St. 23, 132 N.E. 162 (1921).  Neither the </w:t>
      </w:r>
      <w:r w:rsidR="00BC04F5" w:rsidRPr="004137C8">
        <w:rPr>
          <w:rFonts w:ascii="Times New Roman" w:hAnsi="Times New Roman" w:cs="Times New Roman"/>
          <w:sz w:val="24"/>
          <w:szCs w:val="24"/>
          <w:u w:val="single"/>
        </w:rPr>
        <w:t>Allstate</w:t>
      </w:r>
      <w:r w:rsidR="00BC04F5" w:rsidRPr="004137C8">
        <w:rPr>
          <w:rFonts w:ascii="Times New Roman" w:hAnsi="Times New Roman" w:cs="Times New Roman"/>
          <w:sz w:val="24"/>
          <w:szCs w:val="24"/>
        </w:rPr>
        <w:t xml:space="preserve"> case or the </w:t>
      </w:r>
      <w:r w:rsidR="00BC04F5" w:rsidRPr="004137C8">
        <w:rPr>
          <w:rFonts w:ascii="Times New Roman" w:hAnsi="Times New Roman" w:cs="Times New Roman"/>
          <w:sz w:val="24"/>
          <w:szCs w:val="24"/>
          <w:u w:val="single"/>
        </w:rPr>
        <w:t>New Brennan</w:t>
      </w:r>
      <w:r w:rsidR="00BC04F5" w:rsidRPr="004137C8">
        <w:rPr>
          <w:rFonts w:ascii="Times New Roman" w:hAnsi="Times New Roman" w:cs="Times New Roman"/>
          <w:sz w:val="24"/>
          <w:szCs w:val="24"/>
        </w:rPr>
        <w:t xml:space="preserve"> case held that PUCO had no jurisdiction over subrogation claims.  </w:t>
      </w:r>
      <w:r w:rsidR="00CE0B53" w:rsidRPr="004137C8">
        <w:rPr>
          <w:rFonts w:ascii="Times New Roman" w:hAnsi="Times New Roman" w:cs="Times New Roman"/>
          <w:sz w:val="24"/>
          <w:szCs w:val="24"/>
        </w:rPr>
        <w:t>Both cases involved decisions related to whether contract claims could be heard in PUCO, and both finding that</w:t>
      </w:r>
      <w:r w:rsidR="006B5676">
        <w:rPr>
          <w:rFonts w:ascii="Times New Roman" w:hAnsi="Times New Roman" w:cs="Times New Roman"/>
          <w:sz w:val="24"/>
          <w:szCs w:val="24"/>
        </w:rPr>
        <w:t xml:space="preserve"> certain</w:t>
      </w:r>
      <w:r w:rsidR="00CE0B53" w:rsidRPr="004137C8">
        <w:rPr>
          <w:rFonts w:ascii="Times New Roman" w:hAnsi="Times New Roman" w:cs="Times New Roman"/>
          <w:sz w:val="24"/>
          <w:szCs w:val="24"/>
        </w:rPr>
        <w:t xml:space="preserve"> contract claims are within the jurisdiction of courts and not the Commission.  </w:t>
      </w:r>
      <w:r w:rsidR="00CE0B53" w:rsidRPr="004137C8">
        <w:rPr>
          <w:rFonts w:ascii="Times New Roman" w:hAnsi="Times New Roman" w:cs="Times New Roman"/>
          <w:sz w:val="24"/>
          <w:szCs w:val="24"/>
          <w:u w:val="single"/>
        </w:rPr>
        <w:t>Allstate</w:t>
      </w:r>
      <w:r w:rsidR="00CE0B53" w:rsidRPr="004137C8">
        <w:rPr>
          <w:rFonts w:ascii="Times New Roman" w:hAnsi="Times New Roman" w:cs="Times New Roman"/>
          <w:sz w:val="24"/>
          <w:szCs w:val="24"/>
        </w:rPr>
        <w:t xml:space="preserve">, supra at 304, </w:t>
      </w:r>
      <w:r w:rsidR="002922B4" w:rsidRPr="004137C8">
        <w:rPr>
          <w:rFonts w:ascii="Times New Roman" w:hAnsi="Times New Roman" w:cs="Times New Roman"/>
          <w:sz w:val="24"/>
          <w:szCs w:val="24"/>
          <w:u w:val="single"/>
        </w:rPr>
        <w:t>New Brennan</w:t>
      </w:r>
      <w:r w:rsidR="002922B4" w:rsidRPr="004137C8">
        <w:rPr>
          <w:rFonts w:ascii="Times New Roman" w:hAnsi="Times New Roman" w:cs="Times New Roman"/>
          <w:sz w:val="24"/>
          <w:szCs w:val="24"/>
        </w:rPr>
        <w:t xml:space="preserve">, supra at 32-33.  There is no holding in either case that subrogation claims for matters within the jurisdiction of PUCO could not be heard by PUCO merely because they were brought by a subrogee and not the subrogor.  </w:t>
      </w:r>
      <w:r w:rsidR="00323537" w:rsidRPr="004137C8">
        <w:rPr>
          <w:rFonts w:ascii="Times New Roman" w:hAnsi="Times New Roman" w:cs="Times New Roman"/>
          <w:sz w:val="24"/>
          <w:szCs w:val="24"/>
        </w:rPr>
        <w:t xml:space="preserve">Columbia’s reading of these cases, especially the </w:t>
      </w:r>
      <w:r w:rsidR="00323537" w:rsidRPr="004137C8">
        <w:rPr>
          <w:rFonts w:ascii="Times New Roman" w:hAnsi="Times New Roman" w:cs="Times New Roman"/>
          <w:sz w:val="24"/>
          <w:szCs w:val="24"/>
          <w:u w:val="single"/>
        </w:rPr>
        <w:t>Allstate</w:t>
      </w:r>
      <w:r w:rsidR="006B5676">
        <w:rPr>
          <w:rFonts w:ascii="Times New Roman" w:hAnsi="Times New Roman" w:cs="Times New Roman"/>
          <w:sz w:val="24"/>
          <w:szCs w:val="24"/>
        </w:rPr>
        <w:t>,</w:t>
      </w:r>
      <w:r w:rsidR="00323537" w:rsidRPr="004137C8">
        <w:rPr>
          <w:rFonts w:ascii="Times New Roman" w:hAnsi="Times New Roman" w:cs="Times New Roman"/>
          <w:sz w:val="24"/>
          <w:szCs w:val="24"/>
        </w:rPr>
        <w:t xml:space="preserve"> case are clear</w:t>
      </w:r>
      <w:r w:rsidR="006B5676">
        <w:rPr>
          <w:rFonts w:ascii="Times New Roman" w:hAnsi="Times New Roman" w:cs="Times New Roman"/>
          <w:sz w:val="24"/>
          <w:szCs w:val="24"/>
        </w:rPr>
        <w:t xml:space="preserve"> error</w:t>
      </w:r>
      <w:r w:rsidR="00323537" w:rsidRPr="004137C8">
        <w:rPr>
          <w:rFonts w:ascii="Times New Roman" w:hAnsi="Times New Roman" w:cs="Times New Roman"/>
          <w:sz w:val="24"/>
          <w:szCs w:val="24"/>
        </w:rPr>
        <w:t xml:space="preserve">.  </w:t>
      </w:r>
      <w:r w:rsidR="00132C8A" w:rsidRPr="004137C8">
        <w:rPr>
          <w:rFonts w:ascii="Times New Roman" w:hAnsi="Times New Roman" w:cs="Times New Roman"/>
          <w:sz w:val="24"/>
          <w:szCs w:val="24"/>
        </w:rPr>
        <w:t xml:space="preserve">In </w:t>
      </w:r>
      <w:r w:rsidR="00132C8A" w:rsidRPr="004137C8">
        <w:rPr>
          <w:rFonts w:ascii="Times New Roman" w:hAnsi="Times New Roman" w:cs="Times New Roman"/>
          <w:sz w:val="24"/>
          <w:szCs w:val="24"/>
          <w:u w:val="single"/>
        </w:rPr>
        <w:t>Allstate</w:t>
      </w:r>
      <w:r w:rsidR="00132C8A" w:rsidRPr="004137C8">
        <w:rPr>
          <w:rFonts w:ascii="Times New Roman" w:hAnsi="Times New Roman" w:cs="Times New Roman"/>
          <w:sz w:val="24"/>
          <w:szCs w:val="24"/>
        </w:rPr>
        <w:t xml:space="preserve">, the subrogated insurer sued the utility in state court.  Unlike the present case, the utility defendant in </w:t>
      </w:r>
      <w:r w:rsidR="00132C8A" w:rsidRPr="004137C8">
        <w:rPr>
          <w:rFonts w:ascii="Times New Roman" w:hAnsi="Times New Roman" w:cs="Times New Roman"/>
          <w:sz w:val="24"/>
          <w:szCs w:val="24"/>
          <w:u w:val="single"/>
        </w:rPr>
        <w:t>Allstate</w:t>
      </w:r>
      <w:r w:rsidR="00132C8A" w:rsidRPr="004137C8">
        <w:rPr>
          <w:rFonts w:ascii="Times New Roman" w:hAnsi="Times New Roman" w:cs="Times New Roman"/>
          <w:sz w:val="24"/>
          <w:szCs w:val="24"/>
        </w:rPr>
        <w:t xml:space="preserve"> argued that the action was required to be brought in PUCO.  The intermediate appellate court agreed.  But, the Supreme Court overruled the finding of the intermediate appellate court to determine the certain types of </w:t>
      </w:r>
      <w:r w:rsidR="006B5676">
        <w:rPr>
          <w:rFonts w:ascii="Times New Roman" w:hAnsi="Times New Roman" w:cs="Times New Roman"/>
          <w:sz w:val="24"/>
          <w:szCs w:val="24"/>
        </w:rPr>
        <w:t xml:space="preserve">contract </w:t>
      </w:r>
      <w:r w:rsidR="00132C8A" w:rsidRPr="004137C8">
        <w:rPr>
          <w:rFonts w:ascii="Times New Roman" w:hAnsi="Times New Roman" w:cs="Times New Roman"/>
          <w:sz w:val="24"/>
          <w:szCs w:val="24"/>
        </w:rPr>
        <w:t xml:space="preserve">claims are within the Court’s jurisdiction even though PUCO maintains exclusive jurisdiction over other types of claims.  </w:t>
      </w:r>
      <w:r w:rsidR="004D35F9" w:rsidRPr="004137C8">
        <w:rPr>
          <w:rFonts w:ascii="Times New Roman" w:hAnsi="Times New Roman" w:cs="Times New Roman"/>
          <w:sz w:val="24"/>
          <w:szCs w:val="24"/>
        </w:rPr>
        <w:t xml:space="preserve">The </w:t>
      </w:r>
      <w:r w:rsidR="004D35F9" w:rsidRPr="004137C8">
        <w:rPr>
          <w:rFonts w:ascii="Times New Roman" w:hAnsi="Times New Roman" w:cs="Times New Roman"/>
          <w:sz w:val="24"/>
          <w:szCs w:val="24"/>
          <w:u w:val="single"/>
        </w:rPr>
        <w:t>Allstate</w:t>
      </w:r>
      <w:r w:rsidR="004D35F9" w:rsidRPr="004137C8">
        <w:rPr>
          <w:rFonts w:ascii="Times New Roman" w:hAnsi="Times New Roman" w:cs="Times New Roman"/>
          <w:sz w:val="24"/>
          <w:szCs w:val="24"/>
        </w:rPr>
        <w:t xml:space="preserve"> Court’s statement</w:t>
      </w:r>
      <w:r w:rsidR="006B5676">
        <w:rPr>
          <w:rFonts w:ascii="Times New Roman" w:hAnsi="Times New Roman" w:cs="Times New Roman"/>
          <w:sz w:val="24"/>
          <w:szCs w:val="24"/>
        </w:rPr>
        <w:t xml:space="preserve"> that</w:t>
      </w:r>
      <w:r w:rsidR="004D35F9" w:rsidRPr="004137C8">
        <w:rPr>
          <w:rFonts w:ascii="Times New Roman" w:hAnsi="Times New Roman" w:cs="Times New Roman"/>
          <w:sz w:val="24"/>
          <w:szCs w:val="24"/>
        </w:rPr>
        <w:t xml:space="preserve"> it would have been “wasteful and futile” for Allstate to bring the</w:t>
      </w:r>
      <w:r w:rsidR="006B5676">
        <w:rPr>
          <w:rFonts w:ascii="Times New Roman" w:hAnsi="Times New Roman" w:cs="Times New Roman"/>
          <w:sz w:val="24"/>
          <w:szCs w:val="24"/>
        </w:rPr>
        <w:t xml:space="preserve"> subrogation</w:t>
      </w:r>
      <w:r w:rsidR="004D35F9" w:rsidRPr="004137C8">
        <w:rPr>
          <w:rFonts w:ascii="Times New Roman" w:hAnsi="Times New Roman" w:cs="Times New Roman"/>
          <w:sz w:val="24"/>
          <w:szCs w:val="24"/>
        </w:rPr>
        <w:t xml:space="preserve"> claims in PUCO was not because </w:t>
      </w:r>
      <w:r w:rsidR="006B5676">
        <w:rPr>
          <w:rFonts w:ascii="Times New Roman" w:hAnsi="Times New Roman" w:cs="Times New Roman"/>
          <w:sz w:val="24"/>
          <w:szCs w:val="24"/>
        </w:rPr>
        <w:t>they were subrogation claims</w:t>
      </w:r>
      <w:r w:rsidR="004D35F9" w:rsidRPr="004137C8">
        <w:rPr>
          <w:rFonts w:ascii="Times New Roman" w:hAnsi="Times New Roman" w:cs="Times New Roman"/>
          <w:sz w:val="24"/>
          <w:szCs w:val="24"/>
        </w:rPr>
        <w:t xml:space="preserve">, but </w:t>
      </w:r>
      <w:r w:rsidR="006B5676">
        <w:rPr>
          <w:rFonts w:ascii="Times New Roman" w:hAnsi="Times New Roman" w:cs="Times New Roman"/>
          <w:sz w:val="24"/>
          <w:szCs w:val="24"/>
        </w:rPr>
        <w:t xml:space="preserve">rather </w:t>
      </w:r>
      <w:r w:rsidR="004D35F9" w:rsidRPr="004137C8">
        <w:rPr>
          <w:rFonts w:ascii="Times New Roman" w:hAnsi="Times New Roman" w:cs="Times New Roman"/>
          <w:sz w:val="24"/>
          <w:szCs w:val="24"/>
        </w:rPr>
        <w:t>because the type of claims alleged were state Court claims not PUCO-exclusive claims</w:t>
      </w:r>
      <w:r w:rsidR="00444F97" w:rsidRPr="004137C8">
        <w:rPr>
          <w:rStyle w:val="FootnoteReference"/>
          <w:rFonts w:ascii="Times New Roman" w:hAnsi="Times New Roman" w:cs="Times New Roman"/>
          <w:sz w:val="24"/>
          <w:szCs w:val="24"/>
        </w:rPr>
        <w:footnoteReference w:id="3"/>
      </w:r>
      <w:r w:rsidR="004D35F9" w:rsidRPr="004137C8">
        <w:rPr>
          <w:rFonts w:ascii="Times New Roman" w:hAnsi="Times New Roman" w:cs="Times New Roman"/>
          <w:sz w:val="24"/>
          <w:szCs w:val="24"/>
        </w:rPr>
        <w:t xml:space="preserve">.  Columbia has misread </w:t>
      </w:r>
      <w:r w:rsidR="004D35F9" w:rsidRPr="004137C8">
        <w:rPr>
          <w:rFonts w:ascii="Times New Roman" w:hAnsi="Times New Roman" w:cs="Times New Roman"/>
          <w:sz w:val="24"/>
          <w:szCs w:val="24"/>
          <w:u w:val="single"/>
        </w:rPr>
        <w:t>Allstate</w:t>
      </w:r>
      <w:r w:rsidR="004D35F9" w:rsidRPr="004137C8">
        <w:rPr>
          <w:rFonts w:ascii="Times New Roman" w:hAnsi="Times New Roman" w:cs="Times New Roman"/>
          <w:sz w:val="24"/>
          <w:szCs w:val="24"/>
        </w:rPr>
        <w:t>, and has overreached in its arguments</w:t>
      </w:r>
      <w:r w:rsidR="006E7B42" w:rsidRPr="004137C8">
        <w:rPr>
          <w:rFonts w:ascii="Times New Roman" w:hAnsi="Times New Roman" w:cs="Times New Roman"/>
          <w:sz w:val="24"/>
          <w:szCs w:val="24"/>
        </w:rPr>
        <w:t xml:space="preserve"> because there is no Ohio law that would bar a subrogated insurer from bringing claims in PUCO</w:t>
      </w:r>
      <w:r w:rsidR="004D35F9" w:rsidRPr="004137C8">
        <w:rPr>
          <w:rFonts w:ascii="Times New Roman" w:hAnsi="Times New Roman" w:cs="Times New Roman"/>
          <w:sz w:val="24"/>
          <w:szCs w:val="24"/>
        </w:rPr>
        <w:t>.</w:t>
      </w:r>
      <w:r w:rsidR="00FC1F11">
        <w:rPr>
          <w:rStyle w:val="FootnoteReference"/>
          <w:rFonts w:ascii="Times New Roman" w:hAnsi="Times New Roman" w:cs="Times New Roman"/>
          <w:sz w:val="24"/>
          <w:szCs w:val="24"/>
        </w:rPr>
        <w:footnoteReference w:id="4"/>
      </w:r>
    </w:p>
    <w:p w:rsidR="006E7B42" w:rsidRPr="004137C8" w:rsidRDefault="006E7B42" w:rsidP="00B5713C">
      <w:pPr>
        <w:ind w:firstLine="720"/>
        <w:jc w:val="both"/>
        <w:rPr>
          <w:rFonts w:ascii="Times New Roman" w:hAnsi="Times New Roman" w:cs="Times New Roman"/>
          <w:sz w:val="24"/>
          <w:szCs w:val="24"/>
        </w:rPr>
      </w:pPr>
    </w:p>
    <w:p w:rsidR="006E7B42" w:rsidRPr="004137C8" w:rsidRDefault="006E7B42" w:rsidP="00B5713C">
      <w:pPr>
        <w:ind w:firstLine="720"/>
        <w:jc w:val="both"/>
        <w:rPr>
          <w:rFonts w:ascii="Times New Roman" w:hAnsi="Times New Roman" w:cs="Times New Roman"/>
          <w:sz w:val="24"/>
          <w:szCs w:val="24"/>
        </w:rPr>
      </w:pPr>
      <w:r w:rsidRPr="004137C8">
        <w:rPr>
          <w:rFonts w:ascii="Times New Roman" w:hAnsi="Times New Roman" w:cs="Times New Roman"/>
          <w:b/>
          <w:sz w:val="24"/>
          <w:szCs w:val="24"/>
        </w:rPr>
        <w:t>2.2.2</w:t>
      </w:r>
      <w:r w:rsidRPr="004137C8">
        <w:rPr>
          <w:rFonts w:ascii="Times New Roman" w:hAnsi="Times New Roman" w:cs="Times New Roman"/>
          <w:b/>
          <w:sz w:val="24"/>
          <w:szCs w:val="24"/>
        </w:rPr>
        <w:tab/>
        <w:t>PUCO has jurisdiction over</w:t>
      </w:r>
      <w:r w:rsidR="00E25179" w:rsidRPr="004137C8">
        <w:rPr>
          <w:rFonts w:ascii="Times New Roman" w:hAnsi="Times New Roman" w:cs="Times New Roman"/>
          <w:b/>
          <w:sz w:val="24"/>
          <w:szCs w:val="24"/>
        </w:rPr>
        <w:t xml:space="preserve"> the</w:t>
      </w:r>
      <w:r w:rsidRPr="004137C8">
        <w:rPr>
          <w:rFonts w:ascii="Times New Roman" w:hAnsi="Times New Roman" w:cs="Times New Roman"/>
          <w:b/>
          <w:sz w:val="24"/>
          <w:szCs w:val="24"/>
        </w:rPr>
        <w:t xml:space="preserve"> claims</w:t>
      </w:r>
      <w:r w:rsidR="00E25179" w:rsidRPr="004137C8">
        <w:rPr>
          <w:rFonts w:ascii="Times New Roman" w:hAnsi="Times New Roman" w:cs="Times New Roman"/>
          <w:b/>
          <w:sz w:val="24"/>
          <w:szCs w:val="24"/>
        </w:rPr>
        <w:t xml:space="preserve"> plead in the First Amended Complaint, i.e. Service-related negligence, breach of tariff and violations of regulatory provisions under the purview of PUCO</w:t>
      </w:r>
      <w:r w:rsidRPr="004137C8">
        <w:rPr>
          <w:rFonts w:ascii="Times New Roman" w:hAnsi="Times New Roman" w:cs="Times New Roman"/>
          <w:b/>
          <w:sz w:val="24"/>
          <w:szCs w:val="24"/>
        </w:rPr>
        <w:t>.</w:t>
      </w:r>
    </w:p>
    <w:p w:rsidR="004F0511" w:rsidRPr="004137C8" w:rsidRDefault="00AA1989" w:rsidP="00B5713C">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 </w:t>
      </w:r>
      <w:r w:rsidR="00B269D4" w:rsidRPr="004137C8">
        <w:rPr>
          <w:rFonts w:ascii="Times New Roman" w:hAnsi="Times New Roman" w:cs="Times New Roman"/>
          <w:sz w:val="24"/>
          <w:szCs w:val="24"/>
        </w:rPr>
        <w:t>Columbia’s proposition that “[b]ecause USAA has insisted on proceedin</w:t>
      </w:r>
      <w:r w:rsidR="001E6507" w:rsidRPr="004137C8">
        <w:rPr>
          <w:rFonts w:ascii="Times New Roman" w:hAnsi="Times New Roman" w:cs="Times New Roman"/>
          <w:sz w:val="24"/>
          <w:szCs w:val="24"/>
        </w:rPr>
        <w:t>g</w:t>
      </w:r>
      <w:r w:rsidR="00B269D4" w:rsidRPr="004137C8">
        <w:rPr>
          <w:rFonts w:ascii="Times New Roman" w:hAnsi="Times New Roman" w:cs="Times New Roman"/>
          <w:sz w:val="24"/>
          <w:szCs w:val="24"/>
        </w:rPr>
        <w:t xml:space="preserve"> in the Delaware County Court of Common Pleas, USAA cannot proceed here” is flawed. </w:t>
      </w:r>
      <w:r w:rsidR="001E6507" w:rsidRPr="004137C8">
        <w:rPr>
          <w:rFonts w:ascii="Times New Roman" w:hAnsi="Times New Roman" w:cs="Times New Roman"/>
          <w:sz w:val="24"/>
          <w:szCs w:val="24"/>
        </w:rPr>
        <w:t xml:space="preserve"> USAA’s decision to proceed in both venues to make certain all its available claim types are fully litigated to a tribunal of competent jurisdiction is not the test involved.</w:t>
      </w:r>
      <w:r w:rsidR="00D60D8F" w:rsidRPr="004137C8">
        <w:rPr>
          <w:rStyle w:val="FootnoteReference"/>
          <w:rFonts w:ascii="Times New Roman" w:hAnsi="Times New Roman" w:cs="Times New Roman"/>
          <w:sz w:val="24"/>
          <w:szCs w:val="24"/>
        </w:rPr>
        <w:footnoteReference w:id="5"/>
      </w:r>
      <w:r w:rsidR="001E6507" w:rsidRPr="004137C8">
        <w:rPr>
          <w:rFonts w:ascii="Times New Roman" w:hAnsi="Times New Roman" w:cs="Times New Roman"/>
          <w:sz w:val="24"/>
          <w:szCs w:val="24"/>
        </w:rPr>
        <w:t xml:space="preserve">  Ohio law has identified certain claims that are exclusively within PUCO’s jurisdiction, and certain claims that are for the courts.  Because the same fact pattern can be the basis for multiple claim types, USAA must be able to avail itself of its right to access to a tribunal.  </w:t>
      </w:r>
    </w:p>
    <w:p w:rsidR="006E7B42" w:rsidRPr="004137C8" w:rsidRDefault="004F0511" w:rsidP="00B5713C">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Because </w:t>
      </w:r>
      <w:r w:rsidRPr="004137C8">
        <w:rPr>
          <w:rFonts w:ascii="Times New Roman" w:hAnsi="Times New Roman" w:cs="Times New Roman"/>
          <w:i/>
          <w:sz w:val="24"/>
          <w:szCs w:val="24"/>
        </w:rPr>
        <w:t>In the Matter of the Application of The Ohio Bell Telephone Co. v. Telemarketing Investments, Ltd.</w:t>
      </w:r>
      <w:r w:rsidRPr="004137C8">
        <w:rPr>
          <w:rFonts w:ascii="Times New Roman" w:hAnsi="Times New Roman" w:cs="Times New Roman"/>
          <w:sz w:val="24"/>
          <w:szCs w:val="24"/>
        </w:rPr>
        <w:t>, Case No. 85-990-TP-CSS, 1985 Ohio PUC Lexis 116 was decided in 1985 does not mean that it is invalid.  Columbia Gas has no</w:t>
      </w:r>
      <w:r w:rsidR="00FC1F11">
        <w:rPr>
          <w:rFonts w:ascii="Times New Roman" w:hAnsi="Times New Roman" w:cs="Times New Roman"/>
          <w:sz w:val="24"/>
          <w:szCs w:val="24"/>
        </w:rPr>
        <w:t>t</w:t>
      </w:r>
      <w:r w:rsidRPr="004137C8">
        <w:rPr>
          <w:rFonts w:ascii="Times New Roman" w:hAnsi="Times New Roman" w:cs="Times New Roman"/>
          <w:sz w:val="24"/>
          <w:szCs w:val="24"/>
        </w:rPr>
        <w:t xml:space="preserve"> presented any finding of the PUC or Ohio Supreme Court altering or overruling the decision in </w:t>
      </w:r>
      <w:r w:rsidRPr="004137C8">
        <w:rPr>
          <w:rFonts w:ascii="Times New Roman" w:hAnsi="Times New Roman" w:cs="Times New Roman"/>
          <w:i/>
          <w:sz w:val="24"/>
          <w:szCs w:val="24"/>
        </w:rPr>
        <w:t>Ohio Bell</w:t>
      </w:r>
      <w:r w:rsidRPr="004137C8">
        <w:rPr>
          <w:rFonts w:ascii="Times New Roman" w:hAnsi="Times New Roman" w:cs="Times New Roman"/>
          <w:sz w:val="24"/>
          <w:szCs w:val="24"/>
        </w:rPr>
        <w:t xml:space="preserve">. </w:t>
      </w:r>
      <w:r w:rsidR="006033E6" w:rsidRPr="004137C8">
        <w:rPr>
          <w:rFonts w:ascii="Times New Roman" w:hAnsi="Times New Roman" w:cs="Times New Roman"/>
          <w:sz w:val="24"/>
          <w:szCs w:val="24"/>
        </w:rPr>
        <w:t xml:space="preserve">  However, recently, the Ohio Supreme Court was faced wi</w:t>
      </w:r>
      <w:r w:rsidR="00FC1F11">
        <w:rPr>
          <w:rFonts w:ascii="Times New Roman" w:hAnsi="Times New Roman" w:cs="Times New Roman"/>
          <w:sz w:val="24"/>
          <w:szCs w:val="24"/>
        </w:rPr>
        <w:t>th a multi-claim litigation for</w:t>
      </w:r>
      <w:r w:rsidR="006033E6" w:rsidRPr="004137C8">
        <w:rPr>
          <w:rFonts w:ascii="Times New Roman" w:hAnsi="Times New Roman" w:cs="Times New Roman"/>
          <w:sz w:val="24"/>
          <w:szCs w:val="24"/>
        </w:rPr>
        <w:t xml:space="preserve"> a given set of facts, and did not reach its conclusion that a fraud claim was within the purview of PUCO simply because Plaintiff’s other claims were before PUCO.</w:t>
      </w:r>
      <w:r w:rsidR="008D479C" w:rsidRPr="004137C8">
        <w:rPr>
          <w:rFonts w:ascii="Times New Roman" w:hAnsi="Times New Roman" w:cs="Times New Roman"/>
          <w:sz w:val="24"/>
          <w:szCs w:val="24"/>
        </w:rPr>
        <w:t xml:space="preserve"> </w:t>
      </w:r>
      <w:r w:rsidR="008D479C" w:rsidRPr="004137C8">
        <w:rPr>
          <w:rFonts w:ascii="Times New Roman" w:hAnsi="Times New Roman" w:cs="Times New Roman"/>
          <w:sz w:val="24"/>
          <w:szCs w:val="24"/>
          <w:u w:val="single"/>
        </w:rPr>
        <w:t>See</w:t>
      </w:r>
      <w:r w:rsidR="006033E6" w:rsidRPr="004137C8">
        <w:rPr>
          <w:rFonts w:ascii="Times New Roman" w:hAnsi="Times New Roman" w:cs="Times New Roman"/>
          <w:sz w:val="24"/>
          <w:szCs w:val="24"/>
        </w:rPr>
        <w:t xml:space="preserve"> </w:t>
      </w:r>
      <w:r w:rsidR="006033E6" w:rsidRPr="004137C8">
        <w:rPr>
          <w:rFonts w:ascii="Times New Roman" w:hAnsi="Times New Roman" w:cs="Times New Roman"/>
          <w:sz w:val="24"/>
          <w:szCs w:val="24"/>
          <w:u w:val="single"/>
        </w:rPr>
        <w:t>DiFranco, et al. v. FirstEnergy Corporation, et al</w:t>
      </w:r>
      <w:r w:rsidR="006033E6" w:rsidRPr="004137C8">
        <w:rPr>
          <w:rFonts w:ascii="Times New Roman" w:hAnsi="Times New Roman" w:cs="Times New Roman"/>
          <w:sz w:val="24"/>
          <w:szCs w:val="24"/>
        </w:rPr>
        <w:t>. 134 Ohio St. 3d 144, 2012 – Ohio – 5445, 980 N.E. 2d 996</w:t>
      </w:r>
      <w:r w:rsidR="008D479C" w:rsidRPr="004137C8">
        <w:rPr>
          <w:rFonts w:ascii="Times New Roman" w:hAnsi="Times New Roman" w:cs="Times New Roman"/>
          <w:sz w:val="24"/>
          <w:szCs w:val="24"/>
        </w:rPr>
        <w:t xml:space="preserve"> </w:t>
      </w:r>
      <w:r w:rsidR="006033E6" w:rsidRPr="004137C8">
        <w:rPr>
          <w:rFonts w:ascii="Times New Roman" w:hAnsi="Times New Roman" w:cs="Times New Roman"/>
          <w:sz w:val="24"/>
          <w:szCs w:val="24"/>
        </w:rPr>
        <w:t>(2012</w:t>
      </w:r>
      <w:r w:rsidR="008D479C" w:rsidRPr="004137C8">
        <w:rPr>
          <w:rFonts w:ascii="Times New Roman" w:hAnsi="Times New Roman" w:cs="Times New Roman"/>
          <w:sz w:val="24"/>
          <w:szCs w:val="24"/>
        </w:rPr>
        <w:t xml:space="preserve">).  In </w:t>
      </w:r>
      <w:r w:rsidR="008D479C" w:rsidRPr="004137C8">
        <w:rPr>
          <w:rFonts w:ascii="Times New Roman" w:hAnsi="Times New Roman" w:cs="Times New Roman"/>
          <w:sz w:val="24"/>
          <w:szCs w:val="24"/>
          <w:u w:val="single"/>
        </w:rPr>
        <w:t>DiFranco</w:t>
      </w:r>
      <w:r w:rsidR="008D479C" w:rsidRPr="004137C8">
        <w:rPr>
          <w:rFonts w:ascii="Times New Roman" w:hAnsi="Times New Roman" w:cs="Times New Roman"/>
          <w:sz w:val="24"/>
          <w:szCs w:val="24"/>
        </w:rPr>
        <w:t>, the plaintif</w:t>
      </w:r>
      <w:r w:rsidR="00B92753" w:rsidRPr="004137C8">
        <w:rPr>
          <w:rFonts w:ascii="Times New Roman" w:hAnsi="Times New Roman" w:cs="Times New Roman"/>
          <w:sz w:val="24"/>
          <w:szCs w:val="24"/>
        </w:rPr>
        <w:t>fs raised four ca</w:t>
      </w:r>
      <w:r w:rsidR="00FC1F11">
        <w:rPr>
          <w:rFonts w:ascii="Times New Roman" w:hAnsi="Times New Roman" w:cs="Times New Roman"/>
          <w:sz w:val="24"/>
          <w:szCs w:val="24"/>
        </w:rPr>
        <w:t>u</w:t>
      </w:r>
      <w:r w:rsidR="00B92753" w:rsidRPr="004137C8">
        <w:rPr>
          <w:rFonts w:ascii="Times New Roman" w:hAnsi="Times New Roman" w:cs="Times New Roman"/>
          <w:sz w:val="24"/>
          <w:szCs w:val="24"/>
        </w:rPr>
        <w:t xml:space="preserve">ses of actions.  The trial court found that all three were within the jurisdiction of PUCO.  But, the appellate court in </w:t>
      </w:r>
      <w:r w:rsidR="00B92753" w:rsidRPr="004137C8">
        <w:rPr>
          <w:rFonts w:ascii="Times New Roman" w:hAnsi="Times New Roman" w:cs="Times New Roman"/>
          <w:sz w:val="24"/>
          <w:szCs w:val="24"/>
          <w:u w:val="single"/>
        </w:rPr>
        <w:t>DiFranco</w:t>
      </w:r>
      <w:r w:rsidR="00B92753" w:rsidRPr="004137C8">
        <w:rPr>
          <w:rFonts w:ascii="Times New Roman" w:hAnsi="Times New Roman" w:cs="Times New Roman"/>
          <w:sz w:val="24"/>
          <w:szCs w:val="24"/>
        </w:rPr>
        <w:t xml:space="preserve"> reversed the trial court’s decision on one of the claims, the fraud claim.  The appellate court remanded the fraud count to the Court of Common Pleas.  The Ohio Supreme Court overruled the appellate court and f</w:t>
      </w:r>
      <w:r w:rsidR="002D3026" w:rsidRPr="004137C8">
        <w:rPr>
          <w:rFonts w:ascii="Times New Roman" w:hAnsi="Times New Roman" w:cs="Times New Roman"/>
          <w:sz w:val="24"/>
          <w:szCs w:val="24"/>
        </w:rPr>
        <w:t xml:space="preserve">ound the fraud claim was within PUCO’s jurisdiction, but not because all claims stemming from one set of facts must be presented before the same tribunal.  The Ohio Supreme Court in </w:t>
      </w:r>
      <w:r w:rsidR="002D3026" w:rsidRPr="004137C8">
        <w:rPr>
          <w:rFonts w:ascii="Times New Roman" w:hAnsi="Times New Roman" w:cs="Times New Roman"/>
          <w:sz w:val="24"/>
          <w:szCs w:val="24"/>
          <w:u w:val="single"/>
        </w:rPr>
        <w:t>DiFranco</w:t>
      </w:r>
      <w:r w:rsidR="002D3026" w:rsidRPr="004137C8">
        <w:rPr>
          <w:rFonts w:ascii="Times New Roman" w:hAnsi="Times New Roman" w:cs="Times New Roman"/>
          <w:sz w:val="24"/>
          <w:szCs w:val="24"/>
        </w:rPr>
        <w:t xml:space="preserve"> had to analyze whether the fraud claim fell within the PUCO exclusive jurisdiction or not.  So, clearly, the gist of the action concept be</w:t>
      </w:r>
      <w:r w:rsidR="00FC1F11">
        <w:rPr>
          <w:rFonts w:ascii="Times New Roman" w:hAnsi="Times New Roman" w:cs="Times New Roman"/>
          <w:sz w:val="24"/>
          <w:szCs w:val="24"/>
        </w:rPr>
        <w:t>ing</w:t>
      </w:r>
      <w:r w:rsidR="002D3026" w:rsidRPr="004137C8">
        <w:rPr>
          <w:rFonts w:ascii="Times New Roman" w:hAnsi="Times New Roman" w:cs="Times New Roman"/>
          <w:sz w:val="24"/>
          <w:szCs w:val="24"/>
        </w:rPr>
        <w:t xml:space="preserve"> proposed by Columbia is not the correct one in a case involving various facts and various claims.  </w:t>
      </w:r>
      <w:r w:rsidR="00A66CE0" w:rsidRPr="004137C8">
        <w:rPr>
          <w:rFonts w:ascii="Times New Roman" w:hAnsi="Times New Roman" w:cs="Times New Roman"/>
          <w:sz w:val="24"/>
          <w:szCs w:val="24"/>
        </w:rPr>
        <w:t>To say that Columbia Gas did not commit multiple breaches of care culminating in this fire, some service-related</w:t>
      </w:r>
      <w:r w:rsidR="00FC1F11">
        <w:rPr>
          <w:rFonts w:ascii="Times New Roman" w:hAnsi="Times New Roman" w:cs="Times New Roman"/>
          <w:sz w:val="24"/>
          <w:szCs w:val="24"/>
        </w:rPr>
        <w:t xml:space="preserve"> (</w:t>
      </w:r>
      <w:r w:rsidR="00FC1F11" w:rsidRPr="004137C8">
        <w:rPr>
          <w:rFonts w:ascii="Times New Roman" w:hAnsi="Times New Roman" w:cs="Times New Roman"/>
          <w:sz w:val="24"/>
          <w:szCs w:val="24"/>
        </w:rPr>
        <w:t>as defined by Sec. 4905.26</w:t>
      </w:r>
      <w:r w:rsidR="00FC1F11">
        <w:rPr>
          <w:rFonts w:ascii="Times New Roman" w:hAnsi="Times New Roman" w:cs="Times New Roman"/>
          <w:sz w:val="24"/>
          <w:szCs w:val="24"/>
        </w:rPr>
        <w:t>)</w:t>
      </w:r>
      <w:r w:rsidR="00A66CE0" w:rsidRPr="004137C8">
        <w:rPr>
          <w:rFonts w:ascii="Times New Roman" w:hAnsi="Times New Roman" w:cs="Times New Roman"/>
          <w:sz w:val="24"/>
          <w:szCs w:val="24"/>
        </w:rPr>
        <w:t xml:space="preserve"> and some not se</w:t>
      </w:r>
      <w:r w:rsidR="00FC1F11">
        <w:rPr>
          <w:rFonts w:ascii="Times New Roman" w:hAnsi="Times New Roman" w:cs="Times New Roman"/>
          <w:sz w:val="24"/>
          <w:szCs w:val="24"/>
        </w:rPr>
        <w:t>rvice-related</w:t>
      </w:r>
      <w:r w:rsidR="00A66CE0" w:rsidRPr="004137C8">
        <w:rPr>
          <w:rFonts w:ascii="Times New Roman" w:hAnsi="Times New Roman" w:cs="Times New Roman"/>
          <w:sz w:val="24"/>
          <w:szCs w:val="24"/>
        </w:rPr>
        <w:t xml:space="preserve">, would be failing to </w:t>
      </w:r>
      <w:r w:rsidR="00FC1F11">
        <w:rPr>
          <w:rFonts w:ascii="Times New Roman" w:hAnsi="Times New Roman" w:cs="Times New Roman"/>
          <w:sz w:val="24"/>
          <w:szCs w:val="24"/>
        </w:rPr>
        <w:t>present</w:t>
      </w:r>
      <w:r w:rsidR="00A66CE0" w:rsidRPr="004137C8">
        <w:rPr>
          <w:rFonts w:ascii="Times New Roman" w:hAnsi="Times New Roman" w:cs="Times New Roman"/>
          <w:sz w:val="24"/>
          <w:szCs w:val="24"/>
        </w:rPr>
        <w:t xml:space="preserve"> the entire story. </w:t>
      </w:r>
    </w:p>
    <w:p w:rsidR="00AC05B4" w:rsidRPr="004137C8" w:rsidRDefault="002D3026" w:rsidP="002D3026">
      <w:pPr>
        <w:jc w:val="both"/>
        <w:rPr>
          <w:rFonts w:ascii="Times New Roman" w:hAnsi="Times New Roman" w:cs="Times New Roman"/>
          <w:sz w:val="24"/>
          <w:szCs w:val="24"/>
        </w:rPr>
      </w:pPr>
      <w:r w:rsidRPr="004137C8">
        <w:rPr>
          <w:rFonts w:ascii="Times New Roman" w:hAnsi="Times New Roman" w:cs="Times New Roman"/>
          <w:sz w:val="24"/>
          <w:szCs w:val="24"/>
        </w:rPr>
        <w:tab/>
      </w:r>
      <w:r w:rsidR="00D60D8F" w:rsidRPr="004137C8">
        <w:rPr>
          <w:rFonts w:ascii="Times New Roman" w:hAnsi="Times New Roman" w:cs="Times New Roman"/>
          <w:sz w:val="24"/>
          <w:szCs w:val="24"/>
        </w:rPr>
        <w:t>Columbia Gas asserts that “this is not a case in which different aspects of a public utility’s relationship with its customer give rise to different causes of action, some tort- or contra</w:t>
      </w:r>
      <w:r w:rsidR="009A21F8" w:rsidRPr="004137C8">
        <w:rPr>
          <w:rFonts w:ascii="Times New Roman" w:hAnsi="Times New Roman" w:cs="Times New Roman"/>
          <w:sz w:val="24"/>
          <w:szCs w:val="24"/>
        </w:rPr>
        <w:t>c</w:t>
      </w:r>
      <w:r w:rsidR="00D60D8F" w:rsidRPr="004137C8">
        <w:rPr>
          <w:rFonts w:ascii="Times New Roman" w:hAnsi="Times New Roman" w:cs="Times New Roman"/>
          <w:sz w:val="24"/>
          <w:szCs w:val="24"/>
        </w:rPr>
        <w:t>t-related and some service-related.</w:t>
      </w:r>
      <w:r w:rsidR="009A21F8" w:rsidRPr="004137C8">
        <w:rPr>
          <w:rFonts w:ascii="Times New Roman" w:hAnsi="Times New Roman" w:cs="Times New Roman"/>
          <w:sz w:val="24"/>
          <w:szCs w:val="24"/>
        </w:rPr>
        <w:t xml:space="preserve">” This assertion is flawed, contrary to the pleadings and certainly made well before any significant discovery has been done in this matter.  </w:t>
      </w:r>
      <w:r w:rsidR="00AC05B4" w:rsidRPr="004137C8">
        <w:rPr>
          <w:rFonts w:ascii="Times New Roman" w:hAnsi="Times New Roman" w:cs="Times New Roman"/>
          <w:sz w:val="24"/>
          <w:szCs w:val="24"/>
        </w:rPr>
        <w:t>Any PUCO decision based on this assertion would be premature at this point.</w:t>
      </w:r>
    </w:p>
    <w:p w:rsidR="009A21F8" w:rsidRPr="004137C8" w:rsidRDefault="009A21F8" w:rsidP="002D3026">
      <w:pPr>
        <w:jc w:val="both"/>
        <w:rPr>
          <w:rFonts w:ascii="Times New Roman" w:hAnsi="Times New Roman" w:cs="Times New Roman"/>
          <w:sz w:val="24"/>
          <w:szCs w:val="24"/>
        </w:rPr>
      </w:pPr>
      <w:r w:rsidRPr="004137C8">
        <w:rPr>
          <w:rFonts w:ascii="Times New Roman" w:hAnsi="Times New Roman" w:cs="Times New Roman"/>
          <w:sz w:val="24"/>
          <w:szCs w:val="24"/>
        </w:rPr>
        <w:tab/>
      </w:r>
      <w:r w:rsidR="00C75ABB" w:rsidRPr="004137C8">
        <w:rPr>
          <w:rFonts w:ascii="Times New Roman" w:hAnsi="Times New Roman" w:cs="Times New Roman"/>
          <w:b/>
          <w:sz w:val="24"/>
          <w:szCs w:val="24"/>
        </w:rPr>
        <w:t>2.2.3</w:t>
      </w:r>
      <w:r w:rsidR="00C75ABB" w:rsidRPr="004137C8">
        <w:rPr>
          <w:rFonts w:ascii="Times New Roman" w:hAnsi="Times New Roman" w:cs="Times New Roman"/>
          <w:b/>
          <w:sz w:val="24"/>
          <w:szCs w:val="24"/>
        </w:rPr>
        <w:tab/>
      </w:r>
      <w:r w:rsidR="006E2591" w:rsidRPr="004137C8">
        <w:rPr>
          <w:rFonts w:ascii="Times New Roman" w:hAnsi="Times New Roman" w:cs="Times New Roman"/>
          <w:b/>
          <w:sz w:val="24"/>
          <w:szCs w:val="24"/>
        </w:rPr>
        <w:t xml:space="preserve">Public policy favors USAA being allowed to avail itself of every claim it has available </w:t>
      </w:r>
      <w:r w:rsidR="00FC1F11">
        <w:rPr>
          <w:rFonts w:ascii="Times New Roman" w:hAnsi="Times New Roman" w:cs="Times New Roman"/>
          <w:b/>
          <w:sz w:val="24"/>
          <w:szCs w:val="24"/>
        </w:rPr>
        <w:t xml:space="preserve">and to have </w:t>
      </w:r>
      <w:r w:rsidR="006E2591" w:rsidRPr="004137C8">
        <w:rPr>
          <w:rFonts w:ascii="Times New Roman" w:hAnsi="Times New Roman" w:cs="Times New Roman"/>
          <w:b/>
          <w:sz w:val="24"/>
          <w:szCs w:val="24"/>
        </w:rPr>
        <w:t>full access to the tribunal with competent jurisdiction.</w:t>
      </w:r>
      <w:r w:rsidR="006E2591" w:rsidRPr="004137C8">
        <w:rPr>
          <w:rFonts w:ascii="Times New Roman" w:hAnsi="Times New Roman" w:cs="Times New Roman"/>
          <w:b/>
          <w:sz w:val="24"/>
          <w:szCs w:val="24"/>
        </w:rPr>
        <w:tab/>
      </w:r>
    </w:p>
    <w:p w:rsidR="00897FEF" w:rsidRPr="004137C8" w:rsidRDefault="006E2591" w:rsidP="00B56B23">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Columbia Gas refers to the PUCO action and the state Court action filed by USAA as “parallel actions”.  </w:t>
      </w:r>
      <w:r w:rsidR="004B33A8" w:rsidRPr="004137C8">
        <w:rPr>
          <w:rFonts w:ascii="Times New Roman" w:hAnsi="Times New Roman" w:cs="Times New Roman"/>
          <w:sz w:val="24"/>
          <w:szCs w:val="24"/>
        </w:rPr>
        <w:t xml:space="preserve">This is a poor characterization used for advocacy purposes.  PUCO has a certain exclusive, yet limited, area of jurisdiction.  For example, this case involves multiple </w:t>
      </w:r>
      <w:r w:rsidR="00EE1E37">
        <w:rPr>
          <w:rFonts w:ascii="Times New Roman" w:hAnsi="Times New Roman" w:cs="Times New Roman"/>
          <w:sz w:val="24"/>
          <w:szCs w:val="24"/>
        </w:rPr>
        <w:t>defednants</w:t>
      </w:r>
      <w:r w:rsidR="004B33A8" w:rsidRPr="004137C8">
        <w:rPr>
          <w:rFonts w:ascii="Times New Roman" w:hAnsi="Times New Roman" w:cs="Times New Roman"/>
          <w:sz w:val="24"/>
          <w:szCs w:val="24"/>
        </w:rPr>
        <w:t xml:space="preserve">, some of which </w:t>
      </w:r>
      <w:r w:rsidR="00EE1E37">
        <w:rPr>
          <w:rFonts w:ascii="Times New Roman" w:hAnsi="Times New Roman" w:cs="Times New Roman"/>
          <w:sz w:val="24"/>
          <w:szCs w:val="24"/>
        </w:rPr>
        <w:t>cannot be brought before PUCO</w:t>
      </w:r>
      <w:r w:rsidR="004B33A8" w:rsidRPr="004137C8">
        <w:rPr>
          <w:rFonts w:ascii="Times New Roman" w:hAnsi="Times New Roman" w:cs="Times New Roman"/>
          <w:sz w:val="24"/>
          <w:szCs w:val="24"/>
        </w:rPr>
        <w:t>.  USAA had no choice but to sue certain parties in state Court.  With respect to Columbia Gas, multiple claims can be supported based on all the facts of this case.  Hence, ensuring</w:t>
      </w:r>
      <w:r w:rsidR="00EE1E37">
        <w:rPr>
          <w:rFonts w:ascii="Times New Roman" w:hAnsi="Times New Roman" w:cs="Times New Roman"/>
          <w:sz w:val="24"/>
          <w:szCs w:val="24"/>
        </w:rPr>
        <w:t xml:space="preserve"> that all claims a</w:t>
      </w:r>
      <w:r w:rsidR="004B33A8" w:rsidRPr="004137C8">
        <w:rPr>
          <w:rFonts w:ascii="Times New Roman" w:hAnsi="Times New Roman" w:cs="Times New Roman"/>
          <w:sz w:val="24"/>
          <w:szCs w:val="24"/>
        </w:rPr>
        <w:t xml:space="preserve">re presented in the </w:t>
      </w:r>
      <w:r w:rsidR="0077017D" w:rsidRPr="004137C8">
        <w:rPr>
          <w:rFonts w:ascii="Times New Roman" w:hAnsi="Times New Roman" w:cs="Times New Roman"/>
          <w:sz w:val="24"/>
          <w:szCs w:val="24"/>
        </w:rPr>
        <w:t>tribunal with proper jurisdiction is crucial to USAA asserting its rights as an injured party.</w:t>
      </w:r>
    </w:p>
    <w:p w:rsidR="0077017D" w:rsidRPr="004137C8" w:rsidRDefault="0077017D" w:rsidP="00B56B23">
      <w:pPr>
        <w:ind w:firstLine="720"/>
        <w:jc w:val="both"/>
        <w:rPr>
          <w:rFonts w:ascii="Times New Roman" w:hAnsi="Times New Roman" w:cs="Times New Roman"/>
          <w:sz w:val="24"/>
          <w:szCs w:val="24"/>
        </w:rPr>
      </w:pPr>
      <w:r w:rsidRPr="004137C8">
        <w:rPr>
          <w:rFonts w:ascii="Times New Roman" w:hAnsi="Times New Roman" w:cs="Times New Roman"/>
          <w:sz w:val="24"/>
          <w:szCs w:val="24"/>
        </w:rPr>
        <w:t>Access to a tribunal for disputes is not only a constitutionally protected right</w:t>
      </w:r>
      <w:r w:rsidR="00EE1E37">
        <w:rPr>
          <w:rStyle w:val="FootnoteReference"/>
          <w:rFonts w:ascii="Times New Roman" w:hAnsi="Times New Roman" w:cs="Times New Roman"/>
          <w:sz w:val="24"/>
          <w:szCs w:val="24"/>
        </w:rPr>
        <w:footnoteReference w:id="6"/>
      </w:r>
      <w:r w:rsidRPr="004137C8">
        <w:rPr>
          <w:rFonts w:ascii="Times New Roman" w:hAnsi="Times New Roman" w:cs="Times New Roman"/>
          <w:sz w:val="24"/>
          <w:szCs w:val="24"/>
        </w:rPr>
        <w:t xml:space="preserve">, but also a matter of general public policy as well.  All of Columbia’s public policy arguments are featherweight when compared to the </w:t>
      </w:r>
      <w:r w:rsidR="00136F3F" w:rsidRPr="004137C8">
        <w:rPr>
          <w:rFonts w:ascii="Times New Roman" w:hAnsi="Times New Roman" w:cs="Times New Roman"/>
          <w:sz w:val="24"/>
          <w:szCs w:val="24"/>
        </w:rPr>
        <w:t>heavy obligation to allow an injured party access to a tribunal.  With respect to litigation costs, all the claims would be litigated</w:t>
      </w:r>
      <w:r w:rsidR="00EE1E37">
        <w:rPr>
          <w:rFonts w:ascii="Times New Roman" w:hAnsi="Times New Roman" w:cs="Times New Roman"/>
          <w:sz w:val="24"/>
          <w:szCs w:val="24"/>
        </w:rPr>
        <w:t>,</w:t>
      </w:r>
      <w:r w:rsidR="00136F3F" w:rsidRPr="004137C8">
        <w:rPr>
          <w:rFonts w:ascii="Times New Roman" w:hAnsi="Times New Roman" w:cs="Times New Roman"/>
          <w:sz w:val="24"/>
          <w:szCs w:val="24"/>
        </w:rPr>
        <w:t xml:space="preserve"> so where they are litigated is irrelevant to those costs.  Columbia’s decision to hire two different law firms, one for PUCO and one for the Delaware County matter, is what has increased their costs if anything, not where the claims are prosecuted.  </w:t>
      </w:r>
      <w:r w:rsidR="00E907E5" w:rsidRPr="004137C8">
        <w:rPr>
          <w:rFonts w:ascii="Times New Roman" w:hAnsi="Times New Roman" w:cs="Times New Roman"/>
          <w:sz w:val="24"/>
          <w:szCs w:val="24"/>
        </w:rPr>
        <w:t xml:space="preserve">The forum shopping argument is flawed at its core.  Because PUCO does not have the same powers as the state Court, it would not be a comparison shopping experience – it is a must go to situation due to the mutually exclusive nature of their subject matter jurisdiction.  </w:t>
      </w:r>
      <w:r w:rsidR="00136F3F" w:rsidRPr="004137C8">
        <w:rPr>
          <w:rFonts w:ascii="Times New Roman" w:hAnsi="Times New Roman" w:cs="Times New Roman"/>
          <w:sz w:val="24"/>
          <w:szCs w:val="24"/>
        </w:rPr>
        <w:t xml:space="preserve"> </w:t>
      </w:r>
    </w:p>
    <w:p w:rsidR="00CB63F8" w:rsidRPr="004137C8" w:rsidRDefault="006206A3" w:rsidP="006206A3">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Columbia is trying to use jurisdictional arguments as a sword, not a shield to protect against increased costs for the Commission and the Courts.  Columbia is trying to limit </w:t>
      </w:r>
      <w:r w:rsidR="00EE1E37">
        <w:rPr>
          <w:rFonts w:ascii="Times New Roman" w:hAnsi="Times New Roman" w:cs="Times New Roman"/>
          <w:sz w:val="24"/>
          <w:szCs w:val="24"/>
        </w:rPr>
        <w:t>USAA’s access to a tribunal for</w:t>
      </w:r>
      <w:r w:rsidRPr="004137C8">
        <w:rPr>
          <w:rFonts w:ascii="Times New Roman" w:hAnsi="Times New Roman" w:cs="Times New Roman"/>
          <w:sz w:val="24"/>
          <w:szCs w:val="24"/>
        </w:rPr>
        <w:t xml:space="preserve"> its claims</w:t>
      </w:r>
      <w:r w:rsidR="00500519" w:rsidRPr="004137C8">
        <w:rPr>
          <w:rFonts w:ascii="Times New Roman" w:hAnsi="Times New Roman" w:cs="Times New Roman"/>
          <w:sz w:val="24"/>
          <w:szCs w:val="24"/>
        </w:rPr>
        <w:t xml:space="preserve"> in attempt to cut-off USAA rights to assert those claims</w:t>
      </w:r>
      <w:r w:rsidRPr="004137C8">
        <w:rPr>
          <w:rFonts w:ascii="Times New Roman" w:hAnsi="Times New Roman" w:cs="Times New Roman"/>
          <w:sz w:val="24"/>
          <w:szCs w:val="24"/>
        </w:rPr>
        <w:t>.</w:t>
      </w:r>
      <w:r w:rsidR="00500519" w:rsidRPr="004137C8">
        <w:rPr>
          <w:rFonts w:ascii="Times New Roman" w:hAnsi="Times New Roman" w:cs="Times New Roman"/>
          <w:sz w:val="24"/>
          <w:szCs w:val="24"/>
        </w:rPr>
        <w:t xml:space="preserve">  </w:t>
      </w:r>
      <w:r w:rsidRPr="004137C8">
        <w:rPr>
          <w:rFonts w:ascii="Times New Roman" w:hAnsi="Times New Roman" w:cs="Times New Roman"/>
          <w:sz w:val="24"/>
          <w:szCs w:val="24"/>
        </w:rPr>
        <w:t xml:space="preserve">  </w:t>
      </w:r>
    </w:p>
    <w:p w:rsidR="003B6B63" w:rsidRDefault="003B6B63" w:rsidP="007A0D94">
      <w:pPr>
        <w:jc w:val="both"/>
        <w:rPr>
          <w:rFonts w:ascii="Times New Roman" w:hAnsi="Times New Roman" w:cs="Times New Roman"/>
          <w:b/>
          <w:sz w:val="24"/>
          <w:szCs w:val="24"/>
        </w:rPr>
      </w:pPr>
    </w:p>
    <w:p w:rsidR="003B6B63" w:rsidRDefault="003B6B63" w:rsidP="007A0D94">
      <w:pPr>
        <w:jc w:val="both"/>
        <w:rPr>
          <w:rFonts w:ascii="Times New Roman" w:hAnsi="Times New Roman" w:cs="Times New Roman"/>
          <w:b/>
          <w:sz w:val="24"/>
          <w:szCs w:val="24"/>
        </w:rPr>
      </w:pPr>
    </w:p>
    <w:p w:rsidR="002203E5" w:rsidRPr="004137C8" w:rsidRDefault="00B63C5D" w:rsidP="007A0D94">
      <w:pPr>
        <w:jc w:val="both"/>
        <w:rPr>
          <w:rFonts w:ascii="Times New Roman" w:hAnsi="Times New Roman" w:cs="Times New Roman"/>
          <w:b/>
          <w:sz w:val="24"/>
          <w:szCs w:val="24"/>
        </w:rPr>
      </w:pPr>
      <w:r w:rsidRPr="004137C8">
        <w:rPr>
          <w:rFonts w:ascii="Times New Roman" w:hAnsi="Times New Roman" w:cs="Times New Roman"/>
          <w:b/>
          <w:sz w:val="24"/>
          <w:szCs w:val="24"/>
        </w:rPr>
        <w:t>3.</w:t>
      </w:r>
      <w:r w:rsidRPr="004137C8">
        <w:rPr>
          <w:rFonts w:ascii="Times New Roman" w:hAnsi="Times New Roman" w:cs="Times New Roman"/>
          <w:b/>
          <w:sz w:val="24"/>
          <w:szCs w:val="24"/>
        </w:rPr>
        <w:tab/>
        <w:t>Conclusion</w:t>
      </w:r>
    </w:p>
    <w:p w:rsidR="00A06106" w:rsidRPr="004137C8" w:rsidRDefault="00A06106" w:rsidP="00A06106">
      <w:pPr>
        <w:ind w:firstLine="720"/>
        <w:jc w:val="both"/>
        <w:rPr>
          <w:rFonts w:ascii="Times New Roman" w:hAnsi="Times New Roman" w:cs="Times New Roman"/>
          <w:sz w:val="24"/>
          <w:szCs w:val="24"/>
        </w:rPr>
      </w:pPr>
      <w:r w:rsidRPr="004137C8">
        <w:rPr>
          <w:rFonts w:ascii="Times New Roman" w:hAnsi="Times New Roman" w:cs="Times New Roman"/>
          <w:sz w:val="24"/>
          <w:szCs w:val="24"/>
        </w:rPr>
        <w:t xml:space="preserve">The Commission may properly adjudicate USAA’s </w:t>
      </w:r>
      <w:r w:rsidR="00EF46D2" w:rsidRPr="004137C8">
        <w:rPr>
          <w:rFonts w:ascii="Times New Roman" w:hAnsi="Times New Roman" w:cs="Times New Roman"/>
          <w:sz w:val="24"/>
          <w:szCs w:val="24"/>
        </w:rPr>
        <w:t xml:space="preserve">service-related </w:t>
      </w:r>
      <w:r w:rsidRPr="004137C8">
        <w:rPr>
          <w:rFonts w:ascii="Times New Roman" w:hAnsi="Times New Roman" w:cs="Times New Roman"/>
          <w:sz w:val="24"/>
          <w:szCs w:val="24"/>
        </w:rPr>
        <w:t xml:space="preserve">negligence claim because it represents a service-related complaint falling within the Commission’s jurisdiction.  The Commission may properly adjudicate USAA’s breach of tariff claim and regulatory violations claim because these claims fall squarely within the Commission’s jurisdiction.  As such, </w:t>
      </w:r>
      <w:r w:rsidR="00AD2B3E" w:rsidRPr="004137C8">
        <w:rPr>
          <w:rFonts w:ascii="Times New Roman" w:hAnsi="Times New Roman" w:cs="Times New Roman"/>
          <w:sz w:val="24"/>
          <w:szCs w:val="24"/>
        </w:rPr>
        <w:t>the Commission should deny Columbia’s motion</w:t>
      </w:r>
      <w:r w:rsidR="006206A3" w:rsidRPr="004137C8">
        <w:rPr>
          <w:rFonts w:ascii="Times New Roman" w:hAnsi="Times New Roman" w:cs="Times New Roman"/>
          <w:sz w:val="24"/>
          <w:szCs w:val="24"/>
        </w:rPr>
        <w:t>s</w:t>
      </w:r>
      <w:r w:rsidR="00AD2B3E" w:rsidRPr="004137C8">
        <w:rPr>
          <w:rFonts w:ascii="Times New Roman" w:hAnsi="Times New Roman" w:cs="Times New Roman"/>
          <w:sz w:val="24"/>
          <w:szCs w:val="24"/>
        </w:rPr>
        <w:t xml:space="preserve"> to dismiss and permit USAA</w:t>
      </w:r>
      <w:r w:rsidRPr="004137C8">
        <w:rPr>
          <w:rFonts w:ascii="Times New Roman" w:hAnsi="Times New Roman" w:cs="Times New Roman"/>
          <w:sz w:val="24"/>
          <w:szCs w:val="24"/>
        </w:rPr>
        <w:t xml:space="preserve"> to proceed with the instant action</w:t>
      </w:r>
      <w:r w:rsidR="00AF07D4" w:rsidRPr="004137C8">
        <w:rPr>
          <w:rFonts w:ascii="Times New Roman" w:hAnsi="Times New Roman" w:cs="Times New Roman"/>
          <w:sz w:val="24"/>
          <w:szCs w:val="24"/>
        </w:rPr>
        <w:t xml:space="preserve"> as amended</w:t>
      </w:r>
      <w:r w:rsidRPr="004137C8">
        <w:rPr>
          <w:rFonts w:ascii="Times New Roman" w:hAnsi="Times New Roman" w:cs="Times New Roman"/>
          <w:sz w:val="24"/>
          <w:szCs w:val="24"/>
        </w:rPr>
        <w:t xml:space="preserve">.     </w:t>
      </w:r>
    </w:p>
    <w:p w:rsidR="00C963BD" w:rsidRPr="004137C8" w:rsidRDefault="00C963BD" w:rsidP="00C963BD">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Respectfully submitted,</w:t>
      </w:r>
    </w:p>
    <w:p w:rsidR="00C963BD" w:rsidRPr="004137C8" w:rsidRDefault="00C963BD" w:rsidP="00C963BD">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37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sidRPr="008635E4">
        <w:rPr>
          <w:rFonts w:ascii="Times New Roman" w:hAnsi="Times New Roman" w:cs="Times New Roman"/>
          <w:sz w:val="24"/>
          <w:szCs w:val="24"/>
          <w:u w:val="single"/>
        </w:rPr>
        <w:t xml:space="preserve">   /s/  Erick J Kirker</w:t>
      </w:r>
      <w:r w:rsidRPr="008635E4">
        <w:rPr>
          <w:rFonts w:ascii="Times New Roman" w:hAnsi="Times New Roman" w:cs="Times New Roman"/>
          <w:sz w:val="24"/>
          <w:szCs w:val="24"/>
          <w:u w:val="single"/>
        </w:rPr>
        <w:tab/>
      </w:r>
      <w:r w:rsidRPr="008635E4">
        <w:rPr>
          <w:rFonts w:ascii="Times New Roman" w:hAnsi="Times New Roman" w:cs="Times New Roman"/>
          <w:sz w:val="24"/>
          <w:szCs w:val="24"/>
          <w:u w:val="single"/>
        </w:rPr>
        <w:tab/>
      </w:r>
    </w:p>
    <w:p w:rsidR="00C963BD" w:rsidRDefault="00C963BD" w:rsidP="00C963BD">
      <w:pPr>
        <w:spacing w:after="0"/>
        <w:ind w:firstLine="720"/>
        <w:jc w:val="both"/>
        <w:rPr>
          <w:rFonts w:ascii="Times New Roman" w:hAnsi="Times New Roman" w:cs="Times New Roman"/>
          <w:sz w:val="24"/>
          <w:szCs w:val="24"/>
        </w:rPr>
      </w:pP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r>
      <w:r w:rsidRPr="004137C8">
        <w:rPr>
          <w:rFonts w:ascii="Times New Roman" w:hAnsi="Times New Roman" w:cs="Times New Roman"/>
          <w:sz w:val="24"/>
          <w:szCs w:val="24"/>
        </w:rPr>
        <w:tab/>
        <w:t>Erick J. Kirker, Esq.</w:t>
      </w:r>
      <w:r>
        <w:rPr>
          <w:rFonts w:ascii="Times New Roman" w:hAnsi="Times New Roman" w:cs="Times New Roman"/>
          <w:sz w:val="24"/>
          <w:szCs w:val="24"/>
        </w:rPr>
        <w:t xml:space="preserve"> </w:t>
      </w:r>
      <w:r w:rsidRPr="008635E4">
        <w:rPr>
          <w:rFonts w:ascii="Times New Roman" w:hAnsi="Times New Roman" w:cs="Times New Roman"/>
          <w:i/>
          <w:sz w:val="24"/>
          <w:szCs w:val="24"/>
        </w:rPr>
        <w:t>Counsel of Record</w:t>
      </w:r>
      <w:r>
        <w:rPr>
          <w:rFonts w:ascii="Times New Roman" w:hAnsi="Times New Roman" w:cs="Times New Roman"/>
          <w:sz w:val="24"/>
          <w:szCs w:val="24"/>
        </w:rPr>
        <w:t xml:space="preserve"> </w:t>
      </w:r>
    </w:p>
    <w:p w:rsidR="00C963BD" w:rsidRPr="004137C8" w:rsidRDefault="00C963BD" w:rsidP="00C963BD">
      <w:pPr>
        <w:spacing w:after="0"/>
        <w:ind w:left="5040"/>
        <w:jc w:val="both"/>
        <w:rPr>
          <w:rFonts w:ascii="Times New Roman" w:hAnsi="Times New Roman" w:cs="Times New Roman"/>
          <w:i/>
          <w:sz w:val="24"/>
          <w:szCs w:val="24"/>
        </w:rPr>
      </w:pPr>
      <w:r w:rsidRPr="004137C8">
        <w:rPr>
          <w:rFonts w:ascii="Times New Roman" w:hAnsi="Times New Roman" w:cs="Times New Roman"/>
          <w:i/>
          <w:sz w:val="24"/>
          <w:szCs w:val="24"/>
        </w:rPr>
        <w:t>Admitted Pro Hac Vice</w:t>
      </w:r>
    </w:p>
    <w:p w:rsidR="00C963BD" w:rsidRPr="001450F0" w:rsidRDefault="00C963BD" w:rsidP="00C963BD">
      <w:pPr>
        <w:spacing w:after="0"/>
        <w:ind w:left="5040"/>
        <w:jc w:val="both"/>
        <w:rPr>
          <w:rFonts w:ascii="Times New Roman" w:hAnsi="Times New Roman" w:cs="Times New Roman"/>
          <w:i/>
          <w:sz w:val="24"/>
          <w:szCs w:val="24"/>
        </w:rPr>
      </w:pPr>
      <w:r w:rsidRPr="001450F0">
        <w:rPr>
          <w:rFonts w:ascii="Times New Roman" w:hAnsi="Times New Roman" w:cs="Times New Roman"/>
          <w:i/>
          <w:sz w:val="24"/>
          <w:szCs w:val="24"/>
        </w:rPr>
        <w:t>PHV Registration #1399-2015</w:t>
      </w:r>
    </w:p>
    <w:p w:rsidR="00C963BD" w:rsidRPr="004137C8"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COZEN O’CONNOR</w:t>
      </w:r>
    </w:p>
    <w:p w:rsidR="00C963BD" w:rsidRPr="004137C8"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1900 Market Street</w:t>
      </w:r>
    </w:p>
    <w:p w:rsidR="00C963BD" w:rsidRPr="004137C8"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Philadelphia, PA 19103</w:t>
      </w:r>
    </w:p>
    <w:p w:rsidR="00C963BD" w:rsidRPr="004137C8"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(215) 665-2172 (Phone)</w:t>
      </w:r>
    </w:p>
    <w:p w:rsidR="00C963BD" w:rsidRPr="004137C8"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(215) 701-2172 (Fax)</w:t>
      </w:r>
    </w:p>
    <w:p w:rsidR="00C963BD" w:rsidRDefault="00C963BD" w:rsidP="00C963BD">
      <w:pPr>
        <w:spacing w:after="0"/>
        <w:ind w:left="5040"/>
        <w:jc w:val="both"/>
        <w:rPr>
          <w:rFonts w:ascii="Times New Roman" w:hAnsi="Times New Roman" w:cs="Times New Roman"/>
          <w:sz w:val="24"/>
          <w:szCs w:val="24"/>
        </w:rPr>
      </w:pPr>
      <w:r w:rsidRPr="006C4EAC">
        <w:rPr>
          <w:rFonts w:ascii="Times New Roman" w:hAnsi="Times New Roman" w:cs="Times New Roman"/>
          <w:sz w:val="24"/>
          <w:szCs w:val="24"/>
        </w:rPr>
        <w:t>ekirker@cozen.com</w:t>
      </w:r>
    </w:p>
    <w:p w:rsidR="00C963BD"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 xml:space="preserve"> </w:t>
      </w:r>
    </w:p>
    <w:p w:rsidR="00C963BD" w:rsidRDefault="00C963BD" w:rsidP="00C963BD">
      <w:pPr>
        <w:spacing w:after="0"/>
        <w:ind w:left="5040"/>
        <w:jc w:val="both"/>
        <w:rPr>
          <w:rFonts w:ascii="Times New Roman" w:hAnsi="Times New Roman" w:cs="Times New Roman"/>
          <w:sz w:val="24"/>
          <w:szCs w:val="24"/>
        </w:rPr>
      </w:pPr>
      <w:r>
        <w:rPr>
          <w:rFonts w:ascii="Times New Roman" w:hAnsi="Times New Roman" w:cs="Times New Roman"/>
          <w:sz w:val="24"/>
          <w:szCs w:val="24"/>
        </w:rPr>
        <w:t>and</w:t>
      </w:r>
    </w:p>
    <w:p w:rsidR="00C963BD" w:rsidRDefault="00C963BD" w:rsidP="00C963BD">
      <w:pPr>
        <w:spacing w:after="0"/>
        <w:ind w:left="5040"/>
        <w:jc w:val="both"/>
        <w:rPr>
          <w:rFonts w:ascii="Times New Roman" w:hAnsi="Times New Roman" w:cs="Times New Roman"/>
          <w:sz w:val="24"/>
          <w:szCs w:val="24"/>
        </w:rPr>
      </w:pPr>
    </w:p>
    <w:p w:rsidR="00C963BD" w:rsidRPr="008635E4" w:rsidRDefault="00C963BD" w:rsidP="00C963BD">
      <w:pPr>
        <w:spacing w:after="0"/>
        <w:ind w:left="5040"/>
        <w:jc w:val="both"/>
        <w:rPr>
          <w:rFonts w:ascii="Times New Roman" w:hAnsi="Times New Roman" w:cs="Times New Roman"/>
          <w:sz w:val="24"/>
          <w:szCs w:val="24"/>
          <w:u w:val="single"/>
        </w:rPr>
      </w:pPr>
      <w:r w:rsidRPr="008635E4">
        <w:rPr>
          <w:rFonts w:ascii="Times New Roman" w:hAnsi="Times New Roman" w:cs="Times New Roman"/>
          <w:sz w:val="24"/>
          <w:szCs w:val="24"/>
          <w:u w:val="single"/>
        </w:rPr>
        <w:t xml:space="preserve">  /s/  Andrew </w:t>
      </w:r>
      <w:r>
        <w:rPr>
          <w:rFonts w:ascii="Times New Roman" w:hAnsi="Times New Roman" w:cs="Times New Roman"/>
          <w:sz w:val="24"/>
          <w:szCs w:val="24"/>
          <w:u w:val="single"/>
        </w:rPr>
        <w:t xml:space="preserve">P. </w:t>
      </w:r>
      <w:r w:rsidRPr="008635E4">
        <w:rPr>
          <w:rFonts w:ascii="Times New Roman" w:hAnsi="Times New Roman" w:cs="Times New Roman"/>
          <w:sz w:val="24"/>
          <w:szCs w:val="24"/>
          <w:u w:val="single"/>
        </w:rPr>
        <w:t>Avellano</w:t>
      </w:r>
      <w:r w:rsidRPr="008635E4">
        <w:rPr>
          <w:rFonts w:ascii="Times New Roman" w:hAnsi="Times New Roman" w:cs="Times New Roman"/>
          <w:sz w:val="24"/>
          <w:szCs w:val="24"/>
          <w:u w:val="single"/>
        </w:rPr>
        <w:tab/>
      </w:r>
    </w:p>
    <w:p w:rsidR="00C963BD" w:rsidRDefault="00C963BD" w:rsidP="00C963BD">
      <w:pPr>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Andrew P. Avellano  </w:t>
      </w:r>
      <w:r>
        <w:rPr>
          <w:rFonts w:ascii="Times New Roman" w:hAnsi="Times New Roman" w:cs="Times New Roman"/>
          <w:i/>
          <w:sz w:val="24"/>
          <w:szCs w:val="24"/>
        </w:rPr>
        <w:t>Local Counsel</w:t>
      </w:r>
    </w:p>
    <w:p w:rsidR="00C963BD" w:rsidRDefault="00C963BD" w:rsidP="00C963BD">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4181 East Main Street</w:t>
      </w:r>
    </w:p>
    <w:p w:rsidR="00C963BD" w:rsidRDefault="00C963BD" w:rsidP="00C963B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  43213</w:t>
      </w:r>
    </w:p>
    <w:p w:rsidR="00C963BD" w:rsidRDefault="00C963BD" w:rsidP="00C963B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 237-8050 (Phone)</w:t>
      </w:r>
    </w:p>
    <w:p w:rsidR="00C963BD" w:rsidRDefault="00C963BD" w:rsidP="00C963B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 237-3505 (Fax)</w:t>
      </w:r>
    </w:p>
    <w:p w:rsidR="00C963BD" w:rsidRDefault="00C963BD" w:rsidP="00C963B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4EAC">
        <w:rPr>
          <w:rFonts w:ascii="Times New Roman" w:hAnsi="Times New Roman" w:cs="Times New Roman"/>
          <w:sz w:val="24"/>
          <w:szCs w:val="24"/>
        </w:rPr>
        <w:t>drewavo@wowway.com</w:t>
      </w:r>
    </w:p>
    <w:p w:rsidR="00C963BD" w:rsidRDefault="00C963BD" w:rsidP="00C963BD">
      <w:pPr>
        <w:spacing w:after="0"/>
        <w:jc w:val="both"/>
        <w:rPr>
          <w:rFonts w:ascii="Times New Roman" w:hAnsi="Times New Roman" w:cs="Times New Roman"/>
          <w:sz w:val="24"/>
          <w:szCs w:val="24"/>
        </w:rPr>
      </w:pPr>
    </w:p>
    <w:p w:rsidR="00C963BD" w:rsidRPr="004137C8" w:rsidRDefault="00C963BD" w:rsidP="00C963BD">
      <w:pPr>
        <w:spacing w:after="0"/>
        <w:ind w:left="5040"/>
        <w:jc w:val="both"/>
        <w:rPr>
          <w:rFonts w:ascii="Times New Roman" w:hAnsi="Times New Roman" w:cs="Times New Roman"/>
          <w:sz w:val="24"/>
          <w:szCs w:val="24"/>
        </w:rPr>
      </w:pPr>
      <w:r w:rsidRPr="004137C8">
        <w:rPr>
          <w:rFonts w:ascii="Times New Roman" w:hAnsi="Times New Roman" w:cs="Times New Roman"/>
          <w:sz w:val="24"/>
          <w:szCs w:val="24"/>
        </w:rPr>
        <w:t>COUNSEL FOR COMPLAINANT</w:t>
      </w:r>
    </w:p>
    <w:p w:rsidR="00C963BD" w:rsidRDefault="00C963BD" w:rsidP="00C963BD">
      <w:pPr>
        <w:spacing w:after="0"/>
        <w:jc w:val="both"/>
        <w:rPr>
          <w:rFonts w:ascii="Times New Roman" w:hAnsi="Times New Roman" w:cs="Times New Roman"/>
          <w:b/>
        </w:rPr>
      </w:pPr>
      <w:r w:rsidRPr="004137C8">
        <w:rPr>
          <w:rFonts w:ascii="Times New Roman" w:hAnsi="Times New Roman" w:cs="Times New Roman"/>
          <w:sz w:val="24"/>
          <w:szCs w:val="24"/>
        </w:rPr>
        <w:t>Dated:  January 13, 2015</w:t>
      </w:r>
    </w:p>
    <w:p w:rsidR="00AC05A1" w:rsidRPr="004137C8" w:rsidRDefault="00AC05A1" w:rsidP="00AC05A1">
      <w:pPr>
        <w:spacing w:after="0"/>
        <w:ind w:firstLine="720"/>
        <w:jc w:val="both"/>
        <w:rPr>
          <w:rFonts w:ascii="Times New Roman" w:hAnsi="Times New Roman" w:cs="Times New Roman"/>
          <w:sz w:val="24"/>
          <w:szCs w:val="24"/>
        </w:rPr>
      </w:pPr>
    </w:p>
    <w:p w:rsidR="00AC05A1" w:rsidRPr="004137C8" w:rsidRDefault="00AC05A1" w:rsidP="00AC05A1">
      <w:pPr>
        <w:spacing w:after="0"/>
        <w:ind w:firstLine="720"/>
        <w:jc w:val="both"/>
        <w:rPr>
          <w:rFonts w:ascii="Times New Roman" w:hAnsi="Times New Roman" w:cs="Times New Roman"/>
          <w:sz w:val="24"/>
          <w:szCs w:val="24"/>
        </w:rPr>
      </w:pPr>
    </w:p>
    <w:p w:rsidR="00AC05A1" w:rsidRPr="004137C8" w:rsidRDefault="00AC05A1" w:rsidP="005D44E1">
      <w:pPr>
        <w:spacing w:after="0"/>
        <w:jc w:val="both"/>
        <w:rPr>
          <w:rFonts w:ascii="Times New Roman" w:hAnsi="Times New Roman" w:cs="Times New Roman"/>
          <w:sz w:val="24"/>
          <w:szCs w:val="24"/>
        </w:rPr>
      </w:pPr>
    </w:p>
    <w:p w:rsidR="00EB2755" w:rsidRPr="004137C8" w:rsidRDefault="00EB2755" w:rsidP="00EB2755">
      <w:pPr>
        <w:jc w:val="center"/>
        <w:rPr>
          <w:rFonts w:ascii="Times New Roman" w:hAnsi="Times New Roman" w:cs="Times New Roman"/>
          <w:b/>
          <w:sz w:val="24"/>
          <w:szCs w:val="24"/>
          <w:u w:val="single"/>
        </w:rPr>
        <w:sectPr w:rsidR="00EB2755" w:rsidRPr="004137C8" w:rsidSect="00EB2755">
          <w:pgSz w:w="12240" w:h="15840" w:code="1"/>
          <w:pgMar w:top="1440" w:right="1440" w:bottom="1440" w:left="1440" w:header="720" w:footer="720" w:gutter="0"/>
          <w:pgNumType w:start="1"/>
          <w:cols w:space="720"/>
          <w:titlePg/>
          <w:docGrid w:linePitch="360"/>
        </w:sectPr>
      </w:pPr>
    </w:p>
    <w:p w:rsidR="002203E5" w:rsidRPr="004137C8" w:rsidRDefault="00AC05A1" w:rsidP="00EB2755">
      <w:pPr>
        <w:jc w:val="center"/>
        <w:rPr>
          <w:rFonts w:ascii="Times New Roman" w:hAnsi="Times New Roman" w:cs="Times New Roman"/>
          <w:b/>
          <w:sz w:val="24"/>
          <w:szCs w:val="24"/>
          <w:u w:val="single"/>
        </w:rPr>
      </w:pPr>
      <w:r w:rsidRPr="004137C8">
        <w:rPr>
          <w:rFonts w:ascii="Times New Roman" w:hAnsi="Times New Roman" w:cs="Times New Roman"/>
          <w:b/>
          <w:sz w:val="24"/>
          <w:szCs w:val="24"/>
          <w:u w:val="single"/>
        </w:rPr>
        <w:t>CERTIFICATE OF SERVICE</w:t>
      </w:r>
    </w:p>
    <w:p w:rsidR="00AC05A1" w:rsidRPr="004137C8" w:rsidRDefault="00AC05A1" w:rsidP="008F1389">
      <w:pPr>
        <w:jc w:val="both"/>
        <w:rPr>
          <w:rFonts w:ascii="Times New Roman" w:hAnsi="Times New Roman" w:cs="Times New Roman"/>
          <w:sz w:val="24"/>
          <w:szCs w:val="24"/>
        </w:rPr>
      </w:pPr>
      <w:r w:rsidRPr="004137C8">
        <w:rPr>
          <w:rFonts w:ascii="Times New Roman" w:hAnsi="Times New Roman" w:cs="Times New Roman"/>
          <w:b/>
          <w:sz w:val="24"/>
          <w:szCs w:val="24"/>
        </w:rPr>
        <w:tab/>
      </w:r>
      <w:r w:rsidRPr="004137C8">
        <w:rPr>
          <w:rFonts w:ascii="Times New Roman" w:hAnsi="Times New Roman" w:cs="Times New Roman"/>
          <w:sz w:val="24"/>
          <w:szCs w:val="24"/>
        </w:rPr>
        <w:t>I hereby certify that a true and accurate copy of the foregoing Motion to Dismiss was s</w:t>
      </w:r>
      <w:r w:rsidR="00744106" w:rsidRPr="004137C8">
        <w:rPr>
          <w:rFonts w:ascii="Times New Roman" w:hAnsi="Times New Roman" w:cs="Times New Roman"/>
          <w:sz w:val="24"/>
          <w:szCs w:val="24"/>
        </w:rPr>
        <w:t>erved by regular mail on this 13</w:t>
      </w:r>
      <w:r w:rsidRPr="004137C8">
        <w:rPr>
          <w:rFonts w:ascii="Times New Roman" w:hAnsi="Times New Roman" w:cs="Times New Roman"/>
          <w:sz w:val="24"/>
          <w:szCs w:val="24"/>
          <w:vertAlign w:val="superscript"/>
        </w:rPr>
        <w:t>th</w:t>
      </w:r>
      <w:r w:rsidRPr="004137C8">
        <w:rPr>
          <w:rFonts w:ascii="Times New Roman" w:hAnsi="Times New Roman" w:cs="Times New Roman"/>
          <w:sz w:val="24"/>
          <w:szCs w:val="24"/>
        </w:rPr>
        <w:t xml:space="preserve"> day of </w:t>
      </w:r>
      <w:r w:rsidR="00744106" w:rsidRPr="004137C8">
        <w:rPr>
          <w:rFonts w:ascii="Times New Roman" w:hAnsi="Times New Roman" w:cs="Times New Roman"/>
          <w:sz w:val="24"/>
          <w:szCs w:val="24"/>
        </w:rPr>
        <w:t>January, 2015</w:t>
      </w:r>
      <w:r w:rsidRPr="004137C8">
        <w:rPr>
          <w:rFonts w:ascii="Times New Roman" w:hAnsi="Times New Roman" w:cs="Times New Roman"/>
          <w:sz w:val="24"/>
          <w:szCs w:val="24"/>
        </w:rPr>
        <w:t>, upon counsel for the Respondents at the following addresses:</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Eric B. Gallon</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Christen M. Blend</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PORTER WRIGHT MORRIS &amp; ARTHUR LLP</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Huntington Center</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41 South High Street</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Columbus, Ohio  43215</w:t>
      </w:r>
    </w:p>
    <w:p w:rsidR="005E04A8" w:rsidRPr="004137C8" w:rsidRDefault="005E04A8" w:rsidP="007312B0">
      <w:pPr>
        <w:spacing w:after="0"/>
        <w:ind w:left="2160" w:firstLine="720"/>
        <w:rPr>
          <w:rFonts w:ascii="Times New Roman" w:hAnsi="Times New Roman" w:cs="Times New Roman"/>
          <w:sz w:val="24"/>
          <w:szCs w:val="24"/>
        </w:rPr>
      </w:pPr>
      <w:r w:rsidRPr="004137C8">
        <w:rPr>
          <w:rFonts w:ascii="Times New Roman" w:hAnsi="Times New Roman" w:cs="Times New Roman"/>
          <w:sz w:val="24"/>
          <w:szCs w:val="24"/>
        </w:rPr>
        <w:t>Email: egallon@porterwright.com</w:t>
      </w:r>
    </w:p>
    <w:p w:rsidR="005E04A8" w:rsidRPr="004137C8" w:rsidRDefault="005E04A8" w:rsidP="005E04A8">
      <w:pPr>
        <w:spacing w:after="0"/>
        <w:rPr>
          <w:rFonts w:ascii="Times New Roman" w:hAnsi="Times New Roman" w:cs="Times New Roman"/>
          <w:sz w:val="24"/>
          <w:szCs w:val="24"/>
        </w:rPr>
      </w:pPr>
      <w:r w:rsidRPr="004137C8">
        <w:rPr>
          <w:rFonts w:ascii="Times New Roman" w:hAnsi="Times New Roman" w:cs="Times New Roman"/>
          <w:sz w:val="24"/>
          <w:szCs w:val="24"/>
        </w:rPr>
        <w:tab/>
      </w:r>
      <w:r w:rsidR="007312B0" w:rsidRPr="004137C8">
        <w:rPr>
          <w:rFonts w:ascii="Times New Roman" w:hAnsi="Times New Roman" w:cs="Times New Roman"/>
          <w:sz w:val="24"/>
          <w:szCs w:val="24"/>
        </w:rPr>
        <w:tab/>
      </w:r>
      <w:r w:rsidR="007312B0" w:rsidRPr="004137C8">
        <w:rPr>
          <w:rFonts w:ascii="Times New Roman" w:hAnsi="Times New Roman" w:cs="Times New Roman"/>
          <w:sz w:val="24"/>
          <w:szCs w:val="24"/>
        </w:rPr>
        <w:tab/>
      </w:r>
      <w:r w:rsidR="007312B0" w:rsidRPr="004137C8">
        <w:rPr>
          <w:rFonts w:ascii="Times New Roman" w:hAnsi="Times New Roman" w:cs="Times New Roman"/>
          <w:sz w:val="24"/>
          <w:szCs w:val="24"/>
        </w:rPr>
        <w:tab/>
      </w:r>
      <w:r w:rsidR="007312B0" w:rsidRPr="004137C8">
        <w:rPr>
          <w:rFonts w:ascii="Times New Roman" w:hAnsi="Times New Roman" w:cs="Times New Roman"/>
          <w:sz w:val="24"/>
          <w:szCs w:val="24"/>
        </w:rPr>
        <w:tab/>
      </w:r>
      <w:r w:rsidRPr="004137C8">
        <w:rPr>
          <w:rFonts w:ascii="Times New Roman" w:hAnsi="Times New Roman" w:cs="Times New Roman"/>
          <w:sz w:val="24"/>
          <w:szCs w:val="24"/>
        </w:rPr>
        <w:t>cblend@porterwright.com</w:t>
      </w:r>
    </w:p>
    <w:p w:rsidR="00617FB3" w:rsidRPr="004137C8" w:rsidRDefault="00617FB3" w:rsidP="005E04A8">
      <w:pPr>
        <w:spacing w:after="0"/>
        <w:rPr>
          <w:rFonts w:ascii="Times New Roman" w:hAnsi="Times New Roman" w:cs="Times New Roman"/>
          <w:sz w:val="24"/>
          <w:szCs w:val="24"/>
        </w:rPr>
      </w:pPr>
    </w:p>
    <w:p w:rsidR="005E04A8" w:rsidRPr="004137C8" w:rsidRDefault="00517F81" w:rsidP="005E04A8">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C05A1" w:rsidRPr="004137C8" w:rsidRDefault="00517F81" w:rsidP="00CD5B5D">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5B5D">
        <w:rPr>
          <w:rFonts w:ascii="Times New Roman" w:hAnsi="Times New Roman" w:cs="Times New Roman"/>
          <w:sz w:val="24"/>
          <w:szCs w:val="24"/>
          <w:u w:val="single"/>
        </w:rPr>
        <w:tab/>
      </w:r>
      <w:r w:rsidR="00CD5B5D" w:rsidRPr="00CD5B5D">
        <w:rPr>
          <w:rFonts w:ascii="Times New Roman" w:hAnsi="Times New Roman" w:cs="Times New Roman"/>
          <w:sz w:val="24"/>
          <w:szCs w:val="24"/>
          <w:u w:val="single"/>
        </w:rPr>
        <w:t xml:space="preserve">  /s/ Erick J. Kirker</w:t>
      </w:r>
      <w:r w:rsidR="00CD5B5D">
        <w:rPr>
          <w:rFonts w:ascii="Times New Roman" w:hAnsi="Times New Roman" w:cs="Times New Roman"/>
          <w:sz w:val="24"/>
          <w:szCs w:val="24"/>
          <w:u w:val="single"/>
        </w:rPr>
        <w:br/>
      </w:r>
      <w:r w:rsidR="0049212A" w:rsidRPr="004137C8">
        <w:rPr>
          <w:rFonts w:ascii="Times New Roman" w:hAnsi="Times New Roman" w:cs="Times New Roman"/>
          <w:sz w:val="24"/>
          <w:szCs w:val="24"/>
        </w:rPr>
        <w:tab/>
      </w:r>
      <w:r w:rsidR="0049212A" w:rsidRPr="004137C8">
        <w:rPr>
          <w:rFonts w:ascii="Times New Roman" w:hAnsi="Times New Roman" w:cs="Times New Roman"/>
          <w:sz w:val="24"/>
          <w:szCs w:val="24"/>
        </w:rPr>
        <w:tab/>
      </w:r>
      <w:r w:rsidR="0049212A" w:rsidRPr="004137C8">
        <w:rPr>
          <w:rFonts w:ascii="Times New Roman" w:hAnsi="Times New Roman" w:cs="Times New Roman"/>
          <w:sz w:val="24"/>
          <w:szCs w:val="24"/>
        </w:rPr>
        <w:tab/>
        <w:t>Erick J. Kirker</w:t>
      </w:r>
    </w:p>
    <w:sectPr w:rsidR="00AC05A1" w:rsidRPr="004137C8" w:rsidSect="00EB275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E6" w:rsidRDefault="006033E6" w:rsidP="00F47649">
      <w:pPr>
        <w:spacing w:after="0" w:line="240" w:lineRule="auto"/>
      </w:pPr>
      <w:r>
        <w:separator/>
      </w:r>
    </w:p>
  </w:endnote>
  <w:endnote w:type="continuationSeparator" w:id="0">
    <w:p w:rsidR="006033E6" w:rsidRDefault="006033E6" w:rsidP="00F4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78946"/>
      <w:docPartObj>
        <w:docPartGallery w:val="Page Numbers (Bottom of Page)"/>
        <w:docPartUnique/>
      </w:docPartObj>
    </w:sdtPr>
    <w:sdtEndPr>
      <w:rPr>
        <w:rFonts w:ascii="Times New Roman" w:hAnsi="Times New Roman" w:cs="Times New Roman"/>
        <w:noProof/>
      </w:rPr>
    </w:sdtEndPr>
    <w:sdtContent>
      <w:p w:rsidR="006033E6" w:rsidRPr="00E10578" w:rsidRDefault="006033E6">
        <w:pPr>
          <w:pStyle w:val="Footer"/>
          <w:jc w:val="center"/>
          <w:rPr>
            <w:rFonts w:ascii="Times New Roman" w:hAnsi="Times New Roman" w:cs="Times New Roman"/>
          </w:rPr>
        </w:pPr>
        <w:r w:rsidRPr="00E10578">
          <w:rPr>
            <w:rFonts w:ascii="Times New Roman" w:hAnsi="Times New Roman" w:cs="Times New Roman"/>
          </w:rPr>
          <w:fldChar w:fldCharType="begin"/>
        </w:r>
        <w:r w:rsidRPr="00E10578">
          <w:rPr>
            <w:rFonts w:ascii="Times New Roman" w:hAnsi="Times New Roman" w:cs="Times New Roman"/>
          </w:rPr>
          <w:instrText xml:space="preserve"> PAGE   \* MERGEFORMAT </w:instrText>
        </w:r>
        <w:r w:rsidRPr="00E10578">
          <w:rPr>
            <w:rFonts w:ascii="Times New Roman" w:hAnsi="Times New Roman" w:cs="Times New Roman"/>
          </w:rPr>
          <w:fldChar w:fldCharType="separate"/>
        </w:r>
        <w:r w:rsidR="000747AF">
          <w:rPr>
            <w:rFonts w:ascii="Times New Roman" w:hAnsi="Times New Roman" w:cs="Times New Roman"/>
            <w:noProof/>
          </w:rPr>
          <w:t>2</w:t>
        </w:r>
        <w:r w:rsidRPr="00E10578">
          <w:rPr>
            <w:rFonts w:ascii="Times New Roman" w:hAnsi="Times New Roman" w:cs="Times New Roman"/>
            <w:noProof/>
          </w:rPr>
          <w:fldChar w:fldCharType="end"/>
        </w:r>
      </w:p>
    </w:sdtContent>
  </w:sdt>
  <w:p w:rsidR="006033E6" w:rsidRDefault="006033E6" w:rsidP="00F73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E6" w:rsidRDefault="006033E6" w:rsidP="00F47649">
      <w:pPr>
        <w:spacing w:after="0" w:line="240" w:lineRule="auto"/>
      </w:pPr>
      <w:r>
        <w:separator/>
      </w:r>
    </w:p>
  </w:footnote>
  <w:footnote w:type="continuationSeparator" w:id="0">
    <w:p w:rsidR="006033E6" w:rsidRDefault="006033E6" w:rsidP="00F47649">
      <w:pPr>
        <w:spacing w:after="0" w:line="240" w:lineRule="auto"/>
      </w:pPr>
      <w:r>
        <w:continuationSeparator/>
      </w:r>
    </w:p>
  </w:footnote>
  <w:footnote w:id="1">
    <w:p w:rsidR="00EC6653" w:rsidRPr="00EC6653" w:rsidRDefault="00EC6653">
      <w:pPr>
        <w:pStyle w:val="FootnoteText"/>
        <w:rPr>
          <w:rFonts w:ascii="Times New Roman" w:hAnsi="Times New Roman" w:cs="Times New Roman"/>
        </w:rPr>
      </w:pPr>
      <w:r w:rsidRPr="00EC6653">
        <w:rPr>
          <w:rStyle w:val="FootnoteReference"/>
          <w:rFonts w:ascii="Times New Roman" w:hAnsi="Times New Roman" w:cs="Times New Roman"/>
        </w:rPr>
        <w:footnoteRef/>
      </w:r>
      <w:r w:rsidRPr="00EC6653">
        <w:rPr>
          <w:rFonts w:ascii="Times New Roman" w:hAnsi="Times New Roman" w:cs="Times New Roman"/>
        </w:rPr>
        <w:t xml:space="preserve"> And others, as noted in the state Court pleadings.</w:t>
      </w:r>
    </w:p>
  </w:footnote>
  <w:footnote w:id="2">
    <w:p w:rsidR="006033E6" w:rsidRDefault="006033E6">
      <w:pPr>
        <w:pStyle w:val="FootnoteText"/>
      </w:pPr>
      <w:r w:rsidRPr="00023B01">
        <w:rPr>
          <w:rStyle w:val="FootnoteReference"/>
          <w:rFonts w:ascii="Times New Roman" w:hAnsi="Times New Roman" w:cs="Times New Roman"/>
        </w:rPr>
        <w:footnoteRef/>
      </w:r>
      <w:r w:rsidRPr="00023B01">
        <w:rPr>
          <w:rFonts w:ascii="Times New Roman" w:hAnsi="Times New Roman" w:cs="Times New Roman"/>
        </w:rPr>
        <w:t xml:space="preserve"> </w:t>
      </w:r>
      <w:r w:rsidRPr="006745AE">
        <w:rPr>
          <w:rFonts w:ascii="Times New Roman" w:hAnsi="Times New Roman" w:cs="Times New Roman"/>
          <w:u w:val="single"/>
        </w:rPr>
        <w:t>In the Matter of the Complaint of Ronald Levi v. Columbia Gas of Ohio</w:t>
      </w:r>
      <w:r w:rsidRPr="006745AE">
        <w:rPr>
          <w:rFonts w:ascii="Times New Roman" w:hAnsi="Times New Roman" w:cs="Times New Roman"/>
        </w:rPr>
        <w:t>,</w:t>
      </w:r>
      <w:r>
        <w:t xml:space="preserve"> </w:t>
      </w:r>
      <w:r w:rsidRPr="002E5D24">
        <w:rPr>
          <w:rFonts w:ascii="Times New Roman" w:hAnsi="Times New Roman" w:cs="Times New Roman"/>
        </w:rPr>
        <w:t>2009 Ohio PUC LEXIS 304 (Pub. Util. Comm’n of Ohio May 4, 2009)</w:t>
      </w:r>
      <w:r>
        <w:rPr>
          <w:rFonts w:ascii="Times New Roman" w:hAnsi="Times New Roman" w:cs="Times New Roman"/>
        </w:rPr>
        <w:t xml:space="preserve"> (Columbia Gas moved to dismiss complaint, contending that complainant had failed to state reasonable grounds.  Columbia Gas specifically argued that complainant had failed to specify which subsection of Rule 4901:1-6 he was referencing.  The attorney examiner found that reasonable existed for the purpose of going forward with the complaint and denied Columbia Gas’s motion to dismiss.).</w:t>
      </w:r>
    </w:p>
  </w:footnote>
  <w:footnote w:id="3">
    <w:p w:rsidR="006033E6" w:rsidRPr="006E7B42" w:rsidRDefault="006033E6">
      <w:pPr>
        <w:pStyle w:val="FootnoteText"/>
        <w:rPr>
          <w:rFonts w:ascii="Times New Roman" w:hAnsi="Times New Roman"/>
        </w:rPr>
      </w:pPr>
      <w:r>
        <w:rPr>
          <w:rStyle w:val="FootnoteReference"/>
        </w:rPr>
        <w:footnoteRef/>
      </w:r>
      <w:r>
        <w:t xml:space="preserve"> </w:t>
      </w:r>
      <w:r>
        <w:rPr>
          <w:rFonts w:ascii="Times New Roman" w:hAnsi="Times New Roman"/>
        </w:rPr>
        <w:t xml:space="preserve">In </w:t>
      </w:r>
      <w:r>
        <w:rPr>
          <w:rFonts w:ascii="Times New Roman" w:hAnsi="Times New Roman"/>
          <w:u w:val="single"/>
        </w:rPr>
        <w:t>Allstate</w:t>
      </w:r>
      <w:r>
        <w:rPr>
          <w:rFonts w:ascii="Times New Roman" w:hAnsi="Times New Roman"/>
        </w:rPr>
        <w:t>, the matter involved a delay between the utility’s receipt of the emergency calls and arrival at the scene.</w:t>
      </w:r>
    </w:p>
  </w:footnote>
  <w:footnote w:id="4">
    <w:p w:rsidR="00FC1F11" w:rsidRPr="00EC6653" w:rsidRDefault="00FC1F11">
      <w:pPr>
        <w:pStyle w:val="FootnoteText"/>
        <w:rPr>
          <w:rFonts w:ascii="Times New Roman" w:hAnsi="Times New Roman" w:cs="Times New Roman"/>
        </w:rPr>
      </w:pPr>
      <w:r w:rsidRPr="00EC6653">
        <w:rPr>
          <w:rStyle w:val="FootnoteReference"/>
          <w:rFonts w:ascii="Times New Roman" w:hAnsi="Times New Roman" w:cs="Times New Roman"/>
        </w:rPr>
        <w:footnoteRef/>
      </w:r>
      <w:r w:rsidRPr="00EC6653">
        <w:rPr>
          <w:rFonts w:ascii="Times New Roman" w:hAnsi="Times New Roman" w:cs="Times New Roman"/>
        </w:rPr>
        <w:t xml:space="preserve"> Further, there are cases in which Ohio Courts have or</w:t>
      </w:r>
      <w:r w:rsidR="006B5676" w:rsidRPr="00EC6653">
        <w:rPr>
          <w:rFonts w:ascii="Times New Roman" w:hAnsi="Times New Roman" w:cs="Times New Roman"/>
        </w:rPr>
        <w:t xml:space="preserve">dered that certain claims, that were subrogation claims, </w:t>
      </w:r>
      <w:r w:rsidRPr="00EC6653">
        <w:rPr>
          <w:rFonts w:ascii="Times New Roman" w:hAnsi="Times New Roman" w:cs="Times New Roman"/>
        </w:rPr>
        <w:t>must be brought in PUCO.</w:t>
      </w:r>
      <w:r w:rsidR="006B5676" w:rsidRPr="00EC6653">
        <w:rPr>
          <w:rFonts w:ascii="Times New Roman" w:hAnsi="Times New Roman" w:cs="Times New Roman"/>
        </w:rPr>
        <w:t xml:space="preserve"> </w:t>
      </w:r>
      <w:r w:rsidR="006B5676" w:rsidRPr="00EC6653">
        <w:rPr>
          <w:rFonts w:ascii="Times New Roman" w:hAnsi="Times New Roman" w:cs="Times New Roman"/>
          <w:u w:val="single"/>
        </w:rPr>
        <w:t>State Farm Fire&amp; Casualty Co. v. Cleveland Electric Illuminating Co.</w:t>
      </w:r>
      <w:r w:rsidR="006B5676" w:rsidRPr="00EC6653">
        <w:rPr>
          <w:rFonts w:ascii="Times New Roman" w:hAnsi="Times New Roman" w:cs="Times New Roman"/>
        </w:rPr>
        <w:t>, 2004 WL 1486664 at 2 (Ohio Ct. App. July 2, 2004).</w:t>
      </w:r>
      <w:r w:rsidRPr="00EC6653">
        <w:rPr>
          <w:rFonts w:ascii="Times New Roman" w:hAnsi="Times New Roman" w:cs="Times New Roman"/>
        </w:rPr>
        <w:t xml:space="preserve"> </w:t>
      </w:r>
    </w:p>
  </w:footnote>
  <w:footnote w:id="5">
    <w:p w:rsidR="00D60D8F" w:rsidRPr="00D60D8F" w:rsidRDefault="00D60D8F">
      <w:pPr>
        <w:pStyle w:val="FootnoteText"/>
      </w:pPr>
      <w:r w:rsidRPr="00EC6653">
        <w:rPr>
          <w:rStyle w:val="FootnoteReference"/>
          <w:rFonts w:ascii="Times New Roman" w:hAnsi="Times New Roman" w:cs="Times New Roman"/>
        </w:rPr>
        <w:footnoteRef/>
      </w:r>
      <w:r w:rsidRPr="00EC6653">
        <w:rPr>
          <w:rFonts w:ascii="Times New Roman" w:hAnsi="Times New Roman" w:cs="Times New Roman"/>
        </w:rPr>
        <w:t xml:space="preserve"> </w:t>
      </w:r>
      <w:r w:rsidRPr="00EC6653">
        <w:rPr>
          <w:rFonts w:ascii="Times New Roman" w:hAnsi="Times New Roman" w:cs="Times New Roman"/>
          <w:u w:val="single"/>
        </w:rPr>
        <w:t>Allstate</w:t>
      </w:r>
      <w:r w:rsidRPr="00EC6653">
        <w:rPr>
          <w:rFonts w:ascii="Times New Roman" w:hAnsi="Times New Roman" w:cs="Times New Roman"/>
        </w:rPr>
        <w:t>, supra.</w:t>
      </w:r>
    </w:p>
  </w:footnote>
  <w:footnote w:id="6">
    <w:p w:rsidR="00EE1E37" w:rsidRPr="00517F81" w:rsidRDefault="00EE1E37">
      <w:pPr>
        <w:pStyle w:val="FootnoteText"/>
        <w:rPr>
          <w:rFonts w:ascii="Times New Roman" w:hAnsi="Times New Roman" w:cs="Times New Roman"/>
        </w:rPr>
      </w:pPr>
      <w:r w:rsidRPr="00517F81">
        <w:rPr>
          <w:rStyle w:val="FootnoteReference"/>
          <w:rFonts w:ascii="Times New Roman" w:hAnsi="Times New Roman" w:cs="Times New Roman"/>
        </w:rPr>
        <w:footnoteRef/>
      </w:r>
      <w:r w:rsidRPr="00517F81">
        <w:rPr>
          <w:rFonts w:ascii="Times New Roman" w:hAnsi="Times New Roman" w:cs="Times New Roman"/>
        </w:rPr>
        <w:t xml:space="preserve"> </w:t>
      </w:r>
      <w:r w:rsidR="00517F81" w:rsidRPr="00517F81">
        <w:rPr>
          <w:rFonts w:ascii="Times New Roman" w:hAnsi="Times New Roman" w:cs="Times New Roman"/>
        </w:rPr>
        <w:t>Ohio Constitution, Article 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F64F1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EB"/>
    <w:rsid w:val="000054B9"/>
    <w:rsid w:val="00005DC5"/>
    <w:rsid w:val="00011069"/>
    <w:rsid w:val="000171A3"/>
    <w:rsid w:val="00023B01"/>
    <w:rsid w:val="0003136C"/>
    <w:rsid w:val="000373B5"/>
    <w:rsid w:val="00041CF0"/>
    <w:rsid w:val="0006117C"/>
    <w:rsid w:val="00063086"/>
    <w:rsid w:val="00065D8B"/>
    <w:rsid w:val="000747AF"/>
    <w:rsid w:val="0008189F"/>
    <w:rsid w:val="00092AAF"/>
    <w:rsid w:val="000B1EB8"/>
    <w:rsid w:val="000C012C"/>
    <w:rsid w:val="000D7665"/>
    <w:rsid w:val="000E2B5A"/>
    <w:rsid w:val="000E66B5"/>
    <w:rsid w:val="000F3B28"/>
    <w:rsid w:val="0011315B"/>
    <w:rsid w:val="001146A2"/>
    <w:rsid w:val="00123002"/>
    <w:rsid w:val="00132C8A"/>
    <w:rsid w:val="00136F3F"/>
    <w:rsid w:val="00137CFA"/>
    <w:rsid w:val="001450F0"/>
    <w:rsid w:val="00146986"/>
    <w:rsid w:val="00151B56"/>
    <w:rsid w:val="00163C7D"/>
    <w:rsid w:val="00166120"/>
    <w:rsid w:val="00166EE9"/>
    <w:rsid w:val="00170B2C"/>
    <w:rsid w:val="00191803"/>
    <w:rsid w:val="00192222"/>
    <w:rsid w:val="00194329"/>
    <w:rsid w:val="001B028E"/>
    <w:rsid w:val="001B0774"/>
    <w:rsid w:val="001B7375"/>
    <w:rsid w:val="001D6D54"/>
    <w:rsid w:val="001E0E63"/>
    <w:rsid w:val="001E3FD0"/>
    <w:rsid w:val="001E42B0"/>
    <w:rsid w:val="001E4622"/>
    <w:rsid w:val="001E6507"/>
    <w:rsid w:val="001E7A5F"/>
    <w:rsid w:val="002174EF"/>
    <w:rsid w:val="002203E5"/>
    <w:rsid w:val="0024394D"/>
    <w:rsid w:val="00263242"/>
    <w:rsid w:val="00277D1C"/>
    <w:rsid w:val="00283CB2"/>
    <w:rsid w:val="002878F8"/>
    <w:rsid w:val="00291586"/>
    <w:rsid w:val="002922B4"/>
    <w:rsid w:val="00297098"/>
    <w:rsid w:val="002C574A"/>
    <w:rsid w:val="002D3026"/>
    <w:rsid w:val="002E5D24"/>
    <w:rsid w:val="002F0308"/>
    <w:rsid w:val="002F13FF"/>
    <w:rsid w:val="003100C3"/>
    <w:rsid w:val="0031464E"/>
    <w:rsid w:val="00322C45"/>
    <w:rsid w:val="00323537"/>
    <w:rsid w:val="00323A75"/>
    <w:rsid w:val="00326626"/>
    <w:rsid w:val="003267EE"/>
    <w:rsid w:val="0033179F"/>
    <w:rsid w:val="0034260E"/>
    <w:rsid w:val="00346BF0"/>
    <w:rsid w:val="003477FA"/>
    <w:rsid w:val="00350150"/>
    <w:rsid w:val="0035242C"/>
    <w:rsid w:val="00352D38"/>
    <w:rsid w:val="00371018"/>
    <w:rsid w:val="00387F5C"/>
    <w:rsid w:val="00396D0B"/>
    <w:rsid w:val="003A60EE"/>
    <w:rsid w:val="003A7886"/>
    <w:rsid w:val="003A7F99"/>
    <w:rsid w:val="003B6B63"/>
    <w:rsid w:val="003B76AC"/>
    <w:rsid w:val="003C3997"/>
    <w:rsid w:val="003C4310"/>
    <w:rsid w:val="003D379B"/>
    <w:rsid w:val="003E1950"/>
    <w:rsid w:val="004137C8"/>
    <w:rsid w:val="00414322"/>
    <w:rsid w:val="00420ECF"/>
    <w:rsid w:val="0042781E"/>
    <w:rsid w:val="004323EB"/>
    <w:rsid w:val="00444F97"/>
    <w:rsid w:val="004550DD"/>
    <w:rsid w:val="00474138"/>
    <w:rsid w:val="004869DB"/>
    <w:rsid w:val="0049103D"/>
    <w:rsid w:val="0049212A"/>
    <w:rsid w:val="004A057B"/>
    <w:rsid w:val="004B182D"/>
    <w:rsid w:val="004B31D1"/>
    <w:rsid w:val="004B33A8"/>
    <w:rsid w:val="004C411D"/>
    <w:rsid w:val="004C737B"/>
    <w:rsid w:val="004D2138"/>
    <w:rsid w:val="004D35F9"/>
    <w:rsid w:val="004D3F9E"/>
    <w:rsid w:val="004E4943"/>
    <w:rsid w:val="004E73E0"/>
    <w:rsid w:val="004F0511"/>
    <w:rsid w:val="004F678E"/>
    <w:rsid w:val="00500519"/>
    <w:rsid w:val="00514ABE"/>
    <w:rsid w:val="00514C92"/>
    <w:rsid w:val="00517F81"/>
    <w:rsid w:val="00526B73"/>
    <w:rsid w:val="00532AC3"/>
    <w:rsid w:val="0055584B"/>
    <w:rsid w:val="00575DDF"/>
    <w:rsid w:val="00581B2A"/>
    <w:rsid w:val="0058247D"/>
    <w:rsid w:val="00583A3F"/>
    <w:rsid w:val="005D44E1"/>
    <w:rsid w:val="005E04A8"/>
    <w:rsid w:val="005E6506"/>
    <w:rsid w:val="005F1C0B"/>
    <w:rsid w:val="006000CB"/>
    <w:rsid w:val="006033E6"/>
    <w:rsid w:val="00604CCF"/>
    <w:rsid w:val="006106DD"/>
    <w:rsid w:val="00612F9E"/>
    <w:rsid w:val="00617FB3"/>
    <w:rsid w:val="006206A3"/>
    <w:rsid w:val="00636488"/>
    <w:rsid w:val="006410AE"/>
    <w:rsid w:val="00644E7E"/>
    <w:rsid w:val="00647B89"/>
    <w:rsid w:val="00651C8D"/>
    <w:rsid w:val="0065598D"/>
    <w:rsid w:val="006745AE"/>
    <w:rsid w:val="00681E10"/>
    <w:rsid w:val="00690EF1"/>
    <w:rsid w:val="00696D68"/>
    <w:rsid w:val="006A4223"/>
    <w:rsid w:val="006A74C9"/>
    <w:rsid w:val="006B5676"/>
    <w:rsid w:val="006C4EAC"/>
    <w:rsid w:val="006D0579"/>
    <w:rsid w:val="006D07A6"/>
    <w:rsid w:val="006D3760"/>
    <w:rsid w:val="006E2591"/>
    <w:rsid w:val="006E516A"/>
    <w:rsid w:val="006E5D81"/>
    <w:rsid w:val="006E7B42"/>
    <w:rsid w:val="006F04F3"/>
    <w:rsid w:val="0070793E"/>
    <w:rsid w:val="007150C7"/>
    <w:rsid w:val="0071549C"/>
    <w:rsid w:val="00725D3D"/>
    <w:rsid w:val="00725E85"/>
    <w:rsid w:val="007279DA"/>
    <w:rsid w:val="007312B0"/>
    <w:rsid w:val="00736BC9"/>
    <w:rsid w:val="00744106"/>
    <w:rsid w:val="00756854"/>
    <w:rsid w:val="0077017D"/>
    <w:rsid w:val="007701ED"/>
    <w:rsid w:val="007803AC"/>
    <w:rsid w:val="00781287"/>
    <w:rsid w:val="007929DF"/>
    <w:rsid w:val="007A0D94"/>
    <w:rsid w:val="007A4A8F"/>
    <w:rsid w:val="007B0CAA"/>
    <w:rsid w:val="007B3AF2"/>
    <w:rsid w:val="007B637B"/>
    <w:rsid w:val="007C2629"/>
    <w:rsid w:val="007E27F6"/>
    <w:rsid w:val="007E7D71"/>
    <w:rsid w:val="00807EA1"/>
    <w:rsid w:val="008159B3"/>
    <w:rsid w:val="00840C5A"/>
    <w:rsid w:val="00842C50"/>
    <w:rsid w:val="008441D4"/>
    <w:rsid w:val="008635E4"/>
    <w:rsid w:val="00866535"/>
    <w:rsid w:val="0089185B"/>
    <w:rsid w:val="00893316"/>
    <w:rsid w:val="00894025"/>
    <w:rsid w:val="00897FEF"/>
    <w:rsid w:val="008A36F8"/>
    <w:rsid w:val="008C3A59"/>
    <w:rsid w:val="008C7774"/>
    <w:rsid w:val="008D479C"/>
    <w:rsid w:val="008E48E4"/>
    <w:rsid w:val="008F1389"/>
    <w:rsid w:val="008F63AE"/>
    <w:rsid w:val="00913ADC"/>
    <w:rsid w:val="00930BD2"/>
    <w:rsid w:val="0096327B"/>
    <w:rsid w:val="009657CD"/>
    <w:rsid w:val="0098146B"/>
    <w:rsid w:val="00984CE4"/>
    <w:rsid w:val="00992EB8"/>
    <w:rsid w:val="009A21F8"/>
    <w:rsid w:val="009B5FB1"/>
    <w:rsid w:val="009D633D"/>
    <w:rsid w:val="009F2E1A"/>
    <w:rsid w:val="009F5CDD"/>
    <w:rsid w:val="00A038A2"/>
    <w:rsid w:val="00A06106"/>
    <w:rsid w:val="00A11F74"/>
    <w:rsid w:val="00A22B95"/>
    <w:rsid w:val="00A23016"/>
    <w:rsid w:val="00A50432"/>
    <w:rsid w:val="00A51CEE"/>
    <w:rsid w:val="00A60375"/>
    <w:rsid w:val="00A60FC0"/>
    <w:rsid w:val="00A62491"/>
    <w:rsid w:val="00A6667F"/>
    <w:rsid w:val="00A66CE0"/>
    <w:rsid w:val="00A96A66"/>
    <w:rsid w:val="00AA1989"/>
    <w:rsid w:val="00AB6F56"/>
    <w:rsid w:val="00AC05A1"/>
    <w:rsid w:val="00AC05B4"/>
    <w:rsid w:val="00AD0181"/>
    <w:rsid w:val="00AD2B3E"/>
    <w:rsid w:val="00AF07D4"/>
    <w:rsid w:val="00AF1448"/>
    <w:rsid w:val="00AF3E34"/>
    <w:rsid w:val="00AF45DE"/>
    <w:rsid w:val="00AF5BBD"/>
    <w:rsid w:val="00B269D4"/>
    <w:rsid w:val="00B3339A"/>
    <w:rsid w:val="00B34281"/>
    <w:rsid w:val="00B37C46"/>
    <w:rsid w:val="00B41C30"/>
    <w:rsid w:val="00B44211"/>
    <w:rsid w:val="00B44846"/>
    <w:rsid w:val="00B5271D"/>
    <w:rsid w:val="00B56B23"/>
    <w:rsid w:val="00B5713C"/>
    <w:rsid w:val="00B6380D"/>
    <w:rsid w:val="00B63C5D"/>
    <w:rsid w:val="00B67E24"/>
    <w:rsid w:val="00B92753"/>
    <w:rsid w:val="00B9656F"/>
    <w:rsid w:val="00B96DA2"/>
    <w:rsid w:val="00BA6C8F"/>
    <w:rsid w:val="00BC04F5"/>
    <w:rsid w:val="00BF1A78"/>
    <w:rsid w:val="00C10675"/>
    <w:rsid w:val="00C1087E"/>
    <w:rsid w:val="00C11412"/>
    <w:rsid w:val="00C124C4"/>
    <w:rsid w:val="00C13022"/>
    <w:rsid w:val="00C15517"/>
    <w:rsid w:val="00C3530E"/>
    <w:rsid w:val="00C358CC"/>
    <w:rsid w:val="00C41083"/>
    <w:rsid w:val="00C43253"/>
    <w:rsid w:val="00C46A23"/>
    <w:rsid w:val="00C6726A"/>
    <w:rsid w:val="00C722E5"/>
    <w:rsid w:val="00C75ABB"/>
    <w:rsid w:val="00C777A1"/>
    <w:rsid w:val="00C80D6B"/>
    <w:rsid w:val="00C921CD"/>
    <w:rsid w:val="00C963BD"/>
    <w:rsid w:val="00CA05EF"/>
    <w:rsid w:val="00CA2849"/>
    <w:rsid w:val="00CA4A3A"/>
    <w:rsid w:val="00CB63F8"/>
    <w:rsid w:val="00CC52C2"/>
    <w:rsid w:val="00CC6D2E"/>
    <w:rsid w:val="00CC7024"/>
    <w:rsid w:val="00CD5B5D"/>
    <w:rsid w:val="00CE0B53"/>
    <w:rsid w:val="00CE232D"/>
    <w:rsid w:val="00CE521C"/>
    <w:rsid w:val="00CF05F8"/>
    <w:rsid w:val="00CF1A2D"/>
    <w:rsid w:val="00CF43E4"/>
    <w:rsid w:val="00CF6CAC"/>
    <w:rsid w:val="00D056B8"/>
    <w:rsid w:val="00D25D15"/>
    <w:rsid w:val="00D471FC"/>
    <w:rsid w:val="00D51C63"/>
    <w:rsid w:val="00D53927"/>
    <w:rsid w:val="00D539A5"/>
    <w:rsid w:val="00D60D8F"/>
    <w:rsid w:val="00D806D0"/>
    <w:rsid w:val="00D91A4C"/>
    <w:rsid w:val="00DD2ADF"/>
    <w:rsid w:val="00DE2D24"/>
    <w:rsid w:val="00DE3DE6"/>
    <w:rsid w:val="00DF18FA"/>
    <w:rsid w:val="00E03923"/>
    <w:rsid w:val="00E10578"/>
    <w:rsid w:val="00E1469A"/>
    <w:rsid w:val="00E14E30"/>
    <w:rsid w:val="00E25179"/>
    <w:rsid w:val="00E32A38"/>
    <w:rsid w:val="00E32B1F"/>
    <w:rsid w:val="00E33E5C"/>
    <w:rsid w:val="00E50FEA"/>
    <w:rsid w:val="00E770C1"/>
    <w:rsid w:val="00E85060"/>
    <w:rsid w:val="00E86100"/>
    <w:rsid w:val="00E907E5"/>
    <w:rsid w:val="00EB2755"/>
    <w:rsid w:val="00EB5890"/>
    <w:rsid w:val="00EC6653"/>
    <w:rsid w:val="00EE1E37"/>
    <w:rsid w:val="00EE2AE3"/>
    <w:rsid w:val="00EF46D2"/>
    <w:rsid w:val="00EF5544"/>
    <w:rsid w:val="00EF771D"/>
    <w:rsid w:val="00F01E20"/>
    <w:rsid w:val="00F17CA5"/>
    <w:rsid w:val="00F25596"/>
    <w:rsid w:val="00F348FF"/>
    <w:rsid w:val="00F36970"/>
    <w:rsid w:val="00F47649"/>
    <w:rsid w:val="00F547FF"/>
    <w:rsid w:val="00F55681"/>
    <w:rsid w:val="00F563C7"/>
    <w:rsid w:val="00F60146"/>
    <w:rsid w:val="00F61D13"/>
    <w:rsid w:val="00F64805"/>
    <w:rsid w:val="00F73AEB"/>
    <w:rsid w:val="00F76B51"/>
    <w:rsid w:val="00F808E4"/>
    <w:rsid w:val="00F85A9F"/>
    <w:rsid w:val="00F865E0"/>
    <w:rsid w:val="00F87649"/>
    <w:rsid w:val="00F915D2"/>
    <w:rsid w:val="00F946C8"/>
    <w:rsid w:val="00F96CD0"/>
    <w:rsid w:val="00F96EB5"/>
    <w:rsid w:val="00FA254A"/>
    <w:rsid w:val="00FB2D2B"/>
    <w:rsid w:val="00FC1F11"/>
    <w:rsid w:val="00FE1BD1"/>
    <w:rsid w:val="00FE611E"/>
    <w:rsid w:val="00FE6F89"/>
    <w:rsid w:val="00FF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BD"/>
  </w:style>
  <w:style w:type="paragraph" w:styleId="Heading1">
    <w:name w:val="heading 1"/>
    <w:basedOn w:val="Normal"/>
    <w:next w:val="Normal"/>
    <w:link w:val="Heading1Char"/>
    <w:uiPriority w:val="9"/>
    <w:qFormat/>
    <w:rsid w:val="00371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49"/>
  </w:style>
  <w:style w:type="paragraph" w:styleId="Footer">
    <w:name w:val="footer"/>
    <w:basedOn w:val="Normal"/>
    <w:link w:val="FooterChar"/>
    <w:uiPriority w:val="99"/>
    <w:unhideWhenUsed/>
    <w:rsid w:val="00F4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49"/>
  </w:style>
  <w:style w:type="character" w:customStyle="1" w:styleId="DocID">
    <w:name w:val="DocID"/>
    <w:basedOn w:val="DefaultParagraphFont"/>
    <w:rsid w:val="00F73AEB"/>
    <w:rPr>
      <w:rFonts w:ascii="Times New Roman" w:hAnsi="Times New Roman" w:cs="Times New Roman"/>
      <w:b w:val="0"/>
      <w:i w:val="0"/>
      <w:caps w:val="0"/>
      <w:vanish w:val="0"/>
      <w:color w:val="000000"/>
      <w:sz w:val="16"/>
      <w:u w:val="none"/>
    </w:rPr>
  </w:style>
  <w:style w:type="paragraph" w:styleId="FootnoteText">
    <w:name w:val="footnote text"/>
    <w:basedOn w:val="Normal"/>
    <w:link w:val="FootnoteTextChar"/>
    <w:uiPriority w:val="99"/>
    <w:semiHidden/>
    <w:unhideWhenUsed/>
    <w:rsid w:val="00651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C8D"/>
    <w:rPr>
      <w:sz w:val="20"/>
      <w:szCs w:val="20"/>
    </w:rPr>
  </w:style>
  <w:style w:type="character" w:styleId="FootnoteReference">
    <w:name w:val="footnote reference"/>
    <w:basedOn w:val="DefaultParagraphFont"/>
    <w:uiPriority w:val="99"/>
    <w:semiHidden/>
    <w:unhideWhenUsed/>
    <w:rsid w:val="00651C8D"/>
    <w:rPr>
      <w:vertAlign w:val="superscript"/>
    </w:rPr>
  </w:style>
  <w:style w:type="character" w:styleId="Hyperlink">
    <w:name w:val="Hyperlink"/>
    <w:basedOn w:val="DefaultParagraphFont"/>
    <w:uiPriority w:val="99"/>
    <w:unhideWhenUsed/>
    <w:rsid w:val="00583A3F"/>
    <w:rPr>
      <w:color w:val="0000FF" w:themeColor="hyperlink"/>
      <w:u w:val="single"/>
    </w:rPr>
  </w:style>
  <w:style w:type="paragraph" w:styleId="ListBullet">
    <w:name w:val="List Bullet"/>
    <w:basedOn w:val="Normal"/>
    <w:uiPriority w:val="99"/>
    <w:unhideWhenUsed/>
    <w:rsid w:val="005E04A8"/>
    <w:pPr>
      <w:numPr>
        <w:numId w:val="1"/>
      </w:numPr>
      <w:contextualSpacing/>
    </w:pPr>
  </w:style>
  <w:style w:type="character" w:customStyle="1" w:styleId="Heading1Char">
    <w:name w:val="Heading 1 Char"/>
    <w:basedOn w:val="DefaultParagraphFont"/>
    <w:link w:val="Heading1"/>
    <w:uiPriority w:val="9"/>
    <w:rsid w:val="0037101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7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BD"/>
  </w:style>
  <w:style w:type="paragraph" w:styleId="Heading1">
    <w:name w:val="heading 1"/>
    <w:basedOn w:val="Normal"/>
    <w:next w:val="Normal"/>
    <w:link w:val="Heading1Char"/>
    <w:uiPriority w:val="9"/>
    <w:qFormat/>
    <w:rsid w:val="00371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49"/>
  </w:style>
  <w:style w:type="paragraph" w:styleId="Footer">
    <w:name w:val="footer"/>
    <w:basedOn w:val="Normal"/>
    <w:link w:val="FooterChar"/>
    <w:uiPriority w:val="99"/>
    <w:unhideWhenUsed/>
    <w:rsid w:val="00F4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49"/>
  </w:style>
  <w:style w:type="character" w:customStyle="1" w:styleId="DocID">
    <w:name w:val="DocID"/>
    <w:basedOn w:val="DefaultParagraphFont"/>
    <w:rsid w:val="00F73AEB"/>
    <w:rPr>
      <w:rFonts w:ascii="Times New Roman" w:hAnsi="Times New Roman" w:cs="Times New Roman"/>
      <w:b w:val="0"/>
      <w:i w:val="0"/>
      <w:caps w:val="0"/>
      <w:vanish w:val="0"/>
      <w:color w:val="000000"/>
      <w:sz w:val="16"/>
      <w:u w:val="none"/>
    </w:rPr>
  </w:style>
  <w:style w:type="paragraph" w:styleId="FootnoteText">
    <w:name w:val="footnote text"/>
    <w:basedOn w:val="Normal"/>
    <w:link w:val="FootnoteTextChar"/>
    <w:uiPriority w:val="99"/>
    <w:semiHidden/>
    <w:unhideWhenUsed/>
    <w:rsid w:val="00651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C8D"/>
    <w:rPr>
      <w:sz w:val="20"/>
      <w:szCs w:val="20"/>
    </w:rPr>
  </w:style>
  <w:style w:type="character" w:styleId="FootnoteReference">
    <w:name w:val="footnote reference"/>
    <w:basedOn w:val="DefaultParagraphFont"/>
    <w:uiPriority w:val="99"/>
    <w:semiHidden/>
    <w:unhideWhenUsed/>
    <w:rsid w:val="00651C8D"/>
    <w:rPr>
      <w:vertAlign w:val="superscript"/>
    </w:rPr>
  </w:style>
  <w:style w:type="character" w:styleId="Hyperlink">
    <w:name w:val="Hyperlink"/>
    <w:basedOn w:val="DefaultParagraphFont"/>
    <w:uiPriority w:val="99"/>
    <w:unhideWhenUsed/>
    <w:rsid w:val="00583A3F"/>
    <w:rPr>
      <w:color w:val="0000FF" w:themeColor="hyperlink"/>
      <w:u w:val="single"/>
    </w:rPr>
  </w:style>
  <w:style w:type="paragraph" w:styleId="ListBullet">
    <w:name w:val="List Bullet"/>
    <w:basedOn w:val="Normal"/>
    <w:uiPriority w:val="99"/>
    <w:unhideWhenUsed/>
    <w:rsid w:val="005E04A8"/>
    <w:pPr>
      <w:numPr>
        <w:numId w:val="1"/>
      </w:numPr>
      <w:contextualSpacing/>
    </w:pPr>
  </w:style>
  <w:style w:type="character" w:customStyle="1" w:styleId="Heading1Char">
    <w:name w:val="Heading 1 Char"/>
    <w:basedOn w:val="DefaultParagraphFont"/>
    <w:link w:val="Heading1"/>
    <w:uiPriority w:val="9"/>
    <w:rsid w:val="0037101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7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2015-01-13T20:46:27.8249438Z</cp:lastPrinted>
  <dcterms:created xsi:type="dcterms:W3CDTF">2015-01-13T20:46:27.8249438Z</dcterms:created>
  <dcterms:modified xsi:type="dcterms:W3CDTF">2015-01-13T20:46:27.8249438Z</dcterms:modified>
</cp:coreProperties>
</file>