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EE" w:rsidRDefault="00B36D11">
      <w:pPr>
        <w:jc w:val="center"/>
        <w:rPr>
          <w:rFonts w:cs="Arial"/>
          <w:b/>
          <w:smallCaps/>
          <w:sz w:val="28"/>
          <w:szCs w:val="28"/>
        </w:rPr>
      </w:pPr>
      <w:r>
        <w:rPr>
          <w:rFonts w:cs="Arial"/>
          <w:b/>
          <w:smallCaps/>
          <w:sz w:val="28"/>
          <w:szCs w:val="28"/>
        </w:rPr>
        <w:t>Before</w:t>
      </w:r>
    </w:p>
    <w:p w:rsidR="00E66FEE" w:rsidRDefault="00B36D11">
      <w:pPr>
        <w:jc w:val="center"/>
        <w:rPr>
          <w:rFonts w:cs="Arial"/>
          <w:b/>
          <w:smallCaps/>
          <w:sz w:val="28"/>
          <w:szCs w:val="28"/>
        </w:rPr>
      </w:pPr>
      <w:r>
        <w:rPr>
          <w:rFonts w:cs="Arial"/>
          <w:b/>
          <w:smallCaps/>
          <w:sz w:val="28"/>
          <w:szCs w:val="28"/>
        </w:rPr>
        <w:t>The Public Utilities Commission of Ohio</w:t>
      </w:r>
    </w:p>
    <w:p w:rsidR="00E66FEE" w:rsidRDefault="00E66FEE">
      <w:pPr>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12-426-EL-SSO</w:t>
      </w:r>
    </w:p>
    <w:p w:rsidR="00E66FEE" w:rsidRDefault="00B36D11">
      <w:pPr>
        <w:tabs>
          <w:tab w:val="left" w:pos="4860"/>
          <w:tab w:val="left" w:pos="5580"/>
        </w:tabs>
        <w:rPr>
          <w:rFonts w:cs="Arial"/>
          <w:color w:val="000000"/>
        </w:rPr>
      </w:pPr>
      <w:r>
        <w:rPr>
          <w:rFonts w:cs="Arial"/>
        </w:rPr>
        <w:t>Approval of Its Electric Security Plan</w:t>
      </w:r>
      <w:r>
        <w:rPr>
          <w:rFonts w:cs="Arial"/>
        </w:rPr>
        <w:tab/>
        <w:t>)</w:t>
      </w:r>
    </w:p>
    <w:p w:rsidR="00E66FEE" w:rsidRDefault="00E66FEE">
      <w:pPr>
        <w:tabs>
          <w:tab w:val="left" w:pos="4860"/>
          <w:tab w:val="left" w:pos="5580"/>
        </w:tabs>
        <w:rPr>
          <w:rFonts w:cs="Arial"/>
          <w:b/>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12-427-EL-ATA</w:t>
      </w:r>
    </w:p>
    <w:p w:rsidR="00E66FEE" w:rsidRDefault="00B36D11">
      <w:pPr>
        <w:tabs>
          <w:tab w:val="left" w:pos="4860"/>
          <w:tab w:val="left" w:pos="5580"/>
        </w:tabs>
        <w:rPr>
          <w:rFonts w:cs="Arial"/>
        </w:rPr>
      </w:pPr>
      <w:r>
        <w:rPr>
          <w:rFonts w:cs="Arial"/>
        </w:rPr>
        <w:t>Approval of Revised Tariffs</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12-428-EL-AAM</w:t>
      </w:r>
    </w:p>
    <w:p w:rsidR="00E66FEE" w:rsidRDefault="00B36D11">
      <w:pPr>
        <w:tabs>
          <w:tab w:val="left" w:pos="4860"/>
          <w:tab w:val="left" w:pos="5580"/>
        </w:tabs>
        <w:rPr>
          <w:rFonts w:cs="Arial"/>
        </w:rPr>
      </w:pPr>
      <w:r>
        <w:rPr>
          <w:rFonts w:cs="Arial"/>
        </w:rPr>
        <w:t xml:space="preserve">Approval of Certain Accounting Authority </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12-429-EL-WVR</w:t>
      </w:r>
    </w:p>
    <w:p w:rsidR="00E66FEE" w:rsidRDefault="00B36D11">
      <w:pPr>
        <w:tabs>
          <w:tab w:val="left" w:pos="4860"/>
          <w:tab w:val="left" w:pos="5580"/>
        </w:tabs>
        <w:rPr>
          <w:rFonts w:cs="Arial"/>
        </w:rPr>
      </w:pPr>
      <w:proofErr w:type="gramStart"/>
      <w:r>
        <w:rPr>
          <w:rFonts w:cs="Arial"/>
        </w:rPr>
        <w:t>the</w:t>
      </w:r>
      <w:proofErr w:type="gramEnd"/>
      <w:r>
        <w:rPr>
          <w:rFonts w:cs="Arial"/>
        </w:rPr>
        <w:t xml:space="preserve"> Waiver of Certain Commission Rules</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 xml:space="preserve">The Dayton Power and Light Company </w:t>
      </w:r>
      <w:r>
        <w:rPr>
          <w:rFonts w:cs="Arial"/>
        </w:rPr>
        <w:tab/>
        <w:t>)</w:t>
      </w:r>
      <w:r>
        <w:rPr>
          <w:rFonts w:cs="Arial"/>
        </w:rPr>
        <w:tab/>
        <w:t>Case No. 12-672-EL-RDR</w:t>
      </w:r>
    </w:p>
    <w:p w:rsidR="00E66FEE" w:rsidRDefault="00B36D11">
      <w:pPr>
        <w:tabs>
          <w:tab w:val="left" w:pos="4860"/>
          <w:tab w:val="left" w:pos="5580"/>
        </w:tabs>
        <w:rPr>
          <w:rFonts w:cs="Arial"/>
        </w:rPr>
      </w:pPr>
      <w:proofErr w:type="gramStart"/>
      <w:r>
        <w:rPr>
          <w:rFonts w:cs="Arial"/>
        </w:rPr>
        <w:t>to</w:t>
      </w:r>
      <w:proofErr w:type="gramEnd"/>
      <w:r>
        <w:rPr>
          <w:rFonts w:cs="Arial"/>
        </w:rPr>
        <w:t xml:space="preserve"> Establish Tariff Riders</w:t>
      </w:r>
      <w:r>
        <w:rPr>
          <w:rFonts w:cs="Arial"/>
        </w:rPr>
        <w:tab/>
        <w:t>)</w:t>
      </w:r>
    </w:p>
    <w:p w:rsidR="00E66FEE" w:rsidRDefault="00E66FEE">
      <w:pPr>
        <w:tabs>
          <w:tab w:val="left" w:pos="5040"/>
        </w:tabs>
        <w:rPr>
          <w:rFonts w:cs="Arial"/>
        </w:rPr>
      </w:pPr>
    </w:p>
    <w:p w:rsidR="00E66FEE" w:rsidRDefault="00E66FEE">
      <w:pPr>
        <w:tabs>
          <w:tab w:val="left" w:pos="5040"/>
        </w:tabs>
        <w:rPr>
          <w:rFonts w:cs="Arial"/>
        </w:rPr>
      </w:pPr>
    </w:p>
    <w:p w:rsidR="00E66FEE" w:rsidRDefault="00E66FEE">
      <w:pPr>
        <w:pBdr>
          <w:top w:val="single" w:sz="12" w:space="1" w:color="auto"/>
        </w:pBdr>
        <w:tabs>
          <w:tab w:val="left" w:pos="5040"/>
        </w:tabs>
        <w:rPr>
          <w:rFonts w:cs="Arial"/>
        </w:rPr>
      </w:pPr>
    </w:p>
    <w:p w:rsidR="00E66FEE" w:rsidRDefault="00B36D11">
      <w:pPr>
        <w:tabs>
          <w:tab w:val="left" w:pos="5040"/>
        </w:tabs>
        <w:jc w:val="center"/>
        <w:rPr>
          <w:rFonts w:cs="Arial"/>
          <w:b/>
          <w:smallCaps/>
          <w:sz w:val="28"/>
          <w:szCs w:val="28"/>
        </w:rPr>
      </w:pPr>
      <w:r>
        <w:rPr>
          <w:rFonts w:cs="Arial"/>
          <w:b/>
          <w:smallCaps/>
          <w:sz w:val="28"/>
          <w:szCs w:val="28"/>
        </w:rPr>
        <w:t>Motion for Protective Order</w:t>
      </w:r>
    </w:p>
    <w:p w:rsidR="00E66FEE" w:rsidRDefault="00B36D11">
      <w:pPr>
        <w:tabs>
          <w:tab w:val="left" w:pos="5040"/>
        </w:tabs>
        <w:jc w:val="center"/>
        <w:rPr>
          <w:rFonts w:cs="Arial"/>
          <w:b/>
          <w:smallCaps/>
          <w:sz w:val="28"/>
          <w:szCs w:val="28"/>
        </w:rPr>
      </w:pPr>
      <w:r>
        <w:rPr>
          <w:rFonts w:cs="Arial"/>
          <w:b/>
          <w:smallCaps/>
          <w:sz w:val="28"/>
          <w:szCs w:val="28"/>
        </w:rPr>
        <w:t>and Memorandum in Support</w:t>
      </w:r>
    </w:p>
    <w:p w:rsidR="00E66FEE" w:rsidRDefault="00E66FEE">
      <w:pPr>
        <w:pBdr>
          <w:bottom w:val="single" w:sz="12" w:space="1" w:color="auto"/>
        </w:pBdr>
        <w:tabs>
          <w:tab w:val="left" w:pos="5040"/>
        </w:tabs>
      </w:pPr>
    </w:p>
    <w:p w:rsidR="00E66FEE" w:rsidRDefault="00E66FEE">
      <w:pPr>
        <w:tabs>
          <w:tab w:val="left" w:pos="5040"/>
        </w:tabs>
      </w:pPr>
    </w:p>
    <w:p w:rsidR="00E66FEE" w:rsidRDefault="00E66FEE">
      <w:pPr>
        <w:tabs>
          <w:tab w:val="left" w:pos="5040"/>
        </w:tabs>
      </w:pP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Samuel C. Randazzo (Counsel of Record)</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 xml:space="preserve">Frank P. Darr </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Matthew R. Pritchard</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Joseph E. Oliker</w:t>
      </w:r>
    </w:p>
    <w:p w:rsidR="00E66FEE" w:rsidRDefault="00B36D11">
      <w:pPr>
        <w:tabs>
          <w:tab w:val="left" w:pos="-1440"/>
          <w:tab w:val="left" w:pos="-720"/>
          <w:tab w:val="left" w:pos="3600"/>
          <w:tab w:val="left" w:pos="4320"/>
        </w:tabs>
        <w:ind w:left="4320"/>
        <w:rPr>
          <w:rFonts w:cs="Arial"/>
          <w:smallCaps/>
          <w:color w:val="000000" w:themeColor="text1"/>
          <w:sz w:val="20"/>
        </w:rPr>
      </w:pPr>
      <w:r>
        <w:rPr>
          <w:rFonts w:cs="Arial"/>
          <w:smallCaps/>
          <w:color w:val="000000" w:themeColor="text1"/>
        </w:rPr>
        <w:t xml:space="preserve">McNees Wallace &amp; Nurick </w:t>
      </w:r>
      <w:r>
        <w:rPr>
          <w:rFonts w:cs="Arial"/>
          <w:smallCaps/>
          <w:color w:val="000000" w:themeColor="text1"/>
          <w:sz w:val="20"/>
        </w:rPr>
        <w:t>LLC</w:t>
      </w:r>
    </w:p>
    <w:p w:rsidR="00E66FEE" w:rsidRDefault="00B36D11">
      <w:pPr>
        <w:tabs>
          <w:tab w:val="left" w:pos="-1440"/>
          <w:tab w:val="left" w:pos="-720"/>
          <w:tab w:val="left" w:pos="3600"/>
          <w:tab w:val="left" w:pos="4320"/>
        </w:tabs>
        <w:ind w:left="432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E66FEE" w:rsidRDefault="00B36D11">
      <w:pPr>
        <w:tabs>
          <w:tab w:val="left" w:pos="-1440"/>
          <w:tab w:val="left" w:pos="-720"/>
          <w:tab w:val="left" w:pos="4320"/>
        </w:tabs>
        <w:ind w:left="4320"/>
        <w:rPr>
          <w:rFonts w:cs="Arial"/>
          <w:color w:val="000000" w:themeColor="text1"/>
        </w:rPr>
      </w:pPr>
      <w:r>
        <w:rPr>
          <w:rFonts w:cs="Arial"/>
          <w:color w:val="000000" w:themeColor="text1"/>
        </w:rPr>
        <w:t>Columbus, OH  43215-4228</w:t>
      </w:r>
    </w:p>
    <w:p w:rsidR="00E66FEE" w:rsidRDefault="00B36D11">
      <w:pPr>
        <w:tabs>
          <w:tab w:val="left" w:pos="-1440"/>
          <w:tab w:val="left" w:pos="-720"/>
          <w:tab w:val="left" w:pos="4320"/>
        </w:tabs>
        <w:ind w:left="4320"/>
        <w:rPr>
          <w:rFonts w:cs="Arial"/>
          <w:color w:val="000000" w:themeColor="text1"/>
        </w:rPr>
      </w:pPr>
      <w:r>
        <w:rPr>
          <w:rFonts w:cs="Arial"/>
          <w:color w:val="000000" w:themeColor="text1"/>
        </w:rPr>
        <w:t>Telephone:  (614) 469-8000</w:t>
      </w:r>
    </w:p>
    <w:p w:rsidR="00E66FEE" w:rsidRDefault="00B36D11" w:rsidP="00943DF8">
      <w:pPr>
        <w:tabs>
          <w:tab w:val="left" w:pos="4320"/>
        </w:tabs>
        <w:spacing w:beforeLines="1" w:before="2"/>
        <w:ind w:left="4320"/>
        <w:jc w:val="both"/>
        <w:rPr>
          <w:rFonts w:eastAsia="Times New Roman" w:cs="Arial"/>
          <w:color w:val="000000" w:themeColor="text1"/>
        </w:rPr>
      </w:pPr>
      <w:proofErr w:type="spellStart"/>
      <w:r>
        <w:rPr>
          <w:rFonts w:eastAsia="Times New Roman" w:cs="Arial"/>
          <w:color w:val="000000" w:themeColor="text1"/>
        </w:rPr>
        <w:t>Telecopier</w:t>
      </w:r>
      <w:proofErr w:type="spellEnd"/>
      <w:r>
        <w:rPr>
          <w:rFonts w:eastAsia="Times New Roman" w:cs="Arial"/>
          <w:color w:val="000000" w:themeColor="text1"/>
        </w:rPr>
        <w:t>:  (614) 469-4653</w:t>
      </w:r>
    </w:p>
    <w:p w:rsidR="00E66FEE" w:rsidRDefault="00B36D11" w:rsidP="00943DF8">
      <w:pPr>
        <w:spacing w:beforeLines="1" w:before="2"/>
        <w:ind w:left="4320"/>
        <w:jc w:val="both"/>
        <w:rPr>
          <w:rFonts w:eastAsia="Times New Roman" w:cs="Arial"/>
          <w:color w:val="000000" w:themeColor="text1"/>
        </w:rPr>
      </w:pPr>
      <w:r>
        <w:rPr>
          <w:rFonts w:eastAsia="Times New Roman" w:cs="Arial"/>
          <w:color w:val="000000" w:themeColor="text1"/>
        </w:rPr>
        <w:t>sam@mwncmh.com</w:t>
      </w:r>
    </w:p>
    <w:p w:rsidR="00E66FEE" w:rsidRDefault="00B36D11" w:rsidP="00943DF8">
      <w:pPr>
        <w:spacing w:beforeLines="1" w:before="2"/>
        <w:ind w:left="4320"/>
        <w:jc w:val="both"/>
        <w:rPr>
          <w:rFonts w:eastAsia="Times New Roman" w:cs="Arial"/>
          <w:color w:val="000000" w:themeColor="text1"/>
        </w:rPr>
      </w:pPr>
      <w:r>
        <w:rPr>
          <w:rFonts w:eastAsia="Times New Roman" w:cs="Arial"/>
          <w:color w:val="000000" w:themeColor="text1"/>
        </w:rPr>
        <w:t>fdarr@mwncmh.com</w:t>
      </w:r>
    </w:p>
    <w:p w:rsidR="00E66FEE" w:rsidRDefault="00B36D11" w:rsidP="00943DF8">
      <w:pPr>
        <w:spacing w:beforeLines="1" w:before="2"/>
        <w:ind w:left="4320"/>
        <w:jc w:val="both"/>
        <w:rPr>
          <w:rFonts w:eastAsia="Times New Roman" w:cs="Arial"/>
          <w:color w:val="000000" w:themeColor="text1"/>
        </w:rPr>
      </w:pPr>
      <w:r>
        <w:rPr>
          <w:rFonts w:eastAsia="Times New Roman" w:cs="Arial"/>
          <w:color w:val="000000" w:themeColor="text1"/>
        </w:rPr>
        <w:t>mpritchard@mwncmh.com</w:t>
      </w:r>
    </w:p>
    <w:p w:rsidR="00E66FEE" w:rsidRDefault="00B36D11" w:rsidP="00943DF8">
      <w:pPr>
        <w:spacing w:beforeLines="1" w:before="2"/>
        <w:ind w:left="4320"/>
        <w:jc w:val="both"/>
        <w:rPr>
          <w:rFonts w:eastAsia="Times New Roman" w:cs="Arial"/>
          <w:color w:val="000000" w:themeColor="text1"/>
          <w:u w:val="single"/>
        </w:rPr>
      </w:pPr>
      <w:r>
        <w:rPr>
          <w:rFonts w:eastAsia="Times New Roman" w:cs="Arial"/>
        </w:rPr>
        <w:t>joliker@mwncmh.com</w:t>
      </w:r>
    </w:p>
    <w:p w:rsidR="00E66FEE" w:rsidRDefault="00E66FEE" w:rsidP="00943DF8">
      <w:pPr>
        <w:spacing w:beforeLines="1" w:before="2"/>
        <w:ind w:left="4320"/>
        <w:jc w:val="both"/>
        <w:rPr>
          <w:rFonts w:eastAsia="Times New Roman" w:cs="Arial"/>
        </w:rPr>
      </w:pPr>
    </w:p>
    <w:p w:rsidR="00E66FEE" w:rsidRDefault="00B36D11">
      <w:pPr>
        <w:ind w:left="4320" w:hanging="4320"/>
        <w:rPr>
          <w:b/>
        </w:rPr>
      </w:pPr>
      <w:r>
        <w:rPr>
          <w:b/>
        </w:rPr>
        <w:t>January 14, 2013</w:t>
      </w:r>
      <w:r>
        <w:rPr>
          <w:b/>
        </w:rPr>
        <w:tab/>
        <w:t>Attorneys for Industrial Energy Users-Ohio</w:t>
      </w:r>
    </w:p>
    <w:p w:rsidR="00E66FEE" w:rsidRDefault="00E66FEE">
      <w:pPr>
        <w:rPr>
          <w:b/>
        </w:rPr>
        <w:sectPr w:rsidR="00E66F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pPr>
    </w:p>
    <w:p w:rsidR="00A7617E" w:rsidRDefault="00A7617E">
      <w:pPr>
        <w:rPr>
          <w:rFonts w:cs="Arial"/>
          <w:b/>
          <w:smallCaps/>
          <w:sz w:val="28"/>
          <w:szCs w:val="28"/>
        </w:rPr>
        <w:sectPr w:rsidR="00A7617E">
          <w:type w:val="continuous"/>
          <w:pgSz w:w="12240" w:h="15840"/>
          <w:pgMar w:top="1440" w:right="1440" w:bottom="1440" w:left="1440" w:header="720" w:footer="720" w:gutter="0"/>
          <w:cols w:space="720"/>
        </w:sectPr>
      </w:pPr>
    </w:p>
    <w:sdt>
      <w:sdtPr>
        <w:rPr>
          <w:rFonts w:ascii="Arial" w:eastAsiaTheme="minorHAnsi" w:hAnsi="Arial" w:cstheme="minorBidi"/>
          <w:b w:val="0"/>
          <w:bCs w:val="0"/>
          <w:color w:val="auto"/>
          <w:sz w:val="24"/>
          <w:szCs w:val="24"/>
          <w:lang w:eastAsia="en-US"/>
        </w:rPr>
        <w:id w:val="1417058012"/>
        <w:docPartObj>
          <w:docPartGallery w:val="Table of Contents"/>
          <w:docPartUnique/>
        </w:docPartObj>
      </w:sdtPr>
      <w:sdtEndPr>
        <w:rPr>
          <w:noProof/>
        </w:rPr>
      </w:sdtEndPr>
      <w:sdtContent>
        <w:p w:rsidR="002E0B3C" w:rsidRPr="00AC1E12" w:rsidRDefault="002E0B3C" w:rsidP="002E0B3C">
          <w:pPr>
            <w:pStyle w:val="TOCHeading"/>
            <w:jc w:val="center"/>
            <w:rPr>
              <w:rFonts w:ascii="Arial Bold" w:hAnsi="Arial Bold" w:cs="Arial"/>
              <w:smallCaps/>
              <w:color w:val="000000" w:themeColor="text1"/>
              <w:u w:val="single"/>
            </w:rPr>
          </w:pPr>
          <w:r w:rsidRPr="00AC1E12">
            <w:rPr>
              <w:rFonts w:ascii="Arial Bold" w:hAnsi="Arial Bold" w:cs="Arial"/>
              <w:smallCaps/>
              <w:color w:val="000000" w:themeColor="text1"/>
              <w:u w:val="single"/>
            </w:rPr>
            <w:t>Table of Contents</w:t>
          </w:r>
        </w:p>
        <w:p w:rsidR="002E0B3C" w:rsidRPr="002E0B3C" w:rsidRDefault="002E0B3C" w:rsidP="002E0B3C">
          <w:pPr>
            <w:pStyle w:val="TOC1"/>
            <w:rPr>
              <w:rFonts w:asciiTheme="minorHAnsi" w:eastAsiaTheme="minorEastAsia" w:hAnsiTheme="minorHAnsi"/>
              <w:caps/>
              <w:noProof/>
              <w:sz w:val="22"/>
              <w:szCs w:val="22"/>
            </w:rPr>
          </w:pPr>
          <w:r>
            <w:fldChar w:fldCharType="begin"/>
          </w:r>
          <w:r>
            <w:instrText xml:space="preserve"> TOC \o "1-3" \h \z \u </w:instrText>
          </w:r>
          <w:r>
            <w:fldChar w:fldCharType="separate"/>
          </w:r>
          <w:hyperlink w:anchor="_Toc345938394" w:history="1">
            <w:r w:rsidRPr="002E0B3C">
              <w:rPr>
                <w:rStyle w:val="Hyperlink"/>
                <w:caps/>
                <w:noProof/>
              </w:rPr>
              <w:t>I.</w:t>
            </w:r>
            <w:r w:rsidRPr="002E0B3C">
              <w:rPr>
                <w:rFonts w:asciiTheme="minorHAnsi" w:eastAsiaTheme="minorEastAsia" w:hAnsiTheme="minorHAnsi"/>
                <w:caps/>
                <w:noProof/>
                <w:sz w:val="22"/>
                <w:szCs w:val="22"/>
              </w:rPr>
              <w:tab/>
            </w:r>
            <w:r w:rsidRPr="002E0B3C">
              <w:rPr>
                <w:rStyle w:val="Hyperlink"/>
                <w:caps/>
                <w:noProof/>
              </w:rPr>
              <w:t>INTRODUCTION</w:t>
            </w:r>
            <w:r w:rsidRPr="002E0B3C">
              <w:rPr>
                <w:caps/>
                <w:noProof/>
                <w:webHidden/>
              </w:rPr>
              <w:tab/>
            </w:r>
            <w:r w:rsidRPr="002E0B3C">
              <w:rPr>
                <w:caps/>
                <w:noProof/>
                <w:webHidden/>
              </w:rPr>
              <w:fldChar w:fldCharType="begin"/>
            </w:r>
            <w:r w:rsidRPr="002E0B3C">
              <w:rPr>
                <w:caps/>
                <w:noProof/>
                <w:webHidden/>
              </w:rPr>
              <w:instrText xml:space="preserve"> PAGEREF _Toc345938394 \h </w:instrText>
            </w:r>
            <w:r w:rsidRPr="002E0B3C">
              <w:rPr>
                <w:caps/>
                <w:noProof/>
                <w:webHidden/>
              </w:rPr>
            </w:r>
            <w:r w:rsidRPr="002E0B3C">
              <w:rPr>
                <w:caps/>
                <w:noProof/>
                <w:webHidden/>
              </w:rPr>
              <w:fldChar w:fldCharType="separate"/>
            </w:r>
            <w:r w:rsidR="0065626F">
              <w:rPr>
                <w:caps/>
                <w:noProof/>
                <w:webHidden/>
              </w:rPr>
              <w:t>4</w:t>
            </w:r>
            <w:r w:rsidRPr="002E0B3C">
              <w:rPr>
                <w:caps/>
                <w:noProof/>
                <w:webHidden/>
              </w:rPr>
              <w:fldChar w:fldCharType="end"/>
            </w:r>
          </w:hyperlink>
        </w:p>
        <w:p w:rsidR="002E0B3C" w:rsidRPr="002E0B3C" w:rsidRDefault="00A84793" w:rsidP="002E0B3C">
          <w:pPr>
            <w:pStyle w:val="TOC1"/>
            <w:rPr>
              <w:rFonts w:asciiTheme="minorHAnsi" w:eastAsiaTheme="minorEastAsia" w:hAnsiTheme="minorHAnsi"/>
              <w:caps/>
              <w:noProof/>
              <w:sz w:val="22"/>
              <w:szCs w:val="22"/>
            </w:rPr>
          </w:pPr>
          <w:hyperlink w:anchor="_Toc345938395" w:history="1">
            <w:r w:rsidR="002E0B3C" w:rsidRPr="002E0B3C">
              <w:rPr>
                <w:rStyle w:val="Hyperlink"/>
                <w:caps/>
                <w:noProof/>
              </w:rPr>
              <w:t>II.</w:t>
            </w:r>
            <w:r w:rsidR="002E0B3C" w:rsidRPr="002E0B3C">
              <w:rPr>
                <w:rFonts w:asciiTheme="minorHAnsi" w:eastAsiaTheme="minorEastAsia" w:hAnsiTheme="minorHAnsi"/>
                <w:caps/>
                <w:noProof/>
                <w:sz w:val="22"/>
                <w:szCs w:val="22"/>
              </w:rPr>
              <w:tab/>
            </w:r>
            <w:r w:rsidR="002E0B3C" w:rsidRPr="002E0B3C">
              <w:rPr>
                <w:rStyle w:val="Hyperlink"/>
                <w:caps/>
                <w:noProof/>
              </w:rPr>
              <w:t>Interrogatories 4, 5, 6 and 7</w:t>
            </w:r>
            <w:r w:rsidR="002E0B3C" w:rsidRPr="002E0B3C">
              <w:rPr>
                <w:caps/>
                <w:noProof/>
                <w:webHidden/>
              </w:rPr>
              <w:tab/>
            </w:r>
            <w:r w:rsidR="002E0B3C" w:rsidRPr="002E0B3C">
              <w:rPr>
                <w:caps/>
                <w:noProof/>
                <w:webHidden/>
              </w:rPr>
              <w:fldChar w:fldCharType="begin"/>
            </w:r>
            <w:r w:rsidR="002E0B3C" w:rsidRPr="002E0B3C">
              <w:rPr>
                <w:caps/>
                <w:noProof/>
                <w:webHidden/>
              </w:rPr>
              <w:instrText xml:space="preserve"> PAGEREF _Toc345938395 \h </w:instrText>
            </w:r>
            <w:r w:rsidR="002E0B3C" w:rsidRPr="002E0B3C">
              <w:rPr>
                <w:caps/>
                <w:noProof/>
                <w:webHidden/>
              </w:rPr>
            </w:r>
            <w:r w:rsidR="002E0B3C" w:rsidRPr="002E0B3C">
              <w:rPr>
                <w:caps/>
                <w:noProof/>
                <w:webHidden/>
              </w:rPr>
              <w:fldChar w:fldCharType="separate"/>
            </w:r>
            <w:r w:rsidR="0065626F">
              <w:rPr>
                <w:caps/>
                <w:noProof/>
                <w:webHidden/>
              </w:rPr>
              <w:t>6</w:t>
            </w:r>
            <w:r w:rsidR="002E0B3C" w:rsidRPr="002E0B3C">
              <w:rPr>
                <w:caps/>
                <w:noProof/>
                <w:webHidden/>
              </w:rPr>
              <w:fldChar w:fldCharType="end"/>
            </w:r>
          </w:hyperlink>
        </w:p>
        <w:p w:rsidR="002E0B3C" w:rsidRPr="002E0B3C" w:rsidRDefault="00A84793" w:rsidP="002E0B3C">
          <w:pPr>
            <w:pStyle w:val="TOC1"/>
            <w:rPr>
              <w:rFonts w:asciiTheme="minorHAnsi" w:eastAsiaTheme="minorEastAsia" w:hAnsiTheme="minorHAnsi"/>
              <w:caps/>
              <w:noProof/>
              <w:sz w:val="22"/>
              <w:szCs w:val="22"/>
            </w:rPr>
          </w:pPr>
          <w:hyperlink w:anchor="_Toc345938396" w:history="1">
            <w:r w:rsidR="002E0B3C" w:rsidRPr="002E0B3C">
              <w:rPr>
                <w:rStyle w:val="Hyperlink"/>
                <w:caps/>
                <w:noProof/>
              </w:rPr>
              <w:t>III.</w:t>
            </w:r>
            <w:r w:rsidR="002E0B3C" w:rsidRPr="002E0B3C">
              <w:rPr>
                <w:rFonts w:asciiTheme="minorHAnsi" w:eastAsiaTheme="minorEastAsia" w:hAnsiTheme="minorHAnsi"/>
                <w:caps/>
                <w:noProof/>
                <w:sz w:val="22"/>
                <w:szCs w:val="22"/>
              </w:rPr>
              <w:tab/>
            </w:r>
            <w:r w:rsidR="002E0B3C" w:rsidRPr="002E0B3C">
              <w:rPr>
                <w:rStyle w:val="Hyperlink"/>
                <w:caps/>
                <w:noProof/>
              </w:rPr>
              <w:t>Request for Production of Documents</w:t>
            </w:r>
            <w:r w:rsidR="002E0B3C" w:rsidRPr="002E0B3C">
              <w:rPr>
                <w:caps/>
                <w:noProof/>
                <w:webHidden/>
              </w:rPr>
              <w:tab/>
            </w:r>
            <w:r w:rsidR="002E0B3C" w:rsidRPr="002E0B3C">
              <w:rPr>
                <w:caps/>
                <w:noProof/>
                <w:webHidden/>
              </w:rPr>
              <w:fldChar w:fldCharType="begin"/>
            </w:r>
            <w:r w:rsidR="002E0B3C" w:rsidRPr="002E0B3C">
              <w:rPr>
                <w:caps/>
                <w:noProof/>
                <w:webHidden/>
              </w:rPr>
              <w:instrText xml:space="preserve"> PAGEREF _Toc345938396 \h </w:instrText>
            </w:r>
            <w:r w:rsidR="002E0B3C" w:rsidRPr="002E0B3C">
              <w:rPr>
                <w:caps/>
                <w:noProof/>
                <w:webHidden/>
              </w:rPr>
            </w:r>
            <w:r w:rsidR="002E0B3C" w:rsidRPr="002E0B3C">
              <w:rPr>
                <w:caps/>
                <w:noProof/>
                <w:webHidden/>
              </w:rPr>
              <w:fldChar w:fldCharType="separate"/>
            </w:r>
            <w:r w:rsidR="0065626F">
              <w:rPr>
                <w:caps/>
                <w:noProof/>
                <w:webHidden/>
              </w:rPr>
              <w:t>8</w:t>
            </w:r>
            <w:r w:rsidR="002E0B3C" w:rsidRPr="002E0B3C">
              <w:rPr>
                <w:caps/>
                <w:noProof/>
                <w:webHidden/>
              </w:rPr>
              <w:fldChar w:fldCharType="end"/>
            </w:r>
          </w:hyperlink>
        </w:p>
        <w:p w:rsidR="002E0B3C" w:rsidRDefault="00A84793" w:rsidP="002E0B3C">
          <w:pPr>
            <w:pStyle w:val="TOC2"/>
            <w:rPr>
              <w:rFonts w:asciiTheme="minorHAnsi" w:eastAsiaTheme="minorEastAsia" w:hAnsiTheme="minorHAnsi"/>
              <w:noProof/>
              <w:sz w:val="22"/>
              <w:szCs w:val="22"/>
            </w:rPr>
          </w:pPr>
          <w:hyperlink w:anchor="_Toc345938397" w:history="1">
            <w:r w:rsidR="002E0B3C" w:rsidRPr="002757F5">
              <w:rPr>
                <w:rStyle w:val="Hyperlink"/>
                <w:noProof/>
              </w:rPr>
              <w:t>A.</w:t>
            </w:r>
            <w:r w:rsidR="002E0B3C">
              <w:rPr>
                <w:rFonts w:asciiTheme="minorHAnsi" w:eastAsiaTheme="minorEastAsia" w:hAnsiTheme="minorHAnsi"/>
                <w:noProof/>
                <w:sz w:val="22"/>
                <w:szCs w:val="22"/>
              </w:rPr>
              <w:tab/>
            </w:r>
            <w:r w:rsidR="002E0B3C" w:rsidRPr="002757F5">
              <w:rPr>
                <w:rStyle w:val="Hyperlink"/>
                <w:noProof/>
              </w:rPr>
              <w:t>Requests for Production of Documents 4 and 8</w:t>
            </w:r>
            <w:r w:rsidR="002E0B3C">
              <w:rPr>
                <w:noProof/>
                <w:webHidden/>
              </w:rPr>
              <w:tab/>
            </w:r>
            <w:r w:rsidR="002E0B3C">
              <w:rPr>
                <w:noProof/>
                <w:webHidden/>
              </w:rPr>
              <w:fldChar w:fldCharType="begin"/>
            </w:r>
            <w:r w:rsidR="002E0B3C">
              <w:rPr>
                <w:noProof/>
                <w:webHidden/>
              </w:rPr>
              <w:instrText xml:space="preserve"> PAGEREF _Toc345938397 \h </w:instrText>
            </w:r>
            <w:r w:rsidR="002E0B3C">
              <w:rPr>
                <w:noProof/>
                <w:webHidden/>
              </w:rPr>
            </w:r>
            <w:r w:rsidR="002E0B3C">
              <w:rPr>
                <w:noProof/>
                <w:webHidden/>
              </w:rPr>
              <w:fldChar w:fldCharType="separate"/>
            </w:r>
            <w:r w:rsidR="0065626F">
              <w:rPr>
                <w:noProof/>
                <w:webHidden/>
              </w:rPr>
              <w:t>8</w:t>
            </w:r>
            <w:r w:rsidR="002E0B3C">
              <w:rPr>
                <w:noProof/>
                <w:webHidden/>
              </w:rPr>
              <w:fldChar w:fldCharType="end"/>
            </w:r>
          </w:hyperlink>
        </w:p>
        <w:p w:rsidR="002E0B3C" w:rsidRDefault="00A84793" w:rsidP="002E0B3C">
          <w:pPr>
            <w:pStyle w:val="TOC2"/>
            <w:rPr>
              <w:rFonts w:asciiTheme="minorHAnsi" w:eastAsiaTheme="minorEastAsia" w:hAnsiTheme="minorHAnsi"/>
              <w:noProof/>
              <w:sz w:val="22"/>
              <w:szCs w:val="22"/>
            </w:rPr>
          </w:pPr>
          <w:hyperlink w:anchor="_Toc345938398" w:history="1">
            <w:r w:rsidR="002E0B3C" w:rsidRPr="002757F5">
              <w:rPr>
                <w:rStyle w:val="Hyperlink"/>
                <w:noProof/>
              </w:rPr>
              <w:t>B.</w:t>
            </w:r>
            <w:r w:rsidR="002E0B3C">
              <w:rPr>
                <w:rFonts w:asciiTheme="minorHAnsi" w:eastAsiaTheme="minorEastAsia" w:hAnsiTheme="minorHAnsi"/>
                <w:noProof/>
                <w:sz w:val="22"/>
                <w:szCs w:val="22"/>
              </w:rPr>
              <w:tab/>
            </w:r>
            <w:r w:rsidR="002E0B3C" w:rsidRPr="002757F5">
              <w:rPr>
                <w:rStyle w:val="Hyperlink"/>
                <w:noProof/>
              </w:rPr>
              <w:t>Requests for Production of Documents 6 and 7</w:t>
            </w:r>
            <w:r w:rsidR="002E0B3C">
              <w:rPr>
                <w:noProof/>
                <w:webHidden/>
              </w:rPr>
              <w:tab/>
            </w:r>
            <w:r w:rsidR="002E0B3C">
              <w:rPr>
                <w:noProof/>
                <w:webHidden/>
              </w:rPr>
              <w:fldChar w:fldCharType="begin"/>
            </w:r>
            <w:r w:rsidR="002E0B3C">
              <w:rPr>
                <w:noProof/>
                <w:webHidden/>
              </w:rPr>
              <w:instrText xml:space="preserve"> PAGEREF _Toc345938398 \h </w:instrText>
            </w:r>
            <w:r w:rsidR="002E0B3C">
              <w:rPr>
                <w:noProof/>
                <w:webHidden/>
              </w:rPr>
            </w:r>
            <w:r w:rsidR="002E0B3C">
              <w:rPr>
                <w:noProof/>
                <w:webHidden/>
              </w:rPr>
              <w:fldChar w:fldCharType="separate"/>
            </w:r>
            <w:r w:rsidR="0065626F">
              <w:rPr>
                <w:noProof/>
                <w:webHidden/>
              </w:rPr>
              <w:t>10</w:t>
            </w:r>
            <w:r w:rsidR="002E0B3C">
              <w:rPr>
                <w:noProof/>
                <w:webHidden/>
              </w:rPr>
              <w:fldChar w:fldCharType="end"/>
            </w:r>
          </w:hyperlink>
        </w:p>
        <w:p w:rsidR="002E0B3C" w:rsidRDefault="00A84793" w:rsidP="002E0B3C">
          <w:pPr>
            <w:pStyle w:val="TOC1"/>
            <w:rPr>
              <w:rFonts w:asciiTheme="minorHAnsi" w:eastAsiaTheme="minorEastAsia" w:hAnsiTheme="minorHAnsi"/>
              <w:noProof/>
              <w:sz w:val="22"/>
              <w:szCs w:val="22"/>
            </w:rPr>
          </w:pPr>
          <w:hyperlink w:anchor="_Toc345938399" w:history="1">
            <w:r w:rsidR="002E0B3C" w:rsidRPr="002757F5">
              <w:rPr>
                <w:rStyle w:val="Hyperlink"/>
                <w:noProof/>
              </w:rPr>
              <w:t>IV.</w:t>
            </w:r>
            <w:r w:rsidR="002E0B3C">
              <w:rPr>
                <w:rFonts w:asciiTheme="minorHAnsi" w:eastAsiaTheme="minorEastAsia" w:hAnsiTheme="minorHAnsi"/>
                <w:noProof/>
                <w:sz w:val="22"/>
                <w:szCs w:val="22"/>
              </w:rPr>
              <w:tab/>
            </w:r>
            <w:r w:rsidR="002E0B3C" w:rsidRPr="002E0B3C">
              <w:rPr>
                <w:rStyle w:val="Hyperlink"/>
                <w:caps/>
                <w:noProof/>
              </w:rPr>
              <w:t>Conclusion</w:t>
            </w:r>
            <w:r w:rsidR="002E0B3C">
              <w:rPr>
                <w:noProof/>
                <w:webHidden/>
              </w:rPr>
              <w:tab/>
            </w:r>
            <w:r w:rsidR="002E0B3C">
              <w:rPr>
                <w:noProof/>
                <w:webHidden/>
              </w:rPr>
              <w:fldChar w:fldCharType="begin"/>
            </w:r>
            <w:r w:rsidR="002E0B3C">
              <w:rPr>
                <w:noProof/>
                <w:webHidden/>
              </w:rPr>
              <w:instrText xml:space="preserve"> PAGEREF _Toc345938399 \h </w:instrText>
            </w:r>
            <w:r w:rsidR="002E0B3C">
              <w:rPr>
                <w:noProof/>
                <w:webHidden/>
              </w:rPr>
            </w:r>
            <w:r w:rsidR="002E0B3C">
              <w:rPr>
                <w:noProof/>
                <w:webHidden/>
              </w:rPr>
              <w:fldChar w:fldCharType="separate"/>
            </w:r>
            <w:r w:rsidR="0065626F">
              <w:rPr>
                <w:noProof/>
                <w:webHidden/>
              </w:rPr>
              <w:t>12</w:t>
            </w:r>
            <w:r w:rsidR="002E0B3C">
              <w:rPr>
                <w:noProof/>
                <w:webHidden/>
              </w:rPr>
              <w:fldChar w:fldCharType="end"/>
            </w:r>
          </w:hyperlink>
        </w:p>
        <w:p w:rsidR="002E0B3C" w:rsidRDefault="002E0B3C">
          <w:r>
            <w:rPr>
              <w:b/>
              <w:bCs/>
              <w:noProof/>
            </w:rPr>
            <w:fldChar w:fldCharType="end"/>
          </w:r>
        </w:p>
      </w:sdtContent>
    </w:sdt>
    <w:p w:rsidR="00E66FEE" w:rsidRDefault="00E66FEE">
      <w:pPr>
        <w:rPr>
          <w:rFonts w:cs="Arial"/>
          <w:b/>
          <w:smallCaps/>
          <w:sz w:val="28"/>
          <w:szCs w:val="28"/>
        </w:rPr>
        <w:sectPr w:rsidR="00E66FEE" w:rsidSect="00AC1E12">
          <w:pgSz w:w="12240" w:h="15840"/>
          <w:pgMar w:top="1440" w:right="1440" w:bottom="1440" w:left="1440" w:header="720" w:footer="720" w:gutter="0"/>
          <w:cols w:space="720"/>
          <w:titlePg/>
          <w:docGrid w:linePitch="326"/>
        </w:sectPr>
      </w:pPr>
    </w:p>
    <w:p w:rsidR="00E66FEE" w:rsidRDefault="00B36D11">
      <w:pPr>
        <w:jc w:val="center"/>
        <w:rPr>
          <w:rFonts w:cs="Arial"/>
          <w:b/>
          <w:smallCaps/>
          <w:sz w:val="28"/>
          <w:szCs w:val="28"/>
        </w:rPr>
      </w:pPr>
      <w:r>
        <w:rPr>
          <w:rFonts w:cs="Arial"/>
          <w:b/>
          <w:smallCaps/>
          <w:sz w:val="28"/>
          <w:szCs w:val="28"/>
        </w:rPr>
        <w:lastRenderedPageBreak/>
        <w:t>Before</w:t>
      </w:r>
    </w:p>
    <w:p w:rsidR="00E66FEE" w:rsidRDefault="00B36D11">
      <w:pPr>
        <w:jc w:val="center"/>
        <w:rPr>
          <w:rFonts w:cs="Arial"/>
          <w:b/>
          <w:smallCaps/>
          <w:sz w:val="28"/>
          <w:szCs w:val="28"/>
        </w:rPr>
      </w:pPr>
      <w:r>
        <w:rPr>
          <w:rFonts w:cs="Arial"/>
          <w:b/>
          <w:smallCaps/>
          <w:sz w:val="28"/>
          <w:szCs w:val="28"/>
        </w:rPr>
        <w:t>The Public Utilities Commission of Ohio</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12-426-EL-SSO</w:t>
      </w:r>
    </w:p>
    <w:p w:rsidR="00E66FEE" w:rsidRDefault="00B36D11">
      <w:pPr>
        <w:tabs>
          <w:tab w:val="left" w:pos="4860"/>
          <w:tab w:val="left" w:pos="5580"/>
        </w:tabs>
        <w:rPr>
          <w:rFonts w:cs="Arial"/>
          <w:color w:val="000000"/>
        </w:rPr>
      </w:pPr>
      <w:r>
        <w:rPr>
          <w:rFonts w:cs="Arial"/>
        </w:rPr>
        <w:t>Approval of Its Electric Security Plan</w:t>
      </w:r>
      <w:r>
        <w:rPr>
          <w:rFonts w:cs="Arial"/>
        </w:rPr>
        <w:tab/>
        <w:t>)</w:t>
      </w:r>
    </w:p>
    <w:p w:rsidR="00E66FEE" w:rsidRDefault="00E66FEE">
      <w:pPr>
        <w:tabs>
          <w:tab w:val="left" w:pos="4860"/>
          <w:tab w:val="left" w:pos="5580"/>
        </w:tabs>
        <w:rPr>
          <w:rFonts w:cs="Arial"/>
          <w:b/>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12-427-EL-ATA</w:t>
      </w:r>
    </w:p>
    <w:p w:rsidR="00E66FEE" w:rsidRDefault="00B36D11">
      <w:pPr>
        <w:tabs>
          <w:tab w:val="left" w:pos="4860"/>
          <w:tab w:val="left" w:pos="5580"/>
        </w:tabs>
        <w:rPr>
          <w:rFonts w:cs="Arial"/>
        </w:rPr>
      </w:pPr>
      <w:r>
        <w:rPr>
          <w:rFonts w:cs="Arial"/>
        </w:rPr>
        <w:t>Approval of Revised Tariffs</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12-428-EL-AAM</w:t>
      </w:r>
    </w:p>
    <w:p w:rsidR="00E66FEE" w:rsidRDefault="00B36D11">
      <w:pPr>
        <w:tabs>
          <w:tab w:val="left" w:pos="4860"/>
          <w:tab w:val="left" w:pos="5580"/>
        </w:tabs>
        <w:rPr>
          <w:rFonts w:cs="Arial"/>
        </w:rPr>
      </w:pPr>
      <w:r>
        <w:rPr>
          <w:rFonts w:cs="Arial"/>
        </w:rPr>
        <w:t xml:space="preserve">Approval of Certain Accounting Authority </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12-429-EL-WVR</w:t>
      </w:r>
    </w:p>
    <w:p w:rsidR="00E66FEE" w:rsidRDefault="00B36D11">
      <w:pPr>
        <w:tabs>
          <w:tab w:val="left" w:pos="4860"/>
          <w:tab w:val="left" w:pos="5580"/>
        </w:tabs>
        <w:rPr>
          <w:rFonts w:cs="Arial"/>
        </w:rPr>
      </w:pPr>
      <w:proofErr w:type="gramStart"/>
      <w:r>
        <w:rPr>
          <w:rFonts w:cs="Arial"/>
        </w:rPr>
        <w:t>the</w:t>
      </w:r>
      <w:proofErr w:type="gramEnd"/>
      <w:r>
        <w:rPr>
          <w:rFonts w:cs="Arial"/>
        </w:rPr>
        <w:t xml:space="preserve"> Waiver of Certain Commission Rules</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 xml:space="preserve">The Dayton Power and Light Company </w:t>
      </w:r>
      <w:r>
        <w:rPr>
          <w:rFonts w:cs="Arial"/>
        </w:rPr>
        <w:tab/>
        <w:t>)</w:t>
      </w:r>
      <w:r>
        <w:rPr>
          <w:rFonts w:cs="Arial"/>
        </w:rPr>
        <w:tab/>
        <w:t>Case No. 12-672-EL-RDR</w:t>
      </w:r>
    </w:p>
    <w:p w:rsidR="00E66FEE" w:rsidRDefault="00B36D11">
      <w:pPr>
        <w:tabs>
          <w:tab w:val="left" w:pos="4860"/>
          <w:tab w:val="left" w:pos="5580"/>
        </w:tabs>
        <w:rPr>
          <w:rFonts w:cs="Arial"/>
        </w:rPr>
      </w:pPr>
      <w:proofErr w:type="gramStart"/>
      <w:r>
        <w:rPr>
          <w:rFonts w:cs="Arial"/>
        </w:rPr>
        <w:t>to</w:t>
      </w:r>
      <w:proofErr w:type="gramEnd"/>
      <w:r>
        <w:rPr>
          <w:rFonts w:cs="Arial"/>
        </w:rPr>
        <w:t xml:space="preserve"> Establish Tariff Riders</w:t>
      </w:r>
      <w:r>
        <w:rPr>
          <w:rFonts w:cs="Arial"/>
        </w:rPr>
        <w:tab/>
        <w:t>)</w:t>
      </w:r>
    </w:p>
    <w:p w:rsidR="00E66FEE" w:rsidRDefault="00E66FEE">
      <w:pPr>
        <w:tabs>
          <w:tab w:val="left" w:pos="5040"/>
        </w:tabs>
        <w:rPr>
          <w:rFonts w:cs="Arial"/>
        </w:rPr>
      </w:pPr>
    </w:p>
    <w:p w:rsidR="00E66FEE" w:rsidRDefault="00E66FEE">
      <w:pPr>
        <w:pBdr>
          <w:top w:val="single" w:sz="12" w:space="1" w:color="auto"/>
        </w:pBdr>
        <w:tabs>
          <w:tab w:val="left" w:pos="5040"/>
        </w:tabs>
        <w:rPr>
          <w:rFonts w:cs="Arial"/>
        </w:rPr>
      </w:pPr>
    </w:p>
    <w:p w:rsidR="00E66FEE" w:rsidRDefault="00B36D11">
      <w:pPr>
        <w:tabs>
          <w:tab w:val="left" w:pos="5040"/>
        </w:tabs>
        <w:jc w:val="center"/>
        <w:rPr>
          <w:rFonts w:cs="Arial"/>
          <w:b/>
          <w:smallCaps/>
          <w:sz w:val="28"/>
          <w:szCs w:val="28"/>
        </w:rPr>
      </w:pPr>
      <w:r>
        <w:rPr>
          <w:rFonts w:cs="Arial"/>
          <w:b/>
          <w:smallCaps/>
          <w:sz w:val="28"/>
          <w:szCs w:val="28"/>
        </w:rPr>
        <w:t>Motion for Protective Order</w:t>
      </w:r>
    </w:p>
    <w:p w:rsidR="00E66FEE" w:rsidRDefault="00E66FEE">
      <w:pPr>
        <w:pBdr>
          <w:bottom w:val="single" w:sz="12" w:space="1" w:color="auto"/>
        </w:pBdr>
        <w:tabs>
          <w:tab w:val="left" w:pos="5040"/>
        </w:tabs>
        <w:rPr>
          <w:rFonts w:cs="Arial"/>
        </w:rPr>
      </w:pPr>
    </w:p>
    <w:p w:rsidR="00E66FEE" w:rsidRDefault="00E66FEE">
      <w:pPr>
        <w:tabs>
          <w:tab w:val="left" w:pos="5040"/>
        </w:tabs>
        <w:rPr>
          <w:rFonts w:cs="Arial"/>
        </w:rPr>
      </w:pPr>
    </w:p>
    <w:p w:rsidR="00E66FEE" w:rsidRDefault="00E66FEE">
      <w:pPr>
        <w:rPr>
          <w:rFonts w:cs="Arial"/>
        </w:rPr>
      </w:pPr>
    </w:p>
    <w:p w:rsidR="00E66FEE" w:rsidRDefault="00B36D11" w:rsidP="00A7617E">
      <w:pPr>
        <w:spacing w:line="480" w:lineRule="auto"/>
        <w:jc w:val="both"/>
      </w:pPr>
      <w:r>
        <w:tab/>
        <w:t>In accordance with Rule 4901-1-24(A), Ohio Administrative Code (“O.A.C.”), Industrial Energy Users-Ohio (“IEU-Ohio”) files this Motion for Protective Order and Memorandum in Support (“Motion”) seeking an order from the Public Utilities Commission of Ohio (“Commission”) holding that certain discovery requests of The Dayton Power and Light Company (“DP&amp;L”) “may be had only on specified terms and conditions.”</w:t>
      </w:r>
      <w:r>
        <w:rPr>
          <w:rStyle w:val="FootnoteReference"/>
          <w:rFonts w:cs="Arial"/>
        </w:rPr>
        <w:footnoteReference w:id="1"/>
      </w:r>
      <w:r>
        <w:t xml:space="preserve">  Specifically, IEU-Ohio maintains that the information DP&amp;L seeks in Interrogatories 4 through 7 is not currently known by IEU-Ohio, and IEU-Ohio indicated </w:t>
      </w:r>
      <w:r>
        <w:lastRenderedPageBreak/>
        <w:t>that if it files testimony, it will identify concerns raised by IEU-Ohio’s review.</w:t>
      </w:r>
      <w:r>
        <w:rPr>
          <w:vertAlign w:val="superscript"/>
        </w:rPr>
        <w:footnoteReference w:id="2"/>
      </w:r>
      <w:r>
        <w:t xml:space="preserve">  Despite the fact that the information is not known, and DP&amp;L (not IEU-Ohio) bears the statutory burden of proof to demonstrate that DP&amp;L’s ESP application may be approved,</w:t>
      </w:r>
      <w:r>
        <w:rPr>
          <w:rStyle w:val="FootnoteReference"/>
          <w:rFonts w:cs="Arial"/>
        </w:rPr>
        <w:footnoteReference w:id="3"/>
      </w:r>
      <w:r>
        <w:t xml:space="preserve"> DP&amp;L has filed a motion to compel IEU-Ohio to respond.  Therefore, IEU-Ohio requests that the Commission hold that DP&amp;L may not further harass or inquire from IEU-Ohio about the information sought in Interrogatories 4, 5, 6 and 7, which is not currently known, and which IEU-Ohio is not required to provide.</w:t>
      </w:r>
    </w:p>
    <w:p w:rsidR="00E66FEE" w:rsidRDefault="00B36D11">
      <w:pPr>
        <w:spacing w:line="480" w:lineRule="auto"/>
        <w:jc w:val="both"/>
        <w:rPr>
          <w:rFonts w:cs="Arial"/>
        </w:rPr>
      </w:pPr>
      <w:r>
        <w:rPr>
          <w:rFonts w:cs="Arial"/>
        </w:rPr>
        <w:tab/>
        <w:t>Additionally, IEU-Ohio seeks the Commission to hold that “[c]</w:t>
      </w:r>
      <w:proofErr w:type="spellStart"/>
      <w:r>
        <w:rPr>
          <w:rFonts w:cs="Arial"/>
        </w:rPr>
        <w:t>ertain</w:t>
      </w:r>
      <w:proofErr w:type="spellEnd"/>
      <w:r>
        <w:rPr>
          <w:rFonts w:cs="Arial"/>
        </w:rPr>
        <w:t xml:space="preserve"> matters may not be inquired into.”</w:t>
      </w:r>
      <w:r>
        <w:rPr>
          <w:rStyle w:val="FootnoteReference"/>
          <w:rFonts w:cs="Arial"/>
        </w:rPr>
        <w:footnoteReference w:id="4"/>
      </w:r>
      <w:r>
        <w:rPr>
          <w:rFonts w:cs="Arial"/>
        </w:rPr>
        <w:t xml:space="preserve">  Specifically, IEU-Ohio requests that the Commission hold that any information that might be in IEU-Ohio’s possession or control related to either Ohio Power Company’s (“AEP-Ohio”) electric security plan (“ESP”) Proceeding,</w:t>
      </w:r>
      <w:r>
        <w:rPr>
          <w:rStyle w:val="FootnoteReference"/>
          <w:rFonts w:cs="Arial"/>
        </w:rPr>
        <w:footnoteReference w:id="5"/>
      </w:r>
      <w:r>
        <w:rPr>
          <w:rFonts w:cs="Arial"/>
        </w:rPr>
        <w:t xml:space="preserve"> or DP&amp;L’s withdrawn market rate offer (“MRO”) application is not reasonably calculated to lead to the discovery of admissible evidence and is therefore not within the proper scope of discovery in this proceeding.</w:t>
      </w:r>
      <w:r>
        <w:rPr>
          <w:rFonts w:cs="Arial"/>
          <w:vertAlign w:val="superscript"/>
        </w:rPr>
        <w:footnoteReference w:id="6"/>
      </w:r>
    </w:p>
    <w:p w:rsidR="00E66FEE" w:rsidRDefault="00B36D11">
      <w:pPr>
        <w:spacing w:line="480" w:lineRule="auto"/>
        <w:jc w:val="both"/>
        <w:rPr>
          <w:rFonts w:cs="Arial"/>
        </w:rPr>
      </w:pPr>
      <w:r>
        <w:rPr>
          <w:rFonts w:cs="Arial"/>
        </w:rPr>
        <w:tab/>
        <w:t xml:space="preserve">As the Commission recently held, when a party serves improper discovery requests upon another party, the remedy is to seek a protective order under Rule </w:t>
      </w:r>
      <w:r>
        <w:rPr>
          <w:rFonts w:cs="Arial"/>
        </w:rPr>
        <w:lastRenderedPageBreak/>
        <w:t>4901</w:t>
      </w:r>
      <w:r>
        <w:rPr>
          <w:rFonts w:cs="Arial"/>
        </w:rPr>
        <w:noBreakHyphen/>
        <w:t>1</w:t>
      </w:r>
      <w:r>
        <w:rPr>
          <w:rFonts w:cs="Arial"/>
        </w:rPr>
        <w:noBreakHyphen/>
      </w:r>
      <w:proofErr w:type="gramStart"/>
      <w:r>
        <w:rPr>
          <w:rFonts w:cs="Arial"/>
        </w:rPr>
        <w:t>24(</w:t>
      </w:r>
      <w:proofErr w:type="gramEnd"/>
      <w:r>
        <w:rPr>
          <w:rFonts w:cs="Arial"/>
        </w:rPr>
        <w:t>A), O.A.C.</w:t>
      </w:r>
      <w:r>
        <w:rPr>
          <w:rFonts w:cs="Arial"/>
          <w:vertAlign w:val="superscript"/>
        </w:rPr>
        <w:footnoteReference w:id="7"/>
      </w:r>
      <w:r>
        <w:rPr>
          <w:rFonts w:cs="Arial"/>
        </w:rPr>
        <w:t xml:space="preserve">  IEU-Ohio has attempted to resolve these issues with DP&amp;L, but IEU-Ohio’s efforts have been to no avail.  As explained in more detail below, IEU-Ohio requests that the Commission grant this Motion.</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Respectfully submitted,</w:t>
      </w:r>
    </w:p>
    <w:p w:rsidR="00E66FEE" w:rsidRDefault="00E66FEE">
      <w:pPr>
        <w:tabs>
          <w:tab w:val="left" w:pos="-1440"/>
          <w:tab w:val="left" w:pos="-720"/>
          <w:tab w:val="left" w:pos="3600"/>
          <w:tab w:val="left" w:pos="4320"/>
        </w:tabs>
        <w:ind w:left="4320"/>
        <w:rPr>
          <w:rFonts w:cs="Arial"/>
          <w:color w:val="000000" w:themeColor="text1"/>
          <w:lang w:val="de-DE"/>
        </w:rPr>
      </w:pPr>
    </w:p>
    <w:p w:rsidR="00E66FEE" w:rsidRDefault="00E66FEE">
      <w:pPr>
        <w:tabs>
          <w:tab w:val="left" w:pos="-1440"/>
          <w:tab w:val="left" w:pos="-720"/>
          <w:tab w:val="left" w:pos="3600"/>
          <w:tab w:val="left" w:pos="4320"/>
        </w:tabs>
        <w:ind w:left="4320"/>
        <w:rPr>
          <w:rFonts w:cs="Arial"/>
          <w:color w:val="000000" w:themeColor="text1"/>
          <w:lang w:val="de-DE"/>
        </w:rPr>
      </w:pPr>
    </w:p>
    <w:p w:rsidR="00E66FEE" w:rsidRDefault="00B36D11">
      <w:pPr>
        <w:tabs>
          <w:tab w:val="left" w:pos="-1440"/>
          <w:tab w:val="left" w:pos="-720"/>
          <w:tab w:val="left" w:pos="4320"/>
          <w:tab w:val="right" w:pos="9360"/>
        </w:tabs>
        <w:ind w:left="4320"/>
        <w:rPr>
          <w:rFonts w:cs="Arial"/>
          <w:color w:val="000000" w:themeColor="text1"/>
          <w:u w:val="single"/>
          <w:lang w:val="de-DE"/>
        </w:rPr>
      </w:pPr>
      <w:r>
        <w:rPr>
          <w:rFonts w:cs="Arial"/>
          <w:color w:val="000000" w:themeColor="text1"/>
          <w:u w:val="single"/>
          <w:lang w:val="de-DE"/>
        </w:rPr>
        <w:t xml:space="preserve">  /s/ Matthew R. Pritchard</w:t>
      </w:r>
      <w:r>
        <w:rPr>
          <w:rFonts w:cs="Arial"/>
          <w:color w:val="000000" w:themeColor="text1"/>
          <w:u w:val="single"/>
          <w:lang w:val="de-DE"/>
        </w:rPr>
        <w:tab/>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Samuel C. Randazzo (Counsel of Record)</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 xml:space="preserve">Frank P. Darr </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Matthew R. Pritchard</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Joseph E. Oliker</w:t>
      </w:r>
    </w:p>
    <w:p w:rsidR="00E66FEE" w:rsidRDefault="00B36D11">
      <w:pPr>
        <w:tabs>
          <w:tab w:val="left" w:pos="-1440"/>
          <w:tab w:val="left" w:pos="-720"/>
          <w:tab w:val="left" w:pos="3600"/>
          <w:tab w:val="left" w:pos="4320"/>
        </w:tabs>
        <w:ind w:left="4320"/>
        <w:rPr>
          <w:rFonts w:cs="Arial"/>
          <w:smallCaps/>
          <w:color w:val="000000" w:themeColor="text1"/>
          <w:sz w:val="20"/>
        </w:rPr>
      </w:pPr>
      <w:r>
        <w:rPr>
          <w:rFonts w:cs="Arial"/>
          <w:smallCaps/>
          <w:color w:val="000000" w:themeColor="text1"/>
        </w:rPr>
        <w:t xml:space="preserve">McNees Wallace &amp; Nurick </w:t>
      </w:r>
      <w:r>
        <w:rPr>
          <w:rFonts w:cs="Arial"/>
          <w:smallCaps/>
          <w:color w:val="000000" w:themeColor="text1"/>
          <w:sz w:val="20"/>
        </w:rPr>
        <w:t>LLC</w:t>
      </w:r>
    </w:p>
    <w:p w:rsidR="00E66FEE" w:rsidRDefault="00B36D11">
      <w:pPr>
        <w:tabs>
          <w:tab w:val="left" w:pos="-1440"/>
          <w:tab w:val="left" w:pos="-720"/>
          <w:tab w:val="left" w:pos="3600"/>
          <w:tab w:val="left" w:pos="4320"/>
        </w:tabs>
        <w:ind w:left="432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E66FEE" w:rsidRDefault="00B36D11">
      <w:pPr>
        <w:tabs>
          <w:tab w:val="left" w:pos="-1440"/>
          <w:tab w:val="left" w:pos="-720"/>
          <w:tab w:val="left" w:pos="4320"/>
        </w:tabs>
        <w:ind w:left="4320"/>
        <w:rPr>
          <w:rFonts w:cs="Arial"/>
          <w:color w:val="000000" w:themeColor="text1"/>
        </w:rPr>
      </w:pPr>
      <w:r>
        <w:rPr>
          <w:rFonts w:cs="Arial"/>
          <w:color w:val="000000" w:themeColor="text1"/>
        </w:rPr>
        <w:t>Columbus, OH  43215-4228</w:t>
      </w:r>
    </w:p>
    <w:p w:rsidR="00E66FEE" w:rsidRDefault="00B36D11">
      <w:pPr>
        <w:tabs>
          <w:tab w:val="left" w:pos="-1440"/>
          <w:tab w:val="left" w:pos="-720"/>
          <w:tab w:val="left" w:pos="4320"/>
        </w:tabs>
        <w:ind w:left="4320"/>
        <w:rPr>
          <w:rFonts w:cs="Arial"/>
          <w:color w:val="000000" w:themeColor="text1"/>
        </w:rPr>
      </w:pPr>
      <w:r>
        <w:rPr>
          <w:rFonts w:cs="Arial"/>
          <w:color w:val="000000" w:themeColor="text1"/>
        </w:rPr>
        <w:t>Telephone:  (614) 469-8000</w:t>
      </w:r>
    </w:p>
    <w:p w:rsidR="00E66FEE" w:rsidRDefault="00B36D11" w:rsidP="00943DF8">
      <w:pPr>
        <w:tabs>
          <w:tab w:val="left" w:pos="4320"/>
        </w:tabs>
        <w:spacing w:beforeLines="1" w:before="2"/>
        <w:ind w:left="4320"/>
        <w:jc w:val="both"/>
        <w:rPr>
          <w:rFonts w:eastAsia="Times New Roman" w:cs="Arial"/>
          <w:color w:val="000000" w:themeColor="text1"/>
        </w:rPr>
      </w:pPr>
      <w:proofErr w:type="spellStart"/>
      <w:r>
        <w:rPr>
          <w:rFonts w:eastAsia="Times New Roman" w:cs="Arial"/>
          <w:color w:val="000000" w:themeColor="text1"/>
        </w:rPr>
        <w:t>Telecopier</w:t>
      </w:r>
      <w:proofErr w:type="spellEnd"/>
      <w:r>
        <w:rPr>
          <w:rFonts w:eastAsia="Times New Roman" w:cs="Arial"/>
          <w:color w:val="000000" w:themeColor="text1"/>
        </w:rPr>
        <w:t>:  (614) 469-4653</w:t>
      </w:r>
    </w:p>
    <w:p w:rsidR="00E66FEE" w:rsidRDefault="00B36D11" w:rsidP="00943DF8">
      <w:pPr>
        <w:spacing w:beforeLines="1" w:before="2"/>
        <w:ind w:left="4320"/>
        <w:jc w:val="both"/>
        <w:rPr>
          <w:rFonts w:eastAsia="Times New Roman" w:cs="Arial"/>
          <w:color w:val="000000" w:themeColor="text1"/>
        </w:rPr>
      </w:pPr>
      <w:r>
        <w:rPr>
          <w:rFonts w:eastAsia="Times New Roman" w:cs="Arial"/>
          <w:color w:val="000000" w:themeColor="text1"/>
        </w:rPr>
        <w:t>sam@mwncmh.com</w:t>
      </w:r>
    </w:p>
    <w:p w:rsidR="00E66FEE" w:rsidRDefault="00B36D11" w:rsidP="00A7617E">
      <w:pPr>
        <w:spacing w:beforeLines="1" w:before="2"/>
        <w:ind w:left="4320"/>
        <w:jc w:val="both"/>
        <w:rPr>
          <w:rFonts w:eastAsia="Times New Roman" w:cs="Arial"/>
          <w:color w:val="000000" w:themeColor="text1"/>
        </w:rPr>
      </w:pPr>
      <w:r>
        <w:rPr>
          <w:rFonts w:eastAsia="Times New Roman" w:cs="Arial"/>
          <w:color w:val="000000" w:themeColor="text1"/>
        </w:rPr>
        <w:t>fdarr@mwncmh.com</w:t>
      </w:r>
    </w:p>
    <w:p w:rsidR="00E66FEE" w:rsidRDefault="00B36D11" w:rsidP="00A7617E">
      <w:pPr>
        <w:spacing w:beforeLines="1" w:before="2"/>
        <w:ind w:left="4320"/>
        <w:jc w:val="both"/>
        <w:rPr>
          <w:rFonts w:eastAsia="Times New Roman" w:cs="Arial"/>
          <w:color w:val="000000" w:themeColor="text1"/>
        </w:rPr>
      </w:pPr>
      <w:r>
        <w:rPr>
          <w:rFonts w:eastAsia="Times New Roman" w:cs="Arial"/>
          <w:color w:val="000000" w:themeColor="text1"/>
        </w:rPr>
        <w:t>mpritchard@mwncmh.com</w:t>
      </w:r>
    </w:p>
    <w:p w:rsidR="00E66FEE" w:rsidRDefault="00B36D11">
      <w:pPr>
        <w:ind w:left="4320"/>
        <w:rPr>
          <w:color w:val="000000" w:themeColor="text1"/>
        </w:rPr>
      </w:pPr>
      <w:r>
        <w:rPr>
          <w:color w:val="000000" w:themeColor="text1"/>
        </w:rPr>
        <w:t>joliker@mwncmh.com</w:t>
      </w:r>
    </w:p>
    <w:p w:rsidR="00E66FEE" w:rsidRDefault="00B36D11" w:rsidP="00943DF8">
      <w:pPr>
        <w:spacing w:beforeLines="1" w:before="2"/>
        <w:jc w:val="center"/>
        <w:rPr>
          <w:rFonts w:cs="Arial"/>
          <w:b/>
          <w:smallCaps/>
          <w:sz w:val="28"/>
          <w:szCs w:val="28"/>
        </w:rPr>
      </w:pPr>
      <w:r>
        <w:rPr>
          <w:rFonts w:ascii="Times" w:hAnsi="Times" w:cs="Arial"/>
          <w:sz w:val="20"/>
          <w:szCs w:val="20"/>
        </w:rPr>
        <w:br w:type="page"/>
      </w:r>
      <w:r>
        <w:rPr>
          <w:rFonts w:cs="Arial"/>
          <w:b/>
          <w:smallCaps/>
          <w:sz w:val="28"/>
          <w:szCs w:val="28"/>
        </w:rPr>
        <w:lastRenderedPageBreak/>
        <w:t>Before</w:t>
      </w:r>
    </w:p>
    <w:p w:rsidR="00E66FEE" w:rsidRDefault="00B36D11">
      <w:pPr>
        <w:jc w:val="center"/>
        <w:rPr>
          <w:rFonts w:cs="Arial"/>
          <w:b/>
          <w:smallCaps/>
          <w:sz w:val="28"/>
          <w:szCs w:val="28"/>
        </w:rPr>
      </w:pPr>
      <w:r>
        <w:rPr>
          <w:rFonts w:cs="Arial"/>
          <w:b/>
          <w:smallCaps/>
          <w:sz w:val="28"/>
          <w:szCs w:val="28"/>
        </w:rPr>
        <w:t>The Public Utilities Commission of Ohio</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12-426-EL-SSO</w:t>
      </w:r>
    </w:p>
    <w:p w:rsidR="00E66FEE" w:rsidRDefault="00B36D11">
      <w:pPr>
        <w:tabs>
          <w:tab w:val="left" w:pos="4860"/>
          <w:tab w:val="left" w:pos="5580"/>
        </w:tabs>
        <w:rPr>
          <w:rFonts w:cs="Arial"/>
          <w:color w:val="000000"/>
        </w:rPr>
      </w:pPr>
      <w:r>
        <w:rPr>
          <w:rFonts w:cs="Arial"/>
        </w:rPr>
        <w:t>Approval of Its Electric Security Plan</w:t>
      </w:r>
      <w:r>
        <w:rPr>
          <w:rFonts w:cs="Arial"/>
        </w:rPr>
        <w:tab/>
        <w:t>)</w:t>
      </w:r>
    </w:p>
    <w:p w:rsidR="00E66FEE" w:rsidRDefault="00E66FEE">
      <w:pPr>
        <w:tabs>
          <w:tab w:val="left" w:pos="4860"/>
          <w:tab w:val="left" w:pos="5580"/>
        </w:tabs>
        <w:rPr>
          <w:rFonts w:cs="Arial"/>
          <w:b/>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12-427-EL-ATA</w:t>
      </w:r>
    </w:p>
    <w:p w:rsidR="00E66FEE" w:rsidRDefault="00B36D11">
      <w:pPr>
        <w:tabs>
          <w:tab w:val="left" w:pos="4860"/>
          <w:tab w:val="left" w:pos="5580"/>
        </w:tabs>
        <w:rPr>
          <w:rFonts w:cs="Arial"/>
        </w:rPr>
      </w:pPr>
      <w:r>
        <w:rPr>
          <w:rFonts w:cs="Arial"/>
        </w:rPr>
        <w:t>Approval of Revised Tariffs</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12-428-EL-AAM</w:t>
      </w:r>
    </w:p>
    <w:p w:rsidR="00E66FEE" w:rsidRDefault="00B36D11">
      <w:pPr>
        <w:tabs>
          <w:tab w:val="left" w:pos="4860"/>
          <w:tab w:val="left" w:pos="5580"/>
        </w:tabs>
        <w:rPr>
          <w:rFonts w:cs="Arial"/>
        </w:rPr>
      </w:pPr>
      <w:r>
        <w:rPr>
          <w:rFonts w:cs="Arial"/>
        </w:rPr>
        <w:t xml:space="preserve">Approval of Certain Accounting Authority </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The Dayton Power and Light Company for</w:t>
      </w:r>
      <w:r>
        <w:rPr>
          <w:rFonts w:cs="Arial"/>
        </w:rPr>
        <w:tab/>
        <w:t>)</w:t>
      </w:r>
      <w:r>
        <w:rPr>
          <w:rFonts w:cs="Arial"/>
        </w:rPr>
        <w:tab/>
        <w:t>Case No. 12-429-EL-WVR</w:t>
      </w:r>
    </w:p>
    <w:p w:rsidR="00E66FEE" w:rsidRDefault="00B36D11">
      <w:pPr>
        <w:tabs>
          <w:tab w:val="left" w:pos="4860"/>
          <w:tab w:val="left" w:pos="5580"/>
        </w:tabs>
        <w:rPr>
          <w:rFonts w:cs="Arial"/>
        </w:rPr>
      </w:pPr>
      <w:proofErr w:type="gramStart"/>
      <w:r>
        <w:rPr>
          <w:rFonts w:cs="Arial"/>
        </w:rPr>
        <w:t>the</w:t>
      </w:r>
      <w:proofErr w:type="gramEnd"/>
      <w:r>
        <w:rPr>
          <w:rFonts w:cs="Arial"/>
        </w:rPr>
        <w:t xml:space="preserve"> Waiver of Certain Commission Rules</w:t>
      </w:r>
      <w:r>
        <w:rPr>
          <w:rFonts w:cs="Arial"/>
        </w:rPr>
        <w:tab/>
        <w:t>)</w:t>
      </w:r>
    </w:p>
    <w:p w:rsidR="00E66FEE" w:rsidRDefault="00E66FEE">
      <w:pPr>
        <w:tabs>
          <w:tab w:val="left" w:pos="4860"/>
          <w:tab w:val="left" w:pos="5580"/>
        </w:tabs>
        <w:rPr>
          <w:rFonts w:cs="Arial"/>
        </w:rPr>
      </w:pPr>
    </w:p>
    <w:p w:rsidR="00E66FEE" w:rsidRDefault="00B36D11">
      <w:pPr>
        <w:tabs>
          <w:tab w:val="left" w:pos="4860"/>
          <w:tab w:val="left" w:pos="5580"/>
        </w:tabs>
        <w:rPr>
          <w:rFonts w:cs="Arial"/>
        </w:rPr>
      </w:pPr>
      <w:r>
        <w:rPr>
          <w:rFonts w:cs="Arial"/>
        </w:rPr>
        <w:t xml:space="preserve">In the Matter of the Application of </w:t>
      </w:r>
      <w:r>
        <w:rPr>
          <w:rFonts w:cs="Arial"/>
        </w:rPr>
        <w:tab/>
        <w:t>)</w:t>
      </w:r>
    </w:p>
    <w:p w:rsidR="00E66FEE" w:rsidRDefault="00B36D11">
      <w:pPr>
        <w:tabs>
          <w:tab w:val="left" w:pos="4860"/>
          <w:tab w:val="left" w:pos="5580"/>
        </w:tabs>
        <w:rPr>
          <w:rFonts w:cs="Arial"/>
        </w:rPr>
      </w:pPr>
      <w:r>
        <w:rPr>
          <w:rFonts w:cs="Arial"/>
        </w:rPr>
        <w:t xml:space="preserve">The Dayton Power and Light Company </w:t>
      </w:r>
      <w:r>
        <w:rPr>
          <w:rFonts w:cs="Arial"/>
        </w:rPr>
        <w:tab/>
        <w:t>)</w:t>
      </w:r>
      <w:r>
        <w:rPr>
          <w:rFonts w:cs="Arial"/>
        </w:rPr>
        <w:tab/>
        <w:t>Case No. 12-672-EL-RDR</w:t>
      </w:r>
    </w:p>
    <w:p w:rsidR="00E66FEE" w:rsidRDefault="00B36D11">
      <w:pPr>
        <w:tabs>
          <w:tab w:val="left" w:pos="4860"/>
          <w:tab w:val="left" w:pos="5580"/>
        </w:tabs>
        <w:rPr>
          <w:rFonts w:cs="Arial"/>
        </w:rPr>
      </w:pPr>
      <w:proofErr w:type="gramStart"/>
      <w:r>
        <w:rPr>
          <w:rFonts w:cs="Arial"/>
        </w:rPr>
        <w:t>to</w:t>
      </w:r>
      <w:proofErr w:type="gramEnd"/>
      <w:r>
        <w:rPr>
          <w:rFonts w:cs="Arial"/>
        </w:rPr>
        <w:t xml:space="preserve"> Establish Tariff Riders</w:t>
      </w:r>
      <w:r>
        <w:rPr>
          <w:rFonts w:cs="Arial"/>
        </w:rPr>
        <w:tab/>
        <w:t>)</w:t>
      </w:r>
    </w:p>
    <w:p w:rsidR="00E66FEE" w:rsidRDefault="00E66FEE">
      <w:pPr>
        <w:tabs>
          <w:tab w:val="left" w:pos="5040"/>
        </w:tabs>
        <w:rPr>
          <w:rFonts w:cs="Arial"/>
        </w:rPr>
      </w:pPr>
    </w:p>
    <w:p w:rsidR="00E66FEE" w:rsidRDefault="00E66FEE">
      <w:pPr>
        <w:tabs>
          <w:tab w:val="left" w:pos="5040"/>
        </w:tabs>
        <w:rPr>
          <w:rFonts w:cs="Arial"/>
        </w:rPr>
      </w:pPr>
    </w:p>
    <w:p w:rsidR="00E66FEE" w:rsidRDefault="00E66FEE">
      <w:pPr>
        <w:pBdr>
          <w:top w:val="single" w:sz="12" w:space="1" w:color="auto"/>
        </w:pBdr>
        <w:tabs>
          <w:tab w:val="left" w:pos="5040"/>
        </w:tabs>
        <w:rPr>
          <w:rFonts w:cs="Arial"/>
        </w:rPr>
      </w:pPr>
    </w:p>
    <w:p w:rsidR="00E66FEE" w:rsidRDefault="00B36D11">
      <w:pPr>
        <w:tabs>
          <w:tab w:val="left" w:pos="5040"/>
        </w:tabs>
        <w:jc w:val="center"/>
        <w:rPr>
          <w:rFonts w:cs="Arial"/>
          <w:b/>
          <w:smallCaps/>
          <w:sz w:val="28"/>
          <w:szCs w:val="28"/>
        </w:rPr>
      </w:pPr>
      <w:r>
        <w:rPr>
          <w:rFonts w:cs="Arial"/>
          <w:b/>
          <w:smallCaps/>
          <w:sz w:val="28"/>
          <w:szCs w:val="28"/>
        </w:rPr>
        <w:t>Memorandum in Support</w:t>
      </w:r>
    </w:p>
    <w:p w:rsidR="00E66FEE" w:rsidRDefault="00E66FEE">
      <w:pPr>
        <w:pBdr>
          <w:bottom w:val="single" w:sz="12" w:space="1" w:color="auto"/>
        </w:pBdr>
        <w:tabs>
          <w:tab w:val="left" w:pos="5040"/>
        </w:tabs>
        <w:rPr>
          <w:rFonts w:cs="Arial"/>
        </w:rPr>
      </w:pPr>
    </w:p>
    <w:p w:rsidR="00E66FEE" w:rsidRDefault="00E66FEE">
      <w:pPr>
        <w:tabs>
          <w:tab w:val="left" w:pos="5040"/>
        </w:tabs>
        <w:rPr>
          <w:rFonts w:cs="Arial"/>
        </w:rPr>
      </w:pPr>
    </w:p>
    <w:p w:rsidR="00E66FEE" w:rsidRDefault="00E66FEE">
      <w:pPr>
        <w:tabs>
          <w:tab w:val="left" w:pos="5040"/>
        </w:tabs>
        <w:rPr>
          <w:rFonts w:cs="Arial"/>
        </w:rPr>
      </w:pPr>
    </w:p>
    <w:p w:rsidR="00E66FEE" w:rsidRDefault="00B36D11">
      <w:pPr>
        <w:pStyle w:val="S2Heading1"/>
      </w:pPr>
      <w:bookmarkStart w:id="0" w:name="_Toc345938394"/>
      <w:r>
        <w:t>INTRODUCTION</w:t>
      </w:r>
      <w:bookmarkEnd w:id="0"/>
      <w:r>
        <w:t xml:space="preserve"> </w:t>
      </w:r>
    </w:p>
    <w:p w:rsidR="00E66FEE" w:rsidRDefault="00B36D11">
      <w:pPr>
        <w:spacing w:line="480" w:lineRule="auto"/>
        <w:jc w:val="both"/>
        <w:rPr>
          <w:rFonts w:cs="Arial"/>
        </w:rPr>
      </w:pPr>
      <w:r>
        <w:rPr>
          <w:rFonts w:cs="Arial"/>
        </w:rPr>
        <w:tab/>
        <w:t xml:space="preserve">DP&amp;L filed an application to establish a standard service offer (“SSO”) in the form of an MRO on March 30, 2012.  Despite months of settlement discussions, DP&amp;L decided to unilaterally withdraw its MRO application.  In its place, DP&amp;L hastily filed an application to establish an SSO in the form of an ESP that was both incomplete and incorrect.  IEU-Ohio, along with other intervenors, filed a motion seeking an order from the Commission directing DP&amp;L to file additional information along with its application.  This motion is still pending.  DP&amp;L, however, soon realized its own calculations embedded in its ESP application were incorrect.  DP&amp;L then filed a revised application </w:t>
      </w:r>
      <w:r>
        <w:rPr>
          <w:rFonts w:cs="Arial"/>
        </w:rPr>
        <w:lastRenderedPageBreak/>
        <w:t>to establish an SSO in the form of an ESP (its third SSO application in nine months).  DP&amp;L again failed to provide the appropriate level of transparency in its revised ESP application.  Specifically, DP&amp;L did not disaggregate its total company financial information into its three lines of business (generation, transmission, and distribution).  Parties have requested this information through discovery, but DP&amp;L has indicated it does not exist and cannot be produced.  DP&amp;L’s revised ESP application also failed to include the supporting internal financial information that drove DP&amp;L’s total company financial analysis.  Parties have had to resort to the discovery process to gain access to this information, and DP&amp;L has only begrudgingly turned over some of the supporting total company information.</w:t>
      </w:r>
    </w:p>
    <w:p w:rsidR="00E66FEE" w:rsidRDefault="00B36D11" w:rsidP="002E0B3C">
      <w:pPr>
        <w:spacing w:line="480" w:lineRule="auto"/>
        <w:jc w:val="both"/>
        <w:rPr>
          <w:b/>
          <w:caps/>
          <w:u w:val="single"/>
        </w:rPr>
      </w:pPr>
      <w:r>
        <w:tab/>
        <w:t xml:space="preserve">While IEU-Ohio would like to help DP&amp;L advance something that is both lawful and reasonable relative to the statutory requirements and the state policy, DP&amp;L has failed to provide parties with the information necessary to do so.  The information that has been sought will allow parties to better understand why DP&amp;L believes customers should be required to provide a “regulated” return on equity (“ROE”) that is calculated from DP&amp;L’s total company common equity balance when roughly half of the total company generation investment is dedicated to DPL Energy Resources’ (“DPLER”) and MC </w:t>
      </w:r>
      <w:proofErr w:type="spellStart"/>
      <w:r>
        <w:t>Squared’s</w:t>
      </w:r>
      <w:proofErr w:type="spellEnd"/>
      <w:r>
        <w:rPr>
          <w:vertAlign w:val="superscript"/>
        </w:rPr>
        <w:footnoteReference w:id="8"/>
      </w:r>
      <w:r>
        <w:t xml:space="preserve"> efforts to serve shopping customers in DP&amp;L’s territory, and more generation investment is likely dedicated to DPLER’s and MC </w:t>
      </w:r>
      <w:proofErr w:type="spellStart"/>
      <w:r>
        <w:t>Squared’s</w:t>
      </w:r>
      <w:proofErr w:type="spellEnd"/>
      <w:r>
        <w:t xml:space="preserve"> efforts to compete for retail customers elsewhere in Ohio as well as in other states.</w:t>
      </w:r>
      <w:r>
        <w:rPr>
          <w:vertAlign w:val="superscript"/>
        </w:rPr>
        <w:footnoteReference w:id="9"/>
      </w:r>
      <w:r>
        <w:t xml:space="preserve">  DP&amp;L </w:t>
      </w:r>
      <w:r>
        <w:lastRenderedPageBreak/>
        <w:t>refused to provide all necessary information as part of its ESP filing or part of its revised ESP filing and information has only slowly been trickling in through the discovery process (and in some instances, DP&amp;L has refused to provide parties with additional information).  Instead, DP&amp;L has served discovery requests on parties such as IEU-Ohio that are overly broad and not likely to result in the discovery of admissible evidence.</w:t>
      </w:r>
    </w:p>
    <w:p w:rsidR="00E66FEE" w:rsidRDefault="00B36D11">
      <w:pPr>
        <w:pStyle w:val="S2Heading1"/>
      </w:pPr>
      <w:bookmarkStart w:id="1" w:name="_Toc345938395"/>
      <w:r>
        <w:t>Interrogatories 4, 5, 6 and 7</w:t>
      </w:r>
      <w:bookmarkEnd w:id="1"/>
    </w:p>
    <w:p w:rsidR="00E66FEE" w:rsidRDefault="00B36D11">
      <w:pPr>
        <w:spacing w:line="480" w:lineRule="auto"/>
        <w:ind w:firstLine="720"/>
        <w:jc w:val="both"/>
      </w:pPr>
      <w:r>
        <w:rPr>
          <w:rFonts w:cs="Arial"/>
        </w:rPr>
        <w:t xml:space="preserve">At issue in this Motion are Interrogatories 4, 5, 6 and 7 (along with several Requests for Production of Documents discussed below) from DP&amp;L’s first set of discovery upon IEU-Ohio. </w:t>
      </w:r>
      <w:r>
        <w:t xml:space="preserve"> These </w:t>
      </w:r>
      <w:r w:rsidR="00943DF8">
        <w:t>i</w:t>
      </w:r>
      <w:r>
        <w:t xml:space="preserve">nterrogatories are overly broad and responding would cause IEU-Ohio an undue burden or expense.  Specifically, these </w:t>
      </w:r>
      <w:r w:rsidR="00943DF8">
        <w:t>i</w:t>
      </w:r>
      <w:r>
        <w:t>nterrogatories read:</w:t>
      </w:r>
    </w:p>
    <w:p w:rsidR="00E66FEE" w:rsidRDefault="00B36D11">
      <w:pPr>
        <w:ind w:left="720" w:right="720"/>
        <w:jc w:val="both"/>
      </w:pPr>
      <w:r>
        <w:t xml:space="preserve">Interrogatory 4:  Identify any respect in which IEU contends that DP&amp;L's Second Revised Application, the supporting testimony, </w:t>
      </w:r>
      <w:proofErr w:type="spellStart"/>
      <w:r>
        <w:t>workpapers</w:t>
      </w:r>
      <w:proofErr w:type="spellEnd"/>
      <w:r>
        <w:t>, schedules, or other documents fail to comply with any applicable legal or regulatory requirement, and identify the reason for that contention.</w:t>
      </w:r>
    </w:p>
    <w:p w:rsidR="00E66FEE" w:rsidRDefault="00E66FEE">
      <w:pPr>
        <w:ind w:left="720" w:right="720"/>
        <w:jc w:val="both"/>
      </w:pPr>
    </w:p>
    <w:p w:rsidR="00E66FEE" w:rsidRDefault="00B36D11">
      <w:pPr>
        <w:ind w:left="720" w:right="720"/>
        <w:jc w:val="both"/>
      </w:pPr>
      <w:r>
        <w:t xml:space="preserve">Interrogatory 5:  Identify any and all charges, rates, or other relief that is sought in the Second Revised Application, the supporting testimony, </w:t>
      </w:r>
      <w:proofErr w:type="spellStart"/>
      <w:r>
        <w:t>workpapers</w:t>
      </w:r>
      <w:proofErr w:type="spellEnd"/>
      <w:r>
        <w:t>, schedules, or other documents that IEU contends that DP&amp;L is not entitled to receive under applicable laws and regulations, and identify the reason for that contention.</w:t>
      </w:r>
    </w:p>
    <w:p w:rsidR="00E66FEE" w:rsidRDefault="00E66FEE">
      <w:pPr>
        <w:ind w:left="720" w:right="720"/>
        <w:jc w:val="both"/>
      </w:pPr>
    </w:p>
    <w:p w:rsidR="00E66FEE" w:rsidRDefault="00B36D11">
      <w:pPr>
        <w:ind w:left="720" w:right="720"/>
        <w:jc w:val="both"/>
      </w:pPr>
      <w:r>
        <w:t xml:space="preserve">Interrogatory 6:  Identify any and all charges, rates, or other relief requested in the Second Revised Application, the supporting testimony, </w:t>
      </w:r>
      <w:proofErr w:type="spellStart"/>
      <w:r>
        <w:t>workpapers</w:t>
      </w:r>
      <w:proofErr w:type="spellEnd"/>
      <w:r>
        <w:t>, schedules, or other documents that IEU claims is not adequately supported in DP&amp;L's filing, and identify the reason for that contention.</w:t>
      </w:r>
    </w:p>
    <w:p w:rsidR="00E66FEE" w:rsidRDefault="00E66FEE">
      <w:pPr>
        <w:ind w:left="720" w:right="720"/>
        <w:jc w:val="both"/>
      </w:pPr>
    </w:p>
    <w:p w:rsidR="00E66FEE" w:rsidRDefault="00B36D11">
      <w:pPr>
        <w:ind w:left="720" w:right="720"/>
        <w:jc w:val="both"/>
      </w:pPr>
      <w:r>
        <w:t xml:space="preserve">Interrogatory 7:  Identify any and all mathematical, computational, or other errors that IEU contends exist in the Second Revised Application, the </w:t>
      </w:r>
      <w:r>
        <w:lastRenderedPageBreak/>
        <w:t xml:space="preserve">supporting testimony, </w:t>
      </w:r>
      <w:proofErr w:type="spellStart"/>
      <w:r>
        <w:t>workpapers</w:t>
      </w:r>
      <w:proofErr w:type="spellEnd"/>
      <w:r>
        <w:t>, schedules, or other documents, and identify the reason for that contention.</w:t>
      </w:r>
      <w:r>
        <w:rPr>
          <w:rStyle w:val="FootnoteReference"/>
        </w:rPr>
        <w:footnoteReference w:id="10"/>
      </w:r>
    </w:p>
    <w:p w:rsidR="00E66FEE" w:rsidRDefault="00E66FEE">
      <w:pPr>
        <w:ind w:left="720" w:right="720"/>
        <w:jc w:val="both"/>
      </w:pPr>
    </w:p>
    <w:p w:rsidR="00E66FEE" w:rsidRDefault="00B36D11">
      <w:pPr>
        <w:spacing w:line="480" w:lineRule="auto"/>
        <w:ind w:firstLine="720"/>
        <w:jc w:val="both"/>
      </w:pPr>
      <w:r>
        <w:t>As explained above, DP&amp;L has not provided all of the information necessary to review DP&amp;L’s ESP applications.  DP&amp;L did not provide the information as part of its initial or revised ESP applications and DP&amp;L has not provided parties with all of the necessary information through discovery.  And the information DP&amp;L has provided through the discovery process is often untimely; in fact, much of DP&amp;L’s substantive response to IEU-Ohio’s first two sets of discovery (due in early and mid-November) was not received until late December after IEU-Ohio filed its first motion to compel DP&amp;L to respond to these requests.</w:t>
      </w:r>
    </w:p>
    <w:p w:rsidR="00E66FEE" w:rsidRDefault="00B36D11">
      <w:pPr>
        <w:spacing w:line="480" w:lineRule="auto"/>
        <w:jc w:val="both"/>
      </w:pPr>
      <w:r>
        <w:tab/>
        <w:t xml:space="preserve">In response to DP&amp;L’s discovery requests, IEU-Ohio identified that it is still in the process of reviewing DP&amp;L’s ESP applications, </w:t>
      </w:r>
      <w:proofErr w:type="spellStart"/>
      <w:r>
        <w:t>workpapers</w:t>
      </w:r>
      <w:proofErr w:type="spellEnd"/>
      <w:r>
        <w:t>, testimony, and other documents and therefore the information DP&amp;L seeks is not currently known.  IEU-Ohio also indicated that if it files testimony, it will identify concerns raised by IEU-Ohio’s review.</w:t>
      </w:r>
      <w:r>
        <w:rPr>
          <w:vertAlign w:val="superscript"/>
        </w:rPr>
        <w:footnoteReference w:id="11"/>
      </w:r>
      <w:r>
        <w:t xml:space="preserve">  However, DP&amp;L bears the statutory burden</w:t>
      </w:r>
      <w:r>
        <w:rPr>
          <w:rStyle w:val="FootnoteReference"/>
        </w:rPr>
        <w:footnoteReference w:id="12"/>
      </w:r>
      <w:r>
        <w:t xml:space="preserve"> of demonstrating that its ESP application may be authorized and DP&amp;L cannot transfer that burden to IEU-Ohio by requesting IEU-Ohio to identify each and every error associated with its application.</w:t>
      </w:r>
    </w:p>
    <w:p w:rsidR="00E66FEE" w:rsidRDefault="00B36D11">
      <w:pPr>
        <w:spacing w:line="480" w:lineRule="auto"/>
        <w:jc w:val="both"/>
      </w:pPr>
      <w:r>
        <w:tab/>
        <w:t xml:space="preserve">Accordingly, IEU-Ohio requests the Commission hold that discovery regarding DP&amp;L’s Interrogatories 4, 5, 6 and 7 “may be had only on specified terms and </w:t>
      </w:r>
      <w:r>
        <w:lastRenderedPageBreak/>
        <w:t>conditions.”</w:t>
      </w:r>
      <w:r>
        <w:rPr>
          <w:rStyle w:val="FootnoteReference"/>
        </w:rPr>
        <w:footnoteReference w:id="13"/>
      </w:r>
      <w:r>
        <w:t xml:space="preserve">  Specifically, IEU-Ohio requests that the Commission hold that DP&amp;L may not further harass or inquire from IEU-Ohio regarding the information sought in Interrogatories 4, 5, 6 and 7, which is not currently known, and which IEU</w:t>
      </w:r>
      <w:r>
        <w:noBreakHyphen/>
        <w:t>Ohio is not required to provide.</w:t>
      </w:r>
      <w:r>
        <w:rPr>
          <w:rStyle w:val="FootnoteReference"/>
        </w:rPr>
        <w:footnoteReference w:id="14"/>
      </w:r>
    </w:p>
    <w:p w:rsidR="00E66FEE" w:rsidRDefault="00B36D11">
      <w:pPr>
        <w:pStyle w:val="S2Heading1"/>
      </w:pPr>
      <w:bookmarkStart w:id="2" w:name="_Toc345938396"/>
      <w:r>
        <w:t>Request for Production of Documents</w:t>
      </w:r>
      <w:bookmarkEnd w:id="2"/>
    </w:p>
    <w:p w:rsidR="00E66FEE" w:rsidRDefault="00B36D11">
      <w:pPr>
        <w:spacing w:line="480" w:lineRule="auto"/>
        <w:ind w:firstLine="720"/>
        <w:jc w:val="both"/>
      </w:pPr>
      <w:r>
        <w:t>Also at issue are four requests for production of documents.  In Requests for Production of Documents 4 and 8, DP&amp;L seeks any information in IEU-Ohio’s possession or control related to AEP-Ohio’s ESP application.  In Requests for Production of Documents 6 and 7, DP&amp;L also seeks any information in IEU-Ohio’s possession or control related to DP&amp;L’s withdrawn MRO application.  As discussed below, neither request for production seeks discoverable information.  Accordingly, the Commission should grant a protective order stating that DP&amp;L may not inquire into any information that might be in IEU-Ohio’s possession or control related to either AEP-Ohio’s ESP Proceeding, or DP&amp;L’s withdrawn MRO application.</w:t>
      </w:r>
    </w:p>
    <w:p w:rsidR="00E66FEE" w:rsidRDefault="00B36D11">
      <w:pPr>
        <w:pStyle w:val="S2Heading2"/>
      </w:pPr>
      <w:bookmarkStart w:id="3" w:name="_Toc345938397"/>
      <w:r>
        <w:t>Requests for Production of Documents 4 and 8</w:t>
      </w:r>
      <w:bookmarkEnd w:id="3"/>
    </w:p>
    <w:p w:rsidR="00E66FEE" w:rsidRDefault="00B36D11">
      <w:pPr>
        <w:spacing w:line="480" w:lineRule="auto"/>
        <w:jc w:val="both"/>
      </w:pPr>
      <w:r>
        <w:tab/>
        <w:t>DP&amp;L’s Requests for Production of Documents 4 and 8 seek “[a]</w:t>
      </w:r>
      <w:proofErr w:type="spellStart"/>
      <w:r>
        <w:t>ll</w:t>
      </w:r>
      <w:proofErr w:type="spellEnd"/>
      <w:r>
        <w:t xml:space="preserve"> writings relating to the Commission’s decision in AEP-Ohio’s ESP Proceeding” and “[a]</w:t>
      </w:r>
      <w:proofErr w:type="spellStart"/>
      <w:r>
        <w:t>ll</w:t>
      </w:r>
      <w:proofErr w:type="spellEnd"/>
      <w:r>
        <w:t xml:space="preserve"> writings constituting or relating to communication among IEU-Ohio and any person ... relating to the Commission’s decision in AEP-Ohio’s Proceeding</w:t>
      </w:r>
      <w:r w:rsidR="00943DF8">
        <w:t> </w:t>
      </w:r>
      <w:r>
        <w:t>....”</w:t>
      </w:r>
      <w:r>
        <w:rPr>
          <w:vertAlign w:val="superscript"/>
        </w:rPr>
        <w:footnoteReference w:id="15"/>
      </w:r>
      <w:r>
        <w:t xml:space="preserve">  IEU-Ohio properly objected to these requests because the requests are overly broad and are not reasonably calculated to lead to the discovery of admissible evidence.  Because of the overbroad </w:t>
      </w:r>
      <w:r>
        <w:lastRenderedPageBreak/>
        <w:t>scope of these requests, the requests are also improper because they seek information subject to the attorney-client privilege and/or work-product doctrine, seek information that constitutes a trade secret, and seek information that is not in IEU-Ohio’s possession or control.  Without waiving its objections, IEU-Ohio directed DP&amp;L to IEU</w:t>
      </w:r>
      <w:r>
        <w:noBreakHyphen/>
        <w:t>Ohio’s publicly filed documents in that proceeding.  The Commission should grant this motion for a protective order based on IEU-Ohio’s objections.</w:t>
      </w:r>
    </w:p>
    <w:p w:rsidR="00E66FEE" w:rsidRDefault="00B36D11">
      <w:pPr>
        <w:spacing w:line="480" w:lineRule="auto"/>
        <w:jc w:val="both"/>
      </w:pPr>
      <w:r>
        <w:tab/>
        <w:t>First, DP&amp;L’s requests are clearly overbroad; they seek all documents in IEU</w:t>
      </w:r>
      <w:r>
        <w:noBreakHyphen/>
        <w:t>Ohio’s possession or control that in some way relate to AEP-Ohio’s ESP Proceeding.  DP&amp;L has not limited its requests to any subject matter raised in this proceeding or the unrelated AEP-Ohio ESP Proceeding.</w:t>
      </w:r>
    </w:p>
    <w:p w:rsidR="00E66FEE" w:rsidRDefault="00B36D11">
      <w:pPr>
        <w:spacing w:line="480" w:lineRule="auto"/>
        <w:jc w:val="both"/>
      </w:pPr>
      <w:r>
        <w:tab/>
        <w:t>Second, DP&amp;L’s requests are not reasonably calculated to lead to the discovery of admissible evidence and DP&amp;L has not made any attempt to assert otherwise.  Neither DP&amp;L’s formal discovery requests, its informal communications with IEU-Ohio, or its motion to compel attempt to explain how any of the information it seeks is reasonably calculated to lead to the discovery of evidence admissible in this proceeding.  The implication of DP&amp;L’s requests is to suggest that the Commission’s decisions regarding AEP-Ohio’s ESP application are somehow precedential and relevant to this proceeding.  DP&amp;L is incorrect.  The Commission has indicated that the result it crafted for AEP-Ohio was unique to AEP-Ohio’s circumstances.</w:t>
      </w:r>
      <w:r>
        <w:rPr>
          <w:vertAlign w:val="superscript"/>
        </w:rPr>
        <w:footnoteReference w:id="16"/>
      </w:r>
      <w:r>
        <w:t xml:space="preserve">  Although IEU-Ohio has challenged the legality and reasonableness of the Commission’s orders regarding AEP-Ohio’s ESP, the Commission has indicated these orders are only </w:t>
      </w:r>
      <w:r>
        <w:lastRenderedPageBreak/>
        <w:t>applicable to the unique circumstances that AEP-Ohio faced.  Accordingly, any information in IEU-Ohio’s possession or control related to AEP-Ohio’s ESP Proceeding is not reasonably calculated to lead to the discovery of admissible evidence.</w:t>
      </w:r>
    </w:p>
    <w:p w:rsidR="00E66FEE" w:rsidRDefault="00B36D11">
      <w:pPr>
        <w:spacing w:line="480" w:lineRule="auto"/>
        <w:jc w:val="both"/>
      </w:pPr>
      <w:r>
        <w:tab/>
        <w:t>Third, information exchanged in AEP-Ohio’s ESP Proceeding contained protected trade secret information.  At page 9 of the Commission’s August 8, 2012 Opinion and Order in that proceeding, the Commission noted that the Attorney Examiners had granted all of the motions for protective orders filed in the proceeding, and the Commission’s Opinion and Order stated that the protective orders would extend for 18 months after the issuance of the order.  Thus, DP&amp;L’s overbroad discovery requests extend to information that is available to IEU-Ohio subject to protective orders.</w:t>
      </w:r>
    </w:p>
    <w:p w:rsidR="00E66FEE" w:rsidRDefault="00B36D11">
      <w:pPr>
        <w:spacing w:line="480" w:lineRule="auto"/>
        <w:jc w:val="both"/>
      </w:pPr>
      <w:r>
        <w:tab/>
        <w:t>Accordingly, IEU-Ohio requests that the Commission grant this Motion and hold that DP&amp;L may not inquire into information that might be in IEU-Ohio’s possession or control that relates to AEP-Ohio’s ESP Proceeding because the information is not reasonably calculated to lead to the discovery of admissible evidence and is therefore are not within the proper scope of discovery in this proceeding.</w:t>
      </w:r>
      <w:r>
        <w:rPr>
          <w:rStyle w:val="FootnoteReference"/>
        </w:rPr>
        <w:footnoteReference w:id="17"/>
      </w:r>
    </w:p>
    <w:p w:rsidR="00E66FEE" w:rsidRDefault="00B36D11">
      <w:pPr>
        <w:pStyle w:val="S2Heading2"/>
      </w:pPr>
      <w:bookmarkStart w:id="4" w:name="_Toc345938398"/>
      <w:r>
        <w:t>Requests for Production of Documents 6 and 7</w:t>
      </w:r>
      <w:bookmarkEnd w:id="4"/>
    </w:p>
    <w:p w:rsidR="00E66FEE" w:rsidRDefault="00B36D11">
      <w:pPr>
        <w:spacing w:line="480" w:lineRule="auto"/>
        <w:jc w:val="both"/>
      </w:pPr>
      <w:r>
        <w:tab/>
        <w:t>DP&amp;L’s Request for Production of Documents 6 seeks “[a]</w:t>
      </w:r>
      <w:proofErr w:type="spellStart"/>
      <w:r>
        <w:t>ll</w:t>
      </w:r>
      <w:proofErr w:type="spellEnd"/>
      <w:r>
        <w:t xml:space="preserve"> writings constituting or relating to communications among IEU-Ohio and any of its members relating to DP&amp;L's ESP proceeding or MRO Application” and DP&amp;L’s Request for Production of Documents 7 seeks “[a]</w:t>
      </w:r>
      <w:proofErr w:type="spellStart"/>
      <w:r>
        <w:t>ll</w:t>
      </w:r>
      <w:proofErr w:type="spellEnd"/>
      <w:r>
        <w:t xml:space="preserve"> writings constituting or relating to communications among IEU</w:t>
      </w:r>
      <w:r>
        <w:noBreakHyphen/>
        <w:t xml:space="preserve">Ohio and any other person (including, but not limited to, intervenors) relating to </w:t>
      </w:r>
      <w:r>
        <w:lastRenderedPageBreak/>
        <w:t>DP&amp;L's ESP Application or MRO Application.”</w:t>
      </w:r>
      <w:r>
        <w:rPr>
          <w:vertAlign w:val="superscript"/>
        </w:rPr>
        <w:footnoteReference w:id="18"/>
      </w:r>
      <w:r>
        <w:t xml:space="preserve">  IEU-Ohio properly objected to these requests as overly broad and on grounds that responding would cause IEU-Ohio an undue burden or expense.  IEU-Ohio also objected on grounds that DP&amp;L’s overly broad discovery requests were not within the proper scope of discovery and DP&amp;L has not attempted to demonstrate how all of the information it seeks is reasonably calculated to lead to the discovery of admissible evidence.  Finally, IEU-Ohio objected to these overbroad requests on grounds that the requests seek communications subject to the attorney-client privilege and/or work-product doctrine, seek information that constitutes a trade secret, and seek information that is not within IEU-Ohio’s possession or control.</w:t>
      </w:r>
    </w:p>
    <w:p w:rsidR="00E66FEE" w:rsidRDefault="00B36D11">
      <w:pPr>
        <w:spacing w:line="480" w:lineRule="auto"/>
        <w:jc w:val="both"/>
      </w:pPr>
      <w:r>
        <w:tab/>
        <w:t>Despite the objectionable discovery requests, IEU-Ohio has produced all non-privileged</w:t>
      </w:r>
      <w:r>
        <w:rPr>
          <w:vertAlign w:val="superscript"/>
        </w:rPr>
        <w:footnoteReference w:id="19"/>
      </w:r>
      <w:r>
        <w:t xml:space="preserve"> documents in its possession or control “relating to communications among IEU-Ohio and any of its members relating to DP&amp;L's ESP Application” or “relating to communications among IEU-Ohio and any other person (including, but not limited to, intervenors) relative to DP&amp;L's ESP Application.”</w:t>
      </w:r>
      <w:r>
        <w:rPr>
          <w:vertAlign w:val="superscript"/>
        </w:rPr>
        <w:footnoteReference w:id="20"/>
      </w:r>
      <w:r>
        <w:t xml:space="preserve">  IEU-Ohio, however, requests that the Commission grant this Motion and hold that “[c]</w:t>
      </w:r>
      <w:proofErr w:type="spellStart"/>
      <w:r>
        <w:t>ertain</w:t>
      </w:r>
      <w:proofErr w:type="spellEnd"/>
      <w:r>
        <w:t xml:space="preserve"> matters not be inquired into.”</w:t>
      </w:r>
      <w:r>
        <w:rPr>
          <w:vertAlign w:val="superscript"/>
        </w:rPr>
        <w:footnoteReference w:id="21"/>
      </w:r>
      <w:r>
        <w:t xml:space="preserve"> </w:t>
      </w:r>
      <w:r>
        <w:lastRenderedPageBreak/>
        <w:t>Specifically, IEU-Ohio requests that the Commission hold that DP&amp;L may not inquire into information that might be in IEU-Ohio’s possession or control that relates to DP&amp;L’s withdrawn MRO application because the information is not reasonably calculated to lead to the discovery of admissible evidence and is therefore are not within the proper scope of discovery in this proceeding.</w:t>
      </w:r>
    </w:p>
    <w:p w:rsidR="00E66FEE" w:rsidRDefault="00B36D11">
      <w:pPr>
        <w:pStyle w:val="S2Heading1"/>
        <w:spacing w:before="2"/>
      </w:pPr>
      <w:bookmarkStart w:id="5" w:name="_Toc345938399"/>
      <w:r>
        <w:t>Conclusion</w:t>
      </w:r>
      <w:bookmarkEnd w:id="5"/>
    </w:p>
    <w:p w:rsidR="00E66FEE" w:rsidRDefault="00E66FEE">
      <w:pPr>
        <w:jc w:val="both"/>
      </w:pPr>
    </w:p>
    <w:p w:rsidR="00E66FEE" w:rsidRDefault="00B36D11">
      <w:pPr>
        <w:spacing w:line="480" w:lineRule="auto"/>
        <w:jc w:val="both"/>
      </w:pPr>
      <w:r>
        <w:tab/>
        <w:t>For the reasons stated above, IEU-Ohio requests that the Commission grant IEU-Ohio the relief requested in this Motion.</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Respectfully submitted,</w:t>
      </w:r>
    </w:p>
    <w:p w:rsidR="00E66FEE" w:rsidRDefault="00E66FEE">
      <w:pPr>
        <w:tabs>
          <w:tab w:val="left" w:pos="-1440"/>
          <w:tab w:val="left" w:pos="-720"/>
          <w:tab w:val="left" w:pos="3600"/>
          <w:tab w:val="left" w:pos="4320"/>
        </w:tabs>
        <w:ind w:left="4320"/>
        <w:rPr>
          <w:rFonts w:cs="Arial"/>
          <w:color w:val="000000" w:themeColor="text1"/>
          <w:lang w:val="de-DE"/>
        </w:rPr>
      </w:pPr>
    </w:p>
    <w:p w:rsidR="00E66FEE" w:rsidRDefault="00E66FEE">
      <w:pPr>
        <w:tabs>
          <w:tab w:val="left" w:pos="-1440"/>
          <w:tab w:val="left" w:pos="-720"/>
          <w:tab w:val="left" w:pos="3600"/>
          <w:tab w:val="left" w:pos="4320"/>
        </w:tabs>
        <w:ind w:left="4320"/>
        <w:rPr>
          <w:rFonts w:cs="Arial"/>
          <w:color w:val="000000" w:themeColor="text1"/>
          <w:lang w:val="de-DE"/>
        </w:rPr>
      </w:pPr>
    </w:p>
    <w:p w:rsidR="00E66FEE" w:rsidRDefault="00B36D11">
      <w:pPr>
        <w:tabs>
          <w:tab w:val="left" w:pos="-1440"/>
          <w:tab w:val="left" w:pos="-720"/>
          <w:tab w:val="left" w:pos="4320"/>
          <w:tab w:val="right" w:pos="9360"/>
        </w:tabs>
        <w:ind w:left="4320"/>
        <w:rPr>
          <w:rFonts w:cs="Arial"/>
          <w:color w:val="000000" w:themeColor="text1"/>
          <w:u w:val="single"/>
          <w:lang w:val="de-DE"/>
        </w:rPr>
      </w:pPr>
      <w:r>
        <w:rPr>
          <w:rFonts w:cs="Arial"/>
          <w:color w:val="000000" w:themeColor="text1"/>
          <w:u w:val="single"/>
          <w:lang w:val="de-DE"/>
        </w:rPr>
        <w:t xml:space="preserve">  /s/ Matthew R. Pritchard</w:t>
      </w:r>
      <w:r>
        <w:rPr>
          <w:rFonts w:cs="Arial"/>
          <w:color w:val="000000" w:themeColor="text1"/>
          <w:u w:val="single"/>
          <w:lang w:val="de-DE"/>
        </w:rPr>
        <w:tab/>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Samuel C. Randazzo (Counsel of Record)</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 xml:space="preserve">Frank P. Darr </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Matthew R. Pritchard</w:t>
      </w:r>
    </w:p>
    <w:p w:rsidR="00E66FEE" w:rsidRDefault="00B36D11">
      <w:pPr>
        <w:tabs>
          <w:tab w:val="left" w:pos="-1440"/>
          <w:tab w:val="left" w:pos="-720"/>
          <w:tab w:val="left" w:pos="3600"/>
          <w:tab w:val="left" w:pos="4320"/>
        </w:tabs>
        <w:ind w:left="4320"/>
        <w:rPr>
          <w:rFonts w:cs="Arial"/>
          <w:color w:val="000000" w:themeColor="text1"/>
          <w:lang w:val="de-DE"/>
        </w:rPr>
      </w:pPr>
      <w:r>
        <w:rPr>
          <w:rFonts w:cs="Arial"/>
          <w:color w:val="000000" w:themeColor="text1"/>
          <w:lang w:val="de-DE"/>
        </w:rPr>
        <w:t>Joseph E. Oliker</w:t>
      </w:r>
    </w:p>
    <w:p w:rsidR="00E66FEE" w:rsidRDefault="00B36D11">
      <w:pPr>
        <w:tabs>
          <w:tab w:val="left" w:pos="-1440"/>
          <w:tab w:val="left" w:pos="-720"/>
          <w:tab w:val="left" w:pos="3600"/>
          <w:tab w:val="left" w:pos="4320"/>
        </w:tabs>
        <w:ind w:left="4320"/>
        <w:rPr>
          <w:rFonts w:cs="Arial"/>
          <w:smallCaps/>
          <w:color w:val="000000" w:themeColor="text1"/>
          <w:sz w:val="20"/>
        </w:rPr>
      </w:pPr>
      <w:r>
        <w:rPr>
          <w:rFonts w:cs="Arial"/>
          <w:smallCaps/>
          <w:color w:val="000000" w:themeColor="text1"/>
        </w:rPr>
        <w:t xml:space="preserve">McNees Wallace &amp; Nurick </w:t>
      </w:r>
      <w:r>
        <w:rPr>
          <w:rFonts w:cs="Arial"/>
          <w:smallCaps/>
          <w:color w:val="000000" w:themeColor="text1"/>
          <w:sz w:val="20"/>
        </w:rPr>
        <w:t>LLC</w:t>
      </w:r>
    </w:p>
    <w:p w:rsidR="00E66FEE" w:rsidRDefault="00B36D11">
      <w:pPr>
        <w:tabs>
          <w:tab w:val="left" w:pos="-1440"/>
          <w:tab w:val="left" w:pos="-720"/>
          <w:tab w:val="left" w:pos="3600"/>
          <w:tab w:val="left" w:pos="4320"/>
        </w:tabs>
        <w:ind w:left="4320"/>
        <w:rPr>
          <w:rFonts w:cs="Arial"/>
          <w:color w:val="000000" w:themeColor="text1"/>
        </w:rPr>
      </w:pPr>
      <w:r>
        <w:rPr>
          <w:rFonts w:cs="Arial"/>
          <w:color w:val="000000" w:themeColor="text1"/>
        </w:rPr>
        <w:t>21 East State Street, 17</w:t>
      </w:r>
      <w:r>
        <w:rPr>
          <w:rFonts w:cs="Arial"/>
          <w:color w:val="000000" w:themeColor="text1"/>
          <w:vertAlign w:val="superscript"/>
        </w:rPr>
        <w:t>th</w:t>
      </w:r>
      <w:r>
        <w:rPr>
          <w:rFonts w:cs="Arial"/>
          <w:color w:val="000000" w:themeColor="text1"/>
        </w:rPr>
        <w:t xml:space="preserve"> Floor</w:t>
      </w:r>
    </w:p>
    <w:p w:rsidR="00E66FEE" w:rsidRDefault="00B36D11">
      <w:pPr>
        <w:tabs>
          <w:tab w:val="left" w:pos="-1440"/>
          <w:tab w:val="left" w:pos="-720"/>
          <w:tab w:val="left" w:pos="4320"/>
        </w:tabs>
        <w:ind w:left="4320"/>
        <w:rPr>
          <w:rFonts w:cs="Arial"/>
          <w:color w:val="000000" w:themeColor="text1"/>
        </w:rPr>
      </w:pPr>
      <w:r>
        <w:rPr>
          <w:rFonts w:cs="Arial"/>
          <w:color w:val="000000" w:themeColor="text1"/>
        </w:rPr>
        <w:t>Columbus, OH  43215-4228</w:t>
      </w:r>
    </w:p>
    <w:p w:rsidR="00E66FEE" w:rsidRDefault="00B36D11">
      <w:pPr>
        <w:tabs>
          <w:tab w:val="left" w:pos="-1440"/>
          <w:tab w:val="left" w:pos="-720"/>
          <w:tab w:val="left" w:pos="4320"/>
        </w:tabs>
        <w:ind w:left="4320"/>
        <w:rPr>
          <w:rFonts w:cs="Arial"/>
          <w:color w:val="000000" w:themeColor="text1"/>
        </w:rPr>
      </w:pPr>
      <w:r>
        <w:rPr>
          <w:rFonts w:cs="Arial"/>
          <w:color w:val="000000" w:themeColor="text1"/>
        </w:rPr>
        <w:t>Telephone:  (614) 469-8000</w:t>
      </w:r>
    </w:p>
    <w:p w:rsidR="00E66FEE" w:rsidRDefault="00B36D11" w:rsidP="00943DF8">
      <w:pPr>
        <w:tabs>
          <w:tab w:val="left" w:pos="4320"/>
        </w:tabs>
        <w:spacing w:beforeLines="1" w:before="2"/>
        <w:ind w:left="4320"/>
        <w:jc w:val="both"/>
        <w:rPr>
          <w:rFonts w:eastAsia="Times New Roman" w:cs="Arial"/>
          <w:color w:val="000000" w:themeColor="text1"/>
        </w:rPr>
      </w:pPr>
      <w:proofErr w:type="spellStart"/>
      <w:r>
        <w:rPr>
          <w:rFonts w:eastAsia="Times New Roman" w:cs="Arial"/>
          <w:color w:val="000000" w:themeColor="text1"/>
        </w:rPr>
        <w:t>Telecopier</w:t>
      </w:r>
      <w:proofErr w:type="spellEnd"/>
      <w:r>
        <w:rPr>
          <w:rFonts w:eastAsia="Times New Roman" w:cs="Arial"/>
          <w:color w:val="000000" w:themeColor="text1"/>
        </w:rPr>
        <w:t>:  (614) 469-4653</w:t>
      </w:r>
    </w:p>
    <w:p w:rsidR="00E66FEE" w:rsidRDefault="00B36D11" w:rsidP="00943DF8">
      <w:pPr>
        <w:spacing w:beforeLines="1" w:before="2"/>
        <w:ind w:left="4320"/>
        <w:jc w:val="both"/>
        <w:rPr>
          <w:rFonts w:eastAsia="Times New Roman" w:cs="Arial"/>
          <w:color w:val="000000" w:themeColor="text1"/>
        </w:rPr>
      </w:pPr>
      <w:r>
        <w:rPr>
          <w:rFonts w:eastAsia="Times New Roman" w:cs="Arial"/>
          <w:color w:val="000000" w:themeColor="text1"/>
        </w:rPr>
        <w:t>sam@mwncmh.com</w:t>
      </w:r>
    </w:p>
    <w:p w:rsidR="00E66FEE" w:rsidRDefault="00B36D11" w:rsidP="00A7617E">
      <w:pPr>
        <w:spacing w:beforeLines="1" w:before="2"/>
        <w:ind w:left="4320"/>
        <w:jc w:val="both"/>
        <w:rPr>
          <w:rFonts w:eastAsia="Times New Roman" w:cs="Arial"/>
          <w:color w:val="000000" w:themeColor="text1"/>
        </w:rPr>
      </w:pPr>
      <w:r>
        <w:rPr>
          <w:rFonts w:eastAsia="Times New Roman" w:cs="Arial"/>
          <w:color w:val="000000" w:themeColor="text1"/>
        </w:rPr>
        <w:t>fdarr@mwncmh.com</w:t>
      </w:r>
    </w:p>
    <w:p w:rsidR="00E66FEE" w:rsidRDefault="00B36D11" w:rsidP="00A7617E">
      <w:pPr>
        <w:spacing w:beforeLines="1" w:before="2"/>
        <w:ind w:left="4320"/>
        <w:jc w:val="both"/>
        <w:rPr>
          <w:rFonts w:eastAsia="Times New Roman" w:cs="Arial"/>
          <w:color w:val="000000" w:themeColor="text1"/>
        </w:rPr>
      </w:pPr>
      <w:r>
        <w:rPr>
          <w:rFonts w:eastAsia="Times New Roman" w:cs="Arial"/>
          <w:color w:val="000000" w:themeColor="text1"/>
        </w:rPr>
        <w:t>mpritchard@mwncmh.com</w:t>
      </w:r>
    </w:p>
    <w:p w:rsidR="00E66FEE" w:rsidRDefault="00B36D11">
      <w:pPr>
        <w:ind w:left="4320"/>
        <w:rPr>
          <w:color w:val="000000" w:themeColor="text1"/>
        </w:rPr>
      </w:pPr>
      <w:r>
        <w:rPr>
          <w:color w:val="000000" w:themeColor="text1"/>
        </w:rPr>
        <w:t>joliker@mwncmh.com</w:t>
      </w:r>
    </w:p>
    <w:p w:rsidR="00E66FEE" w:rsidRDefault="00E66FEE"/>
    <w:p w:rsidR="00E66FEE" w:rsidRDefault="00E66FEE">
      <w:pPr>
        <w:rPr>
          <w:rFonts w:ascii="Arial Bold" w:hAnsi="Arial Bold" w:cs="Arial"/>
          <w:b/>
          <w:smallCaps/>
          <w:sz w:val="28"/>
          <w:szCs w:val="28"/>
          <w:u w:val="single"/>
        </w:rPr>
        <w:sectPr w:rsidR="00E66FEE">
          <w:pgSz w:w="12240" w:h="15840"/>
          <w:pgMar w:top="1440" w:right="1440" w:bottom="1440" w:left="1440" w:header="720" w:footer="720" w:gutter="0"/>
          <w:pgNumType w:start="1"/>
          <w:cols w:space="720"/>
          <w:titlePg/>
          <w:docGrid w:linePitch="326"/>
        </w:sectPr>
      </w:pPr>
    </w:p>
    <w:p w:rsidR="00E66FEE" w:rsidRDefault="00B36D11">
      <w:pPr>
        <w:tabs>
          <w:tab w:val="left" w:pos="-1440"/>
          <w:tab w:val="left" w:pos="-720"/>
          <w:tab w:val="left" w:pos="4320"/>
          <w:tab w:val="left" w:pos="504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E66FEE" w:rsidRDefault="00E66FEE">
      <w:pPr>
        <w:rPr>
          <w:rFonts w:cs="Arial"/>
        </w:rPr>
      </w:pPr>
    </w:p>
    <w:p w:rsidR="00E66FEE" w:rsidRDefault="00B36D11" w:rsidP="00943DF8">
      <w:pPr>
        <w:spacing w:beforeLines="1" w:before="2" w:line="360" w:lineRule="auto"/>
        <w:ind w:firstLine="720"/>
        <w:jc w:val="both"/>
        <w:rPr>
          <w:rFonts w:eastAsia="Times New Roman" w:cs="Arial"/>
        </w:rPr>
      </w:pPr>
      <w:r>
        <w:rPr>
          <w:rFonts w:eastAsia="Times New Roman" w:cs="Arial"/>
        </w:rPr>
        <w:t>I hereby certify that a copy of the foregoing</w:t>
      </w:r>
      <w:r>
        <w:rPr>
          <w:rFonts w:eastAsia="Times New Roman" w:cs="Arial"/>
          <w:smallCaps/>
        </w:rPr>
        <w:t xml:space="preserve"> </w:t>
      </w:r>
      <w:r>
        <w:rPr>
          <w:rFonts w:eastAsia="Times New Roman" w:cs="Arial"/>
          <w:i/>
        </w:rPr>
        <w:t xml:space="preserve">Motion for Protective Order and Memorandum in Support </w:t>
      </w:r>
      <w:r>
        <w:rPr>
          <w:rFonts w:eastAsia="Times New Roman" w:cs="Arial"/>
        </w:rPr>
        <w:t>was served upon the following parties of record this 14</w:t>
      </w:r>
      <w:r>
        <w:rPr>
          <w:rFonts w:eastAsia="Times New Roman" w:cs="Arial"/>
          <w:vertAlign w:val="superscript"/>
        </w:rPr>
        <w:t>th</w:t>
      </w:r>
      <w:r>
        <w:rPr>
          <w:rFonts w:eastAsia="Times New Roman" w:cs="Arial"/>
        </w:rPr>
        <w:t xml:space="preserve"> day of January 2013, </w:t>
      </w:r>
      <w:r>
        <w:rPr>
          <w:rFonts w:eastAsia="Times New Roman" w:cs="Arial"/>
          <w:i/>
        </w:rPr>
        <w:t>via</w:t>
      </w:r>
      <w:r>
        <w:rPr>
          <w:rFonts w:eastAsia="Times New Roman" w:cs="Arial"/>
        </w:rPr>
        <w:t xml:space="preserve"> electronic transmission.</w:t>
      </w:r>
    </w:p>
    <w:p w:rsidR="00E66FEE" w:rsidRDefault="00B36D11" w:rsidP="00943DF8">
      <w:pPr>
        <w:tabs>
          <w:tab w:val="left" w:pos="5040"/>
          <w:tab w:val="decimal" w:pos="6840"/>
          <w:tab w:val="right" w:pos="9360"/>
        </w:tabs>
        <w:spacing w:beforeLines="1" w:before="2"/>
        <w:ind w:left="5040"/>
        <w:rPr>
          <w:rFonts w:eastAsia="Times New Roman" w:cs="Arial"/>
          <w:smallCaps/>
          <w:u w:val="single"/>
        </w:rPr>
      </w:pPr>
      <w:r>
        <w:rPr>
          <w:rFonts w:eastAsia="Times New Roman" w:cs="Arial"/>
          <w:smallCaps/>
          <w:u w:val="single"/>
        </w:rPr>
        <w:t xml:space="preserve"> /s/ </w:t>
      </w:r>
      <w:r>
        <w:rPr>
          <w:rFonts w:eastAsia="Times New Roman" w:cs="Arial"/>
          <w:u w:val="single"/>
        </w:rPr>
        <w:t>Matthew R. Pritchard</w:t>
      </w:r>
      <w:r>
        <w:rPr>
          <w:rFonts w:eastAsia="Times New Roman" w:cs="Arial"/>
          <w:smallCaps/>
          <w:u w:val="single"/>
        </w:rPr>
        <w:tab/>
      </w:r>
    </w:p>
    <w:p w:rsidR="00E66FEE" w:rsidRDefault="00B36D11" w:rsidP="00A7617E">
      <w:pPr>
        <w:tabs>
          <w:tab w:val="left" w:pos="5040"/>
          <w:tab w:val="center" w:pos="7200"/>
          <w:tab w:val="right" w:pos="9360"/>
        </w:tabs>
        <w:spacing w:beforeLines="1" w:before="2"/>
        <w:ind w:left="5040"/>
        <w:rPr>
          <w:rFonts w:eastAsia="Times New Roman" w:cs="Arial"/>
          <w:smallCaps/>
        </w:rPr>
      </w:pPr>
      <w:r>
        <w:rPr>
          <w:rFonts w:eastAsia="Times New Roman" w:cs="Arial"/>
          <w:smallCaps/>
        </w:rPr>
        <w:tab/>
        <w:t>Matthew R. Pritchard</w:t>
      </w:r>
    </w:p>
    <w:p w:rsidR="00E66FEE" w:rsidRDefault="00E66FEE" w:rsidP="00A7617E">
      <w:pPr>
        <w:tabs>
          <w:tab w:val="left" w:pos="5040"/>
          <w:tab w:val="center" w:pos="7200"/>
          <w:tab w:val="right" w:pos="9360"/>
        </w:tabs>
        <w:spacing w:beforeLines="1" w:before="2"/>
        <w:ind w:left="5040"/>
        <w:rPr>
          <w:rFonts w:eastAsia="Times New Roman" w:cs="Arial"/>
          <w:smallCaps/>
        </w:rPr>
      </w:pPr>
    </w:p>
    <w:p w:rsidR="00E66FEE" w:rsidRDefault="00E66FEE">
      <w:pPr>
        <w:rPr>
          <w:rFonts w:cs="Arial"/>
          <w:sz w:val="18"/>
          <w:szCs w:val="18"/>
        </w:rPr>
        <w:sectPr w:rsidR="00E66FEE" w:rsidSect="0065626F">
          <w:pgSz w:w="12240" w:h="15840"/>
          <w:pgMar w:top="1440" w:right="1440" w:bottom="1440" w:left="1440" w:header="720" w:footer="720" w:gutter="0"/>
          <w:cols w:space="720"/>
          <w:titlePg/>
          <w:docGrid w:linePitch="326"/>
        </w:sectPr>
      </w:pPr>
    </w:p>
    <w:p w:rsidR="00E66FEE" w:rsidRDefault="00B36D11">
      <w:pPr>
        <w:rPr>
          <w:rFonts w:cs="Arial"/>
          <w:color w:val="000000" w:themeColor="text1"/>
          <w:sz w:val="19"/>
          <w:szCs w:val="19"/>
        </w:rPr>
      </w:pPr>
      <w:r>
        <w:rPr>
          <w:rFonts w:cs="Arial"/>
          <w:color w:val="000000" w:themeColor="text1"/>
          <w:sz w:val="19"/>
          <w:szCs w:val="19"/>
        </w:rPr>
        <w:lastRenderedPageBreak/>
        <w:t>judi.sobecki@dplinc.com</w:t>
      </w:r>
    </w:p>
    <w:p w:rsidR="00E66FEE" w:rsidRDefault="00B36D11">
      <w:pPr>
        <w:rPr>
          <w:rFonts w:cs="Arial"/>
          <w:color w:val="000000" w:themeColor="text1"/>
          <w:sz w:val="19"/>
          <w:szCs w:val="19"/>
        </w:rPr>
      </w:pPr>
      <w:r>
        <w:rPr>
          <w:rFonts w:cs="Arial"/>
          <w:color w:val="000000" w:themeColor="text1"/>
          <w:sz w:val="19"/>
          <w:szCs w:val="19"/>
        </w:rPr>
        <w:t>randall.griffin@dplinc.com</w:t>
      </w:r>
    </w:p>
    <w:p w:rsidR="00E66FEE" w:rsidRDefault="00B36D11">
      <w:pPr>
        <w:rPr>
          <w:rFonts w:cs="Arial"/>
          <w:color w:val="000000" w:themeColor="text1"/>
          <w:sz w:val="19"/>
          <w:szCs w:val="19"/>
        </w:rPr>
      </w:pPr>
      <w:r>
        <w:rPr>
          <w:rFonts w:cs="Arial"/>
          <w:color w:val="000000" w:themeColor="text1"/>
          <w:sz w:val="19"/>
          <w:szCs w:val="19"/>
        </w:rPr>
        <w:t>cfaruki@ficlaw.com</w:t>
      </w:r>
    </w:p>
    <w:p w:rsidR="00E66FEE" w:rsidRDefault="00B36D11">
      <w:pPr>
        <w:rPr>
          <w:rFonts w:cs="Arial"/>
          <w:color w:val="000000" w:themeColor="text1"/>
          <w:sz w:val="19"/>
          <w:szCs w:val="19"/>
        </w:rPr>
      </w:pPr>
      <w:r>
        <w:rPr>
          <w:rFonts w:cs="Arial"/>
          <w:color w:val="000000" w:themeColor="text1"/>
          <w:sz w:val="19"/>
          <w:szCs w:val="19"/>
        </w:rPr>
        <w:t>jsharkey@ficlaw.com</w:t>
      </w:r>
    </w:p>
    <w:p w:rsidR="00E66FEE" w:rsidRDefault="00B36D11">
      <w:pPr>
        <w:tabs>
          <w:tab w:val="left" w:pos="-1440"/>
          <w:tab w:val="left" w:pos="-720"/>
          <w:tab w:val="left" w:pos="5040"/>
          <w:tab w:val="center" w:pos="7200"/>
        </w:tabs>
        <w:rPr>
          <w:rFonts w:cs="Arial"/>
          <w:color w:val="000000" w:themeColor="text1"/>
          <w:sz w:val="19"/>
          <w:szCs w:val="19"/>
        </w:rPr>
      </w:pPr>
      <w:r>
        <w:rPr>
          <w:rFonts w:cs="Arial"/>
          <w:color w:val="000000" w:themeColor="text1"/>
          <w:sz w:val="19"/>
          <w:szCs w:val="19"/>
        </w:rPr>
        <w:t>arthur.meyer@dplinc.com</w:t>
      </w:r>
    </w:p>
    <w:p w:rsidR="00E66FEE" w:rsidRDefault="00B36D11" w:rsidP="00943DF8">
      <w:pPr>
        <w:spacing w:beforeLines="1" w:before="2"/>
        <w:rPr>
          <w:rFonts w:cs="Arial"/>
          <w:color w:val="000000" w:themeColor="text1"/>
          <w:sz w:val="19"/>
          <w:szCs w:val="19"/>
        </w:rPr>
      </w:pPr>
      <w:r>
        <w:rPr>
          <w:rFonts w:cs="Arial"/>
          <w:color w:val="000000" w:themeColor="text1"/>
          <w:sz w:val="19"/>
          <w:szCs w:val="19"/>
        </w:rPr>
        <w:t>dboehm@BKLlawfirm.com</w:t>
      </w:r>
    </w:p>
    <w:p w:rsidR="00E66FEE" w:rsidRDefault="00B36D11" w:rsidP="00943DF8">
      <w:pPr>
        <w:spacing w:beforeLines="1" w:before="2"/>
        <w:rPr>
          <w:rFonts w:cs="Arial"/>
          <w:color w:val="000000" w:themeColor="text1"/>
          <w:sz w:val="19"/>
          <w:szCs w:val="19"/>
        </w:rPr>
      </w:pPr>
      <w:r>
        <w:rPr>
          <w:rFonts w:cs="Arial"/>
          <w:color w:val="000000" w:themeColor="text1"/>
          <w:sz w:val="19"/>
          <w:szCs w:val="19"/>
        </w:rPr>
        <w:t>mkurtz@BKLlawfirm.com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etter@occ.state.oh.us</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serio@occ.state.oh.us</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yost@occ.state.oh.us</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gerger@occ.state.oh.us</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amy.spiller@duke-energy.com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jeanne.kingery@duke-energy.com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philip.sineneng@ThompsonHine.com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bmcmahon@emh-law.com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elizabeth.watts@duke-energy.com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rocco.d’ascenzo@duke-energy.com</w:t>
      </w:r>
    </w:p>
    <w:p w:rsidR="00E66FEE" w:rsidRDefault="00B36D11">
      <w:pPr>
        <w:rPr>
          <w:rFonts w:cs="Arial"/>
          <w:color w:val="000000" w:themeColor="text1"/>
          <w:sz w:val="19"/>
          <w:szCs w:val="19"/>
        </w:rPr>
      </w:pPr>
      <w:r>
        <w:rPr>
          <w:rFonts w:cs="Arial"/>
          <w:color w:val="000000" w:themeColor="text1"/>
          <w:sz w:val="19"/>
          <w:szCs w:val="19"/>
        </w:rPr>
        <w:t>ricks@ohanet.org</w:t>
      </w:r>
    </w:p>
    <w:p w:rsidR="00E66FEE" w:rsidRDefault="00B36D11">
      <w:pPr>
        <w:rPr>
          <w:rFonts w:cs="Arial"/>
          <w:color w:val="000000" w:themeColor="text1"/>
          <w:sz w:val="19"/>
          <w:szCs w:val="19"/>
        </w:rPr>
      </w:pPr>
      <w:r>
        <w:rPr>
          <w:rFonts w:cs="Arial"/>
          <w:color w:val="000000" w:themeColor="text1"/>
          <w:sz w:val="19"/>
          <w:szCs w:val="19"/>
        </w:rPr>
        <w:t>tobrien@bricker.com</w:t>
      </w:r>
    </w:p>
    <w:p w:rsidR="00E66FEE" w:rsidRDefault="00B36D11">
      <w:pPr>
        <w:rPr>
          <w:rFonts w:cs="Arial"/>
          <w:color w:val="000000" w:themeColor="text1"/>
          <w:sz w:val="19"/>
          <w:szCs w:val="19"/>
        </w:rPr>
      </w:pPr>
      <w:r>
        <w:rPr>
          <w:rFonts w:cs="Arial"/>
          <w:color w:val="000000" w:themeColor="text1"/>
          <w:sz w:val="19"/>
          <w:szCs w:val="19"/>
        </w:rPr>
        <w:t>barth.royer@aol.com</w:t>
      </w:r>
    </w:p>
    <w:p w:rsidR="00E66FEE" w:rsidRDefault="00B36D11">
      <w:pPr>
        <w:rPr>
          <w:rFonts w:cs="Arial"/>
          <w:color w:val="000000" w:themeColor="text1"/>
          <w:sz w:val="19"/>
          <w:szCs w:val="19"/>
        </w:rPr>
      </w:pPr>
      <w:r>
        <w:rPr>
          <w:rFonts w:cs="Arial"/>
          <w:color w:val="000000" w:themeColor="text1"/>
          <w:sz w:val="19"/>
          <w:szCs w:val="19"/>
        </w:rPr>
        <w:t>gary.a.jeffries@dom.com</w:t>
      </w:r>
    </w:p>
    <w:p w:rsidR="00E66FEE" w:rsidRDefault="00B36D11">
      <w:pPr>
        <w:rPr>
          <w:rFonts w:cs="Arial"/>
          <w:color w:val="000000" w:themeColor="text1"/>
          <w:sz w:val="19"/>
          <w:szCs w:val="19"/>
        </w:rPr>
      </w:pPr>
      <w:r>
        <w:rPr>
          <w:rFonts w:cs="Arial"/>
          <w:color w:val="000000" w:themeColor="text1"/>
          <w:sz w:val="19"/>
          <w:szCs w:val="19"/>
        </w:rPr>
        <w:t>drinebolt@ohiopartners.org</w:t>
      </w:r>
    </w:p>
    <w:p w:rsidR="00E66FEE" w:rsidRDefault="00B36D11">
      <w:pPr>
        <w:rPr>
          <w:rFonts w:cs="Arial"/>
          <w:color w:val="000000" w:themeColor="text1"/>
          <w:sz w:val="19"/>
          <w:szCs w:val="19"/>
        </w:rPr>
      </w:pPr>
      <w:r>
        <w:rPr>
          <w:rFonts w:cs="Arial"/>
          <w:color w:val="000000" w:themeColor="text1"/>
          <w:sz w:val="19"/>
          <w:szCs w:val="19"/>
        </w:rPr>
        <w:t>cmooney2@columbus.rr.com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whitt@whitt-sturtevant.com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campbell@whitt-sturtevant.com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vparisi@igsenergy.com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mswhite@igsenergy.com</w:t>
      </w:r>
    </w:p>
    <w:p w:rsidR="00E66FEE" w:rsidRDefault="00B36D11">
      <w:pPr>
        <w:rPr>
          <w:rFonts w:cs="Arial"/>
          <w:color w:val="000000" w:themeColor="text1"/>
          <w:sz w:val="19"/>
          <w:szCs w:val="19"/>
        </w:rPr>
      </w:pPr>
      <w:r>
        <w:rPr>
          <w:rFonts w:cs="Arial"/>
          <w:color w:val="000000" w:themeColor="text1"/>
          <w:sz w:val="19"/>
          <w:szCs w:val="19"/>
        </w:rPr>
        <w:t>barthroyer@aol.com</w:t>
      </w:r>
    </w:p>
    <w:p w:rsidR="00E66FEE" w:rsidRDefault="00B36D11">
      <w:pPr>
        <w:rPr>
          <w:rFonts w:cs="Arial"/>
          <w:color w:val="000000" w:themeColor="text1"/>
          <w:sz w:val="19"/>
          <w:szCs w:val="19"/>
        </w:rPr>
      </w:pPr>
      <w:r>
        <w:rPr>
          <w:rFonts w:cs="Arial"/>
          <w:color w:val="000000" w:themeColor="text1"/>
          <w:sz w:val="19"/>
          <w:szCs w:val="19"/>
        </w:rPr>
        <w:t>nolan@theoec.org</w:t>
      </w:r>
    </w:p>
    <w:p w:rsidR="00E66FEE" w:rsidRDefault="00B36D11">
      <w:pPr>
        <w:rPr>
          <w:rFonts w:cs="Arial"/>
          <w:color w:val="000000" w:themeColor="text1"/>
          <w:sz w:val="19"/>
          <w:szCs w:val="19"/>
        </w:rPr>
      </w:pPr>
      <w:r>
        <w:rPr>
          <w:rFonts w:cs="Arial"/>
          <w:color w:val="000000" w:themeColor="text1"/>
          <w:sz w:val="19"/>
          <w:szCs w:val="19"/>
        </w:rPr>
        <w:t>trent@theoec.org</w:t>
      </w:r>
    </w:p>
    <w:p w:rsidR="00E66FEE" w:rsidRDefault="00B36D11">
      <w:pPr>
        <w:rPr>
          <w:rFonts w:cs="Arial"/>
          <w:color w:val="000000" w:themeColor="text1"/>
          <w:sz w:val="19"/>
          <w:szCs w:val="19"/>
        </w:rPr>
      </w:pPr>
      <w:r>
        <w:rPr>
          <w:rFonts w:cs="Arial"/>
          <w:color w:val="000000" w:themeColor="text1"/>
          <w:sz w:val="19"/>
          <w:szCs w:val="19"/>
        </w:rPr>
        <w:t>cathy@theoec.org</w:t>
      </w:r>
    </w:p>
    <w:p w:rsidR="00E66FEE" w:rsidRDefault="00B36D11">
      <w:pPr>
        <w:rPr>
          <w:rFonts w:cs="Arial"/>
          <w:color w:val="000000" w:themeColor="text1"/>
          <w:sz w:val="19"/>
          <w:szCs w:val="19"/>
        </w:rPr>
      </w:pPr>
      <w:r>
        <w:rPr>
          <w:rFonts w:cs="Arial"/>
          <w:color w:val="000000" w:themeColor="text1"/>
          <w:sz w:val="19"/>
          <w:szCs w:val="19"/>
        </w:rPr>
        <w:t>williams.toddm@gmail.com</w:t>
      </w:r>
    </w:p>
    <w:p w:rsidR="00E66FEE" w:rsidRDefault="00B36D11">
      <w:pPr>
        <w:rPr>
          <w:rFonts w:cs="Arial"/>
          <w:color w:val="000000" w:themeColor="text1"/>
          <w:sz w:val="19"/>
          <w:szCs w:val="19"/>
        </w:rPr>
      </w:pPr>
      <w:r>
        <w:rPr>
          <w:rFonts w:cs="Arial"/>
          <w:color w:val="000000" w:themeColor="text1"/>
          <w:sz w:val="19"/>
          <w:szCs w:val="19"/>
        </w:rPr>
        <w:t>ejacobs@ablelaw.org</w:t>
      </w:r>
    </w:p>
    <w:p w:rsidR="00E66FEE" w:rsidRDefault="00B36D11">
      <w:pPr>
        <w:rPr>
          <w:rFonts w:cs="Arial"/>
          <w:color w:val="000000" w:themeColor="text1"/>
          <w:sz w:val="19"/>
          <w:szCs w:val="19"/>
        </w:rPr>
      </w:pPr>
      <w:r>
        <w:rPr>
          <w:rFonts w:cs="Arial"/>
          <w:color w:val="000000" w:themeColor="text1"/>
          <w:sz w:val="19"/>
          <w:szCs w:val="19"/>
        </w:rPr>
        <w:t>tobrien@bricker.com</w:t>
      </w:r>
    </w:p>
    <w:p w:rsidR="00E66FEE" w:rsidRDefault="00B36D11">
      <w:pPr>
        <w:autoSpaceDE w:val="0"/>
        <w:autoSpaceDN w:val="0"/>
        <w:adjustRightInd w:val="0"/>
        <w:rPr>
          <w:rFonts w:eastAsia="Calibri" w:cs="Arial"/>
          <w:color w:val="000000" w:themeColor="text1"/>
          <w:sz w:val="19"/>
          <w:szCs w:val="19"/>
        </w:rPr>
      </w:pPr>
      <w:r>
        <w:rPr>
          <w:rFonts w:eastAsia="Calibri" w:cs="Arial"/>
          <w:color w:val="000000" w:themeColor="text1"/>
          <w:sz w:val="19"/>
          <w:szCs w:val="19"/>
        </w:rPr>
        <w:t>mwarnock@bricker.com</w:t>
      </w:r>
    </w:p>
    <w:p w:rsidR="00E66FEE" w:rsidRDefault="00B36D11">
      <w:pPr>
        <w:autoSpaceDE w:val="0"/>
        <w:autoSpaceDN w:val="0"/>
        <w:adjustRightInd w:val="0"/>
        <w:rPr>
          <w:rFonts w:eastAsia="Calibri" w:cs="Arial"/>
          <w:color w:val="000000" w:themeColor="text1"/>
          <w:sz w:val="19"/>
          <w:szCs w:val="19"/>
        </w:rPr>
      </w:pPr>
      <w:r>
        <w:rPr>
          <w:rFonts w:eastAsia="Calibri" w:cs="Arial"/>
          <w:color w:val="000000" w:themeColor="text1"/>
          <w:sz w:val="19"/>
          <w:szCs w:val="19"/>
        </w:rPr>
        <w:t>tsiwo@bricker.com</w:t>
      </w:r>
    </w:p>
    <w:p w:rsidR="00E66FEE" w:rsidRDefault="00B36D11">
      <w:pPr>
        <w:rPr>
          <w:rFonts w:cs="Arial"/>
          <w:color w:val="000000" w:themeColor="text1"/>
          <w:sz w:val="19"/>
          <w:szCs w:val="19"/>
        </w:rPr>
      </w:pPr>
      <w:r>
        <w:rPr>
          <w:rFonts w:cs="Arial"/>
          <w:color w:val="000000" w:themeColor="text1"/>
          <w:sz w:val="19"/>
          <w:szCs w:val="19"/>
        </w:rPr>
        <w:t>mhpetricoff@vorys.com</w:t>
      </w:r>
    </w:p>
    <w:p w:rsidR="00E66FEE" w:rsidRDefault="00B36D11">
      <w:pPr>
        <w:rPr>
          <w:rFonts w:cs="Arial"/>
          <w:color w:val="000000" w:themeColor="text1"/>
          <w:sz w:val="19"/>
          <w:szCs w:val="19"/>
        </w:rPr>
      </w:pPr>
      <w:r>
        <w:rPr>
          <w:rFonts w:cs="Arial"/>
          <w:color w:val="000000" w:themeColor="text1"/>
          <w:sz w:val="19"/>
          <w:szCs w:val="19"/>
        </w:rPr>
        <w:t>smhoward@vorys.com</w:t>
      </w:r>
    </w:p>
    <w:p w:rsidR="00E66FEE" w:rsidRDefault="00B36D11">
      <w:pPr>
        <w:rPr>
          <w:rFonts w:cs="Arial"/>
          <w:color w:val="000000" w:themeColor="text1"/>
          <w:sz w:val="19"/>
          <w:szCs w:val="19"/>
        </w:rPr>
      </w:pPr>
      <w:r>
        <w:rPr>
          <w:rFonts w:cs="Arial"/>
          <w:color w:val="000000" w:themeColor="text1"/>
          <w:sz w:val="19"/>
          <w:szCs w:val="19"/>
        </w:rPr>
        <w:t>david.fein@constellation.com</w:t>
      </w:r>
    </w:p>
    <w:p w:rsidR="00E66FEE" w:rsidRDefault="00B36D11">
      <w:pPr>
        <w:rPr>
          <w:rFonts w:cs="Arial"/>
          <w:color w:val="000000" w:themeColor="text1"/>
          <w:sz w:val="19"/>
          <w:szCs w:val="19"/>
        </w:rPr>
      </w:pPr>
      <w:r>
        <w:rPr>
          <w:rFonts w:cs="Arial"/>
          <w:color w:val="000000" w:themeColor="text1"/>
          <w:sz w:val="19"/>
          <w:szCs w:val="19"/>
        </w:rPr>
        <w:t>cynthia.a.fonner@constellation.com</w:t>
      </w:r>
    </w:p>
    <w:p w:rsidR="00E66FEE" w:rsidRDefault="00B36D11">
      <w:pPr>
        <w:rPr>
          <w:rFonts w:cs="Arial"/>
          <w:color w:val="000000" w:themeColor="text1"/>
          <w:sz w:val="19"/>
          <w:szCs w:val="19"/>
        </w:rPr>
      </w:pPr>
      <w:r>
        <w:rPr>
          <w:rFonts w:cs="Arial"/>
          <w:color w:val="000000" w:themeColor="text1"/>
          <w:sz w:val="19"/>
          <w:szCs w:val="19"/>
        </w:rPr>
        <w:t>Tasha.hamilton@constellation.com</w:t>
      </w:r>
    </w:p>
    <w:p w:rsidR="00E66FEE" w:rsidRDefault="00B36D11">
      <w:pPr>
        <w:rPr>
          <w:rFonts w:cs="Arial"/>
          <w:color w:val="000000" w:themeColor="text1"/>
          <w:sz w:val="19"/>
          <w:szCs w:val="19"/>
        </w:rPr>
      </w:pPr>
      <w:r>
        <w:rPr>
          <w:rFonts w:cs="Arial"/>
          <w:color w:val="000000" w:themeColor="text1"/>
          <w:sz w:val="19"/>
          <w:szCs w:val="19"/>
        </w:rPr>
        <w:t>myurick@taftlaw.com</w:t>
      </w:r>
    </w:p>
    <w:p w:rsidR="00E66FEE" w:rsidRDefault="00B36D11">
      <w:pPr>
        <w:rPr>
          <w:rFonts w:cs="Arial"/>
          <w:color w:val="000000" w:themeColor="text1"/>
          <w:sz w:val="19"/>
          <w:szCs w:val="19"/>
        </w:rPr>
      </w:pPr>
      <w:r>
        <w:rPr>
          <w:rFonts w:cs="Arial"/>
          <w:color w:val="000000" w:themeColor="text1"/>
          <w:sz w:val="19"/>
          <w:szCs w:val="19"/>
        </w:rPr>
        <w:t>zkravitz@taftlaw.com</w:t>
      </w:r>
    </w:p>
    <w:p w:rsidR="00E66FEE" w:rsidRDefault="00B36D11">
      <w:pPr>
        <w:rPr>
          <w:rFonts w:cs="Arial"/>
          <w:color w:val="000000" w:themeColor="text1"/>
          <w:sz w:val="19"/>
          <w:szCs w:val="19"/>
        </w:rPr>
      </w:pPr>
      <w:r>
        <w:rPr>
          <w:rFonts w:cs="Arial"/>
          <w:color w:val="000000" w:themeColor="text1"/>
          <w:sz w:val="19"/>
          <w:szCs w:val="19"/>
        </w:rPr>
        <w:t>mhpetricoff@vorys.com</w:t>
      </w:r>
    </w:p>
    <w:p w:rsidR="00E66FEE" w:rsidRDefault="00B36D11">
      <w:pPr>
        <w:rPr>
          <w:rFonts w:cs="Arial"/>
          <w:color w:val="000000" w:themeColor="text1"/>
          <w:sz w:val="19"/>
          <w:szCs w:val="19"/>
        </w:rPr>
      </w:pPr>
      <w:r>
        <w:rPr>
          <w:rFonts w:cs="Arial"/>
          <w:color w:val="000000" w:themeColor="text1"/>
          <w:sz w:val="19"/>
          <w:szCs w:val="19"/>
        </w:rPr>
        <w:t>smhoward@vorys.com</w:t>
      </w:r>
    </w:p>
    <w:p w:rsidR="00E66FEE" w:rsidRDefault="00B36D11">
      <w:pPr>
        <w:rPr>
          <w:rFonts w:cs="Arial"/>
          <w:color w:val="000000" w:themeColor="text1"/>
          <w:sz w:val="19"/>
          <w:szCs w:val="19"/>
        </w:rPr>
      </w:pPr>
      <w:r>
        <w:rPr>
          <w:rFonts w:cs="Arial"/>
          <w:color w:val="000000" w:themeColor="text1"/>
          <w:sz w:val="19"/>
          <w:szCs w:val="19"/>
        </w:rPr>
        <w:t>Tony_Long@ham.honda.com</w:t>
      </w:r>
    </w:p>
    <w:p w:rsidR="00E66FEE" w:rsidRDefault="00B36D11">
      <w:pPr>
        <w:rPr>
          <w:rFonts w:cs="Arial"/>
          <w:color w:val="000000" w:themeColor="text1"/>
          <w:sz w:val="19"/>
          <w:szCs w:val="19"/>
        </w:rPr>
      </w:pPr>
      <w:r>
        <w:rPr>
          <w:rFonts w:cs="Arial"/>
          <w:color w:val="000000" w:themeColor="text1"/>
          <w:sz w:val="19"/>
        </w:rPr>
        <w:t>Stephen.bennett@exeloncorp.com</w:t>
      </w:r>
    </w:p>
    <w:p w:rsidR="00E66FEE" w:rsidRDefault="00B36D11" w:rsidP="00943DF8">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lastRenderedPageBreak/>
        <w:t>Cyn</w:t>
      </w:r>
      <w:bookmarkStart w:id="6" w:name="_GoBack"/>
      <w:bookmarkEnd w:id="6"/>
      <w:r>
        <w:rPr>
          <w:rFonts w:eastAsia="Times New Roman" w:cs="Arial"/>
          <w:color w:val="000000" w:themeColor="text1"/>
          <w:sz w:val="19"/>
          <w:szCs w:val="19"/>
        </w:rPr>
        <w:t>thia.b.fonner@constellation.com</w:t>
      </w:r>
    </w:p>
    <w:p w:rsidR="00E66FEE" w:rsidRDefault="00B36D11" w:rsidP="00943DF8">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LGearhardt@ofbf.org</w:t>
      </w:r>
    </w:p>
    <w:p w:rsidR="00E66FEE" w:rsidRDefault="00B36D11">
      <w:pPr>
        <w:tabs>
          <w:tab w:val="left" w:pos="-1440"/>
          <w:tab w:val="left" w:pos="-720"/>
          <w:tab w:val="left" w:pos="5040"/>
          <w:tab w:val="center" w:pos="7200"/>
        </w:tabs>
        <w:rPr>
          <w:rFonts w:cs="Arial"/>
          <w:color w:val="000000" w:themeColor="text1"/>
          <w:sz w:val="19"/>
          <w:szCs w:val="19"/>
        </w:rPr>
      </w:pPr>
      <w:r>
        <w:rPr>
          <w:rFonts w:cs="Arial"/>
          <w:color w:val="000000" w:themeColor="text1"/>
          <w:sz w:val="19"/>
          <w:szCs w:val="19"/>
        </w:rPr>
        <w:t>dconway@porterwright.com</w:t>
      </w:r>
    </w:p>
    <w:p w:rsidR="00E66FEE" w:rsidRDefault="00B36D11">
      <w:pPr>
        <w:tabs>
          <w:tab w:val="left" w:pos="-1440"/>
          <w:tab w:val="left" w:pos="-720"/>
          <w:tab w:val="left" w:pos="5040"/>
          <w:tab w:val="center" w:pos="7200"/>
        </w:tabs>
        <w:rPr>
          <w:rFonts w:cs="Arial"/>
          <w:color w:val="000000" w:themeColor="text1"/>
          <w:sz w:val="19"/>
          <w:szCs w:val="19"/>
        </w:rPr>
      </w:pPr>
      <w:r>
        <w:rPr>
          <w:rFonts w:cs="Arial"/>
          <w:color w:val="000000" w:themeColor="text1"/>
          <w:sz w:val="19"/>
          <w:szCs w:val="19"/>
        </w:rPr>
        <w:t>aemerson@porterwright.com</w:t>
      </w:r>
    </w:p>
    <w:p w:rsidR="00E66FEE" w:rsidRDefault="00B36D11">
      <w:pPr>
        <w:rPr>
          <w:rFonts w:cs="Arial"/>
          <w:color w:val="000000" w:themeColor="text1"/>
          <w:sz w:val="19"/>
          <w:szCs w:val="19"/>
        </w:rPr>
      </w:pPr>
      <w:r>
        <w:rPr>
          <w:rFonts w:cs="Arial"/>
          <w:color w:val="000000" w:themeColor="text1"/>
          <w:sz w:val="19"/>
          <w:szCs w:val="19"/>
        </w:rPr>
        <w:t>haydenm@firstenergycorp.com</w:t>
      </w:r>
    </w:p>
    <w:p w:rsidR="00E66FEE" w:rsidRDefault="00B36D11">
      <w:pPr>
        <w:rPr>
          <w:rFonts w:cs="Arial"/>
          <w:color w:val="000000" w:themeColor="text1"/>
          <w:sz w:val="19"/>
          <w:szCs w:val="19"/>
        </w:rPr>
      </w:pPr>
      <w:proofErr w:type="spellStart"/>
      <w:r>
        <w:rPr>
          <w:rFonts w:cs="Arial"/>
          <w:color w:val="000000" w:themeColor="text1"/>
          <w:sz w:val="19"/>
          <w:szCs w:val="19"/>
        </w:rPr>
        <w:t>coneil@calfee.comk</w:t>
      </w:r>
      <w:proofErr w:type="spellEnd"/>
    </w:p>
    <w:p w:rsidR="00E66FEE" w:rsidRDefault="00B36D11">
      <w:pPr>
        <w:rPr>
          <w:rFonts w:cs="Arial"/>
          <w:color w:val="000000" w:themeColor="text1"/>
          <w:sz w:val="19"/>
          <w:szCs w:val="19"/>
        </w:rPr>
      </w:pPr>
      <w:r>
        <w:rPr>
          <w:rFonts w:cs="Arial"/>
          <w:color w:val="000000" w:themeColor="text1"/>
          <w:sz w:val="19"/>
          <w:szCs w:val="19"/>
        </w:rPr>
        <w:t>shannon@calfee.com</w:t>
      </w:r>
    </w:p>
    <w:p w:rsidR="00E66FEE" w:rsidRDefault="00B36D11">
      <w:pPr>
        <w:rPr>
          <w:rFonts w:cs="Arial"/>
          <w:color w:val="000000" w:themeColor="text1"/>
          <w:sz w:val="19"/>
          <w:szCs w:val="19"/>
        </w:rPr>
      </w:pPr>
      <w:r>
        <w:rPr>
          <w:rFonts w:cs="Arial"/>
          <w:color w:val="000000" w:themeColor="text1"/>
          <w:sz w:val="19"/>
          <w:szCs w:val="19"/>
        </w:rPr>
        <w:t>jlang@calfee.com</w:t>
      </w:r>
    </w:p>
    <w:p w:rsidR="00E66FEE" w:rsidRDefault="00B36D11">
      <w:pPr>
        <w:rPr>
          <w:rFonts w:cs="Arial"/>
          <w:color w:val="000000" w:themeColor="text1"/>
          <w:sz w:val="19"/>
          <w:szCs w:val="19"/>
        </w:rPr>
      </w:pPr>
      <w:r>
        <w:rPr>
          <w:rFonts w:cs="Arial"/>
          <w:color w:val="000000" w:themeColor="text1"/>
          <w:sz w:val="19"/>
          <w:szCs w:val="19"/>
        </w:rPr>
        <w:t>lmcbride@calfee.com</w:t>
      </w:r>
    </w:p>
    <w:p w:rsidR="00E66FEE" w:rsidRDefault="00B36D11">
      <w:pPr>
        <w:rPr>
          <w:rFonts w:cs="Arial"/>
          <w:color w:val="000000" w:themeColor="text1"/>
          <w:sz w:val="19"/>
          <w:szCs w:val="19"/>
        </w:rPr>
      </w:pPr>
      <w:r>
        <w:rPr>
          <w:rFonts w:cs="Arial"/>
          <w:color w:val="000000" w:themeColor="text1"/>
          <w:sz w:val="19"/>
          <w:szCs w:val="19"/>
        </w:rPr>
        <w:t>talexander@calfee.com</w:t>
      </w:r>
    </w:p>
    <w:p w:rsidR="00E66FEE" w:rsidRDefault="00B36D11">
      <w:pPr>
        <w:rPr>
          <w:rFonts w:cs="Arial"/>
          <w:color w:val="000000" w:themeColor="text1"/>
          <w:sz w:val="19"/>
          <w:szCs w:val="19"/>
        </w:rPr>
      </w:pPr>
      <w:r>
        <w:rPr>
          <w:rFonts w:cs="Arial"/>
          <w:color w:val="000000" w:themeColor="text1"/>
          <w:sz w:val="19"/>
          <w:szCs w:val="19"/>
        </w:rPr>
        <w:t>dakutik@jonesday.com</w:t>
      </w:r>
    </w:p>
    <w:p w:rsidR="00E66FEE" w:rsidRDefault="00B36D11">
      <w:pPr>
        <w:rPr>
          <w:rFonts w:cs="Arial"/>
          <w:color w:val="000000" w:themeColor="text1"/>
          <w:sz w:val="19"/>
          <w:szCs w:val="19"/>
        </w:rPr>
      </w:pPr>
      <w:r>
        <w:rPr>
          <w:rFonts w:cs="Arial"/>
          <w:color w:val="000000" w:themeColor="text1"/>
          <w:sz w:val="19"/>
          <w:szCs w:val="19"/>
        </w:rPr>
        <w:t>aehaedt@jonesday.com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jejadwin@aep.com</w:t>
      </w:r>
    </w:p>
    <w:p w:rsidR="00E66FEE" w:rsidRDefault="00B36D11">
      <w:pPr>
        <w:rPr>
          <w:rFonts w:cs="Arial"/>
          <w:color w:val="000000" w:themeColor="text1"/>
          <w:sz w:val="19"/>
          <w:szCs w:val="19"/>
        </w:rPr>
      </w:pPr>
      <w:r>
        <w:rPr>
          <w:rFonts w:cs="Arial"/>
          <w:color w:val="000000" w:themeColor="text1"/>
          <w:sz w:val="19"/>
          <w:szCs w:val="19"/>
        </w:rPr>
        <w:t>Thomas.Melone@AllcoUS.com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jmclark@directenergy.com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christopher.miller@icemiller.com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gregory.dunn@icemiller.com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alan.starkoff@icemiller.com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ssolberg@EimerStahl.com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stephanie.Chmiel@ThompsonHine.com</w:t>
      </w:r>
    </w:p>
    <w:p w:rsidR="00E66FEE" w:rsidRDefault="00B36D11">
      <w:pPr>
        <w:tabs>
          <w:tab w:val="left" w:pos="2160"/>
          <w:tab w:val="left" w:pos="2280"/>
        </w:tabs>
        <w:rPr>
          <w:color w:val="000000" w:themeColor="text1"/>
          <w:u w:val="single"/>
        </w:rPr>
      </w:pPr>
      <w:r>
        <w:rPr>
          <w:rFonts w:cs="Arial"/>
          <w:color w:val="000000" w:themeColor="text1"/>
          <w:sz w:val="19"/>
          <w:szCs w:val="19"/>
        </w:rPr>
        <w:t>michael.Dillard@ThompsonHine.com</w:t>
      </w:r>
    </w:p>
    <w:p w:rsidR="00E66FEE" w:rsidRDefault="00B36D11">
      <w:pPr>
        <w:tabs>
          <w:tab w:val="left" w:pos="2160"/>
          <w:tab w:val="left" w:pos="2280"/>
        </w:tabs>
      </w:pPr>
      <w:r>
        <w:rPr>
          <w:rFonts w:cs="Arial"/>
          <w:color w:val="000000" w:themeColor="text1"/>
          <w:sz w:val="19"/>
        </w:rPr>
        <w:t>philip.sineneng@ThompsonHine.com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mjsatterwhite@aep.com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stnourse@aep.com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bojko@carpenterlipps.com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sechler@carpenterlipps.com</w:t>
      </w:r>
    </w:p>
    <w:p w:rsidR="00E66FEE" w:rsidRDefault="00B36D11">
      <w:pPr>
        <w:tabs>
          <w:tab w:val="left" w:pos="2160"/>
          <w:tab w:val="left" w:pos="2280"/>
        </w:tabs>
        <w:rPr>
          <w:color w:val="000000" w:themeColor="text1"/>
          <w:u w:val="single"/>
        </w:rPr>
      </w:pPr>
      <w:r>
        <w:rPr>
          <w:rFonts w:cs="Arial"/>
          <w:color w:val="000000" w:themeColor="text1"/>
          <w:sz w:val="19"/>
          <w:szCs w:val="19"/>
        </w:rPr>
        <w:t>matt@matthewcoxlaw.com</w:t>
      </w:r>
    </w:p>
    <w:p w:rsidR="00E66FEE" w:rsidRDefault="00B36D11">
      <w:pPr>
        <w:tabs>
          <w:tab w:val="left" w:pos="2160"/>
          <w:tab w:val="left" w:pos="2280"/>
        </w:tabs>
      </w:pPr>
      <w:r>
        <w:rPr>
          <w:rFonts w:cs="Arial"/>
          <w:color w:val="000000" w:themeColor="text1"/>
          <w:sz w:val="19"/>
          <w:szCs w:val="19"/>
        </w:rPr>
        <w:t>gpoulos@enernoc.com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ssherman@kdlegal.com</w:t>
      </w:r>
    </w:p>
    <w:p w:rsidR="00E66FEE" w:rsidRDefault="00B36D11">
      <w:pPr>
        <w:tabs>
          <w:tab w:val="left" w:pos="2160"/>
          <w:tab w:val="left" w:pos="2280"/>
        </w:tabs>
        <w:rPr>
          <w:rFonts w:cs="Arial"/>
          <w:color w:val="000000" w:themeColor="text1"/>
          <w:sz w:val="19"/>
          <w:szCs w:val="19"/>
        </w:rPr>
      </w:pPr>
      <w:r>
        <w:rPr>
          <w:rFonts w:cs="Arial"/>
          <w:color w:val="000000" w:themeColor="text1"/>
          <w:sz w:val="19"/>
          <w:szCs w:val="19"/>
        </w:rPr>
        <w:t>jhague@kdlegal.com</w:t>
      </w:r>
    </w:p>
    <w:p w:rsidR="00E66FEE" w:rsidRDefault="00B36D11" w:rsidP="00943DF8">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william.wright@puc.state.oh.us</w:t>
      </w:r>
    </w:p>
    <w:p w:rsidR="00E66FEE" w:rsidRDefault="00B36D11" w:rsidP="00943DF8">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thomas.lindgren@puc.state.oh.us</w:t>
      </w:r>
    </w:p>
    <w:p w:rsidR="00E66FEE" w:rsidRDefault="00B36D11" w:rsidP="00A7617E">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thomas.mcnamee@puc.state.oh.us</w:t>
      </w:r>
    </w:p>
    <w:p w:rsidR="00E66FEE" w:rsidRDefault="00B36D11" w:rsidP="00A7617E">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steven.beeler@puc.state.oh.us</w:t>
      </w:r>
    </w:p>
    <w:p w:rsidR="00E66FEE" w:rsidRDefault="00B36D11" w:rsidP="00A7617E">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devin.parram@puc.state.oh.us</w:t>
      </w:r>
    </w:p>
    <w:p w:rsidR="00E66FEE" w:rsidRDefault="00B36D11" w:rsidP="00A7617E">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gregory.price@puc.state.oh.us</w:t>
      </w:r>
    </w:p>
    <w:p w:rsidR="00E66FEE" w:rsidRDefault="00B36D11" w:rsidP="00A7617E">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mandy.willey@puc.state.oh.us</w:t>
      </w:r>
    </w:p>
    <w:p w:rsidR="00E66FEE" w:rsidRDefault="00B36D11" w:rsidP="00A7617E">
      <w:pPr>
        <w:spacing w:beforeLines="1" w:before="2"/>
        <w:jc w:val="both"/>
        <w:rPr>
          <w:rFonts w:eastAsia="Times New Roman" w:cs="Arial"/>
          <w:color w:val="000000" w:themeColor="text1"/>
          <w:sz w:val="19"/>
          <w:szCs w:val="19"/>
        </w:rPr>
      </w:pPr>
      <w:r>
        <w:rPr>
          <w:rFonts w:eastAsia="Times New Roman" w:cs="Arial"/>
          <w:color w:val="000000" w:themeColor="text1"/>
          <w:sz w:val="19"/>
          <w:szCs w:val="19"/>
        </w:rPr>
        <w:t>bryce.mckenney@puc.state.oh.us</w:t>
      </w:r>
    </w:p>
    <w:p w:rsidR="00E66FEE" w:rsidRDefault="00B36D11">
      <w:pPr>
        <w:rPr>
          <w:rFonts w:cs="Arial"/>
          <w:color w:val="000000" w:themeColor="text1"/>
          <w:sz w:val="19"/>
          <w:szCs w:val="19"/>
        </w:rPr>
      </w:pPr>
      <w:r>
        <w:rPr>
          <w:rFonts w:cs="Arial"/>
          <w:color w:val="000000" w:themeColor="text1"/>
          <w:sz w:val="19"/>
          <w:szCs w:val="19"/>
        </w:rPr>
        <w:t>henryeckhart@aol.com</w:t>
      </w:r>
    </w:p>
    <w:p w:rsidR="00E66FEE" w:rsidRDefault="00B36D11">
      <w:pPr>
        <w:rPr>
          <w:rFonts w:cs="Arial"/>
          <w:color w:val="000000" w:themeColor="text1"/>
          <w:sz w:val="19"/>
          <w:szCs w:val="19"/>
        </w:rPr>
      </w:pPr>
      <w:r>
        <w:rPr>
          <w:rFonts w:cs="Arial"/>
          <w:color w:val="000000" w:themeColor="text1"/>
          <w:sz w:val="19"/>
          <w:szCs w:val="19"/>
        </w:rPr>
        <w:t>Wis29@yahoo.com</w:t>
      </w:r>
    </w:p>
    <w:p w:rsidR="00E66FEE" w:rsidRDefault="00B36D11">
      <w:pPr>
        <w:rPr>
          <w:rFonts w:cs="Arial"/>
          <w:color w:val="000000" w:themeColor="text1"/>
          <w:sz w:val="19"/>
          <w:szCs w:val="19"/>
        </w:rPr>
      </w:pPr>
      <w:r>
        <w:rPr>
          <w:rFonts w:cs="Arial"/>
          <w:color w:val="000000" w:themeColor="text1"/>
          <w:sz w:val="19"/>
          <w:szCs w:val="19"/>
        </w:rPr>
        <w:t>berger@occ.state.oh.us</w:t>
      </w:r>
    </w:p>
    <w:p w:rsidR="00E66FEE" w:rsidRDefault="00B36D11">
      <w:pPr>
        <w:rPr>
          <w:rFonts w:cs="Arial"/>
          <w:color w:val="000000" w:themeColor="text1"/>
          <w:sz w:val="19"/>
          <w:szCs w:val="19"/>
        </w:rPr>
      </w:pPr>
      <w:r>
        <w:rPr>
          <w:rFonts w:cs="Arial"/>
          <w:color w:val="000000" w:themeColor="text1"/>
          <w:sz w:val="19"/>
          <w:szCs w:val="19"/>
        </w:rPr>
        <w:t>bill.wells@wpafb.af.mil</w:t>
      </w:r>
    </w:p>
    <w:p w:rsidR="00E66FEE" w:rsidRDefault="00B36D11">
      <w:pPr>
        <w:rPr>
          <w:rFonts w:cs="Arial"/>
          <w:color w:val="000000" w:themeColor="text1"/>
          <w:sz w:val="19"/>
          <w:szCs w:val="19"/>
        </w:rPr>
      </w:pPr>
      <w:r>
        <w:rPr>
          <w:rFonts w:cs="Arial"/>
          <w:color w:val="000000" w:themeColor="text1"/>
          <w:sz w:val="19"/>
          <w:szCs w:val="19"/>
        </w:rPr>
        <w:t>chris.thompson.2@tyndall.af.mil</w:t>
      </w:r>
    </w:p>
    <w:p w:rsidR="00E66FEE" w:rsidRDefault="00B36D11">
      <w:pPr>
        <w:rPr>
          <w:rFonts w:cs="Arial"/>
          <w:color w:val="000000" w:themeColor="text1"/>
          <w:sz w:val="19"/>
          <w:szCs w:val="19"/>
        </w:rPr>
      </w:pPr>
      <w:r>
        <w:rPr>
          <w:rFonts w:cs="Arial"/>
          <w:color w:val="000000" w:themeColor="text1"/>
          <w:sz w:val="19"/>
          <w:szCs w:val="19"/>
        </w:rPr>
        <w:t>mchristensen@columbuslaw.org</w:t>
      </w:r>
    </w:p>
    <w:p w:rsidR="00E66FEE" w:rsidRDefault="00B36D11">
      <w:pPr>
        <w:rPr>
          <w:rFonts w:cs="Arial"/>
          <w:color w:val="000000" w:themeColor="text1"/>
          <w:sz w:val="19"/>
          <w:szCs w:val="19"/>
        </w:rPr>
      </w:pPr>
      <w:r>
        <w:rPr>
          <w:rFonts w:cs="Arial"/>
          <w:color w:val="000000" w:themeColor="text1"/>
          <w:sz w:val="19"/>
          <w:szCs w:val="19"/>
        </w:rPr>
        <w:t>chris.michael@icemiller.com</w:t>
      </w:r>
    </w:p>
    <w:p w:rsidR="00E66FEE" w:rsidRDefault="00E66FEE">
      <w:pPr>
        <w:rPr>
          <w:szCs w:val="19"/>
        </w:rPr>
      </w:pPr>
    </w:p>
    <w:sectPr w:rsidR="00E66FE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EE" w:rsidRDefault="00B36D11">
      <w:r>
        <w:separator/>
      </w:r>
    </w:p>
  </w:endnote>
  <w:endnote w:type="continuationSeparator" w:id="0">
    <w:p w:rsidR="00E66FEE" w:rsidRDefault="00B3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6F" w:rsidRDefault="00656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EE" w:rsidRDefault="0065626F">
    <w:pPr>
      <w:pStyle w:val="Footer"/>
    </w:pPr>
    <w:r w:rsidRPr="0065626F">
      <w:rPr>
        <w:noProof/>
        <w:sz w:val="16"/>
      </w:rPr>
      <w:t>{C39563:5 }</w:t>
    </w:r>
    <w:r w:rsidR="00B36D11">
      <w:rPr>
        <w:noProof/>
        <w:sz w:val="16"/>
      </w:rPr>
      <w:tab/>
    </w:r>
    <w:r w:rsidR="00B36D11">
      <w:rPr>
        <w:noProof/>
        <w:sz w:val="22"/>
        <w:szCs w:val="22"/>
      </w:rPr>
      <w:fldChar w:fldCharType="begin"/>
    </w:r>
    <w:r w:rsidR="00B36D11">
      <w:rPr>
        <w:noProof/>
        <w:sz w:val="22"/>
        <w:szCs w:val="22"/>
      </w:rPr>
      <w:instrText xml:space="preserve"> PAGE   \* MERGEFORMAT </w:instrText>
    </w:r>
    <w:r w:rsidR="00B36D11">
      <w:rPr>
        <w:noProof/>
        <w:sz w:val="22"/>
        <w:szCs w:val="22"/>
      </w:rPr>
      <w:fldChar w:fldCharType="separate"/>
    </w:r>
    <w:r>
      <w:rPr>
        <w:noProof/>
        <w:sz w:val="22"/>
        <w:szCs w:val="22"/>
      </w:rPr>
      <w:t>12</w:t>
    </w:r>
    <w:r w:rsidR="00B36D11">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EE" w:rsidRDefault="0065626F">
    <w:pPr>
      <w:pStyle w:val="Footer"/>
    </w:pPr>
    <w:r w:rsidRPr="0065626F">
      <w:rPr>
        <w:noProof/>
        <w:sz w:val="16"/>
      </w:rPr>
      <w:t>{C39563:5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EE" w:rsidRDefault="00E66F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EE" w:rsidRDefault="0065626F">
    <w:pPr>
      <w:pStyle w:val="Footer"/>
    </w:pPr>
    <w:r w:rsidRPr="0065626F">
      <w:rPr>
        <w:noProof/>
        <w:sz w:val="16"/>
      </w:rPr>
      <w:t>{C39563:5 }</w:t>
    </w:r>
    <w:r w:rsidR="00B36D11">
      <w:rPr>
        <w:noProof/>
        <w:sz w:val="16"/>
      </w:rPr>
      <w:tab/>
    </w:r>
    <w:r w:rsidR="00B36D11">
      <w:rPr>
        <w:noProof/>
        <w:sz w:val="22"/>
      </w:rPr>
      <w:fldChar w:fldCharType="begin"/>
    </w:r>
    <w:r w:rsidR="00B36D11">
      <w:rPr>
        <w:noProof/>
        <w:sz w:val="22"/>
      </w:rPr>
      <w:instrText xml:space="preserve"> PAGE   \* MERGEFORMAT </w:instrText>
    </w:r>
    <w:r w:rsidR="00B36D11">
      <w:rPr>
        <w:noProof/>
        <w:sz w:val="22"/>
      </w:rPr>
      <w:fldChar w:fldCharType="separate"/>
    </w:r>
    <w:r w:rsidR="00B36D11">
      <w:rPr>
        <w:noProof/>
        <w:sz w:val="22"/>
      </w:rPr>
      <w:t>13</w:t>
    </w:r>
    <w:r w:rsidR="00B36D11">
      <w:rPr>
        <w:noProof/>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EE" w:rsidRDefault="00B36D11">
    <w:pPr>
      <w:pStyle w:val="Footer"/>
    </w:pPr>
    <w:r>
      <w:rPr>
        <w:noProof/>
        <w:sz w:val="16"/>
      </w:rPr>
      <w:t>{C38644:4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EE" w:rsidRDefault="00B36D11">
      <w:pPr>
        <w:rPr>
          <w:noProof/>
        </w:rPr>
      </w:pPr>
      <w:r>
        <w:rPr>
          <w:noProof/>
        </w:rPr>
        <w:separator/>
      </w:r>
    </w:p>
  </w:footnote>
  <w:footnote w:type="continuationSeparator" w:id="0">
    <w:p w:rsidR="00E66FEE" w:rsidRDefault="00B36D11">
      <w:r>
        <w:continuationSeparator/>
      </w:r>
    </w:p>
  </w:footnote>
  <w:footnote w:id="1">
    <w:p w:rsidR="00E66FEE" w:rsidRDefault="00B36D11">
      <w:pPr>
        <w:pStyle w:val="FootnoteText"/>
      </w:pPr>
      <w:r>
        <w:rPr>
          <w:rStyle w:val="FootnoteReference"/>
        </w:rPr>
        <w:footnoteRef/>
      </w:r>
      <w:r>
        <w:t xml:space="preserve"> Rule 4901-1-24(A</w:t>
      </w:r>
      <w:proofErr w:type="gramStart"/>
      <w:r>
        <w:t>)(</w:t>
      </w:r>
      <w:proofErr w:type="gramEnd"/>
      <w:r>
        <w:t>2), O.A.C.</w:t>
      </w:r>
    </w:p>
  </w:footnote>
  <w:footnote w:id="2">
    <w:p w:rsidR="00E66FEE" w:rsidRDefault="00B36D11">
      <w:pPr>
        <w:pStyle w:val="FootnoteText"/>
        <w:spacing w:after="120"/>
        <w:jc w:val="both"/>
      </w:pPr>
      <w:r>
        <w:rPr>
          <w:rStyle w:val="FootnoteReference"/>
        </w:rPr>
        <w:footnoteRef/>
      </w:r>
      <w:r>
        <w:t xml:space="preserve"> These Interrogatories seek IEU-Ohio to identify any legal or mathematical issue with DP&amp;L’s revised ESP application, supporting testimony, </w:t>
      </w:r>
      <w:proofErr w:type="spellStart"/>
      <w:r>
        <w:t>workpapers</w:t>
      </w:r>
      <w:proofErr w:type="spellEnd"/>
      <w:r>
        <w:t>, schedules, or other documents.  Attachment A at 1-2.  IEU-Ohio also objected to DP&amp;L’s Interrogatories 4 through 7, which are overly broad.  Because of the overbroad scope of these requests, the requests are also improper because they seek information subject to the attorney-client privilege and/or work-product doctrine.  IEU-Ohio has indicated it will provide supplemental information once known, but IEU-Ohio maintains that it is not required to identify any and all deficiencies in these documents.</w:t>
      </w:r>
    </w:p>
  </w:footnote>
  <w:footnote w:id="3">
    <w:p w:rsidR="00E66FEE" w:rsidRDefault="00B36D11" w:rsidP="00A7617E">
      <w:pPr>
        <w:pStyle w:val="FootnoteText"/>
        <w:spacing w:after="120"/>
        <w:jc w:val="both"/>
      </w:pPr>
      <w:r>
        <w:rPr>
          <w:rStyle w:val="FootnoteReference"/>
        </w:rPr>
        <w:footnoteRef/>
      </w:r>
      <w:r>
        <w:t xml:space="preserve"> Section 4928.143(C</w:t>
      </w:r>
      <w:proofErr w:type="gramStart"/>
      <w:r>
        <w:t>)(</w:t>
      </w:r>
      <w:proofErr w:type="gramEnd"/>
      <w:r>
        <w:t>1), Revised Code.</w:t>
      </w:r>
    </w:p>
  </w:footnote>
  <w:footnote w:id="4">
    <w:p w:rsidR="00E66FEE" w:rsidRDefault="00B36D11">
      <w:pPr>
        <w:pStyle w:val="FootnoteText"/>
        <w:spacing w:after="120"/>
      </w:pPr>
      <w:r>
        <w:rPr>
          <w:rStyle w:val="FootnoteReference"/>
        </w:rPr>
        <w:footnoteRef/>
      </w:r>
      <w:r>
        <w:t xml:space="preserve"> Rule 4901-1-24(A</w:t>
      </w:r>
      <w:proofErr w:type="gramStart"/>
      <w:r>
        <w:t>)(</w:t>
      </w:r>
      <w:proofErr w:type="gramEnd"/>
      <w:r>
        <w:t>4), O.A.C.</w:t>
      </w:r>
    </w:p>
  </w:footnote>
  <w:footnote w:id="5">
    <w:p w:rsidR="00E66FEE" w:rsidRDefault="00B36D11">
      <w:pPr>
        <w:pStyle w:val="FootnoteText"/>
        <w:spacing w:after="120"/>
        <w:jc w:val="both"/>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t xml:space="preserve"> (hereinafter, “</w:t>
      </w:r>
      <w:r>
        <w:rPr>
          <w:i/>
        </w:rPr>
        <w:t>AEP-Ohio’s ESP Proceeding</w:t>
      </w:r>
      <w:r>
        <w:t>”).</w:t>
      </w:r>
    </w:p>
  </w:footnote>
  <w:footnote w:id="6">
    <w:p w:rsidR="00E66FEE" w:rsidRDefault="00B36D11">
      <w:pPr>
        <w:pStyle w:val="FootnoteText"/>
        <w:spacing w:after="120"/>
        <w:jc w:val="both"/>
      </w:pPr>
      <w:r>
        <w:rPr>
          <w:rStyle w:val="FootnoteReference"/>
        </w:rPr>
        <w:footnoteRef/>
      </w:r>
      <w:r>
        <w:t xml:space="preserve"> </w:t>
      </w:r>
      <w:proofErr w:type="gramStart"/>
      <w:r>
        <w:t>Attachment A at 3.</w:t>
      </w:r>
      <w:proofErr w:type="gramEnd"/>
    </w:p>
  </w:footnote>
  <w:footnote w:id="7">
    <w:p w:rsidR="00E66FEE" w:rsidRDefault="00B36D11">
      <w:pPr>
        <w:pStyle w:val="FootnoteText"/>
        <w:spacing w:after="120"/>
        <w:jc w:val="both"/>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Pr>
          <w:i/>
        </w:rPr>
        <w:t>et al.,</w:t>
      </w:r>
      <w:r>
        <w:t xml:space="preserve"> Entry at 6 (June 30, 2011).</w:t>
      </w:r>
    </w:p>
  </w:footnote>
  <w:footnote w:id="8">
    <w:p w:rsidR="00E66FEE" w:rsidRDefault="00B36D11">
      <w:pPr>
        <w:pStyle w:val="FootnoteText"/>
        <w:spacing w:after="120"/>
        <w:jc w:val="both"/>
      </w:pPr>
      <w:r>
        <w:rPr>
          <w:rStyle w:val="FootnoteReference"/>
        </w:rPr>
        <w:footnoteRef/>
      </w:r>
      <w:r>
        <w:t xml:space="preserve"> MC Squared is a wholly owned subsidiary of DPLER.  DPL Inc.’s SEC Form 10 Q/A at 19, available at: </w:t>
      </w:r>
      <w:r w:rsidRPr="00B36D11">
        <w:t>http://www.sec.gov/Archives/edgar/data/27430/000078725012000011/c250-20120930x10qa.htm</w:t>
      </w:r>
      <w:r>
        <w:t xml:space="preserve">. </w:t>
      </w:r>
    </w:p>
  </w:footnote>
  <w:footnote w:id="9">
    <w:p w:rsidR="00E66FEE" w:rsidRDefault="00B36D11">
      <w:pPr>
        <w:pStyle w:val="FootnoteText"/>
        <w:spacing w:after="120"/>
        <w:jc w:val="both"/>
      </w:pPr>
      <w:r>
        <w:rPr>
          <w:rStyle w:val="FootnoteReference"/>
        </w:rPr>
        <w:footnoteRef/>
      </w:r>
      <w:r>
        <w:t xml:space="preserve"> As of September 2012, 6</w:t>
      </w:r>
      <w:r w:rsidR="00943DF8">
        <w:t>3</w:t>
      </w:r>
      <w:r>
        <w:t xml:space="preserve">% of DP&amp;L’s load had switched, and DP&amp;L’s affiliates retained 73% of the switched load.  </w:t>
      </w:r>
      <w:proofErr w:type="gramStart"/>
      <w:r>
        <w:rPr>
          <w:bCs/>
        </w:rPr>
        <w:t>The AES Corporation 47th Annual EEI Financial Conference</w:t>
      </w:r>
      <w:r>
        <w:t xml:space="preserve"> at 14 (Nov. 2012) (attached as Attachment B) (also available at </w:t>
      </w:r>
      <w:r w:rsidRPr="00B36D11">
        <w:t>www.aes.com</w:t>
      </w:r>
      <w:r>
        <w:t xml:space="preserve"> through the Presentation &amp; Webcasts tab under the Investors tab).</w:t>
      </w:r>
      <w:proofErr w:type="gramEnd"/>
      <w:r>
        <w:t xml:space="preserve">  Thus, 45.</w:t>
      </w:r>
      <w:r w:rsidR="00943DF8">
        <w:t>99</w:t>
      </w:r>
      <w:r>
        <w:t xml:space="preserve">% of DP&amp;L’s total load is served by its competitive affiliates.  DP&amp;L’s competitive affiliates purchase all of their generation supply from DP&amp;L.  DPL Inc.’s SEC Form 10 Q/A at 19, available at: </w:t>
      </w:r>
      <w:r w:rsidRPr="00B36D11">
        <w:t>http://www.sec.gov/Archives/edgar/data/27430/000078725012000011/c250-20120930x10qa.htm</w:t>
      </w:r>
      <w:r>
        <w:t>.</w:t>
      </w:r>
    </w:p>
  </w:footnote>
  <w:footnote w:id="10">
    <w:p w:rsidR="00E66FEE" w:rsidRDefault="00B36D11">
      <w:pPr>
        <w:pStyle w:val="FootnoteText"/>
        <w:spacing w:after="120"/>
      </w:pPr>
      <w:r>
        <w:rPr>
          <w:rStyle w:val="FootnoteReference"/>
        </w:rPr>
        <w:footnoteRef/>
      </w:r>
      <w:r>
        <w:t xml:space="preserve"> Attachment A at 1-2.</w:t>
      </w:r>
    </w:p>
  </w:footnote>
  <w:footnote w:id="11">
    <w:p w:rsidR="00E66FEE" w:rsidRDefault="00B36D11">
      <w:pPr>
        <w:pStyle w:val="FootnoteText"/>
        <w:spacing w:after="120"/>
        <w:jc w:val="both"/>
      </w:pPr>
      <w:r>
        <w:rPr>
          <w:rStyle w:val="FootnoteReference"/>
        </w:rPr>
        <w:footnoteRef/>
      </w:r>
      <w:r>
        <w:t xml:space="preserve"> IEU-Ohio also objected on grounds that the requests overly broad and identifying each and every error would cause IEU-Ohio to incur an undue burden or expense in responding, and the requests were also objectionable because the information it seeks is subject to the attorney-client privilege and/or work-product doctrine.  Once the information DP&amp;L seeks becomes known to IEU-Ohio, IEU-Ohio will update and address any objections it might have at that time.</w:t>
      </w:r>
    </w:p>
  </w:footnote>
  <w:footnote w:id="12">
    <w:p w:rsidR="00E66FEE" w:rsidRDefault="00B36D11">
      <w:pPr>
        <w:pStyle w:val="FootnoteText"/>
      </w:pPr>
      <w:r>
        <w:rPr>
          <w:rStyle w:val="FootnoteReference"/>
        </w:rPr>
        <w:footnoteRef/>
      </w:r>
      <w:r>
        <w:t xml:space="preserve"> Section 4928.143(C</w:t>
      </w:r>
      <w:proofErr w:type="gramStart"/>
      <w:r>
        <w:t>)(</w:t>
      </w:r>
      <w:proofErr w:type="gramEnd"/>
      <w:r>
        <w:t>1), Revised Code.</w:t>
      </w:r>
    </w:p>
  </w:footnote>
  <w:footnote w:id="13">
    <w:p w:rsidR="00E66FEE" w:rsidRDefault="00B36D11">
      <w:pPr>
        <w:pStyle w:val="FootnoteText"/>
        <w:spacing w:after="120"/>
      </w:pPr>
      <w:r>
        <w:rPr>
          <w:rStyle w:val="FootnoteReference"/>
        </w:rPr>
        <w:footnoteRef/>
      </w:r>
      <w:r>
        <w:t xml:space="preserve"> Rule 4901-1-24(A</w:t>
      </w:r>
      <w:proofErr w:type="gramStart"/>
      <w:r>
        <w:t>)(</w:t>
      </w:r>
      <w:proofErr w:type="gramEnd"/>
      <w:r>
        <w:t>2), O.A.C.</w:t>
      </w:r>
    </w:p>
  </w:footnote>
  <w:footnote w:id="14">
    <w:p w:rsidR="00E66FEE" w:rsidRDefault="00B36D11" w:rsidP="00A7617E">
      <w:pPr>
        <w:pStyle w:val="FootnoteText"/>
        <w:spacing w:after="120"/>
      </w:pPr>
      <w:r>
        <w:rPr>
          <w:rStyle w:val="FootnoteReference"/>
        </w:rPr>
        <w:footnoteRef/>
      </w:r>
      <w:r>
        <w:t xml:space="preserve"> </w:t>
      </w:r>
      <w:r>
        <w:rPr>
          <w:i/>
        </w:rPr>
        <w:t xml:space="preserve">See </w:t>
      </w:r>
      <w:r>
        <w:t>Section 4928.143(C</w:t>
      </w:r>
      <w:proofErr w:type="gramStart"/>
      <w:r>
        <w:t>)(</w:t>
      </w:r>
      <w:proofErr w:type="gramEnd"/>
      <w:r>
        <w:t>1), Revised Code.</w:t>
      </w:r>
    </w:p>
  </w:footnote>
  <w:footnote w:id="15">
    <w:p w:rsidR="00E66FEE" w:rsidRDefault="00B36D11">
      <w:pPr>
        <w:pStyle w:val="FootnoteText"/>
        <w:spacing w:after="120"/>
      </w:pPr>
      <w:r>
        <w:rPr>
          <w:rStyle w:val="FootnoteReference"/>
        </w:rPr>
        <w:footnoteRef/>
      </w:r>
      <w:r>
        <w:t xml:space="preserve"> </w:t>
      </w:r>
      <w:proofErr w:type="gramStart"/>
      <w:r>
        <w:t>Attachment A at 3.</w:t>
      </w:r>
      <w:proofErr w:type="gramEnd"/>
    </w:p>
  </w:footnote>
  <w:footnote w:id="16">
    <w:p w:rsidR="00E66FEE" w:rsidRDefault="00B36D11">
      <w:pPr>
        <w:spacing w:after="120"/>
        <w:jc w:val="both"/>
      </w:pPr>
      <w:r>
        <w:rPr>
          <w:rStyle w:val="FootnoteReference"/>
          <w:sz w:val="20"/>
          <w:szCs w:val="20"/>
        </w:rPr>
        <w:footnoteRef/>
      </w:r>
      <w:r>
        <w:rPr>
          <w:sz w:val="20"/>
          <w:szCs w:val="20"/>
        </w:rPr>
        <w:t xml:space="preserve"> </w:t>
      </w:r>
      <w:r>
        <w:rPr>
          <w:i/>
          <w:sz w:val="20"/>
          <w:szCs w:val="20"/>
        </w:rPr>
        <w:t xml:space="preserve">In the Matter of the Commission Review of the Capacity Charges of Ohio Power Company and Columbus Southern Power Company, </w:t>
      </w:r>
      <w:r>
        <w:rPr>
          <w:sz w:val="20"/>
          <w:szCs w:val="20"/>
        </w:rPr>
        <w:t>Case No. 10-2929-EL-UNC, Entry on Rehearing at 18 (Oct. 17, 2012).  In calculating the revenue requirement of AEP-Ohio’s Retail Stability Rider (“RSR”), the Commission relied heavily on the unique circumstances the Commission addressed in Case No. 10</w:t>
      </w:r>
      <w:r>
        <w:rPr>
          <w:sz w:val="20"/>
          <w:szCs w:val="20"/>
        </w:rPr>
        <w:noBreakHyphen/>
        <w:t>2929</w:t>
      </w:r>
      <w:r>
        <w:rPr>
          <w:sz w:val="20"/>
          <w:szCs w:val="20"/>
        </w:rPr>
        <w:noBreakHyphen/>
        <w:t>EL</w:t>
      </w:r>
      <w:r>
        <w:rPr>
          <w:sz w:val="20"/>
          <w:szCs w:val="20"/>
        </w:rPr>
        <w:noBreakHyphen/>
        <w:t xml:space="preserve">UNC.  </w:t>
      </w:r>
      <w:r>
        <w:rPr>
          <w:i/>
          <w:sz w:val="20"/>
          <w:szCs w:val="20"/>
        </w:rPr>
        <w:t>AEP-Ohio’s ESP Proceeding</w:t>
      </w:r>
      <w:r>
        <w:rPr>
          <w:sz w:val="20"/>
          <w:szCs w:val="20"/>
        </w:rPr>
        <w:t>, Opinion and Order at 26-38 (Aug. 8, 2012).</w:t>
      </w:r>
    </w:p>
  </w:footnote>
  <w:footnote w:id="17">
    <w:p w:rsidR="00E66FEE" w:rsidRDefault="00B36D11">
      <w:pPr>
        <w:pStyle w:val="FootnoteText"/>
        <w:spacing w:after="120"/>
      </w:pPr>
      <w:r>
        <w:rPr>
          <w:rStyle w:val="FootnoteReference"/>
        </w:rPr>
        <w:footnoteRef/>
      </w:r>
      <w:r>
        <w:t xml:space="preserve"> Rule 4901-1-24(A</w:t>
      </w:r>
      <w:proofErr w:type="gramStart"/>
      <w:r>
        <w:t>)(</w:t>
      </w:r>
      <w:proofErr w:type="gramEnd"/>
      <w:r>
        <w:t>4), O.A.C.</w:t>
      </w:r>
    </w:p>
  </w:footnote>
  <w:footnote w:id="18">
    <w:p w:rsidR="00E66FEE" w:rsidRDefault="00B36D11">
      <w:pPr>
        <w:pStyle w:val="FootnoteText"/>
        <w:spacing w:after="120"/>
      </w:pPr>
      <w:r>
        <w:rPr>
          <w:rStyle w:val="FootnoteReference"/>
        </w:rPr>
        <w:footnoteRef/>
      </w:r>
      <w:r>
        <w:t xml:space="preserve"> </w:t>
      </w:r>
      <w:proofErr w:type="gramStart"/>
      <w:r>
        <w:t>Attachment A at 3.</w:t>
      </w:r>
      <w:proofErr w:type="gramEnd"/>
    </w:p>
  </w:footnote>
  <w:footnote w:id="19">
    <w:p w:rsidR="00E66FEE" w:rsidRDefault="00B36D11">
      <w:pPr>
        <w:pStyle w:val="FootnoteText"/>
        <w:spacing w:after="120"/>
        <w:jc w:val="both"/>
      </w:pPr>
      <w:r>
        <w:rPr>
          <w:rStyle w:val="FootnoteReference"/>
        </w:rPr>
        <w:footnoteRef/>
      </w:r>
      <w:r>
        <w:t xml:space="preserve"> The law firm of McNees Wallace &amp; Nurick LLC has provided legal analysis and legal advice in confidence to IEU-Ohio.  DP&amp;L’s discovery seeks any document “relating to” communications between IEU-Ohio and its individual members and between IEU-Ohio and third parties relating to this proceeding.  DP&amp;L’s discovery requests contained the following definition for relating to: " ‘Relating to’ means constituting or evidencing and directly or indirectly mentioning, describing, referring to, pertaining to, being connected with or reflecting on the stated subject matter.”  To the extent DP&amp;L’s overly broad requests seek confidential communications given in the rendition of legal advice between the law firm of McNees Wallace &amp; Nurick LLC and IEU-Ohio, IEU-Ohio maintains its objection on grounds of attorney-client privilege.</w:t>
      </w:r>
    </w:p>
  </w:footnote>
  <w:footnote w:id="20">
    <w:p w:rsidR="00E66FEE" w:rsidRDefault="00B36D11">
      <w:pPr>
        <w:pStyle w:val="FootnoteText"/>
        <w:spacing w:after="120"/>
        <w:jc w:val="both"/>
      </w:pPr>
      <w:r>
        <w:rPr>
          <w:rStyle w:val="FootnoteReference"/>
        </w:rPr>
        <w:footnoteRef/>
      </w:r>
      <w:r>
        <w:t xml:space="preserve"> DP&amp;L’s overly broad discovery requests seek information that DP&amp;L would already have access to and therefore would not be within the scope of discovery.  </w:t>
      </w:r>
      <w:r>
        <w:rPr>
          <w:i/>
        </w:rPr>
        <w:t xml:space="preserve">See </w:t>
      </w:r>
      <w:r>
        <w:t xml:space="preserve">Rule 4901-1-16(G), O.A.C.  For example, the service emails containing IEU-Ohio’s documents filed with the Commission would not be within the scope of discovery. </w:t>
      </w:r>
    </w:p>
  </w:footnote>
  <w:footnote w:id="21">
    <w:p w:rsidR="00E66FEE" w:rsidRDefault="00B36D11">
      <w:pPr>
        <w:pStyle w:val="FootnoteText"/>
        <w:spacing w:after="120"/>
      </w:pPr>
      <w:r>
        <w:rPr>
          <w:rStyle w:val="FootnoteReference"/>
        </w:rPr>
        <w:footnoteRef/>
      </w:r>
      <w:r>
        <w:t xml:space="preserve"> Rule 4901-1-24(A</w:t>
      </w:r>
      <w:proofErr w:type="gramStart"/>
      <w:r>
        <w:t>)(</w:t>
      </w:r>
      <w:proofErr w:type="gramEnd"/>
      <w:r>
        <w:t>4), O.A.C.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6F" w:rsidRDefault="00656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6F" w:rsidRDefault="006562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6F" w:rsidRDefault="006562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EE" w:rsidRDefault="00E66F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EE" w:rsidRDefault="00E66F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EE" w:rsidRDefault="00E66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D3B9E"/>
    <w:multiLevelType w:val="hybridMultilevel"/>
    <w:tmpl w:val="D10A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7074BE"/>
    <w:multiLevelType w:val="multilevel"/>
    <w:tmpl w:val="A30C8F56"/>
    <w:name w:val="IEU-Ohio"/>
    <w:lvl w:ilvl="0">
      <w:start w:val="1"/>
      <w:numFmt w:val="upperRoman"/>
      <w:pStyle w:val="S2Heading1"/>
      <w:lvlText w:val="%1."/>
      <w:lvlJc w:val="left"/>
      <w:pPr>
        <w:tabs>
          <w:tab w:val="num" w:pos="720"/>
        </w:tabs>
        <w:ind w:left="720" w:hanging="720"/>
      </w:pPr>
      <w:rPr>
        <w:b/>
        <w:caps w:val="0"/>
        <w:color w:val="010000"/>
        <w:u w:val="none"/>
      </w:rPr>
    </w:lvl>
    <w:lvl w:ilvl="1">
      <w:start w:val="1"/>
      <w:numFmt w:val="upperLetter"/>
      <w:pStyle w:val="S2Heading2"/>
      <w:lvlText w:val="%2."/>
      <w:lvlJc w:val="left"/>
      <w:pPr>
        <w:tabs>
          <w:tab w:val="num" w:pos="1440"/>
        </w:tabs>
        <w:ind w:left="1440" w:hanging="720"/>
      </w:pPr>
      <w:rPr>
        <w:b/>
        <w:caps w:val="0"/>
        <w:color w:val="010000"/>
        <w:u w:val="none"/>
      </w:rPr>
    </w:lvl>
    <w:lvl w:ilvl="2">
      <w:start w:val="1"/>
      <w:numFmt w:val="decimal"/>
      <w:pStyle w:val="S2Heading3"/>
      <w:lvlText w:val="%3."/>
      <w:lvlJc w:val="left"/>
      <w:pPr>
        <w:tabs>
          <w:tab w:val="num" w:pos="2160"/>
        </w:tabs>
        <w:ind w:left="2160" w:hanging="720"/>
      </w:pPr>
      <w:rPr>
        <w:b/>
        <w:i w:val="0"/>
        <w:caps w:val="0"/>
        <w:color w:val="010000"/>
        <w:u w:val="none"/>
      </w:rPr>
    </w:lvl>
    <w:lvl w:ilvl="3">
      <w:start w:val="1"/>
      <w:numFmt w:val="lowerLetter"/>
      <w:pStyle w:val="S2Heading4"/>
      <w:lvlText w:val="%4."/>
      <w:lvlJc w:val="left"/>
      <w:pPr>
        <w:tabs>
          <w:tab w:val="num" w:pos="2880"/>
        </w:tabs>
        <w:ind w:left="2880" w:hanging="720"/>
      </w:pPr>
      <w:rPr>
        <w:b/>
        <w:i/>
        <w:caps w:val="0"/>
        <w:color w:val="010000"/>
        <w:u w:val="none"/>
      </w:rPr>
    </w:lvl>
    <w:lvl w:ilvl="4">
      <w:start w:val="1"/>
      <w:numFmt w:val="lowerRoman"/>
      <w:pStyle w:val="S2Heading5"/>
      <w:lvlText w:val="%5."/>
      <w:lvlJc w:val="left"/>
      <w:pPr>
        <w:tabs>
          <w:tab w:val="num" w:pos="3600"/>
        </w:tabs>
        <w:ind w:left="3600" w:hanging="720"/>
      </w:pPr>
      <w:rPr>
        <w:caps w:val="0"/>
        <w:color w:val="010000"/>
        <w:u w:val="none"/>
      </w:rPr>
    </w:lvl>
    <w:lvl w:ilvl="5">
      <w:start w:val="1"/>
      <w:numFmt w:val="lowerLetter"/>
      <w:pStyle w:val="S2Heading6"/>
      <w:lvlText w:val="(%6)"/>
      <w:lvlJc w:val="left"/>
      <w:pPr>
        <w:tabs>
          <w:tab w:val="num" w:pos="4320"/>
        </w:tabs>
        <w:ind w:left="4320" w:hanging="720"/>
      </w:pPr>
      <w:rPr>
        <w:caps w:val="0"/>
        <w:color w:val="010000"/>
        <w:u w:val="none"/>
      </w:rPr>
    </w:lvl>
    <w:lvl w:ilvl="6">
      <w:start w:val="1"/>
      <w:numFmt w:val="decimal"/>
      <w:pStyle w:val="S2Heading7"/>
      <w:lvlText w:val="(%7)"/>
      <w:lvlJc w:val="left"/>
      <w:pPr>
        <w:tabs>
          <w:tab w:val="num" w:pos="5040"/>
        </w:tabs>
        <w:ind w:left="5040" w:hanging="720"/>
      </w:pPr>
      <w:rPr>
        <w:caps w:val="0"/>
        <w:color w:val="010000"/>
        <w:u w:val="none"/>
      </w:rPr>
    </w:lvl>
    <w:lvl w:ilvl="7">
      <w:start w:val="1"/>
      <w:numFmt w:val="lowerRoman"/>
      <w:pStyle w:val="S2Heading8"/>
      <w:lvlText w:val="%8)"/>
      <w:lvlJc w:val="left"/>
      <w:pPr>
        <w:tabs>
          <w:tab w:val="num" w:pos="5760"/>
        </w:tabs>
        <w:ind w:left="5760" w:hanging="720"/>
      </w:pPr>
      <w:rPr>
        <w:caps w:val="0"/>
        <w:color w:val="010000"/>
        <w:u w:val="none"/>
      </w:rPr>
    </w:lvl>
    <w:lvl w:ilvl="8">
      <w:start w:val="1"/>
      <w:numFmt w:val="lowerLetter"/>
      <w:pStyle w:val="S2Heading9"/>
      <w:lvlText w:val="%9)"/>
      <w:lvlJc w:val="left"/>
      <w:pPr>
        <w:tabs>
          <w:tab w:val="num" w:pos="6480"/>
        </w:tabs>
        <w:ind w:left="6480" w:hanging="720"/>
      </w:pPr>
      <w:rPr>
        <w:caps w:val="0"/>
        <w:color w:val="010000"/>
        <w:u w:val="none"/>
      </w:rPr>
    </w:lvl>
  </w:abstractNum>
  <w:abstractNum w:abstractNumId="2">
    <w:nsid w:val="45B73003"/>
    <w:multiLevelType w:val="hybridMultilevel"/>
    <w:tmpl w:val="58A62AAC"/>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87B98"/>
    <w:multiLevelType w:val="hybridMultilevel"/>
    <w:tmpl w:val="AF0C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B57EF7"/>
    <w:multiLevelType w:val="hybridMultilevel"/>
    <w:tmpl w:val="576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8153A"/>
    <w:multiLevelType w:val="hybridMultilevel"/>
    <w:tmpl w:val="CBD4090A"/>
    <w:name w:val="(Unnamed Numbering Scheme)"/>
    <w:lvl w:ilvl="0" w:tplc="27C2A51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EE"/>
    <w:rsid w:val="002E0B3C"/>
    <w:rsid w:val="0065626F"/>
    <w:rsid w:val="00943DF8"/>
    <w:rsid w:val="00A7617E"/>
    <w:rsid w:val="00AC1E12"/>
    <w:rsid w:val="00B36D11"/>
    <w:rsid w:val="00B7113D"/>
    <w:rsid w:val="00E66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CB11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2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Lines="1" w:afterLines="1"/>
    </w:pPr>
    <w:rPr>
      <w:rFonts w:ascii="Times" w:hAnsi="Times"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hAnsi="Arial"/>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CB11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11E2"/>
    <w:rPr>
      <w:color w:val="0000FF" w:themeColor="hyperlink"/>
      <w:u w:val="single"/>
    </w:rPr>
  </w:style>
  <w:style w:type="paragraph" w:styleId="BodyText">
    <w:name w:val="Body Text"/>
    <w:basedOn w:val="Normal"/>
    <w:link w:val="BodyTextChar"/>
    <w:rsid w:val="00CB11E2"/>
    <w:pPr>
      <w:jc w:val="both"/>
    </w:pPr>
    <w:rPr>
      <w:rFonts w:eastAsia="Times New Roman" w:cs="Arial"/>
    </w:rPr>
  </w:style>
  <w:style w:type="character" w:customStyle="1" w:styleId="BodyTextChar">
    <w:name w:val="Body Text Char"/>
    <w:basedOn w:val="DefaultParagraphFont"/>
    <w:link w:val="BodyText"/>
    <w:rsid w:val="00CB11E2"/>
    <w:rPr>
      <w:rFonts w:ascii="Arial" w:eastAsia="Times New Roman" w:hAnsi="Arial" w:cs="Arial"/>
    </w:rPr>
  </w:style>
  <w:style w:type="character" w:customStyle="1" w:styleId="CaptionText">
    <w:name w:val="Caption Text"/>
    <w:basedOn w:val="DefaultParagraphFont"/>
    <w:uiPriority w:val="99"/>
    <w:rsid w:val="00CB11E2"/>
    <w:rPr>
      <w:rFonts w:cs="Times New Roman"/>
    </w:rPr>
  </w:style>
  <w:style w:type="paragraph" w:styleId="BodyTextIndent">
    <w:name w:val="Body Text Indent"/>
    <w:basedOn w:val="Normal"/>
    <w:link w:val="BodyTextIndentChar"/>
    <w:uiPriority w:val="99"/>
    <w:semiHidden/>
    <w:unhideWhenUsed/>
    <w:rsid w:val="00CB11E2"/>
    <w:pPr>
      <w:spacing w:after="120"/>
      <w:ind w:left="360"/>
    </w:pPr>
  </w:style>
  <w:style w:type="character" w:customStyle="1" w:styleId="BodyTextIndentChar">
    <w:name w:val="Body Text Indent Char"/>
    <w:basedOn w:val="DefaultParagraphFont"/>
    <w:link w:val="BodyTextIndent"/>
    <w:uiPriority w:val="99"/>
    <w:semiHidden/>
    <w:rsid w:val="00CB11E2"/>
    <w:rPr>
      <w:rFonts w:ascii="Arial" w:hAnsi="Arial"/>
    </w:rPr>
  </w:style>
  <w:style w:type="paragraph" w:styleId="Title">
    <w:name w:val="Title"/>
    <w:basedOn w:val="Normal"/>
    <w:link w:val="TitleChar"/>
    <w:qFormat/>
    <w:rsid w:val="00CB11E2"/>
    <w:pPr>
      <w:jc w:val="center"/>
    </w:pPr>
    <w:rPr>
      <w:rFonts w:eastAsia="Times New Roman" w:cs="Arial"/>
      <w:b/>
      <w:smallCaps/>
      <w:sz w:val="32"/>
    </w:rPr>
  </w:style>
  <w:style w:type="character" w:customStyle="1" w:styleId="TitleChar">
    <w:name w:val="Title Char"/>
    <w:basedOn w:val="DefaultParagraphFont"/>
    <w:link w:val="Title"/>
    <w:rsid w:val="00CB11E2"/>
    <w:rPr>
      <w:rFonts w:ascii="Arial" w:eastAsia="Times New Roman" w:hAnsi="Arial" w:cs="Arial"/>
      <w:b/>
      <w:smallCaps/>
      <w:sz w:val="32"/>
    </w:rPr>
  </w:style>
  <w:style w:type="character" w:customStyle="1" w:styleId="Heading2Char">
    <w:name w:val="Heading 2 Char"/>
    <w:basedOn w:val="DefaultParagraphFont"/>
    <w:link w:val="Heading2"/>
    <w:uiPriority w:val="9"/>
    <w:semiHidden/>
    <w:rsid w:val="00A82E31"/>
    <w:rPr>
      <w:rFonts w:asciiTheme="majorHAnsi" w:eastAsiaTheme="majorEastAsia" w:hAnsiTheme="majorHAnsi" w:cstheme="majorBidi"/>
      <w:b/>
      <w:bCs/>
      <w:color w:val="4F81BD" w:themeColor="accent1"/>
      <w:sz w:val="26"/>
      <w:szCs w:val="26"/>
    </w:rPr>
  </w:style>
  <w:style w:type="paragraph" w:customStyle="1" w:styleId="S2Heading1">
    <w:name w:val="S2.Heading 1"/>
    <w:basedOn w:val="Normal"/>
    <w:next w:val="Normal"/>
    <w:link w:val="S2Heading1Char"/>
    <w:rsid w:val="00A82E31"/>
    <w:pPr>
      <w:numPr>
        <w:numId w:val="3"/>
      </w:numPr>
      <w:tabs>
        <w:tab w:val="clear" w:pos="720"/>
      </w:tabs>
      <w:spacing w:after="240"/>
      <w:jc w:val="both"/>
      <w:outlineLvl w:val="0"/>
    </w:pPr>
    <w:rPr>
      <w:rFonts w:cs="Arial"/>
      <w:b/>
      <w:caps/>
      <w:u w:val="single"/>
    </w:rPr>
  </w:style>
  <w:style w:type="character" w:customStyle="1" w:styleId="ListParagraphChar">
    <w:name w:val="List Paragraph Char"/>
    <w:basedOn w:val="DefaultParagraphFont"/>
    <w:link w:val="ListParagraph"/>
    <w:uiPriority w:val="34"/>
    <w:rsid w:val="00A82E31"/>
    <w:rPr>
      <w:rFonts w:ascii="Arial" w:hAnsi="Arial"/>
    </w:rPr>
  </w:style>
  <w:style w:type="character" w:customStyle="1" w:styleId="S2Heading1Char">
    <w:name w:val="S2.Heading 1 Char"/>
    <w:basedOn w:val="ListParagraphChar"/>
    <w:link w:val="S2Heading1"/>
    <w:rsid w:val="00A82E31"/>
    <w:rPr>
      <w:rFonts w:ascii="Arial" w:hAnsi="Arial" w:cs="Arial"/>
      <w:b/>
      <w:caps/>
      <w:u w:val="single"/>
    </w:rPr>
  </w:style>
  <w:style w:type="paragraph" w:customStyle="1" w:styleId="S2Heading2">
    <w:name w:val="S2.Heading 2"/>
    <w:basedOn w:val="Normal"/>
    <w:next w:val="Normal"/>
    <w:link w:val="S2Heading2Char"/>
    <w:rsid w:val="00A82E31"/>
    <w:pPr>
      <w:numPr>
        <w:ilvl w:val="1"/>
        <w:numId w:val="3"/>
      </w:numPr>
      <w:spacing w:after="240"/>
      <w:jc w:val="both"/>
      <w:outlineLvl w:val="1"/>
    </w:pPr>
    <w:rPr>
      <w:rFonts w:cs="Arial"/>
      <w:b/>
    </w:rPr>
  </w:style>
  <w:style w:type="character" w:customStyle="1" w:styleId="S2Heading2Char">
    <w:name w:val="S2.Heading 2 Char"/>
    <w:basedOn w:val="ListParagraphChar"/>
    <w:link w:val="S2Heading2"/>
    <w:rsid w:val="00A82E31"/>
    <w:rPr>
      <w:rFonts w:ascii="Arial" w:hAnsi="Arial" w:cs="Arial"/>
      <w:b/>
    </w:rPr>
  </w:style>
  <w:style w:type="paragraph" w:customStyle="1" w:styleId="S2Heading3">
    <w:name w:val="S2.Heading 3"/>
    <w:basedOn w:val="Normal"/>
    <w:next w:val="Normal"/>
    <w:link w:val="S2Heading3Char"/>
    <w:rsid w:val="00A82E31"/>
    <w:pPr>
      <w:numPr>
        <w:ilvl w:val="2"/>
        <w:numId w:val="3"/>
      </w:numPr>
      <w:spacing w:after="240"/>
      <w:jc w:val="both"/>
      <w:outlineLvl w:val="2"/>
    </w:pPr>
    <w:rPr>
      <w:rFonts w:cs="Arial"/>
      <w:b/>
    </w:rPr>
  </w:style>
  <w:style w:type="character" w:customStyle="1" w:styleId="S2Heading3Char">
    <w:name w:val="S2.Heading 3 Char"/>
    <w:basedOn w:val="ListParagraphChar"/>
    <w:link w:val="S2Heading3"/>
    <w:rsid w:val="00A82E31"/>
    <w:rPr>
      <w:rFonts w:ascii="Arial" w:hAnsi="Arial" w:cs="Arial"/>
      <w:b/>
    </w:rPr>
  </w:style>
  <w:style w:type="paragraph" w:customStyle="1" w:styleId="S2Heading4">
    <w:name w:val="S2.Heading 4"/>
    <w:basedOn w:val="Normal"/>
    <w:next w:val="Normal"/>
    <w:link w:val="S2Heading4Char"/>
    <w:rsid w:val="00A82E31"/>
    <w:pPr>
      <w:numPr>
        <w:ilvl w:val="3"/>
        <w:numId w:val="3"/>
      </w:numPr>
      <w:spacing w:after="240"/>
      <w:jc w:val="both"/>
      <w:outlineLvl w:val="3"/>
    </w:pPr>
    <w:rPr>
      <w:rFonts w:cs="Arial"/>
      <w:b/>
      <w:i/>
    </w:rPr>
  </w:style>
  <w:style w:type="character" w:customStyle="1" w:styleId="S2Heading4Char">
    <w:name w:val="S2.Heading 4 Char"/>
    <w:basedOn w:val="ListParagraphChar"/>
    <w:link w:val="S2Heading4"/>
    <w:rsid w:val="00A82E31"/>
    <w:rPr>
      <w:rFonts w:ascii="Arial" w:hAnsi="Arial" w:cs="Arial"/>
      <w:b/>
      <w:i/>
    </w:rPr>
  </w:style>
  <w:style w:type="paragraph" w:customStyle="1" w:styleId="S2Heading5">
    <w:name w:val="S2.Heading 5"/>
    <w:basedOn w:val="Normal"/>
    <w:next w:val="Normal"/>
    <w:link w:val="S2Heading5Char"/>
    <w:rsid w:val="00A82E31"/>
    <w:pPr>
      <w:numPr>
        <w:ilvl w:val="4"/>
        <w:numId w:val="3"/>
      </w:numPr>
      <w:spacing w:after="240"/>
      <w:jc w:val="both"/>
      <w:outlineLvl w:val="4"/>
    </w:pPr>
    <w:rPr>
      <w:rFonts w:asciiTheme="majorHAnsi" w:hAnsiTheme="majorHAnsi" w:cs="Arial"/>
      <w:color w:val="243F60" w:themeColor="accent1" w:themeShade="7F"/>
    </w:rPr>
  </w:style>
  <w:style w:type="character" w:customStyle="1" w:styleId="S2Heading5Char">
    <w:name w:val="S2.Heading 5 Char"/>
    <w:basedOn w:val="ListParagraphChar"/>
    <w:link w:val="S2Heading5"/>
    <w:rsid w:val="00A82E31"/>
    <w:rPr>
      <w:rFonts w:asciiTheme="majorHAnsi" w:hAnsiTheme="majorHAnsi" w:cs="Arial"/>
      <w:color w:val="243F60" w:themeColor="accent1" w:themeShade="7F"/>
    </w:rPr>
  </w:style>
  <w:style w:type="paragraph" w:customStyle="1" w:styleId="S2Heading6">
    <w:name w:val="S2.Heading 6"/>
    <w:basedOn w:val="Normal"/>
    <w:next w:val="Normal"/>
    <w:link w:val="S2Heading6Char"/>
    <w:rsid w:val="00A82E31"/>
    <w:pPr>
      <w:numPr>
        <w:ilvl w:val="5"/>
        <w:numId w:val="3"/>
      </w:numPr>
      <w:spacing w:after="240"/>
      <w:jc w:val="both"/>
      <w:outlineLvl w:val="5"/>
    </w:pPr>
    <w:rPr>
      <w:rFonts w:asciiTheme="majorHAnsi" w:hAnsiTheme="majorHAnsi" w:cs="Arial"/>
      <w:color w:val="243F60" w:themeColor="accent1" w:themeShade="7F"/>
    </w:rPr>
  </w:style>
  <w:style w:type="character" w:customStyle="1" w:styleId="S2Heading6Char">
    <w:name w:val="S2.Heading 6 Char"/>
    <w:basedOn w:val="ListParagraphChar"/>
    <w:link w:val="S2Heading6"/>
    <w:rsid w:val="00A82E31"/>
    <w:rPr>
      <w:rFonts w:asciiTheme="majorHAnsi" w:hAnsiTheme="majorHAnsi" w:cs="Arial"/>
      <w:color w:val="243F60" w:themeColor="accent1" w:themeShade="7F"/>
    </w:rPr>
  </w:style>
  <w:style w:type="paragraph" w:customStyle="1" w:styleId="S2Heading7">
    <w:name w:val="S2.Heading 7"/>
    <w:basedOn w:val="Normal"/>
    <w:next w:val="Normal"/>
    <w:link w:val="S2Heading7Char"/>
    <w:rsid w:val="00A82E31"/>
    <w:pPr>
      <w:numPr>
        <w:ilvl w:val="6"/>
        <w:numId w:val="3"/>
      </w:numPr>
      <w:spacing w:after="240"/>
      <w:jc w:val="both"/>
      <w:outlineLvl w:val="6"/>
    </w:pPr>
    <w:rPr>
      <w:rFonts w:asciiTheme="majorHAnsi" w:hAnsiTheme="majorHAnsi" w:cs="Arial"/>
      <w:color w:val="404040" w:themeColor="text1" w:themeTint="BF"/>
    </w:rPr>
  </w:style>
  <w:style w:type="character" w:customStyle="1" w:styleId="S2Heading7Char">
    <w:name w:val="S2.Heading 7 Char"/>
    <w:basedOn w:val="ListParagraphChar"/>
    <w:link w:val="S2Heading7"/>
    <w:rsid w:val="00A82E31"/>
    <w:rPr>
      <w:rFonts w:asciiTheme="majorHAnsi" w:hAnsiTheme="majorHAnsi" w:cs="Arial"/>
      <w:color w:val="404040" w:themeColor="text1" w:themeTint="BF"/>
    </w:rPr>
  </w:style>
  <w:style w:type="paragraph" w:customStyle="1" w:styleId="S2Heading8">
    <w:name w:val="S2.Heading 8"/>
    <w:basedOn w:val="Normal"/>
    <w:next w:val="Normal"/>
    <w:link w:val="S2Heading8Char"/>
    <w:rsid w:val="00A82E31"/>
    <w:pPr>
      <w:numPr>
        <w:ilvl w:val="7"/>
        <w:numId w:val="3"/>
      </w:numPr>
      <w:spacing w:after="240"/>
      <w:jc w:val="both"/>
      <w:outlineLvl w:val="7"/>
    </w:pPr>
    <w:rPr>
      <w:rFonts w:asciiTheme="majorHAnsi" w:hAnsiTheme="majorHAnsi" w:cs="Arial"/>
      <w:color w:val="404040" w:themeColor="text1" w:themeTint="BF"/>
    </w:rPr>
  </w:style>
  <w:style w:type="character" w:customStyle="1" w:styleId="S2Heading8Char">
    <w:name w:val="S2.Heading 8 Char"/>
    <w:basedOn w:val="ListParagraphChar"/>
    <w:link w:val="S2Heading8"/>
    <w:rsid w:val="00A82E31"/>
    <w:rPr>
      <w:rFonts w:asciiTheme="majorHAnsi" w:hAnsiTheme="majorHAnsi" w:cs="Arial"/>
      <w:color w:val="404040" w:themeColor="text1" w:themeTint="BF"/>
    </w:rPr>
  </w:style>
  <w:style w:type="paragraph" w:customStyle="1" w:styleId="S2Heading9">
    <w:name w:val="S2.Heading 9"/>
    <w:basedOn w:val="Normal"/>
    <w:next w:val="Normal"/>
    <w:link w:val="S2Heading9Char"/>
    <w:rsid w:val="00A82E31"/>
    <w:pPr>
      <w:numPr>
        <w:ilvl w:val="8"/>
        <w:numId w:val="3"/>
      </w:numPr>
      <w:spacing w:after="240"/>
      <w:jc w:val="both"/>
      <w:outlineLvl w:val="8"/>
    </w:pPr>
    <w:rPr>
      <w:rFonts w:asciiTheme="majorHAnsi" w:hAnsiTheme="majorHAnsi" w:cs="Arial"/>
      <w:color w:val="404040" w:themeColor="text1" w:themeTint="BF"/>
    </w:rPr>
  </w:style>
  <w:style w:type="character" w:customStyle="1" w:styleId="S2Heading9Char">
    <w:name w:val="S2.Heading 9 Char"/>
    <w:basedOn w:val="ListParagraphChar"/>
    <w:link w:val="S2Heading9"/>
    <w:rsid w:val="00A82E31"/>
    <w:rPr>
      <w:rFonts w:asciiTheme="majorHAnsi" w:hAnsiTheme="majorHAnsi" w:cs="Arial"/>
      <w:color w:val="404040" w:themeColor="text1" w:themeTint="BF"/>
    </w:rPr>
  </w:style>
  <w:style w:type="paragraph" w:styleId="Revision">
    <w:name w:val="Revision"/>
    <w:hidden/>
    <w:uiPriority w:val="99"/>
    <w:semiHidden/>
    <w:rsid w:val="00813C21"/>
    <w:rPr>
      <w:rFonts w:ascii="Arial" w:hAnsi="Arial"/>
    </w:rPr>
  </w:style>
  <w:style w:type="character" w:styleId="FollowedHyperlink">
    <w:name w:val="FollowedHyperlink"/>
    <w:basedOn w:val="DefaultParagraphFont"/>
    <w:uiPriority w:val="99"/>
    <w:semiHidden/>
    <w:unhideWhenUsed/>
    <w:rsid w:val="00943DF8"/>
    <w:rPr>
      <w:color w:val="800080" w:themeColor="followedHyperlink"/>
      <w:u w:val="single"/>
    </w:rPr>
  </w:style>
  <w:style w:type="paragraph" w:styleId="TOCHeading">
    <w:name w:val="TOC Heading"/>
    <w:basedOn w:val="Heading1"/>
    <w:next w:val="Normal"/>
    <w:uiPriority w:val="39"/>
    <w:semiHidden/>
    <w:unhideWhenUsed/>
    <w:qFormat/>
    <w:rsid w:val="00A7617E"/>
    <w:pPr>
      <w:spacing w:line="276" w:lineRule="auto"/>
      <w:outlineLvl w:val="9"/>
    </w:pPr>
    <w:rPr>
      <w:lang w:eastAsia="ja-JP"/>
    </w:rPr>
  </w:style>
  <w:style w:type="paragraph" w:styleId="TOC1">
    <w:name w:val="toc 1"/>
    <w:basedOn w:val="Normal"/>
    <w:next w:val="Normal"/>
    <w:autoRedefine/>
    <w:uiPriority w:val="39"/>
    <w:unhideWhenUsed/>
    <w:rsid w:val="002E0B3C"/>
    <w:pPr>
      <w:tabs>
        <w:tab w:val="right" w:leader="dot" w:pos="9350"/>
      </w:tabs>
      <w:spacing w:after="100"/>
      <w:ind w:left="720" w:hanging="720"/>
    </w:pPr>
  </w:style>
  <w:style w:type="paragraph" w:styleId="TOC2">
    <w:name w:val="toc 2"/>
    <w:basedOn w:val="Normal"/>
    <w:next w:val="Normal"/>
    <w:autoRedefine/>
    <w:uiPriority w:val="39"/>
    <w:unhideWhenUsed/>
    <w:rsid w:val="002E0B3C"/>
    <w:pPr>
      <w:tabs>
        <w:tab w:val="right" w:leader="dot" w:pos="9350"/>
      </w:tabs>
      <w:spacing w:after="10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CB11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2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Lines="1" w:afterLines="1"/>
    </w:pPr>
    <w:rPr>
      <w:rFonts w:ascii="Times" w:hAnsi="Times"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hAnsi="Arial"/>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sid w:val="00CB11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11E2"/>
    <w:rPr>
      <w:color w:val="0000FF" w:themeColor="hyperlink"/>
      <w:u w:val="single"/>
    </w:rPr>
  </w:style>
  <w:style w:type="paragraph" w:styleId="BodyText">
    <w:name w:val="Body Text"/>
    <w:basedOn w:val="Normal"/>
    <w:link w:val="BodyTextChar"/>
    <w:rsid w:val="00CB11E2"/>
    <w:pPr>
      <w:jc w:val="both"/>
    </w:pPr>
    <w:rPr>
      <w:rFonts w:eastAsia="Times New Roman" w:cs="Arial"/>
    </w:rPr>
  </w:style>
  <w:style w:type="character" w:customStyle="1" w:styleId="BodyTextChar">
    <w:name w:val="Body Text Char"/>
    <w:basedOn w:val="DefaultParagraphFont"/>
    <w:link w:val="BodyText"/>
    <w:rsid w:val="00CB11E2"/>
    <w:rPr>
      <w:rFonts w:ascii="Arial" w:eastAsia="Times New Roman" w:hAnsi="Arial" w:cs="Arial"/>
    </w:rPr>
  </w:style>
  <w:style w:type="character" w:customStyle="1" w:styleId="CaptionText">
    <w:name w:val="Caption Text"/>
    <w:basedOn w:val="DefaultParagraphFont"/>
    <w:uiPriority w:val="99"/>
    <w:rsid w:val="00CB11E2"/>
    <w:rPr>
      <w:rFonts w:cs="Times New Roman"/>
    </w:rPr>
  </w:style>
  <w:style w:type="paragraph" w:styleId="BodyTextIndent">
    <w:name w:val="Body Text Indent"/>
    <w:basedOn w:val="Normal"/>
    <w:link w:val="BodyTextIndentChar"/>
    <w:uiPriority w:val="99"/>
    <w:semiHidden/>
    <w:unhideWhenUsed/>
    <w:rsid w:val="00CB11E2"/>
    <w:pPr>
      <w:spacing w:after="120"/>
      <w:ind w:left="360"/>
    </w:pPr>
  </w:style>
  <w:style w:type="character" w:customStyle="1" w:styleId="BodyTextIndentChar">
    <w:name w:val="Body Text Indent Char"/>
    <w:basedOn w:val="DefaultParagraphFont"/>
    <w:link w:val="BodyTextIndent"/>
    <w:uiPriority w:val="99"/>
    <w:semiHidden/>
    <w:rsid w:val="00CB11E2"/>
    <w:rPr>
      <w:rFonts w:ascii="Arial" w:hAnsi="Arial"/>
    </w:rPr>
  </w:style>
  <w:style w:type="paragraph" w:styleId="Title">
    <w:name w:val="Title"/>
    <w:basedOn w:val="Normal"/>
    <w:link w:val="TitleChar"/>
    <w:qFormat/>
    <w:rsid w:val="00CB11E2"/>
    <w:pPr>
      <w:jc w:val="center"/>
    </w:pPr>
    <w:rPr>
      <w:rFonts w:eastAsia="Times New Roman" w:cs="Arial"/>
      <w:b/>
      <w:smallCaps/>
      <w:sz w:val="32"/>
    </w:rPr>
  </w:style>
  <w:style w:type="character" w:customStyle="1" w:styleId="TitleChar">
    <w:name w:val="Title Char"/>
    <w:basedOn w:val="DefaultParagraphFont"/>
    <w:link w:val="Title"/>
    <w:rsid w:val="00CB11E2"/>
    <w:rPr>
      <w:rFonts w:ascii="Arial" w:eastAsia="Times New Roman" w:hAnsi="Arial" w:cs="Arial"/>
      <w:b/>
      <w:smallCaps/>
      <w:sz w:val="32"/>
    </w:rPr>
  </w:style>
  <w:style w:type="character" w:customStyle="1" w:styleId="Heading2Char">
    <w:name w:val="Heading 2 Char"/>
    <w:basedOn w:val="DefaultParagraphFont"/>
    <w:link w:val="Heading2"/>
    <w:uiPriority w:val="9"/>
    <w:semiHidden/>
    <w:rsid w:val="00A82E31"/>
    <w:rPr>
      <w:rFonts w:asciiTheme="majorHAnsi" w:eastAsiaTheme="majorEastAsia" w:hAnsiTheme="majorHAnsi" w:cstheme="majorBidi"/>
      <w:b/>
      <w:bCs/>
      <w:color w:val="4F81BD" w:themeColor="accent1"/>
      <w:sz w:val="26"/>
      <w:szCs w:val="26"/>
    </w:rPr>
  </w:style>
  <w:style w:type="paragraph" w:customStyle="1" w:styleId="S2Heading1">
    <w:name w:val="S2.Heading 1"/>
    <w:basedOn w:val="Normal"/>
    <w:next w:val="Normal"/>
    <w:link w:val="S2Heading1Char"/>
    <w:rsid w:val="00A82E31"/>
    <w:pPr>
      <w:numPr>
        <w:numId w:val="3"/>
      </w:numPr>
      <w:tabs>
        <w:tab w:val="clear" w:pos="720"/>
      </w:tabs>
      <w:spacing w:after="240"/>
      <w:jc w:val="both"/>
      <w:outlineLvl w:val="0"/>
    </w:pPr>
    <w:rPr>
      <w:rFonts w:cs="Arial"/>
      <w:b/>
      <w:caps/>
      <w:u w:val="single"/>
    </w:rPr>
  </w:style>
  <w:style w:type="character" w:customStyle="1" w:styleId="ListParagraphChar">
    <w:name w:val="List Paragraph Char"/>
    <w:basedOn w:val="DefaultParagraphFont"/>
    <w:link w:val="ListParagraph"/>
    <w:uiPriority w:val="34"/>
    <w:rsid w:val="00A82E31"/>
    <w:rPr>
      <w:rFonts w:ascii="Arial" w:hAnsi="Arial"/>
    </w:rPr>
  </w:style>
  <w:style w:type="character" w:customStyle="1" w:styleId="S2Heading1Char">
    <w:name w:val="S2.Heading 1 Char"/>
    <w:basedOn w:val="ListParagraphChar"/>
    <w:link w:val="S2Heading1"/>
    <w:rsid w:val="00A82E31"/>
    <w:rPr>
      <w:rFonts w:ascii="Arial" w:hAnsi="Arial" w:cs="Arial"/>
      <w:b/>
      <w:caps/>
      <w:u w:val="single"/>
    </w:rPr>
  </w:style>
  <w:style w:type="paragraph" w:customStyle="1" w:styleId="S2Heading2">
    <w:name w:val="S2.Heading 2"/>
    <w:basedOn w:val="Normal"/>
    <w:next w:val="Normal"/>
    <w:link w:val="S2Heading2Char"/>
    <w:rsid w:val="00A82E31"/>
    <w:pPr>
      <w:numPr>
        <w:ilvl w:val="1"/>
        <w:numId w:val="3"/>
      </w:numPr>
      <w:spacing w:after="240"/>
      <w:jc w:val="both"/>
      <w:outlineLvl w:val="1"/>
    </w:pPr>
    <w:rPr>
      <w:rFonts w:cs="Arial"/>
      <w:b/>
    </w:rPr>
  </w:style>
  <w:style w:type="character" w:customStyle="1" w:styleId="S2Heading2Char">
    <w:name w:val="S2.Heading 2 Char"/>
    <w:basedOn w:val="ListParagraphChar"/>
    <w:link w:val="S2Heading2"/>
    <w:rsid w:val="00A82E31"/>
    <w:rPr>
      <w:rFonts w:ascii="Arial" w:hAnsi="Arial" w:cs="Arial"/>
      <w:b/>
    </w:rPr>
  </w:style>
  <w:style w:type="paragraph" w:customStyle="1" w:styleId="S2Heading3">
    <w:name w:val="S2.Heading 3"/>
    <w:basedOn w:val="Normal"/>
    <w:next w:val="Normal"/>
    <w:link w:val="S2Heading3Char"/>
    <w:rsid w:val="00A82E31"/>
    <w:pPr>
      <w:numPr>
        <w:ilvl w:val="2"/>
        <w:numId w:val="3"/>
      </w:numPr>
      <w:spacing w:after="240"/>
      <w:jc w:val="both"/>
      <w:outlineLvl w:val="2"/>
    </w:pPr>
    <w:rPr>
      <w:rFonts w:cs="Arial"/>
      <w:b/>
    </w:rPr>
  </w:style>
  <w:style w:type="character" w:customStyle="1" w:styleId="S2Heading3Char">
    <w:name w:val="S2.Heading 3 Char"/>
    <w:basedOn w:val="ListParagraphChar"/>
    <w:link w:val="S2Heading3"/>
    <w:rsid w:val="00A82E31"/>
    <w:rPr>
      <w:rFonts w:ascii="Arial" w:hAnsi="Arial" w:cs="Arial"/>
      <w:b/>
    </w:rPr>
  </w:style>
  <w:style w:type="paragraph" w:customStyle="1" w:styleId="S2Heading4">
    <w:name w:val="S2.Heading 4"/>
    <w:basedOn w:val="Normal"/>
    <w:next w:val="Normal"/>
    <w:link w:val="S2Heading4Char"/>
    <w:rsid w:val="00A82E31"/>
    <w:pPr>
      <w:numPr>
        <w:ilvl w:val="3"/>
        <w:numId w:val="3"/>
      </w:numPr>
      <w:spacing w:after="240"/>
      <w:jc w:val="both"/>
      <w:outlineLvl w:val="3"/>
    </w:pPr>
    <w:rPr>
      <w:rFonts w:cs="Arial"/>
      <w:b/>
      <w:i/>
    </w:rPr>
  </w:style>
  <w:style w:type="character" w:customStyle="1" w:styleId="S2Heading4Char">
    <w:name w:val="S2.Heading 4 Char"/>
    <w:basedOn w:val="ListParagraphChar"/>
    <w:link w:val="S2Heading4"/>
    <w:rsid w:val="00A82E31"/>
    <w:rPr>
      <w:rFonts w:ascii="Arial" w:hAnsi="Arial" w:cs="Arial"/>
      <w:b/>
      <w:i/>
    </w:rPr>
  </w:style>
  <w:style w:type="paragraph" w:customStyle="1" w:styleId="S2Heading5">
    <w:name w:val="S2.Heading 5"/>
    <w:basedOn w:val="Normal"/>
    <w:next w:val="Normal"/>
    <w:link w:val="S2Heading5Char"/>
    <w:rsid w:val="00A82E31"/>
    <w:pPr>
      <w:numPr>
        <w:ilvl w:val="4"/>
        <w:numId w:val="3"/>
      </w:numPr>
      <w:spacing w:after="240"/>
      <w:jc w:val="both"/>
      <w:outlineLvl w:val="4"/>
    </w:pPr>
    <w:rPr>
      <w:rFonts w:asciiTheme="majorHAnsi" w:hAnsiTheme="majorHAnsi" w:cs="Arial"/>
      <w:color w:val="243F60" w:themeColor="accent1" w:themeShade="7F"/>
    </w:rPr>
  </w:style>
  <w:style w:type="character" w:customStyle="1" w:styleId="S2Heading5Char">
    <w:name w:val="S2.Heading 5 Char"/>
    <w:basedOn w:val="ListParagraphChar"/>
    <w:link w:val="S2Heading5"/>
    <w:rsid w:val="00A82E31"/>
    <w:rPr>
      <w:rFonts w:asciiTheme="majorHAnsi" w:hAnsiTheme="majorHAnsi" w:cs="Arial"/>
      <w:color w:val="243F60" w:themeColor="accent1" w:themeShade="7F"/>
    </w:rPr>
  </w:style>
  <w:style w:type="paragraph" w:customStyle="1" w:styleId="S2Heading6">
    <w:name w:val="S2.Heading 6"/>
    <w:basedOn w:val="Normal"/>
    <w:next w:val="Normal"/>
    <w:link w:val="S2Heading6Char"/>
    <w:rsid w:val="00A82E31"/>
    <w:pPr>
      <w:numPr>
        <w:ilvl w:val="5"/>
        <w:numId w:val="3"/>
      </w:numPr>
      <w:spacing w:after="240"/>
      <w:jc w:val="both"/>
      <w:outlineLvl w:val="5"/>
    </w:pPr>
    <w:rPr>
      <w:rFonts w:asciiTheme="majorHAnsi" w:hAnsiTheme="majorHAnsi" w:cs="Arial"/>
      <w:color w:val="243F60" w:themeColor="accent1" w:themeShade="7F"/>
    </w:rPr>
  </w:style>
  <w:style w:type="character" w:customStyle="1" w:styleId="S2Heading6Char">
    <w:name w:val="S2.Heading 6 Char"/>
    <w:basedOn w:val="ListParagraphChar"/>
    <w:link w:val="S2Heading6"/>
    <w:rsid w:val="00A82E31"/>
    <w:rPr>
      <w:rFonts w:asciiTheme="majorHAnsi" w:hAnsiTheme="majorHAnsi" w:cs="Arial"/>
      <w:color w:val="243F60" w:themeColor="accent1" w:themeShade="7F"/>
    </w:rPr>
  </w:style>
  <w:style w:type="paragraph" w:customStyle="1" w:styleId="S2Heading7">
    <w:name w:val="S2.Heading 7"/>
    <w:basedOn w:val="Normal"/>
    <w:next w:val="Normal"/>
    <w:link w:val="S2Heading7Char"/>
    <w:rsid w:val="00A82E31"/>
    <w:pPr>
      <w:numPr>
        <w:ilvl w:val="6"/>
        <w:numId w:val="3"/>
      </w:numPr>
      <w:spacing w:after="240"/>
      <w:jc w:val="both"/>
      <w:outlineLvl w:val="6"/>
    </w:pPr>
    <w:rPr>
      <w:rFonts w:asciiTheme="majorHAnsi" w:hAnsiTheme="majorHAnsi" w:cs="Arial"/>
      <w:color w:val="404040" w:themeColor="text1" w:themeTint="BF"/>
    </w:rPr>
  </w:style>
  <w:style w:type="character" w:customStyle="1" w:styleId="S2Heading7Char">
    <w:name w:val="S2.Heading 7 Char"/>
    <w:basedOn w:val="ListParagraphChar"/>
    <w:link w:val="S2Heading7"/>
    <w:rsid w:val="00A82E31"/>
    <w:rPr>
      <w:rFonts w:asciiTheme="majorHAnsi" w:hAnsiTheme="majorHAnsi" w:cs="Arial"/>
      <w:color w:val="404040" w:themeColor="text1" w:themeTint="BF"/>
    </w:rPr>
  </w:style>
  <w:style w:type="paragraph" w:customStyle="1" w:styleId="S2Heading8">
    <w:name w:val="S2.Heading 8"/>
    <w:basedOn w:val="Normal"/>
    <w:next w:val="Normal"/>
    <w:link w:val="S2Heading8Char"/>
    <w:rsid w:val="00A82E31"/>
    <w:pPr>
      <w:numPr>
        <w:ilvl w:val="7"/>
        <w:numId w:val="3"/>
      </w:numPr>
      <w:spacing w:after="240"/>
      <w:jc w:val="both"/>
      <w:outlineLvl w:val="7"/>
    </w:pPr>
    <w:rPr>
      <w:rFonts w:asciiTheme="majorHAnsi" w:hAnsiTheme="majorHAnsi" w:cs="Arial"/>
      <w:color w:val="404040" w:themeColor="text1" w:themeTint="BF"/>
    </w:rPr>
  </w:style>
  <w:style w:type="character" w:customStyle="1" w:styleId="S2Heading8Char">
    <w:name w:val="S2.Heading 8 Char"/>
    <w:basedOn w:val="ListParagraphChar"/>
    <w:link w:val="S2Heading8"/>
    <w:rsid w:val="00A82E31"/>
    <w:rPr>
      <w:rFonts w:asciiTheme="majorHAnsi" w:hAnsiTheme="majorHAnsi" w:cs="Arial"/>
      <w:color w:val="404040" w:themeColor="text1" w:themeTint="BF"/>
    </w:rPr>
  </w:style>
  <w:style w:type="paragraph" w:customStyle="1" w:styleId="S2Heading9">
    <w:name w:val="S2.Heading 9"/>
    <w:basedOn w:val="Normal"/>
    <w:next w:val="Normal"/>
    <w:link w:val="S2Heading9Char"/>
    <w:rsid w:val="00A82E31"/>
    <w:pPr>
      <w:numPr>
        <w:ilvl w:val="8"/>
        <w:numId w:val="3"/>
      </w:numPr>
      <w:spacing w:after="240"/>
      <w:jc w:val="both"/>
      <w:outlineLvl w:val="8"/>
    </w:pPr>
    <w:rPr>
      <w:rFonts w:asciiTheme="majorHAnsi" w:hAnsiTheme="majorHAnsi" w:cs="Arial"/>
      <w:color w:val="404040" w:themeColor="text1" w:themeTint="BF"/>
    </w:rPr>
  </w:style>
  <w:style w:type="character" w:customStyle="1" w:styleId="S2Heading9Char">
    <w:name w:val="S2.Heading 9 Char"/>
    <w:basedOn w:val="ListParagraphChar"/>
    <w:link w:val="S2Heading9"/>
    <w:rsid w:val="00A82E31"/>
    <w:rPr>
      <w:rFonts w:asciiTheme="majorHAnsi" w:hAnsiTheme="majorHAnsi" w:cs="Arial"/>
      <w:color w:val="404040" w:themeColor="text1" w:themeTint="BF"/>
    </w:rPr>
  </w:style>
  <w:style w:type="paragraph" w:styleId="Revision">
    <w:name w:val="Revision"/>
    <w:hidden/>
    <w:uiPriority w:val="99"/>
    <w:semiHidden/>
    <w:rsid w:val="00813C21"/>
    <w:rPr>
      <w:rFonts w:ascii="Arial" w:hAnsi="Arial"/>
    </w:rPr>
  </w:style>
  <w:style w:type="character" w:styleId="FollowedHyperlink">
    <w:name w:val="FollowedHyperlink"/>
    <w:basedOn w:val="DefaultParagraphFont"/>
    <w:uiPriority w:val="99"/>
    <w:semiHidden/>
    <w:unhideWhenUsed/>
    <w:rsid w:val="00943DF8"/>
    <w:rPr>
      <w:color w:val="800080" w:themeColor="followedHyperlink"/>
      <w:u w:val="single"/>
    </w:rPr>
  </w:style>
  <w:style w:type="paragraph" w:styleId="TOCHeading">
    <w:name w:val="TOC Heading"/>
    <w:basedOn w:val="Heading1"/>
    <w:next w:val="Normal"/>
    <w:uiPriority w:val="39"/>
    <w:semiHidden/>
    <w:unhideWhenUsed/>
    <w:qFormat/>
    <w:rsid w:val="00A7617E"/>
    <w:pPr>
      <w:spacing w:line="276" w:lineRule="auto"/>
      <w:outlineLvl w:val="9"/>
    </w:pPr>
    <w:rPr>
      <w:lang w:eastAsia="ja-JP"/>
    </w:rPr>
  </w:style>
  <w:style w:type="paragraph" w:styleId="TOC1">
    <w:name w:val="toc 1"/>
    <w:basedOn w:val="Normal"/>
    <w:next w:val="Normal"/>
    <w:autoRedefine/>
    <w:uiPriority w:val="39"/>
    <w:unhideWhenUsed/>
    <w:rsid w:val="002E0B3C"/>
    <w:pPr>
      <w:tabs>
        <w:tab w:val="right" w:leader="dot" w:pos="9350"/>
      </w:tabs>
      <w:spacing w:after="100"/>
      <w:ind w:left="720" w:hanging="720"/>
    </w:pPr>
  </w:style>
  <w:style w:type="paragraph" w:styleId="TOC2">
    <w:name w:val="toc 2"/>
    <w:basedOn w:val="Normal"/>
    <w:next w:val="Normal"/>
    <w:autoRedefine/>
    <w:uiPriority w:val="39"/>
    <w:unhideWhenUsed/>
    <w:rsid w:val="002E0B3C"/>
    <w:pPr>
      <w:tabs>
        <w:tab w:val="right" w:leader="dot" w:pos="9350"/>
      </w:tabs>
      <w:spacing w:after="10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515">
      <w:bodyDiv w:val="1"/>
      <w:marLeft w:val="0"/>
      <w:marRight w:val="0"/>
      <w:marTop w:val="0"/>
      <w:marBottom w:val="0"/>
      <w:divBdr>
        <w:top w:val="none" w:sz="0" w:space="0" w:color="auto"/>
        <w:left w:val="none" w:sz="0" w:space="0" w:color="auto"/>
        <w:bottom w:val="none" w:sz="0" w:space="0" w:color="auto"/>
        <w:right w:val="none" w:sz="0" w:space="0" w:color="auto"/>
      </w:divBdr>
    </w:div>
    <w:div w:id="363871799">
      <w:bodyDiv w:val="1"/>
      <w:marLeft w:val="0"/>
      <w:marRight w:val="0"/>
      <w:marTop w:val="0"/>
      <w:marBottom w:val="0"/>
      <w:divBdr>
        <w:top w:val="none" w:sz="0" w:space="0" w:color="auto"/>
        <w:left w:val="none" w:sz="0" w:space="0" w:color="auto"/>
        <w:bottom w:val="none" w:sz="0" w:space="0" w:color="auto"/>
        <w:right w:val="none" w:sz="0" w:space="0" w:color="auto"/>
      </w:divBdr>
    </w:div>
    <w:div w:id="393236472">
      <w:bodyDiv w:val="1"/>
      <w:marLeft w:val="0"/>
      <w:marRight w:val="0"/>
      <w:marTop w:val="0"/>
      <w:marBottom w:val="0"/>
      <w:divBdr>
        <w:top w:val="none" w:sz="0" w:space="0" w:color="auto"/>
        <w:left w:val="none" w:sz="0" w:space="0" w:color="auto"/>
        <w:bottom w:val="none" w:sz="0" w:space="0" w:color="auto"/>
        <w:right w:val="none" w:sz="0" w:space="0" w:color="auto"/>
      </w:divBdr>
    </w:div>
    <w:div w:id="430706514">
      <w:bodyDiv w:val="1"/>
      <w:marLeft w:val="0"/>
      <w:marRight w:val="0"/>
      <w:marTop w:val="0"/>
      <w:marBottom w:val="0"/>
      <w:divBdr>
        <w:top w:val="none" w:sz="0" w:space="0" w:color="auto"/>
        <w:left w:val="none" w:sz="0" w:space="0" w:color="auto"/>
        <w:bottom w:val="none" w:sz="0" w:space="0" w:color="auto"/>
        <w:right w:val="none" w:sz="0" w:space="0" w:color="auto"/>
      </w:divBdr>
    </w:div>
    <w:div w:id="673723275">
      <w:bodyDiv w:val="1"/>
      <w:marLeft w:val="0"/>
      <w:marRight w:val="0"/>
      <w:marTop w:val="0"/>
      <w:marBottom w:val="0"/>
      <w:divBdr>
        <w:top w:val="none" w:sz="0" w:space="0" w:color="auto"/>
        <w:left w:val="none" w:sz="0" w:space="0" w:color="auto"/>
        <w:bottom w:val="none" w:sz="0" w:space="0" w:color="auto"/>
        <w:right w:val="none" w:sz="0" w:space="0" w:color="auto"/>
      </w:divBdr>
    </w:div>
    <w:div w:id="946429676">
      <w:bodyDiv w:val="1"/>
      <w:marLeft w:val="0"/>
      <w:marRight w:val="0"/>
      <w:marTop w:val="0"/>
      <w:marBottom w:val="0"/>
      <w:divBdr>
        <w:top w:val="none" w:sz="0" w:space="0" w:color="auto"/>
        <w:left w:val="none" w:sz="0" w:space="0" w:color="auto"/>
        <w:bottom w:val="none" w:sz="0" w:space="0" w:color="auto"/>
        <w:right w:val="none" w:sz="0" w:space="0" w:color="auto"/>
      </w:divBdr>
    </w:div>
    <w:div w:id="1240749220">
      <w:bodyDiv w:val="1"/>
      <w:marLeft w:val="0"/>
      <w:marRight w:val="0"/>
      <w:marTop w:val="0"/>
      <w:marBottom w:val="0"/>
      <w:divBdr>
        <w:top w:val="none" w:sz="0" w:space="0" w:color="auto"/>
        <w:left w:val="none" w:sz="0" w:space="0" w:color="auto"/>
        <w:bottom w:val="none" w:sz="0" w:space="0" w:color="auto"/>
        <w:right w:val="none" w:sz="0" w:space="0" w:color="auto"/>
      </w:divBdr>
    </w:div>
    <w:div w:id="1498425244">
      <w:bodyDiv w:val="1"/>
      <w:marLeft w:val="0"/>
      <w:marRight w:val="0"/>
      <w:marTop w:val="0"/>
      <w:marBottom w:val="0"/>
      <w:divBdr>
        <w:top w:val="none" w:sz="0" w:space="0" w:color="auto"/>
        <w:left w:val="none" w:sz="0" w:space="0" w:color="auto"/>
        <w:bottom w:val="none" w:sz="0" w:space="0" w:color="auto"/>
        <w:right w:val="none" w:sz="0" w:space="0" w:color="auto"/>
      </w:divBdr>
    </w:div>
    <w:div w:id="1993174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2875</Words>
  <Characters>17600</Characters>
  <Application>Microsoft Office Word</Application>
  <DocSecurity>0</DocSecurity>
  <PresentationFormat/>
  <Lines>444</Lines>
  <Paragraphs>230</Paragraphs>
  <ScaleCrop>false</ScaleCrop>
  <HeadingPairs>
    <vt:vector size="2" baseType="variant">
      <vt:variant>
        <vt:lpstr>Title</vt:lpstr>
      </vt:variant>
      <vt:variant>
        <vt:i4>1</vt:i4>
      </vt:variant>
    </vt:vector>
  </HeadingPairs>
  <TitlesOfParts>
    <vt:vector size="1" baseType="lpstr">
      <vt:lpstr>IEU-Ohio's Motion to Protective Order (12-426) (C39563-5).DOCX</vt:lpstr>
    </vt:vector>
  </TitlesOfParts>
  <LinksUpToDate>false</LinksUpToDate>
  <CharactersWithSpaces>20350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IEU-Ohio's Motion to Protective Order (12-426) (C39563-5).DOCX</dc:title>
  <dc:subject>C39563:5 /font=8</dc:subject>
  <dc:creator/>
  <cp:lastModifiedBy/>
  <cp:revision>1</cp:revision>
  <cp:lastPrinted>2013-01-11T21:36:00Z</cp:lastPrinted>
  <dcterms:created xsi:type="dcterms:W3CDTF">2013-01-14T20:17:00Z</dcterms:created>
  <dcterms:modified xsi:type="dcterms:W3CDTF">2013-01-14T20:17:00Z</dcterms:modified>
</cp:coreProperties>
</file>