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7D0B73" w:rsidRPr="00106C15" w:rsidP="007D0B73" w14:paraId="2FCB5712" w14:textId="77777777">
      <w:pPr>
        <w:pStyle w:val="List"/>
        <w:ind w:left="0" w:firstLine="0"/>
        <w:jc w:val="center"/>
        <w:rPr>
          <w:b/>
          <w:szCs w:val="24"/>
        </w:rPr>
      </w:pPr>
      <w:r w:rsidRPr="00106C15">
        <w:rPr>
          <w:b/>
          <w:szCs w:val="24"/>
        </w:rPr>
        <w:t>BEFORE</w:t>
      </w:r>
    </w:p>
    <w:p w:rsidR="007D0B73" w:rsidRPr="00106C15" w:rsidP="007D0B73" w14:paraId="26D80A3C" w14:textId="77777777">
      <w:pPr>
        <w:pStyle w:val="List"/>
        <w:ind w:left="0" w:firstLine="0"/>
        <w:jc w:val="center"/>
        <w:rPr>
          <w:b/>
          <w:szCs w:val="24"/>
        </w:rPr>
      </w:pPr>
      <w:r w:rsidRPr="00106C15">
        <w:rPr>
          <w:b/>
          <w:szCs w:val="24"/>
        </w:rPr>
        <w:t>THE PUBLIC UTILITIES COMMISSION OF OHIO</w:t>
      </w:r>
    </w:p>
    <w:p w:rsidR="00823447" w:rsidRPr="00106C15" w:rsidP="007D0B73" w14:paraId="296D1B0F" w14:textId="77777777">
      <w:pPr>
        <w:pStyle w:val="List"/>
        <w:ind w:left="0" w:firstLine="0"/>
        <w:jc w:val="center"/>
        <w:rPr>
          <w:b/>
          <w:szCs w:val="24"/>
        </w:rPr>
      </w:pPr>
    </w:p>
    <w:tbl>
      <w:tblPr>
        <w:tblW w:w="8730" w:type="dxa"/>
        <w:tblInd w:w="0" w:type="dxa"/>
        <w:tblCellMar>
          <w:top w:w="0" w:type="dxa"/>
          <w:left w:w="108" w:type="dxa"/>
          <w:bottom w:w="0" w:type="dxa"/>
          <w:right w:w="108" w:type="dxa"/>
        </w:tblCellMar>
        <w:tblLook w:val="01E0"/>
      </w:tblPr>
      <w:tblGrid>
        <w:gridCol w:w="4320"/>
        <w:gridCol w:w="296"/>
        <w:gridCol w:w="4114"/>
      </w:tblGrid>
      <w:tr w14:paraId="54ECD3A0" w14:textId="77777777" w:rsidTr="005B1148">
        <w:tblPrEx>
          <w:tblW w:w="8730" w:type="dxa"/>
          <w:tblInd w:w="0" w:type="dxa"/>
          <w:tblCellMar>
            <w:top w:w="0" w:type="dxa"/>
            <w:left w:w="108" w:type="dxa"/>
            <w:bottom w:w="0" w:type="dxa"/>
            <w:right w:w="108" w:type="dxa"/>
          </w:tblCellMar>
          <w:tblLook w:val="01E0"/>
        </w:tblPrEx>
        <w:trPr>
          <w:trHeight w:val="807"/>
        </w:trPr>
        <w:tc>
          <w:tcPr>
            <w:tcW w:w="4320" w:type="dxa"/>
            <w:shd w:val="clear" w:color="auto" w:fill="auto"/>
          </w:tcPr>
          <w:p w:rsidR="00823447" w:rsidRPr="00106C15" w:rsidP="00823447" w14:paraId="6F86676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6"/>
              <w:rPr>
                <w:rFonts w:ascii="Times New Roman" w:eastAsia="Courier New" w:hAnsi="Times New Roman" w:cs="Times New Roman"/>
                <w:color w:val="000000"/>
                <w:sz w:val="24"/>
                <w:szCs w:val="24"/>
                <w:lang w:val="en-US" w:eastAsia="en-US" w:bidi="ar-SA"/>
              </w:rPr>
            </w:pPr>
            <w:r w:rsidRPr="00106C15">
              <w:rPr>
                <w:rFonts w:ascii="Times New Roman" w:eastAsia="Courier New" w:hAnsi="Times New Roman" w:cs="Times New Roman"/>
                <w:color w:val="000000"/>
                <w:sz w:val="24"/>
                <w:szCs w:val="24"/>
                <w:lang w:val="en-US" w:eastAsia="en-US" w:bidi="ar-SA"/>
              </w:rPr>
              <w:t>In the Matter of the Application of Duke Energy Ohio, Inc., to Adjust and Set Rider DSR.</w:t>
            </w:r>
          </w:p>
          <w:p w:rsidR="00823447" w:rsidRPr="00106C15" w:rsidP="00823447" w14:paraId="123AD8A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6"/>
              <w:rPr>
                <w:rFonts w:ascii="Times New Roman" w:eastAsia="Courier New" w:hAnsi="Times New Roman" w:cs="Times New Roman"/>
                <w:color w:val="000000"/>
                <w:sz w:val="24"/>
                <w:szCs w:val="24"/>
                <w:lang w:val="en-US" w:eastAsia="en-US" w:bidi="ar-SA"/>
              </w:rPr>
            </w:pPr>
          </w:p>
          <w:p w:rsidR="00823447" w:rsidRPr="00106C15" w:rsidP="00823447" w14:paraId="45104801" w14:textId="769561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bCs/>
                <w:color w:val="auto"/>
                <w:sz w:val="24"/>
                <w:szCs w:val="24"/>
                <w:lang w:val="en-US" w:eastAsia="en-US" w:bidi="ar-SA"/>
              </w:rPr>
            </w:pPr>
            <w:r w:rsidRPr="00106C15">
              <w:rPr>
                <w:rFonts w:ascii="Times New Roman" w:eastAsia="Courier New" w:hAnsi="Times New Roman" w:cs="Times New Roman"/>
                <w:bCs/>
                <w:color w:val="auto"/>
                <w:sz w:val="24"/>
                <w:szCs w:val="24"/>
                <w:lang w:val="en-US" w:eastAsia="en-US" w:bidi="ar-SA"/>
              </w:rPr>
              <w:t>In the Matter of the Application of Duke Energy Ohio, Inc., for Approval of Tariff Amendments.</w:t>
            </w:r>
          </w:p>
        </w:tc>
        <w:tc>
          <w:tcPr>
            <w:tcW w:w="296" w:type="dxa"/>
            <w:shd w:val="clear" w:color="auto" w:fill="auto"/>
          </w:tcPr>
          <w:p w:rsidR="00823447" w:rsidRPr="00106C15" w:rsidP="00823447" w14:paraId="23FC31F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r w:rsidRPr="00106C15">
              <w:rPr>
                <w:rFonts w:ascii="Times New Roman" w:eastAsia="Courier New" w:hAnsi="Times New Roman" w:cs="Times New Roman"/>
                <w:color w:val="000000"/>
                <w:sz w:val="24"/>
                <w:szCs w:val="24"/>
                <w:lang w:val="en-US" w:eastAsia="en-US" w:bidi="ar-SA"/>
              </w:rPr>
              <w:t>)</w:t>
            </w:r>
          </w:p>
          <w:p w:rsidR="00823447" w:rsidRPr="00106C15" w:rsidP="00823447" w14:paraId="1D16089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r w:rsidRPr="00106C15">
              <w:rPr>
                <w:rFonts w:ascii="Times New Roman" w:eastAsia="Courier New" w:hAnsi="Times New Roman" w:cs="Times New Roman"/>
                <w:color w:val="000000"/>
                <w:sz w:val="24"/>
                <w:szCs w:val="24"/>
                <w:lang w:val="en-US" w:eastAsia="en-US" w:bidi="ar-SA"/>
              </w:rPr>
              <w:t>)</w:t>
            </w:r>
          </w:p>
          <w:p w:rsidR="00823447" w:rsidRPr="00106C15" w:rsidP="00823447" w14:paraId="7154F26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r w:rsidRPr="00106C15">
              <w:rPr>
                <w:rFonts w:ascii="Times New Roman" w:eastAsia="Courier New" w:hAnsi="Times New Roman" w:cs="Times New Roman"/>
                <w:color w:val="000000"/>
                <w:sz w:val="24"/>
                <w:szCs w:val="24"/>
                <w:lang w:val="en-US" w:eastAsia="en-US" w:bidi="ar-SA"/>
              </w:rPr>
              <w:t>)</w:t>
            </w:r>
          </w:p>
          <w:p w:rsidR="00823447" w:rsidRPr="00106C15" w:rsidP="00823447" w14:paraId="62E46049" w14:textId="5C8D0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p>
          <w:p w:rsidR="00823447" w:rsidRPr="00106C15" w:rsidP="00823447" w14:paraId="6E4ECEE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r w:rsidRPr="00106C15">
              <w:rPr>
                <w:rFonts w:ascii="Times New Roman" w:eastAsia="Courier New" w:hAnsi="Times New Roman" w:cs="Times New Roman"/>
                <w:color w:val="000000"/>
                <w:sz w:val="24"/>
                <w:szCs w:val="24"/>
                <w:lang w:val="en-US" w:eastAsia="en-US" w:bidi="ar-SA"/>
              </w:rPr>
              <w:t>)</w:t>
            </w:r>
          </w:p>
          <w:p w:rsidR="00823447" w:rsidRPr="00106C15" w:rsidP="00823447" w14:paraId="60651DF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r w:rsidRPr="00106C15">
              <w:rPr>
                <w:rFonts w:ascii="Times New Roman" w:eastAsia="Courier New" w:hAnsi="Times New Roman" w:cs="Times New Roman"/>
                <w:color w:val="000000"/>
                <w:sz w:val="24"/>
                <w:szCs w:val="24"/>
                <w:lang w:val="en-US" w:eastAsia="en-US" w:bidi="ar-SA"/>
              </w:rPr>
              <w:t>)</w:t>
            </w:r>
          </w:p>
          <w:p w:rsidR="00823447" w:rsidRPr="00106C15" w:rsidP="00823447" w14:paraId="456430EF" w14:textId="223C15E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bCs/>
                <w:color w:val="auto"/>
                <w:sz w:val="24"/>
                <w:szCs w:val="24"/>
                <w:lang w:val="en-US" w:eastAsia="en-US" w:bidi="ar-SA"/>
              </w:rPr>
            </w:pPr>
            <w:r w:rsidRPr="00106C15">
              <w:rPr>
                <w:rFonts w:ascii="Times New Roman" w:eastAsia="Courier New" w:hAnsi="Times New Roman" w:cs="Times New Roman"/>
                <w:bCs/>
                <w:color w:val="auto"/>
                <w:sz w:val="24"/>
                <w:szCs w:val="24"/>
                <w:lang w:val="en-US" w:eastAsia="en-US" w:bidi="ar-SA"/>
              </w:rPr>
              <w:t>)</w:t>
            </w:r>
          </w:p>
        </w:tc>
        <w:tc>
          <w:tcPr>
            <w:tcW w:w="4114" w:type="dxa"/>
            <w:shd w:val="clear" w:color="auto" w:fill="auto"/>
          </w:tcPr>
          <w:p w:rsidR="00823447" w:rsidRPr="00106C15" w:rsidP="00823447" w14:paraId="6DBFC7A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p>
          <w:p w:rsidR="00823447" w:rsidRPr="00106C15" w:rsidP="00823447" w14:paraId="715B66F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r w:rsidRPr="00106C15">
              <w:rPr>
                <w:rFonts w:ascii="Times New Roman" w:eastAsia="Courier New" w:hAnsi="Times New Roman" w:cs="Times New Roman"/>
                <w:color w:val="000000"/>
                <w:sz w:val="24"/>
                <w:szCs w:val="24"/>
                <w:lang w:val="en-US" w:eastAsia="en-US" w:bidi="ar-SA"/>
              </w:rPr>
              <w:t>Case No. 23-126-EL-RDR</w:t>
            </w:r>
          </w:p>
          <w:p w:rsidR="00823447" w:rsidRPr="00106C15" w:rsidP="00823447" w14:paraId="5A8B454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p>
          <w:p w:rsidR="00823447" w:rsidRPr="00106C15" w:rsidP="00823447" w14:paraId="2BEDFD1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p>
          <w:p w:rsidR="00823447" w:rsidRPr="00106C15" w:rsidP="00823447" w14:paraId="6412AFE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p>
          <w:p w:rsidR="00823447" w:rsidRPr="00106C15" w:rsidP="00823447" w14:paraId="2C3A5572" w14:textId="3BF2D6E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bCs/>
                <w:color w:val="auto"/>
                <w:sz w:val="24"/>
                <w:szCs w:val="24"/>
                <w:lang w:val="en-US" w:eastAsia="en-US" w:bidi="ar-SA"/>
              </w:rPr>
            </w:pPr>
            <w:r w:rsidRPr="00106C15">
              <w:rPr>
                <w:rFonts w:ascii="Times New Roman" w:eastAsia="Courier New" w:hAnsi="Times New Roman" w:cs="Times New Roman"/>
                <w:bCs/>
                <w:color w:val="auto"/>
                <w:sz w:val="24"/>
                <w:szCs w:val="24"/>
                <w:lang w:val="en-US" w:eastAsia="en-US" w:bidi="ar-SA"/>
              </w:rPr>
              <w:t>Case No. 23-281-EL-ATA</w:t>
            </w:r>
          </w:p>
        </w:tc>
      </w:tr>
    </w:tbl>
    <w:p w:rsidR="007D0B73" w:rsidRPr="00106C15" w:rsidP="007D0B73" w14:paraId="1C7F7978" w14:textId="77777777">
      <w:pPr>
        <w:pBdr>
          <w:bottom w:val="single" w:sz="12" w:space="1" w:color="auto"/>
        </w:pBdr>
        <w:rPr>
          <w:szCs w:val="24"/>
        </w:rPr>
      </w:pPr>
    </w:p>
    <w:p w:rsidR="007D0B73" w:rsidRPr="00106C15" w:rsidP="007D0B73" w14:paraId="6163A9FD" w14:textId="77777777">
      <w:pPr>
        <w:rPr>
          <w:b/>
          <w:bCs/>
          <w:szCs w:val="24"/>
        </w:rPr>
      </w:pPr>
    </w:p>
    <w:p w:rsidR="007D0B73" w:rsidRPr="00106C15" w:rsidP="007D0B73" w14:paraId="477D2DFE" w14:textId="77777777">
      <w:pPr>
        <w:jc w:val="center"/>
        <w:rPr>
          <w:b/>
          <w:szCs w:val="24"/>
        </w:rPr>
      </w:pPr>
      <w:r w:rsidRPr="00106C15">
        <w:rPr>
          <w:b/>
          <w:szCs w:val="24"/>
        </w:rPr>
        <w:t>APPLICATION FOR REHEARING</w:t>
      </w:r>
    </w:p>
    <w:p w:rsidR="007D0B73" w:rsidRPr="00106C15" w:rsidP="007D0B73" w14:paraId="285A565F" w14:textId="77777777">
      <w:pPr>
        <w:jc w:val="center"/>
        <w:rPr>
          <w:b/>
          <w:szCs w:val="24"/>
        </w:rPr>
      </w:pPr>
      <w:r w:rsidRPr="00106C15">
        <w:rPr>
          <w:b/>
          <w:szCs w:val="24"/>
        </w:rPr>
        <w:t>BY</w:t>
      </w:r>
    </w:p>
    <w:p w:rsidR="007D0B73" w:rsidRPr="00106C15" w:rsidP="007D0B73" w14:paraId="2CB03FF9" w14:textId="77777777">
      <w:pPr>
        <w:pBdr>
          <w:bottom w:val="single" w:sz="12" w:space="1" w:color="auto"/>
        </w:pBdr>
        <w:jc w:val="center"/>
        <w:rPr>
          <w:b/>
          <w:szCs w:val="24"/>
        </w:rPr>
      </w:pPr>
      <w:r w:rsidRPr="00106C15">
        <w:rPr>
          <w:b/>
          <w:szCs w:val="24"/>
        </w:rPr>
        <w:t>OFFICE OF THE OHIO CONSUMERS’ COUNSEL</w:t>
      </w:r>
    </w:p>
    <w:p w:rsidR="007D0B73" w:rsidRPr="00106C15" w:rsidP="007D0B73" w14:paraId="0092F58C" w14:textId="77777777">
      <w:pPr>
        <w:pBdr>
          <w:bottom w:val="single" w:sz="12" w:space="1" w:color="auto"/>
        </w:pBdr>
        <w:spacing w:after="240"/>
        <w:jc w:val="center"/>
        <w:rPr>
          <w:b/>
          <w:bCs/>
          <w:szCs w:val="24"/>
        </w:rPr>
      </w:pPr>
    </w:p>
    <w:p w:rsidR="009E036E" w:rsidRPr="00106C15" w:rsidP="00390137" w14:paraId="29E46DF6" w14:textId="77777777">
      <w:pPr>
        <w:pStyle w:val="List"/>
        <w:ind w:left="0" w:firstLine="0"/>
        <w:jc w:val="center"/>
        <w:rPr>
          <w:b/>
          <w:szCs w:val="24"/>
        </w:rPr>
      </w:pPr>
    </w:p>
    <w:p w:rsidR="00216524" w:rsidRPr="00106C15" w:rsidP="00216524" w14:paraId="0B5B7A5E" w14:textId="77777777">
      <w:pPr>
        <w:ind w:left="3960"/>
        <w:rPr>
          <w:szCs w:val="24"/>
        </w:rPr>
      </w:pPr>
      <w:r w:rsidRPr="00106C15">
        <w:rPr>
          <w:szCs w:val="24"/>
        </w:rPr>
        <w:t>Maureen R. Willis (0020847)</w:t>
      </w:r>
    </w:p>
    <w:p w:rsidR="00216524" w:rsidRPr="00106C15" w:rsidP="00216524" w14:paraId="4F721C99" w14:textId="77777777">
      <w:pPr>
        <w:ind w:left="3960"/>
        <w:rPr>
          <w:szCs w:val="24"/>
        </w:rPr>
      </w:pPr>
      <w:r w:rsidRPr="00106C15">
        <w:rPr>
          <w:szCs w:val="24"/>
        </w:rPr>
        <w:t>Ohio Consumers’ Counsel</w:t>
      </w:r>
    </w:p>
    <w:p w:rsidR="00216524" w:rsidRPr="00106C15" w:rsidP="00216524" w14:paraId="67BFF91D" w14:textId="77777777">
      <w:pPr>
        <w:ind w:left="4320"/>
        <w:rPr>
          <w:szCs w:val="24"/>
        </w:rPr>
      </w:pPr>
    </w:p>
    <w:p w:rsidR="00216524" w:rsidRPr="00106C15" w:rsidP="00216524" w14:paraId="78BCD85C" w14:textId="77777777">
      <w:pPr>
        <w:tabs>
          <w:tab w:val="center" w:pos="4680"/>
          <w:tab w:val="right" w:pos="9360"/>
        </w:tabs>
        <w:ind w:left="3960"/>
        <w:rPr>
          <w:szCs w:val="24"/>
        </w:rPr>
      </w:pPr>
      <w:r w:rsidRPr="00106C15">
        <w:rPr>
          <w:szCs w:val="24"/>
        </w:rPr>
        <w:t>William J. Michael (0070921)</w:t>
      </w:r>
    </w:p>
    <w:p w:rsidR="00216524" w:rsidRPr="00106C15" w:rsidP="00216524" w14:paraId="7FC52C1E" w14:textId="77777777">
      <w:pPr>
        <w:tabs>
          <w:tab w:val="center" w:pos="4680"/>
          <w:tab w:val="right" w:pos="9360"/>
        </w:tabs>
        <w:ind w:left="3960"/>
        <w:rPr>
          <w:szCs w:val="24"/>
        </w:rPr>
      </w:pPr>
      <w:r w:rsidRPr="00106C15">
        <w:rPr>
          <w:szCs w:val="24"/>
        </w:rPr>
        <w:t>Counsel of Record</w:t>
      </w:r>
    </w:p>
    <w:p w:rsidR="00216524" w:rsidRPr="00106C15" w:rsidP="00216524" w14:paraId="4A3A6DEA" w14:textId="77777777">
      <w:pPr>
        <w:tabs>
          <w:tab w:val="center" w:pos="4680"/>
          <w:tab w:val="right" w:pos="9360"/>
        </w:tabs>
        <w:ind w:left="3960"/>
        <w:rPr>
          <w:szCs w:val="24"/>
        </w:rPr>
      </w:pPr>
      <w:r w:rsidRPr="00106C15">
        <w:rPr>
          <w:szCs w:val="24"/>
        </w:rPr>
        <w:t>Assistant Consumers’ Counsel</w:t>
      </w:r>
    </w:p>
    <w:p w:rsidR="00216524" w:rsidRPr="00106C15" w:rsidP="00216524" w14:paraId="3E977CF4" w14:textId="77777777">
      <w:pPr>
        <w:tabs>
          <w:tab w:val="center" w:pos="4680"/>
          <w:tab w:val="right" w:pos="9360"/>
        </w:tabs>
        <w:ind w:left="3960"/>
        <w:rPr>
          <w:szCs w:val="24"/>
        </w:rPr>
      </w:pPr>
    </w:p>
    <w:p w:rsidR="00216524" w:rsidRPr="00106C15" w:rsidP="00216524" w14:paraId="54A17967" w14:textId="77777777">
      <w:pPr>
        <w:tabs>
          <w:tab w:val="center" w:pos="4680"/>
          <w:tab w:val="right" w:pos="9360"/>
        </w:tabs>
        <w:ind w:left="3960"/>
        <w:rPr>
          <w:b/>
          <w:bCs/>
          <w:szCs w:val="24"/>
        </w:rPr>
      </w:pPr>
      <w:r w:rsidRPr="00106C15">
        <w:rPr>
          <w:b/>
          <w:bCs/>
          <w:szCs w:val="24"/>
        </w:rPr>
        <w:t>Office of the Ohio Consumers’ Counsel</w:t>
      </w:r>
    </w:p>
    <w:p w:rsidR="00216524" w:rsidRPr="00106C15" w:rsidP="00216524" w14:paraId="51BB3950" w14:textId="77777777">
      <w:pPr>
        <w:tabs>
          <w:tab w:val="center" w:pos="4680"/>
          <w:tab w:val="right" w:pos="9360"/>
        </w:tabs>
        <w:ind w:left="3960"/>
        <w:rPr>
          <w:b/>
          <w:szCs w:val="24"/>
        </w:rPr>
      </w:pPr>
      <w:r w:rsidRPr="00106C15">
        <w:rPr>
          <w:szCs w:val="24"/>
        </w:rPr>
        <w:t>65 East State Street, Suite 700</w:t>
      </w:r>
    </w:p>
    <w:p w:rsidR="00216524" w:rsidRPr="00106C15" w:rsidP="00216524" w14:paraId="16928430" w14:textId="77777777">
      <w:pPr>
        <w:tabs>
          <w:tab w:val="center" w:pos="4680"/>
          <w:tab w:val="right" w:pos="9360"/>
        </w:tabs>
        <w:ind w:left="3960"/>
        <w:rPr>
          <w:b/>
          <w:szCs w:val="24"/>
        </w:rPr>
      </w:pPr>
      <w:r w:rsidRPr="00106C15">
        <w:rPr>
          <w:szCs w:val="24"/>
        </w:rPr>
        <w:t>Columbus, Ohio 43215</w:t>
      </w:r>
    </w:p>
    <w:p w:rsidR="00216524" w:rsidRPr="00106C15" w:rsidP="00216524" w14:paraId="0DE5DBEA" w14:textId="77777777">
      <w:pPr>
        <w:tabs>
          <w:tab w:val="center" w:pos="4680"/>
          <w:tab w:val="right" w:pos="9360"/>
        </w:tabs>
        <w:ind w:left="3960"/>
        <w:rPr>
          <w:szCs w:val="24"/>
        </w:rPr>
      </w:pPr>
      <w:r w:rsidRPr="00106C15">
        <w:rPr>
          <w:szCs w:val="24"/>
        </w:rPr>
        <w:t>Telephone [Michael]: (614) 466-1291</w:t>
      </w:r>
    </w:p>
    <w:p w:rsidR="00216524" w:rsidRPr="00106C15" w:rsidP="00216524" w14:paraId="46325582" w14:textId="77777777">
      <w:pPr>
        <w:tabs>
          <w:tab w:val="center" w:pos="4680"/>
          <w:tab w:val="right" w:pos="9360"/>
        </w:tabs>
        <w:ind w:left="3960"/>
        <w:rPr>
          <w:szCs w:val="24"/>
        </w:rPr>
      </w:pPr>
      <w:hyperlink r:id="rId6" w:history="1">
        <w:r w:rsidRPr="00106C15">
          <w:rPr>
            <w:rStyle w:val="Hyperlink"/>
            <w:szCs w:val="24"/>
          </w:rPr>
          <w:t>william.michael@occ.ohio.gov</w:t>
        </w:r>
      </w:hyperlink>
      <w:r w:rsidRPr="00106C15">
        <w:rPr>
          <w:szCs w:val="24"/>
        </w:rPr>
        <w:t xml:space="preserve"> </w:t>
      </w:r>
    </w:p>
    <w:p w:rsidR="009E036E" w:rsidRPr="00106C15" w:rsidP="00216524" w14:paraId="3B0F8637" w14:textId="30FF3715">
      <w:pPr>
        <w:ind w:left="3960" w:hanging="3960"/>
        <w:rPr>
          <w:szCs w:val="24"/>
        </w:rPr>
      </w:pPr>
      <w:r w:rsidRPr="00106C15">
        <w:rPr>
          <w:szCs w:val="24"/>
        </w:rPr>
        <w:t>November 3</w:t>
      </w:r>
      <w:r w:rsidRPr="00106C15" w:rsidR="00611A65">
        <w:rPr>
          <w:szCs w:val="24"/>
        </w:rPr>
        <w:t>, 2023</w:t>
      </w:r>
      <w:r w:rsidRPr="00106C15">
        <w:rPr>
          <w:szCs w:val="24"/>
        </w:rPr>
        <w:tab/>
      </w:r>
      <w:r w:rsidRPr="00106C15" w:rsidR="004763F7">
        <w:rPr>
          <w:szCs w:val="24"/>
        </w:rPr>
        <w:t>(</w:t>
      </w:r>
      <w:r w:rsidRPr="00106C15" w:rsidR="00611A65">
        <w:rPr>
          <w:szCs w:val="24"/>
        </w:rPr>
        <w:t>willing to accept service by e-mail)</w:t>
      </w:r>
    </w:p>
    <w:p w:rsidR="009E036E" w:rsidRPr="00106C15" w:rsidP="00390137" w14:paraId="0E723B5B" w14:textId="3C670B2B">
      <w:pPr>
        <w:pStyle w:val="List"/>
        <w:ind w:left="0" w:firstLine="0"/>
        <w:jc w:val="center"/>
        <w:rPr>
          <w:b/>
          <w:szCs w:val="24"/>
        </w:rPr>
        <w:sectPr w:rsidSect="00F910B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docGrid w:linePitch="360"/>
        </w:sectPr>
      </w:pPr>
    </w:p>
    <w:p w:rsidR="00390137" w:rsidRPr="00106C15" w:rsidP="00390137" w14:paraId="2ADC6E58" w14:textId="77777777">
      <w:pPr>
        <w:pStyle w:val="List"/>
        <w:ind w:left="0" w:firstLine="0"/>
        <w:jc w:val="center"/>
        <w:rPr>
          <w:b/>
          <w:szCs w:val="24"/>
        </w:rPr>
      </w:pPr>
      <w:r w:rsidRPr="00106C15">
        <w:rPr>
          <w:b/>
          <w:szCs w:val="24"/>
        </w:rPr>
        <w:t>BEFORE</w:t>
      </w:r>
    </w:p>
    <w:p w:rsidR="00390137" w:rsidRPr="00106C15" w:rsidP="00390137" w14:paraId="6581DEEA" w14:textId="77777777">
      <w:pPr>
        <w:pStyle w:val="List"/>
        <w:ind w:left="0" w:firstLine="0"/>
        <w:jc w:val="center"/>
        <w:rPr>
          <w:b/>
          <w:szCs w:val="24"/>
        </w:rPr>
      </w:pPr>
      <w:r w:rsidRPr="00106C15">
        <w:rPr>
          <w:b/>
          <w:szCs w:val="24"/>
        </w:rPr>
        <w:t>THE PUBLIC UTILITIES COMMISSION OF OHIO</w:t>
      </w:r>
    </w:p>
    <w:p w:rsidR="00823447" w:rsidRPr="00106C15" w:rsidP="00390137" w14:paraId="05AC98A5" w14:textId="77777777">
      <w:pPr>
        <w:pStyle w:val="List"/>
        <w:ind w:left="0" w:firstLine="0"/>
        <w:jc w:val="center"/>
        <w:rPr>
          <w:b/>
          <w:szCs w:val="24"/>
        </w:rPr>
      </w:pPr>
    </w:p>
    <w:tbl>
      <w:tblPr>
        <w:tblW w:w="8730" w:type="dxa"/>
        <w:tblInd w:w="0" w:type="dxa"/>
        <w:tblCellMar>
          <w:top w:w="0" w:type="dxa"/>
          <w:left w:w="108" w:type="dxa"/>
          <w:bottom w:w="0" w:type="dxa"/>
          <w:right w:w="108" w:type="dxa"/>
        </w:tblCellMar>
        <w:tblLook w:val="01E0"/>
      </w:tblPr>
      <w:tblGrid>
        <w:gridCol w:w="4320"/>
        <w:gridCol w:w="296"/>
        <w:gridCol w:w="4114"/>
      </w:tblGrid>
      <w:tr w14:paraId="4DA32363" w14:textId="77777777" w:rsidTr="00D0514F">
        <w:tblPrEx>
          <w:tblW w:w="8730" w:type="dxa"/>
          <w:tblInd w:w="0" w:type="dxa"/>
          <w:tblCellMar>
            <w:top w:w="0" w:type="dxa"/>
            <w:left w:w="108" w:type="dxa"/>
            <w:bottom w:w="0" w:type="dxa"/>
            <w:right w:w="108" w:type="dxa"/>
          </w:tblCellMar>
          <w:tblLook w:val="01E0"/>
        </w:tblPrEx>
        <w:trPr>
          <w:trHeight w:val="807"/>
        </w:trPr>
        <w:tc>
          <w:tcPr>
            <w:tcW w:w="4320" w:type="dxa"/>
            <w:shd w:val="clear" w:color="auto" w:fill="auto"/>
          </w:tcPr>
          <w:p w:rsidR="00823447" w:rsidRPr="00106C15" w:rsidP="00823447" w14:paraId="18ED059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6"/>
              <w:rPr>
                <w:rFonts w:ascii="Times New Roman" w:eastAsia="Courier New" w:hAnsi="Times New Roman" w:cs="Times New Roman"/>
                <w:color w:val="000000"/>
                <w:sz w:val="24"/>
                <w:szCs w:val="24"/>
                <w:lang w:val="en-US" w:eastAsia="en-US" w:bidi="ar-SA"/>
              </w:rPr>
            </w:pPr>
            <w:r w:rsidRPr="00106C15">
              <w:rPr>
                <w:rFonts w:ascii="Times New Roman" w:eastAsia="Courier New" w:hAnsi="Times New Roman" w:cs="Times New Roman"/>
                <w:color w:val="000000"/>
                <w:sz w:val="24"/>
                <w:szCs w:val="24"/>
                <w:lang w:val="en-US" w:eastAsia="en-US" w:bidi="ar-SA"/>
              </w:rPr>
              <w:t>In the Matter of the Application of Duke Energy Ohio, Inc., to Adjust and Set Rider DSR.</w:t>
            </w:r>
          </w:p>
          <w:p w:rsidR="00823447" w:rsidRPr="00106C15" w:rsidP="00823447" w14:paraId="57FD241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6"/>
              <w:rPr>
                <w:rFonts w:ascii="Times New Roman" w:eastAsia="Courier New" w:hAnsi="Times New Roman" w:cs="Times New Roman"/>
                <w:color w:val="000000"/>
                <w:sz w:val="24"/>
                <w:szCs w:val="24"/>
                <w:lang w:val="en-US" w:eastAsia="en-US" w:bidi="ar-SA"/>
              </w:rPr>
            </w:pPr>
          </w:p>
          <w:p w:rsidR="00823447" w:rsidRPr="00106C15" w:rsidP="00823447" w14:paraId="696BCB5E" w14:textId="255E47D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bCs/>
                <w:color w:val="auto"/>
                <w:sz w:val="24"/>
                <w:szCs w:val="24"/>
                <w:lang w:val="en-US" w:eastAsia="en-US" w:bidi="ar-SA"/>
              </w:rPr>
            </w:pPr>
            <w:r w:rsidRPr="00106C15">
              <w:rPr>
                <w:rFonts w:ascii="Times New Roman" w:eastAsia="Courier New" w:hAnsi="Times New Roman" w:cs="Times New Roman"/>
                <w:bCs/>
                <w:color w:val="auto"/>
                <w:sz w:val="24"/>
                <w:szCs w:val="24"/>
                <w:lang w:val="en-US" w:eastAsia="en-US" w:bidi="ar-SA"/>
              </w:rPr>
              <w:t>In the Matter of the Application of Duke Energy Ohio, Inc., for Approval of Tariff Amendments.</w:t>
            </w:r>
          </w:p>
        </w:tc>
        <w:tc>
          <w:tcPr>
            <w:tcW w:w="296" w:type="dxa"/>
            <w:shd w:val="clear" w:color="auto" w:fill="auto"/>
          </w:tcPr>
          <w:p w:rsidR="00823447" w:rsidRPr="00106C15" w:rsidP="00823447" w14:paraId="19DC8FA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r w:rsidRPr="00106C15">
              <w:rPr>
                <w:rFonts w:ascii="Times New Roman" w:eastAsia="Courier New" w:hAnsi="Times New Roman" w:cs="Times New Roman"/>
                <w:color w:val="000000"/>
                <w:sz w:val="24"/>
                <w:szCs w:val="24"/>
                <w:lang w:val="en-US" w:eastAsia="en-US" w:bidi="ar-SA"/>
              </w:rPr>
              <w:t>)</w:t>
            </w:r>
          </w:p>
          <w:p w:rsidR="00823447" w:rsidRPr="00106C15" w:rsidP="00823447" w14:paraId="3D805AA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r w:rsidRPr="00106C15">
              <w:rPr>
                <w:rFonts w:ascii="Times New Roman" w:eastAsia="Courier New" w:hAnsi="Times New Roman" w:cs="Times New Roman"/>
                <w:color w:val="000000"/>
                <w:sz w:val="24"/>
                <w:szCs w:val="24"/>
                <w:lang w:val="en-US" w:eastAsia="en-US" w:bidi="ar-SA"/>
              </w:rPr>
              <w:t>)</w:t>
            </w:r>
          </w:p>
          <w:p w:rsidR="00823447" w:rsidRPr="00106C15" w:rsidP="00823447" w14:paraId="00238A9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r w:rsidRPr="00106C15">
              <w:rPr>
                <w:rFonts w:ascii="Times New Roman" w:eastAsia="Courier New" w:hAnsi="Times New Roman" w:cs="Times New Roman"/>
                <w:color w:val="000000"/>
                <w:sz w:val="24"/>
                <w:szCs w:val="24"/>
                <w:lang w:val="en-US" w:eastAsia="en-US" w:bidi="ar-SA"/>
              </w:rPr>
              <w:t>)</w:t>
            </w:r>
          </w:p>
          <w:p w:rsidR="00823447" w:rsidRPr="00106C15" w:rsidP="00823447" w14:paraId="6E88CAB3" w14:textId="63A8E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p>
          <w:p w:rsidR="00823447" w:rsidRPr="00106C15" w:rsidP="00823447" w14:paraId="10D51AE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r w:rsidRPr="00106C15">
              <w:rPr>
                <w:rFonts w:ascii="Times New Roman" w:eastAsia="Courier New" w:hAnsi="Times New Roman" w:cs="Times New Roman"/>
                <w:color w:val="000000"/>
                <w:sz w:val="24"/>
                <w:szCs w:val="24"/>
                <w:lang w:val="en-US" w:eastAsia="en-US" w:bidi="ar-SA"/>
              </w:rPr>
              <w:t>)</w:t>
            </w:r>
          </w:p>
          <w:p w:rsidR="00823447" w:rsidRPr="00106C15" w:rsidP="00823447" w14:paraId="5A7705E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r w:rsidRPr="00106C15">
              <w:rPr>
                <w:rFonts w:ascii="Times New Roman" w:eastAsia="Courier New" w:hAnsi="Times New Roman" w:cs="Times New Roman"/>
                <w:color w:val="000000"/>
                <w:sz w:val="24"/>
                <w:szCs w:val="24"/>
                <w:lang w:val="en-US" w:eastAsia="en-US" w:bidi="ar-SA"/>
              </w:rPr>
              <w:t>)</w:t>
            </w:r>
          </w:p>
          <w:p w:rsidR="00823447" w:rsidRPr="00106C15" w:rsidP="00823447" w14:paraId="3685D5DA" w14:textId="23299E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bCs/>
                <w:color w:val="auto"/>
                <w:sz w:val="24"/>
                <w:szCs w:val="24"/>
                <w:lang w:val="en-US" w:eastAsia="en-US" w:bidi="ar-SA"/>
              </w:rPr>
            </w:pPr>
            <w:r w:rsidRPr="00106C15">
              <w:rPr>
                <w:rFonts w:ascii="Times New Roman" w:eastAsia="Courier New" w:hAnsi="Times New Roman" w:cs="Times New Roman"/>
                <w:bCs/>
                <w:color w:val="auto"/>
                <w:sz w:val="24"/>
                <w:szCs w:val="24"/>
                <w:lang w:val="en-US" w:eastAsia="en-US" w:bidi="ar-SA"/>
              </w:rPr>
              <w:t>)</w:t>
            </w:r>
          </w:p>
        </w:tc>
        <w:tc>
          <w:tcPr>
            <w:tcW w:w="4114" w:type="dxa"/>
            <w:shd w:val="clear" w:color="auto" w:fill="auto"/>
          </w:tcPr>
          <w:p w:rsidR="00823447" w:rsidRPr="00106C15" w:rsidP="00823447" w14:paraId="56645D4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p>
          <w:p w:rsidR="00823447" w:rsidRPr="00106C15" w:rsidP="00823447" w14:paraId="635B5B4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r w:rsidRPr="00106C15">
              <w:rPr>
                <w:rFonts w:ascii="Times New Roman" w:eastAsia="Courier New" w:hAnsi="Times New Roman" w:cs="Times New Roman"/>
                <w:color w:val="000000"/>
                <w:sz w:val="24"/>
                <w:szCs w:val="24"/>
                <w:lang w:val="en-US" w:eastAsia="en-US" w:bidi="ar-SA"/>
              </w:rPr>
              <w:t>Case No. 23-126-EL-RDR</w:t>
            </w:r>
          </w:p>
          <w:p w:rsidR="00823447" w:rsidRPr="00106C15" w:rsidP="00823447" w14:paraId="42CAE2D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p>
          <w:p w:rsidR="00823447" w:rsidRPr="00106C15" w:rsidP="00823447" w14:paraId="7C6CC5E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p>
          <w:p w:rsidR="00823447" w:rsidRPr="00106C15" w:rsidP="00823447" w14:paraId="73F0A4B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p>
          <w:p w:rsidR="00823447" w:rsidRPr="00106C15" w:rsidP="00823447" w14:paraId="17525C14" w14:textId="71EC58C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bCs/>
                <w:color w:val="auto"/>
                <w:sz w:val="24"/>
                <w:szCs w:val="24"/>
                <w:lang w:val="en-US" w:eastAsia="en-US" w:bidi="ar-SA"/>
              </w:rPr>
            </w:pPr>
            <w:r w:rsidRPr="00106C15">
              <w:rPr>
                <w:rFonts w:ascii="Times New Roman" w:eastAsia="Courier New" w:hAnsi="Times New Roman" w:cs="Times New Roman"/>
                <w:bCs/>
                <w:color w:val="auto"/>
                <w:sz w:val="24"/>
                <w:szCs w:val="24"/>
                <w:lang w:val="en-US" w:eastAsia="en-US" w:bidi="ar-SA"/>
              </w:rPr>
              <w:t>Case No. 23-281-EL-ATA</w:t>
            </w:r>
          </w:p>
        </w:tc>
      </w:tr>
    </w:tbl>
    <w:p w:rsidR="00AA2AA1" w:rsidRPr="00106C15" w:rsidP="00AA2AA1" w14:paraId="22501982" w14:textId="77777777">
      <w:pPr>
        <w:pBdr>
          <w:bottom w:val="single" w:sz="12" w:space="1" w:color="auto"/>
        </w:pBdr>
        <w:rPr>
          <w:szCs w:val="24"/>
        </w:rPr>
      </w:pPr>
    </w:p>
    <w:p w:rsidR="00AA2AA1" w:rsidRPr="00106C15" w:rsidP="00AA2AA1" w14:paraId="75EF4712" w14:textId="77777777">
      <w:pPr>
        <w:rPr>
          <w:b/>
          <w:bCs/>
          <w:szCs w:val="24"/>
        </w:rPr>
      </w:pPr>
    </w:p>
    <w:p w:rsidR="00052A34" w:rsidRPr="00106C15" w:rsidP="00052A34" w14:paraId="39817397" w14:textId="77777777">
      <w:pPr>
        <w:jc w:val="center"/>
        <w:rPr>
          <w:b/>
          <w:szCs w:val="24"/>
        </w:rPr>
      </w:pPr>
      <w:r w:rsidRPr="00106C15">
        <w:rPr>
          <w:b/>
          <w:szCs w:val="24"/>
        </w:rPr>
        <w:t>APPLICATION FOR REHEARING</w:t>
      </w:r>
    </w:p>
    <w:p w:rsidR="00052A34" w:rsidRPr="00106C15" w:rsidP="00052A34" w14:paraId="58A7D41E" w14:textId="3301A78B">
      <w:pPr>
        <w:jc w:val="center"/>
        <w:rPr>
          <w:b/>
          <w:szCs w:val="24"/>
        </w:rPr>
      </w:pPr>
      <w:r w:rsidRPr="00106C15">
        <w:rPr>
          <w:b/>
          <w:szCs w:val="24"/>
        </w:rPr>
        <w:t>BY</w:t>
      </w:r>
    </w:p>
    <w:p w:rsidR="00AA2AA1" w:rsidRPr="00106C15" w:rsidP="00AA2AA1" w14:paraId="6287272F" w14:textId="1A9B736D">
      <w:pPr>
        <w:pBdr>
          <w:bottom w:val="single" w:sz="12" w:space="1" w:color="auto"/>
        </w:pBdr>
        <w:jc w:val="center"/>
        <w:rPr>
          <w:b/>
          <w:szCs w:val="24"/>
        </w:rPr>
      </w:pPr>
      <w:r w:rsidRPr="00106C15">
        <w:rPr>
          <w:b/>
          <w:szCs w:val="24"/>
        </w:rPr>
        <w:t>OFFICE OF THE OHIO CONSUMERS’ COUNSEL</w:t>
      </w:r>
    </w:p>
    <w:p w:rsidR="00AA2AA1" w:rsidRPr="00106C15" w:rsidP="00AA2AA1" w14:paraId="75F72617" w14:textId="77777777">
      <w:pPr>
        <w:pBdr>
          <w:bottom w:val="single" w:sz="12" w:space="1" w:color="auto"/>
        </w:pBdr>
        <w:spacing w:after="240"/>
        <w:jc w:val="center"/>
        <w:rPr>
          <w:b/>
          <w:bCs/>
          <w:szCs w:val="24"/>
        </w:rPr>
      </w:pPr>
    </w:p>
    <w:p w:rsidR="008C210C" w:rsidRPr="00106C15" w:rsidP="007E52C5" w14:paraId="2294F486" w14:textId="7AB85182">
      <w:pPr>
        <w:spacing w:line="480" w:lineRule="auto"/>
        <w:ind w:firstLine="720"/>
        <w:rPr>
          <w:rFonts w:eastAsia="Calibri"/>
          <w:color w:val="auto"/>
          <w:szCs w:val="24"/>
        </w:rPr>
      </w:pPr>
      <w:r w:rsidRPr="00106C15">
        <w:rPr>
          <w:rFonts w:eastAsia="Times New Roman"/>
          <w:color w:val="auto"/>
          <w:szCs w:val="24"/>
        </w:rPr>
        <w:t>On October 4, 2023, the PUCO entered an Order allowing Duke to collect from consumer</w:t>
      </w:r>
      <w:r w:rsidRPr="00106C15" w:rsidR="001420AB">
        <w:rPr>
          <w:rFonts w:eastAsia="Times New Roman"/>
          <w:color w:val="auto"/>
          <w:szCs w:val="24"/>
        </w:rPr>
        <w:t>s</w:t>
      </w:r>
      <w:r w:rsidRPr="00106C15" w:rsidR="00A04FFA">
        <w:rPr>
          <w:rFonts w:eastAsia="Times New Roman"/>
          <w:color w:val="auto"/>
          <w:szCs w:val="24"/>
        </w:rPr>
        <w:t xml:space="preserve"> </w:t>
      </w:r>
      <w:r w:rsidRPr="00106C15" w:rsidR="00AA7B5B">
        <w:rPr>
          <w:rFonts w:eastAsia="Calibri"/>
          <w:color w:val="auto"/>
          <w:szCs w:val="24"/>
        </w:rPr>
        <w:t xml:space="preserve">storm related costs </w:t>
      </w:r>
      <w:r w:rsidRPr="00106C15" w:rsidR="00713EB3">
        <w:rPr>
          <w:rFonts w:eastAsia="Calibri"/>
          <w:color w:val="auto"/>
          <w:szCs w:val="24"/>
        </w:rPr>
        <w:t xml:space="preserve">based on </w:t>
      </w:r>
      <w:r w:rsidRPr="00106C15" w:rsidR="001420AB">
        <w:rPr>
          <w:rFonts w:eastAsia="Calibri"/>
          <w:color w:val="auto"/>
          <w:szCs w:val="24"/>
        </w:rPr>
        <w:t>outside the record information.</w:t>
      </w:r>
      <w:r w:rsidRPr="00106C15" w:rsidR="00B97AA8">
        <w:rPr>
          <w:rFonts w:eastAsia="Calibri"/>
          <w:color w:val="auto"/>
          <w:szCs w:val="24"/>
        </w:rPr>
        <w:t xml:space="preserve"> </w:t>
      </w:r>
      <w:r w:rsidRPr="00106C15" w:rsidR="00AA7B5B">
        <w:rPr>
          <w:rFonts w:eastAsia="Calibri"/>
          <w:color w:val="auto"/>
          <w:szCs w:val="24"/>
        </w:rPr>
        <w:t>The PUCO</w:t>
      </w:r>
      <w:r w:rsidRPr="00106C15">
        <w:rPr>
          <w:rFonts w:eastAsia="Calibri"/>
          <w:color w:val="auto"/>
          <w:szCs w:val="24"/>
        </w:rPr>
        <w:t xml:space="preserve"> relied on its </w:t>
      </w:r>
      <w:r w:rsidRPr="00106C15" w:rsidR="00AA7B5B">
        <w:rPr>
          <w:rFonts w:eastAsia="Calibri"/>
          <w:color w:val="auto"/>
          <w:szCs w:val="24"/>
        </w:rPr>
        <w:t>Staff</w:t>
      </w:r>
      <w:r w:rsidRPr="00106C15" w:rsidR="00085F96">
        <w:rPr>
          <w:rFonts w:eastAsia="Calibri"/>
          <w:color w:val="auto"/>
          <w:szCs w:val="24"/>
        </w:rPr>
        <w:t>’s</w:t>
      </w:r>
      <w:r w:rsidRPr="00106C15">
        <w:rPr>
          <w:rFonts w:eastAsia="Calibri"/>
          <w:color w:val="auto"/>
          <w:szCs w:val="24"/>
        </w:rPr>
        <w:t xml:space="preserve"> revised recommendation to approve the </w:t>
      </w:r>
      <w:r w:rsidRPr="00106C15" w:rsidR="00A04FFA">
        <w:rPr>
          <w:rFonts w:eastAsia="Calibri"/>
          <w:color w:val="auto"/>
          <w:szCs w:val="24"/>
        </w:rPr>
        <w:t>storm costs</w:t>
      </w:r>
      <w:r w:rsidRPr="00106C15">
        <w:rPr>
          <w:rFonts w:eastAsia="Calibri"/>
          <w:color w:val="auto"/>
          <w:szCs w:val="24"/>
        </w:rPr>
        <w:t>, even though its Staff</w:t>
      </w:r>
      <w:r w:rsidRPr="00106C15" w:rsidR="00AA7B5B">
        <w:rPr>
          <w:rFonts w:eastAsia="Calibri"/>
          <w:color w:val="auto"/>
          <w:szCs w:val="24"/>
        </w:rPr>
        <w:t xml:space="preserve"> originally recommended disallowing the charges</w:t>
      </w:r>
      <w:r w:rsidRPr="00106C15">
        <w:rPr>
          <w:rFonts w:eastAsia="Calibri"/>
          <w:color w:val="auto"/>
          <w:szCs w:val="24"/>
        </w:rPr>
        <w:t xml:space="preserve">. (The PUCO Staff revised its recommendation after meeting with </w:t>
      </w:r>
      <w:r w:rsidRPr="00106C15" w:rsidR="001420AB">
        <w:rPr>
          <w:rFonts w:eastAsia="Calibri"/>
          <w:color w:val="auto"/>
          <w:szCs w:val="24"/>
        </w:rPr>
        <w:t xml:space="preserve">and receiving additional support from </w:t>
      </w:r>
      <w:r w:rsidRPr="00106C15">
        <w:rPr>
          <w:rFonts w:eastAsia="Calibri"/>
          <w:color w:val="auto"/>
          <w:szCs w:val="24"/>
        </w:rPr>
        <w:t xml:space="preserve">Duke, </w:t>
      </w:r>
      <w:r w:rsidRPr="00106C15" w:rsidR="001420AB">
        <w:rPr>
          <w:rFonts w:eastAsia="Calibri"/>
          <w:color w:val="auto"/>
          <w:szCs w:val="24"/>
        </w:rPr>
        <w:t xml:space="preserve">all </w:t>
      </w:r>
      <w:r w:rsidRPr="00106C15">
        <w:rPr>
          <w:rFonts w:eastAsia="Calibri"/>
          <w:color w:val="auto"/>
          <w:szCs w:val="24"/>
        </w:rPr>
        <w:t>without OCC’s participation</w:t>
      </w:r>
      <w:r w:rsidR="00971018">
        <w:rPr>
          <w:rFonts w:eastAsia="Calibri"/>
          <w:color w:val="auto"/>
          <w:szCs w:val="24"/>
        </w:rPr>
        <w:t>.</w:t>
      </w:r>
      <w:r w:rsidRPr="00106C15">
        <w:rPr>
          <w:rFonts w:eastAsia="Calibri"/>
          <w:color w:val="auto"/>
          <w:szCs w:val="24"/>
        </w:rPr>
        <w:t>) And the PUCO relied upon Duke’s unauthorized surreply comments</w:t>
      </w:r>
      <w:r w:rsidRPr="00106C15" w:rsidR="00A04FFA">
        <w:rPr>
          <w:rFonts w:eastAsia="Calibri"/>
          <w:color w:val="auto"/>
          <w:szCs w:val="24"/>
        </w:rPr>
        <w:t xml:space="preserve"> as well</w:t>
      </w:r>
      <w:r w:rsidRPr="00106C15">
        <w:rPr>
          <w:rFonts w:eastAsia="Calibri"/>
          <w:color w:val="auto"/>
          <w:szCs w:val="24"/>
        </w:rPr>
        <w:t xml:space="preserve">. </w:t>
      </w:r>
      <w:r w:rsidRPr="00106C15" w:rsidR="00713EB3">
        <w:rPr>
          <w:rFonts w:eastAsia="Calibri"/>
          <w:color w:val="auto"/>
          <w:szCs w:val="24"/>
        </w:rPr>
        <w:t xml:space="preserve">The PUCO’s reliance on such information was unlawful under R.C. 4903.09 and contrary to the Ohio Supreme Court’s holding in </w:t>
      </w:r>
      <w:r w:rsidRPr="00106C15" w:rsidR="00713EB3">
        <w:rPr>
          <w:rFonts w:eastAsia="Calibri"/>
          <w:i/>
          <w:iCs/>
          <w:color w:val="auto"/>
          <w:szCs w:val="24"/>
        </w:rPr>
        <w:t>Tongren</w:t>
      </w:r>
      <w:r w:rsidRPr="00106C15" w:rsidR="000A0F8A">
        <w:rPr>
          <w:rFonts w:eastAsia="Calibri"/>
          <w:i/>
          <w:iCs/>
          <w:color w:val="auto"/>
          <w:szCs w:val="24"/>
        </w:rPr>
        <w:t xml:space="preserve"> v. Pub. Util Comm.</w:t>
      </w:r>
      <w:r w:rsidR="0022283F">
        <w:rPr>
          <w:rFonts w:eastAsia="Calibri"/>
          <w:i/>
          <w:iCs/>
          <w:color w:val="auto"/>
          <w:szCs w:val="24"/>
        </w:rPr>
        <w:t xml:space="preserve"> </w:t>
      </w:r>
      <w:r w:rsidRPr="00106C15" w:rsidR="000A0F8A">
        <w:rPr>
          <w:rFonts w:eastAsia="Calibri"/>
          <w:color w:val="auto"/>
          <w:szCs w:val="24"/>
        </w:rPr>
        <w:t>(1999)</w:t>
      </w:r>
      <w:r w:rsidRPr="00106C15" w:rsidR="00652FED">
        <w:rPr>
          <w:rFonts w:eastAsia="Calibri"/>
          <w:color w:val="auto"/>
          <w:szCs w:val="24"/>
        </w:rPr>
        <w:t>, 85 Ohio St.3d. 87, 706 N.E.2d 1255.</w:t>
      </w:r>
      <w:r w:rsidRPr="00106C15" w:rsidR="00713EB3">
        <w:rPr>
          <w:rFonts w:eastAsia="Calibri"/>
          <w:color w:val="auto"/>
          <w:szCs w:val="24"/>
        </w:rPr>
        <w:t xml:space="preserve"> </w:t>
      </w:r>
    </w:p>
    <w:p w:rsidR="00052A34" w:rsidRPr="00106C15" w:rsidP="007E52C5" w14:paraId="6BF5380E" w14:textId="6B4A663C">
      <w:pPr>
        <w:spacing w:line="480" w:lineRule="auto"/>
        <w:ind w:firstLine="720"/>
        <w:rPr>
          <w:szCs w:val="24"/>
        </w:rPr>
      </w:pPr>
      <w:r w:rsidRPr="00106C15">
        <w:rPr>
          <w:szCs w:val="24"/>
        </w:rPr>
        <w:t xml:space="preserve">OCC applies for rehearing of the PUCO’s Order issued on </w:t>
      </w:r>
      <w:r w:rsidRPr="00106C15" w:rsidR="0001576A">
        <w:rPr>
          <w:szCs w:val="24"/>
        </w:rPr>
        <w:t>October 4, 2023</w:t>
      </w:r>
      <w:r w:rsidRPr="00106C15" w:rsidR="00A04FFA">
        <w:rPr>
          <w:szCs w:val="24"/>
        </w:rPr>
        <w:t>.</w:t>
      </w:r>
      <w:r w:rsidRPr="00106C15" w:rsidR="00B97AA8">
        <w:rPr>
          <w:szCs w:val="24"/>
        </w:rPr>
        <w:t xml:space="preserve"> </w:t>
      </w:r>
      <w:r w:rsidRPr="00106C15" w:rsidR="00A04FFA">
        <w:rPr>
          <w:szCs w:val="24"/>
        </w:rPr>
        <w:t xml:space="preserve">The </w:t>
      </w:r>
      <w:r w:rsidRPr="00106C15">
        <w:rPr>
          <w:szCs w:val="24"/>
        </w:rPr>
        <w:t>PUCO’s Order is unreasonable and unlawful in the following particulars:</w:t>
      </w:r>
    </w:p>
    <w:p w:rsidR="00A04FFA" w:rsidRPr="00106C15" w:rsidP="00A04FFA" w14:paraId="0EE38317" w14:textId="7A36F097">
      <w:pPr>
        <w:ind w:left="720"/>
        <w:rPr>
          <w:rFonts w:eastAsia="Calibri"/>
          <w:color w:val="auto"/>
          <w:szCs w:val="24"/>
        </w:rPr>
      </w:pPr>
      <w:bookmarkStart w:id="0" w:name="_Hlk149521988"/>
      <w:bookmarkStart w:id="1" w:name="_Hlk124503802"/>
      <w:bookmarkStart w:id="2" w:name="_Hlk149553843"/>
      <w:r w:rsidRPr="00106C15">
        <w:rPr>
          <w:b/>
          <w:szCs w:val="24"/>
        </w:rPr>
        <w:t xml:space="preserve">ASSIGNMENT OF ERROR NO. </w:t>
      </w:r>
      <w:r w:rsidRPr="00106C15" w:rsidR="00713EB3">
        <w:rPr>
          <w:b/>
          <w:szCs w:val="24"/>
        </w:rPr>
        <w:t>1</w:t>
      </w:r>
      <w:r w:rsidRPr="00106C15">
        <w:rPr>
          <w:b/>
          <w:szCs w:val="24"/>
        </w:rPr>
        <w:t>:</w:t>
      </w:r>
      <w:r w:rsidRPr="00106C15">
        <w:rPr>
          <w:bCs/>
          <w:szCs w:val="24"/>
        </w:rPr>
        <w:t xml:space="preserve"> The PUCO erred</w:t>
      </w:r>
      <w:r w:rsidRPr="00106C15" w:rsidR="00713EB3">
        <w:rPr>
          <w:bCs/>
          <w:szCs w:val="24"/>
        </w:rPr>
        <w:t>,</w:t>
      </w:r>
      <w:r w:rsidRPr="00106C15" w:rsidR="00E72612">
        <w:rPr>
          <w:bCs/>
          <w:szCs w:val="24"/>
        </w:rPr>
        <w:t xml:space="preserve"> </w:t>
      </w:r>
      <w:r w:rsidRPr="00106C15">
        <w:rPr>
          <w:bCs/>
          <w:szCs w:val="24"/>
        </w:rPr>
        <w:t>violating R.C. 4903.0</w:t>
      </w:r>
      <w:r w:rsidRPr="00106C15" w:rsidR="00AA7663">
        <w:rPr>
          <w:bCs/>
          <w:szCs w:val="24"/>
        </w:rPr>
        <w:t>9</w:t>
      </w:r>
      <w:r w:rsidRPr="00106C15" w:rsidR="00713EB3">
        <w:rPr>
          <w:bCs/>
          <w:szCs w:val="24"/>
        </w:rPr>
        <w:t xml:space="preserve">, when it relied on outside the record information </w:t>
      </w:r>
      <w:r w:rsidRPr="00106C15" w:rsidR="00DF69F6">
        <w:rPr>
          <w:bCs/>
          <w:szCs w:val="24"/>
        </w:rPr>
        <w:t xml:space="preserve">that </w:t>
      </w:r>
      <w:r w:rsidRPr="00106C15" w:rsidR="00AA7663">
        <w:rPr>
          <w:bCs/>
          <w:szCs w:val="24"/>
        </w:rPr>
        <w:t xml:space="preserve">the </w:t>
      </w:r>
      <w:r w:rsidRPr="00106C15" w:rsidR="00AA7663">
        <w:rPr>
          <w:rFonts w:eastAsia="Times New Roman"/>
          <w:color w:val="auto"/>
          <w:szCs w:val="24"/>
        </w:rPr>
        <w:t xml:space="preserve">November </w:t>
      </w:r>
      <w:r w:rsidRPr="00106C15" w:rsidR="006F16EF">
        <w:rPr>
          <w:rFonts w:eastAsia="Times New Roman"/>
          <w:color w:val="auto"/>
          <w:szCs w:val="24"/>
        </w:rPr>
        <w:t xml:space="preserve">2022 </w:t>
      </w:r>
      <w:r w:rsidRPr="00106C15" w:rsidR="00AA7663">
        <w:rPr>
          <w:rFonts w:eastAsia="Times New Roman"/>
          <w:color w:val="auto"/>
          <w:szCs w:val="24"/>
        </w:rPr>
        <w:t>storm qualified as a Major Event</w:t>
      </w:r>
      <w:r w:rsidRPr="00106C15">
        <w:rPr>
          <w:rFonts w:eastAsia="Times New Roman"/>
          <w:color w:val="auto"/>
          <w:szCs w:val="24"/>
        </w:rPr>
        <w:t>.</w:t>
      </w:r>
      <w:r w:rsidRPr="00106C15" w:rsidR="00B97AA8">
        <w:rPr>
          <w:rFonts w:eastAsia="Times New Roman"/>
          <w:color w:val="auto"/>
          <w:szCs w:val="24"/>
        </w:rPr>
        <w:t xml:space="preserve"> </w:t>
      </w:r>
      <w:r w:rsidRPr="00106C15" w:rsidR="00F61AC5">
        <w:rPr>
          <w:rFonts w:eastAsia="Times New Roman"/>
          <w:color w:val="auto"/>
          <w:szCs w:val="24"/>
        </w:rPr>
        <w:t>Under R.C. 4903.09, t</w:t>
      </w:r>
      <w:r w:rsidRPr="00106C15" w:rsidR="00613649">
        <w:rPr>
          <w:rFonts w:eastAsia="Times New Roman"/>
          <w:color w:val="auto"/>
          <w:szCs w:val="24"/>
        </w:rPr>
        <w:t xml:space="preserve">he PUCO </w:t>
      </w:r>
      <w:r w:rsidRPr="00106C15" w:rsidR="00F61AC5">
        <w:rPr>
          <w:rFonts w:eastAsia="Times New Roman"/>
          <w:color w:val="auto"/>
          <w:szCs w:val="24"/>
        </w:rPr>
        <w:t xml:space="preserve">must set forth findings based on the record in </w:t>
      </w:r>
      <w:r w:rsidRPr="00106C15">
        <w:rPr>
          <w:rFonts w:eastAsia="Times New Roman"/>
          <w:color w:val="auto"/>
          <w:szCs w:val="24"/>
        </w:rPr>
        <w:t xml:space="preserve">the </w:t>
      </w:r>
      <w:r w:rsidRPr="00106C15" w:rsidR="00F61AC5">
        <w:rPr>
          <w:rFonts w:eastAsia="Times New Roman"/>
          <w:color w:val="auto"/>
          <w:szCs w:val="24"/>
        </w:rPr>
        <w:t xml:space="preserve">proceeding. </w:t>
      </w:r>
      <w:r w:rsidRPr="00106C15">
        <w:rPr>
          <w:rFonts w:eastAsia="Times New Roman"/>
          <w:color w:val="auto"/>
          <w:szCs w:val="24"/>
        </w:rPr>
        <w:t xml:space="preserve">The PUCO’s reliance on non-record information is </w:t>
      </w:r>
      <w:r w:rsidRPr="00106C15" w:rsidR="009B7FE2">
        <w:rPr>
          <w:rFonts w:eastAsia="Times New Roman"/>
          <w:color w:val="auto"/>
          <w:szCs w:val="24"/>
        </w:rPr>
        <w:t xml:space="preserve">also </w:t>
      </w:r>
      <w:r w:rsidRPr="00106C15">
        <w:rPr>
          <w:rFonts w:eastAsia="Times New Roman"/>
          <w:color w:val="auto"/>
          <w:szCs w:val="24"/>
        </w:rPr>
        <w:t xml:space="preserve">contrary to the Ohio Supreme Court’s holding in </w:t>
      </w:r>
      <w:r w:rsidRPr="00106C15">
        <w:rPr>
          <w:rFonts w:eastAsia="Calibri"/>
          <w:i/>
          <w:iCs/>
          <w:color w:val="auto"/>
          <w:szCs w:val="24"/>
        </w:rPr>
        <w:t>Tongren v. Pub. Util Comm.</w:t>
      </w:r>
      <w:r w:rsidRPr="00106C15" w:rsidR="009B7FE2">
        <w:rPr>
          <w:rFonts w:eastAsia="Calibri"/>
          <w:i/>
          <w:iCs/>
          <w:color w:val="auto"/>
          <w:szCs w:val="24"/>
        </w:rPr>
        <w:t xml:space="preserve"> </w:t>
      </w:r>
      <w:r w:rsidRPr="00106C15">
        <w:rPr>
          <w:rFonts w:eastAsia="Calibri"/>
          <w:color w:val="auto"/>
          <w:szCs w:val="24"/>
        </w:rPr>
        <w:t xml:space="preserve">(1999), 85 Ohio St.3d. 87, 706 N.E.2d 1255. </w:t>
      </w:r>
    </w:p>
    <w:p w:rsidR="009A6264" w:rsidRPr="00106C15" w:rsidP="00A04FFA" w14:paraId="7A0571A5" w14:textId="5289FD07">
      <w:pPr>
        <w:ind w:left="720"/>
        <w:rPr>
          <w:rFonts w:eastAsia="Times New Roman"/>
          <w:color w:val="auto"/>
          <w:szCs w:val="24"/>
        </w:rPr>
      </w:pPr>
      <w:r w:rsidRPr="00106C15">
        <w:rPr>
          <w:rFonts w:eastAsia="Times New Roman"/>
          <w:color w:val="auto"/>
          <w:szCs w:val="24"/>
        </w:rPr>
        <w:t xml:space="preserve"> </w:t>
      </w:r>
      <w:bookmarkEnd w:id="0"/>
    </w:p>
    <w:p w:rsidR="00713EB3" w:rsidRPr="00106C15" w:rsidP="00713EB3" w14:paraId="372BD08F" w14:textId="19B60D41">
      <w:pPr>
        <w:ind w:left="720"/>
        <w:rPr>
          <w:bCs/>
          <w:szCs w:val="24"/>
        </w:rPr>
      </w:pPr>
      <w:r w:rsidRPr="00106C15">
        <w:rPr>
          <w:b/>
          <w:szCs w:val="24"/>
        </w:rPr>
        <w:t xml:space="preserve">ASSIGNMENT OF ERROR NO. </w:t>
      </w:r>
      <w:r w:rsidRPr="00106C15" w:rsidR="00085F96">
        <w:rPr>
          <w:b/>
          <w:szCs w:val="24"/>
        </w:rPr>
        <w:t>2</w:t>
      </w:r>
      <w:r w:rsidRPr="00106C15">
        <w:rPr>
          <w:b/>
          <w:szCs w:val="24"/>
        </w:rPr>
        <w:t>:</w:t>
      </w:r>
      <w:r w:rsidRPr="00106C15">
        <w:rPr>
          <w:bCs/>
          <w:szCs w:val="24"/>
        </w:rPr>
        <w:t xml:space="preserve"> The PUCO erred</w:t>
      </w:r>
      <w:r w:rsidRPr="00106C15" w:rsidR="00F61AC5">
        <w:rPr>
          <w:bCs/>
          <w:szCs w:val="24"/>
        </w:rPr>
        <w:t>,</w:t>
      </w:r>
      <w:r w:rsidRPr="00106C15" w:rsidR="00E72612">
        <w:rPr>
          <w:bCs/>
          <w:szCs w:val="24"/>
        </w:rPr>
        <w:t xml:space="preserve"> </w:t>
      </w:r>
      <w:r w:rsidRPr="00106C15">
        <w:rPr>
          <w:bCs/>
          <w:szCs w:val="24"/>
        </w:rPr>
        <w:t>violating R.C. 4903.0</w:t>
      </w:r>
      <w:r w:rsidRPr="00106C15" w:rsidR="002D247D">
        <w:rPr>
          <w:bCs/>
          <w:szCs w:val="24"/>
        </w:rPr>
        <w:t>9</w:t>
      </w:r>
      <w:r w:rsidRPr="00106C15" w:rsidR="00F61AC5">
        <w:rPr>
          <w:bCs/>
          <w:szCs w:val="24"/>
        </w:rPr>
        <w:t xml:space="preserve">, when it failed to </w:t>
      </w:r>
      <w:r w:rsidRPr="00106C15">
        <w:rPr>
          <w:bCs/>
          <w:szCs w:val="24"/>
        </w:rPr>
        <w:t xml:space="preserve">set forth </w:t>
      </w:r>
      <w:r w:rsidRPr="00106C15" w:rsidR="002D247D">
        <w:rPr>
          <w:bCs/>
          <w:szCs w:val="24"/>
        </w:rPr>
        <w:t>its</w:t>
      </w:r>
      <w:r w:rsidRPr="00106C15">
        <w:rPr>
          <w:bCs/>
          <w:szCs w:val="24"/>
        </w:rPr>
        <w:t xml:space="preserve"> reasoning for finding good cause to allow Duke’s </w:t>
      </w:r>
      <w:r w:rsidRPr="00106C15" w:rsidR="009B7FE2">
        <w:rPr>
          <w:bCs/>
          <w:szCs w:val="24"/>
        </w:rPr>
        <w:t>s</w:t>
      </w:r>
      <w:r w:rsidRPr="00106C15">
        <w:rPr>
          <w:bCs/>
          <w:szCs w:val="24"/>
        </w:rPr>
        <w:t xml:space="preserve">urreply </w:t>
      </w:r>
      <w:r w:rsidRPr="00106C15" w:rsidR="009B7FE2">
        <w:rPr>
          <w:bCs/>
          <w:szCs w:val="24"/>
        </w:rPr>
        <w:t>c</w:t>
      </w:r>
      <w:r w:rsidRPr="00106C15">
        <w:rPr>
          <w:bCs/>
          <w:szCs w:val="24"/>
        </w:rPr>
        <w:t>omments</w:t>
      </w:r>
      <w:r w:rsidRPr="00106C15" w:rsidR="00F61AC5">
        <w:rPr>
          <w:bCs/>
          <w:szCs w:val="24"/>
        </w:rPr>
        <w:t>.</w:t>
      </w:r>
      <w:r w:rsidRPr="00106C15" w:rsidR="00B97AA8">
        <w:rPr>
          <w:bCs/>
          <w:szCs w:val="24"/>
        </w:rPr>
        <w:t xml:space="preserve"> </w:t>
      </w:r>
      <w:r w:rsidRPr="00106C15" w:rsidR="00F61AC5">
        <w:rPr>
          <w:bCs/>
          <w:szCs w:val="24"/>
        </w:rPr>
        <w:t>Consumers were harmed because the PUCO relied, in part, on Duke’s surreply comments, to justify charging consumers for storm related expenses.</w:t>
      </w:r>
      <w:r w:rsidRPr="00106C15" w:rsidR="00B97AA8">
        <w:rPr>
          <w:bCs/>
          <w:szCs w:val="24"/>
        </w:rPr>
        <w:t xml:space="preserve"> </w:t>
      </w:r>
    </w:p>
    <w:p w:rsidR="00713EB3" w:rsidRPr="00106C15" w:rsidP="00713EB3" w14:paraId="26ECD564" w14:textId="77777777">
      <w:pPr>
        <w:ind w:left="720"/>
        <w:rPr>
          <w:bCs/>
          <w:szCs w:val="24"/>
        </w:rPr>
      </w:pPr>
    </w:p>
    <w:bookmarkEnd w:id="1"/>
    <w:bookmarkEnd w:id="2"/>
    <w:p w:rsidR="007C46CB" w:rsidRPr="00106C15" w:rsidP="00AF4280" w14:paraId="24C3036F" w14:textId="4A569D91">
      <w:pPr>
        <w:spacing w:line="480" w:lineRule="auto"/>
        <w:ind w:firstLine="720"/>
        <w:rPr>
          <w:rFonts w:eastAsia="Times New Roman"/>
          <w:color w:val="auto"/>
          <w:szCs w:val="24"/>
          <w:lang w:bidi="en-US"/>
        </w:rPr>
      </w:pPr>
      <w:r w:rsidRPr="00106C15">
        <w:rPr>
          <w:szCs w:val="24"/>
        </w:rPr>
        <w:t>The reasons for granting this Application for Rehearing are more fully set forth in the attached Memorandum in Support.</w:t>
      </w:r>
    </w:p>
    <w:p w:rsidR="00D748A1" w:rsidRPr="00106C15" w:rsidP="007C46CB" w14:paraId="19B32352" w14:textId="3DDEBB44">
      <w:pPr>
        <w:pStyle w:val="ListParagraph"/>
        <w:ind w:left="3960"/>
      </w:pPr>
      <w:r w:rsidRPr="00106C15">
        <w:t xml:space="preserve">Respectfully submitted, </w:t>
      </w:r>
    </w:p>
    <w:p w:rsidR="00D748A1" w:rsidRPr="00106C15" w:rsidP="00D748A1" w14:paraId="085EBD43" w14:textId="77777777">
      <w:pPr>
        <w:pStyle w:val="ListParagraph"/>
        <w:ind w:left="4320"/>
      </w:pPr>
    </w:p>
    <w:p w:rsidR="007C46CB" w:rsidRPr="00106C15" w:rsidP="007C46CB" w14:paraId="67E90674" w14:textId="77777777">
      <w:pPr>
        <w:ind w:left="3960"/>
        <w:rPr>
          <w:szCs w:val="24"/>
        </w:rPr>
      </w:pPr>
      <w:r w:rsidRPr="00106C15">
        <w:rPr>
          <w:szCs w:val="24"/>
        </w:rPr>
        <w:t>Maureen R. Willis (0020847)</w:t>
      </w:r>
    </w:p>
    <w:p w:rsidR="007C46CB" w:rsidRPr="00106C15" w:rsidP="007C46CB" w14:paraId="71A97CDC" w14:textId="77777777">
      <w:pPr>
        <w:ind w:left="3960"/>
        <w:rPr>
          <w:szCs w:val="24"/>
        </w:rPr>
      </w:pPr>
      <w:r w:rsidRPr="00106C15">
        <w:rPr>
          <w:szCs w:val="24"/>
        </w:rPr>
        <w:t>Ohio Consumers’ Counsel</w:t>
      </w:r>
    </w:p>
    <w:p w:rsidR="007C46CB" w:rsidRPr="00106C15" w:rsidP="007C46CB" w14:paraId="0E27F345" w14:textId="77777777">
      <w:pPr>
        <w:ind w:left="4320"/>
        <w:rPr>
          <w:szCs w:val="24"/>
        </w:rPr>
      </w:pPr>
    </w:p>
    <w:p w:rsidR="007C46CB" w:rsidRPr="00106C15" w:rsidP="007C46CB" w14:paraId="2DAC4E8C" w14:textId="77777777">
      <w:pPr>
        <w:tabs>
          <w:tab w:val="left" w:pos="4320"/>
        </w:tabs>
        <w:ind w:firstLine="3960"/>
        <w:rPr>
          <w:i/>
          <w:iCs/>
          <w:szCs w:val="24"/>
          <w:u w:val="single"/>
        </w:rPr>
      </w:pPr>
      <w:r w:rsidRPr="00106C15">
        <w:rPr>
          <w:i/>
          <w:iCs/>
          <w:szCs w:val="24"/>
          <w:u w:val="single"/>
        </w:rPr>
        <w:t>/s/ William J. Michael</w:t>
      </w:r>
    </w:p>
    <w:p w:rsidR="007C46CB" w:rsidRPr="00106C15" w:rsidP="007C46CB" w14:paraId="464E1857" w14:textId="77777777">
      <w:pPr>
        <w:tabs>
          <w:tab w:val="center" w:pos="4680"/>
          <w:tab w:val="right" w:pos="9360"/>
        </w:tabs>
        <w:ind w:left="3960"/>
        <w:rPr>
          <w:szCs w:val="24"/>
        </w:rPr>
      </w:pPr>
      <w:r w:rsidRPr="00106C15">
        <w:rPr>
          <w:szCs w:val="24"/>
        </w:rPr>
        <w:t>William J. Michael (0070921)</w:t>
      </w:r>
    </w:p>
    <w:p w:rsidR="007C46CB" w:rsidRPr="00106C15" w:rsidP="007C46CB" w14:paraId="3D08A662" w14:textId="77777777">
      <w:pPr>
        <w:tabs>
          <w:tab w:val="center" w:pos="4680"/>
          <w:tab w:val="right" w:pos="9360"/>
        </w:tabs>
        <w:ind w:left="3960"/>
        <w:rPr>
          <w:szCs w:val="24"/>
        </w:rPr>
      </w:pPr>
      <w:r w:rsidRPr="00106C15">
        <w:rPr>
          <w:szCs w:val="24"/>
        </w:rPr>
        <w:t>Counsel of Record</w:t>
      </w:r>
    </w:p>
    <w:p w:rsidR="007C46CB" w:rsidRPr="00106C15" w:rsidP="007C46CB" w14:paraId="0FE3E335" w14:textId="77777777">
      <w:pPr>
        <w:tabs>
          <w:tab w:val="center" w:pos="4680"/>
          <w:tab w:val="right" w:pos="9360"/>
        </w:tabs>
        <w:ind w:left="3960"/>
        <w:rPr>
          <w:szCs w:val="24"/>
        </w:rPr>
      </w:pPr>
      <w:r w:rsidRPr="00106C15">
        <w:rPr>
          <w:szCs w:val="24"/>
        </w:rPr>
        <w:t>Assistant Consumers’ Counsel</w:t>
      </w:r>
    </w:p>
    <w:p w:rsidR="007C46CB" w:rsidRPr="00106C15" w:rsidP="007C46CB" w14:paraId="3490276B" w14:textId="77777777">
      <w:pPr>
        <w:tabs>
          <w:tab w:val="center" w:pos="4680"/>
          <w:tab w:val="right" w:pos="9360"/>
        </w:tabs>
        <w:ind w:left="3960"/>
        <w:rPr>
          <w:szCs w:val="24"/>
        </w:rPr>
      </w:pPr>
    </w:p>
    <w:p w:rsidR="007C46CB" w:rsidRPr="00106C15" w:rsidP="007C46CB" w14:paraId="1945126F" w14:textId="77777777">
      <w:pPr>
        <w:tabs>
          <w:tab w:val="center" w:pos="4680"/>
          <w:tab w:val="right" w:pos="9360"/>
        </w:tabs>
        <w:ind w:left="3960"/>
        <w:rPr>
          <w:b/>
          <w:bCs/>
          <w:szCs w:val="24"/>
        </w:rPr>
      </w:pPr>
      <w:r w:rsidRPr="00106C15">
        <w:rPr>
          <w:b/>
          <w:bCs/>
          <w:szCs w:val="24"/>
        </w:rPr>
        <w:t>Office of the Ohio Consumers’ Counsel</w:t>
      </w:r>
    </w:p>
    <w:p w:rsidR="007C46CB" w:rsidRPr="00106C15" w:rsidP="007C46CB" w14:paraId="09E0E8A5" w14:textId="77777777">
      <w:pPr>
        <w:tabs>
          <w:tab w:val="center" w:pos="4680"/>
          <w:tab w:val="right" w:pos="9360"/>
        </w:tabs>
        <w:ind w:left="3960"/>
        <w:rPr>
          <w:b/>
          <w:szCs w:val="24"/>
        </w:rPr>
      </w:pPr>
      <w:r w:rsidRPr="00106C15">
        <w:rPr>
          <w:szCs w:val="24"/>
        </w:rPr>
        <w:t>65 East State Street, Suite 700</w:t>
      </w:r>
    </w:p>
    <w:p w:rsidR="007C46CB" w:rsidRPr="00106C15" w:rsidP="007C46CB" w14:paraId="1449BDE3" w14:textId="77777777">
      <w:pPr>
        <w:tabs>
          <w:tab w:val="center" w:pos="4680"/>
          <w:tab w:val="right" w:pos="9360"/>
        </w:tabs>
        <w:ind w:left="3960"/>
        <w:rPr>
          <w:b/>
          <w:szCs w:val="24"/>
        </w:rPr>
      </w:pPr>
      <w:r w:rsidRPr="00106C15">
        <w:rPr>
          <w:szCs w:val="24"/>
        </w:rPr>
        <w:t>Columbus, Ohio 43215</w:t>
      </w:r>
    </w:p>
    <w:p w:rsidR="007C46CB" w:rsidRPr="00106C15" w:rsidP="007C46CB" w14:paraId="6C066CED" w14:textId="77777777">
      <w:pPr>
        <w:tabs>
          <w:tab w:val="center" w:pos="4680"/>
          <w:tab w:val="right" w:pos="9360"/>
        </w:tabs>
        <w:ind w:left="3960"/>
        <w:rPr>
          <w:szCs w:val="24"/>
        </w:rPr>
      </w:pPr>
      <w:r w:rsidRPr="00106C15">
        <w:rPr>
          <w:szCs w:val="24"/>
        </w:rPr>
        <w:t>Telephone [Michael]: (614) 466-1291</w:t>
      </w:r>
    </w:p>
    <w:p w:rsidR="007C46CB" w:rsidRPr="00106C15" w:rsidP="007C46CB" w14:paraId="4D8DBA88" w14:textId="77777777">
      <w:pPr>
        <w:tabs>
          <w:tab w:val="center" w:pos="4680"/>
          <w:tab w:val="right" w:pos="9360"/>
        </w:tabs>
        <w:ind w:left="3960"/>
        <w:rPr>
          <w:szCs w:val="24"/>
        </w:rPr>
      </w:pPr>
      <w:hyperlink r:id="rId6" w:history="1">
        <w:r w:rsidRPr="00106C15">
          <w:rPr>
            <w:rStyle w:val="Hyperlink"/>
            <w:szCs w:val="24"/>
          </w:rPr>
          <w:t>william.michael@occ.ohio.gov</w:t>
        </w:r>
      </w:hyperlink>
      <w:r w:rsidRPr="00106C15">
        <w:rPr>
          <w:szCs w:val="24"/>
        </w:rPr>
        <w:t xml:space="preserve"> </w:t>
      </w:r>
    </w:p>
    <w:p w:rsidR="007C46CB" w:rsidRPr="00106C15" w:rsidP="007C46CB" w14:paraId="5139C5C0" w14:textId="77777777">
      <w:pPr>
        <w:tabs>
          <w:tab w:val="center" w:pos="4680"/>
          <w:tab w:val="right" w:pos="9360"/>
        </w:tabs>
        <w:ind w:left="3960"/>
        <w:rPr>
          <w:szCs w:val="24"/>
        </w:rPr>
      </w:pPr>
      <w:r w:rsidRPr="00106C15">
        <w:rPr>
          <w:szCs w:val="24"/>
        </w:rPr>
        <w:t>(willing to accept service by e-mail)</w:t>
      </w:r>
    </w:p>
    <w:p w:rsidR="00C77AB9" w:rsidRPr="00106C15" w:rsidP="00AA2AA1" w14:paraId="04162E08" w14:textId="77777777">
      <w:pPr>
        <w:spacing w:line="480" w:lineRule="auto"/>
        <w:rPr>
          <w:szCs w:val="24"/>
        </w:rPr>
        <w:sectPr w:rsidSect="00166FAB">
          <w:footerReference w:type="default" r:id="rId13"/>
          <w:pgSz w:w="12240" w:h="15840"/>
          <w:pgMar w:top="1440" w:right="1800" w:bottom="1440" w:left="1800" w:header="720" w:footer="720" w:gutter="0"/>
          <w:pgNumType w:start="1"/>
          <w:cols w:space="720"/>
          <w:docGrid w:linePitch="360"/>
        </w:sectPr>
      </w:pPr>
    </w:p>
    <w:p w:rsidR="009E036E" w:rsidRPr="00106C15" w:rsidP="00724CEB" w14:paraId="45C83328" w14:textId="77777777">
      <w:pPr>
        <w:pStyle w:val="List"/>
        <w:ind w:left="0" w:firstLine="0"/>
        <w:jc w:val="center"/>
        <w:rPr>
          <w:b/>
          <w:szCs w:val="24"/>
          <w:u w:val="single"/>
        </w:rPr>
      </w:pPr>
      <w:r w:rsidRPr="00106C15">
        <w:rPr>
          <w:b/>
          <w:szCs w:val="24"/>
          <w:u w:val="single"/>
        </w:rPr>
        <w:t>TABLE OF CONTENTS</w:t>
      </w:r>
    </w:p>
    <w:p w:rsidR="009E036E" w:rsidRPr="00106C15" w:rsidP="00724CEB" w14:paraId="62AF479D" w14:textId="77777777">
      <w:pPr>
        <w:pStyle w:val="List"/>
        <w:ind w:left="0" w:firstLine="0"/>
        <w:jc w:val="center"/>
        <w:rPr>
          <w:b/>
          <w:szCs w:val="24"/>
          <w:u w:val="single"/>
        </w:rPr>
      </w:pPr>
    </w:p>
    <w:p w:rsidR="009E036E" w:rsidRPr="00106C15" w:rsidP="009E036E" w14:paraId="3BCFA807" w14:textId="70E97D9F">
      <w:pPr>
        <w:pStyle w:val="List"/>
        <w:ind w:left="0" w:firstLine="0"/>
        <w:jc w:val="right"/>
        <w:rPr>
          <w:b/>
          <w:szCs w:val="24"/>
        </w:rPr>
      </w:pPr>
      <w:r w:rsidRPr="00106C15">
        <w:rPr>
          <w:b/>
          <w:szCs w:val="24"/>
        </w:rPr>
        <w:t>PAGE</w:t>
      </w:r>
    </w:p>
    <w:p w:rsidR="009C441E" w:rsidRPr="00106C15" w:rsidP="009E036E" w14:paraId="48853B9D" w14:textId="77777777">
      <w:pPr>
        <w:pStyle w:val="List"/>
        <w:ind w:left="0" w:firstLine="0"/>
        <w:jc w:val="right"/>
        <w:rPr>
          <w:b/>
          <w:szCs w:val="24"/>
        </w:rPr>
      </w:pPr>
    </w:p>
    <w:p w:rsidR="009F686C" w14:paraId="3F9ED0C1" w14:textId="1EB10E91">
      <w:pPr>
        <w:pStyle w:val="TOC1"/>
        <w:rPr>
          <w:rFonts w:asciiTheme="minorHAnsi" w:eastAsiaTheme="minorEastAsia" w:hAnsiTheme="minorHAnsi" w:cstheme="minorBidi"/>
          <w:noProof/>
          <w:color w:val="auto"/>
          <w:kern w:val="2"/>
          <w:sz w:val="22"/>
          <w:szCs w:val="22"/>
          <w14:ligatures w14:val="standardContextual"/>
        </w:rPr>
      </w:pPr>
      <w:r w:rsidRPr="00106C15">
        <w:rPr>
          <w:b/>
          <w:szCs w:val="24"/>
        </w:rPr>
        <w:fldChar w:fldCharType="begin"/>
      </w:r>
      <w:r w:rsidRPr="00106C15">
        <w:rPr>
          <w:b/>
          <w:szCs w:val="24"/>
        </w:rPr>
        <w:instrText xml:space="preserve"> TOC \o "1-3" \h \z \u </w:instrText>
      </w:r>
      <w:r w:rsidRPr="00106C15">
        <w:rPr>
          <w:b/>
          <w:szCs w:val="24"/>
        </w:rPr>
        <w:fldChar w:fldCharType="separate"/>
      </w:r>
      <w:hyperlink w:anchor="_Toc149921579" w:history="1">
        <w:r w:rsidRPr="00535F30">
          <w:rPr>
            <w:rStyle w:val="Hyperlink"/>
            <w:noProof/>
          </w:rPr>
          <w:t>I.</w:t>
        </w:r>
        <w:r>
          <w:rPr>
            <w:rFonts w:asciiTheme="minorHAnsi" w:eastAsiaTheme="minorEastAsia" w:hAnsiTheme="minorHAnsi" w:cstheme="minorBidi"/>
            <w:noProof/>
            <w:color w:val="auto"/>
            <w:kern w:val="2"/>
            <w:sz w:val="22"/>
            <w:szCs w:val="22"/>
            <w14:ligatures w14:val="standardContextual"/>
          </w:rPr>
          <w:tab/>
        </w:r>
        <w:r w:rsidRPr="00535F30">
          <w:rPr>
            <w:rStyle w:val="Hyperlink"/>
            <w:noProof/>
          </w:rPr>
          <w:t>INTRODUCTION</w:t>
        </w:r>
        <w:r>
          <w:rPr>
            <w:noProof/>
            <w:webHidden/>
          </w:rPr>
          <w:tab/>
        </w:r>
        <w:r>
          <w:rPr>
            <w:noProof/>
            <w:webHidden/>
          </w:rPr>
          <w:fldChar w:fldCharType="begin"/>
        </w:r>
        <w:r>
          <w:rPr>
            <w:noProof/>
            <w:webHidden/>
          </w:rPr>
          <w:instrText xml:space="preserve"> PAGEREF _Toc149921579 \h </w:instrText>
        </w:r>
        <w:r>
          <w:rPr>
            <w:noProof/>
            <w:webHidden/>
          </w:rPr>
          <w:fldChar w:fldCharType="separate"/>
        </w:r>
        <w:r>
          <w:rPr>
            <w:noProof/>
            <w:webHidden/>
          </w:rPr>
          <w:t>1</w:t>
        </w:r>
        <w:r>
          <w:rPr>
            <w:noProof/>
            <w:webHidden/>
          </w:rPr>
          <w:fldChar w:fldCharType="end"/>
        </w:r>
      </w:hyperlink>
    </w:p>
    <w:p w:rsidR="009F686C" w14:paraId="4ABB5D98" w14:textId="4B87580F">
      <w:pPr>
        <w:pStyle w:val="TOC1"/>
        <w:rPr>
          <w:rFonts w:asciiTheme="minorHAnsi" w:eastAsiaTheme="minorEastAsia" w:hAnsiTheme="minorHAnsi" w:cstheme="minorBidi"/>
          <w:noProof/>
          <w:color w:val="auto"/>
          <w:kern w:val="2"/>
          <w:sz w:val="22"/>
          <w:szCs w:val="22"/>
          <w14:ligatures w14:val="standardContextual"/>
        </w:rPr>
      </w:pPr>
      <w:hyperlink w:anchor="_Toc149921580" w:history="1">
        <w:r w:rsidRPr="00535F30">
          <w:rPr>
            <w:rStyle w:val="Hyperlink"/>
            <w:noProof/>
          </w:rPr>
          <w:t>II.</w:t>
        </w:r>
        <w:r>
          <w:rPr>
            <w:rFonts w:asciiTheme="minorHAnsi" w:eastAsiaTheme="minorEastAsia" w:hAnsiTheme="minorHAnsi" w:cstheme="minorBidi"/>
            <w:noProof/>
            <w:color w:val="auto"/>
            <w:kern w:val="2"/>
            <w:sz w:val="22"/>
            <w:szCs w:val="22"/>
            <w14:ligatures w14:val="standardContextual"/>
          </w:rPr>
          <w:tab/>
        </w:r>
        <w:r w:rsidRPr="00535F30">
          <w:rPr>
            <w:rStyle w:val="Hyperlink"/>
            <w:noProof/>
          </w:rPr>
          <w:t>STANDARD OF REVIEW</w:t>
        </w:r>
        <w:r>
          <w:rPr>
            <w:noProof/>
            <w:webHidden/>
          </w:rPr>
          <w:tab/>
        </w:r>
        <w:r>
          <w:rPr>
            <w:noProof/>
            <w:webHidden/>
          </w:rPr>
          <w:fldChar w:fldCharType="begin"/>
        </w:r>
        <w:r>
          <w:rPr>
            <w:noProof/>
            <w:webHidden/>
          </w:rPr>
          <w:instrText xml:space="preserve"> PAGEREF _Toc149921580 \h </w:instrText>
        </w:r>
        <w:r>
          <w:rPr>
            <w:noProof/>
            <w:webHidden/>
          </w:rPr>
          <w:fldChar w:fldCharType="separate"/>
        </w:r>
        <w:r>
          <w:rPr>
            <w:noProof/>
            <w:webHidden/>
          </w:rPr>
          <w:t>1</w:t>
        </w:r>
        <w:r>
          <w:rPr>
            <w:noProof/>
            <w:webHidden/>
          </w:rPr>
          <w:fldChar w:fldCharType="end"/>
        </w:r>
      </w:hyperlink>
    </w:p>
    <w:p w:rsidR="009F686C" w14:paraId="11027620" w14:textId="7442B8A9">
      <w:pPr>
        <w:pStyle w:val="TOC1"/>
        <w:rPr>
          <w:rFonts w:asciiTheme="minorHAnsi" w:eastAsiaTheme="minorEastAsia" w:hAnsiTheme="minorHAnsi" w:cstheme="minorBidi"/>
          <w:noProof/>
          <w:color w:val="auto"/>
          <w:kern w:val="2"/>
          <w:sz w:val="22"/>
          <w:szCs w:val="22"/>
          <w14:ligatures w14:val="standardContextual"/>
        </w:rPr>
      </w:pPr>
      <w:hyperlink w:anchor="_Toc149921581" w:history="1">
        <w:r w:rsidRPr="00535F30">
          <w:rPr>
            <w:rStyle w:val="Hyperlink"/>
            <w:noProof/>
          </w:rPr>
          <w:t xml:space="preserve">III. </w:t>
        </w:r>
        <w:r>
          <w:rPr>
            <w:rFonts w:asciiTheme="minorHAnsi" w:eastAsiaTheme="minorEastAsia" w:hAnsiTheme="minorHAnsi" w:cstheme="minorBidi"/>
            <w:noProof/>
            <w:color w:val="auto"/>
            <w:kern w:val="2"/>
            <w:sz w:val="22"/>
            <w:szCs w:val="22"/>
            <w14:ligatures w14:val="standardContextual"/>
          </w:rPr>
          <w:tab/>
        </w:r>
        <w:r w:rsidRPr="00535F30">
          <w:rPr>
            <w:rStyle w:val="Hyperlink"/>
            <w:noProof/>
          </w:rPr>
          <w:t>ARGUMENTS ON ASSIGNMENTS OF ERROR</w:t>
        </w:r>
        <w:r>
          <w:rPr>
            <w:noProof/>
            <w:webHidden/>
          </w:rPr>
          <w:tab/>
        </w:r>
        <w:r>
          <w:rPr>
            <w:noProof/>
            <w:webHidden/>
          </w:rPr>
          <w:fldChar w:fldCharType="begin"/>
        </w:r>
        <w:r>
          <w:rPr>
            <w:noProof/>
            <w:webHidden/>
          </w:rPr>
          <w:instrText xml:space="preserve"> PAGEREF _Toc149921581 \h </w:instrText>
        </w:r>
        <w:r>
          <w:rPr>
            <w:noProof/>
            <w:webHidden/>
          </w:rPr>
          <w:fldChar w:fldCharType="separate"/>
        </w:r>
        <w:r>
          <w:rPr>
            <w:noProof/>
            <w:webHidden/>
          </w:rPr>
          <w:t>2</w:t>
        </w:r>
        <w:r>
          <w:rPr>
            <w:noProof/>
            <w:webHidden/>
          </w:rPr>
          <w:fldChar w:fldCharType="end"/>
        </w:r>
      </w:hyperlink>
    </w:p>
    <w:p w:rsidR="009F686C" w14:paraId="267A5E4D" w14:textId="6FB77163">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49921582" w:history="1">
        <w:r w:rsidRPr="00535F30">
          <w:rPr>
            <w:rStyle w:val="Hyperlink"/>
            <w:noProof/>
            <w:lang w:bidi="en-US"/>
          </w:rPr>
          <w:t xml:space="preserve">ASSIGNMENT OF ERROR NO. 1: The PUCO erred, violating R.C. 4903.09, when it relied on outside the record information that the November 2022 storm qualified as a Major Event. Under R.C. 4903.09, the PUCO must set forth findings based on the record in the proceeding. The PUCO’s reliance on non-record information is also contrary to the Ohio Supreme Court’s holding in </w:t>
        </w:r>
        <w:r w:rsidRPr="00535F30">
          <w:rPr>
            <w:rStyle w:val="Hyperlink"/>
            <w:rFonts w:eastAsia="Calibri"/>
            <w:i/>
            <w:iCs/>
            <w:noProof/>
            <w:lang w:bidi="en-US"/>
          </w:rPr>
          <w:t xml:space="preserve">Tongren v. Pub. Util Comm. </w:t>
        </w:r>
        <w:r w:rsidRPr="00535F30">
          <w:rPr>
            <w:rStyle w:val="Hyperlink"/>
            <w:rFonts w:eastAsia="Calibri"/>
            <w:noProof/>
            <w:lang w:bidi="en-US"/>
          </w:rPr>
          <w:t>(1999), 85 Ohio St.3d. 87, 706 N.E.2d 1255.</w:t>
        </w:r>
        <w:r>
          <w:rPr>
            <w:noProof/>
            <w:webHidden/>
          </w:rPr>
          <w:tab/>
        </w:r>
        <w:r>
          <w:rPr>
            <w:noProof/>
            <w:webHidden/>
          </w:rPr>
          <w:fldChar w:fldCharType="begin"/>
        </w:r>
        <w:r>
          <w:rPr>
            <w:noProof/>
            <w:webHidden/>
          </w:rPr>
          <w:instrText xml:space="preserve"> PAGEREF _Toc149921582 \h </w:instrText>
        </w:r>
        <w:r>
          <w:rPr>
            <w:noProof/>
            <w:webHidden/>
          </w:rPr>
          <w:fldChar w:fldCharType="separate"/>
        </w:r>
        <w:r>
          <w:rPr>
            <w:noProof/>
            <w:webHidden/>
          </w:rPr>
          <w:t>2</w:t>
        </w:r>
        <w:r>
          <w:rPr>
            <w:noProof/>
            <w:webHidden/>
          </w:rPr>
          <w:fldChar w:fldCharType="end"/>
        </w:r>
      </w:hyperlink>
    </w:p>
    <w:p w:rsidR="009F686C" w14:paraId="3F807E0C" w14:textId="76DA8D43">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49921583" w:history="1">
        <w:r w:rsidRPr="00535F30">
          <w:rPr>
            <w:rStyle w:val="Hyperlink"/>
            <w:noProof/>
            <w:lang w:bidi="en-US"/>
          </w:rPr>
          <w:t>ASSIGNMENT OF ERROR NO. 2: The PUCO erred, violating R.C. 4903.09, when it failed to set forth its reasoning for finding good cause to allow Duke’s surreply comments. Consumers were harmed because the PUCO relied, in part, on Duke’s surreply comments, to justify charging consumers for storm related expenses.</w:t>
        </w:r>
        <w:r>
          <w:rPr>
            <w:noProof/>
            <w:webHidden/>
          </w:rPr>
          <w:tab/>
        </w:r>
        <w:r>
          <w:rPr>
            <w:noProof/>
            <w:webHidden/>
          </w:rPr>
          <w:fldChar w:fldCharType="begin"/>
        </w:r>
        <w:r>
          <w:rPr>
            <w:noProof/>
            <w:webHidden/>
          </w:rPr>
          <w:instrText xml:space="preserve"> PAGEREF _Toc149921583 \h </w:instrText>
        </w:r>
        <w:r>
          <w:rPr>
            <w:noProof/>
            <w:webHidden/>
          </w:rPr>
          <w:fldChar w:fldCharType="separate"/>
        </w:r>
        <w:r>
          <w:rPr>
            <w:noProof/>
            <w:webHidden/>
          </w:rPr>
          <w:t>6</w:t>
        </w:r>
        <w:r>
          <w:rPr>
            <w:noProof/>
            <w:webHidden/>
          </w:rPr>
          <w:fldChar w:fldCharType="end"/>
        </w:r>
      </w:hyperlink>
    </w:p>
    <w:p w:rsidR="009F686C" w14:paraId="3F70768A" w14:textId="48F96DFB">
      <w:pPr>
        <w:pStyle w:val="TOC1"/>
        <w:rPr>
          <w:rFonts w:asciiTheme="minorHAnsi" w:eastAsiaTheme="minorEastAsia" w:hAnsiTheme="minorHAnsi" w:cstheme="minorBidi"/>
          <w:noProof/>
          <w:color w:val="auto"/>
          <w:kern w:val="2"/>
          <w:sz w:val="22"/>
          <w:szCs w:val="22"/>
          <w14:ligatures w14:val="standardContextual"/>
        </w:rPr>
      </w:pPr>
      <w:hyperlink w:anchor="_Toc149921584" w:history="1">
        <w:r w:rsidRPr="00535F30">
          <w:rPr>
            <w:rStyle w:val="Hyperlink"/>
            <w:noProof/>
          </w:rPr>
          <w:t>IV.</w:t>
        </w:r>
        <w:r>
          <w:rPr>
            <w:rFonts w:asciiTheme="minorHAnsi" w:eastAsiaTheme="minorEastAsia" w:hAnsiTheme="minorHAnsi" w:cstheme="minorBidi"/>
            <w:noProof/>
            <w:color w:val="auto"/>
            <w:kern w:val="2"/>
            <w:sz w:val="22"/>
            <w:szCs w:val="22"/>
            <w14:ligatures w14:val="standardContextual"/>
          </w:rPr>
          <w:tab/>
        </w:r>
        <w:r w:rsidRPr="00535F30">
          <w:rPr>
            <w:rStyle w:val="Hyperlink"/>
            <w:noProof/>
          </w:rPr>
          <w:t>CONCLUSION</w:t>
        </w:r>
        <w:r>
          <w:rPr>
            <w:noProof/>
            <w:webHidden/>
          </w:rPr>
          <w:tab/>
        </w:r>
        <w:r>
          <w:rPr>
            <w:noProof/>
            <w:webHidden/>
          </w:rPr>
          <w:fldChar w:fldCharType="begin"/>
        </w:r>
        <w:r>
          <w:rPr>
            <w:noProof/>
            <w:webHidden/>
          </w:rPr>
          <w:instrText xml:space="preserve"> PAGEREF _Toc149921584 \h </w:instrText>
        </w:r>
        <w:r>
          <w:rPr>
            <w:noProof/>
            <w:webHidden/>
          </w:rPr>
          <w:fldChar w:fldCharType="separate"/>
        </w:r>
        <w:r>
          <w:rPr>
            <w:noProof/>
            <w:webHidden/>
          </w:rPr>
          <w:t>7</w:t>
        </w:r>
        <w:r>
          <w:rPr>
            <w:noProof/>
            <w:webHidden/>
          </w:rPr>
          <w:fldChar w:fldCharType="end"/>
        </w:r>
      </w:hyperlink>
    </w:p>
    <w:p w:rsidR="009E036E" w:rsidRPr="00106C15" w:rsidP="009E036E" w14:paraId="19F21336" w14:textId="5880605A">
      <w:pPr>
        <w:pStyle w:val="List"/>
        <w:ind w:left="0" w:firstLine="0"/>
        <w:jc w:val="right"/>
        <w:rPr>
          <w:b/>
          <w:szCs w:val="24"/>
        </w:rPr>
      </w:pPr>
      <w:r w:rsidRPr="00106C15">
        <w:rPr>
          <w:rFonts w:eastAsiaTheme="minorHAnsi"/>
          <w:b/>
          <w:color w:val="000000"/>
          <w:szCs w:val="24"/>
        </w:rPr>
        <w:fldChar w:fldCharType="end"/>
      </w:r>
    </w:p>
    <w:p w:rsidR="009E036E" w:rsidRPr="00106C15" w:rsidP="009E036E" w14:paraId="1CD62D91" w14:textId="286DDE33">
      <w:pPr>
        <w:pStyle w:val="List"/>
        <w:ind w:left="0" w:firstLine="0"/>
        <w:jc w:val="right"/>
        <w:rPr>
          <w:b/>
          <w:szCs w:val="24"/>
        </w:rPr>
        <w:sectPr w:rsidSect="009E036E">
          <w:footerReference w:type="default" r:id="rId14"/>
          <w:pgSz w:w="12240" w:h="15840"/>
          <w:pgMar w:top="1440" w:right="1800" w:bottom="1440" w:left="1800" w:header="720" w:footer="720" w:gutter="0"/>
          <w:pgNumType w:fmt="lowerRoman" w:start="1"/>
          <w:cols w:space="720"/>
          <w:docGrid w:linePitch="360"/>
        </w:sectPr>
      </w:pPr>
    </w:p>
    <w:p w:rsidR="00724CEB" w:rsidRPr="00106C15" w:rsidP="00724CEB" w14:paraId="2B61E854" w14:textId="77777777">
      <w:pPr>
        <w:pStyle w:val="List"/>
        <w:ind w:left="0" w:firstLine="0"/>
        <w:jc w:val="center"/>
        <w:rPr>
          <w:b/>
          <w:szCs w:val="24"/>
        </w:rPr>
      </w:pPr>
      <w:r w:rsidRPr="00106C15">
        <w:rPr>
          <w:b/>
          <w:szCs w:val="24"/>
        </w:rPr>
        <w:t>BEFORE</w:t>
      </w:r>
    </w:p>
    <w:p w:rsidR="00724CEB" w:rsidRPr="00106C15" w:rsidP="00724CEB" w14:paraId="661A998F" w14:textId="77777777">
      <w:pPr>
        <w:pStyle w:val="List"/>
        <w:ind w:left="0" w:firstLine="0"/>
        <w:jc w:val="center"/>
        <w:rPr>
          <w:b/>
          <w:szCs w:val="24"/>
        </w:rPr>
      </w:pPr>
      <w:r w:rsidRPr="00106C15">
        <w:rPr>
          <w:b/>
          <w:szCs w:val="24"/>
        </w:rPr>
        <w:t>THE PUBLIC UTILITIES COMMISSION OF OHIO</w:t>
      </w:r>
    </w:p>
    <w:p w:rsidR="004E6ED8" w:rsidRPr="00106C15" w:rsidP="00724CEB" w14:paraId="3FA1CF3B" w14:textId="77777777">
      <w:pPr>
        <w:pStyle w:val="List"/>
        <w:ind w:left="0" w:firstLine="0"/>
        <w:jc w:val="center"/>
        <w:rPr>
          <w:b/>
          <w:szCs w:val="24"/>
        </w:rPr>
      </w:pPr>
    </w:p>
    <w:tbl>
      <w:tblPr>
        <w:tblW w:w="8730" w:type="dxa"/>
        <w:tblInd w:w="0" w:type="dxa"/>
        <w:tblCellMar>
          <w:top w:w="0" w:type="dxa"/>
          <w:left w:w="108" w:type="dxa"/>
          <w:bottom w:w="0" w:type="dxa"/>
          <w:right w:w="108" w:type="dxa"/>
        </w:tblCellMar>
        <w:tblLook w:val="01E0"/>
      </w:tblPr>
      <w:tblGrid>
        <w:gridCol w:w="4320"/>
        <w:gridCol w:w="296"/>
        <w:gridCol w:w="4114"/>
      </w:tblGrid>
      <w:tr w14:paraId="6169C23C" w14:textId="77777777" w:rsidTr="007E0535">
        <w:tblPrEx>
          <w:tblW w:w="8730" w:type="dxa"/>
          <w:tblInd w:w="0" w:type="dxa"/>
          <w:tblCellMar>
            <w:top w:w="0" w:type="dxa"/>
            <w:left w:w="108" w:type="dxa"/>
            <w:bottom w:w="0" w:type="dxa"/>
            <w:right w:w="108" w:type="dxa"/>
          </w:tblCellMar>
          <w:tblLook w:val="01E0"/>
        </w:tblPrEx>
        <w:trPr>
          <w:trHeight w:val="807"/>
        </w:trPr>
        <w:tc>
          <w:tcPr>
            <w:tcW w:w="4320" w:type="dxa"/>
            <w:shd w:val="clear" w:color="auto" w:fill="auto"/>
          </w:tcPr>
          <w:p w:rsidR="004E6ED8" w:rsidRPr="00106C15" w:rsidP="004E6ED8" w14:paraId="7C6C510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6"/>
              <w:rPr>
                <w:rFonts w:ascii="Times New Roman" w:eastAsia="Courier New" w:hAnsi="Times New Roman" w:cs="Times New Roman"/>
                <w:color w:val="000000"/>
                <w:sz w:val="24"/>
                <w:szCs w:val="24"/>
                <w:lang w:val="en-US" w:eastAsia="en-US" w:bidi="ar-SA"/>
              </w:rPr>
            </w:pPr>
            <w:r w:rsidRPr="00106C15">
              <w:rPr>
                <w:rFonts w:ascii="Times New Roman" w:eastAsia="Courier New" w:hAnsi="Times New Roman" w:cs="Times New Roman"/>
                <w:color w:val="000000"/>
                <w:sz w:val="24"/>
                <w:szCs w:val="24"/>
                <w:lang w:val="en-US" w:eastAsia="en-US" w:bidi="ar-SA"/>
              </w:rPr>
              <w:t>In the Matter of the Application of Duke Energy Ohio, Inc., to Adjust and Set Rider DSR.</w:t>
            </w:r>
          </w:p>
          <w:p w:rsidR="004E6ED8" w:rsidRPr="00106C15" w:rsidP="004E6ED8" w14:paraId="626E6FF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6"/>
              <w:rPr>
                <w:rFonts w:ascii="Times New Roman" w:eastAsia="Courier New" w:hAnsi="Times New Roman" w:cs="Times New Roman"/>
                <w:color w:val="000000"/>
                <w:sz w:val="24"/>
                <w:szCs w:val="24"/>
                <w:lang w:val="en-US" w:eastAsia="en-US" w:bidi="ar-SA"/>
              </w:rPr>
            </w:pPr>
          </w:p>
          <w:p w:rsidR="004E6ED8" w:rsidRPr="00106C15" w:rsidP="004E6ED8" w14:paraId="40F16719" w14:textId="41C9FD2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bCs/>
                <w:color w:val="auto"/>
                <w:sz w:val="24"/>
                <w:szCs w:val="24"/>
                <w:lang w:val="en-US" w:eastAsia="en-US" w:bidi="ar-SA"/>
              </w:rPr>
            </w:pPr>
            <w:r w:rsidRPr="00106C15">
              <w:rPr>
                <w:rFonts w:ascii="Times New Roman" w:eastAsia="Courier New" w:hAnsi="Times New Roman" w:cs="Times New Roman"/>
                <w:bCs/>
                <w:color w:val="auto"/>
                <w:sz w:val="24"/>
                <w:szCs w:val="24"/>
                <w:lang w:val="en-US" w:eastAsia="en-US" w:bidi="ar-SA"/>
              </w:rPr>
              <w:t>In the Matter of the Application of Duke Energy Ohio, Inc., for Approval of Tariff Amendments.</w:t>
            </w:r>
          </w:p>
        </w:tc>
        <w:tc>
          <w:tcPr>
            <w:tcW w:w="296" w:type="dxa"/>
            <w:shd w:val="clear" w:color="auto" w:fill="auto"/>
          </w:tcPr>
          <w:p w:rsidR="004E6ED8" w:rsidRPr="00106C15" w:rsidP="004E6ED8" w14:paraId="59AEB88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r w:rsidRPr="00106C15">
              <w:rPr>
                <w:rFonts w:ascii="Times New Roman" w:eastAsia="Courier New" w:hAnsi="Times New Roman" w:cs="Times New Roman"/>
                <w:color w:val="000000"/>
                <w:sz w:val="24"/>
                <w:szCs w:val="24"/>
                <w:lang w:val="en-US" w:eastAsia="en-US" w:bidi="ar-SA"/>
              </w:rPr>
              <w:t>)</w:t>
            </w:r>
          </w:p>
          <w:p w:rsidR="004E6ED8" w:rsidRPr="00106C15" w:rsidP="004E6ED8" w14:paraId="1EE9536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r w:rsidRPr="00106C15">
              <w:rPr>
                <w:rFonts w:ascii="Times New Roman" w:eastAsia="Courier New" w:hAnsi="Times New Roman" w:cs="Times New Roman"/>
                <w:color w:val="000000"/>
                <w:sz w:val="24"/>
                <w:szCs w:val="24"/>
                <w:lang w:val="en-US" w:eastAsia="en-US" w:bidi="ar-SA"/>
              </w:rPr>
              <w:t>)</w:t>
            </w:r>
          </w:p>
          <w:p w:rsidR="004E6ED8" w:rsidRPr="00106C15" w:rsidP="004E6ED8" w14:paraId="783274A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r w:rsidRPr="00106C15">
              <w:rPr>
                <w:rFonts w:ascii="Times New Roman" w:eastAsia="Courier New" w:hAnsi="Times New Roman" w:cs="Times New Roman"/>
                <w:color w:val="000000"/>
                <w:sz w:val="24"/>
                <w:szCs w:val="24"/>
                <w:lang w:val="en-US" w:eastAsia="en-US" w:bidi="ar-SA"/>
              </w:rPr>
              <w:t>)</w:t>
            </w:r>
          </w:p>
          <w:p w:rsidR="004E6ED8" w:rsidRPr="00106C15" w:rsidP="004E6ED8" w14:paraId="42B1443E" w14:textId="4525A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p>
          <w:p w:rsidR="004E6ED8" w:rsidRPr="00106C15" w:rsidP="004E6ED8" w14:paraId="2593CCD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r w:rsidRPr="00106C15">
              <w:rPr>
                <w:rFonts w:ascii="Times New Roman" w:eastAsia="Courier New" w:hAnsi="Times New Roman" w:cs="Times New Roman"/>
                <w:color w:val="000000"/>
                <w:sz w:val="24"/>
                <w:szCs w:val="24"/>
                <w:lang w:val="en-US" w:eastAsia="en-US" w:bidi="ar-SA"/>
              </w:rPr>
              <w:t>)</w:t>
            </w:r>
          </w:p>
          <w:p w:rsidR="004E6ED8" w:rsidRPr="00106C15" w:rsidP="004E6ED8" w14:paraId="32258D6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r w:rsidRPr="00106C15">
              <w:rPr>
                <w:rFonts w:ascii="Times New Roman" w:eastAsia="Courier New" w:hAnsi="Times New Roman" w:cs="Times New Roman"/>
                <w:color w:val="000000"/>
                <w:sz w:val="24"/>
                <w:szCs w:val="24"/>
                <w:lang w:val="en-US" w:eastAsia="en-US" w:bidi="ar-SA"/>
              </w:rPr>
              <w:t>)</w:t>
            </w:r>
          </w:p>
          <w:p w:rsidR="004E6ED8" w:rsidRPr="00106C15" w:rsidP="004E6ED8" w14:paraId="4AB0338C" w14:textId="65AD63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bCs/>
                <w:color w:val="auto"/>
                <w:sz w:val="24"/>
                <w:szCs w:val="24"/>
                <w:lang w:val="en-US" w:eastAsia="en-US" w:bidi="ar-SA"/>
              </w:rPr>
            </w:pPr>
            <w:r w:rsidRPr="00106C15">
              <w:rPr>
                <w:rFonts w:ascii="Times New Roman" w:eastAsia="Courier New" w:hAnsi="Times New Roman" w:cs="Times New Roman"/>
                <w:bCs/>
                <w:color w:val="auto"/>
                <w:sz w:val="24"/>
                <w:szCs w:val="24"/>
                <w:lang w:val="en-US" w:eastAsia="en-US" w:bidi="ar-SA"/>
              </w:rPr>
              <w:t>)</w:t>
            </w:r>
          </w:p>
        </w:tc>
        <w:tc>
          <w:tcPr>
            <w:tcW w:w="4114" w:type="dxa"/>
            <w:shd w:val="clear" w:color="auto" w:fill="auto"/>
          </w:tcPr>
          <w:p w:rsidR="004E6ED8" w:rsidRPr="00106C15" w:rsidP="004E6ED8" w14:paraId="3F73CEC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p>
          <w:p w:rsidR="004E6ED8" w:rsidRPr="00106C15" w:rsidP="004E6ED8" w14:paraId="58D14F8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r w:rsidRPr="00106C15">
              <w:rPr>
                <w:rFonts w:ascii="Times New Roman" w:eastAsia="Courier New" w:hAnsi="Times New Roman" w:cs="Times New Roman"/>
                <w:color w:val="000000"/>
                <w:sz w:val="24"/>
                <w:szCs w:val="24"/>
                <w:lang w:val="en-US" w:eastAsia="en-US" w:bidi="ar-SA"/>
              </w:rPr>
              <w:t>Case No. 23-126-EL-RDR</w:t>
            </w:r>
          </w:p>
          <w:p w:rsidR="004E6ED8" w:rsidRPr="00106C15" w:rsidP="004E6ED8" w14:paraId="70E4218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p>
          <w:p w:rsidR="004E6ED8" w:rsidRPr="00106C15" w:rsidP="004E6ED8" w14:paraId="7AE799E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p>
          <w:p w:rsidR="004E6ED8" w:rsidRPr="00106C15" w:rsidP="004E6ED8" w14:paraId="2207123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sz w:val="24"/>
                <w:szCs w:val="24"/>
                <w:lang w:val="en-US" w:eastAsia="en-US" w:bidi="ar-SA"/>
              </w:rPr>
            </w:pPr>
          </w:p>
          <w:p w:rsidR="004E6ED8" w:rsidRPr="00106C15" w:rsidP="004E6ED8" w14:paraId="1FE9A4F3" w14:textId="0451F0B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bCs/>
                <w:color w:val="auto"/>
                <w:sz w:val="24"/>
                <w:szCs w:val="24"/>
                <w:lang w:val="en-US" w:eastAsia="en-US" w:bidi="ar-SA"/>
              </w:rPr>
            </w:pPr>
            <w:r w:rsidRPr="00106C15">
              <w:rPr>
                <w:rFonts w:ascii="Times New Roman" w:eastAsia="Courier New" w:hAnsi="Times New Roman" w:cs="Times New Roman"/>
                <w:bCs/>
                <w:color w:val="auto"/>
                <w:sz w:val="24"/>
                <w:szCs w:val="24"/>
                <w:lang w:val="en-US" w:eastAsia="en-US" w:bidi="ar-SA"/>
              </w:rPr>
              <w:t>Case No. 23-281-EL-ATA</w:t>
            </w:r>
          </w:p>
        </w:tc>
      </w:tr>
    </w:tbl>
    <w:p w:rsidR="00AA2AA1" w:rsidRPr="00106C15" w:rsidP="00AA2AA1" w14:paraId="366F29D8" w14:textId="77777777">
      <w:pPr>
        <w:pBdr>
          <w:bottom w:val="single" w:sz="12" w:space="1" w:color="auto"/>
        </w:pBdr>
        <w:rPr>
          <w:szCs w:val="24"/>
        </w:rPr>
      </w:pPr>
    </w:p>
    <w:p w:rsidR="00AA2AA1" w:rsidRPr="00106C15" w:rsidP="00AA2AA1" w14:paraId="61A5028F" w14:textId="77777777">
      <w:pPr>
        <w:rPr>
          <w:b/>
          <w:bCs/>
          <w:szCs w:val="24"/>
        </w:rPr>
      </w:pPr>
    </w:p>
    <w:p w:rsidR="00AA2AA1" w:rsidRPr="00106C15" w:rsidP="00AA2AA1" w14:paraId="125FFF8B" w14:textId="77777777">
      <w:pPr>
        <w:jc w:val="center"/>
        <w:rPr>
          <w:b/>
          <w:bCs/>
          <w:szCs w:val="24"/>
        </w:rPr>
      </w:pPr>
      <w:r w:rsidRPr="00106C15">
        <w:rPr>
          <w:b/>
          <w:bCs/>
          <w:szCs w:val="24"/>
        </w:rPr>
        <w:t xml:space="preserve">MEMORANDUM IN SUPPORT </w:t>
      </w:r>
    </w:p>
    <w:p w:rsidR="009431E2" w:rsidRPr="00106C15" w:rsidP="009431E2" w14:paraId="58FFFA58" w14:textId="77777777">
      <w:pPr>
        <w:pBdr>
          <w:bottom w:val="single" w:sz="12" w:space="1" w:color="auto"/>
        </w:pBdr>
        <w:spacing w:after="240"/>
        <w:jc w:val="center"/>
        <w:rPr>
          <w:b/>
          <w:szCs w:val="24"/>
        </w:rPr>
      </w:pPr>
    </w:p>
    <w:p w:rsidR="009431E2" w:rsidRPr="00106C15" w:rsidP="000D7D67" w14:paraId="6F33DD74" w14:textId="77777777">
      <w:pPr>
        <w:pStyle w:val="Heading1"/>
        <w:rPr>
          <w:rFonts w:ascii="Times New Roman" w:hAnsi="Times New Roman"/>
        </w:rPr>
      </w:pPr>
      <w:bookmarkStart w:id="3" w:name="_Toc332365646"/>
      <w:bookmarkStart w:id="4" w:name="_Toc374366158"/>
      <w:bookmarkStart w:id="5" w:name="_Toc374707411"/>
      <w:bookmarkStart w:id="6" w:name="_Toc374707564"/>
      <w:bookmarkStart w:id="7" w:name="_Toc123045778"/>
      <w:bookmarkStart w:id="8" w:name="_Toc149921579"/>
      <w:bookmarkStart w:id="9" w:name="_Toc260397336"/>
      <w:bookmarkStart w:id="10" w:name="_Toc273102568"/>
      <w:r w:rsidRPr="00106C15">
        <w:rPr>
          <w:rFonts w:ascii="Times New Roman" w:hAnsi="Times New Roman"/>
        </w:rPr>
        <w:t>I.</w:t>
      </w:r>
      <w:r w:rsidRPr="00106C15">
        <w:rPr>
          <w:rFonts w:ascii="Times New Roman" w:hAnsi="Times New Roman"/>
        </w:rPr>
        <w:tab/>
        <w:t>INTRODUCTION</w:t>
      </w:r>
      <w:bookmarkEnd w:id="3"/>
      <w:bookmarkEnd w:id="4"/>
      <w:bookmarkEnd w:id="5"/>
      <w:bookmarkEnd w:id="6"/>
      <w:bookmarkEnd w:id="7"/>
      <w:bookmarkEnd w:id="8"/>
    </w:p>
    <w:p w:rsidR="009431E2" w:rsidRPr="00106C15" w:rsidP="009431E2" w14:paraId="33C3A307" w14:textId="68E7E97A">
      <w:pPr>
        <w:spacing w:line="480" w:lineRule="auto"/>
        <w:rPr>
          <w:szCs w:val="24"/>
        </w:rPr>
      </w:pPr>
      <w:r w:rsidRPr="00106C15">
        <w:rPr>
          <w:szCs w:val="24"/>
        </w:rPr>
        <w:tab/>
        <w:t xml:space="preserve">OCC files this Application for Rehearing asking the PUCO to modify or reverse its Order of </w:t>
      </w:r>
      <w:r w:rsidRPr="00106C15" w:rsidR="00E614B3">
        <w:rPr>
          <w:szCs w:val="24"/>
        </w:rPr>
        <w:t xml:space="preserve">October </w:t>
      </w:r>
      <w:r w:rsidRPr="00106C15">
        <w:rPr>
          <w:szCs w:val="24"/>
        </w:rPr>
        <w:t>4, 202</w:t>
      </w:r>
      <w:r w:rsidRPr="00106C15" w:rsidR="00E614B3">
        <w:rPr>
          <w:szCs w:val="24"/>
        </w:rPr>
        <w:t>3</w:t>
      </w:r>
      <w:r w:rsidRPr="00106C15">
        <w:rPr>
          <w:szCs w:val="24"/>
        </w:rPr>
        <w:t xml:space="preserve">. </w:t>
      </w:r>
      <w:r w:rsidRPr="00106C15" w:rsidR="002D247D">
        <w:rPr>
          <w:szCs w:val="24"/>
        </w:rPr>
        <w:t xml:space="preserve">In its </w:t>
      </w:r>
      <w:r w:rsidRPr="00106C15">
        <w:rPr>
          <w:szCs w:val="24"/>
        </w:rPr>
        <w:t xml:space="preserve">Order </w:t>
      </w:r>
      <w:r w:rsidRPr="00106C15" w:rsidR="002D247D">
        <w:rPr>
          <w:szCs w:val="24"/>
        </w:rPr>
        <w:t xml:space="preserve">the PUCO </w:t>
      </w:r>
      <w:r w:rsidRPr="00106C15" w:rsidR="00E614B3">
        <w:rPr>
          <w:rFonts w:eastAsia="Times New Roman"/>
          <w:color w:val="auto"/>
          <w:szCs w:val="24"/>
        </w:rPr>
        <w:t>allowed Duke</w:t>
      </w:r>
      <w:r w:rsidRPr="00106C15" w:rsidR="002D247D">
        <w:rPr>
          <w:rFonts w:eastAsia="Times New Roman"/>
          <w:color w:val="auto"/>
          <w:szCs w:val="24"/>
        </w:rPr>
        <w:t xml:space="preserve"> to file s</w:t>
      </w:r>
      <w:r w:rsidRPr="00106C15" w:rsidR="00E614B3">
        <w:rPr>
          <w:rFonts w:eastAsia="Times New Roman"/>
          <w:color w:val="auto"/>
          <w:szCs w:val="24"/>
        </w:rPr>
        <w:t xml:space="preserve">urreply </w:t>
      </w:r>
      <w:r w:rsidRPr="00106C15" w:rsidR="002D247D">
        <w:rPr>
          <w:rFonts w:eastAsia="Times New Roman"/>
          <w:color w:val="auto"/>
          <w:szCs w:val="24"/>
        </w:rPr>
        <w:t>c</w:t>
      </w:r>
      <w:r w:rsidRPr="00106C15" w:rsidR="00E614B3">
        <w:rPr>
          <w:rFonts w:eastAsia="Times New Roman"/>
          <w:color w:val="auto"/>
          <w:szCs w:val="24"/>
        </w:rPr>
        <w:t>omments</w:t>
      </w:r>
      <w:r w:rsidRPr="00106C15" w:rsidR="002D247D">
        <w:rPr>
          <w:rFonts w:eastAsia="Times New Roman"/>
          <w:color w:val="auto"/>
          <w:szCs w:val="24"/>
        </w:rPr>
        <w:t>, which are generally not allowed</w:t>
      </w:r>
      <w:r w:rsidRPr="00106C15" w:rsidR="009B7FE2">
        <w:rPr>
          <w:rFonts w:eastAsia="Times New Roman"/>
          <w:color w:val="auto"/>
          <w:szCs w:val="24"/>
        </w:rPr>
        <w:t>, without explaining why there was good cause for the surreply comments</w:t>
      </w:r>
      <w:r w:rsidRPr="00106C15" w:rsidR="002D247D">
        <w:rPr>
          <w:rFonts w:eastAsia="Times New Roman"/>
          <w:color w:val="auto"/>
          <w:szCs w:val="24"/>
        </w:rPr>
        <w:t>. The PUCO relied in part on the surreply comments as justification for charging consumers for $80,000 of storm related expenses that did not qualify for collection from consumers under the PUCO rules</w:t>
      </w:r>
      <w:r w:rsidRPr="00106C15" w:rsidR="00E614B3">
        <w:rPr>
          <w:rFonts w:eastAsia="Times New Roman"/>
          <w:color w:val="auto"/>
          <w:szCs w:val="24"/>
        </w:rPr>
        <w:t>.</w:t>
      </w:r>
      <w:r>
        <w:rPr>
          <w:rStyle w:val="FootnoteReference"/>
          <w:rFonts w:eastAsia="Times New Roman"/>
          <w:color w:val="auto"/>
          <w:szCs w:val="24"/>
        </w:rPr>
        <w:footnoteReference w:id="2"/>
      </w:r>
      <w:r w:rsidRPr="00106C15" w:rsidR="00E614B3">
        <w:rPr>
          <w:rFonts w:eastAsia="Times New Roman"/>
          <w:color w:val="auto"/>
          <w:szCs w:val="24"/>
        </w:rPr>
        <w:t xml:space="preserve"> The </w:t>
      </w:r>
      <w:r w:rsidRPr="00106C15" w:rsidR="002D247D">
        <w:rPr>
          <w:rFonts w:eastAsia="Times New Roman"/>
          <w:color w:val="auto"/>
          <w:szCs w:val="24"/>
        </w:rPr>
        <w:t xml:space="preserve">PUCO </w:t>
      </w:r>
      <w:r w:rsidRPr="00106C15" w:rsidR="00E614B3">
        <w:rPr>
          <w:rFonts w:eastAsia="Times New Roman"/>
          <w:color w:val="auto"/>
          <w:szCs w:val="24"/>
        </w:rPr>
        <w:t xml:space="preserve">also </w:t>
      </w:r>
      <w:r w:rsidRPr="00106C15" w:rsidR="002D247D">
        <w:rPr>
          <w:rFonts w:eastAsia="Times New Roman"/>
          <w:color w:val="auto"/>
          <w:szCs w:val="24"/>
        </w:rPr>
        <w:t>relied upon outside the record information obtained by its Staff, through discussions with Duke.</w:t>
      </w:r>
      <w:r>
        <w:rPr>
          <w:rStyle w:val="FootnoteReference"/>
          <w:szCs w:val="24"/>
        </w:rPr>
        <w:footnoteReference w:id="3"/>
      </w:r>
      <w:r w:rsidRPr="00106C15">
        <w:rPr>
          <w:szCs w:val="24"/>
        </w:rPr>
        <w:t xml:space="preserve"> </w:t>
      </w:r>
      <w:r w:rsidRPr="00106C15" w:rsidR="009B7FE2">
        <w:rPr>
          <w:szCs w:val="24"/>
        </w:rPr>
        <w:t>That information never saw the light of day in this case.</w:t>
      </w:r>
      <w:r w:rsidRPr="00106C15" w:rsidR="00B97AA8">
        <w:rPr>
          <w:szCs w:val="24"/>
        </w:rPr>
        <w:t xml:space="preserve"> </w:t>
      </w:r>
      <w:r w:rsidRPr="00106C15" w:rsidR="00334F50">
        <w:rPr>
          <w:szCs w:val="24"/>
        </w:rPr>
        <w:t>T</w:t>
      </w:r>
      <w:r w:rsidRPr="00106C15" w:rsidR="00FE24DA">
        <w:rPr>
          <w:szCs w:val="24"/>
        </w:rPr>
        <w:t>he</w:t>
      </w:r>
      <w:r w:rsidRPr="00106C15">
        <w:rPr>
          <w:szCs w:val="24"/>
        </w:rPr>
        <w:t xml:space="preserve"> PUCO’s Order violates </w:t>
      </w:r>
      <w:r w:rsidRPr="00106C15" w:rsidR="00E614B3">
        <w:rPr>
          <w:szCs w:val="24"/>
        </w:rPr>
        <w:t>R.C. 4903.09.</w:t>
      </w:r>
      <w:r w:rsidRPr="00106C15">
        <w:rPr>
          <w:szCs w:val="24"/>
        </w:rPr>
        <w:t xml:space="preserve"> </w:t>
      </w:r>
    </w:p>
    <w:bookmarkEnd w:id="9"/>
    <w:bookmarkEnd w:id="10"/>
    <w:p w:rsidR="00191DFA" w:rsidRPr="00106C15" w:rsidP="00E53EFF" w14:paraId="38FBD5F0" w14:textId="77777777">
      <w:pPr>
        <w:autoSpaceDE w:val="0"/>
        <w:autoSpaceDN w:val="0"/>
        <w:adjustRightInd w:val="0"/>
        <w:rPr>
          <w:szCs w:val="24"/>
        </w:rPr>
      </w:pPr>
    </w:p>
    <w:p w:rsidR="00191DFA" w:rsidRPr="00106C15" w:rsidP="000D7D67" w14:paraId="304B32DA" w14:textId="1BAFD25B">
      <w:pPr>
        <w:pStyle w:val="Heading1"/>
        <w:rPr>
          <w:rFonts w:ascii="Times New Roman" w:hAnsi="Times New Roman"/>
        </w:rPr>
      </w:pPr>
      <w:bookmarkStart w:id="13" w:name="_Toc374366160"/>
      <w:bookmarkStart w:id="14" w:name="_Toc374707413"/>
      <w:bookmarkStart w:id="15" w:name="_Toc374707566"/>
      <w:bookmarkStart w:id="16" w:name="_Toc123045780"/>
      <w:bookmarkStart w:id="17" w:name="_Toc149921580"/>
      <w:r w:rsidRPr="00106C15">
        <w:rPr>
          <w:rFonts w:ascii="Times New Roman" w:hAnsi="Times New Roman"/>
        </w:rPr>
        <w:t>II.</w:t>
      </w:r>
      <w:r w:rsidRPr="00106C15">
        <w:rPr>
          <w:rFonts w:ascii="Times New Roman" w:hAnsi="Times New Roman"/>
        </w:rPr>
        <w:tab/>
      </w:r>
      <w:bookmarkStart w:id="18" w:name="_Toc196103563"/>
      <w:bookmarkStart w:id="19" w:name="_Toc196104979"/>
      <w:bookmarkStart w:id="20" w:name="_Toc202331005"/>
      <w:bookmarkStart w:id="21" w:name="_Toc264978207"/>
      <w:r w:rsidRPr="00106C15">
        <w:rPr>
          <w:rFonts w:ascii="Times New Roman" w:hAnsi="Times New Roman"/>
        </w:rPr>
        <w:t>STANDARD OF REVIEW</w:t>
      </w:r>
      <w:bookmarkEnd w:id="13"/>
      <w:bookmarkEnd w:id="14"/>
      <w:bookmarkEnd w:id="15"/>
      <w:bookmarkEnd w:id="16"/>
      <w:bookmarkEnd w:id="18"/>
      <w:bookmarkEnd w:id="19"/>
      <w:bookmarkEnd w:id="20"/>
      <w:bookmarkEnd w:id="21"/>
      <w:bookmarkEnd w:id="17"/>
    </w:p>
    <w:p w:rsidR="00191DFA" w:rsidRPr="00106C15" w:rsidP="00191DFA" w14:paraId="4FEAA6CB" w14:textId="7E36C5BF">
      <w:pPr>
        <w:spacing w:line="480" w:lineRule="auto"/>
        <w:ind w:firstLine="720"/>
        <w:rPr>
          <w:i/>
          <w:iCs/>
          <w:szCs w:val="24"/>
        </w:rPr>
      </w:pPr>
      <w:r w:rsidRPr="00106C15">
        <w:rPr>
          <w:szCs w:val="24"/>
        </w:rPr>
        <w:t>Applications for rehearing are governed by R.C. 4903.10 and O.A.C. 4901-1-35. Th</w:t>
      </w:r>
      <w:r w:rsidRPr="00106C15" w:rsidR="00CB0C4F">
        <w:rPr>
          <w:szCs w:val="24"/>
        </w:rPr>
        <w:t>e</w:t>
      </w:r>
      <w:r w:rsidRPr="00106C15">
        <w:rPr>
          <w:szCs w:val="24"/>
        </w:rPr>
        <w:t xml:space="preserve"> statute provides that, within thirty days after the PUCO issues an order, “any party who has entered an appearance in person or by counsel in the proceeding may apply for rehearing in respect to any matters determined in the proceeding.”</w:t>
      </w:r>
      <w:r>
        <w:rPr>
          <w:rStyle w:val="FootnoteReference"/>
          <w:szCs w:val="24"/>
        </w:rPr>
        <w:footnoteReference w:id="4"/>
      </w:r>
      <w:r w:rsidRPr="00106C15">
        <w:rPr>
          <w:szCs w:val="24"/>
        </w:rPr>
        <w:t xml:space="preserve"> Furthermore, the application for rehearing must be “in writing and shall set forth specifically the ground or grounds on which the applicant considers the order to be unreasonable or unlawful.”</w:t>
      </w:r>
      <w:r>
        <w:rPr>
          <w:rStyle w:val="FootnoteReference"/>
          <w:szCs w:val="24"/>
        </w:rPr>
        <w:footnoteReference w:id="5"/>
      </w:r>
    </w:p>
    <w:p w:rsidR="00191DFA" w:rsidRPr="00106C15" w:rsidP="00191DFA" w14:paraId="780D8C2A" w14:textId="77777777">
      <w:pPr>
        <w:spacing w:line="480" w:lineRule="auto"/>
        <w:ind w:firstLine="720"/>
        <w:rPr>
          <w:szCs w:val="24"/>
        </w:rPr>
      </w:pPr>
      <w:r w:rsidRPr="00106C15">
        <w:rPr>
          <w:szCs w:val="24"/>
        </w:rPr>
        <w:t>In considering an application for rehearing, Ohio law provides that the PUCO “may grant and hold such rehearing on the matter specified in such application, if in its judgment sufficient reason therefore is made to appear.”</w:t>
      </w:r>
      <w:r>
        <w:rPr>
          <w:rStyle w:val="FootnoteReference"/>
          <w:szCs w:val="24"/>
        </w:rPr>
        <w:footnoteReference w:id="6"/>
      </w:r>
      <w:r w:rsidRPr="00106C15">
        <w:rPr>
          <w:szCs w:val="24"/>
        </w:rPr>
        <w:t xml:space="preserve"> Furthermore, if the PUCO grants a rehearing and determines that “the original order or any part thereof is in any respect unjust or unwarranted, or should be changed, the Commission may abrogate or modify the same * * *.”</w:t>
      </w:r>
      <w:r>
        <w:rPr>
          <w:rStyle w:val="FootnoteReference"/>
          <w:szCs w:val="24"/>
        </w:rPr>
        <w:footnoteReference w:id="7"/>
      </w:r>
      <w:r w:rsidRPr="00106C15">
        <w:rPr>
          <w:szCs w:val="24"/>
        </w:rPr>
        <w:t xml:space="preserve"> </w:t>
      </w:r>
    </w:p>
    <w:p w:rsidR="00191DFA" w:rsidRPr="00106C15" w:rsidP="00191DFA" w14:paraId="3AC71FF8" w14:textId="77777777">
      <w:pPr>
        <w:spacing w:line="480" w:lineRule="auto"/>
        <w:ind w:firstLine="720"/>
        <w:rPr>
          <w:szCs w:val="24"/>
        </w:rPr>
      </w:pPr>
      <w:r w:rsidRPr="00106C15">
        <w:rPr>
          <w:szCs w:val="24"/>
        </w:rPr>
        <w:t>OCC meets the statutory requirements applicable to applicants for rehearing pursuant to R.C. 4903.10. Accordingly, OCC respectfully requests the PUCO grant rehearing on the matters specified below.</w:t>
      </w:r>
    </w:p>
    <w:p w:rsidR="00E47D0D" w:rsidRPr="00106C15" w14:paraId="5D7E7932" w14:textId="3B3F8F86">
      <w:pPr>
        <w:rPr>
          <w:rFonts w:eastAsia="Times New Roman"/>
          <w:b/>
          <w:caps/>
          <w:color w:val="auto"/>
          <w:szCs w:val="24"/>
        </w:rPr>
      </w:pPr>
      <w:bookmarkStart w:id="22" w:name="_Toc260397337"/>
      <w:bookmarkStart w:id="23" w:name="_Toc273102569"/>
      <w:bookmarkStart w:id="24" w:name="_Toc332365649"/>
      <w:bookmarkStart w:id="25" w:name="_Toc374366161"/>
      <w:bookmarkStart w:id="26" w:name="_Toc374707414"/>
      <w:bookmarkStart w:id="27" w:name="_Toc374707567"/>
      <w:bookmarkStart w:id="28" w:name="_Toc123045781"/>
    </w:p>
    <w:p w:rsidR="00191DFA" w:rsidRPr="00106C15" w:rsidP="000D7D67" w14:paraId="2FE02954" w14:textId="3E5EFF8C">
      <w:pPr>
        <w:pStyle w:val="Heading1"/>
        <w:rPr>
          <w:rFonts w:ascii="Times New Roman" w:hAnsi="Times New Roman"/>
        </w:rPr>
      </w:pPr>
      <w:bookmarkStart w:id="29" w:name="_Toc149921581"/>
      <w:r w:rsidRPr="00106C15">
        <w:rPr>
          <w:rFonts w:ascii="Times New Roman" w:hAnsi="Times New Roman"/>
        </w:rPr>
        <w:t>I</w:t>
      </w:r>
      <w:r w:rsidRPr="00106C15" w:rsidR="00CA3793">
        <w:rPr>
          <w:rFonts w:ascii="Times New Roman" w:hAnsi="Times New Roman"/>
        </w:rPr>
        <w:t>II</w:t>
      </w:r>
      <w:r w:rsidRPr="00106C15">
        <w:rPr>
          <w:rFonts w:ascii="Times New Roman" w:hAnsi="Times New Roman"/>
        </w:rPr>
        <w:t xml:space="preserve">. </w:t>
      </w:r>
      <w:r w:rsidRPr="00106C15">
        <w:rPr>
          <w:rFonts w:ascii="Times New Roman" w:hAnsi="Times New Roman"/>
        </w:rPr>
        <w:tab/>
        <w:t>ARGUMENTS ON ASSIGNMENTS OF ERROR</w:t>
      </w:r>
      <w:bookmarkEnd w:id="22"/>
      <w:bookmarkEnd w:id="23"/>
      <w:bookmarkEnd w:id="24"/>
      <w:bookmarkEnd w:id="25"/>
      <w:bookmarkEnd w:id="26"/>
      <w:bookmarkEnd w:id="27"/>
      <w:bookmarkEnd w:id="28"/>
      <w:bookmarkEnd w:id="29"/>
    </w:p>
    <w:p w:rsidR="001B6894" w:rsidRPr="00B97003" w:rsidP="00B97003" w14:paraId="1AEE7ACB" w14:textId="6687AC14">
      <w:pPr>
        <w:pStyle w:val="Heading2"/>
        <w:rPr>
          <w:rFonts w:eastAsia="Calibri"/>
        </w:rPr>
      </w:pPr>
      <w:bookmarkStart w:id="30" w:name="_Toc149921582"/>
      <w:r w:rsidRPr="00EE0AD0">
        <w:rPr>
          <w:rStyle w:val="Heading2Char"/>
          <w:rFonts w:eastAsiaTheme="minorHAnsi"/>
          <w:b/>
          <w:bCs/>
        </w:rPr>
        <w:t>ASSIGNMENT OF ERROR NO.</w:t>
      </w:r>
      <w:r w:rsidR="009C57BE">
        <w:rPr>
          <w:rStyle w:val="Heading2Char"/>
          <w:rFonts w:eastAsiaTheme="minorHAnsi"/>
          <w:b/>
          <w:bCs/>
        </w:rPr>
        <w:t xml:space="preserve"> </w:t>
      </w:r>
      <w:r w:rsidRPr="00EE0AD0">
        <w:t xml:space="preserve">1: </w:t>
      </w:r>
      <w:r w:rsidRPr="00EE0AD0" w:rsidR="00C941B4">
        <w:t>The PUCO erred, violating R.C. 4903.09, when it relied on outside the record information that the November 2022 storm qualified as a Major Event.</w:t>
      </w:r>
      <w:r w:rsidRPr="00EE0AD0" w:rsidR="00B97AA8">
        <w:t xml:space="preserve"> </w:t>
      </w:r>
      <w:r w:rsidRPr="00EE0AD0" w:rsidR="00C941B4">
        <w:t xml:space="preserve">Under R.C. 4903.09, the PUCO must set forth findings based on the record in the proceeding. The PUCO’s reliance on non-record information </w:t>
      </w:r>
      <w:r w:rsidR="00A011D0">
        <w:t xml:space="preserve">is </w:t>
      </w:r>
      <w:r w:rsidRPr="00EE0AD0" w:rsidR="00C941B4">
        <w:t xml:space="preserve">also contrary to the Ohio Supreme Court’s holding in </w:t>
      </w:r>
      <w:r w:rsidRPr="00EE0AD0" w:rsidR="00C941B4">
        <w:rPr>
          <w:rFonts w:eastAsia="Calibri"/>
          <w:i/>
          <w:iCs/>
        </w:rPr>
        <w:t>Tongren v. Pub. Util Comm.</w:t>
      </w:r>
      <w:r w:rsidR="00253D21">
        <w:rPr>
          <w:rFonts w:eastAsia="Calibri"/>
          <w:i/>
          <w:iCs/>
        </w:rPr>
        <w:t xml:space="preserve"> </w:t>
      </w:r>
      <w:r w:rsidRPr="00EE0AD0" w:rsidR="00C941B4">
        <w:rPr>
          <w:rFonts w:eastAsia="Calibri"/>
        </w:rPr>
        <w:t>(1999), 85 Ohio St.3d. 87, 706 N.E.2d 1255.</w:t>
      </w:r>
      <w:bookmarkEnd w:id="30"/>
      <w:r w:rsidRPr="00EE0AD0" w:rsidR="00C941B4">
        <w:rPr>
          <w:rFonts w:eastAsia="Calibri"/>
        </w:rPr>
        <w:t xml:space="preserve"> </w:t>
      </w:r>
    </w:p>
    <w:p w:rsidR="00334F50" w:rsidRPr="00106C15" w:rsidP="00334F50" w14:paraId="47231EA1" w14:textId="50E53368">
      <w:pPr>
        <w:spacing w:line="480" w:lineRule="auto"/>
        <w:ind w:firstLine="720"/>
        <w:rPr>
          <w:szCs w:val="24"/>
        </w:rPr>
      </w:pPr>
      <w:r w:rsidRPr="00106C15">
        <w:rPr>
          <w:szCs w:val="24"/>
        </w:rPr>
        <w:t xml:space="preserve">The PUCO ruled </w:t>
      </w:r>
      <w:r w:rsidRPr="00106C15" w:rsidR="00C941B4">
        <w:rPr>
          <w:szCs w:val="24"/>
        </w:rPr>
        <w:t>that Duke could collect $80,000</w:t>
      </w:r>
      <w:r w:rsidRPr="00106C15" w:rsidR="0081484B">
        <w:rPr>
          <w:szCs w:val="24"/>
        </w:rPr>
        <w:t xml:space="preserve"> </w:t>
      </w:r>
      <w:r w:rsidRPr="00106C15" w:rsidR="00C941B4">
        <w:rPr>
          <w:szCs w:val="24"/>
        </w:rPr>
        <w:t xml:space="preserve">of storm costs </w:t>
      </w:r>
      <w:r w:rsidRPr="00106C15" w:rsidR="001575E9">
        <w:rPr>
          <w:szCs w:val="24"/>
        </w:rPr>
        <w:t xml:space="preserve">for the November 2022 storm </w:t>
      </w:r>
      <w:r w:rsidRPr="00106C15" w:rsidR="00C941B4">
        <w:rPr>
          <w:szCs w:val="24"/>
        </w:rPr>
        <w:t>based on a revised recommendation of its Staff</w:t>
      </w:r>
      <w:r w:rsidRPr="00106C15" w:rsidR="0081484B">
        <w:rPr>
          <w:szCs w:val="24"/>
        </w:rPr>
        <w:t xml:space="preserve">, even </w:t>
      </w:r>
      <w:r w:rsidRPr="00106C15" w:rsidR="00975B60">
        <w:rPr>
          <w:szCs w:val="24"/>
        </w:rPr>
        <w:t>though</w:t>
      </w:r>
      <w:r w:rsidRPr="00106C15" w:rsidR="0081484B">
        <w:rPr>
          <w:szCs w:val="24"/>
        </w:rPr>
        <w:t xml:space="preserve"> it did not list the storm as a major storm on its reporting forms</w:t>
      </w:r>
      <w:r w:rsidR="00405021">
        <w:rPr>
          <w:szCs w:val="24"/>
        </w:rPr>
        <w:t>.</w:t>
      </w:r>
      <w:r>
        <w:rPr>
          <w:rStyle w:val="FootnoteReference"/>
          <w:szCs w:val="24"/>
        </w:rPr>
        <w:footnoteReference w:id="8"/>
      </w:r>
      <w:r w:rsidRPr="00106C15">
        <w:rPr>
          <w:szCs w:val="24"/>
        </w:rPr>
        <w:t xml:space="preserve"> </w:t>
      </w:r>
      <w:r w:rsidRPr="00106C15" w:rsidR="00C941B4">
        <w:rPr>
          <w:szCs w:val="24"/>
        </w:rPr>
        <w:t>The PUCO’s finding was in error and should be reversed.</w:t>
      </w:r>
      <w:r w:rsidRPr="00106C15" w:rsidR="00B97AA8">
        <w:rPr>
          <w:szCs w:val="24"/>
        </w:rPr>
        <w:t xml:space="preserve"> </w:t>
      </w:r>
    </w:p>
    <w:p w:rsidR="00975B60" w:rsidRPr="00106C15" w:rsidP="000D7D67" w14:paraId="54B8ED85" w14:textId="63B51F55">
      <w:pPr>
        <w:spacing w:line="480" w:lineRule="auto"/>
        <w:ind w:firstLine="720"/>
        <w:rPr>
          <w:rFonts w:eastAsia="Calibri"/>
          <w:szCs w:val="24"/>
        </w:rPr>
      </w:pPr>
      <w:r w:rsidRPr="00106C15">
        <w:rPr>
          <w:rFonts w:eastAsia="Calibri"/>
          <w:szCs w:val="24"/>
        </w:rPr>
        <w:t>Initially the PUCO Staff noted that Duke asked for storm costs associated with a storm that occurred on Nov. 5-6, 2022.</w:t>
      </w:r>
      <w:r w:rsidRPr="00106C15" w:rsidR="00B97AA8">
        <w:rPr>
          <w:rFonts w:eastAsia="Calibri"/>
          <w:szCs w:val="24"/>
        </w:rPr>
        <w:t xml:space="preserve"> </w:t>
      </w:r>
      <w:r w:rsidRPr="00106C15">
        <w:rPr>
          <w:rFonts w:eastAsia="Calibri"/>
          <w:szCs w:val="24"/>
        </w:rPr>
        <w:t xml:space="preserve">The Staff then noted that the Company did not include this storm in </w:t>
      </w:r>
      <w:r w:rsidRPr="00106C15" w:rsidR="009B7FE2">
        <w:rPr>
          <w:rFonts w:eastAsia="Calibri"/>
          <w:szCs w:val="24"/>
        </w:rPr>
        <w:t>its</w:t>
      </w:r>
      <w:r w:rsidRPr="00106C15">
        <w:rPr>
          <w:rFonts w:eastAsia="Calibri"/>
          <w:szCs w:val="24"/>
        </w:rPr>
        <w:t xml:space="preserve"> Rule 10 report.</w:t>
      </w:r>
      <w:r w:rsidRPr="00106C15" w:rsidR="00B97AA8">
        <w:rPr>
          <w:rFonts w:eastAsia="Calibri"/>
          <w:szCs w:val="24"/>
        </w:rPr>
        <w:t xml:space="preserve"> </w:t>
      </w:r>
      <w:r w:rsidRPr="00106C15">
        <w:rPr>
          <w:rFonts w:eastAsia="Calibri"/>
          <w:szCs w:val="24"/>
        </w:rPr>
        <w:t>On that basis</w:t>
      </w:r>
      <w:r w:rsidRPr="00106C15" w:rsidR="009B7FE2">
        <w:rPr>
          <w:rFonts w:eastAsia="Calibri"/>
          <w:szCs w:val="24"/>
        </w:rPr>
        <w:t>, t</w:t>
      </w:r>
      <w:r w:rsidRPr="00106C15" w:rsidR="004D7E1D">
        <w:rPr>
          <w:rFonts w:eastAsia="Calibri"/>
          <w:szCs w:val="24"/>
        </w:rPr>
        <w:t xml:space="preserve">he PUCO Staff </w:t>
      </w:r>
      <w:r w:rsidRPr="00106C15">
        <w:rPr>
          <w:rFonts w:eastAsia="Calibri"/>
          <w:szCs w:val="24"/>
        </w:rPr>
        <w:t xml:space="preserve">concluded that the costs are not eligible </w:t>
      </w:r>
      <w:r w:rsidRPr="00106C15" w:rsidR="00475C12">
        <w:rPr>
          <w:rFonts w:eastAsia="Calibri"/>
          <w:szCs w:val="24"/>
        </w:rPr>
        <w:t>for</w:t>
      </w:r>
      <w:r w:rsidRPr="00106C15">
        <w:rPr>
          <w:rFonts w:eastAsia="Calibri"/>
          <w:szCs w:val="24"/>
        </w:rPr>
        <w:t xml:space="preserve"> </w:t>
      </w:r>
      <w:r w:rsidR="008E1F90">
        <w:rPr>
          <w:rFonts w:eastAsia="Calibri"/>
          <w:szCs w:val="24"/>
        </w:rPr>
        <w:t xml:space="preserve">cost </w:t>
      </w:r>
      <w:r w:rsidRPr="00106C15">
        <w:rPr>
          <w:rFonts w:eastAsia="Calibri"/>
          <w:szCs w:val="24"/>
        </w:rPr>
        <w:t>recovery from consumers. The Staff recommended a disallowance.</w:t>
      </w:r>
      <w:r>
        <w:rPr>
          <w:rStyle w:val="FootnoteReference"/>
          <w:rFonts w:eastAsia="Calibri"/>
          <w:szCs w:val="24"/>
        </w:rPr>
        <w:footnoteReference w:id="9"/>
      </w:r>
    </w:p>
    <w:p w:rsidR="00975B60" w:rsidRPr="00106C15" w:rsidP="000D7D67" w14:paraId="74855B1E" w14:textId="430C4C26">
      <w:pPr>
        <w:spacing w:line="480" w:lineRule="auto"/>
        <w:ind w:firstLine="720"/>
        <w:rPr>
          <w:szCs w:val="24"/>
        </w:rPr>
      </w:pPr>
      <w:r w:rsidRPr="00106C15">
        <w:rPr>
          <w:rFonts w:eastAsia="Calibri"/>
          <w:szCs w:val="24"/>
        </w:rPr>
        <w:t>But o</w:t>
      </w:r>
      <w:r w:rsidRPr="00106C15" w:rsidR="000D7D67">
        <w:rPr>
          <w:rFonts w:eastAsia="Calibri"/>
          <w:szCs w:val="24"/>
        </w:rPr>
        <w:t>n September 26, 2023</w:t>
      </w:r>
      <w:r w:rsidRPr="00106C15" w:rsidR="000B4853">
        <w:rPr>
          <w:rFonts w:eastAsia="Calibri"/>
          <w:szCs w:val="24"/>
        </w:rPr>
        <w:t xml:space="preserve">, </w:t>
      </w:r>
      <w:r w:rsidRPr="00106C15" w:rsidR="000D7D67">
        <w:rPr>
          <w:rFonts w:eastAsia="Calibri"/>
          <w:szCs w:val="24"/>
        </w:rPr>
        <w:t>the PUCO Staff rev</w:t>
      </w:r>
      <w:r w:rsidRPr="00106C15" w:rsidR="000B4853">
        <w:rPr>
          <w:rFonts w:eastAsia="Calibri"/>
          <w:szCs w:val="24"/>
        </w:rPr>
        <w:t>ersed itself.</w:t>
      </w:r>
      <w:r w:rsidRPr="00106C15" w:rsidR="00B97AA8">
        <w:rPr>
          <w:rFonts w:eastAsia="Calibri"/>
          <w:szCs w:val="24"/>
        </w:rPr>
        <w:t xml:space="preserve"> </w:t>
      </w:r>
      <w:r w:rsidRPr="00106C15" w:rsidR="000B4853">
        <w:rPr>
          <w:rFonts w:eastAsia="Calibri"/>
          <w:szCs w:val="24"/>
        </w:rPr>
        <w:t xml:space="preserve">It </w:t>
      </w:r>
      <w:r w:rsidRPr="00106C15" w:rsidR="000D7D67">
        <w:rPr>
          <w:rFonts w:eastAsia="Calibri"/>
          <w:szCs w:val="24"/>
        </w:rPr>
        <w:t xml:space="preserve">recommended allowing collection from consumers </w:t>
      </w:r>
      <w:r w:rsidRPr="00106C15" w:rsidR="000B4853">
        <w:rPr>
          <w:rFonts w:eastAsia="Calibri"/>
          <w:szCs w:val="24"/>
        </w:rPr>
        <w:t>of the</w:t>
      </w:r>
      <w:r w:rsidRPr="00106C15" w:rsidR="000D7D67">
        <w:rPr>
          <w:rFonts w:eastAsia="Calibri"/>
          <w:szCs w:val="24"/>
        </w:rPr>
        <w:t xml:space="preserve"> costs associated with the November storm.</w:t>
      </w:r>
      <w:r>
        <w:rPr>
          <w:rStyle w:val="FootnoteReference"/>
          <w:rFonts w:eastAsia="Calibri"/>
          <w:szCs w:val="24"/>
        </w:rPr>
        <w:footnoteReference w:id="10"/>
      </w:r>
      <w:r w:rsidRPr="00106C15" w:rsidR="000D7D67">
        <w:rPr>
          <w:rFonts w:eastAsia="Calibri"/>
          <w:szCs w:val="24"/>
        </w:rPr>
        <w:t xml:space="preserve"> </w:t>
      </w:r>
      <w:r w:rsidRPr="00106C15" w:rsidR="000B4853">
        <w:rPr>
          <w:rFonts w:eastAsia="Calibri"/>
          <w:szCs w:val="24"/>
        </w:rPr>
        <w:t>Notably, t</w:t>
      </w:r>
      <w:r w:rsidRPr="00106C15" w:rsidR="000D7D67">
        <w:rPr>
          <w:rFonts w:eastAsia="Calibri"/>
          <w:szCs w:val="24"/>
        </w:rPr>
        <w:t>he PUCO Staff did not explain how the November</w:t>
      </w:r>
      <w:r w:rsidRPr="00106C15" w:rsidR="00B97AA8">
        <w:rPr>
          <w:rFonts w:eastAsia="Calibri"/>
          <w:szCs w:val="24"/>
        </w:rPr>
        <w:t xml:space="preserve"> </w:t>
      </w:r>
      <w:r w:rsidRPr="00106C15" w:rsidR="000D7D67">
        <w:rPr>
          <w:rFonts w:eastAsia="Calibri"/>
          <w:szCs w:val="24"/>
        </w:rPr>
        <w:t xml:space="preserve">storm qualified as a Major Event as defined by O.A.C. 4901:1-10-01(T) in its Revised Recommendation. </w:t>
      </w:r>
      <w:r w:rsidRPr="00106C15">
        <w:rPr>
          <w:rFonts w:eastAsia="Calibri"/>
          <w:szCs w:val="24"/>
        </w:rPr>
        <w:t>Instead, th</w:t>
      </w:r>
      <w:r w:rsidRPr="00106C15" w:rsidR="000D7D67">
        <w:rPr>
          <w:rFonts w:eastAsia="Calibri"/>
          <w:szCs w:val="24"/>
        </w:rPr>
        <w:t>e PUCO Staff</w:t>
      </w:r>
      <w:r w:rsidRPr="00106C15">
        <w:rPr>
          <w:rFonts w:eastAsia="Calibri"/>
          <w:szCs w:val="24"/>
        </w:rPr>
        <w:t xml:space="preserve"> noted that Duke reported the November storm as a transmission outage and revealed </w:t>
      </w:r>
      <w:r w:rsidRPr="00106C15" w:rsidR="000D7D67">
        <w:rPr>
          <w:rFonts w:eastAsia="Calibri"/>
          <w:szCs w:val="24"/>
        </w:rPr>
        <w:t xml:space="preserve">that “Staff </w:t>
      </w:r>
      <w:r w:rsidRPr="00106C15" w:rsidR="000D7D67">
        <w:rPr>
          <w:szCs w:val="24"/>
        </w:rPr>
        <w:t>met with and received additional support from Duke. Staff confirms that the November storm qualifies as a Major Event and agrees with Duke that the November storm should be allowed for recovery.”</w:t>
      </w:r>
      <w:r>
        <w:rPr>
          <w:rStyle w:val="FootnoteReference"/>
          <w:szCs w:val="24"/>
        </w:rPr>
        <w:footnoteReference w:id="11"/>
      </w:r>
      <w:r w:rsidRPr="00106C15" w:rsidR="00B97AA8">
        <w:rPr>
          <w:szCs w:val="24"/>
        </w:rPr>
        <w:t xml:space="preserve"> </w:t>
      </w:r>
      <w:r w:rsidRPr="00106C15" w:rsidR="000B4853">
        <w:rPr>
          <w:szCs w:val="24"/>
        </w:rPr>
        <w:t>What was missing from the Staff’s report was what “additional support from Duke” it obtained that allowed it to confirm that the storm qualified as a major event.</w:t>
      </w:r>
      <w:r w:rsidRPr="00106C15" w:rsidR="00B97AA8">
        <w:rPr>
          <w:szCs w:val="24"/>
        </w:rPr>
        <w:t xml:space="preserve"> </w:t>
      </w:r>
      <w:r w:rsidRPr="00106C15" w:rsidR="00DF3A92">
        <w:rPr>
          <w:szCs w:val="24"/>
        </w:rPr>
        <w:t xml:space="preserve">In other words, the PUCO Staff did not divulge what information it obtained from Duke that caused it to reverse itself. </w:t>
      </w:r>
    </w:p>
    <w:p w:rsidR="000D7D67" w:rsidRPr="00106C15" w:rsidP="000D7D67" w14:paraId="744713BD" w14:textId="1C988A04">
      <w:pPr>
        <w:spacing w:line="480" w:lineRule="auto"/>
        <w:ind w:firstLine="720"/>
        <w:rPr>
          <w:szCs w:val="24"/>
        </w:rPr>
      </w:pPr>
      <w:r w:rsidRPr="00106C15">
        <w:rPr>
          <w:szCs w:val="24"/>
        </w:rPr>
        <w:t>The PUCO</w:t>
      </w:r>
      <w:r w:rsidRPr="00106C15" w:rsidR="00DF3A92">
        <w:rPr>
          <w:szCs w:val="24"/>
        </w:rPr>
        <w:t xml:space="preserve"> </w:t>
      </w:r>
      <w:r w:rsidRPr="00106C15" w:rsidR="00975B60">
        <w:rPr>
          <w:szCs w:val="24"/>
        </w:rPr>
        <w:t>then relied upon the Staff’s recommendation</w:t>
      </w:r>
      <w:r w:rsidRPr="00106C15" w:rsidR="000B4853">
        <w:rPr>
          <w:szCs w:val="24"/>
        </w:rPr>
        <w:t>,</w:t>
      </w:r>
      <w:r w:rsidRPr="00106C15" w:rsidR="00975B60">
        <w:rPr>
          <w:szCs w:val="24"/>
        </w:rPr>
        <w:t xml:space="preserve"> and a</w:t>
      </w:r>
      <w:r w:rsidRPr="00106C15" w:rsidR="00DF3A92">
        <w:rPr>
          <w:szCs w:val="24"/>
        </w:rPr>
        <w:t>pproved</w:t>
      </w:r>
      <w:r w:rsidRPr="00106C15" w:rsidR="00975B60">
        <w:rPr>
          <w:szCs w:val="24"/>
        </w:rPr>
        <w:t xml:space="preserve"> the November storm costs </w:t>
      </w:r>
      <w:r w:rsidRPr="00106C15" w:rsidR="00DF3A92">
        <w:rPr>
          <w:szCs w:val="24"/>
        </w:rPr>
        <w:t>for collection</w:t>
      </w:r>
      <w:r w:rsidRPr="00106C15" w:rsidR="00975B60">
        <w:rPr>
          <w:szCs w:val="24"/>
        </w:rPr>
        <w:t xml:space="preserve"> from consumers</w:t>
      </w:r>
      <w:r w:rsidRPr="00106C15" w:rsidR="004D7E1D">
        <w:rPr>
          <w:szCs w:val="24"/>
        </w:rPr>
        <w:t>.</w:t>
      </w:r>
      <w:r w:rsidRPr="00106C15" w:rsidR="00B97AA8">
        <w:rPr>
          <w:szCs w:val="24"/>
        </w:rPr>
        <w:t xml:space="preserve"> </w:t>
      </w:r>
      <w:r w:rsidRPr="00106C15" w:rsidR="00975B60">
        <w:rPr>
          <w:szCs w:val="24"/>
        </w:rPr>
        <w:t xml:space="preserve">In pertinent part, the PUCO order makes it clear that </w:t>
      </w:r>
      <w:r w:rsidRPr="00106C15" w:rsidR="00DF3A92">
        <w:rPr>
          <w:szCs w:val="24"/>
        </w:rPr>
        <w:t>it</w:t>
      </w:r>
      <w:r w:rsidRPr="00106C15" w:rsidR="00975B60">
        <w:rPr>
          <w:szCs w:val="24"/>
        </w:rPr>
        <w:t xml:space="preserve"> was relying on its Staff assessment</w:t>
      </w:r>
      <w:r w:rsidRPr="00106C15" w:rsidR="000B4853">
        <w:rPr>
          <w:szCs w:val="24"/>
        </w:rPr>
        <w:t xml:space="preserve"> that the storm qualified as a major event, justifying its cost collection from consumers</w:t>
      </w:r>
      <w:r w:rsidRPr="00106C15">
        <w:rPr>
          <w:szCs w:val="24"/>
        </w:rPr>
        <w:t>:</w:t>
      </w:r>
    </w:p>
    <w:p w:rsidR="004D7E1D" w:rsidRPr="00106C15" w:rsidP="004D7E1D" w14:paraId="7B6318B4" w14:textId="3C9F7EB8">
      <w:pPr>
        <w:ind w:left="1440" w:right="1440"/>
        <w:rPr>
          <w:szCs w:val="24"/>
        </w:rPr>
      </w:pPr>
      <w:r w:rsidRPr="00106C15">
        <w:rPr>
          <w:szCs w:val="24"/>
        </w:rPr>
        <w:t xml:space="preserve">Staff maintains it typically relies on Duke’s Rule 10 Report to confirm major event outages. However, Staff explains that, in rare cases, storms eligible for recovery may not appear on the Rule 10 Report. </w:t>
      </w:r>
      <w:r w:rsidRPr="00106C15">
        <w:rPr>
          <w:i/>
          <w:iCs/>
          <w:szCs w:val="24"/>
        </w:rPr>
        <w:t>Here, after additional review and after receiving additional support from the Company, Staff was able to confirm that the November 2022 event qualifies as a “Major Event Outage” and should be eligible for recovery.</w:t>
      </w:r>
      <w:r w:rsidRPr="00106C15">
        <w:rPr>
          <w:szCs w:val="24"/>
        </w:rPr>
        <w:t xml:space="preserve"> As amended, Staff states the revenue requirement should be $1</w:t>
      </w:r>
      <w:r w:rsidRPr="00106C15">
        <w:rPr>
          <w:szCs w:val="24"/>
        </w:rPr>
        <w:t>3,901,874.</w:t>
      </w:r>
    </w:p>
    <w:p w:rsidR="004D7E1D" w:rsidRPr="00106C15" w:rsidP="00424951" w14:paraId="52D683FD" w14:textId="77777777">
      <w:pPr>
        <w:ind w:left="1440" w:right="1440"/>
        <w:rPr>
          <w:szCs w:val="24"/>
        </w:rPr>
      </w:pPr>
    </w:p>
    <w:p w:rsidR="004D7E1D" w:rsidRPr="00106C15" w:rsidP="00CD3E07" w14:paraId="2D0939E7" w14:textId="38B5EA27">
      <w:pPr>
        <w:ind w:left="1440" w:right="1440"/>
        <w:jc w:val="center"/>
        <w:rPr>
          <w:szCs w:val="24"/>
        </w:rPr>
      </w:pPr>
      <w:r w:rsidRPr="00106C15">
        <w:rPr>
          <w:szCs w:val="24"/>
        </w:rPr>
        <w:t>***</w:t>
      </w:r>
    </w:p>
    <w:p w:rsidR="00CD3E07" w:rsidRPr="00106C15" w:rsidP="00424951" w14:paraId="25CE2064" w14:textId="77777777">
      <w:pPr>
        <w:ind w:left="1440" w:right="1440"/>
        <w:rPr>
          <w:szCs w:val="24"/>
        </w:rPr>
      </w:pPr>
    </w:p>
    <w:p w:rsidR="004D7E1D" w:rsidP="000D7D67" w14:paraId="61EAED0A" w14:textId="76602AFE">
      <w:pPr>
        <w:ind w:left="1440" w:right="1440"/>
        <w:rPr>
          <w:szCs w:val="24"/>
        </w:rPr>
      </w:pPr>
      <w:r w:rsidRPr="00106C15">
        <w:rPr>
          <w:szCs w:val="24"/>
        </w:rPr>
        <w:t>Upon review, the Commission finds that Duke’s application for recovery does not appear to be unjust or unreasonable and should be approved, subject to Staff’s recommendations.</w:t>
      </w:r>
      <w:r w:rsidRPr="00106C15" w:rsidR="00B97AA8">
        <w:rPr>
          <w:szCs w:val="24"/>
        </w:rPr>
        <w:t xml:space="preserve"> </w:t>
      </w:r>
      <w:r w:rsidRPr="00106C15">
        <w:rPr>
          <w:szCs w:val="24"/>
        </w:rPr>
        <w:t>As explained by Duke and Staff, storms eligible for recovery can all typically be found on the Company’s Rule 10 Report, but occasionally eligible storms may be excluded from that particular listing.</w:t>
      </w:r>
      <w:r w:rsidRPr="00106C15" w:rsidR="00B97AA8">
        <w:rPr>
          <w:szCs w:val="24"/>
        </w:rPr>
        <w:t xml:space="preserve"> </w:t>
      </w:r>
      <w:r w:rsidRPr="00106C15">
        <w:rPr>
          <w:i/>
          <w:iCs/>
          <w:szCs w:val="24"/>
        </w:rPr>
        <w:t>The Commission is persuaded, after Staff’s confirmation, that such a situation took place here</w:t>
      </w:r>
      <w:r w:rsidRPr="00106C15">
        <w:rPr>
          <w:szCs w:val="24"/>
        </w:rPr>
        <w:t>.</w:t>
      </w:r>
      <w:r w:rsidRPr="00106C15" w:rsidR="00B97AA8">
        <w:rPr>
          <w:szCs w:val="24"/>
        </w:rPr>
        <w:t xml:space="preserve"> </w:t>
      </w:r>
      <w:r w:rsidRPr="00106C15">
        <w:rPr>
          <w:szCs w:val="24"/>
        </w:rPr>
        <w:t>Therefore, we affirm a revenue requirement of $13,901,874.</w:t>
      </w:r>
      <w:r>
        <w:rPr>
          <w:rStyle w:val="FootnoteReference"/>
          <w:rFonts w:eastAsia="Times New Roman"/>
          <w:color w:val="auto"/>
          <w:szCs w:val="24"/>
        </w:rPr>
        <w:footnoteReference w:id="12"/>
      </w:r>
      <w:r w:rsidR="005E04BF">
        <w:rPr>
          <w:szCs w:val="24"/>
        </w:rPr>
        <w:t xml:space="preserve"> </w:t>
      </w:r>
      <w:r w:rsidR="00BE7604">
        <w:rPr>
          <w:szCs w:val="24"/>
        </w:rPr>
        <w:t>(Emphasis added.)</w:t>
      </w:r>
    </w:p>
    <w:p w:rsidR="00BE7604" w:rsidRPr="00106C15" w:rsidP="000D7D67" w14:paraId="00148E1C" w14:textId="77777777">
      <w:pPr>
        <w:ind w:left="1440" w:right="1440"/>
        <w:rPr>
          <w:szCs w:val="24"/>
        </w:rPr>
      </w:pPr>
    </w:p>
    <w:p w:rsidR="00C941B4" w:rsidRPr="00106C15" w:rsidP="000C5A41" w14:paraId="4501DCD2" w14:textId="13788039">
      <w:pPr>
        <w:spacing w:line="480" w:lineRule="auto"/>
        <w:ind w:firstLine="720"/>
        <w:rPr>
          <w:rFonts w:eastAsia="Calibri"/>
          <w:color w:val="auto"/>
          <w:szCs w:val="24"/>
        </w:rPr>
      </w:pPr>
      <w:r w:rsidRPr="00106C15">
        <w:rPr>
          <w:rFonts w:eastAsia="Times New Roman"/>
          <w:color w:val="auto"/>
          <w:szCs w:val="24"/>
        </w:rPr>
        <w:t xml:space="preserve">The Ohio Supreme Court was presented with </w:t>
      </w:r>
      <w:r w:rsidRPr="00106C15" w:rsidR="00BB2590">
        <w:rPr>
          <w:rFonts w:eastAsia="Times New Roman"/>
          <w:color w:val="auto"/>
          <w:szCs w:val="24"/>
        </w:rPr>
        <w:t>an</w:t>
      </w:r>
      <w:r w:rsidRPr="00106C15">
        <w:rPr>
          <w:rFonts w:eastAsia="Times New Roman"/>
          <w:color w:val="auto"/>
          <w:szCs w:val="24"/>
        </w:rPr>
        <w:t xml:space="preserve"> almost identical situation </w:t>
      </w:r>
      <w:r w:rsidRPr="00106C15" w:rsidR="00BB2590">
        <w:rPr>
          <w:rFonts w:eastAsia="Times New Roman"/>
          <w:color w:val="auto"/>
          <w:szCs w:val="24"/>
        </w:rPr>
        <w:t>in</w:t>
      </w:r>
      <w:r w:rsidRPr="00106C15">
        <w:rPr>
          <w:rFonts w:eastAsia="Times New Roman"/>
          <w:color w:val="auto"/>
          <w:szCs w:val="24"/>
        </w:rPr>
        <w:t xml:space="preserve"> </w:t>
      </w:r>
      <w:r w:rsidRPr="00106C15">
        <w:rPr>
          <w:rFonts w:eastAsia="Calibri"/>
          <w:i/>
          <w:iCs/>
          <w:color w:val="auto"/>
          <w:szCs w:val="24"/>
        </w:rPr>
        <w:t>Tongren v. Pub. Util Comm</w:t>
      </w:r>
      <w:r w:rsidRPr="00106C15" w:rsidR="004A3167">
        <w:rPr>
          <w:rFonts w:eastAsia="Calibri"/>
          <w:i/>
          <w:iCs/>
          <w:color w:val="auto"/>
          <w:szCs w:val="24"/>
        </w:rPr>
        <w:t xml:space="preserve">. </w:t>
      </w:r>
      <w:r w:rsidRPr="00106C15">
        <w:rPr>
          <w:rFonts w:eastAsia="Calibri"/>
          <w:color w:val="auto"/>
          <w:szCs w:val="24"/>
        </w:rPr>
        <w:t>(1999), 85 Ohio St.3d. 87, 706 N.E.2d 1255.</w:t>
      </w:r>
      <w:r w:rsidRPr="00106C15" w:rsidR="000C5A41">
        <w:rPr>
          <w:rFonts w:eastAsia="Calibri"/>
          <w:color w:val="auto"/>
          <w:szCs w:val="24"/>
        </w:rPr>
        <w:t xml:space="preserve"> </w:t>
      </w:r>
      <w:r w:rsidRPr="00106C15">
        <w:rPr>
          <w:rFonts w:eastAsia="Calibri"/>
          <w:color w:val="auto"/>
          <w:szCs w:val="24"/>
        </w:rPr>
        <w:t>In that case the Court found that the PUCO violated R.C. 4903.09 when it relied upon information that the PUCO Staff was privy to but was not contained within the record.</w:t>
      </w:r>
    </w:p>
    <w:p w:rsidR="000C5A41" w:rsidRPr="00106C15" w:rsidP="000C5A41" w14:paraId="116A9040" w14:textId="188DA636">
      <w:pPr>
        <w:spacing w:line="480" w:lineRule="auto"/>
        <w:ind w:firstLine="720"/>
        <w:rPr>
          <w:rFonts w:eastAsia="Calibri"/>
          <w:color w:val="auto"/>
          <w:szCs w:val="24"/>
        </w:rPr>
      </w:pPr>
      <w:r w:rsidRPr="00106C15">
        <w:rPr>
          <w:rFonts w:eastAsia="Calibri"/>
          <w:color w:val="auto"/>
          <w:szCs w:val="24"/>
        </w:rPr>
        <w:t xml:space="preserve">In </w:t>
      </w:r>
      <w:r w:rsidRPr="00106C15">
        <w:rPr>
          <w:rFonts w:eastAsia="Calibri"/>
          <w:i/>
          <w:iCs/>
          <w:color w:val="auto"/>
          <w:szCs w:val="24"/>
        </w:rPr>
        <w:t>Tongren</w:t>
      </w:r>
      <w:r w:rsidRPr="00106C15">
        <w:rPr>
          <w:rFonts w:eastAsia="Calibri"/>
          <w:color w:val="auto"/>
          <w:szCs w:val="24"/>
        </w:rPr>
        <w:t xml:space="preserve">, </w:t>
      </w:r>
      <w:r w:rsidRPr="00106C15">
        <w:rPr>
          <w:rFonts w:eastAsia="Calibri"/>
          <w:color w:val="auto"/>
          <w:szCs w:val="24"/>
        </w:rPr>
        <w:t xml:space="preserve">OCC challenged the PUCO’s </w:t>
      </w:r>
      <w:r w:rsidRPr="00106C15" w:rsidR="00EA2323">
        <w:rPr>
          <w:rFonts w:eastAsia="Calibri"/>
          <w:color w:val="auto"/>
          <w:szCs w:val="24"/>
        </w:rPr>
        <w:t xml:space="preserve">order </w:t>
      </w:r>
      <w:r w:rsidRPr="00106C15" w:rsidR="00066178">
        <w:rPr>
          <w:rFonts w:eastAsia="Calibri"/>
          <w:color w:val="auto"/>
          <w:szCs w:val="24"/>
        </w:rPr>
        <w:t xml:space="preserve">as being </w:t>
      </w:r>
      <w:r w:rsidRPr="00106C15">
        <w:rPr>
          <w:rFonts w:eastAsia="Calibri"/>
          <w:color w:val="auto"/>
          <w:szCs w:val="24"/>
        </w:rPr>
        <w:t>unsupported by the record</w:t>
      </w:r>
      <w:r w:rsidRPr="00106C15" w:rsidR="00066178">
        <w:rPr>
          <w:rFonts w:eastAsia="Calibri"/>
          <w:color w:val="auto"/>
          <w:szCs w:val="24"/>
        </w:rPr>
        <w:t>.</w:t>
      </w:r>
      <w:r w:rsidRPr="00106C15" w:rsidR="00B97AA8">
        <w:rPr>
          <w:rFonts w:eastAsia="Calibri"/>
          <w:color w:val="auto"/>
          <w:szCs w:val="24"/>
        </w:rPr>
        <w:t xml:space="preserve"> </w:t>
      </w:r>
      <w:r w:rsidRPr="00106C15" w:rsidR="00066178">
        <w:rPr>
          <w:rFonts w:eastAsia="Calibri"/>
          <w:color w:val="auto"/>
          <w:szCs w:val="24"/>
        </w:rPr>
        <w:t>The Court agreed.</w:t>
      </w:r>
      <w:r w:rsidRPr="00106C15" w:rsidR="00B97AA8">
        <w:rPr>
          <w:rFonts w:eastAsia="Calibri"/>
          <w:color w:val="auto"/>
          <w:szCs w:val="24"/>
        </w:rPr>
        <w:t xml:space="preserve"> </w:t>
      </w:r>
      <w:r w:rsidRPr="00106C15" w:rsidR="003D4A58">
        <w:rPr>
          <w:rFonts w:eastAsia="Calibri"/>
          <w:i/>
          <w:iCs/>
          <w:color w:val="auto"/>
          <w:szCs w:val="24"/>
        </w:rPr>
        <w:t>Tongren</w:t>
      </w:r>
      <w:r w:rsidRPr="00106C15" w:rsidR="003D4A58">
        <w:rPr>
          <w:rFonts w:eastAsia="Calibri"/>
          <w:color w:val="auto"/>
          <w:szCs w:val="24"/>
        </w:rPr>
        <w:t xml:space="preserve"> presents facts that are not distinguishable from the facts present in this very case. The same conclusion should be reached here:</w:t>
      </w:r>
      <w:r w:rsidRPr="00106C15" w:rsidR="00B97AA8">
        <w:rPr>
          <w:rFonts w:eastAsia="Calibri"/>
          <w:color w:val="auto"/>
          <w:szCs w:val="24"/>
        </w:rPr>
        <w:t xml:space="preserve"> </w:t>
      </w:r>
      <w:r w:rsidRPr="00106C15" w:rsidR="003D4A58">
        <w:rPr>
          <w:rFonts w:eastAsia="Calibri"/>
          <w:color w:val="auto"/>
          <w:szCs w:val="24"/>
        </w:rPr>
        <w:t>the PUCO violated R.C. 4903.09</w:t>
      </w:r>
      <w:r w:rsidRPr="00106C15" w:rsidR="00EA2323">
        <w:rPr>
          <w:rFonts w:eastAsia="Calibri"/>
          <w:color w:val="auto"/>
          <w:szCs w:val="24"/>
        </w:rPr>
        <w:t xml:space="preserve"> when it relied on its Staff’s recommendation that was based on information outside the record</w:t>
      </w:r>
      <w:r w:rsidRPr="00106C15" w:rsidR="003D4A58">
        <w:rPr>
          <w:rFonts w:eastAsia="Calibri"/>
          <w:color w:val="auto"/>
          <w:szCs w:val="24"/>
        </w:rPr>
        <w:t>.</w:t>
      </w:r>
      <w:r w:rsidRPr="00106C15" w:rsidR="00B97AA8">
        <w:rPr>
          <w:rFonts w:eastAsia="Calibri"/>
          <w:color w:val="auto"/>
          <w:szCs w:val="24"/>
        </w:rPr>
        <w:t xml:space="preserve"> </w:t>
      </w:r>
    </w:p>
    <w:p w:rsidR="00AE4C3B" w:rsidRPr="00106C15" w:rsidP="000C5A41" w14:paraId="7F2E2666" w14:textId="3B604C95">
      <w:pPr>
        <w:spacing w:line="480" w:lineRule="auto"/>
        <w:ind w:firstLine="720"/>
        <w:rPr>
          <w:rFonts w:eastAsia="Calibri"/>
          <w:color w:val="auto"/>
          <w:szCs w:val="24"/>
        </w:rPr>
      </w:pPr>
      <w:r w:rsidRPr="00106C15">
        <w:rPr>
          <w:rFonts w:eastAsia="Calibri"/>
          <w:color w:val="auto"/>
          <w:szCs w:val="24"/>
        </w:rPr>
        <w:t xml:space="preserve"> </w:t>
      </w:r>
      <w:r w:rsidRPr="00106C15">
        <w:rPr>
          <w:rFonts w:eastAsia="Calibri"/>
          <w:color w:val="auto"/>
          <w:szCs w:val="24"/>
        </w:rPr>
        <w:t xml:space="preserve">The Court </w:t>
      </w:r>
      <w:r w:rsidRPr="00106C15" w:rsidR="003D4A58">
        <w:rPr>
          <w:rFonts w:eastAsia="Calibri"/>
          <w:color w:val="auto"/>
          <w:szCs w:val="24"/>
        </w:rPr>
        <w:t xml:space="preserve">in </w:t>
      </w:r>
      <w:r w:rsidRPr="00106C15" w:rsidR="003D4A58">
        <w:rPr>
          <w:rFonts w:eastAsia="Calibri"/>
          <w:i/>
          <w:iCs/>
          <w:color w:val="auto"/>
          <w:szCs w:val="24"/>
        </w:rPr>
        <w:t>Tongren</w:t>
      </w:r>
      <w:r w:rsidRPr="00106C15" w:rsidR="003D4A58">
        <w:rPr>
          <w:rFonts w:eastAsia="Calibri"/>
          <w:color w:val="auto"/>
          <w:szCs w:val="24"/>
        </w:rPr>
        <w:t xml:space="preserve"> </w:t>
      </w:r>
      <w:r w:rsidRPr="00106C15" w:rsidR="00EA2323">
        <w:rPr>
          <w:rFonts w:eastAsia="Calibri"/>
          <w:color w:val="auto"/>
          <w:szCs w:val="24"/>
        </w:rPr>
        <w:t>advised</w:t>
      </w:r>
      <w:r w:rsidRPr="00106C15">
        <w:rPr>
          <w:rFonts w:eastAsia="Calibri"/>
          <w:color w:val="auto"/>
          <w:szCs w:val="24"/>
        </w:rPr>
        <w:t xml:space="preserve"> that strict compliance with the terms of </w:t>
      </w:r>
      <w:r w:rsidRPr="00106C15" w:rsidR="00066178">
        <w:rPr>
          <w:rFonts w:eastAsia="Calibri"/>
          <w:color w:val="auto"/>
          <w:szCs w:val="24"/>
        </w:rPr>
        <w:t>R.C</w:t>
      </w:r>
      <w:r w:rsidRPr="00106C15" w:rsidR="00BB2590">
        <w:rPr>
          <w:rFonts w:eastAsia="Calibri"/>
          <w:color w:val="auto"/>
          <w:szCs w:val="24"/>
        </w:rPr>
        <w:t>.</w:t>
      </w:r>
      <w:r w:rsidRPr="00106C15">
        <w:rPr>
          <w:rFonts w:eastAsia="Calibri"/>
          <w:color w:val="auto"/>
          <w:szCs w:val="24"/>
        </w:rPr>
        <w:t xml:space="preserve"> 4903.09 was not required.</w:t>
      </w:r>
      <w:r>
        <w:rPr>
          <w:rStyle w:val="FootnoteReference"/>
          <w:rFonts w:eastAsia="Calibri"/>
          <w:color w:val="auto"/>
          <w:szCs w:val="24"/>
        </w:rPr>
        <w:footnoteReference w:id="13"/>
      </w:r>
      <w:r w:rsidRPr="00106C15">
        <w:rPr>
          <w:rFonts w:eastAsia="Calibri"/>
          <w:color w:val="auto"/>
          <w:szCs w:val="24"/>
        </w:rPr>
        <w:t xml:space="preserve"> However, the Court ruled that the PUCO had to provide in sufficient detail, the facts in the record upon which the order was based, as well as the reasoning followed in reaching its conclusion.</w:t>
      </w:r>
      <w:r>
        <w:rPr>
          <w:rStyle w:val="FootnoteReference"/>
          <w:rFonts w:eastAsia="Calibri"/>
          <w:color w:val="auto"/>
          <w:szCs w:val="24"/>
        </w:rPr>
        <w:footnoteReference w:id="14"/>
      </w:r>
      <w:r w:rsidRPr="00106C15">
        <w:rPr>
          <w:rFonts w:eastAsia="Calibri"/>
          <w:color w:val="auto"/>
          <w:szCs w:val="24"/>
        </w:rPr>
        <w:t xml:space="preserve"> The Court found that the PUCO failed to meet the requirements of § 4903.09 by not providing an adequate record</w:t>
      </w:r>
      <w:r w:rsidRPr="00106C15" w:rsidR="000C5A41">
        <w:rPr>
          <w:rFonts w:eastAsia="Calibri"/>
          <w:color w:val="auto"/>
          <w:szCs w:val="24"/>
        </w:rPr>
        <w:t xml:space="preserve"> and</w:t>
      </w:r>
      <w:r w:rsidRPr="00106C15">
        <w:rPr>
          <w:rFonts w:eastAsia="Calibri"/>
          <w:color w:val="auto"/>
          <w:szCs w:val="24"/>
        </w:rPr>
        <w:t xml:space="preserve"> reversed and remanded the cases to the PUCO.</w:t>
      </w:r>
      <w:r>
        <w:rPr>
          <w:rStyle w:val="FootnoteReference"/>
          <w:rFonts w:eastAsia="Calibri"/>
          <w:color w:val="auto"/>
          <w:szCs w:val="24"/>
        </w:rPr>
        <w:footnoteReference w:id="15"/>
      </w:r>
      <w:r w:rsidRPr="00106C15" w:rsidR="00B97AA8">
        <w:rPr>
          <w:rFonts w:eastAsia="Calibri"/>
          <w:color w:val="auto"/>
          <w:szCs w:val="24"/>
        </w:rPr>
        <w:t xml:space="preserve"> </w:t>
      </w:r>
    </w:p>
    <w:p w:rsidR="003D4A58" w:rsidRPr="00106C15" w:rsidP="00066178" w14:paraId="6A90B778" w14:textId="60476AC3">
      <w:pPr>
        <w:spacing w:line="480" w:lineRule="auto"/>
        <w:ind w:firstLine="720"/>
        <w:rPr>
          <w:rFonts w:eastAsia="Calibri"/>
          <w:color w:val="auto"/>
          <w:szCs w:val="24"/>
        </w:rPr>
      </w:pPr>
      <w:r w:rsidRPr="00106C15">
        <w:rPr>
          <w:rFonts w:eastAsia="Calibri"/>
          <w:color w:val="auto"/>
          <w:szCs w:val="24"/>
        </w:rPr>
        <w:t xml:space="preserve">In </w:t>
      </w:r>
      <w:r w:rsidRPr="00106C15">
        <w:rPr>
          <w:rFonts w:eastAsia="Calibri"/>
          <w:i/>
          <w:iCs/>
          <w:color w:val="auto"/>
          <w:szCs w:val="24"/>
        </w:rPr>
        <w:t>Tongren</w:t>
      </w:r>
      <w:r w:rsidRPr="00106C15">
        <w:rPr>
          <w:rFonts w:eastAsia="Calibri"/>
          <w:color w:val="auto"/>
          <w:szCs w:val="24"/>
        </w:rPr>
        <w:t>,</w:t>
      </w:r>
      <w:r w:rsidRPr="00106C15" w:rsidR="00066178">
        <w:rPr>
          <w:rFonts w:eastAsia="Calibri"/>
          <w:color w:val="auto"/>
          <w:szCs w:val="24"/>
        </w:rPr>
        <w:t xml:space="preserve"> the</w:t>
      </w:r>
      <w:r w:rsidRPr="00106C15">
        <w:rPr>
          <w:rFonts w:eastAsia="Calibri"/>
          <w:color w:val="auto"/>
          <w:szCs w:val="24"/>
        </w:rPr>
        <w:t xml:space="preserve"> Court found that no hearing was held and no written testimony was filed on behalf of the </w:t>
      </w:r>
      <w:r w:rsidRPr="00106C15" w:rsidR="00066178">
        <w:rPr>
          <w:rFonts w:eastAsia="Calibri"/>
          <w:color w:val="auto"/>
          <w:szCs w:val="24"/>
        </w:rPr>
        <w:t>utilities</w:t>
      </w:r>
      <w:r w:rsidRPr="00106C15">
        <w:rPr>
          <w:rFonts w:eastAsia="Calibri"/>
          <w:color w:val="auto"/>
          <w:szCs w:val="24"/>
        </w:rPr>
        <w:t xml:space="preserve"> or any other interested party.</w:t>
      </w:r>
      <w:r>
        <w:rPr>
          <w:rStyle w:val="FootnoteReference"/>
          <w:rFonts w:eastAsia="Calibri"/>
          <w:color w:val="auto"/>
          <w:szCs w:val="24"/>
        </w:rPr>
        <w:footnoteReference w:id="16"/>
      </w:r>
      <w:r w:rsidRPr="00106C15">
        <w:rPr>
          <w:rFonts w:eastAsia="Calibri"/>
          <w:color w:val="auto"/>
          <w:szCs w:val="24"/>
        </w:rPr>
        <w:t xml:space="preserve"> The Court also found that the PUCO Staff filed no comments, testimony, or report.</w:t>
      </w:r>
      <w:r>
        <w:rPr>
          <w:rStyle w:val="FootnoteReference"/>
          <w:rFonts w:eastAsia="Calibri"/>
          <w:color w:val="auto"/>
          <w:szCs w:val="24"/>
        </w:rPr>
        <w:footnoteReference w:id="17"/>
      </w:r>
      <w:r w:rsidRPr="00106C15" w:rsidR="005B50F1">
        <w:rPr>
          <w:rFonts w:eastAsia="Calibri"/>
          <w:color w:val="auto"/>
          <w:szCs w:val="24"/>
        </w:rPr>
        <w:t xml:space="preserve"> </w:t>
      </w:r>
      <w:r w:rsidRPr="00106C15" w:rsidR="00066178">
        <w:rPr>
          <w:rFonts w:eastAsia="Calibri"/>
          <w:color w:val="auto"/>
          <w:szCs w:val="24"/>
        </w:rPr>
        <w:t xml:space="preserve">Additionally, the Court noted that the PUCO’s </w:t>
      </w:r>
      <w:r w:rsidRPr="00106C15" w:rsidR="005B50F1">
        <w:rPr>
          <w:rFonts w:eastAsia="Calibri"/>
          <w:color w:val="auto"/>
          <w:szCs w:val="24"/>
        </w:rPr>
        <w:t>“findings”</w:t>
      </w:r>
      <w:r w:rsidRPr="00106C15">
        <w:rPr>
          <w:rFonts w:eastAsia="Calibri"/>
          <w:color w:val="auto"/>
          <w:szCs w:val="24"/>
        </w:rPr>
        <w:t xml:space="preserve"> </w:t>
      </w:r>
      <w:r w:rsidRPr="00106C15" w:rsidR="00066178">
        <w:rPr>
          <w:rFonts w:eastAsia="Calibri"/>
          <w:color w:val="auto"/>
          <w:szCs w:val="24"/>
        </w:rPr>
        <w:t>wer</w:t>
      </w:r>
      <w:r w:rsidRPr="00106C15">
        <w:rPr>
          <w:rFonts w:eastAsia="Calibri"/>
          <w:color w:val="auto"/>
          <w:szCs w:val="24"/>
        </w:rPr>
        <w:t>e</w:t>
      </w:r>
      <w:r w:rsidRPr="00106C15" w:rsidR="00066178">
        <w:rPr>
          <w:rFonts w:eastAsia="Calibri"/>
          <w:color w:val="auto"/>
          <w:szCs w:val="24"/>
        </w:rPr>
        <w:t xml:space="preserve"> based on </w:t>
      </w:r>
      <w:r w:rsidRPr="00106C15" w:rsidR="005B50F1">
        <w:rPr>
          <w:rFonts w:eastAsia="Calibri"/>
          <w:color w:val="auto"/>
          <w:szCs w:val="24"/>
        </w:rPr>
        <w:t>a staff recommendation result</w:t>
      </w:r>
      <w:r w:rsidRPr="00106C15">
        <w:rPr>
          <w:rFonts w:eastAsia="Calibri"/>
          <w:color w:val="auto"/>
          <w:szCs w:val="24"/>
        </w:rPr>
        <w:t xml:space="preserve">ing </w:t>
      </w:r>
      <w:r w:rsidRPr="00106C15" w:rsidR="005B50F1">
        <w:rPr>
          <w:rFonts w:eastAsia="Calibri"/>
          <w:color w:val="auto"/>
          <w:szCs w:val="24"/>
        </w:rPr>
        <w:t xml:space="preserve">from discussions between the PUCO Staff and the </w:t>
      </w:r>
      <w:r w:rsidR="00BE7604">
        <w:rPr>
          <w:rFonts w:eastAsia="Calibri"/>
          <w:color w:val="auto"/>
          <w:szCs w:val="24"/>
        </w:rPr>
        <w:t>u</w:t>
      </w:r>
      <w:r w:rsidRPr="00106C15" w:rsidR="00BE7604">
        <w:rPr>
          <w:rFonts w:eastAsia="Calibri"/>
          <w:color w:val="auto"/>
          <w:szCs w:val="24"/>
        </w:rPr>
        <w:t>tility</w:t>
      </w:r>
      <w:r w:rsidRPr="00106C15" w:rsidR="005B50F1">
        <w:rPr>
          <w:rFonts w:eastAsia="Calibri"/>
          <w:color w:val="auto"/>
          <w:szCs w:val="24"/>
        </w:rPr>
        <w:t>.</w:t>
      </w:r>
      <w:r>
        <w:rPr>
          <w:rStyle w:val="FootnoteReference"/>
          <w:rFonts w:eastAsia="Calibri"/>
          <w:color w:val="auto"/>
          <w:szCs w:val="24"/>
        </w:rPr>
        <w:footnoteReference w:id="18"/>
      </w:r>
      <w:r w:rsidRPr="00106C15" w:rsidR="005B50F1">
        <w:rPr>
          <w:rFonts w:eastAsia="Calibri"/>
          <w:color w:val="auto"/>
          <w:szCs w:val="24"/>
        </w:rPr>
        <w:t xml:space="preserve"> </w:t>
      </w:r>
      <w:r w:rsidRPr="00106C15">
        <w:rPr>
          <w:rFonts w:eastAsia="Calibri"/>
          <w:color w:val="auto"/>
          <w:szCs w:val="24"/>
        </w:rPr>
        <w:t>The Court went on to say, “It is clear from *** the Finding and Order that the commission accepted its staff's recommendations and adopted as its own vari</w:t>
      </w:r>
      <w:r w:rsidR="00C03883">
        <w:rPr>
          <w:rFonts w:eastAsia="Calibri"/>
          <w:color w:val="auto"/>
          <w:szCs w:val="24"/>
        </w:rPr>
        <w:t>ous</w:t>
      </w:r>
      <w:r w:rsidRPr="00106C15">
        <w:rPr>
          <w:rFonts w:eastAsia="Calibri"/>
          <w:color w:val="auto"/>
          <w:szCs w:val="24"/>
        </w:rPr>
        <w:t xml:space="preserve"> of its staff's findings. However, there is nothing in the record below to evince the bases for the commission's acceptance of such recommendations and adoption of such findings.”</w:t>
      </w:r>
      <w:r>
        <w:rPr>
          <w:rStyle w:val="FootnoteReference"/>
          <w:rFonts w:eastAsia="Calibri"/>
          <w:color w:val="auto"/>
          <w:szCs w:val="24"/>
        </w:rPr>
        <w:footnoteReference w:id="19"/>
      </w:r>
      <w:r w:rsidRPr="00106C15">
        <w:rPr>
          <w:rFonts w:eastAsia="Calibri"/>
          <w:color w:val="auto"/>
          <w:szCs w:val="24"/>
        </w:rPr>
        <w:t xml:space="preserve"> </w:t>
      </w:r>
    </w:p>
    <w:p w:rsidR="00786553" w:rsidRPr="00106C15" w:rsidP="00066178" w14:paraId="4FDC106A" w14:textId="0BFE3305">
      <w:pPr>
        <w:spacing w:line="480" w:lineRule="auto"/>
        <w:ind w:firstLine="720"/>
        <w:rPr>
          <w:rFonts w:eastAsia="Calibri"/>
          <w:color w:val="auto"/>
          <w:szCs w:val="24"/>
        </w:rPr>
      </w:pPr>
      <w:r w:rsidRPr="00106C15">
        <w:rPr>
          <w:rFonts w:eastAsia="Calibri"/>
          <w:color w:val="auto"/>
          <w:szCs w:val="24"/>
        </w:rPr>
        <w:t>The</w:t>
      </w:r>
      <w:r w:rsidRPr="00106C15" w:rsidR="003D4A58">
        <w:rPr>
          <w:rFonts w:eastAsia="Calibri"/>
          <w:color w:val="auto"/>
          <w:szCs w:val="24"/>
        </w:rPr>
        <w:t xml:space="preserve"> facts in this case compel the same conclusion.</w:t>
      </w:r>
      <w:r w:rsidRPr="00106C15" w:rsidR="00B97AA8">
        <w:rPr>
          <w:rFonts w:eastAsia="Calibri"/>
          <w:color w:val="auto"/>
          <w:szCs w:val="24"/>
        </w:rPr>
        <w:t xml:space="preserve"> </w:t>
      </w:r>
      <w:r w:rsidRPr="00106C15" w:rsidR="006B268D">
        <w:rPr>
          <w:rFonts w:eastAsia="Calibri"/>
          <w:color w:val="auto"/>
          <w:szCs w:val="24"/>
        </w:rPr>
        <w:t>There is no</w:t>
      </w:r>
      <w:r w:rsidRPr="00106C15">
        <w:rPr>
          <w:rFonts w:eastAsia="Calibri"/>
          <w:color w:val="auto"/>
          <w:szCs w:val="24"/>
        </w:rPr>
        <w:t xml:space="preserve"> data</w:t>
      </w:r>
      <w:r w:rsidRPr="00106C15" w:rsidR="00EA2323">
        <w:rPr>
          <w:rFonts w:eastAsia="Calibri"/>
          <w:color w:val="auto"/>
          <w:szCs w:val="24"/>
        </w:rPr>
        <w:t xml:space="preserve"> in the record that reflects the “additional support from Duke” that changed the PUCO Staff’s recommendation.</w:t>
      </w:r>
      <w:r w:rsidRPr="00106C15">
        <w:rPr>
          <w:rFonts w:eastAsia="Calibri"/>
          <w:color w:val="auto"/>
          <w:szCs w:val="24"/>
        </w:rPr>
        <w:t xml:space="preserve"> </w:t>
      </w:r>
      <w:r w:rsidRPr="00106C15" w:rsidR="006B268D">
        <w:rPr>
          <w:rFonts w:eastAsia="Calibri"/>
          <w:color w:val="auto"/>
          <w:szCs w:val="24"/>
        </w:rPr>
        <w:t>Instead</w:t>
      </w:r>
      <w:r w:rsidRPr="00106C15">
        <w:rPr>
          <w:rFonts w:eastAsia="Calibri"/>
          <w:color w:val="auto"/>
          <w:szCs w:val="24"/>
        </w:rPr>
        <w:t>,</w:t>
      </w:r>
      <w:r w:rsidRPr="00106C15" w:rsidR="006B268D">
        <w:rPr>
          <w:rFonts w:eastAsia="Calibri"/>
          <w:color w:val="auto"/>
          <w:szCs w:val="24"/>
        </w:rPr>
        <w:t xml:space="preserve"> the evidence that is in the record supports the opposite conclusion.</w:t>
      </w:r>
      <w:r>
        <w:rPr>
          <w:rStyle w:val="FootnoteReference"/>
          <w:rFonts w:eastAsia="Calibri"/>
          <w:color w:val="auto"/>
          <w:szCs w:val="24"/>
        </w:rPr>
        <w:footnoteReference w:id="20"/>
      </w:r>
      <w:r w:rsidRPr="00106C15">
        <w:rPr>
          <w:rFonts w:eastAsia="Calibri"/>
          <w:color w:val="auto"/>
          <w:szCs w:val="24"/>
        </w:rPr>
        <w:t xml:space="preserve"> </w:t>
      </w:r>
      <w:r w:rsidRPr="00106C15">
        <w:rPr>
          <w:rFonts w:eastAsia="Calibri"/>
          <w:color w:val="auto"/>
          <w:szCs w:val="24"/>
        </w:rPr>
        <w:t>All we are left with is the Staff’s changed position based on a discussion between the PUCO Staff and the utility.</w:t>
      </w:r>
      <w:r w:rsidRPr="00106C15" w:rsidR="00B97AA8">
        <w:rPr>
          <w:rFonts w:eastAsia="Calibri"/>
          <w:color w:val="auto"/>
          <w:szCs w:val="24"/>
        </w:rPr>
        <w:t xml:space="preserve"> </w:t>
      </w:r>
      <w:r w:rsidRPr="00106C15" w:rsidR="000A79AC">
        <w:rPr>
          <w:rFonts w:eastAsia="Calibri"/>
          <w:color w:val="auto"/>
          <w:szCs w:val="24"/>
        </w:rPr>
        <w:t>The PUCO Staff revised recommendation came, by the Staff’s admission</w:t>
      </w:r>
      <w:r w:rsidR="00554AC4">
        <w:rPr>
          <w:rFonts w:eastAsia="Calibri"/>
          <w:color w:val="auto"/>
          <w:szCs w:val="24"/>
        </w:rPr>
        <w:t>,</w:t>
      </w:r>
      <w:r w:rsidRPr="00106C15" w:rsidR="000A79AC">
        <w:rPr>
          <w:rFonts w:eastAsia="Calibri"/>
          <w:color w:val="auto"/>
          <w:szCs w:val="24"/>
        </w:rPr>
        <w:t xml:space="preserve"> after it “met with and received additional support from Duke.”</w:t>
      </w:r>
      <w:r>
        <w:rPr>
          <w:rStyle w:val="FootnoteReference"/>
          <w:rFonts w:eastAsia="Calibri"/>
          <w:color w:val="auto"/>
          <w:szCs w:val="24"/>
        </w:rPr>
        <w:footnoteReference w:id="21"/>
      </w:r>
      <w:r w:rsidRPr="00106C15" w:rsidR="000A79AC">
        <w:rPr>
          <w:rFonts w:eastAsia="Calibri"/>
          <w:color w:val="auto"/>
          <w:szCs w:val="24"/>
        </w:rPr>
        <w:t xml:space="preserve"> </w:t>
      </w:r>
      <w:r w:rsidRPr="00106C15">
        <w:rPr>
          <w:rFonts w:eastAsia="Calibri"/>
          <w:color w:val="auto"/>
          <w:szCs w:val="24"/>
        </w:rPr>
        <w:t xml:space="preserve">The PUCO accepted the Staff’s recommendation without explaining the basis for its </w:t>
      </w:r>
      <w:r w:rsidRPr="00106C15" w:rsidR="000A79AC">
        <w:rPr>
          <w:rFonts w:eastAsia="Calibri"/>
          <w:color w:val="auto"/>
          <w:szCs w:val="24"/>
        </w:rPr>
        <w:t>finding.</w:t>
      </w:r>
    </w:p>
    <w:p w:rsidR="00AF6AE2" w:rsidRPr="00106C15" w:rsidP="00786553" w14:paraId="5797ADAE" w14:textId="3E8D2865">
      <w:pPr>
        <w:spacing w:line="480" w:lineRule="auto"/>
        <w:ind w:firstLine="720"/>
        <w:rPr>
          <w:rFonts w:eastAsia="Calibri"/>
          <w:color w:val="auto"/>
          <w:szCs w:val="24"/>
        </w:rPr>
      </w:pPr>
      <w:r w:rsidRPr="00106C15">
        <w:rPr>
          <w:rFonts w:eastAsia="Calibri"/>
          <w:color w:val="auto"/>
          <w:szCs w:val="24"/>
        </w:rPr>
        <w:t xml:space="preserve">The facts in this case are strikingly similar to the facts in </w:t>
      </w:r>
      <w:r w:rsidRPr="00106C15">
        <w:rPr>
          <w:rFonts w:eastAsia="Calibri"/>
          <w:i/>
          <w:iCs/>
          <w:color w:val="auto"/>
          <w:szCs w:val="24"/>
        </w:rPr>
        <w:t>Tongren</w:t>
      </w:r>
      <w:r w:rsidRPr="00106C15">
        <w:rPr>
          <w:rFonts w:eastAsia="Calibri"/>
          <w:color w:val="auto"/>
          <w:szCs w:val="24"/>
        </w:rPr>
        <w:t>.</w:t>
      </w:r>
      <w:r w:rsidRPr="00106C15" w:rsidR="00B97AA8">
        <w:rPr>
          <w:rFonts w:eastAsia="Calibri"/>
          <w:color w:val="auto"/>
          <w:szCs w:val="24"/>
        </w:rPr>
        <w:t xml:space="preserve"> </w:t>
      </w:r>
      <w:r w:rsidRPr="00106C15">
        <w:rPr>
          <w:rFonts w:eastAsia="Calibri"/>
          <w:color w:val="auto"/>
          <w:szCs w:val="24"/>
        </w:rPr>
        <w:t xml:space="preserve">What the PUCO did here </w:t>
      </w:r>
      <w:r w:rsidRPr="00106C15" w:rsidR="00EA2323">
        <w:rPr>
          <w:rFonts w:eastAsia="Calibri"/>
          <w:color w:val="auto"/>
          <w:szCs w:val="24"/>
        </w:rPr>
        <w:t>violated R.C. 4903.09.</w:t>
      </w:r>
      <w:r w:rsidRPr="00106C15" w:rsidR="00B97AA8">
        <w:rPr>
          <w:rFonts w:eastAsia="Calibri"/>
          <w:color w:val="auto"/>
          <w:szCs w:val="24"/>
        </w:rPr>
        <w:t xml:space="preserve"> </w:t>
      </w:r>
      <w:r w:rsidRPr="00106C15" w:rsidR="00EA2323">
        <w:rPr>
          <w:rFonts w:eastAsia="Calibri"/>
          <w:color w:val="auto"/>
          <w:szCs w:val="24"/>
        </w:rPr>
        <w:t>The PUCO relied upon its Staff’s recommendation which was derived from outside the record information.</w:t>
      </w:r>
      <w:r w:rsidRPr="00106C15" w:rsidR="00B97AA8">
        <w:rPr>
          <w:rFonts w:eastAsia="Calibri"/>
          <w:color w:val="auto"/>
          <w:szCs w:val="24"/>
        </w:rPr>
        <w:t xml:space="preserve"> </w:t>
      </w:r>
      <w:r w:rsidRPr="00106C15" w:rsidR="00CB08EA">
        <w:rPr>
          <w:rFonts w:eastAsia="Calibri"/>
          <w:color w:val="auto"/>
          <w:szCs w:val="24"/>
        </w:rPr>
        <w:t xml:space="preserve">This is no different than what the PUCO did in </w:t>
      </w:r>
      <w:r w:rsidRPr="00106C15">
        <w:rPr>
          <w:rFonts w:eastAsia="Calibri"/>
          <w:i/>
          <w:iCs/>
          <w:color w:val="auto"/>
          <w:szCs w:val="24"/>
        </w:rPr>
        <w:t>Tongren</w:t>
      </w:r>
      <w:r w:rsidRPr="00106C15">
        <w:rPr>
          <w:rFonts w:eastAsia="Calibri"/>
          <w:color w:val="auto"/>
          <w:szCs w:val="24"/>
        </w:rPr>
        <w:t>.</w:t>
      </w:r>
      <w:r w:rsidRPr="00106C15" w:rsidR="00B97AA8">
        <w:rPr>
          <w:rFonts w:eastAsia="Calibri"/>
          <w:color w:val="auto"/>
          <w:szCs w:val="24"/>
        </w:rPr>
        <w:t xml:space="preserve"> </w:t>
      </w:r>
      <w:r w:rsidRPr="00106C15">
        <w:rPr>
          <w:rFonts w:eastAsia="Calibri"/>
          <w:color w:val="auto"/>
          <w:szCs w:val="24"/>
        </w:rPr>
        <w:t xml:space="preserve">The PUCO, on rehearing, should reverse its ruling and issue a </w:t>
      </w:r>
      <w:r w:rsidRPr="00106C15" w:rsidR="00E72612">
        <w:rPr>
          <w:rFonts w:eastAsia="Calibri"/>
          <w:color w:val="auto"/>
          <w:szCs w:val="24"/>
        </w:rPr>
        <w:t>F</w:t>
      </w:r>
      <w:r w:rsidRPr="00106C15">
        <w:rPr>
          <w:rFonts w:eastAsia="Calibri"/>
          <w:color w:val="auto"/>
          <w:szCs w:val="24"/>
        </w:rPr>
        <w:t xml:space="preserve">inding and Order based on the evidence </w:t>
      </w:r>
      <w:r w:rsidRPr="00106C15" w:rsidR="00CB08EA">
        <w:rPr>
          <w:rFonts w:eastAsia="Calibri"/>
          <w:color w:val="auto"/>
          <w:szCs w:val="24"/>
        </w:rPr>
        <w:t>in the r</w:t>
      </w:r>
      <w:r w:rsidRPr="00106C15">
        <w:rPr>
          <w:rFonts w:eastAsia="Calibri"/>
          <w:color w:val="auto"/>
          <w:szCs w:val="24"/>
        </w:rPr>
        <w:t xml:space="preserve">ecord </w:t>
      </w:r>
      <w:r w:rsidRPr="00106C15" w:rsidR="00CB08EA">
        <w:rPr>
          <w:rFonts w:eastAsia="Calibri"/>
          <w:color w:val="auto"/>
          <w:szCs w:val="24"/>
        </w:rPr>
        <w:t>(not evidence outside the record, obtained through a meeting with the utility).</w:t>
      </w:r>
      <w:r w:rsidRPr="00106C15" w:rsidR="00B97AA8">
        <w:rPr>
          <w:rFonts w:eastAsia="Calibri"/>
          <w:color w:val="auto"/>
          <w:szCs w:val="24"/>
        </w:rPr>
        <w:t xml:space="preserve"> </w:t>
      </w:r>
      <w:r w:rsidRPr="00106C15" w:rsidR="00CB08EA">
        <w:rPr>
          <w:rFonts w:eastAsia="Calibri"/>
          <w:color w:val="auto"/>
          <w:szCs w:val="24"/>
        </w:rPr>
        <w:t>Rehearing should be granted.</w:t>
      </w:r>
    </w:p>
    <w:p w:rsidR="00BE5F29" w:rsidRPr="00A91D60" w:rsidP="00A91D60" w14:paraId="4221F3AF" w14:textId="35D305A7">
      <w:pPr>
        <w:pStyle w:val="Heading2"/>
      </w:pPr>
      <w:bookmarkStart w:id="32" w:name="_Toc149921583"/>
      <w:r w:rsidRPr="00106C15">
        <w:t>ASSIGNMENT OF ERROR NO. 2</w:t>
      </w:r>
      <w:r w:rsidR="00B73A71">
        <w:t>:</w:t>
      </w:r>
      <w:r w:rsidRPr="00106C15" w:rsidR="00B97AA8">
        <w:t xml:space="preserve"> </w:t>
      </w:r>
      <w:r w:rsidRPr="00106C15">
        <w:t>The PUCO erred, violating R.C. 4903.09, when it failed to set forth its reasoning for finding good cause to allow Duke’s surreply comments.</w:t>
      </w:r>
      <w:r w:rsidRPr="00106C15" w:rsidR="00B97AA8">
        <w:t xml:space="preserve"> </w:t>
      </w:r>
      <w:r w:rsidRPr="00106C15">
        <w:t>Consumers were harmed because the PUCO relied, in part, on Duke’s surreply comments, to justify charging consumers for storm related expenses.</w:t>
      </w:r>
      <w:bookmarkEnd w:id="32"/>
      <w:r w:rsidRPr="00106C15" w:rsidR="00B97AA8">
        <w:t xml:space="preserve"> </w:t>
      </w:r>
    </w:p>
    <w:p w:rsidR="00CB08EA" w:rsidRPr="00106C15" w:rsidP="00BE5F29" w14:paraId="220D1345" w14:textId="5AD2BD2F">
      <w:pPr>
        <w:spacing w:line="480" w:lineRule="auto"/>
        <w:ind w:firstLine="720"/>
        <w:rPr>
          <w:szCs w:val="24"/>
        </w:rPr>
      </w:pPr>
      <w:r w:rsidRPr="00106C15">
        <w:rPr>
          <w:szCs w:val="24"/>
        </w:rPr>
        <w:t xml:space="preserve">The PUCO </w:t>
      </w:r>
      <w:r w:rsidRPr="00106C15" w:rsidR="00BE5F29">
        <w:rPr>
          <w:szCs w:val="24"/>
        </w:rPr>
        <w:t xml:space="preserve">granted </w:t>
      </w:r>
      <w:r w:rsidRPr="00106C15" w:rsidR="00876B1A">
        <w:rPr>
          <w:szCs w:val="24"/>
        </w:rPr>
        <w:t>Duke’s Motion for Leave to file Surreply Comments</w:t>
      </w:r>
      <w:r w:rsidRPr="00106C15" w:rsidR="000A0F8A">
        <w:rPr>
          <w:szCs w:val="24"/>
        </w:rPr>
        <w:t>.</w:t>
      </w:r>
      <w:r>
        <w:rPr>
          <w:rStyle w:val="FootnoteReference"/>
          <w:szCs w:val="24"/>
        </w:rPr>
        <w:footnoteReference w:id="22"/>
      </w:r>
      <w:r w:rsidRPr="00106C15" w:rsidR="00B97AA8">
        <w:rPr>
          <w:szCs w:val="24"/>
        </w:rPr>
        <w:t xml:space="preserve"> </w:t>
      </w:r>
      <w:r w:rsidRPr="00106C15" w:rsidR="00BE5F29">
        <w:rPr>
          <w:szCs w:val="24"/>
        </w:rPr>
        <w:t xml:space="preserve">In its single sentence ruling </w:t>
      </w:r>
      <w:r w:rsidRPr="00106C15">
        <w:rPr>
          <w:szCs w:val="24"/>
        </w:rPr>
        <w:t xml:space="preserve">on Duke’s motion, </w:t>
      </w:r>
      <w:r w:rsidRPr="00106C15" w:rsidR="00BE5F29">
        <w:rPr>
          <w:szCs w:val="24"/>
        </w:rPr>
        <w:t>the PUCO ruled that it “finds good cause exists to allow the submission of the surreply comments.”</w:t>
      </w:r>
      <w:r>
        <w:rPr>
          <w:rStyle w:val="FootnoteReference"/>
          <w:szCs w:val="24"/>
        </w:rPr>
        <w:footnoteReference w:id="23"/>
      </w:r>
      <w:r w:rsidRPr="00106C15">
        <w:rPr>
          <w:szCs w:val="24"/>
        </w:rPr>
        <w:t xml:space="preserve"> </w:t>
      </w:r>
      <w:r w:rsidRPr="00106C15">
        <w:rPr>
          <w:szCs w:val="24"/>
        </w:rPr>
        <w:t>The PUCO’s failure to explain its ruling violated R.C.4903.09.</w:t>
      </w:r>
      <w:r w:rsidRPr="00106C15" w:rsidR="00B97AA8">
        <w:rPr>
          <w:szCs w:val="24"/>
        </w:rPr>
        <w:t xml:space="preserve"> </w:t>
      </w:r>
    </w:p>
    <w:p w:rsidR="001420AB" w:rsidRPr="00106C15" w:rsidP="00CB08EA" w14:paraId="4531D675" w14:textId="77777777">
      <w:pPr>
        <w:spacing w:line="480" w:lineRule="auto"/>
        <w:ind w:firstLine="720"/>
        <w:rPr>
          <w:szCs w:val="24"/>
        </w:rPr>
      </w:pPr>
      <w:r w:rsidRPr="00106C15">
        <w:rPr>
          <w:szCs w:val="24"/>
        </w:rPr>
        <w:t>Neither</w:t>
      </w:r>
      <w:r w:rsidRPr="00106C15" w:rsidR="000D7D67">
        <w:rPr>
          <w:szCs w:val="24"/>
        </w:rPr>
        <w:t xml:space="preserve"> the Ohio Rules of Civil Procedure nor the PUCO Rules contemplate or permit Duke’s self-styled Motion to File Surreply Comments. Further, under the scheduling order in this matter, the reply period closed on September 22, 2023 and briefing was complete </w:t>
      </w:r>
      <w:r w:rsidRPr="00106C15" w:rsidR="000D7D67">
        <w:rPr>
          <w:rFonts w:eastAsia="Calibri"/>
          <w:szCs w:val="24"/>
        </w:rPr>
        <w:t>on the same date.</w:t>
      </w:r>
      <w:r>
        <w:rPr>
          <w:rStyle w:val="FootnoteReference"/>
          <w:rFonts w:eastAsia="Calibri"/>
          <w:szCs w:val="24"/>
        </w:rPr>
        <w:footnoteReference w:id="24"/>
      </w:r>
      <w:r w:rsidRPr="00106C15" w:rsidR="000D7D67">
        <w:rPr>
          <w:rFonts w:eastAsia="Calibri"/>
          <w:szCs w:val="24"/>
        </w:rPr>
        <w:t xml:space="preserve"> Duke disregarded the governing rules and the PUCO’s scheduling order</w:t>
      </w:r>
      <w:r w:rsidRPr="00106C15" w:rsidR="000D7D67">
        <w:rPr>
          <w:szCs w:val="24"/>
        </w:rPr>
        <w:t xml:space="preserve">. </w:t>
      </w:r>
    </w:p>
    <w:p w:rsidR="00CB08EA" w:rsidRPr="00106C15" w:rsidP="00CB08EA" w14:paraId="0D1166E0" w14:textId="343921DE">
      <w:pPr>
        <w:spacing w:line="480" w:lineRule="auto"/>
        <w:ind w:firstLine="720"/>
        <w:rPr>
          <w:szCs w:val="24"/>
        </w:rPr>
      </w:pPr>
      <w:r w:rsidRPr="00106C15">
        <w:rPr>
          <w:szCs w:val="24"/>
        </w:rPr>
        <w:t>Rules exist for reasons. The rules should be followed unless good cause can be shown as to why there should be an exception.</w:t>
      </w:r>
      <w:r>
        <w:rPr>
          <w:rStyle w:val="FootnoteReference"/>
          <w:szCs w:val="24"/>
        </w:rPr>
        <w:footnoteReference w:id="25"/>
      </w:r>
      <w:r w:rsidR="00BE5C4D">
        <w:rPr>
          <w:szCs w:val="24"/>
        </w:rPr>
        <w:t xml:space="preserve"> </w:t>
      </w:r>
      <w:r w:rsidRPr="00106C15">
        <w:rPr>
          <w:szCs w:val="24"/>
        </w:rPr>
        <w:t xml:space="preserve">Duke made no attempt to establish good cause for its motion in its Memorandum in Support, outside of implied entitlement to an unauthorized second bite of the apple to argue its case. </w:t>
      </w:r>
    </w:p>
    <w:p w:rsidR="000D7D67" w:rsidP="00CB08EA" w14:paraId="344AD57B" w14:textId="0D4866DD">
      <w:pPr>
        <w:spacing w:line="480" w:lineRule="auto"/>
        <w:ind w:firstLine="720"/>
        <w:rPr>
          <w:szCs w:val="24"/>
        </w:rPr>
      </w:pPr>
      <w:r w:rsidRPr="00106C15">
        <w:rPr>
          <w:szCs w:val="24"/>
        </w:rPr>
        <w:t>But more importantly, t</w:t>
      </w:r>
      <w:r w:rsidRPr="00106C15">
        <w:rPr>
          <w:szCs w:val="24"/>
        </w:rPr>
        <w:t xml:space="preserve">he PUCO did not explain or give any reasoning why Duke’s unfair and prejudicial gamesmanship established good cause to allow the </w:t>
      </w:r>
      <w:r w:rsidRPr="00106C15" w:rsidR="001420AB">
        <w:rPr>
          <w:szCs w:val="24"/>
        </w:rPr>
        <w:t>filing of s</w:t>
      </w:r>
      <w:r w:rsidRPr="00106C15">
        <w:rPr>
          <w:szCs w:val="24"/>
        </w:rPr>
        <w:t xml:space="preserve">urreply </w:t>
      </w:r>
      <w:r w:rsidRPr="00106C15" w:rsidR="001420AB">
        <w:rPr>
          <w:szCs w:val="24"/>
        </w:rPr>
        <w:t>c</w:t>
      </w:r>
      <w:r w:rsidRPr="00106C15">
        <w:rPr>
          <w:szCs w:val="24"/>
        </w:rPr>
        <w:t>omments.</w:t>
      </w:r>
      <w:r w:rsidRPr="00106C15" w:rsidR="00B97AA8">
        <w:rPr>
          <w:szCs w:val="24"/>
        </w:rPr>
        <w:t xml:space="preserve"> </w:t>
      </w:r>
      <w:r w:rsidRPr="00106C15">
        <w:rPr>
          <w:szCs w:val="24"/>
        </w:rPr>
        <w:t>The PUCO violated R.C. 4903.09 when it failed to explain the basis for finding good cause to allow Duke’s surreply comments.</w:t>
      </w:r>
      <w:r w:rsidRPr="00106C15" w:rsidR="00B97AA8">
        <w:rPr>
          <w:szCs w:val="24"/>
        </w:rPr>
        <w:t xml:space="preserve"> </w:t>
      </w:r>
      <w:r w:rsidRPr="00106C15" w:rsidR="001420AB">
        <w:rPr>
          <w:szCs w:val="24"/>
        </w:rPr>
        <w:t>Rehearing should be granted.</w:t>
      </w:r>
    </w:p>
    <w:p w:rsidR="00337849" w:rsidRPr="00106C15" w:rsidP="00337849" w14:paraId="559EBCCE" w14:textId="77777777">
      <w:pPr>
        <w:ind w:firstLine="720"/>
        <w:rPr>
          <w:rFonts w:eastAsia="Calibri"/>
          <w:szCs w:val="24"/>
        </w:rPr>
      </w:pPr>
    </w:p>
    <w:p w:rsidR="00B27935" w:rsidRPr="00106C15" w:rsidP="000D7D67" w14:paraId="11DCACD5" w14:textId="53AC803B">
      <w:pPr>
        <w:pStyle w:val="Heading1"/>
        <w:rPr>
          <w:rFonts w:ascii="Times New Roman" w:hAnsi="Times New Roman"/>
        </w:rPr>
      </w:pPr>
      <w:bookmarkStart w:id="33" w:name="_Toc149921584"/>
      <w:r w:rsidRPr="00106C15">
        <w:rPr>
          <w:rFonts w:ascii="Times New Roman" w:hAnsi="Times New Roman"/>
        </w:rPr>
        <w:t>IV.</w:t>
      </w:r>
      <w:r w:rsidRPr="00106C15">
        <w:rPr>
          <w:rFonts w:ascii="Times New Roman" w:hAnsi="Times New Roman"/>
        </w:rPr>
        <w:tab/>
      </w:r>
      <w:r w:rsidRPr="00106C15" w:rsidR="001B31DB">
        <w:rPr>
          <w:rFonts w:ascii="Times New Roman" w:hAnsi="Times New Roman"/>
        </w:rPr>
        <w:t>CONCLUSION</w:t>
      </w:r>
      <w:bookmarkEnd w:id="33"/>
    </w:p>
    <w:p w:rsidR="00120D88" w:rsidRPr="00106C15" w:rsidP="0073260A" w14:paraId="38E93951" w14:textId="51B9A1B4">
      <w:pPr>
        <w:spacing w:line="480" w:lineRule="auto"/>
        <w:rPr>
          <w:szCs w:val="24"/>
        </w:rPr>
      </w:pPr>
      <w:r w:rsidRPr="00106C15">
        <w:rPr>
          <w:szCs w:val="24"/>
        </w:rPr>
        <w:tab/>
      </w:r>
      <w:r w:rsidRPr="00106C15" w:rsidR="001420AB">
        <w:rPr>
          <w:szCs w:val="24"/>
        </w:rPr>
        <w:t>The PUCO relied on outside the record evidence in issuing its ruling in this proceeding.</w:t>
      </w:r>
      <w:r w:rsidRPr="00106C15" w:rsidR="00B97AA8">
        <w:rPr>
          <w:szCs w:val="24"/>
        </w:rPr>
        <w:t xml:space="preserve"> </w:t>
      </w:r>
      <w:r w:rsidRPr="00106C15" w:rsidR="001420AB">
        <w:rPr>
          <w:szCs w:val="24"/>
        </w:rPr>
        <w:t>That was not only unfair, it was unlawful. And it caused consumers to be on the hook for more charges from their utility.</w:t>
      </w:r>
      <w:r w:rsidRPr="00106C15" w:rsidR="00B97AA8">
        <w:rPr>
          <w:szCs w:val="24"/>
        </w:rPr>
        <w:t xml:space="preserve"> </w:t>
      </w:r>
      <w:r w:rsidRPr="00106C15" w:rsidR="001420AB">
        <w:rPr>
          <w:szCs w:val="24"/>
        </w:rPr>
        <w:t>The PUCO should follow the law, not skirt it.</w:t>
      </w:r>
      <w:r w:rsidRPr="00106C15" w:rsidR="00B97AA8">
        <w:rPr>
          <w:szCs w:val="24"/>
        </w:rPr>
        <w:t xml:space="preserve"> </w:t>
      </w:r>
      <w:r w:rsidRPr="00106C15" w:rsidR="001420AB">
        <w:rPr>
          <w:szCs w:val="24"/>
        </w:rPr>
        <w:t>Rehearing should be granted.</w:t>
      </w:r>
      <w:r w:rsidRPr="00106C15" w:rsidR="00B97AA8">
        <w:rPr>
          <w:szCs w:val="24"/>
        </w:rPr>
        <w:t xml:space="preserve"> </w:t>
      </w:r>
    </w:p>
    <w:p w:rsidR="00C0356E" w:rsidRPr="00106C15" w:rsidP="00C0356E" w14:paraId="27599D4E" w14:textId="77777777">
      <w:pPr>
        <w:spacing w:line="480" w:lineRule="auto"/>
        <w:ind w:left="3240" w:firstLine="720"/>
        <w:rPr>
          <w:rFonts w:eastAsia="Times New Roman"/>
          <w:color w:val="auto"/>
          <w:szCs w:val="24"/>
        </w:rPr>
      </w:pPr>
      <w:r w:rsidRPr="00106C15">
        <w:rPr>
          <w:rFonts w:eastAsia="Times New Roman"/>
          <w:color w:val="auto"/>
          <w:szCs w:val="24"/>
        </w:rPr>
        <w:t>Respectfully submitted,</w:t>
      </w:r>
    </w:p>
    <w:p w:rsidR="00C0356E" w:rsidRPr="00106C15" w:rsidP="00C0356E" w14:paraId="33F48910" w14:textId="77777777">
      <w:pPr>
        <w:ind w:left="3960"/>
        <w:rPr>
          <w:rFonts w:eastAsia="Times New Roman"/>
          <w:color w:val="auto"/>
          <w:szCs w:val="24"/>
        </w:rPr>
      </w:pPr>
      <w:r w:rsidRPr="00106C15">
        <w:rPr>
          <w:rFonts w:eastAsia="Times New Roman"/>
          <w:color w:val="auto"/>
          <w:szCs w:val="24"/>
        </w:rPr>
        <w:t>Maureen R. Willis (0020847)</w:t>
      </w:r>
    </w:p>
    <w:p w:rsidR="00C0356E" w:rsidRPr="00106C15" w:rsidP="00C0356E" w14:paraId="473AE87A" w14:textId="77777777">
      <w:pPr>
        <w:ind w:left="3960"/>
        <w:rPr>
          <w:rFonts w:eastAsia="Times New Roman"/>
          <w:color w:val="auto"/>
          <w:szCs w:val="24"/>
        </w:rPr>
      </w:pPr>
      <w:r w:rsidRPr="00106C15">
        <w:rPr>
          <w:rFonts w:eastAsia="Times New Roman"/>
          <w:color w:val="auto"/>
          <w:szCs w:val="24"/>
        </w:rPr>
        <w:t>Ohio Consumers’ Counsel</w:t>
      </w:r>
    </w:p>
    <w:p w:rsidR="00C0356E" w:rsidRPr="00106C15" w:rsidP="00C0356E" w14:paraId="39F57CF8" w14:textId="77777777">
      <w:pPr>
        <w:ind w:left="4320"/>
        <w:rPr>
          <w:rFonts w:eastAsia="Times New Roman"/>
          <w:color w:val="auto"/>
          <w:szCs w:val="24"/>
        </w:rPr>
      </w:pPr>
    </w:p>
    <w:p w:rsidR="00C0356E" w:rsidRPr="00106C15" w:rsidP="00C0356E" w14:paraId="19C7F81C" w14:textId="77777777">
      <w:pPr>
        <w:tabs>
          <w:tab w:val="left" w:pos="4320"/>
        </w:tabs>
        <w:ind w:firstLine="3960"/>
        <w:rPr>
          <w:rFonts w:eastAsia="Times New Roman"/>
          <w:i/>
          <w:iCs/>
          <w:szCs w:val="24"/>
          <w:u w:val="single"/>
        </w:rPr>
      </w:pPr>
      <w:r w:rsidRPr="00106C15">
        <w:rPr>
          <w:rFonts w:eastAsia="Times New Roman"/>
          <w:i/>
          <w:iCs/>
          <w:szCs w:val="24"/>
          <w:u w:val="single"/>
        </w:rPr>
        <w:t>/s/ William J. Michael</w:t>
      </w:r>
    </w:p>
    <w:p w:rsidR="00C0356E" w:rsidRPr="00106C15" w:rsidP="00C0356E" w14:paraId="2785FEA0" w14:textId="77777777">
      <w:pPr>
        <w:tabs>
          <w:tab w:val="center" w:pos="4680"/>
          <w:tab w:val="right" w:pos="9360"/>
        </w:tabs>
        <w:ind w:left="3960"/>
        <w:rPr>
          <w:rFonts w:eastAsia="Calibri"/>
          <w:color w:val="auto"/>
          <w:szCs w:val="24"/>
        </w:rPr>
      </w:pPr>
      <w:r w:rsidRPr="00106C15">
        <w:rPr>
          <w:rFonts w:eastAsia="Calibri"/>
          <w:color w:val="auto"/>
          <w:szCs w:val="24"/>
        </w:rPr>
        <w:t>William J. Michael (0070921)</w:t>
      </w:r>
    </w:p>
    <w:p w:rsidR="00C0356E" w:rsidRPr="00106C15" w:rsidP="00C0356E" w14:paraId="5A85F94B" w14:textId="77777777">
      <w:pPr>
        <w:tabs>
          <w:tab w:val="center" w:pos="4680"/>
          <w:tab w:val="right" w:pos="9360"/>
        </w:tabs>
        <w:ind w:left="3960"/>
        <w:rPr>
          <w:rFonts w:eastAsia="Calibri"/>
          <w:color w:val="auto"/>
          <w:szCs w:val="24"/>
        </w:rPr>
      </w:pPr>
      <w:r w:rsidRPr="00106C15">
        <w:rPr>
          <w:rFonts w:eastAsia="Calibri"/>
          <w:color w:val="auto"/>
          <w:szCs w:val="24"/>
        </w:rPr>
        <w:t>Counsel of Record</w:t>
      </w:r>
    </w:p>
    <w:p w:rsidR="00C0356E" w:rsidRPr="00106C15" w:rsidP="00C0356E" w14:paraId="60B9A2C9" w14:textId="77777777">
      <w:pPr>
        <w:tabs>
          <w:tab w:val="center" w:pos="4680"/>
          <w:tab w:val="right" w:pos="9360"/>
        </w:tabs>
        <w:ind w:left="3960"/>
        <w:rPr>
          <w:rFonts w:eastAsia="Calibri"/>
          <w:color w:val="auto"/>
          <w:szCs w:val="24"/>
        </w:rPr>
      </w:pPr>
      <w:r w:rsidRPr="00106C15">
        <w:rPr>
          <w:rFonts w:eastAsia="Calibri"/>
          <w:color w:val="auto"/>
          <w:szCs w:val="24"/>
        </w:rPr>
        <w:t>Assistant Consumers’ Counsel</w:t>
      </w:r>
    </w:p>
    <w:p w:rsidR="00C0356E" w:rsidRPr="00106C15" w:rsidP="00C0356E" w14:paraId="4CA6F27A" w14:textId="77777777">
      <w:pPr>
        <w:tabs>
          <w:tab w:val="center" w:pos="4680"/>
          <w:tab w:val="right" w:pos="9360"/>
        </w:tabs>
        <w:ind w:left="3960"/>
        <w:rPr>
          <w:rFonts w:eastAsia="Calibri"/>
          <w:color w:val="auto"/>
          <w:szCs w:val="24"/>
        </w:rPr>
      </w:pPr>
    </w:p>
    <w:p w:rsidR="00C0356E" w:rsidRPr="00106C15" w:rsidP="00C0356E" w14:paraId="3BB11D05" w14:textId="77777777">
      <w:pPr>
        <w:tabs>
          <w:tab w:val="center" w:pos="4680"/>
          <w:tab w:val="right" w:pos="9360"/>
        </w:tabs>
        <w:ind w:left="3960"/>
        <w:rPr>
          <w:rFonts w:eastAsia="Calibri"/>
          <w:b/>
          <w:bCs/>
          <w:color w:val="auto"/>
          <w:szCs w:val="24"/>
        </w:rPr>
      </w:pPr>
      <w:r w:rsidRPr="00106C15">
        <w:rPr>
          <w:rFonts w:eastAsia="Calibri"/>
          <w:b/>
          <w:bCs/>
          <w:color w:val="auto"/>
          <w:szCs w:val="24"/>
        </w:rPr>
        <w:t>Office of the Ohio Consumers’ Counsel</w:t>
      </w:r>
    </w:p>
    <w:p w:rsidR="00C0356E" w:rsidRPr="00106C15" w:rsidP="00C0356E" w14:paraId="14B31579" w14:textId="77777777">
      <w:pPr>
        <w:tabs>
          <w:tab w:val="center" w:pos="4680"/>
          <w:tab w:val="right" w:pos="9360"/>
        </w:tabs>
        <w:ind w:left="3960"/>
        <w:rPr>
          <w:rFonts w:eastAsia="Calibri"/>
          <w:b/>
          <w:color w:val="auto"/>
          <w:szCs w:val="24"/>
        </w:rPr>
      </w:pPr>
      <w:r w:rsidRPr="00106C15">
        <w:rPr>
          <w:rFonts w:eastAsia="Calibri"/>
          <w:color w:val="auto"/>
          <w:szCs w:val="24"/>
        </w:rPr>
        <w:t>65 East State Street, Suite 700</w:t>
      </w:r>
    </w:p>
    <w:p w:rsidR="00C0356E" w:rsidRPr="00106C15" w:rsidP="00C0356E" w14:paraId="354B6F77" w14:textId="77777777">
      <w:pPr>
        <w:tabs>
          <w:tab w:val="center" w:pos="4680"/>
          <w:tab w:val="right" w:pos="9360"/>
        </w:tabs>
        <w:ind w:left="3960"/>
        <w:rPr>
          <w:rFonts w:eastAsia="Calibri"/>
          <w:b/>
          <w:color w:val="auto"/>
          <w:szCs w:val="24"/>
        </w:rPr>
      </w:pPr>
      <w:r w:rsidRPr="00106C15">
        <w:rPr>
          <w:rFonts w:eastAsia="Calibri"/>
          <w:color w:val="auto"/>
          <w:szCs w:val="24"/>
        </w:rPr>
        <w:t>Columbus, Ohio 43215</w:t>
      </w:r>
    </w:p>
    <w:p w:rsidR="00C0356E" w:rsidRPr="00106C15" w:rsidP="00C0356E" w14:paraId="29FFFE06" w14:textId="77777777">
      <w:pPr>
        <w:tabs>
          <w:tab w:val="center" w:pos="4680"/>
          <w:tab w:val="right" w:pos="9360"/>
        </w:tabs>
        <w:ind w:left="3960"/>
        <w:rPr>
          <w:rFonts w:eastAsia="Calibri"/>
          <w:color w:val="auto"/>
          <w:szCs w:val="24"/>
        </w:rPr>
      </w:pPr>
      <w:r w:rsidRPr="00106C15">
        <w:rPr>
          <w:rFonts w:eastAsia="Calibri"/>
          <w:color w:val="auto"/>
          <w:szCs w:val="24"/>
        </w:rPr>
        <w:t>Telephone [Michael]: (614) 466-1291</w:t>
      </w:r>
    </w:p>
    <w:p w:rsidR="00C0356E" w:rsidRPr="00106C15" w:rsidP="00C0356E" w14:paraId="5CC10531" w14:textId="77777777">
      <w:pPr>
        <w:tabs>
          <w:tab w:val="center" w:pos="4680"/>
          <w:tab w:val="right" w:pos="9360"/>
        </w:tabs>
        <w:ind w:left="3960"/>
        <w:rPr>
          <w:rFonts w:eastAsia="Calibri"/>
          <w:color w:val="auto"/>
          <w:szCs w:val="24"/>
        </w:rPr>
      </w:pPr>
      <w:hyperlink r:id="rId6" w:history="1">
        <w:r w:rsidRPr="00106C15">
          <w:rPr>
            <w:rFonts w:eastAsia="Calibri"/>
            <w:color w:val="00008B"/>
            <w:szCs w:val="24"/>
            <w:u w:val="single"/>
          </w:rPr>
          <w:t>william.michael@occ.ohio.gov</w:t>
        </w:r>
      </w:hyperlink>
      <w:r w:rsidRPr="00106C15">
        <w:rPr>
          <w:rFonts w:eastAsia="Calibri"/>
          <w:color w:val="auto"/>
          <w:szCs w:val="24"/>
        </w:rPr>
        <w:t xml:space="preserve"> </w:t>
      </w:r>
    </w:p>
    <w:p w:rsidR="00C0356E" w:rsidRPr="00106C15" w:rsidP="00C0356E" w14:paraId="73F120E8" w14:textId="77777777">
      <w:pPr>
        <w:tabs>
          <w:tab w:val="center" w:pos="4680"/>
          <w:tab w:val="right" w:pos="9360"/>
        </w:tabs>
        <w:ind w:left="3960"/>
        <w:rPr>
          <w:rFonts w:eastAsia="Calibri"/>
          <w:color w:val="auto"/>
          <w:szCs w:val="24"/>
        </w:rPr>
      </w:pPr>
      <w:r w:rsidRPr="00106C15">
        <w:rPr>
          <w:rFonts w:eastAsia="Calibri"/>
          <w:color w:val="auto"/>
          <w:szCs w:val="24"/>
        </w:rPr>
        <w:t>(willing to accept service by e-mail)</w:t>
      </w:r>
    </w:p>
    <w:p w:rsidR="00C77AB9" w:rsidRPr="00106C15" w14:paraId="11558885" w14:textId="77777777">
      <w:pPr>
        <w:rPr>
          <w:b/>
          <w:bCs/>
          <w:szCs w:val="24"/>
          <w:u w:val="single"/>
        </w:rPr>
      </w:pPr>
      <w:r w:rsidRPr="00106C15">
        <w:rPr>
          <w:b/>
          <w:bCs/>
          <w:szCs w:val="24"/>
          <w:u w:val="single"/>
        </w:rPr>
        <w:br w:type="page"/>
      </w:r>
    </w:p>
    <w:p w:rsidR="00C77AB9" w:rsidRPr="00106C15" w:rsidP="00C77AB9" w14:paraId="11AC6160" w14:textId="48E4EC99">
      <w:pPr>
        <w:jc w:val="center"/>
        <w:rPr>
          <w:b/>
          <w:bCs/>
          <w:szCs w:val="24"/>
          <w:u w:val="single"/>
        </w:rPr>
      </w:pPr>
      <w:r w:rsidRPr="00106C15">
        <w:rPr>
          <w:b/>
          <w:bCs/>
          <w:szCs w:val="24"/>
          <w:u w:val="single"/>
        </w:rPr>
        <w:t>CERTIFICATE OF SERVICE</w:t>
      </w:r>
    </w:p>
    <w:p w:rsidR="00C77AB9" w:rsidRPr="00106C15" w:rsidP="00C77AB9" w14:paraId="1D205F31" w14:textId="1A76368C">
      <w:pPr>
        <w:spacing w:line="480" w:lineRule="atLeast"/>
        <w:rPr>
          <w:szCs w:val="24"/>
        </w:rPr>
      </w:pPr>
      <w:r w:rsidRPr="00106C15">
        <w:rPr>
          <w:szCs w:val="24"/>
        </w:rPr>
        <w:tab/>
        <w:t xml:space="preserve">I hereby certify that a copy of this </w:t>
      </w:r>
      <w:r w:rsidRPr="00106C15" w:rsidR="001B31DB">
        <w:rPr>
          <w:iCs/>
          <w:szCs w:val="24"/>
        </w:rPr>
        <w:t>Application for Rehearing</w:t>
      </w:r>
      <w:r w:rsidRPr="00106C15">
        <w:rPr>
          <w:szCs w:val="24"/>
        </w:rPr>
        <w:t xml:space="preserve"> was served on the persons stated below via electronic transmission, this </w:t>
      </w:r>
      <w:r w:rsidRPr="00106C15" w:rsidR="000C7A23">
        <w:rPr>
          <w:szCs w:val="24"/>
        </w:rPr>
        <w:t>3</w:t>
      </w:r>
      <w:r w:rsidRPr="00106C15" w:rsidR="000C7A23">
        <w:rPr>
          <w:szCs w:val="24"/>
          <w:vertAlign w:val="superscript"/>
        </w:rPr>
        <w:t>rd</w:t>
      </w:r>
      <w:r w:rsidRPr="00106C15" w:rsidR="000C7A23">
        <w:rPr>
          <w:szCs w:val="24"/>
        </w:rPr>
        <w:t xml:space="preserve"> </w:t>
      </w:r>
      <w:r w:rsidRPr="00106C15">
        <w:rPr>
          <w:szCs w:val="24"/>
        </w:rPr>
        <w:t xml:space="preserve">day of </w:t>
      </w:r>
      <w:r w:rsidRPr="00106C15" w:rsidR="000C7A23">
        <w:rPr>
          <w:szCs w:val="24"/>
        </w:rPr>
        <w:t xml:space="preserve">November </w:t>
      </w:r>
      <w:r w:rsidRPr="00106C15">
        <w:rPr>
          <w:szCs w:val="24"/>
        </w:rPr>
        <w:t>202</w:t>
      </w:r>
      <w:r w:rsidRPr="00106C15" w:rsidR="001B31DB">
        <w:rPr>
          <w:szCs w:val="24"/>
        </w:rPr>
        <w:t>3</w:t>
      </w:r>
      <w:r w:rsidRPr="00106C15">
        <w:rPr>
          <w:szCs w:val="24"/>
        </w:rPr>
        <w:t>.</w:t>
      </w:r>
    </w:p>
    <w:p w:rsidR="00C77AB9" w:rsidRPr="00106C15" w:rsidP="00C77AB9" w14:paraId="7DF0A0EE" w14:textId="77777777">
      <w:pPr>
        <w:tabs>
          <w:tab w:val="left" w:pos="4320"/>
        </w:tabs>
        <w:rPr>
          <w:szCs w:val="24"/>
        </w:rPr>
      </w:pPr>
      <w:r w:rsidRPr="00106C15">
        <w:rPr>
          <w:szCs w:val="24"/>
        </w:rPr>
        <w:tab/>
      </w:r>
    </w:p>
    <w:p w:rsidR="00C77AB9" w:rsidRPr="00106C15" w:rsidP="00C77AB9" w14:paraId="135ACB44" w14:textId="529D41B2">
      <w:pPr>
        <w:tabs>
          <w:tab w:val="left" w:pos="4320"/>
        </w:tabs>
        <w:rPr>
          <w:i/>
          <w:szCs w:val="24"/>
          <w:u w:val="single"/>
        </w:rPr>
      </w:pPr>
      <w:r w:rsidRPr="00106C15">
        <w:rPr>
          <w:szCs w:val="24"/>
        </w:rPr>
        <w:tab/>
      </w:r>
      <w:r w:rsidRPr="00106C15">
        <w:rPr>
          <w:i/>
          <w:szCs w:val="24"/>
          <w:u w:val="single"/>
        </w:rPr>
        <w:t>/s/</w:t>
      </w:r>
      <w:r w:rsidRPr="00106C15" w:rsidR="000C7A23">
        <w:rPr>
          <w:i/>
          <w:szCs w:val="24"/>
          <w:u w:val="single"/>
        </w:rPr>
        <w:t xml:space="preserve"> William J. Michael</w:t>
      </w:r>
    </w:p>
    <w:p w:rsidR="00C77AB9" w:rsidRPr="00106C15" w:rsidP="00C77AB9" w14:paraId="1D34AC79" w14:textId="2F4A9C22">
      <w:pPr>
        <w:tabs>
          <w:tab w:val="left" w:pos="4320"/>
        </w:tabs>
        <w:rPr>
          <w:szCs w:val="24"/>
        </w:rPr>
      </w:pPr>
      <w:r w:rsidRPr="00106C15">
        <w:rPr>
          <w:szCs w:val="24"/>
        </w:rPr>
        <w:tab/>
      </w:r>
      <w:r w:rsidRPr="00106C15" w:rsidR="00C0356E">
        <w:rPr>
          <w:szCs w:val="24"/>
        </w:rPr>
        <w:t>William J. Michael</w:t>
      </w:r>
    </w:p>
    <w:p w:rsidR="00C77AB9" w:rsidRPr="00106C15" w:rsidP="00C77AB9" w14:paraId="08C95D5A" w14:textId="77777777">
      <w:pPr>
        <w:tabs>
          <w:tab w:val="left" w:pos="4320"/>
        </w:tabs>
        <w:rPr>
          <w:szCs w:val="24"/>
        </w:rPr>
      </w:pPr>
      <w:r w:rsidRPr="00106C15">
        <w:rPr>
          <w:szCs w:val="24"/>
        </w:rPr>
        <w:tab/>
        <w:t>Assistant Consumers’ Counsel</w:t>
      </w:r>
    </w:p>
    <w:p w:rsidR="00C77AB9" w:rsidRPr="00106C15" w:rsidP="00C77AB9" w14:paraId="300EEC6F" w14:textId="77777777">
      <w:pPr>
        <w:pStyle w:val="CommentSubject"/>
        <w:rPr>
          <w:sz w:val="24"/>
          <w:szCs w:val="24"/>
        </w:rPr>
      </w:pPr>
    </w:p>
    <w:p w:rsidR="00C77AB9" w:rsidRPr="00106C15" w:rsidP="00C77AB9" w14:paraId="479134A4" w14:textId="77777777">
      <w:pPr>
        <w:pStyle w:val="CommentText"/>
        <w:rPr>
          <w:sz w:val="24"/>
          <w:szCs w:val="24"/>
        </w:rPr>
      </w:pPr>
      <w:r w:rsidRPr="00106C15">
        <w:rPr>
          <w:sz w:val="24"/>
          <w:szCs w:val="24"/>
        </w:rPr>
        <w:t>The PUCO’s e-filing system will electronically serve notice of the filing of this document on the following parties:</w:t>
      </w:r>
    </w:p>
    <w:p w:rsidR="00C77AB9" w:rsidRPr="00106C15" w:rsidP="00C77AB9" w14:paraId="289D5B02" w14:textId="77777777">
      <w:pPr>
        <w:pStyle w:val="CommentText"/>
        <w:rPr>
          <w:sz w:val="24"/>
          <w:szCs w:val="24"/>
        </w:rPr>
      </w:pPr>
    </w:p>
    <w:p w:rsidR="00C77AB9" w:rsidRPr="00106C15" w:rsidP="00C77AB9" w14:paraId="37B936FD" w14:textId="77777777">
      <w:pPr>
        <w:pStyle w:val="CommentText"/>
        <w:jc w:val="center"/>
        <w:rPr>
          <w:b/>
          <w:bCs/>
          <w:sz w:val="24"/>
          <w:szCs w:val="24"/>
          <w:u w:val="single"/>
        </w:rPr>
      </w:pPr>
      <w:r w:rsidRPr="00106C15">
        <w:rPr>
          <w:b/>
          <w:bCs/>
          <w:sz w:val="24"/>
          <w:szCs w:val="24"/>
          <w:u w:val="single"/>
        </w:rPr>
        <w:t>SERVICE LIST</w:t>
      </w:r>
    </w:p>
    <w:p w:rsidR="00C77AB9" w:rsidRPr="00106C15" w:rsidP="00C77AB9" w14:paraId="577F6AE4" w14:textId="77777777">
      <w:pPr>
        <w:pStyle w:val="CommentText"/>
        <w:jc w:val="center"/>
        <w:rPr>
          <w:color w:val="0000FF"/>
          <w:sz w:val="24"/>
          <w:szCs w:val="24"/>
          <w:u w:val="single"/>
        </w:rPr>
      </w:pPr>
    </w:p>
    <w:tbl>
      <w:tblPr>
        <w:tblW w:w="0" w:type="auto"/>
        <w:tblInd w:w="0" w:type="dxa"/>
        <w:tblCellMar>
          <w:top w:w="0" w:type="dxa"/>
          <w:left w:w="108" w:type="dxa"/>
          <w:bottom w:w="0" w:type="dxa"/>
          <w:right w:w="108" w:type="dxa"/>
        </w:tblCellMar>
        <w:tblLook w:val="01E0"/>
      </w:tblPr>
      <w:tblGrid>
        <w:gridCol w:w="4285"/>
        <w:gridCol w:w="4355"/>
      </w:tblGrid>
      <w:tr w14:paraId="1BE3B842" w14:textId="77777777" w:rsidTr="00C0356E">
        <w:tblPrEx>
          <w:tblW w:w="0" w:type="auto"/>
          <w:tblInd w:w="0" w:type="dxa"/>
          <w:tblCellMar>
            <w:top w:w="0" w:type="dxa"/>
            <w:left w:w="108" w:type="dxa"/>
            <w:bottom w:w="0" w:type="dxa"/>
            <w:right w:w="108" w:type="dxa"/>
          </w:tblCellMar>
          <w:tblLook w:val="01E0"/>
        </w:tblPrEx>
        <w:tc>
          <w:tcPr>
            <w:tcW w:w="4285" w:type="dxa"/>
            <w:shd w:val="clear" w:color="auto" w:fill="auto"/>
          </w:tcPr>
          <w:p w:rsidR="00C0356E" w:rsidRPr="00106C15" w:rsidP="00C0356E" w14:paraId="5A4D5DBA" w14:textId="77777777">
            <w:pPr>
              <w:jc w:val="both"/>
              <w:rPr>
                <w:rFonts w:ascii="Times New Roman" w:hAnsi="Times New Roman" w:eastAsiaTheme="minorHAnsi" w:cs="Times New Roman"/>
                <w:color w:val="000000"/>
                <w:sz w:val="24"/>
                <w:szCs w:val="24"/>
                <w:lang w:val="en-US" w:eastAsia="en-US" w:bidi="ar-SA"/>
              </w:rPr>
            </w:pPr>
            <w:hyperlink r:id="rId15" w:history="1">
              <w:r w:rsidRPr="00106C15">
                <w:rPr>
                  <w:rFonts w:ascii="Times New Roman" w:eastAsia="Times New Roman" w:hAnsi="Times New Roman" w:cs="Times New Roman"/>
                  <w:color w:val="0000FF"/>
                  <w:sz w:val="24"/>
                  <w:szCs w:val="24"/>
                  <w:u w:val="single"/>
                  <w:lang w:val="en-US" w:eastAsia="en-US" w:bidi="ar-SA"/>
                </w:rPr>
                <w:t>john.jones@ohioago.gov</w:t>
              </w:r>
            </w:hyperlink>
          </w:p>
          <w:p w:rsidR="00C0356E" w:rsidRPr="00106C15" w:rsidP="00C0356E" w14:paraId="65118FAB" w14:textId="77777777">
            <w:pPr>
              <w:jc w:val="both"/>
              <w:rPr>
                <w:rFonts w:ascii="Times New Roman" w:hAnsi="Times New Roman" w:eastAsiaTheme="minorHAnsi" w:cs="Times New Roman"/>
                <w:color w:val="000000"/>
                <w:sz w:val="24"/>
                <w:szCs w:val="24"/>
                <w:lang w:val="en-US" w:eastAsia="en-US" w:bidi="ar-SA"/>
              </w:rPr>
            </w:pPr>
          </w:p>
          <w:p w:rsidR="00C0356E" w:rsidRPr="00106C15" w:rsidP="00C0356E" w14:paraId="6DC190EC" w14:textId="77777777">
            <w:pPr>
              <w:jc w:val="both"/>
              <w:rPr>
                <w:rFonts w:ascii="Times New Roman" w:hAnsi="Times New Roman" w:eastAsiaTheme="minorHAnsi" w:cs="Times New Roman"/>
                <w:color w:val="000000"/>
                <w:sz w:val="24"/>
                <w:szCs w:val="24"/>
                <w:lang w:val="en-US" w:eastAsia="en-US" w:bidi="ar-SA"/>
              </w:rPr>
            </w:pPr>
            <w:r w:rsidRPr="00106C15">
              <w:rPr>
                <w:rFonts w:ascii="Times New Roman" w:eastAsia="Times New Roman" w:hAnsi="Times New Roman" w:cs="Times New Roman"/>
                <w:color w:val="000000"/>
                <w:sz w:val="24"/>
                <w:szCs w:val="24"/>
                <w:lang w:val="en-US" w:eastAsia="en-US" w:bidi="ar-SA"/>
              </w:rPr>
              <w:t>Attorney Examiners:</w:t>
            </w:r>
          </w:p>
          <w:p w:rsidR="00C0356E" w:rsidRPr="00106C15" w:rsidP="00C0356E" w14:paraId="35E1ACF7" w14:textId="77777777">
            <w:pPr>
              <w:jc w:val="both"/>
              <w:rPr>
                <w:rFonts w:ascii="Times New Roman" w:hAnsi="Times New Roman" w:eastAsiaTheme="minorHAnsi" w:cs="Times New Roman"/>
                <w:color w:val="000000"/>
                <w:sz w:val="24"/>
                <w:szCs w:val="24"/>
                <w:lang w:val="en-US" w:eastAsia="en-US" w:bidi="ar-SA"/>
              </w:rPr>
            </w:pPr>
            <w:hyperlink r:id="rId16" w:history="1">
              <w:r w:rsidRPr="00106C15">
                <w:rPr>
                  <w:rFonts w:ascii="Times New Roman" w:eastAsia="Times New Roman" w:hAnsi="Times New Roman" w:cs="Times New Roman"/>
                  <w:color w:val="0000FF"/>
                  <w:sz w:val="24"/>
                  <w:szCs w:val="24"/>
                  <w:u w:val="single"/>
                  <w:lang w:val="en-US" w:eastAsia="en-US" w:bidi="ar-SA"/>
                </w:rPr>
                <w:t>matthew.sandor@puco.ohio.gov</w:t>
              </w:r>
            </w:hyperlink>
          </w:p>
          <w:p w:rsidR="00C0356E" w:rsidRPr="00106C15" w:rsidP="00C0356E" w14:paraId="2DB543B1" w14:textId="77777777">
            <w:pPr>
              <w:jc w:val="both"/>
              <w:rPr>
                <w:rFonts w:ascii="Times New Roman" w:hAnsi="Times New Roman" w:eastAsiaTheme="minorHAnsi" w:cs="Times New Roman"/>
                <w:color w:val="000000"/>
                <w:sz w:val="24"/>
                <w:szCs w:val="24"/>
                <w:lang w:val="en-US" w:eastAsia="en-US" w:bidi="ar-SA"/>
              </w:rPr>
            </w:pPr>
            <w:hyperlink r:id="rId17" w:history="1">
              <w:r w:rsidRPr="00106C15">
                <w:rPr>
                  <w:rFonts w:ascii="Times New Roman" w:eastAsia="Times New Roman" w:hAnsi="Times New Roman" w:cs="Times New Roman"/>
                  <w:color w:val="0000FF"/>
                  <w:sz w:val="24"/>
                  <w:szCs w:val="24"/>
                  <w:u w:val="single"/>
                  <w:lang w:val="en-US" w:eastAsia="en-US" w:bidi="ar-SA"/>
                </w:rPr>
                <w:t>nicholas.walstra@puco.ohio.gov</w:t>
              </w:r>
            </w:hyperlink>
          </w:p>
          <w:p w:rsidR="00C0356E" w:rsidRPr="00106C15" w:rsidP="00C0356E" w14:paraId="61A3D5CA" w14:textId="2782A6FF">
            <w:pPr>
              <w:rPr>
                <w:rFonts w:ascii="Times New Roman" w:hAnsi="Times New Roman" w:eastAsiaTheme="minorHAnsi" w:cs="Times New Roman"/>
                <w:color w:val="0000FF"/>
                <w:sz w:val="24"/>
                <w:szCs w:val="24"/>
                <w:u w:val="single"/>
                <w:lang w:val="en-US" w:eastAsia="en-US" w:bidi="ar-SA"/>
              </w:rPr>
            </w:pPr>
          </w:p>
        </w:tc>
        <w:tc>
          <w:tcPr>
            <w:tcW w:w="4355" w:type="dxa"/>
            <w:shd w:val="clear" w:color="auto" w:fill="auto"/>
          </w:tcPr>
          <w:p w:rsidR="00C0356E" w:rsidRPr="00106C15" w:rsidP="00C0356E" w14:paraId="1DF2AD7A" w14:textId="77777777">
            <w:pPr>
              <w:jc w:val="both"/>
              <w:rPr>
                <w:rFonts w:ascii="Times New Roman" w:hAnsi="Times New Roman" w:eastAsiaTheme="minorHAnsi" w:cs="Times New Roman"/>
                <w:color w:val="000000"/>
                <w:sz w:val="24"/>
                <w:szCs w:val="24"/>
                <w:lang w:val="en-US" w:eastAsia="en-US" w:bidi="ar-SA"/>
              </w:rPr>
            </w:pPr>
            <w:hyperlink r:id="rId18" w:history="1">
              <w:r w:rsidRPr="00106C15">
                <w:rPr>
                  <w:rFonts w:ascii="Times New Roman" w:eastAsia="Times New Roman" w:hAnsi="Times New Roman" w:cs="Times New Roman"/>
                  <w:color w:val="0000FF"/>
                  <w:sz w:val="24"/>
                  <w:szCs w:val="24"/>
                  <w:u w:val="single"/>
                  <w:lang w:val="en-US" w:eastAsia="en-US" w:bidi="ar-SA"/>
                </w:rPr>
                <w:t>rocco.dascenzo@duke-energy.com</w:t>
              </w:r>
            </w:hyperlink>
          </w:p>
          <w:p w:rsidR="00C0356E" w:rsidRPr="00106C15" w:rsidP="00C0356E" w14:paraId="01F5E270" w14:textId="77777777">
            <w:pPr>
              <w:jc w:val="both"/>
              <w:rPr>
                <w:rFonts w:ascii="Times New Roman" w:hAnsi="Times New Roman" w:eastAsiaTheme="minorHAnsi" w:cs="Times New Roman"/>
                <w:color w:val="000000"/>
                <w:sz w:val="24"/>
                <w:szCs w:val="24"/>
                <w:lang w:val="en-US" w:eastAsia="en-US" w:bidi="ar-SA"/>
              </w:rPr>
            </w:pPr>
            <w:hyperlink r:id="rId19" w:history="1">
              <w:r w:rsidRPr="00106C15">
                <w:rPr>
                  <w:rFonts w:ascii="Times New Roman" w:eastAsia="Times New Roman" w:hAnsi="Times New Roman" w:cs="Times New Roman"/>
                  <w:color w:val="0000FF"/>
                  <w:sz w:val="24"/>
                  <w:szCs w:val="24"/>
                  <w:u w:val="single"/>
                  <w:lang w:val="en-US" w:eastAsia="en-US" w:bidi="ar-SA"/>
                </w:rPr>
                <w:t>jeanne.kingery@duke-energy.com</w:t>
              </w:r>
            </w:hyperlink>
          </w:p>
          <w:p w:rsidR="00C0356E" w:rsidRPr="00106C15" w:rsidP="00C0356E" w14:paraId="50FC903E" w14:textId="77777777">
            <w:pPr>
              <w:jc w:val="both"/>
              <w:rPr>
                <w:rFonts w:ascii="Times New Roman" w:hAnsi="Times New Roman" w:eastAsiaTheme="minorHAnsi" w:cs="Times New Roman"/>
                <w:color w:val="000000"/>
                <w:sz w:val="24"/>
                <w:szCs w:val="24"/>
                <w:lang w:val="en-US" w:eastAsia="en-US" w:bidi="ar-SA"/>
              </w:rPr>
            </w:pPr>
            <w:hyperlink r:id="rId20" w:history="1">
              <w:r w:rsidRPr="00106C15">
                <w:rPr>
                  <w:rFonts w:ascii="Times New Roman" w:eastAsia="Times New Roman" w:hAnsi="Times New Roman" w:cs="Times New Roman"/>
                  <w:color w:val="0000FF"/>
                  <w:sz w:val="24"/>
                  <w:szCs w:val="24"/>
                  <w:u w:val="single"/>
                  <w:lang w:val="en-US" w:eastAsia="en-US" w:bidi="ar-SA"/>
                </w:rPr>
                <w:t>larisa.vaysman@duke-energy.com</w:t>
              </w:r>
            </w:hyperlink>
          </w:p>
          <w:p w:rsidR="00C0356E" w:rsidRPr="00106C15" w:rsidP="00C0356E" w14:paraId="04368527" w14:textId="77777777">
            <w:pPr>
              <w:jc w:val="both"/>
              <w:rPr>
                <w:rFonts w:ascii="Times New Roman" w:hAnsi="Times New Roman" w:eastAsiaTheme="minorHAnsi" w:cs="Times New Roman"/>
                <w:color w:val="000000"/>
                <w:sz w:val="24"/>
                <w:szCs w:val="24"/>
                <w:lang w:val="en-US" w:eastAsia="en-US" w:bidi="ar-SA"/>
              </w:rPr>
            </w:pPr>
            <w:hyperlink r:id="rId21" w:history="1">
              <w:r w:rsidRPr="00106C15">
                <w:rPr>
                  <w:rFonts w:ascii="Times New Roman" w:eastAsia="Times New Roman" w:hAnsi="Times New Roman" w:cs="Times New Roman"/>
                  <w:color w:val="0000FF"/>
                  <w:sz w:val="24"/>
                  <w:szCs w:val="24"/>
                  <w:u w:val="single"/>
                  <w:lang w:val="en-US" w:eastAsia="en-US" w:bidi="ar-SA"/>
                </w:rPr>
                <w:t>elyse.akhbari@duke-energy.com</w:t>
              </w:r>
            </w:hyperlink>
          </w:p>
          <w:p w:rsidR="00C0356E" w:rsidRPr="00106C15" w:rsidP="00C0356E" w14:paraId="3A9EDF7E" w14:textId="77777777">
            <w:pPr>
              <w:jc w:val="both"/>
              <w:rPr>
                <w:rFonts w:ascii="Times New Roman" w:hAnsi="Times New Roman" w:eastAsiaTheme="minorHAnsi" w:cs="Times New Roman"/>
                <w:color w:val="000000"/>
                <w:sz w:val="24"/>
                <w:szCs w:val="24"/>
                <w:lang w:val="en-US" w:eastAsia="en-US" w:bidi="ar-SA"/>
              </w:rPr>
            </w:pPr>
          </w:p>
          <w:p w:rsidR="00C0356E" w:rsidRPr="00106C15" w:rsidP="00C0356E" w14:paraId="58825AD6" w14:textId="7BF0B2B2">
            <w:pPr>
              <w:pStyle w:val="BodyText"/>
              <w:jc w:val="both"/>
              <w:rPr>
                <w:rFonts w:ascii="Times New Roman" w:hAnsi="Times New Roman" w:eastAsiaTheme="minorHAnsi" w:cs="Times New Roman"/>
                <w:color w:val="0000FF"/>
                <w:sz w:val="24"/>
                <w:szCs w:val="24"/>
                <w:u w:val="single"/>
                <w:lang w:val="en-US" w:eastAsia="en-US" w:bidi="ar-SA"/>
              </w:rPr>
            </w:pPr>
            <w:r w:rsidRPr="00106C15">
              <w:rPr>
                <w:rFonts w:ascii="Times New Roman" w:eastAsia="Times New Roman" w:hAnsi="Times New Roman" w:cs="Times New Roman"/>
                <w:color w:val="auto"/>
                <w:sz w:val="24"/>
                <w:szCs w:val="24"/>
                <w:lang w:val="en-US" w:eastAsia="en-US" w:bidi="ar-SA"/>
              </w:rPr>
              <w:t xml:space="preserve"> </w:t>
            </w:r>
          </w:p>
        </w:tc>
      </w:tr>
    </w:tbl>
    <w:p w:rsidR="00C77AB9" w:rsidRPr="00106C15" w:rsidP="00C77AB9" w14:paraId="4703828D" w14:textId="77777777">
      <w:pPr>
        <w:rPr>
          <w:szCs w:val="24"/>
        </w:rPr>
      </w:pPr>
    </w:p>
    <w:p w:rsidR="00AA2AA1" w:rsidRPr="00106C15" w:rsidP="00C77AB9" w14:paraId="2F4C627E" w14:textId="5C757AC3">
      <w:pPr>
        <w:jc w:val="center"/>
        <w:rPr>
          <w:b/>
          <w:bCs/>
          <w:szCs w:val="24"/>
          <w:u w:val="single"/>
        </w:rPr>
      </w:pPr>
    </w:p>
    <w:sectPr w:rsidSect="00111344">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57E0" w14:paraId="670227A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10B4" w14:paraId="08D4CDB2" w14:textId="0B9CDD4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57E0" w14:paraId="4AFD3CA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9576187"/>
      <w:docPartObj>
        <w:docPartGallery w:val="Page Numbers (Bottom of Page)"/>
        <w:docPartUnique/>
      </w:docPartObj>
    </w:sdtPr>
    <w:sdtEndPr>
      <w:rPr>
        <w:noProof/>
      </w:rPr>
    </w:sdtEndPr>
    <w:sdtContent>
      <w:p w:rsidR="009E036E" w14:paraId="2561105F" w14:textId="0FA936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9018943"/>
      <w:docPartObj>
        <w:docPartGallery w:val="Page Numbers (Bottom of Page)"/>
        <w:docPartUnique/>
      </w:docPartObj>
    </w:sdtPr>
    <w:sdtEndPr>
      <w:rPr>
        <w:noProof/>
      </w:rPr>
    </w:sdtEndPr>
    <w:sdtContent>
      <w:p w:rsidR="009E036E" w14:paraId="77A85578" w14:textId="23B513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C1C99" w:rsidP="00AA2AA1" w14:paraId="4FEA9C37" w14:textId="77777777">
      <w:r>
        <w:separator/>
      </w:r>
    </w:p>
  </w:footnote>
  <w:footnote w:type="continuationSeparator" w:id="1">
    <w:p w:rsidR="00AC1C99" w:rsidP="00AA2AA1" w14:paraId="6E40C2B2" w14:textId="77777777">
      <w:r>
        <w:continuationSeparator/>
      </w:r>
    </w:p>
  </w:footnote>
  <w:footnote w:id="2">
    <w:p w:rsidR="00FE24DA" w:rsidP="001B4103" w14:paraId="0A8ECD40" w14:textId="58A455DA">
      <w:pPr>
        <w:pStyle w:val="FootnoteText"/>
        <w:spacing w:after="120"/>
      </w:pPr>
      <w:r>
        <w:rPr>
          <w:rStyle w:val="FootnoteReference"/>
        </w:rPr>
        <w:footnoteRef/>
      </w:r>
      <w:r>
        <w:t xml:space="preserve"> </w:t>
      </w:r>
      <w:bookmarkStart w:id="11" w:name="_Hlk149898751"/>
      <w:r>
        <w:t xml:space="preserve">Order at </w:t>
      </w:r>
      <w:r w:rsidRPr="00C878A3">
        <w:t>¶</w:t>
      </w:r>
      <w:r>
        <w:t xml:space="preserve"> 11.</w:t>
      </w:r>
      <w:bookmarkEnd w:id="11"/>
    </w:p>
  </w:footnote>
  <w:footnote w:id="3">
    <w:p w:rsidR="009431E2" w:rsidRPr="00C878A3" w:rsidP="001B4103" w14:paraId="144BF754" w14:textId="65005406">
      <w:pPr>
        <w:pStyle w:val="FootnoteText"/>
        <w:spacing w:after="120"/>
      </w:pPr>
      <w:r w:rsidRPr="00C878A3">
        <w:rPr>
          <w:rStyle w:val="FootnoteReference"/>
        </w:rPr>
        <w:footnoteRef/>
      </w:r>
      <w:r w:rsidRPr="00C878A3">
        <w:t xml:space="preserve"> </w:t>
      </w:r>
      <w:r w:rsidRPr="00C878A3">
        <w:rPr>
          <w:i/>
          <w:iCs/>
        </w:rPr>
        <w:t xml:space="preserve">Id. </w:t>
      </w:r>
      <w:r w:rsidRPr="00C878A3">
        <w:t xml:space="preserve">at </w:t>
      </w:r>
      <w:bookmarkStart w:id="12" w:name="_Hlk149523333"/>
      <w:r w:rsidRPr="00C878A3">
        <w:t>¶</w:t>
      </w:r>
      <w:bookmarkEnd w:id="12"/>
      <w:r w:rsidRPr="00C878A3">
        <w:t xml:space="preserve"> </w:t>
      </w:r>
      <w:r w:rsidR="00FE24DA">
        <w:t>12</w:t>
      </w:r>
      <w:r w:rsidRPr="00C878A3">
        <w:t>.</w:t>
      </w:r>
    </w:p>
  </w:footnote>
  <w:footnote w:id="4">
    <w:p w:rsidR="00191DFA" w:rsidRPr="00C878A3" w:rsidP="001B4103" w14:paraId="64042F56" w14:textId="77777777">
      <w:pPr>
        <w:pStyle w:val="FootnoteText"/>
        <w:spacing w:after="120"/>
      </w:pPr>
      <w:r w:rsidRPr="00C878A3">
        <w:rPr>
          <w:rStyle w:val="FootnoteReference"/>
        </w:rPr>
        <w:footnoteRef/>
      </w:r>
      <w:r w:rsidRPr="00C878A3">
        <w:t xml:space="preserve"> R.C. 4903.10.</w:t>
      </w:r>
    </w:p>
  </w:footnote>
  <w:footnote w:id="5">
    <w:p w:rsidR="00191DFA" w:rsidRPr="00C878A3" w:rsidP="001B4103" w14:paraId="0F98D9FA" w14:textId="77777777">
      <w:pPr>
        <w:pStyle w:val="FootnoteText"/>
        <w:spacing w:after="120"/>
      </w:pPr>
      <w:r w:rsidRPr="00C878A3">
        <w:rPr>
          <w:rStyle w:val="FootnoteReference"/>
        </w:rPr>
        <w:footnoteRef/>
      </w:r>
      <w:r w:rsidRPr="00C878A3">
        <w:t xml:space="preserve"> </w:t>
      </w:r>
      <w:r w:rsidRPr="00C878A3">
        <w:rPr>
          <w:i/>
        </w:rPr>
        <w:t>Id.</w:t>
      </w:r>
    </w:p>
  </w:footnote>
  <w:footnote w:id="6">
    <w:p w:rsidR="00191DFA" w:rsidRPr="00C878A3" w:rsidP="001B4103" w14:paraId="75EEF63A" w14:textId="77777777">
      <w:pPr>
        <w:pStyle w:val="FootnoteText"/>
        <w:spacing w:after="120"/>
      </w:pPr>
      <w:r w:rsidRPr="00C878A3">
        <w:rPr>
          <w:rStyle w:val="FootnoteReference"/>
        </w:rPr>
        <w:footnoteRef/>
      </w:r>
      <w:r w:rsidRPr="00C878A3">
        <w:t xml:space="preserve"> </w:t>
      </w:r>
      <w:r w:rsidRPr="00C878A3">
        <w:rPr>
          <w:i/>
        </w:rPr>
        <w:t>Id</w:t>
      </w:r>
      <w:r w:rsidRPr="00C878A3">
        <w:rPr>
          <w:iCs/>
        </w:rPr>
        <w:t>.</w:t>
      </w:r>
    </w:p>
  </w:footnote>
  <w:footnote w:id="7">
    <w:p w:rsidR="00191DFA" w:rsidRPr="00C878A3" w:rsidP="001B4103" w14:paraId="6B6907ED" w14:textId="77777777">
      <w:pPr>
        <w:pStyle w:val="FootnoteText"/>
        <w:tabs>
          <w:tab w:val="left" w:pos="1464"/>
        </w:tabs>
        <w:spacing w:after="120"/>
      </w:pPr>
      <w:r w:rsidRPr="00C878A3">
        <w:rPr>
          <w:rStyle w:val="FootnoteReference"/>
        </w:rPr>
        <w:footnoteRef/>
      </w:r>
      <w:r w:rsidRPr="00C878A3">
        <w:t xml:space="preserve"> </w:t>
      </w:r>
      <w:r w:rsidRPr="00C878A3">
        <w:rPr>
          <w:i/>
        </w:rPr>
        <w:t>Id</w:t>
      </w:r>
      <w:r w:rsidRPr="00C878A3">
        <w:rPr>
          <w:iCs/>
        </w:rPr>
        <w:t>.</w:t>
      </w:r>
    </w:p>
  </w:footnote>
  <w:footnote w:id="8">
    <w:p w:rsidR="001575E9" w:rsidP="001B4103" w14:paraId="4FDB0041" w14:textId="273AD9DF">
      <w:pPr>
        <w:pStyle w:val="FootnoteText"/>
        <w:spacing w:after="120"/>
      </w:pPr>
      <w:r>
        <w:rPr>
          <w:rStyle w:val="FootnoteReference"/>
        </w:rPr>
        <w:footnoteRef/>
      </w:r>
      <w:r>
        <w:t xml:space="preserve"> Order at </w:t>
      </w:r>
      <w:r w:rsidRPr="00C878A3">
        <w:t>¶</w:t>
      </w:r>
      <w:r>
        <w:t xml:space="preserve"> 14.</w:t>
      </w:r>
    </w:p>
  </w:footnote>
  <w:footnote w:id="9">
    <w:p w:rsidR="0081484B" w:rsidP="001B4103" w14:paraId="54976F29" w14:textId="7CE9D187">
      <w:pPr>
        <w:pStyle w:val="FootnoteText"/>
        <w:spacing w:after="120"/>
      </w:pPr>
      <w:r>
        <w:rPr>
          <w:rStyle w:val="FootnoteReference"/>
        </w:rPr>
        <w:footnoteRef/>
      </w:r>
      <w:r>
        <w:t xml:space="preserve"> PUCO Staff Recommendation (Sept</w:t>
      </w:r>
      <w:r w:rsidR="00F13481">
        <w:t xml:space="preserve">ember </w:t>
      </w:r>
      <w:r>
        <w:t>9, 2023)</w:t>
      </w:r>
      <w:r w:rsidR="002E18FE">
        <w:t>.</w:t>
      </w:r>
    </w:p>
  </w:footnote>
  <w:footnote w:id="10">
    <w:p w:rsidR="000D7D67" w:rsidP="001B4103" w14:paraId="4CA2E93B" w14:textId="77777777">
      <w:pPr>
        <w:pStyle w:val="FootnoteText"/>
        <w:spacing w:after="120"/>
      </w:pPr>
      <w:r>
        <w:rPr>
          <w:rStyle w:val="FootnoteReference"/>
        </w:rPr>
        <w:footnoteRef/>
      </w:r>
      <w:r>
        <w:t xml:space="preserve"> PUCO Staff Revised Recommendation (September 26, 2023).</w:t>
      </w:r>
    </w:p>
  </w:footnote>
  <w:footnote w:id="11">
    <w:p w:rsidR="000D7D67" w:rsidP="001B4103" w14:paraId="20DA56CD" w14:textId="77777777">
      <w:pPr>
        <w:pStyle w:val="FootnoteText"/>
        <w:spacing w:after="120"/>
      </w:pPr>
      <w:r>
        <w:rPr>
          <w:rStyle w:val="FootnoteReference"/>
        </w:rPr>
        <w:footnoteRef/>
      </w:r>
      <w:r>
        <w:t xml:space="preserve"> </w:t>
      </w:r>
      <w:r w:rsidRPr="00F0146C">
        <w:rPr>
          <w:i/>
          <w:iCs/>
        </w:rPr>
        <w:t>Id</w:t>
      </w:r>
      <w:r w:rsidRPr="008262BF">
        <w:t>.</w:t>
      </w:r>
    </w:p>
  </w:footnote>
  <w:footnote w:id="12">
    <w:p w:rsidR="004D7E1D" w:rsidP="001B4103" w14:paraId="038E2027" w14:textId="41EE7C20">
      <w:pPr>
        <w:pStyle w:val="FootnoteText"/>
        <w:spacing w:after="120"/>
      </w:pPr>
      <w:r>
        <w:rPr>
          <w:rStyle w:val="FootnoteReference"/>
        </w:rPr>
        <w:footnoteRef/>
      </w:r>
      <w:r>
        <w:t xml:space="preserve"> Order at ¶</w:t>
      </w:r>
      <w:r w:rsidR="006C2327">
        <w:t xml:space="preserve"> </w:t>
      </w:r>
      <w:r>
        <w:t>12</w:t>
      </w:r>
      <w:r w:rsidR="00EA2323">
        <w:t xml:space="preserve"> (emphasis added).</w:t>
      </w:r>
    </w:p>
  </w:footnote>
  <w:footnote w:id="13">
    <w:p w:rsidR="000C5A41" w:rsidP="001B4103" w14:paraId="30772768" w14:textId="3114BBEC">
      <w:pPr>
        <w:pStyle w:val="FootnoteText"/>
        <w:spacing w:after="120"/>
      </w:pPr>
      <w:r>
        <w:rPr>
          <w:rStyle w:val="FootnoteReference"/>
        </w:rPr>
        <w:footnoteRef/>
      </w:r>
      <w:r>
        <w:t xml:space="preserve"> </w:t>
      </w:r>
      <w:r w:rsidRPr="00A04FFA">
        <w:rPr>
          <w:i/>
          <w:iCs/>
        </w:rPr>
        <w:t>Tongren</w:t>
      </w:r>
      <w:r w:rsidRPr="003E1DEA" w:rsidR="003E1DEA">
        <w:rPr>
          <w:i/>
          <w:iCs/>
          <w:color w:val="auto"/>
          <w:szCs w:val="24"/>
        </w:rPr>
        <w:t xml:space="preserve"> </w:t>
      </w:r>
      <w:r w:rsidR="003E1DEA">
        <w:rPr>
          <w:i/>
          <w:iCs/>
          <w:color w:val="auto"/>
          <w:szCs w:val="24"/>
        </w:rPr>
        <w:t>v. Pub. Util. Comm</w:t>
      </w:r>
      <w:r w:rsidR="003E1DEA">
        <w:rPr>
          <w:color w:val="auto"/>
          <w:szCs w:val="24"/>
        </w:rPr>
        <w:t>.</w:t>
      </w:r>
      <w:r>
        <w:t>, 85 Ohio St.3</w:t>
      </w:r>
      <w:r w:rsidR="00CA5628">
        <w:t>d</w:t>
      </w:r>
      <w:r w:rsidR="00BC058E">
        <w:t xml:space="preserve"> 87</w:t>
      </w:r>
      <w:r w:rsidR="008A2D5F">
        <w:t xml:space="preserve"> </w:t>
      </w:r>
      <w:r>
        <w:t>at 89.</w:t>
      </w:r>
    </w:p>
  </w:footnote>
  <w:footnote w:id="14">
    <w:p w:rsidR="000C5A41" w:rsidP="001B4103" w14:paraId="563C33BA" w14:textId="484B0377">
      <w:pPr>
        <w:pStyle w:val="FootnoteText"/>
        <w:spacing w:after="120"/>
      </w:pPr>
      <w:r>
        <w:rPr>
          <w:rStyle w:val="FootnoteReference"/>
        </w:rPr>
        <w:footnoteRef/>
      </w:r>
      <w:r>
        <w:t xml:space="preserve"> </w:t>
      </w:r>
      <w:r w:rsidRPr="00A04FFA">
        <w:rPr>
          <w:i/>
          <w:iCs/>
        </w:rPr>
        <w:t>Id.</w:t>
      </w:r>
    </w:p>
  </w:footnote>
  <w:footnote w:id="15">
    <w:p w:rsidR="000C5A41" w:rsidP="001B4103" w14:paraId="5911A995" w14:textId="182DB4A5">
      <w:pPr>
        <w:pStyle w:val="FootnoteText"/>
        <w:spacing w:after="120"/>
      </w:pPr>
      <w:r>
        <w:rPr>
          <w:rStyle w:val="FootnoteReference"/>
        </w:rPr>
        <w:footnoteRef/>
      </w:r>
      <w:bookmarkStart w:id="31" w:name="_Hlk149902622"/>
      <w:r w:rsidR="00DD7B89">
        <w:rPr>
          <w:i/>
          <w:iCs/>
        </w:rPr>
        <w:t xml:space="preserve"> </w:t>
      </w:r>
      <w:r w:rsidRPr="00A04FFA">
        <w:rPr>
          <w:i/>
          <w:iCs/>
        </w:rPr>
        <w:t>Id.</w:t>
      </w:r>
      <w:r>
        <w:t xml:space="preserve"> at </w:t>
      </w:r>
      <w:r w:rsidR="003C34BE">
        <w:t>92</w:t>
      </w:r>
      <w:bookmarkEnd w:id="31"/>
      <w:r w:rsidR="003C34BE">
        <w:t>-93.</w:t>
      </w:r>
      <w:r>
        <w:t xml:space="preserve"> </w:t>
      </w:r>
    </w:p>
  </w:footnote>
  <w:footnote w:id="16">
    <w:p w:rsidR="003C34BE" w:rsidP="001B4103" w14:paraId="70615210" w14:textId="02590786">
      <w:pPr>
        <w:pStyle w:val="FootnoteText"/>
        <w:spacing w:after="120"/>
      </w:pPr>
      <w:r>
        <w:rPr>
          <w:rStyle w:val="FootnoteReference"/>
        </w:rPr>
        <w:footnoteRef/>
      </w:r>
      <w:r w:rsidR="00A72696">
        <w:rPr>
          <w:i/>
          <w:iCs/>
        </w:rPr>
        <w:t xml:space="preserve"> </w:t>
      </w:r>
      <w:r w:rsidRPr="004333DC">
        <w:rPr>
          <w:i/>
          <w:iCs/>
        </w:rPr>
        <w:t>Id.</w:t>
      </w:r>
      <w:r>
        <w:t xml:space="preserve"> at 90. </w:t>
      </w:r>
    </w:p>
  </w:footnote>
  <w:footnote w:id="17">
    <w:p w:rsidR="003C34BE" w:rsidP="001B4103" w14:paraId="3AE4C324" w14:textId="6B87B5DD">
      <w:pPr>
        <w:pStyle w:val="FootnoteText"/>
        <w:spacing w:after="120"/>
      </w:pPr>
      <w:r>
        <w:rPr>
          <w:rStyle w:val="FootnoteReference"/>
        </w:rPr>
        <w:footnoteRef/>
      </w:r>
      <w:r>
        <w:t xml:space="preserve"> </w:t>
      </w:r>
      <w:r w:rsidRPr="004333DC">
        <w:rPr>
          <w:i/>
          <w:iCs/>
        </w:rPr>
        <w:t>Id.</w:t>
      </w:r>
    </w:p>
  </w:footnote>
  <w:footnote w:id="18">
    <w:p w:rsidR="005B50F1" w:rsidP="001B4103" w14:paraId="728CF0F5" w14:textId="607E60A2">
      <w:pPr>
        <w:pStyle w:val="FootnoteText"/>
        <w:spacing w:after="120"/>
      </w:pPr>
      <w:r>
        <w:rPr>
          <w:rStyle w:val="FootnoteReference"/>
        </w:rPr>
        <w:footnoteRef/>
      </w:r>
      <w:r>
        <w:t xml:space="preserve"> </w:t>
      </w:r>
      <w:r w:rsidRPr="00A04FFA">
        <w:rPr>
          <w:i/>
          <w:iCs/>
        </w:rPr>
        <w:t>Id.</w:t>
      </w:r>
    </w:p>
  </w:footnote>
  <w:footnote w:id="19">
    <w:p w:rsidR="003D4A58" w:rsidP="001B4103" w14:paraId="79752DBE" w14:textId="77777777">
      <w:pPr>
        <w:pStyle w:val="FootnoteText"/>
        <w:spacing w:after="120"/>
      </w:pPr>
      <w:r>
        <w:rPr>
          <w:rStyle w:val="FootnoteReference"/>
        </w:rPr>
        <w:footnoteRef/>
      </w:r>
      <w:r>
        <w:t xml:space="preserve"> </w:t>
      </w:r>
      <w:r w:rsidRPr="00A04FFA">
        <w:rPr>
          <w:i/>
          <w:iCs/>
        </w:rPr>
        <w:t>Id.</w:t>
      </w:r>
    </w:p>
  </w:footnote>
  <w:footnote w:id="20">
    <w:p w:rsidR="006B268D" w:rsidP="001B4103" w14:paraId="2D954076" w14:textId="73DF3954">
      <w:pPr>
        <w:pStyle w:val="FootnoteText"/>
        <w:spacing w:after="120"/>
      </w:pPr>
      <w:r>
        <w:rPr>
          <w:rStyle w:val="FootnoteReference"/>
        </w:rPr>
        <w:footnoteRef/>
      </w:r>
      <w:r>
        <w:t xml:space="preserve"> Staff Review and Recommendation (Sep</w:t>
      </w:r>
      <w:r w:rsidR="00460386">
        <w:t>tember</w:t>
      </w:r>
      <w:r>
        <w:t xml:space="preserve"> 7, 2023)</w:t>
      </w:r>
      <w:r w:rsidR="007C484F">
        <w:t>.</w:t>
      </w:r>
    </w:p>
  </w:footnote>
  <w:footnote w:id="21">
    <w:p w:rsidR="000A79AC" w:rsidP="001B4103" w14:paraId="12FA1C99" w14:textId="2583BF93">
      <w:pPr>
        <w:pStyle w:val="FootnoteText"/>
        <w:spacing w:after="120"/>
      </w:pPr>
      <w:r>
        <w:rPr>
          <w:rStyle w:val="FootnoteReference"/>
        </w:rPr>
        <w:footnoteRef/>
      </w:r>
      <w:r>
        <w:t xml:space="preserve"> Staff Review and Recommendation – Update (Sept</w:t>
      </w:r>
      <w:r w:rsidR="007C484F">
        <w:t>ember</w:t>
      </w:r>
      <w:r>
        <w:t xml:space="preserve"> 26, 2023). </w:t>
      </w:r>
    </w:p>
  </w:footnote>
  <w:footnote w:id="22">
    <w:p w:rsidR="000A0F8A" w:rsidP="001B4103" w14:paraId="740B4D09" w14:textId="2D983F5B">
      <w:pPr>
        <w:pStyle w:val="FootnoteText"/>
        <w:spacing w:after="120"/>
      </w:pPr>
      <w:r>
        <w:rPr>
          <w:rStyle w:val="FootnoteReference"/>
        </w:rPr>
        <w:footnoteRef/>
      </w:r>
      <w:r>
        <w:t xml:space="preserve"> </w:t>
      </w:r>
      <w:r w:rsidRPr="00A04FFA">
        <w:rPr>
          <w:i/>
          <w:iCs/>
        </w:rPr>
        <w:t>Id</w:t>
      </w:r>
      <w:r>
        <w:t xml:space="preserve">. at </w:t>
      </w:r>
      <w:r w:rsidRPr="00C878A3">
        <w:t>¶</w:t>
      </w:r>
      <w:r>
        <w:t xml:space="preserve"> 15.</w:t>
      </w:r>
    </w:p>
  </w:footnote>
  <w:footnote w:id="23">
    <w:p w:rsidR="00BE5F29" w:rsidP="001B4103" w14:paraId="1AD9F863" w14:textId="0A70F219">
      <w:pPr>
        <w:pStyle w:val="FootnoteText"/>
        <w:spacing w:after="120"/>
      </w:pPr>
      <w:r>
        <w:rPr>
          <w:rStyle w:val="FootnoteReference"/>
        </w:rPr>
        <w:footnoteRef/>
      </w:r>
      <w:r>
        <w:t xml:space="preserve"> Opinion and Order at ¶</w:t>
      </w:r>
      <w:r w:rsidR="00235E18">
        <w:t xml:space="preserve"> </w:t>
      </w:r>
      <w:r>
        <w:t xml:space="preserve">12. </w:t>
      </w:r>
    </w:p>
  </w:footnote>
  <w:footnote w:id="24">
    <w:p w:rsidR="000D7D67" w:rsidP="001B4103" w14:paraId="1A60F6D6" w14:textId="77777777">
      <w:pPr>
        <w:pStyle w:val="FootnoteText"/>
        <w:spacing w:after="120"/>
      </w:pPr>
      <w:r>
        <w:rPr>
          <w:rStyle w:val="FootnoteReference"/>
        </w:rPr>
        <w:footnoteRef/>
      </w:r>
      <w:r>
        <w:t xml:space="preserve"> Entry at </w:t>
      </w:r>
      <w:r w:rsidRPr="00177B5A">
        <w:t>¶</w:t>
      </w:r>
      <w:r>
        <w:t xml:space="preserve"> </w:t>
      </w:r>
      <w:r w:rsidRPr="00177B5A">
        <w:t>7</w:t>
      </w:r>
      <w:r>
        <w:t xml:space="preserve"> (September 8, 2023).</w:t>
      </w:r>
    </w:p>
  </w:footnote>
  <w:footnote w:id="25">
    <w:p w:rsidR="000D7D67" w:rsidRPr="00E04E99" w:rsidP="001B4103" w14:paraId="14EA37FA" w14:textId="77777777">
      <w:pPr>
        <w:pStyle w:val="FootnoteText"/>
        <w:spacing w:after="120"/>
      </w:pPr>
      <w:r>
        <w:rPr>
          <w:rStyle w:val="FootnoteReference"/>
        </w:rPr>
        <w:footnoteRef/>
      </w:r>
      <w:r>
        <w:t xml:space="preserve"> </w:t>
      </w:r>
      <w:r>
        <w:rPr>
          <w:i/>
          <w:iCs/>
        </w:rPr>
        <w:t xml:space="preserve">See, e.g., </w:t>
      </w:r>
      <w:r>
        <w:t>O.A.C. 4901-1-38(B).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57E0" w14:paraId="624F6D3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57E0" w14:paraId="46EDA60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57E0" w14:paraId="3C69DC6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241ABE"/>
    <w:multiLevelType w:val="hybridMultilevel"/>
    <w:tmpl w:val="D3226C46"/>
    <w:lvl w:ilvl="0">
      <w:start w:val="3"/>
      <w:numFmt w:val="upperLetter"/>
      <w:lvlText w:val="%1."/>
      <w:lvlJc w:val="left"/>
      <w:pPr>
        <w:ind w:left="720" w:hanging="360"/>
      </w:pPr>
      <w:rPr>
        <w:rFonts w:eastAsiaTheme="majorEastAsi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48024B"/>
    <w:multiLevelType w:val="hybridMultilevel"/>
    <w:tmpl w:val="A5065CFE"/>
    <w:lvl w:ilvl="0">
      <w:start w:val="1"/>
      <w:numFmt w:val="upperLetter"/>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4094326"/>
    <w:multiLevelType w:val="hybridMultilevel"/>
    <w:tmpl w:val="7998285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B2C1866"/>
    <w:multiLevelType w:val="hybridMultilevel"/>
    <w:tmpl w:val="6CB612A6"/>
    <w:lvl w:ilvl="0">
      <w:start w:val="3"/>
      <w:numFmt w:val="upperLetter"/>
      <w:lvlText w:val="%1."/>
      <w:lvlJc w:val="left"/>
      <w:pPr>
        <w:ind w:left="1080" w:hanging="360"/>
      </w:pPr>
      <w:rPr>
        <w:rFonts w:eastAsiaTheme="majorEastAsia"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EFB292A"/>
    <w:multiLevelType w:val="hybridMultilevel"/>
    <w:tmpl w:val="F948D00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DBE1651"/>
    <w:multiLevelType w:val="hybridMultilevel"/>
    <w:tmpl w:val="5824B87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F300D68"/>
    <w:multiLevelType w:val="hybridMultilevel"/>
    <w:tmpl w:val="0E4CE024"/>
    <w:lvl w:ilvl="0">
      <w:start w:val="1"/>
      <w:numFmt w:val="bullet"/>
      <w:lvlText w:val=""/>
      <w:lvlJc w:val="left"/>
      <w:pPr>
        <w:ind w:left="1800" w:hanging="360"/>
      </w:pPr>
      <w:rPr>
        <w:rFonts w:ascii="Symbol" w:hAnsi="Symbol"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3C235D72"/>
    <w:multiLevelType w:val="hybridMultilevel"/>
    <w:tmpl w:val="052CCE2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22B5011"/>
    <w:multiLevelType w:val="hybridMultilevel"/>
    <w:tmpl w:val="CEB80070"/>
    <w:lvl w:ilvl="0">
      <w:start w:val="3"/>
      <w:numFmt w:val="upperLetter"/>
      <w:lvlText w:val="%1."/>
      <w:lvlJc w:val="left"/>
      <w:pPr>
        <w:ind w:left="1080" w:hanging="360"/>
      </w:pPr>
      <w:rPr>
        <w:rFonts w:eastAsiaTheme="majorEastAsia"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7B640110"/>
    <w:multiLevelType w:val="hybridMultilevel"/>
    <w:tmpl w:val="0900C7A4"/>
    <w:lvl w:ilvl="0">
      <w:start w:val="1"/>
      <w:numFmt w:val="decimal"/>
      <w:lvlText w:val="%1."/>
      <w:lvlJc w:val="left"/>
      <w:pPr>
        <w:ind w:left="1800" w:hanging="360"/>
      </w:pPr>
      <w:rPr>
        <w:rFonts w:hint="default"/>
        <w:b w:val="0"/>
        <w:bCs/>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1"/>
  </w:num>
  <w:num w:numId="2">
    <w:abstractNumId w:val="5"/>
  </w:num>
  <w:num w:numId="3">
    <w:abstractNumId w:val="7"/>
  </w:num>
  <w:num w:numId="4">
    <w:abstractNumId w:val="2"/>
  </w:num>
  <w:num w:numId="5">
    <w:abstractNumId w:val="9"/>
  </w:num>
  <w:num w:numId="6">
    <w:abstractNumId w:val="4"/>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A1"/>
    <w:rsid w:val="0000173C"/>
    <w:rsid w:val="00004590"/>
    <w:rsid w:val="000065DE"/>
    <w:rsid w:val="000127A5"/>
    <w:rsid w:val="000139AC"/>
    <w:rsid w:val="0001576A"/>
    <w:rsid w:val="00024E7E"/>
    <w:rsid w:val="00031CD2"/>
    <w:rsid w:val="00036888"/>
    <w:rsid w:val="00037137"/>
    <w:rsid w:val="0004353C"/>
    <w:rsid w:val="00052A34"/>
    <w:rsid w:val="0006250B"/>
    <w:rsid w:val="000643C4"/>
    <w:rsid w:val="00066178"/>
    <w:rsid w:val="00080A00"/>
    <w:rsid w:val="000816BB"/>
    <w:rsid w:val="00081D24"/>
    <w:rsid w:val="00082F5F"/>
    <w:rsid w:val="000846BD"/>
    <w:rsid w:val="00085474"/>
    <w:rsid w:val="00085F96"/>
    <w:rsid w:val="00086436"/>
    <w:rsid w:val="00090B6C"/>
    <w:rsid w:val="00090EA8"/>
    <w:rsid w:val="00094B86"/>
    <w:rsid w:val="00096AA2"/>
    <w:rsid w:val="000A0F8A"/>
    <w:rsid w:val="000A79AC"/>
    <w:rsid w:val="000B3495"/>
    <w:rsid w:val="000B4853"/>
    <w:rsid w:val="000B55A6"/>
    <w:rsid w:val="000B7FD3"/>
    <w:rsid w:val="000C3D29"/>
    <w:rsid w:val="000C5A41"/>
    <w:rsid w:val="000C6E39"/>
    <w:rsid w:val="000C729A"/>
    <w:rsid w:val="000C7A23"/>
    <w:rsid w:val="000D0AC9"/>
    <w:rsid w:val="000D2D75"/>
    <w:rsid w:val="000D3BFA"/>
    <w:rsid w:val="000D5892"/>
    <w:rsid w:val="000D7D67"/>
    <w:rsid w:val="000E10F0"/>
    <w:rsid w:val="000F123F"/>
    <w:rsid w:val="000F4170"/>
    <w:rsid w:val="000F7719"/>
    <w:rsid w:val="000F7BB3"/>
    <w:rsid w:val="00106C15"/>
    <w:rsid w:val="00117F07"/>
    <w:rsid w:val="00120D88"/>
    <w:rsid w:val="0012117B"/>
    <w:rsid w:val="00124992"/>
    <w:rsid w:val="00131990"/>
    <w:rsid w:val="00134F8C"/>
    <w:rsid w:val="00135A9C"/>
    <w:rsid w:val="00137E4B"/>
    <w:rsid w:val="001420AB"/>
    <w:rsid w:val="00143972"/>
    <w:rsid w:val="001479A7"/>
    <w:rsid w:val="00151693"/>
    <w:rsid w:val="00157173"/>
    <w:rsid w:val="001575E9"/>
    <w:rsid w:val="0015796A"/>
    <w:rsid w:val="001633AC"/>
    <w:rsid w:val="00166FAB"/>
    <w:rsid w:val="00167458"/>
    <w:rsid w:val="00167B9D"/>
    <w:rsid w:val="0017765B"/>
    <w:rsid w:val="00177B5A"/>
    <w:rsid w:val="0018151B"/>
    <w:rsid w:val="00187CDC"/>
    <w:rsid w:val="00191DFA"/>
    <w:rsid w:val="001A179F"/>
    <w:rsid w:val="001A4581"/>
    <w:rsid w:val="001A773F"/>
    <w:rsid w:val="001B31DB"/>
    <w:rsid w:val="001B4103"/>
    <w:rsid w:val="001B6894"/>
    <w:rsid w:val="001B728F"/>
    <w:rsid w:val="001C1EEC"/>
    <w:rsid w:val="001C32BD"/>
    <w:rsid w:val="001C5147"/>
    <w:rsid w:val="001D4BBD"/>
    <w:rsid w:val="001E57BE"/>
    <w:rsid w:val="001F0837"/>
    <w:rsid w:val="001F2851"/>
    <w:rsid w:val="001F45DD"/>
    <w:rsid w:val="001F4E7E"/>
    <w:rsid w:val="00200BE3"/>
    <w:rsid w:val="00201166"/>
    <w:rsid w:val="0020449B"/>
    <w:rsid w:val="00207046"/>
    <w:rsid w:val="00216524"/>
    <w:rsid w:val="0022137E"/>
    <w:rsid w:val="0022283F"/>
    <w:rsid w:val="00222936"/>
    <w:rsid w:val="00225588"/>
    <w:rsid w:val="0022630D"/>
    <w:rsid w:val="00226B43"/>
    <w:rsid w:val="00235378"/>
    <w:rsid w:val="00235E18"/>
    <w:rsid w:val="002403D2"/>
    <w:rsid w:val="0024143D"/>
    <w:rsid w:val="00251FF0"/>
    <w:rsid w:val="00252695"/>
    <w:rsid w:val="00253D21"/>
    <w:rsid w:val="002558AF"/>
    <w:rsid w:val="002645BB"/>
    <w:rsid w:val="00266E6F"/>
    <w:rsid w:val="002909E5"/>
    <w:rsid w:val="00290DA0"/>
    <w:rsid w:val="00293A06"/>
    <w:rsid w:val="002A1C15"/>
    <w:rsid w:val="002A2753"/>
    <w:rsid w:val="002A436B"/>
    <w:rsid w:val="002D0A02"/>
    <w:rsid w:val="002D247D"/>
    <w:rsid w:val="002D3EFA"/>
    <w:rsid w:val="002D7D49"/>
    <w:rsid w:val="002E18FE"/>
    <w:rsid w:val="002E6E09"/>
    <w:rsid w:val="002F32A5"/>
    <w:rsid w:val="003008A6"/>
    <w:rsid w:val="003111E7"/>
    <w:rsid w:val="00311403"/>
    <w:rsid w:val="00325C38"/>
    <w:rsid w:val="00334172"/>
    <w:rsid w:val="00334F50"/>
    <w:rsid w:val="003373A5"/>
    <w:rsid w:val="00337849"/>
    <w:rsid w:val="00340480"/>
    <w:rsid w:val="00340B4F"/>
    <w:rsid w:val="00341C61"/>
    <w:rsid w:val="00343370"/>
    <w:rsid w:val="00345910"/>
    <w:rsid w:val="00363DA3"/>
    <w:rsid w:val="003648F8"/>
    <w:rsid w:val="00372D59"/>
    <w:rsid w:val="00374A6D"/>
    <w:rsid w:val="00386A28"/>
    <w:rsid w:val="003875BD"/>
    <w:rsid w:val="00387F02"/>
    <w:rsid w:val="00390137"/>
    <w:rsid w:val="00391EBC"/>
    <w:rsid w:val="003923A6"/>
    <w:rsid w:val="00396CE2"/>
    <w:rsid w:val="003A2370"/>
    <w:rsid w:val="003A4203"/>
    <w:rsid w:val="003B475C"/>
    <w:rsid w:val="003B6B4D"/>
    <w:rsid w:val="003B7567"/>
    <w:rsid w:val="003C34BE"/>
    <w:rsid w:val="003D152F"/>
    <w:rsid w:val="003D4A58"/>
    <w:rsid w:val="003D57E0"/>
    <w:rsid w:val="003D6474"/>
    <w:rsid w:val="003E1DEA"/>
    <w:rsid w:val="003E32B4"/>
    <w:rsid w:val="003E430A"/>
    <w:rsid w:val="003E6CCF"/>
    <w:rsid w:val="003E6D18"/>
    <w:rsid w:val="003F0404"/>
    <w:rsid w:val="00401CCF"/>
    <w:rsid w:val="004037BA"/>
    <w:rsid w:val="0040497B"/>
    <w:rsid w:val="00405021"/>
    <w:rsid w:val="00414E67"/>
    <w:rsid w:val="004160B4"/>
    <w:rsid w:val="00423E3A"/>
    <w:rsid w:val="00423F6C"/>
    <w:rsid w:val="00424951"/>
    <w:rsid w:val="004333DC"/>
    <w:rsid w:val="00437363"/>
    <w:rsid w:val="00457311"/>
    <w:rsid w:val="00460386"/>
    <w:rsid w:val="00465E88"/>
    <w:rsid w:val="00467381"/>
    <w:rsid w:val="004740AF"/>
    <w:rsid w:val="004744FA"/>
    <w:rsid w:val="00475C12"/>
    <w:rsid w:val="004763F7"/>
    <w:rsid w:val="004769BF"/>
    <w:rsid w:val="00476AA1"/>
    <w:rsid w:val="0048266F"/>
    <w:rsid w:val="00495DCE"/>
    <w:rsid w:val="004A313A"/>
    <w:rsid w:val="004A3167"/>
    <w:rsid w:val="004A7CC7"/>
    <w:rsid w:val="004A7F30"/>
    <w:rsid w:val="004C33E3"/>
    <w:rsid w:val="004D09DD"/>
    <w:rsid w:val="004D7E1D"/>
    <w:rsid w:val="004E6ED8"/>
    <w:rsid w:val="004F5BCF"/>
    <w:rsid w:val="00521D0C"/>
    <w:rsid w:val="005316CD"/>
    <w:rsid w:val="00535F30"/>
    <w:rsid w:val="005367A3"/>
    <w:rsid w:val="00542311"/>
    <w:rsid w:val="005436D4"/>
    <w:rsid w:val="00552A7D"/>
    <w:rsid w:val="00554AC4"/>
    <w:rsid w:val="00564001"/>
    <w:rsid w:val="00570F67"/>
    <w:rsid w:val="0057608B"/>
    <w:rsid w:val="00582D00"/>
    <w:rsid w:val="00590749"/>
    <w:rsid w:val="00593BD7"/>
    <w:rsid w:val="0059618D"/>
    <w:rsid w:val="005B1148"/>
    <w:rsid w:val="005B485F"/>
    <w:rsid w:val="005B50F1"/>
    <w:rsid w:val="005B59B0"/>
    <w:rsid w:val="005B62E5"/>
    <w:rsid w:val="005E04BF"/>
    <w:rsid w:val="005E09B3"/>
    <w:rsid w:val="005E3D43"/>
    <w:rsid w:val="005E781C"/>
    <w:rsid w:val="00600AAC"/>
    <w:rsid w:val="00603125"/>
    <w:rsid w:val="006032CD"/>
    <w:rsid w:val="00606F85"/>
    <w:rsid w:val="00611A65"/>
    <w:rsid w:val="006135A2"/>
    <w:rsid w:val="00613649"/>
    <w:rsid w:val="006145F6"/>
    <w:rsid w:val="00615122"/>
    <w:rsid w:val="00617946"/>
    <w:rsid w:val="00620482"/>
    <w:rsid w:val="00625511"/>
    <w:rsid w:val="0063458C"/>
    <w:rsid w:val="0063601E"/>
    <w:rsid w:val="00636B0B"/>
    <w:rsid w:val="00636D77"/>
    <w:rsid w:val="00637466"/>
    <w:rsid w:val="0064110D"/>
    <w:rsid w:val="00645FE2"/>
    <w:rsid w:val="00652FED"/>
    <w:rsid w:val="006530FE"/>
    <w:rsid w:val="00661726"/>
    <w:rsid w:val="006620DA"/>
    <w:rsid w:val="006633E3"/>
    <w:rsid w:val="00673F29"/>
    <w:rsid w:val="00676D4B"/>
    <w:rsid w:val="006806DC"/>
    <w:rsid w:val="0069112D"/>
    <w:rsid w:val="00691C08"/>
    <w:rsid w:val="00691D24"/>
    <w:rsid w:val="006A1FCA"/>
    <w:rsid w:val="006A6CB2"/>
    <w:rsid w:val="006B1265"/>
    <w:rsid w:val="006B22E8"/>
    <w:rsid w:val="006B2355"/>
    <w:rsid w:val="006B268D"/>
    <w:rsid w:val="006B7684"/>
    <w:rsid w:val="006C019B"/>
    <w:rsid w:val="006C0D75"/>
    <w:rsid w:val="006C2327"/>
    <w:rsid w:val="006C4A2C"/>
    <w:rsid w:val="006C52F4"/>
    <w:rsid w:val="006C5631"/>
    <w:rsid w:val="006D41AF"/>
    <w:rsid w:val="006D6A32"/>
    <w:rsid w:val="006D6FFB"/>
    <w:rsid w:val="006D7898"/>
    <w:rsid w:val="006E4DBB"/>
    <w:rsid w:val="006E54D6"/>
    <w:rsid w:val="006F16EF"/>
    <w:rsid w:val="006F7620"/>
    <w:rsid w:val="006F79EE"/>
    <w:rsid w:val="00706722"/>
    <w:rsid w:val="00713EB3"/>
    <w:rsid w:val="00715B0F"/>
    <w:rsid w:val="00720DD4"/>
    <w:rsid w:val="00724CEB"/>
    <w:rsid w:val="00731034"/>
    <w:rsid w:val="0073260A"/>
    <w:rsid w:val="0073465A"/>
    <w:rsid w:val="00736EB5"/>
    <w:rsid w:val="0074568A"/>
    <w:rsid w:val="0075747D"/>
    <w:rsid w:val="007610AE"/>
    <w:rsid w:val="007627CA"/>
    <w:rsid w:val="00763C58"/>
    <w:rsid w:val="00767851"/>
    <w:rsid w:val="00772A56"/>
    <w:rsid w:val="0077540C"/>
    <w:rsid w:val="00784076"/>
    <w:rsid w:val="007853B3"/>
    <w:rsid w:val="00786553"/>
    <w:rsid w:val="00792DD3"/>
    <w:rsid w:val="007A4F6D"/>
    <w:rsid w:val="007A4FC2"/>
    <w:rsid w:val="007B0087"/>
    <w:rsid w:val="007B5874"/>
    <w:rsid w:val="007C35FC"/>
    <w:rsid w:val="007C46CB"/>
    <w:rsid w:val="007C484F"/>
    <w:rsid w:val="007D0B73"/>
    <w:rsid w:val="007D36A9"/>
    <w:rsid w:val="007E0535"/>
    <w:rsid w:val="007E100E"/>
    <w:rsid w:val="007E13C1"/>
    <w:rsid w:val="007E52C5"/>
    <w:rsid w:val="007F1AC3"/>
    <w:rsid w:val="008034D7"/>
    <w:rsid w:val="0080772B"/>
    <w:rsid w:val="00812543"/>
    <w:rsid w:val="0081484B"/>
    <w:rsid w:val="00816525"/>
    <w:rsid w:val="00817A83"/>
    <w:rsid w:val="00823447"/>
    <w:rsid w:val="008262BF"/>
    <w:rsid w:val="008449B2"/>
    <w:rsid w:val="008539E8"/>
    <w:rsid w:val="00857115"/>
    <w:rsid w:val="0086118F"/>
    <w:rsid w:val="00866D7F"/>
    <w:rsid w:val="00870449"/>
    <w:rsid w:val="0087373E"/>
    <w:rsid w:val="00876B1A"/>
    <w:rsid w:val="00883A40"/>
    <w:rsid w:val="00886965"/>
    <w:rsid w:val="00890434"/>
    <w:rsid w:val="00890DEE"/>
    <w:rsid w:val="00893F99"/>
    <w:rsid w:val="008970EB"/>
    <w:rsid w:val="008A2D5F"/>
    <w:rsid w:val="008B1E43"/>
    <w:rsid w:val="008B2663"/>
    <w:rsid w:val="008C210C"/>
    <w:rsid w:val="008C30A1"/>
    <w:rsid w:val="008C40CA"/>
    <w:rsid w:val="008C47F7"/>
    <w:rsid w:val="008D0550"/>
    <w:rsid w:val="008D440E"/>
    <w:rsid w:val="008D4507"/>
    <w:rsid w:val="008E0DBD"/>
    <w:rsid w:val="008E1F90"/>
    <w:rsid w:val="008E552A"/>
    <w:rsid w:val="008F3FB4"/>
    <w:rsid w:val="00901B88"/>
    <w:rsid w:val="00925319"/>
    <w:rsid w:val="009328BA"/>
    <w:rsid w:val="00935174"/>
    <w:rsid w:val="00935C21"/>
    <w:rsid w:val="00937E6C"/>
    <w:rsid w:val="009431E2"/>
    <w:rsid w:val="00947056"/>
    <w:rsid w:val="0095278F"/>
    <w:rsid w:val="00954CB3"/>
    <w:rsid w:val="00970FBC"/>
    <w:rsid w:val="00971018"/>
    <w:rsid w:val="00975B60"/>
    <w:rsid w:val="009777B1"/>
    <w:rsid w:val="00982F77"/>
    <w:rsid w:val="00983926"/>
    <w:rsid w:val="009847DE"/>
    <w:rsid w:val="009858F9"/>
    <w:rsid w:val="00987044"/>
    <w:rsid w:val="009A6264"/>
    <w:rsid w:val="009B053B"/>
    <w:rsid w:val="009B0EBD"/>
    <w:rsid w:val="009B113E"/>
    <w:rsid w:val="009B13E0"/>
    <w:rsid w:val="009B343E"/>
    <w:rsid w:val="009B7FE2"/>
    <w:rsid w:val="009C1002"/>
    <w:rsid w:val="009C1C7B"/>
    <w:rsid w:val="009C32B6"/>
    <w:rsid w:val="009C32D8"/>
    <w:rsid w:val="009C441E"/>
    <w:rsid w:val="009C57BE"/>
    <w:rsid w:val="009C6D95"/>
    <w:rsid w:val="009C75AC"/>
    <w:rsid w:val="009C7BE1"/>
    <w:rsid w:val="009D1001"/>
    <w:rsid w:val="009D3C63"/>
    <w:rsid w:val="009D5CCE"/>
    <w:rsid w:val="009E036E"/>
    <w:rsid w:val="009F074E"/>
    <w:rsid w:val="009F3F5D"/>
    <w:rsid w:val="009F686C"/>
    <w:rsid w:val="00A011D0"/>
    <w:rsid w:val="00A04FFA"/>
    <w:rsid w:val="00A07A8E"/>
    <w:rsid w:val="00A32502"/>
    <w:rsid w:val="00A4047F"/>
    <w:rsid w:val="00A464FA"/>
    <w:rsid w:val="00A63C4A"/>
    <w:rsid w:val="00A64D82"/>
    <w:rsid w:val="00A66A5F"/>
    <w:rsid w:val="00A66D3D"/>
    <w:rsid w:val="00A72696"/>
    <w:rsid w:val="00A74233"/>
    <w:rsid w:val="00A81EC2"/>
    <w:rsid w:val="00A83689"/>
    <w:rsid w:val="00A8732C"/>
    <w:rsid w:val="00A91D60"/>
    <w:rsid w:val="00A92B3F"/>
    <w:rsid w:val="00A9321B"/>
    <w:rsid w:val="00A93E42"/>
    <w:rsid w:val="00A97196"/>
    <w:rsid w:val="00AA29FB"/>
    <w:rsid w:val="00AA2AA1"/>
    <w:rsid w:val="00AA2BD6"/>
    <w:rsid w:val="00AA7663"/>
    <w:rsid w:val="00AA7B5B"/>
    <w:rsid w:val="00AB3EE2"/>
    <w:rsid w:val="00AC1762"/>
    <w:rsid w:val="00AC1C36"/>
    <w:rsid w:val="00AC1C99"/>
    <w:rsid w:val="00AC2934"/>
    <w:rsid w:val="00AD06D5"/>
    <w:rsid w:val="00AD1B32"/>
    <w:rsid w:val="00AD29C3"/>
    <w:rsid w:val="00AD690F"/>
    <w:rsid w:val="00AE4C3B"/>
    <w:rsid w:val="00AE5EF4"/>
    <w:rsid w:val="00AF4280"/>
    <w:rsid w:val="00AF6AE2"/>
    <w:rsid w:val="00AF7558"/>
    <w:rsid w:val="00B039C3"/>
    <w:rsid w:val="00B11642"/>
    <w:rsid w:val="00B132C6"/>
    <w:rsid w:val="00B27935"/>
    <w:rsid w:val="00B31959"/>
    <w:rsid w:val="00B52FBF"/>
    <w:rsid w:val="00B54757"/>
    <w:rsid w:val="00B63A3C"/>
    <w:rsid w:val="00B64C27"/>
    <w:rsid w:val="00B6529E"/>
    <w:rsid w:val="00B6670D"/>
    <w:rsid w:val="00B73A71"/>
    <w:rsid w:val="00B74EDE"/>
    <w:rsid w:val="00B75D71"/>
    <w:rsid w:val="00B7618B"/>
    <w:rsid w:val="00B769A4"/>
    <w:rsid w:val="00B81427"/>
    <w:rsid w:val="00B81B2E"/>
    <w:rsid w:val="00B82388"/>
    <w:rsid w:val="00B8451E"/>
    <w:rsid w:val="00B8617E"/>
    <w:rsid w:val="00B97003"/>
    <w:rsid w:val="00B97929"/>
    <w:rsid w:val="00B97AA8"/>
    <w:rsid w:val="00BA6C52"/>
    <w:rsid w:val="00BB1D3F"/>
    <w:rsid w:val="00BB2590"/>
    <w:rsid w:val="00BC058E"/>
    <w:rsid w:val="00BC7A5B"/>
    <w:rsid w:val="00BE5177"/>
    <w:rsid w:val="00BE5C4D"/>
    <w:rsid w:val="00BE5F29"/>
    <w:rsid w:val="00BE7604"/>
    <w:rsid w:val="00C0356E"/>
    <w:rsid w:val="00C03883"/>
    <w:rsid w:val="00C158C7"/>
    <w:rsid w:val="00C22CCB"/>
    <w:rsid w:val="00C24EE9"/>
    <w:rsid w:val="00C27221"/>
    <w:rsid w:val="00C3165A"/>
    <w:rsid w:val="00C325FB"/>
    <w:rsid w:val="00C35CD0"/>
    <w:rsid w:val="00C3644F"/>
    <w:rsid w:val="00C372B3"/>
    <w:rsid w:val="00C43FAF"/>
    <w:rsid w:val="00C44EA5"/>
    <w:rsid w:val="00C455C2"/>
    <w:rsid w:val="00C4779C"/>
    <w:rsid w:val="00C50CCC"/>
    <w:rsid w:val="00C51B85"/>
    <w:rsid w:val="00C5278A"/>
    <w:rsid w:val="00C70A3E"/>
    <w:rsid w:val="00C77AB9"/>
    <w:rsid w:val="00C77F1C"/>
    <w:rsid w:val="00C84D9D"/>
    <w:rsid w:val="00C868C6"/>
    <w:rsid w:val="00C878A3"/>
    <w:rsid w:val="00C941B4"/>
    <w:rsid w:val="00C94D1A"/>
    <w:rsid w:val="00CA3793"/>
    <w:rsid w:val="00CA5628"/>
    <w:rsid w:val="00CB08EA"/>
    <w:rsid w:val="00CB0C4F"/>
    <w:rsid w:val="00CB1DC7"/>
    <w:rsid w:val="00CB23E9"/>
    <w:rsid w:val="00CB252B"/>
    <w:rsid w:val="00CB5FC7"/>
    <w:rsid w:val="00CD3E07"/>
    <w:rsid w:val="00CE4517"/>
    <w:rsid w:val="00CE601F"/>
    <w:rsid w:val="00CF1745"/>
    <w:rsid w:val="00CF65CD"/>
    <w:rsid w:val="00D0514F"/>
    <w:rsid w:val="00D12823"/>
    <w:rsid w:val="00D248C1"/>
    <w:rsid w:val="00D25539"/>
    <w:rsid w:val="00D34713"/>
    <w:rsid w:val="00D4214F"/>
    <w:rsid w:val="00D514E6"/>
    <w:rsid w:val="00D51FE5"/>
    <w:rsid w:val="00D54276"/>
    <w:rsid w:val="00D543D2"/>
    <w:rsid w:val="00D63539"/>
    <w:rsid w:val="00D72F2B"/>
    <w:rsid w:val="00D748A1"/>
    <w:rsid w:val="00D85C0E"/>
    <w:rsid w:val="00D90CFB"/>
    <w:rsid w:val="00D90D11"/>
    <w:rsid w:val="00DA6ED9"/>
    <w:rsid w:val="00DB182E"/>
    <w:rsid w:val="00DB2E2F"/>
    <w:rsid w:val="00DB7276"/>
    <w:rsid w:val="00DC676F"/>
    <w:rsid w:val="00DD2D49"/>
    <w:rsid w:val="00DD3CB0"/>
    <w:rsid w:val="00DD45CB"/>
    <w:rsid w:val="00DD50C8"/>
    <w:rsid w:val="00DD7B89"/>
    <w:rsid w:val="00DE4364"/>
    <w:rsid w:val="00DE606E"/>
    <w:rsid w:val="00DF2D80"/>
    <w:rsid w:val="00DF3A92"/>
    <w:rsid w:val="00DF69F6"/>
    <w:rsid w:val="00E01570"/>
    <w:rsid w:val="00E04E99"/>
    <w:rsid w:val="00E06678"/>
    <w:rsid w:val="00E10430"/>
    <w:rsid w:val="00E1212C"/>
    <w:rsid w:val="00E14D7E"/>
    <w:rsid w:val="00E16D3C"/>
    <w:rsid w:val="00E222DE"/>
    <w:rsid w:val="00E225D4"/>
    <w:rsid w:val="00E31CA8"/>
    <w:rsid w:val="00E31DA6"/>
    <w:rsid w:val="00E32B0F"/>
    <w:rsid w:val="00E34616"/>
    <w:rsid w:val="00E47D0D"/>
    <w:rsid w:val="00E530BA"/>
    <w:rsid w:val="00E53EFF"/>
    <w:rsid w:val="00E614B3"/>
    <w:rsid w:val="00E7080E"/>
    <w:rsid w:val="00E72612"/>
    <w:rsid w:val="00E7511A"/>
    <w:rsid w:val="00E82620"/>
    <w:rsid w:val="00EA2323"/>
    <w:rsid w:val="00EA323D"/>
    <w:rsid w:val="00EB40FB"/>
    <w:rsid w:val="00EB5BB6"/>
    <w:rsid w:val="00EE0AD0"/>
    <w:rsid w:val="00EE18A0"/>
    <w:rsid w:val="00EF618B"/>
    <w:rsid w:val="00EF62BD"/>
    <w:rsid w:val="00F0146C"/>
    <w:rsid w:val="00F01771"/>
    <w:rsid w:val="00F03F72"/>
    <w:rsid w:val="00F13481"/>
    <w:rsid w:val="00F17FFC"/>
    <w:rsid w:val="00F25D3A"/>
    <w:rsid w:val="00F41675"/>
    <w:rsid w:val="00F4788E"/>
    <w:rsid w:val="00F549BB"/>
    <w:rsid w:val="00F60CFF"/>
    <w:rsid w:val="00F61AC5"/>
    <w:rsid w:val="00F65677"/>
    <w:rsid w:val="00F657D3"/>
    <w:rsid w:val="00F70FDD"/>
    <w:rsid w:val="00F87244"/>
    <w:rsid w:val="00F910B4"/>
    <w:rsid w:val="00FA1D2F"/>
    <w:rsid w:val="00FB113C"/>
    <w:rsid w:val="00FB20B8"/>
    <w:rsid w:val="00FB512F"/>
    <w:rsid w:val="00FD3343"/>
    <w:rsid w:val="00FD3DA3"/>
    <w:rsid w:val="00FD57CD"/>
    <w:rsid w:val="00FE000C"/>
    <w:rsid w:val="00FE1B52"/>
    <w:rsid w:val="00FE24DA"/>
    <w:rsid w:val="00FE7D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030957"/>
  <w15:chartTrackingRefBased/>
  <w15:docId w15:val="{39FC7DD1-CA1C-4570-B1E4-25EDC38A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196"/>
    <w:rPr>
      <w:rFonts w:ascii="Times New Roman" w:hAnsi="Times New Roman" w:cs="Times New Roman"/>
      <w:color w:val="000000"/>
      <w:szCs w:val="19"/>
    </w:rPr>
  </w:style>
  <w:style w:type="paragraph" w:styleId="Heading1">
    <w:name w:val="heading 1"/>
    <w:basedOn w:val="Normal"/>
    <w:next w:val="Normal"/>
    <w:link w:val="Heading1Char"/>
    <w:autoRedefine/>
    <w:qFormat/>
    <w:rsid w:val="000D7D67"/>
    <w:pPr>
      <w:keepNext/>
      <w:spacing w:after="240"/>
      <w:ind w:left="720" w:hanging="720"/>
      <w:outlineLvl w:val="0"/>
    </w:pPr>
    <w:rPr>
      <w:rFonts w:ascii="Times New Roman Bold" w:eastAsia="Times New Roman" w:hAnsi="Times New Roman Bold"/>
      <w:b/>
      <w:caps/>
      <w:color w:val="auto"/>
      <w:szCs w:val="24"/>
    </w:rPr>
  </w:style>
  <w:style w:type="paragraph" w:styleId="Heading2">
    <w:name w:val="heading 2"/>
    <w:basedOn w:val="ListParagraph"/>
    <w:next w:val="Normal"/>
    <w:link w:val="Heading2Char"/>
    <w:uiPriority w:val="9"/>
    <w:unhideWhenUsed/>
    <w:qFormat/>
    <w:rsid w:val="00341C61"/>
    <w:pPr>
      <w:spacing w:after="240"/>
      <w:ind w:left="0"/>
      <w:outlineLvl w:val="1"/>
    </w:pPr>
    <w:rPr>
      <w:b/>
      <w:bCs/>
    </w:rPr>
  </w:style>
  <w:style w:type="paragraph" w:styleId="Heading3">
    <w:name w:val="heading 3"/>
    <w:basedOn w:val="Normal"/>
    <w:next w:val="Normal"/>
    <w:link w:val="Heading3Char"/>
    <w:uiPriority w:val="9"/>
    <w:unhideWhenUsed/>
    <w:qFormat/>
    <w:rsid w:val="000F7719"/>
    <w:pPr>
      <w:keepNext/>
      <w:keepLines/>
      <w:spacing w:after="240"/>
      <w:ind w:left="2160" w:hanging="720"/>
      <w:outlineLvl w:val="2"/>
    </w:pPr>
    <w:rPr>
      <w:rFonts w:ascii="Times New Roman Bold" w:hAnsi="Times New Roman Bold"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LTS FOOTNOTE,Car,Footnote Text Cha,Footnote Text Char Char,Footnote Text Char Char Char Char,Footnote Text Char1,Footnote Text Char1 Char Char1,Footnote Text Char1 Char Char1 Char Char Char,Footnote Text Char2 Char Char Char Char1,fn"/>
    <w:basedOn w:val="Normal"/>
    <w:link w:val="FootnoteTextChar"/>
    <w:unhideWhenUsed/>
    <w:qFormat/>
    <w:rsid w:val="00AA2AA1"/>
    <w:rPr>
      <w:sz w:val="20"/>
      <w:szCs w:val="20"/>
    </w:rPr>
  </w:style>
  <w:style w:type="character" w:customStyle="1" w:styleId="FootnoteTextChar">
    <w:name w:val="Footnote Text Char"/>
    <w:aliases w:val="ALTS FOOTNOTE Char,Footnote Text Cha Char,Footnote Text Char Char Char Char Char1,Footnote Text Char Char Char1,Footnote Text Char1 Char Char1 Char Char Char Char1,Footnote Text Char1 Char Char1 Char1,Footnote Text Char1 Char1"/>
    <w:basedOn w:val="DefaultParagraphFont"/>
    <w:link w:val="FootnoteText"/>
    <w:rsid w:val="00AA2AA1"/>
    <w:rPr>
      <w:rFonts w:ascii="Times New Roman" w:hAnsi="Times New Roman" w:cs="Times New Roman"/>
      <w:color w:val="000000"/>
      <w:sz w:val="20"/>
      <w:szCs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basedOn w:val="DefaultParagraphFont"/>
    <w:uiPriority w:val="99"/>
    <w:unhideWhenUsed/>
    <w:qFormat/>
    <w:rsid w:val="00AA2AA1"/>
    <w:rPr>
      <w:vertAlign w:val="superscript"/>
    </w:rPr>
  </w:style>
  <w:style w:type="paragraph" w:styleId="Footer">
    <w:name w:val="footer"/>
    <w:basedOn w:val="Normal"/>
    <w:link w:val="FooterChar"/>
    <w:uiPriority w:val="99"/>
    <w:unhideWhenUsed/>
    <w:rsid w:val="00AA2AA1"/>
    <w:pPr>
      <w:tabs>
        <w:tab w:val="center" w:pos="4680"/>
        <w:tab w:val="right" w:pos="9360"/>
      </w:tabs>
    </w:pPr>
  </w:style>
  <w:style w:type="character" w:customStyle="1" w:styleId="FooterChar">
    <w:name w:val="Footer Char"/>
    <w:basedOn w:val="DefaultParagraphFont"/>
    <w:link w:val="Footer"/>
    <w:uiPriority w:val="99"/>
    <w:rsid w:val="00AA2AA1"/>
    <w:rPr>
      <w:rFonts w:ascii="Times New Roman" w:hAnsi="Times New Roman" w:cs="Times New Roman"/>
      <w:color w:val="000000"/>
      <w:szCs w:val="19"/>
    </w:rPr>
  </w:style>
  <w:style w:type="paragraph" w:styleId="NormalWeb">
    <w:name w:val="Normal (Web)"/>
    <w:basedOn w:val="Normal"/>
    <w:uiPriority w:val="99"/>
    <w:unhideWhenUsed/>
    <w:rsid w:val="00600AAC"/>
    <w:pPr>
      <w:spacing w:before="100" w:beforeAutospacing="1" w:after="100" w:afterAutospacing="1"/>
    </w:pPr>
    <w:rPr>
      <w:rFonts w:eastAsia="Times New Roman"/>
      <w:color w:val="auto"/>
      <w:szCs w:val="24"/>
    </w:rPr>
  </w:style>
  <w:style w:type="character" w:styleId="CommentReference">
    <w:name w:val="annotation reference"/>
    <w:basedOn w:val="DefaultParagraphFont"/>
    <w:uiPriority w:val="99"/>
    <w:semiHidden/>
    <w:unhideWhenUsed/>
    <w:rsid w:val="00390137"/>
    <w:rPr>
      <w:sz w:val="16"/>
      <w:szCs w:val="16"/>
    </w:rPr>
  </w:style>
  <w:style w:type="paragraph" w:styleId="CommentText">
    <w:name w:val="annotation text"/>
    <w:basedOn w:val="Normal"/>
    <w:link w:val="CommentTextChar"/>
    <w:uiPriority w:val="99"/>
    <w:unhideWhenUsed/>
    <w:rsid w:val="00390137"/>
    <w:rPr>
      <w:sz w:val="20"/>
      <w:szCs w:val="20"/>
    </w:rPr>
  </w:style>
  <w:style w:type="character" w:customStyle="1" w:styleId="CommentTextChar">
    <w:name w:val="Comment Text Char"/>
    <w:basedOn w:val="DefaultParagraphFont"/>
    <w:link w:val="CommentText"/>
    <w:uiPriority w:val="99"/>
    <w:rsid w:val="00390137"/>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90137"/>
    <w:rPr>
      <w:b/>
      <w:bCs/>
    </w:rPr>
  </w:style>
  <w:style w:type="character" w:customStyle="1" w:styleId="CommentSubjectChar">
    <w:name w:val="Comment Subject Char"/>
    <w:basedOn w:val="CommentTextChar"/>
    <w:link w:val="CommentSubject"/>
    <w:uiPriority w:val="99"/>
    <w:semiHidden/>
    <w:rsid w:val="00390137"/>
    <w:rPr>
      <w:rFonts w:ascii="Times New Roman" w:hAnsi="Times New Roman" w:cs="Times New Roman"/>
      <w:b/>
      <w:bCs/>
      <w:color w:val="000000"/>
      <w:sz w:val="20"/>
      <w:szCs w:val="20"/>
    </w:rPr>
  </w:style>
  <w:style w:type="character" w:styleId="Hyperlink">
    <w:name w:val="Hyperlink"/>
    <w:basedOn w:val="DefaultParagraphFont"/>
    <w:uiPriority w:val="99"/>
    <w:unhideWhenUsed/>
    <w:rsid w:val="00390137"/>
    <w:rPr>
      <w:color w:val="0563C1" w:themeColor="hyperlink"/>
      <w:u w:val="single"/>
    </w:rPr>
  </w:style>
  <w:style w:type="paragraph" w:styleId="ListParagraph">
    <w:name w:val="List Paragraph"/>
    <w:basedOn w:val="Normal"/>
    <w:uiPriority w:val="34"/>
    <w:qFormat/>
    <w:rsid w:val="00390137"/>
    <w:pPr>
      <w:ind w:left="720"/>
      <w:contextualSpacing/>
    </w:pPr>
    <w:rPr>
      <w:rFonts w:eastAsia="Times New Roman"/>
      <w:color w:val="auto"/>
      <w:szCs w:val="24"/>
      <w:lang w:bidi="en-US"/>
    </w:rPr>
  </w:style>
  <w:style w:type="paragraph" w:styleId="HTMLPreformatted">
    <w:name w:val="HTML Preformatted"/>
    <w:basedOn w:val="Normal"/>
    <w:link w:val="HTMLPreformattedChar"/>
    <w:rsid w:val="0039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color w:val="auto"/>
      <w:sz w:val="20"/>
      <w:szCs w:val="20"/>
    </w:rPr>
  </w:style>
  <w:style w:type="character" w:customStyle="1" w:styleId="HTMLPreformattedChar">
    <w:name w:val="HTML Preformatted Char"/>
    <w:basedOn w:val="DefaultParagraphFont"/>
    <w:link w:val="HTMLPreformatted"/>
    <w:rsid w:val="00390137"/>
    <w:rPr>
      <w:rFonts w:ascii="Courier New" w:eastAsia="Courier New" w:hAnsi="Courier New" w:cs="Courier New"/>
      <w:bCs/>
      <w:sz w:val="20"/>
      <w:szCs w:val="20"/>
    </w:rPr>
  </w:style>
  <w:style w:type="paragraph" w:styleId="List">
    <w:name w:val="List"/>
    <w:basedOn w:val="Normal"/>
    <w:rsid w:val="00390137"/>
    <w:pPr>
      <w:ind w:left="360" w:hanging="360"/>
    </w:pPr>
    <w:rPr>
      <w:rFonts w:eastAsia="Times New Roman"/>
      <w:bCs/>
      <w:color w:val="auto"/>
      <w:szCs w:val="20"/>
    </w:rPr>
  </w:style>
  <w:style w:type="character" w:customStyle="1" w:styleId="sssh">
    <w:name w:val="ss_sh"/>
    <w:basedOn w:val="DefaultParagraphFont"/>
    <w:rsid w:val="00391EBC"/>
  </w:style>
  <w:style w:type="paragraph" w:styleId="Revision">
    <w:name w:val="Revision"/>
    <w:hidden/>
    <w:uiPriority w:val="99"/>
    <w:semiHidden/>
    <w:rsid w:val="00B81B2E"/>
    <w:rPr>
      <w:rFonts w:ascii="Times New Roman" w:hAnsi="Times New Roman" w:cs="Times New Roman"/>
      <w:color w:val="000000"/>
      <w:szCs w:val="19"/>
    </w:rPr>
  </w:style>
  <w:style w:type="paragraph" w:styleId="BodyText">
    <w:name w:val="Body Text"/>
    <w:basedOn w:val="Normal"/>
    <w:link w:val="BodyTextChar"/>
    <w:rsid w:val="00C77AB9"/>
    <w:pPr>
      <w:jc w:val="both"/>
    </w:pPr>
    <w:rPr>
      <w:rFonts w:eastAsia="Times New Roman"/>
      <w:color w:val="auto"/>
      <w:szCs w:val="20"/>
    </w:rPr>
  </w:style>
  <w:style w:type="character" w:customStyle="1" w:styleId="BodyTextChar">
    <w:name w:val="Body Text Char"/>
    <w:basedOn w:val="DefaultParagraphFont"/>
    <w:link w:val="BodyText"/>
    <w:rsid w:val="00C77AB9"/>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9D3C63"/>
    <w:rPr>
      <w:sz w:val="18"/>
      <w:szCs w:val="18"/>
    </w:rPr>
  </w:style>
  <w:style w:type="character" w:customStyle="1" w:styleId="BalloonTextChar">
    <w:name w:val="Balloon Text Char"/>
    <w:basedOn w:val="DefaultParagraphFont"/>
    <w:link w:val="BalloonText"/>
    <w:uiPriority w:val="99"/>
    <w:semiHidden/>
    <w:rsid w:val="009D3C63"/>
    <w:rPr>
      <w:rFonts w:ascii="Times New Roman" w:hAnsi="Times New Roman" w:cs="Times New Roman"/>
      <w:color w:val="000000"/>
      <w:sz w:val="18"/>
      <w:szCs w:val="18"/>
    </w:rPr>
  </w:style>
  <w:style w:type="character" w:customStyle="1" w:styleId="FootnoteTextChar2">
    <w:name w:val="Footnote Text Char2"/>
    <w:aliases w:val="Footnote Text Char Char Char,Footnote Text Char Char Char Char Char,Footnote Text Char1 Char,Footnote Text Char1 Char Char1 Char,Footnote Text Char1 Char Char1 Char Char Char Char,Footnote Text Char2 Char Char Char Char1 Char,fn Char"/>
    <w:locked/>
    <w:rsid w:val="00052A34"/>
    <w:rPr>
      <w:lang w:val="en-US" w:eastAsia="en-US" w:bidi="ar-SA"/>
    </w:rPr>
  </w:style>
  <w:style w:type="character" w:customStyle="1" w:styleId="Heading1Char">
    <w:name w:val="Heading 1 Char"/>
    <w:basedOn w:val="DefaultParagraphFont"/>
    <w:link w:val="Heading1"/>
    <w:rsid w:val="000D7D67"/>
    <w:rPr>
      <w:rFonts w:ascii="Times New Roman Bold" w:eastAsia="Times New Roman" w:hAnsi="Times New Roman Bold" w:cs="Times New Roman"/>
      <w:b/>
      <w:caps/>
    </w:rPr>
  </w:style>
  <w:style w:type="character" w:customStyle="1" w:styleId="Heading2Char">
    <w:name w:val="Heading 2 Char"/>
    <w:basedOn w:val="DefaultParagraphFont"/>
    <w:link w:val="Heading2"/>
    <w:uiPriority w:val="9"/>
    <w:rsid w:val="00341C61"/>
    <w:rPr>
      <w:rFonts w:ascii="Times New Roman" w:eastAsia="Times New Roman" w:hAnsi="Times New Roman" w:cs="Times New Roman"/>
      <w:b/>
      <w:bCs/>
      <w:lang w:bidi="en-US"/>
    </w:rPr>
  </w:style>
  <w:style w:type="paragraph" w:styleId="BodyTextIndent3">
    <w:name w:val="Body Text Indent 3"/>
    <w:basedOn w:val="Normal"/>
    <w:link w:val="BodyTextIndent3Char"/>
    <w:uiPriority w:val="99"/>
    <w:semiHidden/>
    <w:unhideWhenUsed/>
    <w:rsid w:val="00191DF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91DFA"/>
    <w:rPr>
      <w:rFonts w:ascii="Times New Roman" w:hAnsi="Times New Roman" w:cs="Times New Roman"/>
      <w:color w:val="000000"/>
      <w:sz w:val="16"/>
      <w:szCs w:val="16"/>
    </w:rPr>
  </w:style>
  <w:style w:type="character" w:customStyle="1" w:styleId="et03">
    <w:name w:val="et03"/>
    <w:basedOn w:val="DefaultParagraphFont"/>
    <w:rsid w:val="00F87244"/>
  </w:style>
  <w:style w:type="table" w:styleId="TableGrid">
    <w:name w:val="Table Grid"/>
    <w:basedOn w:val="TableNormal"/>
    <w:uiPriority w:val="59"/>
    <w:rsid w:val="0031140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it">
    <w:name w:val="ss_it"/>
    <w:basedOn w:val="DefaultParagraphFont"/>
    <w:rsid w:val="00080A00"/>
  </w:style>
  <w:style w:type="paragraph" w:styleId="Header">
    <w:name w:val="header"/>
    <w:basedOn w:val="Normal"/>
    <w:link w:val="HeaderChar"/>
    <w:uiPriority w:val="99"/>
    <w:unhideWhenUsed/>
    <w:rsid w:val="009E036E"/>
    <w:pPr>
      <w:tabs>
        <w:tab w:val="center" w:pos="4680"/>
        <w:tab w:val="right" w:pos="9360"/>
      </w:tabs>
    </w:pPr>
  </w:style>
  <w:style w:type="character" w:customStyle="1" w:styleId="HeaderChar">
    <w:name w:val="Header Char"/>
    <w:basedOn w:val="DefaultParagraphFont"/>
    <w:link w:val="Header"/>
    <w:uiPriority w:val="99"/>
    <w:rsid w:val="009E036E"/>
    <w:rPr>
      <w:rFonts w:ascii="Times New Roman" w:hAnsi="Times New Roman" w:cs="Times New Roman"/>
      <w:color w:val="000000"/>
      <w:szCs w:val="19"/>
    </w:rPr>
  </w:style>
  <w:style w:type="character" w:customStyle="1" w:styleId="Heading3Char">
    <w:name w:val="Heading 3 Char"/>
    <w:basedOn w:val="DefaultParagraphFont"/>
    <w:link w:val="Heading3"/>
    <w:uiPriority w:val="9"/>
    <w:rsid w:val="000F7719"/>
    <w:rPr>
      <w:rFonts w:ascii="Times New Roman Bold" w:hAnsi="Times New Roman Bold" w:eastAsiaTheme="majorEastAsia" w:cstheme="majorBidi"/>
      <w:b/>
    </w:rPr>
  </w:style>
  <w:style w:type="paragraph" w:styleId="TOC1">
    <w:name w:val="toc 1"/>
    <w:basedOn w:val="Normal"/>
    <w:next w:val="Normal"/>
    <w:autoRedefine/>
    <w:uiPriority w:val="39"/>
    <w:unhideWhenUsed/>
    <w:rsid w:val="001B6894"/>
    <w:pPr>
      <w:tabs>
        <w:tab w:val="right" w:leader="dot" w:pos="8630"/>
      </w:tabs>
      <w:spacing w:after="240"/>
      <w:ind w:left="720" w:hanging="720"/>
    </w:pPr>
  </w:style>
  <w:style w:type="paragraph" w:styleId="TOC2">
    <w:name w:val="toc 2"/>
    <w:basedOn w:val="Normal"/>
    <w:next w:val="Normal"/>
    <w:autoRedefine/>
    <w:uiPriority w:val="39"/>
    <w:unhideWhenUsed/>
    <w:rsid w:val="0086118F"/>
    <w:pPr>
      <w:spacing w:after="240"/>
    </w:pPr>
  </w:style>
  <w:style w:type="paragraph" w:styleId="TOC3">
    <w:name w:val="toc 3"/>
    <w:basedOn w:val="Normal"/>
    <w:next w:val="Normal"/>
    <w:autoRedefine/>
    <w:uiPriority w:val="39"/>
    <w:unhideWhenUsed/>
    <w:rsid w:val="009847DE"/>
    <w:pPr>
      <w:spacing w:after="240"/>
      <w:ind w:left="2160" w:hanging="720"/>
    </w:pPr>
  </w:style>
  <w:style w:type="character" w:customStyle="1" w:styleId="cf01">
    <w:name w:val="cf01"/>
    <w:basedOn w:val="DefaultParagraphFont"/>
    <w:rsid w:val="00715B0F"/>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37466"/>
    <w:rPr>
      <w:color w:val="605E5C"/>
      <w:shd w:val="clear" w:color="auto" w:fill="E1DFDD"/>
    </w:rPr>
  </w:style>
  <w:style w:type="character" w:customStyle="1" w:styleId="UnresolvedMention">
    <w:name w:val="Unresolved Mention"/>
    <w:basedOn w:val="DefaultParagraphFont"/>
    <w:uiPriority w:val="99"/>
    <w:rsid w:val="00823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yperlink" Target="mailto:john.jones@ohioago.gov" TargetMode="External" /><Relationship Id="rId16" Type="http://schemas.openxmlformats.org/officeDocument/2006/relationships/hyperlink" Target="mailto:matthew.sandor@puco.ohio.gov" TargetMode="External" /><Relationship Id="rId17" Type="http://schemas.openxmlformats.org/officeDocument/2006/relationships/hyperlink" Target="mailto:nicholas.walstra@puco.ohio.gov" TargetMode="External" /><Relationship Id="rId18" Type="http://schemas.openxmlformats.org/officeDocument/2006/relationships/hyperlink" Target="mailto:rocco.dascenzo@duke-energy.com" TargetMode="External" /><Relationship Id="rId19" Type="http://schemas.openxmlformats.org/officeDocument/2006/relationships/hyperlink" Target="mailto:jeanne.kingery@duke-energy.com" TargetMode="External" /><Relationship Id="rId2" Type="http://schemas.openxmlformats.org/officeDocument/2006/relationships/settings" Target="settings.xml" /><Relationship Id="rId20" Type="http://schemas.openxmlformats.org/officeDocument/2006/relationships/hyperlink" Target="mailto:larisa.vaysman@duke-energy.com" TargetMode="External" /><Relationship Id="rId21" Type="http://schemas.openxmlformats.org/officeDocument/2006/relationships/hyperlink" Target="mailto:elyse.akhbari@duke-energy.com" TargetMode="Externa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19331-AE72-4DA0-B6D1-A70B4DEC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2023-11-03T20:32:59Z</dcterms:created>
  <dcterms:modified xsi:type="dcterms:W3CDTF">2023-11-03T20:32:59Z</dcterms:modified>
</cp:coreProperties>
</file>