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06036" w:rsidRPr="00FF4A2C" w:rsidP="006520DF" w14:paraId="6D72788E" w14:textId="77777777">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E06036" w:rsidRPr="00FF4A2C" w:rsidP="00E06036" w14:paraId="5B87E435" w14:textId="77777777">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E06036" w:rsidRPr="00FF4A2C" w:rsidP="00E06036" w14:paraId="074AB294" w14:textId="77777777">
      <w:pPr>
        <w:pStyle w:val="HTMLPreformatted"/>
        <w:rPr>
          <w:rFonts w:ascii="Times New Roman" w:hAnsi="Times New Roman" w:cs="Times New Roman"/>
          <w:sz w:val="24"/>
        </w:rPr>
      </w:pPr>
    </w:p>
    <w:tbl>
      <w:tblPr>
        <w:tblW w:w="8640" w:type="dxa"/>
        <w:tblLook w:val="01E0"/>
      </w:tblPr>
      <w:tblGrid>
        <w:gridCol w:w="4230"/>
        <w:gridCol w:w="462"/>
        <w:gridCol w:w="3948"/>
      </w:tblGrid>
      <w:tr w14:paraId="3FD35129" w14:textId="77777777" w:rsidTr="008C1BBB">
        <w:tblPrEx>
          <w:tblW w:w="8640" w:type="dxa"/>
          <w:tblLook w:val="01E0"/>
        </w:tblPrEx>
        <w:trPr>
          <w:trHeight w:val="807"/>
        </w:trPr>
        <w:tc>
          <w:tcPr>
            <w:tcW w:w="4230" w:type="dxa"/>
            <w:shd w:val="clear" w:color="auto" w:fill="auto"/>
          </w:tcPr>
          <w:p w:rsidR="00E06036" w:rsidRPr="00FF4A2C" w:rsidP="001B4D59" w14:paraId="2C72D1E6" w14:textId="665EC38D">
            <w:pPr>
              <w:pStyle w:val="HTMLPreformatted"/>
              <w:rPr>
                <w:rFonts w:ascii="Times New Roman" w:hAnsi="Times New Roman" w:cs="Times New Roman"/>
                <w:sz w:val="24"/>
                <w:szCs w:val="24"/>
              </w:rPr>
            </w:pPr>
            <w:r w:rsidRPr="00FF4A2C">
              <w:rPr>
                <w:rFonts w:ascii="Times New Roman" w:hAnsi="Times New Roman" w:cs="Times New Roman"/>
                <w:sz w:val="24"/>
                <w:szCs w:val="24"/>
              </w:rPr>
              <w:t xml:space="preserve">In the Matter of the </w:t>
            </w:r>
            <w:r w:rsidR="00034D24">
              <w:rPr>
                <w:rFonts w:ascii="Times New Roman" w:hAnsi="Times New Roman" w:cs="Times New Roman"/>
                <w:sz w:val="24"/>
                <w:szCs w:val="24"/>
              </w:rPr>
              <w:t>Application of Inspire Holdings, LLC for Waivers of Certain Provisions of Chapters 4901:1-12 and 4901:1-29, O.A.C., to Permit Third-Party Verification by Digital Confirmation.</w:t>
            </w:r>
          </w:p>
        </w:tc>
        <w:tc>
          <w:tcPr>
            <w:tcW w:w="462" w:type="dxa"/>
            <w:shd w:val="clear" w:color="auto" w:fill="auto"/>
          </w:tcPr>
          <w:p w:rsidR="00E06036" w:rsidRPr="00FF4A2C" w:rsidP="008C1BBB" w14:paraId="4BEB39BF"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E06036" w:rsidRPr="00FF4A2C" w:rsidP="008C1BBB" w14:paraId="1A134262"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E06036" w:rsidRPr="00FF4A2C" w:rsidP="008C1BBB" w14:paraId="6FE675F3"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E06036" w:rsidRPr="00FF4A2C" w:rsidP="008C1BBB" w14:paraId="7747EF00"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E06036" w:rsidP="008C1BBB" w14:paraId="785F742E" w14:textId="77777777">
            <w:pPr>
              <w:pStyle w:val="HTMLPreformatted"/>
              <w:rPr>
                <w:rFonts w:ascii="Times New Roman" w:hAnsi="Times New Roman" w:cs="Times New Roman"/>
                <w:sz w:val="24"/>
              </w:rPr>
            </w:pPr>
            <w:r w:rsidRPr="00FF4A2C">
              <w:rPr>
                <w:rFonts w:ascii="Times New Roman" w:hAnsi="Times New Roman" w:cs="Times New Roman"/>
                <w:sz w:val="24"/>
              </w:rPr>
              <w:t>)</w:t>
            </w:r>
          </w:p>
          <w:p w:rsidR="00872B73" w:rsidRPr="00FF4A2C" w:rsidP="008C1BBB" w14:paraId="1DA8B96E" w14:textId="00F90911">
            <w:pPr>
              <w:pStyle w:val="HTMLPreformatted"/>
              <w:rPr>
                <w:rFonts w:ascii="Times New Roman" w:hAnsi="Times New Roman" w:cs="Times New Roman"/>
                <w:sz w:val="24"/>
              </w:rPr>
            </w:pPr>
            <w:r>
              <w:rPr>
                <w:rFonts w:ascii="Times New Roman" w:hAnsi="Times New Roman" w:cs="Times New Roman"/>
                <w:sz w:val="24"/>
              </w:rPr>
              <w:t>)</w:t>
            </w:r>
          </w:p>
        </w:tc>
        <w:tc>
          <w:tcPr>
            <w:tcW w:w="3948" w:type="dxa"/>
            <w:shd w:val="clear" w:color="auto" w:fill="auto"/>
          </w:tcPr>
          <w:p w:rsidR="00E06036" w:rsidRPr="00FF4A2C" w:rsidP="008C1BBB" w14:paraId="6CDE7020" w14:textId="77777777">
            <w:pPr>
              <w:pStyle w:val="HTMLPreformatted"/>
              <w:rPr>
                <w:rFonts w:ascii="Times New Roman" w:hAnsi="Times New Roman" w:cs="Times New Roman"/>
                <w:sz w:val="24"/>
              </w:rPr>
            </w:pPr>
          </w:p>
          <w:p w:rsidR="00E06036" w:rsidRPr="00FF4A2C" w:rsidP="008C1BBB" w14:paraId="2C805A30" w14:textId="1E09B23E">
            <w:pPr>
              <w:pStyle w:val="HTMLPreformatted"/>
              <w:rPr>
                <w:rFonts w:ascii="Times New Roman" w:hAnsi="Times New Roman" w:cs="Times New Roman"/>
                <w:sz w:val="24"/>
              </w:rPr>
            </w:pPr>
          </w:p>
          <w:p w:rsidR="00E06036" w:rsidRPr="00FF4A2C" w:rsidP="008C1BBB" w14:paraId="53109FE7" w14:textId="7507AF7D">
            <w:pPr>
              <w:pStyle w:val="HTMLPreformatted"/>
              <w:rPr>
                <w:rFonts w:ascii="Times New Roman" w:hAnsi="Times New Roman" w:cs="Times New Roman"/>
                <w:sz w:val="24"/>
              </w:rPr>
            </w:pPr>
            <w:r w:rsidRPr="00FF4A2C">
              <w:rPr>
                <w:rFonts w:ascii="Times New Roman" w:hAnsi="Times New Roman" w:cs="Times New Roman"/>
                <w:sz w:val="24"/>
              </w:rPr>
              <w:t>Case No. 2</w:t>
            </w:r>
            <w:r>
              <w:rPr>
                <w:rFonts w:ascii="Times New Roman" w:hAnsi="Times New Roman" w:cs="Times New Roman"/>
                <w:sz w:val="24"/>
              </w:rPr>
              <w:t>2-29-GE-WVR</w:t>
            </w:r>
          </w:p>
        </w:tc>
      </w:tr>
    </w:tbl>
    <w:p w:rsidR="00E06036" w:rsidRPr="00FF4A2C" w:rsidP="00E06036" w14:paraId="520A9680" w14:textId="44EBBD59">
      <w:pPr>
        <w:pStyle w:val="HTMLPreformatted"/>
        <w:rPr>
          <w:rFonts w:ascii="Times New Roman" w:hAnsi="Times New Roman" w:cs="Times New Roman"/>
          <w:sz w:val="24"/>
        </w:rPr>
      </w:pPr>
      <w:r w:rsidRPr="00FF4A2C">
        <w:rPr>
          <w:rFonts w:ascii="Times New Roman" w:hAnsi="Times New Roman" w:cs="Times New Roman"/>
          <w:sz w:val="24"/>
        </w:rPr>
        <w:tab/>
      </w:r>
    </w:p>
    <w:p w:rsidR="00E06036" w:rsidRPr="00FF4A2C" w:rsidP="00E06036" w14:paraId="7B3C9E03" w14:textId="77777777">
      <w:pPr>
        <w:pStyle w:val="HTMLPreformatted"/>
        <w:pBdr>
          <w:top w:val="single" w:sz="12" w:space="1" w:color="auto"/>
        </w:pBdr>
        <w:rPr>
          <w:rFonts w:ascii="Times New Roman" w:hAnsi="Times New Roman" w:cs="Times New Roman"/>
          <w:sz w:val="24"/>
        </w:rPr>
      </w:pPr>
    </w:p>
    <w:p w:rsidR="00E06036" w:rsidRPr="00FF4A2C" w:rsidP="00E06036" w14:paraId="5F86E069" w14:textId="0053BB1C">
      <w:pPr>
        <w:jc w:val="center"/>
        <w:rPr>
          <w:b/>
          <w:bCs/>
        </w:rPr>
      </w:pPr>
      <w:r>
        <w:rPr>
          <w:b/>
          <w:bCs/>
        </w:rPr>
        <w:t xml:space="preserve">REPLY </w:t>
      </w:r>
      <w:r w:rsidRPr="00FF4A2C" w:rsidR="00761CE9">
        <w:rPr>
          <w:b/>
          <w:bCs/>
        </w:rPr>
        <w:t xml:space="preserve">COMMENTS </w:t>
      </w:r>
      <w:r w:rsidR="00761CE9">
        <w:rPr>
          <w:b/>
          <w:bCs/>
        </w:rPr>
        <w:t xml:space="preserve">OPPOSING REQUEST OF </w:t>
      </w:r>
      <w:r w:rsidR="00034D24">
        <w:rPr>
          <w:b/>
          <w:bCs/>
        </w:rPr>
        <w:t>INSPIRE ENERGY HOLDINGS, LLC,</w:t>
      </w:r>
      <w:r w:rsidR="00761CE9">
        <w:rPr>
          <w:b/>
          <w:bCs/>
        </w:rPr>
        <w:t xml:space="preserve"> FOR A PUCO WAIVER OF </w:t>
      </w:r>
      <w:r w:rsidR="00872B73">
        <w:rPr>
          <w:b/>
          <w:bCs/>
        </w:rPr>
        <w:t xml:space="preserve">CERTAIN </w:t>
      </w:r>
      <w:r w:rsidRPr="00FF4A2C" w:rsidR="00761CE9">
        <w:rPr>
          <w:b/>
          <w:bCs/>
        </w:rPr>
        <w:t>CONSUMER PROTECTION</w:t>
      </w:r>
      <w:r w:rsidR="00761CE9">
        <w:rPr>
          <w:b/>
          <w:bCs/>
        </w:rPr>
        <w:t>S</w:t>
      </w:r>
      <w:r w:rsidRPr="00FF4A2C" w:rsidR="00761CE9">
        <w:rPr>
          <w:b/>
          <w:bCs/>
        </w:rPr>
        <w:t xml:space="preserve"> </w:t>
      </w:r>
    </w:p>
    <w:p w:rsidR="00E06036" w:rsidP="00E06036" w14:paraId="545BF7C8" w14:textId="3A80B65A">
      <w:pPr>
        <w:jc w:val="center"/>
        <w:rPr>
          <w:b/>
          <w:bCs/>
        </w:rPr>
      </w:pPr>
      <w:r w:rsidRPr="00FF4A2C">
        <w:rPr>
          <w:b/>
          <w:bCs/>
        </w:rPr>
        <w:t>BY</w:t>
      </w:r>
    </w:p>
    <w:p w:rsidR="006B0A04" w:rsidP="00E06036" w14:paraId="76E06266" w14:textId="44FC1FF9">
      <w:pPr>
        <w:jc w:val="center"/>
        <w:rPr>
          <w:b/>
          <w:bCs/>
        </w:rPr>
      </w:pPr>
      <w:r>
        <w:rPr>
          <w:b/>
          <w:bCs/>
        </w:rPr>
        <w:t>LEGAL AID SOCIETY OF COLUMBUS</w:t>
      </w:r>
    </w:p>
    <w:p w:rsidR="006B0A04" w:rsidRPr="00FF4A2C" w:rsidP="00E06036" w14:paraId="65727ED5" w14:textId="5293CA38">
      <w:pPr>
        <w:jc w:val="center"/>
        <w:rPr>
          <w:b/>
          <w:bCs/>
        </w:rPr>
      </w:pPr>
      <w:r>
        <w:rPr>
          <w:b/>
          <w:bCs/>
        </w:rPr>
        <w:t>LEGAL AID SOCIETY OF SOUTHWEST OHIO, LLC</w:t>
      </w:r>
    </w:p>
    <w:p w:rsidR="00E06036" w:rsidP="00E06036" w14:paraId="673D931D" w14:textId="518D3B18">
      <w:pPr>
        <w:jc w:val="center"/>
        <w:rPr>
          <w:b/>
          <w:bCs/>
        </w:rPr>
      </w:pPr>
      <w:r w:rsidRPr="00FF4A2C">
        <w:rPr>
          <w:b/>
          <w:bCs/>
        </w:rPr>
        <w:t>OFFICE OF THE OHIO CONSUMERS’ COUNSEL</w:t>
      </w:r>
    </w:p>
    <w:p w:rsidR="006B0A04" w:rsidP="00E06036" w14:paraId="3220E8C1" w14:textId="125CFD90">
      <w:pPr>
        <w:jc w:val="center"/>
        <w:rPr>
          <w:b/>
          <w:bCs/>
        </w:rPr>
      </w:pPr>
      <w:r>
        <w:rPr>
          <w:b/>
          <w:bCs/>
        </w:rPr>
        <w:t>OHIO POVERTY LAW CENTER</w:t>
      </w:r>
    </w:p>
    <w:p w:rsidR="008D0DC8" w:rsidP="00E06036" w14:paraId="08537F4D" w14:textId="31C466A4">
      <w:pPr>
        <w:jc w:val="center"/>
        <w:rPr>
          <w:b/>
          <w:bCs/>
        </w:rPr>
      </w:pPr>
      <w:r>
        <w:rPr>
          <w:b/>
          <w:bCs/>
        </w:rPr>
        <w:t>PRO SENIORS, INC.</w:t>
      </w:r>
      <w:r w:rsidR="006B0A04">
        <w:rPr>
          <w:b/>
          <w:bCs/>
        </w:rPr>
        <w:t xml:space="preserve"> AND</w:t>
      </w:r>
    </w:p>
    <w:p w:rsidR="006B0A04" w:rsidP="00E06036" w14:paraId="41F153D3" w14:textId="2297F437">
      <w:pPr>
        <w:jc w:val="center"/>
        <w:rPr>
          <w:b/>
          <w:bCs/>
        </w:rPr>
      </w:pPr>
      <w:r>
        <w:rPr>
          <w:b/>
          <w:bCs/>
        </w:rPr>
        <w:t>SOUTHEASTERN OHIO LEGAL SERVICES</w:t>
      </w:r>
    </w:p>
    <w:p w:rsidR="00E06036" w:rsidRPr="00FF4A2C" w:rsidP="00E06036" w14:paraId="7BF4B649" w14:textId="77777777">
      <w:pPr>
        <w:pBdr>
          <w:bottom w:val="single" w:sz="12" w:space="1" w:color="auto"/>
        </w:pBdr>
        <w:tabs>
          <w:tab w:val="left" w:pos="4320"/>
        </w:tabs>
      </w:pPr>
    </w:p>
    <w:p w:rsidR="00E06036" w:rsidRPr="00FF4A2C" w:rsidP="00E06036" w14:paraId="7602050E" w14:textId="77777777">
      <w:pPr>
        <w:tabs>
          <w:tab w:val="left" w:pos="4320"/>
        </w:tabs>
      </w:pPr>
    </w:p>
    <w:p w:rsidR="0082789C" w:rsidRPr="00FF4A2C" w:rsidP="006520DF" w14:paraId="0584041F" w14:textId="41541AB9">
      <w:pPr>
        <w:pStyle w:val="Heading1"/>
        <w:numPr>
          <w:ilvl w:val="0"/>
          <w:numId w:val="27"/>
        </w:numPr>
        <w:ind w:left="720"/>
        <w:rPr>
          <w:rFonts w:ascii="Times New Roman" w:hAnsi="Times New Roman"/>
        </w:rPr>
      </w:pPr>
      <w:bookmarkStart w:id="0" w:name="_Toc104906573"/>
      <w:r>
        <w:rPr>
          <w:rFonts w:ascii="Times New Roman" w:hAnsi="Times New Roman"/>
        </w:rPr>
        <w:t>INT</w:t>
      </w:r>
      <w:r w:rsidRPr="00FF4A2C" w:rsidR="00761CE9">
        <w:rPr>
          <w:rFonts w:ascii="Times New Roman" w:hAnsi="Times New Roman"/>
        </w:rPr>
        <w:t>RODUCTION</w:t>
      </w:r>
      <w:bookmarkEnd w:id="0"/>
    </w:p>
    <w:p w:rsidR="00A72920" w:rsidP="00A72920" w14:paraId="034DB24D" w14:textId="45B16698">
      <w:pPr>
        <w:pStyle w:val="BodyTextIndent3"/>
        <w:widowControl w:val="0"/>
        <w:spacing w:line="480" w:lineRule="auto"/>
      </w:pPr>
      <w:r>
        <w:rPr>
          <w:szCs w:val="24"/>
        </w:rPr>
        <w:t>Inspire Energy Holdings, LLC (“Inspire”)</w:t>
      </w:r>
      <w:r w:rsidRPr="00FF4A2C" w:rsidR="0000374C">
        <w:t xml:space="preserve"> </w:t>
      </w:r>
      <w:r w:rsidR="003809D5">
        <w:t xml:space="preserve">is </w:t>
      </w:r>
      <w:r w:rsidRPr="00FF4A2C" w:rsidR="0000374C">
        <w:t>a</w:t>
      </w:r>
      <w:r w:rsidR="0000374C">
        <w:t xml:space="preserve">n energy </w:t>
      </w:r>
      <w:r w:rsidRPr="00FF4A2C" w:rsidR="0000374C">
        <w:t>marketer</w:t>
      </w:r>
      <w:r w:rsidR="00664A91">
        <w:t xml:space="preserve"> that </w:t>
      </w:r>
      <w:r w:rsidR="00C52627">
        <w:t>makes money</w:t>
      </w:r>
      <w:r w:rsidR="003809D5">
        <w:t xml:space="preserve"> from s</w:t>
      </w:r>
      <w:r w:rsidR="00C52627">
        <w:t>elling</w:t>
      </w:r>
      <w:r w:rsidR="003809D5">
        <w:t xml:space="preserve"> electric and natural gas service to</w:t>
      </w:r>
      <w:r w:rsidR="00664A91">
        <w:t xml:space="preserve"> Ohio consumers</w:t>
      </w:r>
      <w:r w:rsidR="003809D5">
        <w:t>. Inspire wants</w:t>
      </w:r>
      <w:r w:rsidR="0000374C">
        <w:t xml:space="preserve"> the </w:t>
      </w:r>
      <w:r w:rsidR="00C52627">
        <w:t>Public Utilities Commission of Ohio (“</w:t>
      </w:r>
      <w:r w:rsidR="0000374C">
        <w:t>PUCO</w:t>
      </w:r>
      <w:r w:rsidR="00C52627">
        <w:t>”)</w:t>
      </w:r>
      <w:r w:rsidR="0000374C">
        <w:t xml:space="preserve"> to </w:t>
      </w:r>
      <w:r w:rsidR="00664A91">
        <w:t>waive the requirement of conducting</w:t>
      </w:r>
      <w:r w:rsidR="0000374C">
        <w:t xml:space="preserve"> </w:t>
      </w:r>
      <w:r w:rsidR="00664A91">
        <w:t>live</w:t>
      </w:r>
      <w:r w:rsidR="00B4203E">
        <w:t>,</w:t>
      </w:r>
      <w:r w:rsidR="0000374C">
        <w:t xml:space="preserve"> independent</w:t>
      </w:r>
      <w:r w:rsidR="00B4203E">
        <w:t>,</w:t>
      </w:r>
      <w:r w:rsidR="0000374C">
        <w:t xml:space="preserve"> </w:t>
      </w:r>
      <w:r w:rsidR="00B4203E">
        <w:t xml:space="preserve">telephonic </w:t>
      </w:r>
      <w:r w:rsidR="0000374C">
        <w:t>third-party verification</w:t>
      </w:r>
      <w:r w:rsidR="00C52627">
        <w:t>s</w:t>
      </w:r>
      <w:r w:rsidR="0000374C">
        <w:t xml:space="preserve"> when it </w:t>
      </w:r>
      <w:r w:rsidR="005D4C8D">
        <w:t xml:space="preserve">signs up </w:t>
      </w:r>
      <w:r w:rsidR="002012CE">
        <w:t>consumers</w:t>
      </w:r>
      <w:r w:rsidR="00664A91">
        <w:t xml:space="preserve"> </w:t>
      </w:r>
      <w:r w:rsidR="005D4C8D">
        <w:t>for</w:t>
      </w:r>
      <w:r w:rsidR="00664A91">
        <w:t xml:space="preserve"> service</w:t>
      </w:r>
      <w:r w:rsidR="0000374C">
        <w:t xml:space="preserve">. </w:t>
      </w:r>
      <w:r w:rsidR="005C00CF">
        <w:t xml:space="preserve">The </w:t>
      </w:r>
      <w:r w:rsidR="002C02E6">
        <w:t xml:space="preserve">PUCO Staff initially supported Inspire’s request to </w:t>
      </w:r>
      <w:r>
        <w:t xml:space="preserve">sidestep </w:t>
      </w:r>
      <w:r w:rsidR="002C02E6">
        <w:t>this important consumer protection</w:t>
      </w:r>
      <w:r w:rsidR="005C00CF">
        <w:t xml:space="preserve"> for consumers enrolled through</w:t>
      </w:r>
      <w:r w:rsidR="002C02E6">
        <w:t xml:space="preserve"> door-to-door or in-store sales.</w:t>
      </w:r>
      <w:r>
        <w:rPr>
          <w:rStyle w:val="FootnoteReference"/>
        </w:rPr>
        <w:footnoteReference w:id="2"/>
      </w:r>
      <w:r w:rsidR="002C02E6">
        <w:t xml:space="preserve"> </w:t>
      </w:r>
      <w:r>
        <w:t>However, b</w:t>
      </w:r>
      <w:r w:rsidR="002C02E6">
        <w:t xml:space="preserve">ased on </w:t>
      </w:r>
      <w:r w:rsidR="005C00CF">
        <w:t xml:space="preserve">“several” </w:t>
      </w:r>
      <w:r w:rsidR="002C02E6">
        <w:t>recent consumer complaints</w:t>
      </w:r>
      <w:r w:rsidR="005C00CF">
        <w:t xml:space="preserve"> regarding Inspire</w:t>
      </w:r>
      <w:r w:rsidR="002C02E6">
        <w:t xml:space="preserve">, </w:t>
      </w:r>
      <w:r>
        <w:t xml:space="preserve">the PUCO </w:t>
      </w:r>
      <w:r w:rsidR="002C02E6">
        <w:t xml:space="preserve">Staff has </w:t>
      </w:r>
      <w:r w:rsidR="005C00CF">
        <w:t xml:space="preserve">revised its recommendation, requesting </w:t>
      </w:r>
      <w:r w:rsidR="000E0EAF">
        <w:t xml:space="preserve">now </w:t>
      </w:r>
      <w:r w:rsidR="002C02E6">
        <w:t xml:space="preserve">that the PUCO </w:t>
      </w:r>
      <w:r w:rsidRPr="006E0680" w:rsidR="002C02E6">
        <w:rPr>
          <w:i/>
          <w:iCs/>
        </w:rPr>
        <w:t>deny</w:t>
      </w:r>
      <w:r w:rsidR="002C02E6">
        <w:t xml:space="preserve"> the waiver </w:t>
      </w:r>
      <w:r w:rsidR="002C02E6">
        <w:t xml:space="preserve">until </w:t>
      </w:r>
      <w:r w:rsidR="004849C4">
        <w:t xml:space="preserve">the </w:t>
      </w:r>
      <w:r w:rsidR="00C31833">
        <w:t>consumer complaints</w:t>
      </w:r>
      <w:r w:rsidR="004849C4">
        <w:t xml:space="preserve"> are</w:t>
      </w:r>
      <w:r w:rsidR="002C02E6">
        <w:t xml:space="preserve"> resolved and </w:t>
      </w:r>
      <w:r w:rsidR="00C31833">
        <w:t xml:space="preserve">the PUCO Staff </w:t>
      </w:r>
      <w:r w:rsidR="002C02E6">
        <w:t>review</w:t>
      </w:r>
      <w:r w:rsidR="00C31833">
        <w:t>s</w:t>
      </w:r>
      <w:r w:rsidR="002C02E6">
        <w:t xml:space="preserve"> Inspire</w:t>
      </w:r>
      <w:r>
        <w:t>’</w:t>
      </w:r>
      <w:r w:rsidR="002C02E6">
        <w:t>s operations.</w:t>
      </w:r>
      <w:r>
        <w:rPr>
          <w:rStyle w:val="FootnoteReference"/>
        </w:rPr>
        <w:footnoteReference w:id="3"/>
      </w:r>
      <w:r w:rsidR="002C02E6">
        <w:t xml:space="preserve"> </w:t>
      </w:r>
      <w:r>
        <w:t>Consumer Groups</w:t>
      </w:r>
      <w:r>
        <w:rPr>
          <w:rStyle w:val="FootnoteReference"/>
        </w:rPr>
        <w:footnoteReference w:id="4"/>
      </w:r>
      <w:r>
        <w:t xml:space="preserve"> support the PUCO </w:t>
      </w:r>
      <w:r w:rsidR="002C02E6">
        <w:t>Staff</w:t>
      </w:r>
      <w:r>
        <w:t>’s</w:t>
      </w:r>
      <w:r w:rsidR="002C02E6">
        <w:t xml:space="preserve"> </w:t>
      </w:r>
      <w:r>
        <w:t xml:space="preserve">amended </w:t>
      </w:r>
      <w:r w:rsidR="002C02E6">
        <w:t xml:space="preserve">recommendation to deny </w:t>
      </w:r>
      <w:r>
        <w:t xml:space="preserve">Inspire’s </w:t>
      </w:r>
      <w:r w:rsidR="002C02E6">
        <w:t>waiver request.</w:t>
      </w:r>
      <w:r w:rsidR="002813AA">
        <w:t xml:space="preserve"> </w:t>
      </w:r>
    </w:p>
    <w:p w:rsidR="00B4021E" w:rsidP="000E0EAF" w14:paraId="4722701B" w14:textId="61DA5804">
      <w:pPr>
        <w:pStyle w:val="BodyTextIndent3"/>
        <w:widowControl w:val="0"/>
        <w:spacing w:line="480" w:lineRule="auto"/>
      </w:pPr>
      <w:r>
        <w:t>Consumer Groups</w:t>
      </w:r>
      <w:r w:rsidR="000E0EAF">
        <w:t>, however,</w:t>
      </w:r>
      <w:r>
        <w:t xml:space="preserve"> oppose</w:t>
      </w:r>
      <w:r w:rsidR="00A72920">
        <w:t xml:space="preserve"> </w:t>
      </w:r>
      <w:r w:rsidR="002C02E6">
        <w:t>the</w:t>
      </w:r>
      <w:r w:rsidR="00A72920">
        <w:t xml:space="preserve"> PUCO</w:t>
      </w:r>
      <w:r w:rsidR="002C02E6">
        <w:t xml:space="preserve"> Staff</w:t>
      </w:r>
      <w:r w:rsidR="00761042">
        <w:t>’s</w:t>
      </w:r>
      <w:r w:rsidR="002C02E6">
        <w:t xml:space="preserve"> recommendation that Inspire </w:t>
      </w:r>
      <w:r w:rsidR="00A72920">
        <w:t xml:space="preserve">be </w:t>
      </w:r>
      <w:r>
        <w:t>allowed</w:t>
      </w:r>
      <w:r w:rsidR="00A72920">
        <w:t xml:space="preserve"> to</w:t>
      </w:r>
      <w:r w:rsidR="002C02E6">
        <w:t xml:space="preserve"> reapply for </w:t>
      </w:r>
      <w:r w:rsidR="00A72920">
        <w:t xml:space="preserve">a </w:t>
      </w:r>
      <w:r w:rsidR="002C02E6">
        <w:t xml:space="preserve">waiver </w:t>
      </w:r>
      <w:r w:rsidR="000E1955">
        <w:t>of the telephonic third-party verification rules</w:t>
      </w:r>
      <w:r w:rsidR="005C00CF">
        <w:t>.</w:t>
      </w:r>
      <w:r>
        <w:rPr>
          <w:rStyle w:val="FootnoteReference"/>
        </w:rPr>
        <w:footnoteReference w:id="5"/>
      </w:r>
      <w:r w:rsidR="000E0EAF">
        <w:t xml:space="preserve"> Such waiver is</w:t>
      </w:r>
      <w:r w:rsidR="002C02E6">
        <w:t xml:space="preserve"> a horrible idea for consumer protection. </w:t>
      </w:r>
    </w:p>
    <w:p w:rsidR="004304A5" w:rsidP="000E0EAF" w14:paraId="77027A73" w14:textId="306C55C0">
      <w:pPr>
        <w:pStyle w:val="BodyTextIndent3"/>
        <w:widowControl w:val="0"/>
        <w:spacing w:line="480" w:lineRule="auto"/>
      </w:pPr>
      <w:r>
        <w:t xml:space="preserve">Third-party verification of enrollments </w:t>
      </w:r>
      <w:r w:rsidR="000E0EAF">
        <w:t xml:space="preserve">through </w:t>
      </w:r>
      <w:r>
        <w:t xml:space="preserve">digital confirmation will never come close to providing the </w:t>
      </w:r>
      <w:r w:rsidR="00F97DE9">
        <w:t>same consumer protection</w:t>
      </w:r>
      <w:r>
        <w:t xml:space="preserve"> </w:t>
      </w:r>
      <w:r w:rsidR="00F97DE9">
        <w:t>as</w:t>
      </w:r>
      <w:r>
        <w:t xml:space="preserve"> telephonically recorded third-party verifications in </w:t>
      </w:r>
      <w:r w:rsidR="00F97DE9">
        <w:t>memorializing</w:t>
      </w:r>
      <w:r>
        <w:t xml:space="preserve"> deceptive marketing and </w:t>
      </w:r>
      <w:r w:rsidR="00F97DE9">
        <w:t xml:space="preserve">improper </w:t>
      </w:r>
      <w:r>
        <w:t xml:space="preserve">enrollments. The PUCO </w:t>
      </w:r>
      <w:r w:rsidR="00DC7BDD">
        <w:t xml:space="preserve">should enforce </w:t>
      </w:r>
      <w:r>
        <w:t xml:space="preserve">its rules requiring telephonic third-party verifications. Consumers are emerging from a once in a lifetime pandemic and face </w:t>
      </w:r>
      <w:r w:rsidR="00DF1F7B">
        <w:t>soaring infla</w:t>
      </w:r>
      <w:r w:rsidR="002B342B">
        <w:t>tion</w:t>
      </w:r>
      <w:r w:rsidR="005D4C8D">
        <w:t xml:space="preserve">, </w:t>
      </w:r>
      <w:r>
        <w:t xml:space="preserve">energy, </w:t>
      </w:r>
      <w:r w:rsidR="005D4C8D">
        <w:t>food, and gas costs</w:t>
      </w:r>
      <w:r w:rsidR="002B342B">
        <w:t>.</w:t>
      </w:r>
      <w:r w:rsidR="00506A20">
        <w:t xml:space="preserve"> Now more than ever, consumers deserve </w:t>
      </w:r>
      <w:r w:rsidR="00506A20">
        <w:rPr>
          <w:b/>
          <w:bCs/>
          <w:i/>
          <w:iCs/>
        </w:rPr>
        <w:t>more</w:t>
      </w:r>
      <w:r w:rsidR="005D4C8D">
        <w:t xml:space="preserve"> – not </w:t>
      </w:r>
      <w:r w:rsidR="00506A20">
        <w:t>less</w:t>
      </w:r>
      <w:r w:rsidR="005D4C8D">
        <w:t xml:space="preserve"> – protection</w:t>
      </w:r>
      <w:r w:rsidR="00506A20">
        <w:t xml:space="preserve"> from the PUCO.</w:t>
      </w:r>
      <w:r w:rsidR="002813AA">
        <w:t xml:space="preserve"> </w:t>
      </w:r>
      <w:r w:rsidR="00F97DE9">
        <w:t>Inspire’s waiver request should be denied.</w:t>
      </w:r>
    </w:p>
    <w:p w:rsidR="006520DF" w:rsidP="006520DF" w14:paraId="30832494" w14:textId="77777777">
      <w:pPr>
        <w:pStyle w:val="BodyTextIndent3"/>
        <w:widowControl w:val="0"/>
        <w:spacing w:line="240" w:lineRule="auto"/>
        <w:ind w:right="-312" w:firstLine="0"/>
      </w:pPr>
    </w:p>
    <w:p w:rsidR="00FF79B2" w:rsidRPr="002D607A" w:rsidP="006520DF" w14:paraId="1BD0DB5B" w14:textId="03274FAF">
      <w:pPr>
        <w:pStyle w:val="Heading1"/>
        <w:numPr>
          <w:ilvl w:val="0"/>
          <w:numId w:val="27"/>
        </w:numPr>
        <w:ind w:left="720"/>
        <w:rPr>
          <w:bCs/>
        </w:rPr>
      </w:pPr>
      <w:r>
        <w:rPr>
          <w:b w:val="0"/>
          <w:bCs/>
        </w:rPr>
        <w:t xml:space="preserve">THE PUCO SHOULD </w:t>
      </w:r>
      <w:r>
        <w:rPr>
          <w:b w:val="0"/>
          <w:bCs/>
          <w:u w:val="single"/>
        </w:rPr>
        <w:t>NEVER</w:t>
      </w:r>
      <w:r>
        <w:rPr>
          <w:b w:val="0"/>
          <w:bCs/>
        </w:rPr>
        <w:t xml:space="preserve"> GRANT INSPIRE’S WAIVER REQUEST.</w:t>
      </w:r>
    </w:p>
    <w:p w:rsidR="003809D5" w:rsidP="007935A3" w14:paraId="4FAF64A9" w14:textId="743EBD1B">
      <w:pPr>
        <w:pStyle w:val="BodyTextIndent3"/>
        <w:widowControl w:val="0"/>
        <w:spacing w:line="480" w:lineRule="auto"/>
      </w:pPr>
      <w:r>
        <w:t>As Consumer Groups explained in comments,</w:t>
      </w:r>
      <w:r>
        <w:rPr>
          <w:rStyle w:val="FootnoteReference"/>
        </w:rPr>
        <w:footnoteReference w:id="6"/>
      </w:r>
      <w:r>
        <w:t xml:space="preserve"> telephonic third-party verification requirements </w:t>
      </w:r>
      <w:r w:rsidR="005D4C8D">
        <w:t>set forth in</w:t>
      </w:r>
      <w:r>
        <w:t xml:space="preserve"> the Ohio Administrative Code are necessary to protect consumers from marketers illegally switching consumers’ suppliers without proper consent. This predatory practice is known as “slamming,” and it is a real problem facing </w:t>
      </w:r>
      <w:r>
        <w:t>Ohio consumers.</w:t>
      </w:r>
      <w:r w:rsidR="00956B91">
        <w:t xml:space="preserve"> In</w:t>
      </w:r>
      <w:r w:rsidR="005D4C8D">
        <w:t xml:space="preserve"> fact</w:t>
      </w:r>
      <w:r w:rsidR="00956B91">
        <w:t xml:space="preserve">, the PUCO recently initiated an investigation into the marketing practices of another marketer that was found to have slammed more than </w:t>
      </w:r>
      <w:r w:rsidRPr="00CE3E4C" w:rsidR="00956B91">
        <w:rPr>
          <w:b/>
          <w:bCs/>
          <w:i/>
          <w:iCs/>
        </w:rPr>
        <w:t>one thousand</w:t>
      </w:r>
      <w:r w:rsidR="00956B91">
        <w:t xml:space="preserve"> </w:t>
      </w:r>
      <w:r w:rsidR="00CE3E4C">
        <w:t>consumers.</w:t>
      </w:r>
      <w:r>
        <w:rPr>
          <w:rStyle w:val="FootnoteReference"/>
        </w:rPr>
        <w:footnoteReference w:id="7"/>
      </w:r>
      <w:r w:rsidR="00CE3E4C">
        <w:t xml:space="preserve"> </w:t>
      </w:r>
      <w:r w:rsidR="00DB7F51">
        <w:t>And this is not the only instance of marketers slamming consumers</w:t>
      </w:r>
      <w:r w:rsidR="00F97DE9">
        <w:t>.</w:t>
      </w:r>
      <w:r w:rsidR="00DB7F51">
        <w:t xml:space="preserve"> </w:t>
      </w:r>
      <w:r w:rsidR="00F97DE9">
        <w:t>T</w:t>
      </w:r>
      <w:r w:rsidR="00DB7F51">
        <w:t xml:space="preserve">here </w:t>
      </w:r>
      <w:r w:rsidR="00F97DE9">
        <w:t>have been several</w:t>
      </w:r>
      <w:r w:rsidR="00DB7F51">
        <w:t xml:space="preserve"> marketers served with notices of probable non-compliance in recent years.</w:t>
      </w:r>
      <w:r>
        <w:rPr>
          <w:rStyle w:val="FootnoteReference"/>
        </w:rPr>
        <w:footnoteReference w:id="8"/>
      </w:r>
      <w:r w:rsidR="00DB7F51">
        <w:t xml:space="preserve"> </w:t>
      </w:r>
      <w:r w:rsidR="00761042">
        <w:t xml:space="preserve">Given the harm marketers have caused Ohioans, it is unclear why the </w:t>
      </w:r>
      <w:r w:rsidR="00CE3E4C">
        <w:t>PUCO Staff</w:t>
      </w:r>
      <w:r w:rsidR="00761042">
        <w:t xml:space="preserve"> would ever support a waiver of the telephonic third-party verification requirement</w:t>
      </w:r>
      <w:r w:rsidR="00CE3E4C">
        <w:t>s</w:t>
      </w:r>
      <w:r w:rsidR="00761042">
        <w:t>.</w:t>
      </w:r>
    </w:p>
    <w:p w:rsidR="00B86D45" w:rsidP="00B86D45" w14:paraId="25CE2735" w14:textId="225A64C0">
      <w:pPr>
        <w:pStyle w:val="BodyTextIndent3"/>
        <w:widowControl w:val="0"/>
        <w:spacing w:line="480" w:lineRule="auto"/>
      </w:pPr>
      <w:r>
        <w:t xml:space="preserve"> In</w:t>
      </w:r>
      <w:r w:rsidR="00A82019">
        <w:t xml:space="preserve">deed, in </w:t>
      </w:r>
      <w:r w:rsidR="00761042">
        <w:t>the</w:t>
      </w:r>
      <w:r w:rsidR="00A82019">
        <w:t xml:space="preserve"> Amended Comments </w:t>
      </w:r>
      <w:r>
        <w:t>recommend</w:t>
      </w:r>
      <w:r w:rsidR="00A82019">
        <w:t>ing a denial of Inspire’s waiver request</w:t>
      </w:r>
      <w:r>
        <w:t xml:space="preserve">, the </w:t>
      </w:r>
      <w:r w:rsidR="00A82019">
        <w:t xml:space="preserve">PUCO </w:t>
      </w:r>
      <w:r>
        <w:t>Staff explained that</w:t>
      </w:r>
      <w:r w:rsidR="00350DC8">
        <w:t xml:space="preserve"> the</w:t>
      </w:r>
      <w:r>
        <w:t xml:space="preserve"> </w:t>
      </w:r>
      <w:r w:rsidR="008B45AC">
        <w:t>“current”</w:t>
      </w:r>
      <w:r>
        <w:t xml:space="preserve"> third-party verification process</w:t>
      </w:r>
      <w:r w:rsidR="008B45AC">
        <w:t xml:space="preserve"> and “customer voice verification”</w:t>
      </w:r>
      <w:r>
        <w:t xml:space="preserve"> helped identify misleading and deceptive enrollment practices</w:t>
      </w:r>
      <w:r w:rsidR="007834E3">
        <w:t xml:space="preserve"> by Inspire</w:t>
      </w:r>
      <w:r>
        <w:t>.</w:t>
      </w:r>
      <w:r>
        <w:rPr>
          <w:rStyle w:val="FootnoteReference"/>
        </w:rPr>
        <w:footnoteReference w:id="9"/>
      </w:r>
      <w:r>
        <w:t xml:space="preserve"> Th</w:t>
      </w:r>
      <w:r w:rsidR="00350DC8">
        <w:t>at is the</w:t>
      </w:r>
      <w:r>
        <w:t xml:space="preserve"> exact purpose of telephonic</w:t>
      </w:r>
      <w:r w:rsidR="007834E3">
        <w:t xml:space="preserve"> </w:t>
      </w:r>
      <w:r>
        <w:t>third-party verification calls:</w:t>
      </w:r>
      <w:r w:rsidR="002813AA">
        <w:t xml:space="preserve"> </w:t>
      </w:r>
      <w:r>
        <w:t xml:space="preserve">to make sure that consumers understand the terms of the contract that they agreed to with a marketer. </w:t>
      </w:r>
      <w:r w:rsidR="00350DC8">
        <w:t>While d</w:t>
      </w:r>
      <w:r>
        <w:t>igital confirmation of third-party verifications m</w:t>
      </w:r>
      <w:r w:rsidR="007834E3">
        <w:t>ay</w:t>
      </w:r>
      <w:r>
        <w:t xml:space="preserve"> demonstrate that consumers can click</w:t>
      </w:r>
      <w:r w:rsidR="004849C4">
        <w:t xml:space="preserve"> a</w:t>
      </w:r>
      <w:r>
        <w:t xml:space="preserve"> “yes” </w:t>
      </w:r>
      <w:r w:rsidR="004849C4">
        <w:t>or</w:t>
      </w:r>
      <w:r>
        <w:t xml:space="preserve"> “no” prompt on a computer screen</w:t>
      </w:r>
      <w:r w:rsidR="00350DC8">
        <w:t xml:space="preserve"> or smart phone, it is </w:t>
      </w:r>
      <w:r w:rsidR="007834E3">
        <w:t>unhelpful</w:t>
      </w:r>
      <w:r>
        <w:t xml:space="preserve"> in </w:t>
      </w:r>
      <w:r w:rsidR="007834E3">
        <w:t>determining</w:t>
      </w:r>
      <w:r>
        <w:t xml:space="preserve"> whether consumers </w:t>
      </w:r>
      <w:r w:rsidR="00BF0D5F">
        <w:t>actually understand</w:t>
      </w:r>
      <w:r>
        <w:t xml:space="preserve"> the terms of a contract they were just sold by a marketer.</w:t>
      </w:r>
      <w:r w:rsidR="00425A26">
        <w:t xml:space="preserve"> </w:t>
      </w:r>
    </w:p>
    <w:p w:rsidR="002813AA" w:rsidP="007935A3" w14:paraId="21BC3C66" w14:textId="1696C2E4">
      <w:pPr>
        <w:pStyle w:val="BodyTextIndent3"/>
        <w:widowControl w:val="0"/>
        <w:spacing w:line="480" w:lineRule="auto"/>
      </w:pPr>
      <w:r>
        <w:t>Moreover, t</w:t>
      </w:r>
      <w:r w:rsidR="00FF79B2">
        <w:t xml:space="preserve">he </w:t>
      </w:r>
      <w:r w:rsidR="006A5B6E">
        <w:t>PUCO Staff</w:t>
      </w:r>
      <w:r w:rsidR="00FF79B2">
        <w:t xml:space="preserve"> claims that Inspire’s</w:t>
      </w:r>
      <w:r w:rsidR="006A5B6E">
        <w:t xml:space="preserve"> waiver</w:t>
      </w:r>
      <w:r w:rsidR="00FF79B2">
        <w:t xml:space="preserve"> request</w:t>
      </w:r>
      <w:r w:rsidR="006A5B6E">
        <w:t xml:space="preserve"> appl</w:t>
      </w:r>
      <w:r w:rsidR="00FF79B2">
        <w:t>ies</w:t>
      </w:r>
      <w:r w:rsidR="006A5B6E">
        <w:t xml:space="preserve"> only to “TPV</w:t>
      </w:r>
      <w:r w:rsidR="00DF1F7B">
        <w:t xml:space="preserve"> [third party verification]</w:t>
      </w:r>
      <w:r w:rsidR="006A5B6E">
        <w:t xml:space="preserve"> requirements for the door-to-door enrollment process and not for telephonic enrollments.”</w:t>
      </w:r>
      <w:r>
        <w:rPr>
          <w:rStyle w:val="FootnoteReference"/>
        </w:rPr>
        <w:footnoteReference w:id="10"/>
      </w:r>
      <w:r w:rsidR="00F36C10">
        <w:t xml:space="preserve"> </w:t>
      </w:r>
      <w:r w:rsidR="00694678">
        <w:t>But</w:t>
      </w:r>
      <w:r w:rsidR="00F36C10">
        <w:t xml:space="preserve"> that is not what Inspire’s Application says.</w:t>
      </w:r>
      <w:r w:rsidR="006F5CEB">
        <w:t xml:space="preserve"> </w:t>
      </w:r>
    </w:p>
    <w:p w:rsidR="002813AA" w14:paraId="30BF60B2" w14:textId="77777777">
      <w:r>
        <w:br w:type="page"/>
      </w:r>
    </w:p>
    <w:p w:rsidR="00DF4F75" w:rsidP="007935A3" w14:paraId="2ECE941F" w14:textId="106F8E70">
      <w:pPr>
        <w:pStyle w:val="BodyTextIndent3"/>
        <w:widowControl w:val="0"/>
        <w:spacing w:line="480" w:lineRule="auto"/>
      </w:pPr>
      <w:r>
        <w:t>T</w:t>
      </w:r>
      <w:r w:rsidR="00DF1F7B">
        <w:t xml:space="preserve">he Application </w:t>
      </w:r>
      <w:r w:rsidR="00BD5488">
        <w:t>expressly</w:t>
      </w:r>
      <w:r w:rsidR="00DF1F7B">
        <w:t xml:space="preserve"> </w:t>
      </w:r>
      <w:r w:rsidR="00761A68">
        <w:t>reference</w:t>
      </w:r>
      <w:r w:rsidR="00DF1F7B">
        <w:t>s</w:t>
      </w:r>
      <w:r w:rsidR="00E8211F">
        <w:t xml:space="preserve"> and proposes changes to</w:t>
      </w:r>
      <w:r w:rsidR="00761A68">
        <w:t xml:space="preserve"> O</w:t>
      </w:r>
      <w:r w:rsidR="00DF1F7B">
        <w:t>.</w:t>
      </w:r>
      <w:r w:rsidR="00761A68">
        <w:t>A.</w:t>
      </w:r>
      <w:r w:rsidR="00DF1F7B">
        <w:t>C.</w:t>
      </w:r>
      <w:r w:rsidR="00761A68">
        <w:t xml:space="preserve"> </w:t>
      </w:r>
      <w:r w:rsidR="00FD43C3">
        <w:t xml:space="preserve">4901:1-21(d)(2)(a) and O.A.C. </w:t>
      </w:r>
      <w:r w:rsidR="00761A68">
        <w:t>4901:1-29-06(E)(1)</w:t>
      </w:r>
      <w:r w:rsidR="00DF1F7B">
        <w:t>,</w:t>
      </w:r>
      <w:r>
        <w:rPr>
          <w:rStyle w:val="FootnoteReference"/>
        </w:rPr>
        <w:footnoteReference w:id="11"/>
      </w:r>
      <w:r w:rsidR="00761A68">
        <w:t xml:space="preserve"> </w:t>
      </w:r>
      <w:r w:rsidR="003D4C17">
        <w:t xml:space="preserve">both of </w:t>
      </w:r>
      <w:r w:rsidR="00DF1F7B">
        <w:t>which</w:t>
      </w:r>
      <w:r w:rsidR="00FD43C3">
        <w:t xml:space="preserve"> </w:t>
      </w:r>
      <w:r w:rsidR="00BD5488">
        <w:t>govern</w:t>
      </w:r>
      <w:r w:rsidR="00FD43C3">
        <w:t xml:space="preserve"> </w:t>
      </w:r>
      <w:r w:rsidRPr="003D4C17" w:rsidR="00761A68">
        <w:rPr>
          <w:i/>
          <w:iCs/>
        </w:rPr>
        <w:t>telephonic</w:t>
      </w:r>
      <w:r w:rsidR="00761A68">
        <w:t xml:space="preserve"> enrollments. </w:t>
      </w:r>
      <w:r w:rsidR="00BD5488">
        <w:t xml:space="preserve">Inspire’s </w:t>
      </w:r>
      <w:r w:rsidR="00761A68">
        <w:t>waiver request</w:t>
      </w:r>
      <w:r w:rsidR="00BD5488">
        <w:t>s</w:t>
      </w:r>
      <w:r w:rsidR="00761A68">
        <w:t xml:space="preserve"> </w:t>
      </w:r>
      <w:r w:rsidR="00BD5488">
        <w:t xml:space="preserve">would exempt it </w:t>
      </w:r>
      <w:r w:rsidR="00761A68">
        <w:t>from making date and time-stamped audio recording</w:t>
      </w:r>
      <w:r w:rsidR="00BD5488">
        <w:t>s</w:t>
      </w:r>
      <w:r w:rsidR="00761A68">
        <w:t xml:space="preserve"> of the sales portion of call</w:t>
      </w:r>
      <w:r w:rsidR="007D3C6D">
        <w:t>s to consumers</w:t>
      </w:r>
      <w:r w:rsidR="00761A68">
        <w:t>.</w:t>
      </w:r>
      <w:r>
        <w:rPr>
          <w:rStyle w:val="FootnoteReference"/>
        </w:rPr>
        <w:footnoteReference w:id="12"/>
      </w:r>
      <w:r w:rsidR="00761A68">
        <w:t xml:space="preserve"> </w:t>
      </w:r>
      <w:r w:rsidR="00BD5488">
        <w:t>Inspire’s</w:t>
      </w:r>
      <w:r w:rsidR="00761A68">
        <w:t xml:space="preserve"> waiver request</w:t>
      </w:r>
      <w:r w:rsidR="007D3C6D">
        <w:t>s</w:t>
      </w:r>
      <w:r w:rsidR="00BD5488">
        <w:t xml:space="preserve"> would</w:t>
      </w:r>
      <w:r w:rsidR="00761A68">
        <w:t xml:space="preserve"> eliminate the requirement for an “audio recording” by an independent third-party verifier of the purpose of the “call</w:t>
      </w:r>
      <w:r w:rsidR="00BD5488">
        <w:t>.</w:t>
      </w:r>
      <w:r w:rsidR="00761A68">
        <w:t>”</w:t>
      </w:r>
      <w:r>
        <w:rPr>
          <w:rStyle w:val="FootnoteReference"/>
        </w:rPr>
        <w:footnoteReference w:id="13"/>
      </w:r>
      <w:r w:rsidR="002813AA">
        <w:t xml:space="preserve"> </w:t>
      </w:r>
      <w:r w:rsidR="00761A68">
        <w:t>Inspire</w:t>
      </w:r>
      <w:r w:rsidR="00BD5488">
        <w:t>’s</w:t>
      </w:r>
      <w:r w:rsidR="00761A68">
        <w:t xml:space="preserve"> waiver request</w:t>
      </w:r>
      <w:r w:rsidR="006C1652">
        <w:t>s</w:t>
      </w:r>
      <w:r w:rsidR="00761A68">
        <w:t xml:space="preserve"> would waive all requirements for “verbal” communications between the third-party verifier and the consumer regarding the terms of the agreement and even </w:t>
      </w:r>
      <w:r w:rsidR="007D3C6D">
        <w:t xml:space="preserve">the consumer’s </w:t>
      </w:r>
      <w:r w:rsidR="00761A68">
        <w:t>consent to switch suppliers.</w:t>
      </w:r>
      <w:r>
        <w:rPr>
          <w:rStyle w:val="FootnoteReference"/>
        </w:rPr>
        <w:footnoteReference w:id="14"/>
      </w:r>
      <w:r w:rsidR="00761A68">
        <w:t xml:space="preserve"> </w:t>
      </w:r>
      <w:r w:rsidR="00D438D5">
        <w:t>T</w:t>
      </w:r>
      <w:r w:rsidR="00BF0D5F">
        <w:t>he</w:t>
      </w:r>
      <w:r w:rsidR="00BD5488">
        <w:t xml:space="preserve"> PUCO Staff</w:t>
      </w:r>
      <w:r w:rsidR="0080614A">
        <w:t xml:space="preserve">’s </w:t>
      </w:r>
      <w:r w:rsidR="00BF0D5F">
        <w:t xml:space="preserve">initial </w:t>
      </w:r>
      <w:r w:rsidR="00D438D5">
        <w:t>and</w:t>
      </w:r>
      <w:r w:rsidR="00BF0D5F">
        <w:t xml:space="preserve"> amended comments </w:t>
      </w:r>
      <w:r w:rsidR="00D438D5">
        <w:t xml:space="preserve">do not </w:t>
      </w:r>
      <w:r w:rsidR="00BD5488">
        <w:t>address these waiver requests by Inspire at all.</w:t>
      </w:r>
      <w:r w:rsidR="00DF1F7B">
        <w:t xml:space="preserve"> </w:t>
      </w:r>
    </w:p>
    <w:p w:rsidR="00DF4F75" w:rsidP="007935A3" w14:paraId="68E1D425" w14:textId="28FE7A27">
      <w:pPr>
        <w:pStyle w:val="BodyTextIndent3"/>
        <w:widowControl w:val="0"/>
        <w:spacing w:line="480" w:lineRule="auto"/>
      </w:pPr>
      <w:r>
        <w:t>I</w:t>
      </w:r>
      <w:r w:rsidR="00DF1F7B">
        <w:t>nspire’s waiver requests with respect to telephonic enrollments should be denied. Audio recordings of the sales portion of telephonic solicitations are crucial</w:t>
      </w:r>
      <w:r>
        <w:t xml:space="preserve"> to the consumer and the PUCO</w:t>
      </w:r>
      <w:r w:rsidR="00DF1F7B">
        <w:t xml:space="preserve"> in the event there is a dispute in enrollment and to determine whether a marketer has engaged in deceptive marketing. Requiring verbal acknowledgement that the consumer understands the </w:t>
      </w:r>
      <w:r w:rsidR="00994091">
        <w:t>material terms of the contract</w:t>
      </w:r>
      <w:r w:rsidR="00DF1F7B">
        <w:t xml:space="preserve"> and agrees to switch suppliers</w:t>
      </w:r>
      <w:r w:rsidR="00994091">
        <w:t xml:space="preserve"> is also important to prevent deceptive marketer practices.</w:t>
      </w:r>
      <w:r>
        <w:t xml:space="preserve"> </w:t>
      </w:r>
      <w:r w:rsidR="00FF3F0C">
        <w:t>Inspire</w:t>
      </w:r>
      <w:r w:rsidR="00B4021E">
        <w:t xml:space="preserve"> </w:t>
      </w:r>
      <w:r w:rsidR="008F3DAC">
        <w:t>failed to provide</w:t>
      </w:r>
      <w:r w:rsidR="00FF3F0C">
        <w:t xml:space="preserve"> good </w:t>
      </w:r>
      <w:r w:rsidR="00DF1F7B">
        <w:t>cause</w:t>
      </w:r>
      <w:r w:rsidR="00FF3F0C">
        <w:t xml:space="preserve"> for waiving these important consumer protections.</w:t>
      </w:r>
    </w:p>
    <w:p w:rsidR="00B4021E" w:rsidP="00350DC8" w14:paraId="54E68FDE" w14:textId="77777777">
      <w:pPr>
        <w:spacing w:after="160" w:line="480" w:lineRule="auto"/>
        <w:ind w:firstLine="720"/>
        <w:contextualSpacing/>
      </w:pPr>
      <w:r>
        <w:t xml:space="preserve">For the </w:t>
      </w:r>
      <w:r w:rsidR="00994091">
        <w:t>enrollment of consumers through door-to-door or in-store sales, t</w:t>
      </w:r>
      <w:r>
        <w:t xml:space="preserve">he PUCO Staff </w:t>
      </w:r>
      <w:r w:rsidR="00BF0D5F">
        <w:t xml:space="preserve">initially </w:t>
      </w:r>
      <w:r>
        <w:t>recommend</w:t>
      </w:r>
      <w:r w:rsidR="00BF0D5F">
        <w:t>ed</w:t>
      </w:r>
      <w:r>
        <w:t xml:space="preserve"> that Inspire be granted a waiver allowing it</w:t>
      </w:r>
      <w:r w:rsidR="00994091">
        <w:t xml:space="preserve"> to conduct digital </w:t>
      </w:r>
      <w:r w:rsidR="007D3C6D">
        <w:t>third-party verification</w:t>
      </w:r>
      <w:r w:rsidR="00994091">
        <w:t xml:space="preserve">s until </w:t>
      </w:r>
      <w:r>
        <w:t>the PUCO adopt</w:t>
      </w:r>
      <w:r w:rsidR="00994091">
        <w:t>s</w:t>
      </w:r>
      <w:r>
        <w:t xml:space="preserve"> final </w:t>
      </w:r>
      <w:r w:rsidR="00994091">
        <w:t xml:space="preserve">electric and natural gas </w:t>
      </w:r>
      <w:r>
        <w:t>marketing rules in Case Nos. 17-1843-EL-ORD and 17-1847-EL-ORD.</w:t>
      </w:r>
      <w:r>
        <w:rPr>
          <w:rStyle w:val="FootnoteReference"/>
        </w:rPr>
        <w:footnoteReference w:id="15"/>
      </w:r>
      <w:r>
        <w:t xml:space="preserve"> </w:t>
      </w:r>
      <w:r w:rsidR="00D438D5">
        <w:t xml:space="preserve">The PUCO </w:t>
      </w:r>
      <w:r w:rsidR="00BF0D5F">
        <w:t xml:space="preserve">Staff </w:t>
      </w:r>
      <w:r w:rsidR="005A7F22">
        <w:t>changed</w:t>
      </w:r>
      <w:r w:rsidR="00BF0D5F">
        <w:t xml:space="preserve"> its recommendation </w:t>
      </w:r>
      <w:r w:rsidR="00D438D5">
        <w:t xml:space="preserve">to support </w:t>
      </w:r>
      <w:r w:rsidR="00BF0D5F">
        <w:t>denying the waiver</w:t>
      </w:r>
      <w:r w:rsidR="00D438D5">
        <w:t xml:space="preserve"> until </w:t>
      </w:r>
      <w:r w:rsidR="005A7F22">
        <w:t>consumer complaints against Inspire are resolved</w:t>
      </w:r>
      <w:r w:rsidR="00D438D5">
        <w:t xml:space="preserve">. </w:t>
      </w:r>
    </w:p>
    <w:p w:rsidR="00A24822" w:rsidP="00350DC8" w14:paraId="5EE74717" w14:textId="40465EE8">
      <w:pPr>
        <w:spacing w:after="160" w:line="480" w:lineRule="auto"/>
        <w:ind w:firstLine="720"/>
        <w:contextualSpacing/>
      </w:pPr>
      <w:r>
        <w:t xml:space="preserve">But </w:t>
      </w:r>
      <w:r w:rsidR="005A7F22">
        <w:t xml:space="preserve">the PUCO should </w:t>
      </w:r>
      <w:r w:rsidR="005A7F22">
        <w:rPr>
          <w:b/>
          <w:bCs/>
          <w:i/>
          <w:iCs/>
        </w:rPr>
        <w:t>never</w:t>
      </w:r>
      <w:r w:rsidR="005A7F22">
        <w:t xml:space="preserve"> grant </w:t>
      </w:r>
      <w:r>
        <w:t>Inspire’s waiver request.</w:t>
      </w:r>
      <w:r w:rsidR="00BF0D5F">
        <w:t xml:space="preserve"> </w:t>
      </w:r>
      <w:r>
        <w:t>T</w:t>
      </w:r>
      <w:r w:rsidR="00BF0D5F">
        <w:t>he need for telephonically recorded third-party verification requirements ha</w:t>
      </w:r>
      <w:r w:rsidR="004C08EB">
        <w:t>s</w:t>
      </w:r>
      <w:r w:rsidR="00BF0D5F">
        <w:t xml:space="preserve"> never been greater. </w:t>
      </w:r>
      <w:r>
        <w:t>Accordingly,</w:t>
      </w:r>
      <w:r w:rsidR="00BF0D5F">
        <w:t xml:space="preserve"> Consumer Groups recommend that the PUCO deny not only Inspire</w:t>
      </w:r>
      <w:r>
        <w:t>’s</w:t>
      </w:r>
      <w:r w:rsidR="00BF0D5F">
        <w:t xml:space="preserve"> waiver request, </w:t>
      </w:r>
      <w:r w:rsidR="00AF1421">
        <w:t>but also waiver requests by</w:t>
      </w:r>
      <w:r w:rsidR="00BF0D5F">
        <w:t xml:space="preserve"> any other marketer that would</w:t>
      </w:r>
      <w:r w:rsidR="005A7F22">
        <w:t xml:space="preserve"> undermine </w:t>
      </w:r>
      <w:r>
        <w:t xml:space="preserve">the </w:t>
      </w:r>
      <w:r w:rsidR="005A7F22">
        <w:t>PUCO’s</w:t>
      </w:r>
      <w:r w:rsidR="00BF0D5F">
        <w:t xml:space="preserve"> telephonic third-party verification </w:t>
      </w:r>
      <w:r w:rsidR="005A7F22">
        <w:t>protections</w:t>
      </w:r>
      <w:r w:rsidR="00BF0D5F">
        <w:t xml:space="preserve">. </w:t>
      </w:r>
    </w:p>
    <w:p w:rsidR="008F09B8" w:rsidP="00A24822" w14:paraId="3FBFD09B" w14:textId="38526ECA">
      <w:pPr>
        <w:spacing w:after="160" w:line="480" w:lineRule="auto"/>
        <w:ind w:firstLine="720"/>
        <w:contextualSpacing/>
      </w:pPr>
      <w:r>
        <w:t>T</w:t>
      </w:r>
      <w:r w:rsidR="00A24822">
        <w:t>he PUCO should err on the side of protecting consumers, not marketers</w:t>
      </w:r>
      <w:r w:rsidR="00ED297D">
        <w:t>, by prohibiting third-party verifications that are not independently telephonically recorded.</w:t>
      </w:r>
      <w:r w:rsidR="00425A26">
        <w:t xml:space="preserve"> </w:t>
      </w:r>
      <w:r w:rsidR="00985BFF">
        <w:t>Any waiver of rules should be outright rejected if</w:t>
      </w:r>
      <w:r w:rsidR="00ED297D">
        <w:t xml:space="preserve"> no credi</w:t>
      </w:r>
      <w:r w:rsidR="00985BFF">
        <w:t>ble</w:t>
      </w:r>
      <w:r w:rsidR="00ED297D">
        <w:t xml:space="preserve"> assessment has been performed</w:t>
      </w:r>
      <w:r w:rsidR="00F444D2">
        <w:t xml:space="preserve"> regarding</w:t>
      </w:r>
      <w:r w:rsidR="00761A68">
        <w:t xml:space="preserve"> the impact </w:t>
      </w:r>
      <w:r w:rsidR="00AF1421">
        <w:t>of</w:t>
      </w:r>
      <w:r w:rsidR="00761A68">
        <w:t xml:space="preserve"> digital </w:t>
      </w:r>
      <w:r w:rsidR="007B597C">
        <w:t xml:space="preserve">third-party verifications </w:t>
      </w:r>
      <w:r w:rsidR="00761A68">
        <w:t xml:space="preserve">on slamming </w:t>
      </w:r>
      <w:r w:rsidR="007B597C">
        <w:t xml:space="preserve">as </w:t>
      </w:r>
      <w:r w:rsidR="00761A68">
        <w:t xml:space="preserve">compared to telephonic </w:t>
      </w:r>
      <w:r w:rsidR="007B597C">
        <w:t>third-party verifications</w:t>
      </w:r>
      <w:r w:rsidR="00F444D2">
        <w:t>.</w:t>
      </w:r>
      <w:r w:rsidR="00ED297D">
        <w:t xml:space="preserve"> </w:t>
      </w:r>
      <w:r w:rsidR="00AF1421">
        <w:t>T</w:t>
      </w:r>
      <w:r w:rsidR="00F444D2">
        <w:t xml:space="preserve">he PUCO has initiated several investigations </w:t>
      </w:r>
      <w:r w:rsidR="007B597C">
        <w:t>of</w:t>
      </w:r>
      <w:r w:rsidR="00F444D2">
        <w:t xml:space="preserve"> marketers for deceptive marketing practices including slamming.</w:t>
      </w:r>
      <w:r>
        <w:rPr>
          <w:rStyle w:val="FootnoteReference"/>
        </w:rPr>
        <w:footnoteReference w:id="16"/>
      </w:r>
      <w:r w:rsidR="00F444D2">
        <w:t xml:space="preserve"> </w:t>
      </w:r>
      <w:r w:rsidR="007B597C">
        <w:t>Those investigations suggest that m</w:t>
      </w:r>
      <w:r w:rsidR="00F444D2">
        <w:t xml:space="preserve">arketers </w:t>
      </w:r>
      <w:r w:rsidR="007B597C">
        <w:t>are becoming</w:t>
      </w:r>
      <w:r w:rsidR="00F444D2">
        <w:t xml:space="preserve"> more brazen in their attempts to scam consumers</w:t>
      </w:r>
      <w:r w:rsidR="00E833F5">
        <w:t>, and t</w:t>
      </w:r>
      <w:r w:rsidR="004E0478">
        <w:t>hey</w:t>
      </w:r>
      <w:r w:rsidR="004C08EB">
        <w:t xml:space="preserve"> have even</w:t>
      </w:r>
      <w:r w:rsidR="00F444D2">
        <w:t xml:space="preserve"> tr</w:t>
      </w:r>
      <w:r w:rsidR="004C08EB">
        <w:t>ied</w:t>
      </w:r>
      <w:r w:rsidR="00F444D2">
        <w:t xml:space="preserve"> to </w:t>
      </w:r>
      <w:r w:rsidR="0030428C">
        <w:t>deceive a</w:t>
      </w:r>
      <w:r w:rsidR="00A45911">
        <w:t xml:space="preserve"> </w:t>
      </w:r>
      <w:r w:rsidR="00F444D2">
        <w:t>PUCO Staff</w:t>
      </w:r>
      <w:r w:rsidR="00A45911">
        <w:t xml:space="preserve"> member</w:t>
      </w:r>
      <w:r w:rsidR="00F444D2">
        <w:t>!</w:t>
      </w:r>
      <w:r>
        <w:rPr>
          <w:rStyle w:val="FootnoteReference"/>
        </w:rPr>
        <w:footnoteReference w:id="17"/>
      </w:r>
      <w:r w:rsidR="00F444D2">
        <w:t xml:space="preserve"> Now is not the time to relax consumer protections.</w:t>
      </w:r>
      <w:r w:rsidR="00761A68">
        <w:t xml:space="preserve"> </w:t>
      </w:r>
    </w:p>
    <w:p w:rsidR="00E84083" w:rsidP="00ED297D" w14:paraId="41327193" w14:textId="1E38F13F">
      <w:pPr>
        <w:spacing w:after="160" w:line="480" w:lineRule="auto"/>
        <w:ind w:firstLine="720"/>
        <w:contextualSpacing/>
      </w:pPr>
      <w:r>
        <w:t>T</w:t>
      </w:r>
      <w:r w:rsidR="001D2BE2">
        <w:t xml:space="preserve">he </w:t>
      </w:r>
      <w:r w:rsidR="00ED297D">
        <w:t>PUCO Staff</w:t>
      </w:r>
      <w:r>
        <w:t>’s Amended Comments</w:t>
      </w:r>
      <w:r w:rsidR="00ED297D">
        <w:t xml:space="preserve"> le</w:t>
      </w:r>
      <w:r>
        <w:t>ave</w:t>
      </w:r>
      <w:r w:rsidR="00ED297D">
        <w:t xml:space="preserve"> the door open for Inspire to reapply for a waiver of the third-party verification rules after </w:t>
      </w:r>
      <w:r w:rsidR="00250E8B">
        <w:t>Inspire</w:t>
      </w:r>
      <w:r w:rsidR="005A7F22">
        <w:t xml:space="preserve"> resolves its </w:t>
      </w:r>
      <w:r w:rsidR="00ED297D">
        <w:t>consumer complaints and marketing</w:t>
      </w:r>
      <w:r w:rsidR="005A7F22">
        <w:t>/</w:t>
      </w:r>
      <w:r w:rsidR="00ED297D">
        <w:t>enrollment process issues.</w:t>
      </w:r>
      <w:r>
        <w:rPr>
          <w:rStyle w:val="FootnoteReference"/>
        </w:rPr>
        <w:footnoteReference w:id="18"/>
      </w:r>
      <w:r w:rsidR="00ED297D">
        <w:t xml:space="preserve"> </w:t>
      </w:r>
      <w:r>
        <w:t>That</w:t>
      </w:r>
      <w:r w:rsidR="00ED297D">
        <w:t xml:space="preserve"> door should be</w:t>
      </w:r>
      <w:r w:rsidR="00AF1421">
        <w:t xml:space="preserve"> slammed shut given the apparent consumer complaints against Inspire</w:t>
      </w:r>
      <w:r w:rsidR="00ED297D">
        <w:t>. Resolving the current</w:t>
      </w:r>
      <w:r w:rsidR="00AF1421">
        <w:t xml:space="preserve"> </w:t>
      </w:r>
      <w:r w:rsidR="00ED297D">
        <w:t xml:space="preserve">complaint cases is </w:t>
      </w:r>
      <w:r w:rsidR="00AF1421">
        <w:t>likely</w:t>
      </w:r>
      <w:r w:rsidR="00915226">
        <w:t xml:space="preserve"> the</w:t>
      </w:r>
      <w:r w:rsidR="00ED297D">
        <w:t xml:space="preserve"> tip of the iceberg </w:t>
      </w:r>
      <w:r>
        <w:t xml:space="preserve">as </w:t>
      </w:r>
      <w:r w:rsidR="00ED297D">
        <w:t xml:space="preserve">compared to the total number of consumers </w:t>
      </w:r>
      <w:r>
        <w:t xml:space="preserve">Inspire </w:t>
      </w:r>
      <w:r w:rsidR="00ED297D">
        <w:t>may have</w:t>
      </w:r>
      <w:r>
        <w:t xml:space="preserve"> deceived</w:t>
      </w:r>
      <w:r w:rsidR="00ED297D">
        <w:t xml:space="preserve">. </w:t>
      </w:r>
    </w:p>
    <w:p w:rsidR="00ED297D" w:rsidP="00ED297D" w14:paraId="33F26171" w14:textId="4BFAD4F8">
      <w:pPr>
        <w:spacing w:after="160" w:line="480" w:lineRule="auto"/>
        <w:ind w:firstLine="720"/>
        <w:contextualSpacing/>
      </w:pPr>
      <w:r>
        <w:t xml:space="preserve">In rejecting the waiver request, the PUCO should also order a full investigation and audit of </w:t>
      </w:r>
      <w:r w:rsidR="00E84083">
        <w:t>Inspire’s</w:t>
      </w:r>
      <w:r>
        <w:t xml:space="preserve"> in-store and door-to-door </w:t>
      </w:r>
      <w:r w:rsidR="00E84083">
        <w:t xml:space="preserve">customer </w:t>
      </w:r>
      <w:r>
        <w:t>enrollmen</w:t>
      </w:r>
      <w:r w:rsidR="00E84083">
        <w:t>ts,</w:t>
      </w:r>
      <w:r>
        <w:t xml:space="preserve"> including </w:t>
      </w:r>
      <w:r w:rsidR="00E84083">
        <w:t>a</w:t>
      </w:r>
      <w:r>
        <w:t xml:space="preserve"> review of telephonic third-party verifications to identify </w:t>
      </w:r>
      <w:r w:rsidR="00E84083">
        <w:t>additional</w:t>
      </w:r>
      <w:r>
        <w:t xml:space="preserve"> consumers who </w:t>
      </w:r>
      <w:r w:rsidR="00E84083">
        <w:t>may have been deceived by Inspire.</w:t>
      </w:r>
      <w:r>
        <w:t xml:space="preserve"> </w:t>
      </w:r>
    </w:p>
    <w:p w:rsidR="00F70047" w:rsidP="003B19D9" w14:paraId="2FE33DF9" w14:textId="22E1CE64">
      <w:pPr>
        <w:spacing w:after="160" w:line="480" w:lineRule="auto"/>
        <w:ind w:firstLine="720"/>
        <w:contextualSpacing/>
      </w:pPr>
      <w:r>
        <w:t xml:space="preserve">Finally, </w:t>
      </w:r>
      <w:r w:rsidR="00761A68">
        <w:t>Ohio law requires the PUCO to set rules with the minimum service requirements that inc</w:t>
      </w:r>
      <w:r w:rsidR="000258B6">
        <w:t>lude consumer protections to prevent slamming, “which may include independent, third-party verification procedures</w:t>
      </w:r>
      <w:r w:rsidR="00761A68">
        <w:t>.</w:t>
      </w:r>
      <w:r w:rsidR="000258B6">
        <w:t>”</w:t>
      </w:r>
      <w:r>
        <w:rPr>
          <w:rStyle w:val="FootnoteReference"/>
        </w:rPr>
        <w:footnoteReference w:id="19"/>
      </w:r>
      <w:r w:rsidR="00761A68">
        <w:t xml:space="preserve"> The minimum</w:t>
      </w:r>
      <w:r w:rsidR="00507DE5">
        <w:t xml:space="preserve"> service requirements </w:t>
      </w:r>
      <w:r w:rsidR="00761A68">
        <w:t xml:space="preserve">involving telephonic independent </w:t>
      </w:r>
      <w:r w:rsidR="00C32500">
        <w:t>third-party verification</w:t>
      </w:r>
      <w:r w:rsidR="00761A68">
        <w:t xml:space="preserve">s </w:t>
      </w:r>
      <w:r w:rsidR="00507DE5">
        <w:t xml:space="preserve">are set forth in </w:t>
      </w:r>
      <w:r w:rsidR="00761A68">
        <w:t>the PUCO</w:t>
      </w:r>
      <w:r w:rsidR="00507DE5">
        <w:t>’s</w:t>
      </w:r>
      <w:r w:rsidR="00761A68">
        <w:t xml:space="preserve"> rules and appl</w:t>
      </w:r>
      <w:r w:rsidR="00507DE5">
        <w:t>y</w:t>
      </w:r>
      <w:r w:rsidR="00761A68">
        <w:t xml:space="preserve"> to all</w:t>
      </w:r>
      <w:r w:rsidR="00507DE5">
        <w:t xml:space="preserve"> marketers</w:t>
      </w:r>
      <w:r w:rsidR="00761A68">
        <w:t>.</w:t>
      </w:r>
      <w:r w:rsidR="00425A26">
        <w:t xml:space="preserve"> </w:t>
      </w:r>
      <w:r w:rsidR="00B4021E">
        <w:t>These minimum requirements should be followed, not w</w:t>
      </w:r>
      <w:r w:rsidR="005B574D">
        <w:t>aived.</w:t>
      </w:r>
      <w:r w:rsidR="00425A26">
        <w:t xml:space="preserve"> </w:t>
      </w:r>
      <w:r w:rsidR="005B574D">
        <w:t>Consumers deserve more</w:t>
      </w:r>
      <w:r w:rsidR="00915226">
        <w:t>,</w:t>
      </w:r>
      <w:r w:rsidR="005B574D">
        <w:t xml:space="preserve"> not less</w:t>
      </w:r>
      <w:r w:rsidR="00915226">
        <w:t>,</w:t>
      </w:r>
      <w:r w:rsidR="005B574D">
        <w:t xml:space="preserve"> protection.</w:t>
      </w:r>
      <w:r w:rsidR="00425A26">
        <w:t xml:space="preserve"> </w:t>
      </w:r>
    </w:p>
    <w:p w:rsidR="001D2BE2" w:rsidP="001D2BE2" w14:paraId="2FDCAE9E" w14:textId="77777777">
      <w:pPr>
        <w:pStyle w:val="Heading1"/>
        <w:numPr>
          <w:ilvl w:val="0"/>
          <w:numId w:val="27"/>
        </w:numPr>
        <w:ind w:left="720"/>
        <w:rPr>
          <w:b w:val="0"/>
          <w:bCs/>
        </w:rPr>
      </w:pPr>
      <w:r w:rsidRPr="003B19D9">
        <w:rPr>
          <w:b w:val="0"/>
          <w:bCs/>
        </w:rPr>
        <w:t>CONCLUSION</w:t>
      </w:r>
    </w:p>
    <w:p w:rsidR="00C128B6" w:rsidP="00C128B6" w14:paraId="0176FEC5" w14:textId="342B0165">
      <w:pPr>
        <w:pStyle w:val="BodyTextIndent3"/>
        <w:widowControl w:val="0"/>
        <w:spacing w:line="480" w:lineRule="auto"/>
      </w:pPr>
      <w:r>
        <w:t xml:space="preserve">Inspire has failed to demonstrate that good cause exists to waive important third-party verification requirements to protect consumers from slamming. The PUCO should deny Inspire’s waiver request to be allowed to use digital third-party verifications. There is </w:t>
      </w:r>
      <w:r w:rsidR="00180A3E">
        <w:t>no</w:t>
      </w:r>
      <w:r>
        <w:t xml:space="preserve"> good reason to relax consumer protections </w:t>
      </w:r>
      <w:r w:rsidR="00180A3E">
        <w:t>– especially</w:t>
      </w:r>
      <w:r>
        <w:t xml:space="preserve"> in these difficult times. Consumers deserve strong protection by the PUCO. For the reasons explained above and in Consumer Groups’ comments, the PUCO should deny Inspire’s Application and any other waiver request that weakens the</w:t>
      </w:r>
      <w:r w:rsidR="00107AC0">
        <w:t xml:space="preserve"> consumer protection requirements for marketers</w:t>
      </w:r>
      <w:r>
        <w:t>.</w:t>
      </w:r>
      <w:r w:rsidRPr="00FF4A2C">
        <w:t xml:space="preserve"> </w:t>
      </w:r>
    </w:p>
    <w:p w:rsidR="0094509A" w:rsidRPr="00FF4A2C" w:rsidP="002813AA" w14:paraId="4E8EA7F4" w14:textId="6E8E0775">
      <w:pPr>
        <w:pStyle w:val="BodyTextIndent3"/>
        <w:widowControl w:val="0"/>
        <w:spacing w:line="480" w:lineRule="auto"/>
        <w:rPr>
          <w:szCs w:val="24"/>
        </w:rPr>
      </w:pPr>
      <w:r w:rsidRPr="00FF4A2C">
        <w:t xml:space="preserve"> </w:t>
      </w:r>
      <w:r w:rsidR="002813AA">
        <w:tab/>
      </w:r>
      <w:r w:rsidR="002813AA">
        <w:tab/>
      </w:r>
      <w:r w:rsidR="002813AA">
        <w:tab/>
      </w:r>
      <w:r w:rsidR="002813AA">
        <w:tab/>
      </w:r>
      <w:r w:rsidRPr="00FF4A2C" w:rsidR="00DF1F7B">
        <w:rPr>
          <w:szCs w:val="24"/>
        </w:rPr>
        <w:t>Respectfully submitted,</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6E7D944C" w14:textId="77777777" w:rsidTr="00D53632">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EC237F" w:rsidRPr="001723AB" w:rsidP="00D53632" w14:paraId="1711D0B8" w14:textId="77777777">
            <w:pPr>
              <w:tabs>
                <w:tab w:val="left" w:pos="4320"/>
              </w:tabs>
              <w:jc w:val="both"/>
              <w:rPr>
                <w:szCs w:val="24"/>
              </w:rPr>
            </w:pPr>
          </w:p>
          <w:p w:rsidR="00EC237F" w:rsidRPr="00FF4A2C" w:rsidP="00D53632" w14:paraId="2180D6B2" w14:textId="77777777">
            <w:pPr>
              <w:pStyle w:val="Footer"/>
              <w:tabs>
                <w:tab w:val="left" w:pos="4320"/>
                <w:tab w:val="clear" w:pos="8640"/>
              </w:tabs>
              <w:ind w:left="78"/>
              <w:rPr>
                <w:sz w:val="24"/>
                <w:szCs w:val="24"/>
              </w:rPr>
            </w:pPr>
            <w:r w:rsidRPr="00FF4A2C">
              <w:rPr>
                <w:sz w:val="24"/>
                <w:szCs w:val="24"/>
              </w:rPr>
              <w:t>Bruce Weston (0016973)</w:t>
            </w:r>
          </w:p>
          <w:p w:rsidR="00EC237F" w:rsidRPr="00FF4A2C" w:rsidP="00D53632" w14:paraId="66B938D0" w14:textId="77777777">
            <w:pPr>
              <w:tabs>
                <w:tab w:val="left" w:pos="4320"/>
              </w:tabs>
              <w:ind w:left="78"/>
              <w:rPr>
                <w:szCs w:val="24"/>
              </w:rPr>
            </w:pPr>
            <w:r w:rsidRPr="00FF4A2C">
              <w:rPr>
                <w:szCs w:val="24"/>
              </w:rPr>
              <w:t>Ohio Consumers’ Counsel</w:t>
            </w:r>
          </w:p>
          <w:p w:rsidR="00EC237F" w:rsidP="00D53632" w14:paraId="6AC56EB5" w14:textId="66B9681D">
            <w:pPr>
              <w:tabs>
                <w:tab w:val="left" w:pos="4320"/>
              </w:tabs>
              <w:ind w:left="78"/>
              <w:rPr>
                <w:szCs w:val="24"/>
              </w:rPr>
            </w:pPr>
          </w:p>
          <w:p w:rsidR="00EC237F" w:rsidRPr="00EC237F" w:rsidP="00D53632" w14:paraId="71DC1C8A" w14:textId="59DCD2F1">
            <w:pPr>
              <w:tabs>
                <w:tab w:val="left" w:pos="4320"/>
              </w:tabs>
              <w:ind w:left="78"/>
              <w:rPr>
                <w:i/>
                <w:iCs/>
                <w:szCs w:val="24"/>
                <w:u w:val="single"/>
              </w:rPr>
            </w:pPr>
            <w:r>
              <w:rPr>
                <w:i/>
                <w:iCs/>
                <w:szCs w:val="24"/>
                <w:u w:val="single"/>
              </w:rPr>
              <w:t>/s/ A</w:t>
            </w:r>
            <w:r w:rsidR="00E65B40">
              <w:rPr>
                <w:i/>
                <w:iCs/>
                <w:szCs w:val="24"/>
                <w:u w:val="single"/>
              </w:rPr>
              <w:t xml:space="preserve">ngela </w:t>
            </w:r>
            <w:r w:rsidR="007935A3">
              <w:rPr>
                <w:i/>
                <w:iCs/>
                <w:szCs w:val="24"/>
                <w:u w:val="single"/>
              </w:rPr>
              <w:t xml:space="preserve">D. </w:t>
            </w:r>
            <w:r>
              <w:rPr>
                <w:i/>
                <w:iCs/>
                <w:szCs w:val="24"/>
                <w:u w:val="single"/>
              </w:rPr>
              <w:t>O’Brien</w:t>
            </w:r>
          </w:p>
          <w:p w:rsidR="00EC237F" w:rsidRPr="00745D6B" w:rsidP="00D53632" w14:paraId="33350C37" w14:textId="77777777">
            <w:pPr>
              <w:tabs>
                <w:tab w:val="left" w:pos="4320"/>
              </w:tabs>
              <w:ind w:left="78"/>
              <w:rPr>
                <w:szCs w:val="24"/>
              </w:rPr>
            </w:pPr>
            <w:r w:rsidRPr="00745D6B">
              <w:rPr>
                <w:szCs w:val="24"/>
              </w:rPr>
              <w:t>A</w:t>
            </w:r>
            <w:r>
              <w:rPr>
                <w:szCs w:val="24"/>
              </w:rPr>
              <w:t xml:space="preserve">ngela D. </w:t>
            </w:r>
            <w:r w:rsidRPr="00745D6B">
              <w:rPr>
                <w:szCs w:val="24"/>
              </w:rPr>
              <w:t>O’Brien (00</w:t>
            </w:r>
            <w:r>
              <w:rPr>
                <w:szCs w:val="24"/>
              </w:rPr>
              <w:t>97579)</w:t>
            </w:r>
          </w:p>
          <w:p w:rsidR="00EC237F" w:rsidRPr="00745D6B" w:rsidP="00D53632" w14:paraId="15227A91" w14:textId="77777777">
            <w:pPr>
              <w:tabs>
                <w:tab w:val="left" w:pos="4320"/>
              </w:tabs>
              <w:ind w:left="78"/>
              <w:rPr>
                <w:szCs w:val="24"/>
              </w:rPr>
            </w:pPr>
            <w:r w:rsidRPr="00745D6B">
              <w:rPr>
                <w:szCs w:val="24"/>
              </w:rPr>
              <w:t>Counsel of Record</w:t>
            </w:r>
          </w:p>
          <w:p w:rsidR="00EC237F" w:rsidRPr="00745D6B" w:rsidP="00D53632" w14:paraId="66C4C552" w14:textId="77777777">
            <w:pPr>
              <w:tabs>
                <w:tab w:val="left" w:pos="4320"/>
              </w:tabs>
              <w:ind w:left="78"/>
              <w:rPr>
                <w:szCs w:val="24"/>
              </w:rPr>
            </w:pPr>
            <w:r w:rsidRPr="00745D6B">
              <w:rPr>
                <w:szCs w:val="24"/>
              </w:rPr>
              <w:t xml:space="preserve">Assistant Consumers’ Counsel </w:t>
            </w:r>
          </w:p>
          <w:p w:rsidR="00EC237F" w:rsidRPr="00745D6B" w:rsidP="00D53632" w14:paraId="25D2C0EB" w14:textId="77777777">
            <w:pPr>
              <w:tabs>
                <w:tab w:val="left" w:pos="4320"/>
              </w:tabs>
              <w:ind w:left="78"/>
              <w:rPr>
                <w:szCs w:val="24"/>
              </w:rPr>
            </w:pPr>
            <w:r w:rsidRPr="00745D6B">
              <w:rPr>
                <w:szCs w:val="24"/>
              </w:rPr>
              <w:t>Am</w:t>
            </w:r>
            <w:r>
              <w:rPr>
                <w:szCs w:val="24"/>
              </w:rPr>
              <w:t>y Botschner O’Brien</w:t>
            </w:r>
            <w:r w:rsidRPr="00745D6B">
              <w:rPr>
                <w:szCs w:val="24"/>
              </w:rPr>
              <w:t xml:space="preserve"> (00</w:t>
            </w:r>
            <w:r>
              <w:rPr>
                <w:szCs w:val="24"/>
              </w:rPr>
              <w:t>74423</w:t>
            </w:r>
            <w:r w:rsidRPr="00745D6B">
              <w:rPr>
                <w:szCs w:val="24"/>
              </w:rPr>
              <w:t>)</w:t>
            </w:r>
          </w:p>
          <w:p w:rsidR="00EC237F" w:rsidP="00D53632" w14:paraId="213FC0F4" w14:textId="77777777">
            <w:pPr>
              <w:tabs>
                <w:tab w:val="left" w:pos="4320"/>
              </w:tabs>
              <w:ind w:left="78"/>
              <w:rPr>
                <w:szCs w:val="24"/>
              </w:rPr>
            </w:pPr>
            <w:r w:rsidRPr="00745D6B">
              <w:rPr>
                <w:szCs w:val="24"/>
              </w:rPr>
              <w:t>Assistant Consumers’ Counsel</w:t>
            </w:r>
          </w:p>
          <w:p w:rsidR="00EC237F" w:rsidRPr="00745D6B" w:rsidP="00D53632" w14:paraId="25DA125B" w14:textId="77777777">
            <w:pPr>
              <w:tabs>
                <w:tab w:val="left" w:pos="4320"/>
              </w:tabs>
              <w:ind w:left="78"/>
              <w:rPr>
                <w:szCs w:val="24"/>
              </w:rPr>
            </w:pPr>
          </w:p>
          <w:p w:rsidR="00EC237F" w:rsidRPr="00FD13AB" w:rsidP="00D53632" w14:paraId="39FEEC00" w14:textId="77777777">
            <w:pPr>
              <w:ind w:left="78"/>
              <w:rPr>
                <w:b/>
                <w:bCs/>
              </w:rPr>
            </w:pPr>
            <w:r w:rsidRPr="00FD13AB">
              <w:rPr>
                <w:b/>
                <w:bCs/>
              </w:rPr>
              <w:t>Office of the Ohio Consumers’ Counsel</w:t>
            </w:r>
          </w:p>
          <w:p w:rsidR="00EC237F" w:rsidRPr="00FD13AB" w:rsidP="00D53632" w14:paraId="03B085A9" w14:textId="77777777">
            <w:pPr>
              <w:ind w:left="78"/>
            </w:pPr>
            <w:r w:rsidRPr="00FD13AB">
              <w:t xml:space="preserve">65 East State Street, </w:t>
            </w:r>
            <w:r>
              <w:t>Suite 700</w:t>
            </w:r>
          </w:p>
          <w:p w:rsidR="00EC237F" w:rsidRPr="00FD13AB" w:rsidP="00D53632" w14:paraId="260446B7" w14:textId="77777777">
            <w:pPr>
              <w:ind w:left="78"/>
            </w:pPr>
            <w:r w:rsidRPr="00FD13AB">
              <w:t>Columbus, Ohio 4321</w:t>
            </w:r>
            <w:r>
              <w:t>5</w:t>
            </w:r>
          </w:p>
          <w:p w:rsidR="00EC237F" w:rsidRPr="00745D6B" w:rsidP="00D53632" w14:paraId="0D19954D" w14:textId="77777777">
            <w:pPr>
              <w:autoSpaceDE w:val="0"/>
              <w:autoSpaceDN w:val="0"/>
              <w:adjustRightInd w:val="0"/>
              <w:ind w:left="78"/>
              <w:rPr>
                <w:szCs w:val="24"/>
              </w:rPr>
            </w:pPr>
            <w:r w:rsidRPr="00745D6B">
              <w:rPr>
                <w:szCs w:val="24"/>
              </w:rPr>
              <w:t>Telephone [O’Brien]: (614) 466-95</w:t>
            </w:r>
            <w:r>
              <w:rPr>
                <w:szCs w:val="24"/>
              </w:rPr>
              <w:t>31</w:t>
            </w:r>
          </w:p>
          <w:p w:rsidR="00EC237F" w:rsidP="00D53632" w14:paraId="29817501" w14:textId="7B220EEE">
            <w:pPr>
              <w:ind w:left="78"/>
              <w:rPr>
                <w:szCs w:val="24"/>
              </w:rPr>
            </w:pPr>
            <w:r w:rsidRPr="00745D6B">
              <w:rPr>
                <w:szCs w:val="24"/>
              </w:rPr>
              <w:t>Telephone [</w:t>
            </w:r>
            <w:r>
              <w:rPr>
                <w:szCs w:val="24"/>
              </w:rPr>
              <w:t>Botschner O’Brien</w:t>
            </w:r>
            <w:r w:rsidRPr="00745D6B">
              <w:rPr>
                <w:szCs w:val="24"/>
              </w:rPr>
              <w:t>]: (614) 466-</w:t>
            </w:r>
            <w:r>
              <w:rPr>
                <w:szCs w:val="24"/>
              </w:rPr>
              <w:t>9575</w:t>
            </w:r>
          </w:p>
          <w:p w:rsidR="00D14419" w:rsidP="00D53632" w14:paraId="64A3C588" w14:textId="5676F056">
            <w:pPr>
              <w:ind w:left="78"/>
              <w:rPr>
                <w:szCs w:val="24"/>
              </w:rPr>
            </w:pPr>
            <w:hyperlink r:id="rId6" w:history="1">
              <w:r w:rsidRPr="00C46CE6" w:rsidR="00DF1F7B">
                <w:rPr>
                  <w:rStyle w:val="Hyperlink"/>
                  <w:szCs w:val="24"/>
                </w:rPr>
                <w:t>Angela.obrien@occ.ohio.gov</w:t>
              </w:r>
            </w:hyperlink>
          </w:p>
          <w:p w:rsidR="00D14419" w:rsidP="00D53632" w14:paraId="4F404A18" w14:textId="777E1C7D">
            <w:pPr>
              <w:ind w:left="78"/>
              <w:rPr>
                <w:szCs w:val="24"/>
              </w:rPr>
            </w:pPr>
            <w:hyperlink r:id="rId7" w:history="1">
              <w:r w:rsidRPr="00C46CE6" w:rsidR="00DF1F7B">
                <w:rPr>
                  <w:rStyle w:val="Hyperlink"/>
                  <w:szCs w:val="24"/>
                </w:rPr>
                <w:t>Amy.botschner.obrien@occ.ohio.gov</w:t>
              </w:r>
            </w:hyperlink>
          </w:p>
          <w:p w:rsidR="00D14419" w:rsidP="00D53632" w14:paraId="63F1F487" w14:textId="77777777">
            <w:pPr>
              <w:ind w:left="78"/>
              <w:rPr>
                <w:szCs w:val="24"/>
              </w:rPr>
            </w:pPr>
          </w:p>
          <w:p w:rsidR="00EC237F" w:rsidRPr="00EC237F" w:rsidP="00D53632" w14:paraId="52AE3AAB" w14:textId="51FEE91B">
            <w:pPr>
              <w:shd w:val="clear" w:color="auto" w:fill="FFFFFF"/>
              <w:rPr>
                <w:i/>
                <w:iCs/>
                <w:color w:val="000000"/>
                <w:u w:val="single"/>
              </w:rPr>
            </w:pPr>
            <w:r>
              <w:rPr>
                <w:i/>
                <w:iCs/>
                <w:color w:val="000000"/>
                <w:u w:val="single"/>
              </w:rPr>
              <w:t>/s/</w:t>
            </w:r>
            <w:r w:rsidR="00905FAE">
              <w:rPr>
                <w:i/>
                <w:iCs/>
                <w:color w:val="000000"/>
                <w:u w:val="single"/>
              </w:rPr>
              <w:t xml:space="preserve"> Michael Walters</w:t>
            </w:r>
            <w:r>
              <w:rPr>
                <w:i/>
                <w:iCs/>
                <w:color w:val="000000"/>
                <w:u w:val="single"/>
              </w:rPr>
              <w:t xml:space="preserve"> </w:t>
            </w:r>
          </w:p>
          <w:p w:rsidR="00EC237F" w:rsidP="00D53632" w14:paraId="43579FF8" w14:textId="1F63CCA3">
            <w:pPr>
              <w:shd w:val="clear" w:color="auto" w:fill="FFFFFF"/>
              <w:rPr>
                <w:color w:val="000000"/>
              </w:rPr>
            </w:pPr>
            <w:r>
              <w:rPr>
                <w:color w:val="000000"/>
              </w:rPr>
              <w:t>Michael Walters</w:t>
            </w:r>
            <w:r w:rsidRPr="004C3EBD">
              <w:rPr>
                <w:color w:val="000000"/>
              </w:rPr>
              <w:t> </w:t>
            </w:r>
            <w:r>
              <w:rPr>
                <w:color w:val="000000"/>
              </w:rPr>
              <w:t>(0068921)</w:t>
            </w:r>
          </w:p>
          <w:p w:rsidR="00EC237F" w:rsidRPr="004C3EBD" w:rsidP="00D53632" w14:paraId="13A0BBB2" w14:textId="77777777">
            <w:pPr>
              <w:shd w:val="clear" w:color="auto" w:fill="FFFFFF"/>
              <w:rPr>
                <w:color w:val="000000"/>
              </w:rPr>
            </w:pPr>
            <w:r>
              <w:rPr>
                <w:color w:val="000000"/>
              </w:rPr>
              <w:t>Legal Hotline Managing Attorney</w:t>
            </w:r>
          </w:p>
          <w:p w:rsidR="00EC237F" w:rsidRPr="004C3EBD" w:rsidP="00D53632" w14:paraId="184D63E6" w14:textId="77777777">
            <w:pPr>
              <w:shd w:val="clear" w:color="auto" w:fill="FFFFFF"/>
              <w:rPr>
                <w:b/>
                <w:bCs/>
                <w:color w:val="000000"/>
              </w:rPr>
            </w:pPr>
            <w:r>
              <w:rPr>
                <w:b/>
                <w:bCs/>
                <w:color w:val="000000"/>
              </w:rPr>
              <w:t>Pro Seniors, Inc.</w:t>
            </w:r>
          </w:p>
          <w:p w:rsidR="00EC237F" w:rsidRPr="004C3EBD" w:rsidP="00D53632" w14:paraId="6BFE25ED" w14:textId="77777777">
            <w:pPr>
              <w:shd w:val="clear" w:color="auto" w:fill="FFFFFF"/>
              <w:rPr>
                <w:color w:val="000000"/>
              </w:rPr>
            </w:pPr>
            <w:r>
              <w:rPr>
                <w:color w:val="000000"/>
              </w:rPr>
              <w:t>7162 Reading Road, Suite 1150</w:t>
            </w:r>
          </w:p>
          <w:p w:rsidR="00EC237F" w:rsidP="00D53632" w14:paraId="1001D7DB" w14:textId="22C47D80">
            <w:pPr>
              <w:shd w:val="clear" w:color="auto" w:fill="FFFFFF"/>
              <w:rPr>
                <w:color w:val="000000"/>
              </w:rPr>
            </w:pPr>
            <w:r>
              <w:rPr>
                <w:color w:val="000000"/>
              </w:rPr>
              <w:t>Cincinnati</w:t>
            </w:r>
            <w:r w:rsidRPr="004C3EBD">
              <w:rPr>
                <w:color w:val="000000"/>
              </w:rPr>
              <w:t>, O</w:t>
            </w:r>
            <w:r w:rsidR="00E155DC">
              <w:rPr>
                <w:color w:val="000000"/>
              </w:rPr>
              <w:t>hio</w:t>
            </w:r>
            <w:r w:rsidRPr="004C3EBD">
              <w:rPr>
                <w:color w:val="000000"/>
              </w:rPr>
              <w:t xml:space="preserve"> </w:t>
            </w:r>
            <w:r>
              <w:rPr>
                <w:color w:val="000000"/>
              </w:rPr>
              <w:t>45237</w:t>
            </w:r>
          </w:p>
          <w:p w:rsidR="00EC237F" w:rsidP="00D53632" w14:paraId="31C2AF9F" w14:textId="77777777">
            <w:pPr>
              <w:shd w:val="clear" w:color="auto" w:fill="FFFFFF"/>
              <w:rPr>
                <w:color w:val="000000"/>
              </w:rPr>
            </w:pPr>
            <w:r>
              <w:rPr>
                <w:color w:val="000000"/>
              </w:rPr>
              <w:t>Telephone: (513) 458-5532</w:t>
            </w:r>
          </w:p>
          <w:p w:rsidR="00EC237F" w:rsidRPr="004C3EBD" w:rsidP="00D53632" w14:paraId="14D8300B" w14:textId="5D7AA024">
            <w:pPr>
              <w:shd w:val="clear" w:color="auto" w:fill="FFFFFF"/>
              <w:rPr>
                <w:color w:val="000000"/>
              </w:rPr>
            </w:pPr>
            <w:r>
              <w:rPr>
                <w:color w:val="000000"/>
              </w:rPr>
              <w:t>Facsimile</w:t>
            </w:r>
            <w:r w:rsidR="00DF1F7B">
              <w:rPr>
                <w:color w:val="000000"/>
              </w:rPr>
              <w:t>: (513)</w:t>
            </w:r>
            <w:r w:rsidR="004946F1">
              <w:rPr>
                <w:color w:val="000000"/>
              </w:rPr>
              <w:t xml:space="preserve"> </w:t>
            </w:r>
            <w:r w:rsidR="00DF1F7B">
              <w:rPr>
                <w:color w:val="000000"/>
              </w:rPr>
              <w:t>345-4162</w:t>
            </w:r>
          </w:p>
          <w:p w:rsidR="00EC237F" w:rsidP="00D53632" w14:paraId="44B7E233" w14:textId="77777777">
            <w:hyperlink r:id="rId8" w:history="1">
              <w:r w:rsidRPr="0018529A" w:rsidR="00761CE9">
                <w:rPr>
                  <w:rStyle w:val="Hyperlink"/>
                </w:rPr>
                <w:t>www.proseniors.org</w:t>
              </w:r>
            </w:hyperlink>
          </w:p>
          <w:p w:rsidR="00EC237F" w:rsidP="00D53632" w14:paraId="5D6D8DF3" w14:textId="2E20B228">
            <w:pPr>
              <w:rPr>
                <w:szCs w:val="24"/>
              </w:rPr>
            </w:pPr>
          </w:p>
          <w:p w:rsidR="00EC237F" w:rsidRPr="00EC237F" w:rsidP="00D53632" w14:paraId="375F7688" w14:textId="36F313E0">
            <w:pPr>
              <w:rPr>
                <w:i/>
                <w:iCs/>
                <w:szCs w:val="24"/>
                <w:u w:val="single"/>
              </w:rPr>
            </w:pPr>
            <w:r>
              <w:rPr>
                <w:i/>
                <w:iCs/>
                <w:szCs w:val="24"/>
                <w:u w:val="single"/>
              </w:rPr>
              <w:t>/s/</w:t>
            </w:r>
            <w:r w:rsidR="00905FAE">
              <w:rPr>
                <w:i/>
                <w:iCs/>
                <w:szCs w:val="24"/>
                <w:u w:val="single"/>
              </w:rPr>
              <w:t xml:space="preserve"> James Mackey</w:t>
            </w:r>
            <w:r>
              <w:rPr>
                <w:i/>
                <w:iCs/>
                <w:szCs w:val="24"/>
                <w:u w:val="single"/>
              </w:rPr>
              <w:t xml:space="preserve"> </w:t>
            </w:r>
          </w:p>
          <w:p w:rsidR="00EC237F" w:rsidP="00D53632" w14:paraId="4EEB91CC" w14:textId="54908FE6">
            <w:pPr>
              <w:rPr>
                <w:color w:val="000000"/>
                <w:szCs w:val="24"/>
              </w:rPr>
            </w:pPr>
            <w:r>
              <w:rPr>
                <w:color w:val="000000"/>
                <w:szCs w:val="24"/>
              </w:rPr>
              <w:t>James Mackey</w:t>
            </w:r>
            <w:r w:rsidR="000F4545">
              <w:rPr>
                <w:color w:val="000000"/>
                <w:szCs w:val="24"/>
              </w:rPr>
              <w:t xml:space="preserve"> (0096715)</w:t>
            </w:r>
          </w:p>
          <w:p w:rsidR="00AA0FC0" w:rsidP="00D53632" w14:paraId="031021C3" w14:textId="097E9C3C">
            <w:pPr>
              <w:rPr>
                <w:color w:val="000000"/>
                <w:szCs w:val="24"/>
              </w:rPr>
            </w:pPr>
            <w:r>
              <w:rPr>
                <w:color w:val="000000"/>
                <w:szCs w:val="24"/>
              </w:rPr>
              <w:t>Staff Attorney</w:t>
            </w:r>
          </w:p>
          <w:p w:rsidR="00EC237F" w:rsidRPr="006B0A04" w:rsidP="00D53632" w14:paraId="3E4515E0" w14:textId="77777777">
            <w:pPr>
              <w:rPr>
                <w:b/>
                <w:bCs/>
                <w:color w:val="000000"/>
                <w:szCs w:val="24"/>
              </w:rPr>
            </w:pPr>
            <w:r w:rsidRPr="006B0A04">
              <w:rPr>
                <w:b/>
                <w:bCs/>
                <w:color w:val="000000"/>
                <w:szCs w:val="24"/>
              </w:rPr>
              <w:t>Legal Aid Society of Columbus</w:t>
            </w:r>
          </w:p>
          <w:p w:rsidR="00EC237F" w:rsidRPr="00AA0FC0" w:rsidP="00D53632" w14:paraId="7B651940" w14:textId="183C7B24">
            <w:pPr>
              <w:rPr>
                <w:color w:val="000000"/>
                <w:szCs w:val="24"/>
              </w:rPr>
            </w:pPr>
            <w:r w:rsidRPr="00AA0FC0">
              <w:rPr>
                <w:color w:val="000000"/>
                <w:szCs w:val="24"/>
              </w:rPr>
              <w:t>1108 City Park Ave.</w:t>
            </w:r>
          </w:p>
          <w:p w:rsidR="00AA0FC0" w:rsidRPr="00AA0FC0" w:rsidP="00D53632" w14:paraId="634CD3B1" w14:textId="2D140012">
            <w:pPr>
              <w:rPr>
                <w:color w:val="000000"/>
                <w:szCs w:val="24"/>
              </w:rPr>
            </w:pPr>
            <w:r w:rsidRPr="00AA0FC0">
              <w:rPr>
                <w:color w:val="000000"/>
                <w:szCs w:val="24"/>
              </w:rPr>
              <w:t>Columbus, O</w:t>
            </w:r>
            <w:r w:rsidR="00E155DC">
              <w:rPr>
                <w:color w:val="000000"/>
                <w:szCs w:val="24"/>
              </w:rPr>
              <w:t>hio</w:t>
            </w:r>
            <w:r w:rsidRPr="00AA0FC0">
              <w:rPr>
                <w:color w:val="000000"/>
                <w:szCs w:val="24"/>
              </w:rPr>
              <w:t xml:space="preserve"> 43206</w:t>
            </w:r>
          </w:p>
          <w:p w:rsidR="00AA0FC0" w:rsidRPr="00AA0FC0" w:rsidP="00D53632" w14:paraId="48C34FD3" w14:textId="4C6C8E79">
            <w:pPr>
              <w:rPr>
                <w:color w:val="000000"/>
                <w:szCs w:val="24"/>
              </w:rPr>
            </w:pPr>
            <w:r w:rsidRPr="00AA0FC0">
              <w:rPr>
                <w:color w:val="000000"/>
                <w:szCs w:val="24"/>
              </w:rPr>
              <w:t>Telephone: (614) 737-0136</w:t>
            </w:r>
          </w:p>
          <w:p w:rsidR="00AA0FC0" w:rsidRPr="00AA0FC0" w:rsidP="00D53632" w14:paraId="7BA2A640" w14:textId="01F17215">
            <w:pPr>
              <w:rPr>
                <w:color w:val="000000"/>
                <w:szCs w:val="24"/>
              </w:rPr>
            </w:pPr>
            <w:r w:rsidRPr="00AA0FC0">
              <w:rPr>
                <w:color w:val="000000"/>
                <w:szCs w:val="24"/>
              </w:rPr>
              <w:t>Fax: (614</w:t>
            </w:r>
            <w:r w:rsidR="00C14982">
              <w:rPr>
                <w:color w:val="000000"/>
                <w:szCs w:val="24"/>
              </w:rPr>
              <w:t xml:space="preserve">) </w:t>
            </w:r>
            <w:r w:rsidRPr="00AA0FC0">
              <w:rPr>
                <w:color w:val="000000"/>
                <w:szCs w:val="24"/>
              </w:rPr>
              <w:t>224-4514</w:t>
            </w:r>
          </w:p>
          <w:p w:rsidR="00AA0FC0" w:rsidRPr="00AA0FC0" w:rsidP="00D53632" w14:paraId="090430EA" w14:textId="19C121F9">
            <w:pPr>
              <w:rPr>
                <w:color w:val="000000"/>
                <w:szCs w:val="24"/>
                <w:u w:val="single"/>
              </w:rPr>
            </w:pPr>
            <w:hyperlink r:id="rId9" w:history="1">
              <w:r w:rsidRPr="00C46CE6" w:rsidR="00D14419">
                <w:rPr>
                  <w:rStyle w:val="Hyperlink"/>
                  <w:szCs w:val="24"/>
                </w:rPr>
                <w:t>jmackey@columbuslegalaid.org</w:t>
              </w:r>
            </w:hyperlink>
          </w:p>
          <w:p w:rsidR="00AA0FC0" w:rsidRPr="00AA0FC0" w:rsidP="00D53632" w14:paraId="1CF9100C" w14:textId="7F422965">
            <w:pPr>
              <w:rPr>
                <w:color w:val="000000"/>
                <w:szCs w:val="24"/>
              </w:rPr>
            </w:pPr>
            <w:r w:rsidRPr="00AA0FC0">
              <w:rPr>
                <w:color w:val="000000"/>
                <w:szCs w:val="24"/>
              </w:rPr>
              <w:t>(will accept serve by e-mail)</w:t>
            </w:r>
          </w:p>
          <w:p w:rsidR="00EC237F" w:rsidRPr="001723AB" w:rsidP="00D53632" w14:paraId="70869526" w14:textId="77777777">
            <w:pPr>
              <w:rPr>
                <w:szCs w:val="24"/>
              </w:rPr>
            </w:pPr>
          </w:p>
        </w:tc>
        <w:tc>
          <w:tcPr>
            <w:tcW w:w="4860" w:type="dxa"/>
          </w:tcPr>
          <w:p w:rsidR="00EC237F" w:rsidRPr="001723AB" w:rsidP="00D53632" w14:paraId="7614B808" w14:textId="77777777">
            <w:pPr>
              <w:rPr>
                <w:i/>
                <w:iCs/>
                <w:szCs w:val="24"/>
                <w:u w:val="single"/>
              </w:rPr>
            </w:pPr>
          </w:p>
          <w:p w:rsidR="00EC237F" w:rsidRPr="00EC237F" w:rsidP="00D53632" w14:paraId="4F1EEBC1" w14:textId="405B8E60">
            <w:pPr>
              <w:rPr>
                <w:i/>
                <w:iCs/>
                <w:szCs w:val="24"/>
                <w:u w:val="single"/>
              </w:rPr>
            </w:pPr>
            <w:r>
              <w:rPr>
                <w:i/>
                <w:iCs/>
                <w:szCs w:val="24"/>
                <w:u w:val="single"/>
              </w:rPr>
              <w:t xml:space="preserve">/s/ </w:t>
            </w:r>
            <w:r w:rsidR="00905FAE">
              <w:rPr>
                <w:i/>
                <w:iCs/>
                <w:szCs w:val="24"/>
                <w:u w:val="single"/>
              </w:rPr>
              <w:t>Susan Jagers</w:t>
            </w:r>
          </w:p>
          <w:p w:rsidR="00EC237F" w:rsidRPr="001723AB" w:rsidP="00D53632" w14:paraId="13E4F409" w14:textId="16B8EB13">
            <w:pPr>
              <w:rPr>
                <w:szCs w:val="24"/>
              </w:rPr>
            </w:pPr>
            <w:r w:rsidRPr="001723AB">
              <w:rPr>
                <w:szCs w:val="24"/>
              </w:rPr>
              <w:t>Susan Jagers (0061678)</w:t>
            </w:r>
          </w:p>
          <w:p w:rsidR="00EC237F" w:rsidRPr="001723AB" w:rsidP="00D53632" w14:paraId="5172AAC0" w14:textId="77777777">
            <w:pPr>
              <w:rPr>
                <w:b/>
                <w:bCs/>
                <w:szCs w:val="24"/>
              </w:rPr>
            </w:pPr>
            <w:r w:rsidRPr="001723AB">
              <w:rPr>
                <w:b/>
                <w:bCs/>
                <w:szCs w:val="24"/>
              </w:rPr>
              <w:t>Ohio Poverty Law Center</w:t>
            </w:r>
          </w:p>
          <w:p w:rsidR="00EC237F" w:rsidRPr="001723AB" w:rsidP="00D53632" w14:paraId="370D6B68" w14:textId="77777777">
            <w:pPr>
              <w:rPr>
                <w:szCs w:val="24"/>
              </w:rPr>
            </w:pPr>
            <w:r w:rsidRPr="001723AB">
              <w:rPr>
                <w:szCs w:val="24"/>
              </w:rPr>
              <w:t>1108 City Park Ave. Suite 200</w:t>
            </w:r>
          </w:p>
          <w:p w:rsidR="00EC237F" w:rsidRPr="001723AB" w:rsidP="00D53632" w14:paraId="18DE3E97" w14:textId="4E7D83B0">
            <w:pPr>
              <w:rPr>
                <w:szCs w:val="24"/>
              </w:rPr>
            </w:pPr>
            <w:r w:rsidRPr="001723AB">
              <w:rPr>
                <w:szCs w:val="24"/>
              </w:rPr>
              <w:t>Columbus, O</w:t>
            </w:r>
            <w:r w:rsidR="00E155DC">
              <w:rPr>
                <w:szCs w:val="24"/>
              </w:rPr>
              <w:t>hio</w:t>
            </w:r>
            <w:r w:rsidRPr="001723AB">
              <w:rPr>
                <w:szCs w:val="24"/>
              </w:rPr>
              <w:t xml:space="preserve"> 43206</w:t>
            </w:r>
          </w:p>
          <w:p w:rsidR="00EC237F" w:rsidRPr="001723AB" w:rsidP="00D53632" w14:paraId="2113D71D" w14:textId="34A6C66B">
            <w:pPr>
              <w:rPr>
                <w:szCs w:val="24"/>
              </w:rPr>
            </w:pPr>
            <w:r>
              <w:rPr>
                <w:szCs w:val="24"/>
              </w:rPr>
              <w:t>(</w:t>
            </w:r>
            <w:r w:rsidRPr="001723AB" w:rsidR="00761CE9">
              <w:rPr>
                <w:szCs w:val="24"/>
              </w:rPr>
              <w:t>614</w:t>
            </w:r>
            <w:r>
              <w:rPr>
                <w:szCs w:val="24"/>
              </w:rPr>
              <w:t xml:space="preserve">) </w:t>
            </w:r>
            <w:r w:rsidRPr="001723AB" w:rsidR="00761CE9">
              <w:rPr>
                <w:szCs w:val="24"/>
              </w:rPr>
              <w:t>824-2501</w:t>
            </w:r>
          </w:p>
          <w:p w:rsidR="00EC237F" w:rsidRPr="001723AB" w:rsidP="00D53632" w14:paraId="1130261D" w14:textId="77777777">
            <w:pPr>
              <w:rPr>
                <w:rStyle w:val="Hyperlink"/>
                <w:szCs w:val="24"/>
              </w:rPr>
            </w:pPr>
            <w:hyperlink r:id="rId10" w:history="1">
              <w:r w:rsidRPr="001723AB" w:rsidR="00761CE9">
                <w:rPr>
                  <w:rStyle w:val="Hyperlink"/>
                  <w:szCs w:val="24"/>
                </w:rPr>
                <w:t>sjagers@ohiopovertylaw.org</w:t>
              </w:r>
            </w:hyperlink>
          </w:p>
          <w:p w:rsidR="00EC237F" w:rsidRPr="001723AB" w:rsidP="00D53632" w14:paraId="7F32F14F" w14:textId="77777777">
            <w:pPr>
              <w:rPr>
                <w:color w:val="000000"/>
                <w:szCs w:val="24"/>
              </w:rPr>
            </w:pPr>
            <w:r w:rsidRPr="001723AB">
              <w:rPr>
                <w:color w:val="000000"/>
                <w:szCs w:val="24"/>
              </w:rPr>
              <w:t>(will accept service via e-mail)</w:t>
            </w:r>
          </w:p>
          <w:p w:rsidR="00EC237F" w:rsidRPr="001723AB" w:rsidP="00D53632" w14:paraId="60606E8A" w14:textId="77777777">
            <w:pPr>
              <w:rPr>
                <w:szCs w:val="24"/>
              </w:rPr>
            </w:pPr>
          </w:p>
        </w:tc>
      </w:tr>
      <w:tr w14:paraId="2F08F798" w14:textId="77777777" w:rsidTr="00D53632">
        <w:tblPrEx>
          <w:tblW w:w="9158" w:type="dxa"/>
          <w:tblLook w:val="04A0"/>
        </w:tblPrEx>
        <w:tc>
          <w:tcPr>
            <w:tcW w:w="4298" w:type="dxa"/>
            <w:vMerge/>
          </w:tcPr>
          <w:p w:rsidR="00EC237F" w:rsidRPr="001723AB" w:rsidP="00D53632" w14:paraId="62AF2497" w14:textId="77777777">
            <w:pPr>
              <w:rPr>
                <w:i/>
                <w:iCs/>
                <w:color w:val="000000"/>
                <w:szCs w:val="24"/>
                <w:u w:val="single"/>
              </w:rPr>
            </w:pPr>
          </w:p>
        </w:tc>
        <w:tc>
          <w:tcPr>
            <w:tcW w:w="4860" w:type="dxa"/>
          </w:tcPr>
          <w:p w:rsidR="00EC237F" w:rsidP="00D53632" w14:paraId="741B8DCB" w14:textId="29DC9368">
            <w:pPr>
              <w:rPr>
                <w:i/>
                <w:iCs/>
                <w:szCs w:val="24"/>
                <w:u w:val="single"/>
              </w:rPr>
            </w:pPr>
          </w:p>
          <w:p w:rsidR="00EC237F" w:rsidP="00D53632" w14:paraId="0E0FC3AB" w14:textId="32EFCD45">
            <w:pPr>
              <w:rPr>
                <w:i/>
                <w:iCs/>
                <w:szCs w:val="24"/>
                <w:u w:val="single"/>
              </w:rPr>
            </w:pPr>
            <w:r>
              <w:rPr>
                <w:i/>
                <w:iCs/>
                <w:szCs w:val="24"/>
                <w:u w:val="single"/>
              </w:rPr>
              <w:t xml:space="preserve">/s/ </w:t>
            </w:r>
            <w:r w:rsidR="00905FAE">
              <w:rPr>
                <w:i/>
                <w:iCs/>
                <w:szCs w:val="24"/>
                <w:u w:val="single"/>
              </w:rPr>
              <w:t>Stephanie Moes</w:t>
            </w:r>
          </w:p>
          <w:p w:rsidR="00EC237F" w:rsidRPr="006B0A04" w:rsidP="00D53632" w14:paraId="601B95E3" w14:textId="77777777">
            <w:pPr>
              <w:rPr>
                <w:szCs w:val="24"/>
              </w:rPr>
            </w:pPr>
            <w:r w:rsidRPr="006B0A04">
              <w:rPr>
                <w:szCs w:val="24"/>
              </w:rPr>
              <w:t>Stephanie Moes (0077136)</w:t>
            </w:r>
          </w:p>
          <w:p w:rsidR="00EC237F" w:rsidRPr="006B0A04" w:rsidP="00D53632" w14:paraId="1D520A19" w14:textId="77777777">
            <w:pPr>
              <w:rPr>
                <w:b/>
                <w:bCs/>
                <w:szCs w:val="24"/>
              </w:rPr>
            </w:pPr>
            <w:r w:rsidRPr="006B0A04">
              <w:rPr>
                <w:b/>
                <w:bCs/>
                <w:szCs w:val="24"/>
              </w:rPr>
              <w:t>Legal Aid Society of Southwest Ohio, LLC</w:t>
            </w:r>
          </w:p>
          <w:p w:rsidR="00EC237F" w:rsidRPr="006B0A04" w:rsidP="00D53632" w14:paraId="6F5A1262" w14:textId="77777777">
            <w:pPr>
              <w:rPr>
                <w:szCs w:val="24"/>
              </w:rPr>
            </w:pPr>
            <w:r w:rsidRPr="006B0A04">
              <w:rPr>
                <w:szCs w:val="24"/>
              </w:rPr>
              <w:t>215 East Ninth Street, Suite 500</w:t>
            </w:r>
          </w:p>
          <w:p w:rsidR="00EC237F" w:rsidRPr="006B0A04" w:rsidP="00D53632" w14:paraId="6D80275E" w14:textId="1D2B2303">
            <w:pPr>
              <w:rPr>
                <w:szCs w:val="24"/>
              </w:rPr>
            </w:pPr>
            <w:r w:rsidRPr="006B0A04">
              <w:rPr>
                <w:szCs w:val="24"/>
              </w:rPr>
              <w:t>Cincinnati, O</w:t>
            </w:r>
            <w:r w:rsidR="00E155DC">
              <w:rPr>
                <w:szCs w:val="24"/>
              </w:rPr>
              <w:t>hio</w:t>
            </w:r>
            <w:r w:rsidRPr="006B0A04">
              <w:rPr>
                <w:szCs w:val="24"/>
              </w:rPr>
              <w:t xml:space="preserve"> 45202</w:t>
            </w:r>
          </w:p>
          <w:p w:rsidR="00EC237F" w:rsidRPr="006B0A04" w:rsidP="00D53632" w14:paraId="68734565" w14:textId="58240DAB">
            <w:pPr>
              <w:rPr>
                <w:szCs w:val="24"/>
              </w:rPr>
            </w:pPr>
            <w:r>
              <w:rPr>
                <w:szCs w:val="24"/>
              </w:rPr>
              <w:t>(</w:t>
            </w:r>
            <w:r w:rsidRPr="006B0A04" w:rsidR="00761CE9">
              <w:rPr>
                <w:szCs w:val="24"/>
              </w:rPr>
              <w:t>513</w:t>
            </w:r>
            <w:r>
              <w:rPr>
                <w:szCs w:val="24"/>
              </w:rPr>
              <w:t xml:space="preserve">) </w:t>
            </w:r>
            <w:r w:rsidRPr="006B0A04" w:rsidR="00761CE9">
              <w:rPr>
                <w:szCs w:val="24"/>
              </w:rPr>
              <w:t>362-2807 (direct dial)</w:t>
            </w:r>
          </w:p>
          <w:p w:rsidR="00EC237F" w:rsidRPr="006B0A04" w:rsidP="00D53632" w14:paraId="293A2476" w14:textId="03F8CD80">
            <w:pPr>
              <w:rPr>
                <w:szCs w:val="24"/>
              </w:rPr>
            </w:pPr>
            <w:r>
              <w:rPr>
                <w:szCs w:val="24"/>
              </w:rPr>
              <w:t>(</w:t>
            </w:r>
            <w:r w:rsidRPr="006B0A04" w:rsidR="00761CE9">
              <w:rPr>
                <w:szCs w:val="24"/>
              </w:rPr>
              <w:t>513</w:t>
            </w:r>
            <w:r>
              <w:rPr>
                <w:szCs w:val="24"/>
              </w:rPr>
              <w:t xml:space="preserve">) </w:t>
            </w:r>
            <w:r w:rsidRPr="006B0A04" w:rsidR="00761CE9">
              <w:rPr>
                <w:szCs w:val="24"/>
              </w:rPr>
              <w:t>259-7309 (cell)</w:t>
            </w:r>
          </w:p>
          <w:p w:rsidR="00EC237F" w:rsidRPr="006B0A04" w:rsidP="00D53632" w14:paraId="36958481" w14:textId="34B6E23A">
            <w:pPr>
              <w:rPr>
                <w:szCs w:val="24"/>
              </w:rPr>
            </w:pPr>
            <w:r>
              <w:rPr>
                <w:szCs w:val="24"/>
              </w:rPr>
              <w:t>(</w:t>
            </w:r>
            <w:r w:rsidRPr="006B0A04" w:rsidR="00761CE9">
              <w:rPr>
                <w:szCs w:val="24"/>
              </w:rPr>
              <w:t>513</w:t>
            </w:r>
            <w:r>
              <w:rPr>
                <w:szCs w:val="24"/>
              </w:rPr>
              <w:t xml:space="preserve">) </w:t>
            </w:r>
            <w:r w:rsidRPr="006B0A04" w:rsidR="00761CE9">
              <w:rPr>
                <w:szCs w:val="24"/>
              </w:rPr>
              <w:t>241-1187 (fax)</w:t>
            </w:r>
          </w:p>
          <w:p w:rsidR="00EC237F" w:rsidP="00D53632" w14:paraId="21092733" w14:textId="77777777">
            <w:pPr>
              <w:rPr>
                <w:szCs w:val="24"/>
              </w:rPr>
            </w:pPr>
            <w:hyperlink r:id="rId11" w:history="1">
              <w:r w:rsidRPr="006B0A04" w:rsidR="00761CE9">
                <w:rPr>
                  <w:rStyle w:val="Hyperlink"/>
                  <w:szCs w:val="24"/>
                </w:rPr>
                <w:t>smoes@lascinti.org</w:t>
              </w:r>
            </w:hyperlink>
          </w:p>
          <w:p w:rsidR="00EC237F" w:rsidP="00D53632" w14:paraId="77319D4D" w14:textId="77777777">
            <w:pPr>
              <w:rPr>
                <w:color w:val="0000FF"/>
                <w:szCs w:val="24"/>
              </w:rPr>
            </w:pPr>
          </w:p>
          <w:p w:rsidR="00EC237F" w:rsidRPr="006B0A04" w:rsidP="00D53632" w14:paraId="63F569A9" w14:textId="75C8078A">
            <w:pPr>
              <w:rPr>
                <w:i/>
                <w:iCs/>
                <w:szCs w:val="24"/>
                <w:u w:val="single"/>
              </w:rPr>
            </w:pPr>
            <w:r>
              <w:rPr>
                <w:i/>
                <w:iCs/>
                <w:szCs w:val="24"/>
                <w:u w:val="single"/>
              </w:rPr>
              <w:t>/s/</w:t>
            </w:r>
            <w:r w:rsidR="00905FAE">
              <w:rPr>
                <w:i/>
                <w:iCs/>
                <w:szCs w:val="24"/>
                <w:u w:val="single"/>
              </w:rPr>
              <w:t xml:space="preserve"> Peggy P. Lee</w:t>
            </w:r>
            <w:r>
              <w:rPr>
                <w:i/>
                <w:iCs/>
                <w:szCs w:val="24"/>
                <w:u w:val="single"/>
              </w:rPr>
              <w:t xml:space="preserve"> </w:t>
            </w:r>
          </w:p>
          <w:p w:rsidR="00EC237F" w:rsidRPr="006B0A04" w:rsidP="00D53632" w14:paraId="58E35DEC" w14:textId="77777777">
            <w:pPr>
              <w:rPr>
                <w:szCs w:val="24"/>
              </w:rPr>
            </w:pPr>
            <w:r w:rsidRPr="006B0A04">
              <w:rPr>
                <w:szCs w:val="24"/>
              </w:rPr>
              <w:t xml:space="preserve">Peggy P. Lee (0067912) </w:t>
            </w:r>
          </w:p>
          <w:p w:rsidR="00EC237F" w:rsidRPr="006B0A04" w:rsidP="00D53632" w14:paraId="2597054C" w14:textId="77777777">
            <w:pPr>
              <w:rPr>
                <w:szCs w:val="24"/>
              </w:rPr>
            </w:pPr>
            <w:r w:rsidRPr="006B0A04">
              <w:rPr>
                <w:szCs w:val="24"/>
              </w:rPr>
              <w:t>Senior Staff Attorney II</w:t>
            </w:r>
          </w:p>
          <w:p w:rsidR="00EC237F" w:rsidRPr="006B0A04" w:rsidP="00D53632" w14:paraId="2DB2F0EE" w14:textId="77777777">
            <w:pPr>
              <w:rPr>
                <w:b/>
                <w:bCs/>
                <w:szCs w:val="24"/>
              </w:rPr>
            </w:pPr>
            <w:r w:rsidRPr="006B0A04">
              <w:rPr>
                <w:b/>
                <w:bCs/>
                <w:szCs w:val="24"/>
              </w:rPr>
              <w:t>Southeastern Ohio Legal Services</w:t>
            </w:r>
          </w:p>
          <w:p w:rsidR="00EC237F" w:rsidRPr="006B0A04" w:rsidP="00D53632" w14:paraId="44D19667" w14:textId="77777777">
            <w:pPr>
              <w:rPr>
                <w:szCs w:val="24"/>
              </w:rPr>
            </w:pPr>
            <w:r w:rsidRPr="006B0A04">
              <w:rPr>
                <w:szCs w:val="24"/>
              </w:rPr>
              <w:t>964 East State Street</w:t>
            </w:r>
          </w:p>
          <w:p w:rsidR="00EC237F" w:rsidP="00D53632" w14:paraId="3783D33F" w14:textId="77777777">
            <w:r>
              <w:t>Athens, Ohio 45701</w:t>
            </w:r>
          </w:p>
          <w:p w:rsidR="00EC237F" w:rsidP="00D53632" w14:paraId="574BEBF5" w14:textId="77777777">
            <w:r>
              <w:t>Telephone: (740) 594-3558</w:t>
            </w:r>
          </w:p>
          <w:p w:rsidR="00EC237F" w:rsidP="00D53632" w14:paraId="16A7E834" w14:textId="77777777">
            <w:r>
              <w:t>Direct: (614) 827-0515</w:t>
            </w:r>
          </w:p>
          <w:p w:rsidR="00EC237F" w:rsidP="00D53632" w14:paraId="4283D055" w14:textId="77777777">
            <w:pPr>
              <w:rPr>
                <w:color w:val="1F497D"/>
              </w:rPr>
            </w:pPr>
            <w:r>
              <w:t>Fax: (740) 594-3791</w:t>
            </w:r>
          </w:p>
          <w:p w:rsidR="00EC237F" w:rsidP="00D53632" w14:paraId="55DC249E" w14:textId="77777777">
            <w:pPr>
              <w:rPr>
                <w:color w:val="1F497D"/>
              </w:rPr>
            </w:pPr>
            <w:hyperlink r:id="rId12" w:history="1">
              <w:r w:rsidR="00761CE9">
                <w:rPr>
                  <w:rStyle w:val="Hyperlink"/>
                </w:rPr>
                <w:t>plee@seols.org</w:t>
              </w:r>
            </w:hyperlink>
          </w:p>
          <w:p w:rsidR="00EC237F" w:rsidP="00D53632" w14:paraId="7975B622" w14:textId="77777777">
            <w:r>
              <w:t>(willing to accept service by e-mail)</w:t>
            </w:r>
          </w:p>
          <w:p w:rsidR="00EC237F" w:rsidRPr="001723AB" w:rsidP="00D53632" w14:paraId="33D93668" w14:textId="77777777">
            <w:pPr>
              <w:rPr>
                <w:i/>
                <w:iCs/>
                <w:szCs w:val="24"/>
                <w:u w:val="single"/>
              </w:rPr>
            </w:pPr>
          </w:p>
        </w:tc>
      </w:tr>
    </w:tbl>
    <w:p w:rsidR="00EC237F" w:rsidP="001430A2" w14:paraId="5A4580DF" w14:textId="77777777">
      <w:pPr>
        <w:spacing w:line="480" w:lineRule="auto"/>
        <w:jc w:val="center"/>
        <w:rPr>
          <w:b/>
          <w:bCs/>
          <w:u w:val="single"/>
        </w:rPr>
      </w:pPr>
    </w:p>
    <w:p w:rsidR="00EC237F" w14:paraId="0D8C7E2D" w14:textId="77777777">
      <w:pPr>
        <w:rPr>
          <w:b/>
          <w:bCs/>
          <w:u w:val="single"/>
        </w:rPr>
      </w:pPr>
      <w:r>
        <w:rPr>
          <w:b/>
          <w:bCs/>
          <w:u w:val="single"/>
        </w:rPr>
        <w:br w:type="page"/>
      </w:r>
    </w:p>
    <w:p w:rsidR="00A044B5" w:rsidRPr="00FF4A2C" w:rsidP="001430A2" w14:paraId="1E86EE4F" w14:textId="376DE239">
      <w:pPr>
        <w:spacing w:line="480" w:lineRule="auto"/>
        <w:jc w:val="center"/>
        <w:rPr>
          <w:b/>
          <w:bCs/>
          <w:u w:val="single"/>
        </w:rPr>
      </w:pPr>
      <w:r w:rsidRPr="00FF4A2C">
        <w:rPr>
          <w:b/>
          <w:bCs/>
          <w:u w:val="single"/>
        </w:rPr>
        <w:t>CERTIFICATE OF SERVICE</w:t>
      </w:r>
    </w:p>
    <w:p w:rsidR="00A044B5" w:rsidRPr="00FF4A2C" w:rsidP="001430A2" w14:paraId="397115C1" w14:textId="7C11DC2D">
      <w:pPr>
        <w:spacing w:line="480" w:lineRule="auto"/>
      </w:pPr>
      <w:r w:rsidRPr="00FF4A2C">
        <w:tab/>
        <w:t xml:space="preserve">I hereby certify that a copy of the foregoing </w:t>
      </w:r>
      <w:r w:rsidR="00E65B40">
        <w:t xml:space="preserve">Reply </w:t>
      </w:r>
      <w:r w:rsidRPr="00FF4A2C">
        <w:t xml:space="preserve">Comments was served on the persons stated below via electronic transmission, this </w:t>
      </w:r>
      <w:r w:rsidR="00CA1588">
        <w:t>21st</w:t>
      </w:r>
      <w:r w:rsidR="00A053BA">
        <w:t xml:space="preserve"> day</w:t>
      </w:r>
      <w:r w:rsidRPr="00FF4A2C">
        <w:t xml:space="preserve"> of </w:t>
      </w:r>
      <w:r w:rsidR="00E65B40">
        <w:t>June</w:t>
      </w:r>
      <w:r>
        <w:t xml:space="preserve"> 202</w:t>
      </w:r>
      <w:r w:rsidR="00A053BA">
        <w:t>2</w:t>
      </w:r>
      <w:r w:rsidRPr="00FF4A2C">
        <w:t>.</w:t>
      </w:r>
    </w:p>
    <w:p w:rsidR="00FD13AB" w:rsidRPr="00FF4A2C" w:rsidP="00FD13AB" w14:paraId="425C6AC6" w14:textId="7374F29D">
      <w:pPr>
        <w:tabs>
          <w:tab w:val="left" w:pos="4320"/>
        </w:tabs>
        <w:ind w:left="3600"/>
        <w:rPr>
          <w:szCs w:val="24"/>
        </w:rPr>
      </w:pPr>
      <w:r w:rsidRPr="00FF4A2C">
        <w:rPr>
          <w:szCs w:val="24"/>
        </w:rPr>
        <w:tab/>
      </w:r>
      <w:r w:rsidRPr="00FF4A2C">
        <w:rPr>
          <w:i/>
          <w:iCs/>
          <w:szCs w:val="24"/>
          <w:u w:val="single"/>
        </w:rPr>
        <w:t>/s/ A</w:t>
      </w:r>
      <w:r w:rsidR="00E65B40">
        <w:rPr>
          <w:i/>
          <w:iCs/>
          <w:szCs w:val="24"/>
          <w:u w:val="single"/>
        </w:rPr>
        <w:t>ngela</w:t>
      </w:r>
      <w:r w:rsidRPr="00FF4A2C">
        <w:rPr>
          <w:i/>
          <w:iCs/>
          <w:szCs w:val="24"/>
          <w:u w:val="single"/>
        </w:rPr>
        <w:t xml:space="preserve"> </w:t>
      </w:r>
      <w:r w:rsidR="007935A3">
        <w:rPr>
          <w:i/>
          <w:iCs/>
          <w:szCs w:val="24"/>
          <w:u w:val="single"/>
        </w:rPr>
        <w:t xml:space="preserve">D. </w:t>
      </w:r>
      <w:r w:rsidRPr="00FF4A2C">
        <w:rPr>
          <w:i/>
          <w:iCs/>
          <w:szCs w:val="24"/>
          <w:u w:val="single"/>
        </w:rPr>
        <w:t>O’Brien</w:t>
      </w:r>
      <w:r w:rsidRPr="00FF4A2C">
        <w:rPr>
          <w:i/>
          <w:iCs/>
          <w:szCs w:val="24"/>
          <w:u w:val="single"/>
        </w:rPr>
        <w:tab/>
      </w:r>
    </w:p>
    <w:p w:rsidR="00A044B5" w:rsidRPr="00FF4A2C" w14:paraId="6E7909B7" w14:textId="2541DE9C">
      <w:pPr>
        <w:tabs>
          <w:tab w:val="left" w:pos="4320"/>
        </w:tabs>
      </w:pPr>
      <w:r w:rsidRPr="00FF4A2C">
        <w:tab/>
      </w:r>
      <w:r>
        <w:t>A</w:t>
      </w:r>
      <w:r w:rsidR="007935A3">
        <w:t>ngela D.</w:t>
      </w:r>
      <w:r>
        <w:t xml:space="preserve"> O’Brien</w:t>
      </w:r>
    </w:p>
    <w:p w:rsidR="00A044B5" w:rsidRPr="00FF4A2C" w14:paraId="34769EE0" w14:textId="77777777">
      <w:pPr>
        <w:tabs>
          <w:tab w:val="left" w:pos="4320"/>
        </w:tabs>
      </w:pPr>
      <w:r w:rsidRPr="00FF4A2C">
        <w:tab/>
        <w:t>Assistant Consumers’ Counsel</w:t>
      </w:r>
    </w:p>
    <w:p w:rsidR="00A044B5" w:rsidRPr="00FF4A2C" w14:paraId="45B9D8B5" w14:textId="77777777">
      <w:pPr>
        <w:pStyle w:val="CommentSubject"/>
      </w:pPr>
    </w:p>
    <w:p w:rsidR="00FD13AB" w:rsidRPr="00745D6B" w:rsidP="00FD13AB" w14:paraId="05BB6FB9" w14:textId="77777777">
      <w:pPr>
        <w:rPr>
          <w:szCs w:val="24"/>
        </w:rPr>
      </w:pPr>
      <w:r w:rsidRPr="00745D6B">
        <w:rPr>
          <w:szCs w:val="24"/>
        </w:rPr>
        <w:t>The PUCO’s e-filing system will electronically serve notice of the filing of this document on the following parties:</w:t>
      </w:r>
    </w:p>
    <w:p w:rsidR="00A044B5" w:rsidRPr="00FF4A2C" w14:paraId="02B9C921" w14:textId="77777777">
      <w:pPr>
        <w:pStyle w:val="CommentText"/>
      </w:pPr>
    </w:p>
    <w:p w:rsidR="00FD13AB" w:rsidRPr="00745D6B" w:rsidP="00FD13AB" w14:paraId="2C659DF4" w14:textId="77777777">
      <w:pPr>
        <w:pStyle w:val="CommentText"/>
        <w:jc w:val="center"/>
        <w:rPr>
          <w:b/>
          <w:u w:val="single"/>
        </w:rPr>
      </w:pPr>
      <w:r w:rsidRPr="00745D6B">
        <w:rPr>
          <w:b/>
          <w:u w:val="single"/>
        </w:rPr>
        <w:t>SERVICE LIST</w:t>
      </w:r>
    </w:p>
    <w:p w:rsidR="00FD13AB" w:rsidP="00FD13AB" w14:paraId="51695E80" w14:textId="7CF73C5B">
      <w:pPr>
        <w:pStyle w:val="CommentText"/>
        <w:jc w:val="center"/>
        <w:rPr>
          <w:b/>
          <w:u w:val="single"/>
        </w:rPr>
      </w:pPr>
    </w:p>
    <w:tbl>
      <w:tblPr>
        <w:tblW w:w="0" w:type="auto"/>
        <w:tblLook w:val="01E0"/>
      </w:tblPr>
      <w:tblGrid>
        <w:gridCol w:w="4365"/>
        <w:gridCol w:w="4275"/>
      </w:tblGrid>
      <w:tr w14:paraId="13043566" w14:textId="77777777" w:rsidTr="00120BB9">
        <w:tblPrEx>
          <w:tblW w:w="0" w:type="auto"/>
          <w:tblLook w:val="01E0"/>
        </w:tblPrEx>
        <w:tc>
          <w:tcPr>
            <w:tcW w:w="4428" w:type="dxa"/>
            <w:shd w:val="clear" w:color="auto" w:fill="auto"/>
          </w:tcPr>
          <w:p w:rsidR="005278B7" w:rsidP="00120BB9" w14:paraId="53403990" w14:textId="093756AD">
            <w:pPr>
              <w:autoSpaceDE w:val="0"/>
              <w:autoSpaceDN w:val="0"/>
              <w:adjustRightInd w:val="0"/>
            </w:pPr>
            <w:hyperlink r:id="rId13" w:history="1">
              <w:r w:rsidRPr="0018529A" w:rsidR="00EC237F">
                <w:rPr>
                  <w:rStyle w:val="Hyperlink"/>
                </w:rPr>
                <w:t>sarah.feldkamp</w:t>
              </w:r>
              <w:r w:rsidRPr="0018529A" w:rsidR="00EC237F">
                <w:rPr>
                  <w:rStyle w:val="Hyperlink"/>
                  <w:bCs/>
                </w:rPr>
                <w:t>@ohioAGO.gov</w:t>
              </w:r>
            </w:hyperlink>
          </w:p>
          <w:p w:rsidR="00EC237F" w:rsidP="00120BB9" w14:paraId="2B04DBDA" w14:textId="516D621F">
            <w:pPr>
              <w:autoSpaceDE w:val="0"/>
              <w:autoSpaceDN w:val="0"/>
              <w:adjustRightInd w:val="0"/>
            </w:pPr>
            <w:hyperlink r:id="rId14" w:history="1">
              <w:r w:rsidRPr="0018529A" w:rsidR="00761CE9">
                <w:rPr>
                  <w:rStyle w:val="Hyperlink"/>
                </w:rPr>
                <w:t>steven.beeler@ohioAGO.gov</w:t>
              </w:r>
            </w:hyperlink>
          </w:p>
          <w:p w:rsidR="00EC237F" w:rsidP="00120BB9" w14:paraId="6EF988A8" w14:textId="0BAD67A3">
            <w:pPr>
              <w:autoSpaceDE w:val="0"/>
              <w:autoSpaceDN w:val="0"/>
              <w:adjustRightInd w:val="0"/>
              <w:rPr>
                <w:bCs/>
              </w:rPr>
            </w:pPr>
          </w:p>
          <w:p w:rsidR="00EC237F" w:rsidP="00120BB9" w14:paraId="166D8B65" w14:textId="261CDD44">
            <w:pPr>
              <w:autoSpaceDE w:val="0"/>
              <w:autoSpaceDN w:val="0"/>
              <w:adjustRightInd w:val="0"/>
              <w:rPr>
                <w:bCs/>
              </w:rPr>
            </w:pPr>
            <w:r>
              <w:rPr>
                <w:bCs/>
              </w:rPr>
              <w:t>Attorney Examiner:</w:t>
            </w:r>
          </w:p>
          <w:p w:rsidR="00EC237F" w:rsidP="00120BB9" w14:paraId="3C6137F8" w14:textId="0D2EAC28">
            <w:pPr>
              <w:autoSpaceDE w:val="0"/>
              <w:autoSpaceDN w:val="0"/>
              <w:adjustRightInd w:val="0"/>
              <w:rPr>
                <w:bCs/>
              </w:rPr>
            </w:pPr>
            <w:hyperlink r:id="rId15" w:history="1">
              <w:r w:rsidRPr="0018529A" w:rsidR="00761CE9">
                <w:rPr>
                  <w:rStyle w:val="Hyperlink"/>
                  <w:bCs/>
                </w:rPr>
                <w:t>Jesse.davis@puco.ohio.gov</w:t>
              </w:r>
            </w:hyperlink>
          </w:p>
          <w:p w:rsidR="00EC237F" w:rsidP="00120BB9" w14:paraId="28DC0DE8" w14:textId="77777777">
            <w:pPr>
              <w:autoSpaceDE w:val="0"/>
              <w:autoSpaceDN w:val="0"/>
              <w:adjustRightInd w:val="0"/>
              <w:rPr>
                <w:bCs/>
              </w:rPr>
            </w:pPr>
          </w:p>
          <w:p w:rsidR="005278B7" w:rsidRPr="00A044B5" w:rsidP="00120BB9" w14:paraId="61ED32F6" w14:textId="77777777">
            <w:pPr>
              <w:autoSpaceDE w:val="0"/>
              <w:autoSpaceDN w:val="0"/>
              <w:adjustRightInd w:val="0"/>
              <w:rPr>
                <w:bCs/>
              </w:rPr>
            </w:pPr>
          </w:p>
        </w:tc>
        <w:tc>
          <w:tcPr>
            <w:tcW w:w="4428" w:type="dxa"/>
            <w:shd w:val="clear" w:color="auto" w:fill="auto"/>
          </w:tcPr>
          <w:p w:rsidR="005278B7" w:rsidP="00120BB9" w14:paraId="63C8E58D" w14:textId="77777777">
            <w:pPr>
              <w:pStyle w:val="BodyText"/>
              <w:rPr>
                <w:bCs/>
              </w:rPr>
            </w:pPr>
            <w:hyperlink r:id="rId16" w:history="1">
              <w:r w:rsidRPr="00197FC4" w:rsidR="00761CE9">
                <w:rPr>
                  <w:rStyle w:val="Hyperlink"/>
                  <w:bCs/>
                </w:rPr>
                <w:t>whitt@whitt-sturtevant.com</w:t>
              </w:r>
            </w:hyperlink>
          </w:p>
          <w:p w:rsidR="005278B7" w:rsidRPr="00A044B5" w:rsidP="0034283A" w14:paraId="08507E26" w14:textId="77777777">
            <w:pPr>
              <w:pStyle w:val="BodyText"/>
              <w:rPr>
                <w:bCs/>
              </w:rPr>
            </w:pPr>
          </w:p>
        </w:tc>
      </w:tr>
      <w:tr w14:paraId="40A89F61" w14:textId="77777777" w:rsidTr="00120BB9">
        <w:tblPrEx>
          <w:tblW w:w="0" w:type="auto"/>
          <w:tblLook w:val="01E0"/>
        </w:tblPrEx>
        <w:tc>
          <w:tcPr>
            <w:tcW w:w="4428" w:type="dxa"/>
            <w:shd w:val="clear" w:color="auto" w:fill="auto"/>
          </w:tcPr>
          <w:p w:rsidR="005278B7" w:rsidRPr="00A044B5" w:rsidP="00120BB9" w14:paraId="2381495F" w14:textId="77777777">
            <w:pPr>
              <w:rPr>
                <w:szCs w:val="24"/>
              </w:rPr>
            </w:pPr>
          </w:p>
        </w:tc>
        <w:tc>
          <w:tcPr>
            <w:tcW w:w="4428" w:type="dxa"/>
            <w:shd w:val="clear" w:color="auto" w:fill="auto"/>
          </w:tcPr>
          <w:p w:rsidR="005278B7" w:rsidRPr="00A044B5" w:rsidP="00120BB9" w14:paraId="31E887A5" w14:textId="77777777">
            <w:pPr>
              <w:rPr>
                <w:bCs/>
              </w:rPr>
            </w:pPr>
          </w:p>
        </w:tc>
      </w:tr>
    </w:tbl>
    <w:p w:rsidR="005278B7" w:rsidRPr="00745D6B" w:rsidP="00FD13AB" w14:paraId="33D37BC6" w14:textId="77777777">
      <w:pPr>
        <w:pStyle w:val="CommentText"/>
        <w:jc w:val="center"/>
        <w:rPr>
          <w:b/>
          <w:u w:val="single"/>
        </w:rPr>
      </w:pPr>
    </w:p>
    <w:sectPr>
      <w:footerReference w:type="defaul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ucida Grande">
    <w:altName w:val="Calibr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857426164"/>
      <w:docPartObj>
        <w:docPartGallery w:val="Page Numbers (Bottom of Page)"/>
        <w:docPartUnique/>
      </w:docPartObj>
    </w:sdtPr>
    <w:sdtEndPr>
      <w:rPr>
        <w:noProof/>
      </w:rPr>
    </w:sdtEndPr>
    <w:sdtContent>
      <w:p w:rsidR="00530036" w:rsidRPr="00530036" w:rsidP="00530036" w14:paraId="4D2E1F16" w14:textId="67E40B14">
        <w:pPr>
          <w:pStyle w:val="Footer"/>
          <w:framePr w:wrap="around" w:vAnchor="text" w:hAnchor="margin" w:xAlign="center" w:y="1"/>
          <w:jc w:val="center"/>
          <w:rPr>
            <w:sz w:val="24"/>
            <w:szCs w:val="24"/>
          </w:rPr>
        </w:pPr>
        <w:r w:rsidRPr="00530036">
          <w:rPr>
            <w:sz w:val="24"/>
            <w:szCs w:val="24"/>
          </w:rPr>
          <w:fldChar w:fldCharType="begin"/>
        </w:r>
        <w:r w:rsidRPr="00530036">
          <w:rPr>
            <w:sz w:val="24"/>
            <w:szCs w:val="24"/>
          </w:rPr>
          <w:instrText xml:space="preserve"> PAGE   \* MERGEFORMAT </w:instrText>
        </w:r>
        <w:r w:rsidRPr="00530036">
          <w:rPr>
            <w:sz w:val="24"/>
            <w:szCs w:val="24"/>
          </w:rPr>
          <w:fldChar w:fldCharType="separate"/>
        </w:r>
        <w:r w:rsidRPr="00530036">
          <w:rPr>
            <w:noProof/>
            <w:sz w:val="24"/>
            <w:szCs w:val="24"/>
          </w:rPr>
          <w:t>2</w:t>
        </w:r>
        <w:r w:rsidRPr="00530036">
          <w:rPr>
            <w:noProof/>
            <w:sz w:val="24"/>
            <w:szCs w:val="24"/>
          </w:rPr>
          <w:fldChar w:fldCharType="end"/>
        </w:r>
      </w:p>
    </w:sdtContent>
  </w:sdt>
  <w:p w:rsidR="00530036" w:rsidP="0005262D" w14:paraId="2F557158" w14:textId="77777777">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70914" w14:paraId="00338C0B" w14:textId="77777777">
      <w:r>
        <w:separator/>
      </w:r>
    </w:p>
  </w:footnote>
  <w:footnote w:type="continuationSeparator" w:id="1">
    <w:p w:rsidR="00470914" w14:paraId="3C93C6CB" w14:textId="77777777">
      <w:r>
        <w:continuationSeparator/>
      </w:r>
    </w:p>
  </w:footnote>
  <w:footnote w:id="2">
    <w:p w:rsidR="002C02E6" w:rsidP="002C02E6" w14:paraId="0B343E01" w14:textId="77777777">
      <w:pPr>
        <w:pStyle w:val="FootnoteText"/>
      </w:pPr>
      <w:r>
        <w:rPr>
          <w:rStyle w:val="FootnoteReference"/>
        </w:rPr>
        <w:footnoteRef/>
      </w:r>
      <w:r>
        <w:t xml:space="preserve"> </w:t>
      </w:r>
      <w:r w:rsidRPr="00872B73">
        <w:rPr>
          <w:i/>
          <w:iCs/>
        </w:rPr>
        <w:t>In the Matter of the Application of Inspire Energy Holdings, LLC for Waivers of Certain Provisions of Chapters 4901:1-21 and 4901:1-29, O.A.C. to Permit Third-Party Verification by Digital Confirmation, Case No. 22-0029-GE-WVR</w:t>
      </w:r>
      <w:r w:rsidRPr="00872B73">
        <w:t>,</w:t>
      </w:r>
      <w:r>
        <w:t xml:space="preserve"> PUCO Staff Comments (May 31, 2022). </w:t>
      </w:r>
    </w:p>
  </w:footnote>
  <w:footnote w:id="3">
    <w:p w:rsidR="002C02E6" w:rsidP="002C02E6" w14:paraId="6E3B5AE4" w14:textId="2BFFF4D8">
      <w:pPr>
        <w:pStyle w:val="FootnoteText"/>
      </w:pPr>
      <w:r>
        <w:rPr>
          <w:rStyle w:val="FootnoteReference"/>
        </w:rPr>
        <w:footnoteRef/>
      </w:r>
      <w:r>
        <w:t xml:space="preserve"> </w:t>
      </w:r>
      <w:r w:rsidRPr="00E63EB6">
        <w:t>Case No. 22-0029-GE-WVR, Motion of leave to file Instanter Staff’s Amended Comments and Extend Procedural Schedule (June 10, 2022)</w:t>
      </w:r>
      <w:r w:rsidR="006E0680">
        <w:t xml:space="preserve"> (“Amended Comments”), at 9</w:t>
      </w:r>
      <w:r w:rsidRPr="00E63EB6">
        <w:t>.</w:t>
      </w:r>
      <w:r>
        <w:t xml:space="preserve"> </w:t>
      </w:r>
    </w:p>
  </w:footnote>
  <w:footnote w:id="4">
    <w:p w:rsidR="00A72920" w:rsidP="00A72920" w14:paraId="0F8B20E2" w14:textId="160AEC13">
      <w:pPr>
        <w:pStyle w:val="FootnoteText"/>
      </w:pPr>
      <w:r>
        <w:rPr>
          <w:rStyle w:val="FootnoteReference"/>
        </w:rPr>
        <w:footnoteRef/>
      </w:r>
      <w:r>
        <w:t xml:space="preserve"> Consumer Groups include </w:t>
      </w:r>
      <w:r w:rsidRPr="00FF4A2C">
        <w:t>O</w:t>
      </w:r>
      <w:r>
        <w:t>ffice of the Ohio Consumers’ Counsel (“OCC”), Pro Seniors, Inc., Legal Aid Society of Southwest Ohio, LLC, Southeastern Ohio Legal Services, Legal Aid of Columbus, and the Ohio Poverty Law Center.</w:t>
      </w:r>
    </w:p>
  </w:footnote>
  <w:footnote w:id="5">
    <w:p w:rsidR="005C00CF" w14:paraId="06102C03" w14:textId="5416E63E">
      <w:pPr>
        <w:pStyle w:val="FootnoteText"/>
      </w:pPr>
      <w:r>
        <w:rPr>
          <w:rStyle w:val="FootnoteReference"/>
        </w:rPr>
        <w:footnoteRef/>
      </w:r>
      <w:r>
        <w:t xml:space="preserve"> Amended Comments, at 9-10.</w:t>
      </w:r>
    </w:p>
  </w:footnote>
  <w:footnote w:id="6">
    <w:p w:rsidR="003809D5" w:rsidP="003809D5" w14:paraId="4CD264F8" w14:textId="34F05987">
      <w:pPr>
        <w:pStyle w:val="FootnoteText"/>
      </w:pPr>
      <w:r>
        <w:rPr>
          <w:rStyle w:val="FootnoteReference"/>
        </w:rPr>
        <w:footnoteRef/>
      </w:r>
      <w:r>
        <w:t xml:space="preserve"> Consumer Groups’ May 31, 2022 Comments opposing Inspire’s Application are incorporated by reference. </w:t>
      </w:r>
    </w:p>
  </w:footnote>
  <w:footnote w:id="7">
    <w:p w:rsidR="00CE3E4C" w14:paraId="12FBDFC2" w14:textId="787974C8">
      <w:pPr>
        <w:pStyle w:val="FootnoteText"/>
      </w:pPr>
      <w:r>
        <w:rPr>
          <w:rStyle w:val="FootnoteReference"/>
        </w:rPr>
        <w:footnoteRef/>
      </w:r>
      <w:r>
        <w:t xml:space="preserve"> </w:t>
      </w:r>
      <w:r w:rsidRPr="00872B73">
        <w:rPr>
          <w:i/>
          <w:iCs/>
        </w:rPr>
        <w:t>In the Matter of the Commission’s Investigation into XOOM Energy Ohio, LLC’s Compliance with the Ohio Administrative Code and Potential Remedial Actions for Non-Compliance. Notice of Probable Non-Compliance Letter,</w:t>
      </w:r>
      <w:r w:rsidRPr="00872B73">
        <w:t xml:space="preserve"> Case No. 22-267-GE-COI, PUCO Staff letter at Attachment A (April 18, 2022).</w:t>
      </w:r>
    </w:p>
  </w:footnote>
  <w:footnote w:id="8">
    <w:p w:rsidR="00F97DE9" w:rsidRPr="00F97DE9" w14:paraId="25E9B52A" w14:textId="189834D8">
      <w:pPr>
        <w:pStyle w:val="FootnoteText"/>
      </w:pPr>
      <w:r>
        <w:rPr>
          <w:rStyle w:val="FootnoteReference"/>
        </w:rPr>
        <w:footnoteRef/>
      </w:r>
      <w:r>
        <w:t xml:space="preserve"> </w:t>
      </w:r>
      <w:r>
        <w:rPr>
          <w:i/>
          <w:iCs/>
        </w:rPr>
        <w:t>See infra</w:t>
      </w:r>
      <w:r>
        <w:t xml:space="preserve"> note</w:t>
      </w:r>
      <w:r w:rsidR="007834E3">
        <w:t xml:space="preserve"> 15.</w:t>
      </w:r>
    </w:p>
  </w:footnote>
  <w:footnote w:id="9">
    <w:p w:rsidR="00B86D45" w:rsidP="00B86D45" w14:paraId="70C2D93E" w14:textId="1A1944E1">
      <w:pPr>
        <w:pStyle w:val="FootnoteText"/>
      </w:pPr>
      <w:r>
        <w:rPr>
          <w:rStyle w:val="FootnoteReference"/>
        </w:rPr>
        <w:footnoteRef/>
      </w:r>
      <w:r>
        <w:t xml:space="preserve"> Staff Amended Comments, at 9.</w:t>
      </w:r>
    </w:p>
  </w:footnote>
  <w:footnote w:id="10">
    <w:p w:rsidR="006A5B6E" w14:paraId="6F4F4775" w14:textId="4BC5DD8F">
      <w:pPr>
        <w:pStyle w:val="FootnoteText"/>
      </w:pPr>
      <w:r>
        <w:rPr>
          <w:rStyle w:val="FootnoteReference"/>
        </w:rPr>
        <w:footnoteRef/>
      </w:r>
      <w:r>
        <w:t xml:space="preserve"> PUCO Staff Comments, at </w:t>
      </w:r>
      <w:r w:rsidR="00F36C10">
        <w:t>3</w:t>
      </w:r>
      <w:r w:rsidR="00BF0D5F">
        <w:t>; PUCO Staff Amended Comments, at 8</w:t>
      </w:r>
      <w:r w:rsidR="00F36C10">
        <w:t>.</w:t>
      </w:r>
    </w:p>
  </w:footnote>
  <w:footnote w:id="11">
    <w:p w:rsidR="00761A68" w:rsidP="00761A68" w14:paraId="4F45EBA9" w14:textId="47510ABD">
      <w:pPr>
        <w:pStyle w:val="FootnoteText"/>
      </w:pPr>
      <w:r>
        <w:rPr>
          <w:rStyle w:val="FootnoteReference"/>
        </w:rPr>
        <w:footnoteRef/>
      </w:r>
      <w:r>
        <w:t xml:space="preserve"> Inspire Application</w:t>
      </w:r>
      <w:r w:rsidR="00BD5488">
        <w:t>,</w:t>
      </w:r>
      <w:r>
        <w:t xml:space="preserve"> at </w:t>
      </w:r>
      <w:r w:rsidR="002D607A">
        <w:t>¶¶ 4, 17.</w:t>
      </w:r>
    </w:p>
  </w:footnote>
  <w:footnote w:id="12">
    <w:p w:rsidR="00BD5488" w14:paraId="2400208C" w14:textId="28179C3C">
      <w:pPr>
        <w:pStyle w:val="FootnoteText"/>
      </w:pPr>
      <w:r>
        <w:rPr>
          <w:rStyle w:val="FootnoteReference"/>
        </w:rPr>
        <w:footnoteRef/>
      </w:r>
      <w:r>
        <w:t xml:space="preserve"> Inspire Application, ¶ 17. </w:t>
      </w:r>
    </w:p>
  </w:footnote>
  <w:footnote w:id="13">
    <w:p w:rsidR="00761A68" w:rsidP="00761A68" w14:paraId="486E85B7" w14:textId="77777777">
      <w:pPr>
        <w:pStyle w:val="FootnoteText"/>
      </w:pPr>
      <w:r>
        <w:rPr>
          <w:rStyle w:val="FootnoteReference"/>
        </w:rPr>
        <w:footnoteRef/>
      </w:r>
      <w:r>
        <w:t xml:space="preserve"> </w:t>
      </w:r>
      <w:r w:rsidRPr="00AC57DE">
        <w:rPr>
          <w:i/>
          <w:iCs/>
        </w:rPr>
        <w:t>Id.</w:t>
      </w:r>
    </w:p>
  </w:footnote>
  <w:footnote w:id="14">
    <w:p w:rsidR="00761A68" w:rsidP="00761A68" w14:paraId="530C96B8" w14:textId="77777777">
      <w:pPr>
        <w:pStyle w:val="FootnoteText"/>
      </w:pPr>
      <w:r>
        <w:rPr>
          <w:rStyle w:val="FootnoteReference"/>
        </w:rPr>
        <w:footnoteRef/>
      </w:r>
      <w:r>
        <w:t xml:space="preserve"> </w:t>
      </w:r>
      <w:r w:rsidRPr="00AC57DE">
        <w:rPr>
          <w:i/>
          <w:iCs/>
        </w:rPr>
        <w:t>Id.</w:t>
      </w:r>
    </w:p>
  </w:footnote>
  <w:footnote w:id="15">
    <w:p w:rsidR="002D607A" w:rsidP="002D607A" w14:paraId="1B6278BF" w14:textId="77777777">
      <w:pPr>
        <w:pStyle w:val="FootnoteText"/>
      </w:pPr>
      <w:r>
        <w:rPr>
          <w:rStyle w:val="FootnoteReference"/>
        </w:rPr>
        <w:footnoteRef/>
      </w:r>
      <w:r>
        <w:t xml:space="preserve"> PUCO Staff Comments, at 3-4.</w:t>
      </w:r>
    </w:p>
  </w:footnote>
  <w:footnote w:id="16">
    <w:p w:rsidR="00591DE2" w14:paraId="0F574420" w14:textId="77D1203D">
      <w:pPr>
        <w:pStyle w:val="FootnoteText"/>
      </w:pPr>
      <w:r>
        <w:rPr>
          <w:rStyle w:val="FootnoteReference"/>
        </w:rPr>
        <w:footnoteRef/>
      </w:r>
      <w:r>
        <w:t xml:space="preserve"> </w:t>
      </w:r>
      <w:r w:rsidRPr="001D535F">
        <w:rPr>
          <w:i/>
          <w:iCs/>
        </w:rPr>
        <w:t>See</w:t>
      </w:r>
      <w:r>
        <w:rPr>
          <w:i/>
          <w:iCs/>
        </w:rPr>
        <w:t xml:space="preserve"> e.g.</w:t>
      </w:r>
      <w:r w:rsidR="002813AA">
        <w:rPr>
          <w:i/>
          <w:iCs/>
        </w:rPr>
        <w:t xml:space="preserve"> </w:t>
      </w:r>
      <w:r w:rsidRPr="001D535F">
        <w:rPr>
          <w:i/>
          <w:iCs/>
        </w:rPr>
        <w:t>In the Matter of Commission’s Investigation Into PALMco Power OH, LLC dba Indra Energy and PALMco Energy OH, LLC dba Indra Energy’s Compliance with the Ohio Administrative Code and Potential Remedial Actions for Non-Compliance</w:t>
      </w:r>
      <w:r w:rsidRPr="001D535F">
        <w:t>,</w:t>
      </w:r>
      <w:r>
        <w:t xml:space="preserve"> Case No. 19-957-GE-COI; </w:t>
      </w:r>
      <w:r>
        <w:rPr>
          <w:i/>
          <w:iCs/>
        </w:rPr>
        <w:t>In the Matter of the Commission’s Investigation into Verde Energy USA Ohio, LLC’s Compliance with the Ohio Administrative Code and Potential Remedial Actions for Non-Compliance</w:t>
      </w:r>
      <w:r>
        <w:t>, Case No. 19-958-GE-COI</w:t>
      </w:r>
      <w:r w:rsidR="0090399C">
        <w:t>;</w:t>
      </w:r>
      <w:r>
        <w:t xml:space="preserve"> </w:t>
      </w:r>
      <w:r w:rsidRPr="001D535F">
        <w:rPr>
          <w:i/>
          <w:iCs/>
        </w:rPr>
        <w:t>In the Matter of Commission’s Investigation Into PALMco Power OH, LLC dba Indra Energy and PALMco Energy OH, LLC dba Indra Energy’s Compliance with the Ohio Administrative Code and Potential Remedial Actions for Non-Compliance</w:t>
      </w:r>
      <w:r w:rsidRPr="001D535F">
        <w:t>, Case No. 19-2153-GE-COI</w:t>
      </w:r>
      <w:r w:rsidR="0090399C">
        <w:t>;</w:t>
      </w:r>
      <w:r>
        <w:t xml:space="preserve"> </w:t>
      </w:r>
      <w:r w:rsidRPr="001D535F">
        <w:rPr>
          <w:i/>
          <w:iCs/>
        </w:rPr>
        <w:t>In the Matter of the Commission’s Investigation Into SFE Energy Ohio, Inc. and Statewise Energy Ohio, LLC’s Compliance with the Ohio Revised Code and Ohio Administrative Code and Potential Remedial Action</w:t>
      </w:r>
      <w:r w:rsidRPr="001D535F">
        <w:t>, Case No. 20-1216-GE-COI</w:t>
      </w:r>
      <w:r>
        <w:t xml:space="preserve">; </w:t>
      </w:r>
      <w:r w:rsidRPr="00872B73">
        <w:rPr>
          <w:i/>
          <w:iCs/>
        </w:rPr>
        <w:t>In the Matter of the Commission’s Investigation into XOOM Energy Ohio, LLC’s Compliance with the Ohio Administrative Code and Potential Remedial Actions for Non-Compliance. Notice of Probable Non-Compliance Letter,</w:t>
      </w:r>
      <w:r w:rsidRPr="00872B73">
        <w:t xml:space="preserve"> Case No. 22-267-GE-COI</w:t>
      </w:r>
      <w:r>
        <w:t xml:space="preserve">; and </w:t>
      </w:r>
      <w:r>
        <w:rPr>
          <w:i/>
          <w:iCs/>
        </w:rPr>
        <w:t>In the Matter of the Commission’s Investigation into RPA Energy, Inc.’s Compliance with the Ohio Administrative Code and Potential Remedial Actions for Non-Compliance</w:t>
      </w:r>
      <w:r>
        <w:t>, Case No. 22-441-GE-COI</w:t>
      </w:r>
      <w:r w:rsidRPr="001D535F">
        <w:t>.</w:t>
      </w:r>
    </w:p>
  </w:footnote>
  <w:footnote w:id="17">
    <w:p w:rsidR="00F444D2" w:rsidRPr="0039358A" w14:paraId="6C80AB34" w14:textId="0C90FF5F">
      <w:pPr>
        <w:pStyle w:val="FootnoteText"/>
      </w:pPr>
      <w:r>
        <w:rPr>
          <w:rStyle w:val="FootnoteReference"/>
        </w:rPr>
        <w:footnoteRef/>
      </w:r>
      <w:r>
        <w:t xml:space="preserve"> </w:t>
      </w:r>
      <w:r>
        <w:rPr>
          <w:i/>
          <w:iCs/>
        </w:rPr>
        <w:t xml:space="preserve">See </w:t>
      </w:r>
      <w:r w:rsidR="00DB49F3">
        <w:rPr>
          <w:i/>
          <w:iCs/>
        </w:rPr>
        <w:t>In the Matter of the Commission’s Investigation into RPA Energy, Inc.’s Compliance with the Ohio Administrative Code and Potential Remedial Actions for Non-Compliance</w:t>
      </w:r>
      <w:r w:rsidR="00DB49F3">
        <w:t xml:space="preserve">, Case No. 22-441-GE-COI, Entry (April 20, 2022), at ¶ 7. </w:t>
      </w:r>
      <w:r w:rsidR="004E0478">
        <w:rPr>
          <w:i/>
          <w:iCs/>
        </w:rPr>
        <w:t>See also In the Matter of the Commission’s Investigation into Verde Energy USA Ohio, LLC’s Compliance with the Ohio Administrative Code</w:t>
      </w:r>
      <w:r w:rsidR="0039358A">
        <w:rPr>
          <w:i/>
          <w:iCs/>
        </w:rPr>
        <w:t xml:space="preserve"> and Potential Remedial Actions for Non-Compliance</w:t>
      </w:r>
      <w:r w:rsidR="0039358A">
        <w:t>, Case No. 19-958-GE-COI, Corrected Staff Report (May 29, 2019), at 9.</w:t>
      </w:r>
    </w:p>
  </w:footnote>
  <w:footnote w:id="18">
    <w:p w:rsidR="00ED297D" w:rsidP="00ED297D" w14:paraId="7490F63A" w14:textId="2938491B">
      <w:pPr>
        <w:pStyle w:val="FootnoteText"/>
      </w:pPr>
      <w:r>
        <w:rPr>
          <w:rStyle w:val="FootnoteReference"/>
        </w:rPr>
        <w:footnoteRef/>
      </w:r>
      <w:r>
        <w:t xml:space="preserve"> Amended Staff Comments</w:t>
      </w:r>
      <w:r w:rsidR="001D2BE2">
        <w:t>,</w:t>
      </w:r>
      <w:r>
        <w:t xml:space="preserve"> at 10.</w:t>
      </w:r>
    </w:p>
  </w:footnote>
  <w:footnote w:id="19">
    <w:p w:rsidR="00761A68" w:rsidP="00761A68" w14:paraId="24FEF77F" w14:textId="021DCCD3">
      <w:pPr>
        <w:pStyle w:val="FootnoteText"/>
      </w:pPr>
      <w:r>
        <w:rPr>
          <w:rStyle w:val="FootnoteReference"/>
        </w:rPr>
        <w:footnoteRef/>
      </w:r>
      <w:r>
        <w:t xml:space="preserve"> R.C. 4928.10(D)(</w:t>
      </w:r>
      <w:r w:rsidR="000258B6">
        <w:t>4</w:t>
      </w:r>
      <w:r>
        <w:t>) and 4929.22(D)(3)</w:t>
      </w:r>
      <w:r w:rsidR="00507DE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E658AC"/>
    <w:lvl w:ilvl="0">
      <w:start w:val="1"/>
      <w:numFmt w:val="decimal"/>
      <w:lvlText w:val="%1."/>
      <w:lvlJc w:val="left"/>
      <w:pPr>
        <w:tabs>
          <w:tab w:val="num" w:pos="1800"/>
        </w:tabs>
        <w:ind w:left="1800" w:hanging="360"/>
      </w:pPr>
    </w:lvl>
  </w:abstractNum>
  <w:abstractNum w:abstractNumId="1">
    <w:nsid w:val="FFFFFF7D"/>
    <w:multiLevelType w:val="singleLevel"/>
    <w:tmpl w:val="A7D2C9F6"/>
    <w:lvl w:ilvl="0">
      <w:start w:val="1"/>
      <w:numFmt w:val="decimal"/>
      <w:lvlText w:val="%1."/>
      <w:lvlJc w:val="left"/>
      <w:pPr>
        <w:tabs>
          <w:tab w:val="num" w:pos="1440"/>
        </w:tabs>
        <w:ind w:left="1440" w:hanging="360"/>
      </w:pPr>
    </w:lvl>
  </w:abstractNum>
  <w:abstractNum w:abstractNumId="2">
    <w:nsid w:val="FFFFFF7E"/>
    <w:multiLevelType w:val="singleLevel"/>
    <w:tmpl w:val="43A469C2"/>
    <w:lvl w:ilvl="0">
      <w:start w:val="1"/>
      <w:numFmt w:val="decimal"/>
      <w:lvlText w:val="%1."/>
      <w:lvlJc w:val="left"/>
      <w:pPr>
        <w:tabs>
          <w:tab w:val="num" w:pos="1080"/>
        </w:tabs>
        <w:ind w:left="1080" w:hanging="360"/>
      </w:pPr>
    </w:lvl>
  </w:abstractNum>
  <w:abstractNum w:abstractNumId="3">
    <w:nsid w:val="FFFFFF7F"/>
    <w:multiLevelType w:val="singleLevel"/>
    <w:tmpl w:val="E2B02CCE"/>
    <w:lvl w:ilvl="0">
      <w:start w:val="1"/>
      <w:numFmt w:val="decimal"/>
      <w:lvlText w:val="%1."/>
      <w:lvlJc w:val="left"/>
      <w:pPr>
        <w:tabs>
          <w:tab w:val="num" w:pos="720"/>
        </w:tabs>
        <w:ind w:left="720" w:hanging="360"/>
      </w:pPr>
    </w:lvl>
  </w:abstractNum>
  <w:abstractNum w:abstractNumId="4">
    <w:nsid w:val="FFFFFF80"/>
    <w:multiLevelType w:val="singleLevel"/>
    <w:tmpl w:val="4DFC2E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C009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B27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90C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66243E"/>
    <w:lvl w:ilvl="0">
      <w:start w:val="1"/>
      <w:numFmt w:val="decimal"/>
      <w:lvlText w:val="%1."/>
      <w:lvlJc w:val="left"/>
      <w:pPr>
        <w:tabs>
          <w:tab w:val="num" w:pos="360"/>
        </w:tabs>
        <w:ind w:left="360" w:hanging="360"/>
      </w:pPr>
    </w:lvl>
  </w:abstractNum>
  <w:abstractNum w:abstractNumId="9">
    <w:nsid w:val="FFFFFF89"/>
    <w:multiLevelType w:val="singleLevel"/>
    <w:tmpl w:val="BE66D47C"/>
    <w:lvl w:ilvl="0">
      <w:start w:val="1"/>
      <w:numFmt w:val="bullet"/>
      <w:lvlText w:val=""/>
      <w:lvlJc w:val="left"/>
      <w:pPr>
        <w:tabs>
          <w:tab w:val="num" w:pos="360"/>
        </w:tabs>
        <w:ind w:left="360" w:hanging="360"/>
      </w:pPr>
      <w:rPr>
        <w:rFonts w:ascii="Symbol" w:hAnsi="Symbol" w:hint="default"/>
      </w:rPr>
    </w:lvl>
  </w:abstractNum>
  <w:abstractNum w:abstractNumId="10">
    <w:nsid w:val="08D03325"/>
    <w:multiLevelType w:val="hybridMultilevel"/>
    <w:tmpl w:val="BB3217EA"/>
    <w:lvl w:ilvl="0">
      <w:start w:val="3"/>
      <w:numFmt w:val="upperRoman"/>
      <w:lvlText w:val="%1&gt;"/>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03D3481"/>
    <w:multiLevelType w:val="hybridMultilevel"/>
    <w:tmpl w:val="328C72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15F1487"/>
    <w:multiLevelType w:val="hybridMultilevel"/>
    <w:tmpl w:val="6DF84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725106"/>
    <w:multiLevelType w:val="hybridMultilevel"/>
    <w:tmpl w:val="D22EAB64"/>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5">
    <w:nsid w:val="163817A4"/>
    <w:multiLevelType w:val="hybridMultilevel"/>
    <w:tmpl w:val="76286C5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73698D"/>
    <w:multiLevelType w:val="hybridMultilevel"/>
    <w:tmpl w:val="08BA49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DE2703F"/>
    <w:multiLevelType w:val="hybridMultilevel"/>
    <w:tmpl w:val="789C6CA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7207DA"/>
    <w:multiLevelType w:val="hybridMultilevel"/>
    <w:tmpl w:val="0A40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DB4128E"/>
    <w:multiLevelType w:val="hybridMultilevel"/>
    <w:tmpl w:val="E2D0E434"/>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40726B8"/>
    <w:multiLevelType w:val="hybridMultilevel"/>
    <w:tmpl w:val="1270B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13B2E"/>
    <w:multiLevelType w:val="hybridMultilevel"/>
    <w:tmpl w:val="A10CC0D0"/>
    <w:lvl w:ilvl="0">
      <w:start w:val="3"/>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0"/>
  </w:num>
  <w:num w:numId="2">
    <w:abstractNumId w:val="19"/>
  </w:num>
  <w:num w:numId="3">
    <w:abstractNumId w:val="25"/>
  </w:num>
  <w:num w:numId="4">
    <w:abstractNumId w:val="22"/>
  </w:num>
  <w:num w:numId="5">
    <w:abstractNumId w:val="11"/>
  </w:num>
  <w:num w:numId="6">
    <w:abstractNumId w:val="2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4"/>
  </w:num>
  <w:num w:numId="24">
    <w:abstractNumId w:val="12"/>
  </w:num>
  <w:num w:numId="25">
    <w:abstractNumId w:val="16"/>
  </w:num>
  <w:num w:numId="26">
    <w:abstractNumId w:val="13"/>
  </w:num>
  <w:num w:numId="27">
    <w:abstractNumId w:val="17"/>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C3"/>
    <w:rsid w:val="0000374C"/>
    <w:rsid w:val="00004243"/>
    <w:rsid w:val="00004B9E"/>
    <w:rsid w:val="000118F5"/>
    <w:rsid w:val="000233C7"/>
    <w:rsid w:val="00023F20"/>
    <w:rsid w:val="00024FE6"/>
    <w:rsid w:val="000258B6"/>
    <w:rsid w:val="00026E30"/>
    <w:rsid w:val="00034891"/>
    <w:rsid w:val="00034D24"/>
    <w:rsid w:val="0003731A"/>
    <w:rsid w:val="00042096"/>
    <w:rsid w:val="00047B02"/>
    <w:rsid w:val="0005262D"/>
    <w:rsid w:val="00057D74"/>
    <w:rsid w:val="0006155E"/>
    <w:rsid w:val="00070AE8"/>
    <w:rsid w:val="00074E16"/>
    <w:rsid w:val="00082ADF"/>
    <w:rsid w:val="00085F79"/>
    <w:rsid w:val="0008742F"/>
    <w:rsid w:val="0009259D"/>
    <w:rsid w:val="000A5A65"/>
    <w:rsid w:val="000B5AF2"/>
    <w:rsid w:val="000B7376"/>
    <w:rsid w:val="000C2FE7"/>
    <w:rsid w:val="000D34E3"/>
    <w:rsid w:val="000E0EAF"/>
    <w:rsid w:val="000E1955"/>
    <w:rsid w:val="000F4545"/>
    <w:rsid w:val="00107AC0"/>
    <w:rsid w:val="0011016A"/>
    <w:rsid w:val="00112092"/>
    <w:rsid w:val="00120BB9"/>
    <w:rsid w:val="001430A2"/>
    <w:rsid w:val="00150CFF"/>
    <w:rsid w:val="0015360C"/>
    <w:rsid w:val="00164B84"/>
    <w:rsid w:val="00167555"/>
    <w:rsid w:val="00167E41"/>
    <w:rsid w:val="001723AB"/>
    <w:rsid w:val="001778F2"/>
    <w:rsid w:val="00180A3E"/>
    <w:rsid w:val="0018529A"/>
    <w:rsid w:val="00187CF2"/>
    <w:rsid w:val="00197FC4"/>
    <w:rsid w:val="001A159F"/>
    <w:rsid w:val="001A4B83"/>
    <w:rsid w:val="001B4D59"/>
    <w:rsid w:val="001C274B"/>
    <w:rsid w:val="001C3BEB"/>
    <w:rsid w:val="001D1330"/>
    <w:rsid w:val="001D2BE2"/>
    <w:rsid w:val="001D535F"/>
    <w:rsid w:val="001D71DB"/>
    <w:rsid w:val="001E1E9B"/>
    <w:rsid w:val="001E329C"/>
    <w:rsid w:val="001F4AC4"/>
    <w:rsid w:val="001F57B1"/>
    <w:rsid w:val="002012CE"/>
    <w:rsid w:val="00215BF1"/>
    <w:rsid w:val="00217586"/>
    <w:rsid w:val="00217F42"/>
    <w:rsid w:val="0022325B"/>
    <w:rsid w:val="00224B13"/>
    <w:rsid w:val="002278D2"/>
    <w:rsid w:val="0023012D"/>
    <w:rsid w:val="00233C4D"/>
    <w:rsid w:val="0024382A"/>
    <w:rsid w:val="00245E20"/>
    <w:rsid w:val="00250E8B"/>
    <w:rsid w:val="002525A1"/>
    <w:rsid w:val="00254332"/>
    <w:rsid w:val="00263834"/>
    <w:rsid w:val="002740E1"/>
    <w:rsid w:val="00274B79"/>
    <w:rsid w:val="002802DD"/>
    <w:rsid w:val="002813AA"/>
    <w:rsid w:val="00291CA2"/>
    <w:rsid w:val="002965B6"/>
    <w:rsid w:val="002B342B"/>
    <w:rsid w:val="002B4DB2"/>
    <w:rsid w:val="002C02E6"/>
    <w:rsid w:val="002C1B0C"/>
    <w:rsid w:val="002C1CF9"/>
    <w:rsid w:val="002C2322"/>
    <w:rsid w:val="002D069D"/>
    <w:rsid w:val="002D607A"/>
    <w:rsid w:val="002D79AE"/>
    <w:rsid w:val="002E007E"/>
    <w:rsid w:val="002F1B55"/>
    <w:rsid w:val="002F44CB"/>
    <w:rsid w:val="002F5E44"/>
    <w:rsid w:val="002F77B8"/>
    <w:rsid w:val="0030428C"/>
    <w:rsid w:val="003046AF"/>
    <w:rsid w:val="003150C5"/>
    <w:rsid w:val="00317EC2"/>
    <w:rsid w:val="00320309"/>
    <w:rsid w:val="00322A5D"/>
    <w:rsid w:val="00327C19"/>
    <w:rsid w:val="00330FEC"/>
    <w:rsid w:val="0034283A"/>
    <w:rsid w:val="00344B1C"/>
    <w:rsid w:val="00347BEE"/>
    <w:rsid w:val="00350DC8"/>
    <w:rsid w:val="0035385C"/>
    <w:rsid w:val="003559AE"/>
    <w:rsid w:val="00365B20"/>
    <w:rsid w:val="00371703"/>
    <w:rsid w:val="003728D0"/>
    <w:rsid w:val="00374719"/>
    <w:rsid w:val="00374BB4"/>
    <w:rsid w:val="003809D5"/>
    <w:rsid w:val="00392628"/>
    <w:rsid w:val="0039358A"/>
    <w:rsid w:val="003A2A84"/>
    <w:rsid w:val="003A63F5"/>
    <w:rsid w:val="003B19D9"/>
    <w:rsid w:val="003D4C17"/>
    <w:rsid w:val="0040527E"/>
    <w:rsid w:val="00425460"/>
    <w:rsid w:val="00425A26"/>
    <w:rsid w:val="00426ED3"/>
    <w:rsid w:val="004304A5"/>
    <w:rsid w:val="00434BA4"/>
    <w:rsid w:val="004400B3"/>
    <w:rsid w:val="00441817"/>
    <w:rsid w:val="00441B3B"/>
    <w:rsid w:val="00445EDA"/>
    <w:rsid w:val="00451AD0"/>
    <w:rsid w:val="00452700"/>
    <w:rsid w:val="00463FEB"/>
    <w:rsid w:val="00470914"/>
    <w:rsid w:val="0047166E"/>
    <w:rsid w:val="00477CEB"/>
    <w:rsid w:val="004849C4"/>
    <w:rsid w:val="004946F1"/>
    <w:rsid w:val="004C08EB"/>
    <w:rsid w:val="004C3EBD"/>
    <w:rsid w:val="004E0478"/>
    <w:rsid w:val="004E4594"/>
    <w:rsid w:val="004F127A"/>
    <w:rsid w:val="00506A20"/>
    <w:rsid w:val="00507DE5"/>
    <w:rsid w:val="00515875"/>
    <w:rsid w:val="005278B7"/>
    <w:rsid w:val="00530036"/>
    <w:rsid w:val="00530CB4"/>
    <w:rsid w:val="00565BF4"/>
    <w:rsid w:val="00567E35"/>
    <w:rsid w:val="005769F0"/>
    <w:rsid w:val="00577A91"/>
    <w:rsid w:val="00581F72"/>
    <w:rsid w:val="0058264C"/>
    <w:rsid w:val="00585211"/>
    <w:rsid w:val="00591DE2"/>
    <w:rsid w:val="005A0FD2"/>
    <w:rsid w:val="005A7F22"/>
    <w:rsid w:val="005B574D"/>
    <w:rsid w:val="005C00CF"/>
    <w:rsid w:val="005D4C8D"/>
    <w:rsid w:val="005E109F"/>
    <w:rsid w:val="0060623C"/>
    <w:rsid w:val="00610E5F"/>
    <w:rsid w:val="00614876"/>
    <w:rsid w:val="00621A72"/>
    <w:rsid w:val="00623C26"/>
    <w:rsid w:val="006271A5"/>
    <w:rsid w:val="00642131"/>
    <w:rsid w:val="00645FA7"/>
    <w:rsid w:val="00651A01"/>
    <w:rsid w:val="006520DF"/>
    <w:rsid w:val="006548D1"/>
    <w:rsid w:val="006638F7"/>
    <w:rsid w:val="00664A91"/>
    <w:rsid w:val="006670E8"/>
    <w:rsid w:val="0067591D"/>
    <w:rsid w:val="00685ABB"/>
    <w:rsid w:val="00686C06"/>
    <w:rsid w:val="00694678"/>
    <w:rsid w:val="006A5B6E"/>
    <w:rsid w:val="006B014B"/>
    <w:rsid w:val="006B0A04"/>
    <w:rsid w:val="006C1652"/>
    <w:rsid w:val="006E0680"/>
    <w:rsid w:val="006E42A9"/>
    <w:rsid w:val="006F4A94"/>
    <w:rsid w:val="006F5B83"/>
    <w:rsid w:val="006F5CEB"/>
    <w:rsid w:val="007033D2"/>
    <w:rsid w:val="007077E1"/>
    <w:rsid w:val="00714FDC"/>
    <w:rsid w:val="00727073"/>
    <w:rsid w:val="007367D5"/>
    <w:rsid w:val="00745D6B"/>
    <w:rsid w:val="00761042"/>
    <w:rsid w:val="00761A68"/>
    <w:rsid w:val="00761CE9"/>
    <w:rsid w:val="0077085D"/>
    <w:rsid w:val="00775BA9"/>
    <w:rsid w:val="00777BCD"/>
    <w:rsid w:val="00782691"/>
    <w:rsid w:val="007834E3"/>
    <w:rsid w:val="007906C9"/>
    <w:rsid w:val="00790EEF"/>
    <w:rsid w:val="007935A3"/>
    <w:rsid w:val="007A2F91"/>
    <w:rsid w:val="007B2147"/>
    <w:rsid w:val="007B597C"/>
    <w:rsid w:val="007D3C6D"/>
    <w:rsid w:val="007E00BD"/>
    <w:rsid w:val="007E5C77"/>
    <w:rsid w:val="007F6A65"/>
    <w:rsid w:val="007F6D85"/>
    <w:rsid w:val="00800C90"/>
    <w:rsid w:val="0080614A"/>
    <w:rsid w:val="008263AF"/>
    <w:rsid w:val="0082789C"/>
    <w:rsid w:val="00862E1A"/>
    <w:rsid w:val="00872B73"/>
    <w:rsid w:val="00883D69"/>
    <w:rsid w:val="00884863"/>
    <w:rsid w:val="00890E60"/>
    <w:rsid w:val="00894CFB"/>
    <w:rsid w:val="008B45AC"/>
    <w:rsid w:val="008B5C29"/>
    <w:rsid w:val="008C1BBB"/>
    <w:rsid w:val="008C2556"/>
    <w:rsid w:val="008C3271"/>
    <w:rsid w:val="008C777C"/>
    <w:rsid w:val="008D0DC8"/>
    <w:rsid w:val="008D6741"/>
    <w:rsid w:val="008E18D1"/>
    <w:rsid w:val="008F01BE"/>
    <w:rsid w:val="008F09B8"/>
    <w:rsid w:val="008F3DAC"/>
    <w:rsid w:val="0090399C"/>
    <w:rsid w:val="00905FAE"/>
    <w:rsid w:val="00906CE0"/>
    <w:rsid w:val="009109AE"/>
    <w:rsid w:val="00910E7D"/>
    <w:rsid w:val="00915226"/>
    <w:rsid w:val="009275E0"/>
    <w:rsid w:val="0093201E"/>
    <w:rsid w:val="00936020"/>
    <w:rsid w:val="00943F7A"/>
    <w:rsid w:val="0094509A"/>
    <w:rsid w:val="00950262"/>
    <w:rsid w:val="00956B91"/>
    <w:rsid w:val="009572C0"/>
    <w:rsid w:val="00964C7F"/>
    <w:rsid w:val="00965EF7"/>
    <w:rsid w:val="009834D2"/>
    <w:rsid w:val="00983FB7"/>
    <w:rsid w:val="00985BFF"/>
    <w:rsid w:val="00994091"/>
    <w:rsid w:val="00995252"/>
    <w:rsid w:val="009C0C25"/>
    <w:rsid w:val="009C2957"/>
    <w:rsid w:val="009C441B"/>
    <w:rsid w:val="009E58E2"/>
    <w:rsid w:val="009F1EB3"/>
    <w:rsid w:val="00A03CDA"/>
    <w:rsid w:val="00A044B5"/>
    <w:rsid w:val="00A053BA"/>
    <w:rsid w:val="00A24822"/>
    <w:rsid w:val="00A34001"/>
    <w:rsid w:val="00A367EF"/>
    <w:rsid w:val="00A45911"/>
    <w:rsid w:val="00A4733E"/>
    <w:rsid w:val="00A50614"/>
    <w:rsid w:val="00A66CAD"/>
    <w:rsid w:val="00A72920"/>
    <w:rsid w:val="00A82019"/>
    <w:rsid w:val="00A85DD2"/>
    <w:rsid w:val="00A9099E"/>
    <w:rsid w:val="00A93E63"/>
    <w:rsid w:val="00AA0FC0"/>
    <w:rsid w:val="00AA2369"/>
    <w:rsid w:val="00AB092C"/>
    <w:rsid w:val="00AB6224"/>
    <w:rsid w:val="00AC57DE"/>
    <w:rsid w:val="00AD5DEF"/>
    <w:rsid w:val="00AF1421"/>
    <w:rsid w:val="00AF680A"/>
    <w:rsid w:val="00AF763C"/>
    <w:rsid w:val="00B00C40"/>
    <w:rsid w:val="00B077E1"/>
    <w:rsid w:val="00B11169"/>
    <w:rsid w:val="00B1700C"/>
    <w:rsid w:val="00B1783E"/>
    <w:rsid w:val="00B24D7C"/>
    <w:rsid w:val="00B337BC"/>
    <w:rsid w:val="00B35EB5"/>
    <w:rsid w:val="00B4021E"/>
    <w:rsid w:val="00B410B0"/>
    <w:rsid w:val="00B41440"/>
    <w:rsid w:val="00B4203E"/>
    <w:rsid w:val="00B5511C"/>
    <w:rsid w:val="00B56D53"/>
    <w:rsid w:val="00B61D53"/>
    <w:rsid w:val="00B7743E"/>
    <w:rsid w:val="00B86D45"/>
    <w:rsid w:val="00BA2802"/>
    <w:rsid w:val="00BB300D"/>
    <w:rsid w:val="00BC1AB2"/>
    <w:rsid w:val="00BC43B0"/>
    <w:rsid w:val="00BC7306"/>
    <w:rsid w:val="00BD00DE"/>
    <w:rsid w:val="00BD5488"/>
    <w:rsid w:val="00BF0D5F"/>
    <w:rsid w:val="00BF2F27"/>
    <w:rsid w:val="00BF491F"/>
    <w:rsid w:val="00C0018B"/>
    <w:rsid w:val="00C052D8"/>
    <w:rsid w:val="00C073C7"/>
    <w:rsid w:val="00C128B6"/>
    <w:rsid w:val="00C14982"/>
    <w:rsid w:val="00C21876"/>
    <w:rsid w:val="00C21B15"/>
    <w:rsid w:val="00C267A6"/>
    <w:rsid w:val="00C31833"/>
    <w:rsid w:val="00C32500"/>
    <w:rsid w:val="00C36F5C"/>
    <w:rsid w:val="00C46CE6"/>
    <w:rsid w:val="00C52627"/>
    <w:rsid w:val="00C66816"/>
    <w:rsid w:val="00C7295C"/>
    <w:rsid w:val="00C80128"/>
    <w:rsid w:val="00C8376A"/>
    <w:rsid w:val="00C96810"/>
    <w:rsid w:val="00CA1588"/>
    <w:rsid w:val="00CA6515"/>
    <w:rsid w:val="00CB6623"/>
    <w:rsid w:val="00CD4177"/>
    <w:rsid w:val="00CE3E4C"/>
    <w:rsid w:val="00CF212D"/>
    <w:rsid w:val="00CF5BDA"/>
    <w:rsid w:val="00D14419"/>
    <w:rsid w:val="00D17651"/>
    <w:rsid w:val="00D32FA9"/>
    <w:rsid w:val="00D33BE6"/>
    <w:rsid w:val="00D3418D"/>
    <w:rsid w:val="00D438D5"/>
    <w:rsid w:val="00D4392F"/>
    <w:rsid w:val="00D506D1"/>
    <w:rsid w:val="00D53632"/>
    <w:rsid w:val="00D65D02"/>
    <w:rsid w:val="00D86376"/>
    <w:rsid w:val="00D873F9"/>
    <w:rsid w:val="00D96B98"/>
    <w:rsid w:val="00D97ECB"/>
    <w:rsid w:val="00DB49F3"/>
    <w:rsid w:val="00DB7F51"/>
    <w:rsid w:val="00DC04D4"/>
    <w:rsid w:val="00DC7BDD"/>
    <w:rsid w:val="00DD322E"/>
    <w:rsid w:val="00DD74C7"/>
    <w:rsid w:val="00DE09A3"/>
    <w:rsid w:val="00DF1B40"/>
    <w:rsid w:val="00DF1EAF"/>
    <w:rsid w:val="00DF1F7B"/>
    <w:rsid w:val="00DF4348"/>
    <w:rsid w:val="00DF4F75"/>
    <w:rsid w:val="00E029F8"/>
    <w:rsid w:val="00E0441B"/>
    <w:rsid w:val="00E06036"/>
    <w:rsid w:val="00E12B50"/>
    <w:rsid w:val="00E155DC"/>
    <w:rsid w:val="00E16B2A"/>
    <w:rsid w:val="00E21B6E"/>
    <w:rsid w:val="00E226E2"/>
    <w:rsid w:val="00E27D0C"/>
    <w:rsid w:val="00E314EA"/>
    <w:rsid w:val="00E40984"/>
    <w:rsid w:val="00E57657"/>
    <w:rsid w:val="00E63EB6"/>
    <w:rsid w:val="00E65B40"/>
    <w:rsid w:val="00E74F9E"/>
    <w:rsid w:val="00E77E12"/>
    <w:rsid w:val="00E8211F"/>
    <w:rsid w:val="00E833F5"/>
    <w:rsid w:val="00E84083"/>
    <w:rsid w:val="00E966EE"/>
    <w:rsid w:val="00EA1B60"/>
    <w:rsid w:val="00EB2475"/>
    <w:rsid w:val="00EB7BC3"/>
    <w:rsid w:val="00EC152A"/>
    <w:rsid w:val="00EC237F"/>
    <w:rsid w:val="00ED297D"/>
    <w:rsid w:val="00ED7FA5"/>
    <w:rsid w:val="00EE749E"/>
    <w:rsid w:val="00EF4FD9"/>
    <w:rsid w:val="00F245B9"/>
    <w:rsid w:val="00F3638D"/>
    <w:rsid w:val="00F36C10"/>
    <w:rsid w:val="00F444D2"/>
    <w:rsid w:val="00F70047"/>
    <w:rsid w:val="00F756EA"/>
    <w:rsid w:val="00F85AB2"/>
    <w:rsid w:val="00F91210"/>
    <w:rsid w:val="00F97DE9"/>
    <w:rsid w:val="00FA7C81"/>
    <w:rsid w:val="00FD13AB"/>
    <w:rsid w:val="00FD43C3"/>
    <w:rsid w:val="00FE640C"/>
    <w:rsid w:val="00FF2DE6"/>
    <w:rsid w:val="00FF3F0C"/>
    <w:rsid w:val="00FF4A2C"/>
    <w:rsid w:val="00FF79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C0"/>
    <w:rPr>
      <w:sz w:val="24"/>
    </w:rPr>
  </w:style>
  <w:style w:type="paragraph" w:styleId="Heading1">
    <w:name w:val="heading 1"/>
    <w:basedOn w:val="Normal"/>
    <w:next w:val="Normal"/>
    <w:qFormat/>
    <w:rsid w:val="00862E1A"/>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CB6623"/>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uiPriority w:val="99"/>
    <w:qFormat/>
    <w:rsid w:val="00147521"/>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317EC2"/>
    <w:rPr>
      <w:color w:val="605E5C"/>
      <w:shd w:val="clear" w:color="auto" w:fill="E1DFDD"/>
    </w:rPr>
  </w:style>
  <w:style w:type="character" w:customStyle="1" w:styleId="BodyTextChar">
    <w:name w:val="Body Text Char"/>
    <w:link w:val="BodyText"/>
    <w:rsid w:val="00147521"/>
    <w:rPr>
      <w:sz w:val="24"/>
    </w:rPr>
  </w:style>
  <w:style w:type="character" w:customStyle="1" w:styleId="BodyTextIndentChar">
    <w:name w:val="Body Text Indent Char"/>
    <w:link w:val="BodyTextIndent"/>
    <w:rsid w:val="00147521"/>
    <w:rPr>
      <w:sz w:val="24"/>
    </w:rPr>
  </w:style>
  <w:style w:type="character" w:customStyle="1" w:styleId="UnresolvedMention2">
    <w:name w:val="Unresolved Mention2"/>
    <w:basedOn w:val="DefaultParagraphFont"/>
    <w:rsid w:val="007906C9"/>
    <w:rPr>
      <w:color w:val="605E5C"/>
      <w:shd w:val="clear" w:color="auto" w:fill="E1DFDD"/>
    </w:rPr>
  </w:style>
  <w:style w:type="character" w:styleId="Strong">
    <w:name w:val="Strong"/>
    <w:basedOn w:val="DefaultParagraphFont"/>
    <w:uiPriority w:val="22"/>
    <w:qFormat/>
    <w:rsid w:val="00FB53D7"/>
    <w:rPr>
      <w:b/>
      <w:bCs/>
    </w:rPr>
  </w:style>
  <w:style w:type="paragraph" w:styleId="ListParagraph">
    <w:name w:val="List Paragraph"/>
    <w:basedOn w:val="Normal"/>
    <w:uiPriority w:val="34"/>
    <w:qFormat/>
    <w:rsid w:val="00D65D02"/>
    <w:pPr>
      <w:ind w:left="720"/>
    </w:pPr>
    <w:rPr>
      <w:rFonts w:ascii="Calibri" w:hAnsi="Calibri" w:eastAsiaTheme="minorHAnsi" w:cs="Calibri"/>
      <w:sz w:val="22"/>
      <w:szCs w:val="22"/>
    </w:rPr>
  </w:style>
  <w:style w:type="character" w:customStyle="1" w:styleId="UnresolvedMention3">
    <w:name w:val="Unresolved Mention3"/>
    <w:basedOn w:val="DefaultParagraphFont"/>
    <w:rsid w:val="00FF4A2C"/>
    <w:rPr>
      <w:color w:val="605E5C"/>
      <w:shd w:val="clear" w:color="auto" w:fill="E1DFDD"/>
    </w:rPr>
  </w:style>
  <w:style w:type="character" w:customStyle="1" w:styleId="CommentTextChar">
    <w:name w:val="Comment Text Char"/>
    <w:basedOn w:val="DefaultParagraphFont"/>
    <w:link w:val="CommentText"/>
    <w:semiHidden/>
    <w:rsid w:val="00FD13AB"/>
    <w:rPr>
      <w:sz w:val="24"/>
      <w:szCs w:val="24"/>
    </w:rPr>
  </w:style>
  <w:style w:type="character" w:customStyle="1" w:styleId="HTMLPreformattedChar">
    <w:name w:val="HTML Preformatted Char"/>
    <w:basedOn w:val="DefaultParagraphFont"/>
    <w:link w:val="HTMLPreformatted"/>
    <w:rsid w:val="00E06036"/>
    <w:rPr>
      <w:rFonts w:ascii="Courier New" w:eastAsia="Courier New" w:hAnsi="Courier New" w:cs="Courier New"/>
    </w:rPr>
  </w:style>
  <w:style w:type="character" w:customStyle="1" w:styleId="FooterChar">
    <w:name w:val="Footer Char"/>
    <w:basedOn w:val="DefaultParagraphFont"/>
    <w:link w:val="Footer"/>
    <w:uiPriority w:val="99"/>
    <w:rsid w:val="00E06036"/>
  </w:style>
  <w:style w:type="paragraph" w:styleId="TOC1">
    <w:name w:val="toc 1"/>
    <w:basedOn w:val="Normal"/>
    <w:next w:val="Normal"/>
    <w:autoRedefine/>
    <w:uiPriority w:val="39"/>
    <w:rsid w:val="00E029F8"/>
    <w:pPr>
      <w:tabs>
        <w:tab w:val="decimal" w:leader="dot" w:pos="9360"/>
      </w:tabs>
      <w:spacing w:after="240"/>
      <w:ind w:left="720" w:hanging="720"/>
    </w:pPr>
  </w:style>
  <w:style w:type="paragraph" w:styleId="TOC2">
    <w:name w:val="toc 2"/>
    <w:basedOn w:val="Normal"/>
    <w:next w:val="Normal"/>
    <w:autoRedefine/>
    <w:uiPriority w:val="39"/>
    <w:rsid w:val="00E029F8"/>
    <w:pPr>
      <w:tabs>
        <w:tab w:val="decimal" w:leader="dot" w:pos="9360"/>
      </w:tabs>
      <w:spacing w:after="240"/>
      <w:ind w:left="1440" w:hanging="720"/>
    </w:pPr>
  </w:style>
  <w:style w:type="character" w:customStyle="1" w:styleId="FootnoteTextChar">
    <w:name w:val="Footnote Text Char"/>
    <w:link w:val="FootnoteText"/>
    <w:uiPriority w:val="99"/>
    <w:rsid w:val="00441817"/>
  </w:style>
  <w:style w:type="character" w:styleId="PlaceholderText">
    <w:name w:val="Placeholder Text"/>
    <w:basedOn w:val="DefaultParagraphFont"/>
    <w:uiPriority w:val="99"/>
    <w:semiHidden/>
    <w:rsid w:val="00204D85"/>
    <w:rPr>
      <w:color w:val="808080"/>
    </w:rPr>
  </w:style>
  <w:style w:type="character" w:customStyle="1" w:styleId="UnresolvedMention4">
    <w:name w:val="Unresolved Mention4"/>
    <w:basedOn w:val="DefaultParagraphFont"/>
    <w:rsid w:val="001B4D59"/>
    <w:rPr>
      <w:color w:val="605E5C"/>
      <w:shd w:val="clear" w:color="auto" w:fill="E1DFDD"/>
    </w:rPr>
  </w:style>
  <w:style w:type="character" w:customStyle="1" w:styleId="BodyTextIndent3Char">
    <w:name w:val="Body Text Indent 3 Char"/>
    <w:link w:val="BodyTextIndent3"/>
    <w:rsid w:val="00964C7F"/>
    <w:rPr>
      <w:sz w:val="24"/>
    </w:rPr>
  </w:style>
  <w:style w:type="paragraph" w:styleId="Revision">
    <w:name w:val="Revision"/>
    <w:hidden/>
    <w:uiPriority w:val="99"/>
    <w:semiHidden/>
    <w:rsid w:val="002740E1"/>
    <w:rPr>
      <w:sz w:val="24"/>
    </w:rPr>
  </w:style>
  <w:style w:type="character" w:customStyle="1" w:styleId="UnresolvedMention5">
    <w:name w:val="Unresolved Mention5"/>
    <w:basedOn w:val="DefaultParagraphFont"/>
    <w:rsid w:val="001A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smoes@lascinti.org" TargetMode="External" /><Relationship Id="rId12" Type="http://schemas.openxmlformats.org/officeDocument/2006/relationships/hyperlink" Target="mailto:plee@oslsa.org" TargetMode="External" /><Relationship Id="rId13" Type="http://schemas.openxmlformats.org/officeDocument/2006/relationships/hyperlink" Target="mailto:sarah.feldkamp@ohioAGO.gov" TargetMode="External" /><Relationship Id="rId14" Type="http://schemas.openxmlformats.org/officeDocument/2006/relationships/hyperlink" Target="mailto:steven.beeler@ohioAGO.gov" TargetMode="External" /><Relationship Id="rId15" Type="http://schemas.openxmlformats.org/officeDocument/2006/relationships/hyperlink" Target="mailto:Jesse.davis@puco.ohio.gov" TargetMode="External" /><Relationship Id="rId16" Type="http://schemas.openxmlformats.org/officeDocument/2006/relationships/hyperlink" Target="mailto:whitt@whitt-sturtevant.com"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http://www.proseniors.org" TargetMode="External" /><Relationship Id="rId9" Type="http://schemas.openxmlformats.org/officeDocument/2006/relationships/hyperlink" Target="mailto:jmackey@columbuslegalaid.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FD6E-26B8-4E56-8CD4-D19063CD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Inspire Waiver Reply 22-29-reflects mgmt review  (00548864.DOCX;1)</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2022-06-21T16:08:40Z</dcterms:created>
  <dcterms:modified xsi:type="dcterms:W3CDTF">2022-06-21T16:08:40Z</dcterms:modified>
</cp:coreProperties>
</file>