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9CB41" w14:textId="77777777" w:rsidR="00971679" w:rsidRPr="000853E8" w:rsidRDefault="00971679" w:rsidP="000853E8">
      <w:pPr>
        <w:jc w:val="center"/>
        <w:rPr>
          <w:rFonts w:ascii="Arial" w:hAnsi="Arial" w:cs="Arial"/>
          <w:b/>
          <w:sz w:val="24"/>
        </w:rPr>
      </w:pPr>
      <w:r w:rsidRPr="000853E8">
        <w:rPr>
          <w:rFonts w:ascii="Arial" w:hAnsi="Arial" w:cs="Arial"/>
          <w:b/>
          <w:sz w:val="24"/>
        </w:rPr>
        <w:t>BEFORE</w:t>
      </w:r>
    </w:p>
    <w:p w14:paraId="761747EA" w14:textId="77777777" w:rsidR="00971679" w:rsidRPr="000853E8" w:rsidRDefault="00971679" w:rsidP="000853E8">
      <w:pPr>
        <w:jc w:val="center"/>
        <w:rPr>
          <w:rFonts w:ascii="Arial" w:hAnsi="Arial" w:cs="Arial"/>
          <w:b/>
          <w:sz w:val="24"/>
        </w:rPr>
      </w:pPr>
      <w:r w:rsidRPr="000853E8">
        <w:rPr>
          <w:rFonts w:ascii="Arial" w:hAnsi="Arial" w:cs="Arial"/>
          <w:b/>
          <w:sz w:val="24"/>
        </w:rPr>
        <w:t>THE PUBLIC UTILITIES COMMISSION OF OHIO</w:t>
      </w:r>
    </w:p>
    <w:p w14:paraId="762ECAE6" w14:textId="77777777" w:rsidR="00971679" w:rsidRPr="00971679" w:rsidRDefault="00971679" w:rsidP="00971679">
      <w:pPr>
        <w:pStyle w:val="BodyText"/>
        <w:rPr>
          <w:rFonts w:ascii="Arial" w:hAnsi="Arial" w:cs="Arial"/>
          <w:b/>
          <w:sz w:val="20"/>
        </w:rPr>
      </w:pPr>
    </w:p>
    <w:p w14:paraId="7C2AD329" w14:textId="77777777" w:rsidR="00971679" w:rsidRPr="00971679" w:rsidRDefault="00971679" w:rsidP="00971679">
      <w:pPr>
        <w:pStyle w:val="BodyText"/>
        <w:spacing w:before="6"/>
        <w:rPr>
          <w:rFonts w:ascii="Arial" w:hAnsi="Arial"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2"/>
        <w:gridCol w:w="4113"/>
      </w:tblGrid>
      <w:tr w:rsidR="00971679" w:rsidRPr="00971679" w14:paraId="569EF8DF" w14:textId="77777777" w:rsidTr="0094030D">
        <w:trPr>
          <w:trHeight w:val="994"/>
        </w:trPr>
        <w:tc>
          <w:tcPr>
            <w:tcW w:w="5035" w:type="dxa"/>
          </w:tcPr>
          <w:p w14:paraId="11F3C49B" w14:textId="77777777" w:rsidR="00971679" w:rsidRPr="00971679" w:rsidRDefault="00971679" w:rsidP="0094030D">
            <w:pPr>
              <w:rPr>
                <w:rFonts w:ascii="Arial" w:hAnsi="Arial" w:cs="Arial"/>
                <w:sz w:val="24"/>
                <w:szCs w:val="24"/>
              </w:rPr>
            </w:pPr>
            <w:r w:rsidRPr="00971679">
              <w:rPr>
                <w:rFonts w:ascii="Arial" w:hAnsi="Arial" w:cs="Arial"/>
                <w:sz w:val="24"/>
                <w:szCs w:val="24"/>
              </w:rPr>
              <w:t xml:space="preserve">In the Matter of the Application of Ohio Power Company for an Increase in Electric Distribution Rates. </w:t>
            </w:r>
          </w:p>
        </w:tc>
        <w:tc>
          <w:tcPr>
            <w:tcW w:w="442" w:type="dxa"/>
          </w:tcPr>
          <w:p w14:paraId="4FCA39C3" w14:textId="77777777" w:rsidR="00971679" w:rsidRPr="00971679" w:rsidRDefault="00971679" w:rsidP="0094030D">
            <w:pPr>
              <w:rPr>
                <w:rFonts w:ascii="Arial" w:hAnsi="Arial" w:cs="Arial"/>
                <w:sz w:val="24"/>
                <w:szCs w:val="24"/>
              </w:rPr>
            </w:pPr>
            <w:r w:rsidRPr="00971679">
              <w:rPr>
                <w:rFonts w:ascii="Arial" w:hAnsi="Arial" w:cs="Arial"/>
                <w:sz w:val="24"/>
                <w:szCs w:val="24"/>
              </w:rPr>
              <w:t>)</w:t>
            </w:r>
          </w:p>
          <w:p w14:paraId="1C16C44F" w14:textId="77777777" w:rsidR="00971679" w:rsidRPr="00971679" w:rsidRDefault="00971679" w:rsidP="0094030D">
            <w:pPr>
              <w:rPr>
                <w:rFonts w:ascii="Arial" w:hAnsi="Arial" w:cs="Arial"/>
                <w:sz w:val="24"/>
                <w:szCs w:val="24"/>
              </w:rPr>
            </w:pPr>
            <w:r w:rsidRPr="00971679">
              <w:rPr>
                <w:rFonts w:ascii="Arial" w:hAnsi="Arial" w:cs="Arial"/>
                <w:sz w:val="24"/>
                <w:szCs w:val="24"/>
              </w:rPr>
              <w:t>)</w:t>
            </w:r>
          </w:p>
          <w:p w14:paraId="3075D5B4" w14:textId="77777777" w:rsidR="00971679" w:rsidRPr="00971679" w:rsidRDefault="00971679" w:rsidP="0094030D">
            <w:pPr>
              <w:rPr>
                <w:rFonts w:ascii="Arial" w:hAnsi="Arial" w:cs="Arial"/>
                <w:sz w:val="24"/>
              </w:rPr>
            </w:pPr>
            <w:r w:rsidRPr="00971679">
              <w:rPr>
                <w:rFonts w:ascii="Arial" w:hAnsi="Arial" w:cs="Arial"/>
                <w:sz w:val="24"/>
              </w:rPr>
              <w:t>)</w:t>
            </w:r>
          </w:p>
        </w:tc>
        <w:tc>
          <w:tcPr>
            <w:tcW w:w="4113" w:type="dxa"/>
            <w:vAlign w:val="center"/>
          </w:tcPr>
          <w:p w14:paraId="33942D6A" w14:textId="77777777" w:rsidR="00971679" w:rsidRPr="00971679" w:rsidRDefault="00971679" w:rsidP="0094030D">
            <w:pPr>
              <w:spacing w:line="259" w:lineRule="auto"/>
              <w:rPr>
                <w:rFonts w:ascii="Arial" w:hAnsi="Arial" w:cs="Arial"/>
              </w:rPr>
            </w:pPr>
            <w:r w:rsidRPr="00971679">
              <w:rPr>
                <w:rFonts w:ascii="Arial" w:hAnsi="Arial" w:cs="Arial"/>
                <w:sz w:val="24"/>
                <w:szCs w:val="24"/>
              </w:rPr>
              <w:t>Case No. 20-585-EL-AIR</w:t>
            </w:r>
          </w:p>
        </w:tc>
      </w:tr>
      <w:tr w:rsidR="00971679" w:rsidRPr="00971679" w14:paraId="0602C3F5" w14:textId="77777777" w:rsidTr="0094030D">
        <w:trPr>
          <w:trHeight w:val="724"/>
        </w:trPr>
        <w:tc>
          <w:tcPr>
            <w:tcW w:w="5035" w:type="dxa"/>
          </w:tcPr>
          <w:p w14:paraId="2BBE7A26" w14:textId="77777777" w:rsidR="00971679" w:rsidRPr="00971679" w:rsidRDefault="00971679" w:rsidP="0094030D">
            <w:pPr>
              <w:rPr>
                <w:rFonts w:ascii="Arial" w:hAnsi="Arial" w:cs="Arial"/>
                <w:sz w:val="24"/>
                <w:szCs w:val="24"/>
              </w:rPr>
            </w:pPr>
            <w:r w:rsidRPr="00971679">
              <w:rPr>
                <w:rFonts w:ascii="Arial" w:hAnsi="Arial" w:cs="Arial"/>
                <w:sz w:val="24"/>
                <w:szCs w:val="24"/>
              </w:rPr>
              <w:t xml:space="preserve">In the Matter of the Application of Ohio Power Company for Tariff Approval. </w:t>
            </w:r>
          </w:p>
        </w:tc>
        <w:tc>
          <w:tcPr>
            <w:tcW w:w="442" w:type="dxa"/>
          </w:tcPr>
          <w:p w14:paraId="4560D64D" w14:textId="77777777" w:rsidR="00971679" w:rsidRPr="00971679" w:rsidRDefault="00971679" w:rsidP="0094030D">
            <w:pPr>
              <w:rPr>
                <w:rFonts w:ascii="Arial" w:hAnsi="Arial" w:cs="Arial"/>
                <w:sz w:val="24"/>
                <w:szCs w:val="24"/>
              </w:rPr>
            </w:pPr>
            <w:r w:rsidRPr="00971679">
              <w:rPr>
                <w:rFonts w:ascii="Arial" w:hAnsi="Arial" w:cs="Arial"/>
                <w:sz w:val="24"/>
                <w:szCs w:val="24"/>
              </w:rPr>
              <w:t>)</w:t>
            </w:r>
          </w:p>
          <w:p w14:paraId="2F0A214A" w14:textId="77777777" w:rsidR="00971679" w:rsidRPr="00971679" w:rsidRDefault="00971679" w:rsidP="0094030D">
            <w:pPr>
              <w:rPr>
                <w:rFonts w:ascii="Arial" w:hAnsi="Arial" w:cs="Arial"/>
                <w:sz w:val="24"/>
                <w:szCs w:val="24"/>
              </w:rPr>
            </w:pPr>
            <w:r w:rsidRPr="00971679">
              <w:rPr>
                <w:rFonts w:ascii="Arial" w:hAnsi="Arial" w:cs="Arial"/>
                <w:sz w:val="24"/>
                <w:szCs w:val="24"/>
              </w:rPr>
              <w:t>)</w:t>
            </w:r>
          </w:p>
        </w:tc>
        <w:tc>
          <w:tcPr>
            <w:tcW w:w="4113" w:type="dxa"/>
            <w:vAlign w:val="center"/>
          </w:tcPr>
          <w:p w14:paraId="32ABDB24" w14:textId="77777777" w:rsidR="00971679" w:rsidRPr="00971679" w:rsidRDefault="00971679" w:rsidP="0094030D">
            <w:pPr>
              <w:rPr>
                <w:rFonts w:ascii="Arial" w:hAnsi="Arial" w:cs="Arial"/>
                <w:sz w:val="24"/>
                <w:szCs w:val="24"/>
              </w:rPr>
            </w:pPr>
            <w:r w:rsidRPr="00971679">
              <w:rPr>
                <w:rFonts w:ascii="Arial" w:hAnsi="Arial" w:cs="Arial"/>
                <w:sz w:val="24"/>
                <w:szCs w:val="24"/>
              </w:rPr>
              <w:t>Case No. 20-586-EL-ATA</w:t>
            </w:r>
          </w:p>
        </w:tc>
      </w:tr>
      <w:tr w:rsidR="00971679" w:rsidRPr="00971679" w14:paraId="56B73FBA" w14:textId="77777777" w:rsidTr="0094030D">
        <w:trPr>
          <w:trHeight w:val="886"/>
        </w:trPr>
        <w:tc>
          <w:tcPr>
            <w:tcW w:w="5035" w:type="dxa"/>
          </w:tcPr>
          <w:p w14:paraId="3324333F" w14:textId="77777777" w:rsidR="00971679" w:rsidRPr="00971679" w:rsidRDefault="00971679" w:rsidP="0094030D">
            <w:pPr>
              <w:rPr>
                <w:rFonts w:ascii="Arial" w:hAnsi="Arial" w:cs="Arial"/>
                <w:sz w:val="24"/>
                <w:szCs w:val="24"/>
              </w:rPr>
            </w:pPr>
            <w:r w:rsidRPr="00971679">
              <w:rPr>
                <w:rFonts w:ascii="Arial" w:hAnsi="Arial" w:cs="Arial"/>
                <w:sz w:val="24"/>
                <w:szCs w:val="24"/>
              </w:rPr>
              <w:t xml:space="preserve">In the Matter of the Application of Ohio Power Company for Approval to Change Accounting Methods. </w:t>
            </w:r>
          </w:p>
        </w:tc>
        <w:tc>
          <w:tcPr>
            <w:tcW w:w="442" w:type="dxa"/>
          </w:tcPr>
          <w:p w14:paraId="0ECEB5EE" w14:textId="77777777" w:rsidR="00971679" w:rsidRPr="00971679" w:rsidRDefault="00971679" w:rsidP="0094030D">
            <w:pPr>
              <w:rPr>
                <w:rFonts w:ascii="Arial" w:hAnsi="Arial" w:cs="Arial"/>
                <w:sz w:val="24"/>
                <w:szCs w:val="24"/>
              </w:rPr>
            </w:pPr>
            <w:r w:rsidRPr="00971679">
              <w:rPr>
                <w:rFonts w:ascii="Arial" w:hAnsi="Arial" w:cs="Arial"/>
                <w:sz w:val="24"/>
                <w:szCs w:val="24"/>
              </w:rPr>
              <w:t>)</w:t>
            </w:r>
          </w:p>
          <w:p w14:paraId="2B262E39" w14:textId="77777777" w:rsidR="00971679" w:rsidRPr="00971679" w:rsidRDefault="00971679" w:rsidP="0094030D">
            <w:pPr>
              <w:rPr>
                <w:rFonts w:ascii="Arial" w:hAnsi="Arial" w:cs="Arial"/>
                <w:sz w:val="24"/>
                <w:szCs w:val="24"/>
              </w:rPr>
            </w:pPr>
            <w:r w:rsidRPr="00971679">
              <w:rPr>
                <w:rFonts w:ascii="Arial" w:hAnsi="Arial" w:cs="Arial"/>
                <w:sz w:val="24"/>
                <w:szCs w:val="24"/>
              </w:rPr>
              <w:t>)</w:t>
            </w:r>
          </w:p>
          <w:p w14:paraId="72C81479" w14:textId="77777777" w:rsidR="00971679" w:rsidRPr="00971679" w:rsidRDefault="00971679" w:rsidP="0094030D">
            <w:pPr>
              <w:rPr>
                <w:rFonts w:ascii="Arial" w:hAnsi="Arial" w:cs="Arial"/>
                <w:sz w:val="24"/>
                <w:szCs w:val="24"/>
              </w:rPr>
            </w:pPr>
            <w:r w:rsidRPr="00971679">
              <w:rPr>
                <w:rFonts w:ascii="Arial" w:hAnsi="Arial" w:cs="Arial"/>
                <w:sz w:val="24"/>
                <w:szCs w:val="24"/>
              </w:rPr>
              <w:t>)</w:t>
            </w:r>
          </w:p>
        </w:tc>
        <w:tc>
          <w:tcPr>
            <w:tcW w:w="4113" w:type="dxa"/>
            <w:vAlign w:val="center"/>
          </w:tcPr>
          <w:p w14:paraId="00C66903" w14:textId="77777777" w:rsidR="00971679" w:rsidRPr="00971679" w:rsidRDefault="00971679" w:rsidP="0094030D">
            <w:pPr>
              <w:rPr>
                <w:rFonts w:ascii="Arial" w:hAnsi="Arial" w:cs="Arial"/>
                <w:sz w:val="24"/>
                <w:szCs w:val="24"/>
              </w:rPr>
            </w:pPr>
            <w:r w:rsidRPr="00971679">
              <w:rPr>
                <w:rFonts w:ascii="Arial" w:hAnsi="Arial" w:cs="Arial"/>
                <w:sz w:val="24"/>
                <w:szCs w:val="24"/>
              </w:rPr>
              <w:t>Case No. 20-587-EL-AAM</w:t>
            </w:r>
          </w:p>
        </w:tc>
      </w:tr>
    </w:tbl>
    <w:p w14:paraId="4F149FC8" w14:textId="77777777" w:rsidR="00971679" w:rsidRPr="00971679" w:rsidRDefault="00971679" w:rsidP="00971679">
      <w:pPr>
        <w:rPr>
          <w:rFonts w:ascii="Arial" w:hAnsi="Arial" w:cs="Arial"/>
        </w:rPr>
      </w:pPr>
    </w:p>
    <w:p w14:paraId="65429F75" w14:textId="77777777" w:rsidR="00971679" w:rsidRPr="00971679" w:rsidRDefault="00971679" w:rsidP="00971679">
      <w:pPr>
        <w:pBdr>
          <w:bottom w:val="single" w:sz="12" w:space="1" w:color="auto"/>
        </w:pBdr>
        <w:rPr>
          <w:rFonts w:ascii="Arial" w:hAnsi="Arial" w:cs="Arial"/>
        </w:rPr>
      </w:pPr>
    </w:p>
    <w:p w14:paraId="47EC499C" w14:textId="77777777" w:rsidR="00971679" w:rsidRPr="00971679" w:rsidRDefault="00971679" w:rsidP="00971679">
      <w:pPr>
        <w:rPr>
          <w:rFonts w:ascii="Arial" w:hAnsi="Arial" w:cs="Arial"/>
        </w:rPr>
      </w:pPr>
    </w:p>
    <w:p w14:paraId="4ED0B40C" w14:textId="77777777" w:rsidR="00971679" w:rsidRPr="00971679" w:rsidRDefault="00971679" w:rsidP="00971679">
      <w:pPr>
        <w:pBdr>
          <w:bottom w:val="single" w:sz="12" w:space="1" w:color="auto"/>
        </w:pBdr>
        <w:jc w:val="center"/>
        <w:rPr>
          <w:rFonts w:ascii="Arial" w:hAnsi="Arial" w:cs="Arial"/>
          <w:b/>
          <w:bCs/>
          <w:sz w:val="24"/>
          <w:szCs w:val="24"/>
        </w:rPr>
      </w:pPr>
      <w:r w:rsidRPr="00971679">
        <w:rPr>
          <w:rFonts w:ascii="Arial" w:hAnsi="Arial" w:cs="Arial"/>
          <w:b/>
          <w:bCs/>
          <w:sz w:val="24"/>
          <w:szCs w:val="24"/>
        </w:rPr>
        <w:t>OBJECTIONS TO STAFF REPORT OF INVESTIGATION AND SUMMARY OF MAJOR ISSUES OF INTERSTATE GAS SUPPLY, INC.</w:t>
      </w:r>
    </w:p>
    <w:p w14:paraId="37980A0D" w14:textId="77777777" w:rsidR="00971679" w:rsidRPr="00971679" w:rsidRDefault="00971679" w:rsidP="00971679">
      <w:pPr>
        <w:pBdr>
          <w:bottom w:val="single" w:sz="12" w:space="1" w:color="auto"/>
        </w:pBdr>
        <w:jc w:val="center"/>
        <w:rPr>
          <w:rFonts w:ascii="Arial" w:hAnsi="Arial" w:cs="Arial"/>
          <w:b/>
          <w:bCs/>
          <w:sz w:val="24"/>
          <w:szCs w:val="24"/>
        </w:rPr>
      </w:pPr>
    </w:p>
    <w:p w14:paraId="5EC65875" w14:textId="77777777" w:rsidR="00971679" w:rsidRPr="00971679" w:rsidRDefault="00971679" w:rsidP="00971679">
      <w:pPr>
        <w:rPr>
          <w:rFonts w:ascii="Arial" w:hAnsi="Arial" w:cs="Arial"/>
        </w:rPr>
      </w:pPr>
    </w:p>
    <w:p w14:paraId="7A3C6222" w14:textId="77777777" w:rsidR="00971679" w:rsidRPr="00971679" w:rsidRDefault="00971679" w:rsidP="00971679">
      <w:pPr>
        <w:rPr>
          <w:rFonts w:ascii="Arial" w:hAnsi="Arial" w:cs="Arial"/>
        </w:rPr>
      </w:pPr>
    </w:p>
    <w:p w14:paraId="798DA630" w14:textId="77777777" w:rsidR="00971679" w:rsidRDefault="00971679" w:rsidP="00971679">
      <w:pPr>
        <w:ind w:left="3600" w:firstLine="720"/>
        <w:jc w:val="both"/>
      </w:pPr>
    </w:p>
    <w:p w14:paraId="4A2D78BF" w14:textId="77777777" w:rsidR="00971679" w:rsidRDefault="00971679" w:rsidP="00971679">
      <w:pPr>
        <w:ind w:left="3600" w:firstLine="720"/>
        <w:jc w:val="both"/>
      </w:pPr>
    </w:p>
    <w:p w14:paraId="77CE7109" w14:textId="77777777" w:rsidR="00971679" w:rsidRDefault="00971679" w:rsidP="002501FC">
      <w:pPr>
        <w:jc w:val="both"/>
      </w:pPr>
    </w:p>
    <w:p w14:paraId="45D369EB" w14:textId="77777777" w:rsidR="00971679" w:rsidRDefault="00971679" w:rsidP="00971679">
      <w:pPr>
        <w:ind w:left="3600" w:firstLine="720"/>
        <w:jc w:val="both"/>
      </w:pPr>
    </w:p>
    <w:p w14:paraId="5A933BC1" w14:textId="77777777" w:rsidR="00971679" w:rsidRDefault="00971679" w:rsidP="00971679">
      <w:pPr>
        <w:ind w:left="3600" w:firstLine="720"/>
        <w:jc w:val="both"/>
      </w:pPr>
    </w:p>
    <w:p w14:paraId="5D683DB8" w14:textId="77777777" w:rsidR="00971679" w:rsidRPr="00CB37E1" w:rsidRDefault="00971679" w:rsidP="00971679">
      <w:pPr>
        <w:ind w:left="5040" w:firstLine="720"/>
        <w:jc w:val="both"/>
        <w:rPr>
          <w:rFonts w:ascii="Arial" w:hAnsi="Arial" w:cs="Arial"/>
          <w:sz w:val="24"/>
          <w:szCs w:val="24"/>
        </w:rPr>
      </w:pPr>
      <w:r w:rsidRPr="00CB37E1">
        <w:rPr>
          <w:rFonts w:ascii="Arial" w:hAnsi="Arial" w:cs="Arial"/>
          <w:sz w:val="24"/>
          <w:szCs w:val="24"/>
        </w:rPr>
        <w:t xml:space="preserve">Respectfully Submitted, </w:t>
      </w:r>
    </w:p>
    <w:p w14:paraId="0314972F" w14:textId="77777777" w:rsidR="00971679" w:rsidRPr="00CB37E1" w:rsidRDefault="00971679" w:rsidP="00971679">
      <w:pPr>
        <w:ind w:left="5760"/>
        <w:jc w:val="both"/>
        <w:rPr>
          <w:rFonts w:ascii="Arial" w:hAnsi="Arial" w:cs="Arial"/>
          <w:sz w:val="24"/>
          <w:szCs w:val="24"/>
        </w:rPr>
      </w:pPr>
    </w:p>
    <w:p w14:paraId="47F8A9A9" w14:textId="77777777" w:rsidR="00971679" w:rsidRPr="00CB37E1" w:rsidRDefault="00971679" w:rsidP="00971679">
      <w:pPr>
        <w:ind w:left="5760"/>
        <w:jc w:val="both"/>
        <w:rPr>
          <w:rFonts w:ascii="Arial" w:hAnsi="Arial" w:cs="Arial"/>
          <w:sz w:val="24"/>
          <w:szCs w:val="24"/>
        </w:rPr>
      </w:pPr>
    </w:p>
    <w:p w14:paraId="29918C18" w14:textId="77777777" w:rsidR="00971679" w:rsidRPr="00CB37E1" w:rsidRDefault="00971679" w:rsidP="00971679">
      <w:pPr>
        <w:pStyle w:val="NoSpacing"/>
        <w:ind w:left="5760"/>
        <w:rPr>
          <w:rFonts w:cs="Arial"/>
          <w:szCs w:val="24"/>
        </w:rPr>
      </w:pPr>
      <w:r w:rsidRPr="00CB37E1">
        <w:rPr>
          <w:rFonts w:cs="Arial"/>
          <w:szCs w:val="24"/>
        </w:rPr>
        <w:t>Bethany Allen (0093732)</w:t>
      </w:r>
    </w:p>
    <w:p w14:paraId="4FB83B13" w14:textId="77777777" w:rsidR="00971679" w:rsidRPr="00CB37E1" w:rsidRDefault="00971679" w:rsidP="00971679">
      <w:pPr>
        <w:pStyle w:val="NoSpacing"/>
        <w:ind w:left="5760"/>
        <w:rPr>
          <w:rFonts w:cs="Arial"/>
          <w:szCs w:val="24"/>
        </w:rPr>
      </w:pPr>
      <w:r w:rsidRPr="00CB37E1">
        <w:rPr>
          <w:rFonts w:cs="Arial"/>
          <w:szCs w:val="24"/>
        </w:rPr>
        <w:t>Counsel of Record</w:t>
      </w:r>
    </w:p>
    <w:p w14:paraId="69BF373E" w14:textId="77777777" w:rsidR="00971679" w:rsidRPr="00CB37E1" w:rsidRDefault="00544FE4" w:rsidP="00971679">
      <w:pPr>
        <w:pStyle w:val="NoSpacing"/>
        <w:ind w:left="5760"/>
        <w:rPr>
          <w:rFonts w:cs="Arial"/>
          <w:szCs w:val="24"/>
        </w:rPr>
      </w:pPr>
      <w:hyperlink r:id="rId11" w:history="1">
        <w:r w:rsidR="00971679" w:rsidRPr="00CB37E1">
          <w:rPr>
            <w:rStyle w:val="Hyperlink"/>
            <w:rFonts w:cs="Arial"/>
            <w:szCs w:val="24"/>
          </w:rPr>
          <w:t>bethany.allen@igs.com</w:t>
        </w:r>
      </w:hyperlink>
      <w:r w:rsidR="00971679" w:rsidRPr="00CB37E1">
        <w:rPr>
          <w:rFonts w:cs="Arial"/>
          <w:szCs w:val="24"/>
        </w:rPr>
        <w:t xml:space="preserve"> </w:t>
      </w:r>
    </w:p>
    <w:p w14:paraId="67B74294" w14:textId="77777777" w:rsidR="00971679" w:rsidRPr="00CB37E1" w:rsidRDefault="00971679" w:rsidP="00971679">
      <w:pPr>
        <w:pStyle w:val="NoSpacing"/>
        <w:ind w:left="5760"/>
        <w:rPr>
          <w:rFonts w:cs="Arial"/>
          <w:szCs w:val="24"/>
        </w:rPr>
      </w:pPr>
      <w:r w:rsidRPr="00CB37E1">
        <w:rPr>
          <w:rFonts w:cs="Arial"/>
          <w:szCs w:val="24"/>
        </w:rPr>
        <w:t>Joseph Oliker (0086088)</w:t>
      </w:r>
    </w:p>
    <w:p w14:paraId="7C8207AC" w14:textId="77777777" w:rsidR="00971679" w:rsidRPr="00CB37E1" w:rsidRDefault="00544FE4" w:rsidP="00971679">
      <w:pPr>
        <w:pStyle w:val="NoSpacing"/>
        <w:ind w:left="5760"/>
        <w:rPr>
          <w:rFonts w:cs="Arial"/>
          <w:szCs w:val="24"/>
        </w:rPr>
      </w:pPr>
      <w:hyperlink r:id="rId12" w:history="1">
        <w:r w:rsidR="00971679" w:rsidRPr="00CB37E1">
          <w:rPr>
            <w:rStyle w:val="Hyperlink"/>
            <w:rFonts w:cs="Arial"/>
            <w:szCs w:val="24"/>
          </w:rPr>
          <w:t>joe.oliker@igs.com</w:t>
        </w:r>
      </w:hyperlink>
      <w:r w:rsidR="00971679" w:rsidRPr="00CB37E1">
        <w:rPr>
          <w:rFonts w:cs="Arial"/>
          <w:szCs w:val="24"/>
        </w:rPr>
        <w:t xml:space="preserve"> </w:t>
      </w:r>
    </w:p>
    <w:p w14:paraId="236D3E82" w14:textId="77777777" w:rsidR="00971679" w:rsidRPr="00CB37E1" w:rsidRDefault="00971679" w:rsidP="00971679">
      <w:pPr>
        <w:pStyle w:val="NoSpacing"/>
        <w:ind w:left="5760"/>
        <w:rPr>
          <w:rFonts w:cs="Arial"/>
          <w:szCs w:val="24"/>
        </w:rPr>
      </w:pPr>
      <w:r w:rsidRPr="00CB37E1">
        <w:rPr>
          <w:rFonts w:cs="Arial"/>
          <w:szCs w:val="24"/>
        </w:rPr>
        <w:t>Michael Nugent (0090408)</w:t>
      </w:r>
    </w:p>
    <w:p w14:paraId="3103BFCB" w14:textId="1AD00CC7" w:rsidR="00971679" w:rsidRDefault="00544FE4" w:rsidP="00971679">
      <w:pPr>
        <w:pStyle w:val="NoSpacing"/>
        <w:ind w:left="5760"/>
        <w:rPr>
          <w:rFonts w:cs="Arial"/>
          <w:szCs w:val="24"/>
        </w:rPr>
      </w:pPr>
      <w:hyperlink r:id="rId13" w:history="1">
        <w:r w:rsidR="00971679" w:rsidRPr="00CB37E1">
          <w:rPr>
            <w:rStyle w:val="Hyperlink"/>
            <w:rFonts w:cs="Arial"/>
            <w:szCs w:val="24"/>
          </w:rPr>
          <w:t>michael.nugent@igs.com</w:t>
        </w:r>
      </w:hyperlink>
      <w:r w:rsidR="00971679" w:rsidRPr="00CB37E1">
        <w:rPr>
          <w:rFonts w:cs="Arial"/>
          <w:szCs w:val="24"/>
        </w:rPr>
        <w:t xml:space="preserve"> </w:t>
      </w:r>
    </w:p>
    <w:p w14:paraId="3A87000B" w14:textId="0A853BA7" w:rsidR="002501FC" w:rsidRDefault="002501FC" w:rsidP="00971679">
      <w:pPr>
        <w:pStyle w:val="NoSpacing"/>
        <w:ind w:left="5760"/>
        <w:rPr>
          <w:rFonts w:cs="Arial"/>
          <w:szCs w:val="24"/>
        </w:rPr>
      </w:pPr>
      <w:r>
        <w:rPr>
          <w:rFonts w:cs="Arial"/>
          <w:szCs w:val="24"/>
        </w:rPr>
        <w:t xml:space="preserve">Evan </w:t>
      </w:r>
      <w:r w:rsidRPr="00C33F4F">
        <w:rPr>
          <w:rFonts w:cs="Arial"/>
          <w:szCs w:val="24"/>
        </w:rPr>
        <w:t xml:space="preserve">Betterton </w:t>
      </w:r>
      <w:r w:rsidRPr="00AD2318">
        <w:rPr>
          <w:rFonts w:cs="Arial"/>
          <w:szCs w:val="24"/>
        </w:rPr>
        <w:t>(</w:t>
      </w:r>
      <w:r w:rsidR="00C33F4F" w:rsidRPr="00AD2318">
        <w:rPr>
          <w:rFonts w:cs="Arial"/>
          <w:szCs w:val="24"/>
        </w:rPr>
        <w:t>0100089</w:t>
      </w:r>
      <w:r w:rsidRPr="00AD2318">
        <w:rPr>
          <w:rFonts w:cs="Arial"/>
          <w:szCs w:val="24"/>
        </w:rPr>
        <w:t>)</w:t>
      </w:r>
    </w:p>
    <w:p w14:paraId="1F42DB26" w14:textId="1E33CAE3" w:rsidR="002501FC" w:rsidRDefault="00544FE4" w:rsidP="00971679">
      <w:pPr>
        <w:pStyle w:val="NoSpacing"/>
        <w:ind w:left="5760"/>
        <w:rPr>
          <w:rFonts w:cs="Arial"/>
          <w:szCs w:val="24"/>
        </w:rPr>
      </w:pPr>
      <w:hyperlink r:id="rId14" w:history="1">
        <w:r w:rsidR="002501FC" w:rsidRPr="00AA0726">
          <w:rPr>
            <w:rStyle w:val="Hyperlink"/>
            <w:rFonts w:cs="Arial"/>
            <w:szCs w:val="24"/>
          </w:rPr>
          <w:t>Evan.betterton@igs.com</w:t>
        </w:r>
      </w:hyperlink>
      <w:r w:rsidR="002501FC">
        <w:rPr>
          <w:rFonts w:cs="Arial"/>
          <w:szCs w:val="24"/>
        </w:rPr>
        <w:t xml:space="preserve"> </w:t>
      </w:r>
    </w:p>
    <w:p w14:paraId="77E19BEB" w14:textId="77777777" w:rsidR="00971679" w:rsidRPr="00CB37E1" w:rsidRDefault="00971679" w:rsidP="00971679">
      <w:pPr>
        <w:pStyle w:val="NoSpacing"/>
        <w:ind w:left="5760"/>
        <w:rPr>
          <w:rFonts w:cs="Arial"/>
          <w:szCs w:val="24"/>
        </w:rPr>
      </w:pPr>
      <w:r w:rsidRPr="00CB37E1">
        <w:rPr>
          <w:rFonts w:cs="Arial"/>
          <w:szCs w:val="24"/>
        </w:rPr>
        <w:t>IGS Energy</w:t>
      </w:r>
    </w:p>
    <w:p w14:paraId="25278A06" w14:textId="77777777" w:rsidR="00971679" w:rsidRPr="00CB37E1" w:rsidRDefault="00971679" w:rsidP="00971679">
      <w:pPr>
        <w:pStyle w:val="NoSpacing"/>
        <w:ind w:left="5760"/>
        <w:rPr>
          <w:rFonts w:cs="Arial"/>
          <w:szCs w:val="24"/>
        </w:rPr>
      </w:pPr>
      <w:r w:rsidRPr="00CB37E1">
        <w:rPr>
          <w:rFonts w:cs="Arial"/>
          <w:szCs w:val="24"/>
        </w:rPr>
        <w:t>6100 Emerald Parkway</w:t>
      </w:r>
    </w:p>
    <w:p w14:paraId="78E6C132" w14:textId="77777777" w:rsidR="00971679" w:rsidRPr="00CB37E1" w:rsidRDefault="00971679" w:rsidP="00971679">
      <w:pPr>
        <w:pStyle w:val="NoSpacing"/>
        <w:ind w:left="5760"/>
        <w:rPr>
          <w:rFonts w:cs="Arial"/>
          <w:szCs w:val="24"/>
        </w:rPr>
      </w:pPr>
      <w:r w:rsidRPr="00CB37E1">
        <w:rPr>
          <w:rFonts w:cs="Arial"/>
          <w:szCs w:val="24"/>
        </w:rPr>
        <w:t>Dublin, Ohio 43016</w:t>
      </w:r>
    </w:p>
    <w:p w14:paraId="478EA422" w14:textId="77777777" w:rsidR="00971679" w:rsidRPr="00CB37E1" w:rsidRDefault="00971679" w:rsidP="00971679">
      <w:pPr>
        <w:pStyle w:val="NoSpacing"/>
        <w:ind w:left="5760"/>
        <w:rPr>
          <w:rFonts w:cs="Arial"/>
          <w:szCs w:val="24"/>
        </w:rPr>
      </w:pPr>
      <w:r w:rsidRPr="00CB37E1">
        <w:rPr>
          <w:rFonts w:cs="Arial"/>
          <w:szCs w:val="24"/>
        </w:rPr>
        <w:t>Telephone: (614) 659-5000</w:t>
      </w:r>
    </w:p>
    <w:p w14:paraId="463B87B0" w14:textId="77777777" w:rsidR="00971679" w:rsidRPr="00CB37E1" w:rsidRDefault="00971679" w:rsidP="00971679">
      <w:pPr>
        <w:pStyle w:val="NoSpacing"/>
        <w:ind w:left="1440"/>
        <w:rPr>
          <w:rFonts w:cs="Arial"/>
          <w:szCs w:val="24"/>
        </w:rPr>
      </w:pPr>
    </w:p>
    <w:p w14:paraId="74D154E2" w14:textId="77777777" w:rsidR="00971679" w:rsidRDefault="00971679" w:rsidP="00971679">
      <w:pPr>
        <w:pStyle w:val="NoSpacing"/>
        <w:ind w:left="5760"/>
        <w:rPr>
          <w:rFonts w:cs="Arial"/>
          <w:b/>
          <w:i/>
          <w:szCs w:val="24"/>
        </w:rPr>
      </w:pPr>
      <w:r w:rsidRPr="00CB37E1">
        <w:rPr>
          <w:rFonts w:cs="Arial"/>
          <w:b/>
          <w:i/>
          <w:szCs w:val="24"/>
        </w:rPr>
        <w:t>Attorneys for IGS</w:t>
      </w:r>
    </w:p>
    <w:p w14:paraId="1DB25C2A" w14:textId="77777777" w:rsidR="00971679" w:rsidRDefault="00971679" w:rsidP="00971679">
      <w:pPr>
        <w:pStyle w:val="NoSpacing"/>
        <w:rPr>
          <w:rFonts w:cs="Arial"/>
          <w:b/>
          <w:i/>
          <w:szCs w:val="24"/>
        </w:rPr>
      </w:pPr>
    </w:p>
    <w:p w14:paraId="5E8666B0" w14:textId="77777777" w:rsidR="00971679" w:rsidRDefault="00971679" w:rsidP="00971679">
      <w:pPr>
        <w:pStyle w:val="NoSpacing"/>
        <w:rPr>
          <w:rFonts w:cs="Arial"/>
          <w:b/>
          <w:i/>
          <w:szCs w:val="24"/>
        </w:rPr>
      </w:pPr>
    </w:p>
    <w:p w14:paraId="651E46F3" w14:textId="77777777" w:rsidR="00971679" w:rsidRDefault="00971679" w:rsidP="00971679">
      <w:pPr>
        <w:pStyle w:val="NoSpacing"/>
        <w:rPr>
          <w:rFonts w:cs="Arial"/>
          <w:b/>
          <w:i/>
          <w:szCs w:val="24"/>
        </w:rPr>
      </w:pPr>
    </w:p>
    <w:p w14:paraId="5594D063" w14:textId="77777777" w:rsidR="00971679" w:rsidRPr="00971679" w:rsidRDefault="00971679" w:rsidP="00971679">
      <w:pPr>
        <w:pStyle w:val="NoSpacing"/>
        <w:rPr>
          <w:rFonts w:cs="Arial"/>
          <w:b/>
          <w:szCs w:val="24"/>
        </w:rPr>
        <w:sectPr w:rsidR="00971679" w:rsidRPr="00971679" w:rsidSect="00971679">
          <w:footerReference w:type="default" r:id="rId15"/>
          <w:pgSz w:w="12240" w:h="15840"/>
          <w:pgMar w:top="1400" w:right="1320" w:bottom="1220" w:left="1320" w:header="0" w:footer="1036" w:gutter="0"/>
          <w:cols w:space="720"/>
          <w:titlePg/>
          <w:docGrid w:linePitch="299"/>
        </w:sectPr>
      </w:pPr>
      <w:r w:rsidRPr="00971679">
        <w:rPr>
          <w:rFonts w:cs="Arial"/>
          <w:b/>
          <w:szCs w:val="24"/>
        </w:rPr>
        <w:t>December 18, 2020</w:t>
      </w:r>
    </w:p>
    <w:p w14:paraId="5095A841" w14:textId="77777777" w:rsidR="0094030D" w:rsidRPr="00887045" w:rsidRDefault="00971679" w:rsidP="000853E8">
      <w:pPr>
        <w:jc w:val="center"/>
        <w:rPr>
          <w:rFonts w:ascii="Arial" w:hAnsi="Arial" w:cs="Arial"/>
          <w:b/>
          <w:caps/>
          <w:sz w:val="24"/>
          <w:u w:val="single"/>
        </w:rPr>
      </w:pPr>
      <w:r w:rsidRPr="00887045">
        <w:rPr>
          <w:rFonts w:ascii="Arial" w:hAnsi="Arial" w:cs="Arial"/>
          <w:b/>
          <w:caps/>
          <w:sz w:val="24"/>
          <w:u w:val="single"/>
        </w:rPr>
        <w:lastRenderedPageBreak/>
        <w:t>Table of Contents</w:t>
      </w:r>
    </w:p>
    <w:p w14:paraId="1864B81B" w14:textId="77777777" w:rsidR="00971679" w:rsidRDefault="00971679">
      <w:pPr>
        <w:rPr>
          <w:rFonts w:ascii="Arial" w:hAnsi="Arial" w:cs="Arial"/>
        </w:rPr>
      </w:pPr>
    </w:p>
    <w:p w14:paraId="6EA8CED6" w14:textId="6B352F12" w:rsidR="00B76249" w:rsidRDefault="001D6A28">
      <w:pPr>
        <w:pStyle w:val="TOC1"/>
        <w:rPr>
          <w:rFonts w:asciiTheme="minorHAnsi" w:hAnsiTheme="minorHAnsi" w:cstheme="minorBidi"/>
          <w:b w:val="0"/>
          <w:noProof/>
          <w:sz w:val="22"/>
          <w:szCs w:val="22"/>
        </w:rPr>
      </w:pPr>
      <w:r>
        <w:fldChar w:fldCharType="begin"/>
      </w:r>
      <w:r>
        <w:instrText xml:space="preserve"> TOC \o "1-2" \h \z \u </w:instrText>
      </w:r>
      <w:r>
        <w:fldChar w:fldCharType="separate"/>
      </w:r>
      <w:hyperlink w:anchor="_Toc59194842" w:history="1">
        <w:r w:rsidR="00B76249" w:rsidRPr="00390680">
          <w:rPr>
            <w:rStyle w:val="Hyperlink"/>
            <w:noProof/>
          </w:rPr>
          <w:t>I.</w:t>
        </w:r>
        <w:r w:rsidR="00B76249">
          <w:rPr>
            <w:rFonts w:asciiTheme="minorHAnsi" w:hAnsiTheme="minorHAnsi" w:cstheme="minorBidi"/>
            <w:b w:val="0"/>
            <w:noProof/>
            <w:sz w:val="22"/>
            <w:szCs w:val="22"/>
          </w:rPr>
          <w:tab/>
        </w:r>
        <w:r w:rsidR="00B76249" w:rsidRPr="00390680">
          <w:rPr>
            <w:rStyle w:val="Hyperlink"/>
            <w:noProof/>
          </w:rPr>
          <w:t>INTRODUCTION</w:t>
        </w:r>
        <w:r w:rsidR="00B76249">
          <w:rPr>
            <w:noProof/>
            <w:webHidden/>
          </w:rPr>
          <w:tab/>
        </w:r>
        <w:r w:rsidR="00B76249">
          <w:rPr>
            <w:noProof/>
            <w:webHidden/>
          </w:rPr>
          <w:fldChar w:fldCharType="begin"/>
        </w:r>
        <w:r w:rsidR="00B76249">
          <w:rPr>
            <w:noProof/>
            <w:webHidden/>
          </w:rPr>
          <w:instrText xml:space="preserve"> PAGEREF _Toc59194842 \h </w:instrText>
        </w:r>
        <w:r w:rsidR="00B76249">
          <w:rPr>
            <w:noProof/>
            <w:webHidden/>
          </w:rPr>
        </w:r>
        <w:r w:rsidR="00B76249">
          <w:rPr>
            <w:noProof/>
            <w:webHidden/>
          </w:rPr>
          <w:fldChar w:fldCharType="separate"/>
        </w:r>
        <w:r w:rsidR="00B76249">
          <w:rPr>
            <w:noProof/>
            <w:webHidden/>
          </w:rPr>
          <w:t>3</w:t>
        </w:r>
        <w:r w:rsidR="00B76249">
          <w:rPr>
            <w:noProof/>
            <w:webHidden/>
          </w:rPr>
          <w:fldChar w:fldCharType="end"/>
        </w:r>
      </w:hyperlink>
    </w:p>
    <w:p w14:paraId="5D13DDFA" w14:textId="1FE32F37" w:rsidR="00B76249" w:rsidRDefault="00B76249">
      <w:pPr>
        <w:pStyle w:val="TOC1"/>
        <w:rPr>
          <w:rFonts w:asciiTheme="minorHAnsi" w:hAnsiTheme="minorHAnsi" w:cstheme="minorBidi"/>
          <w:b w:val="0"/>
          <w:noProof/>
          <w:sz w:val="22"/>
          <w:szCs w:val="22"/>
        </w:rPr>
      </w:pPr>
      <w:hyperlink w:anchor="_Toc59194843" w:history="1">
        <w:r w:rsidRPr="00390680">
          <w:rPr>
            <w:rStyle w:val="Hyperlink"/>
            <w:noProof/>
          </w:rPr>
          <w:t>II.</w:t>
        </w:r>
        <w:r>
          <w:rPr>
            <w:rFonts w:asciiTheme="minorHAnsi" w:hAnsiTheme="minorHAnsi" w:cstheme="minorBidi"/>
            <w:b w:val="0"/>
            <w:noProof/>
            <w:sz w:val="22"/>
            <w:szCs w:val="22"/>
          </w:rPr>
          <w:tab/>
        </w:r>
        <w:r w:rsidRPr="00390680">
          <w:rPr>
            <w:rStyle w:val="Hyperlink"/>
            <w:noProof/>
          </w:rPr>
          <w:t>BACKGROUND</w:t>
        </w:r>
        <w:r>
          <w:rPr>
            <w:noProof/>
            <w:webHidden/>
          </w:rPr>
          <w:tab/>
        </w:r>
        <w:r>
          <w:rPr>
            <w:noProof/>
            <w:webHidden/>
          </w:rPr>
          <w:fldChar w:fldCharType="begin"/>
        </w:r>
        <w:r>
          <w:rPr>
            <w:noProof/>
            <w:webHidden/>
          </w:rPr>
          <w:instrText xml:space="preserve"> PAGEREF _Toc59194843 \h </w:instrText>
        </w:r>
        <w:r>
          <w:rPr>
            <w:noProof/>
            <w:webHidden/>
          </w:rPr>
        </w:r>
        <w:r>
          <w:rPr>
            <w:noProof/>
            <w:webHidden/>
          </w:rPr>
          <w:fldChar w:fldCharType="separate"/>
        </w:r>
        <w:r>
          <w:rPr>
            <w:noProof/>
            <w:webHidden/>
          </w:rPr>
          <w:t>3</w:t>
        </w:r>
        <w:r>
          <w:rPr>
            <w:noProof/>
            <w:webHidden/>
          </w:rPr>
          <w:fldChar w:fldCharType="end"/>
        </w:r>
      </w:hyperlink>
    </w:p>
    <w:p w14:paraId="5E37B1EF" w14:textId="0CACBBA4" w:rsidR="00B76249" w:rsidRDefault="00B76249">
      <w:pPr>
        <w:pStyle w:val="TOC1"/>
        <w:rPr>
          <w:rFonts w:asciiTheme="minorHAnsi" w:hAnsiTheme="minorHAnsi" w:cstheme="minorBidi"/>
          <w:b w:val="0"/>
          <w:noProof/>
          <w:sz w:val="22"/>
          <w:szCs w:val="22"/>
        </w:rPr>
      </w:pPr>
      <w:hyperlink w:anchor="_Toc59194844" w:history="1">
        <w:r w:rsidRPr="00390680">
          <w:rPr>
            <w:rStyle w:val="Hyperlink"/>
            <w:noProof/>
          </w:rPr>
          <w:t>III.</w:t>
        </w:r>
        <w:r>
          <w:rPr>
            <w:rFonts w:asciiTheme="minorHAnsi" w:hAnsiTheme="minorHAnsi" w:cstheme="minorBidi"/>
            <w:b w:val="0"/>
            <w:noProof/>
            <w:sz w:val="22"/>
            <w:szCs w:val="22"/>
          </w:rPr>
          <w:tab/>
        </w:r>
        <w:r w:rsidRPr="00390680">
          <w:rPr>
            <w:rStyle w:val="Hyperlink"/>
            <w:noProof/>
          </w:rPr>
          <w:t>OBJECTIONS TO THE STAFF REPORT</w:t>
        </w:r>
        <w:r>
          <w:rPr>
            <w:noProof/>
            <w:webHidden/>
          </w:rPr>
          <w:tab/>
        </w:r>
        <w:r>
          <w:rPr>
            <w:noProof/>
            <w:webHidden/>
          </w:rPr>
          <w:fldChar w:fldCharType="begin"/>
        </w:r>
        <w:r>
          <w:rPr>
            <w:noProof/>
            <w:webHidden/>
          </w:rPr>
          <w:instrText xml:space="preserve"> PAGEREF _Toc59194844 \h </w:instrText>
        </w:r>
        <w:r>
          <w:rPr>
            <w:noProof/>
            <w:webHidden/>
          </w:rPr>
        </w:r>
        <w:r>
          <w:rPr>
            <w:noProof/>
            <w:webHidden/>
          </w:rPr>
          <w:fldChar w:fldCharType="separate"/>
        </w:r>
        <w:r>
          <w:rPr>
            <w:noProof/>
            <w:webHidden/>
          </w:rPr>
          <w:t>7</w:t>
        </w:r>
        <w:r>
          <w:rPr>
            <w:noProof/>
            <w:webHidden/>
          </w:rPr>
          <w:fldChar w:fldCharType="end"/>
        </w:r>
      </w:hyperlink>
    </w:p>
    <w:p w14:paraId="19B2102B" w14:textId="70A02C46" w:rsidR="00B76249" w:rsidRDefault="00B76249">
      <w:pPr>
        <w:pStyle w:val="TOC2"/>
        <w:tabs>
          <w:tab w:val="left" w:pos="1094"/>
        </w:tabs>
        <w:rPr>
          <w:rFonts w:asciiTheme="minorHAnsi" w:eastAsiaTheme="minorEastAsia" w:hAnsiTheme="minorHAnsi" w:cstheme="minorBidi"/>
          <w:b w:val="0"/>
          <w:noProof/>
          <w:sz w:val="22"/>
        </w:rPr>
      </w:pPr>
      <w:hyperlink w:anchor="_Toc59194845" w:history="1">
        <w:r w:rsidRPr="00390680">
          <w:rPr>
            <w:rStyle w:val="Hyperlink"/>
            <w:noProof/>
            <w14:scene3d>
              <w14:camera w14:prst="orthographicFront"/>
              <w14:lightRig w14:rig="threePt" w14:dir="t">
                <w14:rot w14:lat="0" w14:lon="0" w14:rev="0"/>
              </w14:lightRig>
            </w14:scene3d>
          </w:rPr>
          <w:t>A.</w:t>
        </w:r>
        <w:r>
          <w:rPr>
            <w:rFonts w:asciiTheme="minorHAnsi" w:eastAsiaTheme="minorEastAsia" w:hAnsiTheme="minorHAnsi" w:cstheme="minorBidi"/>
            <w:b w:val="0"/>
            <w:noProof/>
            <w:sz w:val="22"/>
          </w:rPr>
          <w:tab/>
        </w:r>
        <w:r w:rsidRPr="00390680">
          <w:rPr>
            <w:rStyle w:val="Hyperlink"/>
            <w:noProof/>
          </w:rPr>
          <w:t>The Staff Report’s recommendation to collect the costs associated with providing a competitive retail electric service through distribution rates is contrary to Ohio law.</w:t>
        </w:r>
        <w:r>
          <w:rPr>
            <w:noProof/>
            <w:webHidden/>
          </w:rPr>
          <w:tab/>
        </w:r>
        <w:r>
          <w:rPr>
            <w:noProof/>
            <w:webHidden/>
          </w:rPr>
          <w:fldChar w:fldCharType="begin"/>
        </w:r>
        <w:r>
          <w:rPr>
            <w:noProof/>
            <w:webHidden/>
          </w:rPr>
          <w:instrText xml:space="preserve"> PAGEREF _Toc59194845 \h </w:instrText>
        </w:r>
        <w:r>
          <w:rPr>
            <w:noProof/>
            <w:webHidden/>
          </w:rPr>
        </w:r>
        <w:r>
          <w:rPr>
            <w:noProof/>
            <w:webHidden/>
          </w:rPr>
          <w:fldChar w:fldCharType="separate"/>
        </w:r>
        <w:r>
          <w:rPr>
            <w:noProof/>
            <w:webHidden/>
          </w:rPr>
          <w:t>7</w:t>
        </w:r>
        <w:r>
          <w:rPr>
            <w:noProof/>
            <w:webHidden/>
          </w:rPr>
          <w:fldChar w:fldCharType="end"/>
        </w:r>
      </w:hyperlink>
    </w:p>
    <w:p w14:paraId="5F22FC23" w14:textId="70CDA3FE" w:rsidR="00B76249" w:rsidRDefault="00B76249">
      <w:pPr>
        <w:pStyle w:val="TOC2"/>
        <w:tabs>
          <w:tab w:val="left" w:pos="1094"/>
        </w:tabs>
        <w:rPr>
          <w:rFonts w:asciiTheme="minorHAnsi" w:eastAsiaTheme="minorEastAsia" w:hAnsiTheme="minorHAnsi" w:cstheme="minorBidi"/>
          <w:b w:val="0"/>
          <w:noProof/>
          <w:sz w:val="22"/>
        </w:rPr>
      </w:pPr>
      <w:hyperlink w:anchor="_Toc59194846" w:history="1">
        <w:r w:rsidRPr="00390680">
          <w:rPr>
            <w:rStyle w:val="Hyperlink"/>
            <w:noProof/>
            <w14:scene3d>
              <w14:camera w14:prst="orthographicFront"/>
              <w14:lightRig w14:rig="threePt" w14:dir="t">
                <w14:rot w14:lat="0" w14:lon="0" w14:rev="0"/>
              </w14:lightRig>
            </w14:scene3d>
          </w:rPr>
          <w:t>B.</w:t>
        </w:r>
        <w:r>
          <w:rPr>
            <w:rFonts w:asciiTheme="minorHAnsi" w:eastAsiaTheme="minorEastAsia" w:hAnsiTheme="minorHAnsi" w:cstheme="minorBidi"/>
            <w:b w:val="0"/>
            <w:noProof/>
            <w:sz w:val="22"/>
          </w:rPr>
          <w:tab/>
        </w:r>
        <w:r w:rsidRPr="00390680">
          <w:rPr>
            <w:rStyle w:val="Hyperlink"/>
            <w:noProof/>
          </w:rPr>
          <w:t>The Staff Report fails to recommend that AEP Ohio unbundle from distribution rates all costs related to the provision of the SSO.</w:t>
        </w:r>
        <w:r>
          <w:rPr>
            <w:noProof/>
            <w:webHidden/>
          </w:rPr>
          <w:tab/>
        </w:r>
        <w:r>
          <w:rPr>
            <w:noProof/>
            <w:webHidden/>
          </w:rPr>
          <w:fldChar w:fldCharType="begin"/>
        </w:r>
        <w:r>
          <w:rPr>
            <w:noProof/>
            <w:webHidden/>
          </w:rPr>
          <w:instrText xml:space="preserve"> PAGEREF _Toc59194846 \h </w:instrText>
        </w:r>
        <w:r>
          <w:rPr>
            <w:noProof/>
            <w:webHidden/>
          </w:rPr>
        </w:r>
        <w:r>
          <w:rPr>
            <w:noProof/>
            <w:webHidden/>
          </w:rPr>
          <w:fldChar w:fldCharType="separate"/>
        </w:r>
        <w:r>
          <w:rPr>
            <w:noProof/>
            <w:webHidden/>
          </w:rPr>
          <w:t>8</w:t>
        </w:r>
        <w:r>
          <w:rPr>
            <w:noProof/>
            <w:webHidden/>
          </w:rPr>
          <w:fldChar w:fldCharType="end"/>
        </w:r>
      </w:hyperlink>
    </w:p>
    <w:p w14:paraId="5C2FC599" w14:textId="2690E816" w:rsidR="00B76249" w:rsidRDefault="00B76249">
      <w:pPr>
        <w:pStyle w:val="TOC2"/>
        <w:tabs>
          <w:tab w:val="left" w:pos="1094"/>
        </w:tabs>
        <w:rPr>
          <w:rFonts w:asciiTheme="minorHAnsi" w:eastAsiaTheme="minorEastAsia" w:hAnsiTheme="minorHAnsi" w:cstheme="minorBidi"/>
          <w:b w:val="0"/>
          <w:noProof/>
          <w:sz w:val="22"/>
        </w:rPr>
      </w:pPr>
      <w:hyperlink w:anchor="_Toc59194847" w:history="1">
        <w:r w:rsidRPr="00390680">
          <w:rPr>
            <w:rStyle w:val="Hyperlink"/>
            <w:noProof/>
            <w14:scene3d>
              <w14:camera w14:prst="orthographicFront"/>
              <w14:lightRig w14:rig="threePt" w14:dir="t">
                <w14:rot w14:lat="0" w14:lon="0" w14:rev="0"/>
              </w14:lightRig>
            </w14:scene3d>
          </w:rPr>
          <w:t>C.</w:t>
        </w:r>
        <w:r>
          <w:rPr>
            <w:rFonts w:asciiTheme="minorHAnsi" w:eastAsiaTheme="minorEastAsia" w:hAnsiTheme="minorHAnsi" w:cstheme="minorBidi"/>
            <w:b w:val="0"/>
            <w:noProof/>
            <w:sz w:val="22"/>
          </w:rPr>
          <w:tab/>
        </w:r>
        <w:r w:rsidRPr="00390680">
          <w:rPr>
            <w:rStyle w:val="Hyperlink"/>
            <w:noProof/>
          </w:rPr>
          <w:t>The Staff Report adopts an improper netting standard for the purpose of unbundling that would reduce the already understated SSO allocation.</w:t>
        </w:r>
        <w:r>
          <w:rPr>
            <w:noProof/>
            <w:webHidden/>
          </w:rPr>
          <w:tab/>
        </w:r>
        <w:r>
          <w:rPr>
            <w:noProof/>
            <w:webHidden/>
          </w:rPr>
          <w:fldChar w:fldCharType="begin"/>
        </w:r>
        <w:r>
          <w:rPr>
            <w:noProof/>
            <w:webHidden/>
          </w:rPr>
          <w:instrText xml:space="preserve"> PAGEREF _Toc59194847 \h </w:instrText>
        </w:r>
        <w:r>
          <w:rPr>
            <w:noProof/>
            <w:webHidden/>
          </w:rPr>
        </w:r>
        <w:r>
          <w:rPr>
            <w:noProof/>
            <w:webHidden/>
          </w:rPr>
          <w:fldChar w:fldCharType="separate"/>
        </w:r>
        <w:r>
          <w:rPr>
            <w:noProof/>
            <w:webHidden/>
          </w:rPr>
          <w:t>13</w:t>
        </w:r>
        <w:r>
          <w:rPr>
            <w:noProof/>
            <w:webHidden/>
          </w:rPr>
          <w:fldChar w:fldCharType="end"/>
        </w:r>
      </w:hyperlink>
    </w:p>
    <w:p w14:paraId="2FBC543A" w14:textId="2892F9E3" w:rsidR="00B76249" w:rsidRDefault="00B76249">
      <w:pPr>
        <w:pStyle w:val="TOC2"/>
        <w:tabs>
          <w:tab w:val="left" w:pos="1094"/>
        </w:tabs>
        <w:rPr>
          <w:rFonts w:asciiTheme="minorHAnsi" w:eastAsiaTheme="minorEastAsia" w:hAnsiTheme="minorHAnsi" w:cstheme="minorBidi"/>
          <w:b w:val="0"/>
          <w:noProof/>
          <w:sz w:val="22"/>
        </w:rPr>
      </w:pPr>
      <w:hyperlink w:anchor="_Toc59194848" w:history="1">
        <w:r w:rsidRPr="00390680">
          <w:rPr>
            <w:rStyle w:val="Hyperlink"/>
            <w:noProof/>
            <w14:scene3d>
              <w14:camera w14:prst="orthographicFront"/>
              <w14:lightRig w14:rig="threePt" w14:dir="t">
                <w14:rot w14:lat="0" w14:lon="0" w14:rev="0"/>
              </w14:lightRig>
            </w14:scene3d>
          </w:rPr>
          <w:t>D.</w:t>
        </w:r>
        <w:r>
          <w:rPr>
            <w:rFonts w:asciiTheme="minorHAnsi" w:eastAsiaTheme="minorEastAsia" w:hAnsiTheme="minorHAnsi" w:cstheme="minorBidi"/>
            <w:b w:val="0"/>
            <w:noProof/>
            <w:sz w:val="22"/>
          </w:rPr>
          <w:tab/>
        </w:r>
        <w:r w:rsidRPr="00390680">
          <w:rPr>
            <w:rStyle w:val="Hyperlink"/>
            <w:noProof/>
          </w:rPr>
          <w:t>The Staff Report fails to address the various fees that CRES providers provide to AEP Ohio for performing distribution service functions to determine if AEP Ohio is over-recovering its costs for providing those functions and whether the charges are discriminatory.</w:t>
        </w:r>
        <w:r>
          <w:rPr>
            <w:noProof/>
            <w:webHidden/>
          </w:rPr>
          <w:tab/>
        </w:r>
        <w:r>
          <w:rPr>
            <w:noProof/>
            <w:webHidden/>
          </w:rPr>
          <w:fldChar w:fldCharType="begin"/>
        </w:r>
        <w:r>
          <w:rPr>
            <w:noProof/>
            <w:webHidden/>
          </w:rPr>
          <w:instrText xml:space="preserve"> PAGEREF _Toc59194848 \h </w:instrText>
        </w:r>
        <w:r>
          <w:rPr>
            <w:noProof/>
            <w:webHidden/>
          </w:rPr>
        </w:r>
        <w:r>
          <w:rPr>
            <w:noProof/>
            <w:webHidden/>
          </w:rPr>
          <w:fldChar w:fldCharType="separate"/>
        </w:r>
        <w:r>
          <w:rPr>
            <w:noProof/>
            <w:webHidden/>
          </w:rPr>
          <w:t>15</w:t>
        </w:r>
        <w:r>
          <w:rPr>
            <w:noProof/>
            <w:webHidden/>
          </w:rPr>
          <w:fldChar w:fldCharType="end"/>
        </w:r>
      </w:hyperlink>
    </w:p>
    <w:p w14:paraId="66F80025" w14:textId="460DACF6" w:rsidR="00B76249" w:rsidRDefault="00B76249">
      <w:pPr>
        <w:pStyle w:val="TOC2"/>
        <w:rPr>
          <w:rFonts w:asciiTheme="minorHAnsi" w:eastAsiaTheme="minorEastAsia" w:hAnsiTheme="minorHAnsi" w:cstheme="minorBidi"/>
          <w:b w:val="0"/>
          <w:noProof/>
          <w:sz w:val="22"/>
        </w:rPr>
      </w:pPr>
      <w:hyperlink w:anchor="_Toc59194849" w:history="1">
        <w:r w:rsidRPr="00390680">
          <w:rPr>
            <w:rStyle w:val="Hyperlink"/>
            <w:noProof/>
            <w14:scene3d>
              <w14:camera w14:prst="orthographicFront"/>
              <w14:lightRig w14:rig="threePt" w14:dir="t">
                <w14:rot w14:lat="0" w14:lon="0" w14:rev="0"/>
              </w14:lightRig>
            </w14:scene3d>
          </w:rPr>
          <w:t>E.</w:t>
        </w:r>
        <w:r>
          <w:rPr>
            <w:rFonts w:asciiTheme="minorHAnsi" w:eastAsiaTheme="minorEastAsia" w:hAnsiTheme="minorHAnsi" w:cstheme="minorBidi"/>
            <w:b w:val="0"/>
            <w:noProof/>
            <w:sz w:val="22"/>
          </w:rPr>
          <w:tab/>
        </w:r>
        <w:r>
          <w:rPr>
            <w:rFonts w:asciiTheme="minorHAnsi" w:eastAsiaTheme="minorEastAsia" w:hAnsiTheme="minorHAnsi" w:cstheme="minorBidi"/>
            <w:b w:val="0"/>
            <w:noProof/>
            <w:sz w:val="22"/>
          </w:rPr>
          <w:tab/>
        </w:r>
        <w:r w:rsidRPr="00390680">
          <w:rPr>
            <w:rStyle w:val="Hyperlink"/>
            <w:noProof/>
          </w:rPr>
          <w:t>The Staff Report fails to examine whether there are direct or indirect costs associated with customer sited renewable energy resources in the proposed distribution rates.</w:t>
        </w:r>
        <w:r>
          <w:rPr>
            <w:noProof/>
            <w:webHidden/>
          </w:rPr>
          <w:tab/>
        </w:r>
        <w:r>
          <w:rPr>
            <w:noProof/>
            <w:webHidden/>
          </w:rPr>
          <w:fldChar w:fldCharType="begin"/>
        </w:r>
        <w:r>
          <w:rPr>
            <w:noProof/>
            <w:webHidden/>
          </w:rPr>
          <w:instrText xml:space="preserve"> PAGEREF _Toc59194849 \h </w:instrText>
        </w:r>
        <w:r>
          <w:rPr>
            <w:noProof/>
            <w:webHidden/>
          </w:rPr>
        </w:r>
        <w:r>
          <w:rPr>
            <w:noProof/>
            <w:webHidden/>
          </w:rPr>
          <w:fldChar w:fldCharType="separate"/>
        </w:r>
        <w:r>
          <w:rPr>
            <w:noProof/>
            <w:webHidden/>
          </w:rPr>
          <w:t>17</w:t>
        </w:r>
        <w:r>
          <w:rPr>
            <w:noProof/>
            <w:webHidden/>
          </w:rPr>
          <w:fldChar w:fldCharType="end"/>
        </w:r>
      </w:hyperlink>
    </w:p>
    <w:p w14:paraId="532A8BCB" w14:textId="2F808EBC" w:rsidR="00B76249" w:rsidRDefault="00B76249">
      <w:pPr>
        <w:pStyle w:val="TOC2"/>
        <w:rPr>
          <w:rFonts w:asciiTheme="minorHAnsi" w:eastAsiaTheme="minorEastAsia" w:hAnsiTheme="minorHAnsi" w:cstheme="minorBidi"/>
          <w:b w:val="0"/>
          <w:noProof/>
          <w:sz w:val="22"/>
        </w:rPr>
      </w:pPr>
      <w:hyperlink w:anchor="_Toc59194850" w:history="1">
        <w:r w:rsidRPr="00390680">
          <w:rPr>
            <w:rStyle w:val="Hyperlink"/>
            <w:noProof/>
            <w14:scene3d>
              <w14:camera w14:prst="orthographicFront"/>
              <w14:lightRig w14:rig="threePt" w14:dir="t">
                <w14:rot w14:lat="0" w14:lon="0" w14:rev="0"/>
              </w14:lightRig>
            </w14:scene3d>
          </w:rPr>
          <w:t>F.</w:t>
        </w:r>
        <w:r>
          <w:rPr>
            <w:rFonts w:asciiTheme="minorHAnsi" w:eastAsiaTheme="minorEastAsia" w:hAnsiTheme="minorHAnsi" w:cstheme="minorBidi"/>
            <w:b w:val="0"/>
            <w:noProof/>
            <w:sz w:val="22"/>
          </w:rPr>
          <w:tab/>
        </w:r>
        <w:r>
          <w:rPr>
            <w:rFonts w:asciiTheme="minorHAnsi" w:eastAsiaTheme="minorEastAsia" w:hAnsiTheme="minorHAnsi" w:cstheme="minorBidi"/>
            <w:b w:val="0"/>
            <w:noProof/>
            <w:sz w:val="22"/>
          </w:rPr>
          <w:tab/>
        </w:r>
        <w:r w:rsidRPr="00390680">
          <w:rPr>
            <w:rStyle w:val="Hyperlink"/>
            <w:noProof/>
          </w:rPr>
          <w:t>An EDU cannot offer energy efficiency and demand side management programs to SSO customers and collect the associated costs on a bypassable basis.</w:t>
        </w:r>
        <w:r>
          <w:rPr>
            <w:noProof/>
            <w:webHidden/>
          </w:rPr>
          <w:tab/>
        </w:r>
        <w:r>
          <w:rPr>
            <w:noProof/>
            <w:webHidden/>
          </w:rPr>
          <w:fldChar w:fldCharType="begin"/>
        </w:r>
        <w:r>
          <w:rPr>
            <w:noProof/>
            <w:webHidden/>
          </w:rPr>
          <w:instrText xml:space="preserve"> PAGEREF _Toc59194850 \h </w:instrText>
        </w:r>
        <w:r>
          <w:rPr>
            <w:noProof/>
            <w:webHidden/>
          </w:rPr>
        </w:r>
        <w:r>
          <w:rPr>
            <w:noProof/>
            <w:webHidden/>
          </w:rPr>
          <w:fldChar w:fldCharType="separate"/>
        </w:r>
        <w:r>
          <w:rPr>
            <w:noProof/>
            <w:webHidden/>
          </w:rPr>
          <w:t>17</w:t>
        </w:r>
        <w:r>
          <w:rPr>
            <w:noProof/>
            <w:webHidden/>
          </w:rPr>
          <w:fldChar w:fldCharType="end"/>
        </w:r>
      </w:hyperlink>
    </w:p>
    <w:p w14:paraId="2241CA5B" w14:textId="2A4C03A0" w:rsidR="00B76249" w:rsidRDefault="00B76249">
      <w:pPr>
        <w:pStyle w:val="TOC2"/>
        <w:tabs>
          <w:tab w:val="left" w:pos="1094"/>
        </w:tabs>
        <w:rPr>
          <w:rFonts w:asciiTheme="minorHAnsi" w:eastAsiaTheme="minorEastAsia" w:hAnsiTheme="minorHAnsi" w:cstheme="minorBidi"/>
          <w:b w:val="0"/>
          <w:noProof/>
          <w:sz w:val="22"/>
        </w:rPr>
      </w:pPr>
      <w:hyperlink w:anchor="_Toc59194851" w:history="1">
        <w:r w:rsidRPr="00390680">
          <w:rPr>
            <w:rStyle w:val="Hyperlink"/>
            <w:noProof/>
            <w14:scene3d>
              <w14:camera w14:prst="orthographicFront"/>
              <w14:lightRig w14:rig="threePt" w14:dir="t">
                <w14:rot w14:lat="0" w14:lon="0" w14:rev="0"/>
              </w14:lightRig>
            </w14:scene3d>
          </w:rPr>
          <w:t>G.</w:t>
        </w:r>
        <w:r>
          <w:rPr>
            <w:rFonts w:asciiTheme="minorHAnsi" w:eastAsiaTheme="minorEastAsia" w:hAnsiTheme="minorHAnsi" w:cstheme="minorBidi"/>
            <w:b w:val="0"/>
            <w:noProof/>
            <w:sz w:val="22"/>
          </w:rPr>
          <w:tab/>
        </w:r>
        <w:r w:rsidRPr="00390680">
          <w:rPr>
            <w:rStyle w:val="Hyperlink"/>
            <w:noProof/>
          </w:rPr>
          <w:t>The Staff Report failed to recommend the elimination of the Direct Load Control Program.</w:t>
        </w:r>
        <w:r>
          <w:rPr>
            <w:noProof/>
            <w:webHidden/>
          </w:rPr>
          <w:tab/>
        </w:r>
        <w:r>
          <w:rPr>
            <w:noProof/>
            <w:webHidden/>
          </w:rPr>
          <w:fldChar w:fldCharType="begin"/>
        </w:r>
        <w:r>
          <w:rPr>
            <w:noProof/>
            <w:webHidden/>
          </w:rPr>
          <w:instrText xml:space="preserve"> PAGEREF _Toc59194851 \h </w:instrText>
        </w:r>
        <w:r>
          <w:rPr>
            <w:noProof/>
            <w:webHidden/>
          </w:rPr>
        </w:r>
        <w:r>
          <w:rPr>
            <w:noProof/>
            <w:webHidden/>
          </w:rPr>
          <w:fldChar w:fldCharType="separate"/>
        </w:r>
        <w:r>
          <w:rPr>
            <w:noProof/>
            <w:webHidden/>
          </w:rPr>
          <w:t>18</w:t>
        </w:r>
        <w:r>
          <w:rPr>
            <w:noProof/>
            <w:webHidden/>
          </w:rPr>
          <w:fldChar w:fldCharType="end"/>
        </w:r>
      </w:hyperlink>
    </w:p>
    <w:p w14:paraId="50FCD635" w14:textId="28C5779B" w:rsidR="00B76249" w:rsidRDefault="00B76249">
      <w:pPr>
        <w:pStyle w:val="TOC2"/>
        <w:tabs>
          <w:tab w:val="left" w:pos="1094"/>
        </w:tabs>
        <w:rPr>
          <w:rFonts w:asciiTheme="minorHAnsi" w:eastAsiaTheme="minorEastAsia" w:hAnsiTheme="minorHAnsi" w:cstheme="minorBidi"/>
          <w:b w:val="0"/>
          <w:noProof/>
          <w:sz w:val="22"/>
        </w:rPr>
      </w:pPr>
      <w:hyperlink w:anchor="_Toc59194852" w:history="1">
        <w:r w:rsidRPr="00390680">
          <w:rPr>
            <w:rStyle w:val="Hyperlink"/>
            <w:noProof/>
            <w14:scene3d>
              <w14:camera w14:prst="orthographicFront"/>
              <w14:lightRig w14:rig="threePt" w14:dir="t">
                <w14:rot w14:lat="0" w14:lon="0" w14:rev="0"/>
              </w14:lightRig>
            </w14:scene3d>
          </w:rPr>
          <w:t>H.</w:t>
        </w:r>
        <w:r>
          <w:rPr>
            <w:rFonts w:asciiTheme="minorHAnsi" w:eastAsiaTheme="minorEastAsia" w:hAnsiTheme="minorHAnsi" w:cstheme="minorBidi"/>
            <w:b w:val="0"/>
            <w:noProof/>
            <w:sz w:val="22"/>
          </w:rPr>
          <w:tab/>
        </w:r>
        <w:r w:rsidRPr="00390680">
          <w:rPr>
            <w:rStyle w:val="Hyperlink"/>
            <w:noProof/>
          </w:rPr>
          <w:t>The right to terminate consolidated billing services is limited to Supplier Consolidated Billing.</w:t>
        </w:r>
        <w:r>
          <w:rPr>
            <w:noProof/>
            <w:webHidden/>
          </w:rPr>
          <w:tab/>
        </w:r>
        <w:r>
          <w:rPr>
            <w:noProof/>
            <w:webHidden/>
          </w:rPr>
          <w:fldChar w:fldCharType="begin"/>
        </w:r>
        <w:r>
          <w:rPr>
            <w:noProof/>
            <w:webHidden/>
          </w:rPr>
          <w:instrText xml:space="preserve"> PAGEREF _Toc59194852 \h </w:instrText>
        </w:r>
        <w:r>
          <w:rPr>
            <w:noProof/>
            <w:webHidden/>
          </w:rPr>
        </w:r>
        <w:r>
          <w:rPr>
            <w:noProof/>
            <w:webHidden/>
          </w:rPr>
          <w:fldChar w:fldCharType="separate"/>
        </w:r>
        <w:r>
          <w:rPr>
            <w:noProof/>
            <w:webHidden/>
          </w:rPr>
          <w:t>19</w:t>
        </w:r>
        <w:r>
          <w:rPr>
            <w:noProof/>
            <w:webHidden/>
          </w:rPr>
          <w:fldChar w:fldCharType="end"/>
        </w:r>
      </w:hyperlink>
    </w:p>
    <w:p w14:paraId="0EB27E3B" w14:textId="48B005A2" w:rsidR="00B76249" w:rsidRDefault="00B76249">
      <w:pPr>
        <w:pStyle w:val="TOC2"/>
        <w:rPr>
          <w:rFonts w:asciiTheme="minorHAnsi" w:eastAsiaTheme="minorEastAsia" w:hAnsiTheme="minorHAnsi" w:cstheme="minorBidi"/>
          <w:b w:val="0"/>
          <w:noProof/>
          <w:sz w:val="22"/>
        </w:rPr>
      </w:pPr>
      <w:hyperlink w:anchor="_Toc59194853" w:history="1">
        <w:r w:rsidRPr="00390680">
          <w:rPr>
            <w:rStyle w:val="Hyperlink"/>
            <w:noProof/>
            <w14:scene3d>
              <w14:camera w14:prst="orthographicFront"/>
              <w14:lightRig w14:rig="threePt" w14:dir="t">
                <w14:rot w14:lat="0" w14:lon="0" w14:rev="0"/>
              </w14:lightRig>
            </w14:scene3d>
          </w:rPr>
          <w:t>I.</w:t>
        </w:r>
        <w:r>
          <w:rPr>
            <w:rFonts w:asciiTheme="minorHAnsi" w:eastAsiaTheme="minorEastAsia" w:hAnsiTheme="minorHAnsi" w:cstheme="minorBidi"/>
            <w:b w:val="0"/>
            <w:noProof/>
            <w:sz w:val="22"/>
          </w:rPr>
          <w:tab/>
        </w:r>
        <w:r>
          <w:rPr>
            <w:rFonts w:asciiTheme="minorHAnsi" w:eastAsiaTheme="minorEastAsia" w:hAnsiTheme="minorHAnsi" w:cstheme="minorBidi"/>
            <w:b w:val="0"/>
            <w:noProof/>
            <w:sz w:val="22"/>
          </w:rPr>
          <w:tab/>
        </w:r>
        <w:r w:rsidRPr="00390680">
          <w:rPr>
            <w:rStyle w:val="Hyperlink"/>
            <w:noProof/>
          </w:rPr>
          <w:t>A Letter of Authorization is not required in every instance of requesting customer interval data.</w:t>
        </w:r>
        <w:r>
          <w:rPr>
            <w:noProof/>
            <w:webHidden/>
          </w:rPr>
          <w:tab/>
        </w:r>
        <w:r>
          <w:rPr>
            <w:noProof/>
            <w:webHidden/>
          </w:rPr>
          <w:fldChar w:fldCharType="begin"/>
        </w:r>
        <w:r>
          <w:rPr>
            <w:noProof/>
            <w:webHidden/>
          </w:rPr>
          <w:instrText xml:space="preserve"> PAGEREF _Toc59194853 \h </w:instrText>
        </w:r>
        <w:r>
          <w:rPr>
            <w:noProof/>
            <w:webHidden/>
          </w:rPr>
        </w:r>
        <w:r>
          <w:rPr>
            <w:noProof/>
            <w:webHidden/>
          </w:rPr>
          <w:fldChar w:fldCharType="separate"/>
        </w:r>
        <w:r>
          <w:rPr>
            <w:noProof/>
            <w:webHidden/>
          </w:rPr>
          <w:t>20</w:t>
        </w:r>
        <w:r>
          <w:rPr>
            <w:noProof/>
            <w:webHidden/>
          </w:rPr>
          <w:fldChar w:fldCharType="end"/>
        </w:r>
      </w:hyperlink>
    </w:p>
    <w:p w14:paraId="70A16224" w14:textId="4B955E7B" w:rsidR="00B76249" w:rsidRDefault="00B76249">
      <w:pPr>
        <w:pStyle w:val="TOC1"/>
        <w:rPr>
          <w:rFonts w:asciiTheme="minorHAnsi" w:hAnsiTheme="minorHAnsi" w:cstheme="minorBidi"/>
          <w:b w:val="0"/>
          <w:noProof/>
          <w:sz w:val="22"/>
          <w:szCs w:val="22"/>
        </w:rPr>
      </w:pPr>
      <w:hyperlink w:anchor="_Toc59194854" w:history="1">
        <w:r w:rsidRPr="00390680">
          <w:rPr>
            <w:rStyle w:val="Hyperlink"/>
            <w:noProof/>
          </w:rPr>
          <w:t>IV.</w:t>
        </w:r>
        <w:r>
          <w:rPr>
            <w:rFonts w:asciiTheme="minorHAnsi" w:hAnsiTheme="minorHAnsi" w:cstheme="minorBidi"/>
            <w:b w:val="0"/>
            <w:noProof/>
            <w:sz w:val="22"/>
            <w:szCs w:val="22"/>
          </w:rPr>
          <w:tab/>
        </w:r>
        <w:r w:rsidRPr="00390680">
          <w:rPr>
            <w:rStyle w:val="Hyperlink"/>
            <w:noProof/>
          </w:rPr>
          <w:t>SUMMARY OF MAJOR ISSUES</w:t>
        </w:r>
        <w:r>
          <w:rPr>
            <w:noProof/>
            <w:webHidden/>
          </w:rPr>
          <w:tab/>
        </w:r>
        <w:r>
          <w:rPr>
            <w:noProof/>
            <w:webHidden/>
          </w:rPr>
          <w:fldChar w:fldCharType="begin"/>
        </w:r>
        <w:r>
          <w:rPr>
            <w:noProof/>
            <w:webHidden/>
          </w:rPr>
          <w:instrText xml:space="preserve"> PAGEREF _Toc59194854 \h </w:instrText>
        </w:r>
        <w:r>
          <w:rPr>
            <w:noProof/>
            <w:webHidden/>
          </w:rPr>
        </w:r>
        <w:r>
          <w:rPr>
            <w:noProof/>
            <w:webHidden/>
          </w:rPr>
          <w:fldChar w:fldCharType="separate"/>
        </w:r>
        <w:r>
          <w:rPr>
            <w:noProof/>
            <w:webHidden/>
          </w:rPr>
          <w:t>21</w:t>
        </w:r>
        <w:r>
          <w:rPr>
            <w:noProof/>
            <w:webHidden/>
          </w:rPr>
          <w:fldChar w:fldCharType="end"/>
        </w:r>
      </w:hyperlink>
    </w:p>
    <w:p w14:paraId="6AF7AC43" w14:textId="3D7EF212" w:rsidR="00971679" w:rsidRDefault="001D6A28" w:rsidP="00887045">
      <w:pPr>
        <w:pStyle w:val="CoverPage"/>
        <w:spacing w:line="480" w:lineRule="auto"/>
      </w:pPr>
      <w:r>
        <w:rPr>
          <w:rFonts w:eastAsiaTheme="minorEastAsia"/>
          <w:sz w:val="24"/>
          <w:szCs w:val="24"/>
        </w:rPr>
        <w:fldChar w:fldCharType="end"/>
      </w:r>
      <w:r w:rsidR="00971679">
        <w:br w:type="page"/>
      </w:r>
    </w:p>
    <w:p w14:paraId="3A9878FB" w14:textId="77777777" w:rsidR="00971679" w:rsidRPr="00971679" w:rsidRDefault="00971679" w:rsidP="00AD2318">
      <w:pPr>
        <w:pStyle w:val="Heading1"/>
        <w:numPr>
          <w:ilvl w:val="0"/>
          <w:numId w:val="3"/>
        </w:numPr>
        <w:spacing w:after="0"/>
      </w:pPr>
      <w:bookmarkStart w:id="0" w:name="_Toc59194842"/>
      <w:r w:rsidRPr="00971679">
        <w:lastRenderedPageBreak/>
        <w:t>INTRODUCTION</w:t>
      </w:r>
      <w:bookmarkEnd w:id="0"/>
    </w:p>
    <w:p w14:paraId="06660BBB" w14:textId="07A2E09B" w:rsidR="00971679" w:rsidRDefault="00971679" w:rsidP="00AD2318">
      <w:pPr>
        <w:adjustRightInd w:val="0"/>
        <w:spacing w:line="480" w:lineRule="auto"/>
        <w:ind w:firstLine="720"/>
        <w:jc w:val="both"/>
        <w:rPr>
          <w:rFonts w:ascii="Arial" w:hAnsi="Arial" w:cs="Arial"/>
          <w:sz w:val="24"/>
          <w:szCs w:val="24"/>
        </w:rPr>
      </w:pPr>
      <w:r>
        <w:rPr>
          <w:rFonts w:ascii="Arial" w:hAnsi="Arial" w:cs="Arial"/>
          <w:sz w:val="24"/>
          <w:szCs w:val="24"/>
        </w:rPr>
        <w:t>On June 6, 2020, the Ohio Power Company (“AEP Ohio”) filed an application to increase i</w:t>
      </w:r>
      <w:r w:rsidR="00354DD0">
        <w:rPr>
          <w:rFonts w:ascii="Arial" w:hAnsi="Arial" w:cs="Arial"/>
          <w:sz w:val="24"/>
          <w:szCs w:val="24"/>
        </w:rPr>
        <w:t>ts</w:t>
      </w:r>
      <w:r>
        <w:rPr>
          <w:rFonts w:ascii="Arial" w:hAnsi="Arial" w:cs="Arial"/>
          <w:sz w:val="24"/>
          <w:szCs w:val="24"/>
        </w:rPr>
        <w:t xml:space="preserve"> distribution rates, for tariff approval, and to change its accounting methods (“Application”).  The Staff Report of Investigation (“Staff Report”) was filed with the Public Utilities Commission of Ohio ("Commission") on November 18, 2020, </w:t>
      </w:r>
      <w:r w:rsidR="00636133">
        <w:rPr>
          <w:rFonts w:ascii="Arial" w:hAnsi="Arial" w:cs="Arial"/>
          <w:sz w:val="24"/>
          <w:szCs w:val="24"/>
        </w:rPr>
        <w:t xml:space="preserve">as </w:t>
      </w:r>
      <w:r w:rsidR="004B4269">
        <w:rPr>
          <w:rFonts w:ascii="Arial" w:hAnsi="Arial" w:cs="Arial"/>
          <w:sz w:val="24"/>
          <w:szCs w:val="24"/>
        </w:rPr>
        <w:t>corrected</w:t>
      </w:r>
      <w:r w:rsidR="00636133">
        <w:rPr>
          <w:rFonts w:ascii="Arial" w:hAnsi="Arial" w:cs="Arial"/>
          <w:sz w:val="24"/>
          <w:szCs w:val="24"/>
        </w:rPr>
        <w:t xml:space="preserve"> on November </w:t>
      </w:r>
      <w:r w:rsidR="004B4269">
        <w:rPr>
          <w:rFonts w:ascii="Arial" w:hAnsi="Arial" w:cs="Arial"/>
          <w:sz w:val="24"/>
          <w:szCs w:val="24"/>
        </w:rPr>
        <w:t xml:space="preserve">25, </w:t>
      </w:r>
      <w:r>
        <w:rPr>
          <w:rFonts w:ascii="Arial" w:hAnsi="Arial" w:cs="Arial"/>
          <w:sz w:val="24"/>
          <w:szCs w:val="24"/>
        </w:rPr>
        <w:t>setting forth the Commission Staff’s ("Staff</w:t>
      </w:r>
      <w:r w:rsidR="00B11B6F">
        <w:rPr>
          <w:rFonts w:ascii="Arial" w:hAnsi="Arial" w:cs="Arial"/>
          <w:sz w:val="24"/>
          <w:szCs w:val="24"/>
        </w:rPr>
        <w:t>”</w:t>
      </w:r>
      <w:r>
        <w:rPr>
          <w:rFonts w:ascii="Arial" w:hAnsi="Arial" w:cs="Arial"/>
          <w:sz w:val="24"/>
          <w:szCs w:val="24"/>
        </w:rPr>
        <w:t>) findings regarding the Application.</w:t>
      </w:r>
    </w:p>
    <w:p w14:paraId="13DCB08B" w14:textId="7EFDD3AB" w:rsidR="00971679" w:rsidRDefault="00971679" w:rsidP="00AD2318">
      <w:pPr>
        <w:adjustRightInd w:val="0"/>
        <w:spacing w:line="480" w:lineRule="auto"/>
        <w:ind w:firstLine="720"/>
        <w:jc w:val="both"/>
        <w:rPr>
          <w:rFonts w:ascii="Arial" w:hAnsi="Arial" w:cs="Arial"/>
          <w:sz w:val="24"/>
          <w:szCs w:val="24"/>
        </w:rPr>
      </w:pPr>
      <w:r>
        <w:rPr>
          <w:rFonts w:ascii="Arial" w:hAnsi="Arial" w:cs="Arial"/>
          <w:sz w:val="24"/>
          <w:szCs w:val="24"/>
        </w:rPr>
        <w:t>Pursuant to R.C. 4909.19</w:t>
      </w:r>
      <w:r w:rsidR="004B4269">
        <w:rPr>
          <w:rFonts w:ascii="Arial" w:hAnsi="Arial" w:cs="Arial"/>
          <w:sz w:val="24"/>
          <w:szCs w:val="24"/>
        </w:rPr>
        <w:t xml:space="preserve"> and </w:t>
      </w:r>
      <w:r>
        <w:rPr>
          <w:rFonts w:ascii="Arial" w:hAnsi="Arial" w:cs="Arial"/>
          <w:sz w:val="24"/>
          <w:szCs w:val="24"/>
        </w:rPr>
        <w:t xml:space="preserve">Ohio </w:t>
      </w:r>
      <w:proofErr w:type="spellStart"/>
      <w:r>
        <w:rPr>
          <w:rFonts w:ascii="Arial" w:hAnsi="Arial" w:cs="Arial"/>
          <w:sz w:val="24"/>
          <w:szCs w:val="24"/>
        </w:rPr>
        <w:t>Adm.Code</w:t>
      </w:r>
      <w:proofErr w:type="spellEnd"/>
      <w:r>
        <w:rPr>
          <w:rFonts w:ascii="Arial" w:hAnsi="Arial" w:cs="Arial"/>
          <w:sz w:val="24"/>
          <w:szCs w:val="24"/>
        </w:rPr>
        <w:t xml:space="preserve"> 4901-1-28, Interstate Gas Supply, Inc. (“IGS</w:t>
      </w:r>
      <w:r w:rsidR="00905A22">
        <w:rPr>
          <w:rFonts w:ascii="Arial" w:hAnsi="Arial" w:cs="Arial"/>
          <w:sz w:val="24"/>
          <w:szCs w:val="24"/>
        </w:rPr>
        <w:t xml:space="preserve"> Energy</w:t>
      </w:r>
      <w:r>
        <w:rPr>
          <w:rFonts w:ascii="Arial" w:hAnsi="Arial" w:cs="Arial"/>
          <w:sz w:val="24"/>
          <w:szCs w:val="24"/>
        </w:rPr>
        <w:t>”</w:t>
      </w:r>
      <w:r w:rsidR="00504FA6">
        <w:rPr>
          <w:rFonts w:ascii="Arial" w:hAnsi="Arial" w:cs="Arial"/>
          <w:sz w:val="24"/>
          <w:szCs w:val="24"/>
        </w:rPr>
        <w:t xml:space="preserve"> or “IGS”</w:t>
      </w:r>
      <w:r>
        <w:rPr>
          <w:rFonts w:ascii="Arial" w:hAnsi="Arial" w:cs="Arial"/>
          <w:sz w:val="24"/>
          <w:szCs w:val="24"/>
        </w:rPr>
        <w:t xml:space="preserve">) hereby files its Objections to the Staff Report and Summary of Major Issues in the above-captioned matters.  IGS </w:t>
      </w:r>
      <w:r w:rsidR="001A6BF0">
        <w:rPr>
          <w:rFonts w:ascii="Arial" w:hAnsi="Arial" w:cs="Arial"/>
          <w:sz w:val="24"/>
          <w:szCs w:val="24"/>
        </w:rPr>
        <w:t xml:space="preserve">Energy </w:t>
      </w:r>
      <w:r>
        <w:rPr>
          <w:rFonts w:ascii="Arial" w:hAnsi="Arial" w:cs="Arial"/>
          <w:sz w:val="24"/>
          <w:szCs w:val="24"/>
        </w:rPr>
        <w:t>reserves the right to contest through cross-examination, testimony, or exhibits any newly raised issues, issues raised by any other party, or any position set forth in the Staff Report that changes prior to the close of the record.</w:t>
      </w:r>
    </w:p>
    <w:p w14:paraId="6A1BA545" w14:textId="2DADEACF" w:rsidR="004437BC" w:rsidRDefault="004437BC" w:rsidP="00AD2318">
      <w:pPr>
        <w:pStyle w:val="Heading1"/>
        <w:numPr>
          <w:ilvl w:val="0"/>
          <w:numId w:val="3"/>
        </w:numPr>
        <w:spacing w:after="0"/>
      </w:pPr>
      <w:bookmarkStart w:id="1" w:name="_Toc59194843"/>
      <w:r>
        <w:t>BACKGROUND</w:t>
      </w:r>
      <w:bookmarkEnd w:id="1"/>
    </w:p>
    <w:p w14:paraId="267BB15B" w14:textId="189435C3" w:rsidR="008F23B7" w:rsidRPr="00AD2318" w:rsidRDefault="00B40A95" w:rsidP="00AD2318">
      <w:pPr>
        <w:spacing w:line="480" w:lineRule="auto"/>
        <w:ind w:firstLine="720"/>
        <w:jc w:val="both"/>
        <w:rPr>
          <w:b/>
          <w:highlight w:val="yellow"/>
        </w:rPr>
      </w:pPr>
      <w:r w:rsidRPr="00AD2318">
        <w:rPr>
          <w:rFonts w:ascii="Arial" w:hAnsi="Arial" w:cs="Arial"/>
          <w:sz w:val="24"/>
          <w:szCs w:val="24"/>
        </w:rPr>
        <w:t xml:space="preserve">In its Application, AEP Ohio </w:t>
      </w:r>
      <w:r w:rsidR="008C2CB1" w:rsidRPr="00AD2318">
        <w:rPr>
          <w:rFonts w:ascii="Arial" w:hAnsi="Arial" w:cs="Arial"/>
          <w:sz w:val="24"/>
          <w:szCs w:val="24"/>
        </w:rPr>
        <w:t>proposes</w:t>
      </w:r>
      <w:r w:rsidR="00426CDE" w:rsidRPr="00AD2318">
        <w:rPr>
          <w:rFonts w:ascii="Arial" w:hAnsi="Arial" w:cs="Arial"/>
          <w:sz w:val="24"/>
          <w:szCs w:val="24"/>
        </w:rPr>
        <w:t xml:space="preserve"> </w:t>
      </w:r>
      <w:r w:rsidR="00EB1CDF" w:rsidRPr="00AD2318">
        <w:rPr>
          <w:rFonts w:ascii="Arial" w:hAnsi="Arial" w:cs="Arial"/>
          <w:sz w:val="24"/>
          <w:szCs w:val="24"/>
        </w:rPr>
        <w:t>a</w:t>
      </w:r>
      <w:r w:rsidR="00A34431" w:rsidRPr="00AD2318">
        <w:rPr>
          <w:rFonts w:ascii="Arial" w:hAnsi="Arial" w:cs="Arial"/>
          <w:sz w:val="24"/>
          <w:szCs w:val="24"/>
        </w:rPr>
        <w:t xml:space="preserve"> rate base </w:t>
      </w:r>
      <w:r w:rsidR="00EE2E4D" w:rsidRPr="00AD2318">
        <w:rPr>
          <w:rFonts w:ascii="Arial" w:hAnsi="Arial" w:cs="Arial"/>
          <w:sz w:val="24"/>
          <w:szCs w:val="24"/>
        </w:rPr>
        <w:t>of $3,105,</w:t>
      </w:r>
      <w:r w:rsidR="001A4A9F" w:rsidRPr="00AD2318">
        <w:rPr>
          <w:rFonts w:ascii="Arial" w:hAnsi="Arial" w:cs="Arial"/>
          <w:sz w:val="24"/>
          <w:szCs w:val="24"/>
        </w:rPr>
        <w:t>270,000</w:t>
      </w:r>
      <w:r w:rsidR="0026463A" w:rsidRPr="00AD2318">
        <w:rPr>
          <w:rFonts w:ascii="Arial" w:hAnsi="Arial" w:cs="Arial"/>
          <w:sz w:val="24"/>
          <w:szCs w:val="24"/>
        </w:rPr>
        <w:t xml:space="preserve">, </w:t>
      </w:r>
      <w:r w:rsidR="008F6C95" w:rsidRPr="00AD2318">
        <w:rPr>
          <w:rFonts w:ascii="Arial" w:hAnsi="Arial" w:cs="Arial"/>
          <w:sz w:val="24"/>
          <w:szCs w:val="24"/>
        </w:rPr>
        <w:t xml:space="preserve">and </w:t>
      </w:r>
      <w:r w:rsidR="007A6F66" w:rsidRPr="00AD2318">
        <w:rPr>
          <w:rFonts w:ascii="Arial" w:hAnsi="Arial" w:cs="Arial"/>
          <w:sz w:val="24"/>
          <w:szCs w:val="24"/>
        </w:rPr>
        <w:t xml:space="preserve">recovery </w:t>
      </w:r>
      <w:r w:rsidR="00A74912" w:rsidRPr="00AD2318">
        <w:rPr>
          <w:rFonts w:ascii="Arial" w:hAnsi="Arial" w:cs="Arial"/>
          <w:sz w:val="24"/>
          <w:szCs w:val="24"/>
        </w:rPr>
        <w:t xml:space="preserve">for </w:t>
      </w:r>
      <w:r w:rsidR="008F6C95" w:rsidRPr="00AD2318">
        <w:rPr>
          <w:rFonts w:ascii="Arial" w:hAnsi="Arial" w:cs="Arial"/>
          <w:sz w:val="24"/>
          <w:szCs w:val="24"/>
        </w:rPr>
        <w:t xml:space="preserve">operating expenses </w:t>
      </w:r>
      <w:r w:rsidR="00A74912" w:rsidRPr="00AD2318">
        <w:rPr>
          <w:rFonts w:ascii="Arial" w:hAnsi="Arial" w:cs="Arial"/>
          <w:sz w:val="24"/>
          <w:szCs w:val="24"/>
        </w:rPr>
        <w:t>totaling</w:t>
      </w:r>
      <w:r w:rsidR="001E4B39" w:rsidRPr="00AD2318">
        <w:rPr>
          <w:rFonts w:ascii="Arial" w:hAnsi="Arial" w:cs="Arial"/>
          <w:sz w:val="24"/>
          <w:szCs w:val="24"/>
        </w:rPr>
        <w:t xml:space="preserve"> $820,</w:t>
      </w:r>
      <w:r w:rsidR="008F6C95" w:rsidRPr="00AD2318">
        <w:rPr>
          <w:rFonts w:ascii="Arial" w:hAnsi="Arial" w:cs="Arial"/>
          <w:sz w:val="24"/>
          <w:szCs w:val="24"/>
        </w:rPr>
        <w:t>560</w:t>
      </w:r>
      <w:r w:rsidR="000D5BBE" w:rsidRPr="00AD2318">
        <w:rPr>
          <w:rFonts w:ascii="Arial" w:hAnsi="Arial" w:cs="Arial"/>
          <w:sz w:val="24"/>
          <w:szCs w:val="24"/>
        </w:rPr>
        <w:t>,000</w:t>
      </w:r>
      <w:r w:rsidR="001E60F1" w:rsidRPr="00AD2318">
        <w:rPr>
          <w:rFonts w:ascii="Arial" w:hAnsi="Arial" w:cs="Arial"/>
          <w:sz w:val="24"/>
          <w:szCs w:val="24"/>
        </w:rPr>
        <w:t>.</w:t>
      </w:r>
      <w:r w:rsidR="00212A40" w:rsidRPr="00AD2318">
        <w:rPr>
          <w:rStyle w:val="FootnoteReference"/>
          <w:rFonts w:cs="Arial"/>
          <w:sz w:val="24"/>
          <w:szCs w:val="24"/>
        </w:rPr>
        <w:footnoteReference w:id="2"/>
      </w:r>
      <w:r w:rsidR="001E60F1" w:rsidRPr="00AD2318">
        <w:rPr>
          <w:rFonts w:ascii="Arial" w:hAnsi="Arial" w:cs="Arial"/>
          <w:sz w:val="24"/>
          <w:szCs w:val="24"/>
        </w:rPr>
        <w:t xml:space="preserve"> After review</w:t>
      </w:r>
      <w:r w:rsidR="00A74912" w:rsidRPr="00AD2318">
        <w:rPr>
          <w:rFonts w:ascii="Arial" w:hAnsi="Arial" w:cs="Arial"/>
          <w:sz w:val="24"/>
          <w:szCs w:val="24"/>
        </w:rPr>
        <w:t xml:space="preserve"> of </w:t>
      </w:r>
      <w:r w:rsidR="00FB1BC7" w:rsidRPr="00AD2318">
        <w:rPr>
          <w:rFonts w:ascii="Arial" w:hAnsi="Arial" w:cs="Arial"/>
          <w:sz w:val="24"/>
          <w:szCs w:val="24"/>
        </w:rPr>
        <w:t>the filing</w:t>
      </w:r>
      <w:r w:rsidR="001E60F1" w:rsidRPr="00AD2318">
        <w:rPr>
          <w:rFonts w:ascii="Arial" w:hAnsi="Arial" w:cs="Arial"/>
          <w:sz w:val="24"/>
          <w:szCs w:val="24"/>
        </w:rPr>
        <w:t xml:space="preserve">, the Staff Report recommends a rate base of </w:t>
      </w:r>
      <w:r w:rsidR="001A7408" w:rsidRPr="00AD2318">
        <w:rPr>
          <w:rFonts w:ascii="Arial" w:hAnsi="Arial" w:cs="Arial"/>
          <w:sz w:val="24"/>
          <w:szCs w:val="24"/>
        </w:rPr>
        <w:t xml:space="preserve">$2,902,965,000 and </w:t>
      </w:r>
      <w:r w:rsidR="009874CC" w:rsidRPr="00AD2318">
        <w:rPr>
          <w:rFonts w:ascii="Arial" w:hAnsi="Arial" w:cs="Arial"/>
          <w:sz w:val="24"/>
          <w:szCs w:val="24"/>
        </w:rPr>
        <w:t>operati</w:t>
      </w:r>
      <w:r w:rsidR="00F33468" w:rsidRPr="00AD2318">
        <w:rPr>
          <w:rFonts w:ascii="Arial" w:hAnsi="Arial" w:cs="Arial"/>
          <w:sz w:val="24"/>
          <w:szCs w:val="24"/>
        </w:rPr>
        <w:t>ng</w:t>
      </w:r>
      <w:r w:rsidR="009874CC" w:rsidRPr="00AD2318">
        <w:rPr>
          <w:rFonts w:ascii="Arial" w:hAnsi="Arial" w:cs="Arial"/>
          <w:sz w:val="24"/>
          <w:szCs w:val="24"/>
        </w:rPr>
        <w:t xml:space="preserve"> expenses </w:t>
      </w:r>
      <w:r w:rsidR="00F33468" w:rsidRPr="00AD2318">
        <w:rPr>
          <w:rFonts w:ascii="Arial" w:hAnsi="Arial" w:cs="Arial"/>
          <w:sz w:val="24"/>
          <w:szCs w:val="24"/>
        </w:rPr>
        <w:t>of $731,239</w:t>
      </w:r>
      <w:r w:rsidR="00EB5BB3" w:rsidRPr="00AD2318">
        <w:rPr>
          <w:rFonts w:ascii="Arial" w:hAnsi="Arial" w:cs="Arial"/>
          <w:sz w:val="24"/>
          <w:szCs w:val="24"/>
        </w:rPr>
        <w:t>.</w:t>
      </w:r>
      <w:r w:rsidR="0084319F" w:rsidRPr="00AD2318">
        <w:rPr>
          <w:rStyle w:val="FootnoteReference"/>
          <w:rFonts w:cs="Arial"/>
          <w:sz w:val="24"/>
          <w:szCs w:val="24"/>
        </w:rPr>
        <w:footnoteReference w:id="3"/>
      </w:r>
      <w:r w:rsidR="006C64B4" w:rsidRPr="00AD2318">
        <w:rPr>
          <w:rFonts w:ascii="Arial" w:hAnsi="Arial" w:cs="Arial"/>
          <w:sz w:val="24"/>
          <w:szCs w:val="24"/>
        </w:rPr>
        <w:t xml:space="preserve"> </w:t>
      </w:r>
      <w:r w:rsidR="00F5148C" w:rsidRPr="00AD2318">
        <w:rPr>
          <w:rFonts w:ascii="Arial" w:eastAsiaTheme="minorEastAsia" w:hAnsi="Arial" w:cs="Arial"/>
          <w:sz w:val="24"/>
          <w:szCs w:val="24"/>
        </w:rPr>
        <w:t>However, i</w:t>
      </w:r>
      <w:r w:rsidR="00B95A9F" w:rsidRPr="00AD2318">
        <w:rPr>
          <w:rFonts w:ascii="Arial" w:eastAsiaTheme="minorEastAsia" w:hAnsi="Arial" w:cs="Arial"/>
          <w:sz w:val="24"/>
          <w:szCs w:val="24"/>
        </w:rPr>
        <w:t xml:space="preserve">ncluded in </w:t>
      </w:r>
      <w:r w:rsidR="00CC34B5" w:rsidRPr="00AD2318">
        <w:rPr>
          <w:rFonts w:ascii="Arial" w:eastAsiaTheme="minorEastAsia" w:hAnsi="Arial" w:cs="Arial"/>
          <w:sz w:val="24"/>
          <w:szCs w:val="24"/>
        </w:rPr>
        <w:t xml:space="preserve">the </w:t>
      </w:r>
      <w:r w:rsidR="004A4CCC" w:rsidRPr="00AD2318">
        <w:rPr>
          <w:rFonts w:ascii="Arial" w:hAnsi="Arial" w:cs="Arial"/>
          <w:sz w:val="24"/>
          <w:szCs w:val="24"/>
        </w:rPr>
        <w:t>proposed amounts</w:t>
      </w:r>
      <w:r w:rsidR="00CC34B5" w:rsidRPr="00AD2318">
        <w:rPr>
          <w:rFonts w:ascii="Arial" w:eastAsiaTheme="minorEastAsia" w:hAnsi="Arial" w:cs="Arial"/>
          <w:sz w:val="24"/>
          <w:szCs w:val="24"/>
        </w:rPr>
        <w:t xml:space="preserve"> of both AEP Ohio</w:t>
      </w:r>
      <w:r w:rsidR="00FC0AE2" w:rsidRPr="00AD2318">
        <w:rPr>
          <w:rFonts w:ascii="Arial" w:eastAsiaTheme="minorEastAsia" w:hAnsi="Arial" w:cs="Arial"/>
          <w:sz w:val="24"/>
          <w:szCs w:val="24"/>
        </w:rPr>
        <w:t xml:space="preserve"> </w:t>
      </w:r>
      <w:r w:rsidR="00CC34B5" w:rsidRPr="00AD2318">
        <w:rPr>
          <w:rFonts w:ascii="Arial" w:eastAsiaTheme="minorEastAsia" w:hAnsi="Arial" w:cs="Arial"/>
          <w:sz w:val="24"/>
          <w:szCs w:val="24"/>
        </w:rPr>
        <w:t>and the Staff Report</w:t>
      </w:r>
      <w:r w:rsidR="00FC0AE2" w:rsidRPr="00AD2318">
        <w:rPr>
          <w:rFonts w:ascii="Arial" w:eastAsiaTheme="minorEastAsia" w:hAnsi="Arial" w:cs="Arial"/>
          <w:sz w:val="24"/>
          <w:szCs w:val="24"/>
        </w:rPr>
        <w:t xml:space="preserve"> are costs </w:t>
      </w:r>
      <w:r w:rsidR="001E6A24" w:rsidRPr="00AD2318">
        <w:rPr>
          <w:rFonts w:ascii="Arial" w:eastAsiaTheme="minorEastAsia" w:hAnsi="Arial" w:cs="Arial"/>
          <w:sz w:val="24"/>
          <w:szCs w:val="24"/>
        </w:rPr>
        <w:t>related</w:t>
      </w:r>
      <w:r w:rsidR="001E6A24" w:rsidRPr="00AD2318">
        <w:rPr>
          <w:rFonts w:ascii="Arial" w:hAnsi="Arial" w:cs="Arial"/>
          <w:sz w:val="24"/>
          <w:szCs w:val="24"/>
        </w:rPr>
        <w:t xml:space="preserve"> </w:t>
      </w:r>
      <w:r w:rsidR="004A4CCC" w:rsidRPr="00AD2318">
        <w:rPr>
          <w:rFonts w:ascii="Arial" w:hAnsi="Arial" w:cs="Arial"/>
          <w:sz w:val="24"/>
          <w:szCs w:val="24"/>
        </w:rPr>
        <w:t xml:space="preserve">to the provision of the </w:t>
      </w:r>
      <w:r w:rsidR="004A4CCC" w:rsidRPr="00AD2318">
        <w:rPr>
          <w:rFonts w:ascii="Arial" w:eastAsiaTheme="minorEastAsia" w:hAnsi="Arial" w:cs="Arial"/>
          <w:sz w:val="24"/>
          <w:szCs w:val="24"/>
        </w:rPr>
        <w:t>standard service offer (“SSO”)</w:t>
      </w:r>
      <w:r w:rsidR="00A52738" w:rsidRPr="00AD2318">
        <w:rPr>
          <w:rFonts w:ascii="Arial" w:hAnsi="Arial" w:cs="Arial"/>
          <w:sz w:val="24"/>
          <w:szCs w:val="24"/>
        </w:rPr>
        <w:t>, contrary to Ohio law</w:t>
      </w:r>
      <w:r w:rsidR="005773F8">
        <w:rPr>
          <w:rFonts w:ascii="Arial" w:hAnsi="Arial" w:cs="Arial"/>
          <w:sz w:val="24"/>
          <w:szCs w:val="24"/>
        </w:rPr>
        <w:t xml:space="preserve">, </w:t>
      </w:r>
      <w:r w:rsidR="005773F8">
        <w:rPr>
          <w:rFonts w:ascii="Arial" w:hAnsi="Arial" w:cs="Arial"/>
          <w:sz w:val="24"/>
          <w:szCs w:val="24"/>
        </w:rPr>
        <w:lastRenderedPageBreak/>
        <w:t xml:space="preserve">policy, </w:t>
      </w:r>
      <w:r w:rsidR="0090033E">
        <w:rPr>
          <w:rFonts w:ascii="Arial" w:hAnsi="Arial" w:cs="Arial"/>
          <w:sz w:val="24"/>
          <w:szCs w:val="24"/>
        </w:rPr>
        <w:t xml:space="preserve"> and Commission directive</w:t>
      </w:r>
      <w:r w:rsidR="00A52738" w:rsidRPr="00AD2318">
        <w:rPr>
          <w:rFonts w:ascii="Arial" w:hAnsi="Arial" w:cs="Arial"/>
          <w:sz w:val="24"/>
          <w:szCs w:val="24"/>
        </w:rPr>
        <w:t>.</w:t>
      </w:r>
      <w:r w:rsidR="00A52738" w:rsidRPr="00AD2318">
        <w:rPr>
          <w:rStyle w:val="FootnoteReference"/>
          <w:rFonts w:cs="Arial"/>
          <w:b/>
          <w:sz w:val="24"/>
          <w:szCs w:val="24"/>
        </w:rPr>
        <w:footnoteReference w:id="4"/>
      </w:r>
      <w:r w:rsidR="004A4CCC" w:rsidRPr="00AD2318">
        <w:rPr>
          <w:rFonts w:ascii="Arial" w:hAnsi="Arial" w:cs="Arial"/>
          <w:sz w:val="24"/>
          <w:szCs w:val="24"/>
        </w:rPr>
        <w:t xml:space="preserve"> </w:t>
      </w:r>
    </w:p>
    <w:p w14:paraId="37C83C63" w14:textId="1143AF2F" w:rsidR="00A17747" w:rsidRPr="005773F8" w:rsidRDefault="00BE5225" w:rsidP="00AD2318">
      <w:pPr>
        <w:spacing w:line="480" w:lineRule="auto"/>
        <w:ind w:firstLine="720"/>
        <w:jc w:val="both"/>
      </w:pPr>
      <w:r w:rsidRPr="00AD2318">
        <w:rPr>
          <w:rFonts w:ascii="Arial" w:hAnsi="Arial" w:cs="Arial"/>
          <w:sz w:val="24"/>
          <w:szCs w:val="24"/>
        </w:rPr>
        <w:t>In</w:t>
      </w:r>
      <w:r w:rsidR="00A71430">
        <w:rPr>
          <w:rFonts w:ascii="Arial" w:hAnsi="Arial" w:cs="Arial"/>
          <w:sz w:val="24"/>
          <w:szCs w:val="24"/>
        </w:rPr>
        <w:t xml:space="preserve"> AEP Ohio’s </w:t>
      </w:r>
      <w:r w:rsidRPr="00AD2318">
        <w:rPr>
          <w:rFonts w:ascii="Arial" w:hAnsi="Arial" w:cs="Arial"/>
          <w:sz w:val="24"/>
          <w:szCs w:val="24"/>
        </w:rPr>
        <w:t xml:space="preserve">ESP IV, </w:t>
      </w:r>
      <w:r w:rsidR="00E01FFE" w:rsidRPr="00AD2318">
        <w:rPr>
          <w:rFonts w:ascii="Arial" w:hAnsi="Arial" w:cs="Arial"/>
          <w:sz w:val="24"/>
          <w:szCs w:val="24"/>
        </w:rPr>
        <w:t>the Stipulation proposed to</w:t>
      </w:r>
      <w:r w:rsidR="00DC6B99" w:rsidRPr="00AD2318">
        <w:rPr>
          <w:rFonts w:ascii="Arial" w:hAnsi="Arial" w:cs="Arial"/>
          <w:sz w:val="24"/>
          <w:szCs w:val="24"/>
        </w:rPr>
        <w:t xml:space="preserve"> establish </w:t>
      </w:r>
      <w:r w:rsidR="00DE649C">
        <w:rPr>
          <w:rFonts w:ascii="Arial" w:hAnsi="Arial" w:cs="Arial"/>
          <w:sz w:val="24"/>
          <w:szCs w:val="24"/>
        </w:rPr>
        <w:t>a</w:t>
      </w:r>
      <w:r w:rsidR="00DE649C" w:rsidRPr="00AD2318">
        <w:rPr>
          <w:rFonts w:ascii="Arial" w:hAnsi="Arial" w:cs="Arial"/>
          <w:sz w:val="24"/>
          <w:szCs w:val="24"/>
        </w:rPr>
        <w:t xml:space="preserve"> </w:t>
      </w:r>
      <w:proofErr w:type="spellStart"/>
      <w:r w:rsidR="00DC6B99" w:rsidRPr="00AD2318">
        <w:rPr>
          <w:rFonts w:ascii="Arial" w:hAnsi="Arial" w:cs="Arial"/>
          <w:sz w:val="24"/>
          <w:szCs w:val="24"/>
        </w:rPr>
        <w:t>bypassable</w:t>
      </w:r>
      <w:proofErr w:type="spellEnd"/>
      <w:r w:rsidR="00DC6B99" w:rsidRPr="00AD2318">
        <w:rPr>
          <w:rFonts w:ascii="Arial" w:hAnsi="Arial" w:cs="Arial"/>
          <w:sz w:val="24"/>
          <w:szCs w:val="24"/>
        </w:rPr>
        <w:t xml:space="preserve"> </w:t>
      </w:r>
      <w:r w:rsidR="00E14AB2" w:rsidRPr="00AD2318">
        <w:rPr>
          <w:rFonts w:ascii="Arial" w:hAnsi="Arial" w:cs="Arial"/>
          <w:sz w:val="24"/>
          <w:szCs w:val="24"/>
        </w:rPr>
        <w:t>Competitive Incentive Rider (“</w:t>
      </w:r>
      <w:r w:rsidR="00DC6B99" w:rsidRPr="00AD2318">
        <w:rPr>
          <w:rFonts w:ascii="Arial" w:hAnsi="Arial" w:cs="Arial"/>
          <w:sz w:val="24"/>
          <w:szCs w:val="24"/>
        </w:rPr>
        <w:t>CIR</w:t>
      </w:r>
      <w:r w:rsidR="00E14AB2" w:rsidRPr="00AD2318">
        <w:rPr>
          <w:rFonts w:ascii="Arial" w:hAnsi="Arial" w:cs="Arial"/>
          <w:sz w:val="24"/>
          <w:szCs w:val="24"/>
        </w:rPr>
        <w:t>”)</w:t>
      </w:r>
      <w:r w:rsidR="00E01FFE" w:rsidRPr="00AD2318">
        <w:rPr>
          <w:rFonts w:ascii="Arial" w:hAnsi="Arial" w:cs="Arial"/>
          <w:sz w:val="24"/>
          <w:szCs w:val="24"/>
        </w:rPr>
        <w:t xml:space="preserve"> and </w:t>
      </w:r>
      <w:r w:rsidR="005F2D7D" w:rsidRPr="00AD2318">
        <w:rPr>
          <w:rFonts w:ascii="Arial" w:hAnsi="Arial" w:cs="Arial"/>
          <w:sz w:val="24"/>
          <w:szCs w:val="24"/>
        </w:rPr>
        <w:t>non</w:t>
      </w:r>
      <w:r w:rsidR="008343E6">
        <w:rPr>
          <w:rFonts w:ascii="Arial" w:hAnsi="Arial" w:cs="Arial"/>
          <w:sz w:val="24"/>
          <w:szCs w:val="24"/>
        </w:rPr>
        <w:t>-</w:t>
      </w:r>
      <w:proofErr w:type="spellStart"/>
      <w:r w:rsidR="005F2D7D" w:rsidRPr="00AD2318">
        <w:rPr>
          <w:rFonts w:ascii="Arial" w:hAnsi="Arial" w:cs="Arial"/>
          <w:sz w:val="24"/>
          <w:szCs w:val="24"/>
        </w:rPr>
        <w:t>bypassable</w:t>
      </w:r>
      <w:proofErr w:type="spellEnd"/>
      <w:r w:rsidR="005F2D7D" w:rsidRPr="00AD2318">
        <w:rPr>
          <w:rFonts w:ascii="Arial" w:hAnsi="Arial" w:cs="Arial"/>
          <w:sz w:val="24"/>
          <w:szCs w:val="24"/>
        </w:rPr>
        <w:t xml:space="preserve"> Standard Service Offer Credit Rider (“SSOCR”)</w:t>
      </w:r>
      <w:r w:rsidR="00DC6B99" w:rsidRPr="00AD2318">
        <w:rPr>
          <w:rFonts w:ascii="Arial" w:hAnsi="Arial" w:cs="Arial"/>
          <w:sz w:val="24"/>
          <w:szCs w:val="24"/>
        </w:rPr>
        <w:t xml:space="preserve">, in recognition of </w:t>
      </w:r>
      <w:r w:rsidR="00334E95" w:rsidRPr="00AD2318">
        <w:rPr>
          <w:rFonts w:ascii="Arial" w:hAnsi="Arial" w:cs="Arial"/>
          <w:sz w:val="24"/>
          <w:szCs w:val="24"/>
        </w:rPr>
        <w:t>the</w:t>
      </w:r>
      <w:r w:rsidR="00DC6B99" w:rsidRPr="00AD2318">
        <w:rPr>
          <w:rFonts w:ascii="Arial" w:hAnsi="Arial" w:cs="Arial"/>
          <w:sz w:val="24"/>
          <w:szCs w:val="24"/>
        </w:rPr>
        <w:t xml:space="preserve"> costs associated with </w:t>
      </w:r>
      <w:r w:rsidR="000134F6">
        <w:rPr>
          <w:rFonts w:ascii="Arial" w:hAnsi="Arial" w:cs="Arial"/>
          <w:sz w:val="24"/>
          <w:szCs w:val="24"/>
        </w:rPr>
        <w:t xml:space="preserve">AEP Ohio </w:t>
      </w:r>
      <w:r w:rsidR="00DC6B99" w:rsidRPr="00AD2318">
        <w:rPr>
          <w:rFonts w:ascii="Arial" w:hAnsi="Arial" w:cs="Arial"/>
          <w:sz w:val="24"/>
          <w:szCs w:val="24"/>
        </w:rPr>
        <w:t xml:space="preserve">providing </w:t>
      </w:r>
      <w:r w:rsidR="000134F6">
        <w:rPr>
          <w:rFonts w:ascii="Arial" w:hAnsi="Arial" w:cs="Arial"/>
          <w:sz w:val="24"/>
          <w:szCs w:val="24"/>
        </w:rPr>
        <w:t xml:space="preserve">a competitive </w:t>
      </w:r>
      <w:r w:rsidR="00DC6B99" w:rsidRPr="00AD2318">
        <w:rPr>
          <w:rFonts w:ascii="Arial" w:hAnsi="Arial" w:cs="Arial"/>
          <w:sz w:val="24"/>
          <w:szCs w:val="24"/>
        </w:rPr>
        <w:t>retail electric service that are not reflected in SSO rates.</w:t>
      </w:r>
      <w:r w:rsidR="00DC6B99" w:rsidRPr="00AD2318">
        <w:rPr>
          <w:rStyle w:val="FootnoteReference"/>
          <w:rFonts w:cs="Arial"/>
          <w:b/>
          <w:sz w:val="24"/>
          <w:szCs w:val="24"/>
        </w:rPr>
        <w:footnoteReference w:id="5"/>
      </w:r>
      <w:r w:rsidR="00B60B40" w:rsidRPr="00AD2318">
        <w:rPr>
          <w:rFonts w:ascii="Arial" w:hAnsi="Arial" w:cs="Arial"/>
          <w:sz w:val="24"/>
          <w:szCs w:val="24"/>
        </w:rPr>
        <w:t xml:space="preserve"> </w:t>
      </w:r>
      <w:r w:rsidR="0079721E" w:rsidRPr="00AD2318">
        <w:rPr>
          <w:rFonts w:ascii="Arial" w:hAnsi="Arial" w:cs="Arial"/>
          <w:sz w:val="24"/>
          <w:szCs w:val="24"/>
        </w:rPr>
        <w:t xml:space="preserve">The Stipulation </w:t>
      </w:r>
      <w:r w:rsidR="00807D94" w:rsidRPr="00AD2318">
        <w:rPr>
          <w:rFonts w:ascii="Arial" w:hAnsi="Arial" w:cs="Arial"/>
          <w:sz w:val="24"/>
          <w:szCs w:val="24"/>
        </w:rPr>
        <w:t xml:space="preserve">recommended </w:t>
      </w:r>
      <w:r w:rsidR="00A7607C" w:rsidRPr="00AD2318">
        <w:rPr>
          <w:rFonts w:ascii="Arial" w:hAnsi="Arial" w:cs="Arial"/>
          <w:sz w:val="24"/>
          <w:szCs w:val="24"/>
        </w:rPr>
        <w:t xml:space="preserve">a </w:t>
      </w:r>
      <w:r w:rsidR="00807D94" w:rsidRPr="00AD2318">
        <w:rPr>
          <w:rFonts w:ascii="Arial" w:hAnsi="Arial" w:cs="Arial"/>
          <w:sz w:val="24"/>
          <w:szCs w:val="24"/>
        </w:rPr>
        <w:t>charge</w:t>
      </w:r>
      <w:r w:rsidR="00A7607C" w:rsidRPr="00AD2318">
        <w:rPr>
          <w:rFonts w:ascii="Arial" w:hAnsi="Arial" w:cs="Arial"/>
          <w:sz w:val="24"/>
          <w:szCs w:val="24"/>
        </w:rPr>
        <w:t xml:space="preserve"> </w:t>
      </w:r>
      <w:r w:rsidR="00135070" w:rsidRPr="00AD2318">
        <w:rPr>
          <w:rFonts w:ascii="Arial" w:hAnsi="Arial" w:cs="Arial"/>
          <w:sz w:val="24"/>
          <w:szCs w:val="24"/>
        </w:rPr>
        <w:t>to be collected from SSO customers through the</w:t>
      </w:r>
      <w:r w:rsidR="00A7607C" w:rsidRPr="00AD2318">
        <w:rPr>
          <w:rFonts w:ascii="Arial" w:hAnsi="Arial" w:cs="Arial"/>
          <w:sz w:val="24"/>
          <w:szCs w:val="24"/>
        </w:rPr>
        <w:t xml:space="preserve"> CIR and a credit </w:t>
      </w:r>
      <w:r w:rsidR="009264AC" w:rsidRPr="00AD2318">
        <w:rPr>
          <w:rFonts w:ascii="Arial" w:hAnsi="Arial" w:cs="Arial"/>
          <w:sz w:val="24"/>
          <w:szCs w:val="24"/>
        </w:rPr>
        <w:t>that would be provided to all customers through the</w:t>
      </w:r>
      <w:r w:rsidR="00A7607C" w:rsidRPr="00AD2318">
        <w:rPr>
          <w:rFonts w:ascii="Arial" w:hAnsi="Arial" w:cs="Arial"/>
          <w:sz w:val="24"/>
          <w:szCs w:val="24"/>
        </w:rPr>
        <w:t xml:space="preserve"> SSOCR, which IGS noted was</w:t>
      </w:r>
      <w:r w:rsidR="00932DD4" w:rsidRPr="00AD2318">
        <w:rPr>
          <w:rFonts w:ascii="Arial" w:hAnsi="Arial" w:cs="Arial"/>
          <w:sz w:val="24"/>
          <w:szCs w:val="24"/>
        </w:rPr>
        <w:t xml:space="preserve"> the first step to unbundling and provide</w:t>
      </w:r>
      <w:r w:rsidR="00EC7FE8">
        <w:rPr>
          <w:rFonts w:ascii="Arial" w:hAnsi="Arial" w:cs="Arial"/>
          <w:sz w:val="24"/>
          <w:szCs w:val="24"/>
        </w:rPr>
        <w:t>d</w:t>
      </w:r>
      <w:r w:rsidR="00932DD4" w:rsidRPr="00AD2318">
        <w:rPr>
          <w:rFonts w:ascii="Arial" w:hAnsi="Arial" w:cs="Arial"/>
          <w:sz w:val="24"/>
          <w:szCs w:val="24"/>
        </w:rPr>
        <w:t xml:space="preserve"> a bridge until </w:t>
      </w:r>
      <w:r w:rsidR="00F60CD5" w:rsidRPr="00AD2318">
        <w:rPr>
          <w:rFonts w:ascii="Arial" w:hAnsi="Arial" w:cs="Arial"/>
          <w:sz w:val="24"/>
          <w:szCs w:val="24"/>
        </w:rPr>
        <w:t>AEP Ohio’s next distribution rate case when such costs can be fully unbundled.</w:t>
      </w:r>
      <w:r w:rsidR="00F60CD5" w:rsidRPr="00AD2318">
        <w:rPr>
          <w:rStyle w:val="FootnoteReference"/>
          <w:rFonts w:cs="Arial"/>
          <w:b/>
          <w:sz w:val="24"/>
          <w:szCs w:val="24"/>
        </w:rPr>
        <w:footnoteReference w:id="6"/>
      </w:r>
      <w:r w:rsidR="0079721E" w:rsidRPr="00AD2318">
        <w:rPr>
          <w:rFonts w:ascii="Arial" w:hAnsi="Arial" w:cs="Arial"/>
          <w:sz w:val="24"/>
          <w:szCs w:val="24"/>
        </w:rPr>
        <w:t xml:space="preserve"> </w:t>
      </w:r>
    </w:p>
    <w:p w14:paraId="22C25D33" w14:textId="0E8F4924" w:rsidR="00EC2876" w:rsidRPr="005773F8" w:rsidRDefault="00C452CB" w:rsidP="00AD2318">
      <w:pPr>
        <w:spacing w:line="480" w:lineRule="auto"/>
        <w:ind w:firstLine="720"/>
        <w:jc w:val="both"/>
      </w:pPr>
      <w:r>
        <w:rPr>
          <w:rFonts w:ascii="Arial" w:hAnsi="Arial" w:cs="Arial"/>
          <w:sz w:val="24"/>
          <w:szCs w:val="24"/>
        </w:rPr>
        <w:t>However, in its Opinion and Order,</w:t>
      </w:r>
      <w:r w:rsidR="00EC2876" w:rsidRPr="00AD2318">
        <w:rPr>
          <w:rFonts w:ascii="Arial" w:hAnsi="Arial" w:cs="Arial"/>
          <w:sz w:val="24"/>
          <w:szCs w:val="24"/>
        </w:rPr>
        <w:t xml:space="preserve"> the Commission </w:t>
      </w:r>
      <w:r w:rsidR="007A07E8" w:rsidRPr="00AD2318">
        <w:rPr>
          <w:rFonts w:ascii="Arial" w:hAnsi="Arial" w:cs="Arial"/>
          <w:sz w:val="24"/>
          <w:szCs w:val="24"/>
        </w:rPr>
        <w:t>modified the Stipulation by setting the charge and credit at zero and renaming the CIR to the Retail Reconciliation Rider (“RRR”).</w:t>
      </w:r>
      <w:r w:rsidR="007A07E8" w:rsidRPr="00AD2318">
        <w:rPr>
          <w:rStyle w:val="FootnoteReference"/>
          <w:rFonts w:cs="Arial"/>
          <w:b/>
          <w:sz w:val="24"/>
          <w:szCs w:val="24"/>
        </w:rPr>
        <w:footnoteReference w:id="7"/>
      </w:r>
      <w:r w:rsidR="005242A5" w:rsidRPr="00AD2318">
        <w:rPr>
          <w:rFonts w:ascii="Arial" w:hAnsi="Arial" w:cs="Arial"/>
          <w:sz w:val="24"/>
          <w:szCs w:val="24"/>
        </w:rPr>
        <w:t xml:space="preserve"> In doing so, the Commission </w:t>
      </w:r>
      <w:r w:rsidR="009D0A8C" w:rsidRPr="00AD2318">
        <w:rPr>
          <w:rFonts w:ascii="Arial" w:hAnsi="Arial" w:cs="Arial"/>
          <w:sz w:val="24"/>
          <w:szCs w:val="24"/>
        </w:rPr>
        <w:t>stated that</w:t>
      </w:r>
      <w:r w:rsidR="004B5DD1" w:rsidRPr="00AD2318">
        <w:rPr>
          <w:rFonts w:ascii="Arial" w:hAnsi="Arial" w:cs="Arial"/>
          <w:sz w:val="24"/>
          <w:szCs w:val="24"/>
        </w:rPr>
        <w:t xml:space="preserve"> </w:t>
      </w:r>
      <w:r w:rsidR="002C6FA0" w:rsidRPr="00AD2318">
        <w:rPr>
          <w:rFonts w:ascii="Arial" w:hAnsi="Arial" w:cs="Arial"/>
          <w:sz w:val="24"/>
          <w:szCs w:val="24"/>
        </w:rPr>
        <w:t xml:space="preserve">a </w:t>
      </w:r>
      <w:r w:rsidR="000A1195" w:rsidRPr="00AD2318">
        <w:rPr>
          <w:rFonts w:ascii="Arial" w:hAnsi="Arial" w:cs="Arial"/>
          <w:sz w:val="24"/>
          <w:szCs w:val="24"/>
        </w:rPr>
        <w:t xml:space="preserve">thorough </w:t>
      </w:r>
      <w:r w:rsidR="003938D7" w:rsidRPr="00AD2318">
        <w:rPr>
          <w:rFonts w:ascii="Arial" w:hAnsi="Arial" w:cs="Arial"/>
          <w:sz w:val="24"/>
          <w:szCs w:val="24"/>
        </w:rPr>
        <w:t>analysis</w:t>
      </w:r>
      <w:r w:rsidR="000A1195" w:rsidRPr="00AD2318">
        <w:rPr>
          <w:rFonts w:ascii="Arial" w:hAnsi="Arial" w:cs="Arial"/>
          <w:sz w:val="24"/>
          <w:szCs w:val="24"/>
        </w:rPr>
        <w:t xml:space="preserve"> </w:t>
      </w:r>
      <w:r w:rsidR="003938D7" w:rsidRPr="00AD2318">
        <w:rPr>
          <w:rFonts w:ascii="Arial" w:hAnsi="Arial" w:cs="Arial"/>
          <w:sz w:val="24"/>
          <w:szCs w:val="24"/>
        </w:rPr>
        <w:t>of these costs</w:t>
      </w:r>
      <w:r w:rsidR="00431B93" w:rsidRPr="00AD2318">
        <w:rPr>
          <w:rFonts w:ascii="Arial" w:hAnsi="Arial" w:cs="Arial"/>
          <w:sz w:val="24"/>
          <w:szCs w:val="24"/>
        </w:rPr>
        <w:t xml:space="preserve"> </w:t>
      </w:r>
      <w:r w:rsidR="004342BA" w:rsidRPr="00AD2318">
        <w:rPr>
          <w:rFonts w:ascii="Arial" w:hAnsi="Arial" w:cs="Arial"/>
          <w:sz w:val="24"/>
          <w:szCs w:val="24"/>
        </w:rPr>
        <w:t>should</w:t>
      </w:r>
      <w:r w:rsidR="002C6FA0" w:rsidRPr="00AD2318">
        <w:rPr>
          <w:rFonts w:ascii="Arial" w:hAnsi="Arial" w:cs="Arial"/>
          <w:sz w:val="24"/>
          <w:szCs w:val="24"/>
        </w:rPr>
        <w:t xml:space="preserve"> occur</w:t>
      </w:r>
      <w:r w:rsidR="001649E4" w:rsidRPr="00AD2318">
        <w:rPr>
          <w:rFonts w:ascii="Arial" w:hAnsi="Arial" w:cs="Arial"/>
          <w:sz w:val="24"/>
          <w:szCs w:val="24"/>
        </w:rPr>
        <w:t xml:space="preserve"> and directed AEP Ohio to do so in its next distribution rate case</w:t>
      </w:r>
      <w:r w:rsidR="00CD07B8" w:rsidRPr="00AD2318">
        <w:rPr>
          <w:rFonts w:ascii="Arial" w:hAnsi="Arial" w:cs="Arial"/>
          <w:sz w:val="24"/>
          <w:szCs w:val="24"/>
        </w:rPr>
        <w:t>.</w:t>
      </w:r>
      <w:r w:rsidR="002C6FA0" w:rsidRPr="00AD2318">
        <w:rPr>
          <w:rStyle w:val="FootnoteReference"/>
          <w:rFonts w:cs="Arial"/>
          <w:b/>
          <w:sz w:val="24"/>
          <w:szCs w:val="24"/>
        </w:rPr>
        <w:footnoteReference w:id="8"/>
      </w:r>
      <w:r w:rsidR="00CD07B8" w:rsidRPr="00AD2318">
        <w:rPr>
          <w:rFonts w:ascii="Arial" w:hAnsi="Arial" w:cs="Arial"/>
          <w:sz w:val="24"/>
          <w:szCs w:val="24"/>
        </w:rPr>
        <w:t xml:space="preserve"> </w:t>
      </w:r>
      <w:r w:rsidR="001649E4" w:rsidRPr="00AD2318">
        <w:rPr>
          <w:rFonts w:ascii="Arial" w:hAnsi="Arial" w:cs="Arial"/>
          <w:sz w:val="24"/>
          <w:szCs w:val="24"/>
        </w:rPr>
        <w:t>Following that review</w:t>
      </w:r>
      <w:r w:rsidR="00CD07B8" w:rsidRPr="00AD2318">
        <w:rPr>
          <w:rFonts w:ascii="Arial" w:hAnsi="Arial" w:cs="Arial"/>
          <w:sz w:val="24"/>
          <w:szCs w:val="24"/>
        </w:rPr>
        <w:t>, the Commission</w:t>
      </w:r>
      <w:r w:rsidR="008F72FD">
        <w:rPr>
          <w:rFonts w:ascii="Arial" w:hAnsi="Arial" w:cs="Arial"/>
          <w:sz w:val="24"/>
          <w:szCs w:val="24"/>
        </w:rPr>
        <w:t xml:space="preserve"> stated it</w:t>
      </w:r>
      <w:r w:rsidR="00CD07B8" w:rsidRPr="00AD2318">
        <w:rPr>
          <w:rFonts w:ascii="Arial" w:hAnsi="Arial" w:cs="Arial"/>
          <w:sz w:val="24"/>
          <w:szCs w:val="24"/>
        </w:rPr>
        <w:t xml:space="preserve"> will determine </w:t>
      </w:r>
      <w:r w:rsidR="00786753" w:rsidRPr="00AD2318">
        <w:rPr>
          <w:rFonts w:ascii="Arial" w:hAnsi="Arial" w:cs="Arial"/>
          <w:sz w:val="24"/>
          <w:szCs w:val="24"/>
        </w:rPr>
        <w:t xml:space="preserve">the </w:t>
      </w:r>
      <w:r w:rsidR="001C6621" w:rsidRPr="00AD2318">
        <w:rPr>
          <w:rFonts w:ascii="Arial" w:hAnsi="Arial" w:cs="Arial"/>
          <w:sz w:val="24"/>
          <w:szCs w:val="24"/>
        </w:rPr>
        <w:t xml:space="preserve">costs incurred by AEP Ohio to support the </w:t>
      </w:r>
      <w:r w:rsidR="00AC52CB" w:rsidRPr="00AD2318">
        <w:rPr>
          <w:rFonts w:ascii="Arial" w:hAnsi="Arial" w:cs="Arial"/>
          <w:sz w:val="24"/>
          <w:szCs w:val="24"/>
        </w:rPr>
        <w:t>SSO.</w:t>
      </w:r>
      <w:r w:rsidR="00AC52CB" w:rsidRPr="00AD2318">
        <w:rPr>
          <w:rStyle w:val="FootnoteReference"/>
          <w:rFonts w:cs="Arial"/>
          <w:b/>
          <w:sz w:val="24"/>
          <w:szCs w:val="24"/>
        </w:rPr>
        <w:footnoteReference w:id="9"/>
      </w:r>
      <w:r w:rsidR="00786753" w:rsidRPr="00AD2318">
        <w:rPr>
          <w:rFonts w:ascii="Arial" w:hAnsi="Arial" w:cs="Arial"/>
          <w:sz w:val="24"/>
          <w:szCs w:val="24"/>
        </w:rPr>
        <w:t xml:space="preserve"> </w:t>
      </w:r>
      <w:r w:rsidR="00AC52CB" w:rsidRPr="00AD2318">
        <w:rPr>
          <w:rFonts w:ascii="Arial" w:hAnsi="Arial" w:cs="Arial"/>
          <w:sz w:val="24"/>
          <w:szCs w:val="24"/>
        </w:rPr>
        <w:t xml:space="preserve">The Commission stated that </w:t>
      </w:r>
      <w:r w:rsidR="003B5E44" w:rsidRPr="00AD2318">
        <w:rPr>
          <w:rFonts w:ascii="Arial" w:hAnsi="Arial" w:cs="Arial"/>
          <w:sz w:val="24"/>
          <w:szCs w:val="24"/>
        </w:rPr>
        <w:t xml:space="preserve">“actual costs associated with the </w:t>
      </w:r>
      <w:r w:rsidR="003B5E44" w:rsidRPr="00AD2318">
        <w:rPr>
          <w:rFonts w:ascii="Arial" w:hAnsi="Arial" w:cs="Arial"/>
          <w:sz w:val="24"/>
          <w:szCs w:val="24"/>
        </w:rPr>
        <w:lastRenderedPageBreak/>
        <w:t xml:space="preserve">choice program” should </w:t>
      </w:r>
      <w:r w:rsidR="00DC6693">
        <w:rPr>
          <w:rFonts w:ascii="Arial" w:hAnsi="Arial" w:cs="Arial"/>
          <w:sz w:val="24"/>
          <w:szCs w:val="24"/>
        </w:rPr>
        <w:t xml:space="preserve">also </w:t>
      </w:r>
      <w:r w:rsidR="003B5E44" w:rsidRPr="00AD2318">
        <w:rPr>
          <w:rFonts w:ascii="Arial" w:hAnsi="Arial" w:cs="Arial"/>
          <w:sz w:val="24"/>
          <w:szCs w:val="24"/>
        </w:rPr>
        <w:t xml:space="preserve">be </w:t>
      </w:r>
      <w:r w:rsidR="002F75B5" w:rsidRPr="00AD2318">
        <w:rPr>
          <w:rFonts w:ascii="Arial" w:hAnsi="Arial" w:cs="Arial"/>
          <w:sz w:val="24"/>
          <w:szCs w:val="24"/>
        </w:rPr>
        <w:t>identified.</w:t>
      </w:r>
      <w:r w:rsidR="002F75B5" w:rsidRPr="00AD2318">
        <w:rPr>
          <w:rStyle w:val="FootnoteReference"/>
          <w:rFonts w:cs="Arial"/>
          <w:b/>
          <w:sz w:val="24"/>
          <w:szCs w:val="24"/>
        </w:rPr>
        <w:footnoteReference w:id="10"/>
      </w:r>
    </w:p>
    <w:p w14:paraId="7EF87E2D" w14:textId="2233A7AB" w:rsidR="00EC63AE" w:rsidRPr="00EC63AE" w:rsidRDefault="00C452CB" w:rsidP="00EC63AE">
      <w:pPr>
        <w:spacing w:line="480" w:lineRule="auto"/>
        <w:ind w:firstLine="720"/>
        <w:jc w:val="both"/>
        <w:rPr>
          <w:rFonts w:ascii="Arial" w:hAnsi="Arial" w:cs="Arial"/>
          <w:sz w:val="24"/>
          <w:szCs w:val="24"/>
        </w:rPr>
      </w:pPr>
      <w:r>
        <w:rPr>
          <w:rFonts w:ascii="Arial" w:hAnsi="Arial" w:cs="Arial"/>
          <w:sz w:val="24"/>
          <w:szCs w:val="24"/>
        </w:rPr>
        <w:t xml:space="preserve">Despite the </w:t>
      </w:r>
      <w:r w:rsidR="0038651F">
        <w:rPr>
          <w:rFonts w:ascii="Arial" w:hAnsi="Arial" w:cs="Arial"/>
          <w:sz w:val="24"/>
          <w:szCs w:val="24"/>
        </w:rPr>
        <w:t>Commission’s</w:t>
      </w:r>
      <w:r w:rsidR="00FF6BE9">
        <w:rPr>
          <w:rFonts w:ascii="Arial" w:hAnsi="Arial" w:cs="Arial"/>
          <w:sz w:val="24"/>
          <w:szCs w:val="24"/>
        </w:rPr>
        <w:t xml:space="preserve"> expli</w:t>
      </w:r>
      <w:r w:rsidR="009A7E8F">
        <w:rPr>
          <w:rFonts w:ascii="Arial" w:hAnsi="Arial" w:cs="Arial"/>
          <w:sz w:val="24"/>
          <w:szCs w:val="24"/>
        </w:rPr>
        <w:t>cit</w:t>
      </w:r>
      <w:r w:rsidR="0038651F">
        <w:rPr>
          <w:rFonts w:ascii="Arial" w:hAnsi="Arial" w:cs="Arial"/>
          <w:sz w:val="24"/>
          <w:szCs w:val="24"/>
        </w:rPr>
        <w:t xml:space="preserve"> directive</w:t>
      </w:r>
      <w:r w:rsidR="00DC6693">
        <w:rPr>
          <w:rFonts w:ascii="Arial" w:hAnsi="Arial" w:cs="Arial"/>
          <w:sz w:val="24"/>
          <w:szCs w:val="24"/>
        </w:rPr>
        <w:t>s</w:t>
      </w:r>
      <w:r w:rsidR="00DB76DF" w:rsidRPr="00AD2318">
        <w:rPr>
          <w:rFonts w:ascii="Arial" w:hAnsi="Arial" w:cs="Arial"/>
          <w:sz w:val="24"/>
          <w:szCs w:val="24"/>
        </w:rPr>
        <w:t xml:space="preserve">, AEP Ohio failed to </w:t>
      </w:r>
      <w:r w:rsidR="00F950E9" w:rsidRPr="00AD2318">
        <w:rPr>
          <w:rFonts w:ascii="Arial" w:hAnsi="Arial" w:cs="Arial"/>
          <w:sz w:val="24"/>
          <w:szCs w:val="24"/>
        </w:rPr>
        <w:t xml:space="preserve">complete a thorough analysis of the costs </w:t>
      </w:r>
      <w:r w:rsidR="00A73252" w:rsidRPr="00AD2318">
        <w:rPr>
          <w:rFonts w:ascii="Arial" w:hAnsi="Arial" w:cs="Arial"/>
          <w:sz w:val="24"/>
          <w:szCs w:val="24"/>
        </w:rPr>
        <w:t>included in distribution rates</w:t>
      </w:r>
      <w:r w:rsidR="00ED2C67">
        <w:rPr>
          <w:rFonts w:ascii="Arial" w:hAnsi="Arial" w:cs="Arial"/>
          <w:sz w:val="24"/>
          <w:szCs w:val="24"/>
        </w:rPr>
        <w:t>.</w:t>
      </w:r>
      <w:r w:rsidR="007013D0">
        <w:rPr>
          <w:rStyle w:val="FootnoteReference"/>
          <w:rFonts w:cs="Arial"/>
          <w:szCs w:val="24"/>
        </w:rPr>
        <w:footnoteReference w:id="11"/>
      </w:r>
      <w:r w:rsidR="00DC603D">
        <w:rPr>
          <w:rFonts w:ascii="Arial" w:hAnsi="Arial" w:cs="Arial"/>
          <w:sz w:val="24"/>
          <w:szCs w:val="24"/>
        </w:rPr>
        <w:t xml:space="preserve"> </w:t>
      </w:r>
      <w:r w:rsidR="007013D0" w:rsidRPr="00716CD0">
        <w:rPr>
          <w:rFonts w:ascii="Arial" w:hAnsi="Arial" w:cs="Arial"/>
          <w:sz w:val="24"/>
          <w:szCs w:val="24"/>
        </w:rPr>
        <w:t xml:space="preserve">However, instead of </w:t>
      </w:r>
      <w:r w:rsidR="00D3006F" w:rsidRPr="00716CD0">
        <w:rPr>
          <w:rFonts w:ascii="Arial" w:hAnsi="Arial" w:cs="Arial"/>
          <w:sz w:val="24"/>
          <w:szCs w:val="24"/>
        </w:rPr>
        <w:t xml:space="preserve">rectifying the </w:t>
      </w:r>
      <w:r w:rsidR="00E14D8A" w:rsidRPr="00716CD0">
        <w:rPr>
          <w:rFonts w:ascii="Arial" w:hAnsi="Arial" w:cs="Arial"/>
          <w:sz w:val="24"/>
          <w:szCs w:val="24"/>
        </w:rPr>
        <w:t>issue</w:t>
      </w:r>
      <w:r w:rsidR="00D3006F" w:rsidRPr="00716CD0">
        <w:rPr>
          <w:rFonts w:ascii="Arial" w:hAnsi="Arial" w:cs="Arial"/>
          <w:sz w:val="24"/>
          <w:szCs w:val="24"/>
        </w:rPr>
        <w:t xml:space="preserve"> and providing the Commission with the</w:t>
      </w:r>
      <w:r w:rsidR="001043EB" w:rsidRPr="00716CD0">
        <w:rPr>
          <w:rFonts w:ascii="Arial" w:hAnsi="Arial" w:cs="Arial"/>
          <w:sz w:val="24"/>
          <w:szCs w:val="24"/>
        </w:rPr>
        <w:t xml:space="preserve"> requested and necessary</w:t>
      </w:r>
      <w:r w:rsidR="00D3006F" w:rsidRPr="00716CD0">
        <w:rPr>
          <w:rFonts w:ascii="Arial" w:hAnsi="Arial" w:cs="Arial"/>
          <w:sz w:val="24"/>
          <w:szCs w:val="24"/>
        </w:rPr>
        <w:t xml:space="preserve"> analysis</w:t>
      </w:r>
      <w:r w:rsidR="001043EB" w:rsidRPr="00716CD0">
        <w:rPr>
          <w:rFonts w:ascii="Arial" w:hAnsi="Arial" w:cs="Arial"/>
          <w:sz w:val="24"/>
          <w:szCs w:val="24"/>
        </w:rPr>
        <w:t xml:space="preserve">, the Staff Report simply </w:t>
      </w:r>
      <w:r w:rsidR="008F4586">
        <w:rPr>
          <w:rFonts w:ascii="Arial" w:hAnsi="Arial" w:cs="Arial"/>
          <w:sz w:val="24"/>
          <w:szCs w:val="24"/>
        </w:rPr>
        <w:t xml:space="preserve">notes the deficiency </w:t>
      </w:r>
      <w:r w:rsidR="00BB52A5" w:rsidRPr="00716CD0">
        <w:rPr>
          <w:rFonts w:ascii="Arial" w:hAnsi="Arial" w:cs="Arial"/>
          <w:sz w:val="24"/>
          <w:szCs w:val="24"/>
        </w:rPr>
        <w:t>and express</w:t>
      </w:r>
      <w:r w:rsidR="008F0577" w:rsidRPr="00716CD0">
        <w:rPr>
          <w:rFonts w:ascii="Arial" w:hAnsi="Arial" w:cs="Arial"/>
          <w:sz w:val="24"/>
          <w:szCs w:val="24"/>
        </w:rPr>
        <w:t>es</w:t>
      </w:r>
      <w:r w:rsidR="00BB52A5" w:rsidRPr="00716CD0">
        <w:rPr>
          <w:rFonts w:ascii="Arial" w:hAnsi="Arial" w:cs="Arial"/>
          <w:sz w:val="24"/>
          <w:szCs w:val="24"/>
        </w:rPr>
        <w:t xml:space="preserve"> its disagreement </w:t>
      </w:r>
      <w:r w:rsidR="008F0577" w:rsidRPr="00716CD0">
        <w:rPr>
          <w:rFonts w:ascii="Arial" w:hAnsi="Arial" w:cs="Arial"/>
          <w:sz w:val="24"/>
          <w:szCs w:val="24"/>
        </w:rPr>
        <w:t xml:space="preserve">with the exercise. </w:t>
      </w:r>
      <w:r w:rsidR="00A00CEE" w:rsidRPr="00716CD0">
        <w:rPr>
          <w:rFonts w:ascii="Arial" w:hAnsi="Arial" w:cs="Arial"/>
          <w:sz w:val="24"/>
          <w:szCs w:val="24"/>
        </w:rPr>
        <w:t xml:space="preserve"> </w:t>
      </w:r>
      <w:r w:rsidR="00FC7DDC">
        <w:rPr>
          <w:rFonts w:ascii="Arial" w:hAnsi="Arial" w:cs="Arial"/>
          <w:sz w:val="24"/>
          <w:szCs w:val="24"/>
        </w:rPr>
        <w:t xml:space="preserve">As such, the costs for AEP Ohio to provide its competitive </w:t>
      </w:r>
      <w:r w:rsidR="001073E8">
        <w:rPr>
          <w:rFonts w:ascii="Arial" w:hAnsi="Arial" w:cs="Arial"/>
          <w:sz w:val="24"/>
          <w:szCs w:val="24"/>
        </w:rPr>
        <w:t>generation</w:t>
      </w:r>
      <w:r w:rsidR="00FC7DDC">
        <w:rPr>
          <w:rFonts w:ascii="Arial" w:hAnsi="Arial" w:cs="Arial"/>
          <w:sz w:val="24"/>
          <w:szCs w:val="24"/>
        </w:rPr>
        <w:t xml:space="preserve"> service, the SSO, </w:t>
      </w:r>
      <w:r w:rsidR="001073E8">
        <w:rPr>
          <w:rFonts w:ascii="Arial" w:hAnsi="Arial" w:cs="Arial"/>
          <w:sz w:val="24"/>
          <w:szCs w:val="24"/>
        </w:rPr>
        <w:t>are still unlawfully included in distribution rates.</w:t>
      </w:r>
      <w:r w:rsidR="00AD7F0B">
        <w:rPr>
          <w:rFonts w:ascii="Arial" w:hAnsi="Arial" w:cs="Arial"/>
          <w:sz w:val="24"/>
          <w:szCs w:val="24"/>
        </w:rPr>
        <w:t xml:space="preserve"> Thus, IGS </w:t>
      </w:r>
      <w:r w:rsidR="002A37BD">
        <w:rPr>
          <w:rFonts w:ascii="Arial" w:hAnsi="Arial" w:cs="Arial"/>
          <w:sz w:val="24"/>
          <w:szCs w:val="24"/>
        </w:rPr>
        <w:t xml:space="preserve">objects to </w:t>
      </w:r>
      <w:r w:rsidR="00AD7F0B">
        <w:rPr>
          <w:rFonts w:ascii="Arial" w:hAnsi="Arial" w:cs="Arial"/>
          <w:sz w:val="24"/>
          <w:szCs w:val="24"/>
        </w:rPr>
        <w:t>specific recommendation</w:t>
      </w:r>
      <w:r w:rsidR="002A37BD">
        <w:rPr>
          <w:rFonts w:ascii="Arial" w:hAnsi="Arial" w:cs="Arial"/>
          <w:sz w:val="24"/>
          <w:szCs w:val="24"/>
        </w:rPr>
        <w:t>s and failure</w:t>
      </w:r>
      <w:r w:rsidR="00376D80">
        <w:rPr>
          <w:rFonts w:ascii="Arial" w:hAnsi="Arial" w:cs="Arial"/>
          <w:sz w:val="24"/>
          <w:szCs w:val="24"/>
        </w:rPr>
        <w:t>s</w:t>
      </w:r>
      <w:r w:rsidR="002A37BD">
        <w:rPr>
          <w:rFonts w:ascii="Arial" w:hAnsi="Arial" w:cs="Arial"/>
          <w:sz w:val="24"/>
          <w:szCs w:val="24"/>
        </w:rPr>
        <w:t xml:space="preserve"> in the Staff Report regarding unbundling.</w:t>
      </w:r>
      <w:r w:rsidR="00AD7F0B">
        <w:rPr>
          <w:rFonts w:ascii="Arial" w:hAnsi="Arial" w:cs="Arial"/>
          <w:sz w:val="24"/>
          <w:szCs w:val="24"/>
        </w:rPr>
        <w:t xml:space="preserve"> </w:t>
      </w:r>
    </w:p>
    <w:p w14:paraId="043B9380" w14:textId="77777777" w:rsidR="001C7B8C" w:rsidRDefault="001C7B8C" w:rsidP="001C7B8C">
      <w:pPr>
        <w:spacing w:line="480" w:lineRule="auto"/>
        <w:ind w:firstLine="720"/>
        <w:jc w:val="both"/>
        <w:rPr>
          <w:rFonts w:ascii="Arial" w:hAnsi="Arial" w:cs="Arial"/>
          <w:sz w:val="24"/>
          <w:szCs w:val="24"/>
        </w:rPr>
      </w:pPr>
      <w:r w:rsidRPr="00A4490F">
        <w:rPr>
          <w:rFonts w:ascii="Arial" w:hAnsi="Arial" w:cs="Arial"/>
          <w:sz w:val="24"/>
          <w:szCs w:val="24"/>
        </w:rPr>
        <w:t xml:space="preserve">Similarly, the Staff Report fails to address the myriad of mandatory fees incurred by suppliers that are presently avoided by the SSO. By failing to address the income generated by fees paid by all suppliers for day-to-day tasks such as registration, interval data, and customer switching, the Staff Report </w:t>
      </w:r>
      <w:r>
        <w:rPr>
          <w:rFonts w:ascii="Arial" w:hAnsi="Arial" w:cs="Arial"/>
          <w:sz w:val="24"/>
          <w:szCs w:val="24"/>
        </w:rPr>
        <w:t>failed to determine</w:t>
      </w:r>
      <w:r w:rsidRPr="00A4490F">
        <w:rPr>
          <w:rFonts w:ascii="Arial" w:hAnsi="Arial" w:cs="Arial"/>
          <w:sz w:val="24"/>
          <w:szCs w:val="24"/>
        </w:rPr>
        <w:t xml:space="preserve"> whether AEP </w:t>
      </w:r>
      <w:r>
        <w:rPr>
          <w:rFonts w:ascii="Arial" w:hAnsi="Arial" w:cs="Arial"/>
          <w:sz w:val="24"/>
          <w:szCs w:val="24"/>
        </w:rPr>
        <w:t xml:space="preserve">Ohio </w:t>
      </w:r>
      <w:r w:rsidRPr="00A4490F">
        <w:rPr>
          <w:rFonts w:ascii="Arial" w:hAnsi="Arial" w:cs="Arial"/>
          <w:sz w:val="24"/>
          <w:szCs w:val="24"/>
        </w:rPr>
        <w:t>is double collecting the expenses for these administrative tasks or whether the SSO is being unlawfully subsidized by avoiding similar fees. The fees, and potential lack thereof within the SSO, must be addressed in order to ensure the equitable competitive electric playing field guaranteed by Ohio law.</w:t>
      </w:r>
    </w:p>
    <w:p w14:paraId="6EA7E19E" w14:textId="126EA345" w:rsidR="007A525A" w:rsidRDefault="00DE6BBE" w:rsidP="008F72FD">
      <w:pPr>
        <w:spacing w:line="480" w:lineRule="auto"/>
        <w:ind w:firstLine="720"/>
        <w:jc w:val="both"/>
        <w:rPr>
          <w:rFonts w:ascii="Arial" w:hAnsi="Arial" w:cs="Arial"/>
          <w:sz w:val="24"/>
          <w:szCs w:val="24"/>
        </w:rPr>
      </w:pPr>
      <w:r w:rsidRPr="004E6370">
        <w:rPr>
          <w:rFonts w:ascii="Arial" w:hAnsi="Arial" w:cs="Arial"/>
          <w:sz w:val="24"/>
          <w:szCs w:val="24"/>
        </w:rPr>
        <w:t>Ad</w:t>
      </w:r>
      <w:r w:rsidRPr="00683617">
        <w:rPr>
          <w:rFonts w:ascii="Arial" w:hAnsi="Arial" w:cs="Arial"/>
          <w:sz w:val="24"/>
          <w:szCs w:val="24"/>
        </w:rPr>
        <w:t xml:space="preserve">ditionally, </w:t>
      </w:r>
      <w:r w:rsidR="007614C3" w:rsidRPr="00F96C61">
        <w:rPr>
          <w:rFonts w:ascii="Arial" w:hAnsi="Arial" w:cs="Arial"/>
          <w:sz w:val="24"/>
          <w:szCs w:val="24"/>
        </w:rPr>
        <w:t xml:space="preserve">the Staff Report fails to </w:t>
      </w:r>
      <w:r w:rsidR="007614C3" w:rsidRPr="00667094">
        <w:rPr>
          <w:rFonts w:ascii="Arial" w:hAnsi="Arial" w:cs="Arial"/>
          <w:sz w:val="24"/>
          <w:szCs w:val="24"/>
        </w:rPr>
        <w:t>fully recognize the changes in law and policy established in</w:t>
      </w:r>
      <w:r w:rsidR="00DE5C6C" w:rsidRPr="00667094">
        <w:rPr>
          <w:rFonts w:ascii="Arial" w:hAnsi="Arial" w:cs="Arial"/>
          <w:sz w:val="24"/>
          <w:szCs w:val="24"/>
        </w:rPr>
        <w:t xml:space="preserve"> </w:t>
      </w:r>
      <w:proofErr w:type="spellStart"/>
      <w:r w:rsidR="00DF63B6" w:rsidRPr="00667094">
        <w:rPr>
          <w:rFonts w:ascii="Arial" w:hAnsi="Arial" w:cs="Arial"/>
          <w:sz w:val="24"/>
          <w:szCs w:val="24"/>
        </w:rPr>
        <w:t>Am.Sub.H.B</w:t>
      </w:r>
      <w:proofErr w:type="spellEnd"/>
      <w:r w:rsidR="00DF63B6" w:rsidRPr="00667094">
        <w:rPr>
          <w:rFonts w:ascii="Arial" w:hAnsi="Arial" w:cs="Arial"/>
          <w:sz w:val="24"/>
          <w:szCs w:val="24"/>
        </w:rPr>
        <w:t>.</w:t>
      </w:r>
      <w:r w:rsidR="00DE5C6C" w:rsidRPr="00667094">
        <w:rPr>
          <w:rFonts w:ascii="Arial" w:hAnsi="Arial" w:cs="Arial"/>
          <w:sz w:val="24"/>
          <w:szCs w:val="24"/>
        </w:rPr>
        <w:t xml:space="preserve"> No. 6. (“HB 6”)</w:t>
      </w:r>
      <w:r w:rsidR="00E73AD2" w:rsidRPr="00667094">
        <w:rPr>
          <w:rFonts w:ascii="Arial" w:hAnsi="Arial" w:cs="Arial"/>
          <w:sz w:val="24"/>
          <w:szCs w:val="24"/>
        </w:rPr>
        <w:t xml:space="preserve">. </w:t>
      </w:r>
      <w:r w:rsidR="00D66E7F">
        <w:rPr>
          <w:rFonts w:ascii="Arial" w:hAnsi="Arial" w:cs="Arial"/>
          <w:sz w:val="24"/>
          <w:szCs w:val="24"/>
        </w:rPr>
        <w:t>Among other things, HB 6</w:t>
      </w:r>
      <w:r w:rsidR="005C1DE3">
        <w:rPr>
          <w:rFonts w:ascii="Arial" w:hAnsi="Arial" w:cs="Arial"/>
          <w:sz w:val="24"/>
          <w:szCs w:val="24"/>
        </w:rPr>
        <w:t xml:space="preserve"> completely</w:t>
      </w:r>
      <w:r w:rsidR="00DD2057">
        <w:rPr>
          <w:rFonts w:ascii="Arial" w:hAnsi="Arial" w:cs="Arial"/>
          <w:sz w:val="24"/>
          <w:szCs w:val="24"/>
        </w:rPr>
        <w:t xml:space="preserve"> </w:t>
      </w:r>
      <w:r w:rsidR="00724F8C">
        <w:rPr>
          <w:rFonts w:ascii="Arial" w:hAnsi="Arial" w:cs="Arial"/>
          <w:sz w:val="24"/>
          <w:szCs w:val="24"/>
        </w:rPr>
        <w:t xml:space="preserve">eliminated the Energy Efficiency (“EE”) and Peak Demand Response (“PDR”) </w:t>
      </w:r>
      <w:r w:rsidR="005C1DE3">
        <w:rPr>
          <w:rFonts w:ascii="Arial" w:hAnsi="Arial" w:cs="Arial"/>
          <w:sz w:val="24"/>
          <w:szCs w:val="24"/>
        </w:rPr>
        <w:t xml:space="preserve">requirements placed on the </w:t>
      </w:r>
      <w:r w:rsidR="00AF14E1">
        <w:rPr>
          <w:rFonts w:ascii="Arial" w:hAnsi="Arial" w:cs="Arial"/>
          <w:sz w:val="24"/>
          <w:szCs w:val="24"/>
        </w:rPr>
        <w:t>electric utilitie</w:t>
      </w:r>
      <w:r w:rsidR="005C1DE3">
        <w:rPr>
          <w:rFonts w:ascii="Arial" w:hAnsi="Arial" w:cs="Arial"/>
          <w:sz w:val="24"/>
          <w:szCs w:val="24"/>
        </w:rPr>
        <w:t>s</w:t>
      </w:r>
      <w:r w:rsidR="000A6179">
        <w:rPr>
          <w:rFonts w:ascii="Arial" w:hAnsi="Arial" w:cs="Arial"/>
          <w:sz w:val="24"/>
          <w:szCs w:val="24"/>
        </w:rPr>
        <w:t>.</w:t>
      </w:r>
      <w:r w:rsidR="000A6179">
        <w:rPr>
          <w:rStyle w:val="FootnoteReference"/>
          <w:rFonts w:cs="Arial"/>
          <w:szCs w:val="24"/>
        </w:rPr>
        <w:footnoteReference w:id="12"/>
      </w:r>
      <w:r w:rsidR="005C1DE3">
        <w:rPr>
          <w:rFonts w:ascii="Arial" w:hAnsi="Arial" w:cs="Arial"/>
          <w:sz w:val="24"/>
          <w:szCs w:val="24"/>
        </w:rPr>
        <w:t xml:space="preserve"> </w:t>
      </w:r>
      <w:r w:rsidR="00886D05">
        <w:rPr>
          <w:rFonts w:ascii="Arial" w:hAnsi="Arial" w:cs="Arial"/>
          <w:sz w:val="24"/>
          <w:szCs w:val="24"/>
        </w:rPr>
        <w:t xml:space="preserve">In </w:t>
      </w:r>
      <w:r w:rsidR="00B93219">
        <w:rPr>
          <w:rFonts w:ascii="Arial" w:hAnsi="Arial" w:cs="Arial"/>
          <w:sz w:val="24"/>
          <w:szCs w:val="24"/>
        </w:rPr>
        <w:t xml:space="preserve">light of </w:t>
      </w:r>
      <w:r w:rsidR="005C4148">
        <w:rPr>
          <w:rFonts w:ascii="Arial" w:hAnsi="Arial" w:cs="Arial"/>
          <w:sz w:val="24"/>
          <w:szCs w:val="24"/>
        </w:rPr>
        <w:t>this</w:t>
      </w:r>
      <w:r w:rsidR="00AF14E1">
        <w:rPr>
          <w:rFonts w:ascii="Arial" w:hAnsi="Arial" w:cs="Arial"/>
          <w:sz w:val="24"/>
          <w:szCs w:val="24"/>
        </w:rPr>
        <w:t xml:space="preserve"> legislation</w:t>
      </w:r>
      <w:r w:rsidR="00886D05">
        <w:rPr>
          <w:rFonts w:ascii="Arial" w:hAnsi="Arial" w:cs="Arial"/>
          <w:sz w:val="24"/>
          <w:szCs w:val="24"/>
        </w:rPr>
        <w:t>, the Commission</w:t>
      </w:r>
      <w:r w:rsidR="0015668A">
        <w:rPr>
          <w:rFonts w:ascii="Arial" w:hAnsi="Arial" w:cs="Arial"/>
          <w:sz w:val="24"/>
          <w:szCs w:val="24"/>
        </w:rPr>
        <w:t xml:space="preserve"> </w:t>
      </w:r>
      <w:r w:rsidR="00B93219">
        <w:rPr>
          <w:rFonts w:ascii="Arial" w:hAnsi="Arial" w:cs="Arial"/>
          <w:sz w:val="24"/>
          <w:szCs w:val="24"/>
        </w:rPr>
        <w:lastRenderedPageBreak/>
        <w:t xml:space="preserve">determined that </w:t>
      </w:r>
      <w:r w:rsidR="0015668A" w:rsidRPr="00A01D0E">
        <w:rPr>
          <w:rFonts w:ascii="Arial" w:hAnsi="Arial" w:cs="Arial"/>
          <w:sz w:val="24"/>
          <w:szCs w:val="24"/>
        </w:rPr>
        <w:t>the future for EE programs in this state will be best served by reliance upon market-based approaches.</w:t>
      </w:r>
      <w:r w:rsidR="0015668A" w:rsidRPr="00A73252">
        <w:rPr>
          <w:rStyle w:val="FootnoteReference"/>
          <w:rFonts w:cs="Arial"/>
          <w:szCs w:val="24"/>
        </w:rPr>
        <w:footnoteReference w:id="13"/>
      </w:r>
      <w:r w:rsidR="00B93219">
        <w:rPr>
          <w:rFonts w:ascii="Arial" w:hAnsi="Arial" w:cs="Arial"/>
          <w:sz w:val="24"/>
          <w:szCs w:val="24"/>
        </w:rPr>
        <w:t xml:space="preserve"> </w:t>
      </w:r>
      <w:r w:rsidR="00AF14E1">
        <w:rPr>
          <w:rFonts w:ascii="Arial" w:hAnsi="Arial" w:cs="Arial"/>
          <w:sz w:val="24"/>
          <w:szCs w:val="24"/>
        </w:rPr>
        <w:t>T</w:t>
      </w:r>
      <w:r w:rsidR="006477BF">
        <w:rPr>
          <w:rFonts w:ascii="Arial" w:hAnsi="Arial" w:cs="Arial"/>
          <w:sz w:val="24"/>
          <w:szCs w:val="24"/>
        </w:rPr>
        <w:t xml:space="preserve">he Staff Report’s application of </w:t>
      </w:r>
      <w:r w:rsidR="00365C69">
        <w:rPr>
          <w:rFonts w:ascii="Arial" w:hAnsi="Arial" w:cs="Arial"/>
          <w:sz w:val="24"/>
          <w:szCs w:val="24"/>
        </w:rPr>
        <w:t>this policy is too narrow</w:t>
      </w:r>
      <w:r w:rsidR="004C5E54">
        <w:rPr>
          <w:rFonts w:ascii="Arial" w:hAnsi="Arial" w:cs="Arial"/>
          <w:sz w:val="24"/>
          <w:szCs w:val="24"/>
        </w:rPr>
        <w:t xml:space="preserve"> and should be extended to </w:t>
      </w:r>
      <w:r w:rsidR="008A1BF9">
        <w:rPr>
          <w:rFonts w:ascii="Arial" w:hAnsi="Arial" w:cs="Arial"/>
          <w:sz w:val="24"/>
          <w:szCs w:val="24"/>
        </w:rPr>
        <w:t>encompass</w:t>
      </w:r>
      <w:r w:rsidR="004C5E54">
        <w:rPr>
          <w:rFonts w:ascii="Arial" w:hAnsi="Arial" w:cs="Arial"/>
          <w:sz w:val="24"/>
          <w:szCs w:val="24"/>
        </w:rPr>
        <w:t xml:space="preserve"> </w:t>
      </w:r>
      <w:r w:rsidR="008A1BF9">
        <w:rPr>
          <w:rFonts w:ascii="Arial" w:hAnsi="Arial" w:cs="Arial"/>
          <w:sz w:val="24"/>
          <w:szCs w:val="24"/>
        </w:rPr>
        <w:t>all EE &amp; PDR offerings, not just the specific proposal submitted by AEP Ohio.</w:t>
      </w:r>
    </w:p>
    <w:p w14:paraId="0DB29FE1" w14:textId="3F74BF2D" w:rsidR="00491D7A" w:rsidRDefault="00264D7E" w:rsidP="00683617">
      <w:pPr>
        <w:spacing w:line="480" w:lineRule="auto"/>
        <w:ind w:firstLine="720"/>
        <w:jc w:val="both"/>
        <w:rPr>
          <w:rFonts w:ascii="Arial" w:hAnsi="Arial" w:cs="Arial"/>
          <w:sz w:val="24"/>
          <w:szCs w:val="24"/>
        </w:rPr>
      </w:pPr>
      <w:r>
        <w:rPr>
          <w:rFonts w:ascii="Arial" w:hAnsi="Arial" w:cs="Arial"/>
          <w:sz w:val="24"/>
          <w:szCs w:val="24"/>
        </w:rPr>
        <w:t xml:space="preserve">In addition, HB 6 </w:t>
      </w:r>
      <w:r w:rsidR="00861EE7">
        <w:rPr>
          <w:rFonts w:ascii="Arial" w:hAnsi="Arial" w:cs="Arial"/>
          <w:sz w:val="24"/>
          <w:szCs w:val="24"/>
        </w:rPr>
        <w:t>a</w:t>
      </w:r>
      <w:r w:rsidR="00E70B7A">
        <w:rPr>
          <w:rFonts w:ascii="Arial" w:hAnsi="Arial" w:cs="Arial"/>
          <w:sz w:val="24"/>
          <w:szCs w:val="24"/>
        </w:rPr>
        <w:t>uthorizes</w:t>
      </w:r>
      <w:r w:rsidR="00861EE7">
        <w:rPr>
          <w:rFonts w:ascii="Arial" w:hAnsi="Arial" w:cs="Arial"/>
          <w:sz w:val="24"/>
          <w:szCs w:val="24"/>
        </w:rPr>
        <w:t xml:space="preserve"> </w:t>
      </w:r>
      <w:r w:rsidR="00491D7A">
        <w:rPr>
          <w:rFonts w:ascii="Arial" w:hAnsi="Arial" w:cs="Arial"/>
          <w:sz w:val="24"/>
          <w:szCs w:val="24"/>
        </w:rPr>
        <w:t xml:space="preserve">an EDU to </w:t>
      </w:r>
      <w:r w:rsidR="004A5214">
        <w:rPr>
          <w:rFonts w:ascii="Arial" w:hAnsi="Arial" w:cs="Arial"/>
          <w:sz w:val="24"/>
          <w:szCs w:val="24"/>
        </w:rPr>
        <w:t>enter into agreement</w:t>
      </w:r>
      <w:r w:rsidR="00D03BFF">
        <w:rPr>
          <w:rFonts w:ascii="Arial" w:hAnsi="Arial" w:cs="Arial"/>
          <w:sz w:val="24"/>
          <w:szCs w:val="24"/>
        </w:rPr>
        <w:t>s</w:t>
      </w:r>
      <w:r w:rsidR="004A5214">
        <w:rPr>
          <w:rFonts w:ascii="Arial" w:hAnsi="Arial" w:cs="Arial"/>
          <w:sz w:val="24"/>
          <w:szCs w:val="24"/>
        </w:rPr>
        <w:t xml:space="preserve"> with </w:t>
      </w:r>
      <w:r w:rsidR="000C62AA">
        <w:rPr>
          <w:rFonts w:ascii="Arial" w:hAnsi="Arial" w:cs="Arial"/>
          <w:sz w:val="24"/>
          <w:szCs w:val="24"/>
        </w:rPr>
        <w:t xml:space="preserve">mercantile customers </w:t>
      </w:r>
      <w:r w:rsidR="007A525A">
        <w:rPr>
          <w:rFonts w:ascii="Arial" w:hAnsi="Arial" w:cs="Arial"/>
          <w:sz w:val="24"/>
          <w:szCs w:val="24"/>
        </w:rPr>
        <w:t>for the</w:t>
      </w:r>
      <w:r w:rsidR="0068104D">
        <w:rPr>
          <w:rFonts w:ascii="Arial" w:hAnsi="Arial" w:cs="Arial"/>
          <w:sz w:val="24"/>
          <w:szCs w:val="24"/>
        </w:rPr>
        <w:t xml:space="preserve"> purpose of</w:t>
      </w:r>
      <w:r w:rsidR="000C62AA">
        <w:rPr>
          <w:rFonts w:ascii="Arial" w:hAnsi="Arial" w:cs="Arial"/>
          <w:sz w:val="24"/>
          <w:szCs w:val="24"/>
        </w:rPr>
        <w:t xml:space="preserve"> construct</w:t>
      </w:r>
      <w:r w:rsidR="007A525A">
        <w:rPr>
          <w:rFonts w:ascii="Arial" w:hAnsi="Arial" w:cs="Arial"/>
          <w:sz w:val="24"/>
          <w:szCs w:val="24"/>
        </w:rPr>
        <w:t xml:space="preserve">ing </w:t>
      </w:r>
      <w:r w:rsidR="000C62AA">
        <w:rPr>
          <w:rFonts w:ascii="Arial" w:hAnsi="Arial" w:cs="Arial"/>
          <w:sz w:val="24"/>
          <w:szCs w:val="24"/>
        </w:rPr>
        <w:t>customer sited renewable energy resources.</w:t>
      </w:r>
      <w:r w:rsidR="000C62AA">
        <w:rPr>
          <w:rStyle w:val="FootnoteReference"/>
          <w:rFonts w:cs="Arial"/>
          <w:szCs w:val="24"/>
        </w:rPr>
        <w:footnoteReference w:id="14"/>
      </w:r>
      <w:r w:rsidR="009F7638">
        <w:rPr>
          <w:rFonts w:ascii="Arial" w:hAnsi="Arial" w:cs="Arial"/>
          <w:sz w:val="24"/>
          <w:szCs w:val="24"/>
        </w:rPr>
        <w:t xml:space="preserve"> </w:t>
      </w:r>
      <w:r w:rsidR="000D21DA">
        <w:rPr>
          <w:rFonts w:ascii="Arial" w:hAnsi="Arial" w:cs="Arial"/>
          <w:sz w:val="24"/>
          <w:szCs w:val="24"/>
        </w:rPr>
        <w:t>The</w:t>
      </w:r>
      <w:r w:rsidR="009F7638">
        <w:rPr>
          <w:rFonts w:ascii="Arial" w:hAnsi="Arial" w:cs="Arial"/>
          <w:sz w:val="24"/>
          <w:szCs w:val="24"/>
        </w:rPr>
        <w:t xml:space="preserve"> law </w:t>
      </w:r>
      <w:r w:rsidR="00BD3502">
        <w:rPr>
          <w:rFonts w:ascii="Arial" w:hAnsi="Arial" w:cs="Arial"/>
          <w:sz w:val="24"/>
          <w:szCs w:val="24"/>
        </w:rPr>
        <w:t xml:space="preserve">forbids the Commission to authorize </w:t>
      </w:r>
      <w:r w:rsidR="009F7638">
        <w:rPr>
          <w:rFonts w:ascii="Arial" w:hAnsi="Arial" w:cs="Arial"/>
          <w:sz w:val="24"/>
          <w:szCs w:val="24"/>
        </w:rPr>
        <w:t xml:space="preserve">the collection of </w:t>
      </w:r>
      <w:r w:rsidR="00BD3502">
        <w:rPr>
          <w:rFonts w:ascii="Arial" w:hAnsi="Arial" w:cs="Arial"/>
          <w:sz w:val="24"/>
          <w:szCs w:val="24"/>
        </w:rPr>
        <w:t xml:space="preserve">any </w:t>
      </w:r>
      <w:r w:rsidR="009F7638">
        <w:rPr>
          <w:rFonts w:ascii="Arial" w:hAnsi="Arial" w:cs="Arial"/>
          <w:sz w:val="24"/>
          <w:szCs w:val="24"/>
        </w:rPr>
        <w:t xml:space="preserve">costs </w:t>
      </w:r>
      <w:r w:rsidR="00572A18">
        <w:rPr>
          <w:rFonts w:ascii="Arial" w:hAnsi="Arial" w:cs="Arial"/>
          <w:sz w:val="24"/>
          <w:szCs w:val="24"/>
        </w:rPr>
        <w:t>associated with these</w:t>
      </w:r>
      <w:r w:rsidR="009F7638">
        <w:rPr>
          <w:rFonts w:ascii="Arial" w:hAnsi="Arial" w:cs="Arial"/>
          <w:sz w:val="24"/>
          <w:szCs w:val="24"/>
        </w:rPr>
        <w:t xml:space="preserve"> projects </w:t>
      </w:r>
      <w:r w:rsidR="00842AE8">
        <w:rPr>
          <w:rFonts w:ascii="Arial" w:hAnsi="Arial" w:cs="Arial"/>
          <w:sz w:val="24"/>
          <w:szCs w:val="24"/>
        </w:rPr>
        <w:t>from any other customers.</w:t>
      </w:r>
      <w:r w:rsidR="00BD3502">
        <w:rPr>
          <w:rStyle w:val="FootnoteReference"/>
          <w:rFonts w:cs="Arial"/>
          <w:szCs w:val="24"/>
        </w:rPr>
        <w:footnoteReference w:id="15"/>
      </w:r>
      <w:r w:rsidR="00563588">
        <w:rPr>
          <w:rFonts w:ascii="Arial" w:hAnsi="Arial" w:cs="Arial"/>
          <w:sz w:val="24"/>
          <w:szCs w:val="24"/>
        </w:rPr>
        <w:t xml:space="preserve"> </w:t>
      </w:r>
      <w:r w:rsidR="006B4B1D">
        <w:rPr>
          <w:rFonts w:ascii="Arial" w:hAnsi="Arial" w:cs="Arial"/>
          <w:sz w:val="24"/>
          <w:szCs w:val="24"/>
        </w:rPr>
        <w:t>This includes direct and indirect costs associated with these projects</w:t>
      </w:r>
      <w:r w:rsidR="00A932E2">
        <w:rPr>
          <w:rFonts w:ascii="Arial" w:hAnsi="Arial" w:cs="Arial"/>
          <w:sz w:val="24"/>
          <w:szCs w:val="24"/>
        </w:rPr>
        <w:t>.</w:t>
      </w:r>
      <w:r w:rsidR="00FB333A" w:rsidRPr="00FB333A">
        <w:rPr>
          <w:rStyle w:val="FootnoteReference"/>
          <w:rFonts w:cs="Arial"/>
          <w:szCs w:val="24"/>
        </w:rPr>
        <w:t xml:space="preserve"> </w:t>
      </w:r>
      <w:r w:rsidR="00FB333A">
        <w:rPr>
          <w:rStyle w:val="FootnoteReference"/>
          <w:rFonts w:cs="Arial"/>
          <w:szCs w:val="24"/>
        </w:rPr>
        <w:footnoteReference w:id="16"/>
      </w:r>
      <w:r w:rsidR="00FB333A">
        <w:rPr>
          <w:rFonts w:ascii="Arial" w:hAnsi="Arial" w:cs="Arial"/>
          <w:sz w:val="24"/>
          <w:szCs w:val="24"/>
        </w:rPr>
        <w:t xml:space="preserve"> </w:t>
      </w:r>
      <w:r w:rsidR="00A932E2">
        <w:rPr>
          <w:rFonts w:ascii="Arial" w:hAnsi="Arial" w:cs="Arial"/>
          <w:sz w:val="24"/>
          <w:szCs w:val="24"/>
        </w:rPr>
        <w:t xml:space="preserve"> </w:t>
      </w:r>
      <w:r w:rsidR="00C364DF">
        <w:rPr>
          <w:rFonts w:ascii="Arial" w:hAnsi="Arial" w:cs="Arial"/>
          <w:sz w:val="24"/>
          <w:szCs w:val="24"/>
        </w:rPr>
        <w:t>However, the</w:t>
      </w:r>
      <w:r w:rsidR="0097010A">
        <w:rPr>
          <w:rFonts w:ascii="Arial" w:hAnsi="Arial" w:cs="Arial"/>
          <w:sz w:val="24"/>
          <w:szCs w:val="24"/>
        </w:rPr>
        <w:t xml:space="preserve"> Staff Report fail</w:t>
      </w:r>
      <w:r w:rsidR="00C364DF">
        <w:rPr>
          <w:rFonts w:ascii="Arial" w:hAnsi="Arial" w:cs="Arial"/>
          <w:sz w:val="24"/>
          <w:szCs w:val="24"/>
        </w:rPr>
        <w:t>s</w:t>
      </w:r>
      <w:r w:rsidR="0097010A">
        <w:rPr>
          <w:rFonts w:ascii="Arial" w:hAnsi="Arial" w:cs="Arial"/>
          <w:sz w:val="24"/>
          <w:szCs w:val="24"/>
        </w:rPr>
        <w:t xml:space="preserve"> to provide any evidence that </w:t>
      </w:r>
      <w:r w:rsidR="00481772">
        <w:rPr>
          <w:rFonts w:ascii="Arial" w:hAnsi="Arial" w:cs="Arial"/>
          <w:sz w:val="24"/>
          <w:szCs w:val="24"/>
        </w:rPr>
        <w:t>these costs were analyzed and removed from distribution rates</w:t>
      </w:r>
      <w:r w:rsidR="00F4263D">
        <w:rPr>
          <w:rFonts w:ascii="Arial" w:hAnsi="Arial" w:cs="Arial"/>
          <w:sz w:val="24"/>
          <w:szCs w:val="24"/>
        </w:rPr>
        <w:t xml:space="preserve"> to prevent the </w:t>
      </w:r>
      <w:r w:rsidR="009A3D50">
        <w:rPr>
          <w:rFonts w:ascii="Arial" w:hAnsi="Arial" w:cs="Arial"/>
          <w:sz w:val="24"/>
          <w:szCs w:val="24"/>
        </w:rPr>
        <w:t>Commission from violating Ohio law</w:t>
      </w:r>
      <w:r w:rsidR="006B4B1D">
        <w:rPr>
          <w:rFonts w:ascii="Arial" w:hAnsi="Arial" w:cs="Arial"/>
          <w:sz w:val="24"/>
          <w:szCs w:val="24"/>
        </w:rPr>
        <w:t xml:space="preserve">. </w:t>
      </w:r>
    </w:p>
    <w:p w14:paraId="024DD856" w14:textId="3983A8F8" w:rsidR="002F317E" w:rsidRPr="00683617" w:rsidRDefault="002F317E" w:rsidP="008F72FD">
      <w:pPr>
        <w:spacing w:line="480" w:lineRule="auto"/>
        <w:ind w:firstLine="720"/>
        <w:jc w:val="both"/>
        <w:rPr>
          <w:rFonts w:ascii="Arial" w:hAnsi="Arial" w:cs="Arial"/>
          <w:sz w:val="24"/>
          <w:szCs w:val="24"/>
        </w:rPr>
      </w:pPr>
      <w:r>
        <w:rPr>
          <w:rFonts w:ascii="Arial" w:hAnsi="Arial" w:cs="Arial"/>
          <w:sz w:val="24"/>
          <w:szCs w:val="24"/>
        </w:rPr>
        <w:t>F</w:t>
      </w:r>
      <w:r w:rsidR="00D66E7F">
        <w:rPr>
          <w:rFonts w:ascii="Arial" w:hAnsi="Arial" w:cs="Arial"/>
          <w:sz w:val="24"/>
          <w:szCs w:val="24"/>
        </w:rPr>
        <w:t>inally</w:t>
      </w:r>
      <w:r>
        <w:rPr>
          <w:rFonts w:ascii="Arial" w:hAnsi="Arial" w:cs="Arial"/>
          <w:sz w:val="24"/>
          <w:szCs w:val="24"/>
        </w:rPr>
        <w:t xml:space="preserve">, IGS objects to the </w:t>
      </w:r>
      <w:r w:rsidR="00EB1C92">
        <w:rPr>
          <w:rFonts w:ascii="Arial" w:hAnsi="Arial" w:cs="Arial"/>
          <w:sz w:val="24"/>
          <w:szCs w:val="24"/>
        </w:rPr>
        <w:t xml:space="preserve">Staff Report’s failure to address certain modifications to the Supplier Tariff </w:t>
      </w:r>
      <w:r w:rsidR="009734CF">
        <w:rPr>
          <w:rFonts w:ascii="Arial" w:hAnsi="Arial" w:cs="Arial"/>
          <w:sz w:val="24"/>
          <w:szCs w:val="24"/>
        </w:rPr>
        <w:t xml:space="preserve">proposed by AEP Ohio. </w:t>
      </w:r>
      <w:r w:rsidR="00A463B2">
        <w:rPr>
          <w:rFonts w:ascii="Arial" w:hAnsi="Arial" w:cs="Arial"/>
          <w:sz w:val="24"/>
          <w:szCs w:val="24"/>
        </w:rPr>
        <w:t xml:space="preserve">AEP Ohio has </w:t>
      </w:r>
      <w:r w:rsidR="004D526A">
        <w:rPr>
          <w:rFonts w:ascii="Arial" w:hAnsi="Arial" w:cs="Arial"/>
          <w:sz w:val="24"/>
          <w:szCs w:val="24"/>
        </w:rPr>
        <w:t xml:space="preserve">proposed tariff </w:t>
      </w:r>
      <w:r w:rsidR="009B3C77">
        <w:rPr>
          <w:rFonts w:ascii="Arial" w:hAnsi="Arial" w:cs="Arial"/>
          <w:sz w:val="24"/>
          <w:szCs w:val="24"/>
        </w:rPr>
        <w:t>language</w:t>
      </w:r>
      <w:r w:rsidR="004D526A">
        <w:rPr>
          <w:rFonts w:ascii="Arial" w:hAnsi="Arial" w:cs="Arial"/>
          <w:sz w:val="24"/>
          <w:szCs w:val="24"/>
        </w:rPr>
        <w:t xml:space="preserve"> that </w:t>
      </w:r>
      <w:r w:rsidR="00394DEF">
        <w:rPr>
          <w:rFonts w:ascii="Arial" w:hAnsi="Arial" w:cs="Arial"/>
          <w:sz w:val="24"/>
          <w:szCs w:val="24"/>
        </w:rPr>
        <w:t xml:space="preserve">need further refinement to </w:t>
      </w:r>
      <w:r w:rsidR="0046487D">
        <w:rPr>
          <w:rFonts w:ascii="Arial" w:hAnsi="Arial" w:cs="Arial"/>
          <w:sz w:val="24"/>
          <w:szCs w:val="24"/>
        </w:rPr>
        <w:t xml:space="preserve">reflect </w:t>
      </w:r>
      <w:r w:rsidR="00BD065A">
        <w:rPr>
          <w:rFonts w:ascii="Arial" w:hAnsi="Arial" w:cs="Arial"/>
          <w:sz w:val="24"/>
          <w:szCs w:val="24"/>
        </w:rPr>
        <w:t xml:space="preserve">the proper </w:t>
      </w:r>
      <w:r w:rsidR="00036C41">
        <w:rPr>
          <w:rFonts w:ascii="Arial" w:hAnsi="Arial" w:cs="Arial"/>
          <w:sz w:val="24"/>
          <w:szCs w:val="24"/>
        </w:rPr>
        <w:t xml:space="preserve">scope and </w:t>
      </w:r>
      <w:r w:rsidR="00BD065A">
        <w:rPr>
          <w:rFonts w:ascii="Arial" w:hAnsi="Arial" w:cs="Arial"/>
          <w:sz w:val="24"/>
          <w:szCs w:val="24"/>
        </w:rPr>
        <w:t xml:space="preserve">application </w:t>
      </w:r>
      <w:r w:rsidR="00B84CCA">
        <w:rPr>
          <w:rFonts w:ascii="Arial" w:hAnsi="Arial" w:cs="Arial"/>
          <w:sz w:val="24"/>
          <w:szCs w:val="24"/>
        </w:rPr>
        <w:t>of the provisions</w:t>
      </w:r>
      <w:r w:rsidR="000807FF">
        <w:rPr>
          <w:rFonts w:ascii="Arial" w:hAnsi="Arial" w:cs="Arial"/>
          <w:sz w:val="24"/>
          <w:szCs w:val="24"/>
        </w:rPr>
        <w:t>.</w:t>
      </w:r>
      <w:r w:rsidR="00B84CCA">
        <w:rPr>
          <w:rFonts w:ascii="Arial" w:hAnsi="Arial" w:cs="Arial"/>
          <w:sz w:val="24"/>
          <w:szCs w:val="24"/>
        </w:rPr>
        <w:t xml:space="preserve"> </w:t>
      </w:r>
    </w:p>
    <w:p w14:paraId="732C164C" w14:textId="77777777" w:rsidR="00804DE8" w:rsidRPr="00683617" w:rsidRDefault="00804DE8" w:rsidP="008F72FD">
      <w:pPr>
        <w:spacing w:line="480" w:lineRule="auto"/>
        <w:ind w:firstLine="720"/>
        <w:jc w:val="both"/>
        <w:rPr>
          <w:rFonts w:ascii="Arial" w:hAnsi="Arial" w:cs="Arial"/>
          <w:sz w:val="24"/>
          <w:szCs w:val="24"/>
        </w:rPr>
      </w:pPr>
    </w:p>
    <w:p w14:paraId="146D9366" w14:textId="3FDCEAD8" w:rsidR="00971679" w:rsidRDefault="00971679" w:rsidP="00AD2318">
      <w:pPr>
        <w:pStyle w:val="Heading1"/>
        <w:numPr>
          <w:ilvl w:val="0"/>
          <w:numId w:val="3"/>
        </w:numPr>
        <w:spacing w:after="0"/>
      </w:pPr>
      <w:bookmarkStart w:id="2" w:name="_Toc59174652"/>
      <w:bookmarkStart w:id="3" w:name="_Toc59194844"/>
      <w:bookmarkEnd w:id="2"/>
      <w:r>
        <w:t>OBJECTIONS TO THE STAFF REPORT</w:t>
      </w:r>
      <w:bookmarkEnd w:id="3"/>
    </w:p>
    <w:p w14:paraId="4ABC6DCC" w14:textId="761A8026" w:rsidR="00971679" w:rsidRDefault="00971679" w:rsidP="00E92B9C">
      <w:pPr>
        <w:adjustRightInd w:val="0"/>
        <w:spacing w:line="480" w:lineRule="auto"/>
        <w:ind w:firstLine="720"/>
        <w:jc w:val="both"/>
        <w:rPr>
          <w:rFonts w:ascii="Arial" w:hAnsi="Arial" w:cs="Arial"/>
          <w:sz w:val="24"/>
          <w:szCs w:val="24"/>
        </w:rPr>
      </w:pPr>
      <w:r>
        <w:rPr>
          <w:rFonts w:ascii="Arial" w:hAnsi="Arial" w:cs="Arial"/>
          <w:sz w:val="24"/>
          <w:szCs w:val="24"/>
        </w:rPr>
        <w:t xml:space="preserve">IGS objects to the following specific recommendations </w:t>
      </w:r>
      <w:r w:rsidR="00E92B9C">
        <w:rPr>
          <w:rFonts w:ascii="Arial" w:hAnsi="Arial" w:cs="Arial"/>
          <w:sz w:val="24"/>
          <w:szCs w:val="24"/>
        </w:rPr>
        <w:t xml:space="preserve">or failures in </w:t>
      </w:r>
      <w:r>
        <w:rPr>
          <w:rFonts w:ascii="Arial" w:hAnsi="Arial" w:cs="Arial"/>
          <w:sz w:val="24"/>
          <w:szCs w:val="24"/>
        </w:rPr>
        <w:t>the Staff</w:t>
      </w:r>
      <w:r w:rsidR="00E92B9C">
        <w:rPr>
          <w:rFonts w:ascii="Arial" w:hAnsi="Arial" w:cs="Arial"/>
          <w:sz w:val="24"/>
          <w:szCs w:val="24"/>
        </w:rPr>
        <w:t xml:space="preserve"> </w:t>
      </w:r>
      <w:r>
        <w:rPr>
          <w:rFonts w:ascii="Arial" w:hAnsi="Arial" w:cs="Arial"/>
          <w:sz w:val="24"/>
          <w:szCs w:val="24"/>
        </w:rPr>
        <w:t>Report:</w:t>
      </w:r>
    </w:p>
    <w:p w14:paraId="3D984212" w14:textId="186535FF" w:rsidR="00CA0F84" w:rsidRDefault="003C2486" w:rsidP="00CA0F84">
      <w:pPr>
        <w:pStyle w:val="Heading2"/>
        <w:spacing w:after="240"/>
      </w:pPr>
      <w:bookmarkStart w:id="4" w:name="_Toc59194845"/>
      <w:r>
        <w:lastRenderedPageBreak/>
        <w:t>The</w:t>
      </w:r>
      <w:r w:rsidR="00CA0F84">
        <w:t xml:space="preserve"> Staff Report’s recommendation to collect the costs associated with providing a competitive retail </w:t>
      </w:r>
      <w:r w:rsidR="00036C41">
        <w:t xml:space="preserve">electric </w:t>
      </w:r>
      <w:r w:rsidR="00CA0F84">
        <w:t>service</w:t>
      </w:r>
      <w:r w:rsidR="001648A9">
        <w:t xml:space="preserve"> through</w:t>
      </w:r>
      <w:r w:rsidR="00CA0F84">
        <w:t xml:space="preserve"> distribution rates </w:t>
      </w:r>
      <w:r>
        <w:t xml:space="preserve">is </w:t>
      </w:r>
      <w:r w:rsidR="00CA0F84">
        <w:t>contrary to Ohio law.</w:t>
      </w:r>
      <w:bookmarkEnd w:id="4"/>
    </w:p>
    <w:p w14:paraId="152B7C6A" w14:textId="7CD6F1F8" w:rsidR="00CA0F84" w:rsidRPr="00B70610" w:rsidRDefault="005F49A7" w:rsidP="0015757F">
      <w:pPr>
        <w:spacing w:line="480" w:lineRule="auto"/>
        <w:ind w:firstLine="720"/>
        <w:jc w:val="both"/>
        <w:rPr>
          <w:rFonts w:ascii="Arial" w:hAnsi="Arial" w:cs="Arial"/>
          <w:sz w:val="24"/>
          <w:szCs w:val="24"/>
        </w:rPr>
      </w:pPr>
      <w:r w:rsidRPr="00B70610">
        <w:rPr>
          <w:rFonts w:ascii="Arial" w:hAnsi="Arial" w:cs="Arial"/>
          <w:sz w:val="24"/>
          <w:szCs w:val="24"/>
        </w:rPr>
        <w:t>In rejecting unbundling, the Staff Report maintains that the SSO is a default service that is available to all customers and required to be provided by the electric distribution company (“EDU”).</w:t>
      </w:r>
      <w:r w:rsidRPr="00B70610">
        <w:rPr>
          <w:rStyle w:val="FootnoteReference"/>
          <w:rFonts w:cs="Arial"/>
          <w:sz w:val="24"/>
          <w:szCs w:val="24"/>
        </w:rPr>
        <w:footnoteReference w:id="17"/>
      </w:r>
      <w:r w:rsidRPr="00B70610">
        <w:rPr>
          <w:rFonts w:ascii="Arial" w:hAnsi="Arial" w:cs="Arial"/>
          <w:sz w:val="24"/>
          <w:szCs w:val="24"/>
        </w:rPr>
        <w:t xml:space="preserve"> However, this is an improper attempt to use a policy justification to achieve a result otherwise prohibited by the General Assembly.</w:t>
      </w:r>
      <w:r>
        <w:rPr>
          <w:rStyle w:val="FootnoteReference"/>
          <w:rFonts w:cs="Arial"/>
          <w:szCs w:val="24"/>
        </w:rPr>
        <w:footnoteReference w:id="18"/>
      </w:r>
      <w:r>
        <w:rPr>
          <w:rFonts w:ascii="Arial" w:hAnsi="Arial" w:cs="Arial"/>
          <w:sz w:val="24"/>
          <w:szCs w:val="24"/>
        </w:rPr>
        <w:t xml:space="preserve">  Accordingly</w:t>
      </w:r>
      <w:r w:rsidR="009F598B">
        <w:rPr>
          <w:rFonts w:ascii="Arial" w:hAnsi="Arial" w:cs="Arial"/>
          <w:sz w:val="24"/>
          <w:szCs w:val="24"/>
        </w:rPr>
        <w:t xml:space="preserve">, </w:t>
      </w:r>
      <w:r w:rsidR="00CA0F84" w:rsidRPr="00B70610">
        <w:rPr>
          <w:rFonts w:ascii="Arial" w:hAnsi="Arial" w:cs="Arial"/>
          <w:sz w:val="24"/>
          <w:szCs w:val="24"/>
        </w:rPr>
        <w:t xml:space="preserve">IGS objects to </w:t>
      </w:r>
      <w:r w:rsidR="00A113CC">
        <w:rPr>
          <w:rFonts w:ascii="Arial" w:hAnsi="Arial" w:cs="Arial"/>
          <w:sz w:val="24"/>
          <w:szCs w:val="24"/>
        </w:rPr>
        <w:t>the recommendation because it would permit AEP</w:t>
      </w:r>
      <w:r w:rsidR="00D140DA">
        <w:rPr>
          <w:rFonts w:ascii="Arial" w:hAnsi="Arial" w:cs="Arial"/>
          <w:sz w:val="24"/>
          <w:szCs w:val="24"/>
        </w:rPr>
        <w:t xml:space="preserve"> </w:t>
      </w:r>
      <w:r w:rsidR="00A113CC">
        <w:rPr>
          <w:rFonts w:ascii="Arial" w:hAnsi="Arial" w:cs="Arial"/>
          <w:sz w:val="24"/>
          <w:szCs w:val="24"/>
        </w:rPr>
        <w:t>Ohio to</w:t>
      </w:r>
      <w:r w:rsidR="00A113CC" w:rsidRPr="00B70610">
        <w:rPr>
          <w:rFonts w:ascii="Arial" w:hAnsi="Arial" w:cs="Arial"/>
          <w:sz w:val="24"/>
          <w:szCs w:val="24"/>
        </w:rPr>
        <w:t xml:space="preserve"> </w:t>
      </w:r>
      <w:r w:rsidR="00CA0F84" w:rsidRPr="00B70610">
        <w:rPr>
          <w:rFonts w:ascii="Arial" w:hAnsi="Arial" w:cs="Arial"/>
          <w:sz w:val="24"/>
          <w:szCs w:val="24"/>
        </w:rPr>
        <w:t xml:space="preserve">collect the costs of providing the SSO, a competitive retail electric service, through distribution rates in violation of R.C. 4928.05(A)(1). </w:t>
      </w:r>
    </w:p>
    <w:p w14:paraId="5952190F" w14:textId="4050BA1C" w:rsidR="00CA0F84" w:rsidRPr="00944122" w:rsidRDefault="00CA0F84" w:rsidP="00C721AE">
      <w:pPr>
        <w:pStyle w:val="BodyText"/>
        <w:spacing w:line="480" w:lineRule="auto"/>
        <w:ind w:firstLine="720"/>
        <w:jc w:val="both"/>
      </w:pPr>
      <w:r w:rsidRPr="00C721AE">
        <w:rPr>
          <w:rFonts w:ascii="Arial" w:hAnsi="Arial" w:cs="Arial"/>
        </w:rPr>
        <w:t>The Commission has no authority to regulate or provide compensation to support competitive retail electric service through base distribution rates established under Chapter 4909. Indeed, the General Assembly specifically provided that “a competitive retail electric service supplied by an electric utility or electric services company shall not be subject to supervision and regulation . . . by the public utilities commission under Chapters 4901. to 4909., 4933., 4935., and 4963.” R.C. 4928.05(A)(1). In other words, the Commission lacks authority to authorize the recovery of costs related to competitive retail electric services in a distribution rate case filed under 4909.18. The Commission’s authority to supervise and regulate the SSO is limited to R.C. 4928.141-144. Therefore, the Staff Report’s recommended distribution rates, which includes costs to provide AEP Ohio’s competitive retail electric service, are unlawful and too high.</w:t>
      </w:r>
    </w:p>
    <w:p w14:paraId="350364DA" w14:textId="5D0DA204" w:rsidR="00FC082B" w:rsidRDefault="008C69E3" w:rsidP="00DE59C4">
      <w:pPr>
        <w:pStyle w:val="Heading2"/>
      </w:pPr>
      <w:bookmarkStart w:id="5" w:name="_Toc59194846"/>
      <w:r>
        <w:lastRenderedPageBreak/>
        <w:t>The Staff Report fails to recommend that AEP Ohio unbundle from distribution rates</w:t>
      </w:r>
      <w:r w:rsidR="00DE59C4">
        <w:t xml:space="preserve"> all costs related to the provision of the </w:t>
      </w:r>
      <w:r w:rsidR="00BC0B02">
        <w:t>SSO</w:t>
      </w:r>
      <w:r w:rsidR="00DE59C4">
        <w:t>.</w:t>
      </w:r>
      <w:bookmarkEnd w:id="5"/>
    </w:p>
    <w:p w14:paraId="2F6F8636" w14:textId="77777777" w:rsidR="00B70610" w:rsidRPr="00B70610" w:rsidRDefault="00B70610" w:rsidP="00B70610"/>
    <w:p w14:paraId="075024BA" w14:textId="543A5996" w:rsidR="00B70610" w:rsidRPr="00B70610" w:rsidRDefault="00B70610" w:rsidP="00B70610">
      <w:pPr>
        <w:spacing w:line="480" w:lineRule="auto"/>
        <w:ind w:firstLine="720"/>
        <w:jc w:val="both"/>
        <w:rPr>
          <w:rFonts w:ascii="Arial" w:hAnsi="Arial" w:cs="Arial"/>
          <w:sz w:val="24"/>
          <w:szCs w:val="24"/>
        </w:rPr>
      </w:pPr>
      <w:r w:rsidRPr="00B70610">
        <w:rPr>
          <w:rFonts w:ascii="Arial" w:hAnsi="Arial" w:cs="Arial"/>
          <w:sz w:val="24"/>
          <w:szCs w:val="24"/>
        </w:rPr>
        <w:t xml:space="preserve">IGS objects to the Staff Report’s failure to recommend that AEP Ohio remove the costs associated with providing </w:t>
      </w:r>
      <w:r w:rsidR="006D63CA">
        <w:rPr>
          <w:rFonts w:ascii="Arial" w:hAnsi="Arial" w:cs="Arial"/>
          <w:sz w:val="24"/>
          <w:szCs w:val="24"/>
        </w:rPr>
        <w:t>the</w:t>
      </w:r>
      <w:r w:rsidR="006D63CA" w:rsidRPr="00B70610">
        <w:rPr>
          <w:rFonts w:ascii="Arial" w:hAnsi="Arial" w:cs="Arial"/>
          <w:sz w:val="24"/>
          <w:szCs w:val="24"/>
        </w:rPr>
        <w:t xml:space="preserve"> </w:t>
      </w:r>
      <w:r w:rsidR="00AC0E6B">
        <w:rPr>
          <w:rFonts w:ascii="Arial" w:hAnsi="Arial" w:cs="Arial"/>
          <w:sz w:val="24"/>
          <w:szCs w:val="24"/>
        </w:rPr>
        <w:t>SSO</w:t>
      </w:r>
      <w:r w:rsidRPr="00B70610">
        <w:rPr>
          <w:rFonts w:ascii="Arial" w:hAnsi="Arial" w:cs="Arial"/>
          <w:sz w:val="24"/>
          <w:szCs w:val="24"/>
        </w:rPr>
        <w:t xml:space="preserve"> from distribution rates. Failure to </w:t>
      </w:r>
      <w:r w:rsidR="00423347">
        <w:rPr>
          <w:rFonts w:ascii="Arial" w:hAnsi="Arial" w:cs="Arial"/>
          <w:sz w:val="24"/>
          <w:szCs w:val="24"/>
        </w:rPr>
        <w:t>unbundle these costs from distribution rates</w:t>
      </w:r>
      <w:r w:rsidRPr="00B70610">
        <w:rPr>
          <w:rFonts w:ascii="Arial" w:hAnsi="Arial" w:cs="Arial"/>
          <w:sz w:val="24"/>
          <w:szCs w:val="24"/>
        </w:rPr>
        <w:t xml:space="preserve"> is contrary to Ohio law</w:t>
      </w:r>
      <w:r w:rsidR="00423347">
        <w:rPr>
          <w:rFonts w:ascii="Arial" w:hAnsi="Arial" w:cs="Arial"/>
          <w:sz w:val="24"/>
          <w:szCs w:val="24"/>
        </w:rPr>
        <w:t xml:space="preserve"> and policy, which prohibits the Commission from using its authority under Chapter 4909 to grant distribution rate-related cost recovery for competitive services.</w:t>
      </w:r>
    </w:p>
    <w:p w14:paraId="289DA9BF" w14:textId="52BA52F2" w:rsidR="00B70610" w:rsidRPr="00B70610" w:rsidRDefault="00B70610" w:rsidP="00B70610">
      <w:pPr>
        <w:spacing w:line="480" w:lineRule="auto"/>
        <w:ind w:firstLine="720"/>
        <w:jc w:val="both"/>
        <w:rPr>
          <w:rFonts w:ascii="Arial" w:hAnsi="Arial" w:cs="Arial"/>
          <w:sz w:val="24"/>
          <w:szCs w:val="24"/>
        </w:rPr>
      </w:pPr>
      <w:r w:rsidRPr="00B70610">
        <w:rPr>
          <w:rFonts w:ascii="Arial" w:hAnsi="Arial" w:cs="Arial"/>
          <w:sz w:val="24"/>
          <w:szCs w:val="24"/>
        </w:rPr>
        <w:t>The Staff Report acknowledges</w:t>
      </w:r>
      <w:r w:rsidR="009E43C9">
        <w:rPr>
          <w:rFonts w:ascii="Arial" w:hAnsi="Arial" w:cs="Arial"/>
          <w:sz w:val="24"/>
          <w:szCs w:val="24"/>
        </w:rPr>
        <w:t xml:space="preserve"> that</w:t>
      </w:r>
      <w:r w:rsidRPr="00B70610">
        <w:rPr>
          <w:rFonts w:ascii="Arial" w:hAnsi="Arial" w:cs="Arial"/>
          <w:sz w:val="24"/>
          <w:szCs w:val="24"/>
        </w:rPr>
        <w:t xml:space="preserve">, in accordance with the Opinion and Order approved in AEP Ohio’s ESP IV, </w:t>
      </w:r>
      <w:r w:rsidR="000E52BC">
        <w:rPr>
          <w:rFonts w:ascii="Arial" w:hAnsi="Arial" w:cs="Arial"/>
          <w:sz w:val="24"/>
          <w:szCs w:val="24"/>
        </w:rPr>
        <w:t xml:space="preserve">the Commission directed </w:t>
      </w:r>
      <w:r w:rsidRPr="00B70610">
        <w:rPr>
          <w:rFonts w:ascii="Arial" w:hAnsi="Arial" w:cs="Arial"/>
          <w:sz w:val="24"/>
          <w:szCs w:val="24"/>
        </w:rPr>
        <w:t>AEP Ohio to differentiate the costs between SSO customers and shopping customers in its next distribution rate case.</w:t>
      </w:r>
      <w:r w:rsidRPr="00B70610">
        <w:rPr>
          <w:rStyle w:val="FootnoteReference"/>
          <w:rFonts w:cs="Arial"/>
          <w:sz w:val="24"/>
          <w:szCs w:val="24"/>
        </w:rPr>
        <w:footnoteReference w:id="19"/>
      </w:r>
      <w:r w:rsidRPr="00B70610">
        <w:rPr>
          <w:rFonts w:ascii="Arial" w:hAnsi="Arial" w:cs="Arial"/>
          <w:sz w:val="24"/>
          <w:szCs w:val="24"/>
        </w:rPr>
        <w:t xml:space="preserve"> The Staff Report further recognizes that AEP Ohio identified some of these costs in </w:t>
      </w:r>
      <w:r w:rsidR="00747DCC">
        <w:rPr>
          <w:rFonts w:ascii="Arial" w:hAnsi="Arial" w:cs="Arial"/>
          <w:sz w:val="24"/>
          <w:szCs w:val="24"/>
        </w:rPr>
        <w:t xml:space="preserve">the </w:t>
      </w:r>
      <w:r w:rsidRPr="00B70610">
        <w:rPr>
          <w:rFonts w:ascii="Arial" w:hAnsi="Arial" w:cs="Arial"/>
          <w:sz w:val="24"/>
          <w:szCs w:val="24"/>
        </w:rPr>
        <w:t xml:space="preserve">Application and proposed </w:t>
      </w:r>
      <w:r w:rsidR="00354ED3">
        <w:rPr>
          <w:rFonts w:ascii="Arial" w:hAnsi="Arial" w:cs="Arial"/>
          <w:sz w:val="24"/>
          <w:szCs w:val="24"/>
        </w:rPr>
        <w:t>collection</w:t>
      </w:r>
      <w:r w:rsidR="00354ED3" w:rsidRPr="00B70610">
        <w:rPr>
          <w:rFonts w:ascii="Arial" w:hAnsi="Arial" w:cs="Arial"/>
          <w:sz w:val="24"/>
          <w:szCs w:val="24"/>
        </w:rPr>
        <w:t xml:space="preserve"> </w:t>
      </w:r>
      <w:r w:rsidRPr="00B70610">
        <w:rPr>
          <w:rFonts w:ascii="Arial" w:hAnsi="Arial" w:cs="Arial"/>
          <w:sz w:val="24"/>
          <w:szCs w:val="24"/>
        </w:rPr>
        <w:t xml:space="preserve">of these costs through the </w:t>
      </w:r>
      <w:proofErr w:type="spellStart"/>
      <w:r w:rsidRPr="00B70610">
        <w:rPr>
          <w:rFonts w:ascii="Arial" w:hAnsi="Arial" w:cs="Arial"/>
          <w:sz w:val="24"/>
          <w:szCs w:val="24"/>
        </w:rPr>
        <w:t>bypassable</w:t>
      </w:r>
      <w:proofErr w:type="spellEnd"/>
      <w:r w:rsidRPr="00B70610">
        <w:rPr>
          <w:rFonts w:ascii="Arial" w:hAnsi="Arial" w:cs="Arial"/>
          <w:sz w:val="24"/>
          <w:szCs w:val="24"/>
        </w:rPr>
        <w:t xml:space="preserve"> </w:t>
      </w:r>
      <w:r w:rsidR="00783176">
        <w:rPr>
          <w:rFonts w:ascii="Arial" w:hAnsi="Arial" w:cs="Arial"/>
          <w:sz w:val="24"/>
          <w:szCs w:val="24"/>
        </w:rPr>
        <w:t>RRR</w:t>
      </w:r>
      <w:r w:rsidRPr="00B70610">
        <w:rPr>
          <w:rFonts w:ascii="Arial" w:hAnsi="Arial" w:cs="Arial"/>
          <w:sz w:val="24"/>
          <w:szCs w:val="24"/>
        </w:rPr>
        <w:t xml:space="preserve"> </w:t>
      </w:r>
      <w:r w:rsidR="009C6163">
        <w:rPr>
          <w:rFonts w:ascii="Arial" w:hAnsi="Arial" w:cs="Arial"/>
          <w:sz w:val="24"/>
          <w:szCs w:val="24"/>
        </w:rPr>
        <w:t xml:space="preserve">and a </w:t>
      </w:r>
      <w:r w:rsidRPr="00B70610">
        <w:rPr>
          <w:rFonts w:ascii="Arial" w:hAnsi="Arial" w:cs="Arial"/>
          <w:sz w:val="24"/>
          <w:szCs w:val="24"/>
        </w:rPr>
        <w:t>credit through the non-</w:t>
      </w:r>
      <w:proofErr w:type="spellStart"/>
      <w:r w:rsidRPr="00B70610">
        <w:rPr>
          <w:rFonts w:ascii="Arial" w:hAnsi="Arial" w:cs="Arial"/>
          <w:sz w:val="24"/>
          <w:szCs w:val="24"/>
        </w:rPr>
        <w:t>bypassable</w:t>
      </w:r>
      <w:proofErr w:type="spellEnd"/>
      <w:r w:rsidRPr="00B70610">
        <w:rPr>
          <w:rFonts w:ascii="Arial" w:hAnsi="Arial" w:cs="Arial"/>
          <w:sz w:val="24"/>
          <w:szCs w:val="24"/>
        </w:rPr>
        <w:t xml:space="preserve"> SSOCR.</w:t>
      </w:r>
      <w:r w:rsidRPr="00B70610">
        <w:rPr>
          <w:rStyle w:val="FootnoteReference"/>
          <w:rFonts w:cs="Arial"/>
          <w:sz w:val="24"/>
          <w:szCs w:val="24"/>
        </w:rPr>
        <w:footnoteReference w:id="20"/>
      </w:r>
    </w:p>
    <w:p w14:paraId="22886F8E" w14:textId="7B4DBF96" w:rsidR="001B3360" w:rsidRDefault="0067138D" w:rsidP="00E709EE">
      <w:pPr>
        <w:spacing w:line="480" w:lineRule="auto"/>
        <w:ind w:firstLine="720"/>
        <w:jc w:val="both"/>
        <w:rPr>
          <w:rFonts w:ascii="Arial" w:hAnsi="Arial" w:cs="Arial"/>
          <w:sz w:val="24"/>
          <w:szCs w:val="24"/>
        </w:rPr>
      </w:pPr>
      <w:r>
        <w:rPr>
          <w:rFonts w:ascii="Arial" w:hAnsi="Arial" w:cs="Arial"/>
          <w:sz w:val="24"/>
          <w:szCs w:val="24"/>
        </w:rPr>
        <w:t>AEP</w:t>
      </w:r>
      <w:r w:rsidR="003566FE">
        <w:rPr>
          <w:rFonts w:ascii="Arial" w:hAnsi="Arial" w:cs="Arial"/>
          <w:sz w:val="24"/>
          <w:szCs w:val="24"/>
        </w:rPr>
        <w:t xml:space="preserve"> </w:t>
      </w:r>
      <w:r>
        <w:rPr>
          <w:rFonts w:ascii="Arial" w:hAnsi="Arial" w:cs="Arial"/>
          <w:sz w:val="24"/>
          <w:szCs w:val="24"/>
        </w:rPr>
        <w:t xml:space="preserve">Ohio, however, did not fully comply with the Commission’s orders in the ESP IV case.  </w:t>
      </w:r>
      <w:r w:rsidR="00B70610" w:rsidRPr="00B70610">
        <w:rPr>
          <w:rFonts w:ascii="Arial" w:hAnsi="Arial" w:cs="Arial"/>
          <w:sz w:val="24"/>
          <w:szCs w:val="24"/>
        </w:rPr>
        <w:t>According to the Staff Report, “[t]he Company did not examine all cost causation factors.</w:t>
      </w:r>
      <w:r w:rsidR="00AF36AA">
        <w:rPr>
          <w:rFonts w:ascii="Arial" w:hAnsi="Arial" w:cs="Arial"/>
          <w:sz w:val="24"/>
          <w:szCs w:val="24"/>
        </w:rPr>
        <w:t>”</w:t>
      </w:r>
      <w:r w:rsidR="00C85887">
        <w:rPr>
          <w:rStyle w:val="FootnoteReference"/>
          <w:rFonts w:cs="Arial"/>
          <w:szCs w:val="24"/>
        </w:rPr>
        <w:footnoteReference w:id="21"/>
      </w:r>
      <w:r w:rsidR="00AF36AA">
        <w:rPr>
          <w:rFonts w:ascii="Arial" w:hAnsi="Arial" w:cs="Arial"/>
          <w:sz w:val="24"/>
          <w:szCs w:val="24"/>
        </w:rPr>
        <w:t xml:space="preserve"> As a result, the Staff Report notes</w:t>
      </w:r>
      <w:r w:rsidR="00AE552A">
        <w:rPr>
          <w:rFonts w:ascii="Arial" w:hAnsi="Arial" w:cs="Arial"/>
          <w:sz w:val="24"/>
          <w:szCs w:val="24"/>
        </w:rPr>
        <w:t xml:space="preserve"> that</w:t>
      </w:r>
      <w:r w:rsidR="00B70610" w:rsidRPr="00B70610">
        <w:rPr>
          <w:rFonts w:ascii="Arial" w:hAnsi="Arial" w:cs="Arial"/>
          <w:sz w:val="24"/>
          <w:szCs w:val="24"/>
        </w:rPr>
        <w:t xml:space="preserve"> </w:t>
      </w:r>
      <w:r w:rsidR="000534D0">
        <w:rPr>
          <w:rFonts w:ascii="Arial" w:hAnsi="Arial" w:cs="Arial"/>
          <w:sz w:val="24"/>
          <w:szCs w:val="24"/>
        </w:rPr>
        <w:t>“</w:t>
      </w:r>
      <w:r w:rsidR="00B70610" w:rsidRPr="00B70610">
        <w:rPr>
          <w:rFonts w:ascii="Arial" w:hAnsi="Arial" w:cs="Arial"/>
          <w:sz w:val="24"/>
          <w:szCs w:val="24"/>
        </w:rPr>
        <w:t>Staff cannot determine if or how cost should be allocated between shopping and non-shopping customers.</w:t>
      </w:r>
      <w:r w:rsidR="00E709EE" w:rsidRPr="00E709EE">
        <w:t xml:space="preserve"> </w:t>
      </w:r>
      <w:r w:rsidR="00E709EE" w:rsidRPr="00E709EE">
        <w:rPr>
          <w:rFonts w:ascii="Arial" w:hAnsi="Arial" w:cs="Arial"/>
          <w:sz w:val="24"/>
          <w:szCs w:val="24"/>
        </w:rPr>
        <w:t>Staff cannot recommend a charge that is not just and reasonable.</w:t>
      </w:r>
      <w:r w:rsidR="001B3360">
        <w:rPr>
          <w:rFonts w:ascii="Arial" w:hAnsi="Arial" w:cs="Arial"/>
          <w:sz w:val="24"/>
          <w:szCs w:val="24"/>
        </w:rPr>
        <w:t>”</w:t>
      </w:r>
      <w:r w:rsidR="00E709EE" w:rsidRPr="00E709EE">
        <w:rPr>
          <w:rFonts w:ascii="Arial" w:hAnsi="Arial" w:cs="Arial"/>
          <w:sz w:val="24"/>
          <w:szCs w:val="24"/>
        </w:rPr>
        <w:t xml:space="preserve"> </w:t>
      </w:r>
    </w:p>
    <w:p w14:paraId="0095AD82" w14:textId="245AC7F0" w:rsidR="00D106C8" w:rsidRDefault="00A9424F" w:rsidP="00BA2D6D">
      <w:pPr>
        <w:spacing w:line="480" w:lineRule="auto"/>
        <w:ind w:firstLine="720"/>
        <w:jc w:val="both"/>
        <w:rPr>
          <w:rFonts w:ascii="Arial" w:hAnsi="Arial" w:cs="Arial"/>
          <w:sz w:val="24"/>
          <w:szCs w:val="24"/>
        </w:rPr>
      </w:pPr>
      <w:r>
        <w:rPr>
          <w:rFonts w:ascii="Arial" w:hAnsi="Arial" w:cs="Arial"/>
          <w:sz w:val="24"/>
          <w:szCs w:val="24"/>
        </w:rPr>
        <w:t>Separately, however, the Staff has also indicated that it will not be bound by the Commission’s directive in ESP IV for AEP</w:t>
      </w:r>
      <w:r w:rsidR="003566FE">
        <w:rPr>
          <w:rFonts w:ascii="Arial" w:hAnsi="Arial" w:cs="Arial"/>
          <w:sz w:val="24"/>
          <w:szCs w:val="24"/>
        </w:rPr>
        <w:t xml:space="preserve"> </w:t>
      </w:r>
      <w:r>
        <w:rPr>
          <w:rFonts w:ascii="Arial" w:hAnsi="Arial" w:cs="Arial"/>
          <w:sz w:val="24"/>
          <w:szCs w:val="24"/>
        </w:rPr>
        <w:t xml:space="preserve">Ohio to disaggregate the costs </w:t>
      </w:r>
      <w:r w:rsidR="001D2396">
        <w:rPr>
          <w:rFonts w:ascii="Arial" w:hAnsi="Arial" w:cs="Arial"/>
          <w:sz w:val="24"/>
          <w:szCs w:val="24"/>
        </w:rPr>
        <w:t xml:space="preserve">to provide the </w:t>
      </w:r>
      <w:r w:rsidR="001D2396">
        <w:rPr>
          <w:rFonts w:ascii="Arial" w:hAnsi="Arial" w:cs="Arial"/>
          <w:sz w:val="24"/>
          <w:szCs w:val="24"/>
        </w:rPr>
        <w:lastRenderedPageBreak/>
        <w:t xml:space="preserve">SSO </w:t>
      </w:r>
      <w:r>
        <w:rPr>
          <w:rFonts w:ascii="Arial" w:hAnsi="Arial" w:cs="Arial"/>
          <w:sz w:val="24"/>
          <w:szCs w:val="24"/>
        </w:rPr>
        <w:t>recovered in distribution rates.  According to the Staff Report,</w:t>
      </w:r>
      <w:r w:rsidR="00E709EE" w:rsidRPr="00E709EE">
        <w:rPr>
          <w:rFonts w:ascii="Arial" w:hAnsi="Arial" w:cs="Arial"/>
          <w:sz w:val="24"/>
          <w:szCs w:val="24"/>
        </w:rPr>
        <w:t xml:space="preserve"> </w:t>
      </w:r>
      <w:r w:rsidR="00BA2D6D">
        <w:rPr>
          <w:rFonts w:ascii="Arial" w:hAnsi="Arial" w:cs="Arial"/>
          <w:sz w:val="24"/>
          <w:szCs w:val="24"/>
        </w:rPr>
        <w:t>“</w:t>
      </w:r>
      <w:r w:rsidR="00E709EE" w:rsidRPr="00E709EE">
        <w:rPr>
          <w:rFonts w:ascii="Arial" w:hAnsi="Arial" w:cs="Arial"/>
          <w:sz w:val="24"/>
          <w:szCs w:val="24"/>
        </w:rPr>
        <w:t>Staff maintains that SSO is a default service, available to all customers and required by electric</w:t>
      </w:r>
      <w:r w:rsidR="00E709EE">
        <w:rPr>
          <w:rFonts w:ascii="Arial" w:hAnsi="Arial" w:cs="Arial"/>
          <w:sz w:val="24"/>
          <w:szCs w:val="24"/>
        </w:rPr>
        <w:t xml:space="preserve"> </w:t>
      </w:r>
      <w:r w:rsidR="00E709EE" w:rsidRPr="00E709EE">
        <w:rPr>
          <w:rFonts w:ascii="Arial" w:hAnsi="Arial" w:cs="Arial"/>
          <w:sz w:val="24"/>
          <w:szCs w:val="24"/>
        </w:rPr>
        <w:t>distribution companies to provide</w:t>
      </w:r>
      <w:r w:rsidR="004E37F2">
        <w:rPr>
          <w:rFonts w:ascii="Arial" w:hAnsi="Arial" w:cs="Arial"/>
          <w:sz w:val="24"/>
          <w:szCs w:val="24"/>
        </w:rPr>
        <w:t>.</w:t>
      </w:r>
      <w:r w:rsidR="00B70610" w:rsidRPr="00B70610">
        <w:rPr>
          <w:rFonts w:ascii="Arial" w:hAnsi="Arial" w:cs="Arial"/>
          <w:sz w:val="24"/>
          <w:szCs w:val="24"/>
        </w:rPr>
        <w:t>”</w:t>
      </w:r>
      <w:r w:rsidR="00B70610" w:rsidRPr="00B70610">
        <w:rPr>
          <w:rStyle w:val="FootnoteReference"/>
          <w:rFonts w:cs="Arial"/>
          <w:sz w:val="24"/>
          <w:szCs w:val="24"/>
        </w:rPr>
        <w:footnoteReference w:id="22"/>
      </w:r>
      <w:r w:rsidR="00234F7E">
        <w:rPr>
          <w:rFonts w:ascii="Arial" w:hAnsi="Arial" w:cs="Arial"/>
          <w:sz w:val="24"/>
          <w:szCs w:val="24"/>
        </w:rPr>
        <w:t xml:space="preserve">  </w:t>
      </w:r>
      <w:r w:rsidR="00D106C8">
        <w:rPr>
          <w:rFonts w:ascii="Arial" w:hAnsi="Arial" w:cs="Arial"/>
          <w:sz w:val="24"/>
          <w:szCs w:val="24"/>
        </w:rPr>
        <w:t>Thus, Staff’s recommendation boils down to two conclus</w:t>
      </w:r>
      <w:r w:rsidR="0084340A">
        <w:rPr>
          <w:rFonts w:ascii="Arial" w:hAnsi="Arial" w:cs="Arial"/>
          <w:sz w:val="24"/>
          <w:szCs w:val="24"/>
        </w:rPr>
        <w:t>i</w:t>
      </w:r>
      <w:r w:rsidR="00D106C8">
        <w:rPr>
          <w:rFonts w:ascii="Arial" w:hAnsi="Arial" w:cs="Arial"/>
          <w:sz w:val="24"/>
          <w:szCs w:val="24"/>
        </w:rPr>
        <w:t>ons:  (1) it did not evaluate the cost</w:t>
      </w:r>
      <w:r w:rsidR="00E207BB">
        <w:rPr>
          <w:rFonts w:ascii="Arial" w:hAnsi="Arial" w:cs="Arial"/>
          <w:sz w:val="24"/>
          <w:szCs w:val="24"/>
        </w:rPr>
        <w:t>s</w:t>
      </w:r>
      <w:r w:rsidR="00D106C8">
        <w:rPr>
          <w:rFonts w:ascii="Arial" w:hAnsi="Arial" w:cs="Arial"/>
          <w:sz w:val="24"/>
          <w:szCs w:val="24"/>
        </w:rPr>
        <w:t xml:space="preserve"> of providing the SSO that are currently recovered in distribution rates because AEP</w:t>
      </w:r>
      <w:r w:rsidR="003566FE">
        <w:rPr>
          <w:rFonts w:ascii="Arial" w:hAnsi="Arial" w:cs="Arial"/>
          <w:sz w:val="24"/>
          <w:szCs w:val="24"/>
        </w:rPr>
        <w:t xml:space="preserve"> </w:t>
      </w:r>
      <w:r w:rsidR="00D106C8">
        <w:rPr>
          <w:rFonts w:ascii="Arial" w:hAnsi="Arial" w:cs="Arial"/>
          <w:sz w:val="24"/>
          <w:szCs w:val="24"/>
        </w:rPr>
        <w:t xml:space="preserve">Ohio did not comply with the Commission’s </w:t>
      </w:r>
      <w:r w:rsidR="00870321">
        <w:rPr>
          <w:rFonts w:ascii="Arial" w:hAnsi="Arial" w:cs="Arial"/>
          <w:sz w:val="24"/>
          <w:szCs w:val="24"/>
        </w:rPr>
        <w:t>O</w:t>
      </w:r>
      <w:r w:rsidR="00D106C8">
        <w:rPr>
          <w:rFonts w:ascii="Arial" w:hAnsi="Arial" w:cs="Arial"/>
          <w:sz w:val="24"/>
          <w:szCs w:val="24"/>
        </w:rPr>
        <w:t>rder in ESP IV</w:t>
      </w:r>
      <w:r w:rsidR="008A2F65">
        <w:rPr>
          <w:rFonts w:ascii="Arial" w:hAnsi="Arial" w:cs="Arial"/>
          <w:sz w:val="24"/>
          <w:szCs w:val="24"/>
        </w:rPr>
        <w:t>;</w:t>
      </w:r>
      <w:r w:rsidR="00D106C8">
        <w:rPr>
          <w:rFonts w:ascii="Arial" w:hAnsi="Arial" w:cs="Arial"/>
          <w:sz w:val="24"/>
          <w:szCs w:val="24"/>
        </w:rPr>
        <w:t xml:space="preserve"> and (2), even if AEP</w:t>
      </w:r>
      <w:r w:rsidR="003566FE">
        <w:rPr>
          <w:rFonts w:ascii="Arial" w:hAnsi="Arial" w:cs="Arial"/>
          <w:sz w:val="24"/>
          <w:szCs w:val="24"/>
        </w:rPr>
        <w:t xml:space="preserve"> </w:t>
      </w:r>
      <w:r w:rsidR="00D106C8">
        <w:rPr>
          <w:rFonts w:ascii="Arial" w:hAnsi="Arial" w:cs="Arial"/>
          <w:sz w:val="24"/>
          <w:szCs w:val="24"/>
        </w:rPr>
        <w:t xml:space="preserve">Ohio had performed as it should have, the Staff has imposed a policy justification for ignoring Ohio law’s prohibition of the recovery of costs related to competitive services through distribution rates. </w:t>
      </w:r>
    </w:p>
    <w:p w14:paraId="4385C460" w14:textId="0CD2FF5D" w:rsidR="00B70610" w:rsidRPr="00B70610" w:rsidRDefault="00A104C6" w:rsidP="00E709EE">
      <w:pPr>
        <w:spacing w:line="480" w:lineRule="auto"/>
        <w:ind w:firstLine="720"/>
        <w:jc w:val="both"/>
        <w:rPr>
          <w:rFonts w:ascii="Arial" w:hAnsi="Arial" w:cs="Arial"/>
          <w:sz w:val="24"/>
          <w:szCs w:val="24"/>
        </w:rPr>
      </w:pPr>
      <w:r>
        <w:rPr>
          <w:rFonts w:ascii="Arial" w:hAnsi="Arial" w:cs="Arial"/>
          <w:sz w:val="24"/>
          <w:szCs w:val="24"/>
        </w:rPr>
        <w:t>Of cours</w:t>
      </w:r>
      <w:r w:rsidR="00FA05EB">
        <w:rPr>
          <w:rFonts w:ascii="Arial" w:hAnsi="Arial" w:cs="Arial"/>
          <w:sz w:val="24"/>
          <w:szCs w:val="24"/>
        </w:rPr>
        <w:t xml:space="preserve">e, </w:t>
      </w:r>
      <w:proofErr w:type="gramStart"/>
      <w:r w:rsidR="00FA05EB">
        <w:rPr>
          <w:rFonts w:ascii="Arial" w:hAnsi="Arial" w:cs="Arial"/>
          <w:sz w:val="24"/>
          <w:szCs w:val="24"/>
        </w:rPr>
        <w:t>both of the reasons</w:t>
      </w:r>
      <w:proofErr w:type="gramEnd"/>
      <w:r w:rsidR="00FA05EB">
        <w:rPr>
          <w:rFonts w:ascii="Arial" w:hAnsi="Arial" w:cs="Arial"/>
          <w:sz w:val="24"/>
          <w:szCs w:val="24"/>
        </w:rPr>
        <w:t xml:space="preserve"> fail to pass muster.</w:t>
      </w:r>
      <w:r w:rsidR="00EB2CB7">
        <w:rPr>
          <w:rFonts w:ascii="Arial" w:hAnsi="Arial" w:cs="Arial"/>
          <w:sz w:val="24"/>
          <w:szCs w:val="24"/>
        </w:rPr>
        <w:t xml:space="preserve">  </w:t>
      </w:r>
      <w:r w:rsidR="00B70610" w:rsidRPr="00B70610">
        <w:rPr>
          <w:rFonts w:ascii="Arial" w:hAnsi="Arial" w:cs="Arial"/>
          <w:sz w:val="24"/>
          <w:szCs w:val="24"/>
        </w:rPr>
        <w:t xml:space="preserve"> </w:t>
      </w:r>
    </w:p>
    <w:p w14:paraId="7DCB755B" w14:textId="05290B1D" w:rsidR="00B70610" w:rsidRPr="00B70610" w:rsidRDefault="00E802BB" w:rsidP="00B70610">
      <w:pPr>
        <w:spacing w:line="480" w:lineRule="auto"/>
        <w:ind w:firstLine="720"/>
        <w:jc w:val="both"/>
        <w:rPr>
          <w:rFonts w:ascii="Arial" w:hAnsi="Arial" w:cs="Arial"/>
          <w:sz w:val="24"/>
          <w:szCs w:val="24"/>
        </w:rPr>
      </w:pPr>
      <w:r>
        <w:rPr>
          <w:rFonts w:ascii="Arial" w:hAnsi="Arial" w:cs="Arial"/>
          <w:sz w:val="24"/>
          <w:szCs w:val="24"/>
        </w:rPr>
        <w:t xml:space="preserve">Ohio law requires the Commission to </w:t>
      </w:r>
      <w:proofErr w:type="gramStart"/>
      <w:r>
        <w:rPr>
          <w:rFonts w:ascii="Arial" w:hAnsi="Arial" w:cs="Arial"/>
          <w:sz w:val="24"/>
          <w:szCs w:val="24"/>
        </w:rPr>
        <w:t>conduct an investigation</w:t>
      </w:r>
      <w:proofErr w:type="gramEnd"/>
      <w:r>
        <w:rPr>
          <w:rFonts w:ascii="Arial" w:hAnsi="Arial" w:cs="Arial"/>
          <w:sz w:val="24"/>
          <w:szCs w:val="24"/>
        </w:rPr>
        <w:t xml:space="preserve"> of the facts set forth in the application and the attached exhibits.  R.C. 4909.19(C).  </w:t>
      </w:r>
      <w:r w:rsidR="00983262">
        <w:rPr>
          <w:rFonts w:ascii="Arial" w:hAnsi="Arial" w:cs="Arial"/>
          <w:sz w:val="24"/>
          <w:szCs w:val="24"/>
        </w:rPr>
        <w:t>Thus, t</w:t>
      </w:r>
      <w:r w:rsidR="00B70610" w:rsidRPr="00B70610">
        <w:rPr>
          <w:rFonts w:ascii="Arial" w:hAnsi="Arial" w:cs="Arial"/>
          <w:sz w:val="24"/>
          <w:szCs w:val="24"/>
        </w:rPr>
        <w:t xml:space="preserve">he purpose of a Staff Report is to perform </w:t>
      </w:r>
      <w:r w:rsidR="00B70610" w:rsidRPr="00AD2318">
        <w:rPr>
          <w:rFonts w:ascii="Arial" w:hAnsi="Arial" w:cs="Arial"/>
          <w:i/>
          <w:sz w:val="24"/>
          <w:szCs w:val="24"/>
        </w:rPr>
        <w:t>an independent</w:t>
      </w:r>
      <w:r w:rsidR="00B70610" w:rsidRPr="00B70610">
        <w:rPr>
          <w:rFonts w:ascii="Arial" w:hAnsi="Arial" w:cs="Arial"/>
          <w:sz w:val="24"/>
          <w:szCs w:val="24"/>
        </w:rPr>
        <w:t xml:space="preserve"> evaluation of the utility’s proposal to increase its rates—it is not intended to rely on the exclusive analysis of the utility. If that were the case, there would simply be no statutory obligation or benefit of a staff report. </w:t>
      </w:r>
      <w:r w:rsidR="00E07E54">
        <w:rPr>
          <w:rFonts w:ascii="Arial" w:hAnsi="Arial" w:cs="Arial"/>
          <w:sz w:val="24"/>
          <w:szCs w:val="24"/>
        </w:rPr>
        <w:t xml:space="preserve"> </w:t>
      </w:r>
      <w:r w:rsidR="00E3063D">
        <w:rPr>
          <w:rFonts w:ascii="Arial" w:hAnsi="Arial" w:cs="Arial"/>
          <w:sz w:val="24"/>
          <w:szCs w:val="24"/>
        </w:rPr>
        <w:t>Rather than perform an independent evaluation, the Staff Report relied upon the cost of service study conducted by AEP Ohio, as well as AEP Ohio’s evaluation of SSO-related costs proposed for recovery in distribution rates.</w:t>
      </w:r>
      <w:r w:rsidR="002B3034">
        <w:rPr>
          <w:rStyle w:val="FootnoteReference"/>
          <w:rFonts w:cs="Arial"/>
          <w:szCs w:val="24"/>
        </w:rPr>
        <w:footnoteReference w:id="23"/>
      </w:r>
      <w:r w:rsidR="00E3063D">
        <w:rPr>
          <w:rFonts w:ascii="Arial" w:hAnsi="Arial" w:cs="Arial"/>
          <w:sz w:val="24"/>
          <w:szCs w:val="24"/>
        </w:rPr>
        <w:t xml:space="preserve"> </w:t>
      </w:r>
      <w:r w:rsidR="00B70610" w:rsidRPr="00B70610">
        <w:rPr>
          <w:rFonts w:ascii="Arial" w:hAnsi="Arial" w:cs="Arial"/>
          <w:sz w:val="24"/>
          <w:szCs w:val="24"/>
        </w:rPr>
        <w:t xml:space="preserve"> </w:t>
      </w:r>
      <w:r w:rsidR="00CE78CF">
        <w:rPr>
          <w:rFonts w:ascii="Arial" w:hAnsi="Arial" w:cs="Arial"/>
          <w:sz w:val="24"/>
          <w:szCs w:val="24"/>
        </w:rPr>
        <w:t xml:space="preserve">Thus, the Staff Report failed to appropriately functionalize SSO-related costs to that service.  </w:t>
      </w:r>
      <w:r w:rsidR="009503F0">
        <w:rPr>
          <w:rFonts w:ascii="Arial" w:hAnsi="Arial" w:cs="Arial"/>
          <w:sz w:val="24"/>
          <w:szCs w:val="24"/>
        </w:rPr>
        <w:t>As a result of the Staff Report’s</w:t>
      </w:r>
      <w:r w:rsidR="00CE78CF">
        <w:rPr>
          <w:rFonts w:ascii="Arial" w:hAnsi="Arial" w:cs="Arial"/>
          <w:sz w:val="24"/>
          <w:szCs w:val="24"/>
        </w:rPr>
        <w:t xml:space="preserve"> failure to conduct </w:t>
      </w:r>
      <w:r w:rsidR="009503F0">
        <w:rPr>
          <w:rFonts w:ascii="Arial" w:hAnsi="Arial" w:cs="Arial"/>
          <w:sz w:val="24"/>
          <w:szCs w:val="24"/>
        </w:rPr>
        <w:t xml:space="preserve">this analysis, shopping customers would be residually burdened with SSO-related costs in their distribution rates. </w:t>
      </w:r>
      <w:r w:rsidR="00E3063D">
        <w:rPr>
          <w:rFonts w:ascii="Arial" w:hAnsi="Arial" w:cs="Arial"/>
          <w:sz w:val="24"/>
          <w:szCs w:val="24"/>
        </w:rPr>
        <w:t xml:space="preserve"> </w:t>
      </w:r>
      <w:r w:rsidR="00B70610" w:rsidRPr="00B70610">
        <w:rPr>
          <w:rFonts w:ascii="Arial" w:hAnsi="Arial" w:cs="Arial"/>
          <w:sz w:val="24"/>
          <w:szCs w:val="24"/>
        </w:rPr>
        <w:t xml:space="preserve"> </w:t>
      </w:r>
      <w:r w:rsidR="00E07E54">
        <w:rPr>
          <w:rFonts w:ascii="Arial" w:hAnsi="Arial" w:cs="Arial"/>
          <w:sz w:val="24"/>
          <w:szCs w:val="24"/>
        </w:rPr>
        <w:t xml:space="preserve"> </w:t>
      </w:r>
    </w:p>
    <w:p w14:paraId="01622623" w14:textId="5C48971B" w:rsidR="00B70610" w:rsidRDefault="004359B9" w:rsidP="00B70610">
      <w:pPr>
        <w:spacing w:line="480" w:lineRule="auto"/>
        <w:ind w:firstLine="720"/>
        <w:jc w:val="both"/>
        <w:rPr>
          <w:rFonts w:ascii="Arial" w:hAnsi="Arial" w:cs="Arial"/>
          <w:sz w:val="24"/>
          <w:szCs w:val="24"/>
        </w:rPr>
      </w:pPr>
      <w:r>
        <w:rPr>
          <w:rFonts w:ascii="Arial" w:hAnsi="Arial" w:cs="Arial"/>
          <w:sz w:val="24"/>
          <w:szCs w:val="24"/>
        </w:rPr>
        <w:lastRenderedPageBreak/>
        <w:t>Moreover, the Commission itself anticipated that it would need a complete investigation of AEP</w:t>
      </w:r>
      <w:r w:rsidR="00DE016F">
        <w:rPr>
          <w:rFonts w:ascii="Arial" w:hAnsi="Arial" w:cs="Arial"/>
          <w:sz w:val="24"/>
          <w:szCs w:val="24"/>
        </w:rPr>
        <w:t xml:space="preserve"> </w:t>
      </w:r>
      <w:r>
        <w:rPr>
          <w:rFonts w:ascii="Arial" w:hAnsi="Arial" w:cs="Arial"/>
          <w:sz w:val="24"/>
          <w:szCs w:val="24"/>
        </w:rPr>
        <w:t>Ohio’s distribution rates in this rate case to set new rates</w:t>
      </w:r>
      <w:r w:rsidR="00B70610" w:rsidRPr="00B70610">
        <w:rPr>
          <w:rFonts w:ascii="Arial" w:hAnsi="Arial" w:cs="Arial"/>
          <w:sz w:val="24"/>
          <w:szCs w:val="24"/>
        </w:rPr>
        <w:t xml:space="preserve"> in ESP IV</w:t>
      </w:r>
      <w:r w:rsidR="000B7547">
        <w:rPr>
          <w:rFonts w:ascii="Arial" w:hAnsi="Arial" w:cs="Arial"/>
          <w:sz w:val="24"/>
          <w:szCs w:val="24"/>
        </w:rPr>
        <w:t>:</w:t>
      </w:r>
      <w:r w:rsidR="00B70610" w:rsidRPr="00B70610">
        <w:rPr>
          <w:rFonts w:ascii="Arial" w:hAnsi="Arial" w:cs="Arial"/>
          <w:sz w:val="24"/>
          <w:szCs w:val="24"/>
        </w:rPr>
        <w:t xml:space="preserve"> “[f]</w:t>
      </w:r>
      <w:proofErr w:type="spellStart"/>
      <w:r w:rsidR="00B70610" w:rsidRPr="00B70610">
        <w:rPr>
          <w:rFonts w:ascii="Arial" w:hAnsi="Arial" w:cs="Arial"/>
          <w:sz w:val="24"/>
          <w:szCs w:val="24"/>
        </w:rPr>
        <w:t>ollowing</w:t>
      </w:r>
      <w:proofErr w:type="spellEnd"/>
      <w:r w:rsidR="00B70610" w:rsidRPr="00B70610">
        <w:rPr>
          <w:rFonts w:ascii="Arial" w:hAnsi="Arial" w:cs="Arial"/>
          <w:sz w:val="24"/>
          <w:szCs w:val="24"/>
        </w:rPr>
        <w:t xml:space="preserve"> </w:t>
      </w:r>
      <w:r w:rsidR="00B70610" w:rsidRPr="00B70610">
        <w:rPr>
          <w:rFonts w:ascii="Arial" w:hAnsi="Arial" w:cs="Arial"/>
          <w:i/>
          <w:sz w:val="24"/>
          <w:szCs w:val="24"/>
        </w:rPr>
        <w:t>a thorough analysis of AEP Ohio's distribution rates in the rate case</w:t>
      </w:r>
      <w:r w:rsidR="00B70610" w:rsidRPr="00B70610">
        <w:rPr>
          <w:rFonts w:ascii="Arial" w:hAnsi="Arial" w:cs="Arial"/>
          <w:sz w:val="24"/>
          <w:szCs w:val="24"/>
        </w:rPr>
        <w:t xml:space="preserve">, the Commission will determine whether it is necessary to reallocate costs between shopping and non-shopping customers </w:t>
      </w:r>
      <w:r w:rsidR="00B70610" w:rsidRPr="00B70610">
        <w:rPr>
          <w:rFonts w:ascii="Arial" w:hAnsi="Arial" w:cs="Arial"/>
          <w:i/>
          <w:sz w:val="24"/>
          <w:szCs w:val="24"/>
        </w:rPr>
        <w:t xml:space="preserve">in order to ensure that the Company's rates are fair and reasonable </w:t>
      </w:r>
      <w:r w:rsidR="00B70610" w:rsidRPr="00B70610">
        <w:rPr>
          <w:rFonts w:ascii="Arial" w:hAnsi="Arial" w:cs="Arial"/>
          <w:sz w:val="24"/>
          <w:szCs w:val="24"/>
        </w:rPr>
        <w:t>for all customers.”</w:t>
      </w:r>
      <w:r w:rsidR="00B70610" w:rsidRPr="00B70610">
        <w:rPr>
          <w:rStyle w:val="FootnoteReference"/>
          <w:rFonts w:cs="Arial"/>
          <w:sz w:val="24"/>
          <w:szCs w:val="24"/>
        </w:rPr>
        <w:footnoteReference w:id="24"/>
      </w:r>
      <w:r w:rsidR="00B70610" w:rsidRPr="00B70610">
        <w:rPr>
          <w:rFonts w:ascii="Arial" w:hAnsi="Arial" w:cs="Arial"/>
          <w:sz w:val="24"/>
          <w:szCs w:val="24"/>
        </w:rPr>
        <w:t xml:space="preserve"> </w:t>
      </w:r>
      <w:r w:rsidR="007037BE">
        <w:rPr>
          <w:rFonts w:ascii="Arial" w:hAnsi="Arial" w:cs="Arial"/>
          <w:sz w:val="24"/>
          <w:szCs w:val="24"/>
        </w:rPr>
        <w:t>Both AEP Ohio and Staff fell short.</w:t>
      </w:r>
    </w:p>
    <w:p w14:paraId="1DA04F3C" w14:textId="4BBE5FD4" w:rsidR="000B3037" w:rsidRDefault="0012009F" w:rsidP="0037795E">
      <w:pPr>
        <w:spacing w:line="480" w:lineRule="auto"/>
        <w:ind w:firstLine="720"/>
        <w:jc w:val="both"/>
        <w:rPr>
          <w:rFonts w:ascii="Arial" w:hAnsi="Arial" w:cs="Arial"/>
          <w:sz w:val="24"/>
          <w:szCs w:val="24"/>
        </w:rPr>
      </w:pPr>
      <w:r>
        <w:rPr>
          <w:rFonts w:ascii="Arial" w:hAnsi="Arial" w:cs="Arial"/>
          <w:sz w:val="24"/>
          <w:szCs w:val="24"/>
        </w:rPr>
        <w:t xml:space="preserve">Although </w:t>
      </w:r>
      <w:r w:rsidRPr="00B70610">
        <w:rPr>
          <w:rFonts w:ascii="Arial" w:hAnsi="Arial" w:cs="Arial"/>
          <w:sz w:val="24"/>
          <w:szCs w:val="24"/>
        </w:rPr>
        <w:t>absent from the Staff Report is any recommendation to appropriately allocate to the SSO costs that are necessary to support that service</w:t>
      </w:r>
      <w:r>
        <w:rPr>
          <w:rFonts w:ascii="Arial" w:hAnsi="Arial" w:cs="Arial"/>
          <w:sz w:val="24"/>
          <w:szCs w:val="24"/>
        </w:rPr>
        <w:t xml:space="preserve">, </w:t>
      </w:r>
      <w:r w:rsidR="00CD2C52">
        <w:rPr>
          <w:rFonts w:ascii="Arial" w:hAnsi="Arial" w:cs="Arial"/>
          <w:sz w:val="24"/>
          <w:szCs w:val="24"/>
        </w:rPr>
        <w:t xml:space="preserve">identifying costs associated with the SSO </w:t>
      </w:r>
      <w:r w:rsidR="00745950">
        <w:rPr>
          <w:rFonts w:ascii="Arial" w:hAnsi="Arial" w:cs="Arial"/>
          <w:sz w:val="24"/>
          <w:szCs w:val="24"/>
        </w:rPr>
        <w:t>is a relatively straightforward process</w:t>
      </w:r>
      <w:r w:rsidR="0037795E">
        <w:rPr>
          <w:rFonts w:ascii="Arial" w:hAnsi="Arial" w:cs="Arial"/>
          <w:sz w:val="24"/>
          <w:szCs w:val="24"/>
        </w:rPr>
        <w:t xml:space="preserve"> using general</w:t>
      </w:r>
      <w:r w:rsidR="00360547">
        <w:rPr>
          <w:rFonts w:ascii="Arial" w:hAnsi="Arial" w:cs="Arial"/>
          <w:sz w:val="24"/>
          <w:szCs w:val="24"/>
        </w:rPr>
        <w:t>ly</w:t>
      </w:r>
      <w:r w:rsidR="0037795E">
        <w:rPr>
          <w:rFonts w:ascii="Arial" w:hAnsi="Arial" w:cs="Arial"/>
          <w:sz w:val="24"/>
          <w:szCs w:val="24"/>
        </w:rPr>
        <w:t xml:space="preserve"> </w:t>
      </w:r>
      <w:r w:rsidR="00BB7C50">
        <w:rPr>
          <w:rFonts w:ascii="Arial" w:hAnsi="Arial" w:cs="Arial"/>
          <w:sz w:val="24"/>
          <w:szCs w:val="24"/>
        </w:rPr>
        <w:t xml:space="preserve">accepted </w:t>
      </w:r>
      <w:r w:rsidR="0037795E">
        <w:rPr>
          <w:rFonts w:ascii="Arial" w:hAnsi="Arial" w:cs="Arial"/>
          <w:sz w:val="24"/>
          <w:szCs w:val="24"/>
        </w:rPr>
        <w:t xml:space="preserve">ratemaking principles. </w:t>
      </w:r>
      <w:r w:rsidR="00F0776D">
        <w:rPr>
          <w:rFonts w:ascii="Arial" w:hAnsi="Arial" w:cs="Arial"/>
          <w:sz w:val="24"/>
          <w:szCs w:val="24"/>
        </w:rPr>
        <w:t>Indeed,</w:t>
      </w:r>
      <w:r w:rsidR="00B742EC">
        <w:rPr>
          <w:rFonts w:ascii="Arial" w:hAnsi="Arial" w:cs="Arial"/>
          <w:sz w:val="24"/>
          <w:szCs w:val="24"/>
        </w:rPr>
        <w:t xml:space="preserve"> through testimony</w:t>
      </w:r>
      <w:r w:rsidR="00855306">
        <w:rPr>
          <w:rFonts w:ascii="Arial" w:hAnsi="Arial" w:cs="Arial"/>
          <w:sz w:val="24"/>
          <w:szCs w:val="24"/>
        </w:rPr>
        <w:t xml:space="preserve"> in this proceeding</w:t>
      </w:r>
      <w:r w:rsidR="00F0776D">
        <w:rPr>
          <w:rFonts w:ascii="Arial" w:hAnsi="Arial" w:cs="Arial"/>
          <w:sz w:val="24"/>
          <w:szCs w:val="24"/>
        </w:rPr>
        <w:t xml:space="preserve">, </w:t>
      </w:r>
      <w:r w:rsidR="00673A66">
        <w:rPr>
          <w:rFonts w:ascii="Arial" w:hAnsi="Arial" w:cs="Arial"/>
          <w:sz w:val="24"/>
          <w:szCs w:val="24"/>
        </w:rPr>
        <w:t xml:space="preserve">IGS </w:t>
      </w:r>
      <w:r w:rsidR="00443BB5">
        <w:rPr>
          <w:rFonts w:ascii="Arial" w:hAnsi="Arial" w:cs="Arial"/>
          <w:sz w:val="24"/>
          <w:szCs w:val="24"/>
        </w:rPr>
        <w:t xml:space="preserve">will </w:t>
      </w:r>
      <w:r w:rsidR="00B742EC">
        <w:rPr>
          <w:rFonts w:ascii="Arial" w:hAnsi="Arial" w:cs="Arial"/>
          <w:sz w:val="24"/>
          <w:szCs w:val="24"/>
        </w:rPr>
        <w:t>pr</w:t>
      </w:r>
      <w:r w:rsidR="00FA60F5">
        <w:rPr>
          <w:rFonts w:ascii="Arial" w:hAnsi="Arial" w:cs="Arial"/>
          <w:sz w:val="24"/>
          <w:szCs w:val="24"/>
        </w:rPr>
        <w:t>esent</w:t>
      </w:r>
      <w:r w:rsidR="00B742EC">
        <w:rPr>
          <w:rFonts w:ascii="Arial" w:hAnsi="Arial" w:cs="Arial"/>
          <w:sz w:val="24"/>
          <w:szCs w:val="24"/>
        </w:rPr>
        <w:t xml:space="preserve"> a</w:t>
      </w:r>
      <w:r w:rsidR="000B5B35">
        <w:rPr>
          <w:rFonts w:ascii="Arial" w:hAnsi="Arial" w:cs="Arial"/>
          <w:sz w:val="24"/>
          <w:szCs w:val="24"/>
        </w:rPr>
        <w:t xml:space="preserve"> thorough analysis of </w:t>
      </w:r>
      <w:r w:rsidR="004D034C">
        <w:rPr>
          <w:rFonts w:ascii="Arial" w:hAnsi="Arial" w:cs="Arial"/>
          <w:sz w:val="24"/>
          <w:szCs w:val="24"/>
        </w:rPr>
        <w:t xml:space="preserve">AEP Ohio’s proposed </w:t>
      </w:r>
      <w:r w:rsidR="000B5B35">
        <w:rPr>
          <w:rFonts w:ascii="Arial" w:hAnsi="Arial" w:cs="Arial"/>
          <w:sz w:val="24"/>
          <w:szCs w:val="24"/>
        </w:rPr>
        <w:t>distribution rate</w:t>
      </w:r>
      <w:r w:rsidR="00D90FA4">
        <w:rPr>
          <w:rFonts w:ascii="Arial" w:hAnsi="Arial" w:cs="Arial"/>
          <w:sz w:val="24"/>
          <w:szCs w:val="24"/>
        </w:rPr>
        <w:t>s</w:t>
      </w:r>
      <w:r w:rsidR="000B5B35">
        <w:rPr>
          <w:rFonts w:ascii="Arial" w:hAnsi="Arial" w:cs="Arial"/>
          <w:sz w:val="24"/>
          <w:szCs w:val="24"/>
        </w:rPr>
        <w:t xml:space="preserve"> </w:t>
      </w:r>
      <w:r w:rsidR="00613DFD">
        <w:rPr>
          <w:rFonts w:ascii="Arial" w:hAnsi="Arial" w:cs="Arial"/>
          <w:sz w:val="24"/>
          <w:szCs w:val="24"/>
        </w:rPr>
        <w:t xml:space="preserve">that </w:t>
      </w:r>
      <w:r w:rsidR="00FA0F12">
        <w:rPr>
          <w:rFonts w:ascii="Arial" w:hAnsi="Arial" w:cs="Arial"/>
          <w:sz w:val="24"/>
          <w:szCs w:val="24"/>
        </w:rPr>
        <w:t xml:space="preserve">properly </w:t>
      </w:r>
      <w:r w:rsidR="0014318B">
        <w:rPr>
          <w:rFonts w:ascii="Arial" w:hAnsi="Arial" w:cs="Arial"/>
          <w:sz w:val="24"/>
          <w:szCs w:val="24"/>
        </w:rPr>
        <w:t>identif</w:t>
      </w:r>
      <w:r w:rsidR="0040384A">
        <w:rPr>
          <w:rFonts w:ascii="Arial" w:hAnsi="Arial" w:cs="Arial"/>
          <w:sz w:val="24"/>
          <w:szCs w:val="24"/>
        </w:rPr>
        <w:t>ies</w:t>
      </w:r>
      <w:r w:rsidR="00FA0F12">
        <w:rPr>
          <w:rFonts w:ascii="Arial" w:hAnsi="Arial" w:cs="Arial"/>
          <w:sz w:val="24"/>
          <w:szCs w:val="24"/>
        </w:rPr>
        <w:t xml:space="preserve"> and allocate</w:t>
      </w:r>
      <w:r w:rsidR="0040384A">
        <w:rPr>
          <w:rFonts w:ascii="Arial" w:hAnsi="Arial" w:cs="Arial"/>
          <w:sz w:val="24"/>
          <w:szCs w:val="24"/>
        </w:rPr>
        <w:t>s</w:t>
      </w:r>
      <w:r w:rsidR="00FA0F12">
        <w:rPr>
          <w:rFonts w:ascii="Arial" w:hAnsi="Arial" w:cs="Arial"/>
          <w:sz w:val="24"/>
          <w:szCs w:val="24"/>
        </w:rPr>
        <w:t xml:space="preserve"> </w:t>
      </w:r>
      <w:r w:rsidR="0071526C">
        <w:rPr>
          <w:rFonts w:ascii="Arial" w:hAnsi="Arial" w:cs="Arial"/>
          <w:sz w:val="24"/>
          <w:szCs w:val="24"/>
        </w:rPr>
        <w:t xml:space="preserve">the </w:t>
      </w:r>
      <w:r w:rsidR="002F4308">
        <w:rPr>
          <w:rFonts w:ascii="Arial" w:hAnsi="Arial" w:cs="Arial"/>
          <w:sz w:val="24"/>
          <w:szCs w:val="24"/>
        </w:rPr>
        <w:t xml:space="preserve">costs associated </w:t>
      </w:r>
      <w:r w:rsidR="00C2259A">
        <w:rPr>
          <w:rFonts w:ascii="Arial" w:hAnsi="Arial" w:cs="Arial"/>
          <w:sz w:val="24"/>
          <w:szCs w:val="24"/>
        </w:rPr>
        <w:t>with the SSO to th</w:t>
      </w:r>
      <w:r w:rsidR="0043146C">
        <w:rPr>
          <w:rFonts w:ascii="Arial" w:hAnsi="Arial" w:cs="Arial"/>
          <w:sz w:val="24"/>
          <w:szCs w:val="24"/>
        </w:rPr>
        <w:t>e customers</w:t>
      </w:r>
      <w:r w:rsidR="00C2259A">
        <w:rPr>
          <w:rFonts w:ascii="Arial" w:hAnsi="Arial" w:cs="Arial"/>
          <w:sz w:val="24"/>
          <w:szCs w:val="24"/>
        </w:rPr>
        <w:t xml:space="preserve"> </w:t>
      </w:r>
      <w:r w:rsidR="00DA5FEC">
        <w:rPr>
          <w:rFonts w:ascii="Arial" w:hAnsi="Arial" w:cs="Arial"/>
          <w:sz w:val="24"/>
          <w:szCs w:val="24"/>
        </w:rPr>
        <w:t>that</w:t>
      </w:r>
      <w:r w:rsidR="00C2259A">
        <w:rPr>
          <w:rFonts w:ascii="Arial" w:hAnsi="Arial" w:cs="Arial"/>
          <w:sz w:val="24"/>
          <w:szCs w:val="24"/>
        </w:rPr>
        <w:t xml:space="preserve"> receive this</w:t>
      </w:r>
      <w:r w:rsidR="00F62210">
        <w:rPr>
          <w:rFonts w:ascii="Arial" w:hAnsi="Arial" w:cs="Arial"/>
          <w:sz w:val="24"/>
          <w:szCs w:val="24"/>
        </w:rPr>
        <w:t xml:space="preserve"> service.</w:t>
      </w:r>
      <w:r w:rsidR="00F62210" w:rsidDel="002F35A8">
        <w:rPr>
          <w:rFonts w:ascii="Arial" w:hAnsi="Arial" w:cs="Arial"/>
          <w:sz w:val="24"/>
          <w:szCs w:val="24"/>
        </w:rPr>
        <w:t xml:space="preserve"> </w:t>
      </w:r>
      <w:r w:rsidR="00B01C34">
        <w:rPr>
          <w:rFonts w:ascii="Arial" w:hAnsi="Arial" w:cs="Arial"/>
          <w:sz w:val="24"/>
          <w:szCs w:val="24"/>
        </w:rPr>
        <w:t xml:space="preserve">This analysis </w:t>
      </w:r>
      <w:r w:rsidR="00F37C23">
        <w:rPr>
          <w:rFonts w:ascii="Arial" w:hAnsi="Arial" w:cs="Arial"/>
          <w:sz w:val="24"/>
          <w:szCs w:val="24"/>
        </w:rPr>
        <w:t xml:space="preserve">will demonstrate </w:t>
      </w:r>
      <w:r w:rsidR="00B91009">
        <w:rPr>
          <w:rFonts w:ascii="Arial" w:hAnsi="Arial" w:cs="Arial"/>
          <w:sz w:val="24"/>
          <w:szCs w:val="24"/>
        </w:rPr>
        <w:t>that AEP Ohio must unbundle</w:t>
      </w:r>
      <w:r w:rsidR="00F37C23">
        <w:rPr>
          <w:rFonts w:ascii="Arial" w:hAnsi="Arial" w:cs="Arial"/>
          <w:sz w:val="24"/>
          <w:szCs w:val="24"/>
        </w:rPr>
        <w:t xml:space="preserve"> </w:t>
      </w:r>
      <w:r w:rsidR="005009B6">
        <w:rPr>
          <w:rFonts w:ascii="Arial" w:hAnsi="Arial" w:cs="Arial"/>
          <w:sz w:val="24"/>
          <w:szCs w:val="24"/>
        </w:rPr>
        <w:t>between $30 million and $80 million dollars</w:t>
      </w:r>
      <w:r w:rsidR="00BC6BC5">
        <w:rPr>
          <w:rFonts w:ascii="Arial" w:hAnsi="Arial" w:cs="Arial"/>
          <w:sz w:val="24"/>
          <w:szCs w:val="24"/>
        </w:rPr>
        <w:t xml:space="preserve"> from its distribution rates</w:t>
      </w:r>
      <w:r w:rsidR="002F48AF">
        <w:rPr>
          <w:rFonts w:ascii="Arial" w:hAnsi="Arial" w:cs="Arial"/>
          <w:sz w:val="24"/>
          <w:szCs w:val="24"/>
        </w:rPr>
        <w:t xml:space="preserve"> to</w:t>
      </w:r>
      <w:r w:rsidR="003B3E3A">
        <w:rPr>
          <w:rFonts w:ascii="Arial" w:hAnsi="Arial" w:cs="Arial"/>
          <w:sz w:val="24"/>
          <w:szCs w:val="24"/>
        </w:rPr>
        <w:t xml:space="preserve"> ensure its rates are</w:t>
      </w:r>
      <w:r w:rsidR="002F48AF" w:rsidDel="003B3E3A">
        <w:rPr>
          <w:rFonts w:ascii="Arial" w:hAnsi="Arial" w:cs="Arial"/>
          <w:sz w:val="24"/>
          <w:szCs w:val="24"/>
        </w:rPr>
        <w:t xml:space="preserve"> </w:t>
      </w:r>
      <w:r w:rsidR="002F48AF">
        <w:rPr>
          <w:rFonts w:ascii="Arial" w:hAnsi="Arial" w:cs="Arial"/>
          <w:sz w:val="24"/>
          <w:szCs w:val="24"/>
        </w:rPr>
        <w:t>just, reasonable, and lawfu</w:t>
      </w:r>
      <w:r w:rsidR="003B3E3A">
        <w:rPr>
          <w:rFonts w:ascii="Arial" w:hAnsi="Arial" w:cs="Arial"/>
          <w:sz w:val="24"/>
          <w:szCs w:val="24"/>
        </w:rPr>
        <w:t>l.</w:t>
      </w:r>
      <w:r w:rsidR="002F48AF">
        <w:rPr>
          <w:rFonts w:ascii="Arial" w:hAnsi="Arial" w:cs="Arial"/>
          <w:sz w:val="24"/>
          <w:szCs w:val="24"/>
        </w:rPr>
        <w:t xml:space="preserve"> </w:t>
      </w:r>
    </w:p>
    <w:p w14:paraId="2D5DCCC8" w14:textId="0AC82F98" w:rsidR="00B70610" w:rsidRPr="00B70610" w:rsidRDefault="00B70610" w:rsidP="0037795E">
      <w:pPr>
        <w:spacing w:line="480" w:lineRule="auto"/>
        <w:ind w:firstLine="720"/>
        <w:jc w:val="both"/>
        <w:rPr>
          <w:rFonts w:ascii="Arial" w:hAnsi="Arial" w:cs="Arial"/>
          <w:sz w:val="24"/>
          <w:szCs w:val="24"/>
        </w:rPr>
      </w:pPr>
      <w:r w:rsidRPr="00B70610">
        <w:rPr>
          <w:rFonts w:ascii="Arial" w:hAnsi="Arial" w:cs="Arial"/>
          <w:sz w:val="24"/>
          <w:szCs w:val="24"/>
        </w:rPr>
        <w:t xml:space="preserve">Many of the costs necessary to support the default service are proposed for recovery in AEP Ohio’s allowance for operation and maintenance expense or “O&amp;M”. These costs are identified and supported in the </w:t>
      </w:r>
      <w:r w:rsidR="004A52C0">
        <w:rPr>
          <w:rFonts w:ascii="Arial" w:hAnsi="Arial" w:cs="Arial"/>
          <w:sz w:val="24"/>
          <w:szCs w:val="24"/>
        </w:rPr>
        <w:t>B</w:t>
      </w:r>
      <w:r w:rsidR="00E26862">
        <w:rPr>
          <w:rFonts w:ascii="Arial" w:hAnsi="Arial" w:cs="Arial"/>
          <w:sz w:val="24"/>
          <w:szCs w:val="24"/>
        </w:rPr>
        <w:t>-</w:t>
      </w:r>
      <w:r w:rsidR="004A52C0">
        <w:rPr>
          <w:rFonts w:ascii="Arial" w:hAnsi="Arial" w:cs="Arial"/>
          <w:sz w:val="24"/>
          <w:szCs w:val="24"/>
        </w:rPr>
        <w:t xml:space="preserve">Schedules, </w:t>
      </w:r>
      <w:r w:rsidRPr="00B70610">
        <w:rPr>
          <w:rFonts w:ascii="Arial" w:hAnsi="Arial" w:cs="Arial"/>
          <w:sz w:val="24"/>
          <w:szCs w:val="24"/>
        </w:rPr>
        <w:t>C-Schedules</w:t>
      </w:r>
      <w:r w:rsidR="004A52C0">
        <w:rPr>
          <w:rFonts w:ascii="Arial" w:hAnsi="Arial" w:cs="Arial"/>
          <w:sz w:val="24"/>
          <w:szCs w:val="24"/>
        </w:rPr>
        <w:t>,</w:t>
      </w:r>
      <w:r w:rsidRPr="00B70610">
        <w:rPr>
          <w:rFonts w:ascii="Arial" w:hAnsi="Arial" w:cs="Arial"/>
          <w:sz w:val="24"/>
          <w:szCs w:val="24"/>
        </w:rPr>
        <w:t xml:space="preserve"> </w:t>
      </w:r>
      <w:r w:rsidR="00154F03">
        <w:rPr>
          <w:rFonts w:ascii="Arial" w:hAnsi="Arial" w:cs="Arial"/>
          <w:sz w:val="24"/>
          <w:szCs w:val="24"/>
        </w:rPr>
        <w:t>and Exhibit E</w:t>
      </w:r>
      <w:r w:rsidR="006D7705">
        <w:rPr>
          <w:rFonts w:ascii="Arial" w:hAnsi="Arial" w:cs="Arial"/>
          <w:sz w:val="24"/>
          <w:szCs w:val="24"/>
        </w:rPr>
        <w:t>-</w:t>
      </w:r>
      <w:r w:rsidR="00154F03">
        <w:rPr>
          <w:rFonts w:ascii="Arial" w:hAnsi="Arial" w:cs="Arial"/>
          <w:sz w:val="24"/>
          <w:szCs w:val="24"/>
        </w:rPr>
        <w:t>3.2 (</w:t>
      </w:r>
      <w:r w:rsidRPr="00B70610">
        <w:rPr>
          <w:rFonts w:ascii="Arial" w:hAnsi="Arial" w:cs="Arial"/>
          <w:sz w:val="24"/>
          <w:szCs w:val="24"/>
        </w:rPr>
        <w:t xml:space="preserve">the </w:t>
      </w:r>
      <w:r w:rsidR="00154F03">
        <w:rPr>
          <w:rFonts w:ascii="Arial" w:hAnsi="Arial" w:cs="Arial"/>
          <w:sz w:val="24"/>
          <w:szCs w:val="24"/>
        </w:rPr>
        <w:t>cost of service study)</w:t>
      </w:r>
      <w:r w:rsidRPr="00B70610">
        <w:rPr>
          <w:rFonts w:ascii="Arial" w:hAnsi="Arial" w:cs="Arial"/>
          <w:sz w:val="24"/>
          <w:szCs w:val="24"/>
        </w:rPr>
        <w:t xml:space="preserve"> attached to the Application. The operation and maintenance expense categories that the Staff Report failed to analyze and allocate to the default service include: </w:t>
      </w:r>
    </w:p>
    <w:p w14:paraId="0285D3C0" w14:textId="1615495F" w:rsidR="00B70610" w:rsidRPr="00B70610" w:rsidRDefault="00B70610" w:rsidP="00B70610">
      <w:pPr>
        <w:pStyle w:val="ListParagraph"/>
        <w:numPr>
          <w:ilvl w:val="0"/>
          <w:numId w:val="6"/>
        </w:numPr>
        <w:spacing w:line="480" w:lineRule="auto"/>
        <w:jc w:val="both"/>
        <w:rPr>
          <w:rFonts w:ascii="Arial" w:hAnsi="Arial" w:cs="Arial"/>
          <w:sz w:val="24"/>
          <w:szCs w:val="24"/>
        </w:rPr>
      </w:pPr>
      <w:r w:rsidRPr="00B70610">
        <w:rPr>
          <w:rFonts w:ascii="Arial" w:hAnsi="Arial" w:cs="Arial"/>
          <w:sz w:val="24"/>
          <w:szCs w:val="24"/>
        </w:rPr>
        <w:lastRenderedPageBreak/>
        <w:t>Call center infrastructure and employees to maintain appropriate customer service for SSO customers;</w:t>
      </w:r>
      <w:r w:rsidR="007713FE">
        <w:rPr>
          <w:rStyle w:val="FootnoteReference"/>
          <w:rFonts w:cs="Arial"/>
          <w:szCs w:val="24"/>
        </w:rPr>
        <w:footnoteReference w:id="25"/>
      </w:r>
      <w:r w:rsidRPr="00B70610">
        <w:rPr>
          <w:rFonts w:ascii="Arial" w:hAnsi="Arial" w:cs="Arial"/>
          <w:sz w:val="24"/>
          <w:szCs w:val="24"/>
        </w:rPr>
        <w:t xml:space="preserve"> </w:t>
      </w:r>
    </w:p>
    <w:p w14:paraId="6319297A" w14:textId="77777777" w:rsidR="00B70610" w:rsidRPr="00B70610" w:rsidRDefault="00B70610" w:rsidP="00B70610">
      <w:pPr>
        <w:pStyle w:val="ListParagraph"/>
        <w:numPr>
          <w:ilvl w:val="0"/>
          <w:numId w:val="6"/>
        </w:numPr>
        <w:spacing w:line="480" w:lineRule="auto"/>
        <w:jc w:val="both"/>
        <w:rPr>
          <w:rFonts w:ascii="Arial" w:hAnsi="Arial" w:cs="Arial"/>
          <w:sz w:val="24"/>
          <w:szCs w:val="24"/>
        </w:rPr>
      </w:pPr>
      <w:r w:rsidRPr="00B70610">
        <w:rPr>
          <w:rFonts w:ascii="Arial" w:hAnsi="Arial" w:cs="Arial"/>
          <w:sz w:val="24"/>
          <w:szCs w:val="24"/>
        </w:rPr>
        <w:t xml:space="preserve">Outside and inside legal, regulatory, and compliance personnel to comply with the regulatory rule requirements for the SSO; </w:t>
      </w:r>
    </w:p>
    <w:p w14:paraId="575922C6" w14:textId="77777777" w:rsidR="00B70610" w:rsidRPr="00B70610" w:rsidRDefault="00B70610" w:rsidP="00B70610">
      <w:pPr>
        <w:pStyle w:val="ListParagraph"/>
        <w:numPr>
          <w:ilvl w:val="0"/>
          <w:numId w:val="6"/>
        </w:numPr>
        <w:spacing w:line="480" w:lineRule="auto"/>
        <w:jc w:val="both"/>
        <w:rPr>
          <w:rFonts w:ascii="Arial" w:hAnsi="Arial" w:cs="Arial"/>
          <w:sz w:val="24"/>
          <w:szCs w:val="24"/>
        </w:rPr>
      </w:pPr>
      <w:r w:rsidRPr="00B70610">
        <w:rPr>
          <w:rFonts w:ascii="Arial" w:hAnsi="Arial" w:cs="Arial"/>
          <w:sz w:val="24"/>
          <w:szCs w:val="24"/>
        </w:rPr>
        <w:t xml:space="preserve">IT employees, infrastructure, and software; </w:t>
      </w:r>
    </w:p>
    <w:p w14:paraId="1197D8E1" w14:textId="77777777" w:rsidR="00B70610" w:rsidRPr="00B70610" w:rsidRDefault="00B70610" w:rsidP="00B70610">
      <w:pPr>
        <w:pStyle w:val="ListParagraph"/>
        <w:numPr>
          <w:ilvl w:val="0"/>
          <w:numId w:val="6"/>
        </w:numPr>
        <w:spacing w:line="480" w:lineRule="auto"/>
        <w:jc w:val="both"/>
        <w:rPr>
          <w:rFonts w:ascii="Arial" w:hAnsi="Arial" w:cs="Arial"/>
          <w:sz w:val="24"/>
          <w:szCs w:val="24"/>
        </w:rPr>
      </w:pPr>
      <w:r w:rsidRPr="00B70610">
        <w:rPr>
          <w:rFonts w:ascii="Arial" w:hAnsi="Arial" w:cs="Arial"/>
          <w:sz w:val="24"/>
          <w:szCs w:val="24"/>
        </w:rPr>
        <w:t xml:space="preserve">Office space for employees; </w:t>
      </w:r>
    </w:p>
    <w:p w14:paraId="0967E624" w14:textId="77777777" w:rsidR="00B70610" w:rsidRPr="00B70610" w:rsidRDefault="00B70610" w:rsidP="00B70610">
      <w:pPr>
        <w:pStyle w:val="ListParagraph"/>
        <w:numPr>
          <w:ilvl w:val="0"/>
          <w:numId w:val="6"/>
        </w:numPr>
        <w:spacing w:line="480" w:lineRule="auto"/>
        <w:jc w:val="both"/>
        <w:rPr>
          <w:rFonts w:ascii="Arial" w:hAnsi="Arial" w:cs="Arial"/>
          <w:sz w:val="24"/>
          <w:szCs w:val="24"/>
        </w:rPr>
      </w:pPr>
      <w:r w:rsidRPr="00B70610">
        <w:rPr>
          <w:rFonts w:ascii="Arial" w:hAnsi="Arial" w:cs="Arial"/>
          <w:sz w:val="24"/>
          <w:szCs w:val="24"/>
        </w:rPr>
        <w:t xml:space="preserve">Administrative and human resources staff to support the employees; </w:t>
      </w:r>
    </w:p>
    <w:p w14:paraId="71F4A19B" w14:textId="77777777" w:rsidR="00B70610" w:rsidRPr="00B70610" w:rsidRDefault="00B70610" w:rsidP="00B70610">
      <w:pPr>
        <w:pStyle w:val="ListParagraph"/>
        <w:numPr>
          <w:ilvl w:val="0"/>
          <w:numId w:val="6"/>
        </w:numPr>
        <w:spacing w:line="480" w:lineRule="auto"/>
        <w:jc w:val="both"/>
        <w:rPr>
          <w:rFonts w:ascii="Arial" w:hAnsi="Arial" w:cs="Arial"/>
          <w:sz w:val="24"/>
          <w:szCs w:val="24"/>
        </w:rPr>
      </w:pPr>
      <w:r w:rsidRPr="00B70610">
        <w:rPr>
          <w:rFonts w:ascii="Arial" w:hAnsi="Arial" w:cs="Arial"/>
          <w:sz w:val="24"/>
          <w:szCs w:val="24"/>
        </w:rPr>
        <w:t xml:space="preserve">Office supplies; </w:t>
      </w:r>
    </w:p>
    <w:p w14:paraId="50E8AFCB" w14:textId="77777777" w:rsidR="00B70610" w:rsidRPr="00B70610" w:rsidRDefault="00B70610" w:rsidP="00B70610">
      <w:pPr>
        <w:pStyle w:val="ListParagraph"/>
        <w:numPr>
          <w:ilvl w:val="0"/>
          <w:numId w:val="6"/>
        </w:numPr>
        <w:spacing w:line="480" w:lineRule="auto"/>
        <w:jc w:val="both"/>
        <w:rPr>
          <w:rFonts w:ascii="Arial" w:hAnsi="Arial" w:cs="Arial"/>
          <w:sz w:val="24"/>
          <w:szCs w:val="24"/>
        </w:rPr>
      </w:pPr>
      <w:r w:rsidRPr="00B70610">
        <w:rPr>
          <w:rFonts w:ascii="Arial" w:hAnsi="Arial" w:cs="Arial"/>
          <w:sz w:val="24"/>
          <w:szCs w:val="24"/>
        </w:rPr>
        <w:t xml:space="preserve">Accounting and auditing services; </w:t>
      </w:r>
    </w:p>
    <w:p w14:paraId="09ACDB96" w14:textId="77777777" w:rsidR="00B70610" w:rsidRPr="00B70610" w:rsidRDefault="00B70610" w:rsidP="00B70610">
      <w:pPr>
        <w:pStyle w:val="ListParagraph"/>
        <w:numPr>
          <w:ilvl w:val="0"/>
          <w:numId w:val="6"/>
        </w:numPr>
        <w:spacing w:line="480" w:lineRule="auto"/>
        <w:jc w:val="both"/>
        <w:rPr>
          <w:rFonts w:ascii="Arial" w:hAnsi="Arial" w:cs="Arial"/>
          <w:sz w:val="24"/>
          <w:szCs w:val="24"/>
        </w:rPr>
      </w:pPr>
      <w:r w:rsidRPr="00B70610">
        <w:rPr>
          <w:rFonts w:ascii="Arial" w:hAnsi="Arial" w:cs="Arial"/>
          <w:sz w:val="24"/>
          <w:szCs w:val="24"/>
        </w:rPr>
        <w:t xml:space="preserve">Printing and postage to communicate with customers; </w:t>
      </w:r>
    </w:p>
    <w:p w14:paraId="4770BEFE" w14:textId="2BCEC8A2" w:rsidR="00B70610" w:rsidRPr="00B70610" w:rsidRDefault="00B70610" w:rsidP="00B70610">
      <w:pPr>
        <w:pStyle w:val="ListParagraph"/>
        <w:numPr>
          <w:ilvl w:val="0"/>
          <w:numId w:val="6"/>
        </w:numPr>
        <w:spacing w:line="480" w:lineRule="auto"/>
        <w:jc w:val="both"/>
        <w:rPr>
          <w:rFonts w:ascii="Arial" w:hAnsi="Arial" w:cs="Arial"/>
          <w:sz w:val="24"/>
          <w:szCs w:val="24"/>
        </w:rPr>
      </w:pPr>
      <w:r w:rsidRPr="00B70610">
        <w:rPr>
          <w:rFonts w:ascii="Arial" w:hAnsi="Arial" w:cs="Arial"/>
          <w:sz w:val="24"/>
          <w:szCs w:val="24"/>
        </w:rPr>
        <w:t xml:space="preserve">All uncollectible expense, to the extent </w:t>
      </w:r>
      <w:r w:rsidR="004536EC">
        <w:rPr>
          <w:rFonts w:ascii="Arial" w:hAnsi="Arial" w:cs="Arial"/>
          <w:sz w:val="24"/>
          <w:szCs w:val="24"/>
        </w:rPr>
        <w:t>there is no purchase of receivables program or to the extent</w:t>
      </w:r>
      <w:r w:rsidRPr="00B70610">
        <w:rPr>
          <w:rFonts w:ascii="Arial" w:hAnsi="Arial" w:cs="Arial"/>
          <w:sz w:val="24"/>
          <w:szCs w:val="24"/>
        </w:rPr>
        <w:t xml:space="preserve"> that a purchase of receivable program contains a discount rate; </w:t>
      </w:r>
    </w:p>
    <w:p w14:paraId="4B5BE446" w14:textId="44A7FE47" w:rsidR="00B70610" w:rsidRPr="00B70610" w:rsidRDefault="00B70610" w:rsidP="00A530D1">
      <w:pPr>
        <w:pStyle w:val="ListParagraph"/>
        <w:numPr>
          <w:ilvl w:val="0"/>
          <w:numId w:val="6"/>
        </w:numPr>
        <w:spacing w:after="0" w:line="480" w:lineRule="auto"/>
        <w:jc w:val="both"/>
        <w:rPr>
          <w:rFonts w:ascii="Arial" w:hAnsi="Arial" w:cs="Arial"/>
          <w:sz w:val="24"/>
          <w:szCs w:val="24"/>
        </w:rPr>
      </w:pPr>
      <w:r w:rsidRPr="00B70610">
        <w:rPr>
          <w:rFonts w:ascii="Arial" w:hAnsi="Arial" w:cs="Arial"/>
          <w:sz w:val="24"/>
          <w:szCs w:val="24"/>
        </w:rPr>
        <w:t>Cash Working Capital.</w:t>
      </w:r>
      <w:r w:rsidR="00376BF8">
        <w:rPr>
          <w:rStyle w:val="FootnoteReference"/>
          <w:rFonts w:cs="Arial"/>
          <w:szCs w:val="24"/>
        </w:rPr>
        <w:footnoteReference w:id="26"/>
      </w:r>
      <w:r w:rsidRPr="00B70610">
        <w:rPr>
          <w:rFonts w:ascii="Arial" w:hAnsi="Arial" w:cs="Arial"/>
          <w:sz w:val="24"/>
          <w:szCs w:val="24"/>
        </w:rPr>
        <w:t xml:space="preserve"> </w:t>
      </w:r>
    </w:p>
    <w:p w14:paraId="1F512EA5" w14:textId="0FAA441E" w:rsidR="00B70610" w:rsidRPr="00B70610" w:rsidRDefault="00B70610" w:rsidP="00B70610">
      <w:pPr>
        <w:spacing w:line="480" w:lineRule="auto"/>
        <w:jc w:val="both"/>
        <w:rPr>
          <w:rFonts w:ascii="Arial" w:hAnsi="Arial" w:cs="Arial"/>
          <w:sz w:val="24"/>
          <w:szCs w:val="24"/>
        </w:rPr>
      </w:pPr>
      <w:r w:rsidRPr="00B70610">
        <w:rPr>
          <w:rFonts w:ascii="Arial" w:hAnsi="Arial" w:cs="Arial"/>
          <w:sz w:val="24"/>
          <w:szCs w:val="24"/>
        </w:rPr>
        <w:t xml:space="preserve">These categories of cost are mainly identified in the following </w:t>
      </w:r>
      <w:r w:rsidRPr="00C721AE">
        <w:rPr>
          <w:rFonts w:ascii="Arial" w:hAnsi="Arial" w:cs="Arial"/>
          <w:sz w:val="24"/>
          <w:szCs w:val="24"/>
        </w:rPr>
        <w:t>FERC Accounts</w:t>
      </w:r>
      <w:r w:rsidR="00D67414" w:rsidRPr="00C721AE">
        <w:rPr>
          <w:rFonts w:ascii="Arial" w:hAnsi="Arial" w:cs="Arial"/>
          <w:sz w:val="24"/>
          <w:szCs w:val="24"/>
        </w:rPr>
        <w:t xml:space="preserve">: </w:t>
      </w:r>
      <w:r w:rsidR="002C35C5">
        <w:rPr>
          <w:rFonts w:ascii="Arial" w:hAnsi="Arial" w:cs="Arial"/>
          <w:sz w:val="24"/>
          <w:szCs w:val="24"/>
        </w:rPr>
        <w:t>5</w:t>
      </w:r>
      <w:r w:rsidR="000D3889">
        <w:rPr>
          <w:rFonts w:ascii="Arial" w:hAnsi="Arial" w:cs="Arial"/>
          <w:sz w:val="24"/>
          <w:szCs w:val="24"/>
        </w:rPr>
        <w:t xml:space="preserve">80, </w:t>
      </w:r>
      <w:r w:rsidR="00AD34CD">
        <w:rPr>
          <w:rFonts w:ascii="Arial" w:hAnsi="Arial" w:cs="Arial"/>
          <w:sz w:val="24"/>
          <w:szCs w:val="24"/>
        </w:rPr>
        <w:t xml:space="preserve">586, 589, 597, </w:t>
      </w:r>
      <w:r w:rsidR="00BE6F8B" w:rsidRPr="00C721AE">
        <w:rPr>
          <w:rFonts w:ascii="Arial" w:hAnsi="Arial" w:cs="Arial"/>
          <w:sz w:val="24"/>
          <w:szCs w:val="24"/>
        </w:rPr>
        <w:t>901</w:t>
      </w:r>
      <w:r w:rsidRPr="00C721AE">
        <w:rPr>
          <w:rFonts w:ascii="Arial" w:hAnsi="Arial" w:cs="Arial"/>
          <w:sz w:val="24"/>
          <w:szCs w:val="24"/>
        </w:rPr>
        <w:t>-905; 90</w:t>
      </w:r>
      <w:r w:rsidR="00494C40" w:rsidRPr="00C721AE">
        <w:rPr>
          <w:rFonts w:ascii="Arial" w:hAnsi="Arial" w:cs="Arial"/>
          <w:sz w:val="24"/>
          <w:szCs w:val="24"/>
        </w:rPr>
        <w:t>7</w:t>
      </w:r>
      <w:r w:rsidRPr="00C721AE">
        <w:rPr>
          <w:rFonts w:ascii="Arial" w:hAnsi="Arial" w:cs="Arial"/>
          <w:sz w:val="24"/>
          <w:szCs w:val="24"/>
        </w:rPr>
        <w:t>-91</w:t>
      </w:r>
      <w:r w:rsidR="00494C40" w:rsidRPr="00C721AE">
        <w:rPr>
          <w:rFonts w:ascii="Arial" w:hAnsi="Arial" w:cs="Arial"/>
          <w:sz w:val="24"/>
          <w:szCs w:val="24"/>
        </w:rPr>
        <w:t>6</w:t>
      </w:r>
      <w:r w:rsidRPr="00C721AE">
        <w:rPr>
          <w:rFonts w:ascii="Arial" w:hAnsi="Arial" w:cs="Arial"/>
          <w:sz w:val="24"/>
          <w:szCs w:val="24"/>
        </w:rPr>
        <w:t>; 920-935</w:t>
      </w:r>
      <w:r w:rsidRPr="00B70610">
        <w:rPr>
          <w:rFonts w:ascii="Arial" w:hAnsi="Arial" w:cs="Arial"/>
          <w:sz w:val="24"/>
          <w:szCs w:val="24"/>
        </w:rPr>
        <w:t>.</w:t>
      </w:r>
    </w:p>
    <w:p w14:paraId="730E1FF6" w14:textId="1203DC1D" w:rsidR="00CB1544" w:rsidRPr="00AD2318" w:rsidRDefault="00B70610" w:rsidP="00AD2318">
      <w:pPr>
        <w:spacing w:line="480" w:lineRule="auto"/>
        <w:ind w:firstLine="720"/>
        <w:jc w:val="both"/>
        <w:rPr>
          <w:rFonts w:ascii="Arial" w:hAnsi="Arial" w:cs="Arial"/>
          <w:sz w:val="24"/>
          <w:szCs w:val="24"/>
        </w:rPr>
      </w:pPr>
      <w:r w:rsidRPr="00B70610">
        <w:rPr>
          <w:rFonts w:ascii="Arial" w:hAnsi="Arial" w:cs="Arial"/>
          <w:sz w:val="24"/>
          <w:szCs w:val="24"/>
        </w:rPr>
        <w:t xml:space="preserve">Additionally, </w:t>
      </w:r>
      <w:r w:rsidR="009234D1">
        <w:rPr>
          <w:rFonts w:ascii="Arial" w:hAnsi="Arial" w:cs="Arial"/>
          <w:sz w:val="24"/>
          <w:szCs w:val="24"/>
        </w:rPr>
        <w:t xml:space="preserve">neither the Application nor </w:t>
      </w:r>
      <w:r w:rsidRPr="00B70610">
        <w:rPr>
          <w:rFonts w:ascii="Arial" w:hAnsi="Arial" w:cs="Arial"/>
          <w:sz w:val="24"/>
          <w:szCs w:val="24"/>
        </w:rPr>
        <w:t>the Staff Report analyze</w:t>
      </w:r>
      <w:r w:rsidR="00FA10DF">
        <w:rPr>
          <w:rFonts w:ascii="Arial" w:hAnsi="Arial" w:cs="Arial"/>
          <w:sz w:val="24"/>
          <w:szCs w:val="24"/>
        </w:rPr>
        <w:t>s</w:t>
      </w:r>
      <w:r w:rsidRPr="00B70610">
        <w:rPr>
          <w:rFonts w:ascii="Arial" w:hAnsi="Arial" w:cs="Arial"/>
          <w:sz w:val="24"/>
          <w:szCs w:val="24"/>
        </w:rPr>
        <w:t xml:space="preserve"> and allocate</w:t>
      </w:r>
      <w:r w:rsidR="00FA10DF">
        <w:rPr>
          <w:rFonts w:ascii="Arial" w:hAnsi="Arial" w:cs="Arial"/>
          <w:sz w:val="24"/>
          <w:szCs w:val="24"/>
        </w:rPr>
        <w:t>s</w:t>
      </w:r>
      <w:r w:rsidRPr="00B70610">
        <w:rPr>
          <w:rFonts w:ascii="Arial" w:hAnsi="Arial" w:cs="Arial"/>
          <w:sz w:val="24"/>
          <w:szCs w:val="24"/>
        </w:rPr>
        <w:t xml:space="preserve"> the costs embedded in rate base that are necessary to support default service. These costs are proposed in the B</w:t>
      </w:r>
      <w:r w:rsidR="007902C9">
        <w:rPr>
          <w:rFonts w:ascii="Arial" w:hAnsi="Arial" w:cs="Arial"/>
          <w:sz w:val="24"/>
          <w:szCs w:val="24"/>
        </w:rPr>
        <w:t>-</w:t>
      </w:r>
      <w:r w:rsidRPr="00B70610">
        <w:rPr>
          <w:rFonts w:ascii="Arial" w:hAnsi="Arial" w:cs="Arial"/>
          <w:sz w:val="24"/>
          <w:szCs w:val="24"/>
        </w:rPr>
        <w:t xml:space="preserve">Schedules. Such costs include rate base related to categories </w:t>
      </w:r>
      <w:r w:rsidRPr="00B70610">
        <w:rPr>
          <w:rFonts w:ascii="Arial" w:hAnsi="Arial" w:cs="Arial"/>
          <w:sz w:val="24"/>
          <w:szCs w:val="24"/>
        </w:rPr>
        <w:lastRenderedPageBreak/>
        <w:t>of costs identified above, as well AEP Ohio’s headquarters.</w:t>
      </w:r>
    </w:p>
    <w:p w14:paraId="463E1BD7" w14:textId="57672192" w:rsidR="00CB1544" w:rsidRDefault="00DB63C8" w:rsidP="00C721AE">
      <w:pPr>
        <w:spacing w:line="480" w:lineRule="auto"/>
        <w:ind w:firstLine="720"/>
        <w:jc w:val="both"/>
        <w:rPr>
          <w:rFonts w:ascii="Arial" w:hAnsi="Arial" w:cs="Arial"/>
          <w:sz w:val="24"/>
          <w:szCs w:val="24"/>
        </w:rPr>
      </w:pPr>
      <w:r>
        <w:rPr>
          <w:rFonts w:ascii="Arial" w:hAnsi="Arial" w:cs="Arial"/>
          <w:sz w:val="24"/>
          <w:szCs w:val="24"/>
        </w:rPr>
        <w:t xml:space="preserve">Moreover, </w:t>
      </w:r>
      <w:r w:rsidR="00CB1544" w:rsidRPr="00F21BA5">
        <w:rPr>
          <w:rFonts w:ascii="Arial" w:hAnsi="Arial" w:cs="Arial"/>
          <w:sz w:val="24"/>
          <w:szCs w:val="24"/>
        </w:rPr>
        <w:t>the Staff Report fail</w:t>
      </w:r>
      <w:r w:rsidR="00E3169B">
        <w:rPr>
          <w:rFonts w:ascii="Arial" w:hAnsi="Arial" w:cs="Arial"/>
          <w:sz w:val="24"/>
          <w:szCs w:val="24"/>
        </w:rPr>
        <w:t xml:space="preserve">s </w:t>
      </w:r>
      <w:r w:rsidR="00CB1544" w:rsidRPr="00F21BA5">
        <w:rPr>
          <w:rFonts w:ascii="Arial" w:hAnsi="Arial" w:cs="Arial"/>
          <w:sz w:val="24"/>
          <w:szCs w:val="24"/>
        </w:rPr>
        <w:t xml:space="preserve">to </w:t>
      </w:r>
      <w:r>
        <w:rPr>
          <w:rFonts w:ascii="Arial" w:hAnsi="Arial" w:cs="Arial"/>
          <w:sz w:val="24"/>
          <w:szCs w:val="24"/>
        </w:rPr>
        <w:t>even address the direct costs</w:t>
      </w:r>
      <w:r w:rsidR="00B109F1">
        <w:rPr>
          <w:rFonts w:ascii="Arial" w:hAnsi="Arial" w:cs="Arial"/>
          <w:sz w:val="24"/>
          <w:szCs w:val="24"/>
        </w:rPr>
        <w:t xml:space="preserve"> associated with providing the SSO</w:t>
      </w:r>
      <w:r w:rsidR="00890C3A">
        <w:rPr>
          <w:rFonts w:ascii="Arial" w:hAnsi="Arial" w:cs="Arial"/>
          <w:sz w:val="24"/>
          <w:szCs w:val="24"/>
        </w:rPr>
        <w:t xml:space="preserve"> where cost causation factors are unnecessary.</w:t>
      </w:r>
      <w:r w:rsidR="00A11F7F">
        <w:rPr>
          <w:rFonts w:ascii="Arial" w:hAnsi="Arial" w:cs="Arial"/>
          <w:sz w:val="24"/>
          <w:szCs w:val="24"/>
        </w:rPr>
        <w:t xml:space="preserve"> Specifically, the Staff Report failed to </w:t>
      </w:r>
      <w:r w:rsidR="00CB1544">
        <w:rPr>
          <w:rFonts w:ascii="Arial" w:hAnsi="Arial" w:cs="Arial"/>
          <w:sz w:val="24"/>
          <w:szCs w:val="24"/>
        </w:rPr>
        <w:t>recommend that AEP Ohio</w:t>
      </w:r>
      <w:r w:rsidR="00CB1544" w:rsidRPr="00F21BA5">
        <w:rPr>
          <w:rFonts w:ascii="Arial" w:hAnsi="Arial" w:cs="Arial"/>
          <w:sz w:val="24"/>
          <w:szCs w:val="24"/>
        </w:rPr>
        <w:t xml:space="preserve"> allocate the bad debt associated with the SSO generation receivables to a </w:t>
      </w:r>
      <w:proofErr w:type="spellStart"/>
      <w:r w:rsidR="00CB1544" w:rsidRPr="00F21BA5">
        <w:rPr>
          <w:rFonts w:ascii="Arial" w:hAnsi="Arial" w:cs="Arial"/>
          <w:sz w:val="24"/>
          <w:szCs w:val="24"/>
        </w:rPr>
        <w:t>bypassable</w:t>
      </w:r>
      <w:proofErr w:type="spellEnd"/>
      <w:r w:rsidR="00CB1544" w:rsidRPr="00F21BA5">
        <w:rPr>
          <w:rFonts w:ascii="Arial" w:hAnsi="Arial" w:cs="Arial"/>
          <w:sz w:val="24"/>
          <w:szCs w:val="24"/>
        </w:rPr>
        <w:t xml:space="preserve"> mechanism, consistent with </w:t>
      </w:r>
      <w:r w:rsidR="00A65C38">
        <w:rPr>
          <w:rFonts w:ascii="Arial" w:hAnsi="Arial" w:cs="Arial"/>
          <w:sz w:val="24"/>
          <w:szCs w:val="24"/>
        </w:rPr>
        <w:t>commitments AE</w:t>
      </w:r>
      <w:r w:rsidR="00985A34">
        <w:rPr>
          <w:rFonts w:ascii="Arial" w:hAnsi="Arial" w:cs="Arial"/>
          <w:sz w:val="24"/>
          <w:szCs w:val="24"/>
        </w:rPr>
        <w:t>P</w:t>
      </w:r>
      <w:r w:rsidR="00A65C38">
        <w:rPr>
          <w:rFonts w:ascii="Arial" w:hAnsi="Arial" w:cs="Arial"/>
          <w:sz w:val="24"/>
          <w:szCs w:val="24"/>
        </w:rPr>
        <w:t xml:space="preserve"> Ohio made in </w:t>
      </w:r>
      <w:r w:rsidR="00CB1544" w:rsidRPr="00F21BA5">
        <w:rPr>
          <w:rFonts w:ascii="Arial" w:hAnsi="Arial" w:cs="Arial"/>
          <w:sz w:val="24"/>
          <w:szCs w:val="24"/>
        </w:rPr>
        <w:t>the ESP IV Stipulation.</w:t>
      </w:r>
      <w:r w:rsidR="00CB1544" w:rsidRPr="00F21BA5">
        <w:rPr>
          <w:rStyle w:val="FootnoteReference"/>
          <w:rFonts w:cs="Arial"/>
          <w:sz w:val="24"/>
          <w:szCs w:val="24"/>
        </w:rPr>
        <w:footnoteReference w:id="27"/>
      </w:r>
      <w:r w:rsidR="00CB1544" w:rsidRPr="00F21BA5">
        <w:rPr>
          <w:rFonts w:ascii="Arial" w:hAnsi="Arial" w:cs="Arial"/>
          <w:sz w:val="24"/>
          <w:szCs w:val="24"/>
        </w:rPr>
        <w:t xml:space="preserve"> </w:t>
      </w:r>
      <w:r w:rsidR="007465B4">
        <w:rPr>
          <w:rFonts w:ascii="Arial" w:hAnsi="Arial" w:cs="Arial"/>
          <w:sz w:val="24"/>
          <w:szCs w:val="24"/>
        </w:rPr>
        <w:t xml:space="preserve"> </w:t>
      </w:r>
      <w:r w:rsidR="00137B43">
        <w:rPr>
          <w:rFonts w:ascii="Arial" w:hAnsi="Arial" w:cs="Arial"/>
          <w:sz w:val="24"/>
          <w:szCs w:val="24"/>
        </w:rPr>
        <w:t xml:space="preserve">AEP Ohio’s uncollectible overhead and bad debt expenses should be directly allocated to the </w:t>
      </w:r>
      <w:r w:rsidR="00045259">
        <w:rPr>
          <w:rFonts w:ascii="Arial" w:hAnsi="Arial" w:cs="Arial"/>
          <w:sz w:val="24"/>
          <w:szCs w:val="24"/>
        </w:rPr>
        <w:t xml:space="preserve">Bad Debt Rider on a </w:t>
      </w:r>
      <w:proofErr w:type="spellStart"/>
      <w:r w:rsidR="00045259">
        <w:rPr>
          <w:rFonts w:ascii="Arial" w:hAnsi="Arial" w:cs="Arial"/>
          <w:sz w:val="24"/>
          <w:szCs w:val="24"/>
        </w:rPr>
        <w:t>bypassable</w:t>
      </w:r>
      <w:proofErr w:type="spellEnd"/>
      <w:r w:rsidR="00045259">
        <w:rPr>
          <w:rFonts w:ascii="Arial" w:hAnsi="Arial" w:cs="Arial"/>
          <w:sz w:val="24"/>
          <w:szCs w:val="24"/>
        </w:rPr>
        <w:t xml:space="preserve"> basis.</w:t>
      </w:r>
      <w:r w:rsidR="00CB1544" w:rsidRPr="00F21BA5">
        <w:rPr>
          <w:rFonts w:ascii="Arial" w:hAnsi="Arial" w:cs="Arial"/>
          <w:sz w:val="24"/>
          <w:szCs w:val="24"/>
        </w:rPr>
        <w:t xml:space="preserve"> </w:t>
      </w:r>
    </w:p>
    <w:p w14:paraId="15928773" w14:textId="47DAD2E2" w:rsidR="00C10C8E" w:rsidRDefault="00507D9C" w:rsidP="00C721AE">
      <w:pPr>
        <w:spacing w:line="480" w:lineRule="auto"/>
        <w:jc w:val="both"/>
        <w:rPr>
          <w:rFonts w:ascii="Arial" w:hAnsi="Arial" w:cs="Arial"/>
          <w:sz w:val="24"/>
          <w:szCs w:val="24"/>
        </w:rPr>
      </w:pPr>
      <w:r w:rsidRPr="00AD2318">
        <w:rPr>
          <w:rFonts w:ascii="Arial" w:hAnsi="Arial" w:cs="Arial"/>
          <w:sz w:val="24"/>
          <w:szCs w:val="24"/>
        </w:rPr>
        <w:tab/>
      </w:r>
      <w:r w:rsidR="00222A72">
        <w:rPr>
          <w:rFonts w:ascii="Arial" w:hAnsi="Arial" w:cs="Arial"/>
          <w:sz w:val="24"/>
          <w:szCs w:val="24"/>
        </w:rPr>
        <w:t>Indicative of the failure of the Staff Report to conduct a thorough investigation of the Application, t</w:t>
      </w:r>
      <w:r w:rsidR="005178B1">
        <w:rPr>
          <w:rFonts w:ascii="Arial" w:hAnsi="Arial" w:cs="Arial"/>
          <w:sz w:val="24"/>
          <w:szCs w:val="24"/>
        </w:rPr>
        <w:t>he</w:t>
      </w:r>
      <w:r w:rsidRPr="00AD2318">
        <w:rPr>
          <w:rFonts w:ascii="Arial" w:hAnsi="Arial" w:cs="Arial"/>
          <w:sz w:val="24"/>
          <w:szCs w:val="24"/>
        </w:rPr>
        <w:t xml:space="preserve"> Staff Report </w:t>
      </w:r>
      <w:r w:rsidR="005178B1">
        <w:rPr>
          <w:rFonts w:ascii="Arial" w:hAnsi="Arial" w:cs="Arial"/>
          <w:sz w:val="24"/>
          <w:szCs w:val="24"/>
        </w:rPr>
        <w:t xml:space="preserve">fails to </w:t>
      </w:r>
      <w:r w:rsidR="007C051F" w:rsidRPr="00006759">
        <w:rPr>
          <w:rFonts w:ascii="Arial" w:hAnsi="Arial" w:cs="Arial"/>
          <w:sz w:val="24"/>
          <w:szCs w:val="24"/>
        </w:rPr>
        <w:t>even acknowledge</w:t>
      </w:r>
      <w:r w:rsidR="00C73404">
        <w:rPr>
          <w:rFonts w:ascii="Arial" w:hAnsi="Arial" w:cs="Arial"/>
          <w:sz w:val="24"/>
          <w:szCs w:val="24"/>
        </w:rPr>
        <w:t xml:space="preserve"> AEP Ohio’s commitment </w:t>
      </w:r>
      <w:r w:rsidR="006474D9">
        <w:rPr>
          <w:rFonts w:ascii="Arial" w:hAnsi="Arial" w:cs="Arial"/>
          <w:sz w:val="24"/>
          <w:szCs w:val="24"/>
        </w:rPr>
        <w:t xml:space="preserve">and provides for the continuation </w:t>
      </w:r>
      <w:r w:rsidR="008237D6">
        <w:rPr>
          <w:rFonts w:ascii="Arial" w:hAnsi="Arial" w:cs="Arial"/>
          <w:sz w:val="24"/>
          <w:szCs w:val="24"/>
        </w:rPr>
        <w:t xml:space="preserve">of </w:t>
      </w:r>
      <w:r w:rsidR="007C051F">
        <w:rPr>
          <w:rFonts w:ascii="Arial" w:hAnsi="Arial" w:cs="Arial"/>
          <w:sz w:val="24"/>
          <w:szCs w:val="24"/>
        </w:rPr>
        <w:t xml:space="preserve">uncollectible </w:t>
      </w:r>
      <w:r w:rsidR="00A40D1C">
        <w:rPr>
          <w:rFonts w:ascii="Arial" w:hAnsi="Arial" w:cs="Arial"/>
          <w:sz w:val="24"/>
          <w:szCs w:val="24"/>
        </w:rPr>
        <w:t xml:space="preserve">SSO </w:t>
      </w:r>
      <w:r w:rsidR="007C051F">
        <w:rPr>
          <w:rFonts w:ascii="Arial" w:hAnsi="Arial" w:cs="Arial"/>
          <w:sz w:val="24"/>
          <w:szCs w:val="24"/>
        </w:rPr>
        <w:t xml:space="preserve">generation expenses through </w:t>
      </w:r>
      <w:r w:rsidR="00A40D1C">
        <w:rPr>
          <w:rFonts w:ascii="Arial" w:hAnsi="Arial" w:cs="Arial"/>
          <w:sz w:val="24"/>
          <w:szCs w:val="24"/>
        </w:rPr>
        <w:t xml:space="preserve">distribution rates. </w:t>
      </w:r>
      <w:r w:rsidR="00EF1A41" w:rsidRPr="00B83CDA">
        <w:rPr>
          <w:rFonts w:ascii="Arial" w:hAnsi="Arial" w:cs="Arial"/>
          <w:sz w:val="24"/>
          <w:szCs w:val="24"/>
        </w:rPr>
        <w:t>Making matters worse, through the Staff Report’s wholesale rejection of the RRR and SSOCR, the Staff Report would deny shopping customers from any relief from paying for SSO-related bad debt and overhead expense.</w:t>
      </w:r>
      <w:r w:rsidR="00EF1A41" w:rsidRPr="00B83CDA">
        <w:rPr>
          <w:rStyle w:val="FootnoteReference"/>
          <w:rFonts w:cs="Arial"/>
          <w:sz w:val="24"/>
          <w:szCs w:val="24"/>
        </w:rPr>
        <w:footnoteReference w:id="28"/>
      </w:r>
      <w:r w:rsidR="00EF1A41" w:rsidRPr="00B83CDA">
        <w:rPr>
          <w:rFonts w:ascii="Arial" w:hAnsi="Arial" w:cs="Arial"/>
          <w:sz w:val="24"/>
          <w:szCs w:val="24"/>
        </w:rPr>
        <w:t xml:space="preserve"> </w:t>
      </w:r>
      <w:r w:rsidR="00F72511">
        <w:rPr>
          <w:rFonts w:ascii="Arial" w:hAnsi="Arial" w:cs="Arial"/>
          <w:sz w:val="24"/>
          <w:szCs w:val="24"/>
        </w:rPr>
        <w:t>A</w:t>
      </w:r>
      <w:r w:rsidR="00F72511" w:rsidRPr="001D06D4">
        <w:rPr>
          <w:rFonts w:ascii="Arial" w:hAnsi="Arial" w:cs="Arial"/>
          <w:sz w:val="24"/>
          <w:szCs w:val="24"/>
        </w:rPr>
        <w:t xml:space="preserve">s CRES </w:t>
      </w:r>
      <w:r w:rsidR="00EB10E4">
        <w:rPr>
          <w:rFonts w:ascii="Arial" w:hAnsi="Arial" w:cs="Arial"/>
          <w:sz w:val="24"/>
          <w:szCs w:val="24"/>
        </w:rPr>
        <w:t>providers</w:t>
      </w:r>
      <w:r w:rsidR="00F72511" w:rsidRPr="001D06D4">
        <w:rPr>
          <w:rFonts w:ascii="Arial" w:hAnsi="Arial" w:cs="Arial"/>
          <w:sz w:val="24"/>
          <w:szCs w:val="24"/>
        </w:rPr>
        <w:t xml:space="preserve"> also incur bad debt due to unpaid generation expenses, CRES </w:t>
      </w:r>
      <w:r w:rsidR="00EB10E4">
        <w:rPr>
          <w:rFonts w:ascii="Arial" w:hAnsi="Arial" w:cs="Arial"/>
          <w:sz w:val="24"/>
          <w:szCs w:val="24"/>
        </w:rPr>
        <w:t>providers</w:t>
      </w:r>
      <w:r w:rsidR="00F72511" w:rsidRPr="001D06D4">
        <w:rPr>
          <w:rFonts w:ascii="Arial" w:hAnsi="Arial" w:cs="Arial"/>
          <w:sz w:val="24"/>
          <w:szCs w:val="24"/>
        </w:rPr>
        <w:t xml:space="preserve"> must pass along these costs to their customers through</w:t>
      </w:r>
      <w:r w:rsidR="00817C60">
        <w:rPr>
          <w:rFonts w:ascii="Arial" w:hAnsi="Arial" w:cs="Arial"/>
          <w:sz w:val="24"/>
          <w:szCs w:val="24"/>
        </w:rPr>
        <w:t xml:space="preserve"> their</w:t>
      </w:r>
      <w:r w:rsidR="00F72511" w:rsidRPr="001D06D4">
        <w:rPr>
          <w:rFonts w:ascii="Arial" w:hAnsi="Arial" w:cs="Arial"/>
          <w:sz w:val="24"/>
          <w:szCs w:val="24"/>
        </w:rPr>
        <w:t xml:space="preserve"> rates.</w:t>
      </w:r>
      <w:r w:rsidR="00F72511">
        <w:rPr>
          <w:rFonts w:ascii="Arial" w:hAnsi="Arial" w:cs="Arial"/>
          <w:sz w:val="24"/>
          <w:szCs w:val="24"/>
        </w:rPr>
        <w:t xml:space="preserve">  </w:t>
      </w:r>
      <w:r w:rsidR="001D06D4" w:rsidRPr="001D06D4">
        <w:rPr>
          <w:rFonts w:ascii="Arial" w:hAnsi="Arial" w:cs="Arial"/>
          <w:sz w:val="24"/>
          <w:szCs w:val="24"/>
        </w:rPr>
        <w:t xml:space="preserve">Because AEP Ohio </w:t>
      </w:r>
      <w:r w:rsidR="00870471">
        <w:rPr>
          <w:rFonts w:ascii="Arial" w:hAnsi="Arial" w:cs="Arial"/>
          <w:sz w:val="24"/>
          <w:szCs w:val="24"/>
        </w:rPr>
        <w:t xml:space="preserve">would </w:t>
      </w:r>
      <w:r w:rsidR="009B0159">
        <w:rPr>
          <w:rFonts w:ascii="Arial" w:hAnsi="Arial" w:cs="Arial"/>
          <w:sz w:val="24"/>
          <w:szCs w:val="24"/>
        </w:rPr>
        <w:t xml:space="preserve">continue to </w:t>
      </w:r>
      <w:r w:rsidR="001D06D4" w:rsidRPr="001D06D4">
        <w:rPr>
          <w:rFonts w:ascii="Arial" w:hAnsi="Arial" w:cs="Arial"/>
          <w:sz w:val="24"/>
          <w:szCs w:val="24"/>
        </w:rPr>
        <w:t xml:space="preserve">collect uncollectible expenses associated with default service generation through distribution rates, shopping customers </w:t>
      </w:r>
      <w:r w:rsidR="009B0159">
        <w:rPr>
          <w:rFonts w:ascii="Arial" w:hAnsi="Arial" w:cs="Arial"/>
          <w:sz w:val="24"/>
          <w:szCs w:val="24"/>
        </w:rPr>
        <w:t xml:space="preserve">would continue to </w:t>
      </w:r>
      <w:r w:rsidR="001D06D4" w:rsidRPr="001D06D4">
        <w:rPr>
          <w:rFonts w:ascii="Arial" w:hAnsi="Arial" w:cs="Arial"/>
          <w:sz w:val="24"/>
          <w:szCs w:val="24"/>
        </w:rPr>
        <w:t xml:space="preserve">pay twice for generation bad </w:t>
      </w:r>
      <w:r w:rsidR="001D06D4" w:rsidRPr="001D06D4">
        <w:rPr>
          <w:rFonts w:ascii="Arial" w:hAnsi="Arial" w:cs="Arial"/>
          <w:sz w:val="24"/>
          <w:szCs w:val="24"/>
        </w:rPr>
        <w:lastRenderedPageBreak/>
        <w:t>debt: once through distribution rates paid to AEP Ohio and once through generation rates paid to their supplier.</w:t>
      </w:r>
      <w:r w:rsidR="00E52184">
        <w:rPr>
          <w:rStyle w:val="FootnoteReference"/>
          <w:rFonts w:cs="Arial"/>
          <w:szCs w:val="24"/>
        </w:rPr>
        <w:footnoteReference w:id="29"/>
      </w:r>
      <w:bookmarkStart w:id="6" w:name="_Toc59086428"/>
      <w:bookmarkStart w:id="7" w:name="_Toc59086483"/>
      <w:bookmarkEnd w:id="6"/>
      <w:bookmarkEnd w:id="7"/>
    </w:p>
    <w:p w14:paraId="56DA1512" w14:textId="391FF444" w:rsidR="00B70610" w:rsidRDefault="00C10C8E" w:rsidP="00C721AE">
      <w:pPr>
        <w:spacing w:line="48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All of</w:t>
      </w:r>
      <w:proofErr w:type="gramEnd"/>
      <w:r>
        <w:rPr>
          <w:rFonts w:ascii="Arial" w:hAnsi="Arial" w:cs="Arial"/>
          <w:sz w:val="24"/>
          <w:szCs w:val="24"/>
        </w:rPr>
        <w:t xml:space="preserve"> the costs identified above</w:t>
      </w:r>
      <w:r w:rsidR="00717E4B">
        <w:rPr>
          <w:rFonts w:ascii="Arial" w:hAnsi="Arial" w:cs="Arial"/>
          <w:sz w:val="24"/>
          <w:szCs w:val="24"/>
        </w:rPr>
        <w:t xml:space="preserve"> should be unbundled from </w:t>
      </w:r>
      <w:r w:rsidR="00440FEC">
        <w:rPr>
          <w:rFonts w:ascii="Arial" w:hAnsi="Arial" w:cs="Arial"/>
          <w:sz w:val="24"/>
          <w:szCs w:val="24"/>
        </w:rPr>
        <w:t xml:space="preserve">AEP Ohio’s proposed </w:t>
      </w:r>
      <w:r w:rsidR="00717E4B">
        <w:rPr>
          <w:rFonts w:ascii="Arial" w:hAnsi="Arial" w:cs="Arial"/>
          <w:sz w:val="24"/>
          <w:szCs w:val="24"/>
        </w:rPr>
        <w:t>distribution rates and allocated to the SSO through the RRR.</w:t>
      </w:r>
    </w:p>
    <w:p w14:paraId="7425BF5F" w14:textId="797A5266" w:rsidR="00B52FA8" w:rsidRPr="00B70610" w:rsidRDefault="00515286" w:rsidP="00AD2318">
      <w:pPr>
        <w:pStyle w:val="Heading2"/>
        <w:spacing w:after="240"/>
      </w:pPr>
      <w:bookmarkStart w:id="8" w:name="_Toc59194847"/>
      <w:r>
        <w:t xml:space="preserve">The Staff Report </w:t>
      </w:r>
      <w:r w:rsidR="00E37389" w:rsidRPr="00683617">
        <w:t>a</w:t>
      </w:r>
      <w:r w:rsidR="002A6B88" w:rsidRPr="00C721AE">
        <w:t>dopts</w:t>
      </w:r>
      <w:r w:rsidR="00E37389" w:rsidRPr="004E6370">
        <w:t xml:space="preserve"> </w:t>
      </w:r>
      <w:r w:rsidR="00871966">
        <w:t xml:space="preserve">an improper netting standard </w:t>
      </w:r>
      <w:r w:rsidR="00046977">
        <w:t>for the purpose of unbundling that would reduce the already understated SSO allocation.</w:t>
      </w:r>
      <w:bookmarkEnd w:id="8"/>
    </w:p>
    <w:p w14:paraId="3AB03634" w14:textId="2995A594" w:rsidR="00623665" w:rsidRDefault="00623665" w:rsidP="00262530">
      <w:pPr>
        <w:spacing w:line="480" w:lineRule="auto"/>
        <w:ind w:firstLine="720"/>
        <w:jc w:val="both"/>
        <w:rPr>
          <w:rFonts w:ascii="Arial" w:hAnsi="Arial" w:cs="Arial"/>
          <w:sz w:val="24"/>
          <w:szCs w:val="24"/>
        </w:rPr>
      </w:pPr>
      <w:r>
        <w:rPr>
          <w:rFonts w:ascii="Arial" w:hAnsi="Arial" w:cs="Arial"/>
          <w:sz w:val="24"/>
          <w:szCs w:val="24"/>
        </w:rPr>
        <w:t>In its Application, AEP Ohio proposes a simple ne</w:t>
      </w:r>
      <w:r w:rsidR="00C30276">
        <w:rPr>
          <w:rFonts w:ascii="Arial" w:hAnsi="Arial" w:cs="Arial"/>
          <w:sz w:val="24"/>
          <w:szCs w:val="24"/>
        </w:rPr>
        <w:t>t</w:t>
      </w:r>
      <w:r>
        <w:rPr>
          <w:rFonts w:ascii="Arial" w:hAnsi="Arial" w:cs="Arial"/>
          <w:sz w:val="24"/>
          <w:szCs w:val="24"/>
        </w:rPr>
        <w:t>t</w:t>
      </w:r>
      <w:r w:rsidR="00C30276">
        <w:rPr>
          <w:rFonts w:ascii="Arial" w:hAnsi="Arial" w:cs="Arial"/>
          <w:sz w:val="24"/>
          <w:szCs w:val="24"/>
        </w:rPr>
        <w:t>ing</w:t>
      </w:r>
      <w:r>
        <w:rPr>
          <w:rFonts w:ascii="Arial" w:hAnsi="Arial" w:cs="Arial"/>
          <w:sz w:val="24"/>
          <w:szCs w:val="24"/>
        </w:rPr>
        <w:t xml:space="preserve"> </w:t>
      </w:r>
      <w:r w:rsidR="00FC07FF">
        <w:rPr>
          <w:rFonts w:ascii="Arial" w:hAnsi="Arial" w:cs="Arial"/>
          <w:sz w:val="24"/>
          <w:szCs w:val="24"/>
        </w:rPr>
        <w:t>of the costs “related to the SSO” include</w:t>
      </w:r>
      <w:r w:rsidR="00D403F3">
        <w:rPr>
          <w:rFonts w:ascii="Arial" w:hAnsi="Arial" w:cs="Arial"/>
          <w:sz w:val="24"/>
          <w:szCs w:val="24"/>
        </w:rPr>
        <w:t>d</w:t>
      </w:r>
      <w:r w:rsidR="00FC07FF">
        <w:rPr>
          <w:rFonts w:ascii="Arial" w:hAnsi="Arial" w:cs="Arial"/>
          <w:sz w:val="24"/>
          <w:szCs w:val="24"/>
        </w:rPr>
        <w:t xml:space="preserve"> in distribution rates </w:t>
      </w:r>
      <w:r w:rsidR="00694716">
        <w:rPr>
          <w:rFonts w:ascii="Arial" w:hAnsi="Arial" w:cs="Arial"/>
          <w:sz w:val="24"/>
          <w:szCs w:val="24"/>
        </w:rPr>
        <w:t>with</w:t>
      </w:r>
      <w:r w:rsidR="00FC07FF">
        <w:rPr>
          <w:rFonts w:ascii="Arial" w:hAnsi="Arial" w:cs="Arial"/>
          <w:sz w:val="24"/>
          <w:szCs w:val="24"/>
        </w:rPr>
        <w:t xml:space="preserve"> the costs “related to shopping service</w:t>
      </w:r>
      <w:r w:rsidR="00D403F3">
        <w:rPr>
          <w:rFonts w:ascii="Arial" w:hAnsi="Arial" w:cs="Arial"/>
          <w:sz w:val="24"/>
          <w:szCs w:val="24"/>
        </w:rPr>
        <w:t>” in distribution rates</w:t>
      </w:r>
      <w:r w:rsidR="00C30276">
        <w:rPr>
          <w:rFonts w:ascii="Arial" w:hAnsi="Arial" w:cs="Arial"/>
          <w:sz w:val="24"/>
          <w:szCs w:val="24"/>
        </w:rPr>
        <w:t xml:space="preserve"> to determine the RRR and SSOCR.</w:t>
      </w:r>
      <w:r w:rsidR="00D403F3">
        <w:rPr>
          <w:rStyle w:val="FootnoteReference"/>
          <w:rFonts w:cs="Arial"/>
          <w:szCs w:val="24"/>
        </w:rPr>
        <w:footnoteReference w:id="30"/>
      </w:r>
      <w:r w:rsidR="00C30276">
        <w:rPr>
          <w:rFonts w:ascii="Arial" w:hAnsi="Arial" w:cs="Arial"/>
          <w:sz w:val="24"/>
          <w:szCs w:val="24"/>
        </w:rPr>
        <w:t xml:space="preserve"> </w:t>
      </w:r>
      <w:r w:rsidR="002E52BA">
        <w:rPr>
          <w:rFonts w:ascii="Arial" w:hAnsi="Arial" w:cs="Arial"/>
          <w:sz w:val="24"/>
          <w:szCs w:val="24"/>
        </w:rPr>
        <w:t xml:space="preserve">Excluded from its </w:t>
      </w:r>
      <w:r w:rsidR="00EC6E08">
        <w:rPr>
          <w:rFonts w:ascii="Arial" w:hAnsi="Arial" w:cs="Arial"/>
          <w:sz w:val="24"/>
          <w:szCs w:val="24"/>
        </w:rPr>
        <w:t>analysis are</w:t>
      </w:r>
      <w:r w:rsidR="00766C6D">
        <w:rPr>
          <w:rFonts w:ascii="Arial" w:hAnsi="Arial" w:cs="Arial"/>
          <w:sz w:val="24"/>
          <w:szCs w:val="24"/>
        </w:rPr>
        <w:t xml:space="preserve"> any costs associated with functions “that are clearly necessary to support both shopping and non-shopping customers.”</w:t>
      </w:r>
      <w:r w:rsidR="003444B6">
        <w:rPr>
          <w:rStyle w:val="FootnoteReference"/>
          <w:rFonts w:cs="Arial"/>
          <w:szCs w:val="24"/>
        </w:rPr>
        <w:footnoteReference w:id="31"/>
      </w:r>
      <w:r w:rsidR="00766C6D">
        <w:rPr>
          <w:rFonts w:ascii="Arial" w:hAnsi="Arial" w:cs="Arial"/>
          <w:sz w:val="24"/>
          <w:szCs w:val="24"/>
        </w:rPr>
        <w:t xml:space="preserve"> </w:t>
      </w:r>
      <w:r w:rsidR="007A27CE">
        <w:rPr>
          <w:rFonts w:ascii="Arial" w:hAnsi="Arial" w:cs="Arial"/>
          <w:sz w:val="24"/>
          <w:szCs w:val="24"/>
        </w:rPr>
        <w:t xml:space="preserve">Although the Staff Report declines to adopt </w:t>
      </w:r>
      <w:r w:rsidR="00EC0324">
        <w:rPr>
          <w:rFonts w:ascii="Arial" w:hAnsi="Arial" w:cs="Arial"/>
          <w:sz w:val="24"/>
          <w:szCs w:val="24"/>
        </w:rPr>
        <w:t xml:space="preserve">AEP Ohio’s </w:t>
      </w:r>
      <w:r w:rsidR="002A3867">
        <w:rPr>
          <w:rFonts w:ascii="Arial" w:hAnsi="Arial" w:cs="Arial"/>
          <w:sz w:val="24"/>
          <w:szCs w:val="24"/>
        </w:rPr>
        <w:t xml:space="preserve">proposed </w:t>
      </w:r>
      <w:r w:rsidR="00EC0324">
        <w:rPr>
          <w:rFonts w:ascii="Arial" w:hAnsi="Arial" w:cs="Arial"/>
          <w:sz w:val="24"/>
          <w:szCs w:val="24"/>
        </w:rPr>
        <w:t>RRR and SSOCR</w:t>
      </w:r>
      <w:r w:rsidR="008868EE">
        <w:rPr>
          <w:rFonts w:ascii="Arial" w:hAnsi="Arial" w:cs="Arial"/>
          <w:sz w:val="24"/>
          <w:szCs w:val="24"/>
        </w:rPr>
        <w:t xml:space="preserve"> rates</w:t>
      </w:r>
      <w:r w:rsidR="00EC0324">
        <w:rPr>
          <w:rFonts w:ascii="Arial" w:hAnsi="Arial" w:cs="Arial"/>
          <w:sz w:val="24"/>
          <w:szCs w:val="24"/>
        </w:rPr>
        <w:t xml:space="preserve">, the Staff Report appears to </w:t>
      </w:r>
      <w:r w:rsidR="008A5E09">
        <w:rPr>
          <w:rFonts w:ascii="Arial" w:hAnsi="Arial" w:cs="Arial"/>
          <w:sz w:val="24"/>
          <w:szCs w:val="24"/>
        </w:rPr>
        <w:t>accept</w:t>
      </w:r>
      <w:r w:rsidR="002A3867">
        <w:rPr>
          <w:rFonts w:ascii="Arial" w:hAnsi="Arial" w:cs="Arial"/>
          <w:sz w:val="24"/>
          <w:szCs w:val="24"/>
        </w:rPr>
        <w:t xml:space="preserve"> t</w:t>
      </w:r>
      <w:r w:rsidR="003E0BC5">
        <w:rPr>
          <w:rFonts w:ascii="Arial" w:hAnsi="Arial" w:cs="Arial"/>
          <w:sz w:val="24"/>
          <w:szCs w:val="24"/>
        </w:rPr>
        <w:t>his</w:t>
      </w:r>
      <w:r w:rsidR="002A3867">
        <w:rPr>
          <w:rFonts w:ascii="Arial" w:hAnsi="Arial" w:cs="Arial"/>
          <w:sz w:val="24"/>
          <w:szCs w:val="24"/>
        </w:rPr>
        <w:t xml:space="preserve"> </w:t>
      </w:r>
      <w:r w:rsidR="00380DCD">
        <w:rPr>
          <w:rFonts w:ascii="Arial" w:hAnsi="Arial" w:cs="Arial"/>
          <w:sz w:val="24"/>
          <w:szCs w:val="24"/>
        </w:rPr>
        <w:t xml:space="preserve">improper netting </w:t>
      </w:r>
      <w:r w:rsidR="00A054BA">
        <w:rPr>
          <w:rFonts w:ascii="Arial" w:hAnsi="Arial" w:cs="Arial"/>
          <w:sz w:val="24"/>
          <w:szCs w:val="24"/>
        </w:rPr>
        <w:t>standard</w:t>
      </w:r>
      <w:r w:rsidR="00AF4D4E">
        <w:rPr>
          <w:rFonts w:ascii="Arial" w:hAnsi="Arial" w:cs="Arial"/>
          <w:sz w:val="24"/>
          <w:szCs w:val="24"/>
        </w:rPr>
        <w:t xml:space="preserve"> by claiming it cannot</w:t>
      </w:r>
      <w:r w:rsidR="003E0BC5">
        <w:rPr>
          <w:rFonts w:ascii="Arial" w:hAnsi="Arial" w:cs="Arial"/>
          <w:sz w:val="24"/>
          <w:szCs w:val="24"/>
        </w:rPr>
        <w:t xml:space="preserve"> determine “</w:t>
      </w:r>
      <w:r w:rsidR="003E0BC5" w:rsidRPr="00487D53">
        <w:rPr>
          <w:rFonts w:ascii="Arial" w:hAnsi="Arial" w:cs="Arial"/>
          <w:sz w:val="24"/>
          <w:szCs w:val="24"/>
        </w:rPr>
        <w:t>how cost should be allocated between shopping</w:t>
      </w:r>
      <w:r w:rsidR="003E0BC5">
        <w:rPr>
          <w:rFonts w:ascii="Arial" w:hAnsi="Arial" w:cs="Arial"/>
          <w:sz w:val="24"/>
          <w:szCs w:val="24"/>
        </w:rPr>
        <w:t xml:space="preserve"> </w:t>
      </w:r>
      <w:r w:rsidR="003E0BC5" w:rsidRPr="00487D53">
        <w:rPr>
          <w:rFonts w:ascii="Arial" w:hAnsi="Arial" w:cs="Arial"/>
          <w:sz w:val="24"/>
          <w:szCs w:val="24"/>
        </w:rPr>
        <w:t>and non-shopping customers</w:t>
      </w:r>
      <w:r w:rsidR="003E0BC5">
        <w:rPr>
          <w:rFonts w:ascii="Arial" w:hAnsi="Arial" w:cs="Arial"/>
          <w:sz w:val="24"/>
          <w:szCs w:val="24"/>
        </w:rPr>
        <w:t>.”</w:t>
      </w:r>
      <w:r w:rsidR="003E0BC5">
        <w:rPr>
          <w:rStyle w:val="FootnoteReference"/>
          <w:rFonts w:cs="Arial"/>
          <w:szCs w:val="24"/>
        </w:rPr>
        <w:footnoteReference w:id="32"/>
      </w:r>
      <w:r w:rsidR="00AF4D4E">
        <w:rPr>
          <w:rFonts w:ascii="Arial" w:hAnsi="Arial" w:cs="Arial"/>
          <w:sz w:val="24"/>
          <w:szCs w:val="24"/>
        </w:rPr>
        <w:t xml:space="preserve"> </w:t>
      </w:r>
      <w:r w:rsidR="007A27CE">
        <w:rPr>
          <w:rFonts w:ascii="Arial" w:hAnsi="Arial" w:cs="Arial"/>
          <w:sz w:val="24"/>
          <w:szCs w:val="24"/>
        </w:rPr>
        <w:t xml:space="preserve"> </w:t>
      </w:r>
      <w:r w:rsidR="00AD1297">
        <w:rPr>
          <w:rFonts w:ascii="Arial" w:hAnsi="Arial" w:cs="Arial"/>
          <w:sz w:val="24"/>
          <w:szCs w:val="24"/>
        </w:rPr>
        <w:t xml:space="preserve">As </w:t>
      </w:r>
      <w:r w:rsidR="00C209A4">
        <w:rPr>
          <w:rFonts w:ascii="Arial" w:hAnsi="Arial" w:cs="Arial"/>
          <w:sz w:val="24"/>
          <w:szCs w:val="24"/>
        </w:rPr>
        <w:t>t</w:t>
      </w:r>
      <w:r w:rsidR="00C02ABE">
        <w:rPr>
          <w:rFonts w:ascii="Arial" w:hAnsi="Arial" w:cs="Arial"/>
          <w:sz w:val="24"/>
          <w:szCs w:val="24"/>
        </w:rPr>
        <w:t xml:space="preserve">his </w:t>
      </w:r>
      <w:r w:rsidR="00C02ABE" w:rsidRPr="00B70610">
        <w:rPr>
          <w:rFonts w:ascii="Arial" w:hAnsi="Arial" w:cs="Arial"/>
          <w:sz w:val="24"/>
          <w:szCs w:val="24"/>
        </w:rPr>
        <w:t>represents a fundamental misunderstanding of Ohio law and the competitive and non-competitive services that AEP Ohio provides</w:t>
      </w:r>
      <w:r w:rsidR="00AD1297">
        <w:rPr>
          <w:rFonts w:ascii="Arial" w:hAnsi="Arial" w:cs="Arial"/>
          <w:sz w:val="24"/>
          <w:szCs w:val="24"/>
        </w:rPr>
        <w:t xml:space="preserve">, IGS objects to the Staff Report’s endorsement of this </w:t>
      </w:r>
      <w:r w:rsidR="001A555D">
        <w:rPr>
          <w:rFonts w:ascii="Arial" w:hAnsi="Arial" w:cs="Arial"/>
          <w:sz w:val="24"/>
          <w:szCs w:val="24"/>
        </w:rPr>
        <w:t>framework.</w:t>
      </w:r>
    </w:p>
    <w:p w14:paraId="0E419044" w14:textId="74348A30" w:rsidR="001773A9" w:rsidRDefault="003B0DAB" w:rsidP="00262530">
      <w:pPr>
        <w:spacing w:line="480" w:lineRule="auto"/>
        <w:ind w:firstLine="720"/>
        <w:jc w:val="both"/>
        <w:rPr>
          <w:rFonts w:ascii="Arial" w:hAnsi="Arial" w:cs="Arial"/>
          <w:sz w:val="24"/>
          <w:szCs w:val="24"/>
        </w:rPr>
      </w:pPr>
      <w:r>
        <w:rPr>
          <w:rFonts w:ascii="Arial" w:hAnsi="Arial" w:cs="Arial"/>
          <w:sz w:val="24"/>
          <w:szCs w:val="24"/>
        </w:rPr>
        <w:lastRenderedPageBreak/>
        <w:t>U</w:t>
      </w:r>
      <w:r w:rsidR="00EF539C">
        <w:rPr>
          <w:rFonts w:ascii="Arial" w:hAnsi="Arial" w:cs="Arial"/>
          <w:sz w:val="24"/>
          <w:szCs w:val="24"/>
        </w:rPr>
        <w:t>nbundling is</w:t>
      </w:r>
      <w:r w:rsidR="00D761DD">
        <w:rPr>
          <w:rFonts w:ascii="Arial" w:hAnsi="Arial" w:cs="Arial"/>
          <w:sz w:val="24"/>
          <w:szCs w:val="24"/>
        </w:rPr>
        <w:t xml:space="preserve"> the removal of </w:t>
      </w:r>
      <w:r w:rsidR="00EF539C">
        <w:rPr>
          <w:rFonts w:ascii="Arial" w:hAnsi="Arial" w:cs="Arial"/>
          <w:sz w:val="24"/>
          <w:szCs w:val="24"/>
        </w:rPr>
        <w:t xml:space="preserve">costs </w:t>
      </w:r>
      <w:r w:rsidR="004308D6">
        <w:rPr>
          <w:rFonts w:ascii="Arial" w:hAnsi="Arial" w:cs="Arial"/>
          <w:sz w:val="24"/>
          <w:szCs w:val="24"/>
        </w:rPr>
        <w:t xml:space="preserve">in distribution rates that are </w:t>
      </w:r>
      <w:r w:rsidR="00EF539C">
        <w:rPr>
          <w:rFonts w:ascii="Arial" w:hAnsi="Arial" w:cs="Arial"/>
          <w:sz w:val="24"/>
          <w:szCs w:val="24"/>
        </w:rPr>
        <w:t xml:space="preserve">associated with providing the SSO because </w:t>
      </w:r>
      <w:r w:rsidR="003740AB">
        <w:rPr>
          <w:rFonts w:ascii="Arial" w:hAnsi="Arial" w:cs="Arial"/>
          <w:sz w:val="24"/>
          <w:szCs w:val="24"/>
        </w:rPr>
        <w:t xml:space="preserve">the Commission does not have the authority to regulate </w:t>
      </w:r>
      <w:r w:rsidR="00C8501A">
        <w:rPr>
          <w:rFonts w:ascii="Arial" w:hAnsi="Arial" w:cs="Arial"/>
          <w:sz w:val="24"/>
          <w:szCs w:val="24"/>
        </w:rPr>
        <w:t xml:space="preserve">the </w:t>
      </w:r>
      <w:r w:rsidR="000A0439">
        <w:rPr>
          <w:rFonts w:ascii="Arial" w:hAnsi="Arial" w:cs="Arial"/>
          <w:sz w:val="24"/>
          <w:szCs w:val="24"/>
        </w:rPr>
        <w:t>AEP Ohio’s provision of competitive retail electric service</w:t>
      </w:r>
      <w:r w:rsidR="00DD3F30">
        <w:rPr>
          <w:rStyle w:val="FootnoteReference"/>
          <w:rFonts w:cs="Arial"/>
          <w:szCs w:val="24"/>
        </w:rPr>
        <w:footnoteReference w:id="33"/>
      </w:r>
      <w:r w:rsidR="000A0439">
        <w:rPr>
          <w:rFonts w:ascii="Arial" w:hAnsi="Arial" w:cs="Arial"/>
          <w:sz w:val="24"/>
          <w:szCs w:val="24"/>
        </w:rPr>
        <w:t xml:space="preserve"> </w:t>
      </w:r>
      <w:r w:rsidR="009F7602">
        <w:rPr>
          <w:rFonts w:ascii="Arial" w:hAnsi="Arial" w:cs="Arial"/>
          <w:sz w:val="24"/>
          <w:szCs w:val="24"/>
        </w:rPr>
        <w:t xml:space="preserve">through </w:t>
      </w:r>
      <w:r w:rsidR="00C6366B">
        <w:rPr>
          <w:rFonts w:ascii="Arial" w:hAnsi="Arial" w:cs="Arial"/>
          <w:sz w:val="24"/>
          <w:szCs w:val="24"/>
        </w:rPr>
        <w:t>R.C. 4909.18</w:t>
      </w:r>
      <w:r w:rsidR="00067ABE">
        <w:rPr>
          <w:rFonts w:ascii="Arial" w:hAnsi="Arial" w:cs="Arial"/>
          <w:sz w:val="24"/>
          <w:szCs w:val="24"/>
        </w:rPr>
        <w:t>, the distribution ratemaking statute.</w:t>
      </w:r>
      <w:r w:rsidR="00067ABE">
        <w:rPr>
          <w:rStyle w:val="FootnoteReference"/>
          <w:rFonts w:cs="Arial"/>
          <w:szCs w:val="24"/>
        </w:rPr>
        <w:footnoteReference w:id="34"/>
      </w:r>
      <w:r w:rsidR="00067ABE">
        <w:rPr>
          <w:rFonts w:ascii="Arial" w:hAnsi="Arial" w:cs="Arial"/>
          <w:sz w:val="24"/>
          <w:szCs w:val="24"/>
        </w:rPr>
        <w:t xml:space="preserve"> </w:t>
      </w:r>
      <w:r w:rsidR="009F7602">
        <w:rPr>
          <w:rFonts w:ascii="Arial" w:hAnsi="Arial" w:cs="Arial"/>
          <w:sz w:val="24"/>
          <w:szCs w:val="24"/>
        </w:rPr>
        <w:t xml:space="preserve"> </w:t>
      </w:r>
      <w:r w:rsidR="009D14A8">
        <w:rPr>
          <w:rFonts w:ascii="Arial" w:hAnsi="Arial" w:cs="Arial"/>
          <w:sz w:val="24"/>
          <w:szCs w:val="24"/>
        </w:rPr>
        <w:t xml:space="preserve">To identify these costs, </w:t>
      </w:r>
      <w:r w:rsidR="009D14A8" w:rsidRPr="00C721AE">
        <w:rPr>
          <w:rFonts w:ascii="Arial" w:hAnsi="Arial" w:cs="Arial"/>
          <w:b/>
          <w:i/>
          <w:sz w:val="24"/>
          <w:szCs w:val="24"/>
        </w:rPr>
        <w:t xml:space="preserve">the </w:t>
      </w:r>
      <w:r w:rsidR="004055D8" w:rsidRPr="00C721AE">
        <w:rPr>
          <w:rFonts w:ascii="Arial" w:hAnsi="Arial" w:cs="Arial"/>
          <w:b/>
          <w:i/>
          <w:sz w:val="24"/>
          <w:szCs w:val="24"/>
        </w:rPr>
        <w:t xml:space="preserve">focus </w:t>
      </w:r>
      <w:r w:rsidR="009776AD" w:rsidRPr="00C721AE">
        <w:rPr>
          <w:rFonts w:ascii="Arial" w:hAnsi="Arial" w:cs="Arial"/>
          <w:b/>
          <w:i/>
          <w:sz w:val="24"/>
          <w:szCs w:val="24"/>
        </w:rPr>
        <w:t>should be</w:t>
      </w:r>
      <w:r w:rsidR="004055D8" w:rsidRPr="00C721AE">
        <w:rPr>
          <w:rFonts w:ascii="Arial" w:hAnsi="Arial" w:cs="Arial"/>
          <w:b/>
          <w:i/>
          <w:sz w:val="24"/>
          <w:szCs w:val="24"/>
        </w:rPr>
        <w:t xml:space="preserve"> on the service to which the cost relates. </w:t>
      </w:r>
      <w:r w:rsidR="0002031A">
        <w:rPr>
          <w:rFonts w:ascii="Arial" w:hAnsi="Arial" w:cs="Arial"/>
          <w:sz w:val="24"/>
          <w:szCs w:val="24"/>
        </w:rPr>
        <w:t xml:space="preserve">If the cost </w:t>
      </w:r>
      <w:r w:rsidR="00A64922">
        <w:rPr>
          <w:rFonts w:ascii="Arial" w:hAnsi="Arial" w:cs="Arial"/>
          <w:sz w:val="24"/>
          <w:szCs w:val="24"/>
        </w:rPr>
        <w:t xml:space="preserve">solely </w:t>
      </w:r>
      <w:r w:rsidR="0002031A">
        <w:rPr>
          <w:rFonts w:ascii="Arial" w:hAnsi="Arial" w:cs="Arial"/>
          <w:sz w:val="24"/>
          <w:szCs w:val="24"/>
        </w:rPr>
        <w:t>relates</w:t>
      </w:r>
      <w:r w:rsidR="00C06ECC">
        <w:rPr>
          <w:rFonts w:ascii="Arial" w:hAnsi="Arial" w:cs="Arial"/>
          <w:sz w:val="24"/>
          <w:szCs w:val="24"/>
        </w:rPr>
        <w:t xml:space="preserve"> to</w:t>
      </w:r>
      <w:r w:rsidR="0002031A">
        <w:rPr>
          <w:rFonts w:ascii="Arial" w:hAnsi="Arial" w:cs="Arial"/>
          <w:sz w:val="24"/>
          <w:szCs w:val="24"/>
        </w:rPr>
        <w:t xml:space="preserve"> </w:t>
      </w:r>
      <w:r w:rsidR="00C06ECC">
        <w:rPr>
          <w:rFonts w:ascii="Arial" w:hAnsi="Arial" w:cs="Arial"/>
          <w:sz w:val="24"/>
          <w:szCs w:val="24"/>
        </w:rPr>
        <w:t>or supports</w:t>
      </w:r>
      <w:r w:rsidR="0002031A">
        <w:rPr>
          <w:rFonts w:ascii="Arial" w:hAnsi="Arial" w:cs="Arial"/>
          <w:sz w:val="24"/>
          <w:szCs w:val="24"/>
        </w:rPr>
        <w:t xml:space="preserve"> AEP Ohio’s </w:t>
      </w:r>
      <w:r w:rsidR="00053180">
        <w:rPr>
          <w:rFonts w:ascii="Arial" w:hAnsi="Arial" w:cs="Arial"/>
          <w:sz w:val="24"/>
          <w:szCs w:val="24"/>
        </w:rPr>
        <w:t>provi</w:t>
      </w:r>
      <w:r w:rsidR="005A36B3">
        <w:rPr>
          <w:rFonts w:ascii="Arial" w:hAnsi="Arial" w:cs="Arial"/>
          <w:sz w:val="24"/>
          <w:szCs w:val="24"/>
        </w:rPr>
        <w:t>sion of noncompetitive</w:t>
      </w:r>
      <w:r w:rsidR="00053180">
        <w:rPr>
          <w:rFonts w:ascii="Arial" w:hAnsi="Arial" w:cs="Arial"/>
          <w:sz w:val="24"/>
          <w:szCs w:val="24"/>
        </w:rPr>
        <w:t xml:space="preserve"> </w:t>
      </w:r>
      <w:r w:rsidR="00D31812">
        <w:rPr>
          <w:rFonts w:ascii="Arial" w:hAnsi="Arial" w:cs="Arial"/>
          <w:sz w:val="24"/>
          <w:szCs w:val="24"/>
        </w:rPr>
        <w:t xml:space="preserve">retail electric </w:t>
      </w:r>
      <w:r w:rsidR="005A36B3">
        <w:rPr>
          <w:rFonts w:ascii="Arial" w:hAnsi="Arial" w:cs="Arial"/>
          <w:sz w:val="24"/>
          <w:szCs w:val="24"/>
        </w:rPr>
        <w:t>distribution</w:t>
      </w:r>
      <w:r w:rsidR="00D31812">
        <w:rPr>
          <w:rFonts w:ascii="Arial" w:hAnsi="Arial" w:cs="Arial"/>
          <w:sz w:val="24"/>
          <w:szCs w:val="24"/>
        </w:rPr>
        <w:t xml:space="preserve"> service, it </w:t>
      </w:r>
      <w:r w:rsidR="00A64922">
        <w:rPr>
          <w:rFonts w:ascii="Arial" w:hAnsi="Arial" w:cs="Arial"/>
          <w:sz w:val="24"/>
          <w:szCs w:val="24"/>
        </w:rPr>
        <w:t xml:space="preserve">is properly </w:t>
      </w:r>
      <w:r w:rsidR="00C67B23">
        <w:rPr>
          <w:rFonts w:ascii="Arial" w:hAnsi="Arial" w:cs="Arial"/>
          <w:sz w:val="24"/>
          <w:szCs w:val="24"/>
        </w:rPr>
        <w:t>proposed in</w:t>
      </w:r>
      <w:r w:rsidR="006709EF">
        <w:rPr>
          <w:rFonts w:ascii="Arial" w:hAnsi="Arial" w:cs="Arial"/>
          <w:sz w:val="24"/>
          <w:szCs w:val="24"/>
        </w:rPr>
        <w:t xml:space="preserve"> distribution rates.</w:t>
      </w:r>
      <w:r w:rsidR="006709EF">
        <w:rPr>
          <w:rStyle w:val="FootnoteReference"/>
          <w:rFonts w:cs="Arial"/>
          <w:szCs w:val="24"/>
        </w:rPr>
        <w:footnoteReference w:id="35"/>
      </w:r>
      <w:r w:rsidR="005A36B3">
        <w:rPr>
          <w:rFonts w:ascii="Arial" w:hAnsi="Arial" w:cs="Arial"/>
          <w:sz w:val="24"/>
          <w:szCs w:val="24"/>
        </w:rPr>
        <w:t xml:space="preserve"> </w:t>
      </w:r>
      <w:r w:rsidR="00C06ECC">
        <w:rPr>
          <w:rFonts w:ascii="Arial" w:hAnsi="Arial" w:cs="Arial"/>
          <w:sz w:val="24"/>
          <w:szCs w:val="24"/>
        </w:rPr>
        <w:t xml:space="preserve">However, if the cost relates to </w:t>
      </w:r>
      <w:r w:rsidR="00856D7E">
        <w:rPr>
          <w:rFonts w:ascii="Arial" w:hAnsi="Arial" w:cs="Arial"/>
          <w:sz w:val="24"/>
          <w:szCs w:val="24"/>
        </w:rPr>
        <w:t xml:space="preserve">or </w:t>
      </w:r>
      <w:r w:rsidR="00C06ECC">
        <w:rPr>
          <w:rFonts w:ascii="Arial" w:hAnsi="Arial" w:cs="Arial"/>
          <w:sz w:val="24"/>
          <w:szCs w:val="24"/>
        </w:rPr>
        <w:t>supports AEP Ohio’s provision of competitive retail electric service</w:t>
      </w:r>
      <w:r w:rsidR="00674B9F">
        <w:rPr>
          <w:rFonts w:ascii="Arial" w:hAnsi="Arial" w:cs="Arial"/>
          <w:sz w:val="24"/>
          <w:szCs w:val="24"/>
        </w:rPr>
        <w:t xml:space="preserve"> – the SSO </w:t>
      </w:r>
      <w:r w:rsidR="00A94D35">
        <w:rPr>
          <w:rFonts w:ascii="Arial" w:hAnsi="Arial" w:cs="Arial"/>
          <w:sz w:val="24"/>
          <w:szCs w:val="24"/>
        </w:rPr>
        <w:t>–</w:t>
      </w:r>
      <w:r w:rsidR="00674B9F">
        <w:rPr>
          <w:rFonts w:ascii="Arial" w:hAnsi="Arial" w:cs="Arial"/>
          <w:sz w:val="24"/>
          <w:szCs w:val="24"/>
        </w:rPr>
        <w:t xml:space="preserve"> </w:t>
      </w:r>
      <w:r w:rsidR="00E95AE0">
        <w:rPr>
          <w:rFonts w:ascii="Arial" w:hAnsi="Arial" w:cs="Arial"/>
          <w:sz w:val="24"/>
          <w:szCs w:val="24"/>
        </w:rPr>
        <w:t>it</w:t>
      </w:r>
      <w:r w:rsidR="006624CC">
        <w:rPr>
          <w:rFonts w:ascii="Arial" w:hAnsi="Arial" w:cs="Arial"/>
          <w:sz w:val="24"/>
          <w:szCs w:val="24"/>
        </w:rPr>
        <w:t xml:space="preserve"> </w:t>
      </w:r>
      <w:r w:rsidR="00A94D35">
        <w:rPr>
          <w:rFonts w:ascii="Arial" w:hAnsi="Arial" w:cs="Arial"/>
          <w:sz w:val="24"/>
          <w:szCs w:val="24"/>
        </w:rPr>
        <w:t>must be removed from distribution rates.</w:t>
      </w:r>
      <w:r w:rsidR="00C2494F">
        <w:rPr>
          <w:rStyle w:val="FootnoteReference"/>
          <w:rFonts w:cs="Arial"/>
          <w:szCs w:val="24"/>
        </w:rPr>
        <w:footnoteReference w:id="36"/>
      </w:r>
      <w:r w:rsidR="00DC0E7C">
        <w:rPr>
          <w:rFonts w:ascii="Arial" w:hAnsi="Arial" w:cs="Arial"/>
          <w:sz w:val="24"/>
          <w:szCs w:val="24"/>
        </w:rPr>
        <w:t xml:space="preserve"> </w:t>
      </w:r>
      <w:r w:rsidR="008D3E03">
        <w:rPr>
          <w:rFonts w:ascii="Arial" w:hAnsi="Arial" w:cs="Arial"/>
          <w:sz w:val="24"/>
          <w:szCs w:val="24"/>
        </w:rPr>
        <w:t xml:space="preserve">If </w:t>
      </w:r>
      <w:r w:rsidR="00DC0E7C">
        <w:rPr>
          <w:rFonts w:ascii="Arial" w:hAnsi="Arial" w:cs="Arial"/>
          <w:sz w:val="24"/>
          <w:szCs w:val="24"/>
        </w:rPr>
        <w:t xml:space="preserve">AEP Ohio utilizes </w:t>
      </w:r>
      <w:r w:rsidR="000409D0">
        <w:rPr>
          <w:rFonts w:ascii="Arial" w:hAnsi="Arial" w:cs="Arial"/>
          <w:sz w:val="24"/>
          <w:szCs w:val="24"/>
        </w:rPr>
        <w:t xml:space="preserve">a </w:t>
      </w:r>
      <w:r w:rsidR="0074796D">
        <w:rPr>
          <w:rFonts w:ascii="Arial" w:hAnsi="Arial" w:cs="Arial"/>
          <w:sz w:val="24"/>
          <w:szCs w:val="24"/>
        </w:rPr>
        <w:t xml:space="preserve">resource </w:t>
      </w:r>
      <w:r w:rsidR="002E6F9C">
        <w:rPr>
          <w:rFonts w:ascii="Arial" w:hAnsi="Arial" w:cs="Arial"/>
          <w:sz w:val="24"/>
          <w:szCs w:val="24"/>
        </w:rPr>
        <w:t>or incurs an expense</w:t>
      </w:r>
      <w:r w:rsidR="0074796D">
        <w:rPr>
          <w:rFonts w:ascii="Arial" w:hAnsi="Arial" w:cs="Arial"/>
          <w:sz w:val="24"/>
          <w:szCs w:val="24"/>
        </w:rPr>
        <w:t xml:space="preserve"> to support </w:t>
      </w:r>
      <w:r w:rsidR="00766A24">
        <w:rPr>
          <w:rFonts w:ascii="Arial" w:hAnsi="Arial" w:cs="Arial"/>
          <w:sz w:val="24"/>
          <w:szCs w:val="24"/>
        </w:rPr>
        <w:t>both</w:t>
      </w:r>
      <w:r w:rsidR="0074796D">
        <w:rPr>
          <w:rFonts w:ascii="Arial" w:hAnsi="Arial" w:cs="Arial"/>
          <w:sz w:val="24"/>
          <w:szCs w:val="24"/>
        </w:rPr>
        <w:t xml:space="preserve"> its noncompetitive retail electric distribution service and its competitive retail electric service</w:t>
      </w:r>
      <w:r w:rsidR="008B3A32">
        <w:rPr>
          <w:rFonts w:ascii="Arial" w:hAnsi="Arial" w:cs="Arial"/>
          <w:sz w:val="24"/>
          <w:szCs w:val="24"/>
        </w:rPr>
        <w:t xml:space="preserve">, removal </w:t>
      </w:r>
      <w:r w:rsidR="00633EF5">
        <w:rPr>
          <w:rFonts w:ascii="Arial" w:hAnsi="Arial" w:cs="Arial"/>
          <w:sz w:val="24"/>
          <w:szCs w:val="24"/>
        </w:rPr>
        <w:t xml:space="preserve">of </w:t>
      </w:r>
      <w:r w:rsidR="00174C58">
        <w:rPr>
          <w:rFonts w:ascii="Arial" w:hAnsi="Arial" w:cs="Arial"/>
          <w:sz w:val="24"/>
          <w:szCs w:val="24"/>
        </w:rPr>
        <w:t>the competitive retail electric service</w:t>
      </w:r>
      <w:r w:rsidR="00633EF5">
        <w:rPr>
          <w:rFonts w:ascii="Arial" w:hAnsi="Arial" w:cs="Arial"/>
          <w:sz w:val="24"/>
          <w:szCs w:val="24"/>
        </w:rPr>
        <w:t xml:space="preserve"> costs </w:t>
      </w:r>
      <w:r w:rsidR="00E95AE0">
        <w:rPr>
          <w:rFonts w:ascii="Arial" w:hAnsi="Arial" w:cs="Arial"/>
          <w:sz w:val="24"/>
          <w:szCs w:val="24"/>
        </w:rPr>
        <w:t>is accomplished by</w:t>
      </w:r>
      <w:r w:rsidR="00633EF5">
        <w:rPr>
          <w:rFonts w:ascii="Arial" w:hAnsi="Arial" w:cs="Arial"/>
          <w:sz w:val="24"/>
          <w:szCs w:val="24"/>
        </w:rPr>
        <w:t xml:space="preserve"> allocati</w:t>
      </w:r>
      <w:r w:rsidR="00B20517">
        <w:rPr>
          <w:rFonts w:ascii="Arial" w:hAnsi="Arial" w:cs="Arial"/>
          <w:sz w:val="24"/>
          <w:szCs w:val="24"/>
        </w:rPr>
        <w:t>ng the cost</w:t>
      </w:r>
      <w:r w:rsidR="00ED5F64">
        <w:rPr>
          <w:rFonts w:ascii="Arial" w:hAnsi="Arial" w:cs="Arial"/>
          <w:sz w:val="24"/>
          <w:szCs w:val="24"/>
        </w:rPr>
        <w:t xml:space="preserve"> between the two </w:t>
      </w:r>
      <w:r w:rsidR="00B20517">
        <w:rPr>
          <w:rFonts w:ascii="Arial" w:hAnsi="Arial" w:cs="Arial"/>
          <w:sz w:val="24"/>
          <w:szCs w:val="24"/>
        </w:rPr>
        <w:t>service</w:t>
      </w:r>
      <w:r w:rsidR="00ED5F64">
        <w:rPr>
          <w:rFonts w:ascii="Arial" w:hAnsi="Arial" w:cs="Arial"/>
          <w:sz w:val="24"/>
          <w:szCs w:val="24"/>
        </w:rPr>
        <w:t>s</w:t>
      </w:r>
      <w:r w:rsidR="00633EF5">
        <w:rPr>
          <w:rFonts w:ascii="Arial" w:hAnsi="Arial" w:cs="Arial"/>
          <w:sz w:val="24"/>
          <w:szCs w:val="24"/>
        </w:rPr>
        <w:t>, just like a</w:t>
      </w:r>
      <w:r w:rsidR="002B73CE">
        <w:rPr>
          <w:rFonts w:ascii="Arial" w:hAnsi="Arial" w:cs="Arial"/>
          <w:sz w:val="24"/>
          <w:szCs w:val="24"/>
        </w:rPr>
        <w:t xml:space="preserve"> utility </w:t>
      </w:r>
      <w:r w:rsidR="00633EF5">
        <w:rPr>
          <w:rFonts w:ascii="Arial" w:hAnsi="Arial" w:cs="Arial"/>
          <w:sz w:val="24"/>
          <w:szCs w:val="24"/>
        </w:rPr>
        <w:t xml:space="preserve">allocates </w:t>
      </w:r>
      <w:r w:rsidR="00447455">
        <w:rPr>
          <w:rFonts w:ascii="Arial" w:hAnsi="Arial" w:cs="Arial"/>
          <w:sz w:val="24"/>
          <w:szCs w:val="24"/>
        </w:rPr>
        <w:t xml:space="preserve">the </w:t>
      </w:r>
      <w:r w:rsidR="00633EF5">
        <w:rPr>
          <w:rFonts w:ascii="Arial" w:hAnsi="Arial" w:cs="Arial"/>
          <w:sz w:val="24"/>
          <w:szCs w:val="24"/>
        </w:rPr>
        <w:t xml:space="preserve">costs </w:t>
      </w:r>
      <w:r w:rsidR="000E3F80">
        <w:rPr>
          <w:rFonts w:ascii="Arial" w:hAnsi="Arial" w:cs="Arial"/>
          <w:sz w:val="24"/>
          <w:szCs w:val="24"/>
        </w:rPr>
        <w:t xml:space="preserve">associated with </w:t>
      </w:r>
      <w:r w:rsidR="00363B32">
        <w:rPr>
          <w:rFonts w:ascii="Arial" w:hAnsi="Arial" w:cs="Arial"/>
          <w:sz w:val="24"/>
          <w:szCs w:val="24"/>
        </w:rPr>
        <w:t>an</w:t>
      </w:r>
      <w:r w:rsidR="001B1326">
        <w:rPr>
          <w:rFonts w:ascii="Arial" w:hAnsi="Arial" w:cs="Arial"/>
          <w:sz w:val="24"/>
          <w:szCs w:val="24"/>
        </w:rPr>
        <w:t xml:space="preserve"> </w:t>
      </w:r>
      <w:r w:rsidR="00ED5F64">
        <w:rPr>
          <w:rFonts w:ascii="Arial" w:hAnsi="Arial" w:cs="Arial"/>
          <w:sz w:val="24"/>
          <w:szCs w:val="24"/>
        </w:rPr>
        <w:t>asset</w:t>
      </w:r>
      <w:r w:rsidR="00447455">
        <w:rPr>
          <w:rFonts w:ascii="Arial" w:hAnsi="Arial" w:cs="Arial"/>
          <w:sz w:val="24"/>
          <w:szCs w:val="24"/>
        </w:rPr>
        <w:t xml:space="preserve"> if it</w:t>
      </w:r>
      <w:r w:rsidR="000E3F80">
        <w:rPr>
          <w:rFonts w:ascii="Arial" w:hAnsi="Arial" w:cs="Arial"/>
          <w:sz w:val="24"/>
          <w:szCs w:val="24"/>
        </w:rPr>
        <w:t xml:space="preserve"> </w:t>
      </w:r>
      <w:r w:rsidR="002328F1">
        <w:rPr>
          <w:rFonts w:ascii="Arial" w:hAnsi="Arial" w:cs="Arial"/>
          <w:sz w:val="24"/>
          <w:szCs w:val="24"/>
        </w:rPr>
        <w:t>is</w:t>
      </w:r>
      <w:r w:rsidR="000E3F80">
        <w:rPr>
          <w:rFonts w:ascii="Arial" w:hAnsi="Arial" w:cs="Arial"/>
          <w:sz w:val="24"/>
          <w:szCs w:val="24"/>
        </w:rPr>
        <w:t xml:space="preserve"> utilized by multiple </w:t>
      </w:r>
      <w:r w:rsidR="00447455">
        <w:rPr>
          <w:rFonts w:ascii="Arial" w:hAnsi="Arial" w:cs="Arial"/>
          <w:sz w:val="24"/>
          <w:szCs w:val="24"/>
        </w:rPr>
        <w:t xml:space="preserve">service </w:t>
      </w:r>
      <w:r w:rsidR="000E3F80">
        <w:rPr>
          <w:rFonts w:ascii="Arial" w:hAnsi="Arial" w:cs="Arial"/>
          <w:sz w:val="24"/>
          <w:szCs w:val="24"/>
        </w:rPr>
        <w:t>territories.</w:t>
      </w:r>
    </w:p>
    <w:p w14:paraId="7DF86479" w14:textId="4746F737" w:rsidR="00CC23FD" w:rsidRDefault="00A070A3" w:rsidP="003D2291">
      <w:pPr>
        <w:spacing w:line="480" w:lineRule="auto"/>
        <w:ind w:firstLine="720"/>
        <w:jc w:val="both"/>
        <w:rPr>
          <w:rFonts w:ascii="Arial" w:hAnsi="Arial" w:cs="Arial"/>
          <w:sz w:val="24"/>
          <w:szCs w:val="24"/>
        </w:rPr>
      </w:pPr>
      <w:r>
        <w:rPr>
          <w:rFonts w:ascii="Arial" w:hAnsi="Arial" w:cs="Arial"/>
          <w:sz w:val="24"/>
          <w:szCs w:val="24"/>
        </w:rPr>
        <w:t>The netting process</w:t>
      </w:r>
      <w:r w:rsidR="00EA6BC3">
        <w:rPr>
          <w:rFonts w:ascii="Arial" w:hAnsi="Arial" w:cs="Arial"/>
          <w:sz w:val="24"/>
          <w:szCs w:val="24"/>
        </w:rPr>
        <w:t xml:space="preserve"> accepted by AEP Ohio and the Staff Report</w:t>
      </w:r>
      <w:r>
        <w:rPr>
          <w:rFonts w:ascii="Arial" w:hAnsi="Arial" w:cs="Arial"/>
          <w:sz w:val="24"/>
          <w:szCs w:val="24"/>
        </w:rPr>
        <w:t xml:space="preserve"> instead focuses on the </w:t>
      </w:r>
      <w:r w:rsidR="00634713">
        <w:rPr>
          <w:rFonts w:ascii="Arial" w:hAnsi="Arial" w:cs="Arial"/>
          <w:sz w:val="24"/>
          <w:szCs w:val="24"/>
        </w:rPr>
        <w:t>costs as they relate to types of customers</w:t>
      </w:r>
      <w:r w:rsidR="001B1326">
        <w:rPr>
          <w:rFonts w:ascii="Arial" w:hAnsi="Arial" w:cs="Arial"/>
          <w:sz w:val="24"/>
          <w:szCs w:val="24"/>
        </w:rPr>
        <w:t xml:space="preserve"> – non</w:t>
      </w:r>
      <w:r w:rsidR="008343E6">
        <w:rPr>
          <w:rFonts w:ascii="Arial" w:hAnsi="Arial" w:cs="Arial"/>
          <w:sz w:val="24"/>
          <w:szCs w:val="24"/>
        </w:rPr>
        <w:t>-</w:t>
      </w:r>
      <w:r w:rsidR="001B1326">
        <w:rPr>
          <w:rFonts w:ascii="Arial" w:hAnsi="Arial" w:cs="Arial"/>
          <w:sz w:val="24"/>
          <w:szCs w:val="24"/>
        </w:rPr>
        <w:t xml:space="preserve">shopping </w:t>
      </w:r>
      <w:r w:rsidR="00AA70F5">
        <w:rPr>
          <w:rFonts w:ascii="Arial" w:hAnsi="Arial" w:cs="Arial"/>
          <w:sz w:val="24"/>
          <w:szCs w:val="24"/>
        </w:rPr>
        <w:t xml:space="preserve">vs. </w:t>
      </w:r>
      <w:r w:rsidR="001B1326">
        <w:rPr>
          <w:rFonts w:ascii="Arial" w:hAnsi="Arial" w:cs="Arial"/>
          <w:sz w:val="24"/>
          <w:szCs w:val="24"/>
        </w:rPr>
        <w:t>shopping customers</w:t>
      </w:r>
      <w:r w:rsidR="00634713">
        <w:rPr>
          <w:rFonts w:ascii="Arial" w:hAnsi="Arial" w:cs="Arial"/>
          <w:sz w:val="24"/>
          <w:szCs w:val="24"/>
        </w:rPr>
        <w:t xml:space="preserve">. </w:t>
      </w:r>
      <w:r w:rsidR="001074FC">
        <w:rPr>
          <w:rFonts w:ascii="Arial" w:hAnsi="Arial" w:cs="Arial"/>
          <w:sz w:val="24"/>
          <w:szCs w:val="24"/>
        </w:rPr>
        <w:t xml:space="preserve"> </w:t>
      </w:r>
      <w:r w:rsidR="00AA70F5">
        <w:rPr>
          <w:rFonts w:ascii="Arial" w:hAnsi="Arial" w:cs="Arial"/>
          <w:sz w:val="24"/>
          <w:szCs w:val="24"/>
        </w:rPr>
        <w:t>This is incorrect</w:t>
      </w:r>
      <w:r w:rsidR="00EE5684">
        <w:rPr>
          <w:rFonts w:ascii="Arial" w:hAnsi="Arial" w:cs="Arial"/>
          <w:sz w:val="24"/>
          <w:szCs w:val="24"/>
        </w:rPr>
        <w:t xml:space="preserve"> for purposes of unbundling</w:t>
      </w:r>
      <w:r w:rsidR="00AA70F5">
        <w:rPr>
          <w:rFonts w:ascii="Arial" w:hAnsi="Arial" w:cs="Arial"/>
          <w:sz w:val="24"/>
          <w:szCs w:val="24"/>
        </w:rPr>
        <w:t xml:space="preserve">. </w:t>
      </w:r>
      <w:r w:rsidR="005873AB">
        <w:rPr>
          <w:rFonts w:ascii="Arial" w:hAnsi="Arial" w:cs="Arial"/>
          <w:sz w:val="24"/>
          <w:szCs w:val="24"/>
        </w:rPr>
        <w:t xml:space="preserve">When AEP Ohio incurs </w:t>
      </w:r>
      <w:r w:rsidR="00CD6847">
        <w:rPr>
          <w:rFonts w:ascii="Arial" w:hAnsi="Arial" w:cs="Arial"/>
          <w:sz w:val="24"/>
          <w:szCs w:val="24"/>
        </w:rPr>
        <w:t xml:space="preserve">costs </w:t>
      </w:r>
      <w:r w:rsidR="00CD5BB6">
        <w:rPr>
          <w:rFonts w:ascii="Arial" w:hAnsi="Arial" w:cs="Arial"/>
          <w:sz w:val="24"/>
          <w:szCs w:val="24"/>
        </w:rPr>
        <w:t>“</w:t>
      </w:r>
      <w:r w:rsidR="005873AB">
        <w:rPr>
          <w:rFonts w:ascii="Arial" w:hAnsi="Arial" w:cs="Arial"/>
          <w:sz w:val="24"/>
          <w:szCs w:val="24"/>
        </w:rPr>
        <w:t xml:space="preserve">related to </w:t>
      </w:r>
      <w:r w:rsidR="00AA0D2D">
        <w:rPr>
          <w:rFonts w:ascii="Arial" w:hAnsi="Arial" w:cs="Arial"/>
          <w:sz w:val="24"/>
          <w:szCs w:val="24"/>
        </w:rPr>
        <w:t xml:space="preserve">the </w:t>
      </w:r>
      <w:r w:rsidR="00CD6847">
        <w:rPr>
          <w:rFonts w:ascii="Arial" w:hAnsi="Arial" w:cs="Arial"/>
          <w:sz w:val="24"/>
          <w:szCs w:val="24"/>
        </w:rPr>
        <w:lastRenderedPageBreak/>
        <w:t>shopping customers</w:t>
      </w:r>
      <w:r w:rsidR="00CD5BB6">
        <w:rPr>
          <w:rFonts w:ascii="Arial" w:hAnsi="Arial" w:cs="Arial"/>
          <w:sz w:val="24"/>
          <w:szCs w:val="24"/>
        </w:rPr>
        <w:t>”</w:t>
      </w:r>
      <w:r w:rsidR="00CD6847">
        <w:rPr>
          <w:rFonts w:ascii="Arial" w:hAnsi="Arial" w:cs="Arial"/>
          <w:sz w:val="24"/>
          <w:szCs w:val="24"/>
        </w:rPr>
        <w:t xml:space="preserve"> or the </w:t>
      </w:r>
      <w:r w:rsidR="00AA0D2D">
        <w:rPr>
          <w:rFonts w:ascii="Arial" w:hAnsi="Arial" w:cs="Arial"/>
          <w:sz w:val="24"/>
          <w:szCs w:val="24"/>
        </w:rPr>
        <w:t xml:space="preserve">facilitation of retail electric choice, </w:t>
      </w:r>
      <w:r w:rsidR="00B70610" w:rsidRPr="00B70610">
        <w:rPr>
          <w:rFonts w:ascii="Arial" w:hAnsi="Arial" w:cs="Arial"/>
          <w:sz w:val="24"/>
          <w:szCs w:val="24"/>
        </w:rPr>
        <w:t xml:space="preserve">it is because </w:t>
      </w:r>
      <w:r w:rsidR="00672CBB">
        <w:rPr>
          <w:rFonts w:ascii="Arial" w:hAnsi="Arial" w:cs="Arial"/>
          <w:sz w:val="24"/>
          <w:szCs w:val="24"/>
        </w:rPr>
        <w:t>AEP Ohio</w:t>
      </w:r>
      <w:r w:rsidR="00672CBB" w:rsidRPr="00B70610">
        <w:rPr>
          <w:rFonts w:ascii="Arial" w:hAnsi="Arial" w:cs="Arial"/>
          <w:sz w:val="24"/>
          <w:szCs w:val="24"/>
        </w:rPr>
        <w:t xml:space="preserve"> </w:t>
      </w:r>
      <w:r w:rsidR="00B70610" w:rsidRPr="00B70610">
        <w:rPr>
          <w:rFonts w:ascii="Arial" w:hAnsi="Arial" w:cs="Arial"/>
          <w:sz w:val="24"/>
          <w:szCs w:val="24"/>
        </w:rPr>
        <w:t xml:space="preserve">is the </w:t>
      </w:r>
      <w:r w:rsidR="00B70610" w:rsidRPr="00234A01">
        <w:rPr>
          <w:rFonts w:ascii="Arial" w:hAnsi="Arial" w:cs="Arial"/>
          <w:sz w:val="24"/>
          <w:szCs w:val="24"/>
        </w:rPr>
        <w:t xml:space="preserve">only entity that can provide the </w:t>
      </w:r>
      <w:r w:rsidR="007E19AB">
        <w:rPr>
          <w:rFonts w:ascii="Arial" w:hAnsi="Arial" w:cs="Arial"/>
          <w:sz w:val="24"/>
          <w:szCs w:val="24"/>
        </w:rPr>
        <w:t>function</w:t>
      </w:r>
      <w:r w:rsidR="0082755B" w:rsidRPr="00234A01">
        <w:rPr>
          <w:rFonts w:ascii="Arial" w:hAnsi="Arial" w:cs="Arial"/>
          <w:sz w:val="24"/>
          <w:szCs w:val="24"/>
        </w:rPr>
        <w:t xml:space="preserve">. </w:t>
      </w:r>
      <w:r w:rsidR="009C67BD" w:rsidRPr="00234A01">
        <w:rPr>
          <w:rFonts w:ascii="Arial" w:hAnsi="Arial" w:cs="Arial"/>
          <w:sz w:val="24"/>
          <w:szCs w:val="24"/>
        </w:rPr>
        <w:t>For example, a</w:t>
      </w:r>
      <w:r w:rsidR="00176B99" w:rsidRPr="00234A01">
        <w:rPr>
          <w:rFonts w:ascii="Arial" w:hAnsi="Arial" w:cs="Arial"/>
          <w:sz w:val="24"/>
          <w:szCs w:val="24"/>
        </w:rPr>
        <w:t xml:space="preserve"> CRES provider cannot</w:t>
      </w:r>
      <w:r w:rsidR="00970312">
        <w:rPr>
          <w:rFonts w:ascii="Arial" w:hAnsi="Arial" w:cs="Arial"/>
          <w:sz w:val="24"/>
          <w:szCs w:val="24"/>
        </w:rPr>
        <w:t xml:space="preserve"> single-handedly facilitate the</w:t>
      </w:r>
      <w:r w:rsidR="00176B99" w:rsidRPr="00234A01">
        <w:rPr>
          <w:rFonts w:ascii="Arial" w:hAnsi="Arial" w:cs="Arial"/>
          <w:sz w:val="24"/>
          <w:szCs w:val="24"/>
        </w:rPr>
        <w:t xml:space="preserve"> enroll</w:t>
      </w:r>
      <w:r w:rsidR="00970312">
        <w:rPr>
          <w:rFonts w:ascii="Arial" w:hAnsi="Arial" w:cs="Arial"/>
          <w:sz w:val="24"/>
          <w:szCs w:val="24"/>
        </w:rPr>
        <w:t>ment of</w:t>
      </w:r>
      <w:r w:rsidR="00176B99" w:rsidRPr="00234A01">
        <w:rPr>
          <w:rFonts w:ascii="Arial" w:hAnsi="Arial" w:cs="Arial"/>
          <w:sz w:val="24"/>
          <w:szCs w:val="24"/>
        </w:rPr>
        <w:t xml:space="preserve"> a customer or retrieve </w:t>
      </w:r>
      <w:r w:rsidR="00D26B4E">
        <w:rPr>
          <w:rFonts w:ascii="Arial" w:hAnsi="Arial" w:cs="Arial"/>
          <w:sz w:val="24"/>
          <w:szCs w:val="24"/>
        </w:rPr>
        <w:t xml:space="preserve">customer </w:t>
      </w:r>
      <w:r w:rsidR="00176B99" w:rsidRPr="00234A01">
        <w:rPr>
          <w:rFonts w:ascii="Arial" w:hAnsi="Arial" w:cs="Arial"/>
          <w:sz w:val="24"/>
          <w:szCs w:val="24"/>
        </w:rPr>
        <w:t>usage information</w:t>
      </w:r>
      <w:r w:rsidR="00BE3C21" w:rsidRPr="00234A01">
        <w:rPr>
          <w:rFonts w:ascii="Arial" w:hAnsi="Arial" w:cs="Arial"/>
          <w:sz w:val="24"/>
          <w:szCs w:val="24"/>
        </w:rPr>
        <w:t xml:space="preserve">. </w:t>
      </w:r>
      <w:r w:rsidR="00083A15" w:rsidRPr="00234A01">
        <w:rPr>
          <w:rFonts w:ascii="Arial" w:hAnsi="Arial" w:cs="Arial"/>
          <w:sz w:val="24"/>
          <w:szCs w:val="24"/>
        </w:rPr>
        <w:t>It must rely on AEP Ohio</w:t>
      </w:r>
      <w:r w:rsidR="00652C3B" w:rsidRPr="00234A01">
        <w:rPr>
          <w:rFonts w:ascii="Arial" w:hAnsi="Arial" w:cs="Arial"/>
          <w:sz w:val="24"/>
          <w:szCs w:val="24"/>
        </w:rPr>
        <w:t>, the distribution service provider,</w:t>
      </w:r>
      <w:r w:rsidR="00083A15" w:rsidRPr="00234A01">
        <w:rPr>
          <w:rFonts w:ascii="Arial" w:hAnsi="Arial" w:cs="Arial"/>
          <w:sz w:val="24"/>
          <w:szCs w:val="24"/>
        </w:rPr>
        <w:t xml:space="preserve"> to </w:t>
      </w:r>
      <w:r w:rsidR="00DE2562" w:rsidRPr="00234A01">
        <w:rPr>
          <w:rFonts w:ascii="Arial" w:hAnsi="Arial" w:cs="Arial"/>
          <w:sz w:val="24"/>
          <w:szCs w:val="24"/>
        </w:rPr>
        <w:t xml:space="preserve">perform these functions. </w:t>
      </w:r>
      <w:r w:rsidR="006260E8" w:rsidRPr="00234A01">
        <w:rPr>
          <w:rFonts w:ascii="Arial" w:hAnsi="Arial" w:cs="Arial"/>
          <w:sz w:val="24"/>
          <w:szCs w:val="24"/>
        </w:rPr>
        <w:t xml:space="preserve">AEP Ohio is simply serving as the system gatekeeper as part of its distribution </w:t>
      </w:r>
      <w:r w:rsidR="004E7455">
        <w:rPr>
          <w:rFonts w:ascii="Arial" w:hAnsi="Arial" w:cs="Arial"/>
          <w:sz w:val="24"/>
          <w:szCs w:val="24"/>
        </w:rPr>
        <w:t>service</w:t>
      </w:r>
      <w:r w:rsidR="006260E8" w:rsidRPr="00234A01">
        <w:rPr>
          <w:rFonts w:ascii="Arial" w:hAnsi="Arial" w:cs="Arial"/>
          <w:sz w:val="24"/>
          <w:szCs w:val="24"/>
        </w:rPr>
        <w:t xml:space="preserve">. </w:t>
      </w:r>
      <w:r w:rsidR="005D28A1" w:rsidRPr="00234A01">
        <w:rPr>
          <w:rFonts w:ascii="Arial" w:hAnsi="Arial" w:cs="Arial"/>
          <w:sz w:val="24"/>
          <w:szCs w:val="24"/>
        </w:rPr>
        <w:t>T</w:t>
      </w:r>
      <w:r w:rsidR="006A5612">
        <w:rPr>
          <w:rFonts w:ascii="Arial" w:hAnsi="Arial" w:cs="Arial"/>
          <w:sz w:val="24"/>
          <w:szCs w:val="24"/>
        </w:rPr>
        <w:t>h</w:t>
      </w:r>
      <w:r w:rsidR="005D28A1" w:rsidRPr="00234A01">
        <w:rPr>
          <w:rFonts w:ascii="Arial" w:hAnsi="Arial" w:cs="Arial"/>
          <w:sz w:val="24"/>
          <w:szCs w:val="24"/>
        </w:rPr>
        <w:t>ese functions of retail choice are</w:t>
      </w:r>
      <w:r w:rsidR="00CC23FD" w:rsidRPr="00234A01">
        <w:rPr>
          <w:rFonts w:ascii="Arial" w:hAnsi="Arial" w:cs="Arial"/>
          <w:sz w:val="24"/>
          <w:szCs w:val="24"/>
        </w:rPr>
        <w:t xml:space="preserve"> truly noncompetitive </w:t>
      </w:r>
      <w:r w:rsidR="00AE05D2">
        <w:rPr>
          <w:rFonts w:ascii="Arial" w:hAnsi="Arial" w:cs="Arial"/>
          <w:sz w:val="24"/>
          <w:szCs w:val="24"/>
        </w:rPr>
        <w:t xml:space="preserve">services </w:t>
      </w:r>
      <w:r w:rsidR="00CC23FD" w:rsidRPr="00234A01">
        <w:rPr>
          <w:rFonts w:ascii="Arial" w:hAnsi="Arial" w:cs="Arial"/>
          <w:sz w:val="24"/>
          <w:szCs w:val="24"/>
        </w:rPr>
        <w:t xml:space="preserve">inasmuch as no other entity can provide them. </w:t>
      </w:r>
      <w:r w:rsidR="00BD330A" w:rsidRPr="00234A01">
        <w:rPr>
          <w:rFonts w:ascii="Arial" w:hAnsi="Arial" w:cs="Arial"/>
          <w:sz w:val="24"/>
          <w:szCs w:val="24"/>
        </w:rPr>
        <w:t xml:space="preserve">Therefore, these monopoly services are </w:t>
      </w:r>
      <w:proofErr w:type="gramStart"/>
      <w:r w:rsidR="00BD330A" w:rsidRPr="00234A01">
        <w:rPr>
          <w:rFonts w:ascii="Arial" w:hAnsi="Arial" w:cs="Arial"/>
          <w:sz w:val="24"/>
          <w:szCs w:val="24"/>
        </w:rPr>
        <w:t>distribution-related</w:t>
      </w:r>
      <w:proofErr w:type="gramEnd"/>
      <w:r w:rsidR="00BD330A" w:rsidRPr="00234A01">
        <w:rPr>
          <w:rFonts w:ascii="Arial" w:hAnsi="Arial" w:cs="Arial"/>
          <w:sz w:val="24"/>
          <w:szCs w:val="24"/>
        </w:rPr>
        <w:t>.</w:t>
      </w:r>
    </w:p>
    <w:p w14:paraId="5E823111" w14:textId="77777777" w:rsidR="005856A0" w:rsidRDefault="00A3566D">
      <w:pPr>
        <w:spacing w:line="480" w:lineRule="auto"/>
        <w:jc w:val="both"/>
        <w:rPr>
          <w:rFonts w:ascii="Arial" w:hAnsi="Arial" w:cs="Arial"/>
          <w:sz w:val="24"/>
          <w:szCs w:val="24"/>
        </w:rPr>
      </w:pPr>
      <w:r>
        <w:rPr>
          <w:rFonts w:ascii="Arial" w:hAnsi="Arial" w:cs="Arial"/>
          <w:sz w:val="24"/>
          <w:szCs w:val="24"/>
        </w:rPr>
        <w:tab/>
        <w:t>Likewise, the SSO must</w:t>
      </w:r>
      <w:r w:rsidR="00834099">
        <w:rPr>
          <w:rFonts w:ascii="Arial" w:hAnsi="Arial" w:cs="Arial"/>
          <w:sz w:val="24"/>
          <w:szCs w:val="24"/>
        </w:rPr>
        <w:t xml:space="preserve"> also</w:t>
      </w:r>
      <w:r w:rsidR="007813B3">
        <w:rPr>
          <w:rFonts w:ascii="Arial" w:hAnsi="Arial" w:cs="Arial"/>
          <w:sz w:val="24"/>
          <w:szCs w:val="24"/>
        </w:rPr>
        <w:t xml:space="preserve"> </w:t>
      </w:r>
      <w:r w:rsidR="00AC1622">
        <w:rPr>
          <w:rFonts w:ascii="Arial" w:hAnsi="Arial" w:cs="Arial"/>
          <w:sz w:val="24"/>
          <w:szCs w:val="24"/>
        </w:rPr>
        <w:t xml:space="preserve">rely on AEP Ohio, in its role as the distribution service provider, to </w:t>
      </w:r>
      <w:r w:rsidR="00A67E3B">
        <w:rPr>
          <w:rFonts w:ascii="Arial" w:hAnsi="Arial" w:cs="Arial"/>
          <w:sz w:val="24"/>
          <w:szCs w:val="24"/>
        </w:rPr>
        <w:t xml:space="preserve">provide </w:t>
      </w:r>
      <w:r w:rsidR="007E19AB">
        <w:rPr>
          <w:rFonts w:ascii="Arial" w:hAnsi="Arial" w:cs="Arial"/>
          <w:sz w:val="24"/>
          <w:szCs w:val="24"/>
        </w:rPr>
        <w:t xml:space="preserve">the same </w:t>
      </w:r>
      <w:r w:rsidR="00A67E3B">
        <w:rPr>
          <w:rFonts w:ascii="Arial" w:hAnsi="Arial" w:cs="Arial"/>
          <w:sz w:val="24"/>
          <w:szCs w:val="24"/>
        </w:rPr>
        <w:t xml:space="preserve">functions to facilitate the SSO, like </w:t>
      </w:r>
      <w:r w:rsidR="00AC1622">
        <w:rPr>
          <w:rFonts w:ascii="Arial" w:hAnsi="Arial" w:cs="Arial"/>
          <w:sz w:val="24"/>
          <w:szCs w:val="24"/>
        </w:rPr>
        <w:t>complet</w:t>
      </w:r>
      <w:r w:rsidR="00A67E3B">
        <w:rPr>
          <w:rFonts w:ascii="Arial" w:hAnsi="Arial" w:cs="Arial"/>
          <w:sz w:val="24"/>
          <w:szCs w:val="24"/>
        </w:rPr>
        <w:t>ing</w:t>
      </w:r>
      <w:r w:rsidR="00AC1622">
        <w:rPr>
          <w:rFonts w:ascii="Arial" w:hAnsi="Arial" w:cs="Arial"/>
          <w:sz w:val="24"/>
          <w:szCs w:val="24"/>
        </w:rPr>
        <w:t xml:space="preserve"> enrollments and </w:t>
      </w:r>
      <w:r w:rsidR="00302BA9">
        <w:rPr>
          <w:rFonts w:ascii="Arial" w:hAnsi="Arial" w:cs="Arial"/>
          <w:sz w:val="24"/>
          <w:szCs w:val="24"/>
        </w:rPr>
        <w:t>retrieving customer data</w:t>
      </w:r>
      <w:r w:rsidR="002426DE">
        <w:rPr>
          <w:rFonts w:ascii="Arial" w:hAnsi="Arial" w:cs="Arial"/>
          <w:sz w:val="24"/>
          <w:szCs w:val="24"/>
        </w:rPr>
        <w:t>,</w:t>
      </w:r>
      <w:r w:rsidR="002560BA">
        <w:rPr>
          <w:rFonts w:ascii="Arial" w:hAnsi="Arial" w:cs="Arial"/>
          <w:sz w:val="24"/>
          <w:szCs w:val="24"/>
        </w:rPr>
        <w:t xml:space="preserve"> because AEP Ohio is the only entity that can provide t</w:t>
      </w:r>
      <w:r w:rsidR="00994B49">
        <w:rPr>
          <w:rFonts w:ascii="Arial" w:hAnsi="Arial" w:cs="Arial"/>
          <w:sz w:val="24"/>
          <w:szCs w:val="24"/>
        </w:rPr>
        <w:t>hese noncompetitive functions</w:t>
      </w:r>
      <w:r w:rsidR="002560BA">
        <w:rPr>
          <w:rFonts w:ascii="Arial" w:hAnsi="Arial" w:cs="Arial"/>
          <w:sz w:val="24"/>
          <w:szCs w:val="24"/>
        </w:rPr>
        <w:t>.</w:t>
      </w:r>
      <w:r w:rsidR="00302BA9">
        <w:rPr>
          <w:rFonts w:ascii="Arial" w:hAnsi="Arial" w:cs="Arial"/>
          <w:sz w:val="24"/>
          <w:szCs w:val="24"/>
        </w:rPr>
        <w:t xml:space="preserve"> </w:t>
      </w:r>
    </w:p>
    <w:p w14:paraId="283946A7" w14:textId="31587501" w:rsidR="00EC7F14" w:rsidRDefault="00680DF4">
      <w:pPr>
        <w:spacing w:line="480" w:lineRule="auto"/>
        <w:ind w:firstLine="720"/>
        <w:jc w:val="both"/>
        <w:rPr>
          <w:rFonts w:ascii="Arial" w:hAnsi="Arial" w:cs="Arial"/>
          <w:sz w:val="24"/>
          <w:szCs w:val="24"/>
        </w:rPr>
      </w:pPr>
      <w:r>
        <w:rPr>
          <w:rFonts w:ascii="Arial" w:hAnsi="Arial" w:cs="Arial"/>
          <w:sz w:val="24"/>
          <w:szCs w:val="24"/>
        </w:rPr>
        <w:t>The</w:t>
      </w:r>
      <w:r w:rsidR="00B70610" w:rsidRPr="00234A01">
        <w:rPr>
          <w:rFonts w:ascii="Arial" w:hAnsi="Arial" w:cs="Arial"/>
          <w:sz w:val="24"/>
          <w:szCs w:val="24"/>
        </w:rPr>
        <w:t xml:space="preserve"> proposed </w:t>
      </w:r>
      <w:r w:rsidR="006258F4">
        <w:rPr>
          <w:rFonts w:ascii="Arial" w:hAnsi="Arial" w:cs="Arial"/>
          <w:sz w:val="24"/>
          <w:szCs w:val="24"/>
        </w:rPr>
        <w:t>netting</w:t>
      </w:r>
      <w:r w:rsidR="00B70610" w:rsidRPr="00234A01">
        <w:rPr>
          <w:rFonts w:ascii="Arial" w:hAnsi="Arial" w:cs="Arial"/>
          <w:sz w:val="24"/>
          <w:szCs w:val="24"/>
        </w:rPr>
        <w:t xml:space="preserve"> framework </w:t>
      </w:r>
      <w:r w:rsidR="0036224F" w:rsidRPr="00234A01">
        <w:rPr>
          <w:rFonts w:ascii="Arial" w:hAnsi="Arial" w:cs="Arial"/>
          <w:sz w:val="24"/>
          <w:szCs w:val="24"/>
        </w:rPr>
        <w:t>pr</w:t>
      </w:r>
      <w:r w:rsidR="0036224F">
        <w:rPr>
          <w:rFonts w:ascii="Arial" w:hAnsi="Arial" w:cs="Arial"/>
          <w:sz w:val="24"/>
          <w:szCs w:val="24"/>
        </w:rPr>
        <w:t>esent</w:t>
      </w:r>
      <w:r w:rsidR="0036224F" w:rsidRPr="00234A01">
        <w:rPr>
          <w:rFonts w:ascii="Arial" w:hAnsi="Arial" w:cs="Arial"/>
          <w:sz w:val="24"/>
          <w:szCs w:val="24"/>
        </w:rPr>
        <w:t xml:space="preserve">s </w:t>
      </w:r>
      <w:r w:rsidR="00B70610" w:rsidRPr="00234A01">
        <w:rPr>
          <w:rFonts w:ascii="Arial" w:hAnsi="Arial" w:cs="Arial"/>
          <w:sz w:val="24"/>
          <w:szCs w:val="24"/>
        </w:rPr>
        <w:t>a flawed apples-to-oranges comparison that fails to justify subsidizing competitive services under the Commission’s traditional statutory authority.</w:t>
      </w:r>
    </w:p>
    <w:p w14:paraId="27810E6B" w14:textId="0886D1ED" w:rsidR="00937578" w:rsidRPr="00A73252" w:rsidRDefault="004B07EC" w:rsidP="00937578">
      <w:pPr>
        <w:pStyle w:val="Heading2"/>
      </w:pPr>
      <w:bookmarkStart w:id="9" w:name="_Toc59086431"/>
      <w:bookmarkStart w:id="10" w:name="_Toc59086486"/>
      <w:bookmarkStart w:id="11" w:name="_Toc59086432"/>
      <w:bookmarkStart w:id="12" w:name="_Toc59086487"/>
      <w:bookmarkStart w:id="13" w:name="_Toc59086433"/>
      <w:bookmarkStart w:id="14" w:name="_Toc59086488"/>
      <w:bookmarkStart w:id="15" w:name="_Toc59086434"/>
      <w:bookmarkStart w:id="16" w:name="_Toc59086489"/>
      <w:bookmarkStart w:id="17" w:name="_Toc59086435"/>
      <w:bookmarkStart w:id="18" w:name="_Toc59086490"/>
      <w:bookmarkStart w:id="19" w:name="_Toc59086436"/>
      <w:bookmarkStart w:id="20" w:name="_Toc59086491"/>
      <w:bookmarkStart w:id="21" w:name="_Toc59086437"/>
      <w:bookmarkStart w:id="22" w:name="_Toc59086492"/>
      <w:bookmarkStart w:id="23" w:name="_Toc59086438"/>
      <w:bookmarkStart w:id="24" w:name="_Toc59086493"/>
      <w:bookmarkStart w:id="25" w:name="_Toc59086439"/>
      <w:bookmarkStart w:id="26" w:name="_Toc59086494"/>
      <w:bookmarkStart w:id="27" w:name="_Toc59115663"/>
      <w:bookmarkStart w:id="28" w:name="_Toc59174657"/>
      <w:bookmarkStart w:id="29" w:name="_Toc59115664"/>
      <w:bookmarkStart w:id="30" w:name="_Toc59174658"/>
      <w:bookmarkStart w:id="31" w:name="_Toc59115665"/>
      <w:bookmarkStart w:id="32" w:name="_Toc59174659"/>
      <w:bookmarkStart w:id="33" w:name="_Toc5919484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ED3923">
        <w:t xml:space="preserve">The Staff Report </w:t>
      </w:r>
      <w:r w:rsidRPr="00A73252">
        <w:t xml:space="preserve">fails to </w:t>
      </w:r>
      <w:r w:rsidR="000A1F59" w:rsidRPr="00AD2318">
        <w:t>address the various fees that CRES providers</w:t>
      </w:r>
      <w:r w:rsidR="00ED3923" w:rsidRPr="00AD2318">
        <w:t xml:space="preserve"> provide to AEP Ohio for performing distribution</w:t>
      </w:r>
      <w:r w:rsidR="00AA4252">
        <w:t xml:space="preserve"> service</w:t>
      </w:r>
      <w:r w:rsidR="00ED3923" w:rsidRPr="00AD2318">
        <w:t xml:space="preserve"> functions</w:t>
      </w:r>
      <w:r w:rsidR="008B433A">
        <w:t xml:space="preserve"> to determine if AEP</w:t>
      </w:r>
      <w:r w:rsidR="009073B0">
        <w:t xml:space="preserve"> </w:t>
      </w:r>
      <w:r w:rsidR="008B433A">
        <w:t>Ohio is over-recovering its costs for providing those functions and whether</w:t>
      </w:r>
      <w:r w:rsidR="00A54310">
        <w:t xml:space="preserve"> the</w:t>
      </w:r>
      <w:r w:rsidR="008B433A">
        <w:t xml:space="preserve"> charges are discriminatory</w:t>
      </w:r>
      <w:r w:rsidR="00ED3923" w:rsidRPr="00AD2318">
        <w:t>.</w:t>
      </w:r>
      <w:bookmarkEnd w:id="33"/>
      <w:r w:rsidR="00035767" w:rsidRPr="00A73252">
        <w:t xml:space="preserve"> </w:t>
      </w:r>
    </w:p>
    <w:p w14:paraId="41517CE5" w14:textId="47B8827B" w:rsidR="009E3DD3" w:rsidRDefault="009E3DD3" w:rsidP="009E3DD3"/>
    <w:p w14:paraId="10CA0C65" w14:textId="6D5A3CFD" w:rsidR="00CC6AB6" w:rsidRDefault="00112D80" w:rsidP="00774287">
      <w:pPr>
        <w:spacing w:line="480" w:lineRule="auto"/>
        <w:ind w:firstLine="720"/>
        <w:jc w:val="both"/>
        <w:rPr>
          <w:rFonts w:ascii="Arial" w:hAnsi="Arial" w:cs="Arial"/>
          <w:sz w:val="24"/>
        </w:rPr>
      </w:pPr>
      <w:r w:rsidRPr="00AD2318">
        <w:rPr>
          <w:rFonts w:ascii="Arial" w:hAnsi="Arial" w:cs="Arial"/>
          <w:sz w:val="24"/>
        </w:rPr>
        <w:t xml:space="preserve">IGS objects to the Staff Report’s failure to address the various fees that CRES providers </w:t>
      </w:r>
      <w:r w:rsidR="00FF59A9" w:rsidRPr="00AD2318">
        <w:rPr>
          <w:rFonts w:ascii="Arial" w:hAnsi="Arial" w:cs="Arial"/>
          <w:sz w:val="24"/>
        </w:rPr>
        <w:t>provide to AEP Ohio. Specifically,</w:t>
      </w:r>
      <w:r w:rsidR="00947E57">
        <w:rPr>
          <w:rFonts w:ascii="Arial" w:hAnsi="Arial" w:cs="Arial"/>
          <w:sz w:val="24"/>
        </w:rPr>
        <w:t xml:space="preserve"> </w:t>
      </w:r>
      <w:r w:rsidR="00082006">
        <w:rPr>
          <w:rFonts w:ascii="Arial" w:hAnsi="Arial" w:cs="Arial"/>
          <w:sz w:val="24"/>
        </w:rPr>
        <w:t>th</w:t>
      </w:r>
      <w:r w:rsidR="00082006" w:rsidRPr="00186D7A">
        <w:rPr>
          <w:rFonts w:ascii="Arial" w:hAnsi="Arial" w:cs="Arial"/>
          <w:sz w:val="24"/>
        </w:rPr>
        <w:t>e</w:t>
      </w:r>
      <w:r w:rsidR="00AC21F0" w:rsidRPr="00186D7A">
        <w:rPr>
          <w:rFonts w:ascii="Arial" w:hAnsi="Arial" w:cs="Arial"/>
          <w:sz w:val="24"/>
        </w:rPr>
        <w:t xml:space="preserve"> fees</w:t>
      </w:r>
      <w:r w:rsidR="00082006" w:rsidRPr="00186D7A">
        <w:rPr>
          <w:rFonts w:ascii="Arial" w:hAnsi="Arial" w:cs="Arial"/>
          <w:sz w:val="24"/>
        </w:rPr>
        <w:t xml:space="preserve"> </w:t>
      </w:r>
      <w:r w:rsidR="00EF29C1" w:rsidRPr="00186D7A">
        <w:rPr>
          <w:rFonts w:ascii="Arial" w:hAnsi="Arial" w:cs="Arial"/>
          <w:sz w:val="24"/>
        </w:rPr>
        <w:t xml:space="preserve">include </w:t>
      </w:r>
      <w:r w:rsidR="00947E57" w:rsidRPr="00186D7A">
        <w:rPr>
          <w:rFonts w:ascii="Arial" w:hAnsi="Arial" w:cs="Arial"/>
          <w:sz w:val="24"/>
        </w:rPr>
        <w:t>the S</w:t>
      </w:r>
      <w:r w:rsidR="005263F2" w:rsidRPr="00186D7A">
        <w:rPr>
          <w:rFonts w:ascii="Arial" w:hAnsi="Arial" w:cs="Arial"/>
          <w:sz w:val="24"/>
        </w:rPr>
        <w:t>upplier Registration Fee,</w:t>
      </w:r>
      <w:r w:rsidR="008E00AB" w:rsidRPr="00186D7A">
        <w:rPr>
          <w:rStyle w:val="FootnoteReference"/>
          <w:rFonts w:cs="Arial"/>
        </w:rPr>
        <w:footnoteReference w:id="37"/>
      </w:r>
      <w:r w:rsidR="005263F2" w:rsidRPr="00186D7A">
        <w:rPr>
          <w:rFonts w:ascii="Arial" w:hAnsi="Arial" w:cs="Arial"/>
          <w:sz w:val="24"/>
        </w:rPr>
        <w:t xml:space="preserve"> Interval Data Fee,</w:t>
      </w:r>
      <w:r w:rsidR="008E00AB" w:rsidRPr="00186D7A">
        <w:rPr>
          <w:rStyle w:val="FootnoteReference"/>
          <w:rFonts w:cs="Arial"/>
        </w:rPr>
        <w:footnoteReference w:id="38"/>
      </w:r>
      <w:r w:rsidR="005263F2" w:rsidRPr="00186D7A">
        <w:rPr>
          <w:rFonts w:ascii="Arial" w:hAnsi="Arial" w:cs="Arial"/>
          <w:sz w:val="24"/>
        </w:rPr>
        <w:t xml:space="preserve"> and Switching Fee.</w:t>
      </w:r>
      <w:r w:rsidR="005263F2" w:rsidRPr="00186D7A">
        <w:rPr>
          <w:rStyle w:val="FootnoteReference"/>
          <w:rFonts w:cs="Arial"/>
        </w:rPr>
        <w:footnoteReference w:id="39"/>
      </w:r>
      <w:r w:rsidR="00FF59A9" w:rsidRPr="00186D7A">
        <w:rPr>
          <w:rFonts w:ascii="Arial" w:hAnsi="Arial" w:cs="Arial"/>
          <w:sz w:val="24"/>
        </w:rPr>
        <w:t xml:space="preserve"> </w:t>
      </w:r>
    </w:p>
    <w:p w14:paraId="07C1269F" w14:textId="0AE7AB8D" w:rsidR="006620E8" w:rsidRDefault="00235FD9" w:rsidP="00A73252">
      <w:pPr>
        <w:spacing w:line="480" w:lineRule="auto"/>
        <w:ind w:firstLine="720"/>
        <w:jc w:val="both"/>
        <w:rPr>
          <w:rFonts w:ascii="Arial" w:hAnsi="Arial" w:cs="Arial"/>
          <w:sz w:val="24"/>
        </w:rPr>
      </w:pPr>
      <w:r w:rsidRPr="004E6370">
        <w:rPr>
          <w:rFonts w:ascii="Arial" w:hAnsi="Arial" w:cs="Arial"/>
          <w:sz w:val="24"/>
        </w:rPr>
        <w:lastRenderedPageBreak/>
        <w:t>It is apparent that anytime a CRES provider needs something, the CRES provider and its customers must pay</w:t>
      </w:r>
      <w:r w:rsidR="0085703F">
        <w:rPr>
          <w:rFonts w:ascii="Arial" w:hAnsi="Arial" w:cs="Arial"/>
          <w:sz w:val="24"/>
        </w:rPr>
        <w:t xml:space="preserve">, yet the </w:t>
      </w:r>
      <w:r w:rsidR="00812CD8">
        <w:rPr>
          <w:rFonts w:ascii="Arial" w:hAnsi="Arial" w:cs="Arial"/>
          <w:sz w:val="24"/>
        </w:rPr>
        <w:t>SSO is continually subsidized by all customers</w:t>
      </w:r>
      <w:r w:rsidRPr="004E6370">
        <w:rPr>
          <w:rFonts w:ascii="Arial" w:hAnsi="Arial" w:cs="Arial"/>
          <w:sz w:val="24"/>
        </w:rPr>
        <w:t xml:space="preserve">. </w:t>
      </w:r>
      <w:proofErr w:type="gramStart"/>
      <w:r w:rsidR="004E6370">
        <w:rPr>
          <w:rFonts w:ascii="Arial" w:hAnsi="Arial" w:cs="Arial"/>
          <w:sz w:val="24"/>
        </w:rPr>
        <w:t>A</w:t>
      </w:r>
      <w:r w:rsidR="00B2015E" w:rsidRPr="0011544C">
        <w:rPr>
          <w:rFonts w:ascii="Arial" w:hAnsi="Arial" w:cs="Arial"/>
          <w:sz w:val="24"/>
        </w:rPr>
        <w:t>ll of</w:t>
      </w:r>
      <w:proofErr w:type="gramEnd"/>
      <w:r w:rsidR="00B2015E" w:rsidRPr="0011544C">
        <w:rPr>
          <w:rFonts w:ascii="Arial" w:hAnsi="Arial" w:cs="Arial"/>
          <w:sz w:val="24"/>
        </w:rPr>
        <w:t xml:space="preserve"> these </w:t>
      </w:r>
      <w:r w:rsidR="00FF59A9" w:rsidRPr="00AD2318">
        <w:rPr>
          <w:rFonts w:ascii="Arial" w:hAnsi="Arial" w:cs="Arial"/>
          <w:sz w:val="24"/>
        </w:rPr>
        <w:t>fees relate to services that should have</w:t>
      </w:r>
      <w:r w:rsidR="00E804E0">
        <w:rPr>
          <w:rFonts w:ascii="Arial" w:hAnsi="Arial" w:cs="Arial"/>
          <w:sz w:val="24"/>
        </w:rPr>
        <w:t xml:space="preserve"> correlating</w:t>
      </w:r>
      <w:r w:rsidR="00FF59A9" w:rsidRPr="00AD2318">
        <w:rPr>
          <w:rFonts w:ascii="Arial" w:hAnsi="Arial" w:cs="Arial"/>
          <w:sz w:val="24"/>
        </w:rPr>
        <w:t xml:space="preserve"> expenses included in the test year. The Staff Report fail</w:t>
      </w:r>
      <w:r w:rsidR="001E63E5" w:rsidRPr="00AD2318">
        <w:rPr>
          <w:rFonts w:ascii="Arial" w:hAnsi="Arial" w:cs="Arial"/>
          <w:sz w:val="24"/>
        </w:rPr>
        <w:t xml:space="preserve">ed to examine whether AEP Ohio is being compensated twice for </w:t>
      </w:r>
      <w:r w:rsidR="0011544C" w:rsidRPr="00AD2318">
        <w:rPr>
          <w:rFonts w:ascii="Arial" w:hAnsi="Arial" w:cs="Arial"/>
          <w:sz w:val="24"/>
        </w:rPr>
        <w:t>providing th</w:t>
      </w:r>
      <w:r w:rsidR="00722CD0">
        <w:rPr>
          <w:rFonts w:ascii="Arial" w:hAnsi="Arial" w:cs="Arial"/>
          <w:sz w:val="24"/>
        </w:rPr>
        <w:t>ese</w:t>
      </w:r>
      <w:r w:rsidR="0011544C" w:rsidRPr="00AD2318">
        <w:rPr>
          <w:rFonts w:ascii="Arial" w:hAnsi="Arial" w:cs="Arial"/>
          <w:sz w:val="24"/>
        </w:rPr>
        <w:t xml:space="preserve"> service</w:t>
      </w:r>
      <w:r w:rsidR="00722CD0">
        <w:rPr>
          <w:rFonts w:ascii="Arial" w:hAnsi="Arial" w:cs="Arial"/>
          <w:sz w:val="24"/>
        </w:rPr>
        <w:t>s</w:t>
      </w:r>
      <w:r w:rsidR="0011544C" w:rsidRPr="00AD2318">
        <w:rPr>
          <w:rFonts w:ascii="Arial" w:hAnsi="Arial" w:cs="Arial"/>
          <w:sz w:val="24"/>
        </w:rPr>
        <w:t xml:space="preserve"> </w:t>
      </w:r>
      <w:r w:rsidR="0025040C">
        <w:rPr>
          <w:rFonts w:ascii="Arial" w:hAnsi="Arial" w:cs="Arial"/>
          <w:sz w:val="24"/>
        </w:rPr>
        <w:t>and/</w:t>
      </w:r>
      <w:r w:rsidR="001B6C99" w:rsidRPr="0011544C">
        <w:rPr>
          <w:rFonts w:ascii="Arial" w:hAnsi="Arial" w:cs="Arial"/>
          <w:sz w:val="24"/>
        </w:rPr>
        <w:t>or recommend that the fees be eliminated.</w:t>
      </w:r>
      <w:r w:rsidR="00B44433">
        <w:rPr>
          <w:rFonts w:ascii="Arial" w:hAnsi="Arial" w:cs="Arial"/>
          <w:sz w:val="24"/>
        </w:rPr>
        <w:t xml:space="preserve"> </w:t>
      </w:r>
    </w:p>
    <w:p w14:paraId="408B801B" w14:textId="33AE2634" w:rsidR="009B4A4C" w:rsidRDefault="00E804E0" w:rsidP="00AD2318">
      <w:pPr>
        <w:spacing w:line="480" w:lineRule="auto"/>
        <w:ind w:firstLine="720"/>
        <w:jc w:val="both"/>
        <w:rPr>
          <w:rFonts w:ascii="Arial" w:hAnsi="Arial" w:cs="Arial"/>
          <w:sz w:val="24"/>
        </w:rPr>
      </w:pPr>
      <w:r>
        <w:rPr>
          <w:rFonts w:ascii="Arial" w:hAnsi="Arial" w:cs="Arial"/>
          <w:sz w:val="24"/>
        </w:rPr>
        <w:t>R</w:t>
      </w:r>
      <w:r w:rsidR="009B4A4C">
        <w:rPr>
          <w:rFonts w:ascii="Arial" w:hAnsi="Arial" w:cs="Arial"/>
          <w:sz w:val="24"/>
        </w:rPr>
        <w:t xml:space="preserve">equiring a CRES provider and its customer to pay for something that an SSO customer receives with no charge is discriminatory. </w:t>
      </w:r>
      <w:r w:rsidR="00256E0F">
        <w:rPr>
          <w:rFonts w:ascii="Arial" w:hAnsi="Arial" w:cs="Arial"/>
          <w:sz w:val="24"/>
        </w:rPr>
        <w:t xml:space="preserve">For example, a CRES provider is </w:t>
      </w:r>
      <w:r w:rsidR="002249A3">
        <w:rPr>
          <w:rFonts w:ascii="Arial" w:hAnsi="Arial" w:cs="Arial"/>
          <w:sz w:val="24"/>
        </w:rPr>
        <w:t>assessed a switching fee each time a c</w:t>
      </w:r>
      <w:r w:rsidR="00E055B4">
        <w:rPr>
          <w:rFonts w:ascii="Arial" w:hAnsi="Arial" w:cs="Arial"/>
          <w:sz w:val="24"/>
        </w:rPr>
        <w:t xml:space="preserve">ustomer is enrolled with </w:t>
      </w:r>
      <w:r w:rsidR="002A2364">
        <w:rPr>
          <w:rFonts w:ascii="Arial" w:hAnsi="Arial" w:cs="Arial"/>
          <w:sz w:val="24"/>
        </w:rPr>
        <w:t>the CRES provider</w:t>
      </w:r>
      <w:r w:rsidR="006E35E9">
        <w:rPr>
          <w:rFonts w:ascii="Arial" w:hAnsi="Arial" w:cs="Arial"/>
          <w:sz w:val="24"/>
        </w:rPr>
        <w:t>,</w:t>
      </w:r>
      <w:r w:rsidR="002A2364">
        <w:rPr>
          <w:rFonts w:ascii="Arial" w:hAnsi="Arial" w:cs="Arial"/>
          <w:sz w:val="24"/>
        </w:rPr>
        <w:t xml:space="preserve"> </w:t>
      </w:r>
      <w:r w:rsidR="005E5406">
        <w:rPr>
          <w:rFonts w:ascii="Arial" w:hAnsi="Arial" w:cs="Arial"/>
          <w:sz w:val="24"/>
        </w:rPr>
        <w:t xml:space="preserve">unless it is the customer’s </w:t>
      </w:r>
      <w:r w:rsidR="00894771">
        <w:rPr>
          <w:rFonts w:ascii="Arial" w:hAnsi="Arial" w:cs="Arial"/>
          <w:sz w:val="24"/>
        </w:rPr>
        <w:t xml:space="preserve">first time </w:t>
      </w:r>
      <w:r w:rsidR="00325557">
        <w:rPr>
          <w:rFonts w:ascii="Arial" w:hAnsi="Arial" w:cs="Arial"/>
          <w:sz w:val="24"/>
        </w:rPr>
        <w:t>exercising their right to shop</w:t>
      </w:r>
      <w:r w:rsidR="00894771">
        <w:rPr>
          <w:rFonts w:ascii="Arial" w:hAnsi="Arial" w:cs="Arial"/>
          <w:sz w:val="24"/>
        </w:rPr>
        <w:t>.</w:t>
      </w:r>
      <w:r w:rsidR="00325557">
        <w:rPr>
          <w:rStyle w:val="FootnoteReference"/>
          <w:rFonts w:cs="Arial"/>
        </w:rPr>
        <w:footnoteReference w:id="40"/>
      </w:r>
      <w:r w:rsidR="00894771">
        <w:rPr>
          <w:rFonts w:ascii="Arial" w:hAnsi="Arial" w:cs="Arial"/>
          <w:sz w:val="24"/>
        </w:rPr>
        <w:t xml:space="preserve"> </w:t>
      </w:r>
      <w:r w:rsidR="00FD0675">
        <w:rPr>
          <w:rFonts w:ascii="Arial" w:hAnsi="Arial" w:cs="Arial"/>
          <w:sz w:val="24"/>
        </w:rPr>
        <w:t>However,</w:t>
      </w:r>
      <w:r w:rsidR="002946D0">
        <w:rPr>
          <w:rFonts w:ascii="Arial" w:hAnsi="Arial" w:cs="Arial"/>
          <w:sz w:val="24"/>
        </w:rPr>
        <w:t xml:space="preserve"> there is no </w:t>
      </w:r>
      <w:r w:rsidR="00D12EC8">
        <w:rPr>
          <w:rFonts w:ascii="Arial" w:hAnsi="Arial" w:cs="Arial"/>
          <w:sz w:val="24"/>
        </w:rPr>
        <w:t>fee</w:t>
      </w:r>
      <w:r w:rsidR="002946D0">
        <w:rPr>
          <w:rFonts w:ascii="Arial" w:hAnsi="Arial" w:cs="Arial"/>
          <w:sz w:val="24"/>
        </w:rPr>
        <w:t xml:space="preserve"> to AEP Ohio or the customer</w:t>
      </w:r>
      <w:r w:rsidR="00FD0675">
        <w:rPr>
          <w:rFonts w:ascii="Arial" w:hAnsi="Arial" w:cs="Arial"/>
          <w:sz w:val="24"/>
        </w:rPr>
        <w:t xml:space="preserve"> each and every time the customer </w:t>
      </w:r>
      <w:r w:rsidR="002946D0">
        <w:rPr>
          <w:rFonts w:ascii="Arial" w:hAnsi="Arial" w:cs="Arial"/>
          <w:sz w:val="24"/>
        </w:rPr>
        <w:t xml:space="preserve">switches to the SSO. </w:t>
      </w:r>
      <w:r w:rsidR="00AF1C2A">
        <w:rPr>
          <w:rFonts w:ascii="Arial" w:hAnsi="Arial" w:cs="Arial"/>
          <w:sz w:val="24"/>
        </w:rPr>
        <w:t>Both actions are providing the same service</w:t>
      </w:r>
      <w:r w:rsidR="003B7713">
        <w:rPr>
          <w:rFonts w:ascii="Arial" w:hAnsi="Arial" w:cs="Arial"/>
          <w:sz w:val="24"/>
        </w:rPr>
        <w:t xml:space="preserve">, </w:t>
      </w:r>
      <w:r w:rsidR="00AF1C2A">
        <w:rPr>
          <w:rFonts w:ascii="Arial" w:hAnsi="Arial" w:cs="Arial"/>
          <w:sz w:val="24"/>
        </w:rPr>
        <w:t>changing the customer’s generation supplier</w:t>
      </w:r>
      <w:r w:rsidR="003B7713">
        <w:rPr>
          <w:rFonts w:ascii="Arial" w:hAnsi="Arial" w:cs="Arial"/>
          <w:sz w:val="24"/>
        </w:rPr>
        <w:t>,</w:t>
      </w:r>
      <w:r w:rsidR="00AF1C2A">
        <w:rPr>
          <w:rFonts w:ascii="Arial" w:hAnsi="Arial" w:cs="Arial"/>
          <w:sz w:val="24"/>
        </w:rPr>
        <w:t xml:space="preserve"> </w:t>
      </w:r>
      <w:r w:rsidR="00E4449A">
        <w:rPr>
          <w:rFonts w:ascii="Arial" w:hAnsi="Arial" w:cs="Arial"/>
          <w:sz w:val="24"/>
        </w:rPr>
        <w:t xml:space="preserve">and both can only be </w:t>
      </w:r>
      <w:r w:rsidR="003B7713">
        <w:rPr>
          <w:rFonts w:ascii="Arial" w:hAnsi="Arial" w:cs="Arial"/>
          <w:sz w:val="24"/>
        </w:rPr>
        <w:t>effectuated</w:t>
      </w:r>
      <w:r w:rsidR="00E4449A">
        <w:rPr>
          <w:rFonts w:ascii="Arial" w:hAnsi="Arial" w:cs="Arial"/>
          <w:sz w:val="24"/>
        </w:rPr>
        <w:t xml:space="preserve"> by one entity</w:t>
      </w:r>
      <w:r w:rsidR="003B7713">
        <w:rPr>
          <w:rFonts w:ascii="Arial" w:hAnsi="Arial" w:cs="Arial"/>
          <w:sz w:val="24"/>
        </w:rPr>
        <w:t xml:space="preserve">, </w:t>
      </w:r>
      <w:r w:rsidR="00E4449A">
        <w:rPr>
          <w:rFonts w:ascii="Arial" w:hAnsi="Arial" w:cs="Arial"/>
          <w:sz w:val="24"/>
        </w:rPr>
        <w:t>AEP Ohio</w:t>
      </w:r>
      <w:r w:rsidR="00A362F4">
        <w:rPr>
          <w:rFonts w:ascii="Arial" w:hAnsi="Arial" w:cs="Arial"/>
          <w:sz w:val="24"/>
        </w:rPr>
        <w:t xml:space="preserve">, yet </w:t>
      </w:r>
      <w:r w:rsidR="00FA3C31">
        <w:rPr>
          <w:rFonts w:ascii="Arial" w:hAnsi="Arial" w:cs="Arial"/>
          <w:sz w:val="24"/>
        </w:rPr>
        <w:t xml:space="preserve">only </w:t>
      </w:r>
      <w:r w:rsidR="00B44FC7">
        <w:rPr>
          <w:rFonts w:ascii="Arial" w:hAnsi="Arial" w:cs="Arial"/>
          <w:sz w:val="24"/>
        </w:rPr>
        <w:t xml:space="preserve">certain generation suppliers </w:t>
      </w:r>
      <w:r w:rsidR="00A362F4">
        <w:rPr>
          <w:rFonts w:ascii="Arial" w:hAnsi="Arial" w:cs="Arial"/>
          <w:sz w:val="24"/>
        </w:rPr>
        <w:t xml:space="preserve">are charged a fee. </w:t>
      </w:r>
      <w:r w:rsidR="00826119">
        <w:rPr>
          <w:rFonts w:ascii="Arial" w:hAnsi="Arial" w:cs="Arial"/>
          <w:sz w:val="24"/>
        </w:rPr>
        <w:t>No compelling reason has been provided for this disparate treatment</w:t>
      </w:r>
      <w:r w:rsidR="00E373DE">
        <w:rPr>
          <w:rFonts w:ascii="Arial" w:hAnsi="Arial" w:cs="Arial"/>
          <w:sz w:val="24"/>
        </w:rPr>
        <w:t>.</w:t>
      </w:r>
      <w:r w:rsidR="00826119">
        <w:rPr>
          <w:rFonts w:ascii="Arial" w:hAnsi="Arial" w:cs="Arial"/>
          <w:sz w:val="24"/>
        </w:rPr>
        <w:t xml:space="preserve"> </w:t>
      </w:r>
      <w:r w:rsidR="00E373DE">
        <w:rPr>
          <w:rFonts w:ascii="Arial" w:hAnsi="Arial" w:cs="Arial"/>
          <w:sz w:val="24"/>
        </w:rPr>
        <w:t>Thus,</w:t>
      </w:r>
      <w:r w:rsidR="00826119">
        <w:rPr>
          <w:rFonts w:ascii="Arial" w:hAnsi="Arial" w:cs="Arial"/>
          <w:sz w:val="24"/>
        </w:rPr>
        <w:t xml:space="preserve"> t</w:t>
      </w:r>
      <w:r w:rsidR="00A362F4">
        <w:rPr>
          <w:rFonts w:ascii="Arial" w:hAnsi="Arial" w:cs="Arial"/>
          <w:sz w:val="24"/>
        </w:rPr>
        <w:t>his is an undu</w:t>
      </w:r>
      <w:r w:rsidR="00536D31">
        <w:rPr>
          <w:rFonts w:ascii="Arial" w:hAnsi="Arial" w:cs="Arial"/>
          <w:sz w:val="24"/>
        </w:rPr>
        <w:t xml:space="preserve">e and unreasonable preference </w:t>
      </w:r>
      <w:r w:rsidR="00493989">
        <w:rPr>
          <w:rFonts w:ascii="Arial" w:hAnsi="Arial" w:cs="Arial"/>
          <w:sz w:val="24"/>
        </w:rPr>
        <w:t xml:space="preserve">provided to the SSO </w:t>
      </w:r>
      <w:r w:rsidR="006E35E9">
        <w:rPr>
          <w:rFonts w:ascii="Arial" w:hAnsi="Arial" w:cs="Arial"/>
          <w:sz w:val="24"/>
        </w:rPr>
        <w:t>in violation of R.C. 4905.35.</w:t>
      </w:r>
      <w:r w:rsidR="009F5CBB">
        <w:rPr>
          <w:rFonts w:ascii="Arial" w:hAnsi="Arial" w:cs="Arial"/>
          <w:sz w:val="24"/>
        </w:rPr>
        <w:t xml:space="preserve">  IGS objects to the continuation of these unsubstantiated fees</w:t>
      </w:r>
      <w:r w:rsidR="00790554">
        <w:rPr>
          <w:rFonts w:ascii="Arial" w:hAnsi="Arial" w:cs="Arial"/>
          <w:sz w:val="24"/>
        </w:rPr>
        <w:t>, particularly given that any necessary compensation to cover these costs would already be provided for by the test year expense requested in this proceeding</w:t>
      </w:r>
      <w:r w:rsidR="009F5CBB">
        <w:rPr>
          <w:rFonts w:ascii="Arial" w:hAnsi="Arial" w:cs="Arial"/>
          <w:sz w:val="24"/>
        </w:rPr>
        <w:t>.</w:t>
      </w:r>
    </w:p>
    <w:p w14:paraId="36BCBA38" w14:textId="123CB829" w:rsidR="00373016" w:rsidRDefault="009A53B2" w:rsidP="00AD2318">
      <w:pPr>
        <w:spacing w:line="480" w:lineRule="auto"/>
        <w:ind w:firstLine="720"/>
        <w:jc w:val="both"/>
        <w:rPr>
          <w:rFonts w:ascii="Arial" w:hAnsi="Arial" w:cs="Arial"/>
          <w:sz w:val="24"/>
        </w:rPr>
      </w:pPr>
      <w:r>
        <w:rPr>
          <w:rFonts w:ascii="Arial" w:hAnsi="Arial" w:cs="Arial"/>
          <w:sz w:val="24"/>
        </w:rPr>
        <w:t>T</w:t>
      </w:r>
      <w:r w:rsidR="00E3252A">
        <w:rPr>
          <w:rFonts w:ascii="Arial" w:hAnsi="Arial" w:cs="Arial"/>
          <w:sz w:val="24"/>
        </w:rPr>
        <w:t xml:space="preserve">his discriminatory treatment further exacerbates the harm from failing to properly unbundle the </w:t>
      </w:r>
      <w:r w:rsidR="00310332">
        <w:rPr>
          <w:rFonts w:ascii="Arial" w:hAnsi="Arial" w:cs="Arial"/>
          <w:sz w:val="24"/>
        </w:rPr>
        <w:t xml:space="preserve">costs to the </w:t>
      </w:r>
      <w:r w:rsidR="00310332" w:rsidRPr="004E6370">
        <w:rPr>
          <w:rFonts w:ascii="Arial" w:hAnsi="Arial" w:cs="Arial"/>
          <w:sz w:val="24"/>
          <w:szCs w:val="24"/>
        </w:rPr>
        <w:t>serve the SSO from distribution rates.</w:t>
      </w:r>
      <w:r w:rsidR="00121DE1" w:rsidRPr="004E6370">
        <w:rPr>
          <w:rFonts w:ascii="Arial" w:hAnsi="Arial" w:cs="Arial"/>
          <w:sz w:val="24"/>
          <w:szCs w:val="24"/>
        </w:rPr>
        <w:t xml:space="preserve"> Not only are</w:t>
      </w:r>
      <w:r w:rsidR="001C4CA5" w:rsidRPr="004E6370">
        <w:rPr>
          <w:rFonts w:ascii="Arial" w:hAnsi="Arial" w:cs="Arial"/>
          <w:sz w:val="24"/>
          <w:szCs w:val="24"/>
        </w:rPr>
        <w:t xml:space="preserve"> shopping customers paying </w:t>
      </w:r>
      <w:r w:rsidR="001C4CA5" w:rsidRPr="00683617">
        <w:rPr>
          <w:rFonts w:ascii="Arial" w:hAnsi="Arial" w:cs="Arial"/>
          <w:sz w:val="24"/>
          <w:szCs w:val="24"/>
        </w:rPr>
        <w:t xml:space="preserve">to support </w:t>
      </w:r>
      <w:r w:rsidR="008C6B05">
        <w:rPr>
          <w:rFonts w:ascii="Arial" w:hAnsi="Arial" w:cs="Arial"/>
          <w:sz w:val="24"/>
          <w:szCs w:val="24"/>
        </w:rPr>
        <w:t xml:space="preserve">two provisions of </w:t>
      </w:r>
      <w:r w:rsidR="001C4CA5" w:rsidRPr="004E6370">
        <w:rPr>
          <w:rFonts w:ascii="Arial" w:hAnsi="Arial" w:cs="Arial"/>
          <w:sz w:val="24"/>
          <w:szCs w:val="24"/>
        </w:rPr>
        <w:t>generation service</w:t>
      </w:r>
      <w:r w:rsidR="008C6B05">
        <w:rPr>
          <w:rFonts w:ascii="Arial" w:hAnsi="Arial" w:cs="Arial"/>
          <w:sz w:val="24"/>
          <w:szCs w:val="24"/>
        </w:rPr>
        <w:t xml:space="preserve">, they are also </w:t>
      </w:r>
      <w:r w:rsidR="00AF18D1">
        <w:rPr>
          <w:rFonts w:ascii="Arial" w:hAnsi="Arial" w:cs="Arial"/>
          <w:sz w:val="24"/>
          <w:szCs w:val="24"/>
        </w:rPr>
        <w:t xml:space="preserve">being </w:t>
      </w:r>
      <w:r w:rsidR="008C6B05">
        <w:rPr>
          <w:rFonts w:ascii="Arial" w:hAnsi="Arial" w:cs="Arial"/>
          <w:sz w:val="24"/>
          <w:szCs w:val="24"/>
        </w:rPr>
        <w:t>saddled with</w:t>
      </w:r>
      <w:r w:rsidR="009F71E1">
        <w:rPr>
          <w:rFonts w:ascii="Arial" w:hAnsi="Arial" w:cs="Arial"/>
          <w:sz w:val="24"/>
          <w:szCs w:val="24"/>
        </w:rPr>
        <w:t xml:space="preserve"> fees </w:t>
      </w:r>
      <w:r w:rsidR="005A2A90">
        <w:rPr>
          <w:rFonts w:ascii="Arial" w:hAnsi="Arial" w:cs="Arial"/>
          <w:sz w:val="24"/>
          <w:szCs w:val="24"/>
        </w:rPr>
        <w:t xml:space="preserve">in which </w:t>
      </w:r>
      <w:r w:rsidR="00150E7F">
        <w:rPr>
          <w:rFonts w:ascii="Arial" w:hAnsi="Arial" w:cs="Arial"/>
          <w:sz w:val="24"/>
          <w:szCs w:val="24"/>
        </w:rPr>
        <w:t>their</w:t>
      </w:r>
      <w:r w:rsidR="00766B07">
        <w:rPr>
          <w:rFonts w:ascii="Arial" w:hAnsi="Arial" w:cs="Arial"/>
          <w:sz w:val="24"/>
          <w:szCs w:val="24"/>
        </w:rPr>
        <w:t xml:space="preserve"> subsidized </w:t>
      </w:r>
      <w:r w:rsidR="005A2A90">
        <w:rPr>
          <w:rFonts w:ascii="Arial" w:hAnsi="Arial" w:cs="Arial"/>
          <w:sz w:val="24"/>
          <w:szCs w:val="24"/>
        </w:rPr>
        <w:t>neighbors</w:t>
      </w:r>
      <w:r w:rsidR="00766B07">
        <w:rPr>
          <w:rFonts w:ascii="Arial" w:hAnsi="Arial" w:cs="Arial"/>
          <w:sz w:val="24"/>
          <w:szCs w:val="24"/>
        </w:rPr>
        <w:t xml:space="preserve"> </w:t>
      </w:r>
      <w:r w:rsidR="00EF2C53">
        <w:rPr>
          <w:rFonts w:ascii="Arial" w:hAnsi="Arial" w:cs="Arial"/>
          <w:sz w:val="24"/>
          <w:szCs w:val="24"/>
        </w:rPr>
        <w:t xml:space="preserve">on the SSO </w:t>
      </w:r>
      <w:r w:rsidR="00E54C19">
        <w:rPr>
          <w:rFonts w:ascii="Arial" w:hAnsi="Arial" w:cs="Arial"/>
          <w:sz w:val="24"/>
          <w:szCs w:val="24"/>
        </w:rPr>
        <w:t>are exempt.</w:t>
      </w:r>
      <w:r w:rsidR="008C6B05">
        <w:rPr>
          <w:rFonts w:ascii="Arial" w:hAnsi="Arial" w:cs="Arial"/>
          <w:sz w:val="24"/>
          <w:szCs w:val="24"/>
        </w:rPr>
        <w:t xml:space="preserve"> </w:t>
      </w:r>
      <w:r w:rsidR="00C54E1C" w:rsidRPr="004E6370">
        <w:rPr>
          <w:rFonts w:ascii="Arial" w:hAnsi="Arial" w:cs="Arial"/>
          <w:sz w:val="24"/>
          <w:szCs w:val="24"/>
        </w:rPr>
        <w:t xml:space="preserve"> </w:t>
      </w:r>
      <w:r w:rsidR="00C54E1C" w:rsidRPr="00C721AE">
        <w:rPr>
          <w:rFonts w:ascii="Arial" w:hAnsi="Arial" w:cs="Arial"/>
          <w:sz w:val="24"/>
          <w:szCs w:val="24"/>
        </w:rPr>
        <w:t xml:space="preserve">This is </w:t>
      </w:r>
      <w:r w:rsidR="001E09E6" w:rsidRPr="00C721AE">
        <w:rPr>
          <w:rFonts w:ascii="Arial" w:hAnsi="Arial" w:cs="Arial"/>
          <w:sz w:val="24"/>
          <w:szCs w:val="24"/>
        </w:rPr>
        <w:lastRenderedPageBreak/>
        <w:t>just another</w:t>
      </w:r>
      <w:r w:rsidR="00C54E1C" w:rsidRPr="00C721AE">
        <w:rPr>
          <w:rFonts w:ascii="Arial" w:hAnsi="Arial" w:cs="Arial"/>
          <w:sz w:val="24"/>
          <w:szCs w:val="24"/>
        </w:rPr>
        <w:t xml:space="preserve"> example of heads the SSO wins, tails </w:t>
      </w:r>
      <w:r w:rsidR="001E09E6" w:rsidRPr="00C721AE">
        <w:rPr>
          <w:rFonts w:ascii="Arial" w:hAnsi="Arial" w:cs="Arial"/>
          <w:sz w:val="24"/>
          <w:szCs w:val="24"/>
        </w:rPr>
        <w:t>CRES providers</w:t>
      </w:r>
      <w:r w:rsidR="00C54E1C" w:rsidRPr="00C721AE">
        <w:rPr>
          <w:rFonts w:ascii="Arial" w:hAnsi="Arial" w:cs="Arial"/>
          <w:sz w:val="24"/>
          <w:szCs w:val="24"/>
        </w:rPr>
        <w:t xml:space="preserve"> and choice customers lose.</w:t>
      </w:r>
    </w:p>
    <w:p w14:paraId="1B73D22A" w14:textId="77777777" w:rsidR="003820F4" w:rsidRDefault="003820F4" w:rsidP="003820F4">
      <w:pPr>
        <w:pStyle w:val="Heading2"/>
      </w:pPr>
      <w:bookmarkStart w:id="34" w:name="_Toc59194849"/>
      <w:r>
        <w:t>The Staff Report fails to examine whether there are direct or indirect costs associated with customer sited renewable energy resources in the proposed distribution rates.</w:t>
      </w:r>
      <w:bookmarkEnd w:id="34"/>
    </w:p>
    <w:p w14:paraId="4552480F" w14:textId="77777777" w:rsidR="003820F4" w:rsidRPr="00063CDB" w:rsidRDefault="003820F4" w:rsidP="003820F4"/>
    <w:p w14:paraId="5B2E539D" w14:textId="77777777" w:rsidR="003B5C38" w:rsidRDefault="003820F4" w:rsidP="001A5862">
      <w:pPr>
        <w:spacing w:line="480" w:lineRule="auto"/>
        <w:ind w:firstLine="720"/>
        <w:jc w:val="both"/>
        <w:rPr>
          <w:rFonts w:ascii="Arial" w:hAnsi="Arial" w:cs="Arial"/>
          <w:sz w:val="24"/>
          <w:szCs w:val="24"/>
        </w:rPr>
      </w:pPr>
      <w:r w:rsidRPr="00313A31">
        <w:rPr>
          <w:rFonts w:ascii="Arial" w:hAnsi="Arial" w:cs="Arial"/>
          <w:sz w:val="24"/>
          <w:szCs w:val="24"/>
        </w:rPr>
        <w:t>IGS objects to the Staff Report’s failure to determine whether AEP Ohio is proposing to collect any direct or indirect costs associated with customer sited renewable energy resources through distribution rates, in violation of R.C. 4928.47. Specifically, R.C. 4928.47(B) requires that any direct or indirect costs</w:t>
      </w:r>
      <w:r>
        <w:rPr>
          <w:rFonts w:ascii="Arial" w:hAnsi="Arial" w:cs="Arial"/>
          <w:sz w:val="24"/>
          <w:szCs w:val="24"/>
        </w:rPr>
        <w:t xml:space="preserve"> </w:t>
      </w:r>
      <w:r w:rsidRPr="00313A31">
        <w:rPr>
          <w:rFonts w:ascii="Arial" w:hAnsi="Arial" w:cs="Arial"/>
          <w:sz w:val="24"/>
          <w:szCs w:val="24"/>
        </w:rPr>
        <w:t xml:space="preserve">associated with </w:t>
      </w:r>
      <w:r w:rsidRPr="00F819EF">
        <w:rPr>
          <w:rFonts w:ascii="Arial" w:hAnsi="Arial" w:cs="Arial"/>
          <w:sz w:val="24"/>
          <w:szCs w:val="24"/>
        </w:rPr>
        <w:t>customer-sited renewable energy resource</w:t>
      </w:r>
      <w:r>
        <w:rPr>
          <w:rFonts w:ascii="Arial" w:hAnsi="Arial" w:cs="Arial"/>
          <w:sz w:val="24"/>
          <w:szCs w:val="24"/>
        </w:rPr>
        <w:t>s</w:t>
      </w:r>
      <w:r w:rsidRPr="00F819EF">
        <w:rPr>
          <w:rFonts w:ascii="Arial" w:hAnsi="Arial" w:cs="Arial"/>
          <w:sz w:val="24"/>
          <w:szCs w:val="24"/>
        </w:rPr>
        <w:t xml:space="preserve"> </w:t>
      </w:r>
      <w:r>
        <w:rPr>
          <w:rFonts w:ascii="Arial" w:hAnsi="Arial" w:cs="Arial"/>
          <w:sz w:val="24"/>
          <w:szCs w:val="24"/>
        </w:rPr>
        <w:t>must be</w:t>
      </w:r>
      <w:r w:rsidRPr="00F819EF">
        <w:rPr>
          <w:rFonts w:ascii="Arial" w:hAnsi="Arial" w:cs="Arial"/>
          <w:sz w:val="24"/>
          <w:szCs w:val="24"/>
        </w:rPr>
        <w:t xml:space="preserve"> paid for solely by the utility and the mercantile customer or group of mercantile customers</w:t>
      </w:r>
      <w:r w:rsidR="008F40E8">
        <w:rPr>
          <w:rFonts w:ascii="Arial" w:hAnsi="Arial" w:cs="Arial"/>
          <w:sz w:val="24"/>
          <w:szCs w:val="24"/>
        </w:rPr>
        <w:t>.</w:t>
      </w:r>
      <w:r>
        <w:rPr>
          <w:rFonts w:ascii="Arial" w:hAnsi="Arial" w:cs="Arial"/>
          <w:sz w:val="24"/>
          <w:szCs w:val="24"/>
        </w:rPr>
        <w:t xml:space="preserve"> </w:t>
      </w:r>
      <w:r w:rsidR="008F40E8">
        <w:rPr>
          <w:rFonts w:ascii="Arial" w:hAnsi="Arial" w:cs="Arial"/>
          <w:sz w:val="24"/>
          <w:szCs w:val="24"/>
        </w:rPr>
        <w:t xml:space="preserve">The </w:t>
      </w:r>
      <w:r>
        <w:rPr>
          <w:rFonts w:ascii="Arial" w:hAnsi="Arial" w:cs="Arial"/>
          <w:sz w:val="24"/>
          <w:szCs w:val="24"/>
        </w:rPr>
        <w:t>Commission</w:t>
      </w:r>
      <w:r w:rsidR="001F3D61">
        <w:rPr>
          <w:rFonts w:ascii="Arial" w:hAnsi="Arial" w:cs="Arial"/>
          <w:sz w:val="24"/>
          <w:szCs w:val="24"/>
        </w:rPr>
        <w:t xml:space="preserve"> is </w:t>
      </w:r>
      <w:r w:rsidR="000C214A">
        <w:rPr>
          <w:rFonts w:ascii="Arial" w:hAnsi="Arial" w:cs="Arial"/>
          <w:sz w:val="24"/>
          <w:szCs w:val="24"/>
        </w:rPr>
        <w:t>expressly</w:t>
      </w:r>
      <w:r w:rsidR="001F3D61">
        <w:rPr>
          <w:rFonts w:ascii="Arial" w:hAnsi="Arial" w:cs="Arial"/>
          <w:sz w:val="24"/>
          <w:szCs w:val="24"/>
        </w:rPr>
        <w:t xml:space="preserve"> prohibited</w:t>
      </w:r>
      <w:r>
        <w:rPr>
          <w:rFonts w:ascii="Arial" w:hAnsi="Arial" w:cs="Arial"/>
          <w:sz w:val="24"/>
          <w:szCs w:val="24"/>
        </w:rPr>
        <w:t xml:space="preserve"> from authorizing the EDU </w:t>
      </w:r>
      <w:r w:rsidR="00A96B25">
        <w:rPr>
          <w:rFonts w:ascii="Arial" w:hAnsi="Arial" w:cs="Arial"/>
          <w:sz w:val="24"/>
          <w:szCs w:val="24"/>
        </w:rPr>
        <w:t>to</w:t>
      </w:r>
      <w:r>
        <w:rPr>
          <w:rFonts w:ascii="Arial" w:hAnsi="Arial" w:cs="Arial"/>
          <w:sz w:val="24"/>
          <w:szCs w:val="24"/>
        </w:rPr>
        <w:t xml:space="preserve"> collect these costs from any other customers. </w:t>
      </w:r>
    </w:p>
    <w:p w14:paraId="325E319C" w14:textId="1BAB505E" w:rsidR="002730F5" w:rsidRDefault="00734369" w:rsidP="008310C1">
      <w:pPr>
        <w:spacing w:line="480" w:lineRule="auto"/>
        <w:ind w:firstLine="720"/>
        <w:jc w:val="both"/>
        <w:rPr>
          <w:rFonts w:ascii="Arial" w:hAnsi="Arial" w:cs="Arial"/>
          <w:sz w:val="24"/>
        </w:rPr>
      </w:pPr>
      <w:r>
        <w:rPr>
          <w:rFonts w:ascii="Arial" w:hAnsi="Arial" w:cs="Arial"/>
          <w:sz w:val="24"/>
          <w:szCs w:val="24"/>
        </w:rPr>
        <w:t>Despite</w:t>
      </w:r>
      <w:r w:rsidR="00076CE6">
        <w:rPr>
          <w:rFonts w:ascii="Arial" w:hAnsi="Arial" w:cs="Arial"/>
          <w:sz w:val="24"/>
          <w:szCs w:val="24"/>
        </w:rPr>
        <w:t xml:space="preserve"> t</w:t>
      </w:r>
      <w:r w:rsidR="00986C17">
        <w:rPr>
          <w:rFonts w:ascii="Arial" w:hAnsi="Arial" w:cs="Arial"/>
          <w:sz w:val="24"/>
          <w:szCs w:val="24"/>
        </w:rPr>
        <w:t xml:space="preserve">his </w:t>
      </w:r>
      <w:r>
        <w:rPr>
          <w:rFonts w:ascii="Arial" w:hAnsi="Arial" w:cs="Arial"/>
          <w:sz w:val="24"/>
          <w:szCs w:val="24"/>
        </w:rPr>
        <w:t>explicit prohibition,</w:t>
      </w:r>
      <w:r w:rsidR="00C67A83">
        <w:rPr>
          <w:rFonts w:ascii="Arial" w:hAnsi="Arial" w:cs="Arial"/>
          <w:sz w:val="24"/>
        </w:rPr>
        <w:t xml:space="preserve"> e</w:t>
      </w:r>
      <w:r w:rsidR="00FC1C33" w:rsidRPr="008310C1">
        <w:rPr>
          <w:rFonts w:ascii="Arial" w:hAnsi="Arial" w:cs="Arial"/>
          <w:sz w:val="24"/>
        </w:rPr>
        <w:t>vidence</w:t>
      </w:r>
      <w:r w:rsidR="00FD26A0" w:rsidRPr="008310C1">
        <w:rPr>
          <w:rFonts w:ascii="Arial" w:hAnsi="Arial" w:cs="Arial"/>
          <w:sz w:val="24"/>
        </w:rPr>
        <w:t xml:space="preserve"> exists to demonstrate that AEP Ohio has included in the test year indirect costs associated with soliciting and entering into contracts with customer to provide renewable energy generation.</w:t>
      </w:r>
      <w:r w:rsidR="00386F10">
        <w:rPr>
          <w:rStyle w:val="FootnoteReference"/>
          <w:rFonts w:cs="Arial"/>
        </w:rPr>
        <w:footnoteReference w:id="41"/>
      </w:r>
      <w:r w:rsidR="00FC1C33" w:rsidRPr="008310C1">
        <w:rPr>
          <w:rFonts w:ascii="Arial" w:hAnsi="Arial" w:cs="Arial"/>
          <w:sz w:val="24"/>
        </w:rPr>
        <w:t xml:space="preserve"> </w:t>
      </w:r>
      <w:r w:rsidR="00FD26A0" w:rsidRPr="008310C1">
        <w:rPr>
          <w:rFonts w:ascii="Arial" w:hAnsi="Arial" w:cs="Arial"/>
          <w:sz w:val="24"/>
        </w:rPr>
        <w:t xml:space="preserve"> Although</w:t>
      </w:r>
      <w:r w:rsidR="003E2892">
        <w:rPr>
          <w:rFonts w:ascii="Arial" w:hAnsi="Arial" w:cs="Arial"/>
          <w:sz w:val="24"/>
        </w:rPr>
        <w:t xml:space="preserve"> AEP Ohio</w:t>
      </w:r>
      <w:r w:rsidR="00FD26A0" w:rsidRPr="008310C1">
        <w:rPr>
          <w:rFonts w:ascii="Arial" w:hAnsi="Arial" w:cs="Arial"/>
          <w:sz w:val="24"/>
        </w:rPr>
        <w:t xml:space="preserve"> claims that these costs are “incidental to the utility’s customer service function and </w:t>
      </w:r>
      <w:r w:rsidR="004B12DB">
        <w:rPr>
          <w:rFonts w:ascii="Arial" w:hAnsi="Arial" w:cs="Arial"/>
          <w:sz w:val="24"/>
        </w:rPr>
        <w:t xml:space="preserve">do </w:t>
      </w:r>
      <w:r w:rsidR="00FD26A0" w:rsidRPr="008310C1">
        <w:rPr>
          <w:rFonts w:ascii="Arial" w:hAnsi="Arial" w:cs="Arial"/>
          <w:sz w:val="24"/>
        </w:rPr>
        <w:t>not constitute project costs</w:t>
      </w:r>
      <w:r w:rsidR="003E2892">
        <w:rPr>
          <w:rFonts w:ascii="Arial" w:hAnsi="Arial" w:cs="Arial"/>
          <w:sz w:val="24"/>
        </w:rPr>
        <w:t>,</w:t>
      </w:r>
      <w:r w:rsidR="00FC1C33" w:rsidRPr="008310C1">
        <w:rPr>
          <w:rFonts w:ascii="Arial" w:hAnsi="Arial" w:cs="Arial"/>
          <w:sz w:val="24"/>
        </w:rPr>
        <w:t>”</w:t>
      </w:r>
      <w:r w:rsidR="00FD26A0" w:rsidRPr="008310C1">
        <w:rPr>
          <w:rFonts w:ascii="Arial" w:hAnsi="Arial" w:cs="Arial"/>
          <w:sz w:val="24"/>
        </w:rPr>
        <w:t xml:space="preserve"> these costs are clearly indirect costs.</w:t>
      </w:r>
      <w:r w:rsidR="007E6B49">
        <w:rPr>
          <w:rStyle w:val="FootnoteReference"/>
          <w:rFonts w:cs="Arial"/>
        </w:rPr>
        <w:footnoteReference w:id="42"/>
      </w:r>
      <w:r w:rsidR="00FD26A0" w:rsidRPr="008310C1">
        <w:rPr>
          <w:rFonts w:ascii="Arial" w:hAnsi="Arial" w:cs="Arial"/>
          <w:sz w:val="24"/>
        </w:rPr>
        <w:t xml:space="preserve"> </w:t>
      </w:r>
      <w:r w:rsidR="00FC1C33" w:rsidRPr="008310C1">
        <w:rPr>
          <w:rFonts w:ascii="Arial" w:hAnsi="Arial" w:cs="Arial"/>
          <w:sz w:val="24"/>
        </w:rPr>
        <w:t xml:space="preserve"> </w:t>
      </w:r>
      <w:r w:rsidR="00FD26A0" w:rsidRPr="008310C1">
        <w:rPr>
          <w:rFonts w:ascii="Arial" w:hAnsi="Arial" w:cs="Arial"/>
          <w:sz w:val="24"/>
        </w:rPr>
        <w:t>The failure to track and strip the cost of customer solicitations from distribution rates would permit AEP Ohio to subsidize its generation business through non-competitive distribution rates</w:t>
      </w:r>
      <w:r w:rsidR="00951894">
        <w:rPr>
          <w:rFonts w:ascii="Arial" w:hAnsi="Arial" w:cs="Arial"/>
          <w:sz w:val="24"/>
        </w:rPr>
        <w:t xml:space="preserve"> contrary to Ohio law</w:t>
      </w:r>
      <w:r w:rsidR="00FC1C33" w:rsidRPr="008310C1">
        <w:rPr>
          <w:rFonts w:ascii="Arial" w:hAnsi="Arial" w:cs="Arial"/>
          <w:sz w:val="24"/>
        </w:rPr>
        <w:t>.</w:t>
      </w:r>
      <w:r w:rsidR="00C94128">
        <w:rPr>
          <w:rFonts w:ascii="Arial" w:hAnsi="Arial" w:cs="Arial"/>
          <w:sz w:val="24"/>
        </w:rPr>
        <w:t xml:space="preserve"> </w:t>
      </w:r>
      <w:r w:rsidR="008A2C7C">
        <w:rPr>
          <w:rFonts w:ascii="Arial" w:hAnsi="Arial" w:cs="Arial"/>
          <w:sz w:val="24"/>
        </w:rPr>
        <w:t>T</w:t>
      </w:r>
      <w:r w:rsidR="008C05FA">
        <w:rPr>
          <w:rFonts w:ascii="Arial" w:hAnsi="Arial" w:cs="Arial"/>
          <w:sz w:val="24"/>
        </w:rPr>
        <w:t>here is no evidence in t</w:t>
      </w:r>
      <w:r>
        <w:rPr>
          <w:rFonts w:ascii="Arial" w:hAnsi="Arial" w:cs="Arial"/>
          <w:sz w:val="24"/>
        </w:rPr>
        <w:t>he</w:t>
      </w:r>
      <w:r>
        <w:rPr>
          <w:rFonts w:ascii="Arial" w:hAnsi="Arial" w:cs="Arial"/>
          <w:sz w:val="24"/>
          <w:szCs w:val="24"/>
        </w:rPr>
        <w:t xml:space="preserve"> Staff Report that these costs have been examined and excluded from distribution rates, which creates the </w:t>
      </w:r>
      <w:r w:rsidR="00297626">
        <w:rPr>
          <w:rFonts w:ascii="Arial" w:hAnsi="Arial" w:cs="Arial"/>
          <w:sz w:val="24"/>
          <w:szCs w:val="24"/>
        </w:rPr>
        <w:t>firm</w:t>
      </w:r>
      <w:r>
        <w:rPr>
          <w:rFonts w:ascii="Arial" w:hAnsi="Arial" w:cs="Arial"/>
          <w:sz w:val="24"/>
          <w:szCs w:val="24"/>
        </w:rPr>
        <w:t xml:space="preserve"> possibility that the </w:t>
      </w:r>
      <w:r>
        <w:rPr>
          <w:rFonts w:ascii="Arial" w:hAnsi="Arial" w:cs="Arial"/>
          <w:sz w:val="24"/>
          <w:szCs w:val="24"/>
        </w:rPr>
        <w:lastRenderedPageBreak/>
        <w:t xml:space="preserve">Commission could unknowingly authorize rates that improperly collect costs for these projects from non-participating </w:t>
      </w:r>
      <w:r w:rsidRPr="00A73252">
        <w:rPr>
          <w:rFonts w:ascii="Arial" w:hAnsi="Arial" w:cs="Arial"/>
          <w:sz w:val="24"/>
          <w:szCs w:val="24"/>
        </w:rPr>
        <w:t xml:space="preserve">customers.  </w:t>
      </w:r>
    </w:p>
    <w:p w14:paraId="5C1109B7" w14:textId="6D57B8EF" w:rsidR="00184841" w:rsidRDefault="000E63DF" w:rsidP="002D6964">
      <w:pPr>
        <w:pStyle w:val="Heading2"/>
      </w:pPr>
      <w:bookmarkStart w:id="36" w:name="_Toc59086442"/>
      <w:bookmarkStart w:id="37" w:name="_Toc59086497"/>
      <w:bookmarkStart w:id="38" w:name="_Toc59194850"/>
      <w:bookmarkEnd w:id="36"/>
      <w:bookmarkEnd w:id="37"/>
      <w:r>
        <w:t xml:space="preserve">An EDU cannot offer energy efficiency and demand side management programs to SSO customers and collect the associated costs on a </w:t>
      </w:r>
      <w:proofErr w:type="spellStart"/>
      <w:r>
        <w:t>bypassable</w:t>
      </w:r>
      <w:proofErr w:type="spellEnd"/>
      <w:r>
        <w:t xml:space="preserve"> basis.</w:t>
      </w:r>
      <w:bookmarkEnd w:id="38"/>
    </w:p>
    <w:p w14:paraId="64D75CAF" w14:textId="77777777" w:rsidR="00C03A60" w:rsidRPr="00C03A60" w:rsidRDefault="00C03A60" w:rsidP="00C03A60"/>
    <w:p w14:paraId="2D270510" w14:textId="05C0993D" w:rsidR="009338D2" w:rsidRPr="009338D2" w:rsidRDefault="009338D2" w:rsidP="009338D2">
      <w:pPr>
        <w:spacing w:line="480" w:lineRule="auto"/>
        <w:ind w:firstLine="720"/>
        <w:jc w:val="both"/>
        <w:rPr>
          <w:rFonts w:ascii="Arial" w:hAnsi="Arial" w:cs="Arial"/>
          <w:sz w:val="24"/>
          <w:szCs w:val="24"/>
        </w:rPr>
      </w:pPr>
      <w:bookmarkStart w:id="39" w:name="_Hlk58486670"/>
      <w:r w:rsidRPr="009338D2">
        <w:rPr>
          <w:rFonts w:ascii="Arial" w:hAnsi="Arial" w:cs="Arial"/>
          <w:sz w:val="24"/>
          <w:szCs w:val="24"/>
        </w:rPr>
        <w:t xml:space="preserve">IGS objects to the Staff Report’s finding that, in regards to energy efficiency </w:t>
      </w:r>
      <w:r w:rsidR="0020104E">
        <w:rPr>
          <w:rFonts w:ascii="Arial" w:hAnsi="Arial" w:cs="Arial"/>
          <w:sz w:val="24"/>
          <w:szCs w:val="24"/>
        </w:rPr>
        <w:t xml:space="preserve">and demand side management </w:t>
      </w:r>
      <w:r w:rsidR="00007FDB">
        <w:rPr>
          <w:rFonts w:ascii="Arial" w:hAnsi="Arial" w:cs="Arial"/>
          <w:sz w:val="24"/>
          <w:szCs w:val="24"/>
        </w:rPr>
        <w:t xml:space="preserve">(“EE/DSM”) </w:t>
      </w:r>
      <w:r w:rsidRPr="009338D2">
        <w:rPr>
          <w:rFonts w:ascii="Arial" w:hAnsi="Arial" w:cs="Arial"/>
          <w:sz w:val="24"/>
          <w:szCs w:val="24"/>
        </w:rPr>
        <w:t>products and services, “a utility could offer programs for customers who elect to stay on the standard service offer, for which the associated costs could be recovered on a by-passable basis.”</w:t>
      </w:r>
      <w:r w:rsidRPr="009338D2">
        <w:rPr>
          <w:rStyle w:val="FootnoteReference"/>
          <w:rFonts w:cs="Arial"/>
          <w:sz w:val="24"/>
          <w:szCs w:val="24"/>
        </w:rPr>
        <w:footnoteReference w:id="43"/>
      </w:r>
      <w:r w:rsidRPr="009338D2">
        <w:rPr>
          <w:rFonts w:ascii="Arial" w:hAnsi="Arial" w:cs="Arial"/>
          <w:sz w:val="24"/>
          <w:szCs w:val="24"/>
        </w:rPr>
        <w:t xml:space="preserve"> </w:t>
      </w:r>
    </w:p>
    <w:p w14:paraId="7CFDD8EF" w14:textId="50AABB2F" w:rsidR="00E63E1B" w:rsidRDefault="005D17EB" w:rsidP="00E63E1B">
      <w:pPr>
        <w:spacing w:line="480" w:lineRule="auto"/>
        <w:ind w:firstLine="720"/>
        <w:jc w:val="both"/>
        <w:rPr>
          <w:rFonts w:ascii="Arial" w:hAnsi="Arial" w:cs="Arial"/>
          <w:sz w:val="24"/>
          <w:szCs w:val="24"/>
        </w:rPr>
      </w:pPr>
      <w:r>
        <w:rPr>
          <w:rFonts w:ascii="Arial" w:hAnsi="Arial" w:cs="Arial"/>
          <w:sz w:val="24"/>
          <w:szCs w:val="24"/>
        </w:rPr>
        <w:t xml:space="preserve">Initially, the Staff Report </w:t>
      </w:r>
      <w:r w:rsidR="00B55C7A">
        <w:rPr>
          <w:rFonts w:ascii="Arial" w:hAnsi="Arial" w:cs="Arial"/>
          <w:sz w:val="24"/>
          <w:szCs w:val="24"/>
        </w:rPr>
        <w:t>properly</w:t>
      </w:r>
      <w:r>
        <w:rPr>
          <w:rFonts w:ascii="Arial" w:hAnsi="Arial" w:cs="Arial"/>
          <w:sz w:val="24"/>
          <w:szCs w:val="24"/>
        </w:rPr>
        <w:t xml:space="preserve"> </w:t>
      </w:r>
      <w:r w:rsidR="00A54EA2">
        <w:rPr>
          <w:rFonts w:ascii="Arial" w:hAnsi="Arial" w:cs="Arial"/>
          <w:sz w:val="24"/>
          <w:szCs w:val="24"/>
        </w:rPr>
        <w:t xml:space="preserve">recommends denial of </w:t>
      </w:r>
      <w:r w:rsidR="009338D2" w:rsidRPr="009338D2">
        <w:rPr>
          <w:rFonts w:ascii="Arial" w:hAnsi="Arial" w:cs="Arial"/>
          <w:sz w:val="24"/>
          <w:szCs w:val="24"/>
        </w:rPr>
        <w:t xml:space="preserve">AEP Ohio’s proposal to recover the costs associated with a portfolio of </w:t>
      </w:r>
      <w:r w:rsidR="00007FDB">
        <w:rPr>
          <w:rFonts w:ascii="Arial" w:hAnsi="Arial" w:cs="Arial"/>
          <w:sz w:val="24"/>
          <w:szCs w:val="24"/>
        </w:rPr>
        <w:t>EE/DSM</w:t>
      </w:r>
      <w:r w:rsidR="009338D2" w:rsidRPr="009338D2">
        <w:rPr>
          <w:rFonts w:ascii="Arial" w:hAnsi="Arial" w:cs="Arial"/>
          <w:sz w:val="24"/>
          <w:szCs w:val="24"/>
        </w:rPr>
        <w:t xml:space="preserve"> programs, the Demand Side Management Plan (“DSM Plan”), through its non-</w:t>
      </w:r>
      <w:proofErr w:type="spellStart"/>
      <w:r w:rsidR="009338D2" w:rsidRPr="009338D2">
        <w:rPr>
          <w:rFonts w:ascii="Arial" w:hAnsi="Arial" w:cs="Arial"/>
          <w:sz w:val="24"/>
          <w:szCs w:val="24"/>
        </w:rPr>
        <w:t>bypassable</w:t>
      </w:r>
      <w:proofErr w:type="spellEnd"/>
      <w:r w:rsidR="009338D2" w:rsidRPr="009338D2">
        <w:rPr>
          <w:rFonts w:ascii="Arial" w:hAnsi="Arial" w:cs="Arial"/>
          <w:sz w:val="24"/>
          <w:szCs w:val="24"/>
        </w:rPr>
        <w:t xml:space="preserve"> Economic Development Rider.</w:t>
      </w:r>
      <w:r w:rsidR="009338D2" w:rsidRPr="009338D2">
        <w:rPr>
          <w:rStyle w:val="FootnoteReference"/>
          <w:rFonts w:cs="Arial"/>
          <w:sz w:val="24"/>
          <w:szCs w:val="24"/>
        </w:rPr>
        <w:footnoteReference w:id="44"/>
      </w:r>
      <w:r w:rsidR="009338D2" w:rsidRPr="009338D2">
        <w:rPr>
          <w:rFonts w:ascii="Arial" w:hAnsi="Arial" w:cs="Arial"/>
          <w:sz w:val="24"/>
          <w:szCs w:val="24"/>
        </w:rPr>
        <w:t xml:space="preserve"> </w:t>
      </w:r>
      <w:r w:rsidR="00E20199">
        <w:rPr>
          <w:rFonts w:ascii="Arial" w:hAnsi="Arial" w:cs="Arial"/>
          <w:sz w:val="24"/>
          <w:szCs w:val="24"/>
        </w:rPr>
        <w:t xml:space="preserve">The Staff Report </w:t>
      </w:r>
      <w:r w:rsidR="00214DC2">
        <w:rPr>
          <w:rFonts w:ascii="Arial" w:hAnsi="Arial" w:cs="Arial"/>
          <w:sz w:val="24"/>
          <w:szCs w:val="24"/>
        </w:rPr>
        <w:t>offers</w:t>
      </w:r>
      <w:r w:rsidR="00E20199">
        <w:rPr>
          <w:rFonts w:ascii="Arial" w:hAnsi="Arial" w:cs="Arial"/>
          <w:sz w:val="24"/>
          <w:szCs w:val="24"/>
        </w:rPr>
        <w:t xml:space="preserve"> </w:t>
      </w:r>
      <w:r w:rsidR="003C51AB">
        <w:rPr>
          <w:rFonts w:ascii="Arial" w:hAnsi="Arial" w:cs="Arial"/>
          <w:sz w:val="24"/>
          <w:szCs w:val="24"/>
        </w:rPr>
        <w:t xml:space="preserve">a multitude of </w:t>
      </w:r>
      <w:r w:rsidR="001B6610">
        <w:rPr>
          <w:rFonts w:ascii="Arial" w:hAnsi="Arial" w:cs="Arial"/>
          <w:sz w:val="24"/>
          <w:szCs w:val="24"/>
        </w:rPr>
        <w:t xml:space="preserve">compelling </w:t>
      </w:r>
      <w:r w:rsidR="003C51AB">
        <w:rPr>
          <w:rFonts w:ascii="Arial" w:hAnsi="Arial" w:cs="Arial"/>
          <w:sz w:val="24"/>
          <w:szCs w:val="24"/>
        </w:rPr>
        <w:t>reasons</w:t>
      </w:r>
      <w:r w:rsidR="00546AD4">
        <w:rPr>
          <w:rFonts w:ascii="Arial" w:hAnsi="Arial" w:cs="Arial"/>
          <w:sz w:val="24"/>
          <w:szCs w:val="24"/>
        </w:rPr>
        <w:t xml:space="preserve"> </w:t>
      </w:r>
      <w:r w:rsidR="00E06875">
        <w:rPr>
          <w:rFonts w:ascii="Arial" w:hAnsi="Arial" w:cs="Arial"/>
          <w:sz w:val="24"/>
          <w:szCs w:val="24"/>
        </w:rPr>
        <w:t>to reject</w:t>
      </w:r>
      <w:r w:rsidR="007C31AA">
        <w:rPr>
          <w:rFonts w:ascii="Arial" w:hAnsi="Arial" w:cs="Arial"/>
          <w:sz w:val="24"/>
          <w:szCs w:val="24"/>
        </w:rPr>
        <w:t xml:space="preserve"> this plan</w:t>
      </w:r>
      <w:r w:rsidR="002B00EF">
        <w:rPr>
          <w:rFonts w:ascii="Arial" w:hAnsi="Arial" w:cs="Arial"/>
          <w:sz w:val="24"/>
          <w:szCs w:val="24"/>
        </w:rPr>
        <w:t xml:space="preserve">, including the </w:t>
      </w:r>
      <w:r w:rsidR="00683518">
        <w:rPr>
          <w:rFonts w:ascii="Arial" w:hAnsi="Arial" w:cs="Arial"/>
          <w:sz w:val="24"/>
          <w:szCs w:val="24"/>
        </w:rPr>
        <w:t xml:space="preserve">unnecessary risk on ratepayers, </w:t>
      </w:r>
      <w:r w:rsidR="003220B0">
        <w:rPr>
          <w:rFonts w:ascii="Arial" w:hAnsi="Arial" w:cs="Arial"/>
          <w:sz w:val="24"/>
          <w:szCs w:val="24"/>
        </w:rPr>
        <w:t xml:space="preserve">the </w:t>
      </w:r>
      <w:r w:rsidR="008059FC">
        <w:rPr>
          <w:rFonts w:ascii="Arial" w:hAnsi="Arial" w:cs="Arial"/>
          <w:sz w:val="24"/>
          <w:szCs w:val="24"/>
        </w:rPr>
        <w:t xml:space="preserve">legislative uncertainty surrounding H.B. 6, </w:t>
      </w:r>
      <w:r w:rsidR="00730AEA">
        <w:rPr>
          <w:rFonts w:ascii="Arial" w:hAnsi="Arial" w:cs="Arial"/>
          <w:sz w:val="24"/>
          <w:szCs w:val="24"/>
        </w:rPr>
        <w:t xml:space="preserve">and recent </w:t>
      </w:r>
      <w:r w:rsidR="002A7F57">
        <w:rPr>
          <w:rFonts w:ascii="Arial" w:hAnsi="Arial" w:cs="Arial"/>
          <w:sz w:val="24"/>
          <w:szCs w:val="24"/>
        </w:rPr>
        <w:t xml:space="preserve">Commission </w:t>
      </w:r>
      <w:r w:rsidR="003E547D">
        <w:rPr>
          <w:rFonts w:ascii="Arial" w:hAnsi="Arial" w:cs="Arial"/>
          <w:sz w:val="24"/>
          <w:szCs w:val="24"/>
        </w:rPr>
        <w:t>guidance</w:t>
      </w:r>
      <w:r w:rsidR="00900077">
        <w:rPr>
          <w:rFonts w:ascii="Arial" w:hAnsi="Arial" w:cs="Arial"/>
          <w:sz w:val="24"/>
          <w:szCs w:val="24"/>
        </w:rPr>
        <w:t xml:space="preserve"> that</w:t>
      </w:r>
      <w:r w:rsidR="00BF0EF9">
        <w:rPr>
          <w:rFonts w:ascii="Arial" w:hAnsi="Arial" w:cs="Arial"/>
          <w:sz w:val="24"/>
          <w:szCs w:val="24"/>
        </w:rPr>
        <w:t xml:space="preserve"> the </w:t>
      </w:r>
      <w:r w:rsidR="00BF0EF9" w:rsidRPr="00326D77">
        <w:rPr>
          <w:rFonts w:ascii="Arial" w:hAnsi="Arial" w:cs="Arial"/>
          <w:sz w:val="24"/>
          <w:szCs w:val="24"/>
        </w:rPr>
        <w:t>retail</w:t>
      </w:r>
      <w:r w:rsidR="00BF0EF9">
        <w:rPr>
          <w:rFonts w:ascii="Arial" w:hAnsi="Arial" w:cs="Arial"/>
          <w:sz w:val="24"/>
          <w:szCs w:val="24"/>
        </w:rPr>
        <w:t xml:space="preserve"> </w:t>
      </w:r>
      <w:r w:rsidR="00BF0EF9" w:rsidRPr="00326D77">
        <w:rPr>
          <w:rFonts w:ascii="Arial" w:hAnsi="Arial" w:cs="Arial"/>
          <w:sz w:val="24"/>
          <w:szCs w:val="24"/>
        </w:rPr>
        <w:t>market should be offering EE/DSM programs so that customers can choose their desired products and</w:t>
      </w:r>
      <w:r w:rsidR="00BF0EF9">
        <w:rPr>
          <w:rFonts w:ascii="Arial" w:hAnsi="Arial" w:cs="Arial"/>
          <w:sz w:val="24"/>
          <w:szCs w:val="24"/>
        </w:rPr>
        <w:t xml:space="preserve"> </w:t>
      </w:r>
      <w:r w:rsidR="00BF0EF9" w:rsidRPr="00326D77">
        <w:rPr>
          <w:rFonts w:ascii="Arial" w:hAnsi="Arial" w:cs="Arial"/>
          <w:sz w:val="24"/>
          <w:szCs w:val="24"/>
        </w:rPr>
        <w:t>services</w:t>
      </w:r>
      <w:r w:rsidR="00BF0EF9">
        <w:rPr>
          <w:rFonts w:ascii="Arial" w:hAnsi="Arial" w:cs="Arial"/>
          <w:sz w:val="24"/>
          <w:szCs w:val="24"/>
        </w:rPr>
        <w:t>.</w:t>
      </w:r>
      <w:r w:rsidR="00BF0EF9">
        <w:rPr>
          <w:rStyle w:val="FootnoteReference"/>
          <w:rFonts w:cs="Arial"/>
          <w:szCs w:val="24"/>
        </w:rPr>
        <w:footnoteReference w:id="45"/>
      </w:r>
      <w:r w:rsidR="00BF0EF9">
        <w:rPr>
          <w:rFonts w:ascii="Arial" w:hAnsi="Arial" w:cs="Arial"/>
          <w:sz w:val="24"/>
          <w:szCs w:val="24"/>
        </w:rPr>
        <w:t xml:space="preserve">  </w:t>
      </w:r>
      <w:r w:rsidR="00DF6BE9">
        <w:rPr>
          <w:rFonts w:ascii="Arial" w:hAnsi="Arial" w:cs="Arial"/>
          <w:sz w:val="24"/>
          <w:szCs w:val="24"/>
        </w:rPr>
        <w:t xml:space="preserve">However, </w:t>
      </w:r>
      <w:r w:rsidR="000C7F3B">
        <w:rPr>
          <w:rFonts w:ascii="Arial" w:hAnsi="Arial" w:cs="Arial"/>
          <w:sz w:val="24"/>
          <w:szCs w:val="24"/>
        </w:rPr>
        <w:t xml:space="preserve">as an alternative, the Staff Report </w:t>
      </w:r>
      <w:r w:rsidR="001B6610">
        <w:rPr>
          <w:rFonts w:ascii="Arial" w:hAnsi="Arial" w:cs="Arial"/>
          <w:sz w:val="24"/>
          <w:szCs w:val="24"/>
        </w:rPr>
        <w:t>suggests</w:t>
      </w:r>
      <w:r w:rsidR="000C7F3B">
        <w:rPr>
          <w:rFonts w:ascii="Arial" w:hAnsi="Arial" w:cs="Arial"/>
          <w:sz w:val="24"/>
          <w:szCs w:val="24"/>
        </w:rPr>
        <w:t xml:space="preserve"> that </w:t>
      </w:r>
      <w:r w:rsidR="006E1427">
        <w:rPr>
          <w:rFonts w:ascii="Arial" w:hAnsi="Arial" w:cs="Arial"/>
          <w:sz w:val="24"/>
          <w:szCs w:val="24"/>
        </w:rPr>
        <w:t xml:space="preserve">an EDU could offer </w:t>
      </w:r>
      <w:r w:rsidR="007F68A7">
        <w:rPr>
          <w:rFonts w:ascii="Arial" w:hAnsi="Arial" w:cs="Arial"/>
          <w:sz w:val="24"/>
          <w:szCs w:val="24"/>
        </w:rPr>
        <w:t xml:space="preserve">EE/DSM </w:t>
      </w:r>
      <w:r w:rsidR="00EE474C">
        <w:rPr>
          <w:rFonts w:ascii="Arial" w:hAnsi="Arial" w:cs="Arial"/>
          <w:sz w:val="24"/>
          <w:szCs w:val="24"/>
        </w:rPr>
        <w:t xml:space="preserve">programs to </w:t>
      </w:r>
      <w:r w:rsidR="00DB5232">
        <w:rPr>
          <w:rFonts w:ascii="Arial" w:hAnsi="Arial" w:cs="Arial"/>
          <w:sz w:val="24"/>
          <w:szCs w:val="24"/>
        </w:rPr>
        <w:t>only those</w:t>
      </w:r>
      <w:r w:rsidR="00EE474C">
        <w:rPr>
          <w:rFonts w:ascii="Arial" w:hAnsi="Arial" w:cs="Arial"/>
          <w:sz w:val="24"/>
          <w:szCs w:val="24"/>
        </w:rPr>
        <w:t xml:space="preserve"> customers on the </w:t>
      </w:r>
      <w:r w:rsidR="00151FF2">
        <w:rPr>
          <w:rFonts w:ascii="Arial" w:hAnsi="Arial" w:cs="Arial"/>
          <w:sz w:val="24"/>
          <w:szCs w:val="24"/>
        </w:rPr>
        <w:t>SSO</w:t>
      </w:r>
      <w:r w:rsidR="00EE474C">
        <w:rPr>
          <w:rFonts w:ascii="Arial" w:hAnsi="Arial" w:cs="Arial"/>
          <w:sz w:val="24"/>
          <w:szCs w:val="24"/>
        </w:rPr>
        <w:t xml:space="preserve"> </w:t>
      </w:r>
      <w:r w:rsidR="00DB5232">
        <w:rPr>
          <w:rFonts w:ascii="Arial" w:hAnsi="Arial" w:cs="Arial"/>
          <w:sz w:val="24"/>
          <w:szCs w:val="24"/>
        </w:rPr>
        <w:t xml:space="preserve">and collect the costs on a </w:t>
      </w:r>
      <w:proofErr w:type="spellStart"/>
      <w:r w:rsidR="00DB5232">
        <w:rPr>
          <w:rFonts w:ascii="Arial" w:hAnsi="Arial" w:cs="Arial"/>
          <w:sz w:val="24"/>
          <w:szCs w:val="24"/>
        </w:rPr>
        <w:t>bypassable</w:t>
      </w:r>
      <w:proofErr w:type="spellEnd"/>
      <w:r w:rsidR="00DB5232">
        <w:rPr>
          <w:rFonts w:ascii="Arial" w:hAnsi="Arial" w:cs="Arial"/>
          <w:sz w:val="24"/>
          <w:szCs w:val="24"/>
        </w:rPr>
        <w:t xml:space="preserve"> basis.</w:t>
      </w:r>
      <w:r w:rsidR="00DB5232">
        <w:rPr>
          <w:rStyle w:val="FootnoteReference"/>
          <w:rFonts w:cs="Arial"/>
          <w:szCs w:val="24"/>
        </w:rPr>
        <w:footnoteReference w:id="46"/>
      </w:r>
      <w:r w:rsidR="00DB5232">
        <w:rPr>
          <w:rFonts w:ascii="Arial" w:hAnsi="Arial" w:cs="Arial"/>
          <w:sz w:val="24"/>
          <w:szCs w:val="24"/>
        </w:rPr>
        <w:t xml:space="preserve"> </w:t>
      </w:r>
    </w:p>
    <w:p w14:paraId="54A0854F" w14:textId="2EC858D8" w:rsidR="009338D2" w:rsidRPr="009338D2" w:rsidRDefault="002D65E9" w:rsidP="00AD2318">
      <w:pPr>
        <w:spacing w:line="480" w:lineRule="auto"/>
        <w:ind w:firstLine="720"/>
        <w:jc w:val="both"/>
      </w:pPr>
      <w:r>
        <w:rPr>
          <w:rFonts w:ascii="Arial" w:hAnsi="Arial" w:cs="Arial"/>
          <w:sz w:val="24"/>
          <w:szCs w:val="24"/>
        </w:rPr>
        <w:t xml:space="preserve">IGS objects to this </w:t>
      </w:r>
      <w:r w:rsidR="00692648">
        <w:rPr>
          <w:rFonts w:ascii="Arial" w:hAnsi="Arial" w:cs="Arial"/>
          <w:sz w:val="24"/>
          <w:szCs w:val="24"/>
        </w:rPr>
        <w:t>finding</w:t>
      </w:r>
      <w:r w:rsidR="00602130">
        <w:rPr>
          <w:rFonts w:ascii="Arial" w:hAnsi="Arial" w:cs="Arial"/>
          <w:sz w:val="24"/>
          <w:szCs w:val="24"/>
        </w:rPr>
        <w:t xml:space="preserve"> </w:t>
      </w:r>
      <w:r w:rsidR="00175A33">
        <w:rPr>
          <w:rFonts w:ascii="Arial" w:hAnsi="Arial" w:cs="Arial"/>
          <w:sz w:val="24"/>
          <w:szCs w:val="24"/>
        </w:rPr>
        <w:t xml:space="preserve">for </w:t>
      </w:r>
      <w:proofErr w:type="gramStart"/>
      <w:r w:rsidR="00602130">
        <w:rPr>
          <w:rFonts w:ascii="Arial" w:hAnsi="Arial" w:cs="Arial"/>
          <w:sz w:val="24"/>
          <w:szCs w:val="24"/>
        </w:rPr>
        <w:t>all</w:t>
      </w:r>
      <w:r w:rsidR="00397BB9">
        <w:rPr>
          <w:rFonts w:ascii="Arial" w:hAnsi="Arial" w:cs="Arial"/>
          <w:sz w:val="24"/>
          <w:szCs w:val="24"/>
        </w:rPr>
        <w:t xml:space="preserve"> of</w:t>
      </w:r>
      <w:proofErr w:type="gramEnd"/>
      <w:r w:rsidR="00B54675">
        <w:rPr>
          <w:rFonts w:ascii="Arial" w:hAnsi="Arial" w:cs="Arial"/>
          <w:sz w:val="24"/>
          <w:szCs w:val="24"/>
        </w:rPr>
        <w:t xml:space="preserve"> the reasons that the Staff Report declined to recommend </w:t>
      </w:r>
      <w:r w:rsidR="00292913">
        <w:rPr>
          <w:rFonts w:ascii="Arial" w:hAnsi="Arial" w:cs="Arial"/>
          <w:sz w:val="24"/>
          <w:szCs w:val="24"/>
        </w:rPr>
        <w:t xml:space="preserve">the </w:t>
      </w:r>
      <w:r w:rsidR="00EB63A4">
        <w:rPr>
          <w:rFonts w:ascii="Arial" w:hAnsi="Arial" w:cs="Arial"/>
          <w:sz w:val="24"/>
          <w:szCs w:val="24"/>
        </w:rPr>
        <w:t xml:space="preserve">proposed </w:t>
      </w:r>
      <w:r w:rsidR="00292913">
        <w:rPr>
          <w:rFonts w:ascii="Arial" w:hAnsi="Arial" w:cs="Arial"/>
          <w:sz w:val="24"/>
          <w:szCs w:val="24"/>
        </w:rPr>
        <w:t>non</w:t>
      </w:r>
      <w:r w:rsidR="00F44026">
        <w:rPr>
          <w:rFonts w:ascii="Arial" w:hAnsi="Arial" w:cs="Arial"/>
          <w:sz w:val="24"/>
          <w:szCs w:val="24"/>
        </w:rPr>
        <w:t>-</w:t>
      </w:r>
      <w:proofErr w:type="spellStart"/>
      <w:r w:rsidR="00292913">
        <w:rPr>
          <w:rFonts w:ascii="Arial" w:hAnsi="Arial" w:cs="Arial"/>
          <w:sz w:val="24"/>
          <w:szCs w:val="24"/>
        </w:rPr>
        <w:t>bypassable</w:t>
      </w:r>
      <w:proofErr w:type="spellEnd"/>
      <w:r w:rsidR="00292913">
        <w:rPr>
          <w:rFonts w:ascii="Arial" w:hAnsi="Arial" w:cs="Arial"/>
          <w:sz w:val="24"/>
          <w:szCs w:val="24"/>
        </w:rPr>
        <w:t xml:space="preserve"> DSM Plan</w:t>
      </w:r>
      <w:r w:rsidR="004E37DA">
        <w:rPr>
          <w:rFonts w:ascii="Arial" w:hAnsi="Arial" w:cs="Arial"/>
          <w:sz w:val="24"/>
          <w:szCs w:val="24"/>
        </w:rPr>
        <w:t>.</w:t>
      </w:r>
      <w:r w:rsidR="0057125D">
        <w:rPr>
          <w:rFonts w:ascii="Arial" w:hAnsi="Arial" w:cs="Arial"/>
          <w:sz w:val="24"/>
          <w:szCs w:val="24"/>
        </w:rPr>
        <w:t xml:space="preserve"> </w:t>
      </w:r>
      <w:r w:rsidR="00F76FF3">
        <w:rPr>
          <w:rFonts w:ascii="Arial" w:hAnsi="Arial" w:cs="Arial"/>
          <w:sz w:val="24"/>
          <w:szCs w:val="24"/>
        </w:rPr>
        <w:t xml:space="preserve">Risk would </w:t>
      </w:r>
      <w:r w:rsidR="00AD4344">
        <w:rPr>
          <w:rFonts w:ascii="Arial" w:hAnsi="Arial" w:cs="Arial"/>
          <w:sz w:val="24"/>
          <w:szCs w:val="24"/>
        </w:rPr>
        <w:t xml:space="preserve">still fall onto the </w:t>
      </w:r>
      <w:r w:rsidR="00AD4344">
        <w:rPr>
          <w:rFonts w:ascii="Arial" w:hAnsi="Arial" w:cs="Arial"/>
          <w:sz w:val="24"/>
          <w:szCs w:val="24"/>
        </w:rPr>
        <w:lastRenderedPageBreak/>
        <w:t xml:space="preserve">ratepayers, and </w:t>
      </w:r>
      <w:r w:rsidR="005970F1">
        <w:rPr>
          <w:rFonts w:ascii="Arial" w:hAnsi="Arial" w:cs="Arial"/>
          <w:sz w:val="24"/>
          <w:szCs w:val="24"/>
        </w:rPr>
        <w:t xml:space="preserve">it would still be </w:t>
      </w:r>
      <w:r w:rsidR="00765A23">
        <w:rPr>
          <w:rFonts w:ascii="Arial" w:hAnsi="Arial" w:cs="Arial"/>
          <w:sz w:val="24"/>
          <w:szCs w:val="24"/>
        </w:rPr>
        <w:t xml:space="preserve">requiring customers to participate in costly EE/DSM programs </w:t>
      </w:r>
      <w:r w:rsidR="005970F1">
        <w:rPr>
          <w:rFonts w:ascii="Arial" w:hAnsi="Arial" w:cs="Arial"/>
          <w:sz w:val="24"/>
          <w:szCs w:val="24"/>
        </w:rPr>
        <w:t>despite the General Assembly</w:t>
      </w:r>
      <w:r w:rsidR="00140337">
        <w:rPr>
          <w:rFonts w:ascii="Arial" w:hAnsi="Arial" w:cs="Arial"/>
          <w:sz w:val="24"/>
          <w:szCs w:val="24"/>
        </w:rPr>
        <w:t xml:space="preserve"> and Commission </w:t>
      </w:r>
      <w:r w:rsidR="00353A36">
        <w:rPr>
          <w:rFonts w:ascii="Arial" w:hAnsi="Arial" w:cs="Arial"/>
          <w:sz w:val="24"/>
          <w:szCs w:val="24"/>
        </w:rPr>
        <w:t xml:space="preserve">directives </w:t>
      </w:r>
      <w:r w:rsidR="00140337" w:rsidRPr="00C721AE">
        <w:rPr>
          <w:rFonts w:ascii="Arial" w:hAnsi="Arial" w:cs="Arial"/>
          <w:sz w:val="24"/>
          <w:szCs w:val="24"/>
        </w:rPr>
        <w:t>to the contrary</w:t>
      </w:r>
      <w:r w:rsidR="00140337">
        <w:rPr>
          <w:rFonts w:ascii="Arial" w:hAnsi="Arial" w:cs="Arial"/>
          <w:sz w:val="24"/>
          <w:szCs w:val="24"/>
        </w:rPr>
        <w:t xml:space="preserve">. Indeed, </w:t>
      </w:r>
      <w:r w:rsidR="00A264AE">
        <w:rPr>
          <w:rFonts w:ascii="Arial" w:hAnsi="Arial" w:cs="Arial"/>
          <w:sz w:val="24"/>
          <w:szCs w:val="24"/>
        </w:rPr>
        <w:t>the</w:t>
      </w:r>
      <w:r w:rsidR="00FF2586" w:rsidRPr="00A73252">
        <w:rPr>
          <w:rFonts w:ascii="Arial" w:hAnsi="Arial" w:cs="Arial"/>
          <w:sz w:val="24"/>
          <w:szCs w:val="24"/>
        </w:rPr>
        <w:t xml:space="preserve"> Commission</w:t>
      </w:r>
      <w:r w:rsidR="00A264AE">
        <w:rPr>
          <w:rFonts w:ascii="Arial" w:hAnsi="Arial" w:cs="Arial"/>
          <w:sz w:val="24"/>
          <w:szCs w:val="24"/>
        </w:rPr>
        <w:t xml:space="preserve"> expressly stated</w:t>
      </w:r>
      <w:r w:rsidR="005F2A69" w:rsidRPr="00A73252">
        <w:rPr>
          <w:rFonts w:ascii="Arial" w:hAnsi="Arial" w:cs="Arial"/>
          <w:sz w:val="24"/>
          <w:szCs w:val="24"/>
        </w:rPr>
        <w:t xml:space="preserve"> </w:t>
      </w:r>
      <w:r w:rsidR="00900077" w:rsidRPr="00A73252">
        <w:rPr>
          <w:rFonts w:ascii="Arial" w:hAnsi="Arial" w:cs="Arial"/>
          <w:sz w:val="24"/>
          <w:szCs w:val="24"/>
        </w:rPr>
        <w:t>“</w:t>
      </w:r>
      <w:r w:rsidR="00BD55E5" w:rsidRPr="00A73252">
        <w:rPr>
          <w:rFonts w:ascii="Arial" w:hAnsi="Arial" w:cs="Arial"/>
          <w:sz w:val="24"/>
          <w:szCs w:val="24"/>
        </w:rPr>
        <w:t xml:space="preserve">that, in light of HB 6, </w:t>
      </w:r>
      <w:r w:rsidR="00900077" w:rsidRPr="00A01D0E">
        <w:rPr>
          <w:rFonts w:ascii="Arial" w:hAnsi="Arial" w:cs="Arial"/>
          <w:sz w:val="24"/>
          <w:szCs w:val="24"/>
        </w:rPr>
        <w:t>the future</w:t>
      </w:r>
      <w:r w:rsidR="00B778CC" w:rsidRPr="00A01D0E">
        <w:rPr>
          <w:rFonts w:ascii="Arial" w:hAnsi="Arial" w:cs="Arial"/>
          <w:sz w:val="24"/>
          <w:szCs w:val="24"/>
        </w:rPr>
        <w:t xml:space="preserve"> </w:t>
      </w:r>
      <w:r w:rsidR="00A3581D" w:rsidRPr="00A01D0E">
        <w:rPr>
          <w:rFonts w:ascii="Arial" w:hAnsi="Arial" w:cs="Arial"/>
          <w:sz w:val="24"/>
          <w:szCs w:val="24"/>
        </w:rPr>
        <w:t>for EE programs in this state will be best served by reliance upon market-based approaches such as those available through PJM and competitive retail electric service providers.”</w:t>
      </w:r>
      <w:r w:rsidR="004E37DA" w:rsidRPr="00A73252">
        <w:rPr>
          <w:rStyle w:val="FootnoteReference"/>
          <w:rFonts w:cs="Arial"/>
          <w:szCs w:val="24"/>
        </w:rPr>
        <w:footnoteReference w:id="47"/>
      </w:r>
      <w:r w:rsidR="003E547D" w:rsidRPr="00A73252">
        <w:rPr>
          <w:rFonts w:ascii="Arial" w:hAnsi="Arial" w:cs="Arial"/>
          <w:sz w:val="24"/>
          <w:szCs w:val="24"/>
        </w:rPr>
        <w:t xml:space="preserve"> </w:t>
      </w:r>
      <w:r w:rsidR="00FD02E6">
        <w:rPr>
          <w:rFonts w:ascii="Arial" w:hAnsi="Arial" w:cs="Arial"/>
          <w:sz w:val="24"/>
          <w:szCs w:val="24"/>
        </w:rPr>
        <w:t xml:space="preserve">Therefore, </w:t>
      </w:r>
      <w:r w:rsidR="00761668">
        <w:rPr>
          <w:rFonts w:ascii="Arial" w:hAnsi="Arial" w:cs="Arial"/>
          <w:sz w:val="24"/>
          <w:szCs w:val="24"/>
        </w:rPr>
        <w:t>the Staff Report’s recommendation should be denied.</w:t>
      </w:r>
      <w:bookmarkEnd w:id="39"/>
    </w:p>
    <w:p w14:paraId="11EBD52F" w14:textId="1859A150" w:rsidR="000853E8" w:rsidRDefault="00C03A60" w:rsidP="000853E8">
      <w:pPr>
        <w:pStyle w:val="Heading2"/>
      </w:pPr>
      <w:bookmarkStart w:id="40" w:name="_Hlk58497899"/>
      <w:bookmarkStart w:id="41" w:name="_Toc59194851"/>
      <w:r>
        <w:t xml:space="preserve">The Staff Report failed to recommend the elimination of the </w:t>
      </w:r>
      <w:r w:rsidR="000853E8">
        <w:t>Direct Load Control Program</w:t>
      </w:r>
      <w:r>
        <w:t>.</w:t>
      </w:r>
      <w:bookmarkEnd w:id="41"/>
    </w:p>
    <w:p w14:paraId="7254E6D6" w14:textId="77777777" w:rsidR="00C03A60" w:rsidRPr="00C03A60" w:rsidRDefault="00C03A60" w:rsidP="00C03A60"/>
    <w:p w14:paraId="3B7A3983" w14:textId="28E99A66" w:rsidR="0050021F" w:rsidRPr="0050021F" w:rsidRDefault="0050021F" w:rsidP="000853E8">
      <w:pPr>
        <w:spacing w:line="480" w:lineRule="auto"/>
        <w:ind w:firstLine="720"/>
        <w:jc w:val="both"/>
        <w:rPr>
          <w:rFonts w:ascii="Arial" w:hAnsi="Arial" w:cs="Arial"/>
          <w:sz w:val="24"/>
          <w:szCs w:val="24"/>
        </w:rPr>
      </w:pPr>
      <w:r w:rsidRPr="0050021F">
        <w:rPr>
          <w:rFonts w:ascii="Arial" w:hAnsi="Arial" w:cs="Arial"/>
          <w:sz w:val="24"/>
          <w:szCs w:val="24"/>
        </w:rPr>
        <w:t xml:space="preserve">IGS objects to the Staff Report’s failure to recommend the termination of AEP Ohio’s Direct Load Control (“DLC” or “Rider DLC”) Program. </w:t>
      </w:r>
      <w:r w:rsidR="00574C0C">
        <w:rPr>
          <w:rFonts w:ascii="Arial" w:hAnsi="Arial" w:cs="Arial"/>
          <w:sz w:val="24"/>
          <w:szCs w:val="24"/>
        </w:rPr>
        <w:t xml:space="preserve">As noted above, </w:t>
      </w:r>
      <w:r w:rsidRPr="0050021F">
        <w:rPr>
          <w:rFonts w:ascii="Arial" w:hAnsi="Arial" w:cs="Arial"/>
          <w:sz w:val="24"/>
          <w:szCs w:val="24"/>
        </w:rPr>
        <w:t xml:space="preserve">the Staff Report properly recommends the denial of AEP Ohio’s request to recover costs associated with its proposed DSM Plan, </w:t>
      </w:r>
      <w:r w:rsidR="00574C0C">
        <w:rPr>
          <w:rFonts w:ascii="Arial" w:hAnsi="Arial" w:cs="Arial"/>
          <w:sz w:val="24"/>
          <w:szCs w:val="24"/>
        </w:rPr>
        <w:t xml:space="preserve">however, </w:t>
      </w:r>
      <w:r w:rsidRPr="0050021F">
        <w:rPr>
          <w:rFonts w:ascii="Arial" w:hAnsi="Arial" w:cs="Arial"/>
          <w:sz w:val="24"/>
          <w:szCs w:val="24"/>
        </w:rPr>
        <w:t xml:space="preserve">the Staff Report should have also applied that recommendation to Rider DLC.  </w:t>
      </w:r>
    </w:p>
    <w:p w14:paraId="36847D76" w14:textId="74912B22" w:rsidR="00410D48" w:rsidRPr="00E0580B" w:rsidRDefault="008D5C54" w:rsidP="00E0580B">
      <w:pPr>
        <w:spacing w:line="480" w:lineRule="auto"/>
        <w:ind w:firstLine="720"/>
        <w:jc w:val="both"/>
        <w:rPr>
          <w:rFonts w:ascii="Arial" w:hAnsi="Arial" w:cs="Arial"/>
          <w:sz w:val="24"/>
          <w:szCs w:val="24"/>
        </w:rPr>
      </w:pPr>
      <w:r>
        <w:rPr>
          <w:rFonts w:ascii="Arial" w:hAnsi="Arial" w:cs="Arial"/>
          <w:sz w:val="24"/>
          <w:szCs w:val="24"/>
        </w:rPr>
        <w:t>Elimination of the DLC tariff</w:t>
      </w:r>
      <w:r w:rsidR="007106C3">
        <w:rPr>
          <w:rFonts w:ascii="Arial" w:hAnsi="Arial" w:cs="Arial"/>
          <w:sz w:val="24"/>
          <w:szCs w:val="24"/>
        </w:rPr>
        <w:t xml:space="preserve"> </w:t>
      </w:r>
      <w:r>
        <w:rPr>
          <w:rFonts w:ascii="Arial" w:hAnsi="Arial" w:cs="Arial"/>
          <w:sz w:val="24"/>
          <w:szCs w:val="24"/>
        </w:rPr>
        <w:t xml:space="preserve">is consistent with the Staff </w:t>
      </w:r>
      <w:r w:rsidR="00E92D6A">
        <w:rPr>
          <w:rFonts w:ascii="Arial" w:hAnsi="Arial" w:cs="Arial"/>
          <w:sz w:val="24"/>
          <w:szCs w:val="24"/>
        </w:rPr>
        <w:t xml:space="preserve">Report’s recommendation to reject the DSM plan.  </w:t>
      </w:r>
      <w:r w:rsidR="007F3B76">
        <w:rPr>
          <w:rFonts w:ascii="Arial" w:hAnsi="Arial" w:cs="Arial"/>
          <w:sz w:val="24"/>
          <w:szCs w:val="24"/>
        </w:rPr>
        <w:t>In fact, o</w:t>
      </w:r>
      <w:r w:rsidR="00106415">
        <w:rPr>
          <w:rFonts w:ascii="Arial" w:hAnsi="Arial" w:cs="Arial"/>
          <w:sz w:val="24"/>
          <w:szCs w:val="24"/>
        </w:rPr>
        <w:t>ne</w:t>
      </w:r>
      <w:r w:rsidR="0050021F" w:rsidRPr="0050021F">
        <w:rPr>
          <w:rFonts w:ascii="Arial" w:hAnsi="Arial" w:cs="Arial"/>
          <w:sz w:val="24"/>
          <w:szCs w:val="24"/>
        </w:rPr>
        <w:t xml:space="preserve"> of the programs within AEP Ohio’s proposed DSM Plan is essentially an extension of AEP Ohio’s current DLC. </w:t>
      </w:r>
      <w:r w:rsidR="00E92D6A">
        <w:rPr>
          <w:rFonts w:ascii="Arial" w:hAnsi="Arial" w:cs="Arial"/>
          <w:sz w:val="24"/>
          <w:szCs w:val="24"/>
        </w:rPr>
        <w:t>Like the DLC, t</w:t>
      </w:r>
      <w:r w:rsidR="0050021F" w:rsidRPr="0050021F">
        <w:rPr>
          <w:rFonts w:ascii="Arial" w:hAnsi="Arial" w:cs="Arial"/>
          <w:sz w:val="24"/>
          <w:szCs w:val="24"/>
        </w:rPr>
        <w:t xml:space="preserve">he proposed Residential Demand Response Program </w:t>
      </w:r>
      <w:r w:rsidR="001A112B">
        <w:rPr>
          <w:rFonts w:ascii="Arial" w:hAnsi="Arial" w:cs="Arial"/>
          <w:sz w:val="24"/>
          <w:szCs w:val="24"/>
        </w:rPr>
        <w:t>provides incentives to</w:t>
      </w:r>
      <w:r w:rsidR="0050021F" w:rsidRPr="0050021F">
        <w:rPr>
          <w:rFonts w:ascii="Arial" w:hAnsi="Arial" w:cs="Arial"/>
          <w:sz w:val="24"/>
          <w:szCs w:val="24"/>
        </w:rPr>
        <w:t xml:space="preserve"> residential customers </w:t>
      </w:r>
      <w:r w:rsidR="001A112B">
        <w:rPr>
          <w:rFonts w:ascii="Arial" w:hAnsi="Arial" w:cs="Arial"/>
          <w:sz w:val="24"/>
          <w:szCs w:val="24"/>
        </w:rPr>
        <w:t xml:space="preserve">for </w:t>
      </w:r>
      <w:r w:rsidR="0050021F" w:rsidRPr="0050021F">
        <w:rPr>
          <w:rFonts w:ascii="Arial" w:hAnsi="Arial" w:cs="Arial"/>
          <w:sz w:val="24"/>
          <w:szCs w:val="24"/>
        </w:rPr>
        <w:t>reduc</w:t>
      </w:r>
      <w:r w:rsidR="001A112B">
        <w:rPr>
          <w:rFonts w:ascii="Arial" w:hAnsi="Arial" w:cs="Arial"/>
          <w:sz w:val="24"/>
          <w:szCs w:val="24"/>
        </w:rPr>
        <w:t>ing</w:t>
      </w:r>
      <w:r w:rsidR="0050021F" w:rsidRPr="0050021F">
        <w:rPr>
          <w:rFonts w:ascii="Arial" w:hAnsi="Arial" w:cs="Arial"/>
          <w:sz w:val="24"/>
          <w:szCs w:val="24"/>
        </w:rPr>
        <w:t xml:space="preserve"> demand during peak periods identified by AEP Ohio.</w:t>
      </w:r>
      <w:r w:rsidR="0050021F" w:rsidRPr="0050021F">
        <w:rPr>
          <w:rStyle w:val="FootnoteReference"/>
          <w:rFonts w:cs="Arial"/>
          <w:sz w:val="24"/>
          <w:szCs w:val="24"/>
        </w:rPr>
        <w:footnoteReference w:id="48"/>
      </w:r>
      <w:r w:rsidR="0050021F" w:rsidRPr="0050021F">
        <w:rPr>
          <w:rFonts w:ascii="Arial" w:hAnsi="Arial" w:cs="Arial"/>
          <w:sz w:val="24"/>
          <w:szCs w:val="24"/>
        </w:rPr>
        <w:t xml:space="preserve"> Both will accomplish </w:t>
      </w:r>
      <w:r w:rsidR="001902C6">
        <w:rPr>
          <w:rFonts w:ascii="Arial" w:hAnsi="Arial" w:cs="Arial"/>
          <w:sz w:val="24"/>
          <w:szCs w:val="24"/>
        </w:rPr>
        <w:t xml:space="preserve">these </w:t>
      </w:r>
      <w:r w:rsidR="0050021F" w:rsidRPr="0050021F">
        <w:rPr>
          <w:rFonts w:ascii="Arial" w:hAnsi="Arial" w:cs="Arial"/>
          <w:sz w:val="24"/>
          <w:szCs w:val="24"/>
        </w:rPr>
        <w:t xml:space="preserve">reductions in usage </w:t>
      </w:r>
      <w:r w:rsidR="000A671C">
        <w:rPr>
          <w:rFonts w:ascii="Arial" w:hAnsi="Arial" w:cs="Arial"/>
          <w:sz w:val="24"/>
          <w:szCs w:val="24"/>
        </w:rPr>
        <w:t>utilizing</w:t>
      </w:r>
      <w:r w:rsidR="0050021F" w:rsidRPr="0050021F">
        <w:rPr>
          <w:rFonts w:ascii="Arial" w:hAnsi="Arial" w:cs="Arial"/>
          <w:sz w:val="24"/>
          <w:szCs w:val="24"/>
        </w:rPr>
        <w:t xml:space="preserve"> electric water heating and smart thermostats.</w:t>
      </w:r>
      <w:r w:rsidR="0050021F" w:rsidRPr="0050021F">
        <w:rPr>
          <w:rStyle w:val="FootnoteReference"/>
          <w:rFonts w:cs="Arial"/>
          <w:sz w:val="24"/>
          <w:szCs w:val="24"/>
        </w:rPr>
        <w:footnoteReference w:id="49"/>
      </w:r>
      <w:r w:rsidR="0050021F" w:rsidRPr="0050021F">
        <w:rPr>
          <w:rFonts w:ascii="Arial" w:hAnsi="Arial" w:cs="Arial"/>
          <w:sz w:val="24"/>
          <w:szCs w:val="24"/>
        </w:rPr>
        <w:t xml:space="preserve"> </w:t>
      </w:r>
      <w:r w:rsidR="00BC1B45">
        <w:rPr>
          <w:rFonts w:ascii="Arial" w:hAnsi="Arial" w:cs="Arial"/>
          <w:sz w:val="24"/>
          <w:szCs w:val="24"/>
        </w:rPr>
        <w:t xml:space="preserve">The </w:t>
      </w:r>
      <w:r w:rsidR="00BC1B45">
        <w:rPr>
          <w:rFonts w:ascii="Arial" w:hAnsi="Arial" w:cs="Arial"/>
          <w:sz w:val="24"/>
          <w:szCs w:val="24"/>
        </w:rPr>
        <w:lastRenderedPageBreak/>
        <w:t>Staff Report properly rejected the DSM plan; for the same reasons</w:t>
      </w:r>
      <w:r w:rsidR="001902C6">
        <w:rPr>
          <w:rFonts w:ascii="Arial" w:hAnsi="Arial" w:cs="Arial"/>
          <w:sz w:val="24"/>
          <w:szCs w:val="24"/>
        </w:rPr>
        <w:t>,</w:t>
      </w:r>
      <w:r w:rsidR="0023425E">
        <w:rPr>
          <w:rFonts w:ascii="Arial" w:hAnsi="Arial" w:cs="Arial"/>
          <w:sz w:val="24"/>
          <w:szCs w:val="24"/>
        </w:rPr>
        <w:t xml:space="preserve"> </w:t>
      </w:r>
      <w:r w:rsidR="00BC1B45">
        <w:rPr>
          <w:rFonts w:ascii="Arial" w:hAnsi="Arial" w:cs="Arial"/>
          <w:sz w:val="24"/>
          <w:szCs w:val="24"/>
        </w:rPr>
        <w:t xml:space="preserve">the Staff Report </w:t>
      </w:r>
      <w:r w:rsidR="00BC1B45" w:rsidRPr="0050021F">
        <w:rPr>
          <w:rFonts w:ascii="Arial" w:hAnsi="Arial" w:cs="Arial"/>
          <w:sz w:val="24"/>
          <w:szCs w:val="24"/>
        </w:rPr>
        <w:t xml:space="preserve">should have </w:t>
      </w:r>
      <w:r w:rsidR="00BC1B45">
        <w:rPr>
          <w:rFonts w:ascii="Arial" w:hAnsi="Arial" w:cs="Arial"/>
          <w:sz w:val="24"/>
          <w:szCs w:val="24"/>
        </w:rPr>
        <w:t>recommended the elimination of Rider DLC.  IGS objects to the Staff Report because failed to do so.</w:t>
      </w:r>
      <w:bookmarkEnd w:id="40"/>
    </w:p>
    <w:p w14:paraId="75A882E3" w14:textId="07353501" w:rsidR="00887045" w:rsidRDefault="00B64597" w:rsidP="00887045">
      <w:pPr>
        <w:pStyle w:val="Heading2"/>
      </w:pPr>
      <w:bookmarkStart w:id="42" w:name="_Toc59194852"/>
      <w:r>
        <w:t>The right to terminate consolidated billing services is limited to Supplier Consolidated Billing.</w:t>
      </w:r>
      <w:bookmarkEnd w:id="42"/>
      <w:r>
        <w:t xml:space="preserve"> </w:t>
      </w:r>
    </w:p>
    <w:p w14:paraId="4765A0BC" w14:textId="77777777" w:rsidR="004D6EB2" w:rsidRPr="004D6EB2" w:rsidRDefault="004D6EB2" w:rsidP="004D6EB2"/>
    <w:p w14:paraId="5CB22DA8" w14:textId="77777777" w:rsidR="00887045" w:rsidRPr="00684C6E" w:rsidRDefault="00887045" w:rsidP="00887045">
      <w:pPr>
        <w:spacing w:line="480" w:lineRule="auto"/>
        <w:ind w:firstLine="720"/>
        <w:jc w:val="both"/>
        <w:rPr>
          <w:rFonts w:ascii="Arial" w:hAnsi="Arial" w:cs="Arial"/>
          <w:sz w:val="24"/>
          <w:szCs w:val="24"/>
        </w:rPr>
      </w:pPr>
      <w:r w:rsidRPr="00684C6E">
        <w:rPr>
          <w:rFonts w:ascii="Arial" w:hAnsi="Arial" w:cs="Arial"/>
          <w:sz w:val="24"/>
          <w:szCs w:val="24"/>
        </w:rPr>
        <w:t xml:space="preserve">IGS objects to the Staff Report’s failure to address AEP Ohio’s proposed tariff changes regarding its right to terminate consolidated billing services with a CRES provider. Specifically, AEP Ohio proposes the following </w:t>
      </w:r>
      <w:r>
        <w:rPr>
          <w:rFonts w:ascii="Arial" w:hAnsi="Arial" w:cs="Arial"/>
          <w:sz w:val="24"/>
          <w:szCs w:val="24"/>
        </w:rPr>
        <w:t xml:space="preserve">tariff </w:t>
      </w:r>
      <w:r w:rsidRPr="00684C6E">
        <w:rPr>
          <w:rFonts w:ascii="Arial" w:hAnsi="Arial" w:cs="Arial"/>
          <w:sz w:val="24"/>
          <w:szCs w:val="24"/>
        </w:rPr>
        <w:t>addition:</w:t>
      </w:r>
    </w:p>
    <w:p w14:paraId="3A8E7527" w14:textId="77777777" w:rsidR="00887045" w:rsidRDefault="00887045" w:rsidP="00887045">
      <w:pPr>
        <w:ind w:left="720" w:right="720"/>
        <w:jc w:val="both"/>
        <w:rPr>
          <w:rFonts w:ascii="Arial" w:hAnsi="Arial" w:cs="Arial"/>
          <w:sz w:val="24"/>
          <w:szCs w:val="24"/>
          <w:u w:val="single"/>
        </w:rPr>
      </w:pPr>
      <w:bookmarkStart w:id="43" w:name="_Hlk58329831"/>
      <w:r w:rsidRPr="00684C6E">
        <w:rPr>
          <w:rFonts w:ascii="Arial" w:hAnsi="Arial" w:cs="Arial"/>
          <w:sz w:val="24"/>
          <w:szCs w:val="24"/>
          <w:u w:val="single"/>
        </w:rPr>
        <w:t xml:space="preserve">The Company maintains the right to terminate Company consolidated billing services </w:t>
      </w:r>
      <w:proofErr w:type="gramStart"/>
      <w:r w:rsidRPr="00684C6E">
        <w:rPr>
          <w:rFonts w:ascii="Arial" w:hAnsi="Arial" w:cs="Arial"/>
          <w:sz w:val="24"/>
          <w:szCs w:val="24"/>
          <w:u w:val="single"/>
        </w:rPr>
        <w:t>in the event that</w:t>
      </w:r>
      <w:proofErr w:type="gramEnd"/>
      <w:r w:rsidRPr="00684C6E">
        <w:rPr>
          <w:rFonts w:ascii="Arial" w:hAnsi="Arial" w:cs="Arial"/>
          <w:sz w:val="24"/>
          <w:szCs w:val="24"/>
          <w:u w:val="single"/>
        </w:rPr>
        <w:t xml:space="preserve"> the CRES providers are not following the Ohio Administrative Code rules. Prior to removal, the Company will provide the CRES provider with code violation notifications and will terminate services after three consecutive months after notification.</w:t>
      </w:r>
      <w:r w:rsidRPr="00684C6E">
        <w:rPr>
          <w:rStyle w:val="FootnoteReference"/>
          <w:rFonts w:cs="Arial"/>
          <w:sz w:val="24"/>
          <w:szCs w:val="24"/>
          <w:u w:val="single"/>
        </w:rPr>
        <w:footnoteReference w:id="50"/>
      </w:r>
      <w:bookmarkEnd w:id="43"/>
    </w:p>
    <w:p w14:paraId="06311AF5" w14:textId="77777777" w:rsidR="00887045" w:rsidRPr="004E0CB0" w:rsidRDefault="00887045" w:rsidP="00887045">
      <w:pPr>
        <w:ind w:left="720" w:right="720"/>
        <w:jc w:val="both"/>
        <w:rPr>
          <w:rFonts w:ascii="Arial" w:hAnsi="Arial" w:cs="Arial"/>
          <w:sz w:val="24"/>
          <w:szCs w:val="24"/>
          <w:u w:val="single"/>
        </w:rPr>
      </w:pPr>
    </w:p>
    <w:p w14:paraId="24E3EEEA" w14:textId="3BE49F92" w:rsidR="00887045" w:rsidRPr="00684C6E" w:rsidRDefault="00887045" w:rsidP="00887045">
      <w:pPr>
        <w:spacing w:line="480" w:lineRule="auto"/>
        <w:jc w:val="both"/>
        <w:rPr>
          <w:rFonts w:ascii="Arial" w:hAnsi="Arial" w:cs="Arial"/>
          <w:sz w:val="24"/>
          <w:szCs w:val="24"/>
        </w:rPr>
      </w:pPr>
      <w:r w:rsidRPr="00684C6E">
        <w:rPr>
          <w:rFonts w:ascii="Arial" w:hAnsi="Arial" w:cs="Arial"/>
          <w:sz w:val="24"/>
          <w:szCs w:val="24"/>
        </w:rPr>
        <w:t>In AEP Ohio’s Narrative of Tariff Changes, the explanation of the change states: “Added a section that allows the Company to terminate Supplier Consolidated Billing (SCB) services if the CRES Provider is not following the rules.”</w:t>
      </w:r>
      <w:r w:rsidRPr="00684C6E">
        <w:rPr>
          <w:rStyle w:val="FootnoteReference"/>
          <w:rFonts w:cs="Arial"/>
          <w:sz w:val="24"/>
          <w:szCs w:val="24"/>
        </w:rPr>
        <w:footnoteReference w:id="51"/>
      </w:r>
      <w:r w:rsidRPr="00684C6E">
        <w:rPr>
          <w:rFonts w:ascii="Arial" w:hAnsi="Arial" w:cs="Arial"/>
          <w:sz w:val="24"/>
          <w:szCs w:val="24"/>
        </w:rPr>
        <w:t xml:space="preserve"> AEP Ohio also notes that this consistent with AEP Ohio’s SCB pilot program.</w:t>
      </w:r>
      <w:r w:rsidRPr="00684C6E">
        <w:rPr>
          <w:rStyle w:val="FootnoteReference"/>
          <w:rFonts w:cs="Arial"/>
          <w:sz w:val="24"/>
          <w:szCs w:val="24"/>
        </w:rPr>
        <w:footnoteReference w:id="52"/>
      </w:r>
      <w:r w:rsidRPr="00684C6E">
        <w:rPr>
          <w:rFonts w:ascii="Arial" w:hAnsi="Arial" w:cs="Arial"/>
          <w:sz w:val="24"/>
          <w:szCs w:val="24"/>
        </w:rPr>
        <w:t xml:space="preserve"> </w:t>
      </w:r>
    </w:p>
    <w:p w14:paraId="2E00F44A" w14:textId="00F2F46E" w:rsidR="00887045" w:rsidRPr="00887045" w:rsidRDefault="00887045" w:rsidP="00887045">
      <w:pPr>
        <w:spacing w:line="480" w:lineRule="auto"/>
        <w:ind w:firstLine="720"/>
        <w:jc w:val="both"/>
        <w:rPr>
          <w:rFonts w:ascii="Arial" w:hAnsi="Arial" w:cs="Arial"/>
          <w:sz w:val="24"/>
          <w:szCs w:val="24"/>
        </w:rPr>
      </w:pPr>
      <w:r w:rsidRPr="00684C6E">
        <w:rPr>
          <w:rFonts w:ascii="Arial" w:hAnsi="Arial" w:cs="Arial"/>
          <w:sz w:val="24"/>
          <w:szCs w:val="24"/>
        </w:rPr>
        <w:t>However, the proposed language does not properly limit this new right to only Supplier</w:t>
      </w:r>
      <w:r w:rsidRPr="00684C6E">
        <w:rPr>
          <w:rFonts w:ascii="Arial" w:hAnsi="Arial" w:cs="Arial"/>
          <w:i/>
          <w:sz w:val="24"/>
          <w:szCs w:val="24"/>
        </w:rPr>
        <w:t xml:space="preserve"> </w:t>
      </w:r>
      <w:r w:rsidRPr="00684C6E">
        <w:rPr>
          <w:rFonts w:ascii="Arial" w:hAnsi="Arial" w:cs="Arial"/>
          <w:sz w:val="24"/>
          <w:szCs w:val="24"/>
        </w:rPr>
        <w:t xml:space="preserve">Consolidated Billing, as was the intent expressed in the explanation. Instead, it </w:t>
      </w:r>
      <w:r w:rsidRPr="00684C6E">
        <w:rPr>
          <w:rFonts w:ascii="Arial" w:hAnsi="Arial" w:cs="Arial"/>
          <w:sz w:val="24"/>
          <w:szCs w:val="24"/>
        </w:rPr>
        <w:lastRenderedPageBreak/>
        <w:t>simply states “consolidated billing,” which is a more general term used throughout the tariff and includes Utility Consolidated Billing.</w:t>
      </w:r>
      <w:r w:rsidRPr="00684C6E">
        <w:rPr>
          <w:rStyle w:val="FootnoteReference"/>
          <w:rFonts w:cs="Arial"/>
          <w:sz w:val="24"/>
          <w:szCs w:val="24"/>
        </w:rPr>
        <w:footnoteReference w:id="53"/>
      </w:r>
      <w:r w:rsidRPr="00684C6E">
        <w:rPr>
          <w:rFonts w:ascii="Arial" w:hAnsi="Arial" w:cs="Arial"/>
          <w:sz w:val="24"/>
          <w:szCs w:val="24"/>
        </w:rPr>
        <w:t xml:space="preserve"> Therefore, this provision should be amended to specify it only applies to Supplier Consolidated Billing services and the termination thereof. As the Staff Report failed to address this error, IGS objects to this issue.</w:t>
      </w:r>
    </w:p>
    <w:p w14:paraId="13CDDB88" w14:textId="7D37C802" w:rsidR="00410D48" w:rsidRDefault="00B64597" w:rsidP="00410D48">
      <w:pPr>
        <w:pStyle w:val="Heading2"/>
      </w:pPr>
      <w:bookmarkStart w:id="44" w:name="_Toc59194853"/>
      <w:r>
        <w:t xml:space="preserve">A </w:t>
      </w:r>
      <w:r w:rsidR="00410D48" w:rsidRPr="00410D48">
        <w:t>Letter of Authorization</w:t>
      </w:r>
      <w:r>
        <w:t xml:space="preserve"> is not required </w:t>
      </w:r>
      <w:r w:rsidR="009126FC">
        <w:t xml:space="preserve">in every instance of </w:t>
      </w:r>
      <w:r w:rsidR="00AA0B39">
        <w:t xml:space="preserve">requesting </w:t>
      </w:r>
      <w:r w:rsidR="00846429">
        <w:t xml:space="preserve">customer </w:t>
      </w:r>
      <w:r w:rsidR="00AA0B39">
        <w:t>interval data</w:t>
      </w:r>
      <w:r w:rsidR="00846429">
        <w:t>.</w:t>
      </w:r>
      <w:bookmarkEnd w:id="44"/>
      <w:r w:rsidR="00410D48" w:rsidRPr="00410D48">
        <w:t xml:space="preserve"> </w:t>
      </w:r>
    </w:p>
    <w:p w14:paraId="643857FF" w14:textId="77777777" w:rsidR="004D6EB2" w:rsidRPr="004D6EB2" w:rsidRDefault="004D6EB2" w:rsidP="004D6EB2"/>
    <w:p w14:paraId="5B6BA4B4" w14:textId="77777777" w:rsidR="00410D48" w:rsidRPr="00410D48" w:rsidRDefault="00410D48" w:rsidP="00410D48">
      <w:pPr>
        <w:spacing w:line="480" w:lineRule="auto"/>
        <w:ind w:firstLine="720"/>
        <w:jc w:val="both"/>
        <w:rPr>
          <w:rFonts w:ascii="Arial" w:hAnsi="Arial" w:cs="Arial"/>
          <w:sz w:val="24"/>
          <w:szCs w:val="24"/>
        </w:rPr>
      </w:pPr>
      <w:r w:rsidRPr="00410D48">
        <w:rPr>
          <w:rFonts w:ascii="Arial" w:hAnsi="Arial" w:cs="Arial"/>
          <w:sz w:val="24"/>
          <w:szCs w:val="24"/>
        </w:rPr>
        <w:t>IGS objects to the Staff Report’s failure to reject AEP Ohio’s attempt to heighten consent requirements for access to interval data for certain customers. AEP Ohio proposes the following tariff amendment:</w:t>
      </w:r>
    </w:p>
    <w:p w14:paraId="4B9A855A" w14:textId="77777777" w:rsidR="00410D48" w:rsidRPr="00410D48" w:rsidRDefault="00410D48" w:rsidP="00410D48">
      <w:pPr>
        <w:spacing w:after="240"/>
        <w:ind w:left="720"/>
        <w:jc w:val="both"/>
        <w:rPr>
          <w:rFonts w:ascii="Arial" w:hAnsi="Arial" w:cs="Arial"/>
          <w:sz w:val="24"/>
          <w:szCs w:val="24"/>
        </w:rPr>
      </w:pPr>
      <w:r w:rsidRPr="00410D48">
        <w:rPr>
          <w:rFonts w:ascii="Arial" w:hAnsi="Arial" w:cs="Arial"/>
          <w:sz w:val="24"/>
          <w:szCs w:val="24"/>
        </w:rPr>
        <w:t xml:space="preserve">CRES Providers certified by the Commission may request historical interval meter data through an Electronic Data Interchange transaction (“EDI Transaction”) after receiving the appropriate customer authorization </w:t>
      </w:r>
      <w:r w:rsidRPr="00410D48">
        <w:rPr>
          <w:rFonts w:ascii="Arial" w:hAnsi="Arial" w:cs="Arial"/>
          <w:sz w:val="24"/>
          <w:szCs w:val="24"/>
          <w:u w:val="single"/>
        </w:rPr>
        <w:t xml:space="preserve">(Letter of Authorization or LOA). CRES Providers must have on file </w:t>
      </w:r>
      <w:proofErr w:type="gramStart"/>
      <w:r w:rsidRPr="00410D48">
        <w:rPr>
          <w:rFonts w:ascii="Arial" w:hAnsi="Arial" w:cs="Arial"/>
          <w:sz w:val="24"/>
          <w:szCs w:val="24"/>
          <w:u w:val="single"/>
        </w:rPr>
        <w:t>an</w:t>
      </w:r>
      <w:proofErr w:type="gramEnd"/>
      <w:r w:rsidRPr="00410D48">
        <w:rPr>
          <w:rFonts w:ascii="Arial" w:hAnsi="Arial" w:cs="Arial"/>
          <w:sz w:val="24"/>
          <w:szCs w:val="24"/>
          <w:u w:val="single"/>
        </w:rPr>
        <w:t xml:space="preserve"> LOA and must provide the LOA upon request by the Company or PUCO Staff, subject to periodic audit.</w:t>
      </w:r>
      <w:r w:rsidRPr="00410D48">
        <w:rPr>
          <w:rFonts w:ascii="Arial" w:hAnsi="Arial" w:cs="Arial"/>
          <w:sz w:val="24"/>
          <w:szCs w:val="24"/>
        </w:rPr>
        <w:t xml:space="preserve"> The interval meter data will be transferred in a standardized EDI transaction. The CRES Provider will be responsible for the incremental costs incurred to prepare and send such data.</w:t>
      </w:r>
    </w:p>
    <w:p w14:paraId="378E5A3B" w14:textId="23814E69" w:rsidR="002966D2" w:rsidRPr="00A530D1" w:rsidRDefault="00410D48" w:rsidP="00A530D1">
      <w:pPr>
        <w:spacing w:line="480" w:lineRule="auto"/>
        <w:ind w:firstLine="720"/>
        <w:jc w:val="both"/>
        <w:rPr>
          <w:rFonts w:ascii="Arial" w:hAnsi="Arial" w:cs="Arial"/>
          <w:sz w:val="24"/>
          <w:szCs w:val="24"/>
        </w:rPr>
      </w:pPr>
      <w:r w:rsidRPr="00410D48">
        <w:rPr>
          <w:rFonts w:ascii="Arial" w:hAnsi="Arial" w:cs="Arial"/>
          <w:sz w:val="24"/>
          <w:szCs w:val="24"/>
        </w:rPr>
        <w:t xml:space="preserve">By adding language that “CRES Providers </w:t>
      </w:r>
      <w:r w:rsidRPr="00410D48">
        <w:rPr>
          <w:rFonts w:ascii="Arial" w:hAnsi="Arial" w:cs="Arial"/>
          <w:b/>
          <w:sz w:val="24"/>
          <w:szCs w:val="24"/>
        </w:rPr>
        <w:t>must</w:t>
      </w:r>
      <w:r w:rsidRPr="00410D48">
        <w:rPr>
          <w:rFonts w:ascii="Arial" w:hAnsi="Arial" w:cs="Arial"/>
          <w:sz w:val="24"/>
          <w:szCs w:val="24"/>
        </w:rPr>
        <w:t xml:space="preserve"> have on file </w:t>
      </w:r>
      <w:proofErr w:type="gramStart"/>
      <w:r w:rsidRPr="00410D48">
        <w:rPr>
          <w:rFonts w:ascii="Arial" w:hAnsi="Arial" w:cs="Arial"/>
          <w:sz w:val="24"/>
          <w:szCs w:val="24"/>
        </w:rPr>
        <w:t>an</w:t>
      </w:r>
      <w:proofErr w:type="gramEnd"/>
      <w:r w:rsidRPr="00410D48">
        <w:rPr>
          <w:rFonts w:ascii="Arial" w:hAnsi="Arial" w:cs="Arial"/>
          <w:sz w:val="24"/>
          <w:szCs w:val="24"/>
        </w:rPr>
        <w:t xml:space="preserve"> LOA,” the amendment appears to require an LOA for a</w:t>
      </w:r>
      <w:r w:rsidR="0044197E">
        <w:rPr>
          <w:rFonts w:ascii="Arial" w:hAnsi="Arial" w:cs="Arial"/>
          <w:sz w:val="24"/>
          <w:szCs w:val="24"/>
        </w:rPr>
        <w:t>ll</w:t>
      </w:r>
      <w:r w:rsidRPr="00410D48">
        <w:rPr>
          <w:rFonts w:ascii="Arial" w:hAnsi="Arial" w:cs="Arial"/>
          <w:sz w:val="24"/>
          <w:szCs w:val="24"/>
        </w:rPr>
        <w:t xml:space="preserve"> customer</w:t>
      </w:r>
      <w:r w:rsidR="00852879">
        <w:rPr>
          <w:rFonts w:ascii="Arial" w:hAnsi="Arial" w:cs="Arial"/>
          <w:sz w:val="24"/>
          <w:szCs w:val="24"/>
        </w:rPr>
        <w:t xml:space="preserve"> type</w:t>
      </w:r>
      <w:r w:rsidRPr="00410D48">
        <w:rPr>
          <w:rFonts w:ascii="Arial" w:hAnsi="Arial" w:cs="Arial"/>
          <w:sz w:val="24"/>
          <w:szCs w:val="24"/>
        </w:rPr>
        <w:t xml:space="preserve">s </w:t>
      </w:r>
      <w:r w:rsidR="0044197E">
        <w:rPr>
          <w:rFonts w:ascii="Arial" w:hAnsi="Arial" w:cs="Arial"/>
          <w:sz w:val="24"/>
          <w:szCs w:val="24"/>
        </w:rPr>
        <w:t xml:space="preserve">in order </w:t>
      </w:r>
      <w:r w:rsidRPr="00410D48">
        <w:rPr>
          <w:rFonts w:ascii="Arial" w:hAnsi="Arial" w:cs="Arial"/>
          <w:sz w:val="24"/>
          <w:szCs w:val="24"/>
        </w:rPr>
        <w:t xml:space="preserve">for a CRES provider to request interval data. However, Ohio </w:t>
      </w:r>
      <w:proofErr w:type="spellStart"/>
      <w:r w:rsidRPr="00410D48">
        <w:rPr>
          <w:rFonts w:ascii="Arial" w:hAnsi="Arial" w:cs="Arial"/>
          <w:sz w:val="24"/>
          <w:szCs w:val="24"/>
        </w:rPr>
        <w:t>Adm.Code</w:t>
      </w:r>
      <w:proofErr w:type="spellEnd"/>
      <w:r w:rsidRPr="00410D48">
        <w:rPr>
          <w:rFonts w:ascii="Arial" w:hAnsi="Arial" w:cs="Arial"/>
          <w:sz w:val="24"/>
          <w:szCs w:val="24"/>
        </w:rPr>
        <w:t xml:space="preserve"> 4901:1-10-24(E)(3) only prohibits the disclosure of </w:t>
      </w:r>
      <w:r w:rsidRPr="00410D48">
        <w:rPr>
          <w:rFonts w:ascii="Arial" w:hAnsi="Arial" w:cs="Arial"/>
          <w:sz w:val="24"/>
          <w:szCs w:val="24"/>
          <w:u w:val="single"/>
        </w:rPr>
        <w:t>residential</w:t>
      </w:r>
      <w:r w:rsidRPr="00410D48">
        <w:rPr>
          <w:rFonts w:ascii="Arial" w:hAnsi="Arial" w:cs="Arial"/>
          <w:sz w:val="24"/>
          <w:szCs w:val="24"/>
        </w:rPr>
        <w:t xml:space="preserve"> customer interval meter data without the customer’s consent. There is no similar provision for the other customer classes.  Additionally, the Commission recently adopted an exception to Ohio </w:t>
      </w:r>
      <w:proofErr w:type="spellStart"/>
      <w:r w:rsidRPr="00410D48">
        <w:rPr>
          <w:rFonts w:ascii="Arial" w:hAnsi="Arial" w:cs="Arial"/>
          <w:sz w:val="24"/>
          <w:szCs w:val="24"/>
        </w:rPr>
        <w:t>Adm.Code</w:t>
      </w:r>
      <w:proofErr w:type="spellEnd"/>
      <w:r w:rsidRPr="00410D48">
        <w:rPr>
          <w:rFonts w:ascii="Arial" w:hAnsi="Arial" w:cs="Arial"/>
          <w:sz w:val="24"/>
          <w:szCs w:val="24"/>
        </w:rPr>
        <w:t xml:space="preserve"> 4901:1-10-24(E)(3) that allows an EDU to disclose residential customer energy usage data that is more granular than monthly if </w:t>
      </w:r>
      <w:r w:rsidRPr="00410D48">
        <w:rPr>
          <w:rFonts w:ascii="Arial" w:hAnsi="Arial" w:cs="Arial"/>
          <w:sz w:val="24"/>
          <w:szCs w:val="24"/>
        </w:rPr>
        <w:lastRenderedPageBreak/>
        <w:t>“required for billing purposes.”</w:t>
      </w:r>
      <w:r w:rsidRPr="00410D48">
        <w:rPr>
          <w:rStyle w:val="FootnoteReference"/>
          <w:rFonts w:cs="Arial"/>
          <w:sz w:val="24"/>
          <w:szCs w:val="24"/>
        </w:rPr>
        <w:footnoteReference w:id="54"/>
      </w:r>
      <w:r w:rsidRPr="00410D48">
        <w:rPr>
          <w:rFonts w:ascii="Arial" w:hAnsi="Arial" w:cs="Arial"/>
          <w:sz w:val="24"/>
          <w:szCs w:val="24"/>
        </w:rPr>
        <w:t xml:space="preserve"> Thus, the Staff Report should have taken these into consideration and recommended the addition of “</w:t>
      </w:r>
      <w:r w:rsidRPr="00410D48">
        <w:rPr>
          <w:rFonts w:ascii="Arial" w:hAnsi="Arial" w:cs="Arial"/>
          <w:sz w:val="24"/>
          <w:szCs w:val="24"/>
          <w:u w:val="single"/>
        </w:rPr>
        <w:t>if necessary</w:t>
      </w:r>
      <w:r w:rsidRPr="00410D48">
        <w:rPr>
          <w:rFonts w:ascii="Arial" w:hAnsi="Arial" w:cs="Arial"/>
          <w:sz w:val="24"/>
          <w:szCs w:val="24"/>
        </w:rPr>
        <w:t>” after the “</w:t>
      </w:r>
      <w:r w:rsidRPr="00410D48">
        <w:rPr>
          <w:rFonts w:ascii="Arial" w:hAnsi="Arial" w:cs="Arial"/>
          <w:sz w:val="24"/>
          <w:szCs w:val="24"/>
          <w:u w:val="single"/>
        </w:rPr>
        <w:t>must have on file an LOA.</w:t>
      </w:r>
      <w:r w:rsidRPr="00410D48">
        <w:rPr>
          <w:rFonts w:ascii="Arial" w:hAnsi="Arial" w:cs="Arial"/>
          <w:sz w:val="24"/>
          <w:szCs w:val="24"/>
        </w:rPr>
        <w:t>”</w:t>
      </w:r>
    </w:p>
    <w:p w14:paraId="04DD43FB" w14:textId="37DE0368" w:rsidR="002966D2" w:rsidRPr="00E95165" w:rsidRDefault="00E95165" w:rsidP="00E95165">
      <w:pPr>
        <w:pStyle w:val="Heading1"/>
        <w:numPr>
          <w:ilvl w:val="0"/>
          <w:numId w:val="3"/>
        </w:numPr>
      </w:pPr>
      <w:bookmarkStart w:id="45" w:name="_Toc59194854"/>
      <w:r>
        <w:t>SUMMARY OF MAJOR ISSUES</w:t>
      </w:r>
      <w:bookmarkEnd w:id="45"/>
    </w:p>
    <w:p w14:paraId="75BBA669" w14:textId="25152C68" w:rsidR="00657234" w:rsidRPr="00657234" w:rsidRDefault="007E46CF" w:rsidP="00657234">
      <w:pPr>
        <w:spacing w:line="480" w:lineRule="auto"/>
        <w:jc w:val="both"/>
        <w:rPr>
          <w:rFonts w:ascii="Arial" w:hAnsi="Arial" w:cs="Arial"/>
          <w:sz w:val="24"/>
        </w:rPr>
      </w:pPr>
      <w:r>
        <w:rPr>
          <w:rFonts w:ascii="Arial" w:hAnsi="Arial" w:cs="Arial"/>
          <w:sz w:val="24"/>
        </w:rPr>
        <w:t xml:space="preserve">The </w:t>
      </w:r>
      <w:r w:rsidR="00657234" w:rsidRPr="00657234">
        <w:rPr>
          <w:rFonts w:ascii="Arial" w:hAnsi="Arial" w:cs="Arial"/>
          <w:sz w:val="24"/>
        </w:rPr>
        <w:t>major issues in this case will be:</w:t>
      </w:r>
    </w:p>
    <w:p w14:paraId="20041F8D" w14:textId="2189BAFB" w:rsidR="003909FE" w:rsidRDefault="003909FE" w:rsidP="00892BC7">
      <w:pPr>
        <w:pStyle w:val="ListParagraph"/>
        <w:numPr>
          <w:ilvl w:val="0"/>
          <w:numId w:val="5"/>
        </w:numPr>
        <w:spacing w:line="240" w:lineRule="auto"/>
        <w:contextualSpacing w:val="0"/>
        <w:jc w:val="both"/>
        <w:rPr>
          <w:rFonts w:ascii="Arial" w:hAnsi="Arial" w:cs="Arial"/>
          <w:sz w:val="24"/>
        </w:rPr>
      </w:pPr>
      <w:r>
        <w:rPr>
          <w:rFonts w:ascii="Arial" w:hAnsi="Arial" w:cs="Arial"/>
          <w:sz w:val="24"/>
        </w:rPr>
        <w:t xml:space="preserve">Whether </w:t>
      </w:r>
      <w:r w:rsidR="001020CF">
        <w:rPr>
          <w:rFonts w:ascii="Arial" w:hAnsi="Arial" w:cs="Arial"/>
          <w:sz w:val="24"/>
        </w:rPr>
        <w:t xml:space="preserve">an EDU may </w:t>
      </w:r>
      <w:r w:rsidR="008D710A">
        <w:rPr>
          <w:rFonts w:ascii="Arial" w:hAnsi="Arial" w:cs="Arial"/>
          <w:sz w:val="24"/>
        </w:rPr>
        <w:t xml:space="preserve">subsidize the cost of providing </w:t>
      </w:r>
      <w:r w:rsidR="007B395C">
        <w:rPr>
          <w:rFonts w:ascii="Arial" w:hAnsi="Arial" w:cs="Arial"/>
          <w:sz w:val="24"/>
        </w:rPr>
        <w:t>the SSO through distribution rates.</w:t>
      </w:r>
      <w:r w:rsidR="008D710A">
        <w:rPr>
          <w:rFonts w:ascii="Arial" w:hAnsi="Arial" w:cs="Arial"/>
          <w:sz w:val="24"/>
        </w:rPr>
        <w:t xml:space="preserve"> </w:t>
      </w:r>
    </w:p>
    <w:p w14:paraId="3AEC1151" w14:textId="0024D4CB" w:rsidR="00657234" w:rsidRPr="00657234" w:rsidRDefault="00657234" w:rsidP="00892BC7">
      <w:pPr>
        <w:pStyle w:val="ListParagraph"/>
        <w:numPr>
          <w:ilvl w:val="0"/>
          <w:numId w:val="5"/>
        </w:numPr>
        <w:spacing w:line="240" w:lineRule="auto"/>
        <w:contextualSpacing w:val="0"/>
        <w:jc w:val="both"/>
        <w:rPr>
          <w:rFonts w:ascii="Arial" w:hAnsi="Arial" w:cs="Arial"/>
          <w:sz w:val="24"/>
        </w:rPr>
      </w:pPr>
      <w:r w:rsidRPr="00657234">
        <w:rPr>
          <w:rFonts w:ascii="Arial" w:hAnsi="Arial" w:cs="Arial"/>
          <w:sz w:val="24"/>
        </w:rPr>
        <w:t>The appropriate amount of costs to unbundle from distribution rates and allocate to default service</w:t>
      </w:r>
      <w:r w:rsidR="00F07EB7">
        <w:rPr>
          <w:rFonts w:ascii="Arial" w:hAnsi="Arial" w:cs="Arial"/>
          <w:sz w:val="24"/>
        </w:rPr>
        <w:t>, as well as the appropriate credit to shopping customers</w:t>
      </w:r>
      <w:r w:rsidR="00EE7343">
        <w:rPr>
          <w:rFonts w:ascii="Arial" w:hAnsi="Arial" w:cs="Arial"/>
          <w:sz w:val="24"/>
        </w:rPr>
        <w:t>.</w:t>
      </w:r>
    </w:p>
    <w:p w14:paraId="0D611DFB" w14:textId="4A2018EB" w:rsidR="00657234" w:rsidRPr="008824C0" w:rsidRDefault="00350BC9" w:rsidP="00892BC7">
      <w:pPr>
        <w:pStyle w:val="ListParagraph"/>
        <w:numPr>
          <w:ilvl w:val="0"/>
          <w:numId w:val="5"/>
        </w:numPr>
        <w:spacing w:line="240" w:lineRule="auto"/>
        <w:contextualSpacing w:val="0"/>
        <w:jc w:val="both"/>
        <w:rPr>
          <w:rFonts w:ascii="Arial" w:hAnsi="Arial" w:cs="Arial"/>
          <w:sz w:val="24"/>
        </w:rPr>
      </w:pPr>
      <w:r>
        <w:rPr>
          <w:rFonts w:ascii="Arial" w:hAnsi="Arial" w:cs="Arial"/>
          <w:sz w:val="24"/>
        </w:rPr>
        <w:t xml:space="preserve">The appropriate </w:t>
      </w:r>
      <w:r w:rsidR="009E540F">
        <w:rPr>
          <w:rFonts w:ascii="Arial" w:hAnsi="Arial" w:cs="Arial"/>
          <w:sz w:val="24"/>
        </w:rPr>
        <w:t>mechanism to recover</w:t>
      </w:r>
      <w:r w:rsidR="007E46CF">
        <w:rPr>
          <w:rFonts w:ascii="Arial" w:hAnsi="Arial" w:cs="Arial"/>
          <w:sz w:val="24"/>
        </w:rPr>
        <w:t xml:space="preserve"> the bad debt associated with the SSO </w:t>
      </w:r>
      <w:r w:rsidR="007E46CF" w:rsidRPr="008824C0">
        <w:rPr>
          <w:rFonts w:ascii="Arial" w:hAnsi="Arial" w:cs="Arial"/>
          <w:sz w:val="24"/>
        </w:rPr>
        <w:t xml:space="preserve">generation receivables. </w:t>
      </w:r>
    </w:p>
    <w:p w14:paraId="251FF002" w14:textId="28E0C9BB" w:rsidR="001A401F" w:rsidRPr="00C721AE" w:rsidRDefault="001A401F" w:rsidP="00944122">
      <w:pPr>
        <w:pStyle w:val="ListParagraph"/>
        <w:numPr>
          <w:ilvl w:val="0"/>
          <w:numId w:val="5"/>
        </w:numPr>
        <w:spacing w:line="240" w:lineRule="auto"/>
        <w:contextualSpacing w:val="0"/>
        <w:jc w:val="both"/>
        <w:rPr>
          <w:rFonts w:ascii="Arial" w:hAnsi="Arial" w:cs="Arial"/>
          <w:sz w:val="24"/>
        </w:rPr>
      </w:pPr>
      <w:r w:rsidRPr="00AD2318">
        <w:rPr>
          <w:rFonts w:ascii="Arial" w:hAnsi="Arial" w:cs="Arial"/>
          <w:sz w:val="24"/>
          <w:szCs w:val="24"/>
        </w:rPr>
        <w:t>Whether the various fees that CRES providers provide to AEP Ohio for performing distribution service functions are appropriate.</w:t>
      </w:r>
    </w:p>
    <w:p w14:paraId="3D9900C2" w14:textId="087C56F0" w:rsidR="008841A9" w:rsidRPr="008824C0" w:rsidRDefault="008841A9" w:rsidP="00892BC7">
      <w:pPr>
        <w:pStyle w:val="ListParagraph"/>
        <w:numPr>
          <w:ilvl w:val="0"/>
          <w:numId w:val="5"/>
        </w:numPr>
        <w:spacing w:line="240" w:lineRule="auto"/>
        <w:contextualSpacing w:val="0"/>
        <w:jc w:val="both"/>
        <w:rPr>
          <w:rFonts w:ascii="Arial" w:hAnsi="Arial" w:cs="Arial"/>
          <w:sz w:val="24"/>
        </w:rPr>
      </w:pPr>
      <w:r w:rsidRPr="008824C0">
        <w:rPr>
          <w:rFonts w:ascii="Arial" w:hAnsi="Arial" w:cs="Arial"/>
          <w:sz w:val="24"/>
        </w:rPr>
        <w:t xml:space="preserve">The appropriate consideration of the direct and indirect costs associated with customer sited renewable energy resources. </w:t>
      </w:r>
    </w:p>
    <w:p w14:paraId="61AB7D08" w14:textId="24B00EF6" w:rsidR="008841A9" w:rsidRPr="008824C0" w:rsidRDefault="00FE7250" w:rsidP="00892BC7">
      <w:pPr>
        <w:pStyle w:val="ListParagraph"/>
        <w:numPr>
          <w:ilvl w:val="0"/>
          <w:numId w:val="5"/>
        </w:numPr>
        <w:spacing w:line="240" w:lineRule="auto"/>
        <w:contextualSpacing w:val="0"/>
        <w:jc w:val="both"/>
        <w:rPr>
          <w:rFonts w:ascii="Arial" w:hAnsi="Arial" w:cs="Arial"/>
          <w:sz w:val="24"/>
        </w:rPr>
      </w:pPr>
      <w:r w:rsidRPr="008824C0">
        <w:rPr>
          <w:rFonts w:ascii="Arial" w:hAnsi="Arial" w:cs="Arial"/>
          <w:sz w:val="24"/>
        </w:rPr>
        <w:t xml:space="preserve">Whether AEP Ohio can offer </w:t>
      </w:r>
      <w:r w:rsidR="0018300D" w:rsidRPr="008824C0">
        <w:rPr>
          <w:rFonts w:ascii="Arial" w:hAnsi="Arial" w:cs="Arial"/>
          <w:sz w:val="24"/>
        </w:rPr>
        <w:t>EE/DSM programs to</w:t>
      </w:r>
      <w:r w:rsidR="00CE5AA0">
        <w:rPr>
          <w:rFonts w:ascii="Arial" w:hAnsi="Arial" w:cs="Arial"/>
          <w:sz w:val="24"/>
        </w:rPr>
        <w:t xml:space="preserve"> solely</w:t>
      </w:r>
      <w:r w:rsidR="0018300D" w:rsidRPr="008824C0">
        <w:rPr>
          <w:rFonts w:ascii="Arial" w:hAnsi="Arial" w:cs="Arial"/>
          <w:sz w:val="24"/>
        </w:rPr>
        <w:t xml:space="preserve"> SSO customers </w:t>
      </w:r>
      <w:r w:rsidR="00130CFF" w:rsidRPr="008824C0">
        <w:rPr>
          <w:rFonts w:ascii="Arial" w:hAnsi="Arial" w:cs="Arial"/>
          <w:sz w:val="24"/>
        </w:rPr>
        <w:t xml:space="preserve">and collect the associated costs on a </w:t>
      </w:r>
      <w:proofErr w:type="spellStart"/>
      <w:r w:rsidR="00130CFF" w:rsidRPr="008824C0">
        <w:rPr>
          <w:rFonts w:ascii="Arial" w:hAnsi="Arial" w:cs="Arial"/>
          <w:sz w:val="24"/>
        </w:rPr>
        <w:t>bypassable</w:t>
      </w:r>
      <w:proofErr w:type="spellEnd"/>
      <w:r w:rsidR="00130CFF" w:rsidRPr="008824C0">
        <w:rPr>
          <w:rFonts w:ascii="Arial" w:hAnsi="Arial" w:cs="Arial"/>
          <w:sz w:val="24"/>
        </w:rPr>
        <w:t xml:space="preserve"> basis.</w:t>
      </w:r>
    </w:p>
    <w:p w14:paraId="2DA86675" w14:textId="49C66F01" w:rsidR="003C50D0" w:rsidRDefault="002409AE" w:rsidP="00892BC7">
      <w:pPr>
        <w:pStyle w:val="ListParagraph"/>
        <w:numPr>
          <w:ilvl w:val="0"/>
          <w:numId w:val="5"/>
        </w:numPr>
        <w:spacing w:line="240" w:lineRule="auto"/>
        <w:contextualSpacing w:val="0"/>
        <w:jc w:val="both"/>
        <w:rPr>
          <w:rFonts w:ascii="Arial" w:hAnsi="Arial" w:cs="Arial"/>
          <w:sz w:val="24"/>
        </w:rPr>
      </w:pPr>
      <w:r>
        <w:rPr>
          <w:rFonts w:ascii="Arial" w:hAnsi="Arial" w:cs="Arial"/>
          <w:sz w:val="24"/>
        </w:rPr>
        <w:t xml:space="preserve">Whether to eliminate the </w:t>
      </w:r>
      <w:r w:rsidR="00892BC7">
        <w:rPr>
          <w:rFonts w:ascii="Arial" w:hAnsi="Arial" w:cs="Arial"/>
          <w:sz w:val="24"/>
        </w:rPr>
        <w:t>Direct Load Control Program</w:t>
      </w:r>
      <w:r>
        <w:rPr>
          <w:rFonts w:ascii="Arial" w:hAnsi="Arial" w:cs="Arial"/>
          <w:sz w:val="24"/>
        </w:rPr>
        <w:t>.</w:t>
      </w:r>
    </w:p>
    <w:p w14:paraId="5C9D57EC" w14:textId="7092EF35" w:rsidR="00887045" w:rsidRPr="00887045" w:rsidRDefault="00887045" w:rsidP="00887045">
      <w:pPr>
        <w:pStyle w:val="ListParagraph"/>
        <w:numPr>
          <w:ilvl w:val="0"/>
          <w:numId w:val="5"/>
        </w:numPr>
        <w:spacing w:line="240" w:lineRule="auto"/>
        <w:contextualSpacing w:val="0"/>
        <w:jc w:val="both"/>
        <w:rPr>
          <w:rFonts w:ascii="Arial" w:hAnsi="Arial" w:cs="Arial"/>
          <w:sz w:val="24"/>
        </w:rPr>
      </w:pPr>
      <w:r>
        <w:rPr>
          <w:rFonts w:ascii="Arial" w:hAnsi="Arial" w:cs="Arial"/>
          <w:sz w:val="24"/>
        </w:rPr>
        <w:t xml:space="preserve">The appropriate </w:t>
      </w:r>
      <w:r w:rsidRPr="00684C6E">
        <w:rPr>
          <w:rFonts w:ascii="Arial" w:hAnsi="Arial" w:cs="Arial"/>
          <w:sz w:val="24"/>
          <w:szCs w:val="24"/>
        </w:rPr>
        <w:t xml:space="preserve">tariff </w:t>
      </w:r>
      <w:r>
        <w:rPr>
          <w:rFonts w:ascii="Arial" w:hAnsi="Arial" w:cs="Arial"/>
          <w:sz w:val="24"/>
          <w:szCs w:val="24"/>
        </w:rPr>
        <w:t>language</w:t>
      </w:r>
      <w:r w:rsidRPr="00684C6E">
        <w:rPr>
          <w:rFonts w:ascii="Arial" w:hAnsi="Arial" w:cs="Arial"/>
          <w:sz w:val="24"/>
          <w:szCs w:val="24"/>
        </w:rPr>
        <w:t xml:space="preserve"> regarding </w:t>
      </w:r>
      <w:r>
        <w:rPr>
          <w:rFonts w:ascii="Arial" w:hAnsi="Arial" w:cs="Arial"/>
          <w:sz w:val="24"/>
          <w:szCs w:val="24"/>
        </w:rPr>
        <w:t>AEP Ohio’s</w:t>
      </w:r>
      <w:r w:rsidRPr="00684C6E">
        <w:rPr>
          <w:rFonts w:ascii="Arial" w:hAnsi="Arial" w:cs="Arial"/>
          <w:sz w:val="24"/>
          <w:szCs w:val="24"/>
        </w:rPr>
        <w:t xml:space="preserve"> right to terminate </w:t>
      </w:r>
      <w:r>
        <w:rPr>
          <w:rFonts w:ascii="Arial" w:hAnsi="Arial" w:cs="Arial"/>
          <w:sz w:val="24"/>
          <w:szCs w:val="24"/>
        </w:rPr>
        <w:t xml:space="preserve">supplier </w:t>
      </w:r>
      <w:r w:rsidRPr="00684C6E">
        <w:rPr>
          <w:rFonts w:ascii="Arial" w:hAnsi="Arial" w:cs="Arial"/>
          <w:sz w:val="24"/>
          <w:szCs w:val="24"/>
        </w:rPr>
        <w:t>consolidated billing services with a CRES provider</w:t>
      </w:r>
      <w:r>
        <w:rPr>
          <w:rFonts w:ascii="Arial" w:hAnsi="Arial" w:cs="Arial"/>
          <w:sz w:val="24"/>
          <w:szCs w:val="24"/>
        </w:rPr>
        <w:t>.</w:t>
      </w:r>
    </w:p>
    <w:p w14:paraId="5D02D296" w14:textId="475CF92D" w:rsidR="002409AE" w:rsidRDefault="00892BC7" w:rsidP="00892BC7">
      <w:pPr>
        <w:pStyle w:val="ListParagraph"/>
        <w:numPr>
          <w:ilvl w:val="0"/>
          <w:numId w:val="5"/>
        </w:numPr>
        <w:spacing w:line="240" w:lineRule="auto"/>
        <w:contextualSpacing w:val="0"/>
        <w:jc w:val="both"/>
        <w:rPr>
          <w:rFonts w:ascii="Arial" w:hAnsi="Arial" w:cs="Arial"/>
          <w:sz w:val="24"/>
        </w:rPr>
      </w:pPr>
      <w:r>
        <w:rPr>
          <w:rFonts w:ascii="Arial" w:hAnsi="Arial" w:cs="Arial"/>
          <w:sz w:val="24"/>
        </w:rPr>
        <w:t xml:space="preserve">The appropriate language regarding the need for </w:t>
      </w:r>
      <w:r w:rsidR="003364A5">
        <w:rPr>
          <w:rFonts w:ascii="Arial" w:hAnsi="Arial" w:cs="Arial"/>
          <w:sz w:val="24"/>
        </w:rPr>
        <w:t xml:space="preserve">a CRES </w:t>
      </w:r>
      <w:r w:rsidR="00C44B5E">
        <w:rPr>
          <w:rFonts w:ascii="Arial" w:hAnsi="Arial" w:cs="Arial"/>
          <w:sz w:val="24"/>
        </w:rPr>
        <w:t>p</w:t>
      </w:r>
      <w:r w:rsidR="003364A5">
        <w:rPr>
          <w:rFonts w:ascii="Arial" w:hAnsi="Arial" w:cs="Arial"/>
          <w:sz w:val="24"/>
        </w:rPr>
        <w:t xml:space="preserve">rovider to have </w:t>
      </w:r>
      <w:proofErr w:type="gramStart"/>
      <w:r w:rsidR="003364A5">
        <w:rPr>
          <w:rFonts w:ascii="Arial" w:hAnsi="Arial" w:cs="Arial"/>
          <w:sz w:val="24"/>
        </w:rPr>
        <w:t>an</w:t>
      </w:r>
      <w:proofErr w:type="gramEnd"/>
      <w:r w:rsidR="003364A5">
        <w:rPr>
          <w:rFonts w:ascii="Arial" w:hAnsi="Arial" w:cs="Arial"/>
          <w:sz w:val="24"/>
        </w:rPr>
        <w:t xml:space="preserve"> LOA to authorize a customer’s </w:t>
      </w:r>
      <w:r w:rsidR="0075241B">
        <w:rPr>
          <w:rFonts w:ascii="Arial" w:hAnsi="Arial" w:cs="Arial"/>
          <w:sz w:val="24"/>
        </w:rPr>
        <w:t>interval data.</w:t>
      </w:r>
    </w:p>
    <w:p w14:paraId="09190AC8" w14:textId="416E087C" w:rsidR="000F27E6" w:rsidRDefault="000F27E6" w:rsidP="000F27E6">
      <w:pPr>
        <w:jc w:val="both"/>
        <w:rPr>
          <w:rFonts w:ascii="Arial" w:hAnsi="Arial" w:cs="Arial"/>
          <w:sz w:val="24"/>
        </w:rPr>
      </w:pPr>
    </w:p>
    <w:p w14:paraId="642A6DA8" w14:textId="4ABDB36E" w:rsidR="000F27E6" w:rsidRDefault="000F27E6" w:rsidP="000F27E6">
      <w:pPr>
        <w:jc w:val="both"/>
        <w:rPr>
          <w:rFonts w:ascii="Arial" w:hAnsi="Arial" w:cs="Arial"/>
          <w:sz w:val="24"/>
        </w:rPr>
      </w:pPr>
    </w:p>
    <w:p w14:paraId="3F91CD47" w14:textId="77777777" w:rsidR="000F27E6" w:rsidRPr="00CB37E1" w:rsidRDefault="000F27E6" w:rsidP="000F27E6">
      <w:pPr>
        <w:ind w:left="5040" w:firstLine="720"/>
        <w:jc w:val="both"/>
        <w:rPr>
          <w:rFonts w:ascii="Arial" w:hAnsi="Arial" w:cs="Arial"/>
          <w:sz w:val="24"/>
          <w:szCs w:val="24"/>
        </w:rPr>
      </w:pPr>
      <w:r w:rsidRPr="00CB37E1">
        <w:rPr>
          <w:rFonts w:ascii="Arial" w:hAnsi="Arial" w:cs="Arial"/>
          <w:sz w:val="24"/>
          <w:szCs w:val="24"/>
        </w:rPr>
        <w:t xml:space="preserve">Respectfully Submitted, </w:t>
      </w:r>
    </w:p>
    <w:p w14:paraId="577D03AB" w14:textId="77777777" w:rsidR="000F27E6" w:rsidRPr="00CB37E1" w:rsidRDefault="000F27E6" w:rsidP="000F27E6">
      <w:pPr>
        <w:ind w:left="5760"/>
        <w:jc w:val="both"/>
        <w:rPr>
          <w:rFonts w:ascii="Arial" w:hAnsi="Arial" w:cs="Arial"/>
          <w:sz w:val="24"/>
          <w:szCs w:val="24"/>
        </w:rPr>
      </w:pPr>
    </w:p>
    <w:p w14:paraId="7202A005" w14:textId="77777777" w:rsidR="000F27E6" w:rsidRPr="00CB37E1" w:rsidRDefault="000F27E6" w:rsidP="000F27E6">
      <w:pPr>
        <w:ind w:left="5760"/>
        <w:jc w:val="both"/>
        <w:rPr>
          <w:rFonts w:ascii="Arial" w:hAnsi="Arial" w:cs="Arial"/>
          <w:sz w:val="24"/>
          <w:szCs w:val="24"/>
        </w:rPr>
      </w:pPr>
    </w:p>
    <w:p w14:paraId="69C1C50B" w14:textId="77777777" w:rsidR="000F27E6" w:rsidRPr="00CB37E1" w:rsidRDefault="000F27E6" w:rsidP="000F27E6">
      <w:pPr>
        <w:pStyle w:val="NoSpacing"/>
        <w:ind w:left="5760"/>
        <w:rPr>
          <w:rFonts w:cs="Arial"/>
          <w:szCs w:val="24"/>
        </w:rPr>
      </w:pPr>
      <w:r w:rsidRPr="00CB37E1">
        <w:rPr>
          <w:rFonts w:cs="Arial"/>
          <w:szCs w:val="24"/>
        </w:rPr>
        <w:t>Bethany Allen (0093732)</w:t>
      </w:r>
    </w:p>
    <w:p w14:paraId="49B1201F" w14:textId="77777777" w:rsidR="000F27E6" w:rsidRPr="00CB37E1" w:rsidRDefault="000F27E6" w:rsidP="000F27E6">
      <w:pPr>
        <w:pStyle w:val="NoSpacing"/>
        <w:ind w:left="5760"/>
        <w:rPr>
          <w:rFonts w:cs="Arial"/>
          <w:szCs w:val="24"/>
        </w:rPr>
      </w:pPr>
      <w:r w:rsidRPr="00CB37E1">
        <w:rPr>
          <w:rFonts w:cs="Arial"/>
          <w:szCs w:val="24"/>
        </w:rPr>
        <w:t>Counsel of Record</w:t>
      </w:r>
    </w:p>
    <w:p w14:paraId="2B2A1908" w14:textId="77777777" w:rsidR="000F27E6" w:rsidRPr="00CB37E1" w:rsidRDefault="00544FE4" w:rsidP="000F27E6">
      <w:pPr>
        <w:pStyle w:val="NoSpacing"/>
        <w:ind w:left="5760"/>
        <w:rPr>
          <w:rFonts w:cs="Arial"/>
          <w:szCs w:val="24"/>
        </w:rPr>
      </w:pPr>
      <w:hyperlink r:id="rId16" w:history="1">
        <w:r w:rsidR="000F27E6" w:rsidRPr="00CB37E1">
          <w:rPr>
            <w:rStyle w:val="Hyperlink"/>
            <w:rFonts w:cs="Arial"/>
            <w:szCs w:val="24"/>
          </w:rPr>
          <w:t>bethany.allen@igs.com</w:t>
        </w:r>
      </w:hyperlink>
      <w:r w:rsidR="000F27E6" w:rsidRPr="00CB37E1">
        <w:rPr>
          <w:rFonts w:cs="Arial"/>
          <w:szCs w:val="24"/>
        </w:rPr>
        <w:t xml:space="preserve"> </w:t>
      </w:r>
    </w:p>
    <w:p w14:paraId="090F2499" w14:textId="77777777" w:rsidR="000F27E6" w:rsidRPr="00CB37E1" w:rsidRDefault="000F27E6" w:rsidP="000F27E6">
      <w:pPr>
        <w:pStyle w:val="NoSpacing"/>
        <w:ind w:left="5760"/>
        <w:rPr>
          <w:rFonts w:cs="Arial"/>
          <w:szCs w:val="24"/>
        </w:rPr>
      </w:pPr>
      <w:r w:rsidRPr="00CB37E1">
        <w:rPr>
          <w:rFonts w:cs="Arial"/>
          <w:szCs w:val="24"/>
        </w:rPr>
        <w:lastRenderedPageBreak/>
        <w:t>Joseph Oliker (0086088)</w:t>
      </w:r>
    </w:p>
    <w:p w14:paraId="24FBA925" w14:textId="77777777" w:rsidR="000F27E6" w:rsidRPr="00CB37E1" w:rsidRDefault="00544FE4" w:rsidP="000F27E6">
      <w:pPr>
        <w:pStyle w:val="NoSpacing"/>
        <w:ind w:left="5760"/>
        <w:rPr>
          <w:rFonts w:cs="Arial"/>
          <w:szCs w:val="24"/>
        </w:rPr>
      </w:pPr>
      <w:hyperlink r:id="rId17" w:history="1">
        <w:r w:rsidR="000F27E6" w:rsidRPr="00CB37E1">
          <w:rPr>
            <w:rStyle w:val="Hyperlink"/>
            <w:rFonts w:cs="Arial"/>
            <w:szCs w:val="24"/>
          </w:rPr>
          <w:t>joe.oliker@igs.com</w:t>
        </w:r>
      </w:hyperlink>
      <w:r w:rsidR="000F27E6" w:rsidRPr="00CB37E1">
        <w:rPr>
          <w:rFonts w:cs="Arial"/>
          <w:szCs w:val="24"/>
        </w:rPr>
        <w:t xml:space="preserve"> </w:t>
      </w:r>
    </w:p>
    <w:p w14:paraId="6594C6AF" w14:textId="77777777" w:rsidR="000F27E6" w:rsidRPr="00CB37E1" w:rsidRDefault="000F27E6" w:rsidP="000F27E6">
      <w:pPr>
        <w:pStyle w:val="NoSpacing"/>
        <w:ind w:left="5760"/>
        <w:rPr>
          <w:rFonts w:cs="Arial"/>
          <w:szCs w:val="24"/>
        </w:rPr>
      </w:pPr>
      <w:r w:rsidRPr="00CB37E1">
        <w:rPr>
          <w:rFonts w:cs="Arial"/>
          <w:szCs w:val="24"/>
        </w:rPr>
        <w:t>Michael Nugent (0090408)</w:t>
      </w:r>
    </w:p>
    <w:p w14:paraId="1797040A" w14:textId="77777777" w:rsidR="000F27E6" w:rsidRDefault="00544FE4" w:rsidP="000F27E6">
      <w:pPr>
        <w:pStyle w:val="NoSpacing"/>
        <w:ind w:left="5760"/>
        <w:rPr>
          <w:rFonts w:cs="Arial"/>
          <w:szCs w:val="24"/>
        </w:rPr>
      </w:pPr>
      <w:hyperlink r:id="rId18" w:history="1">
        <w:r w:rsidR="000F27E6" w:rsidRPr="00CB37E1">
          <w:rPr>
            <w:rStyle w:val="Hyperlink"/>
            <w:rFonts w:cs="Arial"/>
            <w:szCs w:val="24"/>
          </w:rPr>
          <w:t>michael.nugent@igs.com</w:t>
        </w:r>
      </w:hyperlink>
      <w:r w:rsidR="000F27E6" w:rsidRPr="00CB37E1">
        <w:rPr>
          <w:rFonts w:cs="Arial"/>
          <w:szCs w:val="24"/>
        </w:rPr>
        <w:t xml:space="preserve"> </w:t>
      </w:r>
    </w:p>
    <w:p w14:paraId="1782ACA8" w14:textId="54CFFF19" w:rsidR="000F27E6" w:rsidRDefault="000F27E6" w:rsidP="000F27E6">
      <w:pPr>
        <w:pStyle w:val="NoSpacing"/>
        <w:ind w:left="5760"/>
        <w:rPr>
          <w:rFonts w:cs="Arial"/>
          <w:szCs w:val="24"/>
        </w:rPr>
      </w:pPr>
      <w:r>
        <w:rPr>
          <w:rFonts w:cs="Arial"/>
          <w:szCs w:val="24"/>
        </w:rPr>
        <w:t xml:space="preserve">Evan Betterton </w:t>
      </w:r>
      <w:r w:rsidR="00C33F4F" w:rsidRPr="00B83CDA">
        <w:rPr>
          <w:rFonts w:cs="Arial"/>
          <w:szCs w:val="24"/>
        </w:rPr>
        <w:t>(0100089)</w:t>
      </w:r>
      <w:r w:rsidR="00C33F4F" w:rsidRPr="002501FC" w:rsidDel="00C33F4F">
        <w:rPr>
          <w:rFonts w:cs="Arial"/>
          <w:szCs w:val="24"/>
          <w:highlight w:val="yellow"/>
        </w:rPr>
        <w:t xml:space="preserve"> </w:t>
      </w:r>
    </w:p>
    <w:p w14:paraId="0B266547" w14:textId="77777777" w:rsidR="000F27E6" w:rsidRDefault="00544FE4" w:rsidP="000F27E6">
      <w:pPr>
        <w:pStyle w:val="NoSpacing"/>
        <w:ind w:left="5760"/>
        <w:rPr>
          <w:rFonts w:cs="Arial"/>
          <w:szCs w:val="24"/>
        </w:rPr>
      </w:pPr>
      <w:hyperlink r:id="rId19" w:history="1">
        <w:r w:rsidR="000F27E6" w:rsidRPr="00AA0726">
          <w:rPr>
            <w:rStyle w:val="Hyperlink"/>
            <w:rFonts w:cs="Arial"/>
            <w:szCs w:val="24"/>
          </w:rPr>
          <w:t>Evan.betterton@igs.com</w:t>
        </w:r>
      </w:hyperlink>
      <w:r w:rsidR="000F27E6">
        <w:rPr>
          <w:rFonts w:cs="Arial"/>
          <w:szCs w:val="24"/>
        </w:rPr>
        <w:t xml:space="preserve"> </w:t>
      </w:r>
    </w:p>
    <w:p w14:paraId="5B0809C4" w14:textId="77777777" w:rsidR="000F27E6" w:rsidRPr="00CB37E1" w:rsidRDefault="000F27E6" w:rsidP="000F27E6">
      <w:pPr>
        <w:pStyle w:val="NoSpacing"/>
        <w:ind w:left="5760"/>
        <w:rPr>
          <w:rFonts w:cs="Arial"/>
          <w:szCs w:val="24"/>
        </w:rPr>
      </w:pPr>
      <w:r w:rsidRPr="00CB37E1">
        <w:rPr>
          <w:rFonts w:cs="Arial"/>
          <w:szCs w:val="24"/>
        </w:rPr>
        <w:t>IGS Energy</w:t>
      </w:r>
    </w:p>
    <w:p w14:paraId="5E6B8E26" w14:textId="77777777" w:rsidR="000F27E6" w:rsidRPr="00CB37E1" w:rsidRDefault="000F27E6" w:rsidP="000F27E6">
      <w:pPr>
        <w:pStyle w:val="NoSpacing"/>
        <w:ind w:left="5760"/>
        <w:rPr>
          <w:rFonts w:cs="Arial"/>
          <w:szCs w:val="24"/>
        </w:rPr>
      </w:pPr>
      <w:r w:rsidRPr="00CB37E1">
        <w:rPr>
          <w:rFonts w:cs="Arial"/>
          <w:szCs w:val="24"/>
        </w:rPr>
        <w:t>6100 Emerald Parkway</w:t>
      </w:r>
    </w:p>
    <w:p w14:paraId="5F3941DC" w14:textId="77777777" w:rsidR="000F27E6" w:rsidRPr="00CB37E1" w:rsidRDefault="000F27E6" w:rsidP="000F27E6">
      <w:pPr>
        <w:pStyle w:val="NoSpacing"/>
        <w:ind w:left="5760"/>
        <w:rPr>
          <w:rFonts w:cs="Arial"/>
          <w:szCs w:val="24"/>
        </w:rPr>
      </w:pPr>
      <w:r w:rsidRPr="00CB37E1">
        <w:rPr>
          <w:rFonts w:cs="Arial"/>
          <w:szCs w:val="24"/>
        </w:rPr>
        <w:t>Dublin, Ohio 43016</w:t>
      </w:r>
    </w:p>
    <w:p w14:paraId="32A09101" w14:textId="77777777" w:rsidR="000F27E6" w:rsidRPr="00CB37E1" w:rsidRDefault="000F27E6" w:rsidP="000F27E6">
      <w:pPr>
        <w:pStyle w:val="NoSpacing"/>
        <w:ind w:left="5760"/>
        <w:rPr>
          <w:rFonts w:cs="Arial"/>
          <w:szCs w:val="24"/>
        </w:rPr>
      </w:pPr>
      <w:r w:rsidRPr="00CB37E1">
        <w:rPr>
          <w:rFonts w:cs="Arial"/>
          <w:szCs w:val="24"/>
        </w:rPr>
        <w:t>Telephone: (614) 659-5000</w:t>
      </w:r>
    </w:p>
    <w:p w14:paraId="54E7A569" w14:textId="77777777" w:rsidR="000F27E6" w:rsidRPr="00CB37E1" w:rsidRDefault="000F27E6" w:rsidP="000F27E6">
      <w:pPr>
        <w:pStyle w:val="NoSpacing"/>
        <w:ind w:left="1440"/>
        <w:rPr>
          <w:rFonts w:cs="Arial"/>
          <w:szCs w:val="24"/>
        </w:rPr>
      </w:pPr>
    </w:p>
    <w:p w14:paraId="55C18303" w14:textId="77777777" w:rsidR="000F27E6" w:rsidRDefault="000F27E6" w:rsidP="000F27E6">
      <w:pPr>
        <w:pStyle w:val="NoSpacing"/>
        <w:ind w:left="5760"/>
        <w:rPr>
          <w:rFonts w:cs="Arial"/>
          <w:b/>
          <w:i/>
          <w:szCs w:val="24"/>
        </w:rPr>
      </w:pPr>
      <w:r w:rsidRPr="00CB37E1">
        <w:rPr>
          <w:rFonts w:cs="Arial"/>
          <w:b/>
          <w:i/>
          <w:szCs w:val="24"/>
        </w:rPr>
        <w:t>Attorneys for IGS</w:t>
      </w:r>
    </w:p>
    <w:p w14:paraId="6A9954EE" w14:textId="77777777" w:rsidR="000F27E6" w:rsidRPr="000F27E6" w:rsidRDefault="000F27E6" w:rsidP="000F27E6">
      <w:pPr>
        <w:jc w:val="both"/>
        <w:rPr>
          <w:rFonts w:ascii="Arial" w:hAnsi="Arial" w:cs="Arial"/>
          <w:sz w:val="24"/>
        </w:rPr>
      </w:pPr>
    </w:p>
    <w:p w14:paraId="1C5E5D00" w14:textId="6B22987F" w:rsidR="002966D2" w:rsidRDefault="002966D2">
      <w:pPr>
        <w:rPr>
          <w:rFonts w:ascii="Arial" w:hAnsi="Arial" w:cs="Arial"/>
        </w:rPr>
      </w:pPr>
    </w:p>
    <w:p w14:paraId="7C936832" w14:textId="3E113A14" w:rsidR="002966D2" w:rsidRDefault="002966D2">
      <w:pPr>
        <w:rPr>
          <w:rFonts w:ascii="Arial" w:hAnsi="Arial" w:cs="Arial"/>
        </w:rPr>
      </w:pPr>
    </w:p>
    <w:p w14:paraId="35EDEB1B" w14:textId="03613C7C" w:rsidR="002966D2" w:rsidRDefault="002966D2">
      <w:pPr>
        <w:rPr>
          <w:rFonts w:ascii="Arial" w:hAnsi="Arial" w:cs="Arial"/>
        </w:rPr>
      </w:pPr>
    </w:p>
    <w:p w14:paraId="445A1413" w14:textId="4EC0EB20" w:rsidR="002966D2" w:rsidRDefault="002966D2">
      <w:pPr>
        <w:widowControl/>
        <w:autoSpaceDE/>
        <w:autoSpaceDN/>
        <w:rPr>
          <w:rFonts w:ascii="Arial" w:hAnsi="Arial" w:cs="Arial"/>
        </w:rPr>
      </w:pPr>
      <w:r>
        <w:rPr>
          <w:rFonts w:ascii="Arial" w:hAnsi="Arial" w:cs="Arial"/>
        </w:rPr>
        <w:br w:type="page"/>
      </w:r>
    </w:p>
    <w:p w14:paraId="5A091CBD" w14:textId="0116405F" w:rsidR="002966D2" w:rsidRDefault="002966D2" w:rsidP="00504FA6">
      <w:pPr>
        <w:jc w:val="center"/>
        <w:rPr>
          <w:rFonts w:ascii="Arial" w:hAnsi="Arial" w:cs="Arial"/>
          <w:b/>
          <w:caps/>
          <w:u w:val="single"/>
        </w:rPr>
      </w:pPr>
      <w:r w:rsidRPr="00603B9B">
        <w:rPr>
          <w:rFonts w:ascii="Arial" w:hAnsi="Arial" w:cs="Arial"/>
          <w:b/>
          <w:caps/>
          <w:u w:val="single"/>
        </w:rPr>
        <w:lastRenderedPageBreak/>
        <w:t>Certificate of Service</w:t>
      </w:r>
    </w:p>
    <w:p w14:paraId="4DB04079" w14:textId="77777777" w:rsidR="00603B9B" w:rsidRPr="00603B9B" w:rsidRDefault="00603B9B" w:rsidP="008310C1">
      <w:pPr>
        <w:jc w:val="both"/>
        <w:rPr>
          <w:rFonts w:ascii="Arial" w:hAnsi="Arial" w:cs="Arial"/>
          <w:b/>
          <w:caps/>
          <w:u w:val="single"/>
        </w:rPr>
      </w:pPr>
    </w:p>
    <w:p w14:paraId="4FA04216" w14:textId="224AB192" w:rsidR="002966D2" w:rsidRDefault="00E426CE" w:rsidP="008310C1">
      <w:pPr>
        <w:ind w:firstLine="720"/>
        <w:jc w:val="both"/>
        <w:rPr>
          <w:rFonts w:ascii="Arial" w:hAnsi="Arial" w:cs="Arial"/>
        </w:rPr>
      </w:pPr>
      <w:r w:rsidRPr="00E426CE">
        <w:rPr>
          <w:rFonts w:ascii="Arial" w:hAnsi="Arial" w:cs="Arial"/>
        </w:rPr>
        <w:t xml:space="preserve">I certify that this </w:t>
      </w:r>
      <w:r w:rsidRPr="00955D29">
        <w:rPr>
          <w:rFonts w:ascii="Arial" w:hAnsi="Arial" w:cs="Arial"/>
          <w:i/>
        </w:rPr>
        <w:t xml:space="preserve">Objections </w:t>
      </w:r>
      <w:r w:rsidR="00955D29" w:rsidRPr="00955D29">
        <w:rPr>
          <w:rFonts w:ascii="Arial" w:hAnsi="Arial" w:cs="Arial"/>
          <w:i/>
        </w:rPr>
        <w:t xml:space="preserve">to the Staff Report and Investigation and Summary of Major Issues of </w:t>
      </w:r>
      <w:r w:rsidRPr="00955D29">
        <w:rPr>
          <w:rFonts w:ascii="Arial" w:hAnsi="Arial" w:cs="Arial"/>
          <w:i/>
        </w:rPr>
        <w:t>Interstate Gas Supply, Inc.</w:t>
      </w:r>
      <w:r w:rsidRPr="00E426CE">
        <w:rPr>
          <w:rFonts w:ascii="Arial" w:hAnsi="Arial" w:cs="Arial"/>
        </w:rPr>
        <w:t xml:space="preserve"> was filed electronically through the Docketing Information System of the Public Utilities Commission of Ohio on December </w:t>
      </w:r>
      <w:r w:rsidR="00FC082B">
        <w:rPr>
          <w:rFonts w:ascii="Arial" w:hAnsi="Arial" w:cs="Arial"/>
        </w:rPr>
        <w:t>18</w:t>
      </w:r>
      <w:r w:rsidRPr="00E426CE">
        <w:rPr>
          <w:rFonts w:ascii="Arial" w:hAnsi="Arial" w:cs="Arial"/>
        </w:rPr>
        <w:t>, 2020. The PUCO's e-filing system will electronically serve notice of the filing of this document on the following parties</w:t>
      </w:r>
      <w:r w:rsidR="00603B9B">
        <w:rPr>
          <w:rFonts w:ascii="Arial" w:hAnsi="Arial" w:cs="Arial"/>
        </w:rPr>
        <w:t xml:space="preserve"> listed</w:t>
      </w:r>
      <w:r w:rsidRPr="00E426CE">
        <w:rPr>
          <w:rFonts w:ascii="Arial" w:hAnsi="Arial" w:cs="Arial"/>
        </w:rPr>
        <w:t xml:space="preserve"> below.</w:t>
      </w:r>
    </w:p>
    <w:p w14:paraId="62D275E6" w14:textId="3F01EBCB" w:rsidR="006B3A57" w:rsidRDefault="006B3A57">
      <w:pPr>
        <w:rPr>
          <w:rFonts w:ascii="Arial" w:hAnsi="Arial" w:cs="Arial"/>
        </w:rPr>
      </w:pPr>
    </w:p>
    <w:p w14:paraId="47BFB286" w14:textId="2786A040" w:rsidR="006B3A57" w:rsidRPr="006B3A57" w:rsidRDefault="006B3A57" w:rsidP="006B3A57">
      <w:pPr>
        <w:ind w:left="5760"/>
        <w:rPr>
          <w:rFonts w:ascii="Arial" w:hAnsi="Arial" w:cs="Arial"/>
          <w:i/>
          <w:u w:val="single"/>
        </w:rPr>
      </w:pPr>
      <w:r w:rsidRPr="006B3A57">
        <w:rPr>
          <w:rFonts w:ascii="Arial" w:hAnsi="Arial" w:cs="Arial"/>
          <w:i/>
          <w:u w:val="single"/>
        </w:rPr>
        <w:t>/s/ Bethany Allen</w:t>
      </w:r>
    </w:p>
    <w:p w14:paraId="72BE7E5B" w14:textId="499E0058" w:rsidR="006B3A57" w:rsidRDefault="006B3A57" w:rsidP="006B3A57">
      <w:pPr>
        <w:ind w:left="5760"/>
        <w:rPr>
          <w:rFonts w:ascii="Arial" w:hAnsi="Arial" w:cs="Arial"/>
        </w:rPr>
      </w:pPr>
      <w:r>
        <w:rPr>
          <w:rFonts w:ascii="Arial" w:hAnsi="Arial" w:cs="Arial"/>
        </w:rPr>
        <w:t>Bethany Allen</w:t>
      </w:r>
    </w:p>
    <w:p w14:paraId="0F5C6862" w14:textId="1F113F76" w:rsidR="006B3A57" w:rsidRDefault="006B3A57" w:rsidP="006B3A57">
      <w:pPr>
        <w:rPr>
          <w:rFonts w:ascii="Arial" w:hAnsi="Arial" w:cs="Arial"/>
        </w:rPr>
      </w:pPr>
    </w:p>
    <w:p w14:paraId="73BC584C" w14:textId="506689C1" w:rsidR="006B3A57" w:rsidRPr="00955D29" w:rsidRDefault="006B3A57" w:rsidP="006B3A57">
      <w:pPr>
        <w:rPr>
          <w:rFonts w:ascii="Arial" w:hAnsi="Arial" w:cs="Arial"/>
          <w:b/>
          <w:caps/>
        </w:rPr>
      </w:pPr>
      <w:r w:rsidRPr="00955D29">
        <w:rPr>
          <w:rFonts w:ascii="Arial" w:hAnsi="Arial" w:cs="Arial"/>
          <w:b/>
          <w:caps/>
        </w:rPr>
        <w:t>Service List</w:t>
      </w:r>
    </w:p>
    <w:p w14:paraId="08BF8F87" w14:textId="77777777" w:rsidR="00955D29" w:rsidRDefault="00955D29" w:rsidP="006B3A5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495"/>
      </w:tblGrid>
      <w:tr w:rsidR="00955D29" w:rsidRPr="00955D29" w14:paraId="4E1BCF02" w14:textId="77777777" w:rsidTr="0094030D">
        <w:tc>
          <w:tcPr>
            <w:tcW w:w="4855" w:type="dxa"/>
          </w:tcPr>
          <w:p w14:paraId="3F11AC82" w14:textId="77777777" w:rsidR="00955D29" w:rsidRPr="00955D29" w:rsidRDefault="00955D29" w:rsidP="0094030D">
            <w:pPr>
              <w:rPr>
                <w:rFonts w:ascii="Arial" w:hAnsi="Arial" w:cs="Arial"/>
                <w:b/>
                <w:sz w:val="24"/>
                <w:szCs w:val="24"/>
              </w:rPr>
            </w:pPr>
            <w:r w:rsidRPr="00955D29">
              <w:rPr>
                <w:rFonts w:ascii="Arial" w:hAnsi="Arial" w:cs="Arial"/>
                <w:b/>
                <w:sz w:val="24"/>
                <w:szCs w:val="24"/>
              </w:rPr>
              <w:t xml:space="preserve">Marion H. Little, Jr. </w:t>
            </w:r>
          </w:p>
          <w:p w14:paraId="2413C9A6" w14:textId="77777777" w:rsidR="00955D29" w:rsidRPr="00955D29" w:rsidRDefault="00955D29" w:rsidP="0094030D">
            <w:pPr>
              <w:rPr>
                <w:rFonts w:ascii="Arial" w:hAnsi="Arial" w:cs="Arial"/>
                <w:b/>
                <w:sz w:val="24"/>
                <w:szCs w:val="24"/>
              </w:rPr>
            </w:pPr>
            <w:r w:rsidRPr="00955D29">
              <w:rPr>
                <w:rFonts w:ascii="Arial" w:hAnsi="Arial" w:cs="Arial"/>
                <w:b/>
                <w:sz w:val="24"/>
                <w:szCs w:val="24"/>
              </w:rPr>
              <w:t>Christopher J. Hogan</w:t>
            </w:r>
          </w:p>
          <w:p w14:paraId="262BB7A7" w14:textId="77777777" w:rsidR="00955D29" w:rsidRPr="00955D29" w:rsidRDefault="00955D29" w:rsidP="0094030D">
            <w:pPr>
              <w:rPr>
                <w:rFonts w:ascii="Arial" w:hAnsi="Arial" w:cs="Arial"/>
                <w:b/>
                <w:sz w:val="24"/>
                <w:szCs w:val="24"/>
              </w:rPr>
            </w:pPr>
            <w:r w:rsidRPr="00955D29">
              <w:rPr>
                <w:rFonts w:ascii="Arial" w:hAnsi="Arial" w:cs="Arial"/>
                <w:b/>
                <w:sz w:val="24"/>
                <w:szCs w:val="24"/>
              </w:rPr>
              <w:t>Dane Stinson</w:t>
            </w:r>
          </w:p>
          <w:p w14:paraId="76314D0B" w14:textId="77777777" w:rsidR="00955D29" w:rsidRPr="00955D29" w:rsidRDefault="00955D29" w:rsidP="0094030D">
            <w:pPr>
              <w:rPr>
                <w:rFonts w:ascii="Arial" w:hAnsi="Arial" w:cs="Arial"/>
                <w:b/>
                <w:sz w:val="24"/>
                <w:szCs w:val="24"/>
              </w:rPr>
            </w:pPr>
            <w:r w:rsidRPr="00955D29">
              <w:rPr>
                <w:rFonts w:ascii="Arial" w:hAnsi="Arial" w:cs="Arial"/>
                <w:b/>
                <w:sz w:val="24"/>
                <w:szCs w:val="24"/>
              </w:rPr>
              <w:t>Matthew W. Warnock</w:t>
            </w:r>
          </w:p>
          <w:p w14:paraId="5C6594DB" w14:textId="77777777" w:rsidR="00955D29" w:rsidRPr="00955D29" w:rsidRDefault="00955D29" w:rsidP="0094030D">
            <w:pPr>
              <w:rPr>
                <w:rFonts w:ascii="Arial" w:hAnsi="Arial" w:cs="Arial"/>
                <w:b/>
                <w:sz w:val="24"/>
                <w:szCs w:val="24"/>
              </w:rPr>
            </w:pPr>
            <w:r w:rsidRPr="00955D29">
              <w:rPr>
                <w:rFonts w:ascii="Arial" w:hAnsi="Arial" w:cs="Arial"/>
                <w:b/>
                <w:sz w:val="24"/>
                <w:szCs w:val="24"/>
              </w:rPr>
              <w:t>Katie Johnson Treadway</w:t>
            </w:r>
          </w:p>
          <w:p w14:paraId="400C8B1F" w14:textId="77777777" w:rsidR="00955D29" w:rsidRPr="00955D29" w:rsidRDefault="00544FE4" w:rsidP="0094030D">
            <w:pPr>
              <w:rPr>
                <w:rFonts w:ascii="Arial" w:hAnsi="Arial" w:cs="Arial"/>
                <w:sz w:val="24"/>
                <w:szCs w:val="24"/>
              </w:rPr>
            </w:pPr>
            <w:hyperlink r:id="rId20" w:history="1">
              <w:r w:rsidR="00955D29" w:rsidRPr="00955D29">
                <w:rPr>
                  <w:rStyle w:val="Hyperlink"/>
                  <w:rFonts w:ascii="Arial" w:eastAsiaTheme="minorEastAsia" w:hAnsi="Arial" w:cs="Arial"/>
                  <w:sz w:val="24"/>
                  <w:szCs w:val="24"/>
                </w:rPr>
                <w:t>little@litohio.com</w:t>
              </w:r>
            </w:hyperlink>
            <w:r w:rsidR="00955D29" w:rsidRPr="00955D29">
              <w:rPr>
                <w:rFonts w:ascii="Arial" w:hAnsi="Arial" w:cs="Arial"/>
                <w:sz w:val="24"/>
                <w:szCs w:val="24"/>
              </w:rPr>
              <w:t xml:space="preserve"> </w:t>
            </w:r>
          </w:p>
          <w:p w14:paraId="3C41FDE0" w14:textId="77777777" w:rsidR="00955D29" w:rsidRPr="00955D29" w:rsidRDefault="00544FE4" w:rsidP="0094030D">
            <w:pPr>
              <w:rPr>
                <w:rFonts w:ascii="Arial" w:hAnsi="Arial" w:cs="Arial"/>
                <w:sz w:val="24"/>
                <w:szCs w:val="24"/>
              </w:rPr>
            </w:pPr>
            <w:hyperlink r:id="rId21" w:history="1">
              <w:r w:rsidR="00955D29" w:rsidRPr="00955D29">
                <w:rPr>
                  <w:rStyle w:val="Hyperlink"/>
                  <w:rFonts w:ascii="Arial" w:eastAsiaTheme="minorEastAsia" w:hAnsi="Arial" w:cs="Arial"/>
                  <w:sz w:val="24"/>
                  <w:szCs w:val="24"/>
                </w:rPr>
                <w:t>hogan@litohio.com</w:t>
              </w:r>
            </w:hyperlink>
          </w:p>
          <w:p w14:paraId="4AB55D81" w14:textId="77777777" w:rsidR="00955D29" w:rsidRPr="00955D29" w:rsidRDefault="00544FE4" w:rsidP="0094030D">
            <w:pPr>
              <w:rPr>
                <w:rFonts w:ascii="Arial" w:hAnsi="Arial" w:cs="Arial"/>
                <w:sz w:val="24"/>
                <w:szCs w:val="24"/>
              </w:rPr>
            </w:pPr>
            <w:hyperlink r:id="rId22" w:history="1">
              <w:r w:rsidR="00955D29" w:rsidRPr="00955D29">
                <w:rPr>
                  <w:rStyle w:val="Hyperlink"/>
                  <w:rFonts w:ascii="Arial" w:eastAsiaTheme="minorEastAsia" w:hAnsi="Arial" w:cs="Arial"/>
                  <w:sz w:val="24"/>
                  <w:szCs w:val="24"/>
                </w:rPr>
                <w:t>dstinson@bricker.com</w:t>
              </w:r>
            </w:hyperlink>
            <w:r w:rsidR="00955D29" w:rsidRPr="00955D29">
              <w:rPr>
                <w:rFonts w:ascii="Arial" w:hAnsi="Arial" w:cs="Arial"/>
                <w:sz w:val="24"/>
                <w:szCs w:val="24"/>
              </w:rPr>
              <w:t xml:space="preserve"> </w:t>
            </w:r>
          </w:p>
          <w:p w14:paraId="2AD1039E" w14:textId="77777777" w:rsidR="00955D29" w:rsidRPr="00955D29" w:rsidRDefault="00544FE4" w:rsidP="0094030D">
            <w:pPr>
              <w:rPr>
                <w:rFonts w:ascii="Arial" w:hAnsi="Arial" w:cs="Arial"/>
                <w:sz w:val="24"/>
                <w:szCs w:val="24"/>
              </w:rPr>
            </w:pPr>
            <w:hyperlink r:id="rId23" w:history="1">
              <w:r w:rsidR="00955D29" w:rsidRPr="00955D29">
                <w:rPr>
                  <w:rStyle w:val="Hyperlink"/>
                  <w:rFonts w:ascii="Arial" w:eastAsiaTheme="minorEastAsia" w:hAnsi="Arial" w:cs="Arial"/>
                  <w:sz w:val="24"/>
                  <w:szCs w:val="24"/>
                </w:rPr>
                <w:t>mwarnock@bricker.com</w:t>
              </w:r>
            </w:hyperlink>
          </w:p>
          <w:p w14:paraId="2F849180" w14:textId="77777777" w:rsidR="00955D29" w:rsidRPr="00955D29" w:rsidRDefault="00544FE4" w:rsidP="0094030D">
            <w:pPr>
              <w:rPr>
                <w:rFonts w:ascii="Arial" w:hAnsi="Arial" w:cs="Arial"/>
                <w:sz w:val="24"/>
                <w:szCs w:val="24"/>
              </w:rPr>
            </w:pPr>
            <w:hyperlink r:id="rId24" w:history="1">
              <w:r w:rsidR="00955D29" w:rsidRPr="00955D29">
                <w:rPr>
                  <w:rStyle w:val="Hyperlink"/>
                  <w:rFonts w:ascii="Arial" w:eastAsiaTheme="minorEastAsia" w:hAnsi="Arial" w:cs="Arial"/>
                  <w:sz w:val="24"/>
                  <w:szCs w:val="24"/>
                </w:rPr>
                <w:t>ktreadway@oneenergyllc.com</w:t>
              </w:r>
            </w:hyperlink>
            <w:r w:rsidR="00955D29" w:rsidRPr="00955D29">
              <w:rPr>
                <w:rFonts w:ascii="Arial" w:hAnsi="Arial" w:cs="Arial"/>
                <w:sz w:val="24"/>
                <w:szCs w:val="24"/>
              </w:rPr>
              <w:t xml:space="preserve"> </w:t>
            </w:r>
          </w:p>
          <w:p w14:paraId="0BCEB1D2" w14:textId="77777777" w:rsidR="00955D29" w:rsidRPr="00955D29" w:rsidRDefault="00955D29" w:rsidP="0094030D">
            <w:pPr>
              <w:rPr>
                <w:rFonts w:ascii="Arial" w:hAnsi="Arial" w:cs="Arial"/>
                <w:i/>
                <w:sz w:val="24"/>
                <w:szCs w:val="24"/>
              </w:rPr>
            </w:pPr>
            <w:r w:rsidRPr="00955D29">
              <w:rPr>
                <w:rFonts w:ascii="Arial" w:hAnsi="Arial" w:cs="Arial"/>
                <w:i/>
                <w:sz w:val="24"/>
                <w:szCs w:val="24"/>
              </w:rPr>
              <w:t>Counsel for One Energy Enterprises LLC</w:t>
            </w:r>
          </w:p>
          <w:p w14:paraId="1388825C" w14:textId="77777777" w:rsidR="00955D29" w:rsidRPr="00955D29" w:rsidRDefault="00955D29" w:rsidP="0094030D">
            <w:pPr>
              <w:rPr>
                <w:rFonts w:ascii="Arial" w:hAnsi="Arial" w:cs="Arial"/>
                <w:i/>
                <w:sz w:val="24"/>
                <w:szCs w:val="24"/>
              </w:rPr>
            </w:pPr>
          </w:p>
        </w:tc>
        <w:tc>
          <w:tcPr>
            <w:tcW w:w="4495" w:type="dxa"/>
          </w:tcPr>
          <w:p w14:paraId="76FDB851" w14:textId="77777777" w:rsidR="00955D29" w:rsidRPr="00955D29" w:rsidRDefault="00955D29" w:rsidP="0094030D">
            <w:pPr>
              <w:rPr>
                <w:rFonts w:ascii="Arial" w:hAnsi="Arial" w:cs="Arial"/>
                <w:sz w:val="24"/>
                <w:szCs w:val="24"/>
              </w:rPr>
            </w:pPr>
            <w:r w:rsidRPr="00955D29">
              <w:rPr>
                <w:rFonts w:ascii="Arial" w:hAnsi="Arial" w:cs="Arial"/>
                <w:b/>
                <w:sz w:val="24"/>
                <w:szCs w:val="24"/>
              </w:rPr>
              <w:t xml:space="preserve">Steven T. </w:t>
            </w:r>
            <w:proofErr w:type="spellStart"/>
            <w:r w:rsidRPr="00955D29">
              <w:rPr>
                <w:rFonts w:ascii="Arial" w:hAnsi="Arial" w:cs="Arial"/>
                <w:b/>
                <w:sz w:val="24"/>
                <w:szCs w:val="24"/>
              </w:rPr>
              <w:t>Nourse</w:t>
            </w:r>
            <w:proofErr w:type="spellEnd"/>
            <w:r w:rsidRPr="00955D29">
              <w:rPr>
                <w:rFonts w:ascii="Arial" w:hAnsi="Arial" w:cs="Arial"/>
                <w:sz w:val="24"/>
                <w:szCs w:val="24"/>
              </w:rPr>
              <w:t xml:space="preserve"> </w:t>
            </w:r>
          </w:p>
          <w:p w14:paraId="7E9504C4" w14:textId="77777777" w:rsidR="00955D29" w:rsidRPr="00AD2318" w:rsidRDefault="00955D29" w:rsidP="0094030D">
            <w:pPr>
              <w:rPr>
                <w:rFonts w:ascii="Arial" w:hAnsi="Arial" w:cs="Arial"/>
                <w:b/>
                <w:sz w:val="24"/>
                <w:szCs w:val="24"/>
              </w:rPr>
            </w:pPr>
            <w:r w:rsidRPr="00AD2318">
              <w:rPr>
                <w:rFonts w:ascii="Arial" w:hAnsi="Arial" w:cs="Arial"/>
                <w:b/>
                <w:sz w:val="24"/>
                <w:szCs w:val="24"/>
              </w:rPr>
              <w:t xml:space="preserve">Christen M. Blend </w:t>
            </w:r>
          </w:p>
          <w:p w14:paraId="35E4D175" w14:textId="77777777" w:rsidR="00955D29" w:rsidRPr="00AD2318" w:rsidRDefault="00955D29" w:rsidP="0094030D">
            <w:pPr>
              <w:rPr>
                <w:rFonts w:ascii="Arial" w:hAnsi="Arial" w:cs="Arial"/>
                <w:b/>
                <w:sz w:val="24"/>
                <w:szCs w:val="24"/>
              </w:rPr>
            </w:pPr>
            <w:r w:rsidRPr="00AD2318">
              <w:rPr>
                <w:rFonts w:ascii="Arial" w:hAnsi="Arial" w:cs="Arial"/>
                <w:b/>
                <w:sz w:val="24"/>
                <w:szCs w:val="24"/>
              </w:rPr>
              <w:t>Eric B. Gallon</w:t>
            </w:r>
          </w:p>
          <w:p w14:paraId="264451E4" w14:textId="77777777" w:rsidR="00955D29" w:rsidRPr="00AD2318" w:rsidRDefault="00955D29" w:rsidP="0094030D">
            <w:pPr>
              <w:rPr>
                <w:rFonts w:ascii="Arial" w:hAnsi="Arial" w:cs="Arial"/>
                <w:b/>
                <w:sz w:val="24"/>
                <w:szCs w:val="24"/>
              </w:rPr>
            </w:pPr>
            <w:r w:rsidRPr="00AD2318">
              <w:rPr>
                <w:rFonts w:ascii="Arial" w:hAnsi="Arial" w:cs="Arial"/>
                <w:b/>
                <w:sz w:val="24"/>
                <w:szCs w:val="24"/>
              </w:rPr>
              <w:t>Christopher L. Miller</w:t>
            </w:r>
          </w:p>
          <w:p w14:paraId="2606703F" w14:textId="77777777" w:rsidR="00955D29" w:rsidRPr="00955D29" w:rsidRDefault="00544FE4" w:rsidP="0094030D">
            <w:pPr>
              <w:rPr>
                <w:rFonts w:ascii="Arial" w:hAnsi="Arial" w:cs="Arial"/>
                <w:sz w:val="24"/>
                <w:szCs w:val="24"/>
              </w:rPr>
            </w:pPr>
            <w:hyperlink r:id="rId25" w:history="1">
              <w:r w:rsidR="00955D29" w:rsidRPr="00955D29">
                <w:rPr>
                  <w:rStyle w:val="Hyperlink"/>
                  <w:rFonts w:ascii="Arial" w:eastAsiaTheme="minorEastAsia" w:hAnsi="Arial" w:cs="Arial"/>
                  <w:sz w:val="24"/>
                  <w:szCs w:val="24"/>
                </w:rPr>
                <w:t>stnourse@aep.com</w:t>
              </w:r>
            </w:hyperlink>
            <w:r w:rsidR="00955D29" w:rsidRPr="00955D29">
              <w:rPr>
                <w:rFonts w:ascii="Arial" w:hAnsi="Arial" w:cs="Arial"/>
                <w:sz w:val="24"/>
                <w:szCs w:val="24"/>
              </w:rPr>
              <w:t xml:space="preserve"> </w:t>
            </w:r>
          </w:p>
          <w:p w14:paraId="600CE140" w14:textId="77777777" w:rsidR="00955D29" w:rsidRPr="00955D29" w:rsidRDefault="00544FE4" w:rsidP="0094030D">
            <w:pPr>
              <w:rPr>
                <w:rFonts w:ascii="Arial" w:hAnsi="Arial" w:cs="Arial"/>
                <w:sz w:val="24"/>
                <w:szCs w:val="24"/>
              </w:rPr>
            </w:pPr>
            <w:hyperlink r:id="rId26" w:history="1">
              <w:r w:rsidR="00955D29" w:rsidRPr="00955D29">
                <w:rPr>
                  <w:rStyle w:val="Hyperlink"/>
                  <w:rFonts w:ascii="Arial" w:eastAsiaTheme="minorEastAsia" w:hAnsi="Arial" w:cs="Arial"/>
                  <w:sz w:val="24"/>
                  <w:szCs w:val="24"/>
                </w:rPr>
                <w:t>cmblend@aep.com</w:t>
              </w:r>
            </w:hyperlink>
            <w:r w:rsidR="00955D29" w:rsidRPr="00955D29">
              <w:rPr>
                <w:rFonts w:ascii="Arial" w:hAnsi="Arial" w:cs="Arial"/>
                <w:sz w:val="24"/>
                <w:szCs w:val="24"/>
              </w:rPr>
              <w:t xml:space="preserve"> </w:t>
            </w:r>
          </w:p>
          <w:p w14:paraId="692A2F36" w14:textId="77777777" w:rsidR="00955D29" w:rsidRPr="00955D29" w:rsidRDefault="00544FE4" w:rsidP="0094030D">
            <w:pPr>
              <w:rPr>
                <w:rFonts w:ascii="Arial" w:hAnsi="Arial" w:cs="Arial"/>
                <w:sz w:val="24"/>
                <w:szCs w:val="24"/>
              </w:rPr>
            </w:pPr>
            <w:hyperlink r:id="rId27" w:history="1">
              <w:r w:rsidR="00955D29" w:rsidRPr="00955D29">
                <w:rPr>
                  <w:rStyle w:val="Hyperlink"/>
                  <w:rFonts w:ascii="Arial" w:eastAsiaTheme="minorEastAsia" w:hAnsi="Arial" w:cs="Arial"/>
                  <w:sz w:val="24"/>
                  <w:szCs w:val="24"/>
                </w:rPr>
                <w:t>egallon@porterwright.com</w:t>
              </w:r>
            </w:hyperlink>
            <w:r w:rsidR="00955D29" w:rsidRPr="00955D29">
              <w:rPr>
                <w:rFonts w:ascii="Arial" w:hAnsi="Arial" w:cs="Arial"/>
                <w:sz w:val="24"/>
                <w:szCs w:val="24"/>
              </w:rPr>
              <w:t xml:space="preserve"> </w:t>
            </w:r>
          </w:p>
          <w:p w14:paraId="12621817" w14:textId="77777777" w:rsidR="00955D29" w:rsidRPr="00955D29" w:rsidRDefault="00544FE4" w:rsidP="0094030D">
            <w:pPr>
              <w:rPr>
                <w:rFonts w:ascii="Arial" w:hAnsi="Arial" w:cs="Arial"/>
                <w:sz w:val="24"/>
                <w:szCs w:val="24"/>
              </w:rPr>
            </w:pPr>
            <w:hyperlink r:id="rId28" w:history="1">
              <w:r w:rsidR="00955D29" w:rsidRPr="00955D29">
                <w:rPr>
                  <w:rStyle w:val="Hyperlink"/>
                  <w:rFonts w:ascii="Arial" w:eastAsiaTheme="minorEastAsia" w:hAnsi="Arial" w:cs="Arial"/>
                  <w:sz w:val="24"/>
                  <w:szCs w:val="24"/>
                </w:rPr>
                <w:t>christopher.miller@icemiller.com</w:t>
              </w:r>
            </w:hyperlink>
            <w:r w:rsidR="00955D29" w:rsidRPr="00955D29">
              <w:rPr>
                <w:rFonts w:ascii="Arial" w:hAnsi="Arial" w:cs="Arial"/>
                <w:sz w:val="24"/>
                <w:szCs w:val="24"/>
              </w:rPr>
              <w:t xml:space="preserve"> </w:t>
            </w:r>
          </w:p>
          <w:p w14:paraId="5842EC4B" w14:textId="77777777" w:rsidR="00955D29" w:rsidRPr="00955D29" w:rsidRDefault="00955D29" w:rsidP="0094030D">
            <w:pPr>
              <w:rPr>
                <w:rFonts w:ascii="Arial" w:hAnsi="Arial" w:cs="Arial"/>
                <w:i/>
                <w:sz w:val="24"/>
                <w:szCs w:val="24"/>
              </w:rPr>
            </w:pPr>
            <w:r w:rsidRPr="00955D29">
              <w:rPr>
                <w:rFonts w:ascii="Arial" w:hAnsi="Arial" w:cs="Arial"/>
                <w:i/>
                <w:sz w:val="24"/>
                <w:szCs w:val="24"/>
              </w:rPr>
              <w:t>Counsel for Ohio Power Company</w:t>
            </w:r>
          </w:p>
          <w:p w14:paraId="1A6FCD18" w14:textId="77777777" w:rsidR="00955D29" w:rsidRPr="00955D29" w:rsidRDefault="00955D29" w:rsidP="0094030D">
            <w:pPr>
              <w:rPr>
                <w:rFonts w:ascii="Arial" w:hAnsi="Arial" w:cs="Arial"/>
                <w:sz w:val="24"/>
                <w:szCs w:val="24"/>
              </w:rPr>
            </w:pPr>
          </w:p>
        </w:tc>
      </w:tr>
      <w:tr w:rsidR="00955D29" w:rsidRPr="00955D29" w14:paraId="551837FD" w14:textId="77777777" w:rsidTr="0094030D">
        <w:tc>
          <w:tcPr>
            <w:tcW w:w="4855" w:type="dxa"/>
          </w:tcPr>
          <w:p w14:paraId="1BE16FE6" w14:textId="77777777" w:rsidR="00955D29" w:rsidRPr="00955D29" w:rsidRDefault="00955D29" w:rsidP="0094030D">
            <w:pPr>
              <w:rPr>
                <w:rFonts w:ascii="Arial" w:hAnsi="Arial" w:cs="Arial"/>
                <w:sz w:val="24"/>
                <w:szCs w:val="24"/>
              </w:rPr>
            </w:pPr>
            <w:r w:rsidRPr="00955D29">
              <w:rPr>
                <w:rFonts w:ascii="Arial" w:hAnsi="Arial" w:cs="Arial"/>
                <w:b/>
                <w:sz w:val="24"/>
                <w:szCs w:val="24"/>
              </w:rPr>
              <w:t xml:space="preserve">Werner L. </w:t>
            </w:r>
            <w:proofErr w:type="spellStart"/>
            <w:r w:rsidRPr="00955D29">
              <w:rPr>
                <w:rFonts w:ascii="Arial" w:hAnsi="Arial" w:cs="Arial"/>
                <w:b/>
                <w:sz w:val="24"/>
                <w:szCs w:val="24"/>
              </w:rPr>
              <w:t>Margard</w:t>
            </w:r>
            <w:proofErr w:type="spellEnd"/>
            <w:r w:rsidRPr="00955D29">
              <w:rPr>
                <w:rFonts w:ascii="Arial" w:hAnsi="Arial" w:cs="Arial"/>
                <w:b/>
                <w:sz w:val="24"/>
                <w:szCs w:val="24"/>
              </w:rPr>
              <w:t xml:space="preserve"> III</w:t>
            </w:r>
            <w:r w:rsidRPr="00955D29">
              <w:rPr>
                <w:rFonts w:ascii="Arial" w:hAnsi="Arial" w:cs="Arial"/>
                <w:sz w:val="24"/>
                <w:szCs w:val="24"/>
              </w:rPr>
              <w:t xml:space="preserve"> </w:t>
            </w:r>
          </w:p>
          <w:p w14:paraId="328E7ACF" w14:textId="77777777" w:rsidR="00955D29" w:rsidRPr="00955D29" w:rsidRDefault="00955D29" w:rsidP="0094030D">
            <w:pPr>
              <w:rPr>
                <w:rFonts w:ascii="Arial" w:hAnsi="Arial" w:cs="Arial"/>
                <w:b/>
                <w:sz w:val="24"/>
                <w:szCs w:val="24"/>
              </w:rPr>
            </w:pPr>
            <w:r w:rsidRPr="00955D29">
              <w:rPr>
                <w:rFonts w:ascii="Arial" w:hAnsi="Arial" w:cs="Arial"/>
                <w:b/>
                <w:sz w:val="24"/>
                <w:szCs w:val="24"/>
              </w:rPr>
              <w:t>Kyle Kern</w:t>
            </w:r>
          </w:p>
          <w:p w14:paraId="1F0A3024" w14:textId="77777777" w:rsidR="00955D29" w:rsidRPr="00955D29" w:rsidRDefault="00544FE4" w:rsidP="0094030D">
            <w:pPr>
              <w:rPr>
                <w:rFonts w:ascii="Arial" w:hAnsi="Arial" w:cs="Arial"/>
                <w:sz w:val="24"/>
                <w:szCs w:val="24"/>
              </w:rPr>
            </w:pPr>
            <w:hyperlink r:id="rId29" w:history="1">
              <w:r w:rsidR="00955D29" w:rsidRPr="00955D29">
                <w:rPr>
                  <w:rStyle w:val="Hyperlink"/>
                  <w:rFonts w:ascii="Arial" w:eastAsiaTheme="minorEastAsia" w:hAnsi="Arial" w:cs="Arial"/>
                  <w:sz w:val="24"/>
                  <w:szCs w:val="24"/>
                </w:rPr>
                <w:t>Werner.margard@ohioattorneygeneral.gov</w:t>
              </w:r>
            </w:hyperlink>
          </w:p>
          <w:p w14:paraId="64E59FDB" w14:textId="77777777" w:rsidR="00955D29" w:rsidRPr="00955D29" w:rsidRDefault="00544FE4" w:rsidP="0094030D">
            <w:pPr>
              <w:rPr>
                <w:rFonts w:ascii="Arial" w:hAnsi="Arial" w:cs="Arial"/>
                <w:sz w:val="24"/>
                <w:szCs w:val="24"/>
              </w:rPr>
            </w:pPr>
            <w:hyperlink r:id="rId30" w:history="1">
              <w:r w:rsidR="00955D29" w:rsidRPr="00955D29">
                <w:rPr>
                  <w:rStyle w:val="Hyperlink"/>
                  <w:rFonts w:ascii="Arial" w:eastAsiaTheme="minorEastAsia" w:hAnsi="Arial" w:cs="Arial"/>
                  <w:sz w:val="24"/>
                  <w:szCs w:val="24"/>
                </w:rPr>
                <w:t>Kyle.kern@ohioattorneygeneral.gov</w:t>
              </w:r>
            </w:hyperlink>
          </w:p>
          <w:p w14:paraId="58327909" w14:textId="77777777" w:rsidR="00955D29" w:rsidRPr="00955D29" w:rsidRDefault="00955D29" w:rsidP="0094030D">
            <w:pPr>
              <w:rPr>
                <w:rFonts w:ascii="Arial" w:hAnsi="Arial" w:cs="Arial"/>
                <w:i/>
                <w:sz w:val="24"/>
                <w:szCs w:val="24"/>
              </w:rPr>
            </w:pPr>
            <w:r w:rsidRPr="00955D29">
              <w:rPr>
                <w:rFonts w:ascii="Arial" w:hAnsi="Arial" w:cs="Arial"/>
                <w:i/>
                <w:sz w:val="24"/>
                <w:szCs w:val="24"/>
              </w:rPr>
              <w:t>Counsel for the Staff of the Public Utilities</w:t>
            </w:r>
          </w:p>
          <w:p w14:paraId="235A3E5D" w14:textId="77777777" w:rsidR="00955D29" w:rsidRPr="00955D29" w:rsidRDefault="00955D29" w:rsidP="0094030D">
            <w:pPr>
              <w:rPr>
                <w:rFonts w:ascii="Arial" w:hAnsi="Arial" w:cs="Arial"/>
                <w:i/>
                <w:sz w:val="24"/>
                <w:szCs w:val="24"/>
              </w:rPr>
            </w:pPr>
            <w:r w:rsidRPr="00955D29">
              <w:rPr>
                <w:rFonts w:ascii="Arial" w:hAnsi="Arial" w:cs="Arial"/>
                <w:i/>
                <w:sz w:val="24"/>
                <w:szCs w:val="24"/>
              </w:rPr>
              <w:t>Commission of Ohio</w:t>
            </w:r>
          </w:p>
          <w:p w14:paraId="5817456F" w14:textId="77777777" w:rsidR="00955D29" w:rsidRPr="00955D29" w:rsidRDefault="00955D29" w:rsidP="0094030D">
            <w:pPr>
              <w:rPr>
                <w:rFonts w:ascii="Arial" w:hAnsi="Arial" w:cs="Arial"/>
                <w:sz w:val="24"/>
                <w:szCs w:val="24"/>
              </w:rPr>
            </w:pPr>
          </w:p>
        </w:tc>
        <w:tc>
          <w:tcPr>
            <w:tcW w:w="4495" w:type="dxa"/>
          </w:tcPr>
          <w:p w14:paraId="0FCF9063" w14:textId="77777777" w:rsidR="00955D29" w:rsidRPr="00955D29" w:rsidRDefault="00955D29" w:rsidP="0094030D">
            <w:pPr>
              <w:rPr>
                <w:rFonts w:ascii="Arial" w:hAnsi="Arial" w:cs="Arial"/>
                <w:b/>
                <w:sz w:val="24"/>
                <w:szCs w:val="24"/>
              </w:rPr>
            </w:pPr>
            <w:r w:rsidRPr="00955D29">
              <w:rPr>
                <w:rFonts w:ascii="Arial" w:hAnsi="Arial" w:cs="Arial"/>
                <w:b/>
                <w:sz w:val="24"/>
                <w:szCs w:val="24"/>
              </w:rPr>
              <w:t>Christopher Healey</w:t>
            </w:r>
          </w:p>
          <w:p w14:paraId="28E2F05F" w14:textId="77777777" w:rsidR="00955D29" w:rsidRPr="00955D29" w:rsidRDefault="00955D29" w:rsidP="0094030D">
            <w:pPr>
              <w:rPr>
                <w:rFonts w:ascii="Arial" w:hAnsi="Arial" w:cs="Arial"/>
                <w:b/>
                <w:sz w:val="24"/>
                <w:szCs w:val="24"/>
              </w:rPr>
            </w:pPr>
            <w:r w:rsidRPr="00955D29">
              <w:rPr>
                <w:rFonts w:ascii="Arial" w:hAnsi="Arial" w:cs="Arial"/>
                <w:b/>
                <w:sz w:val="24"/>
                <w:szCs w:val="24"/>
              </w:rPr>
              <w:t>Angela D. O’Brien</w:t>
            </w:r>
          </w:p>
          <w:p w14:paraId="252C2E27" w14:textId="77777777" w:rsidR="00955D29" w:rsidRPr="00955D29" w:rsidRDefault="00544FE4" w:rsidP="0094030D">
            <w:pPr>
              <w:rPr>
                <w:rFonts w:ascii="Arial" w:hAnsi="Arial" w:cs="Arial"/>
                <w:sz w:val="24"/>
                <w:szCs w:val="24"/>
              </w:rPr>
            </w:pPr>
            <w:hyperlink r:id="rId31" w:history="1">
              <w:r w:rsidR="00955D29" w:rsidRPr="00955D29">
                <w:rPr>
                  <w:rStyle w:val="Hyperlink"/>
                  <w:rFonts w:ascii="Arial" w:eastAsiaTheme="minorEastAsia" w:hAnsi="Arial" w:cs="Arial"/>
                  <w:sz w:val="24"/>
                  <w:szCs w:val="24"/>
                </w:rPr>
                <w:t>angela.obrien@occ.ohio.gov</w:t>
              </w:r>
            </w:hyperlink>
            <w:r w:rsidR="00955D29" w:rsidRPr="00955D29">
              <w:rPr>
                <w:rFonts w:ascii="Arial" w:hAnsi="Arial" w:cs="Arial"/>
                <w:sz w:val="24"/>
                <w:szCs w:val="24"/>
              </w:rPr>
              <w:t xml:space="preserve"> </w:t>
            </w:r>
          </w:p>
          <w:p w14:paraId="2AF34624" w14:textId="77777777" w:rsidR="00955D29" w:rsidRPr="00955D29" w:rsidRDefault="00544FE4" w:rsidP="0094030D">
            <w:pPr>
              <w:rPr>
                <w:rFonts w:ascii="Arial" w:hAnsi="Arial" w:cs="Arial"/>
                <w:sz w:val="24"/>
                <w:szCs w:val="24"/>
              </w:rPr>
            </w:pPr>
            <w:hyperlink r:id="rId32" w:history="1">
              <w:r w:rsidR="00955D29" w:rsidRPr="00955D29">
                <w:rPr>
                  <w:rStyle w:val="Hyperlink"/>
                  <w:rFonts w:ascii="Arial" w:eastAsiaTheme="minorEastAsia" w:hAnsi="Arial" w:cs="Arial"/>
                  <w:sz w:val="24"/>
                  <w:szCs w:val="24"/>
                </w:rPr>
                <w:t>christopher.healey@occ.ohio.gov</w:t>
              </w:r>
            </w:hyperlink>
            <w:r w:rsidR="00955D29" w:rsidRPr="00955D29">
              <w:rPr>
                <w:rFonts w:ascii="Arial" w:hAnsi="Arial" w:cs="Arial"/>
                <w:sz w:val="24"/>
                <w:szCs w:val="24"/>
              </w:rPr>
              <w:t xml:space="preserve"> </w:t>
            </w:r>
          </w:p>
          <w:p w14:paraId="51D6A0DA" w14:textId="77777777" w:rsidR="00955D29" w:rsidRPr="00955D29" w:rsidRDefault="00955D29" w:rsidP="0094030D">
            <w:pPr>
              <w:rPr>
                <w:rFonts w:ascii="Arial" w:hAnsi="Arial" w:cs="Arial"/>
                <w:i/>
                <w:sz w:val="24"/>
                <w:szCs w:val="24"/>
              </w:rPr>
            </w:pPr>
            <w:r w:rsidRPr="00955D29">
              <w:rPr>
                <w:rFonts w:ascii="Arial" w:hAnsi="Arial" w:cs="Arial"/>
                <w:i/>
                <w:sz w:val="24"/>
                <w:szCs w:val="24"/>
              </w:rPr>
              <w:t>Counsel for the Office of the Ohio Consumers’ Counsel</w:t>
            </w:r>
          </w:p>
          <w:p w14:paraId="31E5B9DE" w14:textId="77777777" w:rsidR="00955D29" w:rsidRPr="00955D29" w:rsidRDefault="00955D29" w:rsidP="0094030D">
            <w:pPr>
              <w:rPr>
                <w:rFonts w:ascii="Arial" w:hAnsi="Arial" w:cs="Arial"/>
                <w:sz w:val="24"/>
                <w:szCs w:val="24"/>
              </w:rPr>
            </w:pPr>
          </w:p>
        </w:tc>
      </w:tr>
      <w:tr w:rsidR="00955D29" w:rsidRPr="00955D29" w14:paraId="6732E0B9" w14:textId="77777777" w:rsidTr="0094030D">
        <w:tc>
          <w:tcPr>
            <w:tcW w:w="4855" w:type="dxa"/>
          </w:tcPr>
          <w:p w14:paraId="1D28C38C" w14:textId="77777777" w:rsidR="00955D29" w:rsidRPr="00955D29" w:rsidRDefault="00955D29" w:rsidP="0094030D">
            <w:pPr>
              <w:rPr>
                <w:rFonts w:ascii="Arial" w:hAnsi="Arial" w:cs="Arial"/>
                <w:sz w:val="24"/>
                <w:szCs w:val="24"/>
              </w:rPr>
            </w:pPr>
            <w:r w:rsidRPr="00955D29">
              <w:rPr>
                <w:rFonts w:ascii="Arial" w:hAnsi="Arial" w:cs="Arial"/>
                <w:b/>
                <w:sz w:val="24"/>
                <w:szCs w:val="24"/>
              </w:rPr>
              <w:t>Matthew R. Pritchard</w:t>
            </w:r>
            <w:r w:rsidRPr="00955D29">
              <w:rPr>
                <w:rFonts w:ascii="Arial" w:hAnsi="Arial" w:cs="Arial"/>
                <w:sz w:val="24"/>
                <w:szCs w:val="24"/>
              </w:rPr>
              <w:t xml:space="preserve"> </w:t>
            </w:r>
          </w:p>
          <w:p w14:paraId="3FE29525" w14:textId="77777777" w:rsidR="00955D29" w:rsidRPr="00955D29" w:rsidRDefault="00955D29" w:rsidP="0094030D">
            <w:pPr>
              <w:rPr>
                <w:rFonts w:ascii="Arial" w:hAnsi="Arial" w:cs="Arial"/>
                <w:sz w:val="24"/>
                <w:szCs w:val="24"/>
              </w:rPr>
            </w:pPr>
            <w:r w:rsidRPr="00955D29">
              <w:rPr>
                <w:rFonts w:ascii="Arial" w:hAnsi="Arial" w:cs="Arial"/>
                <w:b/>
                <w:sz w:val="24"/>
                <w:szCs w:val="24"/>
              </w:rPr>
              <w:t>Rebekah J. Glover</w:t>
            </w:r>
            <w:r w:rsidRPr="00955D29">
              <w:rPr>
                <w:rFonts w:ascii="Arial" w:hAnsi="Arial" w:cs="Arial"/>
                <w:sz w:val="24"/>
                <w:szCs w:val="24"/>
              </w:rPr>
              <w:t xml:space="preserve"> </w:t>
            </w:r>
          </w:p>
          <w:p w14:paraId="72808AA0" w14:textId="77777777" w:rsidR="00955D29" w:rsidRPr="00955D29" w:rsidRDefault="00955D29" w:rsidP="0094030D">
            <w:pPr>
              <w:rPr>
                <w:rFonts w:ascii="Arial" w:hAnsi="Arial" w:cs="Arial"/>
                <w:sz w:val="24"/>
                <w:szCs w:val="24"/>
              </w:rPr>
            </w:pPr>
            <w:r w:rsidRPr="00955D29">
              <w:rPr>
                <w:rFonts w:ascii="Arial" w:hAnsi="Arial" w:cs="Arial"/>
                <w:sz w:val="24"/>
                <w:szCs w:val="24"/>
              </w:rPr>
              <w:t>Bryce McKenney</w:t>
            </w:r>
          </w:p>
          <w:p w14:paraId="48530254" w14:textId="77777777" w:rsidR="00955D29" w:rsidRPr="00955D29" w:rsidRDefault="00544FE4" w:rsidP="0094030D">
            <w:pPr>
              <w:rPr>
                <w:rFonts w:ascii="Arial" w:hAnsi="Arial" w:cs="Arial"/>
                <w:sz w:val="24"/>
                <w:szCs w:val="24"/>
              </w:rPr>
            </w:pPr>
            <w:hyperlink r:id="rId33" w:history="1">
              <w:r w:rsidR="00955D29" w:rsidRPr="00955D29">
                <w:rPr>
                  <w:rStyle w:val="Hyperlink"/>
                  <w:rFonts w:ascii="Arial" w:eastAsiaTheme="minorEastAsia" w:hAnsi="Arial" w:cs="Arial"/>
                  <w:sz w:val="24"/>
                  <w:szCs w:val="24"/>
                </w:rPr>
                <w:t>mpritchard@mcneeslaw.com</w:t>
              </w:r>
            </w:hyperlink>
            <w:r w:rsidR="00955D29" w:rsidRPr="00955D29">
              <w:rPr>
                <w:rFonts w:ascii="Arial" w:hAnsi="Arial" w:cs="Arial"/>
                <w:sz w:val="24"/>
                <w:szCs w:val="24"/>
              </w:rPr>
              <w:t xml:space="preserve"> </w:t>
            </w:r>
          </w:p>
          <w:p w14:paraId="338D2111" w14:textId="77777777" w:rsidR="00955D29" w:rsidRPr="00955D29" w:rsidRDefault="00544FE4" w:rsidP="0094030D">
            <w:pPr>
              <w:rPr>
                <w:rFonts w:ascii="Arial" w:hAnsi="Arial" w:cs="Arial"/>
                <w:sz w:val="24"/>
                <w:szCs w:val="24"/>
              </w:rPr>
            </w:pPr>
            <w:hyperlink r:id="rId34" w:history="1">
              <w:r w:rsidR="00955D29" w:rsidRPr="00955D29">
                <w:rPr>
                  <w:rStyle w:val="Hyperlink"/>
                  <w:rFonts w:ascii="Arial" w:eastAsiaTheme="minorEastAsia" w:hAnsi="Arial" w:cs="Arial"/>
                  <w:sz w:val="24"/>
                  <w:szCs w:val="24"/>
                </w:rPr>
                <w:t>rglover@mcneeslaw.com</w:t>
              </w:r>
            </w:hyperlink>
            <w:r w:rsidR="00955D29" w:rsidRPr="00955D29">
              <w:rPr>
                <w:rFonts w:ascii="Arial" w:hAnsi="Arial" w:cs="Arial"/>
                <w:sz w:val="24"/>
                <w:szCs w:val="24"/>
              </w:rPr>
              <w:t xml:space="preserve"> </w:t>
            </w:r>
          </w:p>
          <w:p w14:paraId="483A46C4" w14:textId="77777777" w:rsidR="00955D29" w:rsidRPr="00955D29" w:rsidRDefault="00544FE4" w:rsidP="0094030D">
            <w:pPr>
              <w:rPr>
                <w:rFonts w:ascii="Arial" w:hAnsi="Arial" w:cs="Arial"/>
                <w:sz w:val="24"/>
                <w:szCs w:val="24"/>
              </w:rPr>
            </w:pPr>
            <w:hyperlink r:id="rId35" w:history="1">
              <w:r w:rsidR="00955D29" w:rsidRPr="00955D29">
                <w:rPr>
                  <w:rStyle w:val="Hyperlink"/>
                  <w:rFonts w:ascii="Arial" w:eastAsiaTheme="minorEastAsia" w:hAnsi="Arial" w:cs="Arial"/>
                  <w:sz w:val="24"/>
                  <w:szCs w:val="24"/>
                </w:rPr>
                <w:t>bmckenney@mcneeslaw.com</w:t>
              </w:r>
            </w:hyperlink>
            <w:r w:rsidR="00955D29" w:rsidRPr="00955D29">
              <w:rPr>
                <w:rFonts w:ascii="Arial" w:hAnsi="Arial" w:cs="Arial"/>
                <w:sz w:val="24"/>
                <w:szCs w:val="24"/>
              </w:rPr>
              <w:t xml:space="preserve"> </w:t>
            </w:r>
          </w:p>
          <w:p w14:paraId="7EB9B2E1" w14:textId="77777777" w:rsidR="00955D29" w:rsidRPr="00955D29" w:rsidRDefault="00955D29" w:rsidP="0094030D">
            <w:pPr>
              <w:rPr>
                <w:rFonts w:ascii="Arial" w:hAnsi="Arial" w:cs="Arial"/>
                <w:i/>
                <w:sz w:val="24"/>
                <w:szCs w:val="24"/>
              </w:rPr>
            </w:pPr>
            <w:r w:rsidRPr="00955D29">
              <w:rPr>
                <w:rFonts w:ascii="Arial" w:hAnsi="Arial" w:cs="Arial"/>
                <w:i/>
                <w:sz w:val="24"/>
                <w:szCs w:val="24"/>
              </w:rPr>
              <w:t>Counsel for Industrial Energy-Users Ohio</w:t>
            </w:r>
          </w:p>
          <w:p w14:paraId="35104E3C" w14:textId="77777777" w:rsidR="00955D29" w:rsidRPr="00955D29" w:rsidRDefault="00955D29" w:rsidP="0094030D">
            <w:pPr>
              <w:rPr>
                <w:rFonts w:ascii="Arial" w:hAnsi="Arial" w:cs="Arial"/>
                <w:i/>
                <w:sz w:val="24"/>
                <w:szCs w:val="24"/>
              </w:rPr>
            </w:pPr>
          </w:p>
        </w:tc>
        <w:tc>
          <w:tcPr>
            <w:tcW w:w="4495" w:type="dxa"/>
          </w:tcPr>
          <w:p w14:paraId="4D962E3C" w14:textId="77777777" w:rsidR="00955D29" w:rsidRPr="00955D29" w:rsidRDefault="00955D29" w:rsidP="0094030D">
            <w:pPr>
              <w:rPr>
                <w:rFonts w:ascii="Arial" w:hAnsi="Arial" w:cs="Arial"/>
                <w:sz w:val="24"/>
                <w:szCs w:val="24"/>
              </w:rPr>
            </w:pPr>
            <w:r w:rsidRPr="00955D29">
              <w:rPr>
                <w:rFonts w:ascii="Arial" w:hAnsi="Arial" w:cs="Arial"/>
                <w:b/>
                <w:sz w:val="24"/>
                <w:szCs w:val="24"/>
              </w:rPr>
              <w:t xml:space="preserve">Kimberly W. </w:t>
            </w:r>
            <w:proofErr w:type="spellStart"/>
            <w:r w:rsidRPr="00955D29">
              <w:rPr>
                <w:rFonts w:ascii="Arial" w:hAnsi="Arial" w:cs="Arial"/>
                <w:b/>
                <w:sz w:val="24"/>
                <w:szCs w:val="24"/>
              </w:rPr>
              <w:t>Bojko</w:t>
            </w:r>
            <w:proofErr w:type="spellEnd"/>
          </w:p>
          <w:p w14:paraId="157896DB" w14:textId="77777777" w:rsidR="00955D29" w:rsidRPr="00955D29" w:rsidRDefault="00544FE4" w:rsidP="0094030D">
            <w:pPr>
              <w:rPr>
                <w:rFonts w:ascii="Arial" w:hAnsi="Arial" w:cs="Arial"/>
                <w:sz w:val="24"/>
                <w:szCs w:val="24"/>
              </w:rPr>
            </w:pPr>
            <w:hyperlink r:id="rId36" w:history="1">
              <w:r w:rsidR="00955D29" w:rsidRPr="00955D29">
                <w:rPr>
                  <w:rStyle w:val="Hyperlink"/>
                  <w:rFonts w:ascii="Arial" w:eastAsiaTheme="minorEastAsia" w:hAnsi="Arial" w:cs="Arial"/>
                  <w:sz w:val="24"/>
                  <w:szCs w:val="24"/>
                </w:rPr>
                <w:t>Bojko@carpenterlipps.com</w:t>
              </w:r>
            </w:hyperlink>
            <w:r w:rsidR="00955D29" w:rsidRPr="00955D29">
              <w:rPr>
                <w:rFonts w:ascii="Arial" w:hAnsi="Arial" w:cs="Arial"/>
                <w:sz w:val="24"/>
                <w:szCs w:val="24"/>
              </w:rPr>
              <w:t xml:space="preserve"> </w:t>
            </w:r>
          </w:p>
          <w:p w14:paraId="4E4007FB" w14:textId="77777777" w:rsidR="00955D29" w:rsidRPr="00955D29" w:rsidRDefault="00955D29" w:rsidP="0094030D">
            <w:pPr>
              <w:rPr>
                <w:rFonts w:ascii="Arial" w:hAnsi="Arial" w:cs="Arial"/>
                <w:sz w:val="24"/>
                <w:szCs w:val="24"/>
              </w:rPr>
            </w:pPr>
            <w:r w:rsidRPr="00955D29">
              <w:rPr>
                <w:rFonts w:ascii="Arial" w:hAnsi="Arial" w:cs="Arial"/>
                <w:i/>
                <w:sz w:val="24"/>
                <w:szCs w:val="24"/>
              </w:rPr>
              <w:t>Counsel for Ohio Manufacturers’ Association Energy Group</w:t>
            </w:r>
          </w:p>
          <w:p w14:paraId="097EF969" w14:textId="77777777" w:rsidR="00955D29" w:rsidRPr="00955D29" w:rsidRDefault="00955D29" w:rsidP="0094030D">
            <w:pPr>
              <w:rPr>
                <w:rFonts w:ascii="Arial" w:hAnsi="Arial" w:cs="Arial"/>
                <w:i/>
                <w:sz w:val="24"/>
                <w:szCs w:val="24"/>
              </w:rPr>
            </w:pPr>
          </w:p>
        </w:tc>
      </w:tr>
      <w:tr w:rsidR="00955D29" w:rsidRPr="00955D29" w14:paraId="0F5B06F0" w14:textId="77777777" w:rsidTr="0094030D">
        <w:tc>
          <w:tcPr>
            <w:tcW w:w="4855" w:type="dxa"/>
          </w:tcPr>
          <w:p w14:paraId="25E40029" w14:textId="77777777" w:rsidR="00955D29" w:rsidRPr="00955D29" w:rsidRDefault="00955D29" w:rsidP="0094030D">
            <w:pPr>
              <w:rPr>
                <w:rFonts w:ascii="Arial" w:hAnsi="Arial" w:cs="Arial"/>
                <w:sz w:val="24"/>
                <w:szCs w:val="24"/>
              </w:rPr>
            </w:pPr>
            <w:r w:rsidRPr="00955D29">
              <w:rPr>
                <w:rFonts w:ascii="Arial" w:hAnsi="Arial" w:cs="Arial"/>
                <w:b/>
                <w:sz w:val="24"/>
                <w:szCs w:val="24"/>
              </w:rPr>
              <w:t>Madeline Fleisher</w:t>
            </w:r>
            <w:r w:rsidRPr="00955D29">
              <w:rPr>
                <w:rFonts w:ascii="Arial" w:hAnsi="Arial" w:cs="Arial"/>
                <w:sz w:val="24"/>
                <w:szCs w:val="24"/>
              </w:rPr>
              <w:t xml:space="preserve"> </w:t>
            </w:r>
          </w:p>
          <w:p w14:paraId="36E6EE66" w14:textId="77777777" w:rsidR="00955D29" w:rsidRPr="00955D29" w:rsidRDefault="00544FE4" w:rsidP="0094030D">
            <w:pPr>
              <w:rPr>
                <w:rFonts w:ascii="Arial" w:hAnsi="Arial" w:cs="Arial"/>
                <w:sz w:val="24"/>
                <w:szCs w:val="24"/>
              </w:rPr>
            </w:pPr>
            <w:hyperlink r:id="rId37" w:history="1">
              <w:r w:rsidR="00955D29" w:rsidRPr="00955D29">
                <w:rPr>
                  <w:rStyle w:val="Hyperlink"/>
                  <w:rFonts w:ascii="Arial" w:eastAsiaTheme="minorEastAsia" w:hAnsi="Arial" w:cs="Arial"/>
                  <w:sz w:val="24"/>
                  <w:szCs w:val="24"/>
                </w:rPr>
                <w:t>mfleisher@dickinsonwright.com</w:t>
              </w:r>
            </w:hyperlink>
          </w:p>
          <w:p w14:paraId="3465C8B0" w14:textId="77777777" w:rsidR="00607F71" w:rsidRDefault="00955D29" w:rsidP="00607F71">
            <w:pPr>
              <w:rPr>
                <w:rFonts w:ascii="Arial" w:hAnsi="Arial" w:cs="Arial"/>
                <w:i/>
                <w:sz w:val="24"/>
                <w:szCs w:val="24"/>
              </w:rPr>
            </w:pPr>
            <w:r w:rsidRPr="00955D29">
              <w:rPr>
                <w:rFonts w:ascii="Arial" w:hAnsi="Arial" w:cs="Arial"/>
                <w:i/>
                <w:sz w:val="24"/>
                <w:szCs w:val="24"/>
              </w:rPr>
              <w:t>Counsel for Clean Fuels Ohio</w:t>
            </w:r>
            <w:r w:rsidR="00E65868">
              <w:rPr>
                <w:rFonts w:ascii="Arial" w:hAnsi="Arial" w:cs="Arial"/>
                <w:i/>
                <w:sz w:val="24"/>
                <w:szCs w:val="24"/>
              </w:rPr>
              <w:t xml:space="preserve"> and</w:t>
            </w:r>
          </w:p>
          <w:p w14:paraId="5454A029" w14:textId="05F7A4B3" w:rsidR="00955D29" w:rsidRPr="00955D29" w:rsidRDefault="00F82E70" w:rsidP="0094030D">
            <w:pPr>
              <w:rPr>
                <w:rFonts w:ascii="Arial" w:hAnsi="Arial" w:cs="Arial"/>
                <w:b/>
                <w:sz w:val="24"/>
                <w:szCs w:val="24"/>
              </w:rPr>
            </w:pPr>
            <w:r>
              <w:rPr>
                <w:rFonts w:ascii="Arial" w:hAnsi="Arial" w:cs="Arial"/>
                <w:i/>
                <w:sz w:val="24"/>
                <w:szCs w:val="24"/>
              </w:rPr>
              <w:t>C</w:t>
            </w:r>
            <w:r>
              <w:rPr>
                <w:rFonts w:ascii="Arial" w:hAnsi="Arial" w:cs="Arial"/>
                <w:i/>
                <w:sz w:val="24"/>
                <w:szCs w:val="24"/>
              </w:rPr>
              <w:t>itizens</w:t>
            </w:r>
            <w:r w:rsidR="000C2BD7">
              <w:rPr>
                <w:rFonts w:ascii="Arial" w:hAnsi="Arial" w:cs="Arial"/>
                <w:i/>
                <w:sz w:val="24"/>
                <w:szCs w:val="24"/>
              </w:rPr>
              <w:t>’</w:t>
            </w:r>
            <w:r>
              <w:rPr>
                <w:rFonts w:ascii="Arial" w:hAnsi="Arial" w:cs="Arial"/>
                <w:i/>
                <w:sz w:val="24"/>
                <w:szCs w:val="24"/>
              </w:rPr>
              <w:t xml:space="preserve"> Utility Board </w:t>
            </w:r>
            <w:r w:rsidR="000C2BD7">
              <w:rPr>
                <w:rFonts w:ascii="Arial" w:hAnsi="Arial" w:cs="Arial"/>
                <w:i/>
                <w:sz w:val="24"/>
                <w:szCs w:val="24"/>
              </w:rPr>
              <w:t>of Ohio</w:t>
            </w:r>
          </w:p>
        </w:tc>
        <w:tc>
          <w:tcPr>
            <w:tcW w:w="4495" w:type="dxa"/>
          </w:tcPr>
          <w:p w14:paraId="4D912E51" w14:textId="77777777" w:rsidR="00955D29" w:rsidRPr="00955D29" w:rsidRDefault="00955D29" w:rsidP="0094030D">
            <w:pPr>
              <w:rPr>
                <w:rFonts w:ascii="Arial" w:hAnsi="Arial" w:cs="Arial"/>
                <w:sz w:val="24"/>
                <w:szCs w:val="24"/>
              </w:rPr>
            </w:pPr>
            <w:r w:rsidRPr="00955D29">
              <w:rPr>
                <w:rFonts w:ascii="Arial" w:hAnsi="Arial" w:cs="Arial"/>
                <w:b/>
                <w:sz w:val="24"/>
                <w:szCs w:val="24"/>
              </w:rPr>
              <w:t>Angela Paul Whitfield</w:t>
            </w:r>
            <w:r w:rsidRPr="00955D29">
              <w:rPr>
                <w:rFonts w:ascii="Arial" w:hAnsi="Arial" w:cs="Arial"/>
                <w:sz w:val="24"/>
                <w:szCs w:val="24"/>
              </w:rPr>
              <w:t xml:space="preserve"> </w:t>
            </w:r>
          </w:p>
          <w:p w14:paraId="55AAC911" w14:textId="77777777" w:rsidR="00955D29" w:rsidRPr="00955D29" w:rsidRDefault="00544FE4" w:rsidP="0094030D">
            <w:pPr>
              <w:rPr>
                <w:rFonts w:ascii="Arial" w:hAnsi="Arial" w:cs="Arial"/>
                <w:sz w:val="24"/>
                <w:szCs w:val="24"/>
              </w:rPr>
            </w:pPr>
            <w:hyperlink r:id="rId38" w:history="1">
              <w:r w:rsidR="00955D29" w:rsidRPr="00955D29">
                <w:rPr>
                  <w:rStyle w:val="Hyperlink"/>
                  <w:rFonts w:ascii="Arial" w:eastAsiaTheme="minorEastAsia" w:hAnsi="Arial" w:cs="Arial"/>
                  <w:sz w:val="24"/>
                  <w:szCs w:val="24"/>
                </w:rPr>
                <w:t>paul@carpenterlipps.com</w:t>
              </w:r>
            </w:hyperlink>
            <w:r w:rsidR="00955D29" w:rsidRPr="00955D29">
              <w:rPr>
                <w:rFonts w:ascii="Arial" w:hAnsi="Arial" w:cs="Arial"/>
                <w:sz w:val="24"/>
                <w:szCs w:val="24"/>
              </w:rPr>
              <w:t xml:space="preserve"> </w:t>
            </w:r>
          </w:p>
          <w:p w14:paraId="13F083BF" w14:textId="77777777" w:rsidR="00955D29" w:rsidRPr="00955D29" w:rsidRDefault="00955D29" w:rsidP="0094030D">
            <w:pPr>
              <w:rPr>
                <w:rFonts w:ascii="Arial" w:hAnsi="Arial" w:cs="Arial"/>
                <w:i/>
                <w:sz w:val="24"/>
                <w:szCs w:val="24"/>
              </w:rPr>
            </w:pPr>
            <w:r w:rsidRPr="00955D29">
              <w:rPr>
                <w:rFonts w:ascii="Arial" w:hAnsi="Arial" w:cs="Arial"/>
                <w:i/>
                <w:sz w:val="24"/>
                <w:szCs w:val="24"/>
              </w:rPr>
              <w:t xml:space="preserve">Counsel for The Kroger Co. </w:t>
            </w:r>
          </w:p>
          <w:p w14:paraId="0CFADF73" w14:textId="77777777" w:rsidR="00955D29" w:rsidRPr="00955D29" w:rsidRDefault="00955D29" w:rsidP="0094030D">
            <w:pPr>
              <w:rPr>
                <w:rFonts w:ascii="Arial" w:hAnsi="Arial" w:cs="Arial"/>
                <w:i/>
                <w:sz w:val="24"/>
                <w:szCs w:val="24"/>
              </w:rPr>
            </w:pPr>
          </w:p>
        </w:tc>
      </w:tr>
      <w:tr w:rsidR="00955D29" w:rsidRPr="00955D29" w14:paraId="079D9047" w14:textId="77777777" w:rsidTr="0094030D">
        <w:tc>
          <w:tcPr>
            <w:tcW w:w="4855" w:type="dxa"/>
          </w:tcPr>
          <w:p w14:paraId="3BDFF542" w14:textId="77777777" w:rsidR="00FC082B" w:rsidRDefault="00FC082B" w:rsidP="0094030D">
            <w:pPr>
              <w:rPr>
                <w:rFonts w:ascii="Arial" w:hAnsi="Arial" w:cs="Arial"/>
                <w:b/>
                <w:sz w:val="24"/>
                <w:szCs w:val="24"/>
              </w:rPr>
            </w:pPr>
          </w:p>
          <w:p w14:paraId="79C7977D" w14:textId="77777777" w:rsidR="00FC082B" w:rsidRDefault="00FC082B" w:rsidP="0094030D">
            <w:pPr>
              <w:rPr>
                <w:rFonts w:ascii="Arial" w:hAnsi="Arial" w:cs="Arial"/>
                <w:b/>
                <w:sz w:val="24"/>
                <w:szCs w:val="24"/>
              </w:rPr>
            </w:pPr>
          </w:p>
          <w:p w14:paraId="4C531A25" w14:textId="77777777" w:rsidR="00FC082B" w:rsidRDefault="00FC082B" w:rsidP="0094030D">
            <w:pPr>
              <w:rPr>
                <w:rFonts w:ascii="Arial" w:hAnsi="Arial" w:cs="Arial"/>
                <w:b/>
                <w:sz w:val="24"/>
                <w:szCs w:val="24"/>
              </w:rPr>
            </w:pPr>
          </w:p>
          <w:p w14:paraId="5901F928" w14:textId="77777777" w:rsidR="00FC082B" w:rsidRDefault="00FC082B" w:rsidP="0094030D">
            <w:pPr>
              <w:rPr>
                <w:rFonts w:ascii="Arial" w:hAnsi="Arial" w:cs="Arial"/>
                <w:b/>
                <w:sz w:val="24"/>
                <w:szCs w:val="24"/>
              </w:rPr>
            </w:pPr>
          </w:p>
          <w:p w14:paraId="3225D598" w14:textId="2B1ED5EF" w:rsidR="00955D29" w:rsidRPr="00955D29" w:rsidRDefault="00955D29" w:rsidP="0094030D">
            <w:pPr>
              <w:rPr>
                <w:rFonts w:ascii="Arial" w:hAnsi="Arial" w:cs="Arial"/>
                <w:sz w:val="24"/>
                <w:szCs w:val="24"/>
              </w:rPr>
            </w:pPr>
            <w:r w:rsidRPr="00955D29">
              <w:rPr>
                <w:rFonts w:ascii="Arial" w:hAnsi="Arial" w:cs="Arial"/>
                <w:b/>
                <w:sz w:val="24"/>
                <w:szCs w:val="24"/>
              </w:rPr>
              <w:lastRenderedPageBreak/>
              <w:t xml:space="preserve">Chris </w:t>
            </w:r>
            <w:proofErr w:type="spellStart"/>
            <w:r w:rsidRPr="00955D29">
              <w:rPr>
                <w:rFonts w:ascii="Arial" w:hAnsi="Arial" w:cs="Arial"/>
                <w:b/>
                <w:sz w:val="24"/>
                <w:szCs w:val="24"/>
              </w:rPr>
              <w:t>Tavenor</w:t>
            </w:r>
            <w:proofErr w:type="spellEnd"/>
            <w:r w:rsidRPr="00955D29">
              <w:rPr>
                <w:rFonts w:ascii="Arial" w:hAnsi="Arial" w:cs="Arial"/>
                <w:sz w:val="24"/>
                <w:szCs w:val="24"/>
              </w:rPr>
              <w:t xml:space="preserve"> </w:t>
            </w:r>
          </w:p>
          <w:p w14:paraId="707FE8BB" w14:textId="77777777" w:rsidR="00955D29" w:rsidRPr="00955D29" w:rsidRDefault="00955D29" w:rsidP="0094030D">
            <w:pPr>
              <w:rPr>
                <w:rFonts w:ascii="Arial" w:hAnsi="Arial" w:cs="Arial"/>
                <w:sz w:val="24"/>
                <w:szCs w:val="24"/>
              </w:rPr>
            </w:pPr>
            <w:r w:rsidRPr="00955D29">
              <w:rPr>
                <w:rFonts w:ascii="Arial" w:hAnsi="Arial" w:cs="Arial"/>
                <w:b/>
                <w:sz w:val="24"/>
                <w:szCs w:val="24"/>
              </w:rPr>
              <w:t xml:space="preserve">Miranda </w:t>
            </w:r>
            <w:proofErr w:type="spellStart"/>
            <w:r w:rsidRPr="00955D29">
              <w:rPr>
                <w:rFonts w:ascii="Arial" w:hAnsi="Arial" w:cs="Arial"/>
                <w:b/>
                <w:sz w:val="24"/>
                <w:szCs w:val="24"/>
              </w:rPr>
              <w:t>Leppla</w:t>
            </w:r>
            <w:proofErr w:type="spellEnd"/>
            <w:r w:rsidRPr="00955D29">
              <w:rPr>
                <w:rFonts w:ascii="Arial" w:hAnsi="Arial" w:cs="Arial"/>
                <w:sz w:val="24"/>
                <w:szCs w:val="24"/>
              </w:rPr>
              <w:t xml:space="preserve"> </w:t>
            </w:r>
          </w:p>
          <w:p w14:paraId="761036D5" w14:textId="77777777" w:rsidR="00955D29" w:rsidRPr="00955D29" w:rsidRDefault="00955D29" w:rsidP="0094030D">
            <w:pPr>
              <w:rPr>
                <w:rFonts w:ascii="Arial" w:hAnsi="Arial" w:cs="Arial"/>
                <w:sz w:val="24"/>
                <w:szCs w:val="24"/>
              </w:rPr>
            </w:pPr>
            <w:r w:rsidRPr="00955D29">
              <w:rPr>
                <w:rFonts w:ascii="Arial" w:hAnsi="Arial" w:cs="Arial"/>
                <w:b/>
                <w:sz w:val="24"/>
                <w:szCs w:val="24"/>
              </w:rPr>
              <w:t>Trent Dougherty</w:t>
            </w:r>
            <w:r w:rsidRPr="00955D29">
              <w:rPr>
                <w:rFonts w:ascii="Arial" w:hAnsi="Arial" w:cs="Arial"/>
                <w:sz w:val="24"/>
                <w:szCs w:val="24"/>
              </w:rPr>
              <w:t xml:space="preserve"> </w:t>
            </w:r>
          </w:p>
          <w:p w14:paraId="67146E9B" w14:textId="77777777" w:rsidR="00955D29" w:rsidRPr="00955D29" w:rsidRDefault="00544FE4" w:rsidP="0094030D">
            <w:pPr>
              <w:rPr>
                <w:rFonts w:ascii="Arial" w:hAnsi="Arial" w:cs="Arial"/>
                <w:sz w:val="24"/>
                <w:szCs w:val="24"/>
              </w:rPr>
            </w:pPr>
            <w:hyperlink r:id="rId39" w:history="1">
              <w:r w:rsidR="00955D29" w:rsidRPr="00955D29">
                <w:rPr>
                  <w:rStyle w:val="Hyperlink"/>
                  <w:rFonts w:ascii="Arial" w:eastAsiaTheme="minorEastAsia" w:hAnsi="Arial" w:cs="Arial"/>
                  <w:sz w:val="24"/>
                  <w:szCs w:val="24"/>
                </w:rPr>
                <w:t>mleppla@theOEC.org</w:t>
              </w:r>
            </w:hyperlink>
            <w:r w:rsidR="00955D29" w:rsidRPr="00955D29">
              <w:rPr>
                <w:rFonts w:ascii="Arial" w:hAnsi="Arial" w:cs="Arial"/>
                <w:sz w:val="24"/>
                <w:szCs w:val="24"/>
              </w:rPr>
              <w:t xml:space="preserve"> </w:t>
            </w:r>
          </w:p>
          <w:p w14:paraId="15E41970" w14:textId="77777777" w:rsidR="00955D29" w:rsidRPr="00955D29" w:rsidRDefault="00544FE4" w:rsidP="0094030D">
            <w:pPr>
              <w:rPr>
                <w:rFonts w:ascii="Arial" w:hAnsi="Arial" w:cs="Arial"/>
                <w:sz w:val="24"/>
                <w:szCs w:val="24"/>
              </w:rPr>
            </w:pPr>
            <w:hyperlink r:id="rId40" w:history="1">
              <w:r w:rsidR="00955D29" w:rsidRPr="00955D29">
                <w:rPr>
                  <w:rStyle w:val="Hyperlink"/>
                  <w:rFonts w:ascii="Arial" w:eastAsiaTheme="minorEastAsia" w:hAnsi="Arial" w:cs="Arial"/>
                  <w:sz w:val="24"/>
                  <w:szCs w:val="24"/>
                </w:rPr>
                <w:t>tdougherty@theOEC.org</w:t>
              </w:r>
            </w:hyperlink>
          </w:p>
          <w:p w14:paraId="6AB08B17" w14:textId="77777777" w:rsidR="00955D29" w:rsidRPr="00955D29" w:rsidRDefault="00544FE4" w:rsidP="0094030D">
            <w:pPr>
              <w:rPr>
                <w:rFonts w:ascii="Arial" w:hAnsi="Arial" w:cs="Arial"/>
                <w:sz w:val="24"/>
                <w:szCs w:val="24"/>
              </w:rPr>
            </w:pPr>
            <w:hyperlink r:id="rId41" w:history="1">
              <w:r w:rsidR="00955D29" w:rsidRPr="00955D29">
                <w:rPr>
                  <w:rStyle w:val="Hyperlink"/>
                  <w:rFonts w:ascii="Arial" w:eastAsiaTheme="minorEastAsia" w:hAnsi="Arial" w:cs="Arial"/>
                  <w:sz w:val="24"/>
                  <w:szCs w:val="24"/>
                </w:rPr>
                <w:t>ctavenor@theOEC.org</w:t>
              </w:r>
            </w:hyperlink>
          </w:p>
          <w:p w14:paraId="11D4F468" w14:textId="77777777" w:rsidR="00955D29" w:rsidRPr="00955D29" w:rsidRDefault="00955D29" w:rsidP="0094030D">
            <w:pPr>
              <w:adjustRightInd w:val="0"/>
              <w:rPr>
                <w:rFonts w:ascii="Arial" w:hAnsi="Arial" w:cs="Arial"/>
                <w:i/>
                <w:iCs/>
                <w:sz w:val="24"/>
                <w:szCs w:val="24"/>
              </w:rPr>
            </w:pPr>
            <w:r w:rsidRPr="00955D29">
              <w:rPr>
                <w:rFonts w:ascii="Arial" w:hAnsi="Arial" w:cs="Arial"/>
                <w:i/>
                <w:iCs/>
                <w:sz w:val="24"/>
                <w:szCs w:val="24"/>
              </w:rPr>
              <w:t>Counsel for the Ohio Environmental</w:t>
            </w:r>
          </w:p>
          <w:p w14:paraId="3AC14B65" w14:textId="77777777" w:rsidR="00955D29" w:rsidRDefault="00955D29" w:rsidP="0094030D">
            <w:pPr>
              <w:rPr>
                <w:rFonts w:ascii="Arial" w:hAnsi="Arial" w:cs="Arial"/>
                <w:i/>
                <w:iCs/>
                <w:sz w:val="24"/>
                <w:szCs w:val="24"/>
              </w:rPr>
            </w:pPr>
            <w:r w:rsidRPr="00955D29">
              <w:rPr>
                <w:rFonts w:ascii="Arial" w:hAnsi="Arial" w:cs="Arial"/>
                <w:i/>
                <w:iCs/>
                <w:sz w:val="24"/>
                <w:szCs w:val="24"/>
              </w:rPr>
              <w:t>Council</w:t>
            </w:r>
          </w:p>
          <w:p w14:paraId="31B107B5" w14:textId="5D7A5FFD" w:rsidR="00AE1A19" w:rsidRPr="00955D29" w:rsidRDefault="00AE1A19" w:rsidP="0094030D">
            <w:pPr>
              <w:rPr>
                <w:rFonts w:ascii="Arial" w:hAnsi="Arial" w:cs="Arial"/>
                <w:i/>
                <w:sz w:val="24"/>
                <w:szCs w:val="24"/>
              </w:rPr>
            </w:pPr>
          </w:p>
        </w:tc>
        <w:tc>
          <w:tcPr>
            <w:tcW w:w="4495" w:type="dxa"/>
          </w:tcPr>
          <w:p w14:paraId="5AF20C5B" w14:textId="77777777" w:rsidR="00FC082B" w:rsidRDefault="00FC082B" w:rsidP="0094030D">
            <w:pPr>
              <w:rPr>
                <w:rFonts w:ascii="Arial" w:hAnsi="Arial" w:cs="Arial"/>
                <w:b/>
                <w:sz w:val="24"/>
                <w:szCs w:val="24"/>
              </w:rPr>
            </w:pPr>
          </w:p>
          <w:p w14:paraId="72C16E58" w14:textId="77777777" w:rsidR="00FC082B" w:rsidRDefault="00FC082B" w:rsidP="0094030D">
            <w:pPr>
              <w:rPr>
                <w:rFonts w:ascii="Arial" w:hAnsi="Arial" w:cs="Arial"/>
                <w:b/>
                <w:sz w:val="24"/>
                <w:szCs w:val="24"/>
              </w:rPr>
            </w:pPr>
          </w:p>
          <w:p w14:paraId="4CCCE5C5" w14:textId="77777777" w:rsidR="00FC082B" w:rsidRDefault="00FC082B" w:rsidP="0094030D">
            <w:pPr>
              <w:rPr>
                <w:rFonts w:ascii="Arial" w:hAnsi="Arial" w:cs="Arial"/>
                <w:b/>
                <w:sz w:val="24"/>
                <w:szCs w:val="24"/>
              </w:rPr>
            </w:pPr>
          </w:p>
          <w:p w14:paraId="32EA532B" w14:textId="77777777" w:rsidR="00FC082B" w:rsidRDefault="00FC082B" w:rsidP="0094030D">
            <w:pPr>
              <w:rPr>
                <w:rFonts w:ascii="Arial" w:hAnsi="Arial" w:cs="Arial"/>
                <w:b/>
                <w:sz w:val="24"/>
                <w:szCs w:val="24"/>
              </w:rPr>
            </w:pPr>
          </w:p>
          <w:p w14:paraId="6F8180FE" w14:textId="6B97A037" w:rsidR="00955D29" w:rsidRPr="00955D29" w:rsidRDefault="00955D29" w:rsidP="0094030D">
            <w:pPr>
              <w:rPr>
                <w:rFonts w:ascii="Arial" w:hAnsi="Arial" w:cs="Arial"/>
                <w:sz w:val="24"/>
                <w:szCs w:val="24"/>
              </w:rPr>
            </w:pPr>
            <w:r w:rsidRPr="00955D29">
              <w:rPr>
                <w:rFonts w:ascii="Arial" w:hAnsi="Arial" w:cs="Arial"/>
                <w:b/>
                <w:sz w:val="24"/>
                <w:szCs w:val="24"/>
              </w:rPr>
              <w:lastRenderedPageBreak/>
              <w:t xml:space="preserve">Carrie H. </w:t>
            </w:r>
            <w:proofErr w:type="spellStart"/>
            <w:r w:rsidRPr="00955D29">
              <w:rPr>
                <w:rFonts w:ascii="Arial" w:hAnsi="Arial" w:cs="Arial"/>
                <w:b/>
                <w:sz w:val="24"/>
                <w:szCs w:val="24"/>
              </w:rPr>
              <w:t>Grundmann</w:t>
            </w:r>
            <w:proofErr w:type="spellEnd"/>
            <w:r w:rsidRPr="00955D29">
              <w:rPr>
                <w:rFonts w:ascii="Arial" w:hAnsi="Arial" w:cs="Arial"/>
                <w:sz w:val="24"/>
                <w:szCs w:val="24"/>
              </w:rPr>
              <w:t xml:space="preserve"> </w:t>
            </w:r>
          </w:p>
          <w:p w14:paraId="563E9319" w14:textId="77777777" w:rsidR="00955D29" w:rsidRPr="00955D29" w:rsidRDefault="00955D29" w:rsidP="0094030D">
            <w:pPr>
              <w:rPr>
                <w:rFonts w:ascii="Arial" w:hAnsi="Arial" w:cs="Arial"/>
                <w:b/>
                <w:sz w:val="24"/>
                <w:szCs w:val="24"/>
              </w:rPr>
            </w:pPr>
            <w:r w:rsidRPr="00955D29">
              <w:rPr>
                <w:rFonts w:ascii="Arial" w:hAnsi="Arial" w:cs="Arial"/>
                <w:b/>
                <w:sz w:val="24"/>
                <w:szCs w:val="24"/>
              </w:rPr>
              <w:t>Derrick Price Williamson</w:t>
            </w:r>
          </w:p>
          <w:p w14:paraId="399E059E" w14:textId="77777777" w:rsidR="00955D29" w:rsidRPr="00955D29" w:rsidRDefault="00955D29" w:rsidP="0094030D">
            <w:pPr>
              <w:rPr>
                <w:rFonts w:ascii="Arial" w:hAnsi="Arial" w:cs="Arial"/>
                <w:b/>
                <w:sz w:val="24"/>
                <w:szCs w:val="24"/>
              </w:rPr>
            </w:pPr>
            <w:r w:rsidRPr="00955D29">
              <w:rPr>
                <w:rFonts w:ascii="Arial" w:hAnsi="Arial" w:cs="Arial"/>
                <w:b/>
                <w:sz w:val="24"/>
                <w:szCs w:val="24"/>
              </w:rPr>
              <w:t>Stephen Criss</w:t>
            </w:r>
          </w:p>
          <w:p w14:paraId="7E4A4893" w14:textId="77777777" w:rsidR="00955D29" w:rsidRPr="00955D29" w:rsidRDefault="00544FE4" w:rsidP="0094030D">
            <w:pPr>
              <w:rPr>
                <w:rFonts w:ascii="Arial" w:hAnsi="Arial" w:cs="Arial"/>
                <w:sz w:val="24"/>
                <w:szCs w:val="24"/>
              </w:rPr>
            </w:pPr>
            <w:hyperlink r:id="rId42" w:history="1">
              <w:r w:rsidR="00955D29" w:rsidRPr="00955D29">
                <w:rPr>
                  <w:rStyle w:val="Hyperlink"/>
                  <w:rFonts w:ascii="Arial" w:eastAsiaTheme="minorEastAsia" w:hAnsi="Arial" w:cs="Arial"/>
                  <w:sz w:val="24"/>
                  <w:szCs w:val="24"/>
                </w:rPr>
                <w:t>cgrundmann@spilmanlaw.com</w:t>
              </w:r>
            </w:hyperlink>
          </w:p>
          <w:p w14:paraId="02CF28DD" w14:textId="77777777" w:rsidR="00955D29" w:rsidRPr="00955D29" w:rsidRDefault="00544FE4" w:rsidP="0094030D">
            <w:pPr>
              <w:rPr>
                <w:rFonts w:ascii="Arial" w:hAnsi="Arial" w:cs="Arial"/>
                <w:sz w:val="24"/>
                <w:szCs w:val="24"/>
              </w:rPr>
            </w:pPr>
            <w:hyperlink r:id="rId43" w:history="1">
              <w:r w:rsidR="00955D29" w:rsidRPr="00955D29">
                <w:rPr>
                  <w:rStyle w:val="Hyperlink"/>
                  <w:rFonts w:ascii="Arial" w:eastAsiaTheme="minorEastAsia" w:hAnsi="Arial" w:cs="Arial"/>
                  <w:sz w:val="24"/>
                  <w:szCs w:val="24"/>
                </w:rPr>
                <w:t>dwilliamson@spilmanlaw.com</w:t>
              </w:r>
            </w:hyperlink>
            <w:r w:rsidR="00955D29" w:rsidRPr="00955D29">
              <w:rPr>
                <w:rFonts w:ascii="Arial" w:hAnsi="Arial" w:cs="Arial"/>
                <w:sz w:val="24"/>
                <w:szCs w:val="24"/>
              </w:rPr>
              <w:t xml:space="preserve"> </w:t>
            </w:r>
          </w:p>
          <w:p w14:paraId="605F6AB1" w14:textId="77777777" w:rsidR="00955D29" w:rsidRPr="00955D29" w:rsidRDefault="00544FE4" w:rsidP="0094030D">
            <w:pPr>
              <w:rPr>
                <w:rFonts w:ascii="Arial" w:hAnsi="Arial" w:cs="Arial"/>
                <w:sz w:val="24"/>
                <w:szCs w:val="24"/>
              </w:rPr>
            </w:pPr>
            <w:hyperlink r:id="rId44" w:history="1">
              <w:r w:rsidR="00955D29" w:rsidRPr="00955D29">
                <w:rPr>
                  <w:rStyle w:val="Hyperlink"/>
                  <w:rFonts w:ascii="Arial" w:eastAsiaTheme="minorEastAsia" w:hAnsi="Arial" w:cs="Arial"/>
                  <w:sz w:val="24"/>
                  <w:szCs w:val="24"/>
                </w:rPr>
                <w:t>Stephen.criss@walmart.com</w:t>
              </w:r>
            </w:hyperlink>
            <w:r w:rsidR="00955D29" w:rsidRPr="00955D29">
              <w:rPr>
                <w:rFonts w:ascii="Arial" w:hAnsi="Arial" w:cs="Arial"/>
                <w:sz w:val="24"/>
                <w:szCs w:val="24"/>
              </w:rPr>
              <w:t xml:space="preserve"> </w:t>
            </w:r>
          </w:p>
          <w:p w14:paraId="478D0249" w14:textId="77777777" w:rsidR="00955D29" w:rsidRPr="00955D29" w:rsidRDefault="00955D29" w:rsidP="0094030D">
            <w:pPr>
              <w:rPr>
                <w:rFonts w:ascii="Arial" w:hAnsi="Arial" w:cs="Arial"/>
                <w:i/>
                <w:sz w:val="24"/>
                <w:szCs w:val="24"/>
              </w:rPr>
            </w:pPr>
            <w:r w:rsidRPr="00955D29">
              <w:rPr>
                <w:rFonts w:ascii="Arial" w:hAnsi="Arial" w:cs="Arial"/>
                <w:i/>
                <w:sz w:val="24"/>
                <w:szCs w:val="24"/>
              </w:rPr>
              <w:t>Counsel for Walmart Inc.</w:t>
            </w:r>
          </w:p>
        </w:tc>
      </w:tr>
      <w:tr w:rsidR="00955D29" w:rsidRPr="00955D29" w14:paraId="70B73AB2" w14:textId="77777777" w:rsidTr="0094030D">
        <w:tc>
          <w:tcPr>
            <w:tcW w:w="4855" w:type="dxa"/>
          </w:tcPr>
          <w:p w14:paraId="42B49A88" w14:textId="77777777" w:rsidR="00955D29" w:rsidRPr="00955D29" w:rsidRDefault="00955D29" w:rsidP="0094030D">
            <w:pPr>
              <w:rPr>
                <w:rFonts w:ascii="Arial" w:hAnsi="Arial" w:cs="Arial"/>
                <w:sz w:val="24"/>
                <w:szCs w:val="24"/>
              </w:rPr>
            </w:pPr>
            <w:r w:rsidRPr="00955D29">
              <w:rPr>
                <w:rFonts w:ascii="Arial" w:hAnsi="Arial" w:cs="Arial"/>
                <w:b/>
                <w:sz w:val="24"/>
                <w:szCs w:val="24"/>
              </w:rPr>
              <w:lastRenderedPageBreak/>
              <w:t>Mark A. Whitt</w:t>
            </w:r>
            <w:r w:rsidRPr="00955D29">
              <w:rPr>
                <w:rFonts w:ascii="Arial" w:hAnsi="Arial" w:cs="Arial"/>
                <w:sz w:val="24"/>
                <w:szCs w:val="24"/>
              </w:rPr>
              <w:t xml:space="preserve"> </w:t>
            </w:r>
          </w:p>
          <w:p w14:paraId="259929BA" w14:textId="77777777" w:rsidR="00955D29" w:rsidRPr="00955D29" w:rsidRDefault="00955D29" w:rsidP="0094030D">
            <w:pPr>
              <w:rPr>
                <w:rFonts w:ascii="Arial" w:hAnsi="Arial" w:cs="Arial"/>
                <w:sz w:val="24"/>
                <w:szCs w:val="24"/>
              </w:rPr>
            </w:pPr>
            <w:r w:rsidRPr="00955D29">
              <w:rPr>
                <w:rFonts w:ascii="Arial" w:hAnsi="Arial" w:cs="Arial"/>
                <w:b/>
                <w:sz w:val="24"/>
                <w:szCs w:val="24"/>
              </w:rPr>
              <w:t xml:space="preserve">Lucas A. </w:t>
            </w:r>
            <w:proofErr w:type="spellStart"/>
            <w:r w:rsidRPr="00955D29">
              <w:rPr>
                <w:rFonts w:ascii="Arial" w:hAnsi="Arial" w:cs="Arial"/>
                <w:b/>
                <w:sz w:val="24"/>
                <w:szCs w:val="24"/>
              </w:rPr>
              <w:t>Fykes</w:t>
            </w:r>
            <w:proofErr w:type="spellEnd"/>
            <w:r w:rsidRPr="00955D29">
              <w:rPr>
                <w:rFonts w:ascii="Arial" w:hAnsi="Arial" w:cs="Arial"/>
                <w:sz w:val="24"/>
                <w:szCs w:val="24"/>
              </w:rPr>
              <w:t xml:space="preserve"> </w:t>
            </w:r>
          </w:p>
          <w:p w14:paraId="7FE281A2" w14:textId="77777777" w:rsidR="00955D29" w:rsidRPr="00955D29" w:rsidRDefault="00544FE4" w:rsidP="0094030D">
            <w:pPr>
              <w:rPr>
                <w:rFonts w:ascii="Arial" w:hAnsi="Arial" w:cs="Arial"/>
                <w:sz w:val="24"/>
                <w:szCs w:val="24"/>
              </w:rPr>
            </w:pPr>
            <w:hyperlink r:id="rId45" w:history="1">
              <w:r w:rsidR="00955D29" w:rsidRPr="00955D29">
                <w:rPr>
                  <w:rStyle w:val="Hyperlink"/>
                  <w:rFonts w:ascii="Arial" w:eastAsiaTheme="minorEastAsia" w:hAnsi="Arial" w:cs="Arial"/>
                  <w:sz w:val="24"/>
                  <w:szCs w:val="24"/>
                </w:rPr>
                <w:t>whitt@whitt-sturtevant.com</w:t>
              </w:r>
            </w:hyperlink>
            <w:r w:rsidR="00955D29" w:rsidRPr="00955D29">
              <w:rPr>
                <w:rFonts w:ascii="Arial" w:hAnsi="Arial" w:cs="Arial"/>
                <w:sz w:val="24"/>
                <w:szCs w:val="24"/>
              </w:rPr>
              <w:t xml:space="preserve"> </w:t>
            </w:r>
          </w:p>
          <w:p w14:paraId="2F94257B" w14:textId="77777777" w:rsidR="00955D29" w:rsidRPr="00955D29" w:rsidRDefault="00544FE4" w:rsidP="0094030D">
            <w:pPr>
              <w:rPr>
                <w:rFonts w:ascii="Arial" w:hAnsi="Arial" w:cs="Arial"/>
                <w:sz w:val="24"/>
                <w:szCs w:val="24"/>
              </w:rPr>
            </w:pPr>
            <w:hyperlink r:id="rId46" w:history="1">
              <w:r w:rsidR="00955D29" w:rsidRPr="00955D29">
                <w:rPr>
                  <w:rStyle w:val="Hyperlink"/>
                  <w:rFonts w:ascii="Arial" w:eastAsiaTheme="minorEastAsia" w:hAnsi="Arial" w:cs="Arial"/>
                  <w:sz w:val="24"/>
                  <w:szCs w:val="24"/>
                </w:rPr>
                <w:t>fykes@whitt-sturtevant.com</w:t>
              </w:r>
            </w:hyperlink>
          </w:p>
          <w:p w14:paraId="616E9C73" w14:textId="77777777" w:rsidR="00955D29" w:rsidRPr="00955D29" w:rsidRDefault="00955D29" w:rsidP="0094030D">
            <w:pPr>
              <w:rPr>
                <w:rFonts w:ascii="Arial" w:hAnsi="Arial" w:cs="Arial"/>
                <w:i/>
                <w:sz w:val="24"/>
                <w:szCs w:val="24"/>
              </w:rPr>
            </w:pPr>
            <w:r w:rsidRPr="00955D29">
              <w:rPr>
                <w:rFonts w:ascii="Arial" w:hAnsi="Arial" w:cs="Arial"/>
                <w:i/>
                <w:sz w:val="24"/>
                <w:szCs w:val="24"/>
              </w:rPr>
              <w:t>Counsel for Direct Energy Business LLC and Direct Energy Services, LLC</w:t>
            </w:r>
          </w:p>
          <w:p w14:paraId="6B74CD87" w14:textId="77777777" w:rsidR="00955D29" w:rsidRPr="00955D29" w:rsidRDefault="00955D29" w:rsidP="0094030D">
            <w:pPr>
              <w:rPr>
                <w:rFonts w:ascii="Arial" w:hAnsi="Arial" w:cs="Arial"/>
                <w:i/>
                <w:sz w:val="24"/>
                <w:szCs w:val="24"/>
              </w:rPr>
            </w:pPr>
          </w:p>
        </w:tc>
        <w:tc>
          <w:tcPr>
            <w:tcW w:w="4495" w:type="dxa"/>
          </w:tcPr>
          <w:p w14:paraId="7AFDA781" w14:textId="77777777" w:rsidR="00955D29" w:rsidRPr="00955D29" w:rsidRDefault="00955D29" w:rsidP="0094030D">
            <w:pPr>
              <w:rPr>
                <w:rFonts w:ascii="Arial" w:hAnsi="Arial" w:cs="Arial"/>
                <w:sz w:val="24"/>
                <w:szCs w:val="24"/>
              </w:rPr>
            </w:pPr>
            <w:r w:rsidRPr="00955D29">
              <w:rPr>
                <w:rFonts w:ascii="Arial" w:hAnsi="Arial" w:cs="Arial"/>
                <w:b/>
                <w:sz w:val="24"/>
                <w:szCs w:val="24"/>
              </w:rPr>
              <w:t xml:space="preserve">Devin D. </w:t>
            </w:r>
            <w:proofErr w:type="spellStart"/>
            <w:r w:rsidRPr="00955D29">
              <w:rPr>
                <w:rFonts w:ascii="Arial" w:hAnsi="Arial" w:cs="Arial"/>
                <w:b/>
                <w:sz w:val="24"/>
                <w:szCs w:val="24"/>
              </w:rPr>
              <w:t>Parram</w:t>
            </w:r>
            <w:proofErr w:type="spellEnd"/>
            <w:r w:rsidRPr="00955D29">
              <w:rPr>
                <w:rFonts w:ascii="Arial" w:hAnsi="Arial" w:cs="Arial"/>
                <w:sz w:val="24"/>
                <w:szCs w:val="24"/>
              </w:rPr>
              <w:t xml:space="preserve"> </w:t>
            </w:r>
          </w:p>
          <w:p w14:paraId="700FFC9E" w14:textId="77777777" w:rsidR="00955D29" w:rsidRPr="00955D29" w:rsidRDefault="00955D29" w:rsidP="0094030D">
            <w:pPr>
              <w:rPr>
                <w:rFonts w:ascii="Arial" w:hAnsi="Arial" w:cs="Arial"/>
                <w:sz w:val="24"/>
                <w:szCs w:val="24"/>
              </w:rPr>
            </w:pPr>
            <w:r w:rsidRPr="00955D29">
              <w:rPr>
                <w:rFonts w:ascii="Arial" w:hAnsi="Arial" w:cs="Arial"/>
                <w:b/>
                <w:sz w:val="24"/>
                <w:szCs w:val="24"/>
              </w:rPr>
              <w:t>Rachel N. Mains</w:t>
            </w:r>
            <w:r w:rsidRPr="00955D29">
              <w:rPr>
                <w:rFonts w:ascii="Arial" w:hAnsi="Arial" w:cs="Arial"/>
                <w:sz w:val="24"/>
                <w:szCs w:val="24"/>
              </w:rPr>
              <w:t xml:space="preserve"> </w:t>
            </w:r>
          </w:p>
          <w:p w14:paraId="305B23DF" w14:textId="77777777" w:rsidR="00955D29" w:rsidRPr="00955D29" w:rsidRDefault="00544FE4" w:rsidP="0094030D">
            <w:pPr>
              <w:rPr>
                <w:rFonts w:ascii="Arial" w:hAnsi="Arial" w:cs="Arial"/>
                <w:sz w:val="24"/>
                <w:szCs w:val="24"/>
              </w:rPr>
            </w:pPr>
            <w:hyperlink r:id="rId47" w:history="1">
              <w:r w:rsidR="00955D29" w:rsidRPr="00955D29">
                <w:rPr>
                  <w:rStyle w:val="Hyperlink"/>
                  <w:rFonts w:ascii="Arial" w:eastAsiaTheme="minorEastAsia" w:hAnsi="Arial" w:cs="Arial"/>
                  <w:sz w:val="24"/>
                  <w:szCs w:val="24"/>
                </w:rPr>
                <w:t>dparram@bricker.com</w:t>
              </w:r>
            </w:hyperlink>
            <w:r w:rsidR="00955D29" w:rsidRPr="00955D29">
              <w:rPr>
                <w:rFonts w:ascii="Arial" w:hAnsi="Arial" w:cs="Arial"/>
                <w:sz w:val="24"/>
                <w:szCs w:val="24"/>
              </w:rPr>
              <w:t xml:space="preserve"> </w:t>
            </w:r>
          </w:p>
          <w:p w14:paraId="337C0033" w14:textId="77777777" w:rsidR="00955D29" w:rsidRPr="00955D29" w:rsidRDefault="00544FE4" w:rsidP="0094030D">
            <w:pPr>
              <w:rPr>
                <w:rFonts w:ascii="Arial" w:hAnsi="Arial" w:cs="Arial"/>
                <w:sz w:val="24"/>
                <w:szCs w:val="24"/>
              </w:rPr>
            </w:pPr>
            <w:hyperlink r:id="rId48" w:history="1">
              <w:r w:rsidR="00955D29" w:rsidRPr="00955D29">
                <w:rPr>
                  <w:rStyle w:val="Hyperlink"/>
                  <w:rFonts w:ascii="Arial" w:eastAsiaTheme="minorEastAsia" w:hAnsi="Arial" w:cs="Arial"/>
                  <w:sz w:val="24"/>
                  <w:szCs w:val="24"/>
                </w:rPr>
                <w:t>rmains@bricker.com</w:t>
              </w:r>
            </w:hyperlink>
          </w:p>
          <w:p w14:paraId="3720645E" w14:textId="77777777" w:rsidR="00955D29" w:rsidRPr="00955D29" w:rsidRDefault="00955D29" w:rsidP="0094030D">
            <w:pPr>
              <w:rPr>
                <w:rFonts w:ascii="Arial" w:hAnsi="Arial" w:cs="Arial"/>
                <w:i/>
                <w:sz w:val="24"/>
                <w:szCs w:val="24"/>
              </w:rPr>
            </w:pPr>
            <w:r w:rsidRPr="00955D29">
              <w:rPr>
                <w:rFonts w:ascii="Arial" w:hAnsi="Arial" w:cs="Arial"/>
                <w:i/>
                <w:sz w:val="24"/>
                <w:szCs w:val="24"/>
              </w:rPr>
              <w:t>Counsel for the Ohio Hospital Association</w:t>
            </w:r>
          </w:p>
        </w:tc>
      </w:tr>
      <w:tr w:rsidR="00955D29" w:rsidRPr="00955D29" w14:paraId="3D67352B" w14:textId="77777777" w:rsidTr="0094030D">
        <w:tc>
          <w:tcPr>
            <w:tcW w:w="4855" w:type="dxa"/>
          </w:tcPr>
          <w:p w14:paraId="4053A29E" w14:textId="77777777" w:rsidR="00955D29" w:rsidRPr="00955D29" w:rsidRDefault="00955D29" w:rsidP="0094030D">
            <w:pPr>
              <w:rPr>
                <w:rFonts w:ascii="Arial" w:hAnsi="Arial" w:cs="Arial"/>
                <w:b/>
                <w:sz w:val="24"/>
                <w:szCs w:val="24"/>
              </w:rPr>
            </w:pPr>
            <w:r w:rsidRPr="00955D29">
              <w:rPr>
                <w:rFonts w:ascii="Arial" w:hAnsi="Arial" w:cs="Arial"/>
                <w:b/>
                <w:sz w:val="24"/>
                <w:szCs w:val="24"/>
              </w:rPr>
              <w:t>Dylan F. Borchers</w:t>
            </w:r>
          </w:p>
          <w:p w14:paraId="63926D39" w14:textId="77777777" w:rsidR="00955D29" w:rsidRPr="00955D29" w:rsidRDefault="00955D29" w:rsidP="0094030D">
            <w:pPr>
              <w:rPr>
                <w:rFonts w:ascii="Arial" w:hAnsi="Arial" w:cs="Arial"/>
                <w:b/>
                <w:sz w:val="24"/>
                <w:szCs w:val="24"/>
              </w:rPr>
            </w:pPr>
            <w:r w:rsidRPr="00955D29">
              <w:rPr>
                <w:rFonts w:ascii="Arial" w:hAnsi="Arial" w:cs="Arial"/>
                <w:b/>
                <w:sz w:val="24"/>
                <w:szCs w:val="24"/>
              </w:rPr>
              <w:t>Kara H. Herrnstein</w:t>
            </w:r>
          </w:p>
          <w:p w14:paraId="03751E25" w14:textId="77777777" w:rsidR="00955D29" w:rsidRPr="00955D29" w:rsidRDefault="00955D29" w:rsidP="0094030D">
            <w:pPr>
              <w:rPr>
                <w:rFonts w:ascii="Arial" w:hAnsi="Arial" w:cs="Arial"/>
                <w:b/>
                <w:sz w:val="24"/>
                <w:szCs w:val="24"/>
              </w:rPr>
            </w:pPr>
            <w:proofErr w:type="spellStart"/>
            <w:r w:rsidRPr="00955D29">
              <w:rPr>
                <w:rFonts w:ascii="Arial" w:hAnsi="Arial" w:cs="Arial"/>
                <w:b/>
                <w:sz w:val="24"/>
                <w:szCs w:val="24"/>
              </w:rPr>
              <w:t>Jhay</w:t>
            </w:r>
            <w:proofErr w:type="spellEnd"/>
            <w:r w:rsidRPr="00955D29">
              <w:rPr>
                <w:rFonts w:ascii="Arial" w:hAnsi="Arial" w:cs="Arial"/>
                <w:b/>
                <w:sz w:val="24"/>
                <w:szCs w:val="24"/>
              </w:rPr>
              <w:t xml:space="preserve"> T. </w:t>
            </w:r>
            <w:proofErr w:type="spellStart"/>
            <w:r w:rsidRPr="00955D29">
              <w:rPr>
                <w:rFonts w:ascii="Arial" w:hAnsi="Arial" w:cs="Arial"/>
                <w:b/>
                <w:sz w:val="24"/>
                <w:szCs w:val="24"/>
              </w:rPr>
              <w:t>Spottswood</w:t>
            </w:r>
            <w:proofErr w:type="spellEnd"/>
          </w:p>
          <w:p w14:paraId="3F121D46" w14:textId="77777777" w:rsidR="00955D29" w:rsidRPr="00955D29" w:rsidRDefault="00544FE4" w:rsidP="0094030D">
            <w:pPr>
              <w:rPr>
                <w:rFonts w:ascii="Arial" w:hAnsi="Arial" w:cs="Arial"/>
                <w:sz w:val="24"/>
                <w:szCs w:val="24"/>
              </w:rPr>
            </w:pPr>
            <w:hyperlink r:id="rId49" w:history="1">
              <w:r w:rsidR="00955D29" w:rsidRPr="00955D29">
                <w:rPr>
                  <w:rStyle w:val="Hyperlink"/>
                  <w:rFonts w:ascii="Arial" w:eastAsiaTheme="minorEastAsia" w:hAnsi="Arial" w:cs="Arial"/>
                  <w:sz w:val="24"/>
                  <w:szCs w:val="24"/>
                </w:rPr>
                <w:t>dborchers@bricker.com</w:t>
              </w:r>
            </w:hyperlink>
            <w:r w:rsidR="00955D29" w:rsidRPr="00955D29">
              <w:rPr>
                <w:rFonts w:ascii="Arial" w:hAnsi="Arial" w:cs="Arial"/>
                <w:sz w:val="24"/>
                <w:szCs w:val="24"/>
              </w:rPr>
              <w:t xml:space="preserve"> </w:t>
            </w:r>
          </w:p>
          <w:p w14:paraId="34F9EA3C" w14:textId="77777777" w:rsidR="00955D29" w:rsidRPr="00955D29" w:rsidRDefault="00544FE4" w:rsidP="0094030D">
            <w:pPr>
              <w:rPr>
                <w:rFonts w:ascii="Arial" w:hAnsi="Arial" w:cs="Arial"/>
                <w:sz w:val="24"/>
                <w:szCs w:val="24"/>
              </w:rPr>
            </w:pPr>
            <w:hyperlink r:id="rId50" w:history="1">
              <w:r w:rsidR="00955D29" w:rsidRPr="00955D29">
                <w:rPr>
                  <w:rStyle w:val="Hyperlink"/>
                  <w:rFonts w:ascii="Arial" w:eastAsiaTheme="minorEastAsia" w:hAnsi="Arial" w:cs="Arial"/>
                  <w:sz w:val="24"/>
                  <w:szCs w:val="24"/>
                </w:rPr>
                <w:t>kherrnstein@bricker.com</w:t>
              </w:r>
            </w:hyperlink>
            <w:r w:rsidR="00955D29" w:rsidRPr="00955D29">
              <w:rPr>
                <w:rFonts w:ascii="Arial" w:hAnsi="Arial" w:cs="Arial"/>
                <w:sz w:val="24"/>
                <w:szCs w:val="24"/>
              </w:rPr>
              <w:t xml:space="preserve"> </w:t>
            </w:r>
          </w:p>
          <w:p w14:paraId="729BD789" w14:textId="77777777" w:rsidR="00955D29" w:rsidRPr="00955D29" w:rsidRDefault="00544FE4" w:rsidP="0094030D">
            <w:pPr>
              <w:rPr>
                <w:rFonts w:ascii="Arial" w:hAnsi="Arial" w:cs="Arial"/>
                <w:sz w:val="24"/>
                <w:szCs w:val="24"/>
              </w:rPr>
            </w:pPr>
            <w:hyperlink r:id="rId51" w:history="1">
              <w:r w:rsidR="00955D29" w:rsidRPr="00955D29">
                <w:rPr>
                  <w:rStyle w:val="Hyperlink"/>
                  <w:rFonts w:ascii="Arial" w:eastAsiaTheme="minorEastAsia" w:hAnsi="Arial" w:cs="Arial"/>
                  <w:sz w:val="24"/>
                  <w:szCs w:val="24"/>
                </w:rPr>
                <w:t>jspottswood@bricker.com</w:t>
              </w:r>
            </w:hyperlink>
          </w:p>
          <w:p w14:paraId="5FA89782" w14:textId="77777777" w:rsidR="00955D29" w:rsidRPr="00955D29" w:rsidRDefault="00955D29" w:rsidP="0094030D">
            <w:pPr>
              <w:rPr>
                <w:rFonts w:ascii="Arial" w:hAnsi="Arial" w:cs="Arial"/>
                <w:i/>
                <w:sz w:val="24"/>
                <w:szCs w:val="24"/>
              </w:rPr>
            </w:pPr>
            <w:r w:rsidRPr="00955D29">
              <w:rPr>
                <w:rFonts w:ascii="Arial" w:hAnsi="Arial" w:cs="Arial"/>
                <w:i/>
                <w:sz w:val="24"/>
                <w:szCs w:val="24"/>
              </w:rPr>
              <w:t>Counsel for ChargePoint, Inc.</w:t>
            </w:r>
          </w:p>
          <w:p w14:paraId="61C93010" w14:textId="77777777" w:rsidR="00955D29" w:rsidRPr="00955D29" w:rsidRDefault="00955D29" w:rsidP="0094030D">
            <w:pPr>
              <w:rPr>
                <w:rFonts w:ascii="Arial" w:hAnsi="Arial" w:cs="Arial"/>
                <w:sz w:val="24"/>
                <w:szCs w:val="24"/>
              </w:rPr>
            </w:pPr>
          </w:p>
        </w:tc>
        <w:tc>
          <w:tcPr>
            <w:tcW w:w="4495" w:type="dxa"/>
          </w:tcPr>
          <w:p w14:paraId="7E45CDD8" w14:textId="77777777" w:rsidR="00955D29" w:rsidRPr="00955D29" w:rsidRDefault="00955D29" w:rsidP="0094030D">
            <w:pPr>
              <w:rPr>
                <w:rFonts w:ascii="Arial" w:hAnsi="Arial" w:cs="Arial"/>
                <w:sz w:val="24"/>
                <w:szCs w:val="24"/>
              </w:rPr>
            </w:pPr>
            <w:r w:rsidRPr="00955D29">
              <w:rPr>
                <w:rFonts w:ascii="Arial" w:hAnsi="Arial" w:cs="Arial"/>
                <w:b/>
                <w:sz w:val="24"/>
                <w:szCs w:val="24"/>
              </w:rPr>
              <w:t xml:space="preserve">Michael J. </w:t>
            </w:r>
            <w:proofErr w:type="spellStart"/>
            <w:r w:rsidRPr="00955D29">
              <w:rPr>
                <w:rFonts w:ascii="Arial" w:hAnsi="Arial" w:cs="Arial"/>
                <w:b/>
                <w:sz w:val="24"/>
                <w:szCs w:val="24"/>
              </w:rPr>
              <w:t>Settineri</w:t>
            </w:r>
            <w:proofErr w:type="spellEnd"/>
            <w:r w:rsidRPr="00955D29">
              <w:rPr>
                <w:rFonts w:ascii="Arial" w:hAnsi="Arial" w:cs="Arial"/>
                <w:sz w:val="24"/>
                <w:szCs w:val="24"/>
              </w:rPr>
              <w:t xml:space="preserve"> </w:t>
            </w:r>
          </w:p>
          <w:p w14:paraId="56F6D738" w14:textId="77777777" w:rsidR="00955D29" w:rsidRPr="00955D29" w:rsidRDefault="00955D29" w:rsidP="0094030D">
            <w:pPr>
              <w:rPr>
                <w:rFonts w:ascii="Arial" w:hAnsi="Arial" w:cs="Arial"/>
                <w:sz w:val="24"/>
                <w:szCs w:val="24"/>
              </w:rPr>
            </w:pPr>
            <w:r w:rsidRPr="00955D29">
              <w:rPr>
                <w:rFonts w:ascii="Arial" w:hAnsi="Arial" w:cs="Arial"/>
                <w:b/>
                <w:sz w:val="24"/>
                <w:szCs w:val="24"/>
              </w:rPr>
              <w:t>Gretchen L. Petrucci</w:t>
            </w:r>
            <w:r w:rsidRPr="00955D29">
              <w:rPr>
                <w:rFonts w:ascii="Arial" w:hAnsi="Arial" w:cs="Arial"/>
                <w:sz w:val="24"/>
                <w:szCs w:val="24"/>
              </w:rPr>
              <w:t xml:space="preserve"> </w:t>
            </w:r>
          </w:p>
          <w:p w14:paraId="56AB7402" w14:textId="77777777" w:rsidR="00955D29" w:rsidRPr="00955D29" w:rsidRDefault="00544FE4" w:rsidP="0094030D">
            <w:pPr>
              <w:rPr>
                <w:rFonts w:ascii="Arial" w:hAnsi="Arial" w:cs="Arial"/>
                <w:sz w:val="24"/>
                <w:szCs w:val="24"/>
              </w:rPr>
            </w:pPr>
            <w:hyperlink r:id="rId52" w:history="1">
              <w:r w:rsidR="00955D29" w:rsidRPr="00955D29">
                <w:rPr>
                  <w:rStyle w:val="Hyperlink"/>
                  <w:rFonts w:ascii="Arial" w:eastAsiaTheme="minorEastAsia" w:hAnsi="Arial" w:cs="Arial"/>
                  <w:sz w:val="24"/>
                  <w:szCs w:val="24"/>
                </w:rPr>
                <w:t>mjsettineri@vorys.com</w:t>
              </w:r>
            </w:hyperlink>
            <w:r w:rsidR="00955D29" w:rsidRPr="00955D29">
              <w:rPr>
                <w:rFonts w:ascii="Arial" w:hAnsi="Arial" w:cs="Arial"/>
                <w:sz w:val="24"/>
                <w:szCs w:val="24"/>
              </w:rPr>
              <w:t xml:space="preserve"> </w:t>
            </w:r>
          </w:p>
          <w:p w14:paraId="0A8E4373" w14:textId="77777777" w:rsidR="00955D29" w:rsidRPr="00955D29" w:rsidRDefault="00544FE4" w:rsidP="0094030D">
            <w:pPr>
              <w:rPr>
                <w:rFonts w:ascii="Arial" w:hAnsi="Arial" w:cs="Arial"/>
                <w:sz w:val="24"/>
                <w:szCs w:val="24"/>
              </w:rPr>
            </w:pPr>
            <w:hyperlink r:id="rId53" w:history="1">
              <w:r w:rsidR="00955D29" w:rsidRPr="00955D29">
                <w:rPr>
                  <w:rStyle w:val="Hyperlink"/>
                  <w:rFonts w:ascii="Arial" w:eastAsiaTheme="minorEastAsia" w:hAnsi="Arial" w:cs="Arial"/>
                  <w:sz w:val="24"/>
                  <w:szCs w:val="24"/>
                </w:rPr>
                <w:t>glpetrucci@vorys.com</w:t>
              </w:r>
            </w:hyperlink>
            <w:r w:rsidR="00955D29" w:rsidRPr="00955D29">
              <w:rPr>
                <w:rFonts w:ascii="Arial" w:hAnsi="Arial" w:cs="Arial"/>
                <w:sz w:val="24"/>
                <w:szCs w:val="24"/>
              </w:rPr>
              <w:t xml:space="preserve"> </w:t>
            </w:r>
          </w:p>
          <w:p w14:paraId="0EBE5AA3" w14:textId="77777777" w:rsidR="00955D29" w:rsidRPr="00955D29" w:rsidRDefault="00955D29" w:rsidP="0094030D">
            <w:pPr>
              <w:rPr>
                <w:rFonts w:ascii="Arial" w:hAnsi="Arial" w:cs="Arial"/>
                <w:i/>
                <w:sz w:val="24"/>
                <w:szCs w:val="24"/>
              </w:rPr>
            </w:pPr>
            <w:r w:rsidRPr="00955D29">
              <w:rPr>
                <w:rFonts w:ascii="Arial" w:hAnsi="Arial" w:cs="Arial"/>
                <w:i/>
                <w:sz w:val="24"/>
                <w:szCs w:val="24"/>
              </w:rPr>
              <w:t>Counsel for Nationwide Energy Partners, LLC</w:t>
            </w:r>
          </w:p>
          <w:p w14:paraId="37A7DA1C" w14:textId="77777777" w:rsidR="00955D29" w:rsidRPr="00955D29" w:rsidRDefault="00955D29" w:rsidP="0094030D">
            <w:pPr>
              <w:rPr>
                <w:rFonts w:ascii="Arial" w:hAnsi="Arial" w:cs="Arial"/>
                <w:i/>
                <w:sz w:val="24"/>
                <w:szCs w:val="24"/>
              </w:rPr>
            </w:pPr>
          </w:p>
        </w:tc>
      </w:tr>
      <w:tr w:rsidR="00955D29" w:rsidRPr="00955D29" w14:paraId="5ECE2335" w14:textId="77777777" w:rsidTr="0094030D">
        <w:tc>
          <w:tcPr>
            <w:tcW w:w="4855" w:type="dxa"/>
          </w:tcPr>
          <w:p w14:paraId="3B6F9A06" w14:textId="77777777" w:rsidR="00955D29" w:rsidRPr="00955D29" w:rsidRDefault="00955D29" w:rsidP="0094030D">
            <w:pPr>
              <w:rPr>
                <w:rFonts w:ascii="Arial" w:hAnsi="Arial" w:cs="Arial"/>
                <w:b/>
                <w:sz w:val="24"/>
                <w:szCs w:val="24"/>
              </w:rPr>
            </w:pPr>
            <w:r w:rsidRPr="00955D29">
              <w:rPr>
                <w:rFonts w:ascii="Arial" w:hAnsi="Arial" w:cs="Arial"/>
                <w:b/>
                <w:sz w:val="24"/>
                <w:szCs w:val="24"/>
              </w:rPr>
              <w:t>Michael L. Kurtz</w:t>
            </w:r>
          </w:p>
          <w:p w14:paraId="4374A522" w14:textId="77777777" w:rsidR="00955D29" w:rsidRPr="00955D29" w:rsidRDefault="00955D29" w:rsidP="0094030D">
            <w:pPr>
              <w:rPr>
                <w:rFonts w:ascii="Arial" w:hAnsi="Arial" w:cs="Arial"/>
                <w:b/>
                <w:sz w:val="24"/>
                <w:szCs w:val="24"/>
              </w:rPr>
            </w:pPr>
            <w:r w:rsidRPr="00955D29">
              <w:rPr>
                <w:rFonts w:ascii="Arial" w:hAnsi="Arial" w:cs="Arial"/>
                <w:b/>
                <w:sz w:val="24"/>
                <w:szCs w:val="24"/>
              </w:rPr>
              <w:t>Kurt J. Boehm</w:t>
            </w:r>
          </w:p>
          <w:p w14:paraId="6CEFD1BB" w14:textId="77777777" w:rsidR="00955D29" w:rsidRPr="00955D29" w:rsidRDefault="00955D29" w:rsidP="0094030D">
            <w:pPr>
              <w:rPr>
                <w:rFonts w:ascii="Arial" w:hAnsi="Arial" w:cs="Arial"/>
                <w:b/>
                <w:sz w:val="24"/>
                <w:szCs w:val="24"/>
              </w:rPr>
            </w:pPr>
            <w:r w:rsidRPr="00955D29">
              <w:rPr>
                <w:rFonts w:ascii="Arial" w:hAnsi="Arial" w:cs="Arial"/>
                <w:b/>
                <w:sz w:val="24"/>
                <w:szCs w:val="24"/>
              </w:rPr>
              <w:t>Jody Kyler Cohn</w:t>
            </w:r>
          </w:p>
          <w:p w14:paraId="474DDE9B" w14:textId="77777777" w:rsidR="00955D29" w:rsidRPr="00955D29" w:rsidRDefault="00544FE4" w:rsidP="0094030D">
            <w:pPr>
              <w:rPr>
                <w:rFonts w:ascii="Arial" w:hAnsi="Arial" w:cs="Arial"/>
                <w:sz w:val="24"/>
                <w:szCs w:val="24"/>
              </w:rPr>
            </w:pPr>
            <w:hyperlink r:id="rId54" w:history="1">
              <w:r w:rsidR="00955D29" w:rsidRPr="00955D29">
                <w:rPr>
                  <w:rStyle w:val="Hyperlink"/>
                  <w:rFonts w:ascii="Arial" w:eastAsiaTheme="minorEastAsia" w:hAnsi="Arial" w:cs="Arial"/>
                  <w:sz w:val="24"/>
                  <w:szCs w:val="24"/>
                </w:rPr>
                <w:t>mkurtz@BKLlawfirm.com</w:t>
              </w:r>
            </w:hyperlink>
            <w:r w:rsidR="00955D29" w:rsidRPr="00955D29">
              <w:rPr>
                <w:rFonts w:ascii="Arial" w:hAnsi="Arial" w:cs="Arial"/>
                <w:sz w:val="24"/>
                <w:szCs w:val="24"/>
              </w:rPr>
              <w:t xml:space="preserve"> </w:t>
            </w:r>
          </w:p>
          <w:p w14:paraId="1161BAE6" w14:textId="77777777" w:rsidR="00955D29" w:rsidRPr="00955D29" w:rsidRDefault="00544FE4" w:rsidP="0094030D">
            <w:pPr>
              <w:rPr>
                <w:rFonts w:ascii="Arial" w:hAnsi="Arial" w:cs="Arial"/>
                <w:sz w:val="24"/>
                <w:szCs w:val="24"/>
              </w:rPr>
            </w:pPr>
            <w:hyperlink r:id="rId55" w:history="1">
              <w:r w:rsidR="00955D29" w:rsidRPr="00955D29">
                <w:rPr>
                  <w:rStyle w:val="Hyperlink"/>
                  <w:rFonts w:ascii="Arial" w:eastAsiaTheme="minorEastAsia" w:hAnsi="Arial" w:cs="Arial"/>
                  <w:sz w:val="24"/>
                  <w:szCs w:val="24"/>
                </w:rPr>
                <w:t>kboehm@BKLlawfirm.com</w:t>
              </w:r>
            </w:hyperlink>
            <w:r w:rsidR="00955D29" w:rsidRPr="00955D29">
              <w:rPr>
                <w:rFonts w:ascii="Arial" w:hAnsi="Arial" w:cs="Arial"/>
                <w:sz w:val="24"/>
                <w:szCs w:val="24"/>
              </w:rPr>
              <w:t xml:space="preserve"> </w:t>
            </w:r>
          </w:p>
          <w:p w14:paraId="6D4BD42E" w14:textId="77777777" w:rsidR="00955D29" w:rsidRPr="00955D29" w:rsidRDefault="00544FE4" w:rsidP="0094030D">
            <w:pPr>
              <w:rPr>
                <w:rFonts w:ascii="Arial" w:hAnsi="Arial" w:cs="Arial"/>
                <w:sz w:val="24"/>
                <w:szCs w:val="24"/>
              </w:rPr>
            </w:pPr>
            <w:hyperlink r:id="rId56" w:history="1">
              <w:r w:rsidR="00955D29" w:rsidRPr="00955D29">
                <w:rPr>
                  <w:rStyle w:val="Hyperlink"/>
                  <w:rFonts w:ascii="Arial" w:eastAsiaTheme="minorEastAsia" w:hAnsi="Arial" w:cs="Arial"/>
                  <w:sz w:val="24"/>
                  <w:szCs w:val="24"/>
                </w:rPr>
                <w:t>jkylercohn@BKLlawfirm.com</w:t>
              </w:r>
            </w:hyperlink>
            <w:r w:rsidR="00955D29" w:rsidRPr="00955D29">
              <w:rPr>
                <w:rFonts w:ascii="Arial" w:hAnsi="Arial" w:cs="Arial"/>
                <w:sz w:val="24"/>
                <w:szCs w:val="24"/>
              </w:rPr>
              <w:t xml:space="preserve"> </w:t>
            </w:r>
          </w:p>
          <w:p w14:paraId="1117E59F" w14:textId="77777777" w:rsidR="00955D29" w:rsidRPr="00955D29" w:rsidRDefault="00955D29" w:rsidP="0094030D">
            <w:pPr>
              <w:rPr>
                <w:rFonts w:ascii="Arial" w:hAnsi="Arial" w:cs="Arial"/>
                <w:i/>
                <w:sz w:val="24"/>
                <w:szCs w:val="24"/>
              </w:rPr>
            </w:pPr>
            <w:r w:rsidRPr="00955D29">
              <w:rPr>
                <w:rFonts w:ascii="Arial" w:hAnsi="Arial" w:cs="Arial"/>
                <w:i/>
                <w:sz w:val="24"/>
                <w:szCs w:val="24"/>
              </w:rPr>
              <w:t>Counsel for The Ohio Energy Group</w:t>
            </w:r>
          </w:p>
          <w:p w14:paraId="5CD0B072" w14:textId="77777777" w:rsidR="00955D29" w:rsidRPr="00955D29" w:rsidRDefault="00955D29" w:rsidP="0094030D">
            <w:pPr>
              <w:rPr>
                <w:rFonts w:ascii="Arial" w:hAnsi="Arial" w:cs="Arial"/>
                <w:b/>
                <w:i/>
                <w:sz w:val="24"/>
                <w:szCs w:val="24"/>
              </w:rPr>
            </w:pPr>
          </w:p>
        </w:tc>
        <w:tc>
          <w:tcPr>
            <w:tcW w:w="4495" w:type="dxa"/>
          </w:tcPr>
          <w:p w14:paraId="4D0DDB48" w14:textId="77777777" w:rsidR="00955D29" w:rsidRPr="00955D29" w:rsidRDefault="00955D29" w:rsidP="0094030D">
            <w:pPr>
              <w:rPr>
                <w:rFonts w:ascii="Arial" w:hAnsi="Arial" w:cs="Arial"/>
                <w:sz w:val="24"/>
                <w:szCs w:val="24"/>
              </w:rPr>
            </w:pPr>
            <w:r w:rsidRPr="00955D29">
              <w:rPr>
                <w:rFonts w:ascii="Arial" w:hAnsi="Arial" w:cs="Arial"/>
                <w:b/>
                <w:sz w:val="24"/>
                <w:szCs w:val="24"/>
              </w:rPr>
              <w:t>Robert Dove</w:t>
            </w:r>
            <w:r w:rsidRPr="00955D29">
              <w:rPr>
                <w:rFonts w:ascii="Arial" w:hAnsi="Arial" w:cs="Arial"/>
                <w:sz w:val="24"/>
                <w:szCs w:val="24"/>
              </w:rPr>
              <w:t xml:space="preserve"> </w:t>
            </w:r>
          </w:p>
          <w:p w14:paraId="27A23924" w14:textId="77777777" w:rsidR="00955D29" w:rsidRPr="00955D29" w:rsidRDefault="00544FE4" w:rsidP="0094030D">
            <w:pPr>
              <w:rPr>
                <w:rFonts w:ascii="Arial" w:hAnsi="Arial" w:cs="Arial"/>
                <w:sz w:val="24"/>
                <w:szCs w:val="24"/>
              </w:rPr>
            </w:pPr>
            <w:hyperlink r:id="rId57" w:history="1">
              <w:r w:rsidR="00955D29" w:rsidRPr="00955D29">
                <w:rPr>
                  <w:rStyle w:val="Hyperlink"/>
                  <w:rFonts w:ascii="Arial" w:eastAsiaTheme="minorEastAsia" w:hAnsi="Arial" w:cs="Arial"/>
                  <w:sz w:val="24"/>
                  <w:szCs w:val="24"/>
                </w:rPr>
                <w:t>rdove@keglerbrown.com</w:t>
              </w:r>
            </w:hyperlink>
            <w:r w:rsidR="00955D29" w:rsidRPr="00955D29">
              <w:rPr>
                <w:rFonts w:ascii="Arial" w:hAnsi="Arial" w:cs="Arial"/>
                <w:sz w:val="24"/>
                <w:szCs w:val="24"/>
              </w:rPr>
              <w:t xml:space="preserve"> </w:t>
            </w:r>
          </w:p>
          <w:p w14:paraId="1576E7B5" w14:textId="77777777" w:rsidR="00955D29" w:rsidRPr="00955D29" w:rsidRDefault="00955D29" w:rsidP="0094030D">
            <w:pPr>
              <w:rPr>
                <w:rFonts w:ascii="Arial" w:hAnsi="Arial" w:cs="Arial"/>
                <w:i/>
                <w:sz w:val="24"/>
                <w:szCs w:val="24"/>
              </w:rPr>
            </w:pPr>
            <w:r w:rsidRPr="00955D29">
              <w:rPr>
                <w:rFonts w:ascii="Arial" w:hAnsi="Arial" w:cs="Arial"/>
                <w:i/>
                <w:sz w:val="24"/>
                <w:szCs w:val="24"/>
              </w:rPr>
              <w:t>Counsel for Natural Resources Defense Council and Ohio Partners for Affordable Energy</w:t>
            </w:r>
          </w:p>
          <w:p w14:paraId="0DA3C520" w14:textId="77777777" w:rsidR="00955D29" w:rsidRPr="00955D29" w:rsidRDefault="00955D29" w:rsidP="0094030D">
            <w:pPr>
              <w:rPr>
                <w:rFonts w:ascii="Arial" w:hAnsi="Arial" w:cs="Arial"/>
                <w:b/>
                <w:sz w:val="24"/>
                <w:szCs w:val="24"/>
              </w:rPr>
            </w:pPr>
          </w:p>
        </w:tc>
      </w:tr>
      <w:tr w:rsidR="00955D29" w:rsidRPr="00955D29" w14:paraId="261BFD57" w14:textId="77777777" w:rsidTr="0094030D">
        <w:tc>
          <w:tcPr>
            <w:tcW w:w="4855" w:type="dxa"/>
          </w:tcPr>
          <w:p w14:paraId="25298624" w14:textId="77777777" w:rsidR="00955D29" w:rsidRPr="00955D29" w:rsidRDefault="00955D29" w:rsidP="0094030D">
            <w:pPr>
              <w:rPr>
                <w:rFonts w:ascii="Arial" w:hAnsi="Arial" w:cs="Arial"/>
                <w:sz w:val="24"/>
                <w:szCs w:val="24"/>
              </w:rPr>
            </w:pPr>
            <w:r w:rsidRPr="00955D29">
              <w:rPr>
                <w:rFonts w:ascii="Arial" w:hAnsi="Arial" w:cs="Arial"/>
                <w:b/>
                <w:sz w:val="24"/>
                <w:szCs w:val="24"/>
              </w:rPr>
              <w:t xml:space="preserve">Robert </w:t>
            </w:r>
            <w:proofErr w:type="spellStart"/>
            <w:r w:rsidRPr="00955D29">
              <w:rPr>
                <w:rFonts w:ascii="Arial" w:hAnsi="Arial" w:cs="Arial"/>
                <w:b/>
                <w:sz w:val="24"/>
                <w:szCs w:val="24"/>
              </w:rPr>
              <w:t>Kelter</w:t>
            </w:r>
            <w:proofErr w:type="spellEnd"/>
            <w:r w:rsidRPr="00955D29">
              <w:rPr>
                <w:rFonts w:ascii="Arial" w:hAnsi="Arial" w:cs="Arial"/>
                <w:b/>
                <w:sz w:val="24"/>
                <w:szCs w:val="24"/>
              </w:rPr>
              <w:t xml:space="preserve"> </w:t>
            </w:r>
          </w:p>
          <w:p w14:paraId="450BDD68" w14:textId="77777777" w:rsidR="00955D29" w:rsidRPr="00955D29" w:rsidRDefault="00955D29" w:rsidP="0094030D">
            <w:pPr>
              <w:rPr>
                <w:rFonts w:ascii="Arial" w:hAnsi="Arial" w:cs="Arial"/>
                <w:sz w:val="24"/>
                <w:szCs w:val="24"/>
              </w:rPr>
            </w:pPr>
            <w:r w:rsidRPr="00955D29">
              <w:rPr>
                <w:rFonts w:ascii="Arial" w:hAnsi="Arial" w:cs="Arial"/>
                <w:b/>
                <w:sz w:val="24"/>
                <w:szCs w:val="24"/>
              </w:rPr>
              <w:t>Caroline Cox</w:t>
            </w:r>
            <w:r w:rsidRPr="00955D29">
              <w:rPr>
                <w:rFonts w:ascii="Arial" w:hAnsi="Arial" w:cs="Arial"/>
                <w:sz w:val="24"/>
                <w:szCs w:val="24"/>
              </w:rPr>
              <w:t xml:space="preserve"> </w:t>
            </w:r>
          </w:p>
          <w:p w14:paraId="7339BFD0" w14:textId="77777777" w:rsidR="00955D29" w:rsidRPr="00955D29" w:rsidRDefault="00544FE4" w:rsidP="0094030D">
            <w:pPr>
              <w:rPr>
                <w:rFonts w:ascii="Arial" w:hAnsi="Arial" w:cs="Arial"/>
                <w:sz w:val="24"/>
                <w:szCs w:val="24"/>
              </w:rPr>
            </w:pPr>
            <w:hyperlink r:id="rId58" w:history="1">
              <w:r w:rsidR="00955D29" w:rsidRPr="00955D29">
                <w:rPr>
                  <w:rStyle w:val="Hyperlink"/>
                  <w:rFonts w:ascii="Arial" w:eastAsiaTheme="minorEastAsia" w:hAnsi="Arial" w:cs="Arial"/>
                  <w:sz w:val="24"/>
                  <w:szCs w:val="24"/>
                </w:rPr>
                <w:t>rkelter@elpc.org</w:t>
              </w:r>
            </w:hyperlink>
            <w:r w:rsidR="00955D29" w:rsidRPr="00955D29">
              <w:rPr>
                <w:rFonts w:ascii="Arial" w:hAnsi="Arial" w:cs="Arial"/>
                <w:sz w:val="24"/>
                <w:szCs w:val="24"/>
              </w:rPr>
              <w:t xml:space="preserve"> </w:t>
            </w:r>
          </w:p>
          <w:p w14:paraId="09807106" w14:textId="77777777" w:rsidR="00955D29" w:rsidRPr="00955D29" w:rsidRDefault="00544FE4" w:rsidP="0094030D">
            <w:pPr>
              <w:rPr>
                <w:rFonts w:ascii="Arial" w:hAnsi="Arial" w:cs="Arial"/>
                <w:sz w:val="24"/>
                <w:szCs w:val="24"/>
              </w:rPr>
            </w:pPr>
            <w:hyperlink r:id="rId59" w:history="1">
              <w:r w:rsidR="00955D29" w:rsidRPr="00955D29">
                <w:rPr>
                  <w:rStyle w:val="Hyperlink"/>
                  <w:rFonts w:ascii="Arial" w:eastAsiaTheme="minorEastAsia" w:hAnsi="Arial" w:cs="Arial"/>
                  <w:sz w:val="24"/>
                  <w:szCs w:val="24"/>
                </w:rPr>
                <w:t>ccox@elpc.org</w:t>
              </w:r>
            </w:hyperlink>
          </w:p>
          <w:p w14:paraId="1F7C9A5F" w14:textId="77777777" w:rsidR="00955D29" w:rsidRPr="00955D29" w:rsidRDefault="00955D29" w:rsidP="0094030D">
            <w:pPr>
              <w:rPr>
                <w:rFonts w:ascii="Arial" w:hAnsi="Arial" w:cs="Arial"/>
                <w:i/>
                <w:sz w:val="24"/>
                <w:szCs w:val="24"/>
              </w:rPr>
            </w:pPr>
            <w:r w:rsidRPr="00955D29">
              <w:rPr>
                <w:rFonts w:ascii="Arial" w:hAnsi="Arial" w:cs="Arial"/>
                <w:i/>
                <w:sz w:val="24"/>
                <w:szCs w:val="24"/>
              </w:rPr>
              <w:t>Counsel for the Environmental Law &amp;</w:t>
            </w:r>
          </w:p>
          <w:p w14:paraId="0A3AE1EB" w14:textId="77777777" w:rsidR="00955D29" w:rsidRPr="00955D29" w:rsidRDefault="00955D29" w:rsidP="0094030D">
            <w:pPr>
              <w:rPr>
                <w:rFonts w:ascii="Arial" w:hAnsi="Arial" w:cs="Arial"/>
                <w:i/>
                <w:sz w:val="24"/>
                <w:szCs w:val="24"/>
              </w:rPr>
            </w:pPr>
            <w:r w:rsidRPr="00955D29">
              <w:rPr>
                <w:rFonts w:ascii="Arial" w:hAnsi="Arial" w:cs="Arial"/>
                <w:i/>
                <w:sz w:val="24"/>
                <w:szCs w:val="24"/>
              </w:rPr>
              <w:t>Policy Center</w:t>
            </w:r>
          </w:p>
        </w:tc>
        <w:tc>
          <w:tcPr>
            <w:tcW w:w="4495" w:type="dxa"/>
          </w:tcPr>
          <w:p w14:paraId="167E7D13" w14:textId="2C3C2585" w:rsidR="00C10954" w:rsidRPr="00C10954" w:rsidRDefault="00C10954" w:rsidP="00C10954">
            <w:pPr>
              <w:rPr>
                <w:rFonts w:ascii="Arial" w:hAnsi="Arial" w:cs="Arial"/>
                <w:b/>
                <w:sz w:val="24"/>
                <w:szCs w:val="24"/>
              </w:rPr>
            </w:pPr>
            <w:r w:rsidRPr="00C10954">
              <w:rPr>
                <w:rFonts w:ascii="Arial" w:hAnsi="Arial" w:cs="Arial"/>
                <w:b/>
                <w:sz w:val="24"/>
                <w:szCs w:val="24"/>
              </w:rPr>
              <w:t xml:space="preserve">Michael J. </w:t>
            </w:r>
            <w:proofErr w:type="spellStart"/>
            <w:r w:rsidRPr="00C10954">
              <w:rPr>
                <w:rFonts w:ascii="Arial" w:hAnsi="Arial" w:cs="Arial"/>
                <w:b/>
                <w:sz w:val="24"/>
                <w:szCs w:val="24"/>
              </w:rPr>
              <w:t>Settineri</w:t>
            </w:r>
            <w:proofErr w:type="spellEnd"/>
            <w:r w:rsidRPr="00C10954">
              <w:rPr>
                <w:rFonts w:ascii="Arial" w:hAnsi="Arial" w:cs="Arial"/>
                <w:b/>
                <w:sz w:val="24"/>
                <w:szCs w:val="24"/>
              </w:rPr>
              <w:t xml:space="preserve"> </w:t>
            </w:r>
          </w:p>
          <w:p w14:paraId="0D910EDC" w14:textId="5B4EE05E" w:rsidR="00C10954" w:rsidRPr="00C10954" w:rsidRDefault="00C10954" w:rsidP="00C10954">
            <w:pPr>
              <w:rPr>
                <w:rFonts w:ascii="Arial" w:hAnsi="Arial" w:cs="Arial"/>
                <w:b/>
                <w:sz w:val="24"/>
                <w:szCs w:val="24"/>
              </w:rPr>
            </w:pPr>
            <w:r w:rsidRPr="00C10954">
              <w:rPr>
                <w:rFonts w:ascii="Arial" w:hAnsi="Arial" w:cs="Arial"/>
                <w:b/>
                <w:sz w:val="24"/>
                <w:szCs w:val="24"/>
              </w:rPr>
              <w:t xml:space="preserve">Gretchen L. Petrucci </w:t>
            </w:r>
          </w:p>
          <w:p w14:paraId="64665E25" w14:textId="34EA601F" w:rsidR="00C10954" w:rsidRPr="00C10954" w:rsidRDefault="00C10954" w:rsidP="00C10954">
            <w:pPr>
              <w:rPr>
                <w:rFonts w:ascii="Arial" w:hAnsi="Arial" w:cs="Arial"/>
                <w:b/>
                <w:sz w:val="24"/>
                <w:szCs w:val="24"/>
              </w:rPr>
            </w:pPr>
            <w:r w:rsidRPr="00C10954">
              <w:rPr>
                <w:rFonts w:ascii="Arial" w:hAnsi="Arial" w:cs="Arial"/>
                <w:b/>
                <w:sz w:val="24"/>
                <w:szCs w:val="24"/>
              </w:rPr>
              <w:t xml:space="preserve">Drew </w:t>
            </w:r>
            <w:proofErr w:type="spellStart"/>
            <w:r w:rsidRPr="00C10954">
              <w:rPr>
                <w:rFonts w:ascii="Arial" w:hAnsi="Arial" w:cs="Arial"/>
                <w:b/>
                <w:sz w:val="24"/>
                <w:szCs w:val="24"/>
              </w:rPr>
              <w:t>Romig</w:t>
            </w:r>
            <w:proofErr w:type="spellEnd"/>
          </w:p>
          <w:p w14:paraId="4636A967" w14:textId="2473A690" w:rsidR="00C10954" w:rsidRPr="00C10954" w:rsidRDefault="00544FE4" w:rsidP="00C10954">
            <w:pPr>
              <w:rPr>
                <w:rFonts w:ascii="Arial" w:hAnsi="Arial" w:cs="Arial"/>
                <w:sz w:val="24"/>
                <w:szCs w:val="24"/>
              </w:rPr>
            </w:pPr>
            <w:hyperlink r:id="rId60" w:history="1">
              <w:r w:rsidR="00C10954" w:rsidRPr="00885D45">
                <w:rPr>
                  <w:rStyle w:val="Hyperlink"/>
                  <w:rFonts w:ascii="Arial" w:hAnsi="Arial" w:cs="Arial"/>
                  <w:sz w:val="24"/>
                  <w:szCs w:val="24"/>
                </w:rPr>
                <w:t>msettineri@vorys.com</w:t>
              </w:r>
            </w:hyperlink>
            <w:r w:rsidR="00C10954">
              <w:rPr>
                <w:rFonts w:ascii="Arial" w:hAnsi="Arial" w:cs="Arial"/>
                <w:sz w:val="24"/>
                <w:szCs w:val="24"/>
              </w:rPr>
              <w:t xml:space="preserve"> </w:t>
            </w:r>
          </w:p>
          <w:p w14:paraId="3A0DA6D7" w14:textId="62866A4C" w:rsidR="00C10954" w:rsidRPr="00C10954" w:rsidRDefault="00544FE4" w:rsidP="00C10954">
            <w:pPr>
              <w:rPr>
                <w:rFonts w:ascii="Arial" w:hAnsi="Arial" w:cs="Arial"/>
                <w:sz w:val="24"/>
                <w:szCs w:val="24"/>
              </w:rPr>
            </w:pPr>
            <w:hyperlink r:id="rId61" w:history="1">
              <w:r w:rsidR="00C10954" w:rsidRPr="00885D45">
                <w:rPr>
                  <w:rStyle w:val="Hyperlink"/>
                  <w:rFonts w:ascii="Arial" w:hAnsi="Arial" w:cs="Arial"/>
                  <w:sz w:val="24"/>
                  <w:szCs w:val="24"/>
                </w:rPr>
                <w:t>glpetrucci@vorys.com</w:t>
              </w:r>
            </w:hyperlink>
            <w:r w:rsidR="00C10954">
              <w:rPr>
                <w:rFonts w:ascii="Arial" w:hAnsi="Arial" w:cs="Arial"/>
                <w:sz w:val="24"/>
                <w:szCs w:val="24"/>
              </w:rPr>
              <w:t xml:space="preserve"> </w:t>
            </w:r>
          </w:p>
          <w:p w14:paraId="3C001874" w14:textId="2A5F55A5" w:rsidR="00AE1A19" w:rsidRDefault="00544FE4" w:rsidP="00AE1A19">
            <w:pPr>
              <w:rPr>
                <w:rFonts w:ascii="Arial" w:hAnsi="Arial" w:cs="Arial"/>
                <w:sz w:val="24"/>
                <w:szCs w:val="24"/>
              </w:rPr>
            </w:pPr>
            <w:hyperlink r:id="rId62" w:history="1">
              <w:r w:rsidR="00C10954" w:rsidRPr="00885D45">
                <w:rPr>
                  <w:rStyle w:val="Hyperlink"/>
                  <w:rFonts w:ascii="Arial" w:hAnsi="Arial" w:cs="Arial"/>
                  <w:sz w:val="24"/>
                  <w:szCs w:val="24"/>
                </w:rPr>
                <w:t>dromig@armadapower.com</w:t>
              </w:r>
            </w:hyperlink>
            <w:r w:rsidR="00C10954">
              <w:rPr>
                <w:rFonts w:ascii="Arial" w:hAnsi="Arial" w:cs="Arial"/>
                <w:sz w:val="24"/>
                <w:szCs w:val="24"/>
              </w:rPr>
              <w:t xml:space="preserve"> </w:t>
            </w:r>
          </w:p>
          <w:p w14:paraId="0FF998B7" w14:textId="07C0759A" w:rsidR="00955D29" w:rsidRPr="00AE1A19" w:rsidRDefault="00AE1A19" w:rsidP="00AE1A19">
            <w:pPr>
              <w:rPr>
                <w:rFonts w:ascii="Arial" w:hAnsi="Arial" w:cs="Arial"/>
                <w:i/>
                <w:sz w:val="24"/>
                <w:szCs w:val="24"/>
              </w:rPr>
            </w:pPr>
            <w:r w:rsidRPr="00AE1A19">
              <w:rPr>
                <w:rFonts w:ascii="Arial" w:hAnsi="Arial" w:cs="Arial"/>
                <w:i/>
                <w:sz w:val="24"/>
                <w:szCs w:val="24"/>
              </w:rPr>
              <w:t>Counsel for Armada Power, LLC</w:t>
            </w:r>
          </w:p>
          <w:p w14:paraId="75645BA0" w14:textId="77777777" w:rsidR="00955D29" w:rsidRPr="00955D29" w:rsidRDefault="00955D29" w:rsidP="0094030D">
            <w:pPr>
              <w:rPr>
                <w:rFonts w:ascii="Arial" w:hAnsi="Arial" w:cs="Arial"/>
                <w:sz w:val="24"/>
                <w:szCs w:val="24"/>
              </w:rPr>
            </w:pPr>
          </w:p>
        </w:tc>
      </w:tr>
    </w:tbl>
    <w:p w14:paraId="51A34AEA" w14:textId="77777777" w:rsidR="006B3A57" w:rsidRPr="00971679" w:rsidRDefault="006B3A57" w:rsidP="006B3A57">
      <w:pPr>
        <w:rPr>
          <w:rFonts w:ascii="Arial" w:hAnsi="Arial" w:cs="Arial"/>
        </w:rPr>
      </w:pPr>
    </w:p>
    <w:sectPr w:rsidR="006B3A57" w:rsidRPr="00971679">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284DF" w14:textId="77777777" w:rsidR="00544FE4" w:rsidRDefault="00544FE4" w:rsidP="00971679">
      <w:r>
        <w:separator/>
      </w:r>
    </w:p>
    <w:p w14:paraId="04F022D3" w14:textId="77777777" w:rsidR="00544FE4" w:rsidRDefault="00544FE4"/>
  </w:endnote>
  <w:endnote w:type="continuationSeparator" w:id="0">
    <w:p w14:paraId="18328630" w14:textId="77777777" w:rsidR="00544FE4" w:rsidRDefault="00544FE4" w:rsidP="00971679">
      <w:r>
        <w:continuationSeparator/>
      </w:r>
    </w:p>
    <w:p w14:paraId="65528C3E" w14:textId="77777777" w:rsidR="00544FE4" w:rsidRDefault="00544FE4"/>
  </w:endnote>
  <w:endnote w:type="continuationNotice" w:id="1">
    <w:p w14:paraId="323BD855" w14:textId="77777777" w:rsidR="00544FE4" w:rsidRDefault="00544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172996"/>
      <w:docPartObj>
        <w:docPartGallery w:val="Page Numbers (Bottom of Page)"/>
        <w:docPartUnique/>
      </w:docPartObj>
    </w:sdtPr>
    <w:sdtEndPr>
      <w:rPr>
        <w:noProof/>
      </w:rPr>
    </w:sdtEndPr>
    <w:sdtContent>
      <w:p w14:paraId="1E4A8EE8" w14:textId="77777777" w:rsidR="00971679" w:rsidRDefault="00971679" w:rsidP="009716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591002" w14:textId="77777777" w:rsidR="00971679" w:rsidRDefault="00971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rPr>
      <w:id w:val="-934593942"/>
      <w:docPartObj>
        <w:docPartGallery w:val="Page Numbers (Bottom of Page)"/>
        <w:docPartUnique/>
      </w:docPartObj>
    </w:sdtPr>
    <w:sdtContent>
      <w:p w14:paraId="499862EC" w14:textId="08884055" w:rsidR="00971679" w:rsidRPr="00C721AE" w:rsidRDefault="00971679">
        <w:pPr>
          <w:pStyle w:val="Footer"/>
          <w:jc w:val="center"/>
          <w:rPr>
            <w:rFonts w:ascii="Gotham Book" w:hAnsi="Gotham Book"/>
          </w:rPr>
        </w:pPr>
        <w:r w:rsidRPr="00C721AE">
          <w:rPr>
            <w:rFonts w:ascii="Gotham Book" w:hAnsi="Gotham Book"/>
          </w:rPr>
          <w:fldChar w:fldCharType="begin"/>
        </w:r>
        <w:r w:rsidRPr="00C721AE">
          <w:rPr>
            <w:rFonts w:ascii="Gotham Book" w:hAnsi="Gotham Book"/>
          </w:rPr>
          <w:instrText xml:space="preserve"> PAGE   \* MERGEFORMAT </w:instrText>
        </w:r>
        <w:r w:rsidRPr="00C721AE">
          <w:rPr>
            <w:rFonts w:ascii="Gotham Book" w:hAnsi="Gotham Book"/>
          </w:rPr>
          <w:fldChar w:fldCharType="separate"/>
        </w:r>
        <w:r w:rsidRPr="00C721AE">
          <w:rPr>
            <w:rFonts w:ascii="Gotham Book" w:hAnsi="Gotham Book"/>
          </w:rPr>
          <w:t>2</w:t>
        </w:r>
        <w:r w:rsidRPr="00C721AE">
          <w:rPr>
            <w:rFonts w:ascii="Gotham Book" w:hAnsi="Gotham Book"/>
          </w:rPr>
          <w:fldChar w:fldCharType="end"/>
        </w:r>
      </w:p>
    </w:sdtContent>
  </w:sdt>
  <w:p w14:paraId="1A9855F4" w14:textId="77777777" w:rsidR="00C97227" w:rsidRPr="00C721AE" w:rsidRDefault="00C97227">
    <w:pPr>
      <w:rPr>
        <w:rFonts w:ascii="Gotham Book" w:hAnsi="Gotham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8D815" w14:textId="77777777" w:rsidR="00544FE4" w:rsidRDefault="00544FE4" w:rsidP="00971679">
      <w:r>
        <w:separator/>
      </w:r>
    </w:p>
    <w:p w14:paraId="2D4680C3" w14:textId="77777777" w:rsidR="00544FE4" w:rsidRDefault="00544FE4"/>
  </w:footnote>
  <w:footnote w:type="continuationSeparator" w:id="0">
    <w:p w14:paraId="4D021C68" w14:textId="77777777" w:rsidR="00544FE4" w:rsidRDefault="00544FE4" w:rsidP="00971679">
      <w:r>
        <w:continuationSeparator/>
      </w:r>
    </w:p>
    <w:p w14:paraId="650893FA" w14:textId="77777777" w:rsidR="00544FE4" w:rsidRDefault="00544FE4"/>
  </w:footnote>
  <w:footnote w:type="continuationNotice" w:id="1">
    <w:p w14:paraId="4B0DEEDE" w14:textId="77777777" w:rsidR="00544FE4" w:rsidRDefault="00544FE4"/>
  </w:footnote>
  <w:footnote w:id="2">
    <w:p w14:paraId="09BC662D" w14:textId="6964C0F6" w:rsidR="00212A40" w:rsidRDefault="00212A40">
      <w:pPr>
        <w:pStyle w:val="FootnoteText"/>
      </w:pPr>
      <w:r>
        <w:rPr>
          <w:rStyle w:val="FootnoteReference"/>
        </w:rPr>
        <w:footnoteRef/>
      </w:r>
      <w:r>
        <w:t xml:space="preserve"> </w:t>
      </w:r>
      <w:r w:rsidR="006F3307">
        <w:t>AEP Ohio Application</w:t>
      </w:r>
      <w:r w:rsidR="000764B3">
        <w:t xml:space="preserve"> (June 1, 2020)</w:t>
      </w:r>
      <w:r w:rsidR="006F3307">
        <w:t xml:space="preserve">, Schedule </w:t>
      </w:r>
      <w:r w:rsidR="000764B3">
        <w:t>A-1, C-1.</w:t>
      </w:r>
    </w:p>
  </w:footnote>
  <w:footnote w:id="3">
    <w:p w14:paraId="133F164C" w14:textId="546EF3F1" w:rsidR="0084319F" w:rsidRDefault="0084319F">
      <w:pPr>
        <w:pStyle w:val="FootnoteText"/>
      </w:pPr>
      <w:r>
        <w:rPr>
          <w:rStyle w:val="FootnoteReference"/>
        </w:rPr>
        <w:footnoteRef/>
      </w:r>
      <w:r>
        <w:t xml:space="preserve"> Staff Report at Schedule A-1, </w:t>
      </w:r>
      <w:r w:rsidR="00BE7780">
        <w:t>C-1.</w:t>
      </w:r>
    </w:p>
  </w:footnote>
  <w:footnote w:id="4">
    <w:p w14:paraId="6B01E548" w14:textId="3A12628B" w:rsidR="00A52738" w:rsidRDefault="00A52738">
      <w:pPr>
        <w:pStyle w:val="FootnoteText"/>
      </w:pPr>
      <w:r>
        <w:rPr>
          <w:rStyle w:val="FootnoteReference"/>
        </w:rPr>
        <w:footnoteRef/>
      </w:r>
      <w:r>
        <w:t xml:space="preserve"> </w:t>
      </w:r>
      <w:r w:rsidRPr="00AD2318">
        <w:rPr>
          <w:i/>
        </w:rPr>
        <w:t xml:space="preserve">See </w:t>
      </w:r>
      <w:r w:rsidRPr="00A52738">
        <w:t>R.C. 4928.05(A)(1)</w:t>
      </w:r>
      <w:r>
        <w:t xml:space="preserve"> (</w:t>
      </w:r>
      <w:r w:rsidRPr="00A52738">
        <w:t>“</w:t>
      </w:r>
      <w:r>
        <w:t>[A]</w:t>
      </w:r>
      <w:r w:rsidRPr="00A52738">
        <w:t xml:space="preserve"> competitive retail electric service supplied by an electric utility or electric services company shall not be subject to supervision and regulation . . . by the public utilities commission under Chapters 4901. to 4909., 4933., 4935., and 4963.”</w:t>
      </w:r>
      <w:r>
        <w:t>)</w:t>
      </w:r>
      <w:r w:rsidR="0090033E">
        <w:t xml:space="preserve">; </w:t>
      </w:r>
      <w:r w:rsidR="0090033E" w:rsidRPr="006909C3">
        <w:rPr>
          <w:i/>
        </w:rPr>
        <w:t>In the Matter of the Application of Ohio Power Company for Authority to Establish a Standard Service Offer Pursuant to R.C. 4928.143, in the Form of an Electric Security Plan,</w:t>
      </w:r>
      <w:r w:rsidR="0090033E" w:rsidRPr="007A7223">
        <w:t xml:space="preserve"> Case No</w:t>
      </w:r>
      <w:r w:rsidR="0090033E">
        <w:t>s</w:t>
      </w:r>
      <w:r w:rsidR="0090033E" w:rsidRPr="007A7223">
        <w:t>. 16-1852-EL-SSO</w:t>
      </w:r>
      <w:r w:rsidR="0090033E">
        <w:t xml:space="preserve">, et al. (“ESP IV”), </w:t>
      </w:r>
      <w:r w:rsidR="0090033E" w:rsidRPr="007A7223">
        <w:t>Opinion and Order (April 25, 2018) at ¶ 21</w:t>
      </w:r>
      <w:r w:rsidR="001A07E4">
        <w:t>4-215.</w:t>
      </w:r>
    </w:p>
  </w:footnote>
  <w:footnote w:id="5">
    <w:p w14:paraId="4B4450AA" w14:textId="25E18741" w:rsidR="00DC6B99" w:rsidRDefault="00DC6B99">
      <w:pPr>
        <w:pStyle w:val="FootnoteText"/>
      </w:pPr>
      <w:r>
        <w:rPr>
          <w:rStyle w:val="FootnoteReference"/>
        </w:rPr>
        <w:footnoteRef/>
      </w:r>
      <w:r>
        <w:t xml:space="preserve"> </w:t>
      </w:r>
      <w:r w:rsidR="001A07E4" w:rsidRPr="00AD2318">
        <w:t>ESP IV Order</w:t>
      </w:r>
      <w:r w:rsidR="00334E95" w:rsidRPr="007A7223">
        <w:t xml:space="preserve"> at ¶ 21</w:t>
      </w:r>
      <w:r w:rsidR="00EE0B86">
        <w:t>2</w:t>
      </w:r>
      <w:r w:rsidR="00334E95">
        <w:t>.</w:t>
      </w:r>
    </w:p>
  </w:footnote>
  <w:footnote w:id="6">
    <w:p w14:paraId="36D8B7A9" w14:textId="36BF68BE" w:rsidR="00F60CD5" w:rsidRDefault="00F60CD5">
      <w:pPr>
        <w:pStyle w:val="FootnoteText"/>
      </w:pPr>
      <w:r>
        <w:rPr>
          <w:rStyle w:val="FootnoteReference"/>
        </w:rPr>
        <w:footnoteRef/>
      </w:r>
      <w:r>
        <w:t xml:space="preserve"> </w:t>
      </w:r>
      <w:r w:rsidR="001A07E4" w:rsidRPr="00AD2318">
        <w:rPr>
          <w:i/>
        </w:rPr>
        <w:t>Id.</w:t>
      </w:r>
      <w:r>
        <w:t xml:space="preserve"> at </w:t>
      </w:r>
      <w:r w:rsidR="00EC2876">
        <w:t>¶ 211</w:t>
      </w:r>
      <w:r w:rsidR="00DF3633">
        <w:t>-</w:t>
      </w:r>
      <w:r w:rsidR="00EC2876">
        <w:t>212.</w:t>
      </w:r>
    </w:p>
  </w:footnote>
  <w:footnote w:id="7">
    <w:p w14:paraId="5AB0C1FC" w14:textId="6D9F6270" w:rsidR="007A07E8" w:rsidRDefault="007A07E8">
      <w:pPr>
        <w:pStyle w:val="FootnoteText"/>
      </w:pPr>
      <w:r>
        <w:rPr>
          <w:rStyle w:val="FootnoteReference"/>
        </w:rPr>
        <w:footnoteRef/>
      </w:r>
      <w:r>
        <w:t xml:space="preserve"> </w:t>
      </w:r>
      <w:r w:rsidR="0030699D" w:rsidRPr="00AD2318">
        <w:rPr>
          <w:i/>
        </w:rPr>
        <w:t>Id.</w:t>
      </w:r>
      <w:r w:rsidR="0030699D">
        <w:t xml:space="preserve"> at ¶ 213-216.</w:t>
      </w:r>
    </w:p>
  </w:footnote>
  <w:footnote w:id="8">
    <w:p w14:paraId="52618BCE" w14:textId="36082C14" w:rsidR="002C6FA0" w:rsidRDefault="002C6FA0">
      <w:pPr>
        <w:pStyle w:val="FootnoteText"/>
      </w:pPr>
      <w:r>
        <w:rPr>
          <w:rStyle w:val="FootnoteReference"/>
        </w:rPr>
        <w:footnoteRef/>
      </w:r>
      <w:r>
        <w:t xml:space="preserve"> </w:t>
      </w:r>
      <w:r w:rsidR="001C1A93" w:rsidRPr="00B83CDA">
        <w:rPr>
          <w:i/>
        </w:rPr>
        <w:t>Id.</w:t>
      </w:r>
      <w:r w:rsidR="001C1A93">
        <w:t xml:space="preserve"> at ¶ 214-215.</w:t>
      </w:r>
    </w:p>
  </w:footnote>
  <w:footnote w:id="9">
    <w:p w14:paraId="6DF183D9" w14:textId="62A456C8" w:rsidR="00AC52CB" w:rsidRDefault="00AC52CB">
      <w:pPr>
        <w:pStyle w:val="FootnoteText"/>
      </w:pPr>
      <w:r>
        <w:rPr>
          <w:rStyle w:val="FootnoteReference"/>
        </w:rPr>
        <w:footnoteRef/>
      </w:r>
      <w:r>
        <w:t xml:space="preserve"> </w:t>
      </w:r>
      <w:r w:rsidRPr="00AD2318">
        <w:rPr>
          <w:i/>
        </w:rPr>
        <w:t>Id.</w:t>
      </w:r>
      <w:r>
        <w:t xml:space="preserve"> at</w:t>
      </w:r>
      <w:r w:rsidR="002F75B5">
        <w:t xml:space="preserve"> </w:t>
      </w:r>
      <w:r w:rsidR="004B5DD1">
        <w:t>¶</w:t>
      </w:r>
      <w:r>
        <w:t xml:space="preserve"> 214.</w:t>
      </w:r>
    </w:p>
  </w:footnote>
  <w:footnote w:id="10">
    <w:p w14:paraId="5FA859CC" w14:textId="433D75F1" w:rsidR="002F75B5" w:rsidRDefault="002F75B5">
      <w:pPr>
        <w:pStyle w:val="FootnoteText"/>
      </w:pPr>
      <w:r>
        <w:rPr>
          <w:rStyle w:val="FootnoteReference"/>
        </w:rPr>
        <w:footnoteRef/>
      </w:r>
      <w:r>
        <w:t xml:space="preserve"> </w:t>
      </w:r>
      <w:r w:rsidRPr="00AD2318">
        <w:rPr>
          <w:i/>
        </w:rPr>
        <w:t>Id</w:t>
      </w:r>
      <w:r>
        <w:t>. at ¶ 215.</w:t>
      </w:r>
    </w:p>
  </w:footnote>
  <w:footnote w:id="11">
    <w:p w14:paraId="4D280B3A" w14:textId="5B0B1807" w:rsidR="007013D0" w:rsidRDefault="007013D0">
      <w:pPr>
        <w:pStyle w:val="FootnoteText"/>
      </w:pPr>
      <w:r>
        <w:rPr>
          <w:rStyle w:val="FootnoteReference"/>
        </w:rPr>
        <w:footnoteRef/>
      </w:r>
      <w:r>
        <w:t xml:space="preserve"> </w:t>
      </w:r>
      <w:r w:rsidR="002610B5">
        <w:t>Staff Report at 31.</w:t>
      </w:r>
    </w:p>
  </w:footnote>
  <w:footnote w:id="12">
    <w:p w14:paraId="380F8C5E" w14:textId="627A9BA6" w:rsidR="000A6179" w:rsidRDefault="000A6179">
      <w:pPr>
        <w:pStyle w:val="FootnoteText"/>
      </w:pPr>
      <w:r>
        <w:rPr>
          <w:rStyle w:val="FootnoteReference"/>
        </w:rPr>
        <w:footnoteRef/>
      </w:r>
      <w:r>
        <w:t xml:space="preserve"> </w:t>
      </w:r>
      <w:r w:rsidR="00B3294B" w:rsidRPr="008310C1">
        <w:rPr>
          <w:i/>
        </w:rPr>
        <w:t>See</w:t>
      </w:r>
      <w:r w:rsidR="00B3294B">
        <w:t xml:space="preserve"> </w:t>
      </w:r>
      <w:r w:rsidR="001078ED">
        <w:t>R.C.</w:t>
      </w:r>
      <w:r w:rsidR="009C5999">
        <w:t xml:space="preserve"> 4928.642</w:t>
      </w:r>
      <w:r w:rsidR="004F3AA5">
        <w:t xml:space="preserve">; </w:t>
      </w:r>
      <w:r w:rsidR="009C5999">
        <w:t>R.C. 4928.66(F)(3)</w:t>
      </w:r>
      <w:r w:rsidR="009C5999" w:rsidDel="004F3AA5">
        <w:t>.</w:t>
      </w:r>
    </w:p>
  </w:footnote>
  <w:footnote w:id="13">
    <w:p w14:paraId="1C62F4A8" w14:textId="1C4973A1" w:rsidR="0015668A" w:rsidRDefault="0015668A" w:rsidP="0015668A">
      <w:pPr>
        <w:pStyle w:val="FootnoteText"/>
      </w:pPr>
      <w:r>
        <w:rPr>
          <w:rStyle w:val="FootnoteReference"/>
        </w:rPr>
        <w:footnoteRef/>
      </w:r>
      <w:r>
        <w:t xml:space="preserve"> </w:t>
      </w:r>
      <w:r w:rsidR="00886D05" w:rsidRPr="00C721AE">
        <w:rPr>
          <w:i/>
        </w:rPr>
        <w:t>See</w:t>
      </w:r>
      <w:r w:rsidR="00886D05">
        <w:t xml:space="preserve"> </w:t>
      </w:r>
      <w:r w:rsidRPr="00AD2318">
        <w:rPr>
          <w:i/>
        </w:rPr>
        <w:t>In the Matter of the Application of Duke Energy Ohio, Inc., for Approval of its 2021 Energy Efficiency and Demand Side Management Portfolio of Programs and Cost Recovery Mechanism</w:t>
      </w:r>
      <w:r>
        <w:t>, Case Nos. 20-1013-EL-POR, et al., Entry (June 17, 2020) at ¶ 9.</w:t>
      </w:r>
    </w:p>
  </w:footnote>
  <w:footnote w:id="14">
    <w:p w14:paraId="022457C3" w14:textId="46FB1529" w:rsidR="000C62AA" w:rsidRDefault="000C62AA">
      <w:pPr>
        <w:pStyle w:val="FootnoteText"/>
      </w:pPr>
      <w:r>
        <w:rPr>
          <w:rStyle w:val="FootnoteReference"/>
        </w:rPr>
        <w:footnoteRef/>
      </w:r>
      <w:r>
        <w:t xml:space="preserve"> </w:t>
      </w:r>
      <w:r w:rsidRPr="000C62AA">
        <w:t>R.C. 4928.47</w:t>
      </w:r>
      <w:r>
        <w:t>.</w:t>
      </w:r>
    </w:p>
  </w:footnote>
  <w:footnote w:id="15">
    <w:p w14:paraId="1E7202A7" w14:textId="6FD5F539" w:rsidR="00BD3502" w:rsidRDefault="00BD3502">
      <w:pPr>
        <w:pStyle w:val="FootnoteText"/>
      </w:pPr>
      <w:r>
        <w:rPr>
          <w:rStyle w:val="FootnoteReference"/>
        </w:rPr>
        <w:footnoteRef/>
      </w:r>
      <w:r>
        <w:t xml:space="preserve"> </w:t>
      </w:r>
      <w:r w:rsidRPr="000C62AA">
        <w:t>R.C. 4928.47</w:t>
      </w:r>
      <w:r>
        <w:t>(B).</w:t>
      </w:r>
    </w:p>
  </w:footnote>
  <w:footnote w:id="16">
    <w:p w14:paraId="17AE9C9A" w14:textId="77777777" w:rsidR="00FB333A" w:rsidRDefault="00FB333A" w:rsidP="00FB333A">
      <w:pPr>
        <w:pStyle w:val="FootnoteText"/>
      </w:pPr>
      <w:r>
        <w:rPr>
          <w:rStyle w:val="FootnoteReference"/>
        </w:rPr>
        <w:footnoteRef/>
      </w:r>
      <w:r>
        <w:t xml:space="preserve"> </w:t>
      </w:r>
      <w:r w:rsidRPr="00C721AE">
        <w:rPr>
          <w:i/>
        </w:rPr>
        <w:t>Id.</w:t>
      </w:r>
    </w:p>
  </w:footnote>
  <w:footnote w:id="17">
    <w:p w14:paraId="6377824B" w14:textId="77777777" w:rsidR="005F49A7" w:rsidRDefault="005F49A7" w:rsidP="005F49A7">
      <w:pPr>
        <w:pStyle w:val="FootnoteText"/>
      </w:pPr>
      <w:r>
        <w:rPr>
          <w:rStyle w:val="FootnoteReference"/>
        </w:rPr>
        <w:footnoteRef/>
      </w:r>
      <w:r>
        <w:t xml:space="preserve"> Staff Report at 31.</w:t>
      </w:r>
    </w:p>
  </w:footnote>
  <w:footnote w:id="18">
    <w:p w14:paraId="7ACE5CC5" w14:textId="68138979" w:rsidR="005F49A7" w:rsidRPr="00105F93" w:rsidRDefault="005F49A7" w:rsidP="00C721AE">
      <w:r>
        <w:rPr>
          <w:rStyle w:val="FootnoteReference"/>
        </w:rPr>
        <w:footnoteRef/>
      </w:r>
      <w:r>
        <w:t xml:space="preserve"> </w:t>
      </w:r>
      <w:r w:rsidRPr="00C721AE">
        <w:rPr>
          <w:rFonts w:ascii="Arial" w:hAnsi="Arial" w:cs="Arial"/>
          <w:i/>
          <w:sz w:val="20"/>
          <w:szCs w:val="20"/>
        </w:rPr>
        <w:t xml:space="preserve">See In re Complaint of </w:t>
      </w:r>
      <w:proofErr w:type="spellStart"/>
      <w:r w:rsidRPr="00C721AE">
        <w:rPr>
          <w:rFonts w:ascii="Arial" w:hAnsi="Arial" w:cs="Arial"/>
          <w:i/>
          <w:sz w:val="20"/>
          <w:szCs w:val="20"/>
        </w:rPr>
        <w:t>Wingo</w:t>
      </w:r>
      <w:proofErr w:type="spellEnd"/>
      <w:r w:rsidRPr="00C721AE">
        <w:rPr>
          <w:rFonts w:ascii="Arial" w:hAnsi="Arial" w:cs="Arial"/>
          <w:i/>
          <w:sz w:val="20"/>
          <w:szCs w:val="20"/>
        </w:rPr>
        <w:t xml:space="preserve"> v. Nationwide Energy Partners, L.L.C.,</w:t>
      </w:r>
      <w:r w:rsidRPr="00C721AE">
        <w:rPr>
          <w:rFonts w:ascii="Arial" w:hAnsi="Arial" w:cs="Arial"/>
          <w:sz w:val="20"/>
          <w:szCs w:val="20"/>
        </w:rPr>
        <w:t xml:space="preserve"> Slip Opinion No. 2020-Ohio-5583</w:t>
      </w:r>
      <w:r w:rsidR="00F80077" w:rsidRPr="00C721AE">
        <w:rPr>
          <w:rFonts w:ascii="Arial" w:hAnsi="Arial" w:cs="Arial"/>
          <w:sz w:val="20"/>
          <w:szCs w:val="20"/>
        </w:rPr>
        <w:t xml:space="preserve"> (holding the Commission must act according to statute </w:t>
      </w:r>
      <w:r w:rsidR="0086089B" w:rsidRPr="00C721AE">
        <w:rPr>
          <w:rFonts w:ascii="Arial" w:hAnsi="Arial" w:cs="Arial"/>
          <w:sz w:val="20"/>
          <w:szCs w:val="20"/>
        </w:rPr>
        <w:t xml:space="preserve">instead of </w:t>
      </w:r>
      <w:r w:rsidR="00F80077" w:rsidRPr="00C721AE">
        <w:rPr>
          <w:rFonts w:ascii="Arial" w:hAnsi="Arial" w:cs="Arial"/>
          <w:sz w:val="20"/>
          <w:szCs w:val="20"/>
        </w:rPr>
        <w:t xml:space="preserve">based on </w:t>
      </w:r>
      <w:r w:rsidR="00FB3F00" w:rsidRPr="00C721AE">
        <w:rPr>
          <w:rFonts w:ascii="Arial" w:hAnsi="Arial" w:cs="Arial"/>
          <w:sz w:val="20"/>
          <w:szCs w:val="20"/>
        </w:rPr>
        <w:t>its own</w:t>
      </w:r>
      <w:r w:rsidR="00F80077" w:rsidRPr="00C721AE">
        <w:rPr>
          <w:rFonts w:ascii="Arial" w:hAnsi="Arial" w:cs="Arial"/>
          <w:sz w:val="20"/>
          <w:szCs w:val="20"/>
        </w:rPr>
        <w:t xml:space="preserve"> policy</w:t>
      </w:r>
      <w:r w:rsidR="005D7C2E" w:rsidRPr="00C721AE">
        <w:rPr>
          <w:rFonts w:ascii="Arial" w:hAnsi="Arial" w:cs="Arial"/>
          <w:sz w:val="20"/>
          <w:szCs w:val="20"/>
        </w:rPr>
        <w:t xml:space="preserve"> </w:t>
      </w:r>
      <w:r w:rsidR="00F80077" w:rsidRPr="00C721AE">
        <w:rPr>
          <w:rFonts w:ascii="Arial" w:hAnsi="Arial" w:cs="Arial"/>
          <w:sz w:val="20"/>
          <w:szCs w:val="20"/>
        </w:rPr>
        <w:t>considerations).</w:t>
      </w:r>
      <w:r w:rsidR="00F80077">
        <w:t xml:space="preserve"> </w:t>
      </w:r>
    </w:p>
  </w:footnote>
  <w:footnote w:id="19">
    <w:p w14:paraId="34CD67E9" w14:textId="2B95D48B" w:rsidR="00B70610" w:rsidRPr="007A7223" w:rsidRDefault="00B70610" w:rsidP="00B70610">
      <w:pPr>
        <w:pStyle w:val="FootnoteText"/>
      </w:pPr>
      <w:r w:rsidRPr="007A7223">
        <w:rPr>
          <w:rStyle w:val="FootnoteReference"/>
        </w:rPr>
        <w:footnoteRef/>
      </w:r>
      <w:r w:rsidRPr="007A7223">
        <w:t xml:space="preserve"> </w:t>
      </w:r>
      <w:r>
        <w:t xml:space="preserve">Staff Report at 31, </w:t>
      </w:r>
      <w:r w:rsidRPr="00AD2318">
        <w:rPr>
          <w:i/>
        </w:rPr>
        <w:t>citing</w:t>
      </w:r>
      <w:r w:rsidRPr="006909C3">
        <w:rPr>
          <w:i/>
        </w:rPr>
        <w:t xml:space="preserve"> </w:t>
      </w:r>
      <w:r w:rsidR="00EE0B86" w:rsidRPr="00AD2318">
        <w:t>ESP IV Order at</w:t>
      </w:r>
      <w:r w:rsidRPr="007A7223">
        <w:t xml:space="preserve"> ¶ 215</w:t>
      </w:r>
      <w:r>
        <w:t xml:space="preserve">. </w:t>
      </w:r>
    </w:p>
  </w:footnote>
  <w:footnote w:id="20">
    <w:p w14:paraId="47181C27" w14:textId="77777777" w:rsidR="00B70610" w:rsidRDefault="00B70610" w:rsidP="00B70610">
      <w:pPr>
        <w:pStyle w:val="FootnoteText"/>
      </w:pPr>
      <w:r>
        <w:rPr>
          <w:rStyle w:val="FootnoteReference"/>
        </w:rPr>
        <w:footnoteRef/>
      </w:r>
      <w:r>
        <w:t xml:space="preserve"> Staff Report at 31.</w:t>
      </w:r>
    </w:p>
  </w:footnote>
  <w:footnote w:id="21">
    <w:p w14:paraId="57C1DF48" w14:textId="2854C274" w:rsidR="00C85887" w:rsidRDefault="00C85887">
      <w:pPr>
        <w:pStyle w:val="FootnoteText"/>
      </w:pPr>
      <w:r>
        <w:rPr>
          <w:rStyle w:val="FootnoteReference"/>
        </w:rPr>
        <w:footnoteRef/>
      </w:r>
      <w:r>
        <w:t xml:space="preserve"> </w:t>
      </w:r>
      <w:r w:rsidR="00683617" w:rsidRPr="00C721AE">
        <w:rPr>
          <w:i/>
        </w:rPr>
        <w:t>Id.</w:t>
      </w:r>
    </w:p>
  </w:footnote>
  <w:footnote w:id="22">
    <w:p w14:paraId="02FCDB17" w14:textId="5ABFBC13" w:rsidR="00B70610" w:rsidRDefault="00B70610" w:rsidP="00B70610">
      <w:pPr>
        <w:pStyle w:val="FootnoteText"/>
      </w:pPr>
      <w:r>
        <w:rPr>
          <w:rStyle w:val="FootnoteReference"/>
        </w:rPr>
        <w:footnoteRef/>
      </w:r>
      <w:r>
        <w:t xml:space="preserve"> </w:t>
      </w:r>
      <w:r w:rsidR="00683617" w:rsidRPr="00C721AE">
        <w:rPr>
          <w:i/>
        </w:rPr>
        <w:t>Id.</w:t>
      </w:r>
    </w:p>
  </w:footnote>
  <w:footnote w:id="23">
    <w:p w14:paraId="013DF979" w14:textId="2D0B3687" w:rsidR="002B3034" w:rsidRDefault="002B3034">
      <w:pPr>
        <w:pStyle w:val="FootnoteText"/>
      </w:pPr>
      <w:r>
        <w:rPr>
          <w:rStyle w:val="FootnoteReference"/>
        </w:rPr>
        <w:footnoteRef/>
      </w:r>
      <w:r>
        <w:t xml:space="preserve"> </w:t>
      </w:r>
      <w:r w:rsidR="00DE58D6" w:rsidRPr="008310C1">
        <w:rPr>
          <w:i/>
        </w:rPr>
        <w:t>See</w:t>
      </w:r>
      <w:r w:rsidR="00DE58D6">
        <w:t xml:space="preserve"> Staff Report at </w:t>
      </w:r>
      <w:r w:rsidR="00032DB7">
        <w:t>36-37.</w:t>
      </w:r>
    </w:p>
  </w:footnote>
  <w:footnote w:id="24">
    <w:p w14:paraId="396DA971" w14:textId="77777777" w:rsidR="00B70610" w:rsidRDefault="00B70610" w:rsidP="00B70610">
      <w:pPr>
        <w:pStyle w:val="FootnoteText"/>
      </w:pPr>
      <w:r>
        <w:rPr>
          <w:rStyle w:val="FootnoteReference"/>
        </w:rPr>
        <w:footnoteRef/>
      </w:r>
      <w:r>
        <w:t xml:space="preserve"> ESP IV Order at</w:t>
      </w:r>
      <w:r w:rsidRPr="007A7223">
        <w:t xml:space="preserve"> ¶ 215</w:t>
      </w:r>
      <w:r>
        <w:t xml:space="preserve"> (emphasis added).</w:t>
      </w:r>
    </w:p>
  </w:footnote>
  <w:footnote w:id="25">
    <w:p w14:paraId="49AC8B94" w14:textId="488E9F5B" w:rsidR="007713FE" w:rsidRDefault="007713FE">
      <w:pPr>
        <w:pStyle w:val="FootnoteText"/>
      </w:pPr>
      <w:r w:rsidRPr="004E6370">
        <w:rPr>
          <w:rStyle w:val="FootnoteReference"/>
        </w:rPr>
        <w:footnoteRef/>
      </w:r>
      <w:r w:rsidRPr="004E6370">
        <w:t xml:space="preserve"> </w:t>
      </w:r>
      <w:r w:rsidR="000A5825" w:rsidRPr="004E6370">
        <w:t>Fo</w:t>
      </w:r>
      <w:r w:rsidR="000A5825" w:rsidRPr="00683617">
        <w:t xml:space="preserve">r example, </w:t>
      </w:r>
      <w:r w:rsidR="00A9252C" w:rsidRPr="00F96C61">
        <w:t>AEP Ohio declined</w:t>
      </w:r>
      <w:r w:rsidR="00531800" w:rsidRPr="00F96C61">
        <w:t xml:space="preserve"> to </w:t>
      </w:r>
      <w:r w:rsidR="00A627FD" w:rsidRPr="00335CDA">
        <w:t>allocate any Call Center related costs to the SSO</w:t>
      </w:r>
      <w:r w:rsidR="00604BC0" w:rsidRPr="00335CDA">
        <w:t xml:space="preserve"> despite </w:t>
      </w:r>
      <w:r w:rsidR="00821192" w:rsidRPr="00335CDA">
        <w:t>using</w:t>
      </w:r>
      <w:r w:rsidR="00821192">
        <w:t xml:space="preserve"> it as a vehicle to </w:t>
      </w:r>
      <w:r w:rsidR="007B4F83">
        <w:t xml:space="preserve">explicitly promote its competitive retail electric service </w:t>
      </w:r>
      <w:r w:rsidR="006E69EA">
        <w:t>to shopping customers.</w:t>
      </w:r>
      <w:r w:rsidR="003405BB">
        <w:t xml:space="preserve"> </w:t>
      </w:r>
    </w:p>
  </w:footnote>
  <w:footnote w:id="26">
    <w:p w14:paraId="7BD2CA86" w14:textId="33C8A4F5" w:rsidR="00376BF8" w:rsidRDefault="00376BF8">
      <w:pPr>
        <w:pStyle w:val="FootnoteText"/>
      </w:pPr>
      <w:r>
        <w:rPr>
          <w:rStyle w:val="FootnoteReference"/>
        </w:rPr>
        <w:footnoteRef/>
      </w:r>
      <w:r>
        <w:t xml:space="preserve"> </w:t>
      </w:r>
      <w:r w:rsidR="002B3793" w:rsidRPr="00AD2318">
        <w:rPr>
          <w:i/>
        </w:rPr>
        <w:t>See</w:t>
      </w:r>
      <w:r w:rsidR="002B3793" w:rsidRPr="002B3793">
        <w:t xml:space="preserve"> Staff Report at 15. Although the Staff Report recommends that AEP Ohio </w:t>
      </w:r>
      <w:r w:rsidR="00F03E77">
        <w:t xml:space="preserve">should </w:t>
      </w:r>
      <w:r w:rsidR="002B3793" w:rsidRPr="002B3793">
        <w:t>not collect a Cash Working Capital expense, this recommendation does not change the fact that AEP Ohio does in fact incur a capital cost to pay auction suppliers. By failing to allocate a cash working capital requirement to the SSO rate, AEP Ohio thereby subsidizes this cost through revenue collected through distribution rates.</w:t>
      </w:r>
    </w:p>
  </w:footnote>
  <w:footnote w:id="27">
    <w:p w14:paraId="33C3982A" w14:textId="77777777" w:rsidR="008923FE" w:rsidRDefault="00CB1544" w:rsidP="008923FE">
      <w:pPr>
        <w:pStyle w:val="FootnoteText"/>
      </w:pPr>
      <w:r w:rsidRPr="007A7223">
        <w:rPr>
          <w:rStyle w:val="FootnoteReference"/>
        </w:rPr>
        <w:footnoteRef/>
      </w:r>
      <w:r w:rsidRPr="007A7223">
        <w:t xml:space="preserve"> </w:t>
      </w:r>
      <w:r w:rsidR="00B8521F" w:rsidRPr="00AD2318">
        <w:rPr>
          <w:i/>
        </w:rPr>
        <w:t>See</w:t>
      </w:r>
      <w:r w:rsidR="00B8521F">
        <w:t xml:space="preserve"> ESP IV</w:t>
      </w:r>
      <w:r w:rsidR="0079136E">
        <w:t xml:space="preserve">, </w:t>
      </w:r>
      <w:r w:rsidR="00B8521F">
        <w:t>Joint Stipulation and Recommendation (Aug. 25, 2017) at 36</w:t>
      </w:r>
      <w:r w:rsidR="001D06D4">
        <w:t>.</w:t>
      </w:r>
      <w:r w:rsidR="001E450C">
        <w:t xml:space="preserve"> </w:t>
      </w:r>
      <w:r w:rsidR="008923FE">
        <w:t>The approved Stipulation states:</w:t>
      </w:r>
    </w:p>
    <w:p w14:paraId="68BEA553" w14:textId="27E61F21" w:rsidR="00CB1544" w:rsidRPr="007A7223" w:rsidRDefault="008923FE" w:rsidP="00CB1544">
      <w:pPr>
        <w:pStyle w:val="FootnoteText"/>
      </w:pPr>
      <w:r>
        <w:t>Following approval of new rates in the next AIR case, the Bad Debt Rider will also be used going forward to recover the difference between the Company's actual bad debt costs and the level reflected in base rates. AEP Ohio agrees to propose in the rate case that recovery of bad debt associated with default service generation receivables should be collected through a bypassable portion of the rider.</w:t>
      </w:r>
      <w:r w:rsidR="00B73402" w:rsidRPr="00B73402">
        <w:t xml:space="preserve"> </w:t>
      </w:r>
      <w:r w:rsidR="00B73402" w:rsidRPr="007A7223">
        <w:t>ESP IV Stipulation at 36</w:t>
      </w:r>
      <w:r w:rsidR="00B73402">
        <w:t xml:space="preserve">; ESP IV Order </w:t>
      </w:r>
      <w:r w:rsidR="00B73402" w:rsidRPr="0071068B">
        <w:t xml:space="preserve">at </w:t>
      </w:r>
      <w:r w:rsidR="00B73402">
        <w:t>45-46.</w:t>
      </w:r>
    </w:p>
  </w:footnote>
  <w:footnote w:id="28">
    <w:p w14:paraId="24C40A7E" w14:textId="512A2702" w:rsidR="00EF1A41" w:rsidRDefault="00EF1A41" w:rsidP="00EF1A41">
      <w:pPr>
        <w:pStyle w:val="FootnoteText"/>
      </w:pPr>
      <w:r>
        <w:rPr>
          <w:rStyle w:val="FootnoteReference"/>
        </w:rPr>
        <w:footnoteRef/>
      </w:r>
      <w:r>
        <w:t xml:space="preserve"> </w:t>
      </w:r>
      <w:r w:rsidR="001A4B24" w:rsidRPr="00C721AE">
        <w:rPr>
          <w:i/>
        </w:rPr>
        <w:t>See</w:t>
      </w:r>
      <w:r w:rsidR="001A4B24">
        <w:t xml:space="preserve"> </w:t>
      </w:r>
      <w:r>
        <w:t>Staff Report at 31.</w:t>
      </w:r>
    </w:p>
  </w:footnote>
  <w:footnote w:id="29">
    <w:p w14:paraId="4EE7B878" w14:textId="089F1945" w:rsidR="00E52184" w:rsidRDefault="00E52184">
      <w:pPr>
        <w:pStyle w:val="FootnoteText"/>
      </w:pPr>
      <w:r>
        <w:rPr>
          <w:rStyle w:val="FootnoteReference"/>
        </w:rPr>
        <w:footnoteRef/>
      </w:r>
      <w:r>
        <w:t xml:space="preserve"> </w:t>
      </w:r>
      <w:r w:rsidRPr="00C721AE">
        <w:rPr>
          <w:rFonts w:cs="Arial"/>
        </w:rPr>
        <w:t>The duty to unbundle these costs from distribution rates is further amplified by the Commission’s decision earlier this year to grant AEP Ohio’s deferral authority request for increased uncollectible expenses due to the COVID-19 pandemic. In that proceeding, the Commission adopted IGS’ recommendation to require AEP Ohio to separately track and defer the uncollectible expenses associated with its default service generation so that such expenses could be recovered through a bypassable mechanism, if AEP Ohio is granted ultimate recovery authority</w:t>
      </w:r>
      <w:r w:rsidRPr="00944122">
        <w:rPr>
          <w:i/>
        </w:rPr>
        <w:t xml:space="preserve"> </w:t>
      </w:r>
      <w:r w:rsidRPr="00C721AE">
        <w:rPr>
          <w:rFonts w:cs="Arial"/>
        </w:rPr>
        <w:t xml:space="preserve">This demonstrates the Commission’s expectation that the commitment made in ESP IV will be enforced. </w:t>
      </w:r>
      <w:r w:rsidRPr="00944122">
        <w:rPr>
          <w:i/>
        </w:rPr>
        <w:t xml:space="preserve">In the Matter of the Application of Ohio Power Company for Approval of Its Temporary Plan for Addressing the </w:t>
      </w:r>
      <w:r w:rsidR="00780518">
        <w:rPr>
          <w:i/>
        </w:rPr>
        <w:t>COV</w:t>
      </w:r>
      <w:r w:rsidRPr="00262530">
        <w:rPr>
          <w:i/>
        </w:rPr>
        <w:t>ID-19 State of Emergency</w:t>
      </w:r>
      <w:r w:rsidRPr="00262530">
        <w:t>, Case Nos. 20-602-EL-UNC, et al., Finding and Order (May 6, 2020) at ¶ 60, 62.</w:t>
      </w:r>
    </w:p>
  </w:footnote>
  <w:footnote w:id="30">
    <w:p w14:paraId="64323A44" w14:textId="7BE89CE7" w:rsidR="00D403F3" w:rsidRDefault="00D403F3">
      <w:pPr>
        <w:pStyle w:val="FootnoteText"/>
      </w:pPr>
      <w:r>
        <w:rPr>
          <w:rStyle w:val="FootnoteReference"/>
        </w:rPr>
        <w:footnoteRef/>
      </w:r>
      <w:r>
        <w:t xml:space="preserve"> </w:t>
      </w:r>
      <w:r w:rsidR="00300B66">
        <w:t>Application, Testimony of , at 11-12, Ex. DMR-1.</w:t>
      </w:r>
    </w:p>
  </w:footnote>
  <w:footnote w:id="31">
    <w:p w14:paraId="28C11A41" w14:textId="6020CAD3" w:rsidR="003444B6" w:rsidRDefault="003444B6">
      <w:pPr>
        <w:pStyle w:val="FootnoteText"/>
      </w:pPr>
      <w:r>
        <w:rPr>
          <w:rStyle w:val="FootnoteReference"/>
        </w:rPr>
        <w:footnoteRef/>
      </w:r>
      <w:r>
        <w:t xml:space="preserve"> </w:t>
      </w:r>
      <w:r w:rsidR="006A32C1" w:rsidRPr="00C721AE">
        <w:rPr>
          <w:i/>
        </w:rPr>
        <w:t>Id.</w:t>
      </w:r>
    </w:p>
  </w:footnote>
  <w:footnote w:id="32">
    <w:p w14:paraId="2686262F" w14:textId="30036732" w:rsidR="003E0BC5" w:rsidRDefault="003E0BC5">
      <w:pPr>
        <w:pStyle w:val="FootnoteText"/>
      </w:pPr>
      <w:r>
        <w:rPr>
          <w:rStyle w:val="FootnoteReference"/>
        </w:rPr>
        <w:footnoteRef/>
      </w:r>
      <w:r>
        <w:t xml:space="preserve"> </w:t>
      </w:r>
      <w:r w:rsidR="00763A43">
        <w:rPr>
          <w:rFonts w:cs="Arial"/>
          <w:szCs w:val="24"/>
        </w:rPr>
        <w:t>Staff Report at 31.</w:t>
      </w:r>
    </w:p>
  </w:footnote>
  <w:footnote w:id="33">
    <w:p w14:paraId="1B85028B" w14:textId="7108F12B" w:rsidR="00DD3F30" w:rsidRDefault="00DD3F30">
      <w:pPr>
        <w:pStyle w:val="FootnoteText"/>
      </w:pPr>
      <w:r>
        <w:rPr>
          <w:rStyle w:val="FootnoteReference"/>
        </w:rPr>
        <w:footnoteRef/>
      </w:r>
      <w:r>
        <w:t xml:space="preserve"> “[A]</w:t>
      </w:r>
      <w:r w:rsidRPr="00DD3F30">
        <w:t xml:space="preserve">n electric distribution utility shall provide consumers, on a comparable and nondiscriminatory basis within its certified territory, </w:t>
      </w:r>
      <w:r w:rsidRPr="00C721AE">
        <w:rPr>
          <w:b/>
          <w:i/>
        </w:rPr>
        <w:t>a standard service offer of all competitive retail electric services</w:t>
      </w:r>
      <w:r w:rsidRPr="00DD3F30">
        <w:t xml:space="preserve"> necessary to maintain essential electric service to consumers, including a firm supply of electric generation service.</w:t>
      </w:r>
      <w:r>
        <w:t>”</w:t>
      </w:r>
      <w:r w:rsidR="008A0964">
        <w:t xml:space="preserve"> R.C. 4928.141(A) (emphasis added).</w:t>
      </w:r>
    </w:p>
  </w:footnote>
  <w:footnote w:id="34">
    <w:p w14:paraId="3B6449AF" w14:textId="2C9C6ABC" w:rsidR="00067ABE" w:rsidRDefault="00067ABE">
      <w:pPr>
        <w:pStyle w:val="FootnoteText"/>
      </w:pPr>
      <w:r>
        <w:rPr>
          <w:rStyle w:val="FootnoteReference"/>
        </w:rPr>
        <w:footnoteRef/>
      </w:r>
      <w:r>
        <w:t xml:space="preserve"> </w:t>
      </w:r>
      <w:r w:rsidR="00F26F8F" w:rsidRPr="00B83CDA">
        <w:rPr>
          <w:rFonts w:cs="Arial"/>
        </w:rPr>
        <w:t>“</w:t>
      </w:r>
      <w:r w:rsidR="00F26F8F">
        <w:rPr>
          <w:rFonts w:cs="Arial"/>
        </w:rPr>
        <w:t>[A]</w:t>
      </w:r>
      <w:r w:rsidR="00F26F8F" w:rsidRPr="00B83CDA">
        <w:rPr>
          <w:rFonts w:cs="Arial"/>
        </w:rPr>
        <w:t xml:space="preserve"> competitive retail electric service supplied by an electric utility or electric services company shall not be subject to supervision and regulation . . . by the public utilities commission under Chapters 4901. to 4909., 4933., 4935., and 4963.” R.C. 4928.05(A)(1).</w:t>
      </w:r>
    </w:p>
  </w:footnote>
  <w:footnote w:id="35">
    <w:p w14:paraId="44D32834" w14:textId="5248EB88" w:rsidR="006709EF" w:rsidRDefault="006709EF">
      <w:pPr>
        <w:pStyle w:val="FootnoteText"/>
      </w:pPr>
      <w:r>
        <w:rPr>
          <w:rStyle w:val="FootnoteReference"/>
        </w:rPr>
        <w:footnoteRef/>
      </w:r>
      <w:r>
        <w:t xml:space="preserve"> </w:t>
      </w:r>
      <w:r w:rsidRPr="00C721AE">
        <w:rPr>
          <w:i/>
        </w:rPr>
        <w:t>See</w:t>
      </w:r>
      <w:r>
        <w:t xml:space="preserve"> R.C. 4928.15(A).</w:t>
      </w:r>
    </w:p>
  </w:footnote>
  <w:footnote w:id="36">
    <w:p w14:paraId="50834034" w14:textId="0FC66832" w:rsidR="00C2494F" w:rsidRDefault="00C2494F">
      <w:pPr>
        <w:pStyle w:val="FootnoteText"/>
      </w:pPr>
      <w:r>
        <w:rPr>
          <w:rStyle w:val="FootnoteReference"/>
        </w:rPr>
        <w:footnoteRef/>
      </w:r>
      <w:r>
        <w:t xml:space="preserve"> </w:t>
      </w:r>
      <w:r w:rsidRPr="00B83CDA">
        <w:rPr>
          <w:rFonts w:cs="Arial"/>
        </w:rPr>
        <w:t>“</w:t>
      </w:r>
      <w:r>
        <w:rPr>
          <w:rFonts w:cs="Arial"/>
        </w:rPr>
        <w:t>[A]</w:t>
      </w:r>
      <w:r w:rsidRPr="00B83CDA">
        <w:rPr>
          <w:rFonts w:cs="Arial"/>
        </w:rPr>
        <w:t xml:space="preserve"> </w:t>
      </w:r>
      <w:r w:rsidRPr="00C721AE">
        <w:rPr>
          <w:rFonts w:cs="Arial"/>
          <w:b/>
        </w:rPr>
        <w:t>competitive retail electric service supplied by an electric utility</w:t>
      </w:r>
      <w:r w:rsidRPr="00B83CDA">
        <w:rPr>
          <w:rFonts w:cs="Arial"/>
        </w:rPr>
        <w:t xml:space="preserve"> or electric services company shall </w:t>
      </w:r>
      <w:r w:rsidRPr="00C721AE">
        <w:rPr>
          <w:rFonts w:cs="Arial"/>
          <w:b/>
        </w:rPr>
        <w:t>not be subject to supervision and regulation</w:t>
      </w:r>
      <w:r w:rsidRPr="00B83CDA">
        <w:rPr>
          <w:rFonts w:cs="Arial"/>
        </w:rPr>
        <w:t xml:space="preserve"> . . . by the public utilities commission </w:t>
      </w:r>
      <w:r w:rsidRPr="00C721AE">
        <w:rPr>
          <w:rFonts w:cs="Arial"/>
          <w:b/>
        </w:rPr>
        <w:t>under Chapters</w:t>
      </w:r>
      <w:r w:rsidRPr="00B83CDA">
        <w:rPr>
          <w:rFonts w:cs="Arial"/>
        </w:rPr>
        <w:t xml:space="preserve"> 4901. to </w:t>
      </w:r>
      <w:r w:rsidRPr="00C721AE">
        <w:rPr>
          <w:rFonts w:cs="Arial"/>
          <w:b/>
        </w:rPr>
        <w:t>4909.,</w:t>
      </w:r>
      <w:r w:rsidRPr="00B83CDA">
        <w:rPr>
          <w:rFonts w:cs="Arial"/>
        </w:rPr>
        <w:t xml:space="preserve"> 4933., 4935., and 4963.” R.C. 4928.05(A)(1)</w:t>
      </w:r>
      <w:r>
        <w:rPr>
          <w:rFonts w:cs="Arial"/>
        </w:rPr>
        <w:t xml:space="preserve"> (emphasis added).</w:t>
      </w:r>
    </w:p>
  </w:footnote>
  <w:footnote w:id="37">
    <w:p w14:paraId="1E395250" w14:textId="3ABF3305" w:rsidR="008E00AB" w:rsidRDefault="008E00AB">
      <w:pPr>
        <w:pStyle w:val="FootnoteText"/>
      </w:pPr>
      <w:r>
        <w:rPr>
          <w:rStyle w:val="FootnoteReference"/>
        </w:rPr>
        <w:footnoteRef/>
      </w:r>
      <w:r>
        <w:t xml:space="preserve"> Supplier Tariff at Section 32.8</w:t>
      </w:r>
      <w:r w:rsidR="005945A4">
        <w:t>(b)</w:t>
      </w:r>
      <w:r w:rsidR="0040649A">
        <w:t>.</w:t>
      </w:r>
    </w:p>
  </w:footnote>
  <w:footnote w:id="38">
    <w:p w14:paraId="6FE7FF3B" w14:textId="26F0CBBD" w:rsidR="008E00AB" w:rsidRDefault="008E00AB">
      <w:pPr>
        <w:pStyle w:val="FootnoteText"/>
      </w:pPr>
      <w:r>
        <w:rPr>
          <w:rStyle w:val="FootnoteReference"/>
        </w:rPr>
        <w:footnoteRef/>
      </w:r>
      <w:r>
        <w:t xml:space="preserve"> </w:t>
      </w:r>
      <w:r w:rsidR="0040649A" w:rsidRPr="00AD2318">
        <w:rPr>
          <w:i/>
        </w:rPr>
        <w:t>Id.</w:t>
      </w:r>
      <w:r>
        <w:t xml:space="preserve"> at 32</w:t>
      </w:r>
      <w:r w:rsidR="0040649A">
        <w:t>.22(m).</w:t>
      </w:r>
    </w:p>
  </w:footnote>
  <w:footnote w:id="39">
    <w:p w14:paraId="09208D04" w14:textId="6CF9B381" w:rsidR="005263F2" w:rsidRDefault="005263F2">
      <w:pPr>
        <w:pStyle w:val="FootnoteText"/>
      </w:pPr>
      <w:r>
        <w:rPr>
          <w:rStyle w:val="FootnoteReference"/>
        </w:rPr>
        <w:footnoteRef/>
      </w:r>
      <w:r>
        <w:t xml:space="preserve"> </w:t>
      </w:r>
      <w:r w:rsidR="0040649A" w:rsidRPr="00AD2318">
        <w:rPr>
          <w:i/>
        </w:rPr>
        <w:t>Id.</w:t>
      </w:r>
      <w:r w:rsidR="0040649A">
        <w:t xml:space="preserve"> </w:t>
      </w:r>
      <w:r w:rsidR="00570788">
        <w:t xml:space="preserve">at </w:t>
      </w:r>
      <w:r w:rsidR="00986B27">
        <w:t>32.4</w:t>
      </w:r>
      <w:r w:rsidR="000B6242">
        <w:t>.</w:t>
      </w:r>
    </w:p>
  </w:footnote>
  <w:footnote w:id="40">
    <w:p w14:paraId="2C17CCFF" w14:textId="3FDD4359" w:rsidR="00325557" w:rsidRDefault="00325557">
      <w:pPr>
        <w:pStyle w:val="FootnoteText"/>
      </w:pPr>
      <w:r>
        <w:rPr>
          <w:rStyle w:val="FootnoteReference"/>
        </w:rPr>
        <w:footnoteRef/>
      </w:r>
      <w:r>
        <w:t xml:space="preserve"> </w:t>
      </w:r>
      <w:r w:rsidR="00A3640A" w:rsidRPr="00C721AE">
        <w:rPr>
          <w:i/>
        </w:rPr>
        <w:t>Id.</w:t>
      </w:r>
      <w:r w:rsidR="008B5257">
        <w:t xml:space="preserve"> </w:t>
      </w:r>
    </w:p>
  </w:footnote>
  <w:footnote w:id="41">
    <w:p w14:paraId="4545601C" w14:textId="75549001" w:rsidR="00386F10" w:rsidRDefault="00386F10">
      <w:pPr>
        <w:pStyle w:val="FootnoteText"/>
      </w:pPr>
      <w:r>
        <w:rPr>
          <w:rStyle w:val="FootnoteReference"/>
        </w:rPr>
        <w:footnoteRef/>
      </w:r>
      <w:r>
        <w:t xml:space="preserve"> </w:t>
      </w:r>
      <w:r w:rsidRPr="008310C1">
        <w:rPr>
          <w:i/>
        </w:rPr>
        <w:t>See</w:t>
      </w:r>
      <w:r>
        <w:t xml:space="preserve"> </w:t>
      </w:r>
      <w:bookmarkStart w:id="35" w:name="_GoBack"/>
      <w:r>
        <w:t>Attach</w:t>
      </w:r>
      <w:bookmarkEnd w:id="35"/>
      <w:r>
        <w:t>ment A (</w:t>
      </w:r>
      <w:r w:rsidR="007E6B49">
        <w:t>Ohio Power Company’s Response to Interstate Gas Supply’s Discovery Request, Sixth Set, IGS-INT-06-004).</w:t>
      </w:r>
    </w:p>
  </w:footnote>
  <w:footnote w:id="42">
    <w:p w14:paraId="5C2659C1" w14:textId="1DE1F6C9" w:rsidR="007E6B49" w:rsidRDefault="007E6B49">
      <w:pPr>
        <w:pStyle w:val="FootnoteText"/>
      </w:pPr>
      <w:r>
        <w:rPr>
          <w:rStyle w:val="FootnoteReference"/>
        </w:rPr>
        <w:footnoteRef/>
      </w:r>
      <w:r>
        <w:t xml:space="preserve"> </w:t>
      </w:r>
      <w:r w:rsidRPr="008310C1">
        <w:rPr>
          <w:i/>
        </w:rPr>
        <w:t>Id.</w:t>
      </w:r>
    </w:p>
  </w:footnote>
  <w:footnote w:id="43">
    <w:p w14:paraId="2C7B1517" w14:textId="77777777" w:rsidR="009338D2" w:rsidRDefault="009338D2" w:rsidP="009338D2">
      <w:pPr>
        <w:pStyle w:val="FootnoteText"/>
      </w:pPr>
      <w:r>
        <w:rPr>
          <w:rStyle w:val="FootnoteReference"/>
        </w:rPr>
        <w:footnoteRef/>
      </w:r>
      <w:r>
        <w:t xml:space="preserve"> Staff Report at 21.</w:t>
      </w:r>
    </w:p>
  </w:footnote>
  <w:footnote w:id="44">
    <w:p w14:paraId="08E4CCD4" w14:textId="77777777" w:rsidR="009338D2" w:rsidRDefault="009338D2" w:rsidP="009338D2">
      <w:pPr>
        <w:pStyle w:val="FootnoteText"/>
      </w:pPr>
      <w:r>
        <w:rPr>
          <w:rStyle w:val="FootnoteReference"/>
        </w:rPr>
        <w:footnoteRef/>
      </w:r>
      <w:r>
        <w:t xml:space="preserve"> </w:t>
      </w:r>
      <w:r w:rsidRPr="00D12258">
        <w:rPr>
          <w:i/>
        </w:rPr>
        <w:t>Id.</w:t>
      </w:r>
      <w:r>
        <w:t xml:space="preserve"> at 20-21.</w:t>
      </w:r>
    </w:p>
  </w:footnote>
  <w:footnote w:id="45">
    <w:p w14:paraId="231AEF5D" w14:textId="76E7E4A0" w:rsidR="00BF0EF9" w:rsidRDefault="00BF0EF9">
      <w:pPr>
        <w:pStyle w:val="FootnoteText"/>
      </w:pPr>
      <w:r>
        <w:rPr>
          <w:rStyle w:val="FootnoteReference"/>
        </w:rPr>
        <w:footnoteRef/>
      </w:r>
      <w:r>
        <w:t xml:space="preserve"> </w:t>
      </w:r>
      <w:r w:rsidR="004665F2" w:rsidRPr="00AD2318">
        <w:rPr>
          <w:i/>
        </w:rPr>
        <w:t>Id.</w:t>
      </w:r>
      <w:r w:rsidR="004665F2">
        <w:t xml:space="preserve"> at 20.</w:t>
      </w:r>
    </w:p>
  </w:footnote>
  <w:footnote w:id="46">
    <w:p w14:paraId="5B6E7B09" w14:textId="711CC4CF" w:rsidR="00DB5232" w:rsidRDefault="00DB5232">
      <w:pPr>
        <w:pStyle w:val="FootnoteText"/>
      </w:pPr>
      <w:r>
        <w:rPr>
          <w:rStyle w:val="FootnoteReference"/>
        </w:rPr>
        <w:footnoteRef/>
      </w:r>
      <w:r>
        <w:t xml:space="preserve"> </w:t>
      </w:r>
      <w:r w:rsidRPr="00AD2318">
        <w:rPr>
          <w:i/>
        </w:rPr>
        <w:t>Id.</w:t>
      </w:r>
    </w:p>
  </w:footnote>
  <w:footnote w:id="47">
    <w:p w14:paraId="15D88455" w14:textId="6BAAB791" w:rsidR="004E37DA" w:rsidRDefault="004E37DA">
      <w:pPr>
        <w:pStyle w:val="FootnoteText"/>
      </w:pPr>
      <w:r>
        <w:rPr>
          <w:rStyle w:val="FootnoteReference"/>
        </w:rPr>
        <w:footnoteRef/>
      </w:r>
      <w:r>
        <w:t xml:space="preserve"> </w:t>
      </w:r>
      <w:r w:rsidR="007933A2" w:rsidRPr="00AD2318">
        <w:rPr>
          <w:i/>
        </w:rPr>
        <w:t>In the Matter of the Application of Duke Energy Ohio, Inc., for Approval of its 2021 Energy Efficiency and Demand Side Management Portfolio of Programs and Cost Recovery Mechanism</w:t>
      </w:r>
      <w:r w:rsidR="007933A2">
        <w:t>, Case Nos. 20-1013-EL-POR, et al., Entry (June 17, 2020)</w:t>
      </w:r>
      <w:r w:rsidR="007206B4">
        <w:t xml:space="preserve"> at ¶ 9.</w:t>
      </w:r>
    </w:p>
  </w:footnote>
  <w:footnote w:id="48">
    <w:p w14:paraId="2119AAB6" w14:textId="77777777" w:rsidR="0050021F" w:rsidRDefault="0050021F" w:rsidP="0050021F">
      <w:pPr>
        <w:pStyle w:val="FootnoteText"/>
      </w:pPr>
      <w:r>
        <w:rPr>
          <w:rStyle w:val="FootnoteReference"/>
        </w:rPr>
        <w:footnoteRef/>
      </w:r>
      <w:r>
        <w:t xml:space="preserve"> </w:t>
      </w:r>
      <w:r w:rsidRPr="00C657E2">
        <w:rPr>
          <w:i/>
        </w:rPr>
        <w:t>See</w:t>
      </w:r>
      <w:r>
        <w:t xml:space="preserve"> Schedule E-2.1, Part 1, at Page 2. </w:t>
      </w:r>
    </w:p>
  </w:footnote>
  <w:footnote w:id="49">
    <w:p w14:paraId="70B6DE95" w14:textId="649BDDE5" w:rsidR="0050021F" w:rsidRDefault="0050021F" w:rsidP="0050021F">
      <w:pPr>
        <w:pStyle w:val="FootnoteText"/>
      </w:pPr>
      <w:r>
        <w:rPr>
          <w:rStyle w:val="FootnoteReference"/>
        </w:rPr>
        <w:footnoteRef/>
      </w:r>
      <w:r>
        <w:t xml:space="preserve"> </w:t>
      </w:r>
      <w:r w:rsidRPr="007B0BEC">
        <w:rPr>
          <w:i/>
        </w:rPr>
        <w:t>See</w:t>
      </w:r>
      <w:r>
        <w:t xml:space="preserve"> Ex. JFW-1, Page 8 and Schedule E-2.1, Part 1, at Page 183.</w:t>
      </w:r>
      <w:r w:rsidR="009A0035">
        <w:t xml:space="preserve"> Additionally, IGS notes that the proposed DLC tariff does not state it is limited to non-shopping customers. If AEP Ohio is proposing to open the DLC Program to all customers, IGS further objects as this would be inconsistent with the Commission’s stated belief that </w:t>
      </w:r>
      <w:r w:rsidR="009A0035" w:rsidRPr="009A0035">
        <w:t xml:space="preserve">the future </w:t>
      </w:r>
      <w:r w:rsidR="009A0035">
        <w:t xml:space="preserve">of these </w:t>
      </w:r>
      <w:r w:rsidR="009A0035" w:rsidRPr="009A0035">
        <w:t xml:space="preserve">programs in </w:t>
      </w:r>
      <w:r w:rsidR="009A0035">
        <w:t>Ohio</w:t>
      </w:r>
      <w:r w:rsidR="009A0035" w:rsidRPr="009A0035">
        <w:t xml:space="preserve"> will be best served by reliance upon market-based approaches</w:t>
      </w:r>
      <w:r w:rsidR="009A0035">
        <w:t>.</w:t>
      </w:r>
      <w:r w:rsidR="009A0035" w:rsidRPr="009A0035">
        <w:t xml:space="preserve"> </w:t>
      </w:r>
      <w:r w:rsidR="009A0035" w:rsidRPr="00DA00B9">
        <w:rPr>
          <w:i/>
        </w:rPr>
        <w:t>In the Matter of the Application of the Ohio Power Company for Approval to Establish Time-of-Use Rates,</w:t>
      </w:r>
      <w:r w:rsidR="009A0035" w:rsidRPr="00DA00B9">
        <w:t xml:space="preserve"> Case No. 17-1234-EL-ATA, Staff’s Review and Recommendation (May 30, 2019) at 1; Ohio Power Company Open Access Distribution Tariffs, Schedule Cross Reference, 20</w:t>
      </w:r>
      <w:r w:rsidR="009A0035" w:rsidRPr="00DA00B9">
        <w:rPr>
          <w:vertAlign w:val="superscript"/>
        </w:rPr>
        <w:t>th</w:t>
      </w:r>
      <w:r w:rsidR="009A0035" w:rsidRPr="00DA00B9">
        <w:t xml:space="preserve"> Revised Sheet No. 101-1D</w:t>
      </w:r>
      <w:r w:rsidR="009A0035">
        <w:t xml:space="preserve"> &amp; 2D</w:t>
      </w:r>
      <w:r w:rsidR="009A0035" w:rsidRPr="00DA00B9">
        <w:t xml:space="preserve"> (Rider DLC </w:t>
      </w:r>
      <w:r w:rsidR="009A0035">
        <w:t>not included in charges and riders for Distribution Service Only column</w:t>
      </w:r>
      <w:r w:rsidR="009A0035" w:rsidRPr="00DA00B9">
        <w:t>)</w:t>
      </w:r>
      <w:r w:rsidR="009A0035">
        <w:t>, compared to Application,</w:t>
      </w:r>
      <w:r w:rsidR="009A0035" w:rsidRPr="006D484A">
        <w:t xml:space="preserve"> </w:t>
      </w:r>
      <w:r w:rsidR="009A0035">
        <w:t>Schedule E-2.1, Part 1, at Page 183.</w:t>
      </w:r>
    </w:p>
  </w:footnote>
  <w:footnote w:id="50">
    <w:p w14:paraId="0317B1DD" w14:textId="77777777" w:rsidR="00887045" w:rsidRPr="007A7223" w:rsidRDefault="00887045" w:rsidP="00887045">
      <w:pPr>
        <w:pStyle w:val="FootnoteText"/>
      </w:pPr>
      <w:r w:rsidRPr="007A7223">
        <w:rPr>
          <w:rStyle w:val="FootnoteReference"/>
        </w:rPr>
        <w:footnoteRef/>
      </w:r>
      <w:r w:rsidRPr="007A7223">
        <w:t xml:space="preserve"> Schedule E-2.1 Part 1, Page 65.</w:t>
      </w:r>
    </w:p>
  </w:footnote>
  <w:footnote w:id="51">
    <w:p w14:paraId="3F0F2641" w14:textId="77777777" w:rsidR="00887045" w:rsidRPr="007A7223" w:rsidRDefault="00887045" w:rsidP="00887045">
      <w:pPr>
        <w:pStyle w:val="FootnoteText"/>
      </w:pPr>
      <w:r w:rsidRPr="007A7223">
        <w:rPr>
          <w:rStyle w:val="FootnoteReference"/>
        </w:rPr>
        <w:footnoteRef/>
      </w:r>
      <w:r w:rsidRPr="007A7223">
        <w:t xml:space="preserve"> Schedule E-3, Page 8.</w:t>
      </w:r>
    </w:p>
  </w:footnote>
  <w:footnote w:id="52">
    <w:p w14:paraId="433B6395" w14:textId="77777777" w:rsidR="00887045" w:rsidRPr="007A7223" w:rsidRDefault="00887045" w:rsidP="00887045">
      <w:pPr>
        <w:pStyle w:val="FootnoteText"/>
      </w:pPr>
      <w:r w:rsidRPr="007A7223">
        <w:rPr>
          <w:rStyle w:val="FootnoteReference"/>
        </w:rPr>
        <w:footnoteRef/>
      </w:r>
      <w:r w:rsidRPr="007A7223">
        <w:t xml:space="preserve"> </w:t>
      </w:r>
      <w:r w:rsidRPr="007A7223">
        <w:rPr>
          <w:i/>
        </w:rPr>
        <w:t>Id.</w:t>
      </w:r>
    </w:p>
  </w:footnote>
  <w:footnote w:id="53">
    <w:p w14:paraId="58681F0C" w14:textId="77777777" w:rsidR="00887045" w:rsidRDefault="00887045" w:rsidP="00887045">
      <w:pPr>
        <w:pStyle w:val="FootnoteText"/>
      </w:pPr>
      <w:r>
        <w:rPr>
          <w:rStyle w:val="FootnoteReference"/>
        </w:rPr>
        <w:footnoteRef/>
      </w:r>
      <w:r>
        <w:t xml:space="preserve"> </w:t>
      </w:r>
      <w:r w:rsidRPr="002A50BD">
        <w:rPr>
          <w:i/>
        </w:rPr>
        <w:t>See e.g.</w:t>
      </w:r>
      <w:r>
        <w:t xml:space="preserve"> Schedule E-2.1, Part 1, Page 40 (Sections for “Consolidated Billing By a CRES Provider or its Billing Agent” and “Consolidated Billing By the Company”); Page 66 (“Customer Payment Processing and Collections for Consolidated Billing” section applies to “[w]here the Company acts as the billing agent for the CRES Provider”).</w:t>
      </w:r>
    </w:p>
  </w:footnote>
  <w:footnote w:id="54">
    <w:p w14:paraId="784E4944" w14:textId="77777777" w:rsidR="00410D48" w:rsidRDefault="00410D48" w:rsidP="00410D48">
      <w:pPr>
        <w:pStyle w:val="FootnoteText"/>
      </w:pPr>
      <w:r>
        <w:rPr>
          <w:rStyle w:val="FootnoteReference"/>
        </w:rPr>
        <w:footnoteRef/>
      </w:r>
      <w:r>
        <w:t xml:space="preserve"> </w:t>
      </w:r>
      <w:r w:rsidRPr="00A90D15">
        <w:rPr>
          <w:i/>
        </w:rPr>
        <w:t>In the Matter of the Commission’s Review of its Rules for Electrical Safety and Service Standards Contained in Chapter 4901:1-10 of the Ohio Administrative Code</w:t>
      </w:r>
      <w:r>
        <w:t>, Case No. 17-1842-EL-ORD, Finding and Order (Feb. 26, 2020) at ¶ 183-84, Att. A at 69.</w:t>
      </w:r>
      <w:r w:rsidRPr="00C15CE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93058"/>
    <w:multiLevelType w:val="hybridMultilevel"/>
    <w:tmpl w:val="5BCC2FF8"/>
    <w:lvl w:ilvl="0" w:tplc="BEFC4016">
      <w:start w:val="1"/>
      <w:numFmt w:val="upperLetter"/>
      <w:pStyle w:val="Heading2"/>
      <w:lvlText w:val="%1."/>
      <w:lvlJc w:val="left"/>
      <w:pPr>
        <w:ind w:left="108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A7CC9"/>
    <w:multiLevelType w:val="hybridMultilevel"/>
    <w:tmpl w:val="F774C8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521650"/>
    <w:multiLevelType w:val="hybridMultilevel"/>
    <w:tmpl w:val="1B90BFDE"/>
    <w:lvl w:ilvl="0" w:tplc="1AAE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E75776"/>
    <w:multiLevelType w:val="hybridMultilevel"/>
    <w:tmpl w:val="FB189444"/>
    <w:lvl w:ilvl="0" w:tplc="95A4481E">
      <w:start w:val="1"/>
      <w:numFmt w:val="upperRoman"/>
      <w:pStyle w:val="Heading1"/>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3"/>
  </w:num>
  <w:num w:numId="3">
    <w:abstractNumId w:val="3"/>
    <w:lvlOverride w:ilvl="0">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79"/>
    <w:rsid w:val="00001421"/>
    <w:rsid w:val="000035A8"/>
    <w:rsid w:val="000039C3"/>
    <w:rsid w:val="00003C7B"/>
    <w:rsid w:val="00004F92"/>
    <w:rsid w:val="00006759"/>
    <w:rsid w:val="0000678F"/>
    <w:rsid w:val="00007FDB"/>
    <w:rsid w:val="0001058C"/>
    <w:rsid w:val="00010DE6"/>
    <w:rsid w:val="000116DC"/>
    <w:rsid w:val="00012DA5"/>
    <w:rsid w:val="000134F6"/>
    <w:rsid w:val="00013FAA"/>
    <w:rsid w:val="00014270"/>
    <w:rsid w:val="000170E6"/>
    <w:rsid w:val="0002031A"/>
    <w:rsid w:val="000237F1"/>
    <w:rsid w:val="00023815"/>
    <w:rsid w:val="00023E47"/>
    <w:rsid w:val="00024367"/>
    <w:rsid w:val="000253BC"/>
    <w:rsid w:val="00025690"/>
    <w:rsid w:val="00025AEB"/>
    <w:rsid w:val="00027FDB"/>
    <w:rsid w:val="00030389"/>
    <w:rsid w:val="00030F21"/>
    <w:rsid w:val="00032751"/>
    <w:rsid w:val="00032ACB"/>
    <w:rsid w:val="00032DB7"/>
    <w:rsid w:val="000351E4"/>
    <w:rsid w:val="00035767"/>
    <w:rsid w:val="0003586E"/>
    <w:rsid w:val="00036C41"/>
    <w:rsid w:val="00037FE9"/>
    <w:rsid w:val="000409D0"/>
    <w:rsid w:val="00041E28"/>
    <w:rsid w:val="000424D5"/>
    <w:rsid w:val="00043069"/>
    <w:rsid w:val="0004518E"/>
    <w:rsid w:val="00045259"/>
    <w:rsid w:val="000452A6"/>
    <w:rsid w:val="000452D2"/>
    <w:rsid w:val="00046977"/>
    <w:rsid w:val="00053180"/>
    <w:rsid w:val="000534D0"/>
    <w:rsid w:val="00056026"/>
    <w:rsid w:val="00063077"/>
    <w:rsid w:val="00063CDB"/>
    <w:rsid w:val="00065E05"/>
    <w:rsid w:val="00066133"/>
    <w:rsid w:val="0006755F"/>
    <w:rsid w:val="00067A28"/>
    <w:rsid w:val="00067ABE"/>
    <w:rsid w:val="000731DE"/>
    <w:rsid w:val="000764B3"/>
    <w:rsid w:val="00076CE6"/>
    <w:rsid w:val="000807FF"/>
    <w:rsid w:val="00080AC1"/>
    <w:rsid w:val="00082006"/>
    <w:rsid w:val="000823D9"/>
    <w:rsid w:val="0008359F"/>
    <w:rsid w:val="000838E7"/>
    <w:rsid w:val="00083A15"/>
    <w:rsid w:val="00083CD9"/>
    <w:rsid w:val="000853E8"/>
    <w:rsid w:val="00087010"/>
    <w:rsid w:val="00087374"/>
    <w:rsid w:val="00087582"/>
    <w:rsid w:val="0009133D"/>
    <w:rsid w:val="00092A87"/>
    <w:rsid w:val="000940CD"/>
    <w:rsid w:val="00096BCF"/>
    <w:rsid w:val="00097806"/>
    <w:rsid w:val="000A0439"/>
    <w:rsid w:val="000A0D52"/>
    <w:rsid w:val="000A1195"/>
    <w:rsid w:val="000A13C2"/>
    <w:rsid w:val="000A1DDA"/>
    <w:rsid w:val="000A1EEE"/>
    <w:rsid w:val="000A1F59"/>
    <w:rsid w:val="000A2D56"/>
    <w:rsid w:val="000A3F62"/>
    <w:rsid w:val="000A5825"/>
    <w:rsid w:val="000A6179"/>
    <w:rsid w:val="000A671C"/>
    <w:rsid w:val="000A7DB7"/>
    <w:rsid w:val="000B07A0"/>
    <w:rsid w:val="000B12BF"/>
    <w:rsid w:val="000B2177"/>
    <w:rsid w:val="000B3037"/>
    <w:rsid w:val="000B3A91"/>
    <w:rsid w:val="000B46A8"/>
    <w:rsid w:val="000B5B35"/>
    <w:rsid w:val="000B6242"/>
    <w:rsid w:val="000B641C"/>
    <w:rsid w:val="000B7547"/>
    <w:rsid w:val="000C0177"/>
    <w:rsid w:val="000C16EA"/>
    <w:rsid w:val="000C212F"/>
    <w:rsid w:val="000C214A"/>
    <w:rsid w:val="000C2BD7"/>
    <w:rsid w:val="000C4A1A"/>
    <w:rsid w:val="000C62AA"/>
    <w:rsid w:val="000C7F3B"/>
    <w:rsid w:val="000D1039"/>
    <w:rsid w:val="000D21DA"/>
    <w:rsid w:val="000D252E"/>
    <w:rsid w:val="000D3889"/>
    <w:rsid w:val="000D5BBE"/>
    <w:rsid w:val="000D5DFA"/>
    <w:rsid w:val="000E242E"/>
    <w:rsid w:val="000E32ED"/>
    <w:rsid w:val="000E3814"/>
    <w:rsid w:val="000E3F80"/>
    <w:rsid w:val="000E52BC"/>
    <w:rsid w:val="000E538D"/>
    <w:rsid w:val="000E58E1"/>
    <w:rsid w:val="000E5C32"/>
    <w:rsid w:val="000E63DF"/>
    <w:rsid w:val="000F0409"/>
    <w:rsid w:val="000F1247"/>
    <w:rsid w:val="000F16EE"/>
    <w:rsid w:val="000F1E80"/>
    <w:rsid w:val="000F27E6"/>
    <w:rsid w:val="000F2AAE"/>
    <w:rsid w:val="000F317A"/>
    <w:rsid w:val="000F47DC"/>
    <w:rsid w:val="000F47E1"/>
    <w:rsid w:val="000F4861"/>
    <w:rsid w:val="000F5786"/>
    <w:rsid w:val="000F73FD"/>
    <w:rsid w:val="001020CF"/>
    <w:rsid w:val="00102219"/>
    <w:rsid w:val="0010250C"/>
    <w:rsid w:val="00102E94"/>
    <w:rsid w:val="00103017"/>
    <w:rsid w:val="00103069"/>
    <w:rsid w:val="001043EB"/>
    <w:rsid w:val="00105F93"/>
    <w:rsid w:val="001063A0"/>
    <w:rsid w:val="00106415"/>
    <w:rsid w:val="00106E38"/>
    <w:rsid w:val="001073E8"/>
    <w:rsid w:val="001074CA"/>
    <w:rsid w:val="001074FC"/>
    <w:rsid w:val="001078ED"/>
    <w:rsid w:val="00111BCA"/>
    <w:rsid w:val="00112A15"/>
    <w:rsid w:val="00112D80"/>
    <w:rsid w:val="00114014"/>
    <w:rsid w:val="0011544C"/>
    <w:rsid w:val="001154DF"/>
    <w:rsid w:val="00117F8B"/>
    <w:rsid w:val="0012009F"/>
    <w:rsid w:val="00121A7C"/>
    <w:rsid w:val="00121DE1"/>
    <w:rsid w:val="00122904"/>
    <w:rsid w:val="00122A00"/>
    <w:rsid w:val="00127298"/>
    <w:rsid w:val="00130CFF"/>
    <w:rsid w:val="001320A0"/>
    <w:rsid w:val="00134BFC"/>
    <w:rsid w:val="00135070"/>
    <w:rsid w:val="00135171"/>
    <w:rsid w:val="00135E5E"/>
    <w:rsid w:val="0013601E"/>
    <w:rsid w:val="00136EA5"/>
    <w:rsid w:val="00137B43"/>
    <w:rsid w:val="00140337"/>
    <w:rsid w:val="00141399"/>
    <w:rsid w:val="00141F6B"/>
    <w:rsid w:val="0014318B"/>
    <w:rsid w:val="0014601C"/>
    <w:rsid w:val="001472F3"/>
    <w:rsid w:val="0015030E"/>
    <w:rsid w:val="00150791"/>
    <w:rsid w:val="00150E7F"/>
    <w:rsid w:val="00151FF2"/>
    <w:rsid w:val="00154F03"/>
    <w:rsid w:val="00155A68"/>
    <w:rsid w:val="0015668A"/>
    <w:rsid w:val="0015757F"/>
    <w:rsid w:val="0015782F"/>
    <w:rsid w:val="0016025B"/>
    <w:rsid w:val="0016054A"/>
    <w:rsid w:val="00160C27"/>
    <w:rsid w:val="0016302E"/>
    <w:rsid w:val="00163520"/>
    <w:rsid w:val="001648A9"/>
    <w:rsid w:val="001649E4"/>
    <w:rsid w:val="001650EC"/>
    <w:rsid w:val="001651CD"/>
    <w:rsid w:val="00166E1E"/>
    <w:rsid w:val="0017130B"/>
    <w:rsid w:val="00173367"/>
    <w:rsid w:val="00174C58"/>
    <w:rsid w:val="00175A33"/>
    <w:rsid w:val="00176B99"/>
    <w:rsid w:val="00176D9F"/>
    <w:rsid w:val="00177017"/>
    <w:rsid w:val="001773A9"/>
    <w:rsid w:val="00181681"/>
    <w:rsid w:val="0018300D"/>
    <w:rsid w:val="001832F6"/>
    <w:rsid w:val="00183E19"/>
    <w:rsid w:val="00184368"/>
    <w:rsid w:val="00184441"/>
    <w:rsid w:val="00184841"/>
    <w:rsid w:val="0018514F"/>
    <w:rsid w:val="00186D7A"/>
    <w:rsid w:val="00187303"/>
    <w:rsid w:val="001902C6"/>
    <w:rsid w:val="00191A60"/>
    <w:rsid w:val="001930BE"/>
    <w:rsid w:val="00194890"/>
    <w:rsid w:val="001A058F"/>
    <w:rsid w:val="001A07E4"/>
    <w:rsid w:val="001A0938"/>
    <w:rsid w:val="001A0B65"/>
    <w:rsid w:val="001A112B"/>
    <w:rsid w:val="001A16D3"/>
    <w:rsid w:val="001A20EF"/>
    <w:rsid w:val="001A2828"/>
    <w:rsid w:val="001A34C3"/>
    <w:rsid w:val="001A401F"/>
    <w:rsid w:val="001A4A9F"/>
    <w:rsid w:val="001A4B24"/>
    <w:rsid w:val="001A52D1"/>
    <w:rsid w:val="001A555D"/>
    <w:rsid w:val="001A5862"/>
    <w:rsid w:val="001A6BF0"/>
    <w:rsid w:val="001A71EA"/>
    <w:rsid w:val="001A7408"/>
    <w:rsid w:val="001B1326"/>
    <w:rsid w:val="001B1C1D"/>
    <w:rsid w:val="001B3360"/>
    <w:rsid w:val="001B3C69"/>
    <w:rsid w:val="001B49E2"/>
    <w:rsid w:val="001B5530"/>
    <w:rsid w:val="001B5C42"/>
    <w:rsid w:val="001B6610"/>
    <w:rsid w:val="001B6C99"/>
    <w:rsid w:val="001C06AD"/>
    <w:rsid w:val="001C1A93"/>
    <w:rsid w:val="001C4CA5"/>
    <w:rsid w:val="001C5155"/>
    <w:rsid w:val="001C59B2"/>
    <w:rsid w:val="001C6621"/>
    <w:rsid w:val="001C735A"/>
    <w:rsid w:val="001C78D9"/>
    <w:rsid w:val="001C7B8C"/>
    <w:rsid w:val="001D06D4"/>
    <w:rsid w:val="001D0993"/>
    <w:rsid w:val="001D15EF"/>
    <w:rsid w:val="001D223E"/>
    <w:rsid w:val="001D2396"/>
    <w:rsid w:val="001D3FA4"/>
    <w:rsid w:val="001D69FF"/>
    <w:rsid w:val="001D6A28"/>
    <w:rsid w:val="001E02CD"/>
    <w:rsid w:val="001E09E6"/>
    <w:rsid w:val="001E1081"/>
    <w:rsid w:val="001E31BE"/>
    <w:rsid w:val="001E450C"/>
    <w:rsid w:val="001E4754"/>
    <w:rsid w:val="001E4B39"/>
    <w:rsid w:val="001E60F1"/>
    <w:rsid w:val="001E63E5"/>
    <w:rsid w:val="001E6A24"/>
    <w:rsid w:val="001E7D28"/>
    <w:rsid w:val="001F0DA8"/>
    <w:rsid w:val="001F2778"/>
    <w:rsid w:val="001F3D61"/>
    <w:rsid w:val="001F55E8"/>
    <w:rsid w:val="001F5DC4"/>
    <w:rsid w:val="001F6C2D"/>
    <w:rsid w:val="002002A7"/>
    <w:rsid w:val="00200B1E"/>
    <w:rsid w:val="0020104E"/>
    <w:rsid w:val="00202014"/>
    <w:rsid w:val="002020E9"/>
    <w:rsid w:val="0020363E"/>
    <w:rsid w:val="002044CB"/>
    <w:rsid w:val="0020569D"/>
    <w:rsid w:val="002059D0"/>
    <w:rsid w:val="00205DF3"/>
    <w:rsid w:val="00206C22"/>
    <w:rsid w:val="002074C6"/>
    <w:rsid w:val="00211EE2"/>
    <w:rsid w:val="00212A40"/>
    <w:rsid w:val="00214DC2"/>
    <w:rsid w:val="002160A4"/>
    <w:rsid w:val="00217B55"/>
    <w:rsid w:val="002219F9"/>
    <w:rsid w:val="002225CF"/>
    <w:rsid w:val="00222A72"/>
    <w:rsid w:val="00223C06"/>
    <w:rsid w:val="002249A3"/>
    <w:rsid w:val="002304F6"/>
    <w:rsid w:val="00231526"/>
    <w:rsid w:val="00232250"/>
    <w:rsid w:val="002328F1"/>
    <w:rsid w:val="00233453"/>
    <w:rsid w:val="0023425E"/>
    <w:rsid w:val="00234A01"/>
    <w:rsid w:val="00234F7E"/>
    <w:rsid w:val="002354AC"/>
    <w:rsid w:val="00235FD9"/>
    <w:rsid w:val="002409AE"/>
    <w:rsid w:val="00241409"/>
    <w:rsid w:val="002426DE"/>
    <w:rsid w:val="002429B9"/>
    <w:rsid w:val="00242B16"/>
    <w:rsid w:val="002431DC"/>
    <w:rsid w:val="00243550"/>
    <w:rsid w:val="00244D45"/>
    <w:rsid w:val="002452FF"/>
    <w:rsid w:val="00246731"/>
    <w:rsid w:val="002501FC"/>
    <w:rsid w:val="0025040C"/>
    <w:rsid w:val="00250A58"/>
    <w:rsid w:val="002525E5"/>
    <w:rsid w:val="00253489"/>
    <w:rsid w:val="002540B3"/>
    <w:rsid w:val="00254726"/>
    <w:rsid w:val="002560BA"/>
    <w:rsid w:val="00256E0F"/>
    <w:rsid w:val="0026017D"/>
    <w:rsid w:val="002610B5"/>
    <w:rsid w:val="002617E4"/>
    <w:rsid w:val="00262530"/>
    <w:rsid w:val="0026463A"/>
    <w:rsid w:val="00264D7E"/>
    <w:rsid w:val="00266982"/>
    <w:rsid w:val="00266D26"/>
    <w:rsid w:val="00267A92"/>
    <w:rsid w:val="00267FA8"/>
    <w:rsid w:val="00270857"/>
    <w:rsid w:val="002730F5"/>
    <w:rsid w:val="002734C8"/>
    <w:rsid w:val="00273542"/>
    <w:rsid w:val="00274A68"/>
    <w:rsid w:val="002834C6"/>
    <w:rsid w:val="00284110"/>
    <w:rsid w:val="00284828"/>
    <w:rsid w:val="002851A6"/>
    <w:rsid w:val="00286224"/>
    <w:rsid w:val="002863B2"/>
    <w:rsid w:val="00286F83"/>
    <w:rsid w:val="0029009D"/>
    <w:rsid w:val="00290CCC"/>
    <w:rsid w:val="002926B0"/>
    <w:rsid w:val="00292913"/>
    <w:rsid w:val="00292F03"/>
    <w:rsid w:val="0029413E"/>
    <w:rsid w:val="002946D0"/>
    <w:rsid w:val="00294747"/>
    <w:rsid w:val="00294F66"/>
    <w:rsid w:val="00295113"/>
    <w:rsid w:val="0029571C"/>
    <w:rsid w:val="002966D2"/>
    <w:rsid w:val="00297626"/>
    <w:rsid w:val="002A2364"/>
    <w:rsid w:val="002A3745"/>
    <w:rsid w:val="002A37BD"/>
    <w:rsid w:val="002A3867"/>
    <w:rsid w:val="002A427B"/>
    <w:rsid w:val="002A4A9A"/>
    <w:rsid w:val="002A4AD7"/>
    <w:rsid w:val="002A50F1"/>
    <w:rsid w:val="002A5D8B"/>
    <w:rsid w:val="002A5EBC"/>
    <w:rsid w:val="002A6685"/>
    <w:rsid w:val="002A6B88"/>
    <w:rsid w:val="002A6D35"/>
    <w:rsid w:val="002A7A49"/>
    <w:rsid w:val="002A7F57"/>
    <w:rsid w:val="002B00EF"/>
    <w:rsid w:val="002B0EBC"/>
    <w:rsid w:val="002B1328"/>
    <w:rsid w:val="002B1D8A"/>
    <w:rsid w:val="002B254A"/>
    <w:rsid w:val="002B267F"/>
    <w:rsid w:val="002B3034"/>
    <w:rsid w:val="002B3204"/>
    <w:rsid w:val="002B3793"/>
    <w:rsid w:val="002B4C29"/>
    <w:rsid w:val="002B66FA"/>
    <w:rsid w:val="002B6E33"/>
    <w:rsid w:val="002B73CE"/>
    <w:rsid w:val="002B7616"/>
    <w:rsid w:val="002B786C"/>
    <w:rsid w:val="002B7AB4"/>
    <w:rsid w:val="002C02B4"/>
    <w:rsid w:val="002C2DB4"/>
    <w:rsid w:val="002C2DE6"/>
    <w:rsid w:val="002C35C5"/>
    <w:rsid w:val="002C3FCE"/>
    <w:rsid w:val="002C6F43"/>
    <w:rsid w:val="002C6F76"/>
    <w:rsid w:val="002C6FA0"/>
    <w:rsid w:val="002C790C"/>
    <w:rsid w:val="002D1431"/>
    <w:rsid w:val="002D1F00"/>
    <w:rsid w:val="002D2038"/>
    <w:rsid w:val="002D2F57"/>
    <w:rsid w:val="002D58D0"/>
    <w:rsid w:val="002D635A"/>
    <w:rsid w:val="002D65E9"/>
    <w:rsid w:val="002D6964"/>
    <w:rsid w:val="002E0761"/>
    <w:rsid w:val="002E2774"/>
    <w:rsid w:val="002E3D6E"/>
    <w:rsid w:val="002E52BA"/>
    <w:rsid w:val="002E5B67"/>
    <w:rsid w:val="002E668D"/>
    <w:rsid w:val="002E67F8"/>
    <w:rsid w:val="002E6F9C"/>
    <w:rsid w:val="002F2C43"/>
    <w:rsid w:val="002F317E"/>
    <w:rsid w:val="002F33C7"/>
    <w:rsid w:val="002F35A8"/>
    <w:rsid w:val="002F4215"/>
    <w:rsid w:val="002F4308"/>
    <w:rsid w:val="002F48AF"/>
    <w:rsid w:val="002F4A36"/>
    <w:rsid w:val="002F521E"/>
    <w:rsid w:val="002F624E"/>
    <w:rsid w:val="002F6EE7"/>
    <w:rsid w:val="002F750A"/>
    <w:rsid w:val="002F75B5"/>
    <w:rsid w:val="002F7BE2"/>
    <w:rsid w:val="00300B66"/>
    <w:rsid w:val="003018E7"/>
    <w:rsid w:val="0030203A"/>
    <w:rsid w:val="003027C0"/>
    <w:rsid w:val="00302BA9"/>
    <w:rsid w:val="00302DA7"/>
    <w:rsid w:val="0030699D"/>
    <w:rsid w:val="0030727E"/>
    <w:rsid w:val="00307C0A"/>
    <w:rsid w:val="00307D1F"/>
    <w:rsid w:val="003100D3"/>
    <w:rsid w:val="00310332"/>
    <w:rsid w:val="00310D29"/>
    <w:rsid w:val="00313A31"/>
    <w:rsid w:val="00313C20"/>
    <w:rsid w:val="003145BD"/>
    <w:rsid w:val="00320F04"/>
    <w:rsid w:val="003210BF"/>
    <w:rsid w:val="003220B0"/>
    <w:rsid w:val="00323A17"/>
    <w:rsid w:val="00323CA6"/>
    <w:rsid w:val="00323E75"/>
    <w:rsid w:val="00324CAC"/>
    <w:rsid w:val="003252D9"/>
    <w:rsid w:val="00325544"/>
    <w:rsid w:val="00325557"/>
    <w:rsid w:val="003256FF"/>
    <w:rsid w:val="00326488"/>
    <w:rsid w:val="00326606"/>
    <w:rsid w:val="00326D77"/>
    <w:rsid w:val="0033001F"/>
    <w:rsid w:val="003311CB"/>
    <w:rsid w:val="0033348B"/>
    <w:rsid w:val="00334E95"/>
    <w:rsid w:val="00335728"/>
    <w:rsid w:val="0033575C"/>
    <w:rsid w:val="003359A7"/>
    <w:rsid w:val="00335CDA"/>
    <w:rsid w:val="00335E91"/>
    <w:rsid w:val="003364A5"/>
    <w:rsid w:val="00336E95"/>
    <w:rsid w:val="00337C9D"/>
    <w:rsid w:val="003405BB"/>
    <w:rsid w:val="003410C8"/>
    <w:rsid w:val="00343F10"/>
    <w:rsid w:val="00343F56"/>
    <w:rsid w:val="003444B6"/>
    <w:rsid w:val="003447A2"/>
    <w:rsid w:val="00345539"/>
    <w:rsid w:val="00345E4E"/>
    <w:rsid w:val="003463AF"/>
    <w:rsid w:val="0034731E"/>
    <w:rsid w:val="00350BC9"/>
    <w:rsid w:val="003516A7"/>
    <w:rsid w:val="003517BF"/>
    <w:rsid w:val="00351BD5"/>
    <w:rsid w:val="003528D6"/>
    <w:rsid w:val="003532F0"/>
    <w:rsid w:val="00353A36"/>
    <w:rsid w:val="00354A16"/>
    <w:rsid w:val="00354DD0"/>
    <w:rsid w:val="00354ED3"/>
    <w:rsid w:val="003563B4"/>
    <w:rsid w:val="003566FE"/>
    <w:rsid w:val="003573BD"/>
    <w:rsid w:val="003578B3"/>
    <w:rsid w:val="00357983"/>
    <w:rsid w:val="00360547"/>
    <w:rsid w:val="003620C4"/>
    <w:rsid w:val="0036224F"/>
    <w:rsid w:val="00362D55"/>
    <w:rsid w:val="0036327A"/>
    <w:rsid w:val="00363B32"/>
    <w:rsid w:val="00364051"/>
    <w:rsid w:val="00365C69"/>
    <w:rsid w:val="00365FFF"/>
    <w:rsid w:val="00366D2F"/>
    <w:rsid w:val="00367B85"/>
    <w:rsid w:val="003714CE"/>
    <w:rsid w:val="003718CA"/>
    <w:rsid w:val="00371BBA"/>
    <w:rsid w:val="00372D34"/>
    <w:rsid w:val="00373016"/>
    <w:rsid w:val="003740AB"/>
    <w:rsid w:val="0037444D"/>
    <w:rsid w:val="00376BF8"/>
    <w:rsid w:val="00376D80"/>
    <w:rsid w:val="0037795E"/>
    <w:rsid w:val="00380DCD"/>
    <w:rsid w:val="00380E58"/>
    <w:rsid w:val="003820F4"/>
    <w:rsid w:val="003837AD"/>
    <w:rsid w:val="0038651F"/>
    <w:rsid w:val="003866CB"/>
    <w:rsid w:val="00386F10"/>
    <w:rsid w:val="0039073A"/>
    <w:rsid w:val="0039073D"/>
    <w:rsid w:val="003909FE"/>
    <w:rsid w:val="003938D7"/>
    <w:rsid w:val="00394DEF"/>
    <w:rsid w:val="0039585A"/>
    <w:rsid w:val="00395A42"/>
    <w:rsid w:val="00397BB9"/>
    <w:rsid w:val="003A37A2"/>
    <w:rsid w:val="003A37E1"/>
    <w:rsid w:val="003A3B3F"/>
    <w:rsid w:val="003A4A39"/>
    <w:rsid w:val="003A7AC4"/>
    <w:rsid w:val="003B0439"/>
    <w:rsid w:val="003B0DAB"/>
    <w:rsid w:val="003B2912"/>
    <w:rsid w:val="003B31F1"/>
    <w:rsid w:val="003B3E3A"/>
    <w:rsid w:val="003B3E96"/>
    <w:rsid w:val="003B54D8"/>
    <w:rsid w:val="003B55A0"/>
    <w:rsid w:val="003B5C38"/>
    <w:rsid w:val="003B5E44"/>
    <w:rsid w:val="003B634F"/>
    <w:rsid w:val="003B729C"/>
    <w:rsid w:val="003B7713"/>
    <w:rsid w:val="003C066E"/>
    <w:rsid w:val="003C2486"/>
    <w:rsid w:val="003C3F7E"/>
    <w:rsid w:val="003C4361"/>
    <w:rsid w:val="003C50D0"/>
    <w:rsid w:val="003C51AB"/>
    <w:rsid w:val="003C5FCA"/>
    <w:rsid w:val="003D0939"/>
    <w:rsid w:val="003D2291"/>
    <w:rsid w:val="003D23C9"/>
    <w:rsid w:val="003D293E"/>
    <w:rsid w:val="003D299D"/>
    <w:rsid w:val="003D32F8"/>
    <w:rsid w:val="003D33D8"/>
    <w:rsid w:val="003D343B"/>
    <w:rsid w:val="003D4B56"/>
    <w:rsid w:val="003D608A"/>
    <w:rsid w:val="003D7301"/>
    <w:rsid w:val="003D76B4"/>
    <w:rsid w:val="003E045B"/>
    <w:rsid w:val="003E0BC5"/>
    <w:rsid w:val="003E2892"/>
    <w:rsid w:val="003E3612"/>
    <w:rsid w:val="003E38CC"/>
    <w:rsid w:val="003E46A4"/>
    <w:rsid w:val="003E547D"/>
    <w:rsid w:val="003E671B"/>
    <w:rsid w:val="003E7B54"/>
    <w:rsid w:val="003F0B84"/>
    <w:rsid w:val="003F2FF3"/>
    <w:rsid w:val="003F3868"/>
    <w:rsid w:val="003F4C43"/>
    <w:rsid w:val="00400168"/>
    <w:rsid w:val="0040034A"/>
    <w:rsid w:val="004034F3"/>
    <w:rsid w:val="0040384A"/>
    <w:rsid w:val="00404831"/>
    <w:rsid w:val="004055D8"/>
    <w:rsid w:val="00405FB7"/>
    <w:rsid w:val="0040649A"/>
    <w:rsid w:val="00406C67"/>
    <w:rsid w:val="00407EAE"/>
    <w:rsid w:val="00410D48"/>
    <w:rsid w:val="00411FBB"/>
    <w:rsid w:val="00413FF4"/>
    <w:rsid w:val="00414972"/>
    <w:rsid w:val="00416279"/>
    <w:rsid w:val="0041737D"/>
    <w:rsid w:val="00420CEE"/>
    <w:rsid w:val="004223FD"/>
    <w:rsid w:val="00422845"/>
    <w:rsid w:val="00423347"/>
    <w:rsid w:val="004233C5"/>
    <w:rsid w:val="00425381"/>
    <w:rsid w:val="0042645B"/>
    <w:rsid w:val="00426CDE"/>
    <w:rsid w:val="004308D6"/>
    <w:rsid w:val="0043146C"/>
    <w:rsid w:val="00431B93"/>
    <w:rsid w:val="00432F26"/>
    <w:rsid w:val="004341F1"/>
    <w:rsid w:val="004342BA"/>
    <w:rsid w:val="004359B9"/>
    <w:rsid w:val="00435FFD"/>
    <w:rsid w:val="00440FEC"/>
    <w:rsid w:val="00441427"/>
    <w:rsid w:val="0044197E"/>
    <w:rsid w:val="0044223A"/>
    <w:rsid w:val="0044340C"/>
    <w:rsid w:val="004437BC"/>
    <w:rsid w:val="00443BB5"/>
    <w:rsid w:val="00444CD2"/>
    <w:rsid w:val="0044631E"/>
    <w:rsid w:val="004471AF"/>
    <w:rsid w:val="00447455"/>
    <w:rsid w:val="00447950"/>
    <w:rsid w:val="00452390"/>
    <w:rsid w:val="004536EC"/>
    <w:rsid w:val="00461EA3"/>
    <w:rsid w:val="004621EF"/>
    <w:rsid w:val="0046476A"/>
    <w:rsid w:val="0046487D"/>
    <w:rsid w:val="004663F5"/>
    <w:rsid w:val="004665F2"/>
    <w:rsid w:val="00470360"/>
    <w:rsid w:val="00470C27"/>
    <w:rsid w:val="00471AB9"/>
    <w:rsid w:val="00471B64"/>
    <w:rsid w:val="00472653"/>
    <w:rsid w:val="0047706E"/>
    <w:rsid w:val="004802A4"/>
    <w:rsid w:val="00480498"/>
    <w:rsid w:val="00481772"/>
    <w:rsid w:val="0048225C"/>
    <w:rsid w:val="004827E4"/>
    <w:rsid w:val="00483E60"/>
    <w:rsid w:val="00485B90"/>
    <w:rsid w:val="00487244"/>
    <w:rsid w:val="00487B2B"/>
    <w:rsid w:val="00487D53"/>
    <w:rsid w:val="0049076B"/>
    <w:rsid w:val="00490F01"/>
    <w:rsid w:val="00491D7A"/>
    <w:rsid w:val="00493227"/>
    <w:rsid w:val="00493717"/>
    <w:rsid w:val="00493989"/>
    <w:rsid w:val="00494C40"/>
    <w:rsid w:val="00495F9A"/>
    <w:rsid w:val="0049669C"/>
    <w:rsid w:val="00496883"/>
    <w:rsid w:val="004A051B"/>
    <w:rsid w:val="004A1F18"/>
    <w:rsid w:val="004A2004"/>
    <w:rsid w:val="004A3BCB"/>
    <w:rsid w:val="004A4092"/>
    <w:rsid w:val="004A447D"/>
    <w:rsid w:val="004A4CCC"/>
    <w:rsid w:val="004A5214"/>
    <w:rsid w:val="004A52C0"/>
    <w:rsid w:val="004A54EC"/>
    <w:rsid w:val="004A6B63"/>
    <w:rsid w:val="004A7C5E"/>
    <w:rsid w:val="004A7F0D"/>
    <w:rsid w:val="004B07EC"/>
    <w:rsid w:val="004B1029"/>
    <w:rsid w:val="004B12DB"/>
    <w:rsid w:val="004B1F09"/>
    <w:rsid w:val="004B236B"/>
    <w:rsid w:val="004B34F8"/>
    <w:rsid w:val="004B4269"/>
    <w:rsid w:val="004B5A16"/>
    <w:rsid w:val="004B5DD1"/>
    <w:rsid w:val="004B6A4F"/>
    <w:rsid w:val="004C0916"/>
    <w:rsid w:val="004C0EDF"/>
    <w:rsid w:val="004C14F0"/>
    <w:rsid w:val="004C1F84"/>
    <w:rsid w:val="004C5034"/>
    <w:rsid w:val="004C5E54"/>
    <w:rsid w:val="004C6395"/>
    <w:rsid w:val="004C6D7C"/>
    <w:rsid w:val="004C701C"/>
    <w:rsid w:val="004D034C"/>
    <w:rsid w:val="004D16B5"/>
    <w:rsid w:val="004D255D"/>
    <w:rsid w:val="004D2C28"/>
    <w:rsid w:val="004D356C"/>
    <w:rsid w:val="004D4480"/>
    <w:rsid w:val="004D526A"/>
    <w:rsid w:val="004D6EB2"/>
    <w:rsid w:val="004D7193"/>
    <w:rsid w:val="004D797C"/>
    <w:rsid w:val="004D7ED1"/>
    <w:rsid w:val="004E0CB0"/>
    <w:rsid w:val="004E0F08"/>
    <w:rsid w:val="004E2024"/>
    <w:rsid w:val="004E21FD"/>
    <w:rsid w:val="004E37DA"/>
    <w:rsid w:val="004E37F2"/>
    <w:rsid w:val="004E3C37"/>
    <w:rsid w:val="004E4854"/>
    <w:rsid w:val="004E61AD"/>
    <w:rsid w:val="004E6370"/>
    <w:rsid w:val="004E6EFC"/>
    <w:rsid w:val="004E7455"/>
    <w:rsid w:val="004F0DD7"/>
    <w:rsid w:val="004F1607"/>
    <w:rsid w:val="004F1AC2"/>
    <w:rsid w:val="004F25C1"/>
    <w:rsid w:val="004F3AA5"/>
    <w:rsid w:val="004F3BBF"/>
    <w:rsid w:val="004F43A1"/>
    <w:rsid w:val="004F4D67"/>
    <w:rsid w:val="004F5A14"/>
    <w:rsid w:val="0050021F"/>
    <w:rsid w:val="005009B6"/>
    <w:rsid w:val="00504FA6"/>
    <w:rsid w:val="005050C1"/>
    <w:rsid w:val="005055E6"/>
    <w:rsid w:val="005060D5"/>
    <w:rsid w:val="00506853"/>
    <w:rsid w:val="00507D9C"/>
    <w:rsid w:val="00510066"/>
    <w:rsid w:val="00510CE0"/>
    <w:rsid w:val="00512FB8"/>
    <w:rsid w:val="005136F9"/>
    <w:rsid w:val="00515286"/>
    <w:rsid w:val="005178B1"/>
    <w:rsid w:val="005206A2"/>
    <w:rsid w:val="005236CE"/>
    <w:rsid w:val="005242A5"/>
    <w:rsid w:val="005263F2"/>
    <w:rsid w:val="00526A90"/>
    <w:rsid w:val="00526CF4"/>
    <w:rsid w:val="00531800"/>
    <w:rsid w:val="00532116"/>
    <w:rsid w:val="0053454D"/>
    <w:rsid w:val="00535DD4"/>
    <w:rsid w:val="00535ECA"/>
    <w:rsid w:val="00536D31"/>
    <w:rsid w:val="00540B18"/>
    <w:rsid w:val="00541816"/>
    <w:rsid w:val="00543B8A"/>
    <w:rsid w:val="0054415E"/>
    <w:rsid w:val="00544FE4"/>
    <w:rsid w:val="00545C08"/>
    <w:rsid w:val="00545C60"/>
    <w:rsid w:val="00546AD4"/>
    <w:rsid w:val="0055155B"/>
    <w:rsid w:val="0055256D"/>
    <w:rsid w:val="005550DE"/>
    <w:rsid w:val="005563C9"/>
    <w:rsid w:val="005573F3"/>
    <w:rsid w:val="00561F0E"/>
    <w:rsid w:val="00563588"/>
    <w:rsid w:val="00565D5A"/>
    <w:rsid w:val="0056786B"/>
    <w:rsid w:val="00570788"/>
    <w:rsid w:val="00570BAA"/>
    <w:rsid w:val="0057125D"/>
    <w:rsid w:val="00572A18"/>
    <w:rsid w:val="00573A21"/>
    <w:rsid w:val="00573F59"/>
    <w:rsid w:val="00574C0C"/>
    <w:rsid w:val="00574F92"/>
    <w:rsid w:val="00576B46"/>
    <w:rsid w:val="005773F8"/>
    <w:rsid w:val="0057751A"/>
    <w:rsid w:val="005807CF"/>
    <w:rsid w:val="00580FAF"/>
    <w:rsid w:val="00581644"/>
    <w:rsid w:val="00582674"/>
    <w:rsid w:val="005844B5"/>
    <w:rsid w:val="005856A0"/>
    <w:rsid w:val="00585CCA"/>
    <w:rsid w:val="00585DC6"/>
    <w:rsid w:val="00586D99"/>
    <w:rsid w:val="005873AB"/>
    <w:rsid w:val="00591F26"/>
    <w:rsid w:val="00592683"/>
    <w:rsid w:val="005945A4"/>
    <w:rsid w:val="005948CD"/>
    <w:rsid w:val="00594AC4"/>
    <w:rsid w:val="00595CA4"/>
    <w:rsid w:val="005970F1"/>
    <w:rsid w:val="0059718A"/>
    <w:rsid w:val="005978D5"/>
    <w:rsid w:val="005A17F7"/>
    <w:rsid w:val="005A1B41"/>
    <w:rsid w:val="005A2308"/>
    <w:rsid w:val="005A2A90"/>
    <w:rsid w:val="005A36B3"/>
    <w:rsid w:val="005A413F"/>
    <w:rsid w:val="005B42D7"/>
    <w:rsid w:val="005C09FE"/>
    <w:rsid w:val="005C1615"/>
    <w:rsid w:val="005C1DE3"/>
    <w:rsid w:val="005C2813"/>
    <w:rsid w:val="005C4148"/>
    <w:rsid w:val="005C68CE"/>
    <w:rsid w:val="005C730A"/>
    <w:rsid w:val="005C73E4"/>
    <w:rsid w:val="005D17EB"/>
    <w:rsid w:val="005D21BF"/>
    <w:rsid w:val="005D21FB"/>
    <w:rsid w:val="005D28A1"/>
    <w:rsid w:val="005D3617"/>
    <w:rsid w:val="005D3EEB"/>
    <w:rsid w:val="005D43C6"/>
    <w:rsid w:val="005D7C2E"/>
    <w:rsid w:val="005E0F2D"/>
    <w:rsid w:val="005E48C1"/>
    <w:rsid w:val="005E4C3C"/>
    <w:rsid w:val="005E521C"/>
    <w:rsid w:val="005E5406"/>
    <w:rsid w:val="005E668D"/>
    <w:rsid w:val="005F1B37"/>
    <w:rsid w:val="005F269A"/>
    <w:rsid w:val="005F2A69"/>
    <w:rsid w:val="005F2D7D"/>
    <w:rsid w:val="005F43E0"/>
    <w:rsid w:val="005F49A7"/>
    <w:rsid w:val="005F67F6"/>
    <w:rsid w:val="005F6961"/>
    <w:rsid w:val="005F72C3"/>
    <w:rsid w:val="0060168F"/>
    <w:rsid w:val="00601EE3"/>
    <w:rsid w:val="00602130"/>
    <w:rsid w:val="0060291B"/>
    <w:rsid w:val="00603B9B"/>
    <w:rsid w:val="0060427C"/>
    <w:rsid w:val="0060468C"/>
    <w:rsid w:val="00604BC0"/>
    <w:rsid w:val="00605A65"/>
    <w:rsid w:val="00607977"/>
    <w:rsid w:val="00607F71"/>
    <w:rsid w:val="006116CD"/>
    <w:rsid w:val="00611EEE"/>
    <w:rsid w:val="00613DFD"/>
    <w:rsid w:val="006152DA"/>
    <w:rsid w:val="00616B70"/>
    <w:rsid w:val="006221B1"/>
    <w:rsid w:val="00622D98"/>
    <w:rsid w:val="00623665"/>
    <w:rsid w:val="00624BDC"/>
    <w:rsid w:val="006258F4"/>
    <w:rsid w:val="006260E8"/>
    <w:rsid w:val="00626682"/>
    <w:rsid w:val="0062773E"/>
    <w:rsid w:val="006309CB"/>
    <w:rsid w:val="00630EF7"/>
    <w:rsid w:val="006317CE"/>
    <w:rsid w:val="0063309C"/>
    <w:rsid w:val="0063390C"/>
    <w:rsid w:val="00633EDF"/>
    <w:rsid w:val="00633EF5"/>
    <w:rsid w:val="00634713"/>
    <w:rsid w:val="00635E50"/>
    <w:rsid w:val="00636133"/>
    <w:rsid w:val="00636953"/>
    <w:rsid w:val="006406B1"/>
    <w:rsid w:val="006431D2"/>
    <w:rsid w:val="006434D8"/>
    <w:rsid w:val="00643CE0"/>
    <w:rsid w:val="00644817"/>
    <w:rsid w:val="00644A0A"/>
    <w:rsid w:val="00646877"/>
    <w:rsid w:val="006474D9"/>
    <w:rsid w:val="006477BF"/>
    <w:rsid w:val="00650097"/>
    <w:rsid w:val="0065099D"/>
    <w:rsid w:val="00652AF0"/>
    <w:rsid w:val="00652BA2"/>
    <w:rsid w:val="00652C3B"/>
    <w:rsid w:val="0065331E"/>
    <w:rsid w:val="0065591E"/>
    <w:rsid w:val="00656CA3"/>
    <w:rsid w:val="00657234"/>
    <w:rsid w:val="006574C6"/>
    <w:rsid w:val="006620E8"/>
    <w:rsid w:val="006624CC"/>
    <w:rsid w:val="00663D7A"/>
    <w:rsid w:val="00667094"/>
    <w:rsid w:val="00667B9E"/>
    <w:rsid w:val="006709EF"/>
    <w:rsid w:val="0067138D"/>
    <w:rsid w:val="00671CFD"/>
    <w:rsid w:val="006724D0"/>
    <w:rsid w:val="00672CBB"/>
    <w:rsid w:val="00673423"/>
    <w:rsid w:val="00673A66"/>
    <w:rsid w:val="00674B9F"/>
    <w:rsid w:val="00674F6F"/>
    <w:rsid w:val="0067669F"/>
    <w:rsid w:val="00680DF4"/>
    <w:rsid w:val="00680F38"/>
    <w:rsid w:val="0068104D"/>
    <w:rsid w:val="006823B4"/>
    <w:rsid w:val="00682493"/>
    <w:rsid w:val="006832B1"/>
    <w:rsid w:val="00683518"/>
    <w:rsid w:val="00683617"/>
    <w:rsid w:val="00684C6E"/>
    <w:rsid w:val="006871E7"/>
    <w:rsid w:val="00687834"/>
    <w:rsid w:val="00691310"/>
    <w:rsid w:val="00691E09"/>
    <w:rsid w:val="00692648"/>
    <w:rsid w:val="006929EA"/>
    <w:rsid w:val="00694716"/>
    <w:rsid w:val="0069508E"/>
    <w:rsid w:val="00695EEA"/>
    <w:rsid w:val="006A1288"/>
    <w:rsid w:val="006A258A"/>
    <w:rsid w:val="006A32C1"/>
    <w:rsid w:val="006A3A94"/>
    <w:rsid w:val="006A50EB"/>
    <w:rsid w:val="006A560C"/>
    <w:rsid w:val="006A5612"/>
    <w:rsid w:val="006A5FD4"/>
    <w:rsid w:val="006A73A5"/>
    <w:rsid w:val="006B08A3"/>
    <w:rsid w:val="006B27E8"/>
    <w:rsid w:val="006B3A57"/>
    <w:rsid w:val="006B4B1D"/>
    <w:rsid w:val="006B5355"/>
    <w:rsid w:val="006B5CD2"/>
    <w:rsid w:val="006B61E2"/>
    <w:rsid w:val="006B758E"/>
    <w:rsid w:val="006B7F69"/>
    <w:rsid w:val="006C0D28"/>
    <w:rsid w:val="006C40AB"/>
    <w:rsid w:val="006C4940"/>
    <w:rsid w:val="006C5407"/>
    <w:rsid w:val="006C64B4"/>
    <w:rsid w:val="006C6CF2"/>
    <w:rsid w:val="006C7AC9"/>
    <w:rsid w:val="006C7DAF"/>
    <w:rsid w:val="006D035B"/>
    <w:rsid w:val="006D22DE"/>
    <w:rsid w:val="006D484A"/>
    <w:rsid w:val="006D4D2E"/>
    <w:rsid w:val="006D63CA"/>
    <w:rsid w:val="006D6732"/>
    <w:rsid w:val="006D6B47"/>
    <w:rsid w:val="006D755E"/>
    <w:rsid w:val="006D7705"/>
    <w:rsid w:val="006E036E"/>
    <w:rsid w:val="006E1427"/>
    <w:rsid w:val="006E2C81"/>
    <w:rsid w:val="006E35E9"/>
    <w:rsid w:val="006E40FB"/>
    <w:rsid w:val="006E410A"/>
    <w:rsid w:val="006E51C9"/>
    <w:rsid w:val="006E5A24"/>
    <w:rsid w:val="006E5B0A"/>
    <w:rsid w:val="006E69EA"/>
    <w:rsid w:val="006E69F8"/>
    <w:rsid w:val="006E7BB6"/>
    <w:rsid w:val="006F0302"/>
    <w:rsid w:val="006F3307"/>
    <w:rsid w:val="006F38F2"/>
    <w:rsid w:val="006F3AFA"/>
    <w:rsid w:val="006F7709"/>
    <w:rsid w:val="0070001E"/>
    <w:rsid w:val="00700925"/>
    <w:rsid w:val="0070094E"/>
    <w:rsid w:val="007013D0"/>
    <w:rsid w:val="0070271F"/>
    <w:rsid w:val="00703022"/>
    <w:rsid w:val="007037BE"/>
    <w:rsid w:val="00703B16"/>
    <w:rsid w:val="00704E4B"/>
    <w:rsid w:val="00707006"/>
    <w:rsid w:val="00707E56"/>
    <w:rsid w:val="0071068B"/>
    <w:rsid w:val="007106C3"/>
    <w:rsid w:val="0071452F"/>
    <w:rsid w:val="007148DD"/>
    <w:rsid w:val="00714B24"/>
    <w:rsid w:val="0071526C"/>
    <w:rsid w:val="00716624"/>
    <w:rsid w:val="00716B98"/>
    <w:rsid w:val="00716CD0"/>
    <w:rsid w:val="007174D4"/>
    <w:rsid w:val="00717615"/>
    <w:rsid w:val="00717E4B"/>
    <w:rsid w:val="007206B4"/>
    <w:rsid w:val="00721149"/>
    <w:rsid w:val="0072245D"/>
    <w:rsid w:val="00722CD0"/>
    <w:rsid w:val="00724F8C"/>
    <w:rsid w:val="0072746D"/>
    <w:rsid w:val="007305CC"/>
    <w:rsid w:val="00730AEA"/>
    <w:rsid w:val="007325BA"/>
    <w:rsid w:val="00732CE7"/>
    <w:rsid w:val="00734369"/>
    <w:rsid w:val="00735052"/>
    <w:rsid w:val="0073535F"/>
    <w:rsid w:val="00736DBA"/>
    <w:rsid w:val="00736F77"/>
    <w:rsid w:val="007424E9"/>
    <w:rsid w:val="007447EA"/>
    <w:rsid w:val="00745950"/>
    <w:rsid w:val="007465B4"/>
    <w:rsid w:val="0074796D"/>
    <w:rsid w:val="00747DCC"/>
    <w:rsid w:val="007501F3"/>
    <w:rsid w:val="007517E6"/>
    <w:rsid w:val="0075241B"/>
    <w:rsid w:val="0075279A"/>
    <w:rsid w:val="007548A8"/>
    <w:rsid w:val="007579C2"/>
    <w:rsid w:val="00760AB0"/>
    <w:rsid w:val="007614C3"/>
    <w:rsid w:val="00761668"/>
    <w:rsid w:val="00761956"/>
    <w:rsid w:val="007619C1"/>
    <w:rsid w:val="00762448"/>
    <w:rsid w:val="00763A43"/>
    <w:rsid w:val="00763C5C"/>
    <w:rsid w:val="00763F6D"/>
    <w:rsid w:val="00765A23"/>
    <w:rsid w:val="00766313"/>
    <w:rsid w:val="00766A24"/>
    <w:rsid w:val="00766B07"/>
    <w:rsid w:val="00766C6D"/>
    <w:rsid w:val="007713FE"/>
    <w:rsid w:val="00771CE5"/>
    <w:rsid w:val="00773B2F"/>
    <w:rsid w:val="00774287"/>
    <w:rsid w:val="007759A4"/>
    <w:rsid w:val="00775E38"/>
    <w:rsid w:val="00780518"/>
    <w:rsid w:val="00780A77"/>
    <w:rsid w:val="00780D95"/>
    <w:rsid w:val="00780DAA"/>
    <w:rsid w:val="007813B3"/>
    <w:rsid w:val="00781489"/>
    <w:rsid w:val="00781767"/>
    <w:rsid w:val="00782D9E"/>
    <w:rsid w:val="00783176"/>
    <w:rsid w:val="00783E4C"/>
    <w:rsid w:val="00786753"/>
    <w:rsid w:val="007902C9"/>
    <w:rsid w:val="00790554"/>
    <w:rsid w:val="00790BB3"/>
    <w:rsid w:val="0079136E"/>
    <w:rsid w:val="00791D71"/>
    <w:rsid w:val="007921E8"/>
    <w:rsid w:val="0079233C"/>
    <w:rsid w:val="007933A2"/>
    <w:rsid w:val="007936D7"/>
    <w:rsid w:val="0079377A"/>
    <w:rsid w:val="00794C7C"/>
    <w:rsid w:val="0079721E"/>
    <w:rsid w:val="007A07E8"/>
    <w:rsid w:val="007A27CE"/>
    <w:rsid w:val="007A36DC"/>
    <w:rsid w:val="007A3C30"/>
    <w:rsid w:val="007A3CA6"/>
    <w:rsid w:val="007A3FCD"/>
    <w:rsid w:val="007A525A"/>
    <w:rsid w:val="007A6F66"/>
    <w:rsid w:val="007B0782"/>
    <w:rsid w:val="007B0E85"/>
    <w:rsid w:val="007B395C"/>
    <w:rsid w:val="007B3F21"/>
    <w:rsid w:val="007B44B9"/>
    <w:rsid w:val="007B491E"/>
    <w:rsid w:val="007B4F83"/>
    <w:rsid w:val="007B51A6"/>
    <w:rsid w:val="007B532F"/>
    <w:rsid w:val="007B7691"/>
    <w:rsid w:val="007C02F3"/>
    <w:rsid w:val="007C051F"/>
    <w:rsid w:val="007C09D2"/>
    <w:rsid w:val="007C0E4D"/>
    <w:rsid w:val="007C31AA"/>
    <w:rsid w:val="007C49FC"/>
    <w:rsid w:val="007C791C"/>
    <w:rsid w:val="007D1418"/>
    <w:rsid w:val="007D154F"/>
    <w:rsid w:val="007D1A71"/>
    <w:rsid w:val="007D4A02"/>
    <w:rsid w:val="007D5A0B"/>
    <w:rsid w:val="007D61A7"/>
    <w:rsid w:val="007D68B3"/>
    <w:rsid w:val="007E08A6"/>
    <w:rsid w:val="007E10EA"/>
    <w:rsid w:val="007E19AB"/>
    <w:rsid w:val="007E1B4E"/>
    <w:rsid w:val="007E2504"/>
    <w:rsid w:val="007E2BCE"/>
    <w:rsid w:val="007E2C23"/>
    <w:rsid w:val="007E46CF"/>
    <w:rsid w:val="007E4D8C"/>
    <w:rsid w:val="007E5899"/>
    <w:rsid w:val="007E5940"/>
    <w:rsid w:val="007E6B49"/>
    <w:rsid w:val="007F04C6"/>
    <w:rsid w:val="007F32C6"/>
    <w:rsid w:val="007F3B76"/>
    <w:rsid w:val="007F5B4B"/>
    <w:rsid w:val="007F68A7"/>
    <w:rsid w:val="00801415"/>
    <w:rsid w:val="0080182C"/>
    <w:rsid w:val="00801EE6"/>
    <w:rsid w:val="00803B44"/>
    <w:rsid w:val="008040D2"/>
    <w:rsid w:val="00804DE8"/>
    <w:rsid w:val="008056CA"/>
    <w:rsid w:val="008059FC"/>
    <w:rsid w:val="00807D94"/>
    <w:rsid w:val="00807E0B"/>
    <w:rsid w:val="0081178E"/>
    <w:rsid w:val="00812CD8"/>
    <w:rsid w:val="008131CC"/>
    <w:rsid w:val="00813E32"/>
    <w:rsid w:val="00814677"/>
    <w:rsid w:val="0081606C"/>
    <w:rsid w:val="00817236"/>
    <w:rsid w:val="00817C60"/>
    <w:rsid w:val="00821192"/>
    <w:rsid w:val="00821301"/>
    <w:rsid w:val="008237D6"/>
    <w:rsid w:val="00824BD4"/>
    <w:rsid w:val="00825AB0"/>
    <w:rsid w:val="00826119"/>
    <w:rsid w:val="008263C2"/>
    <w:rsid w:val="0082755B"/>
    <w:rsid w:val="00830038"/>
    <w:rsid w:val="00830BBF"/>
    <w:rsid w:val="008310C1"/>
    <w:rsid w:val="00831A29"/>
    <w:rsid w:val="00831CD5"/>
    <w:rsid w:val="00832DA1"/>
    <w:rsid w:val="00834099"/>
    <w:rsid w:val="008343E6"/>
    <w:rsid w:val="00835148"/>
    <w:rsid w:val="0083531B"/>
    <w:rsid w:val="008371AD"/>
    <w:rsid w:val="0084006A"/>
    <w:rsid w:val="0084142A"/>
    <w:rsid w:val="00842AE8"/>
    <w:rsid w:val="00842E60"/>
    <w:rsid w:val="0084319F"/>
    <w:rsid w:val="0084340A"/>
    <w:rsid w:val="0084424B"/>
    <w:rsid w:val="008446DB"/>
    <w:rsid w:val="00846429"/>
    <w:rsid w:val="008506C0"/>
    <w:rsid w:val="00851597"/>
    <w:rsid w:val="00852829"/>
    <w:rsid w:val="00852879"/>
    <w:rsid w:val="0085343D"/>
    <w:rsid w:val="00855306"/>
    <w:rsid w:val="00856C29"/>
    <w:rsid w:val="00856D7E"/>
    <w:rsid w:val="0085703F"/>
    <w:rsid w:val="008575AF"/>
    <w:rsid w:val="008576A3"/>
    <w:rsid w:val="0086089B"/>
    <w:rsid w:val="00860BF2"/>
    <w:rsid w:val="008619B9"/>
    <w:rsid w:val="00861CC6"/>
    <w:rsid w:val="00861EE7"/>
    <w:rsid w:val="00863508"/>
    <w:rsid w:val="0086396E"/>
    <w:rsid w:val="00865927"/>
    <w:rsid w:val="00866445"/>
    <w:rsid w:val="00866C18"/>
    <w:rsid w:val="00867752"/>
    <w:rsid w:val="00870321"/>
    <w:rsid w:val="00870471"/>
    <w:rsid w:val="00871966"/>
    <w:rsid w:val="00874380"/>
    <w:rsid w:val="0087481A"/>
    <w:rsid w:val="008764D8"/>
    <w:rsid w:val="0087716A"/>
    <w:rsid w:val="0088044D"/>
    <w:rsid w:val="00881ADA"/>
    <w:rsid w:val="008824C0"/>
    <w:rsid w:val="00882C37"/>
    <w:rsid w:val="00882DC4"/>
    <w:rsid w:val="0088322F"/>
    <w:rsid w:val="008841A9"/>
    <w:rsid w:val="008864CB"/>
    <w:rsid w:val="008868EE"/>
    <w:rsid w:val="00886D05"/>
    <w:rsid w:val="00887045"/>
    <w:rsid w:val="00887739"/>
    <w:rsid w:val="00890A25"/>
    <w:rsid w:val="00890C3A"/>
    <w:rsid w:val="00891173"/>
    <w:rsid w:val="008923FE"/>
    <w:rsid w:val="00892BC7"/>
    <w:rsid w:val="00894771"/>
    <w:rsid w:val="0089646D"/>
    <w:rsid w:val="00896736"/>
    <w:rsid w:val="00897E50"/>
    <w:rsid w:val="008A0439"/>
    <w:rsid w:val="008A0964"/>
    <w:rsid w:val="008A1BF9"/>
    <w:rsid w:val="008A2523"/>
    <w:rsid w:val="008A2C7C"/>
    <w:rsid w:val="008A2F65"/>
    <w:rsid w:val="008A3ABA"/>
    <w:rsid w:val="008A4D05"/>
    <w:rsid w:val="008A5E09"/>
    <w:rsid w:val="008A6D31"/>
    <w:rsid w:val="008A7238"/>
    <w:rsid w:val="008A7D68"/>
    <w:rsid w:val="008B033E"/>
    <w:rsid w:val="008B2C4E"/>
    <w:rsid w:val="008B3A32"/>
    <w:rsid w:val="008B433A"/>
    <w:rsid w:val="008B4EE7"/>
    <w:rsid w:val="008B5257"/>
    <w:rsid w:val="008C05FA"/>
    <w:rsid w:val="008C0B45"/>
    <w:rsid w:val="008C146F"/>
    <w:rsid w:val="008C2CB1"/>
    <w:rsid w:val="008C34D4"/>
    <w:rsid w:val="008C42C4"/>
    <w:rsid w:val="008C5380"/>
    <w:rsid w:val="008C5559"/>
    <w:rsid w:val="008C69E3"/>
    <w:rsid w:val="008C6B05"/>
    <w:rsid w:val="008D0EED"/>
    <w:rsid w:val="008D1307"/>
    <w:rsid w:val="008D1A37"/>
    <w:rsid w:val="008D22D1"/>
    <w:rsid w:val="008D3E03"/>
    <w:rsid w:val="008D5815"/>
    <w:rsid w:val="008D5C54"/>
    <w:rsid w:val="008D710A"/>
    <w:rsid w:val="008E00AB"/>
    <w:rsid w:val="008E0A02"/>
    <w:rsid w:val="008E0AE6"/>
    <w:rsid w:val="008E0D1C"/>
    <w:rsid w:val="008E0D5F"/>
    <w:rsid w:val="008E1831"/>
    <w:rsid w:val="008E517F"/>
    <w:rsid w:val="008E6ACE"/>
    <w:rsid w:val="008F026B"/>
    <w:rsid w:val="008F0577"/>
    <w:rsid w:val="008F23B7"/>
    <w:rsid w:val="008F40E8"/>
    <w:rsid w:val="008F40FC"/>
    <w:rsid w:val="008F4586"/>
    <w:rsid w:val="008F4B62"/>
    <w:rsid w:val="008F6C95"/>
    <w:rsid w:val="008F6D0A"/>
    <w:rsid w:val="008F72FD"/>
    <w:rsid w:val="008F73FD"/>
    <w:rsid w:val="00900077"/>
    <w:rsid w:val="0090033E"/>
    <w:rsid w:val="00901223"/>
    <w:rsid w:val="00902264"/>
    <w:rsid w:val="009025B7"/>
    <w:rsid w:val="00902EC1"/>
    <w:rsid w:val="009033B9"/>
    <w:rsid w:val="00903829"/>
    <w:rsid w:val="00904BB6"/>
    <w:rsid w:val="00905A22"/>
    <w:rsid w:val="009073B0"/>
    <w:rsid w:val="00907712"/>
    <w:rsid w:val="00911BE6"/>
    <w:rsid w:val="009120D3"/>
    <w:rsid w:val="009126FC"/>
    <w:rsid w:val="00914BF9"/>
    <w:rsid w:val="00915C43"/>
    <w:rsid w:val="00915C8E"/>
    <w:rsid w:val="009200AC"/>
    <w:rsid w:val="009228A4"/>
    <w:rsid w:val="009234D1"/>
    <w:rsid w:val="00924996"/>
    <w:rsid w:val="00924A86"/>
    <w:rsid w:val="00924C42"/>
    <w:rsid w:val="009250B0"/>
    <w:rsid w:val="009250E3"/>
    <w:rsid w:val="00925717"/>
    <w:rsid w:val="009264AC"/>
    <w:rsid w:val="00927E1D"/>
    <w:rsid w:val="00930CC1"/>
    <w:rsid w:val="00932DD4"/>
    <w:rsid w:val="009338D2"/>
    <w:rsid w:val="0093473E"/>
    <w:rsid w:val="009356E9"/>
    <w:rsid w:val="009365CA"/>
    <w:rsid w:val="00937578"/>
    <w:rsid w:val="0094030D"/>
    <w:rsid w:val="009405B2"/>
    <w:rsid w:val="00940976"/>
    <w:rsid w:val="00943870"/>
    <w:rsid w:val="00944122"/>
    <w:rsid w:val="00945902"/>
    <w:rsid w:val="009460C0"/>
    <w:rsid w:val="00946447"/>
    <w:rsid w:val="00947E57"/>
    <w:rsid w:val="009503F0"/>
    <w:rsid w:val="00950510"/>
    <w:rsid w:val="00951894"/>
    <w:rsid w:val="00951EA0"/>
    <w:rsid w:val="0095211C"/>
    <w:rsid w:val="00952276"/>
    <w:rsid w:val="00952690"/>
    <w:rsid w:val="00952BB7"/>
    <w:rsid w:val="00955D29"/>
    <w:rsid w:val="0095669B"/>
    <w:rsid w:val="00961792"/>
    <w:rsid w:val="00962A7B"/>
    <w:rsid w:val="0097010A"/>
    <w:rsid w:val="00970312"/>
    <w:rsid w:val="00970613"/>
    <w:rsid w:val="00971679"/>
    <w:rsid w:val="00971A8D"/>
    <w:rsid w:val="00971E66"/>
    <w:rsid w:val="009734CF"/>
    <w:rsid w:val="0097453A"/>
    <w:rsid w:val="00975F02"/>
    <w:rsid w:val="009776AD"/>
    <w:rsid w:val="00977BBB"/>
    <w:rsid w:val="0098180B"/>
    <w:rsid w:val="00981FF3"/>
    <w:rsid w:val="00983262"/>
    <w:rsid w:val="00983927"/>
    <w:rsid w:val="00983E91"/>
    <w:rsid w:val="009843C7"/>
    <w:rsid w:val="00984FDD"/>
    <w:rsid w:val="00985A34"/>
    <w:rsid w:val="00985D31"/>
    <w:rsid w:val="00986678"/>
    <w:rsid w:val="00986B27"/>
    <w:rsid w:val="00986C17"/>
    <w:rsid w:val="00986CBE"/>
    <w:rsid w:val="009874CC"/>
    <w:rsid w:val="009876CB"/>
    <w:rsid w:val="00987FDF"/>
    <w:rsid w:val="00992956"/>
    <w:rsid w:val="00993311"/>
    <w:rsid w:val="009934C3"/>
    <w:rsid w:val="00994B49"/>
    <w:rsid w:val="00995BCE"/>
    <w:rsid w:val="009A0035"/>
    <w:rsid w:val="009A1EA9"/>
    <w:rsid w:val="009A2596"/>
    <w:rsid w:val="009A3D50"/>
    <w:rsid w:val="009A53B2"/>
    <w:rsid w:val="009A7E8F"/>
    <w:rsid w:val="009B0159"/>
    <w:rsid w:val="009B09E8"/>
    <w:rsid w:val="009B19C2"/>
    <w:rsid w:val="009B3C77"/>
    <w:rsid w:val="009B4A4C"/>
    <w:rsid w:val="009B5FCE"/>
    <w:rsid w:val="009B6012"/>
    <w:rsid w:val="009B6E08"/>
    <w:rsid w:val="009B73A5"/>
    <w:rsid w:val="009C1AE0"/>
    <w:rsid w:val="009C5999"/>
    <w:rsid w:val="009C5ADB"/>
    <w:rsid w:val="009C6163"/>
    <w:rsid w:val="009C67BD"/>
    <w:rsid w:val="009D0A8C"/>
    <w:rsid w:val="009D14A8"/>
    <w:rsid w:val="009D54D9"/>
    <w:rsid w:val="009D6133"/>
    <w:rsid w:val="009E043B"/>
    <w:rsid w:val="009E0D3E"/>
    <w:rsid w:val="009E25F2"/>
    <w:rsid w:val="009E395A"/>
    <w:rsid w:val="009E3DD3"/>
    <w:rsid w:val="009E43C9"/>
    <w:rsid w:val="009E540F"/>
    <w:rsid w:val="009E6FFC"/>
    <w:rsid w:val="009E7AC4"/>
    <w:rsid w:val="009F092A"/>
    <w:rsid w:val="009F2650"/>
    <w:rsid w:val="009F3490"/>
    <w:rsid w:val="009F37E4"/>
    <w:rsid w:val="009F3B23"/>
    <w:rsid w:val="009F405D"/>
    <w:rsid w:val="009F41B2"/>
    <w:rsid w:val="009F431E"/>
    <w:rsid w:val="009F51AF"/>
    <w:rsid w:val="009F598B"/>
    <w:rsid w:val="009F5CBB"/>
    <w:rsid w:val="009F5F35"/>
    <w:rsid w:val="009F6B22"/>
    <w:rsid w:val="009F71E1"/>
    <w:rsid w:val="009F7509"/>
    <w:rsid w:val="009F7602"/>
    <w:rsid w:val="009F7638"/>
    <w:rsid w:val="009F7CDE"/>
    <w:rsid w:val="00A00CEE"/>
    <w:rsid w:val="00A01D0E"/>
    <w:rsid w:val="00A0272D"/>
    <w:rsid w:val="00A038C0"/>
    <w:rsid w:val="00A054BA"/>
    <w:rsid w:val="00A070A3"/>
    <w:rsid w:val="00A071A2"/>
    <w:rsid w:val="00A104C6"/>
    <w:rsid w:val="00A1076A"/>
    <w:rsid w:val="00A11129"/>
    <w:rsid w:val="00A113CC"/>
    <w:rsid w:val="00A11F7F"/>
    <w:rsid w:val="00A11FE0"/>
    <w:rsid w:val="00A130D0"/>
    <w:rsid w:val="00A14AC0"/>
    <w:rsid w:val="00A14CBD"/>
    <w:rsid w:val="00A155E8"/>
    <w:rsid w:val="00A15735"/>
    <w:rsid w:val="00A16C76"/>
    <w:rsid w:val="00A17747"/>
    <w:rsid w:val="00A23DA3"/>
    <w:rsid w:val="00A2487B"/>
    <w:rsid w:val="00A256A1"/>
    <w:rsid w:val="00A264AE"/>
    <w:rsid w:val="00A33E61"/>
    <w:rsid w:val="00A34431"/>
    <w:rsid w:val="00A352B8"/>
    <w:rsid w:val="00A3566D"/>
    <w:rsid w:val="00A3581D"/>
    <w:rsid w:val="00A362F4"/>
    <w:rsid w:val="00A3640A"/>
    <w:rsid w:val="00A36B5C"/>
    <w:rsid w:val="00A40D1C"/>
    <w:rsid w:val="00A42AB3"/>
    <w:rsid w:val="00A4413F"/>
    <w:rsid w:val="00A4490F"/>
    <w:rsid w:val="00A44EE8"/>
    <w:rsid w:val="00A45530"/>
    <w:rsid w:val="00A45A46"/>
    <w:rsid w:val="00A463B2"/>
    <w:rsid w:val="00A504A2"/>
    <w:rsid w:val="00A51B79"/>
    <w:rsid w:val="00A5202D"/>
    <w:rsid w:val="00A52738"/>
    <w:rsid w:val="00A530D1"/>
    <w:rsid w:val="00A53BBA"/>
    <w:rsid w:val="00A53C5D"/>
    <w:rsid w:val="00A54310"/>
    <w:rsid w:val="00A543B5"/>
    <w:rsid w:val="00A54EA2"/>
    <w:rsid w:val="00A5519E"/>
    <w:rsid w:val="00A555CC"/>
    <w:rsid w:val="00A56A6C"/>
    <w:rsid w:val="00A57607"/>
    <w:rsid w:val="00A6101C"/>
    <w:rsid w:val="00A627FD"/>
    <w:rsid w:val="00A64922"/>
    <w:rsid w:val="00A65285"/>
    <w:rsid w:val="00A65C38"/>
    <w:rsid w:val="00A67AB8"/>
    <w:rsid w:val="00A67E3B"/>
    <w:rsid w:val="00A7129F"/>
    <w:rsid w:val="00A71430"/>
    <w:rsid w:val="00A71593"/>
    <w:rsid w:val="00A72C28"/>
    <w:rsid w:val="00A73252"/>
    <w:rsid w:val="00A74912"/>
    <w:rsid w:val="00A759E7"/>
    <w:rsid w:val="00A75C8E"/>
    <w:rsid w:val="00A7607C"/>
    <w:rsid w:val="00A7673D"/>
    <w:rsid w:val="00A76E04"/>
    <w:rsid w:val="00A777A0"/>
    <w:rsid w:val="00A77C84"/>
    <w:rsid w:val="00A80A57"/>
    <w:rsid w:val="00A8209A"/>
    <w:rsid w:val="00A82265"/>
    <w:rsid w:val="00A822CB"/>
    <w:rsid w:val="00A83C07"/>
    <w:rsid w:val="00A83EA3"/>
    <w:rsid w:val="00A851C8"/>
    <w:rsid w:val="00A901FE"/>
    <w:rsid w:val="00A90EB6"/>
    <w:rsid w:val="00A9252C"/>
    <w:rsid w:val="00A932E2"/>
    <w:rsid w:val="00A93924"/>
    <w:rsid w:val="00A9424F"/>
    <w:rsid w:val="00A94D35"/>
    <w:rsid w:val="00A96B25"/>
    <w:rsid w:val="00A97D16"/>
    <w:rsid w:val="00AA0B39"/>
    <w:rsid w:val="00AA0D2D"/>
    <w:rsid w:val="00AA13E2"/>
    <w:rsid w:val="00AA1D5B"/>
    <w:rsid w:val="00AA3456"/>
    <w:rsid w:val="00AA4252"/>
    <w:rsid w:val="00AA512B"/>
    <w:rsid w:val="00AA6ED3"/>
    <w:rsid w:val="00AA70F5"/>
    <w:rsid w:val="00AB22DB"/>
    <w:rsid w:val="00AB334C"/>
    <w:rsid w:val="00AB7EA5"/>
    <w:rsid w:val="00AC0D04"/>
    <w:rsid w:val="00AC0E6B"/>
    <w:rsid w:val="00AC1622"/>
    <w:rsid w:val="00AC1765"/>
    <w:rsid w:val="00AC21F0"/>
    <w:rsid w:val="00AC2E7A"/>
    <w:rsid w:val="00AC4BE6"/>
    <w:rsid w:val="00AC52CB"/>
    <w:rsid w:val="00AC641E"/>
    <w:rsid w:val="00AC7492"/>
    <w:rsid w:val="00AD1297"/>
    <w:rsid w:val="00AD2318"/>
    <w:rsid w:val="00AD2571"/>
    <w:rsid w:val="00AD3234"/>
    <w:rsid w:val="00AD34CD"/>
    <w:rsid w:val="00AD3E30"/>
    <w:rsid w:val="00AD4344"/>
    <w:rsid w:val="00AD4B09"/>
    <w:rsid w:val="00AD7F0B"/>
    <w:rsid w:val="00AE05D2"/>
    <w:rsid w:val="00AE1A19"/>
    <w:rsid w:val="00AE552A"/>
    <w:rsid w:val="00AE5DD1"/>
    <w:rsid w:val="00AE5E7A"/>
    <w:rsid w:val="00AE6545"/>
    <w:rsid w:val="00AE6CED"/>
    <w:rsid w:val="00AF000F"/>
    <w:rsid w:val="00AF01CA"/>
    <w:rsid w:val="00AF113E"/>
    <w:rsid w:val="00AF14E1"/>
    <w:rsid w:val="00AF18D1"/>
    <w:rsid w:val="00AF1C2A"/>
    <w:rsid w:val="00AF36AA"/>
    <w:rsid w:val="00AF37E8"/>
    <w:rsid w:val="00AF4D4E"/>
    <w:rsid w:val="00AF523B"/>
    <w:rsid w:val="00AF7D31"/>
    <w:rsid w:val="00B01C34"/>
    <w:rsid w:val="00B03971"/>
    <w:rsid w:val="00B064B9"/>
    <w:rsid w:val="00B068F9"/>
    <w:rsid w:val="00B069BF"/>
    <w:rsid w:val="00B06ABE"/>
    <w:rsid w:val="00B109F1"/>
    <w:rsid w:val="00B110EA"/>
    <w:rsid w:val="00B11B6F"/>
    <w:rsid w:val="00B1352E"/>
    <w:rsid w:val="00B13547"/>
    <w:rsid w:val="00B145CA"/>
    <w:rsid w:val="00B146A1"/>
    <w:rsid w:val="00B14729"/>
    <w:rsid w:val="00B15EA5"/>
    <w:rsid w:val="00B17A60"/>
    <w:rsid w:val="00B2015E"/>
    <w:rsid w:val="00B20517"/>
    <w:rsid w:val="00B23203"/>
    <w:rsid w:val="00B258E3"/>
    <w:rsid w:val="00B3294B"/>
    <w:rsid w:val="00B32EFF"/>
    <w:rsid w:val="00B33502"/>
    <w:rsid w:val="00B3614C"/>
    <w:rsid w:val="00B40A95"/>
    <w:rsid w:val="00B40F6D"/>
    <w:rsid w:val="00B41CBA"/>
    <w:rsid w:val="00B4313C"/>
    <w:rsid w:val="00B44381"/>
    <w:rsid w:val="00B44433"/>
    <w:rsid w:val="00B44B34"/>
    <w:rsid w:val="00B44FC7"/>
    <w:rsid w:val="00B472BF"/>
    <w:rsid w:val="00B528C5"/>
    <w:rsid w:val="00B529B3"/>
    <w:rsid w:val="00B52D8F"/>
    <w:rsid w:val="00B52DEB"/>
    <w:rsid w:val="00B52E59"/>
    <w:rsid w:val="00B52FA8"/>
    <w:rsid w:val="00B52FD3"/>
    <w:rsid w:val="00B53BDE"/>
    <w:rsid w:val="00B54675"/>
    <w:rsid w:val="00B54948"/>
    <w:rsid w:val="00B556F5"/>
    <w:rsid w:val="00B55C7A"/>
    <w:rsid w:val="00B57D97"/>
    <w:rsid w:val="00B60B40"/>
    <w:rsid w:val="00B62FD1"/>
    <w:rsid w:val="00B6457F"/>
    <w:rsid w:val="00B64597"/>
    <w:rsid w:val="00B7026C"/>
    <w:rsid w:val="00B70610"/>
    <w:rsid w:val="00B720FB"/>
    <w:rsid w:val="00B72DF4"/>
    <w:rsid w:val="00B73402"/>
    <w:rsid w:val="00B742EC"/>
    <w:rsid w:val="00B7475D"/>
    <w:rsid w:val="00B748C8"/>
    <w:rsid w:val="00B755E4"/>
    <w:rsid w:val="00B76249"/>
    <w:rsid w:val="00B76967"/>
    <w:rsid w:val="00B778CC"/>
    <w:rsid w:val="00B816C0"/>
    <w:rsid w:val="00B82263"/>
    <w:rsid w:val="00B83DB2"/>
    <w:rsid w:val="00B83FF8"/>
    <w:rsid w:val="00B84CCA"/>
    <w:rsid w:val="00B8521F"/>
    <w:rsid w:val="00B9065F"/>
    <w:rsid w:val="00B91009"/>
    <w:rsid w:val="00B918A4"/>
    <w:rsid w:val="00B93219"/>
    <w:rsid w:val="00B93DCD"/>
    <w:rsid w:val="00B95A9F"/>
    <w:rsid w:val="00B964FC"/>
    <w:rsid w:val="00B966C6"/>
    <w:rsid w:val="00BA0F5C"/>
    <w:rsid w:val="00BA118E"/>
    <w:rsid w:val="00BA2D6D"/>
    <w:rsid w:val="00BA37BF"/>
    <w:rsid w:val="00BA4DD7"/>
    <w:rsid w:val="00BA6BFE"/>
    <w:rsid w:val="00BB01E7"/>
    <w:rsid w:val="00BB212C"/>
    <w:rsid w:val="00BB3992"/>
    <w:rsid w:val="00BB3EF7"/>
    <w:rsid w:val="00BB4AC5"/>
    <w:rsid w:val="00BB52A5"/>
    <w:rsid w:val="00BB679B"/>
    <w:rsid w:val="00BB73E5"/>
    <w:rsid w:val="00BB7C50"/>
    <w:rsid w:val="00BC0B02"/>
    <w:rsid w:val="00BC1243"/>
    <w:rsid w:val="00BC1B45"/>
    <w:rsid w:val="00BC3918"/>
    <w:rsid w:val="00BC401B"/>
    <w:rsid w:val="00BC41CA"/>
    <w:rsid w:val="00BC5D1E"/>
    <w:rsid w:val="00BC6BC5"/>
    <w:rsid w:val="00BD065A"/>
    <w:rsid w:val="00BD0E68"/>
    <w:rsid w:val="00BD20B5"/>
    <w:rsid w:val="00BD330A"/>
    <w:rsid w:val="00BD3502"/>
    <w:rsid w:val="00BD5565"/>
    <w:rsid w:val="00BD55E5"/>
    <w:rsid w:val="00BD6425"/>
    <w:rsid w:val="00BD74AC"/>
    <w:rsid w:val="00BD78BB"/>
    <w:rsid w:val="00BD7BFD"/>
    <w:rsid w:val="00BE264F"/>
    <w:rsid w:val="00BE2D49"/>
    <w:rsid w:val="00BE2DCB"/>
    <w:rsid w:val="00BE3C21"/>
    <w:rsid w:val="00BE4282"/>
    <w:rsid w:val="00BE4E91"/>
    <w:rsid w:val="00BE5225"/>
    <w:rsid w:val="00BE6F8B"/>
    <w:rsid w:val="00BE7051"/>
    <w:rsid w:val="00BE7780"/>
    <w:rsid w:val="00BF08A8"/>
    <w:rsid w:val="00BF0C5C"/>
    <w:rsid w:val="00BF0EF9"/>
    <w:rsid w:val="00BF104D"/>
    <w:rsid w:val="00BF1834"/>
    <w:rsid w:val="00BF1D59"/>
    <w:rsid w:val="00BF2C9F"/>
    <w:rsid w:val="00BF3940"/>
    <w:rsid w:val="00BF476E"/>
    <w:rsid w:val="00BF51EE"/>
    <w:rsid w:val="00BF58D6"/>
    <w:rsid w:val="00C0118F"/>
    <w:rsid w:val="00C025A6"/>
    <w:rsid w:val="00C02ABE"/>
    <w:rsid w:val="00C036FB"/>
    <w:rsid w:val="00C03A60"/>
    <w:rsid w:val="00C04014"/>
    <w:rsid w:val="00C05DE0"/>
    <w:rsid w:val="00C06ECC"/>
    <w:rsid w:val="00C07C4F"/>
    <w:rsid w:val="00C10954"/>
    <w:rsid w:val="00C10C8E"/>
    <w:rsid w:val="00C13ABA"/>
    <w:rsid w:val="00C146E1"/>
    <w:rsid w:val="00C149DC"/>
    <w:rsid w:val="00C14AD6"/>
    <w:rsid w:val="00C1724B"/>
    <w:rsid w:val="00C209A4"/>
    <w:rsid w:val="00C2167A"/>
    <w:rsid w:val="00C21CD8"/>
    <w:rsid w:val="00C2259A"/>
    <w:rsid w:val="00C22D9D"/>
    <w:rsid w:val="00C2494F"/>
    <w:rsid w:val="00C261C1"/>
    <w:rsid w:val="00C26F42"/>
    <w:rsid w:val="00C2771B"/>
    <w:rsid w:val="00C30276"/>
    <w:rsid w:val="00C304D1"/>
    <w:rsid w:val="00C313DF"/>
    <w:rsid w:val="00C31A09"/>
    <w:rsid w:val="00C31A2A"/>
    <w:rsid w:val="00C32772"/>
    <w:rsid w:val="00C33F4F"/>
    <w:rsid w:val="00C3489A"/>
    <w:rsid w:val="00C364AA"/>
    <w:rsid w:val="00C364DF"/>
    <w:rsid w:val="00C37E3C"/>
    <w:rsid w:val="00C40AC4"/>
    <w:rsid w:val="00C43F7C"/>
    <w:rsid w:val="00C44372"/>
    <w:rsid w:val="00C4452D"/>
    <w:rsid w:val="00C44B5E"/>
    <w:rsid w:val="00C452CB"/>
    <w:rsid w:val="00C50257"/>
    <w:rsid w:val="00C507B3"/>
    <w:rsid w:val="00C50E7B"/>
    <w:rsid w:val="00C521BD"/>
    <w:rsid w:val="00C52F55"/>
    <w:rsid w:val="00C54E1C"/>
    <w:rsid w:val="00C54EEA"/>
    <w:rsid w:val="00C572A6"/>
    <w:rsid w:val="00C57810"/>
    <w:rsid w:val="00C57BC2"/>
    <w:rsid w:val="00C57E80"/>
    <w:rsid w:val="00C612E5"/>
    <w:rsid w:val="00C6366B"/>
    <w:rsid w:val="00C639A4"/>
    <w:rsid w:val="00C64C43"/>
    <w:rsid w:val="00C6639B"/>
    <w:rsid w:val="00C67A83"/>
    <w:rsid w:val="00C67B23"/>
    <w:rsid w:val="00C70ACF"/>
    <w:rsid w:val="00C721AE"/>
    <w:rsid w:val="00C73404"/>
    <w:rsid w:val="00C74B57"/>
    <w:rsid w:val="00C7578B"/>
    <w:rsid w:val="00C767FE"/>
    <w:rsid w:val="00C7776B"/>
    <w:rsid w:val="00C81F6B"/>
    <w:rsid w:val="00C8221F"/>
    <w:rsid w:val="00C823C7"/>
    <w:rsid w:val="00C8501A"/>
    <w:rsid w:val="00C85887"/>
    <w:rsid w:val="00C86E0F"/>
    <w:rsid w:val="00C872A7"/>
    <w:rsid w:val="00C90E12"/>
    <w:rsid w:val="00C93BD7"/>
    <w:rsid w:val="00C94043"/>
    <w:rsid w:val="00C9404F"/>
    <w:rsid w:val="00C94128"/>
    <w:rsid w:val="00C95E16"/>
    <w:rsid w:val="00C9690E"/>
    <w:rsid w:val="00C96949"/>
    <w:rsid w:val="00C969BD"/>
    <w:rsid w:val="00C97227"/>
    <w:rsid w:val="00CA0F84"/>
    <w:rsid w:val="00CA1858"/>
    <w:rsid w:val="00CA4845"/>
    <w:rsid w:val="00CA5001"/>
    <w:rsid w:val="00CB0E2B"/>
    <w:rsid w:val="00CB1544"/>
    <w:rsid w:val="00CB2F2A"/>
    <w:rsid w:val="00CB3CDC"/>
    <w:rsid w:val="00CB4292"/>
    <w:rsid w:val="00CB6CE8"/>
    <w:rsid w:val="00CC0D10"/>
    <w:rsid w:val="00CC165B"/>
    <w:rsid w:val="00CC1C36"/>
    <w:rsid w:val="00CC20BB"/>
    <w:rsid w:val="00CC23FD"/>
    <w:rsid w:val="00CC34B5"/>
    <w:rsid w:val="00CC3983"/>
    <w:rsid w:val="00CC46B6"/>
    <w:rsid w:val="00CC48DE"/>
    <w:rsid w:val="00CC6AB6"/>
    <w:rsid w:val="00CC6B9D"/>
    <w:rsid w:val="00CD07B8"/>
    <w:rsid w:val="00CD133A"/>
    <w:rsid w:val="00CD2C52"/>
    <w:rsid w:val="00CD5250"/>
    <w:rsid w:val="00CD5BB6"/>
    <w:rsid w:val="00CD6847"/>
    <w:rsid w:val="00CE0B01"/>
    <w:rsid w:val="00CE21FA"/>
    <w:rsid w:val="00CE26FB"/>
    <w:rsid w:val="00CE27CB"/>
    <w:rsid w:val="00CE5A24"/>
    <w:rsid w:val="00CE5AA0"/>
    <w:rsid w:val="00CE68BE"/>
    <w:rsid w:val="00CE7411"/>
    <w:rsid w:val="00CE78CF"/>
    <w:rsid w:val="00CF2CF9"/>
    <w:rsid w:val="00CF3DFD"/>
    <w:rsid w:val="00CF4945"/>
    <w:rsid w:val="00D00EDD"/>
    <w:rsid w:val="00D01721"/>
    <w:rsid w:val="00D022E2"/>
    <w:rsid w:val="00D03256"/>
    <w:rsid w:val="00D0335C"/>
    <w:rsid w:val="00D03BFF"/>
    <w:rsid w:val="00D03C14"/>
    <w:rsid w:val="00D04303"/>
    <w:rsid w:val="00D04DA1"/>
    <w:rsid w:val="00D057DB"/>
    <w:rsid w:val="00D0654E"/>
    <w:rsid w:val="00D1007A"/>
    <w:rsid w:val="00D1017C"/>
    <w:rsid w:val="00D106C8"/>
    <w:rsid w:val="00D11B68"/>
    <w:rsid w:val="00D125C6"/>
    <w:rsid w:val="00D12EC8"/>
    <w:rsid w:val="00D13312"/>
    <w:rsid w:val="00D139F1"/>
    <w:rsid w:val="00D13E8B"/>
    <w:rsid w:val="00D140DA"/>
    <w:rsid w:val="00D15494"/>
    <w:rsid w:val="00D15865"/>
    <w:rsid w:val="00D20DF2"/>
    <w:rsid w:val="00D22F84"/>
    <w:rsid w:val="00D25BFD"/>
    <w:rsid w:val="00D25D2A"/>
    <w:rsid w:val="00D269D4"/>
    <w:rsid w:val="00D26B4E"/>
    <w:rsid w:val="00D3006F"/>
    <w:rsid w:val="00D30886"/>
    <w:rsid w:val="00D31400"/>
    <w:rsid w:val="00D31812"/>
    <w:rsid w:val="00D35A2E"/>
    <w:rsid w:val="00D35FA0"/>
    <w:rsid w:val="00D36FC8"/>
    <w:rsid w:val="00D403F3"/>
    <w:rsid w:val="00D4198E"/>
    <w:rsid w:val="00D423AA"/>
    <w:rsid w:val="00D42B9B"/>
    <w:rsid w:val="00D502E5"/>
    <w:rsid w:val="00D50D3F"/>
    <w:rsid w:val="00D516EB"/>
    <w:rsid w:val="00D5185B"/>
    <w:rsid w:val="00D538A6"/>
    <w:rsid w:val="00D55FB9"/>
    <w:rsid w:val="00D60B6A"/>
    <w:rsid w:val="00D60C57"/>
    <w:rsid w:val="00D6146F"/>
    <w:rsid w:val="00D6288E"/>
    <w:rsid w:val="00D62895"/>
    <w:rsid w:val="00D62F34"/>
    <w:rsid w:val="00D6613C"/>
    <w:rsid w:val="00D66590"/>
    <w:rsid w:val="00D66AE7"/>
    <w:rsid w:val="00D66E7F"/>
    <w:rsid w:val="00D67414"/>
    <w:rsid w:val="00D67E89"/>
    <w:rsid w:val="00D71720"/>
    <w:rsid w:val="00D7199A"/>
    <w:rsid w:val="00D725C6"/>
    <w:rsid w:val="00D7343C"/>
    <w:rsid w:val="00D761DD"/>
    <w:rsid w:val="00D76FCE"/>
    <w:rsid w:val="00D77D2A"/>
    <w:rsid w:val="00D8021C"/>
    <w:rsid w:val="00D8163F"/>
    <w:rsid w:val="00D81A5A"/>
    <w:rsid w:val="00D81DFB"/>
    <w:rsid w:val="00D87C6D"/>
    <w:rsid w:val="00D90FA4"/>
    <w:rsid w:val="00D912E2"/>
    <w:rsid w:val="00D91AFA"/>
    <w:rsid w:val="00D96AED"/>
    <w:rsid w:val="00DA00B9"/>
    <w:rsid w:val="00DA1197"/>
    <w:rsid w:val="00DA3882"/>
    <w:rsid w:val="00DA56EF"/>
    <w:rsid w:val="00DA59F6"/>
    <w:rsid w:val="00DA5FEC"/>
    <w:rsid w:val="00DA6035"/>
    <w:rsid w:val="00DA792A"/>
    <w:rsid w:val="00DB154B"/>
    <w:rsid w:val="00DB178C"/>
    <w:rsid w:val="00DB1BE2"/>
    <w:rsid w:val="00DB5232"/>
    <w:rsid w:val="00DB54BF"/>
    <w:rsid w:val="00DB63C8"/>
    <w:rsid w:val="00DB76DF"/>
    <w:rsid w:val="00DC0672"/>
    <w:rsid w:val="00DC0E7C"/>
    <w:rsid w:val="00DC1F08"/>
    <w:rsid w:val="00DC31E8"/>
    <w:rsid w:val="00DC348C"/>
    <w:rsid w:val="00DC3F1F"/>
    <w:rsid w:val="00DC4373"/>
    <w:rsid w:val="00DC54FC"/>
    <w:rsid w:val="00DC5D3F"/>
    <w:rsid w:val="00DC603D"/>
    <w:rsid w:val="00DC6096"/>
    <w:rsid w:val="00DC6693"/>
    <w:rsid w:val="00DC66D0"/>
    <w:rsid w:val="00DC6A36"/>
    <w:rsid w:val="00DC6B99"/>
    <w:rsid w:val="00DC79E5"/>
    <w:rsid w:val="00DD023E"/>
    <w:rsid w:val="00DD2057"/>
    <w:rsid w:val="00DD2D40"/>
    <w:rsid w:val="00DD3F30"/>
    <w:rsid w:val="00DD59B4"/>
    <w:rsid w:val="00DE016F"/>
    <w:rsid w:val="00DE2562"/>
    <w:rsid w:val="00DE2E79"/>
    <w:rsid w:val="00DE58D6"/>
    <w:rsid w:val="00DE59C4"/>
    <w:rsid w:val="00DE5C6C"/>
    <w:rsid w:val="00DE649C"/>
    <w:rsid w:val="00DE6BBE"/>
    <w:rsid w:val="00DE7252"/>
    <w:rsid w:val="00DE74CF"/>
    <w:rsid w:val="00DE7D28"/>
    <w:rsid w:val="00DF28B8"/>
    <w:rsid w:val="00DF2F12"/>
    <w:rsid w:val="00DF3633"/>
    <w:rsid w:val="00DF63B6"/>
    <w:rsid w:val="00DF6BE9"/>
    <w:rsid w:val="00E01FFE"/>
    <w:rsid w:val="00E03D5C"/>
    <w:rsid w:val="00E043A0"/>
    <w:rsid w:val="00E04F3B"/>
    <w:rsid w:val="00E055B4"/>
    <w:rsid w:val="00E0580B"/>
    <w:rsid w:val="00E06875"/>
    <w:rsid w:val="00E07E54"/>
    <w:rsid w:val="00E12097"/>
    <w:rsid w:val="00E13655"/>
    <w:rsid w:val="00E13D7D"/>
    <w:rsid w:val="00E13FF3"/>
    <w:rsid w:val="00E14AB2"/>
    <w:rsid w:val="00E14D8A"/>
    <w:rsid w:val="00E15877"/>
    <w:rsid w:val="00E20199"/>
    <w:rsid w:val="00E205C6"/>
    <w:rsid w:val="00E206CE"/>
    <w:rsid w:val="00E207BB"/>
    <w:rsid w:val="00E223E5"/>
    <w:rsid w:val="00E22926"/>
    <w:rsid w:val="00E245A1"/>
    <w:rsid w:val="00E2577F"/>
    <w:rsid w:val="00E26862"/>
    <w:rsid w:val="00E26918"/>
    <w:rsid w:val="00E2778C"/>
    <w:rsid w:val="00E27FBE"/>
    <w:rsid w:val="00E3063D"/>
    <w:rsid w:val="00E3169B"/>
    <w:rsid w:val="00E324C9"/>
    <w:rsid w:val="00E3252A"/>
    <w:rsid w:val="00E34BC1"/>
    <w:rsid w:val="00E37389"/>
    <w:rsid w:val="00E373DE"/>
    <w:rsid w:val="00E40832"/>
    <w:rsid w:val="00E426CE"/>
    <w:rsid w:val="00E44194"/>
    <w:rsid w:val="00E4449A"/>
    <w:rsid w:val="00E445B1"/>
    <w:rsid w:val="00E52184"/>
    <w:rsid w:val="00E535E8"/>
    <w:rsid w:val="00E54BB3"/>
    <w:rsid w:val="00E54C19"/>
    <w:rsid w:val="00E55E06"/>
    <w:rsid w:val="00E570E1"/>
    <w:rsid w:val="00E60256"/>
    <w:rsid w:val="00E6123E"/>
    <w:rsid w:val="00E63E1B"/>
    <w:rsid w:val="00E63EAB"/>
    <w:rsid w:val="00E64B7E"/>
    <w:rsid w:val="00E65262"/>
    <w:rsid w:val="00E65868"/>
    <w:rsid w:val="00E709EE"/>
    <w:rsid w:val="00E70B7A"/>
    <w:rsid w:val="00E73911"/>
    <w:rsid w:val="00E73AD2"/>
    <w:rsid w:val="00E7438C"/>
    <w:rsid w:val="00E802BB"/>
    <w:rsid w:val="00E804E0"/>
    <w:rsid w:val="00E80F39"/>
    <w:rsid w:val="00E82C1D"/>
    <w:rsid w:val="00E85E3D"/>
    <w:rsid w:val="00E869BE"/>
    <w:rsid w:val="00E91913"/>
    <w:rsid w:val="00E92A68"/>
    <w:rsid w:val="00E92B9C"/>
    <w:rsid w:val="00E92D6A"/>
    <w:rsid w:val="00E92EC5"/>
    <w:rsid w:val="00E95165"/>
    <w:rsid w:val="00E95237"/>
    <w:rsid w:val="00E95AE0"/>
    <w:rsid w:val="00EA01BB"/>
    <w:rsid w:val="00EA2A3D"/>
    <w:rsid w:val="00EA4CFE"/>
    <w:rsid w:val="00EA5F00"/>
    <w:rsid w:val="00EA6365"/>
    <w:rsid w:val="00EA6BC3"/>
    <w:rsid w:val="00EB02D9"/>
    <w:rsid w:val="00EB06C0"/>
    <w:rsid w:val="00EB10E4"/>
    <w:rsid w:val="00EB12FE"/>
    <w:rsid w:val="00EB1503"/>
    <w:rsid w:val="00EB180E"/>
    <w:rsid w:val="00EB1B8D"/>
    <w:rsid w:val="00EB1C92"/>
    <w:rsid w:val="00EB1CDF"/>
    <w:rsid w:val="00EB29A7"/>
    <w:rsid w:val="00EB2CB7"/>
    <w:rsid w:val="00EB3A4C"/>
    <w:rsid w:val="00EB4642"/>
    <w:rsid w:val="00EB4E35"/>
    <w:rsid w:val="00EB52F2"/>
    <w:rsid w:val="00EB5BB3"/>
    <w:rsid w:val="00EB5FD7"/>
    <w:rsid w:val="00EB63A4"/>
    <w:rsid w:val="00EB7C69"/>
    <w:rsid w:val="00EC0324"/>
    <w:rsid w:val="00EC09BF"/>
    <w:rsid w:val="00EC2876"/>
    <w:rsid w:val="00EC5BD6"/>
    <w:rsid w:val="00EC63AE"/>
    <w:rsid w:val="00EC6991"/>
    <w:rsid w:val="00EC6E08"/>
    <w:rsid w:val="00EC7F14"/>
    <w:rsid w:val="00EC7FE8"/>
    <w:rsid w:val="00ED0E18"/>
    <w:rsid w:val="00ED0F70"/>
    <w:rsid w:val="00ED27A0"/>
    <w:rsid w:val="00ED2C67"/>
    <w:rsid w:val="00ED3502"/>
    <w:rsid w:val="00ED3923"/>
    <w:rsid w:val="00ED5F64"/>
    <w:rsid w:val="00EE0B86"/>
    <w:rsid w:val="00EE1788"/>
    <w:rsid w:val="00EE2E4D"/>
    <w:rsid w:val="00EE3CBF"/>
    <w:rsid w:val="00EE4307"/>
    <w:rsid w:val="00EE474C"/>
    <w:rsid w:val="00EE52CA"/>
    <w:rsid w:val="00EE5684"/>
    <w:rsid w:val="00EE6728"/>
    <w:rsid w:val="00EE7343"/>
    <w:rsid w:val="00EE7953"/>
    <w:rsid w:val="00EF03ED"/>
    <w:rsid w:val="00EF1A41"/>
    <w:rsid w:val="00EF29C1"/>
    <w:rsid w:val="00EF2A54"/>
    <w:rsid w:val="00EF2C53"/>
    <w:rsid w:val="00EF49C6"/>
    <w:rsid w:val="00EF539C"/>
    <w:rsid w:val="00EF5840"/>
    <w:rsid w:val="00EF6274"/>
    <w:rsid w:val="00EF6E4F"/>
    <w:rsid w:val="00EF71C2"/>
    <w:rsid w:val="00F00693"/>
    <w:rsid w:val="00F00F43"/>
    <w:rsid w:val="00F017C9"/>
    <w:rsid w:val="00F020A8"/>
    <w:rsid w:val="00F03E77"/>
    <w:rsid w:val="00F04401"/>
    <w:rsid w:val="00F05E7B"/>
    <w:rsid w:val="00F06599"/>
    <w:rsid w:val="00F07182"/>
    <w:rsid w:val="00F0776D"/>
    <w:rsid w:val="00F07EB7"/>
    <w:rsid w:val="00F124E6"/>
    <w:rsid w:val="00F13671"/>
    <w:rsid w:val="00F15AF5"/>
    <w:rsid w:val="00F161E4"/>
    <w:rsid w:val="00F16B6E"/>
    <w:rsid w:val="00F172FC"/>
    <w:rsid w:val="00F1763F"/>
    <w:rsid w:val="00F17C65"/>
    <w:rsid w:val="00F20572"/>
    <w:rsid w:val="00F20A30"/>
    <w:rsid w:val="00F21BA5"/>
    <w:rsid w:val="00F21BCB"/>
    <w:rsid w:val="00F21FE2"/>
    <w:rsid w:val="00F24BEE"/>
    <w:rsid w:val="00F26F8F"/>
    <w:rsid w:val="00F33468"/>
    <w:rsid w:val="00F37C23"/>
    <w:rsid w:val="00F4263D"/>
    <w:rsid w:val="00F42DB7"/>
    <w:rsid w:val="00F4337E"/>
    <w:rsid w:val="00F44026"/>
    <w:rsid w:val="00F44CC0"/>
    <w:rsid w:val="00F44E68"/>
    <w:rsid w:val="00F5116C"/>
    <w:rsid w:val="00F5148C"/>
    <w:rsid w:val="00F51ADA"/>
    <w:rsid w:val="00F525AA"/>
    <w:rsid w:val="00F52DDB"/>
    <w:rsid w:val="00F54ABB"/>
    <w:rsid w:val="00F57797"/>
    <w:rsid w:val="00F5797F"/>
    <w:rsid w:val="00F60CD5"/>
    <w:rsid w:val="00F62210"/>
    <w:rsid w:val="00F62E5A"/>
    <w:rsid w:val="00F63992"/>
    <w:rsid w:val="00F63A46"/>
    <w:rsid w:val="00F63FF9"/>
    <w:rsid w:val="00F64C9C"/>
    <w:rsid w:val="00F64E33"/>
    <w:rsid w:val="00F678EB"/>
    <w:rsid w:val="00F70F6E"/>
    <w:rsid w:val="00F71FA6"/>
    <w:rsid w:val="00F72511"/>
    <w:rsid w:val="00F752A7"/>
    <w:rsid w:val="00F758B5"/>
    <w:rsid w:val="00F75938"/>
    <w:rsid w:val="00F76430"/>
    <w:rsid w:val="00F76FF3"/>
    <w:rsid w:val="00F777DC"/>
    <w:rsid w:val="00F80077"/>
    <w:rsid w:val="00F811AB"/>
    <w:rsid w:val="00F819EF"/>
    <w:rsid w:val="00F81FA3"/>
    <w:rsid w:val="00F822EA"/>
    <w:rsid w:val="00F82C51"/>
    <w:rsid w:val="00F82E70"/>
    <w:rsid w:val="00F83938"/>
    <w:rsid w:val="00F84A4D"/>
    <w:rsid w:val="00F85F36"/>
    <w:rsid w:val="00F87851"/>
    <w:rsid w:val="00F9339A"/>
    <w:rsid w:val="00F93E85"/>
    <w:rsid w:val="00F950E9"/>
    <w:rsid w:val="00F96C61"/>
    <w:rsid w:val="00F971BA"/>
    <w:rsid w:val="00F97F00"/>
    <w:rsid w:val="00FA0042"/>
    <w:rsid w:val="00FA05EB"/>
    <w:rsid w:val="00FA0F12"/>
    <w:rsid w:val="00FA10DF"/>
    <w:rsid w:val="00FA3C31"/>
    <w:rsid w:val="00FA412F"/>
    <w:rsid w:val="00FA60F5"/>
    <w:rsid w:val="00FB1BC7"/>
    <w:rsid w:val="00FB1CF0"/>
    <w:rsid w:val="00FB28C7"/>
    <w:rsid w:val="00FB333A"/>
    <w:rsid w:val="00FB3F00"/>
    <w:rsid w:val="00FC07FF"/>
    <w:rsid w:val="00FC082B"/>
    <w:rsid w:val="00FC0AE2"/>
    <w:rsid w:val="00FC1AD1"/>
    <w:rsid w:val="00FC1C33"/>
    <w:rsid w:val="00FC1C9B"/>
    <w:rsid w:val="00FC1EBA"/>
    <w:rsid w:val="00FC2E56"/>
    <w:rsid w:val="00FC566F"/>
    <w:rsid w:val="00FC631F"/>
    <w:rsid w:val="00FC72A6"/>
    <w:rsid w:val="00FC7DDC"/>
    <w:rsid w:val="00FD02E6"/>
    <w:rsid w:val="00FD060A"/>
    <w:rsid w:val="00FD0675"/>
    <w:rsid w:val="00FD26A0"/>
    <w:rsid w:val="00FD281B"/>
    <w:rsid w:val="00FD2EAF"/>
    <w:rsid w:val="00FD4E2B"/>
    <w:rsid w:val="00FD605A"/>
    <w:rsid w:val="00FD7418"/>
    <w:rsid w:val="00FD7717"/>
    <w:rsid w:val="00FE0382"/>
    <w:rsid w:val="00FE0D33"/>
    <w:rsid w:val="00FE1D26"/>
    <w:rsid w:val="00FE4EC8"/>
    <w:rsid w:val="00FE5272"/>
    <w:rsid w:val="00FE56BC"/>
    <w:rsid w:val="00FE71F6"/>
    <w:rsid w:val="00FE7250"/>
    <w:rsid w:val="00FE7AA3"/>
    <w:rsid w:val="00FF0404"/>
    <w:rsid w:val="00FF0600"/>
    <w:rsid w:val="00FF0ED4"/>
    <w:rsid w:val="00FF2586"/>
    <w:rsid w:val="00FF5618"/>
    <w:rsid w:val="00FF59A9"/>
    <w:rsid w:val="00FF621B"/>
    <w:rsid w:val="00FF62BB"/>
    <w:rsid w:val="00FF6BE9"/>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925190"/>
  <w15:chartTrackingRefBased/>
  <w15:docId w15:val="{4417E42A-1C10-4B16-BF65-E368CB86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79"/>
    <w:pPr>
      <w:widowControl w:val="0"/>
      <w:autoSpaceDE w:val="0"/>
      <w:autoSpaceDN w:val="0"/>
    </w:pPr>
    <w:rPr>
      <w:rFonts w:eastAsia="Times New Roman" w:cs="Times New Roman"/>
      <w:sz w:val="22"/>
      <w:u w:val="none"/>
    </w:rPr>
  </w:style>
  <w:style w:type="paragraph" w:styleId="Heading1">
    <w:name w:val="heading 1"/>
    <w:basedOn w:val="ListParagraph"/>
    <w:link w:val="Heading1Char"/>
    <w:uiPriority w:val="9"/>
    <w:qFormat/>
    <w:rsid w:val="00971679"/>
    <w:pPr>
      <w:numPr>
        <w:numId w:val="1"/>
      </w:numPr>
      <w:autoSpaceDE w:val="0"/>
      <w:autoSpaceDN w:val="0"/>
      <w:adjustRightInd w:val="0"/>
      <w:spacing w:after="120" w:line="480" w:lineRule="auto"/>
      <w:jc w:val="both"/>
      <w:outlineLvl w:val="0"/>
    </w:pPr>
    <w:rPr>
      <w:rFonts w:ascii="Arial" w:hAnsi="Arial" w:cs="Arial"/>
      <w:b/>
      <w:sz w:val="24"/>
      <w:szCs w:val="24"/>
    </w:rPr>
  </w:style>
  <w:style w:type="paragraph" w:styleId="Heading2">
    <w:name w:val="heading 2"/>
    <w:basedOn w:val="ListParagraph"/>
    <w:next w:val="Normal"/>
    <w:link w:val="Heading2Char"/>
    <w:uiPriority w:val="9"/>
    <w:unhideWhenUsed/>
    <w:qFormat/>
    <w:rsid w:val="00DE59C4"/>
    <w:pPr>
      <w:numPr>
        <w:numId w:val="4"/>
      </w:numPr>
      <w:adjustRightInd w:val="0"/>
      <w:spacing w:after="0" w:line="240" w:lineRule="auto"/>
      <w:jc w:val="both"/>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1FE"/>
    <w:rPr>
      <w:rFonts w:ascii="Arial" w:hAnsi="Arial"/>
      <w:sz w:val="22"/>
      <w:u w:val="none"/>
    </w:rPr>
  </w:style>
  <w:style w:type="paragraph" w:styleId="TOAHeading">
    <w:name w:val="toa heading"/>
    <w:basedOn w:val="Normal"/>
    <w:next w:val="Normal"/>
    <w:uiPriority w:val="99"/>
    <w:semiHidden/>
    <w:unhideWhenUsed/>
    <w:rsid w:val="008A3ABA"/>
    <w:pPr>
      <w:spacing w:before="120"/>
    </w:pPr>
    <w:rPr>
      <w:rFonts w:eastAsiaTheme="majorEastAsia" w:cstheme="majorBidi"/>
      <w:bCs/>
      <w:szCs w:val="24"/>
    </w:rPr>
  </w:style>
  <w:style w:type="paragraph" w:styleId="TableofAuthorities">
    <w:name w:val="table of authorities"/>
    <w:basedOn w:val="Normal"/>
    <w:next w:val="Normal"/>
    <w:autoRedefine/>
    <w:uiPriority w:val="99"/>
    <w:semiHidden/>
    <w:unhideWhenUsed/>
    <w:rsid w:val="003E7B54"/>
    <w:pPr>
      <w:spacing w:line="480" w:lineRule="auto"/>
      <w:ind w:left="216" w:hanging="216"/>
      <w:contextualSpacing/>
    </w:pPr>
  </w:style>
  <w:style w:type="character" w:styleId="FootnoteReference">
    <w:name w:val="footnote reference"/>
    <w:basedOn w:val="DefaultParagraphFont"/>
    <w:uiPriority w:val="99"/>
    <w:semiHidden/>
    <w:unhideWhenUsed/>
    <w:rsid w:val="00EA6365"/>
    <w:rPr>
      <w:rFonts w:ascii="Arial" w:hAnsi="Arial"/>
      <w:sz w:val="20"/>
      <w:vertAlign w:val="superscript"/>
    </w:rPr>
  </w:style>
  <w:style w:type="paragraph" w:styleId="FootnoteText">
    <w:name w:val="footnote text"/>
    <w:basedOn w:val="Normal"/>
    <w:link w:val="FootnoteTextChar"/>
    <w:uiPriority w:val="99"/>
    <w:unhideWhenUsed/>
    <w:rsid w:val="00B40F6D"/>
    <w:pPr>
      <w:spacing w:after="240"/>
      <w:jc w:val="both"/>
    </w:pPr>
    <w:rPr>
      <w:rFonts w:ascii="Arial" w:hAnsi="Arial"/>
      <w:sz w:val="20"/>
      <w:szCs w:val="20"/>
    </w:rPr>
  </w:style>
  <w:style w:type="character" w:customStyle="1" w:styleId="FootnoteTextChar">
    <w:name w:val="Footnote Text Char"/>
    <w:basedOn w:val="DefaultParagraphFont"/>
    <w:link w:val="FootnoteText"/>
    <w:uiPriority w:val="99"/>
    <w:rsid w:val="00B40F6D"/>
    <w:rPr>
      <w:rFonts w:ascii="Arial" w:eastAsia="Times New Roman" w:hAnsi="Arial" w:cs="Times New Roman"/>
      <w:sz w:val="20"/>
      <w:szCs w:val="20"/>
      <w:u w:val="none"/>
    </w:rPr>
  </w:style>
  <w:style w:type="character" w:customStyle="1" w:styleId="Heading1Char">
    <w:name w:val="Heading 1 Char"/>
    <w:basedOn w:val="DefaultParagraphFont"/>
    <w:link w:val="Heading1"/>
    <w:uiPriority w:val="9"/>
    <w:rsid w:val="00971679"/>
    <w:rPr>
      <w:rFonts w:ascii="Arial" w:eastAsiaTheme="minorEastAsia" w:hAnsi="Arial" w:cs="Arial"/>
      <w:b/>
      <w:szCs w:val="24"/>
      <w:u w:val="none"/>
    </w:rPr>
  </w:style>
  <w:style w:type="paragraph" w:styleId="BodyText">
    <w:name w:val="Body Text"/>
    <w:basedOn w:val="Normal"/>
    <w:link w:val="BodyTextChar"/>
    <w:uiPriority w:val="1"/>
    <w:qFormat/>
    <w:rsid w:val="00971679"/>
    <w:rPr>
      <w:sz w:val="24"/>
      <w:szCs w:val="24"/>
    </w:rPr>
  </w:style>
  <w:style w:type="character" w:customStyle="1" w:styleId="BodyTextChar">
    <w:name w:val="Body Text Char"/>
    <w:basedOn w:val="DefaultParagraphFont"/>
    <w:link w:val="BodyText"/>
    <w:uiPriority w:val="1"/>
    <w:rsid w:val="00971679"/>
    <w:rPr>
      <w:rFonts w:eastAsia="Times New Roman" w:cs="Times New Roman"/>
      <w:szCs w:val="24"/>
      <w:u w:val="none"/>
    </w:rPr>
  </w:style>
  <w:style w:type="table" w:styleId="TableGrid">
    <w:name w:val="Table Grid"/>
    <w:basedOn w:val="TableNormal"/>
    <w:uiPriority w:val="59"/>
    <w:rsid w:val="00971679"/>
    <w:pPr>
      <w:widowControl w:val="0"/>
      <w:autoSpaceDE w:val="0"/>
      <w:autoSpaceDN w:val="0"/>
    </w:pPr>
    <w:rPr>
      <w:rFonts w:asciiTheme="minorHAnsi" w:hAnsiTheme="minorHAnsi"/>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679"/>
    <w:pPr>
      <w:widowControl/>
      <w:autoSpaceDE/>
      <w:autoSpaceDN/>
      <w:spacing w:after="200" w:line="276" w:lineRule="auto"/>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971679"/>
    <w:rPr>
      <w:color w:val="0563C1" w:themeColor="hyperlink"/>
      <w:u w:val="single"/>
    </w:rPr>
  </w:style>
  <w:style w:type="paragraph" w:styleId="Header">
    <w:name w:val="header"/>
    <w:basedOn w:val="Normal"/>
    <w:link w:val="HeaderChar"/>
    <w:uiPriority w:val="99"/>
    <w:unhideWhenUsed/>
    <w:rsid w:val="00971679"/>
    <w:pPr>
      <w:tabs>
        <w:tab w:val="center" w:pos="4680"/>
        <w:tab w:val="right" w:pos="9360"/>
      </w:tabs>
    </w:pPr>
  </w:style>
  <w:style w:type="character" w:customStyle="1" w:styleId="HeaderChar">
    <w:name w:val="Header Char"/>
    <w:basedOn w:val="DefaultParagraphFont"/>
    <w:link w:val="Header"/>
    <w:uiPriority w:val="99"/>
    <w:rsid w:val="00971679"/>
    <w:rPr>
      <w:rFonts w:eastAsia="Times New Roman" w:cs="Times New Roman"/>
      <w:sz w:val="22"/>
      <w:u w:val="none"/>
    </w:rPr>
  </w:style>
  <w:style w:type="paragraph" w:styleId="Footer">
    <w:name w:val="footer"/>
    <w:basedOn w:val="Normal"/>
    <w:link w:val="FooterChar"/>
    <w:uiPriority w:val="99"/>
    <w:unhideWhenUsed/>
    <w:rsid w:val="00971679"/>
    <w:pPr>
      <w:tabs>
        <w:tab w:val="center" w:pos="4680"/>
        <w:tab w:val="right" w:pos="9360"/>
      </w:tabs>
    </w:pPr>
  </w:style>
  <w:style w:type="character" w:customStyle="1" w:styleId="FooterChar">
    <w:name w:val="Footer Char"/>
    <w:basedOn w:val="DefaultParagraphFont"/>
    <w:link w:val="Footer"/>
    <w:uiPriority w:val="99"/>
    <w:rsid w:val="00971679"/>
    <w:rPr>
      <w:rFonts w:eastAsia="Times New Roman" w:cs="Times New Roman"/>
      <w:sz w:val="22"/>
      <w:u w:val="none"/>
    </w:rPr>
  </w:style>
  <w:style w:type="character" w:styleId="UnresolvedMention">
    <w:name w:val="Unresolved Mention"/>
    <w:basedOn w:val="DefaultParagraphFont"/>
    <w:uiPriority w:val="99"/>
    <w:semiHidden/>
    <w:unhideWhenUsed/>
    <w:rsid w:val="002501FC"/>
    <w:rPr>
      <w:color w:val="605E5C"/>
      <w:shd w:val="clear" w:color="auto" w:fill="E1DFDD"/>
    </w:rPr>
  </w:style>
  <w:style w:type="paragraph" w:styleId="BalloonText">
    <w:name w:val="Balloon Text"/>
    <w:basedOn w:val="Normal"/>
    <w:link w:val="BalloonTextChar"/>
    <w:uiPriority w:val="99"/>
    <w:semiHidden/>
    <w:unhideWhenUsed/>
    <w:rsid w:val="00FC0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82B"/>
    <w:rPr>
      <w:rFonts w:ascii="Segoe UI" w:eastAsia="Times New Roman" w:hAnsi="Segoe UI" w:cs="Segoe UI"/>
      <w:sz w:val="18"/>
      <w:szCs w:val="18"/>
      <w:u w:val="none"/>
    </w:rPr>
  </w:style>
  <w:style w:type="character" w:customStyle="1" w:styleId="Heading2Char">
    <w:name w:val="Heading 2 Char"/>
    <w:basedOn w:val="DefaultParagraphFont"/>
    <w:link w:val="Heading2"/>
    <w:uiPriority w:val="9"/>
    <w:rsid w:val="00DE59C4"/>
    <w:rPr>
      <w:rFonts w:ascii="Arial" w:eastAsiaTheme="minorEastAsia" w:hAnsi="Arial" w:cs="Arial"/>
      <w:b/>
      <w:szCs w:val="24"/>
      <w:u w:val="none"/>
    </w:rPr>
  </w:style>
  <w:style w:type="paragraph" w:customStyle="1" w:styleId="CoverPage">
    <w:name w:val="Cover Page"/>
    <w:basedOn w:val="Normal"/>
    <w:link w:val="CoverPageChar"/>
    <w:qFormat/>
    <w:rsid w:val="003C3F7E"/>
    <w:pPr>
      <w:widowControl/>
      <w:autoSpaceDE/>
      <w:autoSpaceDN/>
    </w:pPr>
    <w:rPr>
      <w:rFonts w:ascii="Arial" w:hAnsi="Arial" w:cs="Arial"/>
    </w:rPr>
  </w:style>
  <w:style w:type="character" w:styleId="CommentReference">
    <w:name w:val="annotation reference"/>
    <w:basedOn w:val="DefaultParagraphFont"/>
    <w:uiPriority w:val="99"/>
    <w:semiHidden/>
    <w:unhideWhenUsed/>
    <w:rsid w:val="00684C6E"/>
    <w:rPr>
      <w:sz w:val="16"/>
      <w:szCs w:val="16"/>
    </w:rPr>
  </w:style>
  <w:style w:type="character" w:customStyle="1" w:styleId="CoverPageChar">
    <w:name w:val="Cover Page Char"/>
    <w:basedOn w:val="DefaultParagraphFont"/>
    <w:link w:val="CoverPage"/>
    <w:rsid w:val="003C3F7E"/>
    <w:rPr>
      <w:rFonts w:ascii="Arial" w:eastAsia="Times New Roman" w:hAnsi="Arial" w:cs="Arial"/>
      <w:sz w:val="22"/>
      <w:u w:val="none"/>
    </w:rPr>
  </w:style>
  <w:style w:type="paragraph" w:styleId="CommentText">
    <w:name w:val="annotation text"/>
    <w:basedOn w:val="Normal"/>
    <w:link w:val="CommentTextChar"/>
    <w:uiPriority w:val="99"/>
    <w:unhideWhenUsed/>
    <w:rsid w:val="00684C6E"/>
    <w:pPr>
      <w:widowControl/>
      <w:autoSpaceDE/>
      <w:autoSpaceDN/>
      <w:spacing w:after="200"/>
    </w:pPr>
    <w:rPr>
      <w:rFonts w:ascii="Arial" w:eastAsiaTheme="minorEastAsia" w:hAnsi="Arial" w:cstheme="minorBidi"/>
      <w:sz w:val="20"/>
      <w:szCs w:val="20"/>
    </w:rPr>
  </w:style>
  <w:style w:type="character" w:customStyle="1" w:styleId="CommentTextChar">
    <w:name w:val="Comment Text Char"/>
    <w:basedOn w:val="DefaultParagraphFont"/>
    <w:link w:val="CommentText"/>
    <w:uiPriority w:val="99"/>
    <w:rsid w:val="00684C6E"/>
    <w:rPr>
      <w:rFonts w:ascii="Arial" w:eastAsiaTheme="minorEastAsia" w:hAnsi="Arial"/>
      <w:sz w:val="20"/>
      <w:szCs w:val="20"/>
      <w:u w:val="none"/>
    </w:rPr>
  </w:style>
  <w:style w:type="paragraph" w:styleId="CommentSubject">
    <w:name w:val="annotation subject"/>
    <w:basedOn w:val="CommentText"/>
    <w:next w:val="CommentText"/>
    <w:link w:val="CommentSubjectChar"/>
    <w:uiPriority w:val="99"/>
    <w:semiHidden/>
    <w:unhideWhenUsed/>
    <w:rsid w:val="00671CFD"/>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71CFD"/>
    <w:rPr>
      <w:rFonts w:ascii="Arial" w:eastAsia="Times New Roman" w:hAnsi="Arial" w:cs="Times New Roman"/>
      <w:b/>
      <w:bCs/>
      <w:sz w:val="20"/>
      <w:szCs w:val="20"/>
      <w:u w:val="none"/>
    </w:rPr>
  </w:style>
  <w:style w:type="paragraph" w:styleId="TOCHeading">
    <w:name w:val="TOC Heading"/>
    <w:basedOn w:val="Heading1"/>
    <w:next w:val="Normal"/>
    <w:uiPriority w:val="39"/>
    <w:unhideWhenUsed/>
    <w:qFormat/>
    <w:rsid w:val="00043069"/>
    <w:pPr>
      <w:keepNext/>
      <w:keepLines/>
      <w:numPr>
        <w:numId w:val="0"/>
      </w:numPr>
      <w:autoSpaceDE/>
      <w:autoSpaceDN/>
      <w:adjustRightInd/>
      <w:spacing w:before="240" w:after="0" w:line="259" w:lineRule="auto"/>
      <w:contextualSpacing w:val="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next w:val="Normal"/>
    <w:autoRedefine/>
    <w:uiPriority w:val="39"/>
    <w:unhideWhenUsed/>
    <w:rsid w:val="00D269D4"/>
    <w:pPr>
      <w:tabs>
        <w:tab w:val="left" w:pos="440"/>
        <w:tab w:val="right" w:leader="dot" w:pos="9350"/>
      </w:tabs>
      <w:spacing w:line="480" w:lineRule="auto"/>
    </w:pPr>
    <w:rPr>
      <w:rFonts w:ascii="Arial" w:eastAsiaTheme="minorEastAsia" w:hAnsi="Arial" w:cs="Arial"/>
      <w:b/>
      <w:szCs w:val="24"/>
      <w:u w:val="none"/>
    </w:rPr>
  </w:style>
  <w:style w:type="paragraph" w:styleId="TOC2">
    <w:name w:val="toc 2"/>
    <w:next w:val="Normal"/>
    <w:autoRedefine/>
    <w:uiPriority w:val="39"/>
    <w:unhideWhenUsed/>
    <w:rsid w:val="001D6A28"/>
    <w:pPr>
      <w:tabs>
        <w:tab w:val="left" w:pos="660"/>
        <w:tab w:val="right" w:leader="dot" w:pos="9350"/>
      </w:tabs>
      <w:spacing w:after="240"/>
      <w:ind w:left="1094" w:hanging="662"/>
    </w:pPr>
    <w:rPr>
      <w:rFonts w:ascii="Arial" w:eastAsia="Times New Roman" w:hAnsi="Arial" w:cs="Times New Roman"/>
      <w:b/>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1085">
      <w:bodyDiv w:val="1"/>
      <w:marLeft w:val="0"/>
      <w:marRight w:val="0"/>
      <w:marTop w:val="0"/>
      <w:marBottom w:val="0"/>
      <w:divBdr>
        <w:top w:val="none" w:sz="0" w:space="0" w:color="auto"/>
        <w:left w:val="none" w:sz="0" w:space="0" w:color="auto"/>
        <w:bottom w:val="none" w:sz="0" w:space="0" w:color="auto"/>
        <w:right w:val="none" w:sz="0" w:space="0" w:color="auto"/>
      </w:divBdr>
    </w:div>
    <w:div w:id="1219589504">
      <w:bodyDiv w:val="1"/>
      <w:marLeft w:val="0"/>
      <w:marRight w:val="0"/>
      <w:marTop w:val="0"/>
      <w:marBottom w:val="0"/>
      <w:divBdr>
        <w:top w:val="none" w:sz="0" w:space="0" w:color="auto"/>
        <w:left w:val="none" w:sz="0" w:space="0" w:color="auto"/>
        <w:bottom w:val="none" w:sz="0" w:space="0" w:color="auto"/>
        <w:right w:val="none" w:sz="0" w:space="0" w:color="auto"/>
      </w:divBdr>
    </w:div>
    <w:div w:id="1355612974">
      <w:bodyDiv w:val="1"/>
      <w:marLeft w:val="0"/>
      <w:marRight w:val="0"/>
      <w:marTop w:val="0"/>
      <w:marBottom w:val="0"/>
      <w:divBdr>
        <w:top w:val="none" w:sz="0" w:space="0" w:color="auto"/>
        <w:left w:val="none" w:sz="0" w:space="0" w:color="auto"/>
        <w:bottom w:val="none" w:sz="0" w:space="0" w:color="auto"/>
        <w:right w:val="none" w:sz="0" w:space="0" w:color="auto"/>
      </w:divBdr>
      <w:divsChild>
        <w:div w:id="1547376530">
          <w:marLeft w:val="0"/>
          <w:marRight w:val="0"/>
          <w:marTop w:val="0"/>
          <w:marBottom w:val="0"/>
          <w:divBdr>
            <w:top w:val="none" w:sz="0" w:space="0" w:color="auto"/>
            <w:left w:val="none" w:sz="0" w:space="0" w:color="auto"/>
            <w:bottom w:val="none" w:sz="0" w:space="0" w:color="auto"/>
            <w:right w:val="none" w:sz="0" w:space="0" w:color="auto"/>
          </w:divBdr>
        </w:div>
      </w:divsChild>
    </w:div>
    <w:div w:id="1357345386">
      <w:bodyDiv w:val="1"/>
      <w:marLeft w:val="0"/>
      <w:marRight w:val="0"/>
      <w:marTop w:val="0"/>
      <w:marBottom w:val="0"/>
      <w:divBdr>
        <w:top w:val="none" w:sz="0" w:space="0" w:color="auto"/>
        <w:left w:val="none" w:sz="0" w:space="0" w:color="auto"/>
        <w:bottom w:val="none" w:sz="0" w:space="0" w:color="auto"/>
        <w:right w:val="none" w:sz="0" w:space="0" w:color="auto"/>
      </w:divBdr>
    </w:div>
    <w:div w:id="1577475867">
      <w:bodyDiv w:val="1"/>
      <w:marLeft w:val="0"/>
      <w:marRight w:val="0"/>
      <w:marTop w:val="0"/>
      <w:marBottom w:val="0"/>
      <w:divBdr>
        <w:top w:val="none" w:sz="0" w:space="0" w:color="auto"/>
        <w:left w:val="none" w:sz="0" w:space="0" w:color="auto"/>
        <w:bottom w:val="none" w:sz="0" w:space="0" w:color="auto"/>
        <w:right w:val="none" w:sz="0" w:space="0" w:color="auto"/>
      </w:divBdr>
    </w:div>
    <w:div w:id="19223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ael.nugent@igs.com" TargetMode="External"/><Relationship Id="rId18" Type="http://schemas.openxmlformats.org/officeDocument/2006/relationships/hyperlink" Target="mailto:michael.nugent@igs.com" TargetMode="External"/><Relationship Id="rId26" Type="http://schemas.openxmlformats.org/officeDocument/2006/relationships/hyperlink" Target="mailto:cmblend@aep.com" TargetMode="External"/><Relationship Id="rId39" Type="http://schemas.openxmlformats.org/officeDocument/2006/relationships/hyperlink" Target="mailto:mleppla@theOEC.org" TargetMode="External"/><Relationship Id="rId21" Type="http://schemas.openxmlformats.org/officeDocument/2006/relationships/hyperlink" Target="mailto:hogan@litohio.com" TargetMode="External"/><Relationship Id="rId34" Type="http://schemas.openxmlformats.org/officeDocument/2006/relationships/hyperlink" Target="mailto:rglover@mcneeslaw.com" TargetMode="External"/><Relationship Id="rId42" Type="http://schemas.openxmlformats.org/officeDocument/2006/relationships/hyperlink" Target="mailto:cgrundmann@spilmanlaw.com" TargetMode="External"/><Relationship Id="rId47" Type="http://schemas.openxmlformats.org/officeDocument/2006/relationships/hyperlink" Target="mailto:dparram@bricker.com" TargetMode="External"/><Relationship Id="rId50" Type="http://schemas.openxmlformats.org/officeDocument/2006/relationships/hyperlink" Target="mailto:kherrnstein@bricker.com" TargetMode="External"/><Relationship Id="rId55" Type="http://schemas.openxmlformats.org/officeDocument/2006/relationships/hyperlink" Target="mailto:kboehm@BKLlawfirm.com"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ethany.allen@igs.com" TargetMode="External"/><Relationship Id="rId20" Type="http://schemas.openxmlformats.org/officeDocument/2006/relationships/hyperlink" Target="mailto:little@litohio.com" TargetMode="External"/><Relationship Id="rId29" Type="http://schemas.openxmlformats.org/officeDocument/2006/relationships/hyperlink" Target="mailto:Werner.margard@ohioattorneygeneral.gov" TargetMode="External"/><Relationship Id="rId41" Type="http://schemas.openxmlformats.org/officeDocument/2006/relationships/hyperlink" Target="mailto:ctavenor@theOEC.org" TargetMode="External"/><Relationship Id="rId54" Type="http://schemas.openxmlformats.org/officeDocument/2006/relationships/hyperlink" Target="mailto:mkurtz@BKLlawfirm.com" TargetMode="External"/><Relationship Id="rId62" Type="http://schemas.openxmlformats.org/officeDocument/2006/relationships/hyperlink" Target="mailto:dromig@armadapow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any.allen@igs.com" TargetMode="External"/><Relationship Id="rId24" Type="http://schemas.openxmlformats.org/officeDocument/2006/relationships/hyperlink" Target="mailto:ktreadway@oneenergyllc.com" TargetMode="External"/><Relationship Id="rId32" Type="http://schemas.openxmlformats.org/officeDocument/2006/relationships/hyperlink" Target="mailto:christopher.healey@occ.ohio.gov" TargetMode="External"/><Relationship Id="rId37" Type="http://schemas.openxmlformats.org/officeDocument/2006/relationships/hyperlink" Target="mailto:mfleisher@dickinsonwright.com" TargetMode="External"/><Relationship Id="rId40" Type="http://schemas.openxmlformats.org/officeDocument/2006/relationships/hyperlink" Target="mailto:tdougherty@theOEC.org" TargetMode="External"/><Relationship Id="rId45" Type="http://schemas.openxmlformats.org/officeDocument/2006/relationships/hyperlink" Target="mailto:whitt@whitt-sturtevant.com" TargetMode="External"/><Relationship Id="rId53" Type="http://schemas.openxmlformats.org/officeDocument/2006/relationships/hyperlink" Target="mailto:glpetrucci@vorys.com" TargetMode="External"/><Relationship Id="rId58" Type="http://schemas.openxmlformats.org/officeDocument/2006/relationships/hyperlink" Target="mailto:rkelter@elpc.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mwarnock@bricker.com" TargetMode="External"/><Relationship Id="rId28" Type="http://schemas.openxmlformats.org/officeDocument/2006/relationships/hyperlink" Target="mailto:christopher.miller@icemiller.com" TargetMode="External"/><Relationship Id="rId36" Type="http://schemas.openxmlformats.org/officeDocument/2006/relationships/hyperlink" Target="mailto:Bojko@carpenterlipps.com" TargetMode="External"/><Relationship Id="rId49" Type="http://schemas.openxmlformats.org/officeDocument/2006/relationships/hyperlink" Target="mailto:dborchers@bricker.com" TargetMode="External"/><Relationship Id="rId57" Type="http://schemas.openxmlformats.org/officeDocument/2006/relationships/hyperlink" Target="mailto:rdove@keglerbrown.com" TargetMode="External"/><Relationship Id="rId61" Type="http://schemas.openxmlformats.org/officeDocument/2006/relationships/hyperlink" Target="mailto:glpetrucci@vorys.com" TargetMode="External"/><Relationship Id="rId10" Type="http://schemas.openxmlformats.org/officeDocument/2006/relationships/endnotes" Target="endnotes.xml"/><Relationship Id="rId19" Type="http://schemas.openxmlformats.org/officeDocument/2006/relationships/hyperlink" Target="mailto:Evan.betterton@igs.com" TargetMode="External"/><Relationship Id="rId31" Type="http://schemas.openxmlformats.org/officeDocument/2006/relationships/hyperlink" Target="mailto:angela.obrien@occ.ohio.gov" TargetMode="External"/><Relationship Id="rId44" Type="http://schemas.openxmlformats.org/officeDocument/2006/relationships/hyperlink" Target="mailto:Stephen.criss@walmart.com" TargetMode="External"/><Relationship Id="rId52" Type="http://schemas.openxmlformats.org/officeDocument/2006/relationships/hyperlink" Target="mailto:mjsettineri@vorys.com" TargetMode="External"/><Relationship Id="rId60" Type="http://schemas.openxmlformats.org/officeDocument/2006/relationships/hyperlink" Target="mailto:msettineri@vorys.com"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n.betterton@igs.com" TargetMode="External"/><Relationship Id="rId22" Type="http://schemas.openxmlformats.org/officeDocument/2006/relationships/hyperlink" Target="mailto:dstinson@bricker.com" TargetMode="External"/><Relationship Id="rId27" Type="http://schemas.openxmlformats.org/officeDocument/2006/relationships/hyperlink" Target="mailto:egallon@porterwright.com" TargetMode="External"/><Relationship Id="rId30" Type="http://schemas.openxmlformats.org/officeDocument/2006/relationships/hyperlink" Target="mailto:Kyle.kern@ohioattorneygeneral.gov" TargetMode="External"/><Relationship Id="rId35" Type="http://schemas.openxmlformats.org/officeDocument/2006/relationships/hyperlink" Target="mailto:bmckenney@mcneeslaw.com" TargetMode="External"/><Relationship Id="rId43" Type="http://schemas.openxmlformats.org/officeDocument/2006/relationships/hyperlink" Target="mailto:dwilliamson@spilmanlaw.com" TargetMode="External"/><Relationship Id="rId48" Type="http://schemas.openxmlformats.org/officeDocument/2006/relationships/hyperlink" Target="mailto:rmains@bricker.com" TargetMode="External"/><Relationship Id="rId56" Type="http://schemas.openxmlformats.org/officeDocument/2006/relationships/hyperlink" Target="mailto:jkylercohn@BKLlawfirm.com"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jspottswood@bricker.com" TargetMode="External"/><Relationship Id="rId3" Type="http://schemas.openxmlformats.org/officeDocument/2006/relationships/customXml" Target="../customXml/item3.xml"/><Relationship Id="rId12" Type="http://schemas.openxmlformats.org/officeDocument/2006/relationships/hyperlink" Target="mailto:joe.oliker@igs.com" TargetMode="External"/><Relationship Id="rId17" Type="http://schemas.openxmlformats.org/officeDocument/2006/relationships/hyperlink" Target="mailto:joe.oliker@igs.com" TargetMode="External"/><Relationship Id="rId25" Type="http://schemas.openxmlformats.org/officeDocument/2006/relationships/hyperlink" Target="mailto:stnourse@aep.com" TargetMode="External"/><Relationship Id="rId33" Type="http://schemas.openxmlformats.org/officeDocument/2006/relationships/hyperlink" Target="mailto:mpritchard@mcneeslaw.com" TargetMode="External"/><Relationship Id="rId38" Type="http://schemas.openxmlformats.org/officeDocument/2006/relationships/hyperlink" Target="mailto:paul@carpenterlipps.com" TargetMode="External"/><Relationship Id="rId46" Type="http://schemas.openxmlformats.org/officeDocument/2006/relationships/hyperlink" Target="mailto:fykes@whitt-sturtevant.com" TargetMode="External"/><Relationship Id="rId59" Type="http://schemas.openxmlformats.org/officeDocument/2006/relationships/hyperlink" Target="mailto:ccox@el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8" ma:contentTypeDescription="Create a new document." ma:contentTypeScope="" ma:versionID="b123bb675f538c01cd1edc001d17f45a">
  <xsd:schema xmlns:xsd="http://www.w3.org/2001/XMLSchema" xmlns:xs="http://www.w3.org/2001/XMLSchema" xmlns:p="http://schemas.microsoft.com/office/2006/metadata/properties" xmlns:ns2="7b65a839-91ea-4ae8-a3e7-aa2e1fd1ecb0" xmlns:ns3="55d5c4c6-b9eb-4cda-b39a-7fef7100373c" targetNamespace="http://schemas.microsoft.com/office/2006/metadata/properties" ma:root="true" ma:fieldsID="c0175aaf1d765f7823cf700f99e3fa78" ns2:_="" ns3:_="">
    <xsd:import namespace="7b65a839-91ea-4ae8-a3e7-aa2e1fd1ecb0"/>
    <xsd:import namespace="55d5c4c6-b9eb-4cda-b39a-7fef710037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5c4c6-b9eb-4cda-b39a-7fef710037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082A-2DA6-4050-9774-FBB640845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55d5c4c6-b9eb-4cda-b39a-7fef71003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3B650-9FCB-48F7-8701-21CBC61FB406}">
  <ds:schemaRefs>
    <ds:schemaRef ds:uri="http://schemas.microsoft.com/sharepoint/v3/contenttype/forms"/>
  </ds:schemaRefs>
</ds:datastoreItem>
</file>

<file path=customXml/itemProps3.xml><?xml version="1.0" encoding="utf-8"?>
<ds:datastoreItem xmlns:ds="http://schemas.openxmlformats.org/officeDocument/2006/customXml" ds:itemID="{46C9F5A5-3022-4817-A2FC-07F5C4C992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1794A2-9930-4B20-8483-8A66F073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5733</Words>
  <Characters>32683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38340</CharactersWithSpaces>
  <SharedDoc>false</SharedDoc>
  <HLinks>
    <vt:vector size="384" baseType="variant">
      <vt:variant>
        <vt:i4>7929932</vt:i4>
      </vt:variant>
      <vt:variant>
        <vt:i4>231</vt:i4>
      </vt:variant>
      <vt:variant>
        <vt:i4>0</vt:i4>
      </vt:variant>
      <vt:variant>
        <vt:i4>5</vt:i4>
      </vt:variant>
      <vt:variant>
        <vt:lpwstr>mailto:dromig@armadapower.com</vt:lpwstr>
      </vt:variant>
      <vt:variant>
        <vt:lpwstr/>
      </vt:variant>
      <vt:variant>
        <vt:i4>47</vt:i4>
      </vt:variant>
      <vt:variant>
        <vt:i4>228</vt:i4>
      </vt:variant>
      <vt:variant>
        <vt:i4>0</vt:i4>
      </vt:variant>
      <vt:variant>
        <vt:i4>5</vt:i4>
      </vt:variant>
      <vt:variant>
        <vt:lpwstr>mailto:glpetrucci@vorys.com</vt:lpwstr>
      </vt:variant>
      <vt:variant>
        <vt:lpwstr/>
      </vt:variant>
      <vt:variant>
        <vt:i4>1376316</vt:i4>
      </vt:variant>
      <vt:variant>
        <vt:i4>225</vt:i4>
      </vt:variant>
      <vt:variant>
        <vt:i4>0</vt:i4>
      </vt:variant>
      <vt:variant>
        <vt:i4>5</vt:i4>
      </vt:variant>
      <vt:variant>
        <vt:lpwstr>mailto:msettineri@vorys.com</vt:lpwstr>
      </vt:variant>
      <vt:variant>
        <vt:lpwstr/>
      </vt:variant>
      <vt:variant>
        <vt:i4>2687000</vt:i4>
      </vt:variant>
      <vt:variant>
        <vt:i4>222</vt:i4>
      </vt:variant>
      <vt:variant>
        <vt:i4>0</vt:i4>
      </vt:variant>
      <vt:variant>
        <vt:i4>5</vt:i4>
      </vt:variant>
      <vt:variant>
        <vt:lpwstr>mailto:ccox@elpc.org</vt:lpwstr>
      </vt:variant>
      <vt:variant>
        <vt:lpwstr/>
      </vt:variant>
      <vt:variant>
        <vt:i4>3801096</vt:i4>
      </vt:variant>
      <vt:variant>
        <vt:i4>219</vt:i4>
      </vt:variant>
      <vt:variant>
        <vt:i4>0</vt:i4>
      </vt:variant>
      <vt:variant>
        <vt:i4>5</vt:i4>
      </vt:variant>
      <vt:variant>
        <vt:lpwstr>mailto:rkelter@elpc.org</vt:lpwstr>
      </vt:variant>
      <vt:variant>
        <vt:lpwstr/>
      </vt:variant>
      <vt:variant>
        <vt:i4>1966119</vt:i4>
      </vt:variant>
      <vt:variant>
        <vt:i4>216</vt:i4>
      </vt:variant>
      <vt:variant>
        <vt:i4>0</vt:i4>
      </vt:variant>
      <vt:variant>
        <vt:i4>5</vt:i4>
      </vt:variant>
      <vt:variant>
        <vt:lpwstr>mailto:rdove@keglerbrown.com</vt:lpwstr>
      </vt:variant>
      <vt:variant>
        <vt:lpwstr/>
      </vt:variant>
      <vt:variant>
        <vt:i4>2424836</vt:i4>
      </vt:variant>
      <vt:variant>
        <vt:i4>213</vt:i4>
      </vt:variant>
      <vt:variant>
        <vt:i4>0</vt:i4>
      </vt:variant>
      <vt:variant>
        <vt:i4>5</vt:i4>
      </vt:variant>
      <vt:variant>
        <vt:lpwstr>mailto:jkylercohn@BKLlawfirm.com</vt:lpwstr>
      </vt:variant>
      <vt:variant>
        <vt:lpwstr/>
      </vt:variant>
      <vt:variant>
        <vt:i4>3407898</vt:i4>
      </vt:variant>
      <vt:variant>
        <vt:i4>210</vt:i4>
      </vt:variant>
      <vt:variant>
        <vt:i4>0</vt:i4>
      </vt:variant>
      <vt:variant>
        <vt:i4>5</vt:i4>
      </vt:variant>
      <vt:variant>
        <vt:lpwstr>mailto:kboehm@BKLlawfirm.com</vt:lpwstr>
      </vt:variant>
      <vt:variant>
        <vt:lpwstr/>
      </vt:variant>
      <vt:variant>
        <vt:i4>3407891</vt:i4>
      </vt:variant>
      <vt:variant>
        <vt:i4>207</vt:i4>
      </vt:variant>
      <vt:variant>
        <vt:i4>0</vt:i4>
      </vt:variant>
      <vt:variant>
        <vt:i4>5</vt:i4>
      </vt:variant>
      <vt:variant>
        <vt:lpwstr>mailto:mkurtz@BKLlawfirm.com</vt:lpwstr>
      </vt:variant>
      <vt:variant>
        <vt:lpwstr/>
      </vt:variant>
      <vt:variant>
        <vt:i4>47</vt:i4>
      </vt:variant>
      <vt:variant>
        <vt:i4>204</vt:i4>
      </vt:variant>
      <vt:variant>
        <vt:i4>0</vt:i4>
      </vt:variant>
      <vt:variant>
        <vt:i4>5</vt:i4>
      </vt:variant>
      <vt:variant>
        <vt:lpwstr>mailto:glpetrucci@vorys.com</vt:lpwstr>
      </vt:variant>
      <vt:variant>
        <vt:lpwstr/>
      </vt:variant>
      <vt:variant>
        <vt:i4>1310778</vt:i4>
      </vt:variant>
      <vt:variant>
        <vt:i4>201</vt:i4>
      </vt:variant>
      <vt:variant>
        <vt:i4>0</vt:i4>
      </vt:variant>
      <vt:variant>
        <vt:i4>5</vt:i4>
      </vt:variant>
      <vt:variant>
        <vt:lpwstr>mailto:mjsettineri@vorys.com</vt:lpwstr>
      </vt:variant>
      <vt:variant>
        <vt:lpwstr/>
      </vt:variant>
      <vt:variant>
        <vt:i4>6815823</vt:i4>
      </vt:variant>
      <vt:variant>
        <vt:i4>198</vt:i4>
      </vt:variant>
      <vt:variant>
        <vt:i4>0</vt:i4>
      </vt:variant>
      <vt:variant>
        <vt:i4>5</vt:i4>
      </vt:variant>
      <vt:variant>
        <vt:lpwstr>mailto:jspottswood@bricker.com</vt:lpwstr>
      </vt:variant>
      <vt:variant>
        <vt:lpwstr/>
      </vt:variant>
      <vt:variant>
        <vt:i4>7995478</vt:i4>
      </vt:variant>
      <vt:variant>
        <vt:i4>195</vt:i4>
      </vt:variant>
      <vt:variant>
        <vt:i4>0</vt:i4>
      </vt:variant>
      <vt:variant>
        <vt:i4>5</vt:i4>
      </vt:variant>
      <vt:variant>
        <vt:lpwstr>mailto:kherrnstein@bricker.com</vt:lpwstr>
      </vt:variant>
      <vt:variant>
        <vt:lpwstr/>
      </vt:variant>
      <vt:variant>
        <vt:i4>53</vt:i4>
      </vt:variant>
      <vt:variant>
        <vt:i4>192</vt:i4>
      </vt:variant>
      <vt:variant>
        <vt:i4>0</vt:i4>
      </vt:variant>
      <vt:variant>
        <vt:i4>5</vt:i4>
      </vt:variant>
      <vt:variant>
        <vt:lpwstr>mailto:dborchers@bricker.com</vt:lpwstr>
      </vt:variant>
      <vt:variant>
        <vt:lpwstr/>
      </vt:variant>
      <vt:variant>
        <vt:i4>6946892</vt:i4>
      </vt:variant>
      <vt:variant>
        <vt:i4>189</vt:i4>
      </vt:variant>
      <vt:variant>
        <vt:i4>0</vt:i4>
      </vt:variant>
      <vt:variant>
        <vt:i4>5</vt:i4>
      </vt:variant>
      <vt:variant>
        <vt:lpwstr>mailto:rmains@bricker.com</vt:lpwstr>
      </vt:variant>
      <vt:variant>
        <vt:lpwstr/>
      </vt:variant>
      <vt:variant>
        <vt:i4>6553692</vt:i4>
      </vt:variant>
      <vt:variant>
        <vt:i4>186</vt:i4>
      </vt:variant>
      <vt:variant>
        <vt:i4>0</vt:i4>
      </vt:variant>
      <vt:variant>
        <vt:i4>5</vt:i4>
      </vt:variant>
      <vt:variant>
        <vt:lpwstr>mailto:dparram@bricker.com</vt:lpwstr>
      </vt:variant>
      <vt:variant>
        <vt:lpwstr/>
      </vt:variant>
      <vt:variant>
        <vt:i4>6094898</vt:i4>
      </vt:variant>
      <vt:variant>
        <vt:i4>183</vt:i4>
      </vt:variant>
      <vt:variant>
        <vt:i4>0</vt:i4>
      </vt:variant>
      <vt:variant>
        <vt:i4>5</vt:i4>
      </vt:variant>
      <vt:variant>
        <vt:lpwstr>mailto:fykes@whitt-sturtevant.com</vt:lpwstr>
      </vt:variant>
      <vt:variant>
        <vt:lpwstr/>
      </vt:variant>
      <vt:variant>
        <vt:i4>4784178</vt:i4>
      </vt:variant>
      <vt:variant>
        <vt:i4>180</vt:i4>
      </vt:variant>
      <vt:variant>
        <vt:i4>0</vt:i4>
      </vt:variant>
      <vt:variant>
        <vt:i4>5</vt:i4>
      </vt:variant>
      <vt:variant>
        <vt:lpwstr>mailto:whitt@whitt-sturtevant.com</vt:lpwstr>
      </vt:variant>
      <vt:variant>
        <vt:lpwstr/>
      </vt:variant>
      <vt:variant>
        <vt:i4>721019</vt:i4>
      </vt:variant>
      <vt:variant>
        <vt:i4>177</vt:i4>
      </vt:variant>
      <vt:variant>
        <vt:i4>0</vt:i4>
      </vt:variant>
      <vt:variant>
        <vt:i4>5</vt:i4>
      </vt:variant>
      <vt:variant>
        <vt:lpwstr>mailto:Stephen.criss@walmart.com</vt:lpwstr>
      </vt:variant>
      <vt:variant>
        <vt:lpwstr/>
      </vt:variant>
      <vt:variant>
        <vt:i4>4587647</vt:i4>
      </vt:variant>
      <vt:variant>
        <vt:i4>174</vt:i4>
      </vt:variant>
      <vt:variant>
        <vt:i4>0</vt:i4>
      </vt:variant>
      <vt:variant>
        <vt:i4>5</vt:i4>
      </vt:variant>
      <vt:variant>
        <vt:lpwstr>mailto:dwilliamson@spilmanlaw.com</vt:lpwstr>
      </vt:variant>
      <vt:variant>
        <vt:lpwstr/>
      </vt:variant>
      <vt:variant>
        <vt:i4>3538954</vt:i4>
      </vt:variant>
      <vt:variant>
        <vt:i4>171</vt:i4>
      </vt:variant>
      <vt:variant>
        <vt:i4>0</vt:i4>
      </vt:variant>
      <vt:variant>
        <vt:i4>5</vt:i4>
      </vt:variant>
      <vt:variant>
        <vt:lpwstr>mailto:cgrundmann@spilmanlaw.com</vt:lpwstr>
      </vt:variant>
      <vt:variant>
        <vt:lpwstr/>
      </vt:variant>
      <vt:variant>
        <vt:i4>4587644</vt:i4>
      </vt:variant>
      <vt:variant>
        <vt:i4>168</vt:i4>
      </vt:variant>
      <vt:variant>
        <vt:i4>0</vt:i4>
      </vt:variant>
      <vt:variant>
        <vt:i4>5</vt:i4>
      </vt:variant>
      <vt:variant>
        <vt:lpwstr>mailto:ctavenor@theOEC.org</vt:lpwstr>
      </vt:variant>
      <vt:variant>
        <vt:lpwstr/>
      </vt:variant>
      <vt:variant>
        <vt:i4>2293776</vt:i4>
      </vt:variant>
      <vt:variant>
        <vt:i4>165</vt:i4>
      </vt:variant>
      <vt:variant>
        <vt:i4>0</vt:i4>
      </vt:variant>
      <vt:variant>
        <vt:i4>5</vt:i4>
      </vt:variant>
      <vt:variant>
        <vt:lpwstr>mailto:tdougherty@theOEC.org</vt:lpwstr>
      </vt:variant>
      <vt:variant>
        <vt:lpwstr/>
      </vt:variant>
      <vt:variant>
        <vt:i4>5439601</vt:i4>
      </vt:variant>
      <vt:variant>
        <vt:i4>162</vt:i4>
      </vt:variant>
      <vt:variant>
        <vt:i4>0</vt:i4>
      </vt:variant>
      <vt:variant>
        <vt:i4>5</vt:i4>
      </vt:variant>
      <vt:variant>
        <vt:lpwstr>mailto:mleppla@theOEC.org</vt:lpwstr>
      </vt:variant>
      <vt:variant>
        <vt:lpwstr/>
      </vt:variant>
      <vt:variant>
        <vt:i4>6029421</vt:i4>
      </vt:variant>
      <vt:variant>
        <vt:i4>159</vt:i4>
      </vt:variant>
      <vt:variant>
        <vt:i4>0</vt:i4>
      </vt:variant>
      <vt:variant>
        <vt:i4>5</vt:i4>
      </vt:variant>
      <vt:variant>
        <vt:lpwstr>mailto:paul@carpenterlipps.com</vt:lpwstr>
      </vt:variant>
      <vt:variant>
        <vt:lpwstr/>
      </vt:variant>
      <vt:variant>
        <vt:i4>786475</vt:i4>
      </vt:variant>
      <vt:variant>
        <vt:i4>156</vt:i4>
      </vt:variant>
      <vt:variant>
        <vt:i4>0</vt:i4>
      </vt:variant>
      <vt:variant>
        <vt:i4>5</vt:i4>
      </vt:variant>
      <vt:variant>
        <vt:lpwstr>mailto:mfleisher@dickinsonwright.com</vt:lpwstr>
      </vt:variant>
      <vt:variant>
        <vt:lpwstr/>
      </vt:variant>
      <vt:variant>
        <vt:i4>3080216</vt:i4>
      </vt:variant>
      <vt:variant>
        <vt:i4>153</vt:i4>
      </vt:variant>
      <vt:variant>
        <vt:i4>0</vt:i4>
      </vt:variant>
      <vt:variant>
        <vt:i4>5</vt:i4>
      </vt:variant>
      <vt:variant>
        <vt:lpwstr>mailto:Bojko@carpenterlipps.com</vt:lpwstr>
      </vt:variant>
      <vt:variant>
        <vt:lpwstr/>
      </vt:variant>
      <vt:variant>
        <vt:i4>6422610</vt:i4>
      </vt:variant>
      <vt:variant>
        <vt:i4>150</vt:i4>
      </vt:variant>
      <vt:variant>
        <vt:i4>0</vt:i4>
      </vt:variant>
      <vt:variant>
        <vt:i4>5</vt:i4>
      </vt:variant>
      <vt:variant>
        <vt:lpwstr>mailto:bmckenney@mcneeslaw.com</vt:lpwstr>
      </vt:variant>
      <vt:variant>
        <vt:lpwstr/>
      </vt:variant>
      <vt:variant>
        <vt:i4>720946</vt:i4>
      </vt:variant>
      <vt:variant>
        <vt:i4>147</vt:i4>
      </vt:variant>
      <vt:variant>
        <vt:i4>0</vt:i4>
      </vt:variant>
      <vt:variant>
        <vt:i4>5</vt:i4>
      </vt:variant>
      <vt:variant>
        <vt:lpwstr>mailto:rglover@mcneeslaw.com</vt:lpwstr>
      </vt:variant>
      <vt:variant>
        <vt:lpwstr/>
      </vt:variant>
      <vt:variant>
        <vt:i4>393259</vt:i4>
      </vt:variant>
      <vt:variant>
        <vt:i4>144</vt:i4>
      </vt:variant>
      <vt:variant>
        <vt:i4>0</vt:i4>
      </vt:variant>
      <vt:variant>
        <vt:i4>5</vt:i4>
      </vt:variant>
      <vt:variant>
        <vt:lpwstr>mailto:mpritchard@mcneeslaw.com</vt:lpwstr>
      </vt:variant>
      <vt:variant>
        <vt:lpwstr/>
      </vt:variant>
      <vt:variant>
        <vt:i4>131135</vt:i4>
      </vt:variant>
      <vt:variant>
        <vt:i4>141</vt:i4>
      </vt:variant>
      <vt:variant>
        <vt:i4>0</vt:i4>
      </vt:variant>
      <vt:variant>
        <vt:i4>5</vt:i4>
      </vt:variant>
      <vt:variant>
        <vt:lpwstr>mailto:christopher.healey@occ.ohio.gov</vt:lpwstr>
      </vt:variant>
      <vt:variant>
        <vt:lpwstr/>
      </vt:variant>
      <vt:variant>
        <vt:i4>524341</vt:i4>
      </vt:variant>
      <vt:variant>
        <vt:i4>138</vt:i4>
      </vt:variant>
      <vt:variant>
        <vt:i4>0</vt:i4>
      </vt:variant>
      <vt:variant>
        <vt:i4>5</vt:i4>
      </vt:variant>
      <vt:variant>
        <vt:lpwstr>mailto:angela.obrien@occ.ohio.gov</vt:lpwstr>
      </vt:variant>
      <vt:variant>
        <vt:lpwstr/>
      </vt:variant>
      <vt:variant>
        <vt:i4>4325412</vt:i4>
      </vt:variant>
      <vt:variant>
        <vt:i4>135</vt:i4>
      </vt:variant>
      <vt:variant>
        <vt:i4>0</vt:i4>
      </vt:variant>
      <vt:variant>
        <vt:i4>5</vt:i4>
      </vt:variant>
      <vt:variant>
        <vt:lpwstr>mailto:Kyle.kern@ohioattorneygeneral.gov</vt:lpwstr>
      </vt:variant>
      <vt:variant>
        <vt:lpwstr/>
      </vt:variant>
      <vt:variant>
        <vt:i4>3342429</vt:i4>
      </vt:variant>
      <vt:variant>
        <vt:i4>132</vt:i4>
      </vt:variant>
      <vt:variant>
        <vt:i4>0</vt:i4>
      </vt:variant>
      <vt:variant>
        <vt:i4>5</vt:i4>
      </vt:variant>
      <vt:variant>
        <vt:lpwstr>mailto:Werner.margard@ohioattorneygeneral.gov</vt:lpwstr>
      </vt:variant>
      <vt:variant>
        <vt:lpwstr/>
      </vt:variant>
      <vt:variant>
        <vt:i4>1507435</vt:i4>
      </vt:variant>
      <vt:variant>
        <vt:i4>129</vt:i4>
      </vt:variant>
      <vt:variant>
        <vt:i4>0</vt:i4>
      </vt:variant>
      <vt:variant>
        <vt:i4>5</vt:i4>
      </vt:variant>
      <vt:variant>
        <vt:lpwstr>mailto:christopher.miller@icemiller.com</vt:lpwstr>
      </vt:variant>
      <vt:variant>
        <vt:lpwstr/>
      </vt:variant>
      <vt:variant>
        <vt:i4>3407877</vt:i4>
      </vt:variant>
      <vt:variant>
        <vt:i4>126</vt:i4>
      </vt:variant>
      <vt:variant>
        <vt:i4>0</vt:i4>
      </vt:variant>
      <vt:variant>
        <vt:i4>5</vt:i4>
      </vt:variant>
      <vt:variant>
        <vt:lpwstr>mailto:egallon@porterwright.com</vt:lpwstr>
      </vt:variant>
      <vt:variant>
        <vt:lpwstr/>
      </vt:variant>
      <vt:variant>
        <vt:i4>8192065</vt:i4>
      </vt:variant>
      <vt:variant>
        <vt:i4>123</vt:i4>
      </vt:variant>
      <vt:variant>
        <vt:i4>0</vt:i4>
      </vt:variant>
      <vt:variant>
        <vt:i4>5</vt:i4>
      </vt:variant>
      <vt:variant>
        <vt:lpwstr>mailto:cmblend@aep.com</vt:lpwstr>
      </vt:variant>
      <vt:variant>
        <vt:lpwstr/>
      </vt:variant>
      <vt:variant>
        <vt:i4>1900596</vt:i4>
      </vt:variant>
      <vt:variant>
        <vt:i4>120</vt:i4>
      </vt:variant>
      <vt:variant>
        <vt:i4>0</vt:i4>
      </vt:variant>
      <vt:variant>
        <vt:i4>5</vt:i4>
      </vt:variant>
      <vt:variant>
        <vt:lpwstr>mailto:stnourse@aep.com</vt:lpwstr>
      </vt:variant>
      <vt:variant>
        <vt:lpwstr/>
      </vt:variant>
      <vt:variant>
        <vt:i4>5636219</vt:i4>
      </vt:variant>
      <vt:variant>
        <vt:i4>117</vt:i4>
      </vt:variant>
      <vt:variant>
        <vt:i4>0</vt:i4>
      </vt:variant>
      <vt:variant>
        <vt:i4>5</vt:i4>
      </vt:variant>
      <vt:variant>
        <vt:lpwstr>mailto:ktreadway@oneenergyllc.com</vt:lpwstr>
      </vt:variant>
      <vt:variant>
        <vt:lpwstr/>
      </vt:variant>
      <vt:variant>
        <vt:i4>1441850</vt:i4>
      </vt:variant>
      <vt:variant>
        <vt:i4>114</vt:i4>
      </vt:variant>
      <vt:variant>
        <vt:i4>0</vt:i4>
      </vt:variant>
      <vt:variant>
        <vt:i4>5</vt:i4>
      </vt:variant>
      <vt:variant>
        <vt:lpwstr>mailto:mwarnock@bricker.com</vt:lpwstr>
      </vt:variant>
      <vt:variant>
        <vt:lpwstr/>
      </vt:variant>
      <vt:variant>
        <vt:i4>393276</vt:i4>
      </vt:variant>
      <vt:variant>
        <vt:i4>111</vt:i4>
      </vt:variant>
      <vt:variant>
        <vt:i4>0</vt:i4>
      </vt:variant>
      <vt:variant>
        <vt:i4>5</vt:i4>
      </vt:variant>
      <vt:variant>
        <vt:lpwstr>mailto:dstinson@bricker.com</vt:lpwstr>
      </vt:variant>
      <vt:variant>
        <vt:lpwstr/>
      </vt:variant>
      <vt:variant>
        <vt:i4>1179690</vt:i4>
      </vt:variant>
      <vt:variant>
        <vt:i4>108</vt:i4>
      </vt:variant>
      <vt:variant>
        <vt:i4>0</vt:i4>
      </vt:variant>
      <vt:variant>
        <vt:i4>5</vt:i4>
      </vt:variant>
      <vt:variant>
        <vt:lpwstr>mailto:hogan@litohio.com</vt:lpwstr>
      </vt:variant>
      <vt:variant>
        <vt:lpwstr/>
      </vt:variant>
      <vt:variant>
        <vt:i4>7864398</vt:i4>
      </vt:variant>
      <vt:variant>
        <vt:i4>105</vt:i4>
      </vt:variant>
      <vt:variant>
        <vt:i4>0</vt:i4>
      </vt:variant>
      <vt:variant>
        <vt:i4>5</vt:i4>
      </vt:variant>
      <vt:variant>
        <vt:lpwstr>mailto:little@litohio.com</vt:lpwstr>
      </vt:variant>
      <vt:variant>
        <vt:lpwstr/>
      </vt:variant>
      <vt:variant>
        <vt:i4>2228290</vt:i4>
      </vt:variant>
      <vt:variant>
        <vt:i4>102</vt:i4>
      </vt:variant>
      <vt:variant>
        <vt:i4>0</vt:i4>
      </vt:variant>
      <vt:variant>
        <vt:i4>5</vt:i4>
      </vt:variant>
      <vt:variant>
        <vt:lpwstr>mailto:Evan.betterton@igs.com</vt:lpwstr>
      </vt:variant>
      <vt:variant>
        <vt:lpwstr/>
      </vt:variant>
      <vt:variant>
        <vt:i4>6291485</vt:i4>
      </vt:variant>
      <vt:variant>
        <vt:i4>99</vt:i4>
      </vt:variant>
      <vt:variant>
        <vt:i4>0</vt:i4>
      </vt:variant>
      <vt:variant>
        <vt:i4>5</vt:i4>
      </vt:variant>
      <vt:variant>
        <vt:lpwstr>mailto:michael.nugent@igs.com</vt:lpwstr>
      </vt:variant>
      <vt:variant>
        <vt:lpwstr/>
      </vt:variant>
      <vt:variant>
        <vt:i4>6815751</vt:i4>
      </vt:variant>
      <vt:variant>
        <vt:i4>96</vt:i4>
      </vt:variant>
      <vt:variant>
        <vt:i4>0</vt:i4>
      </vt:variant>
      <vt:variant>
        <vt:i4>5</vt:i4>
      </vt:variant>
      <vt:variant>
        <vt:lpwstr>mailto:joe.oliker@igs.com</vt:lpwstr>
      </vt:variant>
      <vt:variant>
        <vt:lpwstr/>
      </vt:variant>
      <vt:variant>
        <vt:i4>1769576</vt:i4>
      </vt:variant>
      <vt:variant>
        <vt:i4>93</vt:i4>
      </vt:variant>
      <vt:variant>
        <vt:i4>0</vt:i4>
      </vt:variant>
      <vt:variant>
        <vt:i4>5</vt:i4>
      </vt:variant>
      <vt:variant>
        <vt:lpwstr>mailto:bethany.allen@igs.com</vt:lpwstr>
      </vt:variant>
      <vt:variant>
        <vt:lpwstr/>
      </vt:variant>
      <vt:variant>
        <vt:i4>1769525</vt:i4>
      </vt:variant>
      <vt:variant>
        <vt:i4>86</vt:i4>
      </vt:variant>
      <vt:variant>
        <vt:i4>0</vt:i4>
      </vt:variant>
      <vt:variant>
        <vt:i4>5</vt:i4>
      </vt:variant>
      <vt:variant>
        <vt:lpwstr/>
      </vt:variant>
      <vt:variant>
        <vt:lpwstr>_Toc59194854</vt:lpwstr>
      </vt:variant>
      <vt:variant>
        <vt:i4>1835061</vt:i4>
      </vt:variant>
      <vt:variant>
        <vt:i4>80</vt:i4>
      </vt:variant>
      <vt:variant>
        <vt:i4>0</vt:i4>
      </vt:variant>
      <vt:variant>
        <vt:i4>5</vt:i4>
      </vt:variant>
      <vt:variant>
        <vt:lpwstr/>
      </vt:variant>
      <vt:variant>
        <vt:lpwstr>_Toc59194853</vt:lpwstr>
      </vt:variant>
      <vt:variant>
        <vt:i4>1900597</vt:i4>
      </vt:variant>
      <vt:variant>
        <vt:i4>74</vt:i4>
      </vt:variant>
      <vt:variant>
        <vt:i4>0</vt:i4>
      </vt:variant>
      <vt:variant>
        <vt:i4>5</vt:i4>
      </vt:variant>
      <vt:variant>
        <vt:lpwstr/>
      </vt:variant>
      <vt:variant>
        <vt:lpwstr>_Toc59194852</vt:lpwstr>
      </vt:variant>
      <vt:variant>
        <vt:i4>1966133</vt:i4>
      </vt:variant>
      <vt:variant>
        <vt:i4>68</vt:i4>
      </vt:variant>
      <vt:variant>
        <vt:i4>0</vt:i4>
      </vt:variant>
      <vt:variant>
        <vt:i4>5</vt:i4>
      </vt:variant>
      <vt:variant>
        <vt:lpwstr/>
      </vt:variant>
      <vt:variant>
        <vt:lpwstr>_Toc59194851</vt:lpwstr>
      </vt:variant>
      <vt:variant>
        <vt:i4>2031669</vt:i4>
      </vt:variant>
      <vt:variant>
        <vt:i4>62</vt:i4>
      </vt:variant>
      <vt:variant>
        <vt:i4>0</vt:i4>
      </vt:variant>
      <vt:variant>
        <vt:i4>5</vt:i4>
      </vt:variant>
      <vt:variant>
        <vt:lpwstr/>
      </vt:variant>
      <vt:variant>
        <vt:lpwstr>_Toc59194850</vt:lpwstr>
      </vt:variant>
      <vt:variant>
        <vt:i4>1441844</vt:i4>
      </vt:variant>
      <vt:variant>
        <vt:i4>56</vt:i4>
      </vt:variant>
      <vt:variant>
        <vt:i4>0</vt:i4>
      </vt:variant>
      <vt:variant>
        <vt:i4>5</vt:i4>
      </vt:variant>
      <vt:variant>
        <vt:lpwstr/>
      </vt:variant>
      <vt:variant>
        <vt:lpwstr>_Toc59194849</vt:lpwstr>
      </vt:variant>
      <vt:variant>
        <vt:i4>1507380</vt:i4>
      </vt:variant>
      <vt:variant>
        <vt:i4>50</vt:i4>
      </vt:variant>
      <vt:variant>
        <vt:i4>0</vt:i4>
      </vt:variant>
      <vt:variant>
        <vt:i4>5</vt:i4>
      </vt:variant>
      <vt:variant>
        <vt:lpwstr/>
      </vt:variant>
      <vt:variant>
        <vt:lpwstr>_Toc59194848</vt:lpwstr>
      </vt:variant>
      <vt:variant>
        <vt:i4>1572916</vt:i4>
      </vt:variant>
      <vt:variant>
        <vt:i4>44</vt:i4>
      </vt:variant>
      <vt:variant>
        <vt:i4>0</vt:i4>
      </vt:variant>
      <vt:variant>
        <vt:i4>5</vt:i4>
      </vt:variant>
      <vt:variant>
        <vt:lpwstr/>
      </vt:variant>
      <vt:variant>
        <vt:lpwstr>_Toc59194847</vt:lpwstr>
      </vt:variant>
      <vt:variant>
        <vt:i4>1638452</vt:i4>
      </vt:variant>
      <vt:variant>
        <vt:i4>38</vt:i4>
      </vt:variant>
      <vt:variant>
        <vt:i4>0</vt:i4>
      </vt:variant>
      <vt:variant>
        <vt:i4>5</vt:i4>
      </vt:variant>
      <vt:variant>
        <vt:lpwstr/>
      </vt:variant>
      <vt:variant>
        <vt:lpwstr>_Toc59194846</vt:lpwstr>
      </vt:variant>
      <vt:variant>
        <vt:i4>1703988</vt:i4>
      </vt:variant>
      <vt:variant>
        <vt:i4>32</vt:i4>
      </vt:variant>
      <vt:variant>
        <vt:i4>0</vt:i4>
      </vt:variant>
      <vt:variant>
        <vt:i4>5</vt:i4>
      </vt:variant>
      <vt:variant>
        <vt:lpwstr/>
      </vt:variant>
      <vt:variant>
        <vt:lpwstr>_Toc59194845</vt:lpwstr>
      </vt:variant>
      <vt:variant>
        <vt:i4>1769524</vt:i4>
      </vt:variant>
      <vt:variant>
        <vt:i4>26</vt:i4>
      </vt:variant>
      <vt:variant>
        <vt:i4>0</vt:i4>
      </vt:variant>
      <vt:variant>
        <vt:i4>5</vt:i4>
      </vt:variant>
      <vt:variant>
        <vt:lpwstr/>
      </vt:variant>
      <vt:variant>
        <vt:lpwstr>_Toc59194844</vt:lpwstr>
      </vt:variant>
      <vt:variant>
        <vt:i4>1835060</vt:i4>
      </vt:variant>
      <vt:variant>
        <vt:i4>20</vt:i4>
      </vt:variant>
      <vt:variant>
        <vt:i4>0</vt:i4>
      </vt:variant>
      <vt:variant>
        <vt:i4>5</vt:i4>
      </vt:variant>
      <vt:variant>
        <vt:lpwstr/>
      </vt:variant>
      <vt:variant>
        <vt:lpwstr>_Toc59194843</vt:lpwstr>
      </vt:variant>
      <vt:variant>
        <vt:i4>1900596</vt:i4>
      </vt:variant>
      <vt:variant>
        <vt:i4>14</vt:i4>
      </vt:variant>
      <vt:variant>
        <vt:i4>0</vt:i4>
      </vt:variant>
      <vt:variant>
        <vt:i4>5</vt:i4>
      </vt:variant>
      <vt:variant>
        <vt:lpwstr/>
      </vt:variant>
      <vt:variant>
        <vt:lpwstr>_Toc59194842</vt:lpwstr>
      </vt:variant>
      <vt:variant>
        <vt:i4>2228290</vt:i4>
      </vt:variant>
      <vt:variant>
        <vt:i4>9</vt:i4>
      </vt:variant>
      <vt:variant>
        <vt:i4>0</vt:i4>
      </vt:variant>
      <vt:variant>
        <vt:i4>5</vt:i4>
      </vt:variant>
      <vt:variant>
        <vt:lpwstr>mailto:Evan.betterton@igs.com</vt:lpwstr>
      </vt:variant>
      <vt:variant>
        <vt:lpwstr/>
      </vt:variant>
      <vt:variant>
        <vt:i4>6291485</vt:i4>
      </vt:variant>
      <vt:variant>
        <vt:i4>6</vt:i4>
      </vt:variant>
      <vt:variant>
        <vt:i4>0</vt:i4>
      </vt:variant>
      <vt:variant>
        <vt:i4>5</vt:i4>
      </vt:variant>
      <vt:variant>
        <vt:lpwstr>mailto:michael.nugent@igs.com</vt:lpwstr>
      </vt:variant>
      <vt:variant>
        <vt:lpwstr/>
      </vt:variant>
      <vt:variant>
        <vt:i4>6815751</vt:i4>
      </vt:variant>
      <vt:variant>
        <vt:i4>3</vt:i4>
      </vt:variant>
      <vt:variant>
        <vt:i4>0</vt:i4>
      </vt:variant>
      <vt:variant>
        <vt:i4>5</vt:i4>
      </vt:variant>
      <vt:variant>
        <vt:lpwstr>mailto:joe.oliker@igs.com</vt:lpwstr>
      </vt:variant>
      <vt:variant>
        <vt:lpwstr/>
      </vt:variant>
      <vt:variant>
        <vt:i4>1769576</vt:i4>
      </vt:variant>
      <vt:variant>
        <vt:i4>0</vt:i4>
      </vt:variant>
      <vt:variant>
        <vt:i4>0</vt:i4>
      </vt:variant>
      <vt:variant>
        <vt:i4>5</vt:i4>
      </vt:variant>
      <vt:variant>
        <vt:lpwstr>mailto:bethany.allen@igs.com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Allen</dc:creator>
  <cp:keywords/>
  <dc:description/>
  <cp:lastModifiedBy>Evan Betterton</cp:lastModifiedBy>
  <cp:revision>2</cp:revision>
  <dcterms:created xsi:type="dcterms:W3CDTF">2020-12-18T21:53:00Z</dcterms:created>
  <dcterms:modified xsi:type="dcterms:W3CDTF">2020-12-18T21:53:00Z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