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E9" w:rsidRPr="008F2F89" w:rsidRDefault="005740E9" w:rsidP="005740E9">
      <w:pPr>
        <w:jc w:val="center"/>
        <w:rPr>
          <w:b/>
          <w:sz w:val="28"/>
          <w:szCs w:val="28"/>
        </w:rPr>
      </w:pPr>
      <w:bookmarkStart w:id="0" w:name="OLE_LINK4"/>
      <w:r w:rsidRPr="008F2F89">
        <w:rPr>
          <w:b/>
          <w:sz w:val="28"/>
          <w:szCs w:val="28"/>
        </w:rPr>
        <w:t>BEFORE</w:t>
      </w:r>
    </w:p>
    <w:p w:rsidR="005740E9" w:rsidRDefault="005740E9" w:rsidP="005740E9">
      <w:pPr>
        <w:jc w:val="center"/>
        <w:rPr>
          <w:b/>
          <w:sz w:val="28"/>
          <w:szCs w:val="28"/>
        </w:rPr>
      </w:pPr>
      <w:r w:rsidRPr="008F2F89">
        <w:rPr>
          <w:b/>
          <w:sz w:val="28"/>
          <w:szCs w:val="28"/>
        </w:rPr>
        <w:t>THE PUBLIC UTILITIES COMMISSION OF OHIO</w:t>
      </w:r>
    </w:p>
    <w:p w:rsidR="005740E9" w:rsidRDefault="005740E9" w:rsidP="005740E9">
      <w:pPr>
        <w:jc w:val="center"/>
        <w:rPr>
          <w:b/>
          <w:sz w:val="28"/>
          <w:szCs w:val="28"/>
        </w:rPr>
      </w:pPr>
    </w:p>
    <w:p w:rsidR="005740E9" w:rsidRPr="008F2F89" w:rsidRDefault="005740E9" w:rsidP="005740E9">
      <w:pPr>
        <w:jc w:val="center"/>
        <w:rPr>
          <w:b/>
          <w:sz w:val="28"/>
          <w:szCs w:val="28"/>
        </w:rPr>
      </w:pPr>
    </w:p>
    <w:p w:rsidR="005740E9" w:rsidRDefault="005740E9" w:rsidP="005740E9">
      <w:pPr>
        <w:jc w:val="center"/>
        <w:rPr>
          <w:b/>
        </w:rPr>
      </w:pPr>
    </w:p>
    <w:tbl>
      <w:tblPr>
        <w:tblW w:w="0" w:type="auto"/>
        <w:tblLook w:val="04A0" w:firstRow="1" w:lastRow="0" w:firstColumn="1" w:lastColumn="0" w:noHBand="0" w:noVBand="1"/>
      </w:tblPr>
      <w:tblGrid>
        <w:gridCol w:w="4788"/>
        <w:gridCol w:w="289"/>
        <w:gridCol w:w="4248"/>
      </w:tblGrid>
      <w:tr w:rsidR="005740E9" w:rsidRPr="00A02CD4" w:rsidTr="00E247A2">
        <w:tc>
          <w:tcPr>
            <w:tcW w:w="4788" w:type="dxa"/>
            <w:shd w:val="clear" w:color="auto" w:fill="auto"/>
          </w:tcPr>
          <w:p w:rsidR="005740E9" w:rsidRPr="00A02CD4" w:rsidRDefault="005740E9" w:rsidP="00E247A2">
            <w:pPr>
              <w:rPr>
                <w:sz w:val="26"/>
                <w:szCs w:val="26"/>
              </w:rPr>
            </w:pPr>
            <w:r w:rsidRPr="00A02CD4">
              <w:rPr>
                <w:sz w:val="26"/>
                <w:szCs w:val="26"/>
              </w:rPr>
              <w:t xml:space="preserve">In the Matter of the Long-Term Forecast Report of </w:t>
            </w:r>
            <w:r w:rsidRPr="00A02CD4">
              <w:rPr>
                <w:b/>
                <w:sz w:val="26"/>
                <w:szCs w:val="26"/>
              </w:rPr>
              <w:t xml:space="preserve">Ohio Power Company </w:t>
            </w:r>
            <w:r w:rsidRPr="00A02CD4">
              <w:rPr>
                <w:sz w:val="26"/>
                <w:szCs w:val="26"/>
              </w:rPr>
              <w:t xml:space="preserve">and Related </w:t>
            </w:r>
            <w:proofErr w:type="gramStart"/>
            <w:r w:rsidRPr="00A02CD4">
              <w:rPr>
                <w:sz w:val="26"/>
                <w:szCs w:val="26"/>
              </w:rPr>
              <w:t>Matters.</w:t>
            </w:r>
            <w:proofErr w:type="gramEnd"/>
            <w:r w:rsidRPr="00A02CD4">
              <w:rPr>
                <w:sz w:val="26"/>
                <w:szCs w:val="26"/>
              </w:rPr>
              <w:t xml:space="preserve"> </w:t>
            </w:r>
          </w:p>
          <w:p w:rsidR="005740E9" w:rsidRPr="00A02CD4" w:rsidRDefault="005740E9" w:rsidP="00E247A2">
            <w:pPr>
              <w:rPr>
                <w:sz w:val="26"/>
                <w:szCs w:val="26"/>
              </w:rPr>
            </w:pPr>
          </w:p>
          <w:p w:rsidR="005740E9" w:rsidRPr="00A02CD4" w:rsidRDefault="005740E9" w:rsidP="00E247A2">
            <w:pPr>
              <w:tabs>
                <w:tab w:val="left" w:pos="687"/>
              </w:tabs>
              <w:rPr>
                <w:b/>
                <w:sz w:val="26"/>
                <w:szCs w:val="26"/>
              </w:rPr>
            </w:pPr>
            <w:r w:rsidRPr="00A02CD4">
              <w:rPr>
                <w:sz w:val="26"/>
                <w:szCs w:val="26"/>
              </w:rPr>
              <w:t xml:space="preserve">In the Matter of the Long-Term Forecast Report of </w:t>
            </w:r>
            <w:r w:rsidRPr="00A02CD4">
              <w:rPr>
                <w:b/>
                <w:sz w:val="26"/>
                <w:szCs w:val="26"/>
              </w:rPr>
              <w:t xml:space="preserve">Columbus Southern Power Company </w:t>
            </w:r>
            <w:r w:rsidRPr="00A02CD4">
              <w:rPr>
                <w:sz w:val="26"/>
                <w:szCs w:val="26"/>
              </w:rPr>
              <w:t xml:space="preserve">and Related Matters. </w:t>
            </w:r>
          </w:p>
        </w:tc>
        <w:tc>
          <w:tcPr>
            <w:tcW w:w="289" w:type="dxa"/>
            <w:shd w:val="clear" w:color="auto" w:fill="auto"/>
          </w:tcPr>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b/>
                <w:sz w:val="26"/>
                <w:szCs w:val="26"/>
              </w:rPr>
            </w:pPr>
            <w:r w:rsidRPr="00A02CD4">
              <w:rPr>
                <w:sz w:val="26"/>
                <w:szCs w:val="26"/>
              </w:rPr>
              <w:t>:</w:t>
            </w:r>
          </w:p>
        </w:tc>
        <w:tc>
          <w:tcPr>
            <w:tcW w:w="4248" w:type="dxa"/>
            <w:shd w:val="clear" w:color="auto" w:fill="auto"/>
          </w:tcPr>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10-501-EL-FOR</w:t>
            </w: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10-502-EL-FOR</w:t>
            </w:r>
          </w:p>
          <w:p w:rsidR="005740E9" w:rsidRPr="00A02CD4" w:rsidRDefault="005740E9" w:rsidP="00E247A2">
            <w:pPr>
              <w:rPr>
                <w:b/>
                <w:sz w:val="26"/>
                <w:szCs w:val="26"/>
              </w:rPr>
            </w:pPr>
          </w:p>
        </w:tc>
      </w:tr>
    </w:tbl>
    <w:p w:rsidR="005740E9" w:rsidRDefault="005740E9" w:rsidP="005740E9">
      <w:pPr>
        <w:jc w:val="center"/>
        <w:rPr>
          <w:b/>
        </w:rPr>
      </w:pPr>
    </w:p>
    <w:bookmarkEnd w:id="0"/>
    <w:p w:rsidR="005740E9" w:rsidRDefault="005740E9" w:rsidP="005740E9"/>
    <w:p w:rsidR="005740E9" w:rsidRDefault="005740E9" w:rsidP="005740E9"/>
    <w:p w:rsidR="005740E9" w:rsidRDefault="005740E9" w:rsidP="005740E9"/>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5740E9">
      <w:pPr>
        <w:autoSpaceDE w:val="0"/>
        <w:autoSpaceDN w:val="0"/>
        <w:adjustRightInd w:val="0"/>
        <w:jc w:val="center"/>
        <w:rPr>
          <w:b/>
        </w:rPr>
      </w:pPr>
    </w:p>
    <w:p w:rsidR="00117663" w:rsidRDefault="00FB5570" w:rsidP="005740E9">
      <w:pPr>
        <w:autoSpaceDE w:val="0"/>
        <w:autoSpaceDN w:val="0"/>
        <w:adjustRightInd w:val="0"/>
        <w:jc w:val="center"/>
        <w:rPr>
          <w:b/>
          <w:sz w:val="32"/>
          <w:szCs w:val="32"/>
        </w:rPr>
      </w:pPr>
      <w:r>
        <w:rPr>
          <w:b/>
          <w:sz w:val="32"/>
          <w:szCs w:val="32"/>
        </w:rPr>
        <w:t xml:space="preserve">REPLY </w:t>
      </w:r>
      <w:r w:rsidR="00117663" w:rsidRPr="00117663">
        <w:rPr>
          <w:b/>
          <w:sz w:val="32"/>
          <w:szCs w:val="32"/>
        </w:rPr>
        <w:t>BRIEF IN RESPONSE TO SEPTEMBER 5, 2012 ORDER</w:t>
      </w:r>
    </w:p>
    <w:p w:rsidR="005740E9" w:rsidRDefault="005740E9" w:rsidP="005740E9">
      <w:pPr>
        <w:autoSpaceDE w:val="0"/>
        <w:autoSpaceDN w:val="0"/>
        <w:adjustRightInd w:val="0"/>
        <w:jc w:val="center"/>
        <w:rPr>
          <w:b/>
          <w:sz w:val="28"/>
          <w:szCs w:val="28"/>
        </w:rPr>
      </w:pPr>
      <w:r>
        <w:rPr>
          <w:b/>
          <w:sz w:val="28"/>
          <w:szCs w:val="28"/>
        </w:rPr>
        <w:t>SUBMITTED ON BEHALF OF THE STAFF OF</w:t>
      </w:r>
    </w:p>
    <w:p w:rsidR="005740E9" w:rsidRPr="008F2F89" w:rsidRDefault="005740E9" w:rsidP="005740E9">
      <w:pPr>
        <w:autoSpaceDE w:val="0"/>
        <w:autoSpaceDN w:val="0"/>
        <w:adjustRightInd w:val="0"/>
        <w:jc w:val="center"/>
        <w:rPr>
          <w:b/>
          <w:sz w:val="28"/>
          <w:szCs w:val="28"/>
        </w:rPr>
      </w:pPr>
      <w:r>
        <w:rPr>
          <w:b/>
          <w:sz w:val="28"/>
          <w:szCs w:val="28"/>
        </w:rPr>
        <w:t>THE PUBLIC UTILITIES COMMISSION OF OHIO</w:t>
      </w:r>
    </w:p>
    <w:p w:rsidR="005740E9" w:rsidRDefault="005740E9" w:rsidP="005740E9">
      <w:pPr>
        <w:tabs>
          <w:tab w:val="left" w:pos="9360"/>
        </w:tabs>
        <w:autoSpaceDE w:val="0"/>
        <w:autoSpaceDN w:val="0"/>
        <w:adjustRightInd w:val="0"/>
        <w:rPr>
          <w:b/>
          <w:u w:val="single"/>
        </w:rPr>
      </w:pPr>
      <w:r>
        <w:rPr>
          <w:b/>
          <w:u w:val="single"/>
        </w:rPr>
        <w:tab/>
      </w:r>
    </w:p>
    <w:p w:rsidR="005740E9" w:rsidRDefault="005740E9" w:rsidP="005740E9">
      <w:pPr>
        <w:tabs>
          <w:tab w:val="left" w:pos="9360"/>
        </w:tabs>
        <w:autoSpaceDE w:val="0"/>
        <w:autoSpaceDN w:val="0"/>
        <w:adjustRightInd w:val="0"/>
        <w:rPr>
          <w:b/>
          <w:u w:val="single"/>
        </w:rPr>
      </w:pPr>
    </w:p>
    <w:p w:rsidR="005740E9" w:rsidRPr="00145B29" w:rsidRDefault="005740E9" w:rsidP="005740E9">
      <w:pPr>
        <w:tabs>
          <w:tab w:val="left" w:pos="9360"/>
        </w:tabs>
        <w:autoSpaceDE w:val="0"/>
        <w:autoSpaceDN w:val="0"/>
        <w:adjustRightInd w:val="0"/>
        <w:rPr>
          <w:b/>
          <w:u w:val="single"/>
        </w:rPr>
      </w:pPr>
    </w:p>
    <w:p w:rsidR="005740E9" w:rsidRDefault="005740E9" w:rsidP="005740E9">
      <w:pPr>
        <w:autoSpaceDE w:val="0"/>
        <w:autoSpaceDN w:val="0"/>
        <w:adjustRightInd w:val="0"/>
        <w:jc w:val="center"/>
        <w:rPr>
          <w:b/>
        </w:rPr>
      </w:pPr>
    </w:p>
    <w:tbl>
      <w:tblPr>
        <w:tblW w:w="0" w:type="auto"/>
        <w:tblLook w:val="04A0" w:firstRow="1" w:lastRow="0" w:firstColumn="1" w:lastColumn="0" w:noHBand="0" w:noVBand="1"/>
      </w:tblPr>
      <w:tblGrid>
        <w:gridCol w:w="4788"/>
        <w:gridCol w:w="4788"/>
      </w:tblGrid>
      <w:tr w:rsidR="005740E9" w:rsidRPr="00A02CD4" w:rsidTr="00E247A2">
        <w:tc>
          <w:tcPr>
            <w:tcW w:w="4788" w:type="dxa"/>
            <w:shd w:val="clear" w:color="auto" w:fill="auto"/>
          </w:tcPr>
          <w:p w:rsidR="005740E9" w:rsidRPr="00A02CD4" w:rsidRDefault="005740E9" w:rsidP="00E247A2">
            <w:pPr>
              <w:autoSpaceDE w:val="0"/>
              <w:autoSpaceDN w:val="0"/>
              <w:adjustRightInd w:val="0"/>
              <w:jc w:val="center"/>
              <w:rPr>
                <w:b/>
              </w:rPr>
            </w:pPr>
          </w:p>
        </w:tc>
        <w:tc>
          <w:tcPr>
            <w:tcW w:w="4788" w:type="dxa"/>
            <w:shd w:val="clear" w:color="auto" w:fill="auto"/>
          </w:tcPr>
          <w:p w:rsidR="006B18D5" w:rsidRDefault="006B18D5" w:rsidP="00E247A2">
            <w:pPr>
              <w:autoSpaceDE w:val="0"/>
              <w:autoSpaceDN w:val="0"/>
              <w:adjustRightInd w:val="0"/>
              <w:rPr>
                <w:sz w:val="26"/>
                <w:szCs w:val="26"/>
              </w:rPr>
            </w:pPr>
            <w:r>
              <w:rPr>
                <w:b/>
                <w:sz w:val="26"/>
                <w:szCs w:val="26"/>
              </w:rPr>
              <w:t>Michael DeWine</w:t>
            </w:r>
          </w:p>
          <w:p w:rsidR="006B18D5" w:rsidRDefault="006B18D5" w:rsidP="00E247A2">
            <w:pPr>
              <w:autoSpaceDE w:val="0"/>
              <w:autoSpaceDN w:val="0"/>
              <w:adjustRightInd w:val="0"/>
              <w:rPr>
                <w:sz w:val="26"/>
                <w:szCs w:val="26"/>
              </w:rPr>
            </w:pPr>
            <w:r>
              <w:rPr>
                <w:sz w:val="26"/>
                <w:szCs w:val="26"/>
              </w:rPr>
              <w:t>Ohio Attorney General</w:t>
            </w:r>
          </w:p>
          <w:p w:rsidR="006B18D5" w:rsidRDefault="006B18D5" w:rsidP="00E247A2">
            <w:pPr>
              <w:autoSpaceDE w:val="0"/>
              <w:autoSpaceDN w:val="0"/>
              <w:adjustRightInd w:val="0"/>
              <w:rPr>
                <w:sz w:val="26"/>
                <w:szCs w:val="26"/>
              </w:rPr>
            </w:pPr>
          </w:p>
          <w:p w:rsidR="006B18D5" w:rsidRDefault="006B18D5" w:rsidP="00E247A2">
            <w:pPr>
              <w:autoSpaceDE w:val="0"/>
              <w:autoSpaceDN w:val="0"/>
              <w:adjustRightInd w:val="0"/>
              <w:rPr>
                <w:sz w:val="26"/>
                <w:szCs w:val="26"/>
              </w:rPr>
            </w:pPr>
            <w:r>
              <w:rPr>
                <w:b/>
                <w:sz w:val="26"/>
                <w:szCs w:val="26"/>
              </w:rPr>
              <w:t>William L. Wright</w:t>
            </w:r>
          </w:p>
          <w:p w:rsidR="006B18D5" w:rsidRDefault="006B18D5" w:rsidP="00E247A2">
            <w:pPr>
              <w:autoSpaceDE w:val="0"/>
              <w:autoSpaceDN w:val="0"/>
              <w:adjustRightInd w:val="0"/>
              <w:rPr>
                <w:sz w:val="26"/>
                <w:szCs w:val="26"/>
              </w:rPr>
            </w:pPr>
            <w:r>
              <w:rPr>
                <w:sz w:val="26"/>
                <w:szCs w:val="26"/>
              </w:rPr>
              <w:t>Section Chief</w:t>
            </w:r>
          </w:p>
          <w:p w:rsidR="006B18D5" w:rsidRPr="006B18D5" w:rsidRDefault="006B18D5" w:rsidP="00E247A2">
            <w:pPr>
              <w:autoSpaceDE w:val="0"/>
              <w:autoSpaceDN w:val="0"/>
              <w:adjustRightInd w:val="0"/>
              <w:rPr>
                <w:sz w:val="26"/>
                <w:szCs w:val="26"/>
              </w:rPr>
            </w:pPr>
          </w:p>
          <w:p w:rsidR="005740E9" w:rsidRPr="00A02CD4" w:rsidRDefault="005740E9" w:rsidP="00E247A2">
            <w:pPr>
              <w:autoSpaceDE w:val="0"/>
              <w:autoSpaceDN w:val="0"/>
              <w:adjustRightInd w:val="0"/>
              <w:rPr>
                <w:b/>
                <w:sz w:val="26"/>
                <w:szCs w:val="26"/>
              </w:rPr>
            </w:pPr>
            <w:r w:rsidRPr="00A02CD4">
              <w:rPr>
                <w:b/>
                <w:sz w:val="26"/>
                <w:szCs w:val="26"/>
              </w:rPr>
              <w:t>Thomas W. McNamee</w:t>
            </w:r>
          </w:p>
          <w:p w:rsidR="005740E9" w:rsidRPr="00A02CD4" w:rsidRDefault="005740E9" w:rsidP="00E247A2">
            <w:pPr>
              <w:autoSpaceDE w:val="0"/>
              <w:autoSpaceDN w:val="0"/>
              <w:adjustRightInd w:val="0"/>
              <w:rPr>
                <w:sz w:val="26"/>
                <w:szCs w:val="26"/>
              </w:rPr>
            </w:pPr>
            <w:r w:rsidRPr="00A02CD4">
              <w:rPr>
                <w:sz w:val="26"/>
                <w:szCs w:val="26"/>
              </w:rPr>
              <w:t>Assistant Attorney General</w:t>
            </w:r>
          </w:p>
          <w:p w:rsidR="005740E9" w:rsidRPr="00A02CD4" w:rsidRDefault="005740E9" w:rsidP="00E247A2">
            <w:pPr>
              <w:autoSpaceDE w:val="0"/>
              <w:autoSpaceDN w:val="0"/>
              <w:adjustRightInd w:val="0"/>
              <w:rPr>
                <w:sz w:val="26"/>
                <w:szCs w:val="26"/>
              </w:rPr>
            </w:pPr>
            <w:r w:rsidRPr="00A02CD4">
              <w:rPr>
                <w:sz w:val="26"/>
                <w:szCs w:val="26"/>
              </w:rPr>
              <w:t>Public Utilities Section</w:t>
            </w:r>
          </w:p>
          <w:p w:rsidR="005740E9" w:rsidRPr="00A02CD4" w:rsidRDefault="005740E9" w:rsidP="00E247A2">
            <w:pPr>
              <w:autoSpaceDE w:val="0"/>
              <w:autoSpaceDN w:val="0"/>
              <w:adjustRightInd w:val="0"/>
              <w:rPr>
                <w:sz w:val="26"/>
                <w:szCs w:val="26"/>
              </w:rPr>
            </w:pPr>
            <w:r w:rsidRPr="00A02CD4">
              <w:rPr>
                <w:sz w:val="26"/>
                <w:szCs w:val="26"/>
              </w:rPr>
              <w:t>180 East Broad Street, 6</w:t>
            </w:r>
            <w:r w:rsidRPr="00A02CD4">
              <w:rPr>
                <w:sz w:val="26"/>
                <w:szCs w:val="26"/>
                <w:vertAlign w:val="superscript"/>
              </w:rPr>
              <w:t>th</w:t>
            </w:r>
            <w:r w:rsidRPr="00A02CD4">
              <w:rPr>
                <w:sz w:val="26"/>
                <w:szCs w:val="26"/>
              </w:rPr>
              <w:t xml:space="preserve"> Floor</w:t>
            </w:r>
          </w:p>
          <w:p w:rsidR="005740E9" w:rsidRPr="00A02CD4" w:rsidRDefault="005740E9" w:rsidP="00E247A2">
            <w:pPr>
              <w:autoSpaceDE w:val="0"/>
              <w:autoSpaceDN w:val="0"/>
              <w:adjustRightInd w:val="0"/>
              <w:rPr>
                <w:sz w:val="26"/>
                <w:szCs w:val="26"/>
              </w:rPr>
            </w:pPr>
            <w:r w:rsidRPr="00A02CD4">
              <w:rPr>
                <w:sz w:val="26"/>
                <w:szCs w:val="26"/>
              </w:rPr>
              <w:t>Columbus, OH  43215-3793</w:t>
            </w:r>
          </w:p>
          <w:p w:rsidR="005740E9" w:rsidRPr="00A02CD4" w:rsidRDefault="005740E9" w:rsidP="00E247A2">
            <w:pPr>
              <w:autoSpaceDE w:val="0"/>
              <w:autoSpaceDN w:val="0"/>
              <w:adjustRightInd w:val="0"/>
              <w:rPr>
                <w:sz w:val="26"/>
                <w:szCs w:val="26"/>
              </w:rPr>
            </w:pPr>
            <w:r w:rsidRPr="00A02CD4">
              <w:rPr>
                <w:sz w:val="26"/>
                <w:szCs w:val="26"/>
              </w:rPr>
              <w:t>(614) 466-4396</w:t>
            </w:r>
          </w:p>
          <w:p w:rsidR="005740E9" w:rsidRPr="00A02CD4" w:rsidRDefault="005740E9" w:rsidP="00E247A2">
            <w:pPr>
              <w:autoSpaceDE w:val="0"/>
              <w:autoSpaceDN w:val="0"/>
              <w:adjustRightInd w:val="0"/>
              <w:rPr>
                <w:sz w:val="26"/>
                <w:szCs w:val="26"/>
              </w:rPr>
            </w:pPr>
            <w:r w:rsidRPr="00A02CD4">
              <w:rPr>
                <w:sz w:val="26"/>
                <w:szCs w:val="26"/>
              </w:rPr>
              <w:t>Fax:  (614) 644-8764</w:t>
            </w:r>
          </w:p>
          <w:p w:rsidR="005740E9" w:rsidRPr="00A02CD4" w:rsidRDefault="006D7E76" w:rsidP="00E247A2">
            <w:pPr>
              <w:autoSpaceDE w:val="0"/>
              <w:autoSpaceDN w:val="0"/>
              <w:adjustRightInd w:val="0"/>
              <w:rPr>
                <w:sz w:val="26"/>
                <w:szCs w:val="26"/>
              </w:rPr>
            </w:pPr>
            <w:hyperlink r:id="rId9" w:history="1">
              <w:r w:rsidR="005740E9" w:rsidRPr="00A02CD4">
                <w:rPr>
                  <w:rStyle w:val="Hyperlink"/>
                  <w:sz w:val="26"/>
                  <w:szCs w:val="26"/>
                </w:rPr>
                <w:t>thomas.mcnamee@puc.state.oh.us</w:t>
              </w:r>
            </w:hyperlink>
          </w:p>
          <w:p w:rsidR="005740E9" w:rsidRPr="00A02CD4" w:rsidRDefault="005740E9" w:rsidP="00E247A2">
            <w:pPr>
              <w:autoSpaceDE w:val="0"/>
              <w:autoSpaceDN w:val="0"/>
              <w:adjustRightInd w:val="0"/>
              <w:rPr>
                <w:sz w:val="26"/>
                <w:szCs w:val="26"/>
              </w:rPr>
            </w:pPr>
          </w:p>
          <w:p w:rsidR="005740E9" w:rsidRPr="00BD4C04" w:rsidRDefault="005740E9" w:rsidP="00E247A2">
            <w:pPr>
              <w:autoSpaceDE w:val="0"/>
              <w:autoSpaceDN w:val="0"/>
              <w:adjustRightInd w:val="0"/>
              <w:rPr>
                <w:b/>
              </w:rPr>
            </w:pPr>
            <w:r w:rsidRPr="00A02CD4">
              <w:rPr>
                <w:b/>
                <w:sz w:val="26"/>
                <w:szCs w:val="26"/>
              </w:rPr>
              <w:t>Counsel for the Staff of the Public Utilities Commission of Ohio</w:t>
            </w:r>
          </w:p>
        </w:tc>
      </w:tr>
    </w:tbl>
    <w:p w:rsidR="005740E9" w:rsidRDefault="005740E9" w:rsidP="005740E9">
      <w:pPr>
        <w:autoSpaceDE w:val="0"/>
        <w:autoSpaceDN w:val="0"/>
        <w:adjustRightInd w:val="0"/>
        <w:jc w:val="center"/>
        <w:rPr>
          <w:b/>
        </w:rPr>
      </w:pPr>
    </w:p>
    <w:p w:rsidR="005740E9" w:rsidRDefault="005740E9" w:rsidP="005740E9">
      <w:pPr>
        <w:autoSpaceDE w:val="0"/>
        <w:autoSpaceDN w:val="0"/>
        <w:adjustRightInd w:val="0"/>
        <w:rPr>
          <w:b/>
        </w:rPr>
      </w:pPr>
    </w:p>
    <w:p w:rsidR="005740E9" w:rsidRPr="00A02CD4" w:rsidRDefault="005740E9" w:rsidP="00526946">
      <w:pPr>
        <w:pStyle w:val="Textstyle"/>
        <w:sectPr w:rsidR="005740E9" w:rsidRPr="00A02CD4" w:rsidSect="00E247A2">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rsidR="005740E9" w:rsidRPr="008F2F89" w:rsidRDefault="005740E9" w:rsidP="005740E9">
      <w:pPr>
        <w:jc w:val="center"/>
        <w:rPr>
          <w:b/>
          <w:sz w:val="28"/>
          <w:szCs w:val="28"/>
        </w:rPr>
      </w:pPr>
      <w:r w:rsidRPr="008F2F89">
        <w:rPr>
          <w:b/>
          <w:sz w:val="28"/>
          <w:szCs w:val="28"/>
        </w:rPr>
        <w:lastRenderedPageBreak/>
        <w:t>BEFORE</w:t>
      </w:r>
    </w:p>
    <w:p w:rsidR="005740E9" w:rsidRDefault="005740E9" w:rsidP="005740E9">
      <w:pPr>
        <w:jc w:val="center"/>
        <w:rPr>
          <w:b/>
          <w:sz w:val="28"/>
          <w:szCs w:val="28"/>
        </w:rPr>
      </w:pPr>
      <w:r w:rsidRPr="008F2F89">
        <w:rPr>
          <w:b/>
          <w:sz w:val="28"/>
          <w:szCs w:val="28"/>
        </w:rPr>
        <w:t>THE PUBLIC UTILITIES COMMISSION OF OHIO</w:t>
      </w:r>
    </w:p>
    <w:p w:rsidR="005740E9" w:rsidRPr="008F2F89" w:rsidRDefault="005740E9" w:rsidP="005740E9">
      <w:pPr>
        <w:jc w:val="center"/>
        <w:rPr>
          <w:b/>
          <w:sz w:val="28"/>
          <w:szCs w:val="28"/>
        </w:rPr>
      </w:pPr>
    </w:p>
    <w:p w:rsidR="005740E9" w:rsidRDefault="005740E9" w:rsidP="005740E9">
      <w:pPr>
        <w:jc w:val="center"/>
        <w:rPr>
          <w:b/>
        </w:rPr>
      </w:pPr>
    </w:p>
    <w:tbl>
      <w:tblPr>
        <w:tblW w:w="0" w:type="auto"/>
        <w:tblLook w:val="04A0" w:firstRow="1" w:lastRow="0" w:firstColumn="1" w:lastColumn="0" w:noHBand="0" w:noVBand="1"/>
      </w:tblPr>
      <w:tblGrid>
        <w:gridCol w:w="4788"/>
        <w:gridCol w:w="289"/>
        <w:gridCol w:w="4248"/>
      </w:tblGrid>
      <w:tr w:rsidR="005740E9" w:rsidRPr="00A02CD4" w:rsidTr="00E247A2">
        <w:tc>
          <w:tcPr>
            <w:tcW w:w="4788" w:type="dxa"/>
            <w:shd w:val="clear" w:color="auto" w:fill="auto"/>
          </w:tcPr>
          <w:p w:rsidR="005740E9" w:rsidRPr="00A02CD4" w:rsidRDefault="005740E9" w:rsidP="00E247A2">
            <w:pPr>
              <w:rPr>
                <w:sz w:val="26"/>
                <w:szCs w:val="26"/>
              </w:rPr>
            </w:pPr>
            <w:r w:rsidRPr="00A02CD4">
              <w:rPr>
                <w:sz w:val="26"/>
                <w:szCs w:val="26"/>
              </w:rPr>
              <w:t xml:space="preserve">In the Matter of the Long-Term Forecast Report of </w:t>
            </w:r>
            <w:r w:rsidRPr="00A02CD4">
              <w:rPr>
                <w:b/>
                <w:sz w:val="26"/>
                <w:szCs w:val="26"/>
              </w:rPr>
              <w:t xml:space="preserve">Ohio Power Company </w:t>
            </w:r>
            <w:r w:rsidRPr="00A02CD4">
              <w:rPr>
                <w:sz w:val="26"/>
                <w:szCs w:val="26"/>
              </w:rPr>
              <w:t xml:space="preserve">and Related </w:t>
            </w:r>
            <w:proofErr w:type="gramStart"/>
            <w:r w:rsidRPr="00A02CD4">
              <w:rPr>
                <w:sz w:val="26"/>
                <w:szCs w:val="26"/>
              </w:rPr>
              <w:t>Matters.</w:t>
            </w:r>
            <w:proofErr w:type="gramEnd"/>
            <w:r w:rsidRPr="00A02CD4">
              <w:rPr>
                <w:sz w:val="26"/>
                <w:szCs w:val="26"/>
              </w:rPr>
              <w:t xml:space="preserve"> </w:t>
            </w:r>
          </w:p>
          <w:p w:rsidR="005740E9" w:rsidRPr="00A02CD4" w:rsidRDefault="005740E9" w:rsidP="00E247A2">
            <w:pPr>
              <w:rPr>
                <w:sz w:val="26"/>
                <w:szCs w:val="26"/>
              </w:rPr>
            </w:pPr>
          </w:p>
          <w:p w:rsidR="005740E9" w:rsidRPr="00A02CD4" w:rsidRDefault="005740E9" w:rsidP="00E247A2">
            <w:pPr>
              <w:rPr>
                <w:b/>
                <w:sz w:val="26"/>
                <w:szCs w:val="26"/>
              </w:rPr>
            </w:pPr>
            <w:r w:rsidRPr="00A02CD4">
              <w:rPr>
                <w:sz w:val="26"/>
                <w:szCs w:val="26"/>
              </w:rPr>
              <w:t xml:space="preserve">In the Matter of the Long-Term Forecast Report of </w:t>
            </w:r>
            <w:r w:rsidRPr="00A02CD4">
              <w:rPr>
                <w:b/>
                <w:sz w:val="26"/>
                <w:szCs w:val="26"/>
              </w:rPr>
              <w:t xml:space="preserve">Columbus Southern Power Company </w:t>
            </w:r>
            <w:r w:rsidRPr="00A02CD4">
              <w:rPr>
                <w:sz w:val="26"/>
                <w:szCs w:val="26"/>
              </w:rPr>
              <w:t xml:space="preserve">and Related Matters.  </w:t>
            </w:r>
          </w:p>
        </w:tc>
        <w:tc>
          <w:tcPr>
            <w:tcW w:w="289" w:type="dxa"/>
            <w:shd w:val="clear" w:color="auto" w:fill="auto"/>
          </w:tcPr>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sz w:val="26"/>
                <w:szCs w:val="26"/>
              </w:rPr>
            </w:pPr>
            <w:r w:rsidRPr="00A02CD4">
              <w:rPr>
                <w:sz w:val="26"/>
                <w:szCs w:val="26"/>
              </w:rPr>
              <w:t>:</w:t>
            </w:r>
          </w:p>
          <w:p w:rsidR="005740E9" w:rsidRPr="00A02CD4" w:rsidRDefault="005740E9" w:rsidP="00E247A2">
            <w:pPr>
              <w:jc w:val="center"/>
              <w:rPr>
                <w:b/>
                <w:sz w:val="26"/>
                <w:szCs w:val="26"/>
              </w:rPr>
            </w:pPr>
            <w:r w:rsidRPr="00A02CD4">
              <w:rPr>
                <w:sz w:val="26"/>
                <w:szCs w:val="26"/>
              </w:rPr>
              <w:t>:</w:t>
            </w:r>
          </w:p>
        </w:tc>
        <w:tc>
          <w:tcPr>
            <w:tcW w:w="4248" w:type="dxa"/>
            <w:shd w:val="clear" w:color="auto" w:fill="auto"/>
          </w:tcPr>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10-501-EL-FOR</w:t>
            </w: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p>
          <w:p w:rsidR="005740E9" w:rsidRPr="00A02CD4" w:rsidRDefault="005740E9" w:rsidP="00E247A2">
            <w:pPr>
              <w:rPr>
                <w:b/>
                <w:sz w:val="26"/>
                <w:szCs w:val="26"/>
              </w:rPr>
            </w:pPr>
            <w:r w:rsidRPr="00A02CD4">
              <w:rPr>
                <w:b/>
                <w:sz w:val="26"/>
                <w:szCs w:val="26"/>
              </w:rPr>
              <w:t>Case No. 10-502-EL-FOR</w:t>
            </w:r>
          </w:p>
          <w:p w:rsidR="005740E9" w:rsidRPr="00A02CD4" w:rsidRDefault="005740E9" w:rsidP="00E247A2">
            <w:pPr>
              <w:rPr>
                <w:b/>
                <w:sz w:val="26"/>
                <w:szCs w:val="26"/>
              </w:rPr>
            </w:pPr>
          </w:p>
        </w:tc>
      </w:tr>
    </w:tbl>
    <w:p w:rsidR="005740E9" w:rsidRDefault="005740E9" w:rsidP="005740E9">
      <w:pPr>
        <w:jc w:val="center"/>
        <w:rPr>
          <w:b/>
        </w:rPr>
      </w:pPr>
    </w:p>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5740E9">
      <w:pPr>
        <w:autoSpaceDE w:val="0"/>
        <w:autoSpaceDN w:val="0"/>
        <w:adjustRightInd w:val="0"/>
        <w:jc w:val="center"/>
        <w:rPr>
          <w:b/>
        </w:rPr>
      </w:pPr>
    </w:p>
    <w:p w:rsidR="005740E9" w:rsidRPr="0064349B" w:rsidRDefault="00FB5570" w:rsidP="005740E9">
      <w:pPr>
        <w:autoSpaceDE w:val="0"/>
        <w:autoSpaceDN w:val="0"/>
        <w:adjustRightInd w:val="0"/>
        <w:jc w:val="center"/>
        <w:rPr>
          <w:b/>
          <w:sz w:val="32"/>
          <w:szCs w:val="32"/>
        </w:rPr>
      </w:pPr>
      <w:r>
        <w:rPr>
          <w:b/>
          <w:sz w:val="32"/>
          <w:szCs w:val="32"/>
        </w:rPr>
        <w:t xml:space="preserve">REPLY </w:t>
      </w:r>
      <w:r w:rsidR="005740E9" w:rsidRPr="0064349B">
        <w:rPr>
          <w:b/>
          <w:sz w:val="32"/>
          <w:szCs w:val="32"/>
        </w:rPr>
        <w:t>BRIEF</w:t>
      </w:r>
      <w:r w:rsidR="00BB6AFF">
        <w:rPr>
          <w:b/>
          <w:sz w:val="32"/>
          <w:szCs w:val="32"/>
        </w:rPr>
        <w:t xml:space="preserve"> IN RESPONSE TO SEPTEMBER 5, 2012 ORDER</w:t>
      </w:r>
    </w:p>
    <w:p w:rsidR="005740E9" w:rsidRDefault="005740E9" w:rsidP="005740E9">
      <w:pPr>
        <w:autoSpaceDE w:val="0"/>
        <w:autoSpaceDN w:val="0"/>
        <w:adjustRightInd w:val="0"/>
        <w:jc w:val="center"/>
        <w:rPr>
          <w:b/>
          <w:sz w:val="28"/>
          <w:szCs w:val="28"/>
        </w:rPr>
      </w:pPr>
      <w:r>
        <w:rPr>
          <w:b/>
          <w:sz w:val="28"/>
          <w:szCs w:val="28"/>
        </w:rPr>
        <w:t>SUBMITTED ON BEHALF OF THE STAFF OF</w:t>
      </w:r>
    </w:p>
    <w:p w:rsidR="005740E9" w:rsidRPr="008F2F89" w:rsidRDefault="005740E9" w:rsidP="005740E9">
      <w:pPr>
        <w:autoSpaceDE w:val="0"/>
        <w:autoSpaceDN w:val="0"/>
        <w:adjustRightInd w:val="0"/>
        <w:jc w:val="center"/>
        <w:rPr>
          <w:b/>
          <w:sz w:val="28"/>
          <w:szCs w:val="28"/>
        </w:rPr>
      </w:pPr>
      <w:r>
        <w:rPr>
          <w:b/>
          <w:sz w:val="28"/>
          <w:szCs w:val="28"/>
        </w:rPr>
        <w:t>THE PUBLIC UTILITIES COMMISSION OF OHIO</w:t>
      </w:r>
    </w:p>
    <w:p w:rsidR="005740E9" w:rsidRPr="00145B29" w:rsidRDefault="005740E9" w:rsidP="005740E9">
      <w:pPr>
        <w:tabs>
          <w:tab w:val="left" w:pos="9360"/>
        </w:tabs>
        <w:autoSpaceDE w:val="0"/>
        <w:autoSpaceDN w:val="0"/>
        <w:adjustRightInd w:val="0"/>
        <w:rPr>
          <w:b/>
          <w:u w:val="single"/>
        </w:rPr>
      </w:pPr>
      <w:r>
        <w:rPr>
          <w:b/>
          <w:u w:val="single"/>
        </w:rPr>
        <w:tab/>
      </w:r>
    </w:p>
    <w:p w:rsidR="005740E9" w:rsidRDefault="005740E9" w:rsidP="00DB5C43">
      <w:pPr>
        <w:pStyle w:val="Heading1"/>
      </w:pPr>
      <w:bookmarkStart w:id="1" w:name="_Toc337034883"/>
      <w:r>
        <w:t>INTRODUCTION</w:t>
      </w:r>
      <w:bookmarkEnd w:id="1"/>
    </w:p>
    <w:p w:rsidR="00E047DC" w:rsidRDefault="005740E9" w:rsidP="00E047DC">
      <w:pPr>
        <w:pStyle w:val="Textstyle"/>
      </w:pPr>
      <w:r>
        <w:tab/>
      </w:r>
      <w:r w:rsidR="00BB6AFF">
        <w:t xml:space="preserve">On September 5, 2012 the Commission directed the parties to this case to file briefs addressing certain listed questions.  </w:t>
      </w:r>
      <w:r w:rsidR="00FB5570">
        <w:t>The initial briefs have been filed in this matter and several parties have chosen to address items outside the scope of this proceeding.  Although these matters have been considered and properly rejected by the Commission in the past, this reply brief will respond in summary fashion to these questions yet again.</w:t>
      </w:r>
      <w:bookmarkStart w:id="2" w:name="_Toc337034884"/>
    </w:p>
    <w:p w:rsidR="005740E9" w:rsidRDefault="005740E9" w:rsidP="00E047DC">
      <w:pPr>
        <w:pStyle w:val="Heading1"/>
      </w:pPr>
      <w:r>
        <w:t>DISCUSSION</w:t>
      </w:r>
      <w:bookmarkEnd w:id="2"/>
    </w:p>
    <w:p w:rsidR="00DF5BCD" w:rsidRPr="00DF5BCD" w:rsidRDefault="00FB5570" w:rsidP="00212978">
      <w:pPr>
        <w:pStyle w:val="Heading2"/>
      </w:pPr>
      <w:r>
        <w:t>The proper forum for determining “need” for Turning Point is this case.</w:t>
      </w:r>
    </w:p>
    <w:p w:rsidR="00E91B3D" w:rsidRDefault="005740E9" w:rsidP="00E91B3D">
      <w:pPr>
        <w:pStyle w:val="Textstyle"/>
      </w:pPr>
      <w:r>
        <w:tab/>
      </w:r>
      <w:r w:rsidR="00E91B3D">
        <w:t xml:space="preserve">It is argued that the “need” for Turning Point should be determined in an ESP case.  </w:t>
      </w:r>
      <w:r w:rsidR="00E047DC">
        <w:t xml:space="preserve">This matter has already been discussed in Section I(A) of the Staff’s Reply brief.  </w:t>
      </w:r>
      <w:r w:rsidR="00E91B3D">
        <w:t xml:space="preserve">Suffice it to say that the General Assembly has determined otherwise.  </w:t>
      </w:r>
    </w:p>
    <w:p w:rsidR="00E91B3D" w:rsidRDefault="00E91B3D" w:rsidP="00E91B3D">
      <w:pPr>
        <w:pStyle w:val="Textstyle"/>
      </w:pPr>
      <w:r>
        <w:lastRenderedPageBreak/>
        <w:tab/>
        <w:t>R.C. 4928.143(B)(2)(c) allows the imposition of a non-bypassable charge by an EDU for a generating facility that meets a number of conditions including:</w:t>
      </w:r>
    </w:p>
    <w:p w:rsidR="00E91B3D" w:rsidRDefault="00E91B3D" w:rsidP="00E047DC">
      <w:pPr>
        <w:pStyle w:val="Blockquote"/>
      </w:pPr>
      <w:r>
        <w:t>However, no surcharge shall be authorized unless the com-mission first determines in the proceeding that there is need for the facility based on resource planning projections sub</w:t>
      </w:r>
      <w:r w:rsidR="00E047DC">
        <w:softHyphen/>
      </w:r>
      <w:r>
        <w:t xml:space="preserve">mitted by the electric distribution utility. </w:t>
      </w:r>
    </w:p>
    <w:p w:rsidR="00E91B3D" w:rsidRDefault="00E91B3D" w:rsidP="00E91B3D">
      <w:pPr>
        <w:pStyle w:val="Textstyle"/>
      </w:pPr>
      <w:r>
        <w:t>This section shows that the legislature’s intent was that the review occur in forecasting proceedings because that is where, statutorily, resource plans are considered, specifically:</w:t>
      </w:r>
    </w:p>
    <w:p w:rsidR="00E91B3D" w:rsidRDefault="00E91B3D" w:rsidP="00E047DC">
      <w:pPr>
        <w:pStyle w:val="Blockquote"/>
      </w:pPr>
      <w:r>
        <w:t xml:space="preserve">(C) Each person owning or operating a major utility facility within this state, or furnishing gas, natural gas, or electricity directly to more than fifteen thousand customers within this state shall furnish a report to the commission for its review.  The report shall be furnished annually, except that for a gas or natural gas company the report shall be furnished every three years. </w:t>
      </w:r>
      <w:r w:rsidR="00E047DC">
        <w:t xml:space="preserve"> </w:t>
      </w:r>
      <w:r>
        <w:t>The report shall be termed the long-term forecast report and shall contain:</w:t>
      </w:r>
    </w:p>
    <w:p w:rsidR="00E91B3D" w:rsidRDefault="00E91B3D" w:rsidP="00E047DC">
      <w:pPr>
        <w:pStyle w:val="Blockquote"/>
      </w:pPr>
      <w:r>
        <w:t>A year-by-year, ten-year forecast of annual energy demand, peak load, reserves, and a general description of the resource plan to meet demand….</w:t>
      </w:r>
      <w:r>
        <w:rPr>
          <w:rStyle w:val="FootnoteReference"/>
        </w:rPr>
        <w:footnoteReference w:id="1"/>
      </w:r>
      <w:r>
        <w:t xml:space="preserve"> </w:t>
      </w:r>
    </w:p>
    <w:p w:rsidR="00E91B3D" w:rsidRDefault="00E91B3D" w:rsidP="00526946">
      <w:pPr>
        <w:pStyle w:val="Textstyle"/>
      </w:pPr>
      <w:r>
        <w:t>Thus, where an EDU is contemplating seeking a non-bypassable charge through an ESP under R.C. 4928.143(B)(2)(c), the EDU must have the need for that facility considered in a forecasting case.  That is exactly what this docket is about.  The statute has been ful</w:t>
      </w:r>
      <w:r w:rsidR="00E047DC">
        <w:softHyphen/>
      </w:r>
      <w:r>
        <w:t>filled and the argument should be rejected.</w:t>
      </w:r>
    </w:p>
    <w:p w:rsidR="006B3183" w:rsidRDefault="006B3183" w:rsidP="00526946">
      <w:pPr>
        <w:pStyle w:val="Textstyle"/>
      </w:pPr>
    </w:p>
    <w:p w:rsidR="00BB6AFF" w:rsidRPr="00BB6AFF" w:rsidRDefault="00C56200" w:rsidP="00BB6AFF">
      <w:pPr>
        <w:pStyle w:val="Heading2"/>
      </w:pPr>
      <w:r>
        <w:lastRenderedPageBreak/>
        <w:t>A non-bypassable charge is not at issue in this case.</w:t>
      </w:r>
    </w:p>
    <w:p w:rsidR="00DF5BCD" w:rsidRDefault="00212978" w:rsidP="00526946">
      <w:pPr>
        <w:pStyle w:val="Textstyle"/>
      </w:pPr>
      <w:r>
        <w:tab/>
      </w:r>
      <w:r w:rsidR="00C56200">
        <w:t>Several commenters have used the Commission’s directive as an opportunity to reargue their concerns about the imposition of a non-bypassable charge for the Turning Point project.  The question is simply not presented here.  AEP has made no request for a charge of any sort in this docket.  The commenters raise a number of questions and con</w:t>
      </w:r>
      <w:r w:rsidR="00E047DC">
        <w:softHyphen/>
      </w:r>
      <w:r w:rsidR="00C56200">
        <w:t>cerns about the imposition of such a charge but this is not the venue in which these con</w:t>
      </w:r>
      <w:r w:rsidR="00E047DC">
        <w:softHyphen/>
      </w:r>
      <w:r w:rsidR="00C56200">
        <w:t xml:space="preserve">cerns can or should be addressed.  Although the record is clear that </w:t>
      </w:r>
      <w:r w:rsidR="00A47DBA">
        <w:t>S</w:t>
      </w:r>
      <w:r w:rsidR="00E047DC">
        <w:t>REC</w:t>
      </w:r>
      <w:r w:rsidR="00C56200">
        <w:t>s in the quantity that would be supplied by the Turning Point project are clearly needed in Ohio, whether there should be a non-bypassable charge associated with it is a matter to be determined through the ESP process whether through the main SSO case or some subsidiary docket.</w:t>
      </w:r>
      <w:r w:rsidR="00E3064B">
        <w:t xml:space="preserve">  This is because the non-bypassable charge is a component of an ESP plan.  This is clear from the statute that provides:</w:t>
      </w:r>
    </w:p>
    <w:p w:rsidR="00E3064B" w:rsidRDefault="00E3064B" w:rsidP="00E047DC">
      <w:pPr>
        <w:pStyle w:val="Blockquote"/>
      </w:pPr>
      <w:r>
        <w:t>(B) Notwithstanding any other provision of Title XLIX of the Revised Code to the contrary except division (D) of this sec</w:t>
      </w:r>
      <w:r w:rsidR="00E047DC">
        <w:softHyphen/>
      </w:r>
      <w:r>
        <w:t>tion, divisions (I), (J), and (K) of section 4928.20, division (E) of section 4928.64, and section 4928.69 of the Revised Code: …</w:t>
      </w:r>
    </w:p>
    <w:p w:rsidR="00E3064B" w:rsidRDefault="00E3064B" w:rsidP="00E047DC">
      <w:pPr>
        <w:pStyle w:val="Blockquote"/>
      </w:pPr>
      <w:r>
        <w:t>(2) The plan may provide for or include, without limitation, any of the following:</w:t>
      </w:r>
    </w:p>
    <w:p w:rsidR="00E3064B" w:rsidRPr="00E047DC" w:rsidRDefault="00E047DC" w:rsidP="00E047DC">
      <w:pPr>
        <w:pStyle w:val="Blockquote"/>
        <w:jc w:val="center"/>
      </w:pPr>
      <w:r>
        <w:t>*      *      *</w:t>
      </w:r>
    </w:p>
    <w:p w:rsidR="00E3064B" w:rsidRDefault="00E3064B" w:rsidP="00E047DC">
      <w:pPr>
        <w:pStyle w:val="Blockquote"/>
      </w:pPr>
      <w:r>
        <w:t>(b) A reasonable allowance for construction work in progress for any of the electric distribution utility’s cost of construct</w:t>
      </w:r>
      <w:r w:rsidR="00E047DC">
        <w:softHyphen/>
      </w:r>
      <w:r>
        <w:t>ing an electric generating facility or for an environmental expenditure for any electric generating facility of the electric distribution utility, provided the cost is incurred or the expenditure occurs on or after January 1, 2009</w:t>
      </w:r>
      <w:r w:rsidR="00E047DC">
        <w:t xml:space="preserve">.  </w:t>
      </w:r>
      <w:r>
        <w:t>Any such allowance shall be subject to the construction work in pro</w:t>
      </w:r>
      <w:r w:rsidR="00E047DC">
        <w:softHyphen/>
      </w:r>
      <w:r>
        <w:t xml:space="preserve">gress allowance limitations of division (A) of section 4909.15 of the Revised Code, except that the commission may </w:t>
      </w:r>
      <w:r>
        <w:lastRenderedPageBreak/>
        <w:t>authorize such an allowance upon the incurrence of the cost or occurrence of the expenditure</w:t>
      </w:r>
      <w:r w:rsidR="00E047DC">
        <w:t xml:space="preserve">.  </w:t>
      </w:r>
      <w:r>
        <w:t>No such allowance for gen</w:t>
      </w:r>
      <w:r w:rsidR="00E047DC">
        <w:softHyphen/>
      </w:r>
      <w:r>
        <w:t>erating facility construction shall be authorized, however, unless the commission first determines in the proceeding that there is need for the facility based on resource planning pro</w:t>
      </w:r>
      <w:r w:rsidR="00E047DC">
        <w:softHyphen/>
      </w:r>
      <w:r>
        <w:t>jections submitted by the electric distribution utility</w:t>
      </w:r>
      <w:r w:rsidR="00E047DC">
        <w:t xml:space="preserve">.  </w:t>
      </w:r>
      <w:r>
        <w:t>Further, no such allowance shall be authorized unless the facility’s construction was sourced through a competitive bid process, regarding which process the commission may adopt rules</w:t>
      </w:r>
      <w:r w:rsidR="00E047DC">
        <w:t xml:space="preserve">.  </w:t>
      </w:r>
      <w:r>
        <w:t>An allowance approved under division (B)(2)(b) of this sec</w:t>
      </w:r>
      <w:r w:rsidR="00E047DC">
        <w:softHyphen/>
      </w:r>
      <w:r>
        <w:t>tion shall be established as a nonbypassable surcharge for the life of the facility.</w:t>
      </w:r>
    </w:p>
    <w:p w:rsidR="00E3064B" w:rsidRDefault="00E3064B" w:rsidP="00E047DC">
      <w:pPr>
        <w:pStyle w:val="Blockquote"/>
      </w:pPr>
      <w:r>
        <w:t>(c) The establishment of a nonbypassable surcharge for the life of an electric generating facility that is owned or operated by the electric distribution utility, was sourced through a competitive bid process subject to any such rules as the com</w:t>
      </w:r>
      <w:r w:rsidR="00E047DC">
        <w:softHyphen/>
      </w:r>
      <w:r>
        <w:t>mission adopts under division (B)(2)(b) of this section, and is newly used and useful on or after January 1, 2009, which sur</w:t>
      </w:r>
      <w:r w:rsidR="00E047DC">
        <w:softHyphen/>
      </w:r>
      <w:r>
        <w:t>charge shall cover all costs of the utility specified in the application, excluding costs recovered through a surcharge under division (B)(2)(b) of this section. However, no sur</w:t>
      </w:r>
      <w:r w:rsidR="00E047DC">
        <w:softHyphen/>
      </w:r>
      <w:r>
        <w:t>charge shall be authorized unless the commission first deter</w:t>
      </w:r>
      <w:r w:rsidR="00E047DC">
        <w:softHyphen/>
      </w:r>
      <w:r>
        <w:t>mines in the proceeding that there is need for the facility based on resource planning projections submitted by the electric distribution utility</w:t>
      </w:r>
      <w:r w:rsidR="00E047DC">
        <w:t xml:space="preserve">.  </w:t>
      </w:r>
      <w:r>
        <w:t>Additionally, if a surcharge is authorized for a facility pursuant to plan approval under divi</w:t>
      </w:r>
      <w:r w:rsidR="00E047DC">
        <w:softHyphen/>
      </w:r>
      <w:r>
        <w:t>sion (C) of this section and as a condition of the continuation of the surcharge, the electric distribution utility shall dedicate to Ohio consumers the capacity and energy and the rate asso</w:t>
      </w:r>
      <w:r w:rsidR="00E047DC">
        <w:softHyphen/>
      </w:r>
      <w:r>
        <w:t>ciated with the cost of that facility</w:t>
      </w:r>
      <w:r w:rsidR="00E047DC">
        <w:t xml:space="preserve">.  </w:t>
      </w:r>
      <w:r>
        <w:t>Before the commission authorizes any surcharge pursuant to this division, it may consider, as applicable, the effects of any decommissioning, deratings, and retirements.</w:t>
      </w:r>
      <w:r>
        <w:rPr>
          <w:rStyle w:val="FootnoteReference"/>
        </w:rPr>
        <w:footnoteReference w:id="2"/>
      </w:r>
    </w:p>
    <w:p w:rsidR="00E3064B" w:rsidRDefault="00E3064B" w:rsidP="00E3064B">
      <w:pPr>
        <w:pStyle w:val="Textstyle"/>
      </w:pPr>
      <w:r>
        <w:t>Thus</w:t>
      </w:r>
      <w:r w:rsidR="00872BD4">
        <w:t xml:space="preserve"> all questions regarding the availability or advisability of a non-bypassable charge should be vetted in the ESP context, not here.  As this matter has been more fully dis</w:t>
      </w:r>
      <w:r w:rsidR="00E047DC">
        <w:softHyphen/>
      </w:r>
      <w:r w:rsidR="00872BD4">
        <w:t>cussed in earlier briefs, no more need be noted here.</w:t>
      </w:r>
    </w:p>
    <w:p w:rsidR="00BB6AFF" w:rsidRDefault="00872BD4" w:rsidP="00BB6AFF">
      <w:pPr>
        <w:pStyle w:val="Heading2"/>
      </w:pPr>
      <w:r>
        <w:lastRenderedPageBreak/>
        <w:t>Some erroneous comments should be noted</w:t>
      </w:r>
    </w:p>
    <w:p w:rsidR="00BB6AFF" w:rsidRDefault="00AB0056" w:rsidP="00872BD4">
      <w:pPr>
        <w:pStyle w:val="Textstyle"/>
      </w:pPr>
      <w:r>
        <w:tab/>
      </w:r>
      <w:r w:rsidR="00872BD4">
        <w:t>IEU claims that Staff witness Bellamy erred in representing the amount of certi</w:t>
      </w:r>
      <w:r w:rsidR="00E047DC">
        <w:softHyphen/>
      </w:r>
      <w:r w:rsidR="00872BD4">
        <w:t xml:space="preserve">fied facilities.  There is, in fact, no error.  </w:t>
      </w:r>
      <w:r w:rsidR="00A47DBA" w:rsidRPr="00A47DBA">
        <w:t xml:space="preserve">IEU relies for its calculation of the amount of </w:t>
      </w:r>
      <w:r w:rsidR="006B3183">
        <w:t>SREC</w:t>
      </w:r>
      <w:r w:rsidR="00A47DBA" w:rsidRPr="00A47DBA">
        <w:t>s on the date of certification of facilities</w:t>
      </w:r>
      <w:r w:rsidR="006B3183">
        <w:t xml:space="preserve">.  </w:t>
      </w:r>
      <w:r w:rsidR="00872BD4">
        <w:t xml:space="preserve">Mr. Bellamy’s calculation of the amount of certified facilities available was based on the in service date.  As the amount of </w:t>
      </w:r>
      <w:r w:rsidR="00E047DC">
        <w:t>SRecs</w:t>
      </w:r>
      <w:r w:rsidR="00872BD4">
        <w:t xml:space="preserve"> produced is determined by when a facility is in service rather than when the facil</w:t>
      </w:r>
      <w:r w:rsidR="00E047DC">
        <w:softHyphen/>
      </w:r>
      <w:r w:rsidR="00872BD4">
        <w:t xml:space="preserve">ity is certified, Mr. Bellamy’s calculation is the more relevant.  Mr. Bellamy’s calculation reflects </w:t>
      </w:r>
      <w:r w:rsidR="00284ADD">
        <w:t>the timing of solar construction</w:t>
      </w:r>
      <w:r w:rsidR="00872BD4">
        <w:t xml:space="preserve"> and is therefore the more useful perspective</w:t>
      </w:r>
      <w:r w:rsidR="00850864">
        <w:t>.</w:t>
      </w:r>
    </w:p>
    <w:p w:rsidR="00850864" w:rsidRDefault="00850864" w:rsidP="00872BD4">
      <w:pPr>
        <w:pStyle w:val="Textstyle"/>
      </w:pPr>
      <w:r>
        <w:tab/>
        <w:t>Additionally, IEU claims that all the testimony in the case shows that</w:t>
      </w:r>
      <w:r w:rsidRPr="00850864">
        <w:t xml:space="preserve"> </w:t>
      </w:r>
      <w:r>
        <w:t>“…</w:t>
      </w:r>
      <w:r w:rsidRPr="00850864">
        <w:t>whether Turning Point is needed from a “resource planning” perspective is done by looking at peak demand</w:t>
      </w:r>
      <w:r>
        <w:t xml:space="preserve">.”  Mr. Bellamy’s testimony does not make this point, indeed it is directed towards showing that a needed resource, </w:t>
      </w:r>
      <w:r w:rsidR="00A47DBA">
        <w:t>S</w:t>
      </w:r>
      <w:r w:rsidR="00E047DC">
        <w:t>RECs</w:t>
      </w:r>
      <w:r>
        <w:t>, should be planned from a state-wide, total requirement perspective.</w:t>
      </w:r>
    </w:p>
    <w:p w:rsidR="00E047DC" w:rsidRDefault="00A81645" w:rsidP="00E047DC">
      <w:pPr>
        <w:pStyle w:val="Heading1"/>
      </w:pPr>
      <w:r>
        <w:tab/>
      </w:r>
      <w:bookmarkStart w:id="3" w:name="_Toc337034893"/>
      <w:r w:rsidR="00E047DC">
        <w:br w:type="page"/>
      </w:r>
    </w:p>
    <w:p w:rsidR="005740E9" w:rsidRPr="008F2F89" w:rsidRDefault="005740E9" w:rsidP="00E047DC">
      <w:pPr>
        <w:pStyle w:val="Heading1"/>
      </w:pPr>
      <w:r>
        <w:lastRenderedPageBreak/>
        <w:t>CONCLUSION</w:t>
      </w:r>
      <w:bookmarkEnd w:id="3"/>
    </w:p>
    <w:p w:rsidR="005740E9" w:rsidRPr="00967498" w:rsidRDefault="005740E9" w:rsidP="00526946">
      <w:pPr>
        <w:pStyle w:val="Textstyle"/>
      </w:pPr>
      <w:r>
        <w:tab/>
      </w:r>
      <w:r w:rsidR="00967498">
        <w:t xml:space="preserve">In sum, </w:t>
      </w:r>
      <w:r w:rsidR="00850864">
        <w:t xml:space="preserve">as noted in the initial briefs, Turning Point is needed to meet state-wide demand for </w:t>
      </w:r>
      <w:r w:rsidR="00A47DBA">
        <w:t>S</w:t>
      </w:r>
      <w:r w:rsidR="00850864">
        <w:t>RECs.  Whether there should be a non-bypassable charge associated with it is a matter for another case.</w:t>
      </w:r>
      <w:bookmarkStart w:id="4" w:name="_GoBack"/>
      <w:bookmarkEnd w:id="4"/>
    </w:p>
    <w:p w:rsidR="00A63ED6" w:rsidRDefault="00A63ED6" w:rsidP="006B18D5">
      <w:pPr>
        <w:autoSpaceDE w:val="0"/>
        <w:autoSpaceDN w:val="0"/>
        <w:adjustRightInd w:val="0"/>
        <w:ind w:left="4320"/>
        <w:rPr>
          <w:sz w:val="26"/>
          <w:szCs w:val="26"/>
        </w:rPr>
      </w:pPr>
      <w:r>
        <w:rPr>
          <w:sz w:val="26"/>
          <w:szCs w:val="26"/>
        </w:rPr>
        <w:t>Respectfully submitted,</w:t>
      </w:r>
    </w:p>
    <w:p w:rsidR="00A63ED6" w:rsidRPr="00A63ED6" w:rsidRDefault="00A63ED6" w:rsidP="006B18D5">
      <w:pPr>
        <w:autoSpaceDE w:val="0"/>
        <w:autoSpaceDN w:val="0"/>
        <w:adjustRightInd w:val="0"/>
        <w:ind w:left="4320"/>
        <w:rPr>
          <w:sz w:val="26"/>
          <w:szCs w:val="26"/>
        </w:rPr>
      </w:pPr>
    </w:p>
    <w:p w:rsidR="00BD4C04" w:rsidRDefault="00BD4C04" w:rsidP="00BF6AFD">
      <w:pPr>
        <w:autoSpaceDE w:val="0"/>
        <w:autoSpaceDN w:val="0"/>
        <w:adjustRightInd w:val="0"/>
        <w:ind w:left="4320"/>
        <w:rPr>
          <w:sz w:val="26"/>
          <w:szCs w:val="26"/>
        </w:rPr>
      </w:pPr>
      <w:r>
        <w:rPr>
          <w:b/>
          <w:sz w:val="26"/>
          <w:szCs w:val="26"/>
        </w:rPr>
        <w:t>Michael DeWine</w:t>
      </w:r>
    </w:p>
    <w:p w:rsidR="00BD4C04" w:rsidRDefault="00BD4C04" w:rsidP="00BF6AFD">
      <w:pPr>
        <w:autoSpaceDE w:val="0"/>
        <w:autoSpaceDN w:val="0"/>
        <w:adjustRightInd w:val="0"/>
        <w:ind w:left="4320"/>
        <w:rPr>
          <w:sz w:val="26"/>
          <w:szCs w:val="26"/>
        </w:rPr>
      </w:pPr>
      <w:r>
        <w:rPr>
          <w:sz w:val="26"/>
          <w:szCs w:val="26"/>
        </w:rPr>
        <w:t>Ohio Attorney General</w:t>
      </w:r>
    </w:p>
    <w:p w:rsidR="00BD4C04" w:rsidRDefault="00BD4C04" w:rsidP="00BF6AFD">
      <w:pPr>
        <w:autoSpaceDE w:val="0"/>
        <w:autoSpaceDN w:val="0"/>
        <w:adjustRightInd w:val="0"/>
        <w:ind w:left="4320"/>
        <w:rPr>
          <w:sz w:val="26"/>
          <w:szCs w:val="26"/>
        </w:rPr>
      </w:pPr>
    </w:p>
    <w:p w:rsidR="00BD4C04" w:rsidRDefault="00BD4C04" w:rsidP="00BF6AFD">
      <w:pPr>
        <w:autoSpaceDE w:val="0"/>
        <w:autoSpaceDN w:val="0"/>
        <w:adjustRightInd w:val="0"/>
        <w:ind w:left="4320"/>
        <w:rPr>
          <w:sz w:val="26"/>
          <w:szCs w:val="26"/>
        </w:rPr>
      </w:pPr>
      <w:r>
        <w:rPr>
          <w:b/>
          <w:sz w:val="26"/>
          <w:szCs w:val="26"/>
        </w:rPr>
        <w:t>William L. Wright</w:t>
      </w:r>
    </w:p>
    <w:p w:rsidR="00BD4C04" w:rsidRDefault="00BD4C04" w:rsidP="00BF6AFD">
      <w:pPr>
        <w:autoSpaceDE w:val="0"/>
        <w:autoSpaceDN w:val="0"/>
        <w:adjustRightInd w:val="0"/>
        <w:ind w:left="4320"/>
        <w:rPr>
          <w:sz w:val="26"/>
          <w:szCs w:val="26"/>
        </w:rPr>
      </w:pPr>
      <w:r>
        <w:rPr>
          <w:sz w:val="26"/>
          <w:szCs w:val="26"/>
        </w:rPr>
        <w:t>Section Chief</w:t>
      </w:r>
    </w:p>
    <w:p w:rsidR="00BD4C04" w:rsidRPr="006B18D5" w:rsidRDefault="00BD4C04" w:rsidP="00BF6AFD">
      <w:pPr>
        <w:autoSpaceDE w:val="0"/>
        <w:autoSpaceDN w:val="0"/>
        <w:adjustRightInd w:val="0"/>
        <w:ind w:left="4320"/>
        <w:rPr>
          <w:sz w:val="26"/>
          <w:szCs w:val="26"/>
        </w:rPr>
      </w:pPr>
    </w:p>
    <w:p w:rsidR="00BF6AFD" w:rsidRPr="00313E0D" w:rsidRDefault="00313E0D" w:rsidP="00BF6AFD">
      <w:pPr>
        <w:tabs>
          <w:tab w:val="left" w:pos="9360"/>
        </w:tabs>
        <w:autoSpaceDE w:val="0"/>
        <w:autoSpaceDN w:val="0"/>
        <w:adjustRightInd w:val="0"/>
        <w:ind w:left="4320"/>
        <w:rPr>
          <w:rFonts w:ascii="Viner Hand ITC" w:hAnsi="Viner Hand ITC"/>
          <w:sz w:val="32"/>
          <w:szCs w:val="32"/>
          <w:u w:val="single"/>
        </w:rPr>
      </w:pPr>
      <w:r w:rsidRPr="00313E0D">
        <w:rPr>
          <w:rFonts w:ascii="Viner Hand ITC" w:hAnsi="Viner Hand ITC"/>
          <w:sz w:val="32"/>
          <w:szCs w:val="32"/>
          <w:u w:val="single"/>
        </w:rPr>
        <w:t>/s/ Thomas W. McNamee</w:t>
      </w:r>
      <w:r w:rsidR="00BF6AFD" w:rsidRPr="00313E0D">
        <w:rPr>
          <w:rFonts w:ascii="Viner Hand ITC" w:hAnsi="Viner Hand ITC"/>
          <w:sz w:val="32"/>
          <w:szCs w:val="32"/>
          <w:u w:val="single"/>
        </w:rPr>
        <w:tab/>
      </w:r>
    </w:p>
    <w:p w:rsidR="00BD4C04" w:rsidRPr="00A02CD4" w:rsidRDefault="00BD4C04" w:rsidP="00BF6AFD">
      <w:pPr>
        <w:autoSpaceDE w:val="0"/>
        <w:autoSpaceDN w:val="0"/>
        <w:adjustRightInd w:val="0"/>
        <w:ind w:left="4320"/>
        <w:rPr>
          <w:b/>
          <w:sz w:val="26"/>
          <w:szCs w:val="26"/>
        </w:rPr>
      </w:pPr>
      <w:r w:rsidRPr="00A02CD4">
        <w:rPr>
          <w:b/>
          <w:sz w:val="26"/>
          <w:szCs w:val="26"/>
        </w:rPr>
        <w:t>Thomas W. McNamee</w:t>
      </w:r>
    </w:p>
    <w:p w:rsidR="00BD4C04" w:rsidRPr="00A02CD4" w:rsidRDefault="00BD4C04" w:rsidP="00BF6AFD">
      <w:pPr>
        <w:autoSpaceDE w:val="0"/>
        <w:autoSpaceDN w:val="0"/>
        <w:adjustRightInd w:val="0"/>
        <w:ind w:left="4320"/>
        <w:rPr>
          <w:sz w:val="26"/>
          <w:szCs w:val="26"/>
        </w:rPr>
      </w:pPr>
      <w:r w:rsidRPr="00A02CD4">
        <w:rPr>
          <w:sz w:val="26"/>
          <w:szCs w:val="26"/>
        </w:rPr>
        <w:t>Assistant Attorney General</w:t>
      </w:r>
    </w:p>
    <w:p w:rsidR="00BD4C04" w:rsidRPr="00A02CD4" w:rsidRDefault="00BD4C04" w:rsidP="00BF6AFD">
      <w:pPr>
        <w:autoSpaceDE w:val="0"/>
        <w:autoSpaceDN w:val="0"/>
        <w:adjustRightInd w:val="0"/>
        <w:ind w:left="4320"/>
        <w:rPr>
          <w:sz w:val="26"/>
          <w:szCs w:val="26"/>
        </w:rPr>
      </w:pPr>
      <w:r w:rsidRPr="00A02CD4">
        <w:rPr>
          <w:sz w:val="26"/>
          <w:szCs w:val="26"/>
        </w:rPr>
        <w:t>Public Utilities Section</w:t>
      </w:r>
    </w:p>
    <w:p w:rsidR="00BD4C04" w:rsidRPr="00A02CD4" w:rsidRDefault="00BD4C04" w:rsidP="00BF6AFD">
      <w:pPr>
        <w:autoSpaceDE w:val="0"/>
        <w:autoSpaceDN w:val="0"/>
        <w:adjustRightInd w:val="0"/>
        <w:ind w:left="4320"/>
        <w:rPr>
          <w:sz w:val="26"/>
          <w:szCs w:val="26"/>
        </w:rPr>
      </w:pPr>
      <w:r w:rsidRPr="00A02CD4">
        <w:rPr>
          <w:sz w:val="26"/>
          <w:szCs w:val="26"/>
        </w:rPr>
        <w:t>180 East Broad Street, 6</w:t>
      </w:r>
      <w:r w:rsidRPr="00A02CD4">
        <w:rPr>
          <w:sz w:val="26"/>
          <w:szCs w:val="26"/>
          <w:vertAlign w:val="superscript"/>
        </w:rPr>
        <w:t>th</w:t>
      </w:r>
      <w:r w:rsidRPr="00A02CD4">
        <w:rPr>
          <w:sz w:val="26"/>
          <w:szCs w:val="26"/>
        </w:rPr>
        <w:t xml:space="preserve"> Floor</w:t>
      </w:r>
    </w:p>
    <w:p w:rsidR="00BD4C04" w:rsidRPr="00A02CD4" w:rsidRDefault="00BD4C04" w:rsidP="00BF6AFD">
      <w:pPr>
        <w:autoSpaceDE w:val="0"/>
        <w:autoSpaceDN w:val="0"/>
        <w:adjustRightInd w:val="0"/>
        <w:ind w:left="4320"/>
        <w:rPr>
          <w:sz w:val="26"/>
          <w:szCs w:val="26"/>
        </w:rPr>
      </w:pPr>
      <w:r w:rsidRPr="00A02CD4">
        <w:rPr>
          <w:sz w:val="26"/>
          <w:szCs w:val="26"/>
        </w:rPr>
        <w:t>Columbus, OH  43215-3793</w:t>
      </w:r>
    </w:p>
    <w:p w:rsidR="00BD4C04" w:rsidRPr="00A02CD4" w:rsidRDefault="00BD4C04" w:rsidP="00BF6AFD">
      <w:pPr>
        <w:autoSpaceDE w:val="0"/>
        <w:autoSpaceDN w:val="0"/>
        <w:adjustRightInd w:val="0"/>
        <w:ind w:left="4320"/>
        <w:rPr>
          <w:sz w:val="26"/>
          <w:szCs w:val="26"/>
        </w:rPr>
      </w:pPr>
      <w:r w:rsidRPr="00A02CD4">
        <w:rPr>
          <w:sz w:val="26"/>
          <w:szCs w:val="26"/>
        </w:rPr>
        <w:t>(614) 466-4396</w:t>
      </w:r>
    </w:p>
    <w:p w:rsidR="00BD4C04" w:rsidRPr="00A02CD4" w:rsidRDefault="00BD4C04" w:rsidP="00BF6AFD">
      <w:pPr>
        <w:autoSpaceDE w:val="0"/>
        <w:autoSpaceDN w:val="0"/>
        <w:adjustRightInd w:val="0"/>
        <w:ind w:left="4320"/>
        <w:rPr>
          <w:sz w:val="26"/>
          <w:szCs w:val="26"/>
        </w:rPr>
      </w:pPr>
      <w:r w:rsidRPr="00A02CD4">
        <w:rPr>
          <w:sz w:val="26"/>
          <w:szCs w:val="26"/>
        </w:rPr>
        <w:t>Fax:  (614) 644-8764</w:t>
      </w:r>
    </w:p>
    <w:p w:rsidR="00BD4C04" w:rsidRPr="00A02CD4" w:rsidRDefault="006D7E76" w:rsidP="00BF6AFD">
      <w:pPr>
        <w:autoSpaceDE w:val="0"/>
        <w:autoSpaceDN w:val="0"/>
        <w:adjustRightInd w:val="0"/>
        <w:ind w:left="4320"/>
        <w:rPr>
          <w:sz w:val="26"/>
          <w:szCs w:val="26"/>
        </w:rPr>
      </w:pPr>
      <w:hyperlink r:id="rId13" w:history="1">
        <w:r w:rsidR="00BD4C04" w:rsidRPr="00A02CD4">
          <w:rPr>
            <w:rStyle w:val="Hyperlink"/>
            <w:sz w:val="26"/>
            <w:szCs w:val="26"/>
          </w:rPr>
          <w:t>thomas.mcnamee@puc.state.oh.us</w:t>
        </w:r>
      </w:hyperlink>
    </w:p>
    <w:p w:rsidR="00BD4C04" w:rsidRPr="00A02CD4" w:rsidRDefault="00BD4C04" w:rsidP="00BF6AFD">
      <w:pPr>
        <w:autoSpaceDE w:val="0"/>
        <w:autoSpaceDN w:val="0"/>
        <w:adjustRightInd w:val="0"/>
        <w:ind w:left="4320"/>
        <w:rPr>
          <w:sz w:val="26"/>
          <w:szCs w:val="26"/>
        </w:rPr>
      </w:pPr>
    </w:p>
    <w:p w:rsidR="00BF6AFD" w:rsidRPr="00DB5C43" w:rsidRDefault="00BD4C04" w:rsidP="00DB5C43">
      <w:pPr>
        <w:ind w:left="4320"/>
        <w:rPr>
          <w:b/>
          <w:sz w:val="26"/>
          <w:szCs w:val="26"/>
        </w:rPr>
      </w:pPr>
      <w:r w:rsidRPr="00DB5C43">
        <w:rPr>
          <w:b/>
          <w:sz w:val="26"/>
          <w:szCs w:val="26"/>
        </w:rPr>
        <w:t>Counsel for the Staff of the Public Utilities Commission of Ohio</w:t>
      </w:r>
    </w:p>
    <w:p w:rsidR="00CF5B97" w:rsidRDefault="00CF5B97" w:rsidP="00DB5C43">
      <w:pPr>
        <w:pStyle w:val="Heading1"/>
      </w:pPr>
      <w:r>
        <w:br w:type="page"/>
      </w:r>
    </w:p>
    <w:p w:rsidR="00C53AE4" w:rsidRDefault="00C53AE4" w:rsidP="00DB5C43">
      <w:pPr>
        <w:pStyle w:val="Heading1"/>
      </w:pPr>
      <w:bookmarkStart w:id="5" w:name="_Toc337034894"/>
      <w:r>
        <w:lastRenderedPageBreak/>
        <w:t>CERTIFICATE OF SERVICE</w:t>
      </w:r>
      <w:bookmarkEnd w:id="5"/>
    </w:p>
    <w:p w:rsidR="00C53AE4" w:rsidRDefault="00C53AE4" w:rsidP="00526946">
      <w:pPr>
        <w:pStyle w:val="Textstyle"/>
      </w:pPr>
      <w:r>
        <w:tab/>
        <w:t xml:space="preserve">The undersigned hereby certifies that a true and correct copy of the foregoing </w:t>
      </w:r>
      <w:r w:rsidR="00850864">
        <w:t xml:space="preserve">Reply </w:t>
      </w:r>
      <w:r w:rsidR="00526946">
        <w:t>Brief i</w:t>
      </w:r>
      <w:r w:rsidR="00526946" w:rsidRPr="00117663">
        <w:t xml:space="preserve">n Response </w:t>
      </w:r>
      <w:r w:rsidR="00526946">
        <w:t>t</w:t>
      </w:r>
      <w:r w:rsidR="00526946" w:rsidRPr="00117663">
        <w:t>o September 5, 2012 Order</w:t>
      </w:r>
      <w:r w:rsidR="00117663">
        <w:t xml:space="preserve"> </w:t>
      </w:r>
      <w:r>
        <w:t xml:space="preserve">submitted on behalf of the Staff of the Public Utilities Commission of Ohio, has been served upon the below-named counsel via traditional and electronic mail this </w:t>
      </w:r>
      <w:r w:rsidR="00E047DC">
        <w:t>17</w:t>
      </w:r>
      <w:r w:rsidR="00E047DC" w:rsidRPr="003C0FCF">
        <w:rPr>
          <w:vertAlign w:val="superscript"/>
        </w:rPr>
        <w:t>th</w:t>
      </w:r>
      <w:r w:rsidR="003C0FCF">
        <w:t xml:space="preserve"> </w:t>
      </w:r>
      <w:r>
        <w:t xml:space="preserve">day of </w:t>
      </w:r>
      <w:r w:rsidR="003C0FCF">
        <w:t>October</w:t>
      </w:r>
      <w:r>
        <w:t>, 2012.</w:t>
      </w:r>
    </w:p>
    <w:p w:rsidR="00DB5C43" w:rsidRPr="00A02CD4" w:rsidRDefault="00DB5C43" w:rsidP="00526946">
      <w:pPr>
        <w:pStyle w:val="Textstyle"/>
      </w:pPr>
    </w:p>
    <w:p w:rsidR="00313E0D" w:rsidRDefault="00313E0D" w:rsidP="00313E0D">
      <w:pPr>
        <w:tabs>
          <w:tab w:val="left" w:pos="9360"/>
        </w:tabs>
        <w:ind w:left="4320" w:firstLine="720"/>
        <w:rPr>
          <w:rFonts w:ascii="Viner Hand ITC" w:hAnsi="Viner Hand ITC"/>
          <w:sz w:val="32"/>
          <w:szCs w:val="32"/>
          <w:u w:val="single"/>
        </w:rPr>
      </w:pPr>
      <w:r w:rsidRPr="00313E0D">
        <w:rPr>
          <w:rFonts w:ascii="Viner Hand ITC" w:hAnsi="Viner Hand ITC"/>
          <w:sz w:val="32"/>
          <w:szCs w:val="32"/>
          <w:u w:val="single"/>
        </w:rPr>
        <w:t>/s/ Thomas W. McNamee</w:t>
      </w:r>
      <w:r>
        <w:rPr>
          <w:rFonts w:ascii="Viner Hand ITC" w:hAnsi="Viner Hand ITC"/>
          <w:sz w:val="32"/>
          <w:szCs w:val="32"/>
          <w:u w:val="single"/>
        </w:rPr>
        <w:tab/>
      </w:r>
    </w:p>
    <w:p w:rsidR="00C53AE4" w:rsidRDefault="00C53AE4" w:rsidP="00C53AE4">
      <w:pPr>
        <w:ind w:left="4320" w:firstLine="720"/>
        <w:rPr>
          <w:b/>
          <w:sz w:val="26"/>
          <w:szCs w:val="26"/>
        </w:rPr>
      </w:pPr>
      <w:r w:rsidRPr="00C53AE4">
        <w:rPr>
          <w:b/>
          <w:sz w:val="26"/>
          <w:szCs w:val="26"/>
        </w:rPr>
        <w:t>Thomas W. McNamee</w:t>
      </w:r>
    </w:p>
    <w:p w:rsidR="00526946" w:rsidRDefault="00526946" w:rsidP="00C53AE4">
      <w:pPr>
        <w:ind w:left="4320" w:firstLine="720"/>
        <w:rPr>
          <w:sz w:val="26"/>
          <w:szCs w:val="26"/>
        </w:rPr>
      </w:pPr>
      <w:r>
        <w:rPr>
          <w:sz w:val="26"/>
          <w:szCs w:val="26"/>
        </w:rPr>
        <w:t>Assistant Attorney General</w:t>
      </w:r>
    </w:p>
    <w:p w:rsidR="00DB5C43" w:rsidRPr="00526946" w:rsidRDefault="00DB5C43" w:rsidP="00C53AE4">
      <w:pPr>
        <w:ind w:left="4320" w:firstLine="720"/>
        <w:rPr>
          <w:sz w:val="26"/>
          <w:szCs w:val="26"/>
        </w:rPr>
      </w:pPr>
    </w:p>
    <w:p w:rsidR="00C53AE4" w:rsidRPr="00526946" w:rsidRDefault="00C53AE4" w:rsidP="00526946">
      <w:pPr>
        <w:pStyle w:val="Textstyle"/>
        <w:rPr>
          <w:b/>
        </w:rPr>
      </w:pPr>
      <w:r w:rsidRPr="00526946">
        <w:rPr>
          <w:b/>
        </w:rPr>
        <w:t>Parties of Record:</w:t>
      </w:r>
    </w:p>
    <w:tbl>
      <w:tblPr>
        <w:tblW w:w="0" w:type="auto"/>
        <w:tblLook w:val="04A0" w:firstRow="1" w:lastRow="0" w:firstColumn="1" w:lastColumn="0" w:noHBand="0" w:noVBand="1"/>
      </w:tblPr>
      <w:tblGrid>
        <w:gridCol w:w="4788"/>
        <w:gridCol w:w="4788"/>
      </w:tblGrid>
      <w:tr w:rsidR="00C53AE4" w:rsidTr="00E247A2">
        <w:tc>
          <w:tcPr>
            <w:tcW w:w="4788" w:type="dxa"/>
            <w:shd w:val="clear" w:color="auto" w:fill="auto"/>
          </w:tcPr>
          <w:p w:rsidR="00C53AE4" w:rsidRPr="00526946" w:rsidRDefault="00C53AE4" w:rsidP="00E247A2">
            <w:pPr>
              <w:autoSpaceDE w:val="0"/>
              <w:autoSpaceDN w:val="0"/>
              <w:adjustRightInd w:val="0"/>
              <w:rPr>
                <w:b/>
                <w:color w:val="000000"/>
                <w:sz w:val="26"/>
                <w:szCs w:val="26"/>
              </w:rPr>
            </w:pPr>
            <w:r w:rsidRPr="00526946">
              <w:rPr>
                <w:b/>
                <w:color w:val="000000"/>
                <w:sz w:val="26"/>
                <w:szCs w:val="26"/>
              </w:rPr>
              <w:t>Matthew Satterwhite</w:t>
            </w:r>
          </w:p>
          <w:p w:rsidR="00C53AE4" w:rsidRPr="00526946" w:rsidRDefault="00C53AE4" w:rsidP="00E247A2">
            <w:pPr>
              <w:autoSpaceDE w:val="0"/>
              <w:autoSpaceDN w:val="0"/>
              <w:adjustRightInd w:val="0"/>
              <w:rPr>
                <w:b/>
                <w:color w:val="000000"/>
                <w:sz w:val="26"/>
                <w:szCs w:val="26"/>
              </w:rPr>
            </w:pPr>
            <w:r w:rsidRPr="00526946">
              <w:rPr>
                <w:b/>
                <w:color w:val="000000"/>
                <w:sz w:val="26"/>
                <w:szCs w:val="26"/>
              </w:rPr>
              <w:t>Yazen Alami</w:t>
            </w:r>
          </w:p>
          <w:p w:rsidR="00C53AE4" w:rsidRPr="00A02CD4" w:rsidRDefault="00C53AE4" w:rsidP="00E247A2">
            <w:pPr>
              <w:autoSpaceDE w:val="0"/>
              <w:autoSpaceDN w:val="0"/>
              <w:adjustRightInd w:val="0"/>
              <w:rPr>
                <w:color w:val="000000"/>
                <w:sz w:val="26"/>
                <w:szCs w:val="26"/>
              </w:rPr>
            </w:pPr>
            <w:r w:rsidRPr="00A02CD4">
              <w:rPr>
                <w:color w:val="000000"/>
                <w:sz w:val="26"/>
                <w:szCs w:val="26"/>
              </w:rPr>
              <w:t>1 Riverside Plaza</w:t>
            </w:r>
          </w:p>
          <w:p w:rsidR="00C53AE4" w:rsidRPr="00A02CD4" w:rsidRDefault="00C53AE4" w:rsidP="00E247A2">
            <w:pPr>
              <w:autoSpaceDE w:val="0"/>
              <w:autoSpaceDN w:val="0"/>
              <w:adjustRightInd w:val="0"/>
              <w:rPr>
                <w:color w:val="000000"/>
                <w:sz w:val="26"/>
                <w:szCs w:val="26"/>
              </w:rPr>
            </w:pPr>
            <w:r w:rsidRPr="00A02CD4">
              <w:rPr>
                <w:color w:val="000000"/>
                <w:sz w:val="26"/>
                <w:szCs w:val="26"/>
              </w:rPr>
              <w:t>Columbus, OH 43215</w:t>
            </w:r>
          </w:p>
          <w:p w:rsidR="00C53AE4" w:rsidRPr="00A02CD4" w:rsidRDefault="006D7E76" w:rsidP="00E247A2">
            <w:pPr>
              <w:autoSpaceDE w:val="0"/>
              <w:autoSpaceDN w:val="0"/>
              <w:adjustRightInd w:val="0"/>
              <w:rPr>
                <w:color w:val="000000"/>
                <w:sz w:val="26"/>
                <w:szCs w:val="26"/>
              </w:rPr>
            </w:pPr>
            <w:hyperlink r:id="rId14" w:history="1">
              <w:r w:rsidR="00C53AE4" w:rsidRPr="00A02CD4">
                <w:rPr>
                  <w:rStyle w:val="Hyperlink"/>
                  <w:sz w:val="26"/>
                  <w:szCs w:val="26"/>
                </w:rPr>
                <w:t>mjsatterwhite@aep.com</w:t>
              </w:r>
            </w:hyperlink>
          </w:p>
          <w:p w:rsidR="00C53AE4" w:rsidRPr="00A02CD4" w:rsidRDefault="006D7E76" w:rsidP="00E247A2">
            <w:pPr>
              <w:autoSpaceDE w:val="0"/>
              <w:autoSpaceDN w:val="0"/>
              <w:adjustRightInd w:val="0"/>
              <w:rPr>
                <w:color w:val="000000"/>
                <w:sz w:val="26"/>
                <w:szCs w:val="26"/>
              </w:rPr>
            </w:pPr>
            <w:hyperlink r:id="rId15" w:history="1">
              <w:r w:rsidR="00C53AE4" w:rsidRPr="00A02CD4">
                <w:rPr>
                  <w:rStyle w:val="Hyperlink"/>
                  <w:sz w:val="26"/>
                  <w:szCs w:val="26"/>
                </w:rPr>
                <w:t>yalami@aep.com</w:t>
              </w:r>
            </w:hyperlink>
          </w:p>
          <w:p w:rsidR="00C53AE4" w:rsidRPr="00A02CD4" w:rsidRDefault="00C53AE4" w:rsidP="00E247A2">
            <w:pPr>
              <w:autoSpaceDE w:val="0"/>
              <w:autoSpaceDN w:val="0"/>
              <w:adjustRightInd w:val="0"/>
              <w:rPr>
                <w:color w:val="000000"/>
                <w:sz w:val="26"/>
                <w:szCs w:val="26"/>
              </w:rPr>
            </w:pPr>
          </w:p>
          <w:p w:rsidR="00C53AE4" w:rsidRPr="00526946" w:rsidRDefault="00C53AE4" w:rsidP="00E247A2">
            <w:pPr>
              <w:autoSpaceDE w:val="0"/>
              <w:autoSpaceDN w:val="0"/>
              <w:adjustRightInd w:val="0"/>
              <w:rPr>
                <w:b/>
                <w:sz w:val="26"/>
                <w:szCs w:val="26"/>
              </w:rPr>
            </w:pPr>
            <w:r w:rsidRPr="00526946">
              <w:rPr>
                <w:b/>
                <w:color w:val="000000"/>
                <w:sz w:val="26"/>
                <w:szCs w:val="26"/>
              </w:rPr>
              <w:t>Mark Hayden</w:t>
            </w:r>
          </w:p>
          <w:p w:rsidR="00C53AE4" w:rsidRPr="00A02CD4" w:rsidRDefault="00C53AE4" w:rsidP="00E247A2">
            <w:pPr>
              <w:autoSpaceDE w:val="0"/>
              <w:autoSpaceDN w:val="0"/>
              <w:adjustRightInd w:val="0"/>
              <w:rPr>
                <w:sz w:val="26"/>
                <w:szCs w:val="26"/>
              </w:rPr>
            </w:pPr>
            <w:r>
              <w:rPr>
                <w:sz w:val="26"/>
                <w:szCs w:val="26"/>
              </w:rPr>
              <w:t>FirstE</w:t>
            </w:r>
            <w:r w:rsidRPr="00A02CD4">
              <w:rPr>
                <w:sz w:val="26"/>
                <w:szCs w:val="26"/>
              </w:rPr>
              <w:t>nergy Service Company</w:t>
            </w:r>
          </w:p>
          <w:p w:rsidR="00C53AE4" w:rsidRPr="00A02CD4" w:rsidRDefault="00C53AE4" w:rsidP="00E247A2">
            <w:pPr>
              <w:autoSpaceDE w:val="0"/>
              <w:autoSpaceDN w:val="0"/>
              <w:adjustRightInd w:val="0"/>
              <w:rPr>
                <w:sz w:val="26"/>
                <w:szCs w:val="26"/>
              </w:rPr>
            </w:pPr>
            <w:r w:rsidRPr="00A02CD4">
              <w:rPr>
                <w:sz w:val="26"/>
                <w:szCs w:val="26"/>
              </w:rPr>
              <w:t>76 South Main Street</w:t>
            </w:r>
          </w:p>
          <w:p w:rsidR="00C53AE4" w:rsidRPr="00A02CD4" w:rsidRDefault="00C53AE4" w:rsidP="00E247A2">
            <w:pPr>
              <w:autoSpaceDE w:val="0"/>
              <w:autoSpaceDN w:val="0"/>
              <w:adjustRightInd w:val="0"/>
              <w:rPr>
                <w:sz w:val="26"/>
                <w:szCs w:val="26"/>
              </w:rPr>
            </w:pPr>
            <w:r w:rsidRPr="00A02CD4">
              <w:rPr>
                <w:sz w:val="26"/>
                <w:szCs w:val="26"/>
              </w:rPr>
              <w:t>Akron, OH 44308</w:t>
            </w:r>
          </w:p>
          <w:p w:rsidR="00C53AE4" w:rsidRPr="00A02CD4" w:rsidRDefault="006D7E76" w:rsidP="00E247A2">
            <w:pPr>
              <w:autoSpaceDE w:val="0"/>
              <w:autoSpaceDN w:val="0"/>
              <w:adjustRightInd w:val="0"/>
              <w:rPr>
                <w:sz w:val="26"/>
                <w:szCs w:val="26"/>
                <w:lang w:val="fr-FR"/>
              </w:rPr>
            </w:pPr>
            <w:hyperlink r:id="rId16" w:history="1">
              <w:r w:rsidR="00C53AE4" w:rsidRPr="00A02CD4">
                <w:rPr>
                  <w:rStyle w:val="Hyperlink"/>
                  <w:sz w:val="26"/>
                  <w:szCs w:val="26"/>
                  <w:lang w:val="fr-FR"/>
                </w:rPr>
                <w:t>haydenm@firstenergycorp.com</w:t>
              </w:r>
            </w:hyperlink>
            <w:r w:rsidR="00C53AE4" w:rsidRPr="00A02CD4">
              <w:rPr>
                <w:sz w:val="26"/>
                <w:szCs w:val="26"/>
                <w:lang w:val="fr-FR"/>
              </w:rPr>
              <w:t xml:space="preserve"> </w:t>
            </w:r>
          </w:p>
          <w:p w:rsidR="00C53AE4" w:rsidRPr="00A02CD4" w:rsidRDefault="00C53AE4" w:rsidP="00E247A2">
            <w:pPr>
              <w:autoSpaceDE w:val="0"/>
              <w:autoSpaceDN w:val="0"/>
              <w:adjustRightInd w:val="0"/>
              <w:rPr>
                <w:color w:val="000000"/>
                <w:sz w:val="26"/>
                <w:szCs w:val="26"/>
              </w:rPr>
            </w:pPr>
          </w:p>
          <w:p w:rsidR="00C53AE4" w:rsidRDefault="00C53AE4" w:rsidP="00526946">
            <w:pPr>
              <w:pStyle w:val="Textstyle"/>
            </w:pPr>
          </w:p>
        </w:tc>
        <w:tc>
          <w:tcPr>
            <w:tcW w:w="4788" w:type="dxa"/>
            <w:shd w:val="clear" w:color="auto" w:fill="auto"/>
          </w:tcPr>
          <w:p w:rsidR="00C53AE4" w:rsidRPr="00526946" w:rsidRDefault="00C53AE4" w:rsidP="00E247A2">
            <w:pPr>
              <w:rPr>
                <w:b/>
                <w:sz w:val="26"/>
                <w:szCs w:val="26"/>
              </w:rPr>
            </w:pPr>
            <w:r w:rsidRPr="00526946">
              <w:rPr>
                <w:b/>
                <w:sz w:val="26"/>
                <w:szCs w:val="26"/>
              </w:rPr>
              <w:t>Joseph Oliker</w:t>
            </w:r>
          </w:p>
          <w:p w:rsidR="00C53AE4" w:rsidRPr="00A02CD4" w:rsidRDefault="00C53AE4" w:rsidP="00E247A2">
            <w:pPr>
              <w:rPr>
                <w:sz w:val="26"/>
                <w:szCs w:val="26"/>
              </w:rPr>
            </w:pPr>
            <w:r w:rsidRPr="00526946">
              <w:rPr>
                <w:b/>
                <w:sz w:val="26"/>
                <w:szCs w:val="26"/>
              </w:rPr>
              <w:t>Frank P. Darr</w:t>
            </w:r>
          </w:p>
          <w:p w:rsidR="00C53AE4" w:rsidRPr="00A02CD4" w:rsidRDefault="00C53AE4" w:rsidP="00E247A2">
            <w:pPr>
              <w:rPr>
                <w:sz w:val="26"/>
                <w:szCs w:val="26"/>
              </w:rPr>
            </w:pPr>
            <w:r w:rsidRPr="00A02CD4">
              <w:rPr>
                <w:sz w:val="26"/>
                <w:szCs w:val="26"/>
              </w:rPr>
              <w:t>McNees Wallace &amp; Nurick LLC</w:t>
            </w:r>
          </w:p>
          <w:p w:rsidR="00C53AE4" w:rsidRPr="00A02CD4" w:rsidRDefault="00C53AE4" w:rsidP="00E247A2">
            <w:pPr>
              <w:rPr>
                <w:sz w:val="26"/>
                <w:szCs w:val="26"/>
              </w:rPr>
            </w:pPr>
            <w:r w:rsidRPr="00A02CD4">
              <w:rPr>
                <w:sz w:val="26"/>
                <w:szCs w:val="26"/>
              </w:rPr>
              <w:t>21 East State Street, 17</w:t>
            </w:r>
            <w:r w:rsidRPr="00A02CD4">
              <w:rPr>
                <w:sz w:val="26"/>
                <w:szCs w:val="26"/>
                <w:vertAlign w:val="superscript"/>
              </w:rPr>
              <w:t>th</w:t>
            </w:r>
            <w:r w:rsidRPr="00A02CD4">
              <w:rPr>
                <w:sz w:val="26"/>
                <w:szCs w:val="26"/>
              </w:rPr>
              <w:t xml:space="preserve"> Floor</w:t>
            </w:r>
          </w:p>
          <w:p w:rsidR="00C53AE4" w:rsidRPr="00A02CD4" w:rsidRDefault="00C53AE4" w:rsidP="00E247A2">
            <w:pPr>
              <w:rPr>
                <w:sz w:val="26"/>
                <w:szCs w:val="26"/>
              </w:rPr>
            </w:pPr>
            <w:r w:rsidRPr="00A02CD4">
              <w:rPr>
                <w:sz w:val="26"/>
                <w:szCs w:val="26"/>
              </w:rPr>
              <w:t>Columbus, OH 43215</w:t>
            </w:r>
          </w:p>
          <w:p w:rsidR="00C53AE4" w:rsidRPr="00A02CD4" w:rsidRDefault="006D7E76" w:rsidP="00E247A2">
            <w:pPr>
              <w:rPr>
                <w:sz w:val="26"/>
                <w:szCs w:val="26"/>
              </w:rPr>
            </w:pPr>
            <w:hyperlink r:id="rId17" w:history="1">
              <w:r w:rsidR="00C53AE4" w:rsidRPr="00A02CD4">
                <w:rPr>
                  <w:rStyle w:val="Hyperlink"/>
                  <w:sz w:val="26"/>
                  <w:szCs w:val="26"/>
                </w:rPr>
                <w:t>joliker@mwncmh.com</w:t>
              </w:r>
            </w:hyperlink>
            <w:r w:rsidR="00C53AE4" w:rsidRPr="00A02CD4">
              <w:rPr>
                <w:sz w:val="26"/>
                <w:szCs w:val="26"/>
              </w:rPr>
              <w:t xml:space="preserve"> </w:t>
            </w:r>
          </w:p>
          <w:p w:rsidR="00C53AE4" w:rsidRPr="00A02CD4" w:rsidRDefault="00C53AE4" w:rsidP="00E247A2">
            <w:pPr>
              <w:autoSpaceDE w:val="0"/>
              <w:autoSpaceDN w:val="0"/>
              <w:adjustRightInd w:val="0"/>
              <w:rPr>
                <w:color w:val="000000"/>
                <w:sz w:val="26"/>
                <w:szCs w:val="26"/>
              </w:rPr>
            </w:pPr>
          </w:p>
          <w:p w:rsidR="00C53AE4" w:rsidRPr="00526946" w:rsidRDefault="00C53AE4" w:rsidP="00E247A2">
            <w:pPr>
              <w:autoSpaceDE w:val="0"/>
              <w:autoSpaceDN w:val="0"/>
              <w:adjustRightInd w:val="0"/>
              <w:rPr>
                <w:b/>
                <w:sz w:val="26"/>
                <w:szCs w:val="26"/>
                <w:lang w:val="fr-FR"/>
              </w:rPr>
            </w:pPr>
            <w:r w:rsidRPr="00526946">
              <w:rPr>
                <w:b/>
                <w:sz w:val="26"/>
                <w:szCs w:val="26"/>
                <w:lang w:val="fr-FR"/>
              </w:rPr>
              <w:t>James F. Lang</w:t>
            </w:r>
          </w:p>
          <w:p w:rsidR="00C53AE4" w:rsidRPr="00526946" w:rsidRDefault="00C53AE4" w:rsidP="00E247A2">
            <w:pPr>
              <w:autoSpaceDE w:val="0"/>
              <w:autoSpaceDN w:val="0"/>
              <w:adjustRightInd w:val="0"/>
              <w:rPr>
                <w:b/>
                <w:sz w:val="26"/>
                <w:szCs w:val="26"/>
              </w:rPr>
            </w:pPr>
            <w:r w:rsidRPr="00526946">
              <w:rPr>
                <w:b/>
                <w:sz w:val="26"/>
                <w:szCs w:val="26"/>
              </w:rPr>
              <w:t>Laura C. McBride</w:t>
            </w:r>
          </w:p>
          <w:p w:rsidR="00C53AE4" w:rsidRPr="00A02CD4" w:rsidRDefault="00C53AE4" w:rsidP="00E247A2">
            <w:pPr>
              <w:autoSpaceDE w:val="0"/>
              <w:autoSpaceDN w:val="0"/>
              <w:adjustRightInd w:val="0"/>
              <w:rPr>
                <w:sz w:val="26"/>
                <w:szCs w:val="26"/>
              </w:rPr>
            </w:pPr>
            <w:r w:rsidRPr="00526946">
              <w:rPr>
                <w:b/>
                <w:sz w:val="26"/>
                <w:szCs w:val="26"/>
              </w:rPr>
              <w:t>N. Trevor Alexander</w:t>
            </w:r>
            <w:r w:rsidRPr="00A02CD4">
              <w:rPr>
                <w:sz w:val="26"/>
                <w:szCs w:val="26"/>
              </w:rPr>
              <w:br/>
            </w:r>
            <w:r>
              <w:rPr>
                <w:sz w:val="26"/>
                <w:szCs w:val="26"/>
              </w:rPr>
              <w:t>Calfee, Hal</w:t>
            </w:r>
            <w:r w:rsidRPr="00A02CD4">
              <w:rPr>
                <w:sz w:val="26"/>
                <w:szCs w:val="26"/>
              </w:rPr>
              <w:t>ter &amp; Griswold</w:t>
            </w:r>
          </w:p>
          <w:p w:rsidR="00C53AE4" w:rsidRPr="00A02CD4" w:rsidRDefault="00C53AE4" w:rsidP="00E247A2">
            <w:pPr>
              <w:autoSpaceDE w:val="0"/>
              <w:autoSpaceDN w:val="0"/>
              <w:adjustRightInd w:val="0"/>
              <w:rPr>
                <w:sz w:val="26"/>
                <w:szCs w:val="26"/>
              </w:rPr>
            </w:pPr>
            <w:r w:rsidRPr="00A02CD4">
              <w:rPr>
                <w:sz w:val="26"/>
                <w:szCs w:val="26"/>
              </w:rPr>
              <w:t>1400 KeyBank Center</w:t>
            </w:r>
          </w:p>
          <w:p w:rsidR="00C53AE4" w:rsidRPr="00A02CD4" w:rsidRDefault="00C53AE4" w:rsidP="00E247A2">
            <w:pPr>
              <w:autoSpaceDE w:val="0"/>
              <w:autoSpaceDN w:val="0"/>
              <w:adjustRightInd w:val="0"/>
              <w:rPr>
                <w:sz w:val="26"/>
                <w:szCs w:val="26"/>
              </w:rPr>
            </w:pPr>
            <w:r w:rsidRPr="00A02CD4">
              <w:rPr>
                <w:sz w:val="26"/>
                <w:szCs w:val="26"/>
              </w:rPr>
              <w:t>Cleveland, OH 44114</w:t>
            </w:r>
          </w:p>
          <w:p w:rsidR="00C53AE4" w:rsidRPr="00A02CD4" w:rsidRDefault="006D7E76" w:rsidP="00E247A2">
            <w:pPr>
              <w:autoSpaceDE w:val="0"/>
              <w:autoSpaceDN w:val="0"/>
              <w:adjustRightInd w:val="0"/>
              <w:rPr>
                <w:sz w:val="26"/>
                <w:szCs w:val="26"/>
              </w:rPr>
            </w:pPr>
            <w:hyperlink r:id="rId18" w:history="1">
              <w:r w:rsidR="00C53AE4" w:rsidRPr="00A02CD4">
                <w:rPr>
                  <w:rStyle w:val="Hyperlink"/>
                  <w:sz w:val="26"/>
                  <w:szCs w:val="26"/>
                </w:rPr>
                <w:t>jlang@calfee.com</w:t>
              </w:r>
            </w:hyperlink>
          </w:p>
          <w:p w:rsidR="00C53AE4" w:rsidRPr="00A02CD4" w:rsidRDefault="006D7E76" w:rsidP="00E247A2">
            <w:pPr>
              <w:autoSpaceDE w:val="0"/>
              <w:autoSpaceDN w:val="0"/>
              <w:adjustRightInd w:val="0"/>
              <w:rPr>
                <w:sz w:val="26"/>
                <w:szCs w:val="26"/>
              </w:rPr>
            </w:pPr>
            <w:hyperlink r:id="rId19" w:history="1">
              <w:r w:rsidR="00C53AE4" w:rsidRPr="00A02CD4">
                <w:rPr>
                  <w:rStyle w:val="Hyperlink"/>
                  <w:sz w:val="26"/>
                  <w:szCs w:val="26"/>
                </w:rPr>
                <w:t>lmcbride@calfee.com</w:t>
              </w:r>
            </w:hyperlink>
          </w:p>
          <w:p w:rsidR="00C53AE4" w:rsidRPr="00A02CD4" w:rsidRDefault="006D7E76" w:rsidP="00E247A2">
            <w:pPr>
              <w:autoSpaceDE w:val="0"/>
              <w:autoSpaceDN w:val="0"/>
              <w:adjustRightInd w:val="0"/>
              <w:rPr>
                <w:sz w:val="26"/>
                <w:szCs w:val="26"/>
              </w:rPr>
            </w:pPr>
            <w:hyperlink r:id="rId20" w:history="1">
              <w:r w:rsidR="00C53AE4" w:rsidRPr="00A02CD4">
                <w:rPr>
                  <w:rStyle w:val="Hyperlink"/>
                  <w:sz w:val="26"/>
                  <w:szCs w:val="26"/>
                </w:rPr>
                <w:t>talexander@calfee.com</w:t>
              </w:r>
            </w:hyperlink>
            <w:r w:rsidR="00C53AE4" w:rsidRPr="00A02CD4">
              <w:rPr>
                <w:sz w:val="26"/>
                <w:szCs w:val="26"/>
              </w:rPr>
              <w:t xml:space="preserve"> </w:t>
            </w:r>
          </w:p>
          <w:p w:rsidR="00C53AE4" w:rsidRDefault="00C53AE4" w:rsidP="00526946">
            <w:pPr>
              <w:pStyle w:val="Textstyle"/>
            </w:pPr>
          </w:p>
        </w:tc>
      </w:tr>
    </w:tbl>
    <w:p w:rsidR="00977F01" w:rsidRPr="00DF3D54" w:rsidRDefault="00977F01" w:rsidP="00200A0A">
      <w:pPr>
        <w:ind w:left="4332"/>
        <w:jc w:val="both"/>
        <w:rPr>
          <w:sz w:val="26"/>
          <w:szCs w:val="26"/>
        </w:rPr>
      </w:pPr>
    </w:p>
    <w:sectPr w:rsidR="00977F01" w:rsidRPr="00DF3D54" w:rsidSect="003B12DD">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E6" w:rsidRDefault="001838E6" w:rsidP="008866FC">
      <w:pPr>
        <w:pStyle w:val="Title"/>
      </w:pPr>
      <w:r>
        <w:separator/>
      </w:r>
    </w:p>
  </w:endnote>
  <w:endnote w:type="continuationSeparator" w:id="0">
    <w:p w:rsidR="001838E6" w:rsidRDefault="001838E6"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Default="00850864" w:rsidP="00E2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864" w:rsidRDefault="00850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Default="00850864" w:rsidP="00E2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0864" w:rsidRDefault="00850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Pr="0064349B" w:rsidRDefault="00850864" w:rsidP="00E247A2">
    <w:pPr>
      <w:autoSpaceDE w:val="0"/>
      <w:autoSpaceDN w:val="0"/>
      <w:adjustRightInd w:val="0"/>
      <w:jc w:val="center"/>
      <w:rPr>
        <w:b/>
        <w:sz w:val="26"/>
        <w:szCs w:val="26"/>
      </w:rPr>
    </w:pPr>
    <w:r>
      <w:rPr>
        <w:b/>
        <w:sz w:val="26"/>
        <w:szCs w:val="26"/>
      </w:rPr>
      <w:t xml:space="preserve">October </w:t>
    </w:r>
    <w:r w:rsidR="00E047DC">
      <w:rPr>
        <w:b/>
        <w:sz w:val="26"/>
        <w:szCs w:val="26"/>
      </w:rPr>
      <w:t>17</w:t>
    </w:r>
    <w:r>
      <w:rPr>
        <w:b/>
        <w:sz w:val="26"/>
        <w:szCs w:val="26"/>
      </w:rPr>
      <w:t>,</w:t>
    </w:r>
    <w:r w:rsidRPr="00A02CD4">
      <w:rPr>
        <w:b/>
        <w:sz w:val="26"/>
        <w:szCs w:val="26"/>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Pr="007F5520" w:rsidRDefault="00850864"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6D7E76">
      <w:rPr>
        <w:rStyle w:val="PageNumber"/>
        <w:noProof/>
        <w:sz w:val="24"/>
        <w:szCs w:val="24"/>
      </w:rPr>
      <w:t>7</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Pr="00C95499" w:rsidRDefault="00850864"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E6" w:rsidRDefault="001838E6" w:rsidP="00663D6A">
      <w:pPr>
        <w:pStyle w:val="Title"/>
        <w:jc w:val="left"/>
      </w:pPr>
      <w:r>
        <w:separator/>
      </w:r>
    </w:p>
  </w:footnote>
  <w:footnote w:type="continuationSeparator" w:id="0">
    <w:p w:rsidR="001838E6" w:rsidRDefault="001838E6" w:rsidP="008866FC">
      <w:pPr>
        <w:pStyle w:val="Title"/>
      </w:pPr>
      <w:r>
        <w:continuationSeparator/>
      </w:r>
    </w:p>
  </w:footnote>
  <w:footnote w:id="1">
    <w:p w:rsidR="00850864" w:rsidRDefault="00850864">
      <w:pPr>
        <w:pStyle w:val="FootnoteText"/>
      </w:pPr>
      <w:r>
        <w:rPr>
          <w:rStyle w:val="FootnoteReference"/>
        </w:rPr>
        <w:footnoteRef/>
      </w:r>
      <w:r>
        <w:t xml:space="preserve"> </w:t>
      </w:r>
      <w:r w:rsidR="00E047DC">
        <w:tab/>
      </w:r>
      <w:r w:rsidR="00E047DC">
        <w:tab/>
        <w:t xml:space="preserve">R.C. </w:t>
      </w:r>
      <w:r w:rsidRPr="00E91B3D">
        <w:t xml:space="preserve">4935.04(C)(1) (emphasis added).  </w:t>
      </w:r>
    </w:p>
  </w:footnote>
  <w:footnote w:id="2">
    <w:p w:rsidR="00850864" w:rsidRDefault="00850864">
      <w:pPr>
        <w:pStyle w:val="FootnoteText"/>
      </w:pPr>
      <w:r>
        <w:rPr>
          <w:rStyle w:val="FootnoteReference"/>
        </w:rPr>
        <w:footnoteRef/>
      </w:r>
      <w:r>
        <w:t xml:space="preserve"> </w:t>
      </w:r>
      <w:r>
        <w:tab/>
      </w:r>
      <w:r>
        <w:tab/>
      </w:r>
      <w:r w:rsidR="00E047DC">
        <w:t xml:space="preserve">R.C. </w:t>
      </w:r>
      <w:r w:rsidRPr="00E3064B">
        <w:t>4928.143(B)(2)</w:t>
      </w:r>
      <w:r>
        <w:t xml:space="preserve">(b), </w:t>
      </w:r>
      <w:r w:rsidRPr="00E3064B">
        <w:t>(c)</w:t>
      </w:r>
      <w:r w:rsidR="00E047DC">
        <w:t>.</w:t>
      </w:r>
      <w:r w:rsidRPr="00E306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Pr="006B3183" w:rsidRDefault="00850864" w:rsidP="006B3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64" w:rsidRPr="006B3183" w:rsidRDefault="00850864" w:rsidP="006B3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C33A6"/>
    <w:multiLevelType w:val="hybridMultilevel"/>
    <w:tmpl w:val="F25C7190"/>
    <w:lvl w:ilvl="0" w:tplc="7CC0387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F815C3"/>
    <w:multiLevelType w:val="hybridMultilevel"/>
    <w:tmpl w:val="37FE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246F1"/>
    <w:multiLevelType w:val="hybridMultilevel"/>
    <w:tmpl w:val="C80C14BA"/>
    <w:lvl w:ilvl="0" w:tplc="34B80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91CD4"/>
    <w:multiLevelType w:val="hybridMultilevel"/>
    <w:tmpl w:val="38BE1AFE"/>
    <w:lvl w:ilvl="0" w:tplc="AF560368">
      <w:start w:val="1"/>
      <w:numFmt w:val="upperRoman"/>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E9"/>
    <w:rsid w:val="0000004B"/>
    <w:rsid w:val="0000052E"/>
    <w:rsid w:val="000007BF"/>
    <w:rsid w:val="00000D4C"/>
    <w:rsid w:val="00000ECA"/>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752"/>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26"/>
    <w:rsid w:val="000A7A4B"/>
    <w:rsid w:val="000A7E0E"/>
    <w:rsid w:val="000A7EA6"/>
    <w:rsid w:val="000B016B"/>
    <w:rsid w:val="000B08E1"/>
    <w:rsid w:val="000B0933"/>
    <w:rsid w:val="000B12D9"/>
    <w:rsid w:val="000B1F8C"/>
    <w:rsid w:val="000B25DA"/>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899"/>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663"/>
    <w:rsid w:val="00117C1F"/>
    <w:rsid w:val="00117F65"/>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084"/>
    <w:rsid w:val="0012658C"/>
    <w:rsid w:val="001275FB"/>
    <w:rsid w:val="00127D0E"/>
    <w:rsid w:val="001300C7"/>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114"/>
    <w:rsid w:val="001355ED"/>
    <w:rsid w:val="00135B08"/>
    <w:rsid w:val="00135B83"/>
    <w:rsid w:val="001362CC"/>
    <w:rsid w:val="0013654C"/>
    <w:rsid w:val="00136C13"/>
    <w:rsid w:val="00136E07"/>
    <w:rsid w:val="00137391"/>
    <w:rsid w:val="00137860"/>
    <w:rsid w:val="001378A9"/>
    <w:rsid w:val="00140AC2"/>
    <w:rsid w:val="00141332"/>
    <w:rsid w:val="0014180B"/>
    <w:rsid w:val="00141A06"/>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507"/>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2B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38E6"/>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5E0A"/>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B76B2"/>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978"/>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31E4"/>
    <w:rsid w:val="00284178"/>
    <w:rsid w:val="00284ADD"/>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4B2"/>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475"/>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5A6"/>
    <w:rsid w:val="00310674"/>
    <w:rsid w:val="00310907"/>
    <w:rsid w:val="00310A28"/>
    <w:rsid w:val="00311230"/>
    <w:rsid w:val="0031187C"/>
    <w:rsid w:val="00311953"/>
    <w:rsid w:val="00311F2A"/>
    <w:rsid w:val="0031233A"/>
    <w:rsid w:val="0031279E"/>
    <w:rsid w:val="00312E42"/>
    <w:rsid w:val="0031331C"/>
    <w:rsid w:val="00313A9E"/>
    <w:rsid w:val="00313E0D"/>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4F32"/>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271"/>
    <w:rsid w:val="003455E4"/>
    <w:rsid w:val="00345CBF"/>
    <w:rsid w:val="00346071"/>
    <w:rsid w:val="00346927"/>
    <w:rsid w:val="00346FC0"/>
    <w:rsid w:val="00347190"/>
    <w:rsid w:val="003478E8"/>
    <w:rsid w:val="003479FE"/>
    <w:rsid w:val="00347B63"/>
    <w:rsid w:val="00347E26"/>
    <w:rsid w:val="00350A47"/>
    <w:rsid w:val="00350BCA"/>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5F99"/>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9D0"/>
    <w:rsid w:val="00366A06"/>
    <w:rsid w:val="00366BF8"/>
    <w:rsid w:val="0036708C"/>
    <w:rsid w:val="0036711E"/>
    <w:rsid w:val="003673CE"/>
    <w:rsid w:val="003702B8"/>
    <w:rsid w:val="00370DFD"/>
    <w:rsid w:val="00370E04"/>
    <w:rsid w:val="00370F4B"/>
    <w:rsid w:val="0037115B"/>
    <w:rsid w:val="00371D2A"/>
    <w:rsid w:val="00372366"/>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5D5"/>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B35"/>
    <w:rsid w:val="003C0F77"/>
    <w:rsid w:val="003C0FCF"/>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6BC7"/>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293"/>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47CE8"/>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1BF3"/>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DDF"/>
    <w:rsid w:val="00472E06"/>
    <w:rsid w:val="0047316C"/>
    <w:rsid w:val="004733BC"/>
    <w:rsid w:val="00473D18"/>
    <w:rsid w:val="004742C5"/>
    <w:rsid w:val="004745C5"/>
    <w:rsid w:val="00474743"/>
    <w:rsid w:val="00474F66"/>
    <w:rsid w:val="004758F6"/>
    <w:rsid w:val="00475A63"/>
    <w:rsid w:val="00476318"/>
    <w:rsid w:val="00476520"/>
    <w:rsid w:val="004768BF"/>
    <w:rsid w:val="00476AAB"/>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3FA"/>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A6B"/>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2C29"/>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17F29"/>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946"/>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4FE3"/>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0E9"/>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6D"/>
    <w:rsid w:val="005924E6"/>
    <w:rsid w:val="0059275A"/>
    <w:rsid w:val="00593CDA"/>
    <w:rsid w:val="00593EB5"/>
    <w:rsid w:val="00594289"/>
    <w:rsid w:val="00594A83"/>
    <w:rsid w:val="00595007"/>
    <w:rsid w:val="00595792"/>
    <w:rsid w:val="00595B62"/>
    <w:rsid w:val="00595F2B"/>
    <w:rsid w:val="00595FDE"/>
    <w:rsid w:val="00596057"/>
    <w:rsid w:val="0059625D"/>
    <w:rsid w:val="005965E8"/>
    <w:rsid w:val="00596725"/>
    <w:rsid w:val="00597090"/>
    <w:rsid w:val="00597A59"/>
    <w:rsid w:val="00597AAE"/>
    <w:rsid w:val="00597CED"/>
    <w:rsid w:val="00597D89"/>
    <w:rsid w:val="00597E10"/>
    <w:rsid w:val="005A028F"/>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912"/>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187"/>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4F27"/>
    <w:rsid w:val="006A5041"/>
    <w:rsid w:val="006A525D"/>
    <w:rsid w:val="006A640C"/>
    <w:rsid w:val="006A6562"/>
    <w:rsid w:val="006A6744"/>
    <w:rsid w:val="006A68FD"/>
    <w:rsid w:val="006A6D49"/>
    <w:rsid w:val="006A71A1"/>
    <w:rsid w:val="006A7F73"/>
    <w:rsid w:val="006B0C8E"/>
    <w:rsid w:val="006B137E"/>
    <w:rsid w:val="006B1700"/>
    <w:rsid w:val="006B18D5"/>
    <w:rsid w:val="006B1E71"/>
    <w:rsid w:val="006B2A48"/>
    <w:rsid w:val="006B2D18"/>
    <w:rsid w:val="006B2DA2"/>
    <w:rsid w:val="006B3183"/>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D7E76"/>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0C"/>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3CBF"/>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11"/>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4DD2"/>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34D6"/>
    <w:rsid w:val="007C4917"/>
    <w:rsid w:val="007C532D"/>
    <w:rsid w:val="007C5422"/>
    <w:rsid w:val="007C59D2"/>
    <w:rsid w:val="007C5B6C"/>
    <w:rsid w:val="007C5EB5"/>
    <w:rsid w:val="007C660E"/>
    <w:rsid w:val="007C6786"/>
    <w:rsid w:val="007C69E9"/>
    <w:rsid w:val="007C6AF6"/>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126"/>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D4C"/>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3C6C"/>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864"/>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BD4"/>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5F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1CCD"/>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0628"/>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A20"/>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498"/>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35A4"/>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ADF"/>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11"/>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527"/>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47DBA"/>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3ED6"/>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645"/>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20"/>
    <w:rsid w:val="00AA51AC"/>
    <w:rsid w:val="00AA5D6E"/>
    <w:rsid w:val="00AA606D"/>
    <w:rsid w:val="00AA6735"/>
    <w:rsid w:val="00AA699F"/>
    <w:rsid w:val="00AA6BD6"/>
    <w:rsid w:val="00AA70FF"/>
    <w:rsid w:val="00AA72F0"/>
    <w:rsid w:val="00AB0056"/>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CEA"/>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47"/>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CE9"/>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3A5"/>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8FB"/>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6AFF"/>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A51"/>
    <w:rsid w:val="00BD4C04"/>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0A"/>
    <w:rsid w:val="00BF48AD"/>
    <w:rsid w:val="00BF51CB"/>
    <w:rsid w:val="00BF5F12"/>
    <w:rsid w:val="00BF6528"/>
    <w:rsid w:val="00BF66CC"/>
    <w:rsid w:val="00BF6760"/>
    <w:rsid w:val="00BF6AFD"/>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34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55D"/>
    <w:rsid w:val="00C52782"/>
    <w:rsid w:val="00C52A6C"/>
    <w:rsid w:val="00C52D08"/>
    <w:rsid w:val="00C52D4F"/>
    <w:rsid w:val="00C53805"/>
    <w:rsid w:val="00C53AE4"/>
    <w:rsid w:val="00C5486C"/>
    <w:rsid w:val="00C558D7"/>
    <w:rsid w:val="00C55E38"/>
    <w:rsid w:val="00C56200"/>
    <w:rsid w:val="00C56277"/>
    <w:rsid w:val="00C56958"/>
    <w:rsid w:val="00C56C64"/>
    <w:rsid w:val="00C56DEA"/>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5E87"/>
    <w:rsid w:val="00C66A58"/>
    <w:rsid w:val="00C66B17"/>
    <w:rsid w:val="00C678F2"/>
    <w:rsid w:val="00C70078"/>
    <w:rsid w:val="00C708A5"/>
    <w:rsid w:val="00C71D43"/>
    <w:rsid w:val="00C7229E"/>
    <w:rsid w:val="00C72506"/>
    <w:rsid w:val="00C725B0"/>
    <w:rsid w:val="00C729B3"/>
    <w:rsid w:val="00C72CCB"/>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87882"/>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97A78"/>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6E69"/>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5B97"/>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2A"/>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269"/>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AAA"/>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2E29"/>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43"/>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4E80"/>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BCD"/>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7DC"/>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7A2"/>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64B"/>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25"/>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2EB"/>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67C3"/>
    <w:rsid w:val="00E77061"/>
    <w:rsid w:val="00E779C7"/>
    <w:rsid w:val="00E77A61"/>
    <w:rsid w:val="00E77F16"/>
    <w:rsid w:val="00E800EC"/>
    <w:rsid w:val="00E8018F"/>
    <w:rsid w:val="00E801C4"/>
    <w:rsid w:val="00E807C3"/>
    <w:rsid w:val="00E80FBC"/>
    <w:rsid w:val="00E80FCB"/>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B3D"/>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B05"/>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C1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6E2"/>
    <w:rsid w:val="00EC5A4A"/>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2DC"/>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34E"/>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287"/>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D70"/>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4A9"/>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570"/>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5CB"/>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04"/>
  </w:style>
  <w:style w:type="paragraph" w:styleId="Heading1">
    <w:name w:val="heading 1"/>
    <w:basedOn w:val="Normal"/>
    <w:next w:val="Normal"/>
    <w:link w:val="Heading1Char"/>
    <w:autoRedefine/>
    <w:uiPriority w:val="9"/>
    <w:qFormat/>
    <w:rsid w:val="00DB5C43"/>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12978"/>
    <w:pPr>
      <w:keepNext/>
      <w:numPr>
        <w:numId w:val="9"/>
      </w:numPr>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526946"/>
    <w:pPr>
      <w:spacing w:line="480" w:lineRule="auto"/>
      <w:jc w:val="left"/>
    </w:pPr>
    <w:rPr>
      <w:rFonts w:ascii="Times New Roman" w:hAnsi="Times New Roman"/>
      <w:sz w:val="26"/>
      <w:szCs w:val="28"/>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12978"/>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B5C43"/>
    <w:rPr>
      <w:rFonts w:cs="Arial"/>
      <w:b/>
      <w:bCs/>
      <w:caps/>
      <w:kern w:val="32"/>
      <w:sz w:val="28"/>
      <w:szCs w:val="24"/>
    </w:rPr>
  </w:style>
  <w:style w:type="character" w:customStyle="1" w:styleId="HeaderChar">
    <w:name w:val="Header Char"/>
    <w:link w:val="Header"/>
    <w:uiPriority w:val="99"/>
    <w:rsid w:val="005740E9"/>
  </w:style>
  <w:style w:type="character" w:styleId="CommentReference">
    <w:name w:val="annotation reference"/>
    <w:basedOn w:val="DefaultParagraphFont"/>
    <w:rsid w:val="004D03FA"/>
    <w:rPr>
      <w:sz w:val="16"/>
      <w:szCs w:val="16"/>
    </w:rPr>
  </w:style>
  <w:style w:type="paragraph" w:styleId="CommentText">
    <w:name w:val="annotation text"/>
    <w:basedOn w:val="Normal"/>
    <w:link w:val="CommentTextChar"/>
    <w:rsid w:val="004D03FA"/>
  </w:style>
  <w:style w:type="character" w:customStyle="1" w:styleId="CommentTextChar">
    <w:name w:val="Comment Text Char"/>
    <w:basedOn w:val="DefaultParagraphFont"/>
    <w:link w:val="CommentText"/>
    <w:rsid w:val="004D03FA"/>
  </w:style>
  <w:style w:type="paragraph" w:styleId="CommentSubject">
    <w:name w:val="annotation subject"/>
    <w:basedOn w:val="CommentText"/>
    <w:next w:val="CommentText"/>
    <w:link w:val="CommentSubjectChar"/>
    <w:rsid w:val="004D03FA"/>
    <w:rPr>
      <w:b/>
      <w:bCs/>
    </w:rPr>
  </w:style>
  <w:style w:type="character" w:customStyle="1" w:styleId="CommentSubjectChar">
    <w:name w:val="Comment Subject Char"/>
    <w:basedOn w:val="CommentTextChar"/>
    <w:link w:val="CommentSubject"/>
    <w:rsid w:val="004D03FA"/>
    <w:rPr>
      <w:b/>
      <w:bCs/>
    </w:rPr>
  </w:style>
  <w:style w:type="paragraph" w:styleId="ListParagraph">
    <w:name w:val="List Paragraph"/>
    <w:basedOn w:val="Normal"/>
    <w:uiPriority w:val="34"/>
    <w:qFormat/>
    <w:rsid w:val="00BD4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04"/>
  </w:style>
  <w:style w:type="paragraph" w:styleId="Heading1">
    <w:name w:val="heading 1"/>
    <w:basedOn w:val="Normal"/>
    <w:next w:val="Normal"/>
    <w:link w:val="Heading1Char"/>
    <w:autoRedefine/>
    <w:uiPriority w:val="9"/>
    <w:qFormat/>
    <w:rsid w:val="00DB5C43"/>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12978"/>
    <w:pPr>
      <w:keepNext/>
      <w:numPr>
        <w:numId w:val="9"/>
      </w:numPr>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526946"/>
    <w:pPr>
      <w:spacing w:line="480" w:lineRule="auto"/>
      <w:jc w:val="left"/>
    </w:pPr>
    <w:rPr>
      <w:rFonts w:ascii="Times New Roman" w:hAnsi="Times New Roman"/>
      <w:sz w:val="26"/>
      <w:szCs w:val="28"/>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12978"/>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B5C43"/>
    <w:rPr>
      <w:rFonts w:cs="Arial"/>
      <w:b/>
      <w:bCs/>
      <w:caps/>
      <w:kern w:val="32"/>
      <w:sz w:val="28"/>
      <w:szCs w:val="24"/>
    </w:rPr>
  </w:style>
  <w:style w:type="character" w:customStyle="1" w:styleId="HeaderChar">
    <w:name w:val="Header Char"/>
    <w:link w:val="Header"/>
    <w:uiPriority w:val="99"/>
    <w:rsid w:val="005740E9"/>
  </w:style>
  <w:style w:type="character" w:styleId="CommentReference">
    <w:name w:val="annotation reference"/>
    <w:basedOn w:val="DefaultParagraphFont"/>
    <w:rsid w:val="004D03FA"/>
    <w:rPr>
      <w:sz w:val="16"/>
      <w:szCs w:val="16"/>
    </w:rPr>
  </w:style>
  <w:style w:type="paragraph" w:styleId="CommentText">
    <w:name w:val="annotation text"/>
    <w:basedOn w:val="Normal"/>
    <w:link w:val="CommentTextChar"/>
    <w:rsid w:val="004D03FA"/>
  </w:style>
  <w:style w:type="character" w:customStyle="1" w:styleId="CommentTextChar">
    <w:name w:val="Comment Text Char"/>
    <w:basedOn w:val="DefaultParagraphFont"/>
    <w:link w:val="CommentText"/>
    <w:rsid w:val="004D03FA"/>
  </w:style>
  <w:style w:type="paragraph" w:styleId="CommentSubject">
    <w:name w:val="annotation subject"/>
    <w:basedOn w:val="CommentText"/>
    <w:next w:val="CommentText"/>
    <w:link w:val="CommentSubjectChar"/>
    <w:rsid w:val="004D03FA"/>
    <w:rPr>
      <w:b/>
      <w:bCs/>
    </w:rPr>
  </w:style>
  <w:style w:type="character" w:customStyle="1" w:styleId="CommentSubjectChar">
    <w:name w:val="Comment Subject Char"/>
    <w:basedOn w:val="CommentTextChar"/>
    <w:link w:val="CommentSubject"/>
    <w:rsid w:val="004D03FA"/>
    <w:rPr>
      <w:b/>
      <w:bCs/>
    </w:rPr>
  </w:style>
  <w:style w:type="paragraph" w:styleId="ListParagraph">
    <w:name w:val="List Paragraph"/>
    <w:basedOn w:val="Normal"/>
    <w:uiPriority w:val="34"/>
    <w:qFormat/>
    <w:rsid w:val="00BD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hyperlink" Target="mailto:jlang@calfe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joliker@mwncm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ydenm@firstenergycorp.com" TargetMode="External"/><Relationship Id="rId20" Type="http://schemas.openxmlformats.org/officeDocument/2006/relationships/hyperlink" Target="mailto:talexander@calf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yalami@aep.com"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lmcbride@calfee.com" TargetMode="Externa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yperlink" Target="mailto:mjsatterwhite@aep.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2373-5459-4776-A5D9-A6CCE67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8952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2012-10-17T15:18:00Z</dcterms:created>
  <dcterms:modified xsi:type="dcterms:W3CDTF">2012-10-17T15:20:00Z</dcterms:modified>
</cp:coreProperties>
</file>