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BCAE0" w14:textId="77777777" w:rsidR="008E3142" w:rsidRPr="00902FC4" w:rsidRDefault="008E3142" w:rsidP="006A04C8">
      <w:pPr>
        <w:widowControl/>
        <w:tabs>
          <w:tab w:val="center" w:pos="4680"/>
        </w:tabs>
        <w:spacing w:line="320" w:lineRule="exact"/>
        <w:jc w:val="center"/>
        <w:rPr>
          <w:rFonts w:ascii="Palatino Linotype" w:hAnsi="Palatino Linotype"/>
          <w:b/>
          <w:bCs/>
          <w:spacing w:val="-12"/>
        </w:rPr>
      </w:pPr>
      <w:bookmarkStart w:id="0" w:name="_GoBack"/>
      <w:bookmarkEnd w:id="0"/>
      <w:r w:rsidRPr="00902FC4">
        <w:rPr>
          <w:rFonts w:ascii="Palatino Linotype" w:hAnsi="Palatino Linotype"/>
          <w:b/>
          <w:bCs/>
          <w:spacing w:val="-12"/>
        </w:rPr>
        <w:t>BEFORE</w:t>
      </w:r>
    </w:p>
    <w:p w14:paraId="6E0BCAE1" w14:textId="77777777" w:rsidR="008E3142" w:rsidRPr="00902FC4" w:rsidRDefault="008E3142" w:rsidP="006A04C8">
      <w:pPr>
        <w:widowControl/>
        <w:tabs>
          <w:tab w:val="center" w:pos="4680"/>
        </w:tabs>
        <w:spacing w:line="320" w:lineRule="exact"/>
        <w:jc w:val="center"/>
        <w:rPr>
          <w:rFonts w:ascii="Palatino Linotype" w:hAnsi="Palatino Linotype"/>
          <w:b/>
          <w:bCs/>
          <w:spacing w:val="-12"/>
        </w:rPr>
      </w:pPr>
      <w:r w:rsidRPr="00902FC4">
        <w:rPr>
          <w:rFonts w:ascii="Palatino Linotype" w:hAnsi="Palatino Linotype"/>
          <w:b/>
          <w:bCs/>
          <w:spacing w:val="-12"/>
        </w:rPr>
        <w:t>THE PUBLIC UTILITIES COMMISSION OF OHIO</w:t>
      </w:r>
    </w:p>
    <w:p w14:paraId="6E0BCAE2" w14:textId="77777777" w:rsidR="008E3142" w:rsidRPr="00902FC4" w:rsidRDefault="008E3142" w:rsidP="006A04C8">
      <w:pPr>
        <w:widowControl/>
        <w:spacing w:line="320" w:lineRule="exact"/>
        <w:jc w:val="both"/>
        <w:rPr>
          <w:rFonts w:ascii="Palatino Linotype" w:hAnsi="Palatino Linotype"/>
          <w:b/>
          <w:bCs/>
          <w:spacing w:val="-12"/>
        </w:rPr>
      </w:pPr>
    </w:p>
    <w:tbl>
      <w:tblPr>
        <w:tblW w:w="8730" w:type="dxa"/>
        <w:tblLayout w:type="fixed"/>
        <w:tblCellMar>
          <w:left w:w="0" w:type="dxa"/>
          <w:right w:w="0" w:type="dxa"/>
        </w:tblCellMar>
        <w:tblLook w:val="0000" w:firstRow="0" w:lastRow="0" w:firstColumn="0" w:lastColumn="0" w:noHBand="0" w:noVBand="0"/>
      </w:tblPr>
      <w:tblGrid>
        <w:gridCol w:w="4230"/>
        <w:gridCol w:w="90"/>
        <w:gridCol w:w="270"/>
        <w:gridCol w:w="90"/>
        <w:gridCol w:w="4050"/>
      </w:tblGrid>
      <w:tr w:rsidR="00A776C2" w:rsidRPr="0095258C" w14:paraId="6E0BCAED" w14:textId="77777777" w:rsidTr="009F7D21">
        <w:tc>
          <w:tcPr>
            <w:tcW w:w="4230" w:type="dxa"/>
            <w:tcBorders>
              <w:top w:val="nil"/>
              <w:left w:val="nil"/>
              <w:bottom w:val="nil"/>
              <w:right w:val="nil"/>
            </w:tcBorders>
          </w:tcPr>
          <w:p w14:paraId="6E0BCAE4" w14:textId="77777777" w:rsidR="0065147F" w:rsidRPr="0095258C" w:rsidRDefault="005955BD" w:rsidP="006A04C8">
            <w:pPr>
              <w:widowControl/>
              <w:spacing w:line="320" w:lineRule="exact"/>
              <w:jc w:val="both"/>
              <w:rPr>
                <w:rFonts w:ascii="Palatino Linotype" w:hAnsi="Palatino Linotype"/>
              </w:rPr>
            </w:pPr>
            <w:r w:rsidRPr="0095258C">
              <w:rPr>
                <w:rFonts w:ascii="Palatino Linotype" w:hAnsi="Palatino Linotype"/>
              </w:rPr>
              <w:t>In the Matter of the Application of C</w:t>
            </w:r>
            <w:r w:rsidRPr="0095258C">
              <w:rPr>
                <w:rFonts w:ascii="Palatino Linotype" w:hAnsi="Palatino Linotype"/>
              </w:rPr>
              <w:t>o</w:t>
            </w:r>
            <w:r w:rsidRPr="0095258C">
              <w:rPr>
                <w:rFonts w:ascii="Palatino Linotype" w:hAnsi="Palatino Linotype"/>
              </w:rPr>
              <w:t xml:space="preserve">lumbia Gas of Ohio, Inc. for Approval of an Alternative </w:t>
            </w:r>
            <w:r w:rsidR="000A1F28" w:rsidRPr="0095258C">
              <w:rPr>
                <w:rFonts w:ascii="Palatino Linotype" w:hAnsi="Palatino Linotype"/>
              </w:rPr>
              <w:t>Form of Regulation</w:t>
            </w:r>
            <w:r w:rsidRPr="0095258C">
              <w:rPr>
                <w:rFonts w:ascii="Palatino Linotype" w:hAnsi="Palatino Linotype"/>
              </w:rPr>
              <w:t>.</w:t>
            </w:r>
          </w:p>
        </w:tc>
        <w:tc>
          <w:tcPr>
            <w:tcW w:w="90" w:type="dxa"/>
            <w:tcBorders>
              <w:top w:val="nil"/>
              <w:left w:val="nil"/>
              <w:bottom w:val="nil"/>
              <w:right w:val="nil"/>
            </w:tcBorders>
          </w:tcPr>
          <w:p w14:paraId="6E0BCAE5" w14:textId="77777777" w:rsidR="00A776C2" w:rsidRPr="0095258C" w:rsidRDefault="00A776C2" w:rsidP="006A04C8">
            <w:pPr>
              <w:widowControl/>
              <w:spacing w:line="320" w:lineRule="exact"/>
              <w:rPr>
                <w:rFonts w:ascii="Palatino Linotype" w:hAnsi="Palatino Linotype"/>
              </w:rPr>
            </w:pPr>
          </w:p>
        </w:tc>
        <w:tc>
          <w:tcPr>
            <w:tcW w:w="270" w:type="dxa"/>
            <w:tcBorders>
              <w:top w:val="nil"/>
              <w:left w:val="nil"/>
              <w:bottom w:val="nil"/>
              <w:right w:val="nil"/>
            </w:tcBorders>
          </w:tcPr>
          <w:p w14:paraId="6E0BCAE6" w14:textId="77777777" w:rsidR="00A776C2" w:rsidRPr="0095258C" w:rsidRDefault="000A1F28" w:rsidP="006A04C8">
            <w:pPr>
              <w:widowControl/>
              <w:spacing w:line="320" w:lineRule="exact"/>
              <w:jc w:val="both"/>
              <w:rPr>
                <w:rFonts w:ascii="Palatino Linotype" w:hAnsi="Palatino Linotype"/>
              </w:rPr>
            </w:pPr>
            <w:r w:rsidRPr="0095258C">
              <w:rPr>
                <w:rFonts w:ascii="Palatino Linotype" w:hAnsi="Palatino Linotype"/>
              </w:rPr>
              <w:t>)</w:t>
            </w:r>
          </w:p>
          <w:p w14:paraId="6E0BCAE7" w14:textId="77777777" w:rsidR="000A1F28" w:rsidRPr="0095258C" w:rsidRDefault="000A1F28" w:rsidP="006A04C8">
            <w:pPr>
              <w:widowControl/>
              <w:spacing w:line="320" w:lineRule="exact"/>
              <w:jc w:val="both"/>
              <w:rPr>
                <w:rFonts w:ascii="Palatino Linotype" w:hAnsi="Palatino Linotype"/>
              </w:rPr>
            </w:pPr>
            <w:r w:rsidRPr="0095258C">
              <w:rPr>
                <w:rFonts w:ascii="Palatino Linotype" w:hAnsi="Palatino Linotype"/>
              </w:rPr>
              <w:t>)</w:t>
            </w:r>
          </w:p>
          <w:p w14:paraId="6E0BCAE8" w14:textId="77777777" w:rsidR="000A1F28" w:rsidRPr="0095258C" w:rsidRDefault="000A1F28" w:rsidP="006A04C8">
            <w:pPr>
              <w:widowControl/>
              <w:spacing w:line="320" w:lineRule="exact"/>
              <w:jc w:val="both"/>
              <w:rPr>
                <w:rFonts w:ascii="Palatino Linotype" w:hAnsi="Palatino Linotype"/>
              </w:rPr>
            </w:pPr>
            <w:r w:rsidRPr="0095258C">
              <w:rPr>
                <w:rFonts w:ascii="Palatino Linotype" w:hAnsi="Palatino Linotype"/>
              </w:rPr>
              <w:t>)</w:t>
            </w:r>
          </w:p>
          <w:p w14:paraId="6E0BCAE9" w14:textId="77777777" w:rsidR="000A1F28" w:rsidRPr="0095258C" w:rsidRDefault="000A1F28" w:rsidP="006A04C8">
            <w:pPr>
              <w:widowControl/>
              <w:spacing w:line="320" w:lineRule="exact"/>
              <w:jc w:val="both"/>
              <w:rPr>
                <w:rFonts w:ascii="Palatino Linotype" w:hAnsi="Palatino Linotype"/>
              </w:rPr>
            </w:pPr>
          </w:p>
        </w:tc>
        <w:tc>
          <w:tcPr>
            <w:tcW w:w="90" w:type="dxa"/>
            <w:tcBorders>
              <w:top w:val="nil"/>
              <w:left w:val="nil"/>
              <w:bottom w:val="nil"/>
              <w:right w:val="nil"/>
            </w:tcBorders>
          </w:tcPr>
          <w:p w14:paraId="6E0BCAEA" w14:textId="77777777" w:rsidR="00A776C2" w:rsidRPr="0095258C" w:rsidRDefault="00A776C2" w:rsidP="006A04C8">
            <w:pPr>
              <w:widowControl/>
              <w:spacing w:line="320" w:lineRule="exact"/>
              <w:rPr>
                <w:rFonts w:ascii="Palatino Linotype" w:hAnsi="Palatino Linotype"/>
              </w:rPr>
            </w:pPr>
          </w:p>
        </w:tc>
        <w:tc>
          <w:tcPr>
            <w:tcW w:w="4050" w:type="dxa"/>
            <w:tcBorders>
              <w:top w:val="nil"/>
              <w:left w:val="nil"/>
              <w:bottom w:val="nil"/>
              <w:right w:val="nil"/>
            </w:tcBorders>
          </w:tcPr>
          <w:p w14:paraId="6E0BCAEB" w14:textId="77777777" w:rsidR="00A776C2" w:rsidRPr="0095258C" w:rsidRDefault="00A776C2" w:rsidP="006A04C8">
            <w:pPr>
              <w:widowControl/>
              <w:spacing w:line="320" w:lineRule="exact"/>
              <w:jc w:val="both"/>
              <w:rPr>
                <w:rFonts w:ascii="Palatino Linotype" w:hAnsi="Palatino Linotype"/>
              </w:rPr>
            </w:pPr>
          </w:p>
          <w:p w14:paraId="6E0BCAEC" w14:textId="77777777" w:rsidR="005955BD" w:rsidRPr="0095258C" w:rsidRDefault="005955BD" w:rsidP="006A04C8">
            <w:pPr>
              <w:widowControl/>
              <w:spacing w:line="320" w:lineRule="exact"/>
              <w:jc w:val="both"/>
              <w:rPr>
                <w:rFonts w:ascii="Palatino Linotype" w:hAnsi="Palatino Linotype"/>
              </w:rPr>
            </w:pPr>
            <w:r w:rsidRPr="0095258C">
              <w:rPr>
                <w:rFonts w:ascii="Palatino Linotype" w:hAnsi="Palatino Linotype"/>
              </w:rPr>
              <w:t xml:space="preserve">Case No. </w:t>
            </w:r>
            <w:r w:rsidR="00DA2AC0">
              <w:rPr>
                <w:rFonts w:ascii="Palatino Linotype" w:hAnsi="Palatino Linotype"/>
              </w:rPr>
              <w:t>11</w:t>
            </w:r>
            <w:r w:rsidRPr="0095258C">
              <w:rPr>
                <w:rFonts w:ascii="Palatino Linotype" w:hAnsi="Palatino Linotype"/>
              </w:rPr>
              <w:t>-</w:t>
            </w:r>
            <w:r w:rsidR="0036397A">
              <w:rPr>
                <w:rFonts w:ascii="Palatino Linotype" w:hAnsi="Palatino Linotype"/>
              </w:rPr>
              <w:t>5515</w:t>
            </w:r>
            <w:r w:rsidRPr="0095258C">
              <w:rPr>
                <w:rFonts w:ascii="Palatino Linotype" w:hAnsi="Palatino Linotype"/>
              </w:rPr>
              <w:t>-GA-ALT</w:t>
            </w:r>
          </w:p>
        </w:tc>
      </w:tr>
    </w:tbl>
    <w:p w14:paraId="6E0BCAEF" w14:textId="61D41BA1" w:rsidR="008E3142" w:rsidRPr="0095258C" w:rsidRDefault="008E3142" w:rsidP="006A04C8">
      <w:pPr>
        <w:widowControl/>
        <w:tabs>
          <w:tab w:val="center" w:pos="4680"/>
        </w:tabs>
        <w:spacing w:line="320" w:lineRule="exact"/>
        <w:jc w:val="center"/>
        <w:rPr>
          <w:rFonts w:ascii="Palatino Linotype" w:hAnsi="Palatino Linotype"/>
        </w:rPr>
      </w:pPr>
    </w:p>
    <w:p w14:paraId="6E0BCAF0" w14:textId="77777777" w:rsidR="008E3142" w:rsidRPr="0095258C" w:rsidRDefault="002E7649" w:rsidP="006A04C8">
      <w:pPr>
        <w:widowControl/>
        <w:spacing w:line="320" w:lineRule="exact"/>
        <w:jc w:val="center"/>
        <w:rPr>
          <w:rFonts w:ascii="Palatino Linotype" w:hAnsi="Palatino Linotype"/>
          <w:b/>
          <w:u w:val="double"/>
        </w:rPr>
      </w:pPr>
      <w:r w:rsidRPr="0095258C">
        <w:rPr>
          <w:rFonts w:ascii="Palatino Linotype" w:hAnsi="Palatino Linotype"/>
          <w:b/>
          <w:u w:val="double"/>
        </w:rPr>
        <w:tab/>
      </w:r>
      <w:r w:rsidRPr="0095258C">
        <w:rPr>
          <w:rFonts w:ascii="Palatino Linotype" w:hAnsi="Palatino Linotype"/>
          <w:b/>
          <w:u w:val="double"/>
        </w:rPr>
        <w:tab/>
      </w:r>
      <w:r w:rsidRPr="0095258C">
        <w:rPr>
          <w:rFonts w:ascii="Palatino Linotype" w:hAnsi="Palatino Linotype"/>
          <w:b/>
          <w:u w:val="double"/>
        </w:rPr>
        <w:tab/>
      </w:r>
      <w:r w:rsidRPr="0095258C">
        <w:rPr>
          <w:rFonts w:ascii="Palatino Linotype" w:hAnsi="Palatino Linotype"/>
          <w:b/>
          <w:u w:val="double"/>
        </w:rPr>
        <w:tab/>
      </w:r>
      <w:r w:rsidRPr="0095258C">
        <w:rPr>
          <w:rFonts w:ascii="Palatino Linotype" w:hAnsi="Palatino Linotype"/>
          <w:b/>
          <w:u w:val="double"/>
        </w:rPr>
        <w:tab/>
      </w:r>
      <w:r w:rsidRPr="0095258C">
        <w:rPr>
          <w:rFonts w:ascii="Palatino Linotype" w:hAnsi="Palatino Linotype"/>
          <w:b/>
          <w:u w:val="double"/>
        </w:rPr>
        <w:tab/>
      </w:r>
      <w:r w:rsidRPr="0095258C">
        <w:rPr>
          <w:rFonts w:ascii="Palatino Linotype" w:hAnsi="Palatino Linotype"/>
          <w:b/>
          <w:u w:val="double"/>
        </w:rPr>
        <w:tab/>
      </w:r>
      <w:r w:rsidRPr="0095258C">
        <w:rPr>
          <w:rFonts w:ascii="Palatino Linotype" w:hAnsi="Palatino Linotype"/>
          <w:b/>
          <w:u w:val="double"/>
        </w:rPr>
        <w:tab/>
      </w:r>
      <w:r w:rsidRPr="0095258C">
        <w:rPr>
          <w:rFonts w:ascii="Palatino Linotype" w:hAnsi="Palatino Linotype"/>
          <w:b/>
          <w:u w:val="double"/>
        </w:rPr>
        <w:tab/>
      </w:r>
    </w:p>
    <w:p w14:paraId="6E0BCAF1" w14:textId="77777777" w:rsidR="002E7649" w:rsidRPr="0095258C" w:rsidRDefault="002E7649" w:rsidP="006A04C8">
      <w:pPr>
        <w:widowControl/>
        <w:spacing w:line="320" w:lineRule="exact"/>
        <w:jc w:val="both"/>
        <w:rPr>
          <w:rFonts w:ascii="Palatino Linotype" w:hAnsi="Palatino Linotype"/>
        </w:rPr>
      </w:pPr>
    </w:p>
    <w:p w14:paraId="6E0BCAF2" w14:textId="4BCF6687" w:rsidR="004E0775" w:rsidRPr="00A65335" w:rsidRDefault="00B321A9" w:rsidP="006A04C8">
      <w:pPr>
        <w:widowControl/>
        <w:tabs>
          <w:tab w:val="center" w:pos="4680"/>
        </w:tabs>
        <w:spacing w:line="320" w:lineRule="exact"/>
        <w:jc w:val="center"/>
        <w:rPr>
          <w:rFonts w:ascii="Palatino Linotype" w:hAnsi="Palatino Linotype"/>
          <w:b/>
          <w:bCs/>
          <w:spacing w:val="-12"/>
        </w:rPr>
      </w:pPr>
      <w:r>
        <w:rPr>
          <w:rFonts w:ascii="Palatino Linotype" w:hAnsi="Palatino Linotype"/>
          <w:b/>
          <w:bCs/>
          <w:spacing w:val="-12"/>
        </w:rPr>
        <w:t>MEMORANDUM CONTRA</w:t>
      </w:r>
    </w:p>
    <w:p w14:paraId="6E0BCAF3" w14:textId="77777777" w:rsidR="008E3142" w:rsidRDefault="008E3142" w:rsidP="006A04C8">
      <w:pPr>
        <w:widowControl/>
        <w:tabs>
          <w:tab w:val="center" w:pos="4680"/>
        </w:tabs>
        <w:spacing w:line="320" w:lineRule="exact"/>
        <w:jc w:val="center"/>
        <w:rPr>
          <w:rFonts w:ascii="Palatino Linotype" w:hAnsi="Palatino Linotype"/>
          <w:b/>
          <w:bCs/>
          <w:spacing w:val="-12"/>
        </w:rPr>
      </w:pPr>
      <w:proofErr w:type="gramStart"/>
      <w:r w:rsidRPr="00A65335">
        <w:rPr>
          <w:rFonts w:ascii="Palatino Linotype" w:hAnsi="Palatino Linotype"/>
          <w:b/>
          <w:bCs/>
          <w:spacing w:val="-12"/>
        </w:rPr>
        <w:t>OF COLUMBIA GAS OF OHIO, INC.</w:t>
      </w:r>
      <w:proofErr w:type="gramEnd"/>
    </w:p>
    <w:p w14:paraId="6E9D30F7" w14:textId="1E498DEB" w:rsidR="00B321A9" w:rsidRDefault="00B321A9" w:rsidP="006A04C8">
      <w:pPr>
        <w:widowControl/>
        <w:tabs>
          <w:tab w:val="center" w:pos="4680"/>
        </w:tabs>
        <w:spacing w:line="320" w:lineRule="exact"/>
        <w:jc w:val="center"/>
        <w:rPr>
          <w:rFonts w:ascii="Palatino Linotype" w:hAnsi="Palatino Linotype"/>
          <w:b/>
          <w:bCs/>
          <w:spacing w:val="-12"/>
        </w:rPr>
      </w:pPr>
      <w:r>
        <w:rPr>
          <w:rFonts w:ascii="Palatino Linotype" w:hAnsi="Palatino Linotype"/>
          <w:b/>
          <w:bCs/>
          <w:spacing w:val="-12"/>
        </w:rPr>
        <w:t>TO THE INTERLOCUTORY APPEAL FILED BY</w:t>
      </w:r>
    </w:p>
    <w:p w14:paraId="1F6C7176" w14:textId="3DE74B60" w:rsidR="00B321A9" w:rsidRDefault="00B321A9" w:rsidP="006A04C8">
      <w:pPr>
        <w:widowControl/>
        <w:tabs>
          <w:tab w:val="center" w:pos="4680"/>
        </w:tabs>
        <w:spacing w:line="320" w:lineRule="exact"/>
        <w:jc w:val="center"/>
        <w:rPr>
          <w:rFonts w:ascii="Palatino Linotype" w:hAnsi="Palatino Linotype"/>
          <w:b/>
          <w:bCs/>
          <w:spacing w:val="-12"/>
        </w:rPr>
      </w:pPr>
      <w:r>
        <w:rPr>
          <w:rFonts w:ascii="Palatino Linotype" w:hAnsi="Palatino Linotype"/>
          <w:b/>
          <w:bCs/>
          <w:spacing w:val="-12"/>
        </w:rPr>
        <w:t>THE OFFICE OF THE OHIO CONSUMERS’ COUNSEL,</w:t>
      </w:r>
    </w:p>
    <w:p w14:paraId="4D6BDC17" w14:textId="52947A24" w:rsidR="00B321A9" w:rsidRDefault="00B321A9" w:rsidP="006A04C8">
      <w:pPr>
        <w:widowControl/>
        <w:tabs>
          <w:tab w:val="center" w:pos="4680"/>
        </w:tabs>
        <w:spacing w:line="320" w:lineRule="exact"/>
        <w:jc w:val="center"/>
        <w:rPr>
          <w:rFonts w:ascii="Palatino Linotype" w:hAnsi="Palatino Linotype"/>
          <w:b/>
          <w:bCs/>
          <w:spacing w:val="-12"/>
        </w:rPr>
      </w:pPr>
      <w:r>
        <w:rPr>
          <w:rFonts w:ascii="Palatino Linotype" w:hAnsi="Palatino Linotype"/>
          <w:b/>
          <w:bCs/>
          <w:spacing w:val="-12"/>
        </w:rPr>
        <w:t>OHIO PARTNERS FOR AFFORDABLE ENERGY AND</w:t>
      </w:r>
    </w:p>
    <w:p w14:paraId="6D4386BA" w14:textId="251E9890" w:rsidR="00B321A9" w:rsidRPr="00A65335" w:rsidRDefault="00B321A9" w:rsidP="006A04C8">
      <w:pPr>
        <w:widowControl/>
        <w:tabs>
          <w:tab w:val="center" w:pos="4680"/>
        </w:tabs>
        <w:spacing w:line="320" w:lineRule="exact"/>
        <w:jc w:val="center"/>
        <w:rPr>
          <w:rFonts w:ascii="Palatino Linotype" w:hAnsi="Palatino Linotype"/>
          <w:spacing w:val="-12"/>
        </w:rPr>
      </w:pPr>
      <w:r>
        <w:rPr>
          <w:rFonts w:ascii="Palatino Linotype" w:hAnsi="Palatino Linotype"/>
          <w:b/>
          <w:bCs/>
          <w:spacing w:val="-12"/>
        </w:rPr>
        <w:t>THE OHIO FARM BUREAU FEDERATION</w:t>
      </w:r>
    </w:p>
    <w:p w14:paraId="6E0BCAF4" w14:textId="77777777" w:rsidR="008E3142" w:rsidRPr="0095258C" w:rsidRDefault="002E7649" w:rsidP="006A04C8">
      <w:pPr>
        <w:widowControl/>
        <w:tabs>
          <w:tab w:val="center" w:pos="4680"/>
        </w:tabs>
        <w:spacing w:line="320" w:lineRule="exact"/>
        <w:jc w:val="center"/>
        <w:rPr>
          <w:rFonts w:ascii="Palatino Linotype" w:hAnsi="Palatino Linotype"/>
          <w:b/>
          <w:u w:val="double"/>
        </w:rPr>
      </w:pPr>
      <w:r w:rsidRPr="0095258C">
        <w:rPr>
          <w:rFonts w:ascii="Palatino Linotype" w:hAnsi="Palatino Linotype"/>
          <w:b/>
          <w:u w:val="double"/>
        </w:rPr>
        <w:tab/>
      </w:r>
      <w:r w:rsidRPr="0095258C">
        <w:rPr>
          <w:rFonts w:ascii="Palatino Linotype" w:hAnsi="Palatino Linotype"/>
          <w:b/>
          <w:u w:val="double"/>
        </w:rPr>
        <w:tab/>
      </w:r>
      <w:r w:rsidRPr="0095258C">
        <w:rPr>
          <w:rFonts w:ascii="Palatino Linotype" w:hAnsi="Palatino Linotype"/>
          <w:b/>
          <w:u w:val="double"/>
        </w:rPr>
        <w:tab/>
      </w:r>
      <w:r w:rsidRPr="0095258C">
        <w:rPr>
          <w:rFonts w:ascii="Palatino Linotype" w:hAnsi="Palatino Linotype"/>
          <w:b/>
          <w:u w:val="double"/>
        </w:rPr>
        <w:tab/>
      </w:r>
    </w:p>
    <w:p w14:paraId="6E0BCAF5" w14:textId="77777777" w:rsidR="008E3142" w:rsidRPr="0095258C" w:rsidRDefault="008E3142" w:rsidP="006A04C8">
      <w:pPr>
        <w:widowControl/>
        <w:spacing w:line="320" w:lineRule="exact"/>
        <w:jc w:val="both"/>
        <w:rPr>
          <w:rFonts w:ascii="Palatino Linotype" w:hAnsi="Palatino Linotype"/>
        </w:rPr>
      </w:pPr>
    </w:p>
    <w:p w14:paraId="57D00668" w14:textId="77777777" w:rsidR="00E81C40" w:rsidRDefault="00E81C40" w:rsidP="006A04C8">
      <w:pPr>
        <w:widowControl/>
        <w:spacing w:line="320" w:lineRule="exact"/>
        <w:jc w:val="both"/>
        <w:rPr>
          <w:rFonts w:ascii="Palatino Linotype" w:hAnsi="Palatino Linotype"/>
        </w:rPr>
      </w:pPr>
    </w:p>
    <w:p w14:paraId="62929EBE" w14:textId="5B41AE71" w:rsidR="00E81C40" w:rsidRPr="004A6A0D" w:rsidRDefault="00E81C40" w:rsidP="006A04C8">
      <w:pPr>
        <w:widowControl/>
        <w:spacing w:line="320" w:lineRule="exact"/>
        <w:jc w:val="both"/>
        <w:rPr>
          <w:rFonts w:ascii="Palatino Linotype" w:hAnsi="Palatino Linotype"/>
          <w:b/>
          <w:spacing w:val="-12"/>
        </w:rPr>
      </w:pPr>
      <w:r w:rsidRPr="004A6A0D">
        <w:rPr>
          <w:rFonts w:ascii="Palatino Linotype" w:hAnsi="Palatino Linotype"/>
          <w:b/>
          <w:spacing w:val="-12"/>
        </w:rPr>
        <w:t>PROCEDURAL HISTORY</w:t>
      </w:r>
    </w:p>
    <w:p w14:paraId="1BF68464" w14:textId="77777777" w:rsidR="00E81C40" w:rsidRDefault="00E81C40" w:rsidP="006A04C8">
      <w:pPr>
        <w:widowControl/>
        <w:spacing w:line="320" w:lineRule="exact"/>
        <w:jc w:val="both"/>
        <w:rPr>
          <w:rFonts w:ascii="Palatino Linotype" w:hAnsi="Palatino Linotype"/>
        </w:rPr>
      </w:pPr>
    </w:p>
    <w:p w14:paraId="59D6D6BC" w14:textId="6D16B837" w:rsidR="00E81C40" w:rsidRDefault="00E81C40" w:rsidP="006A04C8">
      <w:pPr>
        <w:widowControl/>
        <w:spacing w:line="320" w:lineRule="exact"/>
        <w:ind w:firstLine="720"/>
        <w:jc w:val="both"/>
        <w:rPr>
          <w:rFonts w:ascii="Palatino Linotype" w:hAnsi="Palatino Linotype"/>
        </w:rPr>
      </w:pPr>
      <w:r>
        <w:rPr>
          <w:rFonts w:ascii="Palatino Linotype" w:hAnsi="Palatino Linotype"/>
        </w:rPr>
        <w:t>Columbia Gas Ohio, Inc.’s (“Columbia”) last rate case was filed in 2008</w:t>
      </w:r>
      <w:r w:rsidRPr="00AC2E85">
        <w:rPr>
          <w:rStyle w:val="FootnoteReference"/>
          <w:rFonts w:ascii="Palatino Linotype" w:hAnsi="Palatino Linotype"/>
          <w:vertAlign w:val="superscript"/>
        </w:rPr>
        <w:footnoteReference w:id="1"/>
      </w:r>
      <w:r w:rsidR="00434E00">
        <w:rPr>
          <w:rFonts w:ascii="Palatino Linotype" w:hAnsi="Palatino Linotype"/>
        </w:rPr>
        <w:t>.</w:t>
      </w:r>
      <w:r>
        <w:rPr>
          <w:rFonts w:ascii="Palatino Linotype" w:hAnsi="Palatino Linotype"/>
        </w:rPr>
        <w:t xml:space="preserve"> In that case Columbia proposed an increase in base rates, as well as an altern</w:t>
      </w:r>
      <w:r>
        <w:rPr>
          <w:rFonts w:ascii="Palatino Linotype" w:hAnsi="Palatino Linotype"/>
        </w:rPr>
        <w:t>a</w:t>
      </w:r>
      <w:r>
        <w:rPr>
          <w:rFonts w:ascii="Palatino Linotype" w:hAnsi="Palatino Linotype"/>
        </w:rPr>
        <w:t>tive rate regulation plan. The alternative regulation plan was proposed, in part, in order to implement Columbia’s Infrastructure Replacement Program (“IRP”).</w:t>
      </w:r>
    </w:p>
    <w:p w14:paraId="21F8DFF0" w14:textId="77777777" w:rsidR="00E81C40" w:rsidRDefault="00E81C40" w:rsidP="006A04C8">
      <w:pPr>
        <w:widowControl/>
        <w:spacing w:line="320" w:lineRule="exact"/>
        <w:ind w:firstLine="720"/>
        <w:jc w:val="both"/>
        <w:rPr>
          <w:rFonts w:ascii="Palatino Linotype" w:hAnsi="Palatino Linotype"/>
        </w:rPr>
      </w:pPr>
    </w:p>
    <w:p w14:paraId="63B3B468" w14:textId="77777777" w:rsidR="00E81C40" w:rsidRDefault="00E81C40" w:rsidP="006A04C8">
      <w:pPr>
        <w:widowControl/>
        <w:spacing w:line="320" w:lineRule="exact"/>
        <w:ind w:firstLine="720"/>
        <w:jc w:val="both"/>
        <w:rPr>
          <w:rFonts w:ascii="Palatino Linotype" w:hAnsi="Palatino Linotype"/>
        </w:rPr>
      </w:pPr>
      <w:r>
        <w:rPr>
          <w:rFonts w:ascii="Palatino Linotype" w:hAnsi="Palatino Linotype"/>
        </w:rPr>
        <w:t>A stipulation was agreed to in Columbia’s 2008 Rate Case, in which all i</w:t>
      </w:r>
      <w:r>
        <w:rPr>
          <w:rFonts w:ascii="Palatino Linotype" w:hAnsi="Palatino Linotype"/>
        </w:rPr>
        <w:t>s</w:t>
      </w:r>
      <w:r>
        <w:rPr>
          <w:rFonts w:ascii="Palatino Linotype" w:hAnsi="Palatino Linotype"/>
        </w:rPr>
        <w:t>sues except rate design were resolved by agreement among the parties. The sti</w:t>
      </w:r>
      <w:r>
        <w:rPr>
          <w:rFonts w:ascii="Palatino Linotype" w:hAnsi="Palatino Linotype"/>
        </w:rPr>
        <w:t>p</w:t>
      </w:r>
      <w:r>
        <w:rPr>
          <w:rFonts w:ascii="Palatino Linotype" w:hAnsi="Palatino Linotype"/>
        </w:rPr>
        <w:t>ulation was filed on October 24, 2008, and approved in a Commission Opinion and Order dated December 3, 2008.</w:t>
      </w:r>
    </w:p>
    <w:p w14:paraId="001CD8CB" w14:textId="77777777" w:rsidR="00E81C40" w:rsidRDefault="00E81C40" w:rsidP="006A04C8">
      <w:pPr>
        <w:widowControl/>
        <w:spacing w:line="320" w:lineRule="exact"/>
        <w:ind w:firstLine="720"/>
        <w:jc w:val="both"/>
        <w:rPr>
          <w:rFonts w:ascii="Palatino Linotype" w:hAnsi="Palatino Linotype"/>
        </w:rPr>
      </w:pPr>
    </w:p>
    <w:p w14:paraId="6DB5A382" w14:textId="4ABCBCB4" w:rsidR="00E81C40" w:rsidRDefault="00E81C40" w:rsidP="006A04C8">
      <w:pPr>
        <w:widowControl/>
        <w:spacing w:line="320" w:lineRule="exact"/>
        <w:ind w:firstLine="720"/>
        <w:jc w:val="both"/>
        <w:rPr>
          <w:rFonts w:ascii="Palatino Linotype" w:hAnsi="Palatino Linotype"/>
        </w:rPr>
      </w:pPr>
      <w:r>
        <w:rPr>
          <w:rFonts w:ascii="Palatino Linotype" w:hAnsi="Palatino Linotype"/>
        </w:rPr>
        <w:t xml:space="preserve">The 2008 Rate Case </w:t>
      </w:r>
      <w:r w:rsidR="00434E00">
        <w:rPr>
          <w:rFonts w:ascii="Palatino Linotype" w:hAnsi="Palatino Linotype"/>
        </w:rPr>
        <w:t>S</w:t>
      </w:r>
      <w:r>
        <w:rPr>
          <w:rFonts w:ascii="Palatino Linotype" w:hAnsi="Palatino Linotype"/>
        </w:rPr>
        <w:t>tipulation, as approved by the Commission, autho</w:t>
      </w:r>
      <w:r>
        <w:rPr>
          <w:rFonts w:ascii="Palatino Linotype" w:hAnsi="Palatino Linotype"/>
        </w:rPr>
        <w:t>r</w:t>
      </w:r>
      <w:r>
        <w:rPr>
          <w:rFonts w:ascii="Palatino Linotype" w:hAnsi="Palatino Linotype"/>
        </w:rPr>
        <w:t xml:space="preserve">ized the initial five-year phase of Columbia’s IRP. The stipulation </w:t>
      </w:r>
      <w:r w:rsidR="00E44B39">
        <w:rPr>
          <w:rFonts w:ascii="Palatino Linotype" w:hAnsi="Palatino Linotype"/>
        </w:rPr>
        <w:t>also provided for possible revision of the IRP during its initial five-year term, as well as poss</w:t>
      </w:r>
      <w:r w:rsidR="00E44B39">
        <w:rPr>
          <w:rFonts w:ascii="Palatino Linotype" w:hAnsi="Palatino Linotype"/>
        </w:rPr>
        <w:t>i</w:t>
      </w:r>
      <w:r w:rsidR="00E44B39">
        <w:rPr>
          <w:rFonts w:ascii="Palatino Linotype" w:hAnsi="Palatino Linotype"/>
        </w:rPr>
        <w:t>ble extension of the IRP after its initial five-year term.</w:t>
      </w:r>
    </w:p>
    <w:p w14:paraId="6C4EA22B" w14:textId="77777777" w:rsidR="00E81C40" w:rsidRDefault="00E81C40" w:rsidP="006A04C8">
      <w:pPr>
        <w:widowControl/>
        <w:spacing w:line="320" w:lineRule="exact"/>
        <w:ind w:firstLine="720"/>
        <w:jc w:val="both"/>
        <w:rPr>
          <w:rFonts w:ascii="Palatino Linotype" w:hAnsi="Palatino Linotype"/>
        </w:rPr>
      </w:pPr>
    </w:p>
    <w:p w14:paraId="10E8F6A1" w14:textId="26F24691" w:rsidR="00E81C40" w:rsidRDefault="00E81C40" w:rsidP="00E81C40">
      <w:pPr>
        <w:widowControl/>
        <w:spacing w:line="320" w:lineRule="exact"/>
        <w:ind w:firstLine="720"/>
        <w:jc w:val="both"/>
        <w:rPr>
          <w:rFonts w:ascii="Palatino Linotype" w:hAnsi="Palatino Linotype"/>
        </w:rPr>
      </w:pPr>
      <w:r>
        <w:rPr>
          <w:rFonts w:ascii="Palatino Linotype" w:hAnsi="Palatino Linotype"/>
        </w:rPr>
        <w:t>On December 9, 2011, Columbia filed its Notice of Intent in this procee</w:t>
      </w:r>
      <w:r>
        <w:rPr>
          <w:rFonts w:ascii="Palatino Linotype" w:hAnsi="Palatino Linotype"/>
        </w:rPr>
        <w:t>d</w:t>
      </w:r>
      <w:r>
        <w:rPr>
          <w:rFonts w:ascii="Palatino Linotype" w:hAnsi="Palatino Linotype"/>
        </w:rPr>
        <w:t xml:space="preserve">ing. In the Notice of Intent Columbia stated that it planned to file an alternative </w:t>
      </w:r>
      <w:r>
        <w:rPr>
          <w:rFonts w:ascii="Palatino Linotype" w:hAnsi="Palatino Linotype"/>
        </w:rPr>
        <w:lastRenderedPageBreak/>
        <w:t>regulation plan application, the primary purpose of which would be to extend Columbia’s IRP for another five years beyond the expiration of the initial five-year period authorized in the 2008 Rate Case.</w:t>
      </w:r>
    </w:p>
    <w:p w14:paraId="544A3E40" w14:textId="77777777" w:rsidR="00E81C40" w:rsidRDefault="00E81C40" w:rsidP="00E81C40">
      <w:pPr>
        <w:widowControl/>
        <w:spacing w:line="320" w:lineRule="exact"/>
        <w:ind w:firstLine="720"/>
        <w:jc w:val="both"/>
        <w:rPr>
          <w:rFonts w:ascii="Palatino Linotype" w:hAnsi="Palatino Linotype"/>
        </w:rPr>
      </w:pPr>
    </w:p>
    <w:p w14:paraId="77FE1308" w14:textId="77777777" w:rsidR="004058A7" w:rsidRDefault="004058A7" w:rsidP="004058A7">
      <w:pPr>
        <w:widowControl/>
        <w:spacing w:line="320" w:lineRule="exact"/>
        <w:ind w:firstLine="720"/>
        <w:jc w:val="both"/>
        <w:rPr>
          <w:rFonts w:ascii="Palatino Linotype" w:hAnsi="Palatino Linotype"/>
        </w:rPr>
      </w:pPr>
      <w:r>
        <w:rPr>
          <w:rFonts w:ascii="Palatino Linotype" w:hAnsi="Palatino Linotype"/>
        </w:rPr>
        <w:t>On December 22, 2011, Columbia filed a Motion for Waiver, in which it requested that it not be required to file those Standard Filing Requirement exhi</w:t>
      </w:r>
      <w:r>
        <w:rPr>
          <w:rFonts w:ascii="Palatino Linotype" w:hAnsi="Palatino Linotype"/>
        </w:rPr>
        <w:t>b</w:t>
      </w:r>
      <w:r>
        <w:rPr>
          <w:rFonts w:ascii="Palatino Linotype" w:hAnsi="Palatino Linotype"/>
        </w:rPr>
        <w:t>its that relate to the filing of a base rate case. This request was premised upon the fact that Ohio law no longer requires that alternative regulation plan applications be filed in conjunction with a base rate case. However, the Commission’s rules have not yet been revised to comport with statutory changes regarding the filing of alternative regulation plan applications.</w:t>
      </w:r>
    </w:p>
    <w:p w14:paraId="692D032E" w14:textId="77777777" w:rsidR="004058A7" w:rsidRDefault="004058A7" w:rsidP="004058A7">
      <w:pPr>
        <w:widowControl/>
        <w:spacing w:line="320" w:lineRule="exact"/>
        <w:ind w:firstLine="720"/>
        <w:jc w:val="both"/>
        <w:rPr>
          <w:rFonts w:ascii="Palatino Linotype" w:hAnsi="Palatino Linotype"/>
        </w:rPr>
      </w:pPr>
    </w:p>
    <w:p w14:paraId="7EDFDD7D" w14:textId="77777777" w:rsidR="004058A7" w:rsidRDefault="004058A7" w:rsidP="004058A7">
      <w:pPr>
        <w:widowControl/>
        <w:spacing w:line="320" w:lineRule="exact"/>
        <w:ind w:firstLine="720"/>
        <w:jc w:val="both"/>
        <w:rPr>
          <w:rFonts w:ascii="Palatino Linotype" w:hAnsi="Palatino Linotype"/>
        </w:rPr>
      </w:pPr>
      <w:r>
        <w:rPr>
          <w:rFonts w:ascii="Palatino Linotype" w:hAnsi="Palatino Linotype"/>
        </w:rPr>
        <w:t>On January 6, 2012, the Office of the Ohio Consumers’ Counsel (“OCC”) filed a Memorandum Contra Columbia’s Motion for Waiver. Columbia filed a Reply Memorandum on January 11, 2012.</w:t>
      </w:r>
    </w:p>
    <w:p w14:paraId="6D41062F" w14:textId="77777777" w:rsidR="004058A7" w:rsidRDefault="004058A7" w:rsidP="004058A7">
      <w:pPr>
        <w:widowControl/>
        <w:spacing w:line="320" w:lineRule="exact"/>
        <w:jc w:val="both"/>
        <w:rPr>
          <w:rFonts w:ascii="Palatino Linotype" w:hAnsi="Palatino Linotype"/>
        </w:rPr>
      </w:pPr>
    </w:p>
    <w:p w14:paraId="729729FD" w14:textId="33DD3507" w:rsidR="004058A7" w:rsidRDefault="004058A7" w:rsidP="004058A7">
      <w:pPr>
        <w:widowControl/>
        <w:spacing w:line="320" w:lineRule="exact"/>
        <w:jc w:val="both"/>
        <w:rPr>
          <w:rFonts w:ascii="Palatino Linotype" w:hAnsi="Palatino Linotype"/>
        </w:rPr>
      </w:pPr>
      <w:r w:rsidRPr="009D32FA">
        <w:rPr>
          <w:rFonts w:ascii="Palatino Linotype" w:hAnsi="Palatino Linotype"/>
        </w:rPr>
        <w:tab/>
      </w:r>
      <w:r>
        <w:rPr>
          <w:rFonts w:ascii="Palatino Linotype" w:hAnsi="Palatino Linotype"/>
        </w:rPr>
        <w:t xml:space="preserve">On January 11, 2012, </w:t>
      </w:r>
      <w:r w:rsidRPr="009D32FA">
        <w:rPr>
          <w:rFonts w:ascii="Palatino Linotype" w:hAnsi="Palatino Linotype"/>
        </w:rPr>
        <w:t>O</w:t>
      </w:r>
      <w:r>
        <w:rPr>
          <w:rFonts w:ascii="Palatino Linotype" w:hAnsi="Palatino Linotype"/>
        </w:rPr>
        <w:t>hio Partners for Affordable Energy (“O</w:t>
      </w:r>
      <w:r w:rsidRPr="009D32FA">
        <w:rPr>
          <w:rFonts w:ascii="Palatino Linotype" w:hAnsi="Palatino Linotype"/>
        </w:rPr>
        <w:t>P</w:t>
      </w:r>
      <w:r>
        <w:rPr>
          <w:rFonts w:ascii="Palatino Linotype" w:hAnsi="Palatino Linotype"/>
        </w:rPr>
        <w:t>A</w:t>
      </w:r>
      <w:r w:rsidRPr="009D32FA">
        <w:rPr>
          <w:rFonts w:ascii="Palatino Linotype" w:hAnsi="Palatino Linotype"/>
        </w:rPr>
        <w:t>E</w:t>
      </w:r>
      <w:r>
        <w:rPr>
          <w:rFonts w:ascii="Palatino Linotype" w:hAnsi="Palatino Linotype"/>
        </w:rPr>
        <w:t>”)</w:t>
      </w:r>
      <w:r w:rsidRPr="009D32FA">
        <w:rPr>
          <w:rFonts w:ascii="Palatino Linotype" w:hAnsi="Palatino Linotype"/>
        </w:rPr>
        <w:t xml:space="preserve"> </w:t>
      </w:r>
      <w:r>
        <w:rPr>
          <w:rFonts w:ascii="Palatino Linotype" w:hAnsi="Palatino Linotype"/>
        </w:rPr>
        <w:t xml:space="preserve">filed </w:t>
      </w:r>
      <w:r w:rsidRPr="009D32FA">
        <w:rPr>
          <w:rFonts w:ascii="Palatino Linotype" w:hAnsi="Palatino Linotype"/>
        </w:rPr>
        <w:t xml:space="preserve">a </w:t>
      </w:r>
      <w:r>
        <w:rPr>
          <w:rFonts w:ascii="Palatino Linotype" w:hAnsi="Palatino Linotype"/>
        </w:rPr>
        <w:t xml:space="preserve">pleading in this docket </w:t>
      </w:r>
      <w:r w:rsidRPr="009D32FA">
        <w:rPr>
          <w:rFonts w:ascii="Palatino Linotype" w:hAnsi="Palatino Linotype"/>
        </w:rPr>
        <w:t>styled as a "</w:t>
      </w:r>
      <w:r>
        <w:rPr>
          <w:rFonts w:ascii="Palatino Linotype" w:hAnsi="Palatino Linotype"/>
        </w:rPr>
        <w:t>Reply to the Memorandum Contra.</w:t>
      </w:r>
      <w:r w:rsidRPr="009D32FA">
        <w:rPr>
          <w:rFonts w:ascii="Palatino Linotype" w:hAnsi="Palatino Linotype"/>
        </w:rPr>
        <w:t>"</w:t>
      </w:r>
      <w:r>
        <w:rPr>
          <w:rFonts w:ascii="Palatino Linotype" w:hAnsi="Palatino Linotype"/>
        </w:rPr>
        <w:t xml:space="preserve"> The pleading explained that it is a reply to the memorandum contra filed by the OCC on January 6, 2012. On January 13, 2012, Columbia filed a Motion to Strike OPAE’s Reply to Memorandum Contra because the substance of the OPAE pleading was in no sense a reply to any of the OCC arguments, but was instead a response to the substance of Columbia’s January 11 Reply Memorandum</w:t>
      </w:r>
      <w:r w:rsidR="00893F11">
        <w:rPr>
          <w:rFonts w:ascii="Palatino Linotype" w:hAnsi="Palatino Linotype"/>
        </w:rPr>
        <w:t>.</w:t>
      </w:r>
    </w:p>
    <w:p w14:paraId="2C32C4EC" w14:textId="77777777" w:rsidR="004058A7" w:rsidRDefault="004058A7" w:rsidP="004058A7">
      <w:pPr>
        <w:widowControl/>
        <w:spacing w:line="320" w:lineRule="exact"/>
        <w:jc w:val="both"/>
        <w:rPr>
          <w:rFonts w:ascii="Palatino Linotype" w:hAnsi="Palatino Linotype"/>
        </w:rPr>
      </w:pPr>
    </w:p>
    <w:p w14:paraId="04995789" w14:textId="55BFB9AA" w:rsidR="004058A7" w:rsidRDefault="004058A7" w:rsidP="004058A7">
      <w:pPr>
        <w:widowControl/>
        <w:spacing w:line="320" w:lineRule="exact"/>
        <w:ind w:firstLine="720"/>
        <w:jc w:val="both"/>
        <w:rPr>
          <w:rFonts w:ascii="Palatino Linotype" w:hAnsi="Palatino Linotype"/>
        </w:rPr>
      </w:pPr>
      <w:r>
        <w:rPr>
          <w:rFonts w:ascii="Palatino Linotype" w:hAnsi="Palatino Linotype"/>
        </w:rPr>
        <w:t>On January 19, 2012, OPAE filed a Memorandum Contra Columbia’s M</w:t>
      </w:r>
      <w:r>
        <w:rPr>
          <w:rFonts w:ascii="Palatino Linotype" w:hAnsi="Palatino Linotype"/>
        </w:rPr>
        <w:t>o</w:t>
      </w:r>
      <w:r>
        <w:rPr>
          <w:rFonts w:ascii="Palatino Linotype" w:hAnsi="Palatino Linotype"/>
        </w:rPr>
        <w:t>tion to Strike. Columbia filed it Reply Memorandum on January 23, 2012.</w:t>
      </w:r>
    </w:p>
    <w:p w14:paraId="37429662" w14:textId="77777777" w:rsidR="004058A7" w:rsidRDefault="004058A7" w:rsidP="004058A7">
      <w:pPr>
        <w:widowControl/>
        <w:spacing w:line="320" w:lineRule="exact"/>
        <w:ind w:firstLine="720"/>
        <w:jc w:val="both"/>
        <w:rPr>
          <w:rFonts w:ascii="Palatino Linotype" w:hAnsi="Palatino Linotype"/>
        </w:rPr>
      </w:pPr>
    </w:p>
    <w:p w14:paraId="5A0DFC17" w14:textId="7E335F75" w:rsidR="00E81C40" w:rsidRDefault="004058A7" w:rsidP="004058A7">
      <w:pPr>
        <w:widowControl/>
        <w:spacing w:line="320" w:lineRule="exact"/>
        <w:ind w:firstLine="720"/>
        <w:jc w:val="both"/>
        <w:rPr>
          <w:rFonts w:ascii="Palatino Linotype" w:hAnsi="Palatino Linotype"/>
        </w:rPr>
      </w:pPr>
      <w:r>
        <w:rPr>
          <w:rFonts w:ascii="Palatino Linotype" w:hAnsi="Palatino Linotype"/>
        </w:rPr>
        <w:t>On March 2, 2012, Columbia filed an Amended Notice of Intent along with an Amended Motion for Waivers. These amended pleadings were filed to clarify that Columbia’s Application in this proceeding would be filed pursuant to Ohio Revised Code § 4929.051(B).</w:t>
      </w:r>
    </w:p>
    <w:p w14:paraId="79F8B76D" w14:textId="77777777" w:rsidR="00AF284E" w:rsidRDefault="00AF284E" w:rsidP="004058A7">
      <w:pPr>
        <w:widowControl/>
        <w:spacing w:line="320" w:lineRule="exact"/>
        <w:ind w:firstLine="720"/>
        <w:jc w:val="both"/>
        <w:rPr>
          <w:rFonts w:ascii="Palatino Linotype" w:hAnsi="Palatino Linotype"/>
        </w:rPr>
      </w:pPr>
    </w:p>
    <w:p w14:paraId="0E3AF4B8" w14:textId="21D25AA8" w:rsidR="00AF284E" w:rsidRPr="00AF284E" w:rsidRDefault="00AF284E" w:rsidP="00AF284E">
      <w:pPr>
        <w:widowControl/>
        <w:autoSpaceDE/>
        <w:autoSpaceDN/>
        <w:adjustRightInd/>
        <w:spacing w:line="320" w:lineRule="exact"/>
        <w:ind w:firstLine="720"/>
        <w:jc w:val="both"/>
        <w:rPr>
          <w:rFonts w:ascii="Palatino Linotype" w:eastAsiaTheme="minorHAnsi" w:hAnsi="Palatino Linotype" w:cstheme="minorBidi"/>
          <w:kern w:val="16"/>
          <w:szCs w:val="22"/>
        </w:rPr>
      </w:pPr>
      <w:r w:rsidRPr="00AF284E">
        <w:rPr>
          <w:rFonts w:ascii="Palatino Linotype" w:eastAsiaTheme="minorHAnsi" w:hAnsi="Palatino Linotype" w:cstheme="minorBidi"/>
          <w:kern w:val="16"/>
          <w:szCs w:val="22"/>
        </w:rPr>
        <w:t xml:space="preserve">On March 16, 2012, Columbia, OCC, </w:t>
      </w:r>
      <w:r>
        <w:rPr>
          <w:rFonts w:ascii="Palatino Linotype" w:eastAsiaTheme="minorHAnsi" w:hAnsi="Palatino Linotype" w:cstheme="minorBidi"/>
          <w:kern w:val="16"/>
          <w:szCs w:val="22"/>
        </w:rPr>
        <w:t xml:space="preserve">OPAE and </w:t>
      </w:r>
      <w:r w:rsidRPr="00AF284E">
        <w:rPr>
          <w:rFonts w:ascii="Palatino Linotype" w:eastAsiaTheme="minorHAnsi" w:hAnsi="Palatino Linotype" w:cstheme="minorBidi"/>
          <w:kern w:val="16"/>
          <w:szCs w:val="22"/>
        </w:rPr>
        <w:t>the Staff of the Commi</w:t>
      </w:r>
      <w:r w:rsidRPr="00AF284E">
        <w:rPr>
          <w:rFonts w:ascii="Palatino Linotype" w:eastAsiaTheme="minorHAnsi" w:hAnsi="Palatino Linotype" w:cstheme="minorBidi"/>
          <w:kern w:val="16"/>
          <w:szCs w:val="22"/>
        </w:rPr>
        <w:t>s</w:t>
      </w:r>
      <w:r w:rsidRPr="00AF284E">
        <w:rPr>
          <w:rFonts w:ascii="Palatino Linotype" w:eastAsiaTheme="minorHAnsi" w:hAnsi="Palatino Linotype" w:cstheme="minorBidi"/>
          <w:kern w:val="16"/>
          <w:szCs w:val="22"/>
        </w:rPr>
        <w:t>sion filed a Joint Stipulation Regarding Procedural Matters such that the prior pleadings regarding Columbia</w:t>
      </w:r>
      <w:r>
        <w:rPr>
          <w:rFonts w:ascii="Palatino Linotype" w:eastAsiaTheme="minorHAnsi" w:hAnsi="Palatino Linotype" w:cstheme="minorBidi"/>
          <w:kern w:val="16"/>
          <w:szCs w:val="22"/>
        </w:rPr>
        <w:t>’s</w:t>
      </w:r>
      <w:r w:rsidRPr="00AF284E">
        <w:rPr>
          <w:rFonts w:ascii="Palatino Linotype" w:eastAsiaTheme="minorHAnsi" w:hAnsi="Palatino Linotype" w:cstheme="minorBidi"/>
          <w:kern w:val="16"/>
          <w:szCs w:val="22"/>
        </w:rPr>
        <w:t xml:space="preserve"> waiver request would serve to address the same waiver request associated with Columbia’s Amended </w:t>
      </w:r>
      <w:r>
        <w:rPr>
          <w:rFonts w:ascii="Palatino Linotype" w:eastAsiaTheme="minorHAnsi" w:hAnsi="Palatino Linotype" w:cstheme="minorBidi"/>
          <w:kern w:val="16"/>
          <w:szCs w:val="22"/>
        </w:rPr>
        <w:t xml:space="preserve">Notice of Intent and Amended Motion For Waivers, </w:t>
      </w:r>
      <w:r w:rsidRPr="00AF284E">
        <w:rPr>
          <w:rFonts w:ascii="Palatino Linotype" w:eastAsiaTheme="minorHAnsi" w:hAnsi="Palatino Linotype" w:cstheme="minorBidi"/>
          <w:kern w:val="16"/>
          <w:szCs w:val="22"/>
        </w:rPr>
        <w:t>without the need for the parties to re-file and r</w:t>
      </w:r>
      <w:r w:rsidRPr="00AF284E">
        <w:rPr>
          <w:rFonts w:ascii="Palatino Linotype" w:eastAsiaTheme="minorHAnsi" w:hAnsi="Palatino Linotype" w:cstheme="minorBidi"/>
          <w:kern w:val="16"/>
          <w:szCs w:val="22"/>
        </w:rPr>
        <w:t>e</w:t>
      </w:r>
      <w:r w:rsidRPr="00AF284E">
        <w:rPr>
          <w:rFonts w:ascii="Palatino Linotype" w:eastAsiaTheme="minorHAnsi" w:hAnsi="Palatino Linotype" w:cstheme="minorBidi"/>
          <w:kern w:val="16"/>
          <w:szCs w:val="22"/>
        </w:rPr>
        <w:t>submit the various pleadings. On March 19, 2012, the Attorney Examiner issued an Entry</w:t>
      </w:r>
      <w:r w:rsidR="004562CE">
        <w:rPr>
          <w:rFonts w:ascii="Palatino Linotype" w:eastAsiaTheme="minorHAnsi" w:hAnsi="Palatino Linotype" w:cstheme="minorBidi"/>
          <w:kern w:val="16"/>
          <w:szCs w:val="22"/>
        </w:rPr>
        <w:t xml:space="preserve"> </w:t>
      </w:r>
      <w:r w:rsidRPr="00AF284E">
        <w:rPr>
          <w:rFonts w:ascii="Palatino Linotype" w:eastAsiaTheme="minorHAnsi" w:hAnsi="Palatino Linotype" w:cstheme="minorBidi"/>
          <w:kern w:val="16"/>
          <w:szCs w:val="22"/>
        </w:rPr>
        <w:t>that adopted the stipulated modifications to the procedural schedule.</w:t>
      </w:r>
    </w:p>
    <w:p w14:paraId="55A1D871" w14:textId="77777777" w:rsidR="00AF284E" w:rsidRDefault="00AF284E" w:rsidP="004058A7">
      <w:pPr>
        <w:widowControl/>
        <w:spacing w:line="320" w:lineRule="exact"/>
        <w:ind w:firstLine="720"/>
        <w:jc w:val="both"/>
        <w:rPr>
          <w:rFonts w:ascii="Palatino Linotype" w:hAnsi="Palatino Linotype"/>
        </w:rPr>
      </w:pPr>
    </w:p>
    <w:p w14:paraId="3CF94D07" w14:textId="0C170F0E" w:rsidR="00AF284E" w:rsidRDefault="00936A37" w:rsidP="00936A37">
      <w:pPr>
        <w:widowControl/>
        <w:spacing w:line="320" w:lineRule="exact"/>
        <w:ind w:firstLine="720"/>
        <w:jc w:val="both"/>
        <w:rPr>
          <w:rFonts w:ascii="Palatino Linotype" w:hAnsi="Palatino Linotype"/>
        </w:rPr>
      </w:pPr>
      <w:r>
        <w:rPr>
          <w:rFonts w:ascii="Palatino Linotype" w:hAnsi="Palatino Linotype"/>
        </w:rPr>
        <w:t>By Entry dated May 1, 2012, the Commission’s Attorney Examiner gran</w:t>
      </w:r>
      <w:r>
        <w:rPr>
          <w:rFonts w:ascii="Palatino Linotype" w:hAnsi="Palatino Linotype"/>
        </w:rPr>
        <w:t>t</w:t>
      </w:r>
      <w:r>
        <w:rPr>
          <w:rFonts w:ascii="Palatino Linotype" w:hAnsi="Palatino Linotype"/>
        </w:rPr>
        <w:t>ed Columbia’s Amended Motion for Waiver</w:t>
      </w:r>
      <w:r w:rsidR="00893F11">
        <w:rPr>
          <w:rFonts w:ascii="Palatino Linotype" w:hAnsi="Palatino Linotype"/>
        </w:rPr>
        <w:t xml:space="preserve"> (“May 1 Entry)</w:t>
      </w:r>
      <w:r>
        <w:rPr>
          <w:rFonts w:ascii="Palatino Linotype" w:hAnsi="Palatino Linotype"/>
        </w:rPr>
        <w:t xml:space="preserve">. On May 7, 2012, the OCC, OPAE and the Ohio Farm Bureau Federation </w:t>
      </w:r>
      <w:r w:rsidR="003E4F37">
        <w:rPr>
          <w:rFonts w:ascii="Palatino Linotype" w:hAnsi="Palatino Linotype"/>
        </w:rPr>
        <w:t>(collectively referred to her</w:t>
      </w:r>
      <w:r w:rsidR="003E4F37">
        <w:rPr>
          <w:rFonts w:ascii="Palatino Linotype" w:hAnsi="Palatino Linotype"/>
        </w:rPr>
        <w:t>e</w:t>
      </w:r>
      <w:r w:rsidR="003E4F37">
        <w:rPr>
          <w:rFonts w:ascii="Palatino Linotype" w:hAnsi="Palatino Linotype"/>
        </w:rPr>
        <w:t xml:space="preserve">in as “Appellants”) </w:t>
      </w:r>
      <w:r>
        <w:rPr>
          <w:rFonts w:ascii="Palatino Linotype" w:hAnsi="Palatino Linotype"/>
        </w:rPr>
        <w:t>filed an Interlocutory Appeal, contesting the granting of C</w:t>
      </w:r>
      <w:r>
        <w:rPr>
          <w:rFonts w:ascii="Palatino Linotype" w:hAnsi="Palatino Linotype"/>
        </w:rPr>
        <w:t>o</w:t>
      </w:r>
      <w:r>
        <w:rPr>
          <w:rFonts w:ascii="Palatino Linotype" w:hAnsi="Palatino Linotype"/>
        </w:rPr>
        <w:t xml:space="preserve">lumbia’s Amended Motion for Waivers. </w:t>
      </w:r>
      <w:proofErr w:type="gramStart"/>
      <w:r w:rsidR="003E4F37">
        <w:rPr>
          <w:rFonts w:ascii="Palatino Linotype" w:hAnsi="Palatino Linotype"/>
        </w:rPr>
        <w:t>Pursuant to Ohio Admin.</w:t>
      </w:r>
      <w:proofErr w:type="gramEnd"/>
      <w:r w:rsidR="003E4F37">
        <w:rPr>
          <w:rFonts w:ascii="Palatino Linotype" w:hAnsi="Palatino Linotype"/>
        </w:rPr>
        <w:t xml:space="preserve"> Code § 4901-1-15(D), </w:t>
      </w:r>
      <w:r>
        <w:rPr>
          <w:rFonts w:ascii="Palatino Linotype" w:hAnsi="Palatino Linotype"/>
        </w:rPr>
        <w:t xml:space="preserve">Columbia files this </w:t>
      </w:r>
      <w:r w:rsidR="003E4F37">
        <w:rPr>
          <w:rFonts w:ascii="Palatino Linotype" w:hAnsi="Palatino Linotype"/>
        </w:rPr>
        <w:t>Memorandum Contra the Appellants’ Interlocutory Appeal.</w:t>
      </w:r>
    </w:p>
    <w:p w14:paraId="576F8F5B" w14:textId="77777777" w:rsidR="00B37D1D" w:rsidRDefault="00B37D1D" w:rsidP="00B37D1D">
      <w:pPr>
        <w:widowControl/>
        <w:spacing w:line="320" w:lineRule="exact"/>
        <w:jc w:val="both"/>
        <w:rPr>
          <w:rFonts w:ascii="Palatino Linotype" w:hAnsi="Palatino Linotype"/>
        </w:rPr>
      </w:pPr>
    </w:p>
    <w:p w14:paraId="6DDB7969" w14:textId="17CDABCE" w:rsidR="00B37D1D" w:rsidRPr="004A6A0D" w:rsidRDefault="00B37D1D" w:rsidP="00B37D1D">
      <w:pPr>
        <w:widowControl/>
        <w:spacing w:line="320" w:lineRule="exact"/>
        <w:jc w:val="both"/>
        <w:rPr>
          <w:rFonts w:ascii="Palatino Linotype" w:hAnsi="Palatino Linotype"/>
          <w:b/>
          <w:spacing w:val="-12"/>
        </w:rPr>
      </w:pPr>
      <w:r w:rsidRPr="004A6A0D">
        <w:rPr>
          <w:rFonts w:ascii="Palatino Linotype" w:hAnsi="Palatino Linotype"/>
          <w:b/>
          <w:spacing w:val="-12"/>
        </w:rPr>
        <w:t>THE STANDARD FOR INTERLOCUTORY APPEAL</w:t>
      </w:r>
    </w:p>
    <w:p w14:paraId="4844BEA6" w14:textId="77777777" w:rsidR="00B37D1D" w:rsidRDefault="00B37D1D" w:rsidP="00B37D1D">
      <w:pPr>
        <w:widowControl/>
        <w:spacing w:line="320" w:lineRule="exact"/>
        <w:jc w:val="both"/>
        <w:rPr>
          <w:rFonts w:ascii="Palatino Linotype" w:hAnsi="Palatino Linotype"/>
        </w:rPr>
      </w:pPr>
    </w:p>
    <w:p w14:paraId="7646F4AE" w14:textId="77777777" w:rsidR="009D539D" w:rsidRDefault="00B37D1D" w:rsidP="00B37D1D">
      <w:pPr>
        <w:widowControl/>
        <w:spacing w:line="320" w:lineRule="exact"/>
        <w:jc w:val="both"/>
        <w:rPr>
          <w:rFonts w:ascii="Palatino Linotype" w:hAnsi="Palatino Linotype"/>
        </w:rPr>
      </w:pPr>
      <w:r>
        <w:rPr>
          <w:rFonts w:ascii="Palatino Linotype" w:hAnsi="Palatino Linotype"/>
        </w:rPr>
        <w:tab/>
        <w:t xml:space="preserve">The Appellants </w:t>
      </w:r>
      <w:r w:rsidR="00BE40F1">
        <w:rPr>
          <w:rFonts w:ascii="Palatino Linotype" w:hAnsi="Palatino Linotype"/>
        </w:rPr>
        <w:t xml:space="preserve">are not able to </w:t>
      </w:r>
      <w:r>
        <w:rPr>
          <w:rFonts w:ascii="Palatino Linotype" w:hAnsi="Palatino Linotype"/>
        </w:rPr>
        <w:t>seek an immediate interlocutory appeal to the Commission under Ohio Admin. Code § 4901-1-15(</w:t>
      </w:r>
      <w:r w:rsidR="00BE40F1">
        <w:rPr>
          <w:rFonts w:ascii="Palatino Linotype" w:hAnsi="Palatino Linotype"/>
        </w:rPr>
        <w:t>A</w:t>
      </w:r>
      <w:r>
        <w:rPr>
          <w:rFonts w:ascii="Palatino Linotype" w:hAnsi="Palatino Linotype"/>
        </w:rPr>
        <w:t>)</w:t>
      </w:r>
      <w:r w:rsidR="00BE40F1">
        <w:rPr>
          <w:rFonts w:ascii="Palatino Linotype" w:hAnsi="Palatino Linotype"/>
        </w:rPr>
        <w:t>, and thus are</w:t>
      </w:r>
      <w:r>
        <w:rPr>
          <w:rFonts w:ascii="Palatino Linotype" w:hAnsi="Palatino Linotype"/>
        </w:rPr>
        <w:t xml:space="preserve"> </w:t>
      </w:r>
      <w:r w:rsidR="00BE40F1">
        <w:rPr>
          <w:rFonts w:ascii="Palatino Linotype" w:hAnsi="Palatino Linotype"/>
        </w:rPr>
        <w:t>reques</w:t>
      </w:r>
      <w:r w:rsidR="00BE40F1">
        <w:rPr>
          <w:rFonts w:ascii="Palatino Linotype" w:hAnsi="Palatino Linotype"/>
        </w:rPr>
        <w:t>t</w:t>
      </w:r>
      <w:r w:rsidR="00BE40F1">
        <w:rPr>
          <w:rFonts w:ascii="Palatino Linotype" w:hAnsi="Palatino Linotype"/>
        </w:rPr>
        <w:t>ing that the Legal Director or Attorney Examiner certify their interlocutory a</w:t>
      </w:r>
      <w:r w:rsidR="00BE40F1">
        <w:rPr>
          <w:rFonts w:ascii="Palatino Linotype" w:hAnsi="Palatino Linotype"/>
        </w:rPr>
        <w:t>p</w:t>
      </w:r>
      <w:r w:rsidR="00BE40F1">
        <w:rPr>
          <w:rFonts w:ascii="Palatino Linotype" w:hAnsi="Palatino Linotype"/>
        </w:rPr>
        <w:t xml:space="preserve">peal to the Commission under Ohio Admin. </w:t>
      </w:r>
      <w:proofErr w:type="gramStart"/>
      <w:r w:rsidR="00BE40F1">
        <w:rPr>
          <w:rFonts w:ascii="Palatino Linotype" w:hAnsi="Palatino Linotype"/>
        </w:rPr>
        <w:t>Code § 4901-1-15(B).</w:t>
      </w:r>
      <w:proofErr w:type="gramEnd"/>
    </w:p>
    <w:p w14:paraId="0F1D04BA" w14:textId="77777777" w:rsidR="009D539D" w:rsidRDefault="009D539D" w:rsidP="00B37D1D">
      <w:pPr>
        <w:widowControl/>
        <w:spacing w:line="320" w:lineRule="exact"/>
        <w:jc w:val="both"/>
        <w:rPr>
          <w:rFonts w:ascii="Palatino Linotype" w:hAnsi="Palatino Linotype"/>
        </w:rPr>
      </w:pPr>
    </w:p>
    <w:p w14:paraId="582208F1" w14:textId="1C383190" w:rsidR="009D539D" w:rsidRDefault="009D539D" w:rsidP="00B37D1D">
      <w:pPr>
        <w:widowControl/>
        <w:spacing w:line="320" w:lineRule="exact"/>
        <w:jc w:val="both"/>
        <w:rPr>
          <w:rFonts w:ascii="Palatino Linotype" w:hAnsi="Palatino Linotype"/>
          <w:lang w:val="en"/>
        </w:rPr>
      </w:pPr>
      <w:r>
        <w:rPr>
          <w:rFonts w:ascii="Palatino Linotype" w:hAnsi="Palatino Linotype"/>
        </w:rPr>
        <w:tab/>
      </w:r>
      <w:proofErr w:type="gramStart"/>
      <w:r>
        <w:rPr>
          <w:rFonts w:ascii="Palatino Linotype" w:hAnsi="Palatino Linotype"/>
        </w:rPr>
        <w:t>Ohio Admin.</w:t>
      </w:r>
      <w:proofErr w:type="gramEnd"/>
      <w:r>
        <w:rPr>
          <w:rFonts w:ascii="Palatino Linotype" w:hAnsi="Palatino Linotype"/>
        </w:rPr>
        <w:t xml:space="preserve"> Code § 4901-1-15(B) requires that a party meet two requir</w:t>
      </w:r>
      <w:r>
        <w:rPr>
          <w:rFonts w:ascii="Palatino Linotype" w:hAnsi="Palatino Linotype"/>
        </w:rPr>
        <w:t>e</w:t>
      </w:r>
      <w:r>
        <w:rPr>
          <w:rFonts w:ascii="Palatino Linotype" w:hAnsi="Palatino Linotype"/>
        </w:rPr>
        <w:t xml:space="preserve">ments in order to have an interlocutory appeal certified to the Commission. First, the party must demonstrate </w:t>
      </w:r>
      <w:r w:rsidRPr="009D539D">
        <w:rPr>
          <w:rFonts w:ascii="Palatino Linotype" w:hAnsi="Palatino Linotype"/>
          <w:lang w:val="en"/>
        </w:rPr>
        <w:t>that the appeal presents a new or novel question of interpretation, law, or policy, or is taken from a ruling which represents a depa</w:t>
      </w:r>
      <w:r w:rsidRPr="009D539D">
        <w:rPr>
          <w:rFonts w:ascii="Palatino Linotype" w:hAnsi="Palatino Linotype"/>
          <w:lang w:val="en"/>
        </w:rPr>
        <w:t>r</w:t>
      </w:r>
      <w:r w:rsidRPr="009D539D">
        <w:rPr>
          <w:rFonts w:ascii="Palatino Linotype" w:hAnsi="Palatino Linotype"/>
          <w:lang w:val="en"/>
        </w:rPr>
        <w:t>ture from past precedent</w:t>
      </w:r>
      <w:r>
        <w:rPr>
          <w:rFonts w:ascii="Palatino Linotype" w:hAnsi="Palatino Linotype"/>
          <w:lang w:val="en"/>
        </w:rPr>
        <w:t xml:space="preserve">. Second, the party must also demonstrate that </w:t>
      </w:r>
      <w:r w:rsidRPr="009D539D">
        <w:rPr>
          <w:rFonts w:ascii="Palatino Linotype" w:hAnsi="Palatino Linotype"/>
          <w:lang w:val="en"/>
        </w:rPr>
        <w:t>an i</w:t>
      </w:r>
      <w:r w:rsidRPr="009D539D">
        <w:rPr>
          <w:rFonts w:ascii="Palatino Linotype" w:hAnsi="Palatino Linotype"/>
          <w:lang w:val="en"/>
        </w:rPr>
        <w:t>m</w:t>
      </w:r>
      <w:r w:rsidRPr="009D539D">
        <w:rPr>
          <w:rFonts w:ascii="Palatino Linotype" w:hAnsi="Palatino Linotype"/>
          <w:lang w:val="en"/>
        </w:rPr>
        <w:t>mediate determination by the commission is needed to prevent the likelihood of undue prejudice or expense to one or more of the parties</w:t>
      </w:r>
      <w:r>
        <w:rPr>
          <w:rFonts w:ascii="Palatino Linotype" w:hAnsi="Palatino Linotype"/>
          <w:lang w:val="en"/>
        </w:rPr>
        <w:t>. The appealing party must satisfy both requirements</w:t>
      </w:r>
      <w:r w:rsidR="004562CE">
        <w:rPr>
          <w:rFonts w:ascii="Palatino Linotype" w:hAnsi="Palatino Linotype"/>
          <w:lang w:val="en"/>
        </w:rPr>
        <w:t xml:space="preserve"> in order to have an interlocutory appeal certified to the Commission</w:t>
      </w:r>
      <w:r>
        <w:rPr>
          <w:rFonts w:ascii="Palatino Linotype" w:hAnsi="Palatino Linotype"/>
          <w:lang w:val="en"/>
        </w:rPr>
        <w:t>.</w:t>
      </w:r>
      <w:r w:rsidR="00C37399" w:rsidRPr="00AE72B4">
        <w:rPr>
          <w:rStyle w:val="FootnoteReference"/>
          <w:rFonts w:ascii="Palatino Linotype" w:hAnsi="Palatino Linotype"/>
          <w:vertAlign w:val="superscript"/>
          <w:lang w:val="en"/>
        </w:rPr>
        <w:footnoteReference w:id="2"/>
      </w:r>
    </w:p>
    <w:p w14:paraId="674B071E" w14:textId="11A2E4A2" w:rsidR="009D539D" w:rsidRDefault="009D539D" w:rsidP="00B37D1D">
      <w:pPr>
        <w:widowControl/>
        <w:spacing w:line="320" w:lineRule="exact"/>
        <w:jc w:val="both"/>
        <w:rPr>
          <w:rFonts w:ascii="Palatino Linotype" w:hAnsi="Palatino Linotype"/>
        </w:rPr>
      </w:pPr>
    </w:p>
    <w:p w14:paraId="52517539" w14:textId="66D1B7A8" w:rsidR="00B37D1D" w:rsidRDefault="009D539D" w:rsidP="00AE72B4">
      <w:pPr>
        <w:widowControl/>
        <w:spacing w:line="320" w:lineRule="exact"/>
        <w:ind w:firstLine="720"/>
        <w:jc w:val="both"/>
        <w:rPr>
          <w:rFonts w:ascii="Palatino Linotype" w:hAnsi="Palatino Linotype"/>
        </w:rPr>
      </w:pPr>
      <w:r>
        <w:rPr>
          <w:rFonts w:ascii="Palatino Linotype" w:hAnsi="Palatino Linotype"/>
        </w:rPr>
        <w:t xml:space="preserve">For the reasons discussed below, the Appellants’ interlocutory appeal should not be certified to the Commission because the Appellants have failed to satisfy the standards required by Ohio Admin. </w:t>
      </w:r>
      <w:proofErr w:type="gramStart"/>
      <w:r>
        <w:rPr>
          <w:rFonts w:ascii="Palatino Linotype" w:hAnsi="Palatino Linotype"/>
        </w:rPr>
        <w:t>Code § 4901-1-15(</w:t>
      </w:r>
      <w:r w:rsidR="00E62DD0">
        <w:rPr>
          <w:rFonts w:ascii="Palatino Linotype" w:hAnsi="Palatino Linotype"/>
        </w:rPr>
        <w:t>B</w:t>
      </w:r>
      <w:r>
        <w:rPr>
          <w:rFonts w:ascii="Palatino Linotype" w:hAnsi="Palatino Linotype"/>
        </w:rPr>
        <w:t>)</w:t>
      </w:r>
      <w:r w:rsidR="00AE72B4">
        <w:rPr>
          <w:rFonts w:ascii="Palatino Linotype" w:hAnsi="Palatino Linotype"/>
        </w:rPr>
        <w:t>.</w:t>
      </w:r>
      <w:proofErr w:type="gramEnd"/>
    </w:p>
    <w:p w14:paraId="2462C9D1" w14:textId="223C256F" w:rsidR="00AE72B4" w:rsidRDefault="00AE72B4" w:rsidP="00AE72B4">
      <w:pPr>
        <w:widowControl/>
        <w:spacing w:line="320" w:lineRule="exact"/>
        <w:ind w:firstLine="720"/>
        <w:jc w:val="both"/>
        <w:rPr>
          <w:rFonts w:ascii="Palatino Linotype" w:hAnsi="Palatino Linotype"/>
        </w:rPr>
      </w:pPr>
    </w:p>
    <w:p w14:paraId="5DFA0738" w14:textId="5EE4A747" w:rsidR="004562CE" w:rsidRDefault="002D781E" w:rsidP="00247FAA">
      <w:pPr>
        <w:keepNext/>
        <w:keepLines/>
        <w:widowControl/>
        <w:spacing w:line="320" w:lineRule="exact"/>
        <w:ind w:left="720"/>
        <w:jc w:val="both"/>
        <w:rPr>
          <w:rFonts w:ascii="Palatino Linotype" w:hAnsi="Palatino Linotype"/>
          <w:b/>
        </w:rPr>
      </w:pPr>
      <w:r>
        <w:rPr>
          <w:rFonts w:ascii="Palatino Linotype" w:hAnsi="Palatino Linotype"/>
          <w:b/>
        </w:rPr>
        <w:lastRenderedPageBreak/>
        <w:t xml:space="preserve">First Requirement – </w:t>
      </w:r>
      <w:r w:rsidR="004562CE" w:rsidRPr="004562CE">
        <w:rPr>
          <w:rFonts w:ascii="Palatino Linotype" w:hAnsi="Palatino Linotype"/>
          <w:b/>
        </w:rPr>
        <w:t>The Appeal Does Not Present a New or Novel Question of Interpretation</w:t>
      </w:r>
      <w:r w:rsidR="001F6551">
        <w:rPr>
          <w:rFonts w:ascii="Palatino Linotype" w:hAnsi="Palatino Linotype"/>
          <w:b/>
        </w:rPr>
        <w:t>, Law or Policy</w:t>
      </w:r>
      <w:r w:rsidR="004562CE" w:rsidRPr="004562CE">
        <w:rPr>
          <w:rFonts w:ascii="Palatino Linotype" w:hAnsi="Palatino Linotype"/>
          <w:b/>
        </w:rPr>
        <w:t xml:space="preserve"> </w:t>
      </w:r>
      <w:proofErr w:type="gramStart"/>
      <w:r w:rsidR="004562CE" w:rsidRPr="004562CE">
        <w:rPr>
          <w:rFonts w:ascii="Palatino Linotype" w:hAnsi="Palatino Linotype"/>
          <w:b/>
        </w:rPr>
        <w:t>Nor</w:t>
      </w:r>
      <w:proofErr w:type="gramEnd"/>
      <w:r w:rsidR="004562CE" w:rsidRPr="004562CE">
        <w:rPr>
          <w:rFonts w:ascii="Palatino Linotype" w:hAnsi="Palatino Linotype"/>
          <w:b/>
        </w:rPr>
        <w:t xml:space="preserve"> Does it Represent a D</w:t>
      </w:r>
      <w:r w:rsidR="004562CE" w:rsidRPr="004562CE">
        <w:rPr>
          <w:rFonts w:ascii="Palatino Linotype" w:hAnsi="Palatino Linotype"/>
          <w:b/>
        </w:rPr>
        <w:t>e</w:t>
      </w:r>
      <w:r w:rsidR="004562CE" w:rsidRPr="004562CE">
        <w:rPr>
          <w:rFonts w:ascii="Palatino Linotype" w:hAnsi="Palatino Linotype"/>
          <w:b/>
        </w:rPr>
        <w:t>parture From Past Precedent</w:t>
      </w:r>
    </w:p>
    <w:p w14:paraId="04F23500" w14:textId="77777777" w:rsidR="002D781E" w:rsidRPr="004562CE" w:rsidRDefault="002D781E" w:rsidP="00247FAA">
      <w:pPr>
        <w:keepNext/>
        <w:keepLines/>
        <w:widowControl/>
        <w:spacing w:line="320" w:lineRule="exact"/>
        <w:ind w:left="720"/>
        <w:jc w:val="both"/>
        <w:rPr>
          <w:rFonts w:ascii="Palatino Linotype" w:hAnsi="Palatino Linotype"/>
          <w:b/>
        </w:rPr>
      </w:pPr>
    </w:p>
    <w:p w14:paraId="0A4F17F1" w14:textId="41A2C157" w:rsidR="001F6551" w:rsidRPr="001F6551" w:rsidRDefault="001F6551" w:rsidP="00247FAA">
      <w:pPr>
        <w:keepNext/>
        <w:keepLines/>
        <w:widowControl/>
        <w:spacing w:line="320" w:lineRule="exact"/>
        <w:ind w:left="1440"/>
        <w:jc w:val="both"/>
        <w:rPr>
          <w:rFonts w:ascii="Palatino Linotype" w:hAnsi="Palatino Linotype"/>
          <w:u w:val="single"/>
        </w:rPr>
      </w:pPr>
      <w:r w:rsidRPr="001F6551">
        <w:rPr>
          <w:rFonts w:ascii="Palatino Linotype" w:hAnsi="Palatino Linotype"/>
          <w:u w:val="single"/>
        </w:rPr>
        <w:t>The Appellants Have Failed to Demonstrate That Their Appeal Raises Any New or Novel Question of Interpretation, Law or Policy</w:t>
      </w:r>
    </w:p>
    <w:p w14:paraId="175626DC" w14:textId="77777777" w:rsidR="001F6551" w:rsidRDefault="001F6551" w:rsidP="00247FAA">
      <w:pPr>
        <w:keepNext/>
        <w:keepLines/>
        <w:widowControl/>
        <w:spacing w:line="320" w:lineRule="exact"/>
        <w:jc w:val="both"/>
        <w:rPr>
          <w:rFonts w:ascii="Palatino Linotype" w:hAnsi="Palatino Linotype"/>
        </w:rPr>
      </w:pPr>
    </w:p>
    <w:p w14:paraId="6E0BCB00" w14:textId="35267F5E" w:rsidR="008E3142" w:rsidRDefault="004562CE" w:rsidP="00247FAA">
      <w:pPr>
        <w:keepNext/>
        <w:keepLines/>
        <w:widowControl/>
        <w:spacing w:line="320" w:lineRule="exact"/>
        <w:jc w:val="both"/>
        <w:rPr>
          <w:rFonts w:ascii="Palatino Linotype" w:hAnsi="Palatino Linotype"/>
        </w:rPr>
      </w:pPr>
      <w:r>
        <w:rPr>
          <w:rFonts w:ascii="Palatino Linotype" w:hAnsi="Palatino Linotype"/>
        </w:rPr>
        <w:tab/>
        <w:t xml:space="preserve">The </w:t>
      </w:r>
      <w:r w:rsidR="0070541B">
        <w:rPr>
          <w:rFonts w:ascii="Palatino Linotype" w:hAnsi="Palatino Linotype"/>
        </w:rPr>
        <w:t xml:space="preserve">Appellants </w:t>
      </w:r>
      <w:r>
        <w:rPr>
          <w:rFonts w:ascii="Palatino Linotype" w:hAnsi="Palatino Linotype"/>
        </w:rPr>
        <w:t>claim that the 2008 Rate Case Stipulation requires Colu</w:t>
      </w:r>
      <w:r>
        <w:rPr>
          <w:rFonts w:ascii="Palatino Linotype" w:hAnsi="Palatino Linotype"/>
        </w:rPr>
        <w:t>m</w:t>
      </w:r>
      <w:r>
        <w:rPr>
          <w:rFonts w:ascii="Palatino Linotype" w:hAnsi="Palatino Linotype"/>
        </w:rPr>
        <w:t xml:space="preserve">bia to file a base rate case in order to extend Columbia’s IRP. The </w:t>
      </w:r>
      <w:r w:rsidR="0070541B">
        <w:rPr>
          <w:rFonts w:ascii="Palatino Linotype" w:hAnsi="Palatino Linotype"/>
        </w:rPr>
        <w:t xml:space="preserve">Appellants thus </w:t>
      </w:r>
      <w:r>
        <w:rPr>
          <w:rFonts w:ascii="Palatino Linotype" w:hAnsi="Palatino Linotype"/>
        </w:rPr>
        <w:t xml:space="preserve">characterize the </w:t>
      </w:r>
      <w:r w:rsidR="00893F11">
        <w:rPr>
          <w:rFonts w:ascii="Palatino Linotype" w:hAnsi="Palatino Linotype"/>
        </w:rPr>
        <w:t>May 1</w:t>
      </w:r>
      <w:r>
        <w:rPr>
          <w:rFonts w:ascii="Palatino Linotype" w:hAnsi="Palatino Linotype"/>
        </w:rPr>
        <w:t xml:space="preserve"> Entry as permitting “Columbia to escape base rate r</w:t>
      </w:r>
      <w:r>
        <w:rPr>
          <w:rFonts w:ascii="Palatino Linotype" w:hAnsi="Palatino Linotype"/>
        </w:rPr>
        <w:t>e</w:t>
      </w:r>
      <w:r>
        <w:rPr>
          <w:rFonts w:ascii="Palatino Linotype" w:hAnsi="Palatino Linotype"/>
        </w:rPr>
        <w:t xml:space="preserve">view,” and </w:t>
      </w:r>
      <w:r w:rsidR="0070541B">
        <w:rPr>
          <w:rFonts w:ascii="Palatino Linotype" w:hAnsi="Palatino Linotype"/>
        </w:rPr>
        <w:t xml:space="preserve">allege that </w:t>
      </w:r>
      <w:r>
        <w:rPr>
          <w:rFonts w:ascii="Palatino Linotype" w:hAnsi="Palatino Linotype"/>
        </w:rPr>
        <w:t xml:space="preserve">the </w:t>
      </w:r>
      <w:r w:rsidR="00893F11">
        <w:rPr>
          <w:rFonts w:ascii="Palatino Linotype" w:hAnsi="Palatino Linotype"/>
        </w:rPr>
        <w:t>May 1</w:t>
      </w:r>
      <w:r>
        <w:rPr>
          <w:rFonts w:ascii="Palatino Linotype" w:hAnsi="Palatino Linotype"/>
        </w:rPr>
        <w:t xml:space="preserve"> Entry’s “failure to address this new and novel question of law</w:t>
      </w:r>
      <w:r w:rsidR="001F6551">
        <w:rPr>
          <w:rFonts w:ascii="Palatino Linotype" w:hAnsi="Palatino Linotype"/>
        </w:rPr>
        <w:t xml:space="preserve"> and policy justifies certification of the interlocutory appeal.”</w:t>
      </w:r>
      <w:r w:rsidR="0070541B" w:rsidRPr="0070541B">
        <w:rPr>
          <w:rStyle w:val="FootnoteReference"/>
          <w:rFonts w:ascii="Palatino Linotype" w:hAnsi="Palatino Linotype"/>
          <w:vertAlign w:val="superscript"/>
        </w:rPr>
        <w:footnoteReference w:id="3"/>
      </w:r>
      <w:r w:rsidR="002D781E">
        <w:rPr>
          <w:rFonts w:ascii="Palatino Linotype" w:hAnsi="Palatino Linotype"/>
        </w:rPr>
        <w:t xml:space="preserve"> While the </w:t>
      </w:r>
      <w:r w:rsidR="0070541B">
        <w:rPr>
          <w:rFonts w:ascii="Palatino Linotype" w:hAnsi="Palatino Linotype"/>
        </w:rPr>
        <w:t>Appellants</w:t>
      </w:r>
      <w:r w:rsidR="002D781E">
        <w:rPr>
          <w:rFonts w:ascii="Palatino Linotype" w:hAnsi="Palatino Linotype"/>
        </w:rPr>
        <w:t xml:space="preserve"> may believe </w:t>
      </w:r>
      <w:r w:rsidR="0070541B">
        <w:rPr>
          <w:rFonts w:ascii="Palatino Linotype" w:hAnsi="Palatino Linotype"/>
        </w:rPr>
        <w:t>they</w:t>
      </w:r>
      <w:r w:rsidR="002D781E">
        <w:rPr>
          <w:rFonts w:ascii="Palatino Linotype" w:hAnsi="Palatino Linotype"/>
        </w:rPr>
        <w:t xml:space="preserve"> ha</w:t>
      </w:r>
      <w:r w:rsidR="0070541B">
        <w:rPr>
          <w:rFonts w:ascii="Palatino Linotype" w:hAnsi="Palatino Linotype"/>
        </w:rPr>
        <w:t>ve</w:t>
      </w:r>
      <w:r w:rsidR="002D781E">
        <w:rPr>
          <w:rFonts w:ascii="Palatino Linotype" w:hAnsi="Palatino Linotype"/>
        </w:rPr>
        <w:t xml:space="preserve"> raised </w:t>
      </w:r>
      <w:r w:rsidR="0070541B">
        <w:rPr>
          <w:rFonts w:ascii="Palatino Linotype" w:hAnsi="Palatino Linotype"/>
        </w:rPr>
        <w:t xml:space="preserve">a </w:t>
      </w:r>
      <w:r w:rsidR="002D781E">
        <w:rPr>
          <w:rFonts w:ascii="Palatino Linotype" w:hAnsi="Palatino Linotype"/>
        </w:rPr>
        <w:t xml:space="preserve">new and novel question of law and </w:t>
      </w:r>
      <w:proofErr w:type="gramStart"/>
      <w:r w:rsidR="002D781E">
        <w:rPr>
          <w:rFonts w:ascii="Palatino Linotype" w:hAnsi="Palatino Linotype"/>
        </w:rPr>
        <w:t>polic</w:t>
      </w:r>
      <w:r w:rsidR="0070541B">
        <w:rPr>
          <w:rFonts w:ascii="Palatino Linotype" w:hAnsi="Palatino Linotype"/>
        </w:rPr>
        <w:t>y, that</w:t>
      </w:r>
      <w:proofErr w:type="gramEnd"/>
      <w:r w:rsidR="0070541B">
        <w:rPr>
          <w:rFonts w:ascii="Palatino Linotype" w:hAnsi="Palatino Linotype"/>
        </w:rPr>
        <w:t xml:space="preserve"> is simply not the case.</w:t>
      </w:r>
    </w:p>
    <w:p w14:paraId="3F11C678" w14:textId="77777777" w:rsidR="0070541B" w:rsidRDefault="0070541B" w:rsidP="00D9153F">
      <w:pPr>
        <w:widowControl/>
        <w:spacing w:line="320" w:lineRule="exact"/>
        <w:jc w:val="both"/>
        <w:rPr>
          <w:rFonts w:ascii="Palatino Linotype" w:hAnsi="Palatino Linotype"/>
        </w:rPr>
      </w:pPr>
    </w:p>
    <w:p w14:paraId="27F7CDED" w14:textId="540062D7" w:rsidR="0070541B" w:rsidRDefault="0070541B" w:rsidP="00D9153F">
      <w:pPr>
        <w:widowControl/>
        <w:spacing w:line="320" w:lineRule="exact"/>
        <w:jc w:val="both"/>
        <w:rPr>
          <w:rFonts w:ascii="Palatino Linotype" w:hAnsi="Palatino Linotype"/>
        </w:rPr>
      </w:pPr>
      <w:r>
        <w:rPr>
          <w:rFonts w:ascii="Palatino Linotype" w:hAnsi="Palatino Linotype"/>
        </w:rPr>
        <w:tab/>
      </w:r>
      <w:r w:rsidR="00B96E23">
        <w:rPr>
          <w:rFonts w:ascii="Palatino Linotype" w:hAnsi="Palatino Linotype"/>
        </w:rPr>
        <w:t xml:space="preserve">The Appellants’ entire argument rests upon an interpretation of the 2008 Rate Case Stipulation that flies in the face of the plain meaning of that agreement. </w:t>
      </w:r>
      <w:r w:rsidR="00416C9F">
        <w:rPr>
          <w:rFonts w:ascii="Palatino Linotype" w:hAnsi="Palatino Linotype"/>
        </w:rPr>
        <w:t>A reading of the agreement demonstrates that there is no question of law or pol</w:t>
      </w:r>
      <w:r w:rsidR="00416C9F">
        <w:rPr>
          <w:rFonts w:ascii="Palatino Linotype" w:hAnsi="Palatino Linotype"/>
        </w:rPr>
        <w:t>i</w:t>
      </w:r>
      <w:r w:rsidR="00416C9F">
        <w:rPr>
          <w:rFonts w:ascii="Palatino Linotype" w:hAnsi="Palatino Linotype"/>
        </w:rPr>
        <w:t>cy, let alone a question that is new or novel.</w:t>
      </w:r>
    </w:p>
    <w:p w14:paraId="759F0BE5" w14:textId="77777777" w:rsidR="00416C9F" w:rsidRDefault="00416C9F" w:rsidP="00D9153F">
      <w:pPr>
        <w:widowControl/>
        <w:spacing w:line="320" w:lineRule="exact"/>
        <w:jc w:val="both"/>
        <w:rPr>
          <w:rFonts w:ascii="Palatino Linotype" w:hAnsi="Palatino Linotype"/>
        </w:rPr>
      </w:pPr>
    </w:p>
    <w:p w14:paraId="03CD9DF9" w14:textId="7D72316C" w:rsidR="00E44B39" w:rsidRDefault="001F69BB" w:rsidP="00D9153F">
      <w:pPr>
        <w:widowControl/>
        <w:spacing w:line="320" w:lineRule="exact"/>
        <w:jc w:val="both"/>
        <w:rPr>
          <w:rFonts w:ascii="Palatino Linotype" w:hAnsi="Palatino Linotype"/>
        </w:rPr>
      </w:pPr>
      <w:r>
        <w:rPr>
          <w:rFonts w:ascii="Palatino Linotype" w:hAnsi="Palatino Linotype"/>
        </w:rPr>
        <w:tab/>
        <w:t>The 2008 Rate Case Stipulation provides, in pertinent part:</w:t>
      </w:r>
    </w:p>
    <w:p w14:paraId="6A4F40B4" w14:textId="77777777" w:rsidR="001F69BB" w:rsidRDefault="001F69BB" w:rsidP="00D9153F">
      <w:pPr>
        <w:widowControl/>
        <w:spacing w:line="320" w:lineRule="exact"/>
        <w:jc w:val="both"/>
        <w:rPr>
          <w:rFonts w:ascii="Palatino Linotype" w:hAnsi="Palatino Linotype"/>
        </w:rPr>
      </w:pPr>
    </w:p>
    <w:p w14:paraId="57B5898B" w14:textId="77777777" w:rsidR="001F69BB" w:rsidRPr="00C77108" w:rsidRDefault="001F69BB" w:rsidP="001F69BB">
      <w:pPr>
        <w:widowControl/>
        <w:spacing w:line="320" w:lineRule="exact"/>
        <w:ind w:left="1440" w:right="720"/>
        <w:jc w:val="both"/>
        <w:rPr>
          <w:rFonts w:ascii="Palatino Linotype" w:hAnsi="Palatino Linotype"/>
        </w:rPr>
      </w:pPr>
      <w:r w:rsidRPr="00C77108">
        <w:rPr>
          <w:rFonts w:ascii="Palatino Linotype" w:hAnsi="Palatino Linotype"/>
          <w:bCs/>
        </w:rPr>
        <w:t>At the conclusion of the five-year period specified herein</w:t>
      </w:r>
      <w:r w:rsidRPr="00C77108">
        <w:rPr>
          <w:rFonts w:ascii="Palatino Linotype" w:hAnsi="Palatino Linotype"/>
        </w:rPr>
        <w:t xml:space="preserve">, </w:t>
      </w:r>
      <w:r w:rsidRPr="00C77108">
        <w:rPr>
          <w:rFonts w:ascii="Palatino Linotype" w:hAnsi="Palatino Linotype"/>
          <w:bCs/>
        </w:rPr>
        <w:t xml:space="preserve">Columbia must request that the Commission reauthorize Rider IRP in order to continue the mechanism beyond the five-year period. </w:t>
      </w:r>
      <w:r w:rsidRPr="00E81C40">
        <w:rPr>
          <w:rFonts w:ascii="Palatino Linotype" w:hAnsi="Palatino Linotype"/>
          <w:bCs/>
          <w:i/>
        </w:rPr>
        <w:t>That request for reauthorization must be made as part of an application for an increase in rates pursuant to Se</w:t>
      </w:r>
      <w:r w:rsidRPr="00E81C40">
        <w:rPr>
          <w:rFonts w:ascii="Palatino Linotype" w:hAnsi="Palatino Linotype"/>
          <w:bCs/>
          <w:i/>
        </w:rPr>
        <w:t>c</w:t>
      </w:r>
      <w:r w:rsidRPr="00E81C40">
        <w:rPr>
          <w:rFonts w:ascii="Palatino Linotype" w:hAnsi="Palatino Linotype"/>
          <w:bCs/>
          <w:i/>
        </w:rPr>
        <w:t xml:space="preserve">tion 4909.18, Revised Code, </w:t>
      </w:r>
      <w:r w:rsidRPr="00E81C40">
        <w:rPr>
          <w:rFonts w:ascii="Palatino Linotype" w:hAnsi="Palatino Linotype"/>
          <w:b/>
          <w:bCs/>
          <w:i/>
        </w:rPr>
        <w:t>or</w:t>
      </w:r>
      <w:r w:rsidRPr="00E81C40">
        <w:rPr>
          <w:rFonts w:ascii="Palatino Linotype" w:hAnsi="Palatino Linotype"/>
          <w:bCs/>
          <w:i/>
        </w:rPr>
        <w:t xml:space="preserve"> Columbia's filing for an alternative method of regulation pursuant to Section 4929.05, Revised Code</w:t>
      </w:r>
      <w:r w:rsidRPr="00C77108">
        <w:rPr>
          <w:rFonts w:ascii="Palatino Linotype" w:hAnsi="Palatino Linotype"/>
        </w:rPr>
        <w:t>, and shall include all applicable due process protections.</w:t>
      </w:r>
      <w:r w:rsidRPr="00C77108">
        <w:rPr>
          <w:rStyle w:val="FootnoteReference"/>
          <w:rFonts w:ascii="Palatino Linotype" w:hAnsi="Palatino Linotype"/>
          <w:vertAlign w:val="superscript"/>
        </w:rPr>
        <w:footnoteReference w:id="4"/>
      </w:r>
    </w:p>
    <w:p w14:paraId="6A6A767B" w14:textId="77777777" w:rsidR="001F69BB" w:rsidRDefault="001F69BB" w:rsidP="001F69BB">
      <w:pPr>
        <w:widowControl/>
        <w:spacing w:line="320" w:lineRule="exact"/>
        <w:ind w:firstLine="720"/>
        <w:jc w:val="both"/>
        <w:rPr>
          <w:rFonts w:ascii="Palatino Linotype" w:hAnsi="Palatino Linotype"/>
        </w:rPr>
      </w:pPr>
    </w:p>
    <w:p w14:paraId="20DEFBFD" w14:textId="5DA822DC" w:rsidR="001F69BB" w:rsidRDefault="001F69BB" w:rsidP="00D9153F">
      <w:pPr>
        <w:widowControl/>
        <w:spacing w:line="320" w:lineRule="exact"/>
        <w:jc w:val="both"/>
        <w:rPr>
          <w:rFonts w:ascii="Palatino Linotype" w:hAnsi="Palatino Linotype"/>
        </w:rPr>
      </w:pPr>
      <w:r>
        <w:rPr>
          <w:rFonts w:ascii="Palatino Linotype" w:hAnsi="Palatino Linotype"/>
        </w:rPr>
        <w:t>The language is clear</w:t>
      </w:r>
      <w:r w:rsidR="00A5704C">
        <w:rPr>
          <w:rFonts w:ascii="Palatino Linotype" w:hAnsi="Palatino Linotype"/>
        </w:rPr>
        <w:t xml:space="preserve"> </w:t>
      </w:r>
      <w:r>
        <w:rPr>
          <w:rFonts w:ascii="Palatino Linotype" w:hAnsi="Palatino Linotype"/>
        </w:rPr>
        <w:t xml:space="preserve">– in order for Columbia to extend its IRP it must file a base rate case </w:t>
      </w:r>
      <w:r w:rsidRPr="001F69BB">
        <w:rPr>
          <w:rFonts w:ascii="Palatino Linotype" w:hAnsi="Palatino Linotype"/>
          <w:b/>
          <w:i/>
        </w:rPr>
        <w:t>or</w:t>
      </w:r>
      <w:r>
        <w:rPr>
          <w:rFonts w:ascii="Palatino Linotype" w:hAnsi="Palatino Linotype"/>
        </w:rPr>
        <w:t xml:space="preserve"> </w:t>
      </w:r>
      <w:r w:rsidR="00A5704C">
        <w:rPr>
          <w:rFonts w:ascii="Palatino Linotype" w:hAnsi="Palatino Linotype"/>
        </w:rPr>
        <w:t xml:space="preserve">it must pursue </w:t>
      </w:r>
      <w:r>
        <w:rPr>
          <w:rFonts w:ascii="Palatino Linotype" w:hAnsi="Palatino Linotype"/>
        </w:rPr>
        <w:t>an alternative regulation</w:t>
      </w:r>
      <w:r w:rsidR="00A5704C">
        <w:rPr>
          <w:rFonts w:ascii="Palatino Linotype" w:hAnsi="Palatino Linotype"/>
        </w:rPr>
        <w:t xml:space="preserve"> proceeding</w:t>
      </w:r>
      <w:r>
        <w:rPr>
          <w:rFonts w:ascii="Palatino Linotype" w:hAnsi="Palatino Linotype"/>
        </w:rPr>
        <w:t>. There is nothing unclear about the word “or” and interpretation of the word is not novel and it is not new.</w:t>
      </w:r>
      <w:r w:rsidR="0052269C">
        <w:rPr>
          <w:rFonts w:ascii="Palatino Linotype" w:hAnsi="Palatino Linotype"/>
        </w:rPr>
        <w:t xml:space="preserve"> Contrary to the Appellants’ assertion, the </w:t>
      </w:r>
      <w:r w:rsidR="00893F11">
        <w:rPr>
          <w:rFonts w:ascii="Palatino Linotype" w:hAnsi="Palatino Linotype"/>
        </w:rPr>
        <w:t>May 1</w:t>
      </w:r>
      <w:r w:rsidR="0052269C">
        <w:rPr>
          <w:rFonts w:ascii="Palatino Linotype" w:hAnsi="Palatino Linotype"/>
        </w:rPr>
        <w:t xml:space="preserve"> Entry did not permit Columbia to “escape base rate review” because the plain meaning of the Stipul</w:t>
      </w:r>
      <w:r w:rsidR="0052269C">
        <w:rPr>
          <w:rFonts w:ascii="Palatino Linotype" w:hAnsi="Palatino Linotype"/>
        </w:rPr>
        <w:t>a</w:t>
      </w:r>
      <w:r w:rsidR="0052269C">
        <w:rPr>
          <w:rFonts w:ascii="Palatino Linotype" w:hAnsi="Palatino Linotype"/>
        </w:rPr>
        <w:lastRenderedPageBreak/>
        <w:t>tion language did not require the filing of a base rate case in order to extend C</w:t>
      </w:r>
      <w:r w:rsidR="0052269C">
        <w:rPr>
          <w:rFonts w:ascii="Palatino Linotype" w:hAnsi="Palatino Linotype"/>
        </w:rPr>
        <w:t>o</w:t>
      </w:r>
      <w:r w:rsidR="0052269C">
        <w:rPr>
          <w:rFonts w:ascii="Palatino Linotype" w:hAnsi="Palatino Linotype"/>
        </w:rPr>
        <w:t>lumbia’s IRP.</w:t>
      </w:r>
      <w:r w:rsidR="00C37486">
        <w:rPr>
          <w:rFonts w:ascii="Palatino Linotype" w:hAnsi="Palatino Linotype"/>
        </w:rPr>
        <w:t xml:space="preserve"> It follows that because there was no avoidance of a required base rate case, there is no issue of interpretation, law or policy, let alone an issue that is new or novel.</w:t>
      </w:r>
    </w:p>
    <w:p w14:paraId="77DBAC44" w14:textId="77777777" w:rsidR="00416C9F" w:rsidRDefault="00416C9F" w:rsidP="00D9153F">
      <w:pPr>
        <w:widowControl/>
        <w:spacing w:line="320" w:lineRule="exact"/>
        <w:jc w:val="both"/>
        <w:rPr>
          <w:rFonts w:ascii="Palatino Linotype" w:hAnsi="Palatino Linotype"/>
        </w:rPr>
      </w:pPr>
    </w:p>
    <w:p w14:paraId="6E898F89" w14:textId="20BAAF1E" w:rsidR="00C37486" w:rsidRPr="00C37486" w:rsidRDefault="00C37486" w:rsidP="00C37486">
      <w:pPr>
        <w:widowControl/>
        <w:spacing w:line="320" w:lineRule="exact"/>
        <w:ind w:left="1440"/>
        <w:jc w:val="both"/>
        <w:rPr>
          <w:rFonts w:ascii="Palatino Linotype" w:hAnsi="Palatino Linotype"/>
          <w:u w:val="single"/>
        </w:rPr>
      </w:pPr>
      <w:r w:rsidRPr="00C37486">
        <w:rPr>
          <w:rFonts w:ascii="Palatino Linotype" w:hAnsi="Palatino Linotype"/>
          <w:u w:val="single"/>
        </w:rPr>
        <w:t xml:space="preserve">The Appellants Have Failed to Demonstrate That the </w:t>
      </w:r>
      <w:r w:rsidR="00893F11">
        <w:rPr>
          <w:rFonts w:ascii="Palatino Linotype" w:hAnsi="Palatino Linotype"/>
          <w:u w:val="single"/>
        </w:rPr>
        <w:t>May 1</w:t>
      </w:r>
      <w:r w:rsidRPr="00C37486">
        <w:rPr>
          <w:rFonts w:ascii="Palatino Linotype" w:hAnsi="Palatino Linotype"/>
          <w:u w:val="single"/>
        </w:rPr>
        <w:t xml:space="preserve"> Entry Represents a Departure </w:t>
      </w:r>
      <w:proofErr w:type="gramStart"/>
      <w:r w:rsidRPr="00C37486">
        <w:rPr>
          <w:rFonts w:ascii="Palatino Linotype" w:hAnsi="Palatino Linotype"/>
          <w:u w:val="single"/>
        </w:rPr>
        <w:t>From</w:t>
      </w:r>
      <w:proofErr w:type="gramEnd"/>
      <w:r w:rsidRPr="00C37486">
        <w:rPr>
          <w:rFonts w:ascii="Palatino Linotype" w:hAnsi="Palatino Linotype"/>
          <w:u w:val="single"/>
        </w:rPr>
        <w:t xml:space="preserve"> Past Precedent</w:t>
      </w:r>
    </w:p>
    <w:p w14:paraId="5D643D63" w14:textId="77777777" w:rsidR="00C37486" w:rsidRDefault="00C37486" w:rsidP="00C37486">
      <w:pPr>
        <w:widowControl/>
        <w:spacing w:line="320" w:lineRule="exact"/>
        <w:jc w:val="both"/>
        <w:rPr>
          <w:rFonts w:ascii="Palatino Linotype" w:hAnsi="Palatino Linotype"/>
        </w:rPr>
      </w:pPr>
    </w:p>
    <w:p w14:paraId="24CE9C99" w14:textId="0E0E0360" w:rsidR="00B355AA" w:rsidRDefault="004C1127" w:rsidP="00D9153F">
      <w:pPr>
        <w:widowControl/>
        <w:spacing w:line="320" w:lineRule="exact"/>
        <w:jc w:val="both"/>
        <w:rPr>
          <w:rFonts w:ascii="Palatino Linotype" w:hAnsi="Palatino Linotype"/>
        </w:rPr>
      </w:pPr>
      <w:r>
        <w:rPr>
          <w:rFonts w:ascii="Palatino Linotype" w:hAnsi="Palatino Linotype"/>
        </w:rPr>
        <w:tab/>
        <w:t xml:space="preserve">The Appellants </w:t>
      </w:r>
      <w:r w:rsidR="00B355AA">
        <w:rPr>
          <w:rFonts w:ascii="Palatino Linotype" w:hAnsi="Palatino Linotype"/>
        </w:rPr>
        <w:t>note that the Supreme Court of Ohio has held that the Commission can modify a previously approved stipulation only upon a showing of changed circumstances. The Appellants then characterize the passage of HB 95 as the changed circumstances that the Attorney Examiner relied upon to circu</w:t>
      </w:r>
      <w:r w:rsidR="00B355AA">
        <w:rPr>
          <w:rFonts w:ascii="Palatino Linotype" w:hAnsi="Palatino Linotype"/>
        </w:rPr>
        <w:t>m</w:t>
      </w:r>
      <w:r w:rsidR="00B355AA">
        <w:rPr>
          <w:rFonts w:ascii="Palatino Linotype" w:hAnsi="Palatino Linotype"/>
        </w:rPr>
        <w:t>vent the 2008 Rate Case Stipulation.</w:t>
      </w:r>
      <w:r w:rsidR="00B355AA" w:rsidRPr="004C1127">
        <w:rPr>
          <w:rStyle w:val="FootnoteReference"/>
          <w:rFonts w:ascii="Palatino Linotype" w:hAnsi="Palatino Linotype"/>
          <w:vertAlign w:val="superscript"/>
        </w:rPr>
        <w:footnoteReference w:id="5"/>
      </w:r>
    </w:p>
    <w:p w14:paraId="1675D12A" w14:textId="77777777" w:rsidR="00B355AA" w:rsidRDefault="00B355AA" w:rsidP="00D9153F">
      <w:pPr>
        <w:widowControl/>
        <w:spacing w:line="320" w:lineRule="exact"/>
        <w:jc w:val="both"/>
        <w:rPr>
          <w:rFonts w:ascii="Palatino Linotype" w:hAnsi="Palatino Linotype"/>
        </w:rPr>
      </w:pPr>
    </w:p>
    <w:p w14:paraId="2E546D43" w14:textId="18B86AC2" w:rsidR="00C37486" w:rsidRDefault="00B355AA" w:rsidP="00B355AA">
      <w:pPr>
        <w:widowControl/>
        <w:spacing w:line="320" w:lineRule="exact"/>
        <w:ind w:firstLine="720"/>
        <w:jc w:val="both"/>
        <w:rPr>
          <w:rFonts w:ascii="Palatino Linotype" w:hAnsi="Palatino Linotype"/>
        </w:rPr>
      </w:pPr>
      <w:r>
        <w:rPr>
          <w:rFonts w:ascii="Palatino Linotype" w:hAnsi="Palatino Linotype"/>
        </w:rPr>
        <w:t xml:space="preserve">The precedent cited by the Appellants is inapplicable. As explained earlier herein, the </w:t>
      </w:r>
      <w:r w:rsidR="00893F11">
        <w:rPr>
          <w:rFonts w:ascii="Palatino Linotype" w:hAnsi="Palatino Linotype"/>
        </w:rPr>
        <w:t>May 1</w:t>
      </w:r>
      <w:r>
        <w:rPr>
          <w:rFonts w:ascii="Palatino Linotype" w:hAnsi="Palatino Linotype"/>
        </w:rPr>
        <w:t xml:space="preserve"> Entry is consistent with the 2008 Rate Case Stipulation and did nothing to modify that agreement. </w:t>
      </w:r>
      <w:r w:rsidR="0003770B">
        <w:rPr>
          <w:rFonts w:ascii="Palatino Linotype" w:hAnsi="Palatino Linotype"/>
        </w:rPr>
        <w:t xml:space="preserve">The Appellants have mischaracterized the </w:t>
      </w:r>
      <w:r w:rsidR="00893F11">
        <w:rPr>
          <w:rFonts w:ascii="Palatino Linotype" w:hAnsi="Palatino Linotype"/>
        </w:rPr>
        <w:t>May 1</w:t>
      </w:r>
      <w:r w:rsidR="0003770B">
        <w:rPr>
          <w:rFonts w:ascii="Palatino Linotype" w:hAnsi="Palatino Linotype"/>
        </w:rPr>
        <w:t xml:space="preserve"> Entry to the extent that they suggest that the Attorney Examiner rel</w:t>
      </w:r>
      <w:r w:rsidR="003C6947">
        <w:rPr>
          <w:rFonts w:ascii="Palatino Linotype" w:hAnsi="Palatino Linotype"/>
        </w:rPr>
        <w:t>ied</w:t>
      </w:r>
      <w:r w:rsidR="0003770B">
        <w:rPr>
          <w:rFonts w:ascii="Palatino Linotype" w:hAnsi="Palatino Linotype"/>
        </w:rPr>
        <w:t xml:space="preserve"> upon legislative changes as a reason for modifying the agreement.</w:t>
      </w:r>
      <w:r>
        <w:rPr>
          <w:rFonts w:ascii="Palatino Linotype" w:hAnsi="Palatino Linotype"/>
        </w:rPr>
        <w:t xml:space="preserve"> </w:t>
      </w:r>
      <w:r w:rsidR="0003770B">
        <w:rPr>
          <w:rFonts w:ascii="Palatino Linotype" w:hAnsi="Palatino Linotype"/>
        </w:rPr>
        <w:t>T</w:t>
      </w:r>
      <w:r>
        <w:rPr>
          <w:rFonts w:ascii="Palatino Linotype" w:hAnsi="Palatino Linotype"/>
        </w:rPr>
        <w:t xml:space="preserve">here is no </w:t>
      </w:r>
      <w:r w:rsidR="0003770B">
        <w:rPr>
          <w:rFonts w:ascii="Palatino Linotype" w:hAnsi="Palatino Linotype"/>
        </w:rPr>
        <w:t xml:space="preserve">modification of the 2008 Rate Case </w:t>
      </w:r>
      <w:proofErr w:type="gramStart"/>
      <w:r w:rsidR="0003770B">
        <w:rPr>
          <w:rFonts w:ascii="Palatino Linotype" w:hAnsi="Palatino Linotype"/>
        </w:rPr>
        <w:t>Stipulation,</w:t>
      </w:r>
      <w:proofErr w:type="gramEnd"/>
      <w:r w:rsidR="0003770B">
        <w:rPr>
          <w:rFonts w:ascii="Palatino Linotype" w:hAnsi="Palatino Linotype"/>
        </w:rPr>
        <w:t xml:space="preserve"> and thus no </w:t>
      </w:r>
      <w:r>
        <w:rPr>
          <w:rFonts w:ascii="Palatino Linotype" w:hAnsi="Palatino Linotype"/>
        </w:rPr>
        <w:t>departure from the precedent cited by the Appellants.</w:t>
      </w:r>
      <w:r w:rsidR="0003770B" w:rsidRPr="0003770B">
        <w:rPr>
          <w:rStyle w:val="FootnoteReference"/>
          <w:rFonts w:ascii="Palatino Linotype" w:hAnsi="Palatino Linotype"/>
          <w:vertAlign w:val="superscript"/>
        </w:rPr>
        <w:footnoteReference w:id="6"/>
      </w:r>
    </w:p>
    <w:p w14:paraId="260C2C12" w14:textId="77777777" w:rsidR="003B74A8" w:rsidRDefault="003B74A8" w:rsidP="00D9153F">
      <w:pPr>
        <w:widowControl/>
        <w:spacing w:line="320" w:lineRule="exact"/>
        <w:jc w:val="both"/>
        <w:rPr>
          <w:rFonts w:ascii="Palatino Linotype" w:hAnsi="Palatino Linotype"/>
        </w:rPr>
      </w:pPr>
    </w:p>
    <w:p w14:paraId="409A3386" w14:textId="197E754F" w:rsidR="0003770B" w:rsidRPr="00B520C0" w:rsidRDefault="00B520C0" w:rsidP="00B520C0">
      <w:pPr>
        <w:widowControl/>
        <w:spacing w:line="320" w:lineRule="exact"/>
        <w:ind w:left="720"/>
        <w:jc w:val="both"/>
        <w:rPr>
          <w:rFonts w:ascii="Palatino Linotype" w:hAnsi="Palatino Linotype"/>
          <w:b/>
        </w:rPr>
      </w:pPr>
      <w:r w:rsidRPr="00B520C0">
        <w:rPr>
          <w:rFonts w:ascii="Palatino Linotype" w:hAnsi="Palatino Linotype"/>
          <w:b/>
        </w:rPr>
        <w:t xml:space="preserve">Second Requirement – the Appellants Have Failed to Demonstrate That an Immediate Determination is </w:t>
      </w:r>
      <w:proofErr w:type="gramStart"/>
      <w:r w:rsidRPr="00B520C0">
        <w:rPr>
          <w:rFonts w:ascii="Palatino Linotype" w:hAnsi="Palatino Linotype"/>
          <w:b/>
        </w:rPr>
        <w:t>Needed</w:t>
      </w:r>
      <w:proofErr w:type="gramEnd"/>
      <w:r w:rsidRPr="00B520C0">
        <w:rPr>
          <w:rFonts w:ascii="Palatino Linotype" w:hAnsi="Palatino Linotype"/>
          <w:b/>
        </w:rPr>
        <w:t xml:space="preserve"> to Prevent Prejudice or Expense</w:t>
      </w:r>
    </w:p>
    <w:p w14:paraId="76B771C5" w14:textId="77777777" w:rsidR="0003770B" w:rsidRDefault="0003770B" w:rsidP="00D9153F">
      <w:pPr>
        <w:widowControl/>
        <w:spacing w:line="320" w:lineRule="exact"/>
        <w:jc w:val="both"/>
        <w:rPr>
          <w:rFonts w:ascii="Palatino Linotype" w:hAnsi="Palatino Linotype"/>
        </w:rPr>
      </w:pPr>
    </w:p>
    <w:p w14:paraId="75D049EE" w14:textId="26FC0EB1" w:rsidR="00B520C0" w:rsidRDefault="008F3375" w:rsidP="00D9153F">
      <w:pPr>
        <w:widowControl/>
        <w:spacing w:line="320" w:lineRule="exact"/>
        <w:jc w:val="both"/>
        <w:rPr>
          <w:rFonts w:ascii="Palatino Linotype" w:hAnsi="Palatino Linotype"/>
        </w:rPr>
      </w:pPr>
      <w:r>
        <w:rPr>
          <w:rFonts w:ascii="Palatino Linotype" w:hAnsi="Palatino Linotype"/>
        </w:rPr>
        <w:tab/>
        <w:t>The Appellants’ sole claim of prejudice or expense is that Columbia pr</w:t>
      </w:r>
      <w:r>
        <w:rPr>
          <w:rFonts w:ascii="Palatino Linotype" w:hAnsi="Palatino Linotype"/>
        </w:rPr>
        <w:t>o</w:t>
      </w:r>
      <w:r>
        <w:rPr>
          <w:rFonts w:ascii="Palatino Linotype" w:hAnsi="Palatino Linotype"/>
        </w:rPr>
        <w:t>poses to collect IRP charges over the next five years “without the quid pro quo of the review of Columbia’s base rates that Consumer Advocates negotiated in the Rate Case Stipulation.”</w:t>
      </w:r>
      <w:r w:rsidRPr="008F3375">
        <w:rPr>
          <w:rStyle w:val="FootnoteReference"/>
          <w:rFonts w:ascii="Palatino Linotype" w:hAnsi="Palatino Linotype"/>
          <w:vertAlign w:val="superscript"/>
        </w:rPr>
        <w:footnoteReference w:id="7"/>
      </w:r>
    </w:p>
    <w:p w14:paraId="52B11F8E" w14:textId="77777777" w:rsidR="00B520C0" w:rsidRDefault="00B520C0" w:rsidP="00D9153F">
      <w:pPr>
        <w:widowControl/>
        <w:spacing w:line="320" w:lineRule="exact"/>
        <w:jc w:val="both"/>
        <w:rPr>
          <w:rFonts w:ascii="Palatino Linotype" w:hAnsi="Palatino Linotype"/>
        </w:rPr>
      </w:pPr>
    </w:p>
    <w:p w14:paraId="10BFC20C" w14:textId="398ADE58" w:rsidR="008F3375" w:rsidRPr="001F69BB" w:rsidRDefault="008F3375" w:rsidP="008F3375">
      <w:pPr>
        <w:widowControl/>
        <w:spacing w:line="320" w:lineRule="exact"/>
        <w:jc w:val="both"/>
        <w:rPr>
          <w:rFonts w:ascii="Palatino Linotype" w:hAnsi="Palatino Linotype"/>
        </w:rPr>
      </w:pPr>
      <w:r>
        <w:rPr>
          <w:rFonts w:ascii="Palatino Linotype" w:hAnsi="Palatino Linotype"/>
        </w:rPr>
        <w:tab/>
        <w:t>Again, this argument rests upon the assumption the 2008 Rate Case Stip</w:t>
      </w:r>
      <w:r>
        <w:rPr>
          <w:rFonts w:ascii="Palatino Linotype" w:hAnsi="Palatino Linotype"/>
        </w:rPr>
        <w:t>u</w:t>
      </w:r>
      <w:r>
        <w:rPr>
          <w:rFonts w:ascii="Palatino Linotype" w:hAnsi="Palatino Linotype"/>
        </w:rPr>
        <w:t xml:space="preserve">lation required Columbia to file a rate case in order to extend its IRP beyond the initial five-year term. As discussed in the preceding sections of this pleading, the 2008 Rate Case Stipulation does not require the filing of base rate case in order to </w:t>
      </w:r>
      <w:r>
        <w:rPr>
          <w:rFonts w:ascii="Palatino Linotype" w:hAnsi="Palatino Linotype"/>
        </w:rPr>
        <w:lastRenderedPageBreak/>
        <w:t xml:space="preserve">extend the IRP. </w:t>
      </w:r>
      <w:r w:rsidRPr="001F69BB">
        <w:rPr>
          <w:rFonts w:ascii="Palatino Linotype" w:hAnsi="Palatino Linotype"/>
        </w:rPr>
        <w:t>The stipulation contains no requirement for a review of base rates in conjunction with an extension of the IRP, and if this was, in fact, so i</w:t>
      </w:r>
      <w:r w:rsidRPr="001F69BB">
        <w:rPr>
          <w:rFonts w:ascii="Palatino Linotype" w:hAnsi="Palatino Linotype"/>
        </w:rPr>
        <w:t>m</w:t>
      </w:r>
      <w:r w:rsidRPr="001F69BB">
        <w:rPr>
          <w:rFonts w:ascii="Palatino Linotype" w:hAnsi="Palatino Linotype"/>
        </w:rPr>
        <w:t xml:space="preserve">portant to the </w:t>
      </w:r>
      <w:r>
        <w:rPr>
          <w:rFonts w:ascii="Palatino Linotype" w:hAnsi="Palatino Linotype"/>
        </w:rPr>
        <w:t>Appellants</w:t>
      </w:r>
      <w:r w:rsidRPr="001F69BB">
        <w:rPr>
          <w:rFonts w:ascii="Palatino Linotype" w:hAnsi="Palatino Linotype"/>
        </w:rPr>
        <w:t xml:space="preserve"> the</w:t>
      </w:r>
      <w:r>
        <w:rPr>
          <w:rFonts w:ascii="Palatino Linotype" w:hAnsi="Palatino Linotype"/>
        </w:rPr>
        <w:t>y</w:t>
      </w:r>
      <w:r w:rsidRPr="001F69BB">
        <w:rPr>
          <w:rFonts w:ascii="Palatino Linotype" w:hAnsi="Palatino Linotype"/>
        </w:rPr>
        <w:t xml:space="preserve"> should have insisted upon language that clearly required a base rate review as a condition of extension of Columbia’s IRP.</w:t>
      </w:r>
    </w:p>
    <w:p w14:paraId="2783F195" w14:textId="77777777" w:rsidR="008F3375" w:rsidRPr="001F69BB" w:rsidRDefault="008F3375" w:rsidP="008F3375">
      <w:pPr>
        <w:widowControl/>
        <w:spacing w:line="320" w:lineRule="exact"/>
        <w:jc w:val="both"/>
        <w:rPr>
          <w:rFonts w:ascii="Palatino Linotype" w:hAnsi="Palatino Linotype"/>
        </w:rPr>
      </w:pPr>
    </w:p>
    <w:p w14:paraId="65F39F7D" w14:textId="7B642C87" w:rsidR="008F3375" w:rsidRDefault="004B7757" w:rsidP="00A5704C">
      <w:pPr>
        <w:widowControl/>
        <w:spacing w:line="320" w:lineRule="exact"/>
        <w:ind w:firstLine="720"/>
        <w:jc w:val="both"/>
        <w:rPr>
          <w:rFonts w:ascii="Palatino Linotype" w:hAnsi="Palatino Linotype"/>
        </w:rPr>
      </w:pPr>
      <w:r w:rsidRPr="001F69BB">
        <w:rPr>
          <w:rFonts w:ascii="Palatino Linotype" w:hAnsi="Palatino Linotype"/>
        </w:rPr>
        <w:t xml:space="preserve">To the contrary, the </w:t>
      </w:r>
      <w:r>
        <w:rPr>
          <w:rFonts w:ascii="Palatino Linotype" w:hAnsi="Palatino Linotype"/>
        </w:rPr>
        <w:t xml:space="preserve">2008 Rate Case Stipulation </w:t>
      </w:r>
      <w:r w:rsidRPr="001F69BB">
        <w:rPr>
          <w:rFonts w:ascii="Palatino Linotype" w:hAnsi="Palatino Linotype"/>
        </w:rPr>
        <w:t>language regarding co</w:t>
      </w:r>
      <w:r w:rsidRPr="001F69BB">
        <w:rPr>
          <w:rFonts w:ascii="Palatino Linotype" w:hAnsi="Palatino Linotype"/>
        </w:rPr>
        <w:t>n</w:t>
      </w:r>
      <w:r w:rsidRPr="001F69BB">
        <w:rPr>
          <w:rFonts w:ascii="Palatino Linotype" w:hAnsi="Palatino Linotype"/>
        </w:rPr>
        <w:t xml:space="preserve">tinuation of the IRP was carefully crafted by the parties to recognize that changes to </w:t>
      </w:r>
      <w:r>
        <w:rPr>
          <w:rFonts w:ascii="Palatino Linotype" w:hAnsi="Palatino Linotype"/>
        </w:rPr>
        <w:t xml:space="preserve">Ohio </w:t>
      </w:r>
      <w:r w:rsidRPr="001F69BB">
        <w:rPr>
          <w:rFonts w:ascii="Palatino Linotype" w:hAnsi="Palatino Linotype"/>
        </w:rPr>
        <w:t>Revised Code § 4929.05 permit</w:t>
      </w:r>
      <w:r w:rsidR="00911B6F">
        <w:rPr>
          <w:rFonts w:ascii="Palatino Linotype" w:hAnsi="Palatino Linotype"/>
        </w:rPr>
        <w:t>ted</w:t>
      </w:r>
      <w:r w:rsidRPr="001F69BB">
        <w:rPr>
          <w:rFonts w:ascii="Palatino Linotype" w:hAnsi="Palatino Linotype"/>
        </w:rPr>
        <w:t xml:space="preserve"> future alternative rate plan applic</w:t>
      </w:r>
      <w:r w:rsidRPr="001F69BB">
        <w:rPr>
          <w:rFonts w:ascii="Palatino Linotype" w:hAnsi="Palatino Linotype"/>
        </w:rPr>
        <w:t>a</w:t>
      </w:r>
      <w:r w:rsidRPr="001F69BB">
        <w:rPr>
          <w:rFonts w:ascii="Palatino Linotype" w:hAnsi="Palatino Linotype"/>
        </w:rPr>
        <w:t xml:space="preserve">tions to be filed without the necessity of filing base rate case applications. </w:t>
      </w:r>
      <w:r>
        <w:rPr>
          <w:rFonts w:ascii="Palatino Linotype" w:hAnsi="Palatino Linotype"/>
        </w:rPr>
        <w:t xml:space="preserve">Ohio </w:t>
      </w:r>
      <w:r w:rsidRPr="001F69BB">
        <w:rPr>
          <w:rFonts w:ascii="Palatino Linotype" w:hAnsi="Palatino Linotype"/>
        </w:rPr>
        <w:t xml:space="preserve">Revised Code § 4929.051 was enacted effective July 31, 2008, to permit the filing of alternative rate plan applications, under certain conditions, without the filing of a simultaneous rate case. The </w:t>
      </w:r>
      <w:r>
        <w:rPr>
          <w:rFonts w:ascii="Palatino Linotype" w:hAnsi="Palatino Linotype"/>
        </w:rPr>
        <w:t xml:space="preserve">2008 Rate Case </w:t>
      </w:r>
      <w:r w:rsidRPr="001F69BB">
        <w:rPr>
          <w:rFonts w:ascii="Palatino Linotype" w:hAnsi="Palatino Linotype"/>
        </w:rPr>
        <w:t xml:space="preserve">Stipulation was not finalized and filed until October 24, 2008. The parties were aware of the enactment of </w:t>
      </w:r>
      <w:r w:rsidR="00911B6F">
        <w:rPr>
          <w:rFonts w:ascii="Palatino Linotype" w:hAnsi="Palatino Linotype"/>
        </w:rPr>
        <w:t>the rev</w:t>
      </w:r>
      <w:r w:rsidR="00911B6F">
        <w:rPr>
          <w:rFonts w:ascii="Palatino Linotype" w:hAnsi="Palatino Linotype"/>
        </w:rPr>
        <w:t>i</w:t>
      </w:r>
      <w:r w:rsidR="00911B6F">
        <w:rPr>
          <w:rFonts w:ascii="Palatino Linotype" w:hAnsi="Palatino Linotype"/>
        </w:rPr>
        <w:t xml:space="preserve">sions to </w:t>
      </w:r>
      <w:r>
        <w:rPr>
          <w:rFonts w:ascii="Palatino Linotype" w:hAnsi="Palatino Linotype"/>
        </w:rPr>
        <w:t xml:space="preserve">Ohio </w:t>
      </w:r>
      <w:r w:rsidRPr="001F69BB">
        <w:rPr>
          <w:rFonts w:ascii="Palatino Linotype" w:hAnsi="Palatino Linotype"/>
        </w:rPr>
        <w:t>Revised Code § 4929.051 and fully intended to provide an altern</w:t>
      </w:r>
      <w:r w:rsidRPr="001F69BB">
        <w:rPr>
          <w:rFonts w:ascii="Palatino Linotype" w:hAnsi="Palatino Linotype"/>
        </w:rPr>
        <w:t>a</w:t>
      </w:r>
      <w:r w:rsidRPr="001F69BB">
        <w:rPr>
          <w:rFonts w:ascii="Palatino Linotype" w:hAnsi="Palatino Linotype"/>
        </w:rPr>
        <w:t>tive to a rate case filing in order to continue Columbia’s IRP.</w:t>
      </w:r>
      <w:r>
        <w:rPr>
          <w:rFonts w:ascii="Palatino Linotype" w:hAnsi="Palatino Linotype"/>
        </w:rPr>
        <w:t xml:space="preserve"> Thus, when the A</w:t>
      </w:r>
      <w:r>
        <w:rPr>
          <w:rFonts w:ascii="Palatino Linotype" w:hAnsi="Palatino Linotype"/>
        </w:rPr>
        <w:t>p</w:t>
      </w:r>
      <w:r>
        <w:rPr>
          <w:rFonts w:ascii="Palatino Linotype" w:hAnsi="Palatino Linotype"/>
        </w:rPr>
        <w:t>pellants allege, “at the time Columbia signed the Rate Case Stipulation – prior to the passage of HB 95 – an alternative regulation application required the co</w:t>
      </w:r>
      <w:r>
        <w:rPr>
          <w:rFonts w:ascii="Palatino Linotype" w:hAnsi="Palatino Linotype"/>
        </w:rPr>
        <w:t>m</w:t>
      </w:r>
      <w:r>
        <w:rPr>
          <w:rFonts w:ascii="Palatino Linotype" w:hAnsi="Palatino Linotype"/>
        </w:rPr>
        <w:t>panion rate case filing”</w:t>
      </w:r>
      <w:r w:rsidRPr="0003770B">
        <w:rPr>
          <w:rStyle w:val="FootnoteReference"/>
          <w:rFonts w:ascii="Palatino Linotype" w:hAnsi="Palatino Linotype"/>
          <w:vertAlign w:val="superscript"/>
        </w:rPr>
        <w:footnoteReference w:id="8"/>
      </w:r>
      <w:r>
        <w:rPr>
          <w:rFonts w:ascii="Palatino Linotype" w:hAnsi="Palatino Linotype"/>
        </w:rPr>
        <w:t xml:space="preserve"> they are</w:t>
      </w:r>
      <w:r w:rsidR="00A5704C">
        <w:rPr>
          <w:rFonts w:ascii="Palatino Linotype" w:hAnsi="Palatino Linotype"/>
        </w:rPr>
        <w:t xml:space="preserve"> incorrect</w:t>
      </w:r>
      <w:r>
        <w:rPr>
          <w:rFonts w:ascii="Palatino Linotype" w:hAnsi="Palatino Linotype"/>
        </w:rPr>
        <w:t>.</w:t>
      </w:r>
      <w:r w:rsidR="00A5704C">
        <w:rPr>
          <w:rFonts w:ascii="Palatino Linotype" w:hAnsi="Palatino Linotype"/>
        </w:rPr>
        <w:t xml:space="preserve"> </w:t>
      </w:r>
      <w:r>
        <w:rPr>
          <w:rFonts w:ascii="Palatino Linotype" w:hAnsi="Palatino Linotype"/>
        </w:rPr>
        <w:t xml:space="preserve">The Appellant’s are not prejudiced because the </w:t>
      </w:r>
      <w:r w:rsidR="00893F11">
        <w:rPr>
          <w:rFonts w:ascii="Palatino Linotype" w:hAnsi="Palatino Linotype"/>
        </w:rPr>
        <w:t>May 1</w:t>
      </w:r>
      <w:r>
        <w:rPr>
          <w:rFonts w:ascii="Palatino Linotype" w:hAnsi="Palatino Linotype"/>
        </w:rPr>
        <w:t xml:space="preserve"> Entry is consistent with the 2008 Rate Case Stipulation that the Appellants signed.</w:t>
      </w:r>
    </w:p>
    <w:p w14:paraId="4E3A59F9" w14:textId="77777777" w:rsidR="008F3375" w:rsidRDefault="008F3375" w:rsidP="00D9153F">
      <w:pPr>
        <w:widowControl/>
        <w:spacing w:line="320" w:lineRule="exact"/>
        <w:jc w:val="both"/>
        <w:rPr>
          <w:rFonts w:ascii="Palatino Linotype" w:hAnsi="Palatino Linotype"/>
        </w:rPr>
      </w:pPr>
    </w:p>
    <w:p w14:paraId="2F9A7DF3" w14:textId="54AE863E" w:rsidR="008F3375" w:rsidRPr="004A6A0D" w:rsidRDefault="004A6A0D" w:rsidP="00D9153F">
      <w:pPr>
        <w:widowControl/>
        <w:spacing w:line="320" w:lineRule="exact"/>
        <w:jc w:val="both"/>
        <w:rPr>
          <w:rFonts w:ascii="Palatino Linotype" w:hAnsi="Palatino Linotype"/>
          <w:b/>
          <w:spacing w:val="-12"/>
        </w:rPr>
      </w:pPr>
      <w:r w:rsidRPr="004A6A0D">
        <w:rPr>
          <w:rFonts w:ascii="Palatino Linotype" w:hAnsi="Palatino Linotype"/>
          <w:b/>
          <w:spacing w:val="-12"/>
        </w:rPr>
        <w:t>CONCLUSION</w:t>
      </w:r>
    </w:p>
    <w:p w14:paraId="54DE9A9C" w14:textId="77777777" w:rsidR="008F3375" w:rsidRDefault="008F3375" w:rsidP="00D9153F">
      <w:pPr>
        <w:widowControl/>
        <w:spacing w:line="320" w:lineRule="exact"/>
        <w:jc w:val="both"/>
        <w:rPr>
          <w:rFonts w:ascii="Palatino Linotype" w:hAnsi="Palatino Linotype"/>
        </w:rPr>
      </w:pPr>
    </w:p>
    <w:p w14:paraId="7ADE2983" w14:textId="2B3E146F" w:rsidR="008F3375" w:rsidRDefault="004A6A0D" w:rsidP="00D9153F">
      <w:pPr>
        <w:widowControl/>
        <w:spacing w:line="320" w:lineRule="exact"/>
        <w:jc w:val="both"/>
        <w:rPr>
          <w:rFonts w:ascii="Palatino Linotype" w:hAnsi="Palatino Linotype"/>
        </w:rPr>
      </w:pPr>
      <w:r>
        <w:rPr>
          <w:rFonts w:ascii="Palatino Linotype" w:hAnsi="Palatino Linotype"/>
        </w:rPr>
        <w:tab/>
      </w:r>
      <w:r w:rsidR="009272C2">
        <w:rPr>
          <w:rFonts w:ascii="Palatino Linotype" w:hAnsi="Palatino Linotype"/>
        </w:rPr>
        <w:t>In order to have the interlocutory appeal certified to the Commission the Appellants must demonstrate that the appeal presents a new or novel question of interpretation, law or policy, or is taken from a ruling which represents a depa</w:t>
      </w:r>
      <w:r w:rsidR="009272C2">
        <w:rPr>
          <w:rFonts w:ascii="Palatino Linotype" w:hAnsi="Palatino Linotype"/>
        </w:rPr>
        <w:t>r</w:t>
      </w:r>
      <w:r w:rsidR="009272C2">
        <w:rPr>
          <w:rFonts w:ascii="Palatino Linotype" w:hAnsi="Palatino Linotype"/>
        </w:rPr>
        <w:t>ture from past precedent. The Appellants must also demonstrate that an imm</w:t>
      </w:r>
      <w:r w:rsidR="009272C2">
        <w:rPr>
          <w:rFonts w:ascii="Palatino Linotype" w:hAnsi="Palatino Linotype"/>
        </w:rPr>
        <w:t>e</w:t>
      </w:r>
      <w:r w:rsidR="009272C2">
        <w:rPr>
          <w:rFonts w:ascii="Palatino Linotype" w:hAnsi="Palatino Linotype"/>
        </w:rPr>
        <w:t>diate determination is needed from the Commission in order to prevent the lik</w:t>
      </w:r>
      <w:r w:rsidR="009272C2">
        <w:rPr>
          <w:rFonts w:ascii="Palatino Linotype" w:hAnsi="Palatino Linotype"/>
        </w:rPr>
        <w:t>e</w:t>
      </w:r>
      <w:r w:rsidR="009272C2">
        <w:rPr>
          <w:rFonts w:ascii="Palatino Linotype" w:hAnsi="Palatino Linotype"/>
        </w:rPr>
        <w:t xml:space="preserve">lihood of undue prejudice or expense. The Appellants have failed on all counts because the </w:t>
      </w:r>
      <w:r w:rsidR="00893F11">
        <w:rPr>
          <w:rFonts w:ascii="Palatino Linotype" w:hAnsi="Palatino Linotype"/>
        </w:rPr>
        <w:t>May 1</w:t>
      </w:r>
      <w:r w:rsidR="009272C2">
        <w:rPr>
          <w:rFonts w:ascii="Palatino Linotype" w:hAnsi="Palatino Linotype"/>
        </w:rPr>
        <w:t xml:space="preserve"> Entry is consistent with the 2008 Rate Case Stipulation. For the reasons explained herein, the interlocutory appeal should not be certified to the Commission.</w:t>
      </w:r>
    </w:p>
    <w:p w14:paraId="37EB7470" w14:textId="4D0D2317" w:rsidR="00A5704C" w:rsidRDefault="00A5704C">
      <w:pPr>
        <w:widowControl/>
        <w:autoSpaceDE/>
        <w:autoSpaceDN/>
        <w:adjustRightInd/>
        <w:rPr>
          <w:rFonts w:ascii="Palatino Linotype" w:hAnsi="Palatino Linotype"/>
        </w:rPr>
      </w:pPr>
      <w:r>
        <w:rPr>
          <w:rFonts w:ascii="Palatino Linotype" w:hAnsi="Palatino Linotype"/>
        </w:rPr>
        <w:br w:type="page"/>
      </w:r>
    </w:p>
    <w:p w14:paraId="0C080080" w14:textId="77777777" w:rsidR="008F3375" w:rsidRDefault="008F3375" w:rsidP="00D9153F">
      <w:pPr>
        <w:widowControl/>
        <w:spacing w:line="320" w:lineRule="exact"/>
        <w:jc w:val="both"/>
        <w:rPr>
          <w:rFonts w:ascii="Palatino Linotype" w:hAnsi="Palatino Linotype"/>
        </w:rPr>
      </w:pPr>
    </w:p>
    <w:p w14:paraId="6E0BCB01" w14:textId="77777777" w:rsidR="008E3142" w:rsidRPr="0095258C" w:rsidRDefault="008E3142" w:rsidP="006A04C8">
      <w:pPr>
        <w:widowControl/>
        <w:spacing w:line="320" w:lineRule="exact"/>
        <w:ind w:firstLine="3600"/>
        <w:jc w:val="both"/>
        <w:rPr>
          <w:rFonts w:ascii="Palatino Linotype" w:hAnsi="Palatino Linotype"/>
        </w:rPr>
      </w:pPr>
      <w:r w:rsidRPr="0095258C">
        <w:rPr>
          <w:rFonts w:ascii="Palatino Linotype" w:hAnsi="Palatino Linotype"/>
        </w:rPr>
        <w:t>Respectfully submitted,</w:t>
      </w:r>
    </w:p>
    <w:p w14:paraId="6E0BCB02" w14:textId="77777777" w:rsidR="008E3142" w:rsidRPr="0095258C" w:rsidRDefault="008E3142" w:rsidP="006A04C8">
      <w:pPr>
        <w:widowControl/>
        <w:spacing w:line="320" w:lineRule="exact"/>
        <w:ind w:firstLine="3600"/>
        <w:jc w:val="both"/>
        <w:rPr>
          <w:rFonts w:ascii="Palatino Linotype" w:hAnsi="Palatino Linotype"/>
        </w:rPr>
      </w:pPr>
    </w:p>
    <w:p w14:paraId="6E0BCB03" w14:textId="77777777" w:rsidR="008E3142" w:rsidRPr="00EE0B8A" w:rsidRDefault="008E3142" w:rsidP="006A04C8">
      <w:pPr>
        <w:widowControl/>
        <w:spacing w:line="320" w:lineRule="exact"/>
        <w:ind w:firstLine="3600"/>
        <w:jc w:val="both"/>
        <w:rPr>
          <w:rFonts w:ascii="Palatino Linotype" w:hAnsi="Palatino Linotype"/>
          <w:spacing w:val="-12"/>
        </w:rPr>
      </w:pPr>
      <w:r w:rsidRPr="00EE0B8A">
        <w:rPr>
          <w:rFonts w:ascii="Palatino Linotype" w:hAnsi="Palatino Linotype"/>
          <w:b/>
          <w:bCs/>
          <w:spacing w:val="-12"/>
        </w:rPr>
        <w:t>COLUMBIA GAS OF OHIO, INC.</w:t>
      </w:r>
    </w:p>
    <w:p w14:paraId="6E0BCB04" w14:textId="77777777" w:rsidR="008E3142" w:rsidRPr="0095258C" w:rsidRDefault="008E3142" w:rsidP="006A04C8">
      <w:pPr>
        <w:widowControl/>
        <w:spacing w:line="320" w:lineRule="exact"/>
        <w:ind w:firstLine="3600"/>
        <w:jc w:val="both"/>
        <w:rPr>
          <w:rFonts w:ascii="Palatino Linotype" w:hAnsi="Palatino Linotype"/>
        </w:rPr>
      </w:pPr>
    </w:p>
    <w:p w14:paraId="6E0BCB18" w14:textId="4899A2FF" w:rsidR="004E5BB7" w:rsidRPr="0095258C" w:rsidRDefault="00247FAA" w:rsidP="006A04C8">
      <w:pPr>
        <w:widowControl/>
        <w:tabs>
          <w:tab w:val="right" w:pos="8640"/>
        </w:tabs>
        <w:spacing w:line="320" w:lineRule="exact"/>
        <w:ind w:firstLine="3600"/>
        <w:jc w:val="both"/>
        <w:rPr>
          <w:rFonts w:ascii="Palatino Linotype" w:hAnsi="Palatino Linotype"/>
        </w:rPr>
      </w:pPr>
      <w:r>
        <w:rPr>
          <w:rFonts w:ascii="Palatino Linotype" w:hAnsi="Palatino Linotype"/>
          <w:u w:val="single"/>
        </w:rPr>
        <w:t>/s/ Stephen B. Seiple</w:t>
      </w:r>
      <w:r w:rsidR="001373FD">
        <w:rPr>
          <w:rFonts w:ascii="Palatino Linotype" w:hAnsi="Palatino Linotype"/>
          <w:u w:val="single"/>
        </w:rPr>
        <w:tab/>
      </w:r>
    </w:p>
    <w:p w14:paraId="6E0BCB19" w14:textId="77777777" w:rsidR="004E5BB7" w:rsidRPr="0095258C" w:rsidRDefault="004E5BB7" w:rsidP="006A04C8">
      <w:pPr>
        <w:widowControl/>
        <w:spacing w:line="320" w:lineRule="exact"/>
        <w:ind w:left="2880" w:firstLine="720"/>
        <w:jc w:val="both"/>
        <w:rPr>
          <w:rFonts w:ascii="Palatino Linotype" w:hAnsi="Palatino Linotype"/>
        </w:rPr>
      </w:pPr>
      <w:r w:rsidRPr="0095258C">
        <w:rPr>
          <w:rFonts w:ascii="Palatino Linotype" w:hAnsi="Palatino Linotype"/>
        </w:rPr>
        <w:t>S</w:t>
      </w:r>
      <w:r w:rsidR="009E0CAD" w:rsidRPr="0095258C">
        <w:rPr>
          <w:rFonts w:ascii="Palatino Linotype" w:hAnsi="Palatino Linotype"/>
        </w:rPr>
        <w:t>tephen B. Seiple (Counsel of Record</w:t>
      </w:r>
      <w:r w:rsidRPr="0095258C">
        <w:rPr>
          <w:rFonts w:ascii="Palatino Linotype" w:hAnsi="Palatino Linotype"/>
        </w:rPr>
        <w:t>)</w:t>
      </w:r>
    </w:p>
    <w:p w14:paraId="6E0BCB1A" w14:textId="77777777" w:rsidR="004E5BB7" w:rsidRPr="0095258C" w:rsidRDefault="004E5BB7" w:rsidP="006A04C8">
      <w:pPr>
        <w:widowControl/>
        <w:spacing w:line="320" w:lineRule="exact"/>
        <w:ind w:firstLine="3600"/>
        <w:jc w:val="both"/>
        <w:rPr>
          <w:rFonts w:ascii="Palatino Linotype" w:hAnsi="Palatino Linotype"/>
        </w:rPr>
      </w:pPr>
    </w:p>
    <w:p w14:paraId="6E0BCB1B" w14:textId="77777777" w:rsidR="004E5BB7" w:rsidRPr="0095258C" w:rsidRDefault="009E0CAD" w:rsidP="006A04C8">
      <w:pPr>
        <w:widowControl/>
        <w:spacing w:line="320" w:lineRule="exact"/>
        <w:ind w:firstLine="3600"/>
        <w:jc w:val="both"/>
        <w:rPr>
          <w:rFonts w:ascii="Palatino Linotype" w:hAnsi="Palatino Linotype"/>
        </w:rPr>
      </w:pPr>
      <w:r w:rsidRPr="0095258C">
        <w:rPr>
          <w:rFonts w:ascii="Palatino Linotype" w:hAnsi="Palatino Linotype"/>
        </w:rPr>
        <w:t>Stephen B. Seiple</w:t>
      </w:r>
      <w:r w:rsidR="004E5BB7" w:rsidRPr="0095258C">
        <w:rPr>
          <w:rFonts w:ascii="Palatino Linotype" w:hAnsi="Palatino Linotype"/>
        </w:rPr>
        <w:t>, Assistant General Counsel</w:t>
      </w:r>
    </w:p>
    <w:p w14:paraId="6E0BCB1C" w14:textId="77777777" w:rsidR="004E5BB7" w:rsidRPr="0095258C" w:rsidRDefault="009E0CAD" w:rsidP="006A04C8">
      <w:pPr>
        <w:widowControl/>
        <w:spacing w:line="320" w:lineRule="exact"/>
        <w:ind w:firstLine="3600"/>
        <w:jc w:val="both"/>
        <w:rPr>
          <w:rFonts w:ascii="Palatino Linotype" w:hAnsi="Palatino Linotype"/>
        </w:rPr>
      </w:pPr>
      <w:r w:rsidRPr="0095258C">
        <w:rPr>
          <w:rFonts w:ascii="Palatino Linotype" w:hAnsi="Palatino Linotype"/>
        </w:rPr>
        <w:t>Brooke E. Leslie</w:t>
      </w:r>
      <w:r w:rsidR="004E5BB7" w:rsidRPr="0095258C">
        <w:rPr>
          <w:rFonts w:ascii="Palatino Linotype" w:hAnsi="Palatino Linotype"/>
        </w:rPr>
        <w:t>, Attorney</w:t>
      </w:r>
    </w:p>
    <w:p w14:paraId="6E0BCB1D" w14:textId="77777777" w:rsidR="004E5BB7" w:rsidRPr="0095258C" w:rsidRDefault="004E5BB7" w:rsidP="006A04C8">
      <w:pPr>
        <w:widowControl/>
        <w:spacing w:line="320" w:lineRule="exact"/>
        <w:ind w:firstLine="3600"/>
        <w:jc w:val="both"/>
        <w:rPr>
          <w:rFonts w:ascii="Palatino Linotype" w:hAnsi="Palatino Linotype"/>
        </w:rPr>
      </w:pPr>
      <w:r w:rsidRPr="0095258C">
        <w:rPr>
          <w:rFonts w:ascii="Palatino Linotype" w:hAnsi="Palatino Linotype"/>
        </w:rPr>
        <w:t>200 Civic Center Drive</w:t>
      </w:r>
    </w:p>
    <w:p w14:paraId="6E0BCB1E" w14:textId="77777777" w:rsidR="004E5BB7" w:rsidRPr="0095258C" w:rsidRDefault="004E5BB7" w:rsidP="006A04C8">
      <w:pPr>
        <w:widowControl/>
        <w:spacing w:line="320" w:lineRule="exact"/>
        <w:ind w:firstLine="3600"/>
        <w:jc w:val="both"/>
        <w:rPr>
          <w:rFonts w:ascii="Palatino Linotype" w:hAnsi="Palatino Linotype"/>
        </w:rPr>
      </w:pPr>
      <w:smartTag w:uri="urn:schemas-microsoft-com:office:smarttags" w:element="address">
        <w:smartTag w:uri="urn:schemas-microsoft-com:office:smarttags" w:element="Street">
          <w:r w:rsidRPr="0095258C">
            <w:rPr>
              <w:rFonts w:ascii="Palatino Linotype" w:hAnsi="Palatino Linotype"/>
            </w:rPr>
            <w:t>P. O. Box</w:t>
          </w:r>
        </w:smartTag>
        <w:r w:rsidRPr="0095258C">
          <w:rPr>
            <w:rFonts w:ascii="Palatino Linotype" w:hAnsi="Palatino Linotype"/>
          </w:rPr>
          <w:t xml:space="preserve"> 117</w:t>
        </w:r>
      </w:smartTag>
    </w:p>
    <w:p w14:paraId="6E0BCB1F" w14:textId="77777777" w:rsidR="004E5BB7" w:rsidRPr="0095258C" w:rsidRDefault="004E5BB7" w:rsidP="006A04C8">
      <w:pPr>
        <w:widowControl/>
        <w:spacing w:line="320" w:lineRule="exact"/>
        <w:ind w:firstLine="3600"/>
        <w:jc w:val="both"/>
        <w:rPr>
          <w:rFonts w:ascii="Palatino Linotype" w:hAnsi="Palatino Linotype"/>
        </w:rPr>
      </w:pPr>
      <w:smartTag w:uri="urn:schemas-microsoft-com:office:smarttags" w:element="place">
        <w:smartTag w:uri="urn:schemas-microsoft-com:office:smarttags" w:element="City">
          <w:r w:rsidRPr="0095258C">
            <w:rPr>
              <w:rFonts w:ascii="Palatino Linotype" w:hAnsi="Palatino Linotype"/>
            </w:rPr>
            <w:t>Columbus</w:t>
          </w:r>
        </w:smartTag>
        <w:r w:rsidRPr="0095258C">
          <w:rPr>
            <w:rFonts w:ascii="Palatino Linotype" w:hAnsi="Palatino Linotype"/>
          </w:rPr>
          <w:t xml:space="preserve">, </w:t>
        </w:r>
        <w:smartTag w:uri="urn:schemas-microsoft-com:office:smarttags" w:element="State">
          <w:r w:rsidRPr="0095258C">
            <w:rPr>
              <w:rFonts w:ascii="Palatino Linotype" w:hAnsi="Palatino Linotype"/>
            </w:rPr>
            <w:t>Ohio</w:t>
          </w:r>
        </w:smartTag>
        <w:r w:rsidRPr="0095258C">
          <w:rPr>
            <w:rFonts w:ascii="Palatino Linotype" w:hAnsi="Palatino Linotype"/>
          </w:rPr>
          <w:t xml:space="preserve"> </w:t>
        </w:r>
        <w:smartTag w:uri="urn:schemas-microsoft-com:office:smarttags" w:element="PostalCode">
          <w:r w:rsidRPr="0095258C">
            <w:rPr>
              <w:rFonts w:ascii="Palatino Linotype" w:hAnsi="Palatino Linotype"/>
            </w:rPr>
            <w:t>43216-0117</w:t>
          </w:r>
        </w:smartTag>
      </w:smartTag>
    </w:p>
    <w:p w14:paraId="6E0BCB20" w14:textId="77777777" w:rsidR="004E5BB7" w:rsidRPr="0095258C" w:rsidRDefault="004E5BB7" w:rsidP="006A04C8">
      <w:pPr>
        <w:widowControl/>
        <w:spacing w:line="320" w:lineRule="exact"/>
        <w:ind w:firstLine="3600"/>
        <w:jc w:val="both"/>
        <w:rPr>
          <w:rFonts w:ascii="Palatino Linotype" w:hAnsi="Palatino Linotype"/>
        </w:rPr>
      </w:pPr>
      <w:r w:rsidRPr="0095258C">
        <w:rPr>
          <w:rFonts w:ascii="Palatino Linotype" w:hAnsi="Palatino Linotype"/>
        </w:rPr>
        <w:t>Telephone: (614) 460-4648</w:t>
      </w:r>
    </w:p>
    <w:p w14:paraId="6E0BCB21" w14:textId="77777777" w:rsidR="004E5BB7" w:rsidRPr="0095258C" w:rsidRDefault="004E5BB7" w:rsidP="006A04C8">
      <w:pPr>
        <w:widowControl/>
        <w:spacing w:line="320" w:lineRule="exact"/>
        <w:ind w:firstLine="3600"/>
        <w:jc w:val="both"/>
        <w:rPr>
          <w:rFonts w:ascii="Palatino Linotype" w:hAnsi="Palatino Linotype"/>
        </w:rPr>
      </w:pPr>
      <w:r w:rsidRPr="0095258C">
        <w:rPr>
          <w:rFonts w:ascii="Palatino Linotype" w:hAnsi="Palatino Linotype"/>
        </w:rPr>
        <w:t>Fax: (614) 460-6986</w:t>
      </w:r>
    </w:p>
    <w:p w14:paraId="6E0BCB22" w14:textId="77777777" w:rsidR="004E5BB7" w:rsidRPr="0095258C" w:rsidRDefault="004E5BB7" w:rsidP="006A04C8">
      <w:pPr>
        <w:widowControl/>
        <w:spacing w:line="320" w:lineRule="exact"/>
        <w:ind w:firstLine="3600"/>
        <w:jc w:val="both"/>
        <w:rPr>
          <w:rFonts w:ascii="Palatino Linotype" w:hAnsi="Palatino Linotype"/>
        </w:rPr>
      </w:pPr>
      <w:r w:rsidRPr="0095258C">
        <w:rPr>
          <w:rFonts w:ascii="Palatino Linotype" w:hAnsi="Palatino Linotype"/>
        </w:rPr>
        <w:t xml:space="preserve">Email: </w:t>
      </w:r>
      <w:r w:rsidR="00C74F4F" w:rsidRPr="00EE0B8A">
        <w:t>sseiple@nisource.com</w:t>
      </w:r>
    </w:p>
    <w:p w14:paraId="6E0BCB23" w14:textId="77777777" w:rsidR="009E0CAD" w:rsidRPr="0095258C" w:rsidRDefault="009E0CAD" w:rsidP="006A04C8">
      <w:pPr>
        <w:widowControl/>
        <w:spacing w:line="320" w:lineRule="exact"/>
        <w:ind w:firstLine="3600"/>
        <w:jc w:val="both"/>
        <w:rPr>
          <w:rFonts w:ascii="Palatino Linotype" w:hAnsi="Palatino Linotype"/>
        </w:rPr>
      </w:pPr>
      <w:r w:rsidRPr="0095258C">
        <w:rPr>
          <w:rFonts w:ascii="Palatino Linotype" w:hAnsi="Palatino Linotype"/>
        </w:rPr>
        <w:tab/>
        <w:t>bleslie@nisource.com</w:t>
      </w:r>
    </w:p>
    <w:p w14:paraId="6E0BCB24" w14:textId="77777777" w:rsidR="004E5BB7" w:rsidRPr="0095258C" w:rsidRDefault="004E5BB7" w:rsidP="006A04C8">
      <w:pPr>
        <w:widowControl/>
        <w:spacing w:line="320" w:lineRule="exact"/>
        <w:ind w:firstLine="3600"/>
        <w:jc w:val="both"/>
        <w:rPr>
          <w:rFonts w:ascii="Palatino Linotype" w:hAnsi="Palatino Linotype"/>
        </w:rPr>
      </w:pPr>
    </w:p>
    <w:p w14:paraId="6E0BCB25" w14:textId="77777777" w:rsidR="004E5BB7" w:rsidRPr="0095258C" w:rsidRDefault="004E5BB7" w:rsidP="006A04C8">
      <w:pPr>
        <w:widowControl/>
        <w:spacing w:line="320" w:lineRule="exact"/>
        <w:ind w:firstLine="3600"/>
        <w:jc w:val="both"/>
        <w:rPr>
          <w:rFonts w:ascii="Palatino Linotype" w:hAnsi="Palatino Linotype"/>
        </w:rPr>
      </w:pPr>
      <w:r w:rsidRPr="0095258C">
        <w:rPr>
          <w:rFonts w:ascii="Palatino Linotype" w:hAnsi="Palatino Linotype"/>
        </w:rPr>
        <w:t>Attorneys for</w:t>
      </w:r>
    </w:p>
    <w:p w14:paraId="6E0BCB26" w14:textId="0B520C92" w:rsidR="00B321A9" w:rsidRPr="00533715" w:rsidRDefault="004E5BB7" w:rsidP="006A04C8">
      <w:pPr>
        <w:widowControl/>
        <w:spacing w:line="320" w:lineRule="exact"/>
        <w:ind w:firstLine="3600"/>
        <w:jc w:val="both"/>
        <w:rPr>
          <w:rFonts w:ascii="Palatino Linotype" w:hAnsi="Palatino Linotype"/>
          <w:spacing w:val="-12"/>
        </w:rPr>
      </w:pPr>
      <w:proofErr w:type="gramStart"/>
      <w:r w:rsidRPr="00EE0B8A">
        <w:rPr>
          <w:rFonts w:ascii="Palatino Linotype" w:hAnsi="Palatino Linotype"/>
          <w:b/>
          <w:bCs/>
          <w:spacing w:val="-12"/>
        </w:rPr>
        <w:t>COLUMBIA GAS OF OHIO, INC.</w:t>
      </w:r>
      <w:proofErr w:type="gramEnd"/>
    </w:p>
    <w:p w14:paraId="6E0BCB58" w14:textId="7C58424A" w:rsidR="00AF531A" w:rsidRPr="00533715" w:rsidRDefault="00AF531A" w:rsidP="006A04C8">
      <w:pPr>
        <w:widowControl/>
        <w:spacing w:line="320" w:lineRule="exact"/>
        <w:ind w:firstLine="3600"/>
        <w:jc w:val="both"/>
        <w:rPr>
          <w:rFonts w:ascii="Palatino Linotype" w:hAnsi="Palatino Linotype"/>
          <w:spacing w:val="-12"/>
        </w:rPr>
        <w:sectPr w:rsidR="00AF531A" w:rsidRPr="00533715" w:rsidSect="006A04C8">
          <w:footerReference w:type="default" r:id="rId9"/>
          <w:pgSz w:w="12240" w:h="15840"/>
          <w:pgMar w:top="1440" w:right="1800" w:bottom="1440" w:left="1800" w:header="1440" w:footer="1440" w:gutter="0"/>
          <w:pgNumType w:start="1"/>
          <w:cols w:space="720"/>
          <w:noEndnote/>
          <w:titlePg/>
          <w:docGrid w:linePitch="326"/>
        </w:sectPr>
      </w:pPr>
    </w:p>
    <w:p w14:paraId="6E0BCB59" w14:textId="77777777" w:rsidR="00533715" w:rsidRPr="00861218" w:rsidRDefault="00533715" w:rsidP="00861218">
      <w:pPr>
        <w:keepNext/>
        <w:keepLines/>
        <w:widowControl/>
        <w:spacing w:line="320" w:lineRule="exact"/>
        <w:jc w:val="center"/>
        <w:rPr>
          <w:rFonts w:ascii="Palatino Linotype" w:hAnsi="Palatino Linotype"/>
          <w:spacing w:val="-12"/>
        </w:rPr>
      </w:pPr>
      <w:r w:rsidRPr="00861218">
        <w:rPr>
          <w:rFonts w:ascii="Palatino Linotype" w:hAnsi="Palatino Linotype"/>
          <w:b/>
          <w:spacing w:val="-12"/>
        </w:rPr>
        <w:lastRenderedPageBreak/>
        <w:t>CERTIFICATE OF SERVICE</w:t>
      </w:r>
    </w:p>
    <w:p w14:paraId="6E0BCB5A" w14:textId="77777777" w:rsidR="00533715" w:rsidRPr="00533715" w:rsidRDefault="00533715" w:rsidP="00533715">
      <w:pPr>
        <w:keepNext/>
        <w:keepLines/>
        <w:widowControl/>
        <w:spacing w:line="320" w:lineRule="exact"/>
        <w:ind w:firstLine="3600"/>
        <w:jc w:val="both"/>
        <w:rPr>
          <w:rFonts w:ascii="Palatino Linotype" w:hAnsi="Palatino Linotype"/>
          <w:spacing w:val="-12"/>
        </w:rPr>
      </w:pPr>
    </w:p>
    <w:p w14:paraId="6E0BCB5B" w14:textId="0CE21512" w:rsidR="00533715" w:rsidRPr="002D33F3" w:rsidRDefault="00533715" w:rsidP="00861218">
      <w:pPr>
        <w:keepNext/>
        <w:keepLines/>
        <w:widowControl/>
        <w:spacing w:line="320" w:lineRule="exact"/>
        <w:ind w:firstLine="720"/>
        <w:jc w:val="both"/>
        <w:rPr>
          <w:rFonts w:ascii="Palatino Linotype" w:hAnsi="Palatino Linotype"/>
        </w:rPr>
      </w:pPr>
      <w:r w:rsidRPr="002D33F3">
        <w:rPr>
          <w:rFonts w:ascii="Palatino Linotype" w:hAnsi="Palatino Linotype"/>
        </w:rPr>
        <w:t xml:space="preserve">I hereby certify that a copy of the foregoing </w:t>
      </w:r>
      <w:r w:rsidR="00247FAA">
        <w:rPr>
          <w:rFonts w:ascii="Palatino Linotype" w:hAnsi="Palatino Linotype"/>
        </w:rPr>
        <w:t>Memorandum Contra</w:t>
      </w:r>
      <w:r w:rsidRPr="002D33F3">
        <w:rPr>
          <w:rFonts w:ascii="Palatino Linotype" w:hAnsi="Palatino Linotype"/>
        </w:rPr>
        <w:t xml:space="preserve"> of C</w:t>
      </w:r>
      <w:r w:rsidRPr="002D33F3">
        <w:rPr>
          <w:rFonts w:ascii="Palatino Linotype" w:hAnsi="Palatino Linotype"/>
        </w:rPr>
        <w:t>o</w:t>
      </w:r>
      <w:r w:rsidRPr="002D33F3">
        <w:rPr>
          <w:rFonts w:ascii="Palatino Linotype" w:hAnsi="Palatino Linotype"/>
        </w:rPr>
        <w:t>lumbia Gas of Ohio, Inc. was served upon all parties of record by</w:t>
      </w:r>
      <w:r w:rsidR="00911B6F">
        <w:rPr>
          <w:rFonts w:ascii="Palatino Linotype" w:hAnsi="Palatino Linotype"/>
        </w:rPr>
        <w:t xml:space="preserve"> elect</w:t>
      </w:r>
      <w:r w:rsidR="00A5704C">
        <w:rPr>
          <w:rFonts w:ascii="Palatino Linotype" w:hAnsi="Palatino Linotype"/>
        </w:rPr>
        <w:t>r</w:t>
      </w:r>
      <w:r w:rsidR="00911B6F">
        <w:rPr>
          <w:rFonts w:ascii="Palatino Linotype" w:hAnsi="Palatino Linotype"/>
        </w:rPr>
        <w:t>onic</w:t>
      </w:r>
      <w:r w:rsidRPr="002D33F3">
        <w:rPr>
          <w:rFonts w:ascii="Palatino Linotype" w:hAnsi="Palatino Linotype"/>
        </w:rPr>
        <w:t xml:space="preserve"> mail this </w:t>
      </w:r>
      <w:r w:rsidR="00911B6F">
        <w:rPr>
          <w:rFonts w:ascii="Palatino Linotype" w:hAnsi="Palatino Linotype"/>
        </w:rPr>
        <w:t>10</w:t>
      </w:r>
      <w:r w:rsidR="00911B6F" w:rsidRPr="00911B6F">
        <w:rPr>
          <w:rFonts w:ascii="Palatino Linotype" w:hAnsi="Palatino Linotype"/>
          <w:vertAlign w:val="superscript"/>
        </w:rPr>
        <w:t>th</w:t>
      </w:r>
      <w:r w:rsidR="008850DF">
        <w:rPr>
          <w:rFonts w:ascii="Palatino Linotype" w:hAnsi="Palatino Linotype"/>
        </w:rPr>
        <w:t xml:space="preserve"> </w:t>
      </w:r>
      <w:r w:rsidRPr="002D33F3">
        <w:rPr>
          <w:rFonts w:ascii="Palatino Linotype" w:hAnsi="Palatino Linotype"/>
        </w:rPr>
        <w:t>day of</w:t>
      </w:r>
      <w:r w:rsidR="00AE1182">
        <w:rPr>
          <w:rFonts w:ascii="Palatino Linotype" w:hAnsi="Palatino Linotype"/>
        </w:rPr>
        <w:t xml:space="preserve"> May</w:t>
      </w:r>
      <w:r w:rsidRPr="002D33F3">
        <w:rPr>
          <w:rFonts w:ascii="Palatino Linotype" w:hAnsi="Palatino Linotype"/>
        </w:rPr>
        <w:t>, 20</w:t>
      </w:r>
      <w:r w:rsidR="00861218" w:rsidRPr="002D33F3">
        <w:rPr>
          <w:rFonts w:ascii="Palatino Linotype" w:hAnsi="Palatino Linotype"/>
        </w:rPr>
        <w:t>12</w:t>
      </w:r>
      <w:r w:rsidRPr="002D33F3">
        <w:rPr>
          <w:rFonts w:ascii="Palatino Linotype" w:hAnsi="Palatino Linotype"/>
        </w:rPr>
        <w:t>.</w:t>
      </w:r>
    </w:p>
    <w:p w14:paraId="6E0BCB5C" w14:textId="77777777" w:rsidR="00533715" w:rsidRPr="002D33F3" w:rsidRDefault="00533715" w:rsidP="00533715">
      <w:pPr>
        <w:keepNext/>
        <w:keepLines/>
        <w:widowControl/>
        <w:spacing w:line="320" w:lineRule="exact"/>
        <w:ind w:firstLine="3600"/>
        <w:jc w:val="both"/>
        <w:rPr>
          <w:rFonts w:ascii="Palatino Linotype" w:hAnsi="Palatino Linotype"/>
        </w:rPr>
      </w:pPr>
    </w:p>
    <w:p w14:paraId="6E0BCB5D" w14:textId="77777777" w:rsidR="00533715" w:rsidRPr="002D33F3" w:rsidRDefault="00533715" w:rsidP="00533715">
      <w:pPr>
        <w:keepNext/>
        <w:keepLines/>
        <w:widowControl/>
        <w:spacing w:line="320" w:lineRule="exact"/>
        <w:ind w:firstLine="3600"/>
        <w:jc w:val="both"/>
        <w:rPr>
          <w:rFonts w:ascii="Palatino Linotype" w:hAnsi="Palatino Linotype"/>
        </w:rPr>
      </w:pPr>
    </w:p>
    <w:p w14:paraId="6E0BCB5E" w14:textId="12BA39AA" w:rsidR="00533715" w:rsidRPr="002D33F3" w:rsidRDefault="00A5704C" w:rsidP="00533715">
      <w:pPr>
        <w:keepNext/>
        <w:keepLines/>
        <w:widowControl/>
        <w:spacing w:line="320" w:lineRule="exact"/>
        <w:ind w:firstLine="3600"/>
        <w:jc w:val="both"/>
        <w:rPr>
          <w:rFonts w:ascii="Palatino Linotype" w:hAnsi="Palatino Linotype"/>
        </w:rPr>
      </w:pPr>
      <w:r>
        <w:rPr>
          <w:rFonts w:ascii="Palatino Linotype" w:hAnsi="Palatino Linotype"/>
          <w:u w:val="single"/>
        </w:rPr>
        <w:t>/s/ Stephen B. Seiple</w:t>
      </w:r>
      <w:r w:rsidR="00861218" w:rsidRPr="002D33F3">
        <w:rPr>
          <w:rFonts w:ascii="Palatino Linotype" w:hAnsi="Palatino Linotype"/>
          <w:u w:val="single"/>
        </w:rPr>
        <w:tab/>
      </w:r>
      <w:r w:rsidR="00861218" w:rsidRPr="002D33F3">
        <w:rPr>
          <w:rFonts w:ascii="Palatino Linotype" w:hAnsi="Palatino Linotype"/>
          <w:u w:val="single"/>
        </w:rPr>
        <w:tab/>
      </w:r>
      <w:r w:rsidR="00861218" w:rsidRPr="002D33F3">
        <w:rPr>
          <w:rFonts w:ascii="Palatino Linotype" w:hAnsi="Palatino Linotype"/>
          <w:u w:val="single"/>
        </w:rPr>
        <w:tab/>
      </w:r>
      <w:r w:rsidR="00861218" w:rsidRPr="002D33F3">
        <w:rPr>
          <w:rFonts w:ascii="Palatino Linotype" w:hAnsi="Palatino Linotype"/>
          <w:u w:val="single"/>
        </w:rPr>
        <w:tab/>
      </w:r>
      <w:r w:rsidR="00861218" w:rsidRPr="002D33F3">
        <w:rPr>
          <w:rFonts w:ascii="Palatino Linotype" w:hAnsi="Palatino Linotype"/>
          <w:u w:val="single"/>
        </w:rPr>
        <w:tab/>
      </w:r>
    </w:p>
    <w:p w14:paraId="6E0BCB5F" w14:textId="77777777" w:rsidR="00533715" w:rsidRPr="002D33F3" w:rsidRDefault="00533715" w:rsidP="00533715">
      <w:pPr>
        <w:keepNext/>
        <w:keepLines/>
        <w:widowControl/>
        <w:spacing w:line="320" w:lineRule="exact"/>
        <w:ind w:firstLine="3600"/>
        <w:jc w:val="both"/>
        <w:rPr>
          <w:rFonts w:ascii="Palatino Linotype" w:hAnsi="Palatino Linotype"/>
        </w:rPr>
      </w:pPr>
      <w:r w:rsidRPr="002D33F3">
        <w:rPr>
          <w:rFonts w:ascii="Palatino Linotype" w:hAnsi="Palatino Linotype"/>
        </w:rPr>
        <w:t>Stephen B. Seiple</w:t>
      </w:r>
    </w:p>
    <w:p w14:paraId="6E0BCB60" w14:textId="77777777" w:rsidR="00533715" w:rsidRPr="002D33F3" w:rsidRDefault="00533715" w:rsidP="00533715">
      <w:pPr>
        <w:keepNext/>
        <w:keepLines/>
        <w:widowControl/>
        <w:spacing w:line="320" w:lineRule="exact"/>
        <w:ind w:firstLine="3600"/>
        <w:jc w:val="both"/>
        <w:rPr>
          <w:rFonts w:ascii="Palatino Linotype" w:hAnsi="Palatino Linotype"/>
        </w:rPr>
      </w:pPr>
      <w:r w:rsidRPr="002D33F3">
        <w:rPr>
          <w:rFonts w:ascii="Palatino Linotype" w:hAnsi="Palatino Linotype"/>
        </w:rPr>
        <w:t>Attorney for</w:t>
      </w:r>
    </w:p>
    <w:p w14:paraId="6E0BCB61" w14:textId="77777777" w:rsidR="00533715" w:rsidRPr="00533715" w:rsidRDefault="00533715" w:rsidP="00533715">
      <w:pPr>
        <w:keepNext/>
        <w:keepLines/>
        <w:widowControl/>
        <w:spacing w:line="320" w:lineRule="exact"/>
        <w:ind w:firstLine="3600"/>
        <w:jc w:val="both"/>
        <w:rPr>
          <w:rFonts w:ascii="Palatino Linotype" w:hAnsi="Palatino Linotype"/>
          <w:spacing w:val="-12"/>
        </w:rPr>
      </w:pPr>
      <w:proofErr w:type="gramStart"/>
      <w:r w:rsidRPr="00533715">
        <w:rPr>
          <w:rFonts w:ascii="Palatino Linotype" w:hAnsi="Palatino Linotype"/>
          <w:b/>
          <w:spacing w:val="-12"/>
        </w:rPr>
        <w:t>COLUMBIA GAS OF OHIO, INC.</w:t>
      </w:r>
      <w:proofErr w:type="gramEnd"/>
    </w:p>
    <w:p w14:paraId="6E0BCB62" w14:textId="77777777" w:rsidR="00533715" w:rsidRPr="00533715" w:rsidRDefault="00533715" w:rsidP="00533715">
      <w:pPr>
        <w:keepNext/>
        <w:keepLines/>
        <w:widowControl/>
        <w:spacing w:line="320" w:lineRule="exact"/>
        <w:ind w:firstLine="3600"/>
        <w:jc w:val="both"/>
        <w:rPr>
          <w:rFonts w:ascii="Palatino Linotype" w:hAnsi="Palatino Linotype"/>
          <w:spacing w:val="-12"/>
        </w:rPr>
      </w:pPr>
    </w:p>
    <w:p w14:paraId="6E0BCB63" w14:textId="77777777" w:rsidR="00533715" w:rsidRPr="00533715" w:rsidRDefault="00533715" w:rsidP="00533715">
      <w:pPr>
        <w:keepNext/>
        <w:keepLines/>
        <w:widowControl/>
        <w:spacing w:line="320" w:lineRule="exact"/>
        <w:ind w:firstLine="3600"/>
        <w:jc w:val="both"/>
        <w:rPr>
          <w:rFonts w:ascii="Palatino Linotype" w:hAnsi="Palatino Linotype"/>
          <w:spacing w:val="-12"/>
        </w:rPr>
      </w:pPr>
    </w:p>
    <w:p w14:paraId="6E0BCB64" w14:textId="77777777" w:rsidR="00533715" w:rsidRPr="00533715" w:rsidRDefault="00533715" w:rsidP="00533715">
      <w:pPr>
        <w:keepNext/>
        <w:keepLines/>
        <w:widowControl/>
        <w:spacing w:line="320" w:lineRule="exact"/>
        <w:ind w:firstLine="3600"/>
        <w:jc w:val="both"/>
        <w:rPr>
          <w:rFonts w:ascii="Palatino Linotype" w:hAnsi="Palatino Linotype"/>
          <w:b/>
          <w:spacing w:val="-12"/>
        </w:rPr>
      </w:pPr>
      <w:r w:rsidRPr="00533715">
        <w:rPr>
          <w:rFonts w:ascii="Palatino Linotype" w:hAnsi="Palatino Linotype"/>
          <w:b/>
          <w:spacing w:val="-12"/>
        </w:rPr>
        <w:t>SERVICE LIST</w:t>
      </w:r>
    </w:p>
    <w:p w14:paraId="6C424DAF" w14:textId="77777777" w:rsidR="00AE1182" w:rsidRPr="00AE1182" w:rsidRDefault="00AE1182" w:rsidP="00AE1182">
      <w:pPr>
        <w:spacing w:line="320" w:lineRule="exact"/>
        <w:rPr>
          <w:rFonts w:ascii="Palatino Linotype" w:hAnsi="Palatino Linotype"/>
          <w:b/>
          <w:bCs/>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428"/>
      </w:tblGrid>
      <w:tr w:rsidR="00AE1182" w:rsidRPr="00AE1182" w14:paraId="527EF30D" w14:textId="77777777" w:rsidTr="00936A37">
        <w:tc>
          <w:tcPr>
            <w:tcW w:w="4320" w:type="dxa"/>
          </w:tcPr>
          <w:p w14:paraId="46AB1375"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Thomas Lindgren</w:t>
            </w:r>
          </w:p>
          <w:p w14:paraId="2C164419"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Public Utilities Commission of Ohio</w:t>
            </w:r>
          </w:p>
          <w:p w14:paraId="6D3F4FB1"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180 East Broad Street, 6</w:t>
            </w:r>
            <w:r w:rsidRPr="00AE1182">
              <w:rPr>
                <w:rFonts w:ascii="Palatino Linotype" w:hAnsi="Palatino Linotype"/>
                <w:bCs/>
                <w:vertAlign w:val="superscript"/>
              </w:rPr>
              <w:t>th</w:t>
            </w:r>
            <w:r w:rsidRPr="00AE1182">
              <w:rPr>
                <w:rFonts w:ascii="Palatino Linotype" w:hAnsi="Palatino Linotype"/>
                <w:bCs/>
              </w:rPr>
              <w:t xml:space="preserve"> Floor</w:t>
            </w:r>
          </w:p>
          <w:p w14:paraId="30E1269F"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Columbus, OH 43215</w:t>
            </w:r>
          </w:p>
          <w:p w14:paraId="48937C33"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thomas.lindgren@puc.state.oh.us</w:t>
            </w:r>
          </w:p>
          <w:p w14:paraId="5D109395" w14:textId="77777777" w:rsidR="00AE1182" w:rsidRPr="00AE1182" w:rsidRDefault="00AE1182" w:rsidP="00AE1182">
            <w:pPr>
              <w:spacing w:line="320" w:lineRule="exact"/>
              <w:rPr>
                <w:rFonts w:ascii="Palatino Linotype" w:hAnsi="Palatino Linotype"/>
                <w:bCs/>
              </w:rPr>
            </w:pPr>
          </w:p>
        </w:tc>
        <w:tc>
          <w:tcPr>
            <w:tcW w:w="4428" w:type="dxa"/>
          </w:tcPr>
          <w:p w14:paraId="5FFA99E9"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Larry S. Sauer</w:t>
            </w:r>
          </w:p>
          <w:p w14:paraId="2BEF773B"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 xml:space="preserve">Joseph P. </w:t>
            </w:r>
            <w:proofErr w:type="spellStart"/>
            <w:r w:rsidRPr="00AE1182">
              <w:rPr>
                <w:rFonts w:ascii="Palatino Linotype" w:hAnsi="Palatino Linotype"/>
                <w:bCs/>
              </w:rPr>
              <w:t>Serio</w:t>
            </w:r>
            <w:proofErr w:type="spellEnd"/>
          </w:p>
          <w:p w14:paraId="1CBDE861"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Assistant Consumers’ Counsel</w:t>
            </w:r>
          </w:p>
          <w:p w14:paraId="3C8891D4"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10 West Broad Street, Suite 1800</w:t>
            </w:r>
          </w:p>
          <w:p w14:paraId="5E4F3B85"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Columbus, OH 43215-3485</w:t>
            </w:r>
          </w:p>
          <w:p w14:paraId="20AB3E6D"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sauer@occ.state.oh.us</w:t>
            </w:r>
          </w:p>
          <w:p w14:paraId="64869EA8"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serio@occ.state.oh.us</w:t>
            </w:r>
          </w:p>
          <w:p w14:paraId="1B8182AD" w14:textId="77777777" w:rsidR="00AE1182" w:rsidRPr="00AE1182" w:rsidRDefault="00AE1182" w:rsidP="00AE1182">
            <w:pPr>
              <w:spacing w:line="320" w:lineRule="exact"/>
              <w:rPr>
                <w:rFonts w:ascii="Palatino Linotype" w:hAnsi="Palatino Linotype"/>
                <w:bCs/>
              </w:rPr>
            </w:pPr>
          </w:p>
        </w:tc>
      </w:tr>
      <w:tr w:rsidR="00AE1182" w:rsidRPr="00AE1182" w14:paraId="7BC09D92" w14:textId="77777777" w:rsidTr="00936A37">
        <w:tc>
          <w:tcPr>
            <w:tcW w:w="4320" w:type="dxa"/>
          </w:tcPr>
          <w:p w14:paraId="6B3F0925"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Colleen L. Mooney</w:t>
            </w:r>
          </w:p>
          <w:p w14:paraId="6C4EBEF5"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Ohio Partners for Affordable Energy</w:t>
            </w:r>
          </w:p>
          <w:p w14:paraId="2400BA36"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231 West Lima Street</w:t>
            </w:r>
          </w:p>
          <w:p w14:paraId="4AF4712C"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P.O. Box 1793</w:t>
            </w:r>
          </w:p>
          <w:p w14:paraId="1EA690BC"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Findlay, OH 45839-1793</w:t>
            </w:r>
          </w:p>
          <w:p w14:paraId="770B376A" w14:textId="0EB563E4" w:rsidR="00AE1182" w:rsidRPr="00AE1182" w:rsidRDefault="00AE1182" w:rsidP="00AE1182">
            <w:pPr>
              <w:spacing w:line="320" w:lineRule="exact"/>
              <w:rPr>
                <w:rFonts w:ascii="Palatino Linotype" w:hAnsi="Palatino Linotype"/>
                <w:bCs/>
              </w:rPr>
            </w:pPr>
            <w:r>
              <w:rPr>
                <w:rFonts w:ascii="Palatino Linotype" w:hAnsi="Palatino Linotype"/>
                <w:bCs/>
              </w:rPr>
              <w:t>c</w:t>
            </w:r>
            <w:r w:rsidRPr="00AE1182">
              <w:rPr>
                <w:rFonts w:ascii="Palatino Linotype" w:hAnsi="Palatino Linotype"/>
                <w:bCs/>
              </w:rPr>
              <w:t>mooney2@columbus.rr.com</w:t>
            </w:r>
          </w:p>
          <w:p w14:paraId="0459C36A" w14:textId="77777777" w:rsidR="00AE1182" w:rsidRPr="00AE1182" w:rsidRDefault="00AE1182" w:rsidP="00AE1182">
            <w:pPr>
              <w:spacing w:line="320" w:lineRule="exact"/>
              <w:rPr>
                <w:rFonts w:ascii="Palatino Linotype" w:hAnsi="Palatino Linotype"/>
                <w:bCs/>
              </w:rPr>
            </w:pPr>
          </w:p>
        </w:tc>
        <w:tc>
          <w:tcPr>
            <w:tcW w:w="4428" w:type="dxa"/>
          </w:tcPr>
          <w:p w14:paraId="02AA6E30"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M. Anthony Long</w:t>
            </w:r>
          </w:p>
          <w:p w14:paraId="5F51CF26"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Senior Assistant Counsel</w:t>
            </w:r>
          </w:p>
          <w:p w14:paraId="6084C8FC"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Honda of America Mfg., Inc.</w:t>
            </w:r>
          </w:p>
          <w:p w14:paraId="611F56C4"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24000 Honda Parkway</w:t>
            </w:r>
          </w:p>
          <w:p w14:paraId="0A509AA3"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Marysville, OH 43040</w:t>
            </w:r>
          </w:p>
          <w:p w14:paraId="5149153D"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tony_long@ham.honda.com</w:t>
            </w:r>
          </w:p>
        </w:tc>
      </w:tr>
      <w:tr w:rsidR="00AE1182" w:rsidRPr="00AE1182" w14:paraId="0D1ECC85" w14:textId="77777777" w:rsidTr="00936A37">
        <w:tc>
          <w:tcPr>
            <w:tcW w:w="4320" w:type="dxa"/>
          </w:tcPr>
          <w:p w14:paraId="2769F722"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Chad A. Ensley</w:t>
            </w:r>
          </w:p>
          <w:p w14:paraId="273A8807"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Chief Legal Counsel</w:t>
            </w:r>
          </w:p>
          <w:p w14:paraId="0B81429F"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Ohio Farm Bureau Federation</w:t>
            </w:r>
          </w:p>
          <w:p w14:paraId="78E58B93"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280 North High Street</w:t>
            </w:r>
          </w:p>
          <w:p w14:paraId="192880FD"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P.O. Box 182383</w:t>
            </w:r>
          </w:p>
          <w:p w14:paraId="41E923AE"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Columbus, OH 43218-2383</w:t>
            </w:r>
          </w:p>
          <w:p w14:paraId="280AA5C6" w14:textId="77777777" w:rsidR="00AE1182" w:rsidRPr="00AE1182" w:rsidRDefault="00AE1182" w:rsidP="00AE1182">
            <w:pPr>
              <w:spacing w:line="320" w:lineRule="exact"/>
              <w:rPr>
                <w:rFonts w:ascii="Palatino Linotype" w:hAnsi="Palatino Linotype"/>
                <w:bCs/>
              </w:rPr>
            </w:pPr>
            <w:r w:rsidRPr="00AE1182">
              <w:rPr>
                <w:rFonts w:ascii="Palatino Linotype" w:hAnsi="Palatino Linotype"/>
                <w:bCs/>
              </w:rPr>
              <w:t>cendsley@ofbf.org</w:t>
            </w:r>
          </w:p>
          <w:p w14:paraId="3B86756C" w14:textId="77777777" w:rsidR="00AE1182" w:rsidRPr="00AE1182" w:rsidRDefault="00AE1182" w:rsidP="00AE1182">
            <w:pPr>
              <w:spacing w:line="320" w:lineRule="exact"/>
              <w:rPr>
                <w:rFonts w:ascii="Palatino Linotype" w:hAnsi="Palatino Linotype"/>
                <w:bCs/>
              </w:rPr>
            </w:pPr>
          </w:p>
        </w:tc>
        <w:tc>
          <w:tcPr>
            <w:tcW w:w="4428" w:type="dxa"/>
          </w:tcPr>
          <w:p w14:paraId="30537791" w14:textId="77777777" w:rsidR="00AE1182" w:rsidRPr="00AE1182" w:rsidRDefault="00AE1182" w:rsidP="00AE1182">
            <w:pPr>
              <w:spacing w:line="320" w:lineRule="exact"/>
              <w:rPr>
                <w:rFonts w:ascii="Palatino Linotype" w:hAnsi="Palatino Linotype"/>
                <w:bCs/>
              </w:rPr>
            </w:pPr>
          </w:p>
        </w:tc>
      </w:tr>
    </w:tbl>
    <w:p w14:paraId="6E0BCB65" w14:textId="77777777" w:rsidR="00533715" w:rsidRPr="00533715" w:rsidRDefault="00533715" w:rsidP="00533715">
      <w:pPr>
        <w:keepNext/>
        <w:keepLines/>
        <w:widowControl/>
        <w:spacing w:line="320" w:lineRule="exact"/>
        <w:ind w:firstLine="3600"/>
        <w:jc w:val="both"/>
        <w:rPr>
          <w:rFonts w:ascii="Palatino Linotype" w:hAnsi="Palatino Linotype"/>
          <w:b/>
          <w:bCs/>
          <w:spacing w:val="-12"/>
          <w:u w:val="single"/>
        </w:rPr>
      </w:pPr>
    </w:p>
    <w:sectPr w:rsidR="00533715" w:rsidRPr="00533715" w:rsidSect="00533715">
      <w:pgSz w:w="12240" w:h="15840"/>
      <w:pgMar w:top="1440" w:right="1800" w:bottom="1440" w:left="180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A84F9" w14:textId="77777777" w:rsidR="00E51A33" w:rsidRDefault="00E51A33">
      <w:r>
        <w:separator/>
      </w:r>
    </w:p>
  </w:endnote>
  <w:endnote w:type="continuationSeparator" w:id="0">
    <w:p w14:paraId="11840FCA" w14:textId="77777777" w:rsidR="00E51A33" w:rsidRDefault="00E5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BCB6C" w14:textId="77777777" w:rsidR="00434E00" w:rsidRDefault="00434E00" w:rsidP="00C15DFB">
    <w:r>
      <w:rPr>
        <w:noProof/>
      </w:rPr>
      <mc:AlternateContent>
        <mc:Choice Requires="wps">
          <w:drawing>
            <wp:anchor distT="0" distB="0" distL="114300" distR="114300" simplePos="0" relativeHeight="251659264" behindDoc="0" locked="0" layoutInCell="0" allowOverlap="1" wp14:anchorId="6E0BCB6D" wp14:editId="6E0BCB6E">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0BCB6F" w14:textId="77777777" w:rsidR="00434E00" w:rsidRDefault="00434E00">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5A01F8">
                            <w:rPr>
                              <w:noProof/>
                              <w:spacing w:val="-3"/>
                            </w:rPr>
                            <w:t>8</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14:paraId="6E0BCB6F" w14:textId="77777777" w:rsidR="00434E00" w:rsidRDefault="00434E00">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5A01F8">
                      <w:rPr>
                        <w:noProof/>
                        <w:spacing w:val="-3"/>
                      </w:rPr>
                      <w:t>8</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E9ADA" w14:textId="77777777" w:rsidR="00E51A33" w:rsidRDefault="00E51A33">
      <w:r>
        <w:separator/>
      </w:r>
    </w:p>
  </w:footnote>
  <w:footnote w:type="continuationSeparator" w:id="0">
    <w:p w14:paraId="12F79CE4" w14:textId="77777777" w:rsidR="00E51A33" w:rsidRDefault="00E51A33">
      <w:r>
        <w:continuationSeparator/>
      </w:r>
    </w:p>
  </w:footnote>
  <w:footnote w:id="1">
    <w:p w14:paraId="0A5DF8E1" w14:textId="77777777" w:rsidR="00434E00" w:rsidRPr="00AC2E85" w:rsidRDefault="00434E00" w:rsidP="00E81C40">
      <w:pPr>
        <w:pStyle w:val="FootnoteText"/>
        <w:rPr>
          <w:rFonts w:ascii="Palatino Linotype" w:hAnsi="Palatino Linotype"/>
        </w:rPr>
      </w:pPr>
      <w:r w:rsidRPr="00AC2E85">
        <w:rPr>
          <w:rStyle w:val="FootnoteReference"/>
          <w:rFonts w:ascii="Palatino Linotype" w:hAnsi="Palatino Linotype"/>
        </w:rPr>
        <w:footnoteRef/>
      </w:r>
      <w:r w:rsidRPr="00AC2E85">
        <w:rPr>
          <w:rFonts w:ascii="Palatino Linotype" w:hAnsi="Palatino Linotype"/>
        </w:rPr>
        <w:t xml:space="preserve"> Case Nos.08-0072-GA-AIR et al.</w:t>
      </w:r>
    </w:p>
  </w:footnote>
  <w:footnote w:id="2">
    <w:p w14:paraId="61DF7EFB" w14:textId="25FA261C" w:rsidR="00434E00" w:rsidRPr="00AE72B4" w:rsidRDefault="00434E00">
      <w:pPr>
        <w:pStyle w:val="FootnoteText"/>
        <w:rPr>
          <w:rFonts w:ascii="Palatino Linotype" w:hAnsi="Palatino Linotype"/>
        </w:rPr>
      </w:pPr>
      <w:r w:rsidRPr="00AE72B4">
        <w:rPr>
          <w:rStyle w:val="FootnoteReference"/>
          <w:rFonts w:ascii="Palatino Linotype" w:hAnsi="Palatino Linotype"/>
        </w:rPr>
        <w:footnoteRef/>
      </w:r>
      <w:r w:rsidRPr="00AE72B4">
        <w:rPr>
          <w:rFonts w:ascii="Palatino Linotype" w:hAnsi="Palatino Linotype"/>
        </w:rPr>
        <w:t xml:space="preserve"> </w:t>
      </w:r>
      <w:r w:rsidRPr="00AE72B4">
        <w:rPr>
          <w:rFonts w:ascii="Palatino Linotype" w:hAnsi="Palatino Linotype"/>
          <w:i/>
        </w:rPr>
        <w:t>In Re the Application of Duke Energy Ohio, Inc., for Approval of an Electric Security Plan</w:t>
      </w:r>
      <w:r w:rsidRPr="00AE72B4">
        <w:rPr>
          <w:rFonts w:ascii="Palatino Linotype" w:hAnsi="Palatino Linotype"/>
        </w:rPr>
        <w:t>, Case No. 08-920-EL-SSO et al., 2008 Ohio PUC LEXIS 609, Entry (October 1, 2008), paragraph 13.</w:t>
      </w:r>
    </w:p>
  </w:footnote>
  <w:footnote w:id="3">
    <w:p w14:paraId="2C3184DC" w14:textId="013D0FDA" w:rsidR="00434E00" w:rsidRPr="0070541B" w:rsidRDefault="00434E00">
      <w:pPr>
        <w:pStyle w:val="FootnoteText"/>
        <w:rPr>
          <w:rFonts w:ascii="Palatino Linotype" w:hAnsi="Palatino Linotype"/>
        </w:rPr>
      </w:pPr>
      <w:r w:rsidRPr="0070541B">
        <w:rPr>
          <w:rStyle w:val="FootnoteReference"/>
          <w:rFonts w:ascii="Palatino Linotype" w:hAnsi="Palatino Linotype"/>
        </w:rPr>
        <w:footnoteRef/>
      </w:r>
      <w:r w:rsidRPr="0070541B">
        <w:rPr>
          <w:rFonts w:ascii="Palatino Linotype" w:hAnsi="Palatino Linotype"/>
        </w:rPr>
        <w:t xml:space="preserve"> Interlocutory Appeal at 3-4.</w:t>
      </w:r>
    </w:p>
  </w:footnote>
  <w:footnote w:id="4">
    <w:p w14:paraId="1150367C" w14:textId="77777777" w:rsidR="00434E00" w:rsidRPr="00C77108" w:rsidRDefault="00434E00" w:rsidP="001F69BB">
      <w:pPr>
        <w:pStyle w:val="FootnoteText"/>
        <w:rPr>
          <w:rFonts w:ascii="Palatino Linotype" w:hAnsi="Palatino Linotype"/>
        </w:rPr>
      </w:pPr>
      <w:r w:rsidRPr="00C77108">
        <w:rPr>
          <w:rStyle w:val="FootnoteReference"/>
          <w:rFonts w:ascii="Palatino Linotype" w:hAnsi="Palatino Linotype"/>
        </w:rPr>
        <w:footnoteRef/>
      </w:r>
      <w:r w:rsidRPr="00C77108">
        <w:rPr>
          <w:rFonts w:ascii="Palatino Linotype" w:hAnsi="Palatino Linotype"/>
        </w:rPr>
        <w:t xml:space="preserve"> Case Nos. 08-0072-GA-AIR et al., Joint Stipulation and Recommendation (October 24, 2008) at 9</w:t>
      </w:r>
      <w:r>
        <w:rPr>
          <w:rFonts w:ascii="Palatino Linotype" w:hAnsi="Palatino Linotype"/>
        </w:rPr>
        <w:t xml:space="preserve"> (emphasis added)</w:t>
      </w:r>
      <w:r w:rsidRPr="00C77108">
        <w:rPr>
          <w:rFonts w:ascii="Palatino Linotype" w:hAnsi="Palatino Linotype"/>
        </w:rPr>
        <w:t>.</w:t>
      </w:r>
    </w:p>
  </w:footnote>
  <w:footnote w:id="5">
    <w:p w14:paraId="4F211B85" w14:textId="77777777" w:rsidR="00434E00" w:rsidRPr="004C1127" w:rsidRDefault="00434E00" w:rsidP="00B355AA">
      <w:pPr>
        <w:pStyle w:val="FootnoteText"/>
        <w:rPr>
          <w:rFonts w:ascii="Palatino Linotype" w:hAnsi="Palatino Linotype"/>
        </w:rPr>
      </w:pPr>
      <w:r w:rsidRPr="004C1127">
        <w:rPr>
          <w:rStyle w:val="FootnoteReference"/>
          <w:rFonts w:ascii="Palatino Linotype" w:hAnsi="Palatino Linotype"/>
        </w:rPr>
        <w:footnoteRef/>
      </w:r>
      <w:r w:rsidRPr="004C1127">
        <w:rPr>
          <w:rFonts w:ascii="Palatino Linotype" w:hAnsi="Palatino Linotype"/>
        </w:rPr>
        <w:t xml:space="preserve"> </w:t>
      </w:r>
      <w:proofErr w:type="gramStart"/>
      <w:r w:rsidRPr="004C1127">
        <w:rPr>
          <w:rFonts w:ascii="Palatino Linotype" w:hAnsi="Palatino Linotype"/>
        </w:rPr>
        <w:t>Interlocutory Appeal at 4.</w:t>
      </w:r>
      <w:proofErr w:type="gramEnd"/>
    </w:p>
  </w:footnote>
  <w:footnote w:id="6">
    <w:p w14:paraId="62B9B05F" w14:textId="75085226" w:rsidR="00434E00" w:rsidRPr="0003770B" w:rsidRDefault="00434E00" w:rsidP="0003770B">
      <w:pPr>
        <w:pStyle w:val="FootnoteText"/>
        <w:jc w:val="both"/>
        <w:rPr>
          <w:rFonts w:ascii="Palatino Linotype" w:hAnsi="Palatino Linotype"/>
        </w:rPr>
      </w:pPr>
      <w:r w:rsidRPr="0003770B">
        <w:rPr>
          <w:rStyle w:val="FootnoteReference"/>
          <w:rFonts w:ascii="Palatino Linotype" w:hAnsi="Palatino Linotype"/>
        </w:rPr>
        <w:footnoteRef/>
      </w:r>
      <w:r w:rsidRPr="0003770B">
        <w:rPr>
          <w:rFonts w:ascii="Palatino Linotype" w:hAnsi="Palatino Linotype"/>
        </w:rPr>
        <w:t xml:space="preserve"> That being the case, there is no need to discuss here HB 95 and the changes in the statutes that apply to alternative regulation applications. For a discussion of those matters, see Columbia’s Reply Memorandum filed in this docket on January 11, 2012.</w:t>
      </w:r>
    </w:p>
  </w:footnote>
  <w:footnote w:id="7">
    <w:p w14:paraId="2ECC71F2" w14:textId="53721F06" w:rsidR="00434E00" w:rsidRPr="008F3375" w:rsidRDefault="00434E00">
      <w:pPr>
        <w:pStyle w:val="FootnoteText"/>
        <w:rPr>
          <w:rFonts w:ascii="Palatino Linotype" w:hAnsi="Palatino Linotype"/>
        </w:rPr>
      </w:pPr>
      <w:r w:rsidRPr="008F3375">
        <w:rPr>
          <w:rStyle w:val="FootnoteReference"/>
          <w:rFonts w:ascii="Palatino Linotype" w:hAnsi="Palatino Linotype"/>
        </w:rPr>
        <w:footnoteRef/>
      </w:r>
      <w:r w:rsidRPr="008F3375">
        <w:rPr>
          <w:rFonts w:ascii="Palatino Linotype" w:hAnsi="Palatino Linotype"/>
        </w:rPr>
        <w:t xml:space="preserve"> </w:t>
      </w:r>
      <w:proofErr w:type="gramStart"/>
      <w:r w:rsidRPr="008F3375">
        <w:rPr>
          <w:rFonts w:ascii="Palatino Linotype" w:hAnsi="Palatino Linotype"/>
        </w:rPr>
        <w:t>Interlocutory Appeal at 7.</w:t>
      </w:r>
      <w:proofErr w:type="gramEnd"/>
    </w:p>
  </w:footnote>
  <w:footnote w:id="8">
    <w:p w14:paraId="65D55AF0" w14:textId="77777777" w:rsidR="00434E00" w:rsidRPr="004A6A0D" w:rsidRDefault="00434E00" w:rsidP="004B7757">
      <w:pPr>
        <w:pStyle w:val="FootnoteText"/>
        <w:rPr>
          <w:rFonts w:ascii="Palatino Linotype" w:hAnsi="Palatino Linotype"/>
        </w:rPr>
      </w:pPr>
      <w:r w:rsidRPr="004A6A0D">
        <w:rPr>
          <w:rStyle w:val="FootnoteReference"/>
          <w:rFonts w:ascii="Palatino Linotype" w:hAnsi="Palatino Linotype"/>
        </w:rPr>
        <w:footnoteRef/>
      </w:r>
      <w:r w:rsidRPr="004A6A0D">
        <w:rPr>
          <w:rFonts w:ascii="Palatino Linotype" w:hAnsi="Palatino Linotype"/>
        </w:rPr>
        <w:t xml:space="preserve"> </w:t>
      </w:r>
      <w:proofErr w:type="gramStart"/>
      <w:r w:rsidRPr="004A6A0D">
        <w:rPr>
          <w:rFonts w:ascii="Palatino Linotype" w:hAnsi="Palatino Linotype"/>
        </w:rPr>
        <w:t>Interlocutory Appeal at 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9FA"/>
    <w:multiLevelType w:val="hybridMultilevel"/>
    <w:tmpl w:val="9E8A82BC"/>
    <w:lvl w:ilvl="0" w:tplc="04090015">
      <w:start w:val="1"/>
      <w:numFmt w:val="upperLetter"/>
      <w:lvlText w:val="%1."/>
      <w:lvlJc w:val="left"/>
      <w:pPr>
        <w:tabs>
          <w:tab w:val="num" w:pos="720"/>
        </w:tabs>
        <w:ind w:left="720" w:hanging="360"/>
      </w:pPr>
      <w:rPr>
        <w:rFonts w:cs="Times New Roman" w:hint="default"/>
        <w:color w:val="auto"/>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1A782EEA"/>
    <w:multiLevelType w:val="hybridMultilevel"/>
    <w:tmpl w:val="67186156"/>
    <w:lvl w:ilvl="0" w:tplc="0A74752A">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5E26CA4"/>
    <w:multiLevelType w:val="hybridMultilevel"/>
    <w:tmpl w:val="E7402250"/>
    <w:lvl w:ilvl="0" w:tplc="04090001">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705B1D2A"/>
    <w:multiLevelType w:val="hybridMultilevel"/>
    <w:tmpl w:val="06E02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42"/>
    <w:rsid w:val="00000367"/>
    <w:rsid w:val="000153C2"/>
    <w:rsid w:val="000364A7"/>
    <w:rsid w:val="0003770B"/>
    <w:rsid w:val="000711E5"/>
    <w:rsid w:val="000827BA"/>
    <w:rsid w:val="000955B6"/>
    <w:rsid w:val="000A1F28"/>
    <w:rsid w:val="000A61D7"/>
    <w:rsid w:val="000B08A7"/>
    <w:rsid w:val="000B3FB6"/>
    <w:rsid w:val="000E684A"/>
    <w:rsid w:val="00120BDB"/>
    <w:rsid w:val="00123250"/>
    <w:rsid w:val="00135CE3"/>
    <w:rsid w:val="00136A22"/>
    <w:rsid w:val="00136F4E"/>
    <w:rsid w:val="001373FD"/>
    <w:rsid w:val="00140D00"/>
    <w:rsid w:val="001423EF"/>
    <w:rsid w:val="00170BC2"/>
    <w:rsid w:val="001757C7"/>
    <w:rsid w:val="001810E9"/>
    <w:rsid w:val="001A40FF"/>
    <w:rsid w:val="001E439C"/>
    <w:rsid w:val="001F1E91"/>
    <w:rsid w:val="001F2301"/>
    <w:rsid w:val="001F6551"/>
    <w:rsid w:val="001F69BB"/>
    <w:rsid w:val="00200ACC"/>
    <w:rsid w:val="002262E3"/>
    <w:rsid w:val="00242A9E"/>
    <w:rsid w:val="00247FAA"/>
    <w:rsid w:val="00255219"/>
    <w:rsid w:val="00255734"/>
    <w:rsid w:val="002811C5"/>
    <w:rsid w:val="002925F4"/>
    <w:rsid w:val="002D33F3"/>
    <w:rsid w:val="002D781E"/>
    <w:rsid w:val="002E7649"/>
    <w:rsid w:val="002E7A46"/>
    <w:rsid w:val="002F3DFB"/>
    <w:rsid w:val="0036397A"/>
    <w:rsid w:val="003B74A8"/>
    <w:rsid w:val="003B7E17"/>
    <w:rsid w:val="003C5A45"/>
    <w:rsid w:val="003C6947"/>
    <w:rsid w:val="003E4F37"/>
    <w:rsid w:val="004018D3"/>
    <w:rsid w:val="004058A7"/>
    <w:rsid w:val="00405C50"/>
    <w:rsid w:val="00416C9F"/>
    <w:rsid w:val="00434E00"/>
    <w:rsid w:val="00451E77"/>
    <w:rsid w:val="00454FA1"/>
    <w:rsid w:val="004562CE"/>
    <w:rsid w:val="004A6A0D"/>
    <w:rsid w:val="004B7757"/>
    <w:rsid w:val="004C1127"/>
    <w:rsid w:val="004E018D"/>
    <w:rsid w:val="004E0775"/>
    <w:rsid w:val="004E5BB7"/>
    <w:rsid w:val="0052269C"/>
    <w:rsid w:val="00531EA5"/>
    <w:rsid w:val="00533715"/>
    <w:rsid w:val="00562A22"/>
    <w:rsid w:val="00584F15"/>
    <w:rsid w:val="00594070"/>
    <w:rsid w:val="005955BD"/>
    <w:rsid w:val="005A01F8"/>
    <w:rsid w:val="005C22D6"/>
    <w:rsid w:val="005E46A9"/>
    <w:rsid w:val="005F5589"/>
    <w:rsid w:val="00622E57"/>
    <w:rsid w:val="0063022D"/>
    <w:rsid w:val="0063428F"/>
    <w:rsid w:val="0065147F"/>
    <w:rsid w:val="00662C41"/>
    <w:rsid w:val="0069064E"/>
    <w:rsid w:val="006A04C8"/>
    <w:rsid w:val="006A3B25"/>
    <w:rsid w:val="006B7AAE"/>
    <w:rsid w:val="006D547C"/>
    <w:rsid w:val="006E1611"/>
    <w:rsid w:val="006E3B45"/>
    <w:rsid w:val="0070541B"/>
    <w:rsid w:val="00713FAD"/>
    <w:rsid w:val="00736819"/>
    <w:rsid w:val="00756FFD"/>
    <w:rsid w:val="007A1835"/>
    <w:rsid w:val="007A4689"/>
    <w:rsid w:val="007B05F0"/>
    <w:rsid w:val="007E0F0F"/>
    <w:rsid w:val="007F668B"/>
    <w:rsid w:val="00805168"/>
    <w:rsid w:val="00811C96"/>
    <w:rsid w:val="0085656E"/>
    <w:rsid w:val="00861218"/>
    <w:rsid w:val="008850DF"/>
    <w:rsid w:val="00893F11"/>
    <w:rsid w:val="008B4FDB"/>
    <w:rsid w:val="008E3142"/>
    <w:rsid w:val="008F3375"/>
    <w:rsid w:val="00902FC4"/>
    <w:rsid w:val="00911B6F"/>
    <w:rsid w:val="009272C2"/>
    <w:rsid w:val="00932C7C"/>
    <w:rsid w:val="009332B5"/>
    <w:rsid w:val="00936A37"/>
    <w:rsid w:val="0095063C"/>
    <w:rsid w:val="0095258C"/>
    <w:rsid w:val="00972458"/>
    <w:rsid w:val="009737AF"/>
    <w:rsid w:val="00977552"/>
    <w:rsid w:val="00983926"/>
    <w:rsid w:val="00983E51"/>
    <w:rsid w:val="00993343"/>
    <w:rsid w:val="009A0D6F"/>
    <w:rsid w:val="009A2777"/>
    <w:rsid w:val="009B23E8"/>
    <w:rsid w:val="009D539D"/>
    <w:rsid w:val="009E0CAD"/>
    <w:rsid w:val="009F7D21"/>
    <w:rsid w:val="00A17CF6"/>
    <w:rsid w:val="00A36B12"/>
    <w:rsid w:val="00A5704C"/>
    <w:rsid w:val="00A649C6"/>
    <w:rsid w:val="00A65335"/>
    <w:rsid w:val="00A76862"/>
    <w:rsid w:val="00A776C2"/>
    <w:rsid w:val="00A82216"/>
    <w:rsid w:val="00AA2D1B"/>
    <w:rsid w:val="00AB04DF"/>
    <w:rsid w:val="00AE1182"/>
    <w:rsid w:val="00AE72B4"/>
    <w:rsid w:val="00AF284E"/>
    <w:rsid w:val="00AF531A"/>
    <w:rsid w:val="00B00E03"/>
    <w:rsid w:val="00B321A9"/>
    <w:rsid w:val="00B3408A"/>
    <w:rsid w:val="00B355AA"/>
    <w:rsid w:val="00B37D1D"/>
    <w:rsid w:val="00B520C0"/>
    <w:rsid w:val="00B96E23"/>
    <w:rsid w:val="00BD35D9"/>
    <w:rsid w:val="00BE40F1"/>
    <w:rsid w:val="00BF42C6"/>
    <w:rsid w:val="00BF4BCC"/>
    <w:rsid w:val="00BF60AD"/>
    <w:rsid w:val="00C15DFB"/>
    <w:rsid w:val="00C36B27"/>
    <w:rsid w:val="00C37399"/>
    <w:rsid w:val="00C37486"/>
    <w:rsid w:val="00C55E67"/>
    <w:rsid w:val="00C74F4F"/>
    <w:rsid w:val="00C83AAA"/>
    <w:rsid w:val="00C8763A"/>
    <w:rsid w:val="00C937CF"/>
    <w:rsid w:val="00D53248"/>
    <w:rsid w:val="00D71E27"/>
    <w:rsid w:val="00D9153F"/>
    <w:rsid w:val="00DA2AC0"/>
    <w:rsid w:val="00DC0EC3"/>
    <w:rsid w:val="00DD2CDB"/>
    <w:rsid w:val="00E44B39"/>
    <w:rsid w:val="00E51A33"/>
    <w:rsid w:val="00E62DD0"/>
    <w:rsid w:val="00E81C40"/>
    <w:rsid w:val="00E84345"/>
    <w:rsid w:val="00EE0B8A"/>
    <w:rsid w:val="00EE4AE6"/>
    <w:rsid w:val="00EE5EF1"/>
    <w:rsid w:val="00EF2404"/>
    <w:rsid w:val="00F30422"/>
    <w:rsid w:val="00F40D03"/>
    <w:rsid w:val="00F92999"/>
    <w:rsid w:val="00FE21CA"/>
    <w:rsid w:val="00FF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E0B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BD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EF2404"/>
    <w:pPr>
      <w:tabs>
        <w:tab w:val="center" w:pos="4320"/>
        <w:tab w:val="right" w:pos="8640"/>
      </w:tabs>
    </w:pPr>
  </w:style>
  <w:style w:type="paragraph" w:styleId="Footer">
    <w:name w:val="footer"/>
    <w:basedOn w:val="Normal"/>
    <w:rsid w:val="00EF2404"/>
    <w:pPr>
      <w:tabs>
        <w:tab w:val="center" w:pos="4320"/>
        <w:tab w:val="right" w:pos="8640"/>
      </w:tabs>
    </w:pPr>
  </w:style>
  <w:style w:type="character" w:styleId="Hyperlink">
    <w:name w:val="Hyperlink"/>
    <w:basedOn w:val="DefaultParagraphFont"/>
    <w:rsid w:val="009E0CAD"/>
    <w:rPr>
      <w:color w:val="0000FF" w:themeColor="hyperlink"/>
      <w:u w:val="single"/>
    </w:rPr>
  </w:style>
  <w:style w:type="paragraph" w:styleId="BalloonText">
    <w:name w:val="Balloon Text"/>
    <w:basedOn w:val="Normal"/>
    <w:link w:val="BalloonTextChar"/>
    <w:rsid w:val="00C74F4F"/>
    <w:rPr>
      <w:rFonts w:ascii="Tahoma" w:hAnsi="Tahoma" w:cs="Tahoma"/>
      <w:sz w:val="16"/>
      <w:szCs w:val="16"/>
    </w:rPr>
  </w:style>
  <w:style w:type="character" w:customStyle="1" w:styleId="BalloonTextChar">
    <w:name w:val="Balloon Text Char"/>
    <w:basedOn w:val="DefaultParagraphFont"/>
    <w:link w:val="BalloonText"/>
    <w:rsid w:val="00C74F4F"/>
    <w:rPr>
      <w:rFonts w:ascii="Tahoma" w:hAnsi="Tahoma" w:cs="Tahoma"/>
      <w:sz w:val="16"/>
      <w:szCs w:val="16"/>
    </w:rPr>
  </w:style>
  <w:style w:type="paragraph" w:styleId="ListParagraph">
    <w:name w:val="List Paragraph"/>
    <w:basedOn w:val="Normal"/>
    <w:uiPriority w:val="99"/>
    <w:qFormat/>
    <w:rsid w:val="00D9153F"/>
    <w:pPr>
      <w:widowControl/>
      <w:autoSpaceDE/>
      <w:autoSpaceDN/>
      <w:adjustRightInd/>
      <w:ind w:left="720"/>
      <w:contextualSpacing/>
    </w:pPr>
  </w:style>
  <w:style w:type="paragraph" w:styleId="FootnoteText">
    <w:name w:val="footnote text"/>
    <w:basedOn w:val="Normal"/>
    <w:link w:val="FootnoteTextChar"/>
    <w:uiPriority w:val="99"/>
    <w:rsid w:val="00D9153F"/>
    <w:pPr>
      <w:widowControl/>
      <w:autoSpaceDE/>
      <w:autoSpaceDN/>
      <w:adjustRightInd/>
    </w:pPr>
    <w:rPr>
      <w:sz w:val="20"/>
      <w:szCs w:val="20"/>
      <w:lang w:eastAsia="ko-KR"/>
    </w:rPr>
  </w:style>
  <w:style w:type="character" w:customStyle="1" w:styleId="FootnoteTextChar">
    <w:name w:val="Footnote Text Char"/>
    <w:basedOn w:val="DefaultParagraphFont"/>
    <w:link w:val="FootnoteText"/>
    <w:uiPriority w:val="99"/>
    <w:rsid w:val="00D9153F"/>
    <w:rPr>
      <w:lang w:eastAsia="ko-KR"/>
    </w:rPr>
  </w:style>
  <w:style w:type="table" w:styleId="TableGrid">
    <w:name w:val="Table Grid"/>
    <w:basedOn w:val="TableNormal"/>
    <w:uiPriority w:val="59"/>
    <w:rsid w:val="00AE118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BD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EF2404"/>
    <w:pPr>
      <w:tabs>
        <w:tab w:val="center" w:pos="4320"/>
        <w:tab w:val="right" w:pos="8640"/>
      </w:tabs>
    </w:pPr>
  </w:style>
  <w:style w:type="paragraph" w:styleId="Footer">
    <w:name w:val="footer"/>
    <w:basedOn w:val="Normal"/>
    <w:rsid w:val="00EF2404"/>
    <w:pPr>
      <w:tabs>
        <w:tab w:val="center" w:pos="4320"/>
        <w:tab w:val="right" w:pos="8640"/>
      </w:tabs>
    </w:pPr>
  </w:style>
  <w:style w:type="character" w:styleId="Hyperlink">
    <w:name w:val="Hyperlink"/>
    <w:basedOn w:val="DefaultParagraphFont"/>
    <w:rsid w:val="009E0CAD"/>
    <w:rPr>
      <w:color w:val="0000FF" w:themeColor="hyperlink"/>
      <w:u w:val="single"/>
    </w:rPr>
  </w:style>
  <w:style w:type="paragraph" w:styleId="BalloonText">
    <w:name w:val="Balloon Text"/>
    <w:basedOn w:val="Normal"/>
    <w:link w:val="BalloonTextChar"/>
    <w:rsid w:val="00C74F4F"/>
    <w:rPr>
      <w:rFonts w:ascii="Tahoma" w:hAnsi="Tahoma" w:cs="Tahoma"/>
      <w:sz w:val="16"/>
      <w:szCs w:val="16"/>
    </w:rPr>
  </w:style>
  <w:style w:type="character" w:customStyle="1" w:styleId="BalloonTextChar">
    <w:name w:val="Balloon Text Char"/>
    <w:basedOn w:val="DefaultParagraphFont"/>
    <w:link w:val="BalloonText"/>
    <w:rsid w:val="00C74F4F"/>
    <w:rPr>
      <w:rFonts w:ascii="Tahoma" w:hAnsi="Tahoma" w:cs="Tahoma"/>
      <w:sz w:val="16"/>
      <w:szCs w:val="16"/>
    </w:rPr>
  </w:style>
  <w:style w:type="paragraph" w:styleId="ListParagraph">
    <w:name w:val="List Paragraph"/>
    <w:basedOn w:val="Normal"/>
    <w:uiPriority w:val="99"/>
    <w:qFormat/>
    <w:rsid w:val="00D9153F"/>
    <w:pPr>
      <w:widowControl/>
      <w:autoSpaceDE/>
      <w:autoSpaceDN/>
      <w:adjustRightInd/>
      <w:ind w:left="720"/>
      <w:contextualSpacing/>
    </w:pPr>
  </w:style>
  <w:style w:type="paragraph" w:styleId="FootnoteText">
    <w:name w:val="footnote text"/>
    <w:basedOn w:val="Normal"/>
    <w:link w:val="FootnoteTextChar"/>
    <w:uiPriority w:val="99"/>
    <w:rsid w:val="00D9153F"/>
    <w:pPr>
      <w:widowControl/>
      <w:autoSpaceDE/>
      <w:autoSpaceDN/>
      <w:adjustRightInd/>
    </w:pPr>
    <w:rPr>
      <w:sz w:val="20"/>
      <w:szCs w:val="20"/>
      <w:lang w:eastAsia="ko-KR"/>
    </w:rPr>
  </w:style>
  <w:style w:type="character" w:customStyle="1" w:styleId="FootnoteTextChar">
    <w:name w:val="Footnote Text Char"/>
    <w:basedOn w:val="DefaultParagraphFont"/>
    <w:link w:val="FootnoteText"/>
    <w:uiPriority w:val="99"/>
    <w:rsid w:val="00D9153F"/>
    <w:rPr>
      <w:lang w:eastAsia="ko-KR"/>
    </w:rPr>
  </w:style>
  <w:style w:type="table" w:styleId="TableGrid">
    <w:name w:val="Table Grid"/>
    <w:basedOn w:val="TableNormal"/>
    <w:uiPriority w:val="59"/>
    <w:rsid w:val="00AE118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56C8-4542-4126-BD56-82C0CAB4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2012-05-10T14:00:00Z</dcterms:created>
  <dcterms:modified xsi:type="dcterms:W3CDTF">2012-05-10T14:00:00Z</dcterms:modified>
</cp:coreProperties>
</file>