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1E3B36" w:rsidRPr="00D32269" w:rsidP="001E3B36" w14:paraId="1122F49F" w14:textId="77777777">
      <w:pPr>
        <w:pStyle w:val="HTMLPreformatted"/>
        <w:jc w:val="center"/>
        <w:rPr>
          <w:rFonts w:ascii="Times New Roman" w:hAnsi="Times New Roman" w:cs="Times New Roman"/>
          <w:b/>
          <w:bCs/>
          <w:sz w:val="24"/>
          <w:szCs w:val="24"/>
        </w:rPr>
      </w:pPr>
      <w:r w:rsidRPr="00D32269">
        <w:rPr>
          <w:rFonts w:ascii="Times New Roman" w:hAnsi="Times New Roman" w:cs="Times New Roman"/>
          <w:b/>
          <w:bCs/>
          <w:sz w:val="24"/>
          <w:szCs w:val="24"/>
        </w:rPr>
        <w:t>BEFORE</w:t>
      </w:r>
    </w:p>
    <w:p w:rsidR="001E3B36" w:rsidRPr="00D32269" w:rsidP="001E3B36" w14:paraId="050F31D6" w14:textId="77777777">
      <w:pPr>
        <w:pStyle w:val="HTMLPreformatted"/>
        <w:jc w:val="center"/>
        <w:rPr>
          <w:rFonts w:ascii="Times New Roman" w:hAnsi="Times New Roman" w:cs="Times New Roman"/>
          <w:sz w:val="24"/>
          <w:szCs w:val="24"/>
        </w:rPr>
      </w:pPr>
      <w:r w:rsidRPr="00D32269">
        <w:rPr>
          <w:rFonts w:ascii="Times New Roman" w:hAnsi="Times New Roman" w:cs="Times New Roman"/>
          <w:b/>
          <w:bCs/>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14:paraId="675FBA54" w14:textId="77777777" w:rsidTr="00DD539A">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1E3B36" w:rsidRPr="00D32269" w:rsidP="00DD539A" w14:paraId="32F78974" w14:textId="77777777">
            <w:pPr>
              <w:autoSpaceDE w:val="0"/>
              <w:autoSpaceDN w:val="0"/>
              <w:adjustRightInd w:val="0"/>
              <w:rPr>
                <w:sz w:val="24"/>
                <w:szCs w:val="24"/>
                <w:lang w:val="en-US" w:eastAsia="en-US" w:bidi="ar-SA"/>
              </w:rPr>
            </w:pPr>
          </w:p>
          <w:p w:rsidR="001E3B36" w:rsidRPr="00D32269" w:rsidP="00DD539A" w14:paraId="5D60EF25"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of a Grid Modernization Business Plan.</w:t>
            </w:r>
          </w:p>
          <w:p w:rsidR="001E3B36" w:rsidRPr="00D32269" w:rsidP="00DD539A" w14:paraId="6AC34DA2" w14:textId="77777777">
            <w:pPr>
              <w:autoSpaceDE w:val="0"/>
              <w:autoSpaceDN w:val="0"/>
              <w:adjustRightInd w:val="0"/>
              <w:rPr>
                <w:sz w:val="24"/>
                <w:szCs w:val="24"/>
                <w:lang w:val="en-US" w:eastAsia="en-US" w:bidi="ar-SA"/>
              </w:rPr>
            </w:pPr>
          </w:p>
          <w:p w:rsidR="001E3B36" w:rsidRPr="00D32269" w:rsidP="00DD539A" w14:paraId="61862EF8" w14:textId="77777777">
            <w:pPr>
              <w:autoSpaceDE w:val="0"/>
              <w:autoSpaceDN w:val="0"/>
              <w:adjustRightInd w:val="0"/>
              <w:rPr>
                <w:sz w:val="24"/>
                <w:szCs w:val="24"/>
                <w:lang w:val="en-US" w:eastAsia="en-US" w:bidi="ar-SA"/>
              </w:rPr>
            </w:pPr>
            <w:r w:rsidRPr="00D32269">
              <w:rPr>
                <w:sz w:val="24"/>
                <w:szCs w:val="24"/>
                <w:lang w:val="en-US" w:eastAsia="en-US" w:bidi="ar-SA"/>
              </w:rPr>
              <w:t>In the Matter of the Filing by Ohio Edison Company, The Cleveland Electric Illuminating Company, and The Toledo Edison Company Application for Approval of a Distribution Platform Modernization Plan.</w:t>
            </w:r>
          </w:p>
          <w:p w:rsidR="001E3B36" w:rsidRPr="00D32269" w:rsidP="00DD539A" w14:paraId="73C4C83E" w14:textId="77777777">
            <w:pPr>
              <w:autoSpaceDE w:val="0"/>
              <w:autoSpaceDN w:val="0"/>
              <w:adjustRightInd w:val="0"/>
              <w:rPr>
                <w:sz w:val="24"/>
                <w:szCs w:val="24"/>
                <w:lang w:val="en-US" w:eastAsia="en-US" w:bidi="ar-SA"/>
              </w:rPr>
            </w:pPr>
          </w:p>
          <w:p w:rsidR="001E3B36" w:rsidRPr="00D32269" w:rsidP="00DD539A" w14:paraId="5F42DECB"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1E3B36" w:rsidRPr="00D32269" w:rsidP="00DD539A" w14:paraId="2369FDB8" w14:textId="77777777">
            <w:pPr>
              <w:autoSpaceDE w:val="0"/>
              <w:autoSpaceDN w:val="0"/>
              <w:adjustRightInd w:val="0"/>
              <w:rPr>
                <w:sz w:val="24"/>
                <w:szCs w:val="24"/>
                <w:lang w:val="en-US" w:eastAsia="en-US" w:bidi="ar-SA"/>
              </w:rPr>
            </w:pPr>
          </w:p>
          <w:p w:rsidR="001E3B36" w:rsidRPr="00D32269" w:rsidP="00DD539A" w14:paraId="34374BDE"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for Approval of a Tariff Change.</w:t>
            </w:r>
          </w:p>
        </w:tc>
        <w:tc>
          <w:tcPr>
            <w:tcW w:w="360" w:type="dxa"/>
            <w:shd w:val="clear" w:color="auto" w:fill="auto"/>
          </w:tcPr>
          <w:p w:rsidR="001E3B36" w:rsidRPr="00D32269" w:rsidP="00DD539A" w14:paraId="48665D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1A11D6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396295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160C763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77208F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372542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2B65B8F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787677B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73DB44A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3DE4A14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070C74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03E857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037A29D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00A45B4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C4E66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26BBF6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13EBA94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r w:rsidRPr="00D32269">
              <w:rPr>
                <w:rFonts w:ascii="Times New Roman" w:eastAsia="Courier New" w:hAnsi="Times New Roman" w:cs="Times New Roman"/>
                <w:sz w:val="24"/>
                <w:szCs w:val="24"/>
                <w:lang w:val="en-US" w:eastAsia="en-US" w:bidi="ar-SA"/>
              </w:rPr>
              <w:br/>
              <w:t>)</w:t>
            </w:r>
          </w:p>
          <w:p w:rsidR="001E3B36" w:rsidRPr="00D32269" w:rsidP="00DD539A" w14:paraId="52CA8F9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3FF288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5659C3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4CB64C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08AB32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2AC0F10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46EC2E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E3B36" w:rsidRPr="00D32269" w:rsidP="00DD539A" w14:paraId="6DC2C5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tc>
        <w:tc>
          <w:tcPr>
            <w:tcW w:w="4400" w:type="dxa"/>
            <w:shd w:val="clear" w:color="auto" w:fill="auto"/>
          </w:tcPr>
          <w:p w:rsidR="001E3B36" w:rsidRPr="00D32269" w:rsidP="00DD539A" w14:paraId="6414C1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0B57A7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CB257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20CD04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16-481-EL-UNC</w:t>
            </w:r>
          </w:p>
          <w:p w:rsidR="001E3B36" w:rsidRPr="00D32269" w:rsidP="00DD539A" w14:paraId="74423E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2C7213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2F6B9B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4E26B7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E4C3C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0DADD70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611FF0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17-2436-EL-UNC</w:t>
            </w:r>
          </w:p>
          <w:p w:rsidR="001E3B36" w:rsidRPr="00D32269" w:rsidP="00DD539A" w14:paraId="2167C0F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2461F7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5D5C1A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1739D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B5B7D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3FF2B8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5D9B5EA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18-1604-EL-UNC</w:t>
            </w:r>
          </w:p>
          <w:p w:rsidR="001E3B36" w:rsidRPr="00D32269" w:rsidP="00DD539A" w14:paraId="2C8C34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19D6F0F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65E611A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46405E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2E765A1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D32269" w:rsidP="00DD539A" w14:paraId="0D6B45C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18-1656-EL-UNC</w:t>
            </w:r>
          </w:p>
        </w:tc>
      </w:tr>
    </w:tbl>
    <w:p w:rsidR="001E3B36" w:rsidRPr="00D32269" w:rsidP="001E3B36" w14:paraId="5E7C11B7" w14:textId="77777777">
      <w:pPr>
        <w:pStyle w:val="HTMLPreformatted"/>
        <w:rPr>
          <w:rFonts w:ascii="Times New Roman" w:hAnsi="Times New Roman" w:cs="Times New Roman"/>
          <w:sz w:val="24"/>
          <w:szCs w:val="24"/>
        </w:rPr>
      </w:pPr>
    </w:p>
    <w:p w:rsidR="001E3B36" w:rsidRPr="00D32269" w:rsidP="001E3B36" w14:paraId="58C07438" w14:textId="77777777">
      <w:pPr>
        <w:pStyle w:val="HTMLPreformatted"/>
        <w:pBdr>
          <w:top w:val="single" w:sz="12" w:space="1" w:color="auto"/>
        </w:pBdr>
        <w:rPr>
          <w:rFonts w:ascii="Times New Roman" w:hAnsi="Times New Roman" w:cs="Times New Roman"/>
          <w:sz w:val="24"/>
          <w:szCs w:val="24"/>
        </w:rPr>
      </w:pPr>
    </w:p>
    <w:p w:rsidR="001E3B36" w:rsidRPr="00D32269" w:rsidP="001E3B36" w14:paraId="6A3760E8" w14:textId="38D2C4E6">
      <w:pPr>
        <w:jc w:val="center"/>
        <w:rPr>
          <w:b/>
          <w:bCs/>
          <w:szCs w:val="24"/>
        </w:rPr>
      </w:pPr>
      <w:r w:rsidRPr="00D32269">
        <w:rPr>
          <w:b/>
          <w:bCs/>
          <w:szCs w:val="24"/>
        </w:rPr>
        <w:t xml:space="preserve">REPLY </w:t>
      </w:r>
      <w:r w:rsidRPr="00D32269" w:rsidR="00E90D6F">
        <w:rPr>
          <w:b/>
          <w:bCs/>
          <w:szCs w:val="24"/>
        </w:rPr>
        <w:t xml:space="preserve">COMMENTS FOR CONSUMER PROTECTION </w:t>
      </w:r>
    </w:p>
    <w:p w:rsidR="001E3B36" w:rsidRPr="00D32269" w:rsidP="001E3B36" w14:paraId="698D98F1" w14:textId="77777777">
      <w:pPr>
        <w:jc w:val="center"/>
        <w:rPr>
          <w:b/>
          <w:bCs/>
          <w:szCs w:val="24"/>
        </w:rPr>
      </w:pPr>
      <w:r w:rsidRPr="00D32269">
        <w:rPr>
          <w:b/>
          <w:bCs/>
          <w:szCs w:val="24"/>
        </w:rPr>
        <w:t>BY</w:t>
      </w:r>
    </w:p>
    <w:p w:rsidR="001E3B36" w:rsidRPr="00D32269" w:rsidP="001E3B36" w14:paraId="78314EA2" w14:textId="77777777">
      <w:pPr>
        <w:jc w:val="center"/>
        <w:rPr>
          <w:b/>
          <w:bCs/>
          <w:szCs w:val="24"/>
        </w:rPr>
      </w:pPr>
      <w:r w:rsidRPr="00D32269">
        <w:rPr>
          <w:b/>
          <w:bCs/>
          <w:szCs w:val="24"/>
        </w:rPr>
        <w:t>OFFICE OF THE OHIO CONSUMERS’ COUNSEL</w:t>
      </w:r>
    </w:p>
    <w:p w:rsidR="001E3B36" w:rsidRPr="00D32269" w:rsidP="001E3B36" w14:paraId="16A28B13" w14:textId="77777777">
      <w:pPr>
        <w:pBdr>
          <w:bottom w:val="single" w:sz="12" w:space="1" w:color="auto"/>
        </w:pBdr>
        <w:tabs>
          <w:tab w:val="left" w:pos="4320"/>
        </w:tabs>
        <w:rPr>
          <w:szCs w:val="24"/>
        </w:rPr>
      </w:pPr>
    </w:p>
    <w:p w:rsidR="001E3B36" w:rsidRPr="00D32269" w14:paraId="022666CF" w14:textId="77777777">
      <w:pPr>
        <w:pStyle w:val="HTMLPreformatted"/>
        <w:jc w:val="center"/>
        <w:rPr>
          <w:rFonts w:ascii="Times New Roman" w:hAnsi="Times New Roman" w:cs="Times New Roman"/>
          <w:b/>
          <w:bCs/>
          <w:sz w:val="24"/>
          <w:szCs w:val="24"/>
        </w:rPr>
      </w:pPr>
    </w:p>
    <w:p w:rsidR="001E3B36" w:rsidRPr="00D32269" w:rsidP="001E3B36" w14:paraId="1642C268" w14:textId="77777777">
      <w:pPr>
        <w:pStyle w:val="Footer"/>
        <w:tabs>
          <w:tab w:val="clear" w:pos="4320"/>
          <w:tab w:val="clear" w:pos="8640"/>
        </w:tabs>
        <w:ind w:left="4320"/>
        <w:rPr>
          <w:sz w:val="24"/>
          <w:szCs w:val="24"/>
        </w:rPr>
      </w:pPr>
      <w:r w:rsidRPr="00D32269">
        <w:rPr>
          <w:sz w:val="24"/>
          <w:szCs w:val="24"/>
        </w:rPr>
        <w:t>Bruce Weston (0016973)</w:t>
      </w:r>
    </w:p>
    <w:p w:rsidR="001E3B36" w:rsidRPr="00D32269" w:rsidP="001E3B36" w14:paraId="1A28D3E5" w14:textId="77777777">
      <w:pPr>
        <w:pStyle w:val="Footer"/>
        <w:tabs>
          <w:tab w:val="clear" w:pos="4320"/>
          <w:tab w:val="clear" w:pos="8640"/>
        </w:tabs>
        <w:ind w:left="4320"/>
        <w:rPr>
          <w:sz w:val="24"/>
          <w:szCs w:val="24"/>
        </w:rPr>
      </w:pPr>
      <w:r w:rsidRPr="00D32269">
        <w:rPr>
          <w:sz w:val="24"/>
          <w:szCs w:val="24"/>
        </w:rPr>
        <w:t>Ohio Consumer’s Counsel</w:t>
      </w:r>
    </w:p>
    <w:p w:rsidR="001E3B36" w:rsidRPr="00D32269" w:rsidP="001E3B36" w14:paraId="2B55C6F1" w14:textId="77777777">
      <w:pPr>
        <w:pStyle w:val="Footer"/>
        <w:tabs>
          <w:tab w:val="left" w:pos="4320"/>
          <w:tab w:val="clear" w:pos="8640"/>
        </w:tabs>
        <w:ind w:left="3600"/>
        <w:rPr>
          <w:sz w:val="24"/>
          <w:szCs w:val="24"/>
        </w:rPr>
      </w:pPr>
    </w:p>
    <w:p w:rsidR="001E3B36" w:rsidRPr="00D32269" w:rsidP="001E3B36" w14:paraId="53892556" w14:textId="77777777">
      <w:pPr>
        <w:tabs>
          <w:tab w:val="left" w:pos="4320"/>
        </w:tabs>
        <w:ind w:left="4320"/>
        <w:rPr>
          <w:szCs w:val="24"/>
        </w:rPr>
      </w:pPr>
      <w:r w:rsidRPr="00D32269">
        <w:rPr>
          <w:szCs w:val="24"/>
        </w:rPr>
        <w:t>Angela D. O’Brien (0097579)</w:t>
      </w:r>
    </w:p>
    <w:p w:rsidR="001E3B36" w:rsidRPr="00D32269" w:rsidP="001E3B36" w14:paraId="4F6A37BF" w14:textId="77777777">
      <w:pPr>
        <w:tabs>
          <w:tab w:val="left" w:pos="4320"/>
        </w:tabs>
        <w:ind w:left="4320"/>
        <w:rPr>
          <w:szCs w:val="24"/>
        </w:rPr>
      </w:pPr>
      <w:r w:rsidRPr="00D32269">
        <w:rPr>
          <w:szCs w:val="24"/>
        </w:rPr>
        <w:t>Counsel of Record</w:t>
      </w:r>
    </w:p>
    <w:p w:rsidR="001E3B36" w:rsidRPr="00D32269" w:rsidP="001E3B36" w14:paraId="38E97C9E" w14:textId="77777777">
      <w:pPr>
        <w:tabs>
          <w:tab w:val="left" w:pos="4320"/>
        </w:tabs>
        <w:ind w:left="4320"/>
        <w:rPr>
          <w:szCs w:val="24"/>
        </w:rPr>
      </w:pPr>
      <w:r w:rsidRPr="00D32269">
        <w:rPr>
          <w:szCs w:val="24"/>
        </w:rPr>
        <w:t>Deputy Consumers’ Counsel</w:t>
      </w:r>
    </w:p>
    <w:p w:rsidR="001E3B36" w:rsidRPr="00D32269" w:rsidP="001E3B36" w14:paraId="705E9841" w14:textId="77777777">
      <w:pPr>
        <w:tabs>
          <w:tab w:val="left" w:pos="4320"/>
        </w:tabs>
        <w:ind w:left="4320"/>
        <w:rPr>
          <w:szCs w:val="24"/>
        </w:rPr>
      </w:pPr>
    </w:p>
    <w:p w:rsidR="001E3B36" w:rsidRPr="00D32269" w:rsidP="001E3B36" w14:paraId="7803F42A" w14:textId="77777777">
      <w:pPr>
        <w:ind w:firstLine="4320"/>
        <w:rPr>
          <w:b/>
          <w:bCs/>
          <w:szCs w:val="24"/>
        </w:rPr>
      </w:pPr>
      <w:r w:rsidRPr="00D32269">
        <w:rPr>
          <w:b/>
          <w:bCs/>
          <w:szCs w:val="24"/>
        </w:rPr>
        <w:t>Office of the Ohio Consumers' Counsel</w:t>
      </w:r>
    </w:p>
    <w:p w:rsidR="001E3B36" w:rsidRPr="00D32269" w:rsidP="001E3B36" w14:paraId="4ABAE784" w14:textId="77777777">
      <w:pPr>
        <w:ind w:firstLine="4320"/>
        <w:rPr>
          <w:b/>
          <w:szCs w:val="24"/>
        </w:rPr>
      </w:pPr>
      <w:r w:rsidRPr="00D32269">
        <w:rPr>
          <w:szCs w:val="24"/>
        </w:rPr>
        <w:t>65 East State Street, Suite 700</w:t>
      </w:r>
    </w:p>
    <w:p w:rsidR="001E3B36" w:rsidRPr="00D32269" w:rsidP="001E3B36" w14:paraId="7F50A152" w14:textId="77777777">
      <w:pPr>
        <w:ind w:firstLine="4320"/>
        <w:rPr>
          <w:b/>
          <w:szCs w:val="24"/>
        </w:rPr>
      </w:pPr>
      <w:r w:rsidRPr="00D32269">
        <w:rPr>
          <w:szCs w:val="24"/>
        </w:rPr>
        <w:t>Columbus, Ohio 43215</w:t>
      </w:r>
    </w:p>
    <w:p w:rsidR="001E3B36" w:rsidRPr="00D32269" w:rsidP="001E3B36" w14:paraId="5349B5FB" w14:textId="77777777">
      <w:pPr>
        <w:ind w:firstLine="4320"/>
        <w:rPr>
          <w:szCs w:val="24"/>
        </w:rPr>
      </w:pPr>
      <w:r w:rsidRPr="00D32269">
        <w:rPr>
          <w:szCs w:val="24"/>
        </w:rPr>
        <w:t>Telephone: [O’Brien] (614) 466-9531</w:t>
      </w:r>
    </w:p>
    <w:p w:rsidR="001545AA" w:rsidRPr="00D32269" w:rsidP="001E3B36" w14:paraId="758515E5" w14:textId="77777777">
      <w:pPr>
        <w:ind w:left="4320"/>
        <w:rPr>
          <w:rStyle w:val="Hyperlink"/>
          <w:szCs w:val="24"/>
        </w:rPr>
      </w:pPr>
      <w:hyperlink r:id="rId6" w:history="1">
        <w:r w:rsidRPr="00D32269" w:rsidR="001E3B36">
          <w:rPr>
            <w:rStyle w:val="Hyperlink"/>
            <w:szCs w:val="24"/>
          </w:rPr>
          <w:t>angela.obrien@occ.ohio.gov</w:t>
        </w:r>
      </w:hyperlink>
    </w:p>
    <w:p w:rsidR="001E3B36" w:rsidRPr="00D32269" w:rsidP="001545AA" w14:paraId="57BD6B1F" w14:textId="6D59CDB6">
      <w:pPr>
        <w:ind w:left="4320" w:hanging="4320"/>
        <w:rPr>
          <w:color w:val="0000FF"/>
          <w:szCs w:val="24"/>
          <w:u w:val="single"/>
        </w:rPr>
      </w:pPr>
      <w:r w:rsidRPr="00D32269">
        <w:rPr>
          <w:rStyle w:val="Hyperlink"/>
          <w:color w:val="auto"/>
          <w:szCs w:val="24"/>
          <w:u w:val="none"/>
        </w:rPr>
        <w:t xml:space="preserve">August </w:t>
      </w:r>
      <w:r w:rsidRPr="00D32269" w:rsidR="00691A80">
        <w:rPr>
          <w:rStyle w:val="Hyperlink"/>
          <w:color w:val="auto"/>
          <w:szCs w:val="24"/>
          <w:u w:val="none"/>
        </w:rPr>
        <w:t>25</w:t>
      </w:r>
      <w:r w:rsidRPr="00D32269">
        <w:rPr>
          <w:rStyle w:val="Hyperlink"/>
          <w:color w:val="auto"/>
          <w:szCs w:val="24"/>
          <w:u w:val="none"/>
        </w:rPr>
        <w:t>, 2023</w:t>
      </w:r>
      <w:r w:rsidRPr="00D32269">
        <w:rPr>
          <w:szCs w:val="24"/>
        </w:rPr>
        <w:tab/>
        <w:t>(willing to accept service by e-mail)</w:t>
      </w:r>
    </w:p>
    <w:p w:rsidR="00057887" w:rsidRPr="00D32269" w14:paraId="115FD6FE" w14:textId="77777777">
      <w:pPr>
        <w:pStyle w:val="HTMLPreformatted"/>
        <w:jc w:val="center"/>
        <w:rPr>
          <w:rFonts w:ascii="Times New Roman" w:hAnsi="Times New Roman" w:cs="Times New Roman"/>
          <w:b/>
          <w:bCs/>
          <w:sz w:val="24"/>
          <w:szCs w:val="24"/>
        </w:rPr>
        <w:sectPr w:rsidSect="0072695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057887" w:rsidRPr="00D32269" w:rsidP="00057887" w14:paraId="38634C2D" w14:textId="77777777">
      <w:pPr>
        <w:widowControl w:val="0"/>
        <w:jc w:val="center"/>
        <w:rPr>
          <w:b/>
          <w:bCs/>
          <w:szCs w:val="24"/>
          <w:u w:val="single"/>
        </w:rPr>
      </w:pPr>
      <w:r w:rsidRPr="00D32269">
        <w:rPr>
          <w:b/>
          <w:bCs/>
          <w:szCs w:val="24"/>
          <w:u w:val="single"/>
        </w:rPr>
        <w:t>TABLE OF CONTENTS</w:t>
      </w:r>
    </w:p>
    <w:p w:rsidR="00057887" w:rsidRPr="00D32269" w:rsidP="00057887" w14:paraId="546E1E28" w14:textId="77777777">
      <w:pPr>
        <w:widowControl w:val="0"/>
        <w:ind w:left="720"/>
        <w:jc w:val="center"/>
        <w:rPr>
          <w:b/>
          <w:bCs/>
          <w:szCs w:val="24"/>
          <w:u w:val="single"/>
        </w:rPr>
      </w:pPr>
    </w:p>
    <w:p w:rsidR="00057887" w:rsidRPr="00D32269" w:rsidP="00057887" w14:paraId="1F87CD22" w14:textId="77777777">
      <w:pPr>
        <w:widowControl w:val="0"/>
        <w:ind w:left="720"/>
        <w:jc w:val="right"/>
        <w:rPr>
          <w:b/>
          <w:bCs/>
          <w:szCs w:val="24"/>
        </w:rPr>
      </w:pPr>
      <w:r w:rsidRPr="00D32269">
        <w:rPr>
          <w:b/>
          <w:bCs/>
          <w:szCs w:val="24"/>
        </w:rPr>
        <w:t>PAGE</w:t>
      </w:r>
    </w:p>
    <w:p w:rsidR="00057887" w:rsidRPr="00D32269" w:rsidP="00057887" w14:paraId="37D55AB5" w14:textId="77777777">
      <w:pPr>
        <w:widowControl w:val="0"/>
        <w:ind w:left="720"/>
        <w:jc w:val="right"/>
        <w:rPr>
          <w:b/>
          <w:bCs/>
          <w:szCs w:val="24"/>
        </w:rPr>
      </w:pPr>
    </w:p>
    <w:p w:rsidR="009D3740" w14:paraId="6E97D0AD" w14:textId="4C852D47">
      <w:pPr>
        <w:pStyle w:val="TOC1"/>
        <w:rPr>
          <w:rFonts w:asciiTheme="minorHAnsi" w:eastAsiaTheme="minorEastAsia" w:hAnsiTheme="minorHAnsi"/>
          <w:noProof/>
          <w:kern w:val="2"/>
          <w:sz w:val="22"/>
          <w14:ligatures w14:val="standardContextual"/>
        </w:rPr>
      </w:pPr>
      <w:r w:rsidRPr="00D32269">
        <w:rPr>
          <w:rFonts w:cs="Times New Roman"/>
          <w:szCs w:val="24"/>
        </w:rPr>
        <w:fldChar w:fldCharType="begin"/>
      </w:r>
      <w:r w:rsidRPr="00D32269">
        <w:rPr>
          <w:rFonts w:cs="Times New Roman"/>
          <w:szCs w:val="24"/>
        </w:rPr>
        <w:instrText xml:space="preserve"> TOC \o "1-4" \h \z \u </w:instrText>
      </w:r>
      <w:r w:rsidRPr="00D32269">
        <w:rPr>
          <w:rFonts w:cs="Times New Roman"/>
          <w:szCs w:val="24"/>
        </w:rPr>
        <w:fldChar w:fldCharType="separate"/>
      </w:r>
      <w:hyperlink w:anchor="_Toc143874987" w:history="1">
        <w:r w:rsidRPr="00B55CA9">
          <w:rPr>
            <w:rStyle w:val="Hyperlink"/>
            <w:noProof/>
          </w:rPr>
          <w:t>I.</w:t>
        </w:r>
        <w:r>
          <w:rPr>
            <w:rFonts w:asciiTheme="minorHAnsi" w:eastAsiaTheme="minorEastAsia" w:hAnsiTheme="minorHAnsi"/>
            <w:noProof/>
            <w:kern w:val="2"/>
            <w:sz w:val="22"/>
            <w14:ligatures w14:val="standardContextual"/>
          </w:rPr>
          <w:tab/>
        </w:r>
        <w:r w:rsidRPr="00B55CA9">
          <w:rPr>
            <w:rStyle w:val="Hyperlink"/>
            <w:noProof/>
          </w:rPr>
          <w:t>INTRODUCTION</w:t>
        </w:r>
        <w:r>
          <w:rPr>
            <w:noProof/>
            <w:webHidden/>
          </w:rPr>
          <w:tab/>
        </w:r>
        <w:r>
          <w:rPr>
            <w:noProof/>
            <w:webHidden/>
          </w:rPr>
          <w:fldChar w:fldCharType="begin"/>
        </w:r>
        <w:r>
          <w:rPr>
            <w:noProof/>
            <w:webHidden/>
          </w:rPr>
          <w:instrText xml:space="preserve"> PAGEREF _Toc143874987 \h </w:instrText>
        </w:r>
        <w:r>
          <w:rPr>
            <w:noProof/>
            <w:webHidden/>
          </w:rPr>
          <w:fldChar w:fldCharType="separate"/>
        </w:r>
        <w:r>
          <w:rPr>
            <w:noProof/>
            <w:webHidden/>
          </w:rPr>
          <w:t>1</w:t>
        </w:r>
        <w:r>
          <w:rPr>
            <w:noProof/>
            <w:webHidden/>
          </w:rPr>
          <w:fldChar w:fldCharType="end"/>
        </w:r>
      </w:hyperlink>
    </w:p>
    <w:p w:rsidR="009D3740" w14:paraId="512D6A3E" w14:textId="4E97EF98">
      <w:pPr>
        <w:pStyle w:val="TOC1"/>
        <w:rPr>
          <w:rFonts w:asciiTheme="minorHAnsi" w:eastAsiaTheme="minorEastAsia" w:hAnsiTheme="minorHAnsi"/>
          <w:noProof/>
          <w:kern w:val="2"/>
          <w:sz w:val="22"/>
          <w14:ligatures w14:val="standardContextual"/>
        </w:rPr>
      </w:pPr>
      <w:hyperlink w:anchor="_Toc143874988" w:history="1">
        <w:r w:rsidRPr="00B55CA9">
          <w:rPr>
            <w:rStyle w:val="Hyperlink"/>
            <w:noProof/>
          </w:rPr>
          <w:t>II.</w:t>
        </w:r>
        <w:r>
          <w:rPr>
            <w:rFonts w:asciiTheme="minorHAnsi" w:eastAsiaTheme="minorEastAsia" w:hAnsiTheme="minorHAnsi"/>
            <w:noProof/>
            <w:kern w:val="2"/>
            <w:sz w:val="22"/>
            <w14:ligatures w14:val="standardContextual"/>
          </w:rPr>
          <w:tab/>
        </w:r>
        <w:r w:rsidRPr="00B55CA9">
          <w:rPr>
            <w:rStyle w:val="Hyperlink"/>
            <w:noProof/>
          </w:rPr>
          <w:t>RECOMMENDATIONS</w:t>
        </w:r>
        <w:r>
          <w:rPr>
            <w:noProof/>
            <w:webHidden/>
          </w:rPr>
          <w:tab/>
        </w:r>
        <w:r>
          <w:rPr>
            <w:noProof/>
            <w:webHidden/>
          </w:rPr>
          <w:fldChar w:fldCharType="begin"/>
        </w:r>
        <w:r>
          <w:rPr>
            <w:noProof/>
            <w:webHidden/>
          </w:rPr>
          <w:instrText xml:space="preserve"> PAGEREF _Toc143874988 \h </w:instrText>
        </w:r>
        <w:r>
          <w:rPr>
            <w:noProof/>
            <w:webHidden/>
          </w:rPr>
          <w:fldChar w:fldCharType="separate"/>
        </w:r>
        <w:r>
          <w:rPr>
            <w:noProof/>
            <w:webHidden/>
          </w:rPr>
          <w:t>4</w:t>
        </w:r>
        <w:r>
          <w:rPr>
            <w:noProof/>
            <w:webHidden/>
          </w:rPr>
          <w:fldChar w:fldCharType="end"/>
        </w:r>
      </w:hyperlink>
    </w:p>
    <w:p w:rsidR="009D3740" w14:paraId="5651ADDB" w14:textId="595F4809">
      <w:pPr>
        <w:pStyle w:val="TOC2"/>
        <w:rPr>
          <w:rFonts w:asciiTheme="minorHAnsi" w:eastAsiaTheme="minorEastAsia" w:hAnsiTheme="minorHAnsi"/>
          <w:noProof/>
          <w:kern w:val="2"/>
          <w:sz w:val="22"/>
          <w14:ligatures w14:val="standardContextual"/>
        </w:rPr>
      </w:pPr>
      <w:hyperlink w:anchor="_Toc143874989" w:history="1">
        <w:r w:rsidRPr="00B55CA9">
          <w:rPr>
            <w:rStyle w:val="Hyperlink"/>
            <w:bCs/>
            <w:noProof/>
          </w:rPr>
          <w:t>A.</w:t>
        </w:r>
        <w:r>
          <w:rPr>
            <w:rFonts w:asciiTheme="minorHAnsi" w:eastAsiaTheme="minorEastAsia" w:hAnsiTheme="minorHAnsi"/>
            <w:noProof/>
            <w:kern w:val="2"/>
            <w:sz w:val="22"/>
            <w14:ligatures w14:val="standardContextual"/>
          </w:rPr>
          <w:tab/>
        </w:r>
        <w:r w:rsidRPr="00B55CA9">
          <w:rPr>
            <w:rStyle w:val="Hyperlink"/>
            <w:noProof/>
          </w:rPr>
          <w:t xml:space="preserve">The PUCO should not continue charging consumers for Grid </w:t>
        </w:r>
        <w:r>
          <w:rPr>
            <w:rStyle w:val="Hyperlink"/>
            <w:noProof/>
          </w:rPr>
          <w:br/>
        </w:r>
        <w:r w:rsidRPr="00B55CA9">
          <w:rPr>
            <w:rStyle w:val="Hyperlink"/>
            <w:noProof/>
          </w:rPr>
          <w:t xml:space="preserve">Mod I investments until the PUCO has determined the </w:t>
        </w:r>
        <w:r>
          <w:rPr>
            <w:rStyle w:val="Hyperlink"/>
            <w:noProof/>
          </w:rPr>
          <w:br/>
        </w:r>
        <w:r w:rsidRPr="00B55CA9">
          <w:rPr>
            <w:rStyle w:val="Hyperlink"/>
            <w:noProof/>
          </w:rPr>
          <w:t xml:space="preserve">investments are used and useful. The PUCO should refund </w:t>
        </w:r>
        <w:r>
          <w:rPr>
            <w:rStyle w:val="Hyperlink"/>
            <w:noProof/>
          </w:rPr>
          <w:br/>
        </w:r>
        <w:r w:rsidRPr="00B55CA9">
          <w:rPr>
            <w:rStyle w:val="Hyperlink"/>
            <w:noProof/>
          </w:rPr>
          <w:t xml:space="preserve">prior charges to consumers if FirstEnergy’s investment in Grid </w:t>
        </w:r>
        <w:r>
          <w:rPr>
            <w:rStyle w:val="Hyperlink"/>
            <w:noProof/>
          </w:rPr>
          <w:br/>
        </w:r>
        <w:r w:rsidRPr="00B55CA9">
          <w:rPr>
            <w:rStyle w:val="Hyperlink"/>
            <w:noProof/>
          </w:rPr>
          <w:t xml:space="preserve">Mod I is not demonstrated to be both “used and useful” to </w:t>
        </w:r>
        <w:r>
          <w:rPr>
            <w:rStyle w:val="Hyperlink"/>
            <w:noProof/>
          </w:rPr>
          <w:br/>
        </w:r>
        <w:r w:rsidRPr="00B55CA9">
          <w:rPr>
            <w:rStyle w:val="Hyperlink"/>
            <w:noProof/>
          </w:rPr>
          <w:t>consumers.</w:t>
        </w:r>
        <w:r>
          <w:rPr>
            <w:noProof/>
            <w:webHidden/>
          </w:rPr>
          <w:tab/>
        </w:r>
        <w:r>
          <w:rPr>
            <w:noProof/>
            <w:webHidden/>
          </w:rPr>
          <w:fldChar w:fldCharType="begin"/>
        </w:r>
        <w:r>
          <w:rPr>
            <w:noProof/>
            <w:webHidden/>
          </w:rPr>
          <w:instrText xml:space="preserve"> PAGEREF _Toc143874989 \h </w:instrText>
        </w:r>
        <w:r>
          <w:rPr>
            <w:noProof/>
            <w:webHidden/>
          </w:rPr>
          <w:fldChar w:fldCharType="separate"/>
        </w:r>
        <w:r>
          <w:rPr>
            <w:noProof/>
            <w:webHidden/>
          </w:rPr>
          <w:t>4</w:t>
        </w:r>
        <w:r>
          <w:rPr>
            <w:noProof/>
            <w:webHidden/>
          </w:rPr>
          <w:fldChar w:fldCharType="end"/>
        </w:r>
      </w:hyperlink>
    </w:p>
    <w:p w:rsidR="009D3740" w14:paraId="16878287" w14:textId="700151F3">
      <w:pPr>
        <w:pStyle w:val="TOC2"/>
        <w:rPr>
          <w:rFonts w:asciiTheme="minorHAnsi" w:eastAsiaTheme="minorEastAsia" w:hAnsiTheme="minorHAnsi"/>
          <w:noProof/>
          <w:kern w:val="2"/>
          <w:sz w:val="22"/>
          <w14:ligatures w14:val="standardContextual"/>
        </w:rPr>
      </w:pPr>
      <w:hyperlink w:anchor="_Toc143874990" w:history="1">
        <w:r w:rsidRPr="00B55CA9">
          <w:rPr>
            <w:rStyle w:val="Hyperlink"/>
            <w:noProof/>
          </w:rPr>
          <w:t>B.</w:t>
        </w:r>
        <w:r>
          <w:rPr>
            <w:rFonts w:asciiTheme="minorHAnsi" w:eastAsiaTheme="minorEastAsia" w:hAnsiTheme="minorHAnsi"/>
            <w:noProof/>
            <w:kern w:val="2"/>
            <w:sz w:val="22"/>
            <w14:ligatures w14:val="standardContextual"/>
          </w:rPr>
          <w:tab/>
        </w:r>
        <w:r w:rsidRPr="00B55CA9">
          <w:rPr>
            <w:rStyle w:val="Hyperlink"/>
            <w:noProof/>
          </w:rPr>
          <w:t xml:space="preserve">The PUCO should stay any further consideration of FirstEnergy’s </w:t>
        </w:r>
        <w:r>
          <w:rPr>
            <w:rStyle w:val="Hyperlink"/>
            <w:noProof/>
          </w:rPr>
          <w:br/>
        </w:r>
        <w:r w:rsidRPr="00B55CA9">
          <w:rPr>
            <w:rStyle w:val="Hyperlink"/>
            <w:noProof/>
          </w:rPr>
          <w:t xml:space="preserve">Grid Mod II application until after FirstEnergy has proven the </w:t>
        </w:r>
        <w:r>
          <w:rPr>
            <w:rStyle w:val="Hyperlink"/>
            <w:noProof/>
          </w:rPr>
          <w:br/>
        </w:r>
        <w:r w:rsidRPr="00B55CA9">
          <w:rPr>
            <w:rStyle w:val="Hyperlink"/>
            <w:noProof/>
          </w:rPr>
          <w:t>benefits to consumers of Grid Mod I and after the Auditor’s recommendations have been implemented.</w:t>
        </w:r>
        <w:r>
          <w:rPr>
            <w:noProof/>
            <w:webHidden/>
          </w:rPr>
          <w:tab/>
        </w:r>
        <w:r>
          <w:rPr>
            <w:noProof/>
            <w:webHidden/>
          </w:rPr>
          <w:fldChar w:fldCharType="begin"/>
        </w:r>
        <w:r>
          <w:rPr>
            <w:noProof/>
            <w:webHidden/>
          </w:rPr>
          <w:instrText xml:space="preserve"> PAGEREF _Toc143874990 \h </w:instrText>
        </w:r>
        <w:r>
          <w:rPr>
            <w:noProof/>
            <w:webHidden/>
          </w:rPr>
          <w:fldChar w:fldCharType="separate"/>
        </w:r>
        <w:r>
          <w:rPr>
            <w:noProof/>
            <w:webHidden/>
          </w:rPr>
          <w:t>7</w:t>
        </w:r>
        <w:r>
          <w:rPr>
            <w:noProof/>
            <w:webHidden/>
          </w:rPr>
          <w:fldChar w:fldCharType="end"/>
        </w:r>
      </w:hyperlink>
    </w:p>
    <w:p w:rsidR="009D3740" w14:paraId="67A731F5" w14:textId="276880AE">
      <w:pPr>
        <w:pStyle w:val="TOC2"/>
        <w:rPr>
          <w:rFonts w:asciiTheme="minorHAnsi" w:eastAsiaTheme="minorEastAsia" w:hAnsiTheme="minorHAnsi"/>
          <w:noProof/>
          <w:kern w:val="2"/>
          <w:sz w:val="22"/>
          <w14:ligatures w14:val="standardContextual"/>
        </w:rPr>
      </w:pPr>
      <w:hyperlink w:anchor="_Toc143874991" w:history="1">
        <w:r w:rsidRPr="00B55CA9">
          <w:rPr>
            <w:rStyle w:val="Hyperlink"/>
            <w:noProof/>
          </w:rPr>
          <w:t>C.</w:t>
        </w:r>
        <w:r>
          <w:rPr>
            <w:rFonts w:asciiTheme="minorHAnsi" w:eastAsiaTheme="minorEastAsia" w:hAnsiTheme="minorHAnsi"/>
            <w:noProof/>
            <w:kern w:val="2"/>
            <w:sz w:val="22"/>
            <w14:ligatures w14:val="standardContextual"/>
          </w:rPr>
          <w:tab/>
        </w:r>
        <w:r w:rsidRPr="00B55CA9">
          <w:rPr>
            <w:rStyle w:val="Hyperlink"/>
            <w:noProof/>
          </w:rPr>
          <w:t xml:space="preserve">The fixed operational savings under the Settlement should be </w:t>
        </w:r>
        <w:r>
          <w:rPr>
            <w:rStyle w:val="Hyperlink"/>
            <w:noProof/>
          </w:rPr>
          <w:br/>
        </w:r>
        <w:r w:rsidRPr="00B55CA9">
          <w:rPr>
            <w:rStyle w:val="Hyperlink"/>
            <w:noProof/>
          </w:rPr>
          <w:t xml:space="preserve">compared to the actual savings achieved and a modified level </w:t>
        </w:r>
        <w:r>
          <w:rPr>
            <w:rStyle w:val="Hyperlink"/>
            <w:noProof/>
          </w:rPr>
          <w:br/>
        </w:r>
        <w:r w:rsidRPr="00B55CA9">
          <w:rPr>
            <w:rStyle w:val="Hyperlink"/>
            <w:noProof/>
          </w:rPr>
          <w:t>of savings should be considered.</w:t>
        </w:r>
        <w:r>
          <w:rPr>
            <w:noProof/>
            <w:webHidden/>
          </w:rPr>
          <w:tab/>
        </w:r>
        <w:r>
          <w:rPr>
            <w:noProof/>
            <w:webHidden/>
          </w:rPr>
          <w:fldChar w:fldCharType="begin"/>
        </w:r>
        <w:r>
          <w:rPr>
            <w:noProof/>
            <w:webHidden/>
          </w:rPr>
          <w:instrText xml:space="preserve"> PAGEREF _Toc143874991 \h </w:instrText>
        </w:r>
        <w:r>
          <w:rPr>
            <w:noProof/>
            <w:webHidden/>
          </w:rPr>
          <w:fldChar w:fldCharType="separate"/>
        </w:r>
        <w:r>
          <w:rPr>
            <w:noProof/>
            <w:webHidden/>
          </w:rPr>
          <w:t>9</w:t>
        </w:r>
        <w:r>
          <w:rPr>
            <w:noProof/>
            <w:webHidden/>
          </w:rPr>
          <w:fldChar w:fldCharType="end"/>
        </w:r>
      </w:hyperlink>
    </w:p>
    <w:p w:rsidR="009D3740" w14:paraId="143477B2" w14:textId="6F1D4AE1">
      <w:pPr>
        <w:pStyle w:val="TOC2"/>
        <w:rPr>
          <w:rFonts w:asciiTheme="minorHAnsi" w:eastAsiaTheme="minorEastAsia" w:hAnsiTheme="minorHAnsi"/>
          <w:noProof/>
          <w:kern w:val="2"/>
          <w:sz w:val="22"/>
          <w14:ligatures w14:val="standardContextual"/>
        </w:rPr>
      </w:pPr>
      <w:hyperlink w:anchor="_Toc143874992" w:history="1">
        <w:r w:rsidRPr="00B55CA9">
          <w:rPr>
            <w:rStyle w:val="Hyperlink"/>
            <w:noProof/>
          </w:rPr>
          <w:t>D.</w:t>
        </w:r>
        <w:r>
          <w:rPr>
            <w:rFonts w:asciiTheme="minorHAnsi" w:eastAsiaTheme="minorEastAsia" w:hAnsiTheme="minorHAnsi"/>
            <w:noProof/>
            <w:kern w:val="2"/>
            <w:sz w:val="22"/>
            <w14:ligatures w14:val="standardContextual"/>
          </w:rPr>
          <w:tab/>
        </w:r>
        <w:r w:rsidRPr="00B55CA9">
          <w:rPr>
            <w:rStyle w:val="Hyperlink"/>
            <w:noProof/>
          </w:rPr>
          <w:t xml:space="preserve">In a forensic audit, the PUCO could explore consumer issues </w:t>
        </w:r>
        <w:r>
          <w:rPr>
            <w:rStyle w:val="Hyperlink"/>
            <w:noProof/>
          </w:rPr>
          <w:br/>
        </w:r>
        <w:r w:rsidRPr="00B55CA9">
          <w:rPr>
            <w:rStyle w:val="Hyperlink"/>
            <w:noProof/>
          </w:rPr>
          <w:t>related to FirstEnergy’s Grid Mod I.</w:t>
        </w:r>
        <w:r>
          <w:rPr>
            <w:noProof/>
            <w:webHidden/>
          </w:rPr>
          <w:tab/>
        </w:r>
        <w:r>
          <w:rPr>
            <w:noProof/>
            <w:webHidden/>
          </w:rPr>
          <w:fldChar w:fldCharType="begin"/>
        </w:r>
        <w:r>
          <w:rPr>
            <w:noProof/>
            <w:webHidden/>
          </w:rPr>
          <w:instrText xml:space="preserve"> PAGEREF _Toc143874992 \h </w:instrText>
        </w:r>
        <w:r>
          <w:rPr>
            <w:noProof/>
            <w:webHidden/>
          </w:rPr>
          <w:fldChar w:fldCharType="separate"/>
        </w:r>
        <w:r>
          <w:rPr>
            <w:noProof/>
            <w:webHidden/>
          </w:rPr>
          <w:t>12</w:t>
        </w:r>
        <w:r>
          <w:rPr>
            <w:noProof/>
            <w:webHidden/>
          </w:rPr>
          <w:fldChar w:fldCharType="end"/>
        </w:r>
      </w:hyperlink>
    </w:p>
    <w:p w:rsidR="009D3740" w14:paraId="3BE0AC86" w14:textId="7651E71F">
      <w:pPr>
        <w:pStyle w:val="TOC1"/>
        <w:rPr>
          <w:rFonts w:asciiTheme="minorHAnsi" w:eastAsiaTheme="minorEastAsia" w:hAnsiTheme="minorHAnsi"/>
          <w:noProof/>
          <w:kern w:val="2"/>
          <w:sz w:val="22"/>
          <w14:ligatures w14:val="standardContextual"/>
        </w:rPr>
      </w:pPr>
      <w:hyperlink w:anchor="_Toc143874993" w:history="1">
        <w:r w:rsidRPr="00B55CA9">
          <w:rPr>
            <w:rStyle w:val="Hyperlink"/>
            <w:noProof/>
          </w:rPr>
          <w:t>III.</w:t>
        </w:r>
        <w:r>
          <w:rPr>
            <w:rFonts w:asciiTheme="minorHAnsi" w:eastAsiaTheme="minorEastAsia" w:hAnsiTheme="minorHAnsi"/>
            <w:noProof/>
            <w:kern w:val="2"/>
            <w:sz w:val="22"/>
            <w14:ligatures w14:val="standardContextual"/>
          </w:rPr>
          <w:tab/>
        </w:r>
        <w:r w:rsidRPr="00B55CA9">
          <w:rPr>
            <w:rStyle w:val="Hyperlink"/>
            <w:noProof/>
          </w:rPr>
          <w:t>CONCLUSION</w:t>
        </w:r>
        <w:r>
          <w:rPr>
            <w:noProof/>
            <w:webHidden/>
          </w:rPr>
          <w:tab/>
        </w:r>
        <w:r>
          <w:rPr>
            <w:noProof/>
            <w:webHidden/>
          </w:rPr>
          <w:fldChar w:fldCharType="begin"/>
        </w:r>
        <w:r>
          <w:rPr>
            <w:noProof/>
            <w:webHidden/>
          </w:rPr>
          <w:instrText xml:space="preserve"> PAGEREF _Toc143874993 \h </w:instrText>
        </w:r>
        <w:r>
          <w:rPr>
            <w:noProof/>
            <w:webHidden/>
          </w:rPr>
          <w:fldChar w:fldCharType="separate"/>
        </w:r>
        <w:r>
          <w:rPr>
            <w:noProof/>
            <w:webHidden/>
          </w:rPr>
          <w:t>14</w:t>
        </w:r>
        <w:r>
          <w:rPr>
            <w:noProof/>
            <w:webHidden/>
          </w:rPr>
          <w:fldChar w:fldCharType="end"/>
        </w:r>
      </w:hyperlink>
    </w:p>
    <w:p w:rsidR="001E3B36" w:rsidRPr="00D32269" w:rsidP="00057887" w14:paraId="3572D35A" w14:textId="354767BF">
      <w:pPr>
        <w:pStyle w:val="HTMLPreformatted"/>
        <w:jc w:val="center"/>
        <w:rPr>
          <w:rFonts w:ascii="Times New Roman" w:hAnsi="Times New Roman" w:cs="Times New Roman"/>
          <w:b/>
          <w:bCs/>
          <w:sz w:val="24"/>
          <w:szCs w:val="24"/>
        </w:rPr>
        <w:sectPr w:rsidSect="00057887">
          <w:footerReference w:type="first" r:id="rId13"/>
          <w:pgSz w:w="12240" w:h="15840"/>
          <w:pgMar w:top="1440" w:right="1800" w:bottom="1440" w:left="1800" w:header="720" w:footer="720" w:gutter="0"/>
          <w:pgNumType w:fmt="lowerRoman" w:start="1"/>
          <w:cols w:space="720"/>
          <w:titlePg/>
          <w:docGrid w:linePitch="65"/>
        </w:sectPr>
      </w:pPr>
      <w:r w:rsidRPr="00D32269">
        <w:rPr>
          <w:rFonts w:ascii="Times New Roman" w:hAnsi="Times New Roman" w:cs="Times New Roman"/>
          <w:sz w:val="24"/>
          <w:szCs w:val="24"/>
        </w:rPr>
        <w:fldChar w:fldCharType="end"/>
      </w:r>
    </w:p>
    <w:p w:rsidR="00714C1E" w:rsidRPr="00D32269" w14:paraId="2CA87C52" w14:textId="20FD1917">
      <w:pPr>
        <w:pStyle w:val="HTMLPreformatted"/>
        <w:jc w:val="center"/>
        <w:rPr>
          <w:rFonts w:ascii="Times New Roman" w:hAnsi="Times New Roman" w:cs="Times New Roman"/>
          <w:b/>
          <w:bCs/>
          <w:sz w:val="24"/>
          <w:szCs w:val="24"/>
        </w:rPr>
      </w:pPr>
      <w:r w:rsidRPr="00D32269">
        <w:rPr>
          <w:rFonts w:ascii="Times New Roman" w:hAnsi="Times New Roman" w:cs="Times New Roman"/>
          <w:b/>
          <w:bCs/>
          <w:sz w:val="24"/>
          <w:szCs w:val="24"/>
        </w:rPr>
        <w:t>BEFORE</w:t>
      </w:r>
    </w:p>
    <w:p w:rsidR="00714C1E" w:rsidRPr="00D32269" w:rsidP="001C390E" w14:paraId="254E30AC" w14:textId="7DFEBA6D">
      <w:pPr>
        <w:pStyle w:val="HTMLPreformatted"/>
        <w:jc w:val="center"/>
        <w:rPr>
          <w:rFonts w:ascii="Times New Roman" w:hAnsi="Times New Roman" w:cs="Times New Roman"/>
          <w:sz w:val="24"/>
          <w:szCs w:val="24"/>
        </w:rPr>
      </w:pPr>
      <w:r w:rsidRPr="00D32269">
        <w:rPr>
          <w:rFonts w:ascii="Times New Roman" w:hAnsi="Times New Roman" w:cs="Times New Roman"/>
          <w:b/>
          <w:bCs/>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14:paraId="0809F25C" w14:textId="77777777" w:rsidTr="004D78B7">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1C390E" w:rsidRPr="00D32269" w:rsidP="004D78B7" w14:paraId="52858BDC" w14:textId="77777777">
            <w:pPr>
              <w:autoSpaceDE w:val="0"/>
              <w:autoSpaceDN w:val="0"/>
              <w:adjustRightInd w:val="0"/>
              <w:rPr>
                <w:sz w:val="24"/>
                <w:szCs w:val="24"/>
                <w:lang w:val="en-US" w:eastAsia="en-US" w:bidi="ar-SA"/>
              </w:rPr>
            </w:pPr>
          </w:p>
          <w:p w:rsidR="001C390E" w:rsidRPr="00D32269" w:rsidP="004D78B7" w14:paraId="68535674"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of a Grid Modernization Business Plan.</w:t>
            </w:r>
          </w:p>
          <w:p w:rsidR="001C390E" w:rsidRPr="00D32269" w:rsidP="004D78B7" w14:paraId="602890AE" w14:textId="77777777">
            <w:pPr>
              <w:autoSpaceDE w:val="0"/>
              <w:autoSpaceDN w:val="0"/>
              <w:adjustRightInd w:val="0"/>
              <w:rPr>
                <w:sz w:val="24"/>
                <w:szCs w:val="24"/>
                <w:lang w:val="en-US" w:eastAsia="en-US" w:bidi="ar-SA"/>
              </w:rPr>
            </w:pPr>
          </w:p>
          <w:p w:rsidR="001C390E" w:rsidRPr="00D32269" w:rsidP="004D78B7" w14:paraId="0F435CAC" w14:textId="77777777">
            <w:pPr>
              <w:autoSpaceDE w:val="0"/>
              <w:autoSpaceDN w:val="0"/>
              <w:adjustRightInd w:val="0"/>
              <w:rPr>
                <w:sz w:val="24"/>
                <w:szCs w:val="24"/>
                <w:lang w:val="en-US" w:eastAsia="en-US" w:bidi="ar-SA"/>
              </w:rPr>
            </w:pPr>
            <w:r w:rsidRPr="00D32269">
              <w:rPr>
                <w:sz w:val="24"/>
                <w:szCs w:val="24"/>
                <w:lang w:val="en-US" w:eastAsia="en-US" w:bidi="ar-SA"/>
              </w:rPr>
              <w:t>In the Matter of the Filing by Ohio Edison Company, The Cleveland Electric Illuminating Company, and The Toledo Edison Company Application for Approval of a Distribution Platform Modernization Plan.</w:t>
            </w:r>
          </w:p>
          <w:p w:rsidR="001C390E" w:rsidRPr="00D32269" w:rsidP="004D78B7" w14:paraId="2646F6D2" w14:textId="77777777">
            <w:pPr>
              <w:autoSpaceDE w:val="0"/>
              <w:autoSpaceDN w:val="0"/>
              <w:adjustRightInd w:val="0"/>
              <w:rPr>
                <w:sz w:val="24"/>
                <w:szCs w:val="24"/>
                <w:lang w:val="en-US" w:eastAsia="en-US" w:bidi="ar-SA"/>
              </w:rPr>
            </w:pPr>
          </w:p>
          <w:p w:rsidR="001C390E" w:rsidRPr="00D32269" w:rsidP="004D78B7" w14:paraId="0B77A2F2"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1C390E" w:rsidRPr="00D32269" w:rsidP="004D78B7" w14:paraId="07B2CA6D" w14:textId="77777777">
            <w:pPr>
              <w:autoSpaceDE w:val="0"/>
              <w:autoSpaceDN w:val="0"/>
              <w:adjustRightInd w:val="0"/>
              <w:rPr>
                <w:sz w:val="24"/>
                <w:szCs w:val="24"/>
                <w:lang w:val="en-US" w:eastAsia="en-US" w:bidi="ar-SA"/>
              </w:rPr>
            </w:pPr>
          </w:p>
          <w:p w:rsidR="001C390E" w:rsidRPr="00D32269" w:rsidP="004D78B7" w14:paraId="710C6706" w14:textId="77777777">
            <w:pPr>
              <w:autoSpaceDE w:val="0"/>
              <w:autoSpaceDN w:val="0"/>
              <w:adjustRightInd w:val="0"/>
              <w:rPr>
                <w:sz w:val="24"/>
                <w:szCs w:val="24"/>
                <w:lang w:val="en-US" w:eastAsia="en-US" w:bidi="ar-SA"/>
              </w:rPr>
            </w:pPr>
            <w:r w:rsidRPr="00D32269">
              <w:rPr>
                <w:sz w:val="24"/>
                <w:szCs w:val="24"/>
                <w:lang w:val="en-US" w:eastAsia="en-US" w:bidi="ar-SA"/>
              </w:rPr>
              <w:t>In the Matter of the Application of Ohio Edison Company, The Cleveland Electric Illuminating Company, and The Toledo Edison Company for Approval of a Tariff Change.</w:t>
            </w:r>
          </w:p>
        </w:tc>
        <w:tc>
          <w:tcPr>
            <w:tcW w:w="360" w:type="dxa"/>
            <w:shd w:val="clear" w:color="auto" w:fill="auto"/>
          </w:tcPr>
          <w:p w:rsidR="001C390E" w:rsidRPr="00D32269" w:rsidP="004D78B7" w14:paraId="03D9509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42F44F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31A2400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387EF0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78D4ECA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1B8764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343159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64378A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41BC2D2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6B1DC8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70A1B65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06DCC1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5DE533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3CF0FF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047E4E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7C9029A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419A176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r w:rsidRPr="00D32269">
              <w:rPr>
                <w:rFonts w:ascii="Times New Roman" w:eastAsia="Courier New" w:hAnsi="Times New Roman" w:cs="Times New Roman"/>
                <w:sz w:val="24"/>
                <w:szCs w:val="24"/>
                <w:lang w:val="en-US" w:eastAsia="en-US" w:bidi="ar-SA"/>
              </w:rPr>
              <w:br/>
              <w:t>)</w:t>
            </w:r>
          </w:p>
          <w:p w:rsidR="001C390E" w:rsidRPr="00D32269" w:rsidP="004D78B7" w14:paraId="4F7F8A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6AF22F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6824F9C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6D9006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49589B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674037C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25A8BE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p w:rsidR="001C390E" w:rsidRPr="00D32269" w:rsidP="004D78B7" w14:paraId="55930D5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w:t>
            </w:r>
          </w:p>
        </w:tc>
        <w:tc>
          <w:tcPr>
            <w:tcW w:w="4400" w:type="dxa"/>
            <w:shd w:val="clear" w:color="auto" w:fill="auto"/>
          </w:tcPr>
          <w:p w:rsidR="001C390E" w:rsidRPr="00D32269" w:rsidP="004D78B7" w14:paraId="0572DD0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22953D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5265B5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22F9E3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16-481-EL-UNC</w:t>
            </w:r>
          </w:p>
          <w:p w:rsidR="001C390E" w:rsidRPr="00D32269" w:rsidP="004D78B7" w14:paraId="67A369F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0325C0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5A5A24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4F40563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7238F1A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0D9C1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393655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17-2436-EL-UNC</w:t>
            </w:r>
          </w:p>
          <w:p w:rsidR="001C390E" w:rsidRPr="00D32269" w:rsidP="004D78B7" w14:paraId="747A5E3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157C907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66BDDE4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1D05D9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047AF56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7C24D9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2CB87A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18-1604-EL-UNC</w:t>
            </w:r>
          </w:p>
          <w:p w:rsidR="001C390E" w:rsidRPr="00D32269" w:rsidP="004D78B7" w14:paraId="3C380F5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4DB09D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0B9AC4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4B6326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35BA17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D32269" w:rsidP="004D78B7" w14:paraId="3F284C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32269">
              <w:rPr>
                <w:rFonts w:ascii="Times New Roman" w:eastAsia="Courier New" w:hAnsi="Times New Roman" w:cs="Times New Roman"/>
                <w:sz w:val="24"/>
                <w:szCs w:val="24"/>
                <w:lang w:val="en-US" w:eastAsia="en-US" w:bidi="ar-SA"/>
              </w:rPr>
              <w:t>Case No. 18-1656-EL-UNC</w:t>
            </w:r>
          </w:p>
        </w:tc>
      </w:tr>
    </w:tbl>
    <w:p w:rsidR="00714C1E" w:rsidRPr="00D32269" w14:paraId="0E3AA1CD" w14:textId="77777777">
      <w:pPr>
        <w:pStyle w:val="HTMLPreformatted"/>
        <w:rPr>
          <w:rFonts w:ascii="Times New Roman" w:hAnsi="Times New Roman" w:cs="Times New Roman"/>
          <w:sz w:val="24"/>
          <w:szCs w:val="24"/>
        </w:rPr>
      </w:pPr>
    </w:p>
    <w:p w:rsidR="00714C1E" w:rsidRPr="00D32269" w14:paraId="7A5DFB01" w14:textId="77777777">
      <w:pPr>
        <w:pStyle w:val="HTMLPreformatted"/>
        <w:pBdr>
          <w:top w:val="single" w:sz="12" w:space="1" w:color="auto"/>
        </w:pBdr>
        <w:rPr>
          <w:rFonts w:ascii="Times New Roman" w:hAnsi="Times New Roman" w:cs="Times New Roman"/>
          <w:sz w:val="24"/>
          <w:szCs w:val="24"/>
        </w:rPr>
      </w:pPr>
    </w:p>
    <w:p w:rsidR="00714C1E" w:rsidRPr="00D32269" w14:paraId="0273504A" w14:textId="79C76D9F">
      <w:pPr>
        <w:jc w:val="center"/>
        <w:rPr>
          <w:b/>
          <w:bCs/>
          <w:szCs w:val="24"/>
        </w:rPr>
      </w:pPr>
      <w:r w:rsidRPr="00D32269">
        <w:rPr>
          <w:b/>
          <w:bCs/>
          <w:szCs w:val="24"/>
        </w:rPr>
        <w:t xml:space="preserve">REPLY </w:t>
      </w:r>
      <w:r w:rsidRPr="00D32269" w:rsidR="00E90D6F">
        <w:rPr>
          <w:b/>
          <w:bCs/>
          <w:szCs w:val="24"/>
        </w:rPr>
        <w:t>COMMENTS</w:t>
      </w:r>
      <w:r w:rsidRPr="00D32269" w:rsidR="00272398">
        <w:rPr>
          <w:b/>
          <w:bCs/>
          <w:szCs w:val="24"/>
        </w:rPr>
        <w:t xml:space="preserve"> FOR CONSUMER PROTECTION </w:t>
      </w:r>
    </w:p>
    <w:p w:rsidR="00714C1E" w:rsidRPr="00D32269" w14:paraId="1CDBC694" w14:textId="77777777">
      <w:pPr>
        <w:jc w:val="center"/>
        <w:rPr>
          <w:b/>
          <w:bCs/>
          <w:szCs w:val="24"/>
        </w:rPr>
      </w:pPr>
      <w:r w:rsidRPr="00D32269">
        <w:rPr>
          <w:b/>
          <w:bCs/>
          <w:szCs w:val="24"/>
        </w:rPr>
        <w:t>BY</w:t>
      </w:r>
    </w:p>
    <w:p w:rsidR="00714C1E" w:rsidRPr="00D32269" w14:paraId="365DEF3D" w14:textId="4A409B4C">
      <w:pPr>
        <w:jc w:val="center"/>
        <w:rPr>
          <w:b/>
          <w:bCs/>
          <w:szCs w:val="24"/>
        </w:rPr>
      </w:pPr>
      <w:r w:rsidRPr="00D32269">
        <w:rPr>
          <w:b/>
          <w:bCs/>
          <w:szCs w:val="24"/>
        </w:rPr>
        <w:t>OFFICE OF THE OHIO CONSUMERS’ COUNSEL</w:t>
      </w:r>
    </w:p>
    <w:p w:rsidR="00714C1E" w:rsidRPr="00D32269" w14:paraId="4CAFCEFA" w14:textId="77777777">
      <w:pPr>
        <w:pBdr>
          <w:bottom w:val="single" w:sz="12" w:space="1" w:color="auto"/>
        </w:pBdr>
        <w:tabs>
          <w:tab w:val="left" w:pos="4320"/>
        </w:tabs>
        <w:rPr>
          <w:szCs w:val="24"/>
        </w:rPr>
      </w:pPr>
    </w:p>
    <w:p w:rsidR="0011495E" w:rsidRPr="00D32269" w:rsidP="0011495E" w14:paraId="6FE779FF" w14:textId="77777777">
      <w:pPr>
        <w:pStyle w:val="Heading1"/>
        <w:spacing w:line="240" w:lineRule="auto"/>
      </w:pPr>
    </w:p>
    <w:p w:rsidR="00E23B40" w:rsidRPr="00D32269" w:rsidP="0011495E" w14:paraId="207CA97D" w14:textId="6A30CD6E">
      <w:pPr>
        <w:pStyle w:val="Heading1"/>
      </w:pPr>
      <w:bookmarkStart w:id="0" w:name="_Toc143874987"/>
      <w:r w:rsidRPr="00D32269">
        <w:t>I.</w:t>
      </w:r>
      <w:r w:rsidRPr="00D32269">
        <w:tab/>
        <w:t>INTRODUCTION</w:t>
      </w:r>
      <w:bookmarkEnd w:id="0"/>
    </w:p>
    <w:p w:rsidR="0030354D" w:rsidRPr="00D32269" w:rsidP="00E23B40" w14:paraId="316F2A6E" w14:textId="2881E0C3">
      <w:pPr>
        <w:spacing w:line="480" w:lineRule="auto"/>
        <w:ind w:firstLine="720"/>
        <w:rPr>
          <w:szCs w:val="24"/>
        </w:rPr>
      </w:pPr>
      <w:r w:rsidRPr="00D32269">
        <w:rPr>
          <w:szCs w:val="24"/>
        </w:rPr>
        <w:t xml:space="preserve">FirstEnergy </w:t>
      </w:r>
      <w:r w:rsidRPr="00D32269" w:rsidR="000B1E2C">
        <w:rPr>
          <w:szCs w:val="24"/>
        </w:rPr>
        <w:t xml:space="preserve">has charged its consumers a total of $634 million over the last four years for its </w:t>
      </w:r>
      <w:r w:rsidRPr="00D32269">
        <w:rPr>
          <w:szCs w:val="24"/>
        </w:rPr>
        <w:t>Grid Mod I program</w:t>
      </w:r>
      <w:r w:rsidRPr="00D32269" w:rsidR="00C2182D">
        <w:rPr>
          <w:szCs w:val="24"/>
        </w:rPr>
        <w:t xml:space="preserve">. </w:t>
      </w:r>
      <w:r w:rsidRPr="00D32269" w:rsidR="000B1E2C">
        <w:rPr>
          <w:szCs w:val="24"/>
        </w:rPr>
        <w:t xml:space="preserve">Those charges to FirstEnergy consumers include </w:t>
      </w:r>
      <w:r w:rsidRPr="00D32269" w:rsidR="009D0E53">
        <w:rPr>
          <w:szCs w:val="24"/>
        </w:rPr>
        <w:t xml:space="preserve">up to $72 million </w:t>
      </w:r>
      <w:r w:rsidRPr="00D32269" w:rsidR="00C2182D">
        <w:rPr>
          <w:szCs w:val="24"/>
        </w:rPr>
        <w:t xml:space="preserve">for </w:t>
      </w:r>
      <w:r w:rsidRPr="00D32269" w:rsidR="009540FC">
        <w:rPr>
          <w:szCs w:val="24"/>
        </w:rPr>
        <w:t xml:space="preserve">so-called </w:t>
      </w:r>
      <w:r w:rsidRPr="00D32269" w:rsidR="000F5668">
        <w:rPr>
          <w:szCs w:val="24"/>
        </w:rPr>
        <w:t xml:space="preserve">stranded investment </w:t>
      </w:r>
      <w:r w:rsidRPr="00D32269" w:rsidR="00C2182D">
        <w:rPr>
          <w:szCs w:val="24"/>
        </w:rPr>
        <w:t>associated with legacy meters</w:t>
      </w:r>
      <w:r w:rsidRPr="00D32269" w:rsidR="009540FC">
        <w:rPr>
          <w:szCs w:val="24"/>
        </w:rPr>
        <w:t>. That means FirstEnergy is charging consumers for both the old (replaced) meters and the new meters.</w:t>
      </w:r>
      <w:r w:rsidRPr="00D32269" w:rsidR="00C2182D">
        <w:rPr>
          <w:szCs w:val="24"/>
        </w:rPr>
        <w:t xml:space="preserve"> </w:t>
      </w:r>
      <w:r w:rsidRPr="00D32269" w:rsidR="009D0E53">
        <w:rPr>
          <w:szCs w:val="24"/>
        </w:rPr>
        <w:t xml:space="preserve">That’s a lot of money for </w:t>
      </w:r>
      <w:r w:rsidRPr="00D32269" w:rsidR="005E4685">
        <w:rPr>
          <w:szCs w:val="24"/>
        </w:rPr>
        <w:t xml:space="preserve">two million </w:t>
      </w:r>
      <w:r w:rsidRPr="00D32269" w:rsidR="00691A80">
        <w:rPr>
          <w:szCs w:val="24"/>
        </w:rPr>
        <w:t xml:space="preserve">FirstEnergy </w:t>
      </w:r>
      <w:r w:rsidRPr="00D32269" w:rsidR="009D0E53">
        <w:rPr>
          <w:szCs w:val="24"/>
        </w:rPr>
        <w:t xml:space="preserve">consumers to </w:t>
      </w:r>
      <w:r w:rsidRPr="00D32269" w:rsidR="005E4685">
        <w:rPr>
          <w:szCs w:val="24"/>
        </w:rPr>
        <w:t>be charged</w:t>
      </w:r>
      <w:r w:rsidRPr="00D32269" w:rsidR="00E3672D">
        <w:rPr>
          <w:szCs w:val="24"/>
        </w:rPr>
        <w:t>.</w:t>
      </w:r>
      <w:r w:rsidRPr="00D32269" w:rsidR="009D0E53">
        <w:rPr>
          <w:szCs w:val="24"/>
        </w:rPr>
        <w:t xml:space="preserve"> </w:t>
      </w:r>
      <w:r w:rsidRPr="00D32269" w:rsidR="0081341F">
        <w:rPr>
          <w:szCs w:val="24"/>
        </w:rPr>
        <w:t xml:space="preserve">And that money doesn’t include the nearly half-billion dollars that FirstEnergy charged consumers for its infamous distribution modernization </w:t>
      </w:r>
      <w:r w:rsidRPr="00D32269" w:rsidR="00913DA6">
        <w:rPr>
          <w:szCs w:val="24"/>
        </w:rPr>
        <w:t>rider</w:t>
      </w:r>
      <w:r w:rsidRPr="00D32269" w:rsidR="0081341F">
        <w:rPr>
          <w:szCs w:val="24"/>
        </w:rPr>
        <w:t>.</w:t>
      </w:r>
    </w:p>
    <w:p w:rsidR="000F5668" w:rsidRPr="00D32269" w:rsidP="008B4903" w14:paraId="4F8F0268" w14:textId="18574534">
      <w:pPr>
        <w:spacing w:line="480" w:lineRule="auto"/>
        <w:ind w:firstLine="720"/>
        <w:rPr>
          <w:szCs w:val="24"/>
        </w:rPr>
      </w:pPr>
      <w:r w:rsidRPr="00D32269">
        <w:rPr>
          <w:szCs w:val="24"/>
        </w:rPr>
        <w:t>FirstEnergy sold the PUCO on it</w:t>
      </w:r>
      <w:r w:rsidRPr="00D32269" w:rsidR="00B2223E">
        <w:rPr>
          <w:szCs w:val="24"/>
        </w:rPr>
        <w:t>s</w:t>
      </w:r>
      <w:r w:rsidRPr="00D32269">
        <w:rPr>
          <w:szCs w:val="24"/>
        </w:rPr>
        <w:t xml:space="preserve"> program </w:t>
      </w:r>
      <w:r w:rsidRPr="00D32269" w:rsidR="00D37800">
        <w:rPr>
          <w:szCs w:val="24"/>
        </w:rPr>
        <w:t xml:space="preserve">with a cost-benefit analysis showing that the program </w:t>
      </w:r>
      <w:r w:rsidRPr="00D32269" w:rsidR="00CC5D74">
        <w:rPr>
          <w:szCs w:val="24"/>
        </w:rPr>
        <w:t>would produce over $1 billion of net benefits for consumers.</w:t>
      </w:r>
      <w:r>
        <w:rPr>
          <w:rStyle w:val="FootnoteReference"/>
          <w:szCs w:val="24"/>
        </w:rPr>
        <w:footnoteReference w:id="2"/>
      </w:r>
      <w:r w:rsidRPr="00D32269" w:rsidR="00CC5D74">
        <w:rPr>
          <w:szCs w:val="24"/>
        </w:rPr>
        <w:t xml:space="preserve"> </w:t>
      </w:r>
      <w:r w:rsidRPr="00D32269" w:rsidR="008B4903">
        <w:rPr>
          <w:szCs w:val="24"/>
        </w:rPr>
        <w:t>But to date</w:t>
      </w:r>
      <w:r w:rsidRPr="00D32269" w:rsidR="0048620B">
        <w:rPr>
          <w:szCs w:val="24"/>
        </w:rPr>
        <w:t xml:space="preserve"> –</w:t>
      </w:r>
      <w:r w:rsidRPr="00D32269" w:rsidR="008B4903">
        <w:rPr>
          <w:szCs w:val="24"/>
        </w:rPr>
        <w:t xml:space="preserve"> </w:t>
      </w:r>
      <w:r w:rsidRPr="00D32269" w:rsidR="00016D8E">
        <w:rPr>
          <w:szCs w:val="24"/>
        </w:rPr>
        <w:t>after</w:t>
      </w:r>
      <w:r w:rsidRPr="00D32269" w:rsidR="008B4903">
        <w:rPr>
          <w:szCs w:val="24"/>
        </w:rPr>
        <w:t xml:space="preserve"> consumers have paid</w:t>
      </w:r>
      <w:r w:rsidRPr="00D32269" w:rsidR="000B1E2C">
        <w:rPr>
          <w:szCs w:val="24"/>
        </w:rPr>
        <w:t xml:space="preserve"> </w:t>
      </w:r>
      <w:r w:rsidRPr="00D32269" w:rsidR="007B3247">
        <w:rPr>
          <w:szCs w:val="24"/>
        </w:rPr>
        <w:t xml:space="preserve">more than </w:t>
      </w:r>
      <w:r w:rsidRPr="00D32269" w:rsidR="000B1E2C">
        <w:rPr>
          <w:szCs w:val="24"/>
        </w:rPr>
        <w:t xml:space="preserve">$600 million </w:t>
      </w:r>
      <w:r w:rsidRPr="00D32269" w:rsidR="008B4903">
        <w:rPr>
          <w:szCs w:val="24"/>
        </w:rPr>
        <w:t xml:space="preserve">over the past </w:t>
      </w:r>
      <w:r w:rsidRPr="00D32269" w:rsidR="000B1E2C">
        <w:rPr>
          <w:szCs w:val="24"/>
        </w:rPr>
        <w:t xml:space="preserve">four </w:t>
      </w:r>
      <w:r w:rsidRPr="00D32269" w:rsidR="008B4903">
        <w:rPr>
          <w:szCs w:val="24"/>
        </w:rPr>
        <w:t>years</w:t>
      </w:r>
      <w:r w:rsidRPr="00D32269" w:rsidR="00016D8E">
        <w:rPr>
          <w:szCs w:val="24"/>
        </w:rPr>
        <w:t xml:space="preserve"> –</w:t>
      </w:r>
      <w:r w:rsidRPr="00D32269" w:rsidR="008B4903">
        <w:rPr>
          <w:szCs w:val="24"/>
        </w:rPr>
        <w:t xml:space="preserve"> there has be</w:t>
      </w:r>
      <w:r w:rsidRPr="00D32269" w:rsidR="00E61039">
        <w:rPr>
          <w:szCs w:val="24"/>
        </w:rPr>
        <w:t>e</w:t>
      </w:r>
      <w:r w:rsidRPr="00D32269" w:rsidR="008B4903">
        <w:rPr>
          <w:szCs w:val="24"/>
        </w:rPr>
        <w:t xml:space="preserve">n no review </w:t>
      </w:r>
      <w:r w:rsidRPr="00D32269" w:rsidR="00E61039">
        <w:rPr>
          <w:szCs w:val="24"/>
        </w:rPr>
        <w:t>of</w:t>
      </w:r>
      <w:r w:rsidRPr="00D32269" w:rsidR="008B4903">
        <w:rPr>
          <w:szCs w:val="24"/>
        </w:rPr>
        <w:t xml:space="preserve"> whether FirstEnergy’s Grid Mod 1 is providing the promised benefits for consumers.</w:t>
      </w:r>
      <w:r>
        <w:rPr>
          <w:rStyle w:val="FootnoteReference"/>
          <w:szCs w:val="24"/>
        </w:rPr>
        <w:footnoteReference w:id="3"/>
      </w:r>
      <w:r w:rsidRPr="00D32269" w:rsidR="00C971FE">
        <w:rPr>
          <w:szCs w:val="24"/>
        </w:rPr>
        <w:t xml:space="preserve"> </w:t>
      </w:r>
      <w:r w:rsidRPr="00D32269" w:rsidR="008B4903">
        <w:rPr>
          <w:szCs w:val="24"/>
        </w:rPr>
        <w:t>In other words, there has been no PUCO determination that Grid Mod I is “useful” to consumers.</w:t>
      </w:r>
      <w:r w:rsidRPr="00D32269" w:rsidR="00C971FE">
        <w:rPr>
          <w:szCs w:val="24"/>
        </w:rPr>
        <w:t xml:space="preserve"> </w:t>
      </w:r>
      <w:r w:rsidRPr="00D32269" w:rsidR="00685C5A">
        <w:rPr>
          <w:szCs w:val="24"/>
        </w:rPr>
        <w:t>Nor has FirstEnergy shown that its investment is “used.”</w:t>
      </w:r>
      <w:r w:rsidR="00D32269">
        <w:rPr>
          <w:szCs w:val="24"/>
        </w:rPr>
        <w:t xml:space="preserve"> </w:t>
      </w:r>
      <w:r w:rsidRPr="00D32269" w:rsidR="00966A13">
        <w:rPr>
          <w:szCs w:val="24"/>
        </w:rPr>
        <w:t>Instead,</w:t>
      </w:r>
      <w:r w:rsidRPr="00D32269" w:rsidR="007B3247">
        <w:rPr>
          <w:szCs w:val="24"/>
        </w:rPr>
        <w:t xml:space="preserve"> the investment may just be “gold-plating.” </w:t>
      </w:r>
      <w:r w:rsidRPr="00D32269" w:rsidR="00E90D6F">
        <w:rPr>
          <w:szCs w:val="24"/>
        </w:rPr>
        <w:t>And</w:t>
      </w:r>
      <w:r w:rsidRPr="00D32269" w:rsidR="0013480A">
        <w:rPr>
          <w:szCs w:val="24"/>
        </w:rPr>
        <w:t>,</w:t>
      </w:r>
      <w:r w:rsidRPr="00D32269" w:rsidR="00E90D6F">
        <w:rPr>
          <w:szCs w:val="24"/>
        </w:rPr>
        <w:t xml:space="preserve"> at the same time, </w:t>
      </w:r>
      <w:r w:rsidRPr="00D32269" w:rsidR="0083379C">
        <w:rPr>
          <w:szCs w:val="24"/>
        </w:rPr>
        <w:t xml:space="preserve">FirstEnergy </w:t>
      </w:r>
      <w:r w:rsidRPr="00D32269" w:rsidR="000B6AC4">
        <w:rPr>
          <w:szCs w:val="24"/>
        </w:rPr>
        <w:t xml:space="preserve">is </w:t>
      </w:r>
      <w:r w:rsidRPr="00D32269" w:rsidR="0083379C">
        <w:rPr>
          <w:szCs w:val="24"/>
        </w:rPr>
        <w:t xml:space="preserve">seeking PUCO approval to </w:t>
      </w:r>
      <w:r w:rsidRPr="00D32269" w:rsidR="000B6AC4">
        <w:rPr>
          <w:szCs w:val="24"/>
        </w:rPr>
        <w:t>charge</w:t>
      </w:r>
      <w:r w:rsidRPr="00D32269" w:rsidR="0083379C">
        <w:rPr>
          <w:szCs w:val="24"/>
        </w:rPr>
        <w:t xml:space="preserve"> consumers for </w:t>
      </w:r>
      <w:r w:rsidRPr="00D32269" w:rsidR="00E90D6F">
        <w:rPr>
          <w:szCs w:val="24"/>
        </w:rPr>
        <w:t xml:space="preserve">the next phase of its Grid Mod Program—Grid Mod II where it is asking consumers to fund a </w:t>
      </w:r>
      <w:r w:rsidRPr="00D32269" w:rsidR="0083379C">
        <w:rPr>
          <w:i/>
          <w:iCs/>
          <w:szCs w:val="24"/>
        </w:rPr>
        <w:t>$900 million</w:t>
      </w:r>
      <w:r w:rsidRPr="00D32269" w:rsidR="0083379C">
        <w:rPr>
          <w:szCs w:val="24"/>
        </w:rPr>
        <w:t xml:space="preserve"> </w:t>
      </w:r>
      <w:r w:rsidRPr="00D32269" w:rsidR="00E90D6F">
        <w:rPr>
          <w:szCs w:val="24"/>
        </w:rPr>
        <w:t>investment.</w:t>
      </w:r>
      <w:r w:rsidRPr="00D32269" w:rsidR="00C971FE">
        <w:rPr>
          <w:szCs w:val="24"/>
        </w:rPr>
        <w:t xml:space="preserve"> </w:t>
      </w:r>
    </w:p>
    <w:p w:rsidR="00ED5E63" w:rsidRPr="00D32269" w:rsidP="008B4903" w14:paraId="0D04179F" w14:textId="31836EB7">
      <w:pPr>
        <w:spacing w:line="480" w:lineRule="auto"/>
        <w:ind w:firstLine="720"/>
        <w:rPr>
          <w:szCs w:val="24"/>
        </w:rPr>
      </w:pPr>
      <w:r w:rsidRPr="00D32269">
        <w:rPr>
          <w:szCs w:val="24"/>
        </w:rPr>
        <w:t xml:space="preserve">Some years </w:t>
      </w:r>
      <w:r w:rsidRPr="00D32269" w:rsidR="00966A13">
        <w:rPr>
          <w:szCs w:val="24"/>
        </w:rPr>
        <w:t>ago,</w:t>
      </w:r>
      <w:r w:rsidRPr="00D32269">
        <w:rPr>
          <w:szCs w:val="24"/>
        </w:rPr>
        <w:t xml:space="preserve"> FirstEnergy announced to investors that it would be focusing on making money from operations under government regulation instead of in markets under competition. Some facts seem to be coming in that FirstEnergy’s focus on money-making from regulated operations may not be all that consumers would hope or deserve</w:t>
      </w:r>
      <w:r w:rsidRPr="00D32269" w:rsidR="00E138B3">
        <w:rPr>
          <w:szCs w:val="24"/>
        </w:rPr>
        <w:t xml:space="preserve"> from </w:t>
      </w:r>
      <w:r w:rsidRPr="00D32269" w:rsidR="000E4521">
        <w:rPr>
          <w:szCs w:val="24"/>
        </w:rPr>
        <w:t xml:space="preserve">utility </w:t>
      </w:r>
      <w:r w:rsidRPr="00D32269" w:rsidR="00E138B3">
        <w:rPr>
          <w:szCs w:val="24"/>
        </w:rPr>
        <w:t>regulation</w:t>
      </w:r>
      <w:r w:rsidRPr="00D32269">
        <w:rPr>
          <w:szCs w:val="24"/>
        </w:rPr>
        <w:t>.</w:t>
      </w:r>
    </w:p>
    <w:p w:rsidR="00EF20D7" w:rsidRPr="002520A0" w:rsidP="000F5668" w14:paraId="3BD20441" w14:textId="6EB82D61">
      <w:pPr>
        <w:spacing w:line="480" w:lineRule="auto"/>
        <w:ind w:firstLine="720"/>
        <w:rPr>
          <w:szCs w:val="24"/>
        </w:rPr>
      </w:pPr>
      <w:r w:rsidRPr="00D32269">
        <w:rPr>
          <w:szCs w:val="24"/>
        </w:rPr>
        <w:t>The PUCO should put the brakes on</w:t>
      </w:r>
      <w:r w:rsidRPr="00D32269" w:rsidR="00742C32">
        <w:rPr>
          <w:szCs w:val="24"/>
        </w:rPr>
        <w:t xml:space="preserve"> any approval of </w:t>
      </w:r>
      <w:r w:rsidRPr="00D32269" w:rsidR="00C2639C">
        <w:rPr>
          <w:szCs w:val="24"/>
        </w:rPr>
        <w:t xml:space="preserve">charges to consumers for </w:t>
      </w:r>
      <w:r w:rsidRPr="00D32269" w:rsidR="00742C32">
        <w:rPr>
          <w:szCs w:val="24"/>
        </w:rPr>
        <w:t>Grid Mod II</w:t>
      </w:r>
      <w:r w:rsidRPr="00D32269" w:rsidR="00C2639C">
        <w:rPr>
          <w:szCs w:val="24"/>
        </w:rPr>
        <w:t>. Any PUCO approval of Grid Mod II should await</w:t>
      </w:r>
      <w:r w:rsidRPr="00D32269" w:rsidR="00742C32">
        <w:rPr>
          <w:szCs w:val="24"/>
        </w:rPr>
        <w:t xml:space="preserve"> </w:t>
      </w:r>
      <w:r w:rsidRPr="00D32269" w:rsidR="00C2639C">
        <w:rPr>
          <w:szCs w:val="24"/>
        </w:rPr>
        <w:t xml:space="preserve">a </w:t>
      </w:r>
      <w:r w:rsidRPr="00D32269" w:rsidR="00742C32">
        <w:rPr>
          <w:szCs w:val="24"/>
        </w:rPr>
        <w:t>determin</w:t>
      </w:r>
      <w:r w:rsidRPr="00D32269" w:rsidR="00C2639C">
        <w:rPr>
          <w:szCs w:val="24"/>
        </w:rPr>
        <w:t>ation, if that is even possible,</w:t>
      </w:r>
      <w:r w:rsidRPr="00D32269" w:rsidR="00742C32">
        <w:rPr>
          <w:szCs w:val="24"/>
        </w:rPr>
        <w:t xml:space="preserve"> that </w:t>
      </w:r>
      <w:r w:rsidRPr="00D32269" w:rsidR="00685C5A">
        <w:rPr>
          <w:szCs w:val="24"/>
        </w:rPr>
        <w:t xml:space="preserve">all aspects of </w:t>
      </w:r>
      <w:r w:rsidRPr="00D32269" w:rsidR="00742C32">
        <w:rPr>
          <w:szCs w:val="24"/>
        </w:rPr>
        <w:t>Gr</w:t>
      </w:r>
      <w:r w:rsidRPr="00D32269" w:rsidR="00171B21">
        <w:rPr>
          <w:szCs w:val="24"/>
        </w:rPr>
        <w:t>i</w:t>
      </w:r>
      <w:r w:rsidRPr="00D32269" w:rsidR="00742C32">
        <w:rPr>
          <w:szCs w:val="24"/>
        </w:rPr>
        <w:t xml:space="preserve">d Mod I </w:t>
      </w:r>
      <w:r w:rsidRPr="00D32269" w:rsidR="00C2639C">
        <w:rPr>
          <w:szCs w:val="24"/>
        </w:rPr>
        <w:t>(</w:t>
      </w:r>
      <w:r w:rsidRPr="00D32269" w:rsidR="00685C5A">
        <w:rPr>
          <w:szCs w:val="24"/>
        </w:rPr>
        <w:t>that consumers have paid for</w:t>
      </w:r>
      <w:r w:rsidRPr="00D32269" w:rsidR="00C2639C">
        <w:rPr>
          <w:szCs w:val="24"/>
        </w:rPr>
        <w:t>)</w:t>
      </w:r>
      <w:r w:rsidRPr="00D32269" w:rsidR="00685C5A">
        <w:rPr>
          <w:szCs w:val="24"/>
        </w:rPr>
        <w:t xml:space="preserve"> </w:t>
      </w:r>
      <w:r w:rsidRPr="00D32269" w:rsidR="00742C32">
        <w:rPr>
          <w:szCs w:val="24"/>
        </w:rPr>
        <w:t xml:space="preserve">is </w:t>
      </w:r>
      <w:r w:rsidRPr="00D32269" w:rsidR="00171B21">
        <w:rPr>
          <w:szCs w:val="24"/>
        </w:rPr>
        <w:t>“</w:t>
      </w:r>
      <w:r w:rsidRPr="00D32269" w:rsidR="00742C32">
        <w:rPr>
          <w:szCs w:val="24"/>
        </w:rPr>
        <w:t>used and useful.</w:t>
      </w:r>
      <w:r w:rsidRPr="00D32269" w:rsidR="00171B21">
        <w:rPr>
          <w:szCs w:val="24"/>
        </w:rPr>
        <w:t>”</w:t>
      </w:r>
      <w:r w:rsidRPr="00D32269" w:rsidR="00742C32">
        <w:rPr>
          <w:szCs w:val="24"/>
        </w:rPr>
        <w:t xml:space="preserve"> Determining the </w:t>
      </w:r>
      <w:r w:rsidRPr="00D32269" w:rsidR="00171B21">
        <w:rPr>
          <w:szCs w:val="24"/>
        </w:rPr>
        <w:t xml:space="preserve">used and </w:t>
      </w:r>
      <w:r w:rsidRPr="00D32269" w:rsidR="00742C32">
        <w:rPr>
          <w:szCs w:val="24"/>
        </w:rPr>
        <w:t xml:space="preserve">usefulness of Grid Mod 1 will require much more than the filing of comments and reply </w:t>
      </w:r>
      <w:r w:rsidRPr="002520A0" w:rsidR="00742C32">
        <w:rPr>
          <w:szCs w:val="24"/>
        </w:rPr>
        <w:t>comments.</w:t>
      </w:r>
      <w:r w:rsidRPr="002520A0" w:rsidR="00C971FE">
        <w:rPr>
          <w:szCs w:val="24"/>
        </w:rPr>
        <w:t xml:space="preserve"> </w:t>
      </w:r>
    </w:p>
    <w:p w:rsidR="007B61CB" w:rsidRPr="002520A0" w:rsidP="00EF20D7" w14:paraId="2FA2FE28" w14:textId="56305482">
      <w:pPr>
        <w:spacing w:line="480" w:lineRule="auto"/>
        <w:ind w:firstLine="720"/>
        <w:rPr>
          <w:szCs w:val="24"/>
        </w:rPr>
      </w:pPr>
      <w:r w:rsidRPr="002520A0">
        <w:rPr>
          <w:szCs w:val="24"/>
        </w:rPr>
        <w:t xml:space="preserve">The </w:t>
      </w:r>
      <w:r w:rsidRPr="002520A0" w:rsidR="00C611D1">
        <w:rPr>
          <w:szCs w:val="24"/>
        </w:rPr>
        <w:t>N</w:t>
      </w:r>
      <w:r w:rsidRPr="002520A0" w:rsidR="00C2639C">
        <w:rPr>
          <w:szCs w:val="24"/>
        </w:rPr>
        <w:t>orthwest Ohio Aggregation Coalition</w:t>
      </w:r>
      <w:r w:rsidRPr="002520A0" w:rsidR="00B21E30">
        <w:rPr>
          <w:szCs w:val="24"/>
        </w:rPr>
        <w:t xml:space="preserve"> (“NOAC”)</w:t>
      </w:r>
      <w:r w:rsidRPr="002520A0" w:rsidR="00C611D1">
        <w:rPr>
          <w:szCs w:val="24"/>
        </w:rPr>
        <w:t xml:space="preserve"> </w:t>
      </w:r>
      <w:r w:rsidRPr="002520A0">
        <w:rPr>
          <w:szCs w:val="24"/>
        </w:rPr>
        <w:t xml:space="preserve">requested </w:t>
      </w:r>
      <w:r w:rsidRPr="002520A0" w:rsidR="00742C32">
        <w:rPr>
          <w:szCs w:val="24"/>
        </w:rPr>
        <w:t>a forensic audit</w:t>
      </w:r>
      <w:r w:rsidRPr="002520A0" w:rsidR="002520A0">
        <w:rPr>
          <w:szCs w:val="24"/>
        </w:rPr>
        <w:t xml:space="preserve"> </w:t>
      </w:r>
      <w:r w:rsidRPr="002520A0">
        <w:rPr>
          <w:szCs w:val="24"/>
        </w:rPr>
        <w:t>(on various FirstEnergy scandal issues)</w:t>
      </w:r>
      <w:r w:rsidRPr="002520A0" w:rsidR="002520A0">
        <w:rPr>
          <w:szCs w:val="24"/>
        </w:rPr>
        <w:t xml:space="preserve"> </w:t>
      </w:r>
      <w:r w:rsidRPr="002520A0" w:rsidR="00195880">
        <w:rPr>
          <w:szCs w:val="24"/>
        </w:rPr>
        <w:t xml:space="preserve">in connection with </w:t>
      </w:r>
      <w:r w:rsidRPr="002520A0" w:rsidR="00742C32">
        <w:rPr>
          <w:szCs w:val="24"/>
        </w:rPr>
        <w:t>FirstEnergy’s Grid Mod</w:t>
      </w:r>
      <w:r w:rsidRPr="002520A0" w:rsidR="00195880">
        <w:rPr>
          <w:szCs w:val="24"/>
        </w:rPr>
        <w:t xml:space="preserve"> I</w:t>
      </w:r>
      <w:r w:rsidRPr="002520A0" w:rsidR="00742C32">
        <w:rPr>
          <w:szCs w:val="24"/>
        </w:rPr>
        <w:t>.</w:t>
      </w:r>
      <w:r>
        <w:rPr>
          <w:rStyle w:val="FootnoteReference"/>
          <w:szCs w:val="24"/>
        </w:rPr>
        <w:footnoteReference w:id="4"/>
      </w:r>
      <w:r w:rsidR="005A2F20">
        <w:rPr>
          <w:szCs w:val="24"/>
        </w:rPr>
        <w:t xml:space="preserve"> </w:t>
      </w:r>
      <w:r w:rsidRPr="002520A0" w:rsidR="00195880">
        <w:rPr>
          <w:szCs w:val="24"/>
        </w:rPr>
        <w:t>In any such audit,</w:t>
      </w:r>
      <w:r w:rsidR="005A2F20">
        <w:rPr>
          <w:szCs w:val="24"/>
        </w:rPr>
        <w:t xml:space="preserve"> </w:t>
      </w:r>
      <w:r w:rsidRPr="002520A0" w:rsidR="00195880">
        <w:rPr>
          <w:szCs w:val="24"/>
        </w:rPr>
        <w:t xml:space="preserve">there </w:t>
      </w:r>
      <w:r w:rsidRPr="002520A0" w:rsidR="003C551A">
        <w:rPr>
          <w:szCs w:val="24"/>
        </w:rPr>
        <w:t>should</w:t>
      </w:r>
      <w:r w:rsidRPr="002520A0" w:rsidR="00195880">
        <w:rPr>
          <w:szCs w:val="24"/>
        </w:rPr>
        <w:t xml:space="preserve"> be a deeper dive into</w:t>
      </w:r>
      <w:r w:rsidR="005A2F20">
        <w:rPr>
          <w:szCs w:val="24"/>
        </w:rPr>
        <w:t xml:space="preserve"> </w:t>
      </w:r>
      <w:r w:rsidRPr="002520A0" w:rsidR="00742C32">
        <w:rPr>
          <w:szCs w:val="24"/>
        </w:rPr>
        <w:t>the Auditor’s “concerning</w:t>
      </w:r>
      <w:r w:rsidRPr="002520A0" w:rsidR="00685C5A">
        <w:rPr>
          <w:szCs w:val="24"/>
        </w:rPr>
        <w:t xml:space="preserve"> </w:t>
      </w:r>
      <w:r w:rsidRPr="002520A0" w:rsidR="00742C32">
        <w:rPr>
          <w:szCs w:val="24"/>
        </w:rPr>
        <w:t>conclusions</w:t>
      </w:r>
      <w:r w:rsidRPr="002520A0" w:rsidR="00171B21">
        <w:rPr>
          <w:szCs w:val="24"/>
        </w:rPr>
        <w:t>”</w:t>
      </w:r>
      <w:r w:rsidRPr="002520A0" w:rsidR="00742C32">
        <w:rPr>
          <w:szCs w:val="24"/>
        </w:rPr>
        <w:t xml:space="preserve"> (as </w:t>
      </w:r>
      <w:r w:rsidRPr="002520A0" w:rsidR="00E31917">
        <w:rPr>
          <w:szCs w:val="24"/>
        </w:rPr>
        <w:t>Ohio Energy Leadership Coun</w:t>
      </w:r>
      <w:r w:rsidRPr="002520A0" w:rsidR="004E16A8">
        <w:rPr>
          <w:szCs w:val="24"/>
        </w:rPr>
        <w:t>ci</w:t>
      </w:r>
      <w:r w:rsidRPr="002520A0" w:rsidR="00E31917">
        <w:rPr>
          <w:szCs w:val="24"/>
        </w:rPr>
        <w:t>l</w:t>
      </w:r>
      <w:r w:rsidRPr="002520A0" w:rsidR="00C611D1">
        <w:rPr>
          <w:szCs w:val="24"/>
        </w:rPr>
        <w:t xml:space="preserve"> </w:t>
      </w:r>
      <w:r w:rsidRPr="002520A0" w:rsidR="00742C32">
        <w:rPr>
          <w:szCs w:val="24"/>
        </w:rPr>
        <w:t>characterize</w:t>
      </w:r>
      <w:r w:rsidRPr="002520A0" w:rsidR="00195880">
        <w:rPr>
          <w:szCs w:val="24"/>
        </w:rPr>
        <w:t>d them</w:t>
      </w:r>
      <w:r w:rsidRPr="002520A0" w:rsidR="00742C32">
        <w:rPr>
          <w:szCs w:val="24"/>
        </w:rPr>
        <w:t>)</w:t>
      </w:r>
      <w:r w:rsidRPr="002520A0" w:rsidR="00514C08">
        <w:rPr>
          <w:szCs w:val="24"/>
        </w:rPr>
        <w:t>.</w:t>
      </w:r>
      <w:r>
        <w:rPr>
          <w:rStyle w:val="FootnoteReference"/>
          <w:szCs w:val="24"/>
        </w:rPr>
        <w:footnoteReference w:id="5"/>
      </w:r>
      <w:r w:rsidRPr="002520A0" w:rsidR="00742C32">
        <w:rPr>
          <w:szCs w:val="24"/>
        </w:rPr>
        <w:t xml:space="preserve"> </w:t>
      </w:r>
      <w:r w:rsidRPr="002520A0" w:rsidR="00514C08">
        <w:rPr>
          <w:szCs w:val="24"/>
        </w:rPr>
        <w:t>That deep</w:t>
      </w:r>
      <w:r w:rsidRPr="00D765F1" w:rsidR="00195880">
        <w:rPr>
          <w:szCs w:val="24"/>
        </w:rPr>
        <w:t>er</w:t>
      </w:r>
      <w:r w:rsidRPr="002520A0" w:rsidR="00514C08">
        <w:rPr>
          <w:szCs w:val="24"/>
        </w:rPr>
        <w:t xml:space="preserve"> dive should include whether</w:t>
      </w:r>
      <w:r w:rsidRPr="002520A0" w:rsidR="006553C3">
        <w:rPr>
          <w:szCs w:val="24"/>
        </w:rPr>
        <w:t xml:space="preserve"> </w:t>
      </w:r>
      <w:r w:rsidRPr="002520A0" w:rsidR="00514C08">
        <w:rPr>
          <w:szCs w:val="24"/>
        </w:rPr>
        <w:t xml:space="preserve">FirstEnergy’s Grid Mod investment (that has been charged to consumers) is </w:t>
      </w:r>
      <w:r w:rsidRPr="002520A0" w:rsidR="00171B21">
        <w:rPr>
          <w:i/>
          <w:iCs/>
          <w:szCs w:val="24"/>
        </w:rPr>
        <w:t>used and</w:t>
      </w:r>
      <w:r w:rsidRPr="002520A0" w:rsidR="006553C3">
        <w:rPr>
          <w:i/>
          <w:iCs/>
          <w:szCs w:val="24"/>
        </w:rPr>
        <w:t xml:space="preserve"> useful</w:t>
      </w:r>
      <w:r w:rsidRPr="002520A0" w:rsidR="006553C3">
        <w:rPr>
          <w:szCs w:val="24"/>
        </w:rPr>
        <w:t xml:space="preserve"> </w:t>
      </w:r>
      <w:r w:rsidRPr="002520A0" w:rsidR="00514C08">
        <w:rPr>
          <w:szCs w:val="24"/>
        </w:rPr>
        <w:t>for consumers</w:t>
      </w:r>
      <w:r w:rsidRPr="002520A0" w:rsidR="003C551A">
        <w:rPr>
          <w:szCs w:val="24"/>
        </w:rPr>
        <w:t xml:space="preserve">. </w:t>
      </w:r>
    </w:p>
    <w:p w:rsidR="007B61CB" w:rsidRPr="002520A0" w:rsidP="00EF20D7" w14:paraId="452F5ED1" w14:textId="3279910E">
      <w:pPr>
        <w:spacing w:line="480" w:lineRule="auto"/>
        <w:ind w:firstLine="720"/>
        <w:rPr>
          <w:szCs w:val="24"/>
        </w:rPr>
      </w:pPr>
      <w:r w:rsidRPr="002520A0">
        <w:rPr>
          <w:szCs w:val="24"/>
        </w:rPr>
        <w:t xml:space="preserve">Recall that in the </w:t>
      </w:r>
      <w:r w:rsidRPr="002520A0">
        <w:rPr>
          <w:szCs w:val="24"/>
        </w:rPr>
        <w:t>Deferred Prosecution Agreement.</w:t>
      </w:r>
      <w:r w:rsidRPr="002520A0" w:rsidR="00C971FE">
        <w:rPr>
          <w:szCs w:val="24"/>
        </w:rPr>
        <w:t xml:space="preserve"> </w:t>
      </w:r>
      <w:r w:rsidRPr="002520A0">
        <w:rPr>
          <w:szCs w:val="24"/>
        </w:rPr>
        <w:t xml:space="preserve">FirstEnergy Corp. admitted that </w:t>
      </w:r>
      <w:r w:rsidRPr="002520A0" w:rsidR="00EC75B2">
        <w:rPr>
          <w:szCs w:val="24"/>
        </w:rPr>
        <w:t>it:</w:t>
      </w:r>
    </w:p>
    <w:p w:rsidR="00B429CD" w:rsidRPr="0068191D" w:rsidP="00BA35F5" w14:paraId="65F02A02" w14:textId="31A91DAC">
      <w:pPr>
        <w:ind w:left="1440" w:right="1440"/>
        <w:rPr>
          <w:szCs w:val="24"/>
        </w:rPr>
      </w:pPr>
      <w:r w:rsidRPr="002520A0">
        <w:rPr>
          <w:szCs w:val="24"/>
        </w:rPr>
        <w:t xml:space="preserve">paid $4.3 million dollars to Public Official B [former Chair Randazzo] through his consulting company in return for Public Official B performing official action in his capacity as PUCO Chairman to further FirstEnergy Corp.’s interests relating to passage of nuclear legislation </w:t>
      </w:r>
      <w:r w:rsidRPr="002520A0">
        <w:rPr>
          <w:i/>
          <w:iCs/>
          <w:szCs w:val="24"/>
        </w:rPr>
        <w:t xml:space="preserve">and other specific FirstEnergy Corp. legislative and regulatory priorities, as </w:t>
      </w:r>
      <w:r w:rsidRPr="0068191D">
        <w:rPr>
          <w:i/>
          <w:iCs/>
          <w:szCs w:val="24"/>
        </w:rPr>
        <w:t>requested and as opportunities arose</w:t>
      </w:r>
      <w:r w:rsidRPr="0068191D">
        <w:rPr>
          <w:szCs w:val="24"/>
        </w:rPr>
        <w:t>.</w:t>
      </w:r>
      <w:r>
        <w:rPr>
          <w:rStyle w:val="FootnoteReference"/>
          <w:szCs w:val="24"/>
        </w:rPr>
        <w:footnoteReference w:id="6"/>
      </w:r>
    </w:p>
    <w:p w:rsidR="00BA35F5" w:rsidRPr="0068191D" w:rsidP="00BA35F5" w14:paraId="2D463B85" w14:textId="77777777">
      <w:pPr>
        <w:ind w:left="1440" w:right="1440"/>
        <w:rPr>
          <w:szCs w:val="24"/>
        </w:rPr>
      </w:pPr>
    </w:p>
    <w:p w:rsidR="00073E1A" w:rsidP="002520A0" w14:paraId="33A2A09F" w14:textId="5C3D8DF8">
      <w:pPr>
        <w:spacing w:line="480" w:lineRule="auto"/>
        <w:ind w:firstLine="720"/>
        <w:rPr>
          <w:szCs w:val="24"/>
        </w:rPr>
      </w:pPr>
      <w:r w:rsidRPr="0068191D">
        <w:rPr>
          <w:szCs w:val="24"/>
        </w:rPr>
        <w:t xml:space="preserve">Consumers </w:t>
      </w:r>
      <w:r w:rsidRPr="0068191D" w:rsidR="00E17F55">
        <w:rPr>
          <w:szCs w:val="24"/>
        </w:rPr>
        <w:t>deserve answers</w:t>
      </w:r>
      <w:r w:rsidRPr="00D32269" w:rsidR="00A43C23">
        <w:rPr>
          <w:szCs w:val="24"/>
        </w:rPr>
        <w:t xml:space="preserve"> – and protection</w:t>
      </w:r>
      <w:r w:rsidRPr="00D32269" w:rsidR="00E17F55">
        <w:rPr>
          <w:szCs w:val="24"/>
        </w:rPr>
        <w:t>.</w:t>
      </w:r>
      <w:r w:rsidR="00D32269">
        <w:rPr>
          <w:szCs w:val="24"/>
        </w:rPr>
        <w:t xml:space="preserve"> </w:t>
      </w:r>
      <w:r w:rsidRPr="00D32269" w:rsidR="00E17F55">
        <w:rPr>
          <w:szCs w:val="24"/>
        </w:rPr>
        <w:t xml:space="preserve">Especially after </w:t>
      </w:r>
      <w:r w:rsidRPr="00D32269" w:rsidR="00183EEC">
        <w:rPr>
          <w:szCs w:val="24"/>
        </w:rPr>
        <w:t>consumers were</w:t>
      </w:r>
      <w:r w:rsidRPr="00D32269" w:rsidR="00E17F55">
        <w:rPr>
          <w:szCs w:val="24"/>
        </w:rPr>
        <w:t xml:space="preserve"> charged over $600 million for </w:t>
      </w:r>
      <w:r w:rsidRPr="00D32269" w:rsidR="008244C6">
        <w:rPr>
          <w:szCs w:val="24"/>
        </w:rPr>
        <w:t xml:space="preserve">a </w:t>
      </w:r>
      <w:r w:rsidRPr="00D32269" w:rsidR="00E17F55">
        <w:rPr>
          <w:szCs w:val="24"/>
        </w:rPr>
        <w:t xml:space="preserve">program that has avoided scrutiny under </w:t>
      </w:r>
      <w:r w:rsidRPr="00D32269" w:rsidR="00183EEC">
        <w:rPr>
          <w:szCs w:val="24"/>
        </w:rPr>
        <w:t>Ohio’s</w:t>
      </w:r>
      <w:r w:rsidRPr="00D32269" w:rsidR="00E17F55">
        <w:rPr>
          <w:szCs w:val="24"/>
        </w:rPr>
        <w:t xml:space="preserve"> traditional rate making standard of used and useful</w:t>
      </w:r>
      <w:r w:rsidRPr="00D32269" w:rsidR="00791214">
        <w:rPr>
          <w:szCs w:val="24"/>
        </w:rPr>
        <w:t xml:space="preserve"> (R.C. 4909.15)</w:t>
      </w:r>
      <w:r w:rsidRPr="00D32269" w:rsidR="00931E01">
        <w:rPr>
          <w:szCs w:val="24"/>
        </w:rPr>
        <w:t>.</w:t>
      </w:r>
      <w:r w:rsidR="00D32269">
        <w:rPr>
          <w:szCs w:val="24"/>
        </w:rPr>
        <w:t xml:space="preserve"> </w:t>
      </w:r>
    </w:p>
    <w:p w:rsidR="00073E1A" w14:paraId="407C4433" w14:textId="77777777">
      <w:pPr>
        <w:rPr>
          <w:szCs w:val="24"/>
        </w:rPr>
      </w:pPr>
      <w:r>
        <w:rPr>
          <w:szCs w:val="24"/>
        </w:rPr>
        <w:br w:type="page"/>
      </w:r>
    </w:p>
    <w:p w:rsidR="0097230A" w:rsidRPr="00D32269" w:rsidP="00205FE3" w14:paraId="65FE38BC" w14:textId="7C022E05">
      <w:pPr>
        <w:pStyle w:val="Heading1"/>
      </w:pPr>
      <w:bookmarkStart w:id="1" w:name="_Toc143874988"/>
      <w:r w:rsidRPr="00D32269">
        <w:t>I</w:t>
      </w:r>
      <w:r w:rsidRPr="00D32269" w:rsidR="00E02E51">
        <w:t>I.</w:t>
      </w:r>
      <w:r w:rsidRPr="00D32269" w:rsidR="00E02E51">
        <w:tab/>
      </w:r>
      <w:r w:rsidRPr="00D32269" w:rsidR="00E23B40">
        <w:t>RECOMMENDATIONS</w:t>
      </w:r>
      <w:bookmarkEnd w:id="1"/>
    </w:p>
    <w:p w:rsidR="00AA315A" w:rsidRPr="00D32269" w:rsidP="003C127F" w14:paraId="70EF6372" w14:textId="5F70EA7A">
      <w:pPr>
        <w:pStyle w:val="Heading2"/>
        <w:keepNext w:val="0"/>
        <w:keepLines w:val="0"/>
        <w:rPr>
          <w:b w:val="0"/>
          <w:bCs/>
        </w:rPr>
      </w:pPr>
      <w:bookmarkStart w:id="2" w:name="_Toc143874989"/>
      <w:r w:rsidRPr="00D32269">
        <w:t xml:space="preserve">The PUCO should </w:t>
      </w:r>
      <w:r w:rsidRPr="00D32269">
        <w:t>not continue charging consumers for Grid Mod I investments until the PUCO has determined the investments are used and useful.</w:t>
      </w:r>
      <w:r w:rsidRPr="00D32269" w:rsidR="00C971FE">
        <w:t xml:space="preserve"> </w:t>
      </w:r>
      <w:r w:rsidRPr="00D32269" w:rsidR="0008354E">
        <w:t xml:space="preserve">The PUCO should </w:t>
      </w:r>
      <w:r w:rsidRPr="00D32269" w:rsidR="005E353E">
        <w:t xml:space="preserve">refund </w:t>
      </w:r>
      <w:r w:rsidRPr="00D32269" w:rsidR="0008354E">
        <w:t xml:space="preserve">prior charges to consumers if </w:t>
      </w:r>
      <w:r w:rsidRPr="00D32269" w:rsidR="001E731D">
        <w:t>FirstEnergy’s</w:t>
      </w:r>
      <w:r w:rsidRPr="00D32269" w:rsidR="0008354E">
        <w:t xml:space="preserve"> investment</w:t>
      </w:r>
      <w:r w:rsidRPr="00D32269" w:rsidR="001E731D">
        <w:t xml:space="preserve"> in Grid Mod I</w:t>
      </w:r>
      <w:r w:rsidRPr="00D32269" w:rsidR="0008354E">
        <w:t xml:space="preserve"> is not demonstrated to be</w:t>
      </w:r>
      <w:r w:rsidRPr="00D32269" w:rsidR="00171B21">
        <w:t xml:space="preserve"> both </w:t>
      </w:r>
      <w:r w:rsidRPr="00D32269" w:rsidR="004E6DE2">
        <w:t>“</w:t>
      </w:r>
      <w:r w:rsidRPr="00D32269" w:rsidR="00171B21">
        <w:t>used and</w:t>
      </w:r>
      <w:r w:rsidRPr="00D32269" w:rsidR="0008354E">
        <w:t xml:space="preserve"> useful</w:t>
      </w:r>
      <w:r w:rsidRPr="00D32269" w:rsidR="004E6DE2">
        <w:t>”</w:t>
      </w:r>
      <w:r w:rsidRPr="00D32269" w:rsidR="0008354E">
        <w:t xml:space="preserve"> to consumers.</w:t>
      </w:r>
      <w:bookmarkEnd w:id="2"/>
    </w:p>
    <w:p w:rsidR="00DB7E9B" w:rsidRPr="00D32269" w:rsidP="008B3AD5" w14:paraId="2F09EBCF" w14:textId="1749EC3D">
      <w:pPr>
        <w:spacing w:line="480" w:lineRule="auto"/>
        <w:ind w:firstLine="720"/>
        <w:rPr>
          <w:szCs w:val="24"/>
        </w:rPr>
      </w:pPr>
      <w:r w:rsidRPr="00D32269">
        <w:rPr>
          <w:szCs w:val="24"/>
        </w:rPr>
        <w:t xml:space="preserve">FirstEnergy </w:t>
      </w:r>
      <w:r w:rsidRPr="00D32269" w:rsidR="00A833AA">
        <w:rPr>
          <w:szCs w:val="24"/>
        </w:rPr>
        <w:t>is supposed to show</w:t>
      </w:r>
      <w:r w:rsidRPr="00D32269">
        <w:rPr>
          <w:szCs w:val="24"/>
        </w:rPr>
        <w:t xml:space="preserve"> that the Grid Mod 1 investment is used and useful and prudently incurred</w:t>
      </w:r>
      <w:r w:rsidRPr="00D32269" w:rsidR="00A833AA">
        <w:rPr>
          <w:szCs w:val="24"/>
        </w:rPr>
        <w:t xml:space="preserve"> before collecting costs from consumers under Rider AMI, as authorized in FirstEnergy’s ESP IV case</w:t>
      </w:r>
      <w:r w:rsidRPr="00D32269">
        <w:rPr>
          <w:szCs w:val="24"/>
        </w:rPr>
        <w:t>.</w:t>
      </w:r>
      <w:r>
        <w:rPr>
          <w:rStyle w:val="FootnoteReference"/>
          <w:szCs w:val="24"/>
        </w:rPr>
        <w:footnoteReference w:id="7"/>
      </w:r>
      <w:r w:rsidRPr="00D32269" w:rsidR="00C971FE">
        <w:rPr>
          <w:szCs w:val="24"/>
        </w:rPr>
        <w:t xml:space="preserve"> </w:t>
      </w:r>
      <w:r w:rsidRPr="00D32269" w:rsidR="00462766">
        <w:rPr>
          <w:szCs w:val="24"/>
        </w:rPr>
        <w:t>FirstEnergy bears the burden of proof for its application which is under PUCO consideration.</w:t>
      </w:r>
      <w:r>
        <w:rPr>
          <w:rStyle w:val="FootnoteReference"/>
          <w:szCs w:val="24"/>
        </w:rPr>
        <w:footnoteReference w:id="8"/>
      </w:r>
      <w:r w:rsidRPr="00D32269" w:rsidR="00C971FE">
        <w:rPr>
          <w:szCs w:val="24"/>
        </w:rPr>
        <w:t xml:space="preserve"> </w:t>
      </w:r>
      <w:r w:rsidR="00DD36AB">
        <w:rPr>
          <w:szCs w:val="24"/>
        </w:rPr>
        <w:t>Under the PUCO-approved Supplemental Stipulation FirstEnergy specifically agreed to “[v]erification that the Grid Mod I investments are used and useful and were prudently incurred.”</w:t>
      </w:r>
      <w:r>
        <w:rPr>
          <w:rStyle w:val="FootnoteReference"/>
          <w:szCs w:val="24"/>
        </w:rPr>
        <w:footnoteReference w:id="9"/>
      </w:r>
    </w:p>
    <w:p w:rsidR="00183128" w:rsidRPr="00D32269" w:rsidP="008B3AD5" w14:paraId="51303740" w14:textId="288BA7CC">
      <w:pPr>
        <w:spacing w:line="480" w:lineRule="auto"/>
        <w:ind w:firstLine="720"/>
        <w:rPr>
          <w:szCs w:val="24"/>
        </w:rPr>
      </w:pPr>
      <w:r w:rsidRPr="00D32269">
        <w:rPr>
          <w:szCs w:val="24"/>
        </w:rPr>
        <w:t>The Ohio Supreme Court recently address</w:t>
      </w:r>
      <w:r w:rsidRPr="00D32269" w:rsidR="00DB7E9B">
        <w:rPr>
          <w:szCs w:val="24"/>
        </w:rPr>
        <w:t>ed</w:t>
      </w:r>
      <w:r w:rsidRPr="00D32269">
        <w:rPr>
          <w:szCs w:val="24"/>
        </w:rPr>
        <w:t xml:space="preserve"> the used and useful test, noting that it “has been a feature of ratemaking in Ohio since 1911” and “it continues to be the standard that the Ohio legislature has chosen to determine whether a public utility may properly charge ratepayers for its capital investment.”</w:t>
      </w:r>
      <w:r>
        <w:rPr>
          <w:rStyle w:val="FootnoteReference"/>
          <w:szCs w:val="24"/>
        </w:rPr>
        <w:footnoteReference w:id="10"/>
      </w:r>
      <w:r w:rsidRPr="00D32269" w:rsidR="00C971FE">
        <w:rPr>
          <w:szCs w:val="24"/>
        </w:rPr>
        <w:t xml:space="preserve"> </w:t>
      </w:r>
      <w:r w:rsidRPr="00D32269" w:rsidR="00DB7E9B">
        <w:rPr>
          <w:szCs w:val="24"/>
        </w:rPr>
        <w:t>The Court noted that a public utility is only entitled to recover through rates, the value of that portion of property that is “’actually used and useful for the convenience of the public.’’’</w:t>
      </w:r>
      <w:r>
        <w:rPr>
          <w:rStyle w:val="FootnoteReference"/>
          <w:szCs w:val="24"/>
        </w:rPr>
        <w:footnoteReference w:id="11"/>
      </w:r>
      <w:r w:rsidRPr="00D32269" w:rsidR="00C971FE">
        <w:rPr>
          <w:szCs w:val="24"/>
        </w:rPr>
        <w:t xml:space="preserve"> </w:t>
      </w:r>
      <w:r w:rsidRPr="00D32269" w:rsidR="00DB7E9B">
        <w:rPr>
          <w:szCs w:val="24"/>
        </w:rPr>
        <w:t>The Court specifically ruled that</w:t>
      </w:r>
      <w:r w:rsidRPr="00D32269" w:rsidR="00DF3ECE">
        <w:rPr>
          <w:szCs w:val="24"/>
        </w:rPr>
        <w:t xml:space="preserve"> “useful” means that the “property must be beneficial in rendering service</w:t>
      </w:r>
      <w:r w:rsidRPr="00D32269" w:rsidR="007B3247">
        <w:rPr>
          <w:szCs w:val="24"/>
        </w:rPr>
        <w:t xml:space="preserve"> for</w:t>
      </w:r>
      <w:r w:rsidR="00D32269">
        <w:rPr>
          <w:szCs w:val="24"/>
        </w:rPr>
        <w:t xml:space="preserve"> </w:t>
      </w:r>
      <w:r w:rsidRPr="00D32269" w:rsidR="00DF3ECE">
        <w:rPr>
          <w:szCs w:val="24"/>
        </w:rPr>
        <w:t>the convenience of the public.”</w:t>
      </w:r>
      <w:r>
        <w:rPr>
          <w:rStyle w:val="FootnoteReference"/>
          <w:szCs w:val="24"/>
        </w:rPr>
        <w:footnoteReference w:id="12"/>
      </w:r>
      <w:r w:rsidR="00D32269">
        <w:rPr>
          <w:szCs w:val="24"/>
        </w:rPr>
        <w:t xml:space="preserve"> </w:t>
      </w:r>
      <w:r w:rsidRPr="00D32269" w:rsidR="006171CC">
        <w:rPr>
          <w:szCs w:val="24"/>
        </w:rPr>
        <w:t>Under the used and useful standard there is no charging consumers for gold-plating.</w:t>
      </w:r>
    </w:p>
    <w:p w:rsidR="007A25A1" w:rsidRPr="00D32269" w:rsidP="007A25A1" w14:paraId="40CED563" w14:textId="44A0F570">
      <w:pPr>
        <w:spacing w:line="480" w:lineRule="auto"/>
        <w:ind w:firstLine="720"/>
        <w:rPr>
          <w:szCs w:val="24"/>
        </w:rPr>
      </w:pPr>
      <w:r w:rsidRPr="00D32269">
        <w:rPr>
          <w:szCs w:val="24"/>
        </w:rPr>
        <w:t xml:space="preserve">But the PUCO has not analyzed </w:t>
      </w:r>
      <w:r w:rsidRPr="00D32269">
        <w:rPr>
          <w:szCs w:val="24"/>
        </w:rPr>
        <w:t>whether F</w:t>
      </w:r>
      <w:r w:rsidRPr="00D32269">
        <w:rPr>
          <w:szCs w:val="24"/>
        </w:rPr>
        <w:t xml:space="preserve">irstEnergy’s investment </w:t>
      </w:r>
      <w:r w:rsidRPr="00D32269" w:rsidR="00B85708">
        <w:rPr>
          <w:szCs w:val="24"/>
        </w:rPr>
        <w:t>is used and useful</w:t>
      </w:r>
      <w:r w:rsidRPr="00D32269">
        <w:rPr>
          <w:szCs w:val="24"/>
        </w:rPr>
        <w:t xml:space="preserve">, despite three years of </w:t>
      </w:r>
      <w:r w:rsidR="00E116C8">
        <w:rPr>
          <w:szCs w:val="24"/>
        </w:rPr>
        <w:t xml:space="preserve">reviewing </w:t>
      </w:r>
      <w:r w:rsidRPr="00D32269">
        <w:rPr>
          <w:szCs w:val="24"/>
        </w:rPr>
        <w:t>charges to consumers</w:t>
      </w:r>
      <w:r w:rsidRPr="00D32269" w:rsidR="005E353E">
        <w:rPr>
          <w:szCs w:val="24"/>
        </w:rPr>
        <w:t>.</w:t>
      </w:r>
      <w:r w:rsidRPr="00D32269" w:rsidR="00C971FE">
        <w:rPr>
          <w:szCs w:val="24"/>
        </w:rPr>
        <w:t xml:space="preserve"> </w:t>
      </w:r>
      <w:r w:rsidRPr="00D32269" w:rsidR="00711F59">
        <w:rPr>
          <w:szCs w:val="24"/>
        </w:rPr>
        <w:t>Instead, the scope of the PUCO Staff’s review in the annual Rider AMI proceedings has been “a review of the application and its supporting work papers to confirm the prudency of expenses incurred during the review period and the mathematical accuracy of the schedules included in the application.”</w:t>
      </w:r>
      <w:r>
        <w:rPr>
          <w:rStyle w:val="FootnoteReference"/>
          <w:szCs w:val="24"/>
        </w:rPr>
        <w:footnoteReference w:id="13"/>
      </w:r>
      <w:r w:rsidRPr="00D32269">
        <w:rPr>
          <w:szCs w:val="24"/>
        </w:rPr>
        <w:t xml:space="preserve"> </w:t>
      </w:r>
      <w:r w:rsidRPr="00D32269">
        <w:rPr>
          <w:szCs w:val="24"/>
        </w:rPr>
        <w:t>Neither the words “used and useful,” nor the principle is discussed</w:t>
      </w:r>
      <w:r w:rsidRPr="00D32269" w:rsidR="00C44F58">
        <w:rPr>
          <w:szCs w:val="24"/>
        </w:rPr>
        <w:t xml:space="preserve"> or applied</w:t>
      </w:r>
      <w:r w:rsidRPr="00D32269">
        <w:rPr>
          <w:szCs w:val="24"/>
        </w:rPr>
        <w:t xml:space="preserve"> in any of the Staff’s past annual reviews of FirstEnergy’s </w:t>
      </w:r>
      <w:r w:rsidRPr="00D32269" w:rsidR="00C44F58">
        <w:rPr>
          <w:szCs w:val="24"/>
        </w:rPr>
        <w:t>Rider AMI</w:t>
      </w:r>
      <w:r w:rsidRPr="00D32269">
        <w:rPr>
          <w:szCs w:val="24"/>
        </w:rPr>
        <w:t>.</w:t>
      </w:r>
      <w:r>
        <w:rPr>
          <w:rStyle w:val="FootnoteReference"/>
          <w:szCs w:val="24"/>
        </w:rPr>
        <w:footnoteReference w:id="14"/>
      </w:r>
      <w:r w:rsidRPr="00D32269" w:rsidR="005E353E">
        <w:rPr>
          <w:szCs w:val="24"/>
        </w:rPr>
        <w:t xml:space="preserve"> </w:t>
      </w:r>
    </w:p>
    <w:p w:rsidR="002439BA" w:rsidRPr="00D32269" w:rsidP="002439BA" w14:paraId="5F39B00E" w14:textId="1B0DDE7C">
      <w:pPr>
        <w:spacing w:line="480" w:lineRule="auto"/>
        <w:ind w:firstLine="720"/>
        <w:rPr>
          <w:szCs w:val="24"/>
        </w:rPr>
      </w:pPr>
      <w:r w:rsidRPr="00D32269">
        <w:rPr>
          <w:szCs w:val="24"/>
        </w:rPr>
        <w:t>I</w:t>
      </w:r>
      <w:r w:rsidRPr="00D32269" w:rsidR="00183128">
        <w:rPr>
          <w:szCs w:val="24"/>
        </w:rPr>
        <w:t>n this proceeding</w:t>
      </w:r>
      <w:r w:rsidRPr="00D32269" w:rsidR="00491292">
        <w:rPr>
          <w:szCs w:val="24"/>
        </w:rPr>
        <w:t>,</w:t>
      </w:r>
      <w:r w:rsidRPr="00D32269" w:rsidR="00183128">
        <w:rPr>
          <w:szCs w:val="24"/>
        </w:rPr>
        <w:t xml:space="preserve"> where operational benefits of FirstEnergy’s Grid Mod I program were to </w:t>
      </w:r>
      <w:r w:rsidRPr="00D32269" w:rsidR="00491292">
        <w:rPr>
          <w:szCs w:val="24"/>
        </w:rPr>
        <w:t>be examined,</w:t>
      </w:r>
      <w:r w:rsidRPr="00D32269" w:rsidR="00183128">
        <w:rPr>
          <w:szCs w:val="24"/>
        </w:rPr>
        <w:t xml:space="preserve"> FirstEnergy thwarted the investigation by</w:t>
      </w:r>
      <w:r w:rsidRPr="00D32269" w:rsidR="00735704">
        <w:rPr>
          <w:szCs w:val="24"/>
        </w:rPr>
        <w:t xml:space="preserve"> apparently</w:t>
      </w:r>
      <w:r w:rsidRPr="00D32269" w:rsidR="00183128">
        <w:rPr>
          <w:szCs w:val="24"/>
        </w:rPr>
        <w:t xml:space="preserve"> making itself </w:t>
      </w:r>
      <w:r w:rsidRPr="00D32269" w:rsidR="00173F42">
        <w:rPr>
          <w:szCs w:val="24"/>
        </w:rPr>
        <w:t>un</w:t>
      </w:r>
      <w:r w:rsidRPr="00D32269" w:rsidR="00183128">
        <w:rPr>
          <w:szCs w:val="24"/>
        </w:rPr>
        <w:t>auditable</w:t>
      </w:r>
      <w:r w:rsidRPr="00D32269" w:rsidR="00F849F6">
        <w:rPr>
          <w:szCs w:val="24"/>
        </w:rPr>
        <w:t xml:space="preserve"> (based on results of a PUCO audit)</w:t>
      </w:r>
      <w:r w:rsidRPr="00D32269" w:rsidR="00183128">
        <w:rPr>
          <w:szCs w:val="24"/>
        </w:rPr>
        <w:t xml:space="preserve">. </w:t>
      </w:r>
      <w:r>
        <w:rPr>
          <w:rStyle w:val="FootnoteReference"/>
          <w:szCs w:val="24"/>
        </w:rPr>
        <w:footnoteReference w:id="15"/>
      </w:r>
      <w:r w:rsidRPr="00D32269">
        <w:rPr>
          <w:szCs w:val="24"/>
        </w:rPr>
        <w:t>The Ohio Energy Leadership Coun</w:t>
      </w:r>
      <w:r w:rsidRPr="00D32269" w:rsidR="004E16A8">
        <w:rPr>
          <w:szCs w:val="24"/>
        </w:rPr>
        <w:t>ci</w:t>
      </w:r>
      <w:r w:rsidRPr="00D32269">
        <w:rPr>
          <w:szCs w:val="24"/>
        </w:rPr>
        <w:t>l in its comments agreed noting that there is a “lack of transparency, documentation and tracking of benefits and cost savings” which “requires an explanation from FirstEnergy and a remedy.”</w:t>
      </w:r>
      <w:r>
        <w:rPr>
          <w:rStyle w:val="FootnoteReference"/>
          <w:szCs w:val="24"/>
        </w:rPr>
        <w:footnoteReference w:id="16"/>
      </w:r>
    </w:p>
    <w:p w:rsidR="008B3AD5" w:rsidRPr="00D32269" w:rsidP="002439BA" w14:paraId="5D4EBCCC" w14:textId="296F3A9B">
      <w:pPr>
        <w:spacing w:line="480" w:lineRule="auto"/>
        <w:ind w:firstLine="720"/>
        <w:rPr>
          <w:szCs w:val="24"/>
        </w:rPr>
      </w:pPr>
      <w:r w:rsidRPr="00D32269">
        <w:rPr>
          <w:szCs w:val="24"/>
        </w:rPr>
        <w:t xml:space="preserve">This </w:t>
      </w:r>
      <w:r w:rsidRPr="00D32269" w:rsidR="00B21E30">
        <w:rPr>
          <w:szCs w:val="24"/>
        </w:rPr>
        <w:t xml:space="preserve">situation </w:t>
      </w:r>
      <w:r w:rsidRPr="00D32269" w:rsidR="001A0240">
        <w:rPr>
          <w:szCs w:val="24"/>
        </w:rPr>
        <w:t xml:space="preserve">is untenable and </w:t>
      </w:r>
      <w:r w:rsidRPr="00D32269">
        <w:rPr>
          <w:szCs w:val="24"/>
        </w:rPr>
        <w:t>should not be tolerated</w:t>
      </w:r>
      <w:r w:rsidRPr="00D32269" w:rsidR="00032497">
        <w:rPr>
          <w:szCs w:val="24"/>
        </w:rPr>
        <w:t>. It</w:t>
      </w:r>
      <w:r w:rsidRPr="00D32269">
        <w:rPr>
          <w:szCs w:val="24"/>
        </w:rPr>
        <w:t xml:space="preserve"> especially</w:t>
      </w:r>
      <w:r w:rsidRPr="00D32269" w:rsidR="00032497">
        <w:rPr>
          <w:szCs w:val="24"/>
        </w:rPr>
        <w:t xml:space="preserve"> should be strictly dealt with by the PUCO</w:t>
      </w:r>
      <w:r w:rsidRPr="00D32269">
        <w:rPr>
          <w:szCs w:val="24"/>
        </w:rPr>
        <w:t xml:space="preserve"> given the PUCO’s admonishment to FirstEnergy (when it approved Grid Mod 1 charges to consumers) that “the estimated net benefit projections are just that and </w:t>
      </w:r>
      <w:r w:rsidRPr="00D32269">
        <w:rPr>
          <w:i/>
          <w:iCs/>
          <w:szCs w:val="24"/>
        </w:rPr>
        <w:t>Grid Mod I should have the requisite controls in place to routinely monitor the projected and resulting costs and benefits associated with its program.</w:t>
      </w:r>
      <w:r w:rsidRPr="00D32269">
        <w:rPr>
          <w:szCs w:val="24"/>
        </w:rPr>
        <w:t>”</w:t>
      </w:r>
      <w:r>
        <w:rPr>
          <w:rStyle w:val="FootnoteReference"/>
          <w:szCs w:val="24"/>
        </w:rPr>
        <w:footnoteReference w:id="17"/>
      </w:r>
      <w:r w:rsidRPr="00D32269" w:rsidR="00C971FE">
        <w:rPr>
          <w:szCs w:val="24"/>
        </w:rPr>
        <w:t xml:space="preserve"> </w:t>
      </w:r>
    </w:p>
    <w:p w:rsidR="00C44F58" w:rsidRPr="00D32269" w:rsidP="008B3AD5" w14:paraId="702723CB" w14:textId="5D11D937">
      <w:pPr>
        <w:spacing w:line="480" w:lineRule="auto"/>
        <w:ind w:firstLine="720"/>
        <w:rPr>
          <w:szCs w:val="24"/>
        </w:rPr>
      </w:pPr>
      <w:r w:rsidRPr="00D32269">
        <w:rPr>
          <w:szCs w:val="24"/>
        </w:rPr>
        <w:t>OCC</w:t>
      </w:r>
      <w:r w:rsidRPr="00D32269" w:rsidR="00565E34">
        <w:rPr>
          <w:szCs w:val="24"/>
        </w:rPr>
        <w:t xml:space="preserve"> </w:t>
      </w:r>
      <w:r w:rsidRPr="00D32269">
        <w:rPr>
          <w:szCs w:val="24"/>
        </w:rPr>
        <w:t xml:space="preserve">and OMAEG/Kroger </w:t>
      </w:r>
      <w:r w:rsidRPr="00D32269" w:rsidR="0008354E">
        <w:rPr>
          <w:szCs w:val="24"/>
        </w:rPr>
        <w:t xml:space="preserve">in comments </w:t>
      </w:r>
      <w:r w:rsidRPr="00D32269" w:rsidR="00565E34">
        <w:rPr>
          <w:szCs w:val="24"/>
        </w:rPr>
        <w:t>pointed out that there has been no finding of used and useful when it comes to FirstEnergy’s Grid Mod I program.</w:t>
      </w:r>
      <w:r>
        <w:rPr>
          <w:rStyle w:val="FootnoteReference"/>
          <w:szCs w:val="24"/>
        </w:rPr>
        <w:footnoteReference w:id="18"/>
      </w:r>
      <w:r w:rsidRPr="00D32269" w:rsidR="00C971FE">
        <w:rPr>
          <w:szCs w:val="24"/>
        </w:rPr>
        <w:t xml:space="preserve"> </w:t>
      </w:r>
      <w:r w:rsidRPr="00D32269" w:rsidR="0008354E">
        <w:rPr>
          <w:szCs w:val="24"/>
        </w:rPr>
        <w:t xml:space="preserve">In this regard, </w:t>
      </w:r>
      <w:r w:rsidRPr="00D32269" w:rsidR="00C10F92">
        <w:rPr>
          <w:szCs w:val="24"/>
        </w:rPr>
        <w:t xml:space="preserve">OMAEG/Kroger recommended that FirstEnergy should not be allowed to continue collecting Grid Mod I investments </w:t>
      </w:r>
      <w:r w:rsidRPr="00D32269" w:rsidR="00491292">
        <w:rPr>
          <w:szCs w:val="24"/>
        </w:rPr>
        <w:t xml:space="preserve">from consumers </w:t>
      </w:r>
      <w:r w:rsidRPr="00D32269" w:rsidR="00C10F92">
        <w:rPr>
          <w:szCs w:val="24"/>
        </w:rPr>
        <w:t xml:space="preserve">until it demonstrates the amounts </w:t>
      </w:r>
      <w:r w:rsidRPr="00D32269" w:rsidR="0008354E">
        <w:rPr>
          <w:szCs w:val="24"/>
        </w:rPr>
        <w:t>previously</w:t>
      </w:r>
      <w:r w:rsidRPr="00D32269" w:rsidR="00C10F92">
        <w:rPr>
          <w:szCs w:val="24"/>
        </w:rPr>
        <w:t xml:space="preserve"> collected are actually prudent, used, and useful.</w:t>
      </w:r>
      <w:r>
        <w:rPr>
          <w:rStyle w:val="FootnoteReference"/>
          <w:szCs w:val="24"/>
        </w:rPr>
        <w:footnoteReference w:id="19"/>
      </w:r>
      <w:r w:rsidRPr="00D32269" w:rsidR="00C971FE">
        <w:rPr>
          <w:szCs w:val="24"/>
        </w:rPr>
        <w:t xml:space="preserve"> </w:t>
      </w:r>
    </w:p>
    <w:p w:rsidR="00E116C8" w:rsidRPr="00E116C8" w:rsidP="001423A2" w14:paraId="091E1E74" w14:textId="37FAAF24">
      <w:pPr>
        <w:spacing w:line="480" w:lineRule="auto"/>
        <w:ind w:firstLine="720"/>
      </w:pPr>
      <w:r w:rsidRPr="00D32269">
        <w:rPr>
          <w:szCs w:val="24"/>
        </w:rPr>
        <w:t xml:space="preserve">OCC agrees and would further recommend </w:t>
      </w:r>
      <w:r w:rsidRPr="00D32269" w:rsidR="005E353E">
        <w:rPr>
          <w:szCs w:val="24"/>
        </w:rPr>
        <w:t xml:space="preserve">that if investment is not found to be used and useful, the </w:t>
      </w:r>
      <w:r w:rsidRPr="00D32269">
        <w:rPr>
          <w:szCs w:val="24"/>
        </w:rPr>
        <w:t>past collections from consumers should be refunded</w:t>
      </w:r>
      <w:r w:rsidRPr="00D32269" w:rsidR="005E353E">
        <w:rPr>
          <w:szCs w:val="24"/>
        </w:rPr>
        <w:t xml:space="preserve">, </w:t>
      </w:r>
      <w:r w:rsidRPr="00D32269">
        <w:rPr>
          <w:szCs w:val="24"/>
        </w:rPr>
        <w:t>as recommended by NOAC</w:t>
      </w:r>
      <w:r w:rsidRPr="00D32269" w:rsidR="001B554C">
        <w:rPr>
          <w:szCs w:val="24"/>
        </w:rPr>
        <w:t xml:space="preserve"> in its Comments</w:t>
      </w:r>
      <w:r w:rsidRPr="00D32269">
        <w:rPr>
          <w:szCs w:val="24"/>
        </w:rPr>
        <w:t>.</w:t>
      </w:r>
      <w:r>
        <w:rPr>
          <w:rStyle w:val="FootnoteReference"/>
          <w:szCs w:val="24"/>
        </w:rPr>
        <w:footnoteReference w:id="20"/>
      </w:r>
      <w:r w:rsidRPr="00D32269" w:rsidR="00C971FE">
        <w:rPr>
          <w:szCs w:val="24"/>
        </w:rPr>
        <w:t xml:space="preserve"> </w:t>
      </w:r>
      <w:r w:rsidRPr="00D32269" w:rsidR="00A0048C">
        <w:rPr>
          <w:szCs w:val="24"/>
        </w:rPr>
        <w:t xml:space="preserve">Refunds </w:t>
      </w:r>
      <w:r w:rsidRPr="00D32269" w:rsidR="00491292">
        <w:rPr>
          <w:szCs w:val="24"/>
        </w:rPr>
        <w:t xml:space="preserve">to consumers </w:t>
      </w:r>
      <w:r w:rsidRPr="00D32269" w:rsidR="00A0048C">
        <w:rPr>
          <w:szCs w:val="24"/>
        </w:rPr>
        <w:t xml:space="preserve">could be ordered under Rider AMI, given the approved tariff language that </w:t>
      </w:r>
      <w:r w:rsidRPr="00D32269" w:rsidR="00AB58CD">
        <w:rPr>
          <w:szCs w:val="24"/>
        </w:rPr>
        <w:t>“</w:t>
      </w:r>
      <w:r w:rsidRPr="00D32269" w:rsidR="00A0048C">
        <w:rPr>
          <w:szCs w:val="24"/>
        </w:rPr>
        <w:t xml:space="preserve">[t]his Rider is subject to reconciliation, including, but not limited to increases </w:t>
      </w:r>
      <w:r w:rsidRPr="00D32269" w:rsidR="00AB58CD">
        <w:rPr>
          <w:szCs w:val="24"/>
        </w:rPr>
        <w:t>or refunds.”</w:t>
      </w:r>
      <w:r>
        <w:rPr>
          <w:rStyle w:val="FootnoteReference"/>
          <w:szCs w:val="24"/>
        </w:rPr>
        <w:footnoteReference w:id="21"/>
      </w:r>
      <w:r w:rsidRPr="00D32269" w:rsidR="00C971FE">
        <w:rPr>
          <w:szCs w:val="24"/>
        </w:rPr>
        <w:t xml:space="preserve"> </w:t>
      </w:r>
      <w:r w:rsidRPr="00D32269" w:rsidR="00AD2E86">
        <w:rPr>
          <w:szCs w:val="24"/>
        </w:rPr>
        <w:t>The PUCO found this tariff language “clearly anticipates the possibility that, as a result of an audit ordered by the Commission, a disallowance may occur and such disallowance may result in a refund to ratepayers.”</w:t>
      </w:r>
      <w:r>
        <w:rPr>
          <w:rStyle w:val="FootnoteReference"/>
          <w:szCs w:val="24"/>
        </w:rPr>
        <w:footnoteReference w:id="22"/>
      </w:r>
      <w:r w:rsidRPr="00D32269" w:rsidR="00C971FE">
        <w:rPr>
          <w:szCs w:val="24"/>
        </w:rPr>
        <w:t xml:space="preserve"> </w:t>
      </w:r>
      <w:r w:rsidRPr="00D32269" w:rsidR="00C44F58">
        <w:rPr>
          <w:szCs w:val="24"/>
        </w:rPr>
        <w:t xml:space="preserve">Refunds should be ordered if FirstEnergy fails to show how the Grid Mod I investments are both used and useful to </w:t>
      </w:r>
      <w:r w:rsidRPr="00D32269" w:rsidR="00491292">
        <w:rPr>
          <w:szCs w:val="24"/>
        </w:rPr>
        <w:t xml:space="preserve">its </w:t>
      </w:r>
      <w:r w:rsidRPr="00D32269" w:rsidR="00C44F58">
        <w:rPr>
          <w:szCs w:val="24"/>
        </w:rPr>
        <w:t>consumers.</w:t>
      </w:r>
      <w:r w:rsidRPr="00D32269" w:rsidR="00C971FE">
        <w:rPr>
          <w:szCs w:val="24"/>
        </w:rPr>
        <w:t xml:space="preserve"> </w:t>
      </w:r>
      <w:r w:rsidRPr="00E116C8" w:rsidR="00334366">
        <w:t>Refunds to consumers are also required under the Supplemental Stipulation</w:t>
      </w:r>
      <w:r>
        <w:rPr>
          <w:rStyle w:val="FootnoteReference"/>
        </w:rPr>
        <w:footnoteReference w:id="23"/>
      </w:r>
      <w:r w:rsidRPr="00E116C8" w:rsidR="00334366">
        <w:t xml:space="preserve"> that was approved by the PUCO as part of resolving the case. </w:t>
      </w:r>
      <w:r w:rsidRPr="00E116C8" w:rsidR="001B429D">
        <w:t>Specifically,</w:t>
      </w:r>
      <w:r w:rsidRPr="00E116C8" w:rsidR="00334366">
        <w:t xml:space="preserve"> the Supplemental Stipulation </w:t>
      </w:r>
      <w:r w:rsidRPr="00E116C8" w:rsidR="00DD36AB">
        <w:t xml:space="preserve">requires that </w:t>
      </w:r>
      <w:r w:rsidRPr="00E116C8" w:rsidR="00334366">
        <w:t>“[</w:t>
      </w:r>
      <w:r w:rsidRPr="00E116C8" w:rsidR="00DD36AB">
        <w:t>i</w:t>
      </w:r>
      <w:r w:rsidRPr="00E116C8" w:rsidR="00334366">
        <w:t>]</w:t>
      </w:r>
      <w:r w:rsidRPr="00E116C8" w:rsidR="00DD36AB">
        <w:t>f</w:t>
      </w:r>
      <w:r w:rsidRPr="00E116C8" w:rsidR="005A2F20">
        <w:t xml:space="preserve"> </w:t>
      </w:r>
      <w:r w:rsidRPr="00E116C8" w:rsidR="00DD36AB">
        <w:t xml:space="preserve">a Commission order finds that costs were either not prudently incurred or were not used and useful, such costs will not be collected from customers and, if already collected, shall be refunded to the customers.” </w:t>
      </w:r>
    </w:p>
    <w:p w:rsidR="001B554C" w:rsidRPr="007D3E0D" w:rsidP="007D3E0D" w14:paraId="45501003" w14:textId="17A60DB1">
      <w:pPr>
        <w:pStyle w:val="Heading2"/>
      </w:pPr>
      <w:bookmarkStart w:id="3" w:name="_Toc143874990"/>
      <w:r w:rsidRPr="001423A2">
        <w:t xml:space="preserve">The PUCO should stay any further consideration of FirstEnergy’s Grid Mod II application until after FirstEnergy has </w:t>
      </w:r>
      <w:r w:rsidRPr="001423A2" w:rsidR="00E93B92">
        <w:t xml:space="preserve">proven </w:t>
      </w:r>
      <w:r w:rsidRPr="001423A2">
        <w:t>the benefits to consumers of Grid Mod I</w:t>
      </w:r>
      <w:r w:rsidRPr="001423A2" w:rsidR="00195C2A">
        <w:t xml:space="preserve"> and after the Auditor’s recommendations have been implemented</w:t>
      </w:r>
      <w:r w:rsidRPr="001423A2">
        <w:t>.</w:t>
      </w:r>
      <w:bookmarkEnd w:id="3"/>
    </w:p>
    <w:p w:rsidR="00B85708" w:rsidRPr="00D32269" w:rsidP="00B85708" w14:paraId="329974A0" w14:textId="34A75D36">
      <w:pPr>
        <w:spacing w:line="480" w:lineRule="auto"/>
        <w:ind w:firstLine="720"/>
        <w:rPr>
          <w:szCs w:val="24"/>
        </w:rPr>
      </w:pPr>
      <w:r w:rsidRPr="00D32269">
        <w:rPr>
          <w:szCs w:val="24"/>
        </w:rPr>
        <w:t>OCC, OMAEG/Kroger and NOAC filed comments recommending that Grid Mod II not go forward given the Auditor’s recommendations on First</w:t>
      </w:r>
      <w:r w:rsidRPr="00D32269" w:rsidR="00EF20D7">
        <w:rPr>
          <w:szCs w:val="24"/>
        </w:rPr>
        <w:t xml:space="preserve">Energy’s Grid Mod </w:t>
      </w:r>
      <w:r w:rsidRPr="00D32269">
        <w:rPr>
          <w:szCs w:val="24"/>
        </w:rPr>
        <w:t xml:space="preserve">I </w:t>
      </w:r>
      <w:r w:rsidRPr="00D32269" w:rsidR="00EF20D7">
        <w:rPr>
          <w:szCs w:val="24"/>
        </w:rPr>
        <w:t>program</w:t>
      </w:r>
      <w:r w:rsidRPr="00D32269">
        <w:rPr>
          <w:szCs w:val="24"/>
        </w:rPr>
        <w:t>.</w:t>
      </w:r>
      <w:r>
        <w:rPr>
          <w:rStyle w:val="FootnoteReference"/>
          <w:szCs w:val="24"/>
        </w:rPr>
        <w:footnoteReference w:id="24"/>
      </w:r>
      <w:r w:rsidRPr="00D32269" w:rsidR="00C971FE">
        <w:rPr>
          <w:szCs w:val="24"/>
        </w:rPr>
        <w:t xml:space="preserve"> </w:t>
      </w:r>
      <w:r w:rsidRPr="00D32269" w:rsidR="001E731D">
        <w:rPr>
          <w:szCs w:val="24"/>
        </w:rPr>
        <w:t>The Ohio Energy Leadership Council also concluded that the Auditor’s recommendations should be adopted.</w:t>
      </w:r>
      <w:r>
        <w:rPr>
          <w:rStyle w:val="FootnoteReference"/>
          <w:szCs w:val="24"/>
        </w:rPr>
        <w:footnoteReference w:id="25"/>
      </w:r>
      <w:r w:rsidRPr="00D32269" w:rsidR="00491292">
        <w:rPr>
          <w:szCs w:val="24"/>
        </w:rPr>
        <w:t xml:space="preserve"> </w:t>
      </w:r>
      <w:r w:rsidRPr="00D32269">
        <w:rPr>
          <w:szCs w:val="24"/>
        </w:rPr>
        <w:t xml:space="preserve">NOAC commented that Grid Mod </w:t>
      </w:r>
      <w:r w:rsidRPr="00D32269" w:rsidR="00171B21">
        <w:rPr>
          <w:szCs w:val="24"/>
        </w:rPr>
        <w:t>II</w:t>
      </w:r>
      <w:r w:rsidRPr="00D32269">
        <w:rPr>
          <w:szCs w:val="24"/>
        </w:rPr>
        <w:t xml:space="preserve"> should be set aside and folded into </w:t>
      </w:r>
      <w:r w:rsidRPr="00D32269" w:rsidR="00E93B92">
        <w:rPr>
          <w:szCs w:val="24"/>
        </w:rPr>
        <w:t>FirstEnergy’s</w:t>
      </w:r>
      <w:r w:rsidRPr="00D32269">
        <w:rPr>
          <w:szCs w:val="24"/>
        </w:rPr>
        <w:t xml:space="preserve"> ESP 5 application </w:t>
      </w:r>
      <w:r w:rsidRPr="00D32269" w:rsidR="00E13236">
        <w:rPr>
          <w:szCs w:val="24"/>
        </w:rPr>
        <w:t xml:space="preserve">but not </w:t>
      </w:r>
      <w:r w:rsidRPr="00D32269">
        <w:rPr>
          <w:szCs w:val="24"/>
        </w:rPr>
        <w:t>until after an independent forensic audit occurs.</w:t>
      </w:r>
      <w:r>
        <w:rPr>
          <w:rStyle w:val="FootnoteReference"/>
          <w:szCs w:val="24"/>
        </w:rPr>
        <w:footnoteReference w:id="26"/>
      </w:r>
      <w:r w:rsidRPr="00D32269" w:rsidR="00C971FE">
        <w:rPr>
          <w:szCs w:val="24"/>
        </w:rPr>
        <w:t xml:space="preserve"> </w:t>
      </w:r>
      <w:r w:rsidRPr="00D32269" w:rsidR="00171B21">
        <w:rPr>
          <w:szCs w:val="24"/>
        </w:rPr>
        <w:t>NOAC also recommended cancelling Grid Mod II.</w:t>
      </w:r>
      <w:r>
        <w:rPr>
          <w:rStyle w:val="FootnoteReference"/>
          <w:szCs w:val="24"/>
        </w:rPr>
        <w:footnoteReference w:id="27"/>
      </w:r>
      <w:r w:rsidRPr="00D32269" w:rsidR="00171B21">
        <w:rPr>
          <w:szCs w:val="24"/>
        </w:rPr>
        <w:t xml:space="preserve"> </w:t>
      </w:r>
    </w:p>
    <w:p w:rsidR="00950A1C" w:rsidRPr="00D32269" w:rsidP="00B85708" w14:paraId="6DA9A2F2" w14:textId="3E9BE0B6">
      <w:pPr>
        <w:spacing w:line="480" w:lineRule="auto"/>
        <w:ind w:firstLine="720"/>
        <w:rPr>
          <w:bCs/>
          <w:szCs w:val="24"/>
        </w:rPr>
      </w:pPr>
      <w:r w:rsidRPr="00D32269">
        <w:rPr>
          <w:szCs w:val="24"/>
        </w:rPr>
        <w:t xml:space="preserve">As </w:t>
      </w:r>
      <w:r w:rsidRPr="00D32269" w:rsidR="001E731D">
        <w:rPr>
          <w:szCs w:val="24"/>
        </w:rPr>
        <w:t>highlighted in the comments of OCC, NOAC, OMAEG and the Ohio Energy Leadership Council</w:t>
      </w:r>
      <w:r w:rsidRPr="00D32269">
        <w:rPr>
          <w:szCs w:val="24"/>
        </w:rPr>
        <w:t xml:space="preserve">, </w:t>
      </w:r>
      <w:r w:rsidRPr="00D32269">
        <w:rPr>
          <w:bCs/>
          <w:szCs w:val="24"/>
        </w:rPr>
        <w:t xml:space="preserve">the Auditor made twelve </w:t>
      </w:r>
      <w:r w:rsidRPr="00D32269" w:rsidR="005B095A">
        <w:rPr>
          <w:bCs/>
          <w:szCs w:val="24"/>
        </w:rPr>
        <w:t xml:space="preserve">key </w:t>
      </w:r>
      <w:r w:rsidRPr="00D32269">
        <w:rPr>
          <w:bCs/>
          <w:szCs w:val="24"/>
        </w:rPr>
        <w:t>findings</w:t>
      </w:r>
      <w:r w:rsidRPr="00D32269" w:rsidR="005B095A">
        <w:rPr>
          <w:bCs/>
          <w:szCs w:val="24"/>
        </w:rPr>
        <w:t xml:space="preserve"> that could be described as</w:t>
      </w:r>
      <w:r w:rsidRPr="00D32269">
        <w:rPr>
          <w:bCs/>
          <w:szCs w:val="24"/>
        </w:rPr>
        <w:t xml:space="preserve"> show</w:t>
      </w:r>
      <w:r w:rsidRPr="00D32269" w:rsidR="001E731D">
        <w:rPr>
          <w:bCs/>
          <w:szCs w:val="24"/>
        </w:rPr>
        <w:t>ing that</w:t>
      </w:r>
      <w:r w:rsidRPr="00D32269">
        <w:rPr>
          <w:bCs/>
          <w:szCs w:val="24"/>
        </w:rPr>
        <w:t xml:space="preserve"> FirstEnergy</w:t>
      </w:r>
      <w:r w:rsidRPr="00D32269" w:rsidR="005B095A">
        <w:rPr>
          <w:bCs/>
          <w:szCs w:val="24"/>
        </w:rPr>
        <w:t xml:space="preserve"> is unauditable.</w:t>
      </w:r>
      <w:r>
        <w:rPr>
          <w:rStyle w:val="FootnoteReference"/>
          <w:bCs/>
          <w:szCs w:val="24"/>
        </w:rPr>
        <w:footnoteReference w:id="28"/>
      </w:r>
      <w:r w:rsidRPr="00D32269" w:rsidR="006C3F71">
        <w:rPr>
          <w:bCs/>
          <w:szCs w:val="24"/>
        </w:rPr>
        <w:t xml:space="preserve"> The Auditor found that FirstEnergy</w:t>
      </w:r>
      <w:r w:rsidRPr="00D32269" w:rsidR="001E731D">
        <w:rPr>
          <w:bCs/>
          <w:szCs w:val="24"/>
        </w:rPr>
        <w:t xml:space="preserve"> failed </w:t>
      </w:r>
      <w:r w:rsidRPr="00D32269">
        <w:rPr>
          <w:bCs/>
          <w:szCs w:val="24"/>
        </w:rPr>
        <w:t xml:space="preserve">to provide the data necessary so that Daymark could complete an assessment of the operational benefits of Grid Mod I. </w:t>
      </w:r>
    </w:p>
    <w:p w:rsidR="00B85708" w:rsidRPr="00D32269" w:rsidP="00B85708" w14:paraId="2344070C" w14:textId="4886EB8E">
      <w:pPr>
        <w:spacing w:line="480" w:lineRule="auto"/>
        <w:ind w:firstLine="720"/>
        <w:rPr>
          <w:bCs/>
          <w:szCs w:val="24"/>
        </w:rPr>
      </w:pPr>
      <w:r w:rsidRPr="00D32269">
        <w:rPr>
          <w:bCs/>
          <w:szCs w:val="24"/>
        </w:rPr>
        <w:t>As noted by OMAEG/Kroger</w:t>
      </w:r>
      <w:r w:rsidRPr="00D32269" w:rsidR="00E61039">
        <w:rPr>
          <w:bCs/>
          <w:szCs w:val="24"/>
        </w:rPr>
        <w:t xml:space="preserve">, FirstEnergy should not be </w:t>
      </w:r>
      <w:r w:rsidRPr="00D32269" w:rsidR="00610061">
        <w:rPr>
          <w:bCs/>
          <w:szCs w:val="24"/>
        </w:rPr>
        <w:t xml:space="preserve">accommodated or </w:t>
      </w:r>
      <w:r w:rsidRPr="00D32269" w:rsidR="00E61039">
        <w:rPr>
          <w:bCs/>
          <w:szCs w:val="24"/>
        </w:rPr>
        <w:t>rewarded for failing to provide adequate supporting documentation of its operational savings and benefits of Grid Mod I.</w:t>
      </w:r>
      <w:r>
        <w:rPr>
          <w:rStyle w:val="FootnoteReference"/>
          <w:bCs/>
          <w:szCs w:val="24"/>
        </w:rPr>
        <w:footnoteReference w:id="29"/>
      </w:r>
      <w:r w:rsidRPr="00D32269" w:rsidR="00C971FE">
        <w:rPr>
          <w:bCs/>
          <w:szCs w:val="24"/>
        </w:rPr>
        <w:t xml:space="preserve"> </w:t>
      </w:r>
      <w:r w:rsidRPr="00D32269">
        <w:rPr>
          <w:bCs/>
          <w:szCs w:val="24"/>
        </w:rPr>
        <w:t>It is neither just nor reasonable</w:t>
      </w:r>
      <w:r w:rsidRPr="00D32269" w:rsidR="00CF3C54">
        <w:rPr>
          <w:bCs/>
          <w:szCs w:val="24"/>
        </w:rPr>
        <w:t xml:space="preserve"> (but it would be absurd)</w:t>
      </w:r>
      <w:r w:rsidRPr="00D32269">
        <w:rPr>
          <w:bCs/>
          <w:szCs w:val="24"/>
        </w:rPr>
        <w:t xml:space="preserve"> to allow FirstEnergy to move forward with plans to implement Grid Smart II and charge its consumers hundreds of millions of dollars more, before the PUCO has resolved the serious deficiencies noted by </w:t>
      </w:r>
      <w:r w:rsidRPr="00D32269" w:rsidR="0003546F">
        <w:rPr>
          <w:bCs/>
          <w:szCs w:val="24"/>
        </w:rPr>
        <w:t>its</w:t>
      </w:r>
      <w:r w:rsidRPr="00D32269">
        <w:rPr>
          <w:bCs/>
          <w:szCs w:val="24"/>
        </w:rPr>
        <w:t xml:space="preserve"> auditor.</w:t>
      </w:r>
      <w:r w:rsidRPr="00D32269" w:rsidR="00462766">
        <w:rPr>
          <w:bCs/>
          <w:szCs w:val="24"/>
        </w:rPr>
        <w:t xml:space="preserve"> </w:t>
      </w:r>
      <w:r w:rsidRPr="00D32269" w:rsidR="000443E3">
        <w:rPr>
          <w:bCs/>
          <w:szCs w:val="24"/>
        </w:rPr>
        <w:t>Doing so would be contrary to the PUCO’s conclusion, in approving Grid Mod I, that “grid modernization should only be implemented if the benefits of g</w:t>
      </w:r>
      <w:r w:rsidRPr="00D32269" w:rsidR="008136A5">
        <w:rPr>
          <w:bCs/>
          <w:szCs w:val="24"/>
        </w:rPr>
        <w:t>ri</w:t>
      </w:r>
      <w:r w:rsidRPr="00D32269" w:rsidR="000443E3">
        <w:rPr>
          <w:bCs/>
          <w:szCs w:val="24"/>
        </w:rPr>
        <w:t>d modernization outweigh the costs.”</w:t>
      </w:r>
      <w:r>
        <w:rPr>
          <w:rStyle w:val="FootnoteReference"/>
          <w:bCs/>
          <w:szCs w:val="24"/>
        </w:rPr>
        <w:footnoteReference w:id="30"/>
      </w:r>
      <w:r w:rsidRPr="00D32269">
        <w:rPr>
          <w:bCs/>
          <w:szCs w:val="24"/>
        </w:rPr>
        <w:t xml:space="preserve"> </w:t>
      </w:r>
    </w:p>
    <w:p w:rsidR="00404652" w:rsidRPr="00D32269" w:rsidP="0011040F" w14:paraId="043B8C7E" w14:textId="77777777">
      <w:pPr>
        <w:spacing w:line="480" w:lineRule="auto"/>
        <w:ind w:firstLine="720"/>
        <w:rPr>
          <w:bCs/>
          <w:szCs w:val="24"/>
        </w:rPr>
      </w:pPr>
      <w:r w:rsidRPr="00D32269">
        <w:rPr>
          <w:bCs/>
          <w:szCs w:val="24"/>
        </w:rPr>
        <w:t xml:space="preserve">FirstEnergy’s response to the </w:t>
      </w:r>
      <w:r w:rsidRPr="00D32269" w:rsidR="002D4E21">
        <w:rPr>
          <w:bCs/>
          <w:szCs w:val="24"/>
        </w:rPr>
        <w:t>Auditor</w:t>
      </w:r>
      <w:r w:rsidRPr="00D32269" w:rsidR="008136A5">
        <w:rPr>
          <w:bCs/>
          <w:szCs w:val="24"/>
        </w:rPr>
        <w:t>-</w:t>
      </w:r>
      <w:r w:rsidRPr="00D32269" w:rsidR="002D4E21">
        <w:rPr>
          <w:bCs/>
          <w:szCs w:val="24"/>
        </w:rPr>
        <w:t xml:space="preserve">noted </w:t>
      </w:r>
      <w:r w:rsidRPr="00D32269">
        <w:rPr>
          <w:bCs/>
          <w:szCs w:val="24"/>
        </w:rPr>
        <w:t xml:space="preserve">deficiencies </w:t>
      </w:r>
      <w:r w:rsidRPr="00D32269" w:rsidR="002D4E21">
        <w:rPr>
          <w:bCs/>
          <w:szCs w:val="24"/>
        </w:rPr>
        <w:t xml:space="preserve">is to consider the Auditor’s recommendations </w:t>
      </w:r>
      <w:r w:rsidRPr="00D32269" w:rsidR="008136A5">
        <w:rPr>
          <w:bCs/>
          <w:szCs w:val="24"/>
        </w:rPr>
        <w:t xml:space="preserve">on metrics and performance tracking </w:t>
      </w:r>
      <w:r w:rsidRPr="00D32269">
        <w:rPr>
          <w:bCs/>
          <w:szCs w:val="24"/>
        </w:rPr>
        <w:t xml:space="preserve">in </w:t>
      </w:r>
      <w:r w:rsidRPr="00D32269">
        <w:rPr>
          <w:bCs/>
          <w:i/>
          <w:iCs/>
          <w:szCs w:val="24"/>
        </w:rPr>
        <w:t>future</w:t>
      </w:r>
      <w:r w:rsidRPr="00D32269">
        <w:rPr>
          <w:bCs/>
          <w:szCs w:val="24"/>
        </w:rPr>
        <w:t xml:space="preserve"> grid modernization efforts.</w:t>
      </w:r>
      <w:r>
        <w:rPr>
          <w:rStyle w:val="FootnoteReference"/>
          <w:bCs/>
          <w:szCs w:val="24"/>
        </w:rPr>
        <w:footnoteReference w:id="31"/>
      </w:r>
      <w:r w:rsidRPr="00D32269" w:rsidR="00C971FE">
        <w:rPr>
          <w:bCs/>
          <w:szCs w:val="24"/>
        </w:rPr>
        <w:t xml:space="preserve"> </w:t>
      </w:r>
      <w:r w:rsidRPr="00D32269" w:rsidR="00C638EA">
        <w:rPr>
          <w:bCs/>
          <w:szCs w:val="24"/>
        </w:rPr>
        <w:t>But effective regulation would not be granting FirstEnergy its requested pass on past noncompliances – especially not with $600 million charged to consumers</w:t>
      </w:r>
      <w:r w:rsidRPr="00D32269" w:rsidR="00CF2B33">
        <w:rPr>
          <w:bCs/>
          <w:szCs w:val="24"/>
        </w:rPr>
        <w:t>.</w:t>
      </w:r>
      <w:r w:rsidRPr="00D32269" w:rsidR="00C638EA">
        <w:rPr>
          <w:bCs/>
          <w:szCs w:val="24"/>
        </w:rPr>
        <w:t xml:space="preserve"> </w:t>
      </w:r>
      <w:r w:rsidRPr="00D32269" w:rsidR="00CF2B33">
        <w:rPr>
          <w:bCs/>
          <w:szCs w:val="24"/>
        </w:rPr>
        <w:t>A</w:t>
      </w:r>
      <w:r w:rsidRPr="00D32269" w:rsidR="00C638EA">
        <w:rPr>
          <w:bCs/>
          <w:szCs w:val="24"/>
        </w:rPr>
        <w:t>nd</w:t>
      </w:r>
      <w:r w:rsidRPr="00D32269" w:rsidR="00CF2B33">
        <w:rPr>
          <w:bCs/>
          <w:szCs w:val="24"/>
        </w:rPr>
        <w:t>, it should be remembered, that these charges were preceded by</w:t>
      </w:r>
      <w:r w:rsidRPr="00D32269" w:rsidR="00C638EA">
        <w:rPr>
          <w:bCs/>
          <w:szCs w:val="24"/>
        </w:rPr>
        <w:t xml:space="preserve"> nearly</w:t>
      </w:r>
      <w:r w:rsidRPr="00D32269" w:rsidR="00CF2B33">
        <w:rPr>
          <w:bCs/>
          <w:szCs w:val="24"/>
        </w:rPr>
        <w:t xml:space="preserve"> a</w:t>
      </w:r>
      <w:r w:rsidRPr="00D32269" w:rsidR="00C638EA">
        <w:rPr>
          <w:bCs/>
          <w:szCs w:val="24"/>
        </w:rPr>
        <w:t xml:space="preserve"> half</w:t>
      </w:r>
      <w:r w:rsidRPr="00D32269" w:rsidR="00CF2B33">
        <w:rPr>
          <w:bCs/>
          <w:szCs w:val="24"/>
        </w:rPr>
        <w:t>-</w:t>
      </w:r>
      <w:r w:rsidRPr="00D32269" w:rsidR="00C638EA">
        <w:rPr>
          <w:bCs/>
          <w:szCs w:val="24"/>
        </w:rPr>
        <w:t>billion</w:t>
      </w:r>
      <w:r w:rsidRPr="00D32269" w:rsidR="00CF2B33">
        <w:rPr>
          <w:bCs/>
          <w:szCs w:val="24"/>
        </w:rPr>
        <w:t xml:space="preserve"> dollars</w:t>
      </w:r>
      <w:r w:rsidRPr="00D32269" w:rsidR="00C638EA">
        <w:rPr>
          <w:bCs/>
          <w:szCs w:val="24"/>
        </w:rPr>
        <w:t xml:space="preserve"> charged </w:t>
      </w:r>
      <w:r w:rsidRPr="00D32269" w:rsidR="00CF2B33">
        <w:rPr>
          <w:bCs/>
          <w:szCs w:val="24"/>
        </w:rPr>
        <w:t xml:space="preserve">to consumers under </w:t>
      </w:r>
      <w:r w:rsidRPr="00D32269" w:rsidR="00C638EA">
        <w:rPr>
          <w:bCs/>
          <w:szCs w:val="24"/>
        </w:rPr>
        <w:t>the infamous distribution modernization</w:t>
      </w:r>
      <w:r w:rsidRPr="00D32269" w:rsidR="00CF2B33">
        <w:rPr>
          <w:bCs/>
          <w:szCs w:val="24"/>
        </w:rPr>
        <w:t xml:space="preserve"> rider</w:t>
      </w:r>
      <w:r w:rsidRPr="00D32269" w:rsidR="00C638EA">
        <w:rPr>
          <w:bCs/>
          <w:szCs w:val="24"/>
        </w:rPr>
        <w:t>.</w:t>
      </w:r>
      <w:r w:rsidRPr="00D32269" w:rsidR="001B0AEE">
        <w:rPr>
          <w:bCs/>
          <w:szCs w:val="24"/>
        </w:rPr>
        <w:t xml:space="preserve"> </w:t>
      </w:r>
    </w:p>
    <w:p w:rsidR="001F2710" w:rsidRPr="00D32269" w:rsidP="0011040F" w14:paraId="43E9AD6C" w14:textId="61DA859D">
      <w:pPr>
        <w:spacing w:line="480" w:lineRule="auto"/>
        <w:ind w:firstLine="720"/>
        <w:rPr>
          <w:bCs/>
          <w:szCs w:val="24"/>
        </w:rPr>
      </w:pPr>
      <w:r w:rsidRPr="00D32269">
        <w:rPr>
          <w:bCs/>
          <w:szCs w:val="24"/>
        </w:rPr>
        <w:t>I</w:t>
      </w:r>
      <w:r w:rsidRPr="00D32269" w:rsidR="00391FD1">
        <w:rPr>
          <w:bCs/>
          <w:szCs w:val="24"/>
        </w:rPr>
        <w:t xml:space="preserve">mplementing recommendations down the road for the next phase of </w:t>
      </w:r>
      <w:r w:rsidRPr="00D32269" w:rsidR="002D4E21">
        <w:rPr>
          <w:bCs/>
          <w:szCs w:val="24"/>
        </w:rPr>
        <w:t xml:space="preserve">FirstEnergy’s </w:t>
      </w:r>
      <w:r w:rsidRPr="00D32269" w:rsidR="00391FD1">
        <w:rPr>
          <w:bCs/>
          <w:szCs w:val="24"/>
        </w:rPr>
        <w:t>Grid Mod</w:t>
      </w:r>
      <w:r w:rsidRPr="00D32269">
        <w:rPr>
          <w:bCs/>
          <w:szCs w:val="24"/>
        </w:rPr>
        <w:t>, as FirstEnergy would have it,</w:t>
      </w:r>
      <w:r w:rsidRPr="00D32269" w:rsidR="00391FD1">
        <w:rPr>
          <w:bCs/>
          <w:szCs w:val="24"/>
        </w:rPr>
        <w:t xml:space="preserve"> </w:t>
      </w:r>
      <w:r w:rsidRPr="00D32269" w:rsidR="00821AE8">
        <w:rPr>
          <w:bCs/>
          <w:szCs w:val="24"/>
        </w:rPr>
        <w:t>avoids</w:t>
      </w:r>
      <w:r w:rsidRPr="00D32269" w:rsidR="00391FD1">
        <w:rPr>
          <w:bCs/>
          <w:szCs w:val="24"/>
        </w:rPr>
        <w:t xml:space="preserve"> help</w:t>
      </w:r>
      <w:r w:rsidRPr="00D32269" w:rsidR="00821AE8">
        <w:rPr>
          <w:bCs/>
          <w:szCs w:val="24"/>
        </w:rPr>
        <w:t>ing</w:t>
      </w:r>
      <w:r w:rsidRPr="00D32269">
        <w:rPr>
          <w:bCs/>
          <w:szCs w:val="24"/>
        </w:rPr>
        <w:t xml:space="preserve"> consumers</w:t>
      </w:r>
      <w:r w:rsidRPr="00D32269" w:rsidR="00391FD1">
        <w:rPr>
          <w:bCs/>
          <w:szCs w:val="24"/>
        </w:rPr>
        <w:t xml:space="preserve"> with the </w:t>
      </w:r>
      <w:r w:rsidRPr="00D32269" w:rsidR="0011040F">
        <w:rPr>
          <w:bCs/>
          <w:szCs w:val="24"/>
        </w:rPr>
        <w:t xml:space="preserve">current </w:t>
      </w:r>
      <w:r w:rsidRPr="00D32269" w:rsidR="00391FD1">
        <w:rPr>
          <w:bCs/>
          <w:szCs w:val="24"/>
        </w:rPr>
        <w:t xml:space="preserve">problems </w:t>
      </w:r>
      <w:r w:rsidRPr="00D32269" w:rsidR="0011040F">
        <w:rPr>
          <w:bCs/>
          <w:szCs w:val="24"/>
        </w:rPr>
        <w:t xml:space="preserve">under </w:t>
      </w:r>
      <w:r w:rsidRPr="00D32269" w:rsidR="002D4E21">
        <w:rPr>
          <w:bCs/>
          <w:szCs w:val="24"/>
        </w:rPr>
        <w:t>FirstEnergy’s Grid Mod I</w:t>
      </w:r>
      <w:r w:rsidRPr="00D32269" w:rsidR="00391FD1">
        <w:rPr>
          <w:bCs/>
          <w:szCs w:val="24"/>
        </w:rPr>
        <w:t>.</w:t>
      </w:r>
      <w:r w:rsidRPr="00D32269" w:rsidR="00C971FE">
        <w:rPr>
          <w:bCs/>
          <w:szCs w:val="24"/>
        </w:rPr>
        <w:t xml:space="preserve"> </w:t>
      </w:r>
      <w:r w:rsidRPr="00D32269" w:rsidR="002D4E21">
        <w:rPr>
          <w:bCs/>
          <w:szCs w:val="24"/>
        </w:rPr>
        <w:t xml:space="preserve">And the tracking and monitoring </w:t>
      </w:r>
      <w:r w:rsidRPr="00D32269" w:rsidR="0011040F">
        <w:rPr>
          <w:bCs/>
          <w:szCs w:val="24"/>
        </w:rPr>
        <w:t xml:space="preserve">are key to the </w:t>
      </w:r>
      <w:r w:rsidRPr="00D32269" w:rsidR="00E90D6F">
        <w:rPr>
          <w:bCs/>
          <w:szCs w:val="24"/>
        </w:rPr>
        <w:t xml:space="preserve">operational benefits assessment and review </w:t>
      </w:r>
      <w:r w:rsidRPr="00D32269" w:rsidR="0011040F">
        <w:rPr>
          <w:bCs/>
          <w:szCs w:val="24"/>
        </w:rPr>
        <w:t xml:space="preserve">that was agreed to </w:t>
      </w:r>
      <w:r w:rsidRPr="00D32269" w:rsidR="00E90D6F">
        <w:rPr>
          <w:bCs/>
          <w:i/>
          <w:iCs/>
          <w:szCs w:val="24"/>
        </w:rPr>
        <w:t xml:space="preserve">before </w:t>
      </w:r>
      <w:r w:rsidRPr="00D32269" w:rsidR="00282E46">
        <w:rPr>
          <w:bCs/>
          <w:i/>
          <w:iCs/>
          <w:szCs w:val="24"/>
        </w:rPr>
        <w:t xml:space="preserve">charging consumers for the next phase of </w:t>
      </w:r>
      <w:r w:rsidRPr="00D32269" w:rsidR="00E90D6F">
        <w:rPr>
          <w:bCs/>
          <w:i/>
          <w:iCs/>
          <w:szCs w:val="24"/>
        </w:rPr>
        <w:t>grid modernization</w:t>
      </w:r>
      <w:r w:rsidRPr="00D32269" w:rsidR="00E90D6F">
        <w:rPr>
          <w:bCs/>
          <w:szCs w:val="24"/>
        </w:rPr>
        <w:t>.</w:t>
      </w:r>
      <w:r>
        <w:rPr>
          <w:rStyle w:val="FootnoteReference"/>
          <w:bCs/>
          <w:szCs w:val="24"/>
        </w:rPr>
        <w:footnoteReference w:id="32"/>
      </w:r>
      <w:r w:rsidRPr="00D32269" w:rsidR="00E90D6F">
        <w:rPr>
          <w:bCs/>
          <w:szCs w:val="24"/>
        </w:rPr>
        <w:t xml:space="preserve"> </w:t>
      </w:r>
    </w:p>
    <w:p w:rsidR="00195C2A" w:rsidRPr="00D32269" w:rsidP="006F43AB" w14:paraId="7C05030A" w14:textId="2BD3B1B8">
      <w:pPr>
        <w:spacing w:line="480" w:lineRule="auto"/>
        <w:ind w:firstLine="720"/>
        <w:rPr>
          <w:bCs/>
          <w:szCs w:val="24"/>
        </w:rPr>
      </w:pPr>
      <w:r w:rsidRPr="00D32269">
        <w:rPr>
          <w:bCs/>
          <w:szCs w:val="24"/>
        </w:rPr>
        <w:t>T</w:t>
      </w:r>
      <w:r w:rsidRPr="00D32269" w:rsidR="00481DDE">
        <w:rPr>
          <w:bCs/>
          <w:szCs w:val="24"/>
        </w:rPr>
        <w:t>he PUCO should consider</w:t>
      </w:r>
      <w:r w:rsidRPr="00D32269">
        <w:rPr>
          <w:bCs/>
          <w:szCs w:val="24"/>
        </w:rPr>
        <w:t xml:space="preserve"> the</w:t>
      </w:r>
      <w:r w:rsidRPr="00D32269" w:rsidR="00481DDE">
        <w:rPr>
          <w:bCs/>
          <w:szCs w:val="24"/>
        </w:rPr>
        <w:t xml:space="preserve"> Auditor</w:t>
      </w:r>
      <w:r w:rsidRPr="00D32269" w:rsidR="0011040F">
        <w:rPr>
          <w:bCs/>
          <w:szCs w:val="24"/>
        </w:rPr>
        <w:t xml:space="preserve">’s recommendation </w:t>
      </w:r>
      <w:r w:rsidRPr="00D32269" w:rsidR="0011040F">
        <w:rPr>
          <w:bCs/>
          <w:i/>
          <w:iCs/>
          <w:szCs w:val="24"/>
        </w:rPr>
        <w:t>now</w:t>
      </w:r>
      <w:r w:rsidRPr="00D32269" w:rsidR="0011040F">
        <w:rPr>
          <w:bCs/>
          <w:szCs w:val="24"/>
        </w:rPr>
        <w:t xml:space="preserve">, </w:t>
      </w:r>
      <w:r w:rsidRPr="00D32269" w:rsidR="00481DDE">
        <w:rPr>
          <w:bCs/>
          <w:szCs w:val="24"/>
        </w:rPr>
        <w:t xml:space="preserve">especially </w:t>
      </w:r>
      <w:r w:rsidRPr="00D32269" w:rsidR="0011040F">
        <w:rPr>
          <w:bCs/>
          <w:szCs w:val="24"/>
        </w:rPr>
        <w:t xml:space="preserve">the </w:t>
      </w:r>
      <w:r w:rsidRPr="00D32269" w:rsidR="00481DDE">
        <w:rPr>
          <w:bCs/>
          <w:szCs w:val="24"/>
        </w:rPr>
        <w:t xml:space="preserve">deficiencies that led the Auditor to conclude that </w:t>
      </w:r>
      <w:r w:rsidRPr="00D32269" w:rsidR="001F2710">
        <w:rPr>
          <w:bCs/>
          <w:szCs w:val="24"/>
        </w:rPr>
        <w:t xml:space="preserve">he could not “directly audit or determine the current and future level of operational savings to be credited” to consumers. </w:t>
      </w:r>
      <w:r w:rsidRPr="00D32269" w:rsidR="0011040F">
        <w:rPr>
          <w:bCs/>
          <w:szCs w:val="24"/>
        </w:rPr>
        <w:t>Commenters Ohio Energy Leadership Council,</w:t>
      </w:r>
      <w:r>
        <w:rPr>
          <w:rStyle w:val="FootnoteReference"/>
          <w:bCs/>
          <w:szCs w:val="24"/>
        </w:rPr>
        <w:footnoteReference w:id="33"/>
      </w:r>
      <w:r w:rsidRPr="00D32269" w:rsidR="0011040F">
        <w:rPr>
          <w:bCs/>
          <w:szCs w:val="24"/>
        </w:rPr>
        <w:t xml:space="preserve"> </w:t>
      </w:r>
      <w:r w:rsidRPr="00D32269" w:rsidR="004B619F">
        <w:rPr>
          <w:bCs/>
          <w:szCs w:val="24"/>
        </w:rPr>
        <w:t>OMAEG/Kroger</w:t>
      </w:r>
      <w:r>
        <w:rPr>
          <w:rStyle w:val="FootnoteReference"/>
          <w:bCs/>
          <w:szCs w:val="24"/>
        </w:rPr>
        <w:footnoteReference w:id="34"/>
      </w:r>
      <w:r w:rsidRPr="00D32269" w:rsidR="004B619F">
        <w:rPr>
          <w:bCs/>
          <w:szCs w:val="24"/>
        </w:rPr>
        <w:t xml:space="preserve"> and OCC</w:t>
      </w:r>
      <w:r>
        <w:rPr>
          <w:rStyle w:val="FootnoteReference"/>
          <w:bCs/>
          <w:szCs w:val="24"/>
        </w:rPr>
        <w:footnoteReference w:id="35"/>
      </w:r>
      <w:r w:rsidRPr="00D32269" w:rsidR="004B619F">
        <w:rPr>
          <w:bCs/>
          <w:szCs w:val="24"/>
        </w:rPr>
        <w:t xml:space="preserve"> all advocated for the Auditor’s recommendations to be adopted.</w:t>
      </w:r>
      <w:r w:rsidRPr="00D32269" w:rsidR="00C971FE">
        <w:rPr>
          <w:bCs/>
          <w:szCs w:val="24"/>
        </w:rPr>
        <w:t xml:space="preserve"> </w:t>
      </w:r>
    </w:p>
    <w:p w:rsidR="00E23B40" w:rsidRPr="00D32269" w:rsidP="006F43AB" w14:paraId="788DFC64" w14:textId="5B06B02F">
      <w:pPr>
        <w:spacing w:line="480" w:lineRule="auto"/>
        <w:ind w:firstLine="720"/>
        <w:rPr>
          <w:b/>
          <w:szCs w:val="24"/>
        </w:rPr>
      </w:pPr>
      <w:r w:rsidRPr="00D32269">
        <w:rPr>
          <w:bCs/>
          <w:szCs w:val="24"/>
        </w:rPr>
        <w:t xml:space="preserve">But, as explained supra, further examination is required to determine whether FirstEnergy’s Grid Mod investment </w:t>
      </w:r>
      <w:r w:rsidRPr="00D32269" w:rsidR="008136A5">
        <w:rPr>
          <w:bCs/>
          <w:szCs w:val="24"/>
        </w:rPr>
        <w:t xml:space="preserve">to date, which </w:t>
      </w:r>
      <w:r w:rsidRPr="00D32269" w:rsidR="006B009D">
        <w:rPr>
          <w:bCs/>
          <w:szCs w:val="24"/>
        </w:rPr>
        <w:t xml:space="preserve">FirstEnergy </w:t>
      </w:r>
      <w:r w:rsidRPr="00D32269" w:rsidR="008136A5">
        <w:rPr>
          <w:bCs/>
          <w:szCs w:val="24"/>
        </w:rPr>
        <w:t>consumers are paying a return</w:t>
      </w:r>
      <w:r w:rsidRPr="00D32269" w:rsidR="009A67C5">
        <w:rPr>
          <w:bCs/>
          <w:szCs w:val="24"/>
        </w:rPr>
        <w:t xml:space="preserve"> (profit)</w:t>
      </w:r>
      <w:r w:rsidRPr="00D32269" w:rsidR="008136A5">
        <w:rPr>
          <w:bCs/>
          <w:szCs w:val="24"/>
        </w:rPr>
        <w:t xml:space="preserve"> on and of, </w:t>
      </w:r>
      <w:r w:rsidRPr="00D32269">
        <w:rPr>
          <w:bCs/>
          <w:szCs w:val="24"/>
        </w:rPr>
        <w:t>is used and useful</w:t>
      </w:r>
      <w:r w:rsidRPr="00D32269" w:rsidR="006B009D">
        <w:rPr>
          <w:bCs/>
          <w:szCs w:val="24"/>
        </w:rPr>
        <w:t xml:space="preserve"> to consumers</w:t>
      </w:r>
      <w:r w:rsidRPr="00D32269">
        <w:rPr>
          <w:bCs/>
          <w:szCs w:val="24"/>
        </w:rPr>
        <w:t>. And if it is not demonstrated to be used and useful</w:t>
      </w:r>
      <w:r w:rsidRPr="00D32269" w:rsidR="008136A5">
        <w:rPr>
          <w:bCs/>
          <w:szCs w:val="24"/>
        </w:rPr>
        <w:t>,</w:t>
      </w:r>
      <w:r w:rsidRPr="00D32269">
        <w:rPr>
          <w:bCs/>
          <w:szCs w:val="24"/>
        </w:rPr>
        <w:t xml:space="preserve"> the program should end and refunds to consumers should be ordered.</w:t>
      </w:r>
      <w:r w:rsidRPr="00D32269" w:rsidR="00C971FE">
        <w:rPr>
          <w:bCs/>
          <w:szCs w:val="24"/>
        </w:rPr>
        <w:t xml:space="preserve"> </w:t>
      </w:r>
    </w:p>
    <w:p w:rsidR="00902381" w:rsidRPr="00D32269" w:rsidP="008B3AD5" w14:paraId="18389047" w14:textId="68C8FD7C">
      <w:pPr>
        <w:pStyle w:val="Heading2"/>
      </w:pPr>
      <w:bookmarkStart w:id="4" w:name="_Toc143874991"/>
      <w:r w:rsidRPr="00D32269">
        <w:t xml:space="preserve">The fixed operational savings under the Settlement should be compared to the actual savings achieved and </w:t>
      </w:r>
      <w:r w:rsidR="00DD36AB">
        <w:t>a modified level of savings should be considered.</w:t>
      </w:r>
      <w:bookmarkEnd w:id="4"/>
    </w:p>
    <w:p w:rsidR="00381363" w:rsidRPr="00D32269" w:rsidP="004B619F" w14:paraId="3338F522" w14:textId="18682781">
      <w:pPr>
        <w:spacing w:line="480" w:lineRule="auto"/>
        <w:ind w:firstLine="720"/>
        <w:rPr>
          <w:szCs w:val="24"/>
        </w:rPr>
      </w:pPr>
      <w:r w:rsidRPr="00D32269">
        <w:rPr>
          <w:szCs w:val="24"/>
        </w:rPr>
        <w:t xml:space="preserve">OCC’s primary recommendation is that if FirstEnergy’s Grid Mod I investment is not </w:t>
      </w:r>
      <w:r w:rsidRPr="00D32269" w:rsidR="00AA046E">
        <w:rPr>
          <w:szCs w:val="24"/>
        </w:rPr>
        <w:t xml:space="preserve">proven and </w:t>
      </w:r>
      <w:r w:rsidRPr="00D32269">
        <w:rPr>
          <w:szCs w:val="24"/>
        </w:rPr>
        <w:t xml:space="preserve">found to be used and useful, </w:t>
      </w:r>
      <w:r w:rsidRPr="00D32269" w:rsidR="00AA046E">
        <w:rPr>
          <w:szCs w:val="24"/>
        </w:rPr>
        <w:t xml:space="preserve">then </w:t>
      </w:r>
      <w:r w:rsidRPr="00D32269">
        <w:rPr>
          <w:szCs w:val="24"/>
        </w:rPr>
        <w:t>t</w:t>
      </w:r>
      <w:r w:rsidRPr="00D32269">
        <w:rPr>
          <w:szCs w:val="24"/>
        </w:rPr>
        <w:t>he PUCO should order FirstEnergy to cease charging its customers for the program.</w:t>
      </w:r>
      <w:r w:rsidRPr="00D32269" w:rsidR="00C971FE">
        <w:rPr>
          <w:szCs w:val="24"/>
        </w:rPr>
        <w:t xml:space="preserve"> </w:t>
      </w:r>
      <w:r w:rsidRPr="00D32269">
        <w:rPr>
          <w:szCs w:val="24"/>
        </w:rPr>
        <w:t xml:space="preserve">And refunds should be ordered for </w:t>
      </w:r>
      <w:r w:rsidRPr="00D32269">
        <w:rPr>
          <w:szCs w:val="24"/>
        </w:rPr>
        <w:t xml:space="preserve">past </w:t>
      </w:r>
      <w:r w:rsidRPr="00D32269">
        <w:rPr>
          <w:szCs w:val="24"/>
        </w:rPr>
        <w:t xml:space="preserve">Grid Mod I </w:t>
      </w:r>
      <w:r w:rsidRPr="00D32269">
        <w:rPr>
          <w:szCs w:val="24"/>
        </w:rPr>
        <w:t>collections from consumers</w:t>
      </w:r>
      <w:r w:rsidRPr="00D32269">
        <w:rPr>
          <w:szCs w:val="24"/>
        </w:rPr>
        <w:t>.</w:t>
      </w:r>
      <w:r w:rsidRPr="00D32269" w:rsidR="00C971FE">
        <w:rPr>
          <w:szCs w:val="24"/>
        </w:rPr>
        <w:t xml:space="preserve"> </w:t>
      </w:r>
    </w:p>
    <w:p w:rsidR="00B108D2" w:rsidRPr="00D32269" w:rsidP="004B619F" w14:paraId="0082C134" w14:textId="78904366">
      <w:pPr>
        <w:spacing w:line="480" w:lineRule="auto"/>
        <w:ind w:firstLine="720"/>
        <w:rPr>
          <w:szCs w:val="24"/>
        </w:rPr>
      </w:pPr>
      <w:r w:rsidRPr="00D32269">
        <w:rPr>
          <w:szCs w:val="24"/>
        </w:rPr>
        <w:t>If the PUCO determines that</w:t>
      </w:r>
      <w:r w:rsidRPr="00D32269" w:rsidR="00AA046E">
        <w:rPr>
          <w:szCs w:val="24"/>
        </w:rPr>
        <w:t xml:space="preserve"> FirstEnergy’s</w:t>
      </w:r>
      <w:r w:rsidRPr="00D32269">
        <w:rPr>
          <w:szCs w:val="24"/>
        </w:rPr>
        <w:t xml:space="preserve"> investment in Grid Mod I is used and useful</w:t>
      </w:r>
      <w:r w:rsidRPr="00D32269" w:rsidR="00AA046E">
        <w:rPr>
          <w:szCs w:val="24"/>
        </w:rPr>
        <w:t xml:space="preserve"> for consumers</w:t>
      </w:r>
      <w:r w:rsidRPr="00D32269">
        <w:rPr>
          <w:szCs w:val="24"/>
        </w:rPr>
        <w:t xml:space="preserve">, then it will have to decide what level of operational savings should be credited to consumers </w:t>
      </w:r>
      <w:r w:rsidRPr="00D32269" w:rsidR="00C1515D">
        <w:rPr>
          <w:szCs w:val="24"/>
        </w:rPr>
        <w:t>in years 4,</w:t>
      </w:r>
      <w:r w:rsidRPr="00D32269" w:rsidR="008244C6">
        <w:rPr>
          <w:szCs w:val="24"/>
        </w:rPr>
        <w:t xml:space="preserve"> </w:t>
      </w:r>
      <w:r w:rsidRPr="00D32269" w:rsidR="00C1515D">
        <w:rPr>
          <w:szCs w:val="24"/>
        </w:rPr>
        <w:t xml:space="preserve">5, and 6 </w:t>
      </w:r>
      <w:r w:rsidRPr="00D32269">
        <w:rPr>
          <w:szCs w:val="24"/>
        </w:rPr>
        <w:t>for the program.</w:t>
      </w:r>
      <w:r w:rsidRPr="00D32269" w:rsidR="00C971FE">
        <w:rPr>
          <w:szCs w:val="24"/>
        </w:rPr>
        <w:t xml:space="preserve"> </w:t>
      </w:r>
      <w:r w:rsidRPr="00D32269">
        <w:rPr>
          <w:szCs w:val="24"/>
        </w:rPr>
        <w:t>NOAC advocated against using the fixed operational savings established under the settlement.</w:t>
      </w:r>
      <w:r>
        <w:rPr>
          <w:rStyle w:val="FootnoteReference"/>
          <w:szCs w:val="24"/>
        </w:rPr>
        <w:footnoteReference w:id="36"/>
      </w:r>
      <w:r w:rsidRPr="00D32269" w:rsidR="00F955A6">
        <w:rPr>
          <w:szCs w:val="24"/>
        </w:rPr>
        <w:t xml:space="preserve"> </w:t>
      </w:r>
      <w:r w:rsidRPr="00D32269">
        <w:rPr>
          <w:szCs w:val="24"/>
        </w:rPr>
        <w:t>The Ohio Energy Leadership Council and FirstEnergy both urged use of the fixed operational savings.</w:t>
      </w:r>
      <w:r>
        <w:rPr>
          <w:rStyle w:val="FootnoteReference"/>
          <w:szCs w:val="24"/>
        </w:rPr>
        <w:footnoteReference w:id="37"/>
      </w:r>
      <w:r w:rsidRPr="00D32269" w:rsidR="00C971FE">
        <w:rPr>
          <w:szCs w:val="24"/>
        </w:rPr>
        <w:t xml:space="preserve"> </w:t>
      </w:r>
      <w:r w:rsidRPr="00D32269">
        <w:rPr>
          <w:szCs w:val="24"/>
        </w:rPr>
        <w:t>Those fixed operational savings would create the following credits to consumers:</w:t>
      </w:r>
      <w:r w:rsidRPr="00D32269" w:rsidR="00C971FE">
        <w:rPr>
          <w:szCs w:val="24"/>
        </w:rPr>
        <w:t xml:space="preserve"> </w:t>
      </w:r>
      <w:r w:rsidRPr="00D32269">
        <w:rPr>
          <w:szCs w:val="24"/>
        </w:rPr>
        <w:t>Year 4:</w:t>
      </w:r>
      <w:r w:rsidRPr="00D32269" w:rsidR="00C971FE">
        <w:rPr>
          <w:szCs w:val="24"/>
        </w:rPr>
        <w:t xml:space="preserve"> </w:t>
      </w:r>
      <w:r w:rsidRPr="00D32269">
        <w:rPr>
          <w:szCs w:val="24"/>
        </w:rPr>
        <w:t>$8.58 million; Year 5 $9.68 million; and Year 6 $9.82 million.</w:t>
      </w:r>
      <w:r w:rsidRPr="00D32269" w:rsidR="00C971FE">
        <w:rPr>
          <w:szCs w:val="24"/>
        </w:rPr>
        <w:t xml:space="preserve"> </w:t>
      </w:r>
    </w:p>
    <w:p w:rsidR="004B619F" w:rsidRPr="00D32269" w:rsidP="002E2B02" w14:paraId="3CFB147C" w14:textId="37C5885F">
      <w:pPr>
        <w:spacing w:line="480" w:lineRule="auto"/>
        <w:ind w:firstLine="720"/>
        <w:rPr>
          <w:szCs w:val="24"/>
        </w:rPr>
      </w:pPr>
      <w:r w:rsidRPr="00D32269">
        <w:rPr>
          <w:szCs w:val="24"/>
        </w:rPr>
        <w:t xml:space="preserve">Daymark </w:t>
      </w:r>
      <w:r w:rsidRPr="00D32269" w:rsidR="00E3275A">
        <w:rPr>
          <w:szCs w:val="24"/>
        </w:rPr>
        <w:t>was supposed to estimate the actual operational savings under FirstEnergy’s Grid Mod I and compare those savings to the credits being made to consumers and recommend an ongoing level of credits to consumers</w:t>
      </w:r>
      <w:r w:rsidRPr="00D32269" w:rsidR="002E2B02">
        <w:rPr>
          <w:szCs w:val="24"/>
        </w:rPr>
        <w:t>.</w:t>
      </w:r>
      <w:r>
        <w:rPr>
          <w:rStyle w:val="FootnoteReference"/>
          <w:szCs w:val="24"/>
        </w:rPr>
        <w:footnoteReference w:id="38"/>
      </w:r>
      <w:r w:rsidRPr="00D32269" w:rsidR="00C971FE">
        <w:rPr>
          <w:szCs w:val="24"/>
        </w:rPr>
        <w:t xml:space="preserve"> </w:t>
      </w:r>
      <w:r w:rsidRPr="00D32269" w:rsidR="002E2B02">
        <w:rPr>
          <w:szCs w:val="24"/>
        </w:rPr>
        <w:t>But Daymark concluded that “the lack of clear documentation of the complete assumptions behind operational savings estimates, combined with the lack of direct reporting as to operational savings being achieved, precluded a direct audit determination of a current and future level of operational savings to be credited to Rider AMI [consumers].”</w:t>
      </w:r>
      <w:r>
        <w:rPr>
          <w:rStyle w:val="FootnoteReference"/>
          <w:szCs w:val="24"/>
        </w:rPr>
        <w:footnoteReference w:id="39"/>
      </w:r>
      <w:r w:rsidRPr="00D32269" w:rsidR="00C971FE">
        <w:rPr>
          <w:szCs w:val="24"/>
        </w:rPr>
        <w:t xml:space="preserve"> </w:t>
      </w:r>
      <w:r w:rsidRPr="00D32269" w:rsidR="00AA046E">
        <w:rPr>
          <w:szCs w:val="24"/>
        </w:rPr>
        <w:t xml:space="preserve">Strikingly, </w:t>
      </w:r>
      <w:r w:rsidRPr="00D32269" w:rsidR="00D036F5">
        <w:rPr>
          <w:szCs w:val="24"/>
        </w:rPr>
        <w:t>Daymark reported that it “is unable to make a recommendation for an ongoing level of operational savings to be recognized in rates.”</w:t>
      </w:r>
      <w:r>
        <w:rPr>
          <w:rStyle w:val="FootnoteReference"/>
          <w:szCs w:val="24"/>
        </w:rPr>
        <w:footnoteReference w:id="40"/>
      </w:r>
      <w:r w:rsidRPr="00D32269" w:rsidR="00C971FE">
        <w:rPr>
          <w:szCs w:val="24"/>
        </w:rPr>
        <w:t xml:space="preserve"> </w:t>
      </w:r>
    </w:p>
    <w:p w:rsidR="00E116C8" w:rsidP="002E2B02" w14:paraId="4089D71C" w14:textId="77777777">
      <w:pPr>
        <w:spacing w:line="480" w:lineRule="auto"/>
        <w:ind w:firstLine="720"/>
        <w:rPr>
          <w:szCs w:val="24"/>
        </w:rPr>
      </w:pPr>
      <w:r w:rsidRPr="00D32269">
        <w:rPr>
          <w:szCs w:val="24"/>
        </w:rPr>
        <w:t>Remarkably, the</w:t>
      </w:r>
      <w:r w:rsidRPr="00D32269" w:rsidR="00915A7F">
        <w:rPr>
          <w:szCs w:val="24"/>
        </w:rPr>
        <w:t xml:space="preserve"> </w:t>
      </w:r>
      <w:r w:rsidRPr="00D32269" w:rsidR="00A909DA">
        <w:rPr>
          <w:szCs w:val="24"/>
        </w:rPr>
        <w:t xml:space="preserve">Grid Mod I </w:t>
      </w:r>
      <w:r w:rsidRPr="00D32269" w:rsidR="00915A7F">
        <w:rPr>
          <w:szCs w:val="24"/>
        </w:rPr>
        <w:t xml:space="preserve">Settlement </w:t>
      </w:r>
      <w:r w:rsidRPr="00D32269" w:rsidR="00A54B9E">
        <w:rPr>
          <w:szCs w:val="24"/>
        </w:rPr>
        <w:t>foresaw that the Auditor would be unable to make a recommendation for an ongoing level of operational savings.</w:t>
      </w:r>
      <w:r w:rsidRPr="00D32269" w:rsidR="00C971FE">
        <w:rPr>
          <w:szCs w:val="24"/>
        </w:rPr>
        <w:t xml:space="preserve"> </w:t>
      </w:r>
      <w:r w:rsidRPr="00D32269" w:rsidR="00A909DA">
        <w:rPr>
          <w:szCs w:val="24"/>
        </w:rPr>
        <w:t>The Settlement provided that, i</w:t>
      </w:r>
      <w:r w:rsidRPr="00D32269" w:rsidR="00A54B9E">
        <w:rPr>
          <w:szCs w:val="24"/>
        </w:rPr>
        <w:t xml:space="preserve">n the event that “there is no adopted recommendation from the </w:t>
      </w:r>
      <w:r w:rsidRPr="00D32269" w:rsidR="002B773B">
        <w:rPr>
          <w:szCs w:val="24"/>
        </w:rPr>
        <w:t>third-party</w:t>
      </w:r>
      <w:r w:rsidRPr="00D32269" w:rsidR="00A54B9E">
        <w:rPr>
          <w:szCs w:val="24"/>
        </w:rPr>
        <w:t xml:space="preserve"> consultant review [on the level of operational savings], then the deemed annual Operational Savings from Gr</w:t>
      </w:r>
      <w:r w:rsidRPr="00D32269" w:rsidR="008F7985">
        <w:rPr>
          <w:szCs w:val="24"/>
        </w:rPr>
        <w:t>i</w:t>
      </w:r>
      <w:r w:rsidRPr="00D32269" w:rsidR="00A54B9E">
        <w:rPr>
          <w:szCs w:val="24"/>
        </w:rPr>
        <w:t>d Mod I shall continue[,]” with the fixed operational savings agreed to under the Settlement for years 4,5, and 6</w:t>
      </w:r>
      <w:r w:rsidRPr="00D32269" w:rsidR="006E5101">
        <w:rPr>
          <w:szCs w:val="24"/>
        </w:rPr>
        <w:t>.</w:t>
      </w:r>
      <w:r>
        <w:rPr>
          <w:rStyle w:val="FootnoteReference"/>
          <w:szCs w:val="24"/>
        </w:rPr>
        <w:footnoteReference w:id="41"/>
      </w:r>
      <w:r w:rsidRPr="00D32269" w:rsidR="00C971FE">
        <w:rPr>
          <w:szCs w:val="24"/>
        </w:rPr>
        <w:t xml:space="preserve"> </w:t>
      </w:r>
    </w:p>
    <w:p w:rsidR="00D036F5" w:rsidRPr="00D32269" w:rsidP="002E2B02" w14:paraId="636026FA" w14:textId="1E47B8D0">
      <w:pPr>
        <w:spacing w:line="480" w:lineRule="auto"/>
        <w:ind w:firstLine="720"/>
        <w:rPr>
          <w:szCs w:val="24"/>
        </w:rPr>
      </w:pPr>
      <w:r w:rsidRPr="00D32269">
        <w:rPr>
          <w:szCs w:val="24"/>
        </w:rPr>
        <w:t>This should give the PUCO pause.</w:t>
      </w:r>
      <w:r w:rsidRPr="00D32269" w:rsidR="00C971FE">
        <w:rPr>
          <w:szCs w:val="24"/>
        </w:rPr>
        <w:t xml:space="preserve"> </w:t>
      </w:r>
      <w:r w:rsidRPr="00D32269">
        <w:rPr>
          <w:szCs w:val="24"/>
        </w:rPr>
        <w:t>Coincidentally, FirstEnergy’s behavior –its lack of clear documentation</w:t>
      </w:r>
      <w:r w:rsidRPr="00D32269" w:rsidR="00A909DA">
        <w:rPr>
          <w:szCs w:val="24"/>
        </w:rPr>
        <w:t xml:space="preserve"> and </w:t>
      </w:r>
      <w:r w:rsidRPr="00D32269">
        <w:rPr>
          <w:szCs w:val="24"/>
        </w:rPr>
        <w:t>its lack of direct reportin</w:t>
      </w:r>
      <w:r w:rsidRPr="00D32269" w:rsidR="00AB3A8F">
        <w:rPr>
          <w:szCs w:val="24"/>
        </w:rPr>
        <w:t>g --</w:t>
      </w:r>
      <w:r w:rsidRPr="00D32269">
        <w:rPr>
          <w:szCs w:val="24"/>
        </w:rPr>
        <w:t xml:space="preserve"> led to the Auditor having “no adopted recommendation” for a consumer credit in years 4, 5, and 6.</w:t>
      </w:r>
      <w:r w:rsidRPr="00D32269" w:rsidR="00C971FE">
        <w:rPr>
          <w:szCs w:val="24"/>
        </w:rPr>
        <w:t xml:space="preserve"> </w:t>
      </w:r>
      <w:r w:rsidRPr="00D32269">
        <w:rPr>
          <w:szCs w:val="24"/>
        </w:rPr>
        <w:t>To now accept that those</w:t>
      </w:r>
      <w:r w:rsidRPr="00D32269" w:rsidR="00A909DA">
        <w:rPr>
          <w:szCs w:val="24"/>
        </w:rPr>
        <w:t xml:space="preserve"> fixed</w:t>
      </w:r>
      <w:r w:rsidRPr="00D32269">
        <w:rPr>
          <w:szCs w:val="24"/>
        </w:rPr>
        <w:t xml:space="preserve"> savings should be </w:t>
      </w:r>
      <w:r w:rsidRPr="00D32269" w:rsidR="00AB3A8F">
        <w:rPr>
          <w:szCs w:val="24"/>
        </w:rPr>
        <w:t>adopted</w:t>
      </w:r>
      <w:r w:rsidRPr="00D32269" w:rsidR="00A909DA">
        <w:rPr>
          <w:szCs w:val="24"/>
        </w:rPr>
        <w:t xml:space="preserve"> by default</w:t>
      </w:r>
      <w:r w:rsidRPr="00D32269" w:rsidR="00AB3A8F">
        <w:rPr>
          <w:szCs w:val="24"/>
        </w:rPr>
        <w:t xml:space="preserve">, </w:t>
      </w:r>
      <w:r w:rsidRPr="00D32269">
        <w:rPr>
          <w:szCs w:val="24"/>
        </w:rPr>
        <w:t xml:space="preserve">seems </w:t>
      </w:r>
      <w:r w:rsidRPr="00D32269" w:rsidR="00D90F54">
        <w:rPr>
          <w:szCs w:val="24"/>
        </w:rPr>
        <w:t xml:space="preserve">a </w:t>
      </w:r>
      <w:r w:rsidRPr="00D32269" w:rsidR="00AB3A8F">
        <w:rPr>
          <w:szCs w:val="24"/>
        </w:rPr>
        <w:t>contriv</w:t>
      </w:r>
      <w:r w:rsidRPr="00D32269" w:rsidR="00D90F54">
        <w:rPr>
          <w:szCs w:val="24"/>
        </w:rPr>
        <w:t>ance enabled by FirstEnergy</w:t>
      </w:r>
      <w:r w:rsidRPr="00D32269">
        <w:rPr>
          <w:szCs w:val="24"/>
        </w:rPr>
        <w:t>.</w:t>
      </w:r>
      <w:r w:rsidRPr="00D32269" w:rsidR="00C971FE">
        <w:rPr>
          <w:szCs w:val="24"/>
        </w:rPr>
        <w:t xml:space="preserve"> </w:t>
      </w:r>
      <w:r w:rsidRPr="00D32269" w:rsidR="004901E4">
        <w:rPr>
          <w:szCs w:val="24"/>
        </w:rPr>
        <w:t>And it seems to undermine the settlement agreed to by FirstEnergy and others, including OCC</w:t>
      </w:r>
      <w:r w:rsidR="00E16449">
        <w:rPr>
          <w:szCs w:val="24"/>
        </w:rPr>
        <w:t xml:space="preserve">, which was intended to allow a modified level of savings to be considered by the </w:t>
      </w:r>
      <w:r w:rsidR="00DD36AB">
        <w:rPr>
          <w:szCs w:val="24"/>
        </w:rPr>
        <w:t>Auditor</w:t>
      </w:r>
      <w:r w:rsidRPr="00D32269" w:rsidR="004901E4">
        <w:rPr>
          <w:szCs w:val="24"/>
        </w:rPr>
        <w:t xml:space="preserve">. </w:t>
      </w:r>
    </w:p>
    <w:p w:rsidR="00AB3A8F" w:rsidRPr="00D32269" w:rsidP="002E2B02" w14:paraId="6C456A22" w14:textId="01B1800D">
      <w:pPr>
        <w:spacing w:line="480" w:lineRule="auto"/>
        <w:ind w:firstLine="720"/>
        <w:rPr>
          <w:szCs w:val="24"/>
        </w:rPr>
      </w:pPr>
      <w:r w:rsidRPr="00D32269">
        <w:rPr>
          <w:szCs w:val="24"/>
        </w:rPr>
        <w:t>OCC recommends that the PUCO direct FirstEnergy to cooperate with the Auditor and identify the actual operational savings achieved to date under FirstEnergy’s Grid Mod I program.</w:t>
      </w:r>
      <w:r>
        <w:rPr>
          <w:rStyle w:val="FootnoteReference"/>
          <w:szCs w:val="24"/>
        </w:rPr>
        <w:footnoteReference w:id="42"/>
      </w:r>
      <w:r w:rsidRPr="00D32269" w:rsidR="00C971FE">
        <w:rPr>
          <w:szCs w:val="24"/>
        </w:rPr>
        <w:t xml:space="preserve"> </w:t>
      </w:r>
      <w:r w:rsidR="00C0326D">
        <w:rPr>
          <w:szCs w:val="24"/>
        </w:rPr>
        <w:t>Given FirstEnergy’s lack of documentation and direct reporting that led the Auditor to being unable to make a recommendation on savings, the PUCO should consider whether alternative operational savings (such as actual savings) should be used.</w:t>
      </w:r>
    </w:p>
    <w:p w:rsidR="00902381" w:rsidRPr="00D32269" w:rsidP="002561F4" w14:paraId="3F3BD97D" w14:textId="56AD6249">
      <w:pPr>
        <w:pStyle w:val="Heading2"/>
        <w:numPr>
          <w:ilvl w:val="0"/>
          <w:numId w:val="0"/>
        </w:numPr>
        <w:ind w:left="1440" w:hanging="720"/>
      </w:pPr>
      <w:bookmarkStart w:id="5" w:name="_Toc143874992"/>
      <w:r w:rsidRPr="00D32269">
        <w:t>D.</w:t>
      </w:r>
      <w:r w:rsidRPr="00D32269">
        <w:tab/>
      </w:r>
      <w:r w:rsidR="002D768D">
        <w:t>In a</w:t>
      </w:r>
      <w:r w:rsidRPr="00D32269">
        <w:t xml:space="preserve"> forensic audit</w:t>
      </w:r>
      <w:r w:rsidR="002D768D">
        <w:t>, the PUCO could explore consumer issues related to FirstEnergy’s Grid Mod I.</w:t>
      </w:r>
      <w:bookmarkEnd w:id="5"/>
    </w:p>
    <w:p w:rsidR="00306505" w:rsidRPr="00D32269" w:rsidP="00306505" w14:paraId="26D1DBC3" w14:textId="60205E4F">
      <w:pPr>
        <w:spacing w:line="480" w:lineRule="auto"/>
        <w:ind w:firstLine="720"/>
        <w:rPr>
          <w:szCs w:val="24"/>
        </w:rPr>
      </w:pPr>
      <w:r w:rsidRPr="00D32269">
        <w:rPr>
          <w:szCs w:val="24"/>
        </w:rPr>
        <w:t xml:space="preserve">The </w:t>
      </w:r>
      <w:r w:rsidRPr="00D32269">
        <w:rPr>
          <w:szCs w:val="24"/>
        </w:rPr>
        <w:t xml:space="preserve">FirstEnergy </w:t>
      </w:r>
      <w:r w:rsidRPr="00D32269">
        <w:rPr>
          <w:szCs w:val="24"/>
        </w:rPr>
        <w:t xml:space="preserve">Grid Mod I program </w:t>
      </w:r>
      <w:r w:rsidRPr="00D32269">
        <w:rPr>
          <w:szCs w:val="24"/>
        </w:rPr>
        <w:t xml:space="preserve">is </w:t>
      </w:r>
      <w:r w:rsidRPr="00D32269" w:rsidR="00B71855">
        <w:rPr>
          <w:szCs w:val="24"/>
        </w:rPr>
        <w:t xml:space="preserve">inextricably linked </w:t>
      </w:r>
      <w:r w:rsidRPr="00D32269">
        <w:rPr>
          <w:szCs w:val="24"/>
        </w:rPr>
        <w:t>to</w:t>
      </w:r>
      <w:r w:rsidRPr="00D32269">
        <w:rPr>
          <w:szCs w:val="24"/>
        </w:rPr>
        <w:t xml:space="preserve"> FirstEnergy’s ESP IV, Case No. 14-1297-EL-SSO.</w:t>
      </w:r>
      <w:r w:rsidRPr="00D32269" w:rsidR="00C971FE">
        <w:rPr>
          <w:szCs w:val="24"/>
        </w:rPr>
        <w:t xml:space="preserve"> </w:t>
      </w:r>
      <w:r w:rsidRPr="00D32269" w:rsidR="00EF4F45">
        <w:rPr>
          <w:szCs w:val="24"/>
        </w:rPr>
        <w:t>In</w:t>
      </w:r>
      <w:r w:rsidRPr="00D32269">
        <w:rPr>
          <w:szCs w:val="24"/>
        </w:rPr>
        <w:t xml:space="preserve"> </w:t>
      </w:r>
      <w:r w:rsidRPr="00D32269" w:rsidR="00EF4F45">
        <w:rPr>
          <w:szCs w:val="24"/>
        </w:rPr>
        <w:t xml:space="preserve">FirstEnergy’s ESP IV, </w:t>
      </w:r>
      <w:r w:rsidRPr="00D32269" w:rsidR="00275DB9">
        <w:rPr>
          <w:szCs w:val="24"/>
        </w:rPr>
        <w:t xml:space="preserve">the </w:t>
      </w:r>
      <w:r w:rsidRPr="00D32269" w:rsidR="00B71855">
        <w:rPr>
          <w:szCs w:val="24"/>
        </w:rPr>
        <w:t>PUCO</w:t>
      </w:r>
      <w:r w:rsidRPr="00D32269" w:rsidR="005001F9">
        <w:rPr>
          <w:szCs w:val="24"/>
        </w:rPr>
        <w:t xml:space="preserve"> </w:t>
      </w:r>
      <w:r w:rsidRPr="00D32269" w:rsidR="00B71855">
        <w:rPr>
          <w:szCs w:val="24"/>
        </w:rPr>
        <w:t>approved</w:t>
      </w:r>
      <w:r>
        <w:rPr>
          <w:rStyle w:val="FootnoteReference"/>
          <w:szCs w:val="24"/>
        </w:rPr>
        <w:footnoteReference w:id="43"/>
      </w:r>
      <w:r w:rsidRPr="00D32269" w:rsidR="00B71855">
        <w:rPr>
          <w:szCs w:val="24"/>
        </w:rPr>
        <w:t xml:space="preserve"> </w:t>
      </w:r>
      <w:r w:rsidRPr="00D32269" w:rsidR="00EF4F45">
        <w:rPr>
          <w:szCs w:val="24"/>
        </w:rPr>
        <w:t xml:space="preserve">the </w:t>
      </w:r>
      <w:r w:rsidRPr="00D32269">
        <w:rPr>
          <w:szCs w:val="24"/>
        </w:rPr>
        <w:t>T</w:t>
      </w:r>
      <w:r w:rsidRPr="00D32269" w:rsidR="00275DB9">
        <w:rPr>
          <w:szCs w:val="24"/>
        </w:rPr>
        <w:t>hird Supplemental Stipulation</w:t>
      </w:r>
      <w:r w:rsidRPr="00D32269" w:rsidR="00EF0423">
        <w:rPr>
          <w:szCs w:val="24"/>
        </w:rPr>
        <w:t>.</w:t>
      </w:r>
      <w:r w:rsidRPr="00D32269" w:rsidR="00275DB9">
        <w:rPr>
          <w:szCs w:val="24"/>
        </w:rPr>
        <w:t xml:space="preserve"> </w:t>
      </w:r>
      <w:r w:rsidRPr="00D32269" w:rsidR="00EF0423">
        <w:rPr>
          <w:szCs w:val="24"/>
        </w:rPr>
        <w:t>T</w:t>
      </w:r>
      <w:r w:rsidRPr="00D32269">
        <w:rPr>
          <w:szCs w:val="24"/>
        </w:rPr>
        <w:t>here</w:t>
      </w:r>
      <w:r w:rsidRPr="00D32269" w:rsidR="00EF0423">
        <w:rPr>
          <w:szCs w:val="24"/>
        </w:rPr>
        <w:t>,</w:t>
      </w:r>
      <w:r w:rsidRPr="00D32269">
        <w:rPr>
          <w:szCs w:val="24"/>
        </w:rPr>
        <w:t xml:space="preserve"> the FirstEnergy Utilities </w:t>
      </w:r>
      <w:r w:rsidRPr="00D32269" w:rsidR="00EF4F45">
        <w:rPr>
          <w:szCs w:val="24"/>
        </w:rPr>
        <w:t xml:space="preserve">committed to filing a grid modernization business plan and </w:t>
      </w:r>
      <w:r w:rsidRPr="00D32269" w:rsidR="00B71855">
        <w:rPr>
          <w:szCs w:val="24"/>
        </w:rPr>
        <w:t xml:space="preserve">created Rider AMI giving them </w:t>
      </w:r>
      <w:r w:rsidRPr="00D32269" w:rsidR="00275DB9">
        <w:rPr>
          <w:szCs w:val="24"/>
        </w:rPr>
        <w:t xml:space="preserve">the </w:t>
      </w:r>
      <w:r w:rsidRPr="00D32269">
        <w:rPr>
          <w:szCs w:val="24"/>
        </w:rPr>
        <w:t xml:space="preserve">right to collect </w:t>
      </w:r>
      <w:r w:rsidRPr="00D32269" w:rsidR="00EF4F45">
        <w:rPr>
          <w:szCs w:val="24"/>
        </w:rPr>
        <w:t xml:space="preserve">grid modernization </w:t>
      </w:r>
      <w:r w:rsidRPr="00D32269">
        <w:rPr>
          <w:szCs w:val="24"/>
        </w:rPr>
        <w:t>costs from consumers</w:t>
      </w:r>
      <w:r w:rsidRPr="00D32269" w:rsidR="00EF4F45">
        <w:rPr>
          <w:szCs w:val="24"/>
        </w:rPr>
        <w:t>.</w:t>
      </w:r>
      <w:r>
        <w:rPr>
          <w:rStyle w:val="FootnoteReference"/>
          <w:szCs w:val="24"/>
        </w:rPr>
        <w:footnoteReference w:id="44"/>
      </w:r>
      <w:r w:rsidRPr="00D32269" w:rsidR="00C971FE">
        <w:rPr>
          <w:szCs w:val="24"/>
        </w:rPr>
        <w:t xml:space="preserve"> </w:t>
      </w:r>
      <w:r w:rsidRPr="00D32269" w:rsidR="00B71855">
        <w:rPr>
          <w:szCs w:val="24"/>
        </w:rPr>
        <w:t xml:space="preserve">Under the </w:t>
      </w:r>
      <w:r w:rsidRPr="00D32269" w:rsidR="00ED6066">
        <w:rPr>
          <w:szCs w:val="24"/>
        </w:rPr>
        <w:t xml:space="preserve">Stipulation, </w:t>
      </w:r>
      <w:r w:rsidRPr="00D32269" w:rsidR="0037384F">
        <w:rPr>
          <w:szCs w:val="24"/>
        </w:rPr>
        <w:t>the</w:t>
      </w:r>
      <w:r w:rsidRPr="00D32269">
        <w:rPr>
          <w:szCs w:val="24"/>
        </w:rPr>
        <w:t xml:space="preserve"> </w:t>
      </w:r>
      <w:r w:rsidRPr="00D32269" w:rsidR="002C1269">
        <w:rPr>
          <w:szCs w:val="24"/>
        </w:rPr>
        <w:t xml:space="preserve">formula for collecting the costs from consumers was laid out as being </w:t>
      </w:r>
      <w:r w:rsidRPr="00D32269" w:rsidR="00275DB9">
        <w:rPr>
          <w:szCs w:val="24"/>
        </w:rPr>
        <w:t>“based on a forward looking formula rate concept that would be subsequently reconciled for actual costs compared to forecasted costs and for actual revenue received compared to revenue forecasted to be recovered.”</w:t>
      </w:r>
      <w:r>
        <w:rPr>
          <w:rStyle w:val="FootnoteReference"/>
          <w:szCs w:val="24"/>
        </w:rPr>
        <w:footnoteReference w:id="45"/>
      </w:r>
      <w:r w:rsidRPr="00D32269" w:rsidR="00275DB9">
        <w:rPr>
          <w:szCs w:val="24"/>
        </w:rPr>
        <w:t xml:space="preserve"> </w:t>
      </w:r>
    </w:p>
    <w:p w:rsidR="007D4EBF" w:rsidRPr="00D32269" w:rsidP="00033BAB" w14:paraId="1E1F3B11" w14:textId="62AD88D6">
      <w:pPr>
        <w:spacing w:line="480" w:lineRule="auto"/>
        <w:ind w:firstLine="720"/>
        <w:rPr>
          <w:szCs w:val="24"/>
        </w:rPr>
      </w:pPr>
      <w:r w:rsidRPr="00D32269">
        <w:rPr>
          <w:szCs w:val="24"/>
        </w:rPr>
        <w:t xml:space="preserve">FirstEnergy’s ESP IV is the very case that </w:t>
      </w:r>
      <w:r w:rsidRPr="00D32269" w:rsidR="00033BAB">
        <w:rPr>
          <w:szCs w:val="24"/>
        </w:rPr>
        <w:t>the PUCO</w:t>
      </w:r>
      <w:r w:rsidRPr="00D32269" w:rsidR="0037384F">
        <w:rPr>
          <w:szCs w:val="24"/>
        </w:rPr>
        <w:t xml:space="preserve"> ruled should be investigated for a potential </w:t>
      </w:r>
      <w:r w:rsidRPr="00D32269" w:rsidR="00C72933">
        <w:rPr>
          <w:szCs w:val="24"/>
        </w:rPr>
        <w:t xml:space="preserve">FirstEnergy </w:t>
      </w:r>
      <w:r w:rsidRPr="00D32269" w:rsidR="0037384F">
        <w:rPr>
          <w:szCs w:val="24"/>
        </w:rPr>
        <w:t>violation of R.C. 4928.145</w:t>
      </w:r>
      <w:r w:rsidRPr="00D32269" w:rsidR="00C72933">
        <w:rPr>
          <w:szCs w:val="24"/>
        </w:rPr>
        <w:t xml:space="preserve"> (allowing discovery of side deals)</w:t>
      </w:r>
      <w:r w:rsidRPr="00D32269" w:rsidR="0037384F">
        <w:rPr>
          <w:szCs w:val="24"/>
        </w:rPr>
        <w:t>.</w:t>
      </w:r>
      <w:r>
        <w:rPr>
          <w:rStyle w:val="FootnoteReference"/>
          <w:szCs w:val="24"/>
        </w:rPr>
        <w:footnoteReference w:id="46"/>
      </w:r>
      <w:r w:rsidRPr="00D32269" w:rsidR="00C971FE">
        <w:rPr>
          <w:szCs w:val="24"/>
        </w:rPr>
        <w:t xml:space="preserve"> </w:t>
      </w:r>
      <w:r w:rsidRPr="00D32269">
        <w:rPr>
          <w:szCs w:val="24"/>
        </w:rPr>
        <w:t>(The case was most recently stayed for a third time in response to the U.S. Attorney’s request for a stay</w:t>
      </w:r>
      <w:r w:rsidRPr="00D32269" w:rsidR="006171CC">
        <w:rPr>
          <w:szCs w:val="24"/>
        </w:rPr>
        <w:t>.</w:t>
      </w:r>
      <w:r w:rsidR="00D32269">
        <w:rPr>
          <w:szCs w:val="24"/>
        </w:rPr>
        <w:t xml:space="preserve"> </w:t>
      </w:r>
      <w:r w:rsidRPr="00D32269" w:rsidR="006171CC">
        <w:rPr>
          <w:szCs w:val="24"/>
        </w:rPr>
        <w:t>Be</w:t>
      </w:r>
      <w:r w:rsidRPr="00D32269" w:rsidR="00C72933">
        <w:rPr>
          <w:szCs w:val="24"/>
        </w:rPr>
        <w:t xml:space="preserve">fore that the PUCO sua sponte stayed the </w:t>
      </w:r>
      <w:r w:rsidRPr="00D32269" w:rsidR="006171CC">
        <w:rPr>
          <w:szCs w:val="24"/>
        </w:rPr>
        <w:t xml:space="preserve">side deal </w:t>
      </w:r>
      <w:r w:rsidRPr="00D32269" w:rsidR="00C72933">
        <w:rPr>
          <w:szCs w:val="24"/>
        </w:rPr>
        <w:t>issue, that affects OCC’s and consumers’ rights</w:t>
      </w:r>
      <w:r w:rsidRPr="00D32269">
        <w:rPr>
          <w:szCs w:val="24"/>
        </w:rPr>
        <w:t>.)</w:t>
      </w:r>
      <w:r>
        <w:rPr>
          <w:rStyle w:val="FootnoteReference"/>
          <w:szCs w:val="24"/>
        </w:rPr>
        <w:footnoteReference w:id="47"/>
      </w:r>
      <w:r w:rsidRPr="00D32269" w:rsidR="00A909DA">
        <w:rPr>
          <w:szCs w:val="24"/>
        </w:rPr>
        <w:t xml:space="preserve"> </w:t>
      </w:r>
      <w:r w:rsidRPr="00D32269" w:rsidR="0037384F">
        <w:rPr>
          <w:szCs w:val="24"/>
        </w:rPr>
        <w:t xml:space="preserve">The PUCO found “that there is information in this docket and in the public domain which may demonstrate a potential violation of the Companies’ obligation to disclose a ‘side agreement’ during the </w:t>
      </w:r>
      <w:r w:rsidRPr="00D32269" w:rsidR="0037384F">
        <w:rPr>
          <w:i/>
          <w:iCs/>
          <w:szCs w:val="24"/>
        </w:rPr>
        <w:t>ESP IV Case</w:t>
      </w:r>
      <w:r w:rsidRPr="00D32269" w:rsidR="0037384F">
        <w:rPr>
          <w:szCs w:val="24"/>
        </w:rPr>
        <w:t>.”</w:t>
      </w:r>
      <w:r>
        <w:rPr>
          <w:rStyle w:val="FootnoteReference"/>
          <w:szCs w:val="24"/>
        </w:rPr>
        <w:footnoteReference w:id="48"/>
      </w:r>
      <w:r w:rsidR="00D32269">
        <w:rPr>
          <w:szCs w:val="24"/>
        </w:rPr>
        <w:t xml:space="preserve"> </w:t>
      </w:r>
      <w:r w:rsidRPr="00D32269" w:rsidR="00C72933">
        <w:rPr>
          <w:szCs w:val="24"/>
        </w:rPr>
        <w:t xml:space="preserve">OCC had conducted the discovery on FirstEnergy, that the PUCO references. </w:t>
      </w:r>
      <w:r w:rsidRPr="00D32269" w:rsidR="0060273F">
        <w:rPr>
          <w:szCs w:val="24"/>
        </w:rPr>
        <w:t xml:space="preserve">The information the PUCO referred to related to former PUCO Chair Randazzo and a consulting agreement </w:t>
      </w:r>
      <w:r w:rsidRPr="00D32269">
        <w:rPr>
          <w:szCs w:val="24"/>
        </w:rPr>
        <w:t xml:space="preserve">with FirstEnergy </w:t>
      </w:r>
      <w:r w:rsidRPr="00D32269" w:rsidR="0060273F">
        <w:rPr>
          <w:szCs w:val="24"/>
        </w:rPr>
        <w:t xml:space="preserve">that was amended in 2015. </w:t>
      </w:r>
      <w:r w:rsidRPr="00D32269" w:rsidR="009E08B3">
        <w:rPr>
          <w:szCs w:val="24"/>
        </w:rPr>
        <w:t>The PUCO described its pursuit of the matter as “consistent with our commitment, with respect to the Companies’ activities surrounding the passage of H.B.6, to follow the facts wherever they may lead***.”</w:t>
      </w:r>
      <w:r>
        <w:rPr>
          <w:rStyle w:val="FootnoteReference"/>
          <w:szCs w:val="24"/>
        </w:rPr>
        <w:footnoteReference w:id="49"/>
      </w:r>
    </w:p>
    <w:p w:rsidR="00033BAB" w:rsidRPr="009A7ED1" w:rsidP="00033BAB" w14:paraId="0959F30B" w14:textId="785C3C9D">
      <w:pPr>
        <w:spacing w:line="480" w:lineRule="auto"/>
        <w:ind w:firstLine="720"/>
        <w:rPr>
          <w:szCs w:val="24"/>
        </w:rPr>
      </w:pPr>
      <w:r w:rsidRPr="00D32269">
        <w:rPr>
          <w:szCs w:val="24"/>
        </w:rPr>
        <w:t>A</w:t>
      </w:r>
      <w:r w:rsidRPr="00D32269" w:rsidR="009E08B3">
        <w:rPr>
          <w:szCs w:val="24"/>
        </w:rPr>
        <w:t xml:space="preserve">nd the facts do </w:t>
      </w:r>
      <w:r w:rsidRPr="00D32269" w:rsidR="001E5DFC">
        <w:rPr>
          <w:szCs w:val="24"/>
        </w:rPr>
        <w:t xml:space="preserve">potentially </w:t>
      </w:r>
      <w:r w:rsidRPr="00D32269" w:rsidR="009E08B3">
        <w:rPr>
          <w:szCs w:val="24"/>
        </w:rPr>
        <w:t xml:space="preserve">lead to </w:t>
      </w:r>
      <w:r w:rsidRPr="00D32269" w:rsidR="001E5DFC">
        <w:rPr>
          <w:szCs w:val="24"/>
        </w:rPr>
        <w:t xml:space="preserve">more of </w:t>
      </w:r>
      <w:r w:rsidRPr="00D32269" w:rsidR="00475189">
        <w:rPr>
          <w:szCs w:val="24"/>
        </w:rPr>
        <w:t>FirstEnergy’s</w:t>
      </w:r>
      <w:r w:rsidRPr="00D32269" w:rsidR="009E08B3">
        <w:rPr>
          <w:szCs w:val="24"/>
        </w:rPr>
        <w:t xml:space="preserve"> </w:t>
      </w:r>
      <w:r w:rsidRPr="00D32269" w:rsidR="001E5DFC">
        <w:rPr>
          <w:szCs w:val="24"/>
        </w:rPr>
        <w:t xml:space="preserve">H.B. 6 activities, including </w:t>
      </w:r>
      <w:r w:rsidRPr="00D32269" w:rsidR="00475189">
        <w:rPr>
          <w:szCs w:val="24"/>
        </w:rPr>
        <w:t xml:space="preserve">its </w:t>
      </w:r>
      <w:r w:rsidRPr="00D32269" w:rsidR="001E5DFC">
        <w:rPr>
          <w:szCs w:val="24"/>
        </w:rPr>
        <w:t xml:space="preserve">involvement with the former PUCO Chair as it relates to approving the Settlement </w:t>
      </w:r>
      <w:r w:rsidRPr="00D32269" w:rsidR="001E5DFC">
        <w:rPr>
          <w:i/>
          <w:iCs/>
          <w:szCs w:val="24"/>
        </w:rPr>
        <w:t>in this case</w:t>
      </w:r>
      <w:r w:rsidRPr="00D32269" w:rsidR="001E5DFC">
        <w:rPr>
          <w:szCs w:val="24"/>
        </w:rPr>
        <w:t>.</w:t>
      </w:r>
      <w:r w:rsidRPr="00D32269" w:rsidR="00C971FE">
        <w:rPr>
          <w:szCs w:val="24"/>
        </w:rPr>
        <w:t xml:space="preserve"> </w:t>
      </w:r>
      <w:r w:rsidRPr="00D32269" w:rsidR="001E5DFC">
        <w:rPr>
          <w:szCs w:val="24"/>
        </w:rPr>
        <w:t xml:space="preserve">FirstEnergy’s settlement in this case was approved on July 19, 2019, a time </w:t>
      </w:r>
      <w:r w:rsidRPr="00D32269" w:rsidR="00475189">
        <w:rPr>
          <w:szCs w:val="24"/>
        </w:rPr>
        <w:t xml:space="preserve">when </w:t>
      </w:r>
      <w:r w:rsidRPr="00D32269" w:rsidR="00455CE0">
        <w:rPr>
          <w:szCs w:val="24"/>
        </w:rPr>
        <w:t>Mr.</w:t>
      </w:r>
      <w:r w:rsidRPr="00D32269" w:rsidR="001E5DFC">
        <w:rPr>
          <w:szCs w:val="24"/>
        </w:rPr>
        <w:t xml:space="preserve"> Randazzo was </w:t>
      </w:r>
      <w:r w:rsidRPr="00D32269" w:rsidR="00455CE0">
        <w:rPr>
          <w:szCs w:val="24"/>
        </w:rPr>
        <w:t>acting as the PUCO Chair.</w:t>
      </w:r>
      <w:r w:rsidRPr="00D32269" w:rsidR="00C971FE">
        <w:rPr>
          <w:szCs w:val="24"/>
        </w:rPr>
        <w:t xml:space="preserve"> </w:t>
      </w:r>
      <w:r w:rsidRPr="00D32269" w:rsidR="00455CE0">
        <w:rPr>
          <w:szCs w:val="24"/>
        </w:rPr>
        <w:t xml:space="preserve">Former Chair Randazzo signed the PUCO Order </w:t>
      </w:r>
      <w:r w:rsidRPr="009A7ED1" w:rsidR="00455CE0">
        <w:rPr>
          <w:szCs w:val="24"/>
        </w:rPr>
        <w:t>approving the Settlement.</w:t>
      </w:r>
      <w:r w:rsidRPr="009A7ED1" w:rsidR="00C971FE">
        <w:rPr>
          <w:szCs w:val="24"/>
        </w:rPr>
        <w:t xml:space="preserve"> </w:t>
      </w:r>
      <w:r w:rsidRPr="009A7ED1" w:rsidR="00455CE0">
        <w:rPr>
          <w:szCs w:val="24"/>
        </w:rPr>
        <w:t>The Settlement</w:t>
      </w:r>
      <w:r w:rsidRPr="009A7ED1" w:rsidR="006171CC">
        <w:rPr>
          <w:szCs w:val="24"/>
        </w:rPr>
        <w:t xml:space="preserve">, though opposed, </w:t>
      </w:r>
      <w:r w:rsidRPr="009A7ED1" w:rsidR="00455CE0">
        <w:rPr>
          <w:szCs w:val="24"/>
        </w:rPr>
        <w:t>was approved in total, with no modifications.</w:t>
      </w:r>
      <w:r w:rsidRPr="009A7ED1" w:rsidR="00C971FE">
        <w:rPr>
          <w:szCs w:val="24"/>
        </w:rPr>
        <w:t xml:space="preserve"> </w:t>
      </w:r>
    </w:p>
    <w:p w:rsidR="00A06944" w:rsidP="00A06944" w14:paraId="7D124412" w14:textId="77C86749">
      <w:pPr>
        <w:spacing w:line="480" w:lineRule="auto"/>
        <w:ind w:firstLine="720"/>
        <w:rPr>
          <w:szCs w:val="24"/>
        </w:rPr>
      </w:pPr>
      <w:r w:rsidRPr="009A7ED1">
        <w:rPr>
          <w:szCs w:val="24"/>
        </w:rPr>
        <w:t>The Northwest Ohio Aggregation Coalition (“NOAC”) requested a forensic audit</w:t>
      </w:r>
      <w:r w:rsidR="009A7ED1">
        <w:rPr>
          <w:szCs w:val="24"/>
        </w:rPr>
        <w:t xml:space="preserve"> </w:t>
      </w:r>
      <w:r w:rsidRPr="009A7ED1">
        <w:rPr>
          <w:szCs w:val="24"/>
        </w:rPr>
        <w:t>(on various FirstEnergy scandal issues)</w:t>
      </w:r>
      <w:r w:rsidR="009A7ED1">
        <w:rPr>
          <w:szCs w:val="24"/>
        </w:rPr>
        <w:t xml:space="preserve"> </w:t>
      </w:r>
      <w:r w:rsidRPr="009A7ED1">
        <w:rPr>
          <w:szCs w:val="24"/>
        </w:rPr>
        <w:t>in connection with</w:t>
      </w:r>
      <w:r w:rsidRPr="009A7ED1" w:rsidR="005A2F20">
        <w:rPr>
          <w:szCs w:val="24"/>
        </w:rPr>
        <w:t xml:space="preserve"> </w:t>
      </w:r>
      <w:r w:rsidRPr="009A7ED1">
        <w:rPr>
          <w:szCs w:val="24"/>
        </w:rPr>
        <w:t>FirstEnergy’s Grid Mod I.</w:t>
      </w:r>
      <w:r>
        <w:rPr>
          <w:rStyle w:val="FootnoteReference"/>
          <w:szCs w:val="24"/>
        </w:rPr>
        <w:footnoteReference w:id="50"/>
      </w:r>
      <w:r w:rsidRPr="009A7ED1" w:rsidR="005A2F20">
        <w:rPr>
          <w:szCs w:val="24"/>
        </w:rPr>
        <w:t xml:space="preserve"> </w:t>
      </w:r>
      <w:r w:rsidRPr="009A7ED1">
        <w:rPr>
          <w:szCs w:val="24"/>
        </w:rPr>
        <w:t>In any such audit,</w:t>
      </w:r>
      <w:r w:rsidRPr="009A7ED1" w:rsidR="005A2F20">
        <w:rPr>
          <w:szCs w:val="24"/>
        </w:rPr>
        <w:t xml:space="preserve"> </w:t>
      </w:r>
      <w:r w:rsidRPr="009A7ED1">
        <w:rPr>
          <w:szCs w:val="24"/>
        </w:rPr>
        <w:t>there should be a deeper dive into</w:t>
      </w:r>
      <w:r w:rsidRPr="009A7ED1" w:rsidR="005A2F20">
        <w:rPr>
          <w:szCs w:val="24"/>
        </w:rPr>
        <w:t xml:space="preserve"> </w:t>
      </w:r>
      <w:r w:rsidRPr="009A7ED1">
        <w:rPr>
          <w:szCs w:val="24"/>
        </w:rPr>
        <w:t>the Auditor’s “concerning conclusions” (as Ohio Energy Leadership Council characterized them).</w:t>
      </w:r>
      <w:r>
        <w:rPr>
          <w:rStyle w:val="FootnoteReference"/>
          <w:szCs w:val="24"/>
        </w:rPr>
        <w:footnoteReference w:id="51"/>
      </w:r>
      <w:r w:rsidRPr="009A7ED1">
        <w:rPr>
          <w:szCs w:val="24"/>
        </w:rPr>
        <w:t xml:space="preserve"> That deeper dive should include whether FirstEnergy’s Grid Mod investment (that has been charged</w:t>
      </w:r>
      <w:r w:rsidRPr="00D32269">
        <w:rPr>
          <w:szCs w:val="24"/>
        </w:rPr>
        <w:t xml:space="preserve"> to consumers) is </w:t>
      </w:r>
      <w:r w:rsidRPr="00D32269">
        <w:rPr>
          <w:i/>
          <w:iCs/>
          <w:szCs w:val="24"/>
        </w:rPr>
        <w:t>used and useful</w:t>
      </w:r>
      <w:r w:rsidRPr="00D32269">
        <w:rPr>
          <w:szCs w:val="24"/>
        </w:rPr>
        <w:t xml:space="preserve"> for consumers. </w:t>
      </w:r>
    </w:p>
    <w:p w:rsidR="00573E57" w:rsidRPr="00D32269" w:rsidP="00FD3288" w14:paraId="1CADEE52" w14:textId="2BB9DB07">
      <w:pPr>
        <w:pStyle w:val="Heading1"/>
      </w:pPr>
      <w:bookmarkStart w:id="6" w:name="_Toc143874993"/>
      <w:r w:rsidRPr="00D32269">
        <w:t>I</w:t>
      </w:r>
      <w:r w:rsidRPr="00D32269" w:rsidR="00DE0A38">
        <w:t>II.</w:t>
      </w:r>
      <w:r w:rsidRPr="00D32269" w:rsidR="00DE0A38">
        <w:tab/>
      </w:r>
      <w:r w:rsidRPr="00D32269" w:rsidR="00E23B40">
        <w:t>CONCLUSION</w:t>
      </w:r>
      <w:bookmarkEnd w:id="6"/>
    </w:p>
    <w:p w:rsidR="00D849F9" w:rsidRPr="00D32269" w:rsidP="00960C88" w14:paraId="73D89B35" w14:textId="21C30636">
      <w:pPr>
        <w:spacing w:line="480" w:lineRule="auto"/>
        <w:ind w:firstLine="720"/>
        <w:rPr>
          <w:szCs w:val="24"/>
        </w:rPr>
      </w:pPr>
      <w:r w:rsidRPr="00D32269">
        <w:rPr>
          <w:szCs w:val="24"/>
        </w:rPr>
        <w:t xml:space="preserve">Consumers should not </w:t>
      </w:r>
      <w:r w:rsidRPr="00D32269" w:rsidR="002E4A32">
        <w:rPr>
          <w:szCs w:val="24"/>
        </w:rPr>
        <w:t>be charged by FirstEnergy</w:t>
      </w:r>
      <w:r w:rsidRPr="00D32269">
        <w:rPr>
          <w:szCs w:val="24"/>
        </w:rPr>
        <w:t xml:space="preserve"> for Grid Mod I investments that don’t deliver the benefits FirstEnergy promised. The PUCO should disallow </w:t>
      </w:r>
      <w:r w:rsidRPr="00D32269" w:rsidR="00691A80">
        <w:rPr>
          <w:szCs w:val="24"/>
        </w:rPr>
        <w:t xml:space="preserve">future </w:t>
      </w:r>
      <w:r w:rsidRPr="00D32269">
        <w:rPr>
          <w:szCs w:val="24"/>
        </w:rPr>
        <w:t>costs for investments in Grid Mod I that FirstEnergy cannot demonstrate are used and useful and prudently incurred.</w:t>
      </w:r>
      <w:r w:rsidRPr="00D32269" w:rsidR="00691A80">
        <w:rPr>
          <w:szCs w:val="24"/>
        </w:rPr>
        <w:t xml:space="preserve"> And </w:t>
      </w:r>
      <w:r w:rsidRPr="00D32269" w:rsidR="002E4A32">
        <w:rPr>
          <w:szCs w:val="24"/>
        </w:rPr>
        <w:t>the PUCO</w:t>
      </w:r>
      <w:r w:rsidRPr="00D32269" w:rsidR="00691A80">
        <w:rPr>
          <w:szCs w:val="24"/>
        </w:rPr>
        <w:t xml:space="preserve"> should</w:t>
      </w:r>
      <w:r w:rsidRPr="00D32269" w:rsidR="002E4A32">
        <w:rPr>
          <w:szCs w:val="24"/>
        </w:rPr>
        <w:t xml:space="preserve"> order</w:t>
      </w:r>
      <w:r w:rsidRPr="00D32269" w:rsidR="00691A80">
        <w:rPr>
          <w:szCs w:val="24"/>
        </w:rPr>
        <w:t xml:space="preserve"> refund</w:t>
      </w:r>
      <w:r w:rsidRPr="00D32269" w:rsidR="002E4A32">
        <w:rPr>
          <w:szCs w:val="24"/>
        </w:rPr>
        <w:t>s of</w:t>
      </w:r>
      <w:r w:rsidRPr="00D32269" w:rsidR="00691A80">
        <w:rPr>
          <w:szCs w:val="24"/>
        </w:rPr>
        <w:t xml:space="preserve"> costs already collected from consumers if FirstEnergy fails to prove the investment in Grid Mod I is used and useful.</w:t>
      </w:r>
      <w:r w:rsidRPr="00D32269" w:rsidR="00C971FE">
        <w:rPr>
          <w:szCs w:val="24"/>
        </w:rPr>
        <w:t xml:space="preserve"> </w:t>
      </w:r>
      <w:r w:rsidR="00C339EF">
        <w:rPr>
          <w:szCs w:val="24"/>
        </w:rPr>
        <w:t>The PUCO should consider whether alternative o</w:t>
      </w:r>
      <w:r w:rsidRPr="00D32269" w:rsidR="00DA6625">
        <w:rPr>
          <w:szCs w:val="24"/>
        </w:rPr>
        <w:t xml:space="preserve">perational savings from the program should be credited to consumers </w:t>
      </w:r>
      <w:r w:rsidR="00C339EF">
        <w:rPr>
          <w:szCs w:val="24"/>
        </w:rPr>
        <w:t xml:space="preserve">as a result of FirstEnergy unauditability that prevented the Auditor from making an alternative savings recommendation. </w:t>
      </w:r>
    </w:p>
    <w:p w:rsidR="001C217C" w:rsidRPr="00D32269" w:rsidP="001C217C" w14:paraId="5A2CA7E6" w14:textId="0E8A89E4">
      <w:pPr>
        <w:pStyle w:val="Footer"/>
        <w:tabs>
          <w:tab w:val="clear" w:pos="4320"/>
          <w:tab w:val="clear" w:pos="8640"/>
        </w:tabs>
        <w:ind w:left="4320"/>
        <w:rPr>
          <w:sz w:val="24"/>
          <w:szCs w:val="24"/>
        </w:rPr>
      </w:pPr>
      <w:r w:rsidRPr="00D32269">
        <w:rPr>
          <w:sz w:val="24"/>
          <w:szCs w:val="24"/>
        </w:rPr>
        <w:t>Respectfully submitted,</w:t>
      </w:r>
    </w:p>
    <w:p w:rsidR="001C217C" w:rsidRPr="00D32269" w:rsidP="001C217C" w14:paraId="7E321A49" w14:textId="77777777">
      <w:pPr>
        <w:pStyle w:val="Footer"/>
        <w:tabs>
          <w:tab w:val="clear" w:pos="4320"/>
          <w:tab w:val="clear" w:pos="8640"/>
        </w:tabs>
        <w:ind w:left="4320"/>
        <w:rPr>
          <w:sz w:val="24"/>
          <w:szCs w:val="24"/>
        </w:rPr>
      </w:pPr>
    </w:p>
    <w:p w:rsidR="001C217C" w:rsidRPr="00D32269" w:rsidP="001C217C" w14:paraId="63276CC3" w14:textId="77777777">
      <w:pPr>
        <w:pStyle w:val="Footer"/>
        <w:tabs>
          <w:tab w:val="clear" w:pos="4320"/>
          <w:tab w:val="clear" w:pos="8640"/>
        </w:tabs>
        <w:ind w:left="4320"/>
        <w:rPr>
          <w:sz w:val="24"/>
          <w:szCs w:val="24"/>
        </w:rPr>
      </w:pPr>
      <w:r w:rsidRPr="00D32269">
        <w:rPr>
          <w:sz w:val="24"/>
          <w:szCs w:val="24"/>
        </w:rPr>
        <w:t>Bruce Weston (0016973)</w:t>
      </w:r>
    </w:p>
    <w:p w:rsidR="001C217C" w:rsidRPr="00D32269" w:rsidP="001C217C" w14:paraId="7A84539F" w14:textId="77777777">
      <w:pPr>
        <w:pStyle w:val="Footer"/>
        <w:tabs>
          <w:tab w:val="clear" w:pos="4320"/>
          <w:tab w:val="clear" w:pos="8640"/>
        </w:tabs>
        <w:ind w:left="4320"/>
        <w:rPr>
          <w:sz w:val="24"/>
          <w:szCs w:val="24"/>
        </w:rPr>
      </w:pPr>
      <w:r w:rsidRPr="00D32269">
        <w:rPr>
          <w:sz w:val="24"/>
          <w:szCs w:val="24"/>
        </w:rPr>
        <w:t>Ohio Consumer’s Counsel</w:t>
      </w:r>
    </w:p>
    <w:p w:rsidR="001C217C" w:rsidRPr="00D32269" w:rsidP="001C217C" w14:paraId="4188F259" w14:textId="77777777">
      <w:pPr>
        <w:pStyle w:val="Footer"/>
        <w:tabs>
          <w:tab w:val="left" w:pos="4320"/>
          <w:tab w:val="clear" w:pos="8640"/>
        </w:tabs>
        <w:ind w:left="3600"/>
        <w:rPr>
          <w:sz w:val="24"/>
          <w:szCs w:val="24"/>
        </w:rPr>
      </w:pPr>
    </w:p>
    <w:p w:rsidR="001C217C" w:rsidRPr="00D32269" w:rsidP="001C217C" w14:paraId="3DC61646" w14:textId="361B7FCF">
      <w:pPr>
        <w:ind w:left="4320"/>
        <w:rPr>
          <w:szCs w:val="24"/>
          <w:u w:val="single"/>
        </w:rPr>
      </w:pPr>
      <w:r w:rsidRPr="00D32269">
        <w:rPr>
          <w:i/>
          <w:szCs w:val="24"/>
          <w:u w:val="single"/>
        </w:rPr>
        <w:t>/s/ Angela D. O’Brien</w:t>
      </w:r>
    </w:p>
    <w:p w:rsidR="001C217C" w:rsidRPr="00D32269" w:rsidP="001C217C" w14:paraId="4641D3FE" w14:textId="77777777">
      <w:pPr>
        <w:tabs>
          <w:tab w:val="left" w:pos="4320"/>
        </w:tabs>
        <w:ind w:left="4320"/>
        <w:rPr>
          <w:szCs w:val="24"/>
        </w:rPr>
      </w:pPr>
      <w:r w:rsidRPr="00D32269">
        <w:rPr>
          <w:szCs w:val="24"/>
        </w:rPr>
        <w:t>Angela D. O’Brien (0097579)</w:t>
      </w:r>
    </w:p>
    <w:p w:rsidR="00E51F5A" w:rsidRPr="00D32269" w:rsidP="001C217C" w14:paraId="1ECFC40E" w14:textId="5E37B692">
      <w:pPr>
        <w:tabs>
          <w:tab w:val="left" w:pos="4320"/>
        </w:tabs>
        <w:ind w:left="4320"/>
        <w:rPr>
          <w:szCs w:val="24"/>
        </w:rPr>
      </w:pPr>
      <w:r w:rsidRPr="00D32269">
        <w:rPr>
          <w:szCs w:val="24"/>
        </w:rPr>
        <w:t>Counsel of Record</w:t>
      </w:r>
    </w:p>
    <w:p w:rsidR="001C217C" w:rsidRPr="00D32269" w:rsidP="001C217C" w14:paraId="666E814D" w14:textId="4909D1B1">
      <w:pPr>
        <w:tabs>
          <w:tab w:val="left" w:pos="4320"/>
        </w:tabs>
        <w:ind w:left="4320"/>
        <w:rPr>
          <w:szCs w:val="24"/>
        </w:rPr>
      </w:pPr>
      <w:r w:rsidRPr="00D32269">
        <w:rPr>
          <w:szCs w:val="24"/>
        </w:rPr>
        <w:t>Deputy Consumers’ Counsel</w:t>
      </w:r>
    </w:p>
    <w:p w:rsidR="001C217C" w:rsidRPr="00D32269" w:rsidP="001C217C" w14:paraId="3863527F" w14:textId="77777777">
      <w:pPr>
        <w:tabs>
          <w:tab w:val="left" w:pos="4320"/>
        </w:tabs>
        <w:ind w:left="4320"/>
        <w:rPr>
          <w:szCs w:val="24"/>
        </w:rPr>
      </w:pPr>
    </w:p>
    <w:p w:rsidR="001C217C" w:rsidRPr="00D32269" w:rsidP="001C217C" w14:paraId="55609EB6" w14:textId="77777777">
      <w:pPr>
        <w:ind w:firstLine="4320"/>
        <w:rPr>
          <w:b/>
          <w:bCs/>
          <w:szCs w:val="24"/>
        </w:rPr>
      </w:pPr>
      <w:r w:rsidRPr="00D32269">
        <w:rPr>
          <w:b/>
          <w:bCs/>
          <w:szCs w:val="24"/>
        </w:rPr>
        <w:t>Office of the Ohio Consumers' Counsel</w:t>
      </w:r>
    </w:p>
    <w:p w:rsidR="001C217C" w:rsidRPr="00D32269" w:rsidP="001C217C" w14:paraId="76B59E61" w14:textId="347F0AC5">
      <w:pPr>
        <w:ind w:firstLine="4320"/>
        <w:rPr>
          <w:b/>
          <w:szCs w:val="24"/>
        </w:rPr>
      </w:pPr>
      <w:r w:rsidRPr="00D32269">
        <w:rPr>
          <w:szCs w:val="24"/>
        </w:rPr>
        <w:t xml:space="preserve">65 East State Street, </w:t>
      </w:r>
      <w:r w:rsidRPr="00D32269" w:rsidR="00173DD3">
        <w:rPr>
          <w:szCs w:val="24"/>
        </w:rPr>
        <w:t>Suite 700</w:t>
      </w:r>
    </w:p>
    <w:p w:rsidR="001C217C" w:rsidRPr="00D32269" w:rsidP="001C217C" w14:paraId="3089EF84" w14:textId="77777777">
      <w:pPr>
        <w:ind w:firstLine="4320"/>
        <w:rPr>
          <w:b/>
          <w:szCs w:val="24"/>
        </w:rPr>
      </w:pPr>
      <w:r w:rsidRPr="00D32269">
        <w:rPr>
          <w:szCs w:val="24"/>
        </w:rPr>
        <w:t>Columbus, Ohio 43215</w:t>
      </w:r>
    </w:p>
    <w:p w:rsidR="001C217C" w:rsidRPr="00D32269" w:rsidP="001C217C" w14:paraId="107D637E" w14:textId="77777777">
      <w:pPr>
        <w:ind w:firstLine="4320"/>
        <w:rPr>
          <w:szCs w:val="24"/>
        </w:rPr>
      </w:pPr>
      <w:r w:rsidRPr="00D32269">
        <w:rPr>
          <w:szCs w:val="24"/>
        </w:rPr>
        <w:t>Telephone: [O’Brien] (614) 466-9531</w:t>
      </w:r>
    </w:p>
    <w:p w:rsidR="001C217C" w:rsidRPr="00D32269" w:rsidP="001C217C" w14:paraId="05881853" w14:textId="77777777">
      <w:pPr>
        <w:ind w:left="4320"/>
        <w:rPr>
          <w:rStyle w:val="Hyperlink"/>
          <w:szCs w:val="24"/>
        </w:rPr>
      </w:pPr>
      <w:hyperlink r:id="rId6" w:history="1">
        <w:r w:rsidRPr="00D32269" w:rsidR="00E90D6F">
          <w:rPr>
            <w:rStyle w:val="Hyperlink"/>
            <w:szCs w:val="24"/>
          </w:rPr>
          <w:t>angela.obrien@occ.ohio.gov</w:t>
        </w:r>
      </w:hyperlink>
    </w:p>
    <w:p w:rsidR="001C217C" w:rsidRPr="00D32269" w:rsidP="00961CFD" w14:paraId="1DBC4195" w14:textId="47232893">
      <w:pPr>
        <w:ind w:left="4320"/>
        <w:rPr>
          <w:szCs w:val="24"/>
        </w:rPr>
      </w:pPr>
      <w:r w:rsidRPr="00D32269">
        <w:rPr>
          <w:szCs w:val="24"/>
        </w:rPr>
        <w:t>(willing to accept service by e-mail)</w:t>
      </w:r>
    </w:p>
    <w:p w:rsidR="00714C1E" w:rsidRPr="00D32269" w:rsidP="00714C1E" w14:paraId="26C3C988" w14:textId="77777777">
      <w:pPr>
        <w:rPr>
          <w:szCs w:val="24"/>
        </w:rPr>
      </w:pPr>
    </w:p>
    <w:p w:rsidR="00714C1E" w:rsidRPr="00D32269" w14:paraId="40172FC3" w14:textId="77777777">
      <w:pPr>
        <w:rPr>
          <w:szCs w:val="24"/>
        </w:rPr>
      </w:pPr>
    </w:p>
    <w:p w:rsidR="00714C1E" w:rsidRPr="00D32269" w14:paraId="54901F02" w14:textId="77777777">
      <w:pPr>
        <w:rPr>
          <w:szCs w:val="24"/>
        </w:rPr>
      </w:pPr>
    </w:p>
    <w:p w:rsidR="00714C1E" w:rsidRPr="00D32269" w14:paraId="38028165" w14:textId="77777777">
      <w:pPr>
        <w:rPr>
          <w:szCs w:val="24"/>
        </w:rPr>
      </w:pPr>
      <w:r w:rsidRPr="00D32269">
        <w:rPr>
          <w:szCs w:val="24"/>
        </w:rPr>
        <w:tab/>
      </w:r>
      <w:r w:rsidRPr="00D32269">
        <w:rPr>
          <w:szCs w:val="24"/>
        </w:rPr>
        <w:tab/>
      </w:r>
      <w:r w:rsidRPr="00D32269">
        <w:rPr>
          <w:szCs w:val="24"/>
        </w:rPr>
        <w:tab/>
      </w:r>
      <w:r w:rsidRPr="00D32269">
        <w:rPr>
          <w:szCs w:val="24"/>
        </w:rPr>
        <w:tab/>
      </w:r>
      <w:r w:rsidRPr="00D32269">
        <w:rPr>
          <w:szCs w:val="24"/>
        </w:rPr>
        <w:tab/>
      </w:r>
      <w:r w:rsidRPr="00D32269">
        <w:rPr>
          <w:szCs w:val="24"/>
        </w:rPr>
        <w:tab/>
      </w:r>
    </w:p>
    <w:p w:rsidR="00714C1E" w:rsidRPr="00D32269" w14:paraId="532AC839" w14:textId="77777777">
      <w:pPr>
        <w:jc w:val="center"/>
        <w:rPr>
          <w:b/>
          <w:bCs/>
          <w:szCs w:val="24"/>
          <w:u w:val="single"/>
        </w:rPr>
      </w:pPr>
      <w:r w:rsidRPr="00D32269">
        <w:rPr>
          <w:szCs w:val="24"/>
        </w:rPr>
        <w:br w:type="page"/>
      </w:r>
      <w:r w:rsidRPr="00D32269">
        <w:rPr>
          <w:b/>
          <w:bCs/>
          <w:szCs w:val="24"/>
          <w:u w:val="single"/>
        </w:rPr>
        <w:t>CERTIFICATE OF SERVICE</w:t>
      </w:r>
    </w:p>
    <w:p w:rsidR="004C7062" w:rsidRPr="00D32269" w:rsidP="00DD5204" w14:paraId="4D779DFE" w14:textId="5F75E7C5">
      <w:pPr>
        <w:spacing w:line="480" w:lineRule="atLeast"/>
        <w:rPr>
          <w:szCs w:val="24"/>
        </w:rPr>
      </w:pPr>
      <w:r w:rsidRPr="00D32269">
        <w:rPr>
          <w:szCs w:val="24"/>
        </w:rPr>
        <w:tab/>
        <w:t>I hereby certify that a copy of t</w:t>
      </w:r>
      <w:r w:rsidRPr="00D32269" w:rsidR="00F9252B">
        <w:rPr>
          <w:szCs w:val="24"/>
        </w:rPr>
        <w:t>hese</w:t>
      </w:r>
      <w:r w:rsidRPr="00D32269">
        <w:rPr>
          <w:szCs w:val="24"/>
        </w:rPr>
        <w:t xml:space="preserve"> </w:t>
      </w:r>
      <w:r w:rsidRPr="00D32269" w:rsidR="00490DFB">
        <w:rPr>
          <w:szCs w:val="24"/>
        </w:rPr>
        <w:t xml:space="preserve">Reply </w:t>
      </w:r>
      <w:r w:rsidRPr="00D32269" w:rsidR="008B40DC">
        <w:rPr>
          <w:iCs/>
          <w:szCs w:val="24"/>
        </w:rPr>
        <w:t>Comments for Consumer Protection</w:t>
      </w:r>
      <w:r w:rsidRPr="00D32269">
        <w:rPr>
          <w:szCs w:val="24"/>
        </w:rPr>
        <w:t xml:space="preserve"> was served on the persons stated below </w:t>
      </w:r>
      <w:r w:rsidRPr="00D32269">
        <w:rPr>
          <w:iCs/>
          <w:szCs w:val="24"/>
        </w:rPr>
        <w:t xml:space="preserve">via </w:t>
      </w:r>
      <w:r w:rsidRPr="00D32269">
        <w:rPr>
          <w:szCs w:val="24"/>
        </w:rPr>
        <w:t xml:space="preserve">electronic transmission, this </w:t>
      </w:r>
      <w:r w:rsidRPr="00D32269" w:rsidR="00A909DA">
        <w:rPr>
          <w:szCs w:val="24"/>
        </w:rPr>
        <w:t>25</w:t>
      </w:r>
      <w:r w:rsidRPr="00D32269" w:rsidR="003631FB">
        <w:rPr>
          <w:szCs w:val="24"/>
          <w:vertAlign w:val="superscript"/>
        </w:rPr>
        <w:t>th</w:t>
      </w:r>
      <w:r w:rsidRPr="00D32269" w:rsidR="003631FB">
        <w:rPr>
          <w:szCs w:val="24"/>
        </w:rPr>
        <w:t xml:space="preserve"> </w:t>
      </w:r>
      <w:r w:rsidRPr="00D32269">
        <w:rPr>
          <w:szCs w:val="24"/>
        </w:rPr>
        <w:t>day of</w:t>
      </w:r>
      <w:r w:rsidRPr="00D32269" w:rsidR="003631FB">
        <w:rPr>
          <w:szCs w:val="24"/>
        </w:rPr>
        <w:t xml:space="preserve"> August 2023</w:t>
      </w:r>
      <w:r w:rsidRPr="00D32269">
        <w:rPr>
          <w:szCs w:val="24"/>
        </w:rPr>
        <w:t>.</w:t>
      </w:r>
    </w:p>
    <w:p w:rsidR="004C7062" w:rsidRPr="00D32269" w:rsidP="004C7062" w14:paraId="624FCF02" w14:textId="77777777">
      <w:pPr>
        <w:ind w:left="4320"/>
        <w:rPr>
          <w:szCs w:val="24"/>
          <w:u w:val="single"/>
        </w:rPr>
      </w:pPr>
      <w:r w:rsidRPr="00D32269">
        <w:rPr>
          <w:i/>
          <w:szCs w:val="24"/>
          <w:u w:val="single"/>
        </w:rPr>
        <w:t>/s/ Angela D. O’Brien</w:t>
      </w:r>
    </w:p>
    <w:p w:rsidR="004C7062" w:rsidRPr="00D32269" w:rsidP="004C7062" w14:paraId="2AC57AD6" w14:textId="592DB972">
      <w:pPr>
        <w:tabs>
          <w:tab w:val="left" w:pos="4320"/>
        </w:tabs>
        <w:ind w:left="4320"/>
        <w:rPr>
          <w:szCs w:val="24"/>
        </w:rPr>
      </w:pPr>
      <w:r w:rsidRPr="00D32269">
        <w:rPr>
          <w:szCs w:val="24"/>
        </w:rPr>
        <w:t>Angela D. O’Brien</w:t>
      </w:r>
    </w:p>
    <w:p w:rsidR="004C7062" w:rsidRPr="00D32269" w:rsidP="004C7062" w14:paraId="0D0E1C37" w14:textId="7D837D30">
      <w:pPr>
        <w:tabs>
          <w:tab w:val="left" w:pos="4320"/>
        </w:tabs>
        <w:ind w:left="4320"/>
        <w:rPr>
          <w:szCs w:val="24"/>
        </w:rPr>
      </w:pPr>
      <w:r w:rsidRPr="00D32269">
        <w:rPr>
          <w:szCs w:val="24"/>
        </w:rPr>
        <w:t>Deputy Consumers’ Counsel</w:t>
      </w:r>
    </w:p>
    <w:p w:rsidR="00714C1E" w:rsidRPr="00D32269" w:rsidP="004C7062" w14:paraId="6FAF62EB" w14:textId="38669CF7">
      <w:pPr>
        <w:tabs>
          <w:tab w:val="left" w:pos="4320"/>
        </w:tabs>
        <w:rPr>
          <w:szCs w:val="24"/>
        </w:rPr>
      </w:pPr>
      <w:r w:rsidRPr="00D32269">
        <w:rPr>
          <w:szCs w:val="24"/>
        </w:rPr>
        <w:tab/>
      </w:r>
    </w:p>
    <w:p w:rsidR="00714C1E" w:rsidRPr="00D32269" w:rsidP="00714C1E" w14:paraId="3672D432" w14:textId="77777777">
      <w:pPr>
        <w:pStyle w:val="CommentText"/>
        <w:rPr>
          <w:bCs/>
        </w:rPr>
      </w:pPr>
      <w:r w:rsidRPr="00D32269">
        <w:rPr>
          <w:bCs/>
        </w:rPr>
        <w:t>The PUCO’s e-filing system will electronically serve notice of the filing of this document on the following parties:</w:t>
      </w:r>
    </w:p>
    <w:p w:rsidR="00714C1E" w:rsidRPr="00D32269" w14:paraId="2A07DA35" w14:textId="77777777">
      <w:pPr>
        <w:pStyle w:val="CommentText"/>
      </w:pPr>
    </w:p>
    <w:p w:rsidR="00714C1E" w:rsidRPr="00D32269" w14:paraId="0A4AF681" w14:textId="77777777">
      <w:pPr>
        <w:pStyle w:val="CommentText"/>
        <w:jc w:val="center"/>
        <w:rPr>
          <w:b/>
          <w:u w:val="single"/>
        </w:rPr>
      </w:pPr>
      <w:r w:rsidRPr="00D32269">
        <w:rPr>
          <w:b/>
          <w:u w:val="single"/>
        </w:rPr>
        <w:t>SERVICE LIST</w:t>
      </w:r>
    </w:p>
    <w:p w:rsidR="00714C1E" w:rsidRPr="00D32269" w14:paraId="78DF5EC5" w14:textId="77777777">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58"/>
        <w:gridCol w:w="4382"/>
      </w:tblGrid>
      <w:tr w14:paraId="4CA5413E" w14:textId="77777777" w:rsidTr="00C7293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7C6C5A" w:rsidRPr="00D32269" w:rsidP="00C72933" w14:paraId="37195995" w14:textId="77777777">
            <w:pPr>
              <w:autoSpaceDE w:val="0"/>
              <w:autoSpaceDN w:val="0"/>
              <w:adjustRightInd w:val="0"/>
              <w:rPr>
                <w:bCs/>
                <w:sz w:val="24"/>
                <w:szCs w:val="24"/>
                <w:lang w:val="en-US" w:eastAsia="en-US" w:bidi="ar-SA"/>
              </w:rPr>
            </w:pPr>
            <w:hyperlink r:id="rId14" w:history="1">
              <w:r w:rsidRPr="00D32269">
                <w:rPr>
                  <w:rStyle w:val="Hyperlink"/>
                  <w:bCs/>
                  <w:color w:val="0000FF"/>
                  <w:sz w:val="24"/>
                  <w:szCs w:val="24"/>
                  <w:u w:val="single"/>
                  <w:lang w:val="en-US" w:eastAsia="en-US" w:bidi="ar-SA"/>
                </w:rPr>
                <w:t>Thomas.lindgren@ohioago.gov</w:t>
              </w:r>
            </w:hyperlink>
          </w:p>
          <w:p w:rsidR="007C6C5A" w:rsidRPr="00D32269" w:rsidP="00C72933" w14:paraId="628E892F" w14:textId="77777777">
            <w:pPr>
              <w:autoSpaceDE w:val="0"/>
              <w:autoSpaceDN w:val="0"/>
              <w:adjustRightInd w:val="0"/>
              <w:rPr>
                <w:sz w:val="24"/>
                <w:szCs w:val="24"/>
                <w:lang w:val="en-US" w:eastAsia="en-US" w:bidi="ar-SA"/>
              </w:rPr>
            </w:pPr>
            <w:hyperlink r:id="rId15" w:history="1">
              <w:r w:rsidRPr="00D32269">
                <w:rPr>
                  <w:rStyle w:val="Hyperlink"/>
                  <w:color w:val="0000FF"/>
                  <w:sz w:val="24"/>
                  <w:szCs w:val="24"/>
                  <w:u w:val="single"/>
                  <w:lang w:val="en-US" w:eastAsia="en-US" w:bidi="ar-SA"/>
                </w:rPr>
                <w:t>mkurtz@BKLlawfirm.com</w:t>
              </w:r>
            </w:hyperlink>
          </w:p>
          <w:p w:rsidR="007C6C5A" w:rsidRPr="00D32269" w:rsidP="00C72933" w14:paraId="1131CB09" w14:textId="77777777">
            <w:pPr>
              <w:autoSpaceDE w:val="0"/>
              <w:autoSpaceDN w:val="0"/>
              <w:adjustRightInd w:val="0"/>
              <w:rPr>
                <w:sz w:val="24"/>
                <w:szCs w:val="24"/>
                <w:lang w:val="en-US" w:eastAsia="en-US" w:bidi="ar-SA"/>
              </w:rPr>
            </w:pPr>
            <w:hyperlink r:id="rId16" w:history="1">
              <w:r w:rsidRPr="00D32269">
                <w:rPr>
                  <w:rStyle w:val="Hyperlink"/>
                  <w:color w:val="0000FF"/>
                  <w:sz w:val="24"/>
                  <w:szCs w:val="24"/>
                  <w:u w:val="single"/>
                  <w:lang w:val="en-US" w:eastAsia="en-US" w:bidi="ar-SA"/>
                </w:rPr>
                <w:t>kboehm@BKLlawfirm.com</w:t>
              </w:r>
            </w:hyperlink>
          </w:p>
          <w:p w:rsidR="007C6C5A" w:rsidRPr="00D32269" w:rsidP="00C72933" w14:paraId="3E46CE85" w14:textId="77777777">
            <w:pPr>
              <w:autoSpaceDE w:val="0"/>
              <w:autoSpaceDN w:val="0"/>
              <w:adjustRightInd w:val="0"/>
              <w:rPr>
                <w:sz w:val="24"/>
                <w:szCs w:val="24"/>
                <w:lang w:val="en-US" w:eastAsia="en-US" w:bidi="ar-SA"/>
              </w:rPr>
            </w:pPr>
            <w:hyperlink r:id="rId17" w:history="1">
              <w:r w:rsidRPr="00D32269">
                <w:rPr>
                  <w:rStyle w:val="Hyperlink"/>
                  <w:color w:val="0000FF"/>
                  <w:sz w:val="24"/>
                  <w:szCs w:val="24"/>
                  <w:u w:val="single"/>
                  <w:lang w:val="en-US" w:eastAsia="en-US" w:bidi="ar-SA"/>
                </w:rPr>
                <w:t>jkylercohn@BKLlawfirm.com</w:t>
              </w:r>
            </w:hyperlink>
          </w:p>
          <w:p w:rsidR="007C6C5A" w:rsidRPr="00D32269" w:rsidP="00C72933" w14:paraId="3D6D8B46" w14:textId="77777777">
            <w:pPr>
              <w:autoSpaceDE w:val="0"/>
              <w:autoSpaceDN w:val="0"/>
              <w:adjustRightInd w:val="0"/>
              <w:rPr>
                <w:rFonts w:eastAsiaTheme="minorHAnsi"/>
                <w:color w:val="0000FF"/>
                <w:sz w:val="24"/>
                <w:szCs w:val="24"/>
                <w:lang w:val="en-US" w:eastAsia="en-US" w:bidi="ar-SA"/>
              </w:rPr>
            </w:pPr>
            <w:hyperlink r:id="rId18" w:history="1">
              <w:r w:rsidRPr="00D32269">
                <w:rPr>
                  <w:rStyle w:val="Hyperlink"/>
                  <w:rFonts w:eastAsiaTheme="minorHAnsi"/>
                  <w:color w:val="0000FF"/>
                  <w:sz w:val="24"/>
                  <w:szCs w:val="24"/>
                  <w:u w:val="single"/>
                  <w:lang w:val="en-US" w:eastAsia="en-US" w:bidi="ar-SA"/>
                </w:rPr>
                <w:t>gkrassen@bricker.com</w:t>
              </w:r>
            </w:hyperlink>
          </w:p>
          <w:p w:rsidR="007C6C5A" w:rsidRPr="00D32269" w:rsidP="00C72933" w14:paraId="2E84D6CB" w14:textId="77777777">
            <w:pPr>
              <w:autoSpaceDE w:val="0"/>
              <w:autoSpaceDN w:val="0"/>
              <w:adjustRightInd w:val="0"/>
              <w:rPr>
                <w:rFonts w:eastAsiaTheme="minorHAnsi"/>
                <w:color w:val="0000FF"/>
                <w:sz w:val="24"/>
                <w:szCs w:val="24"/>
                <w:lang w:val="en-US" w:eastAsia="en-US" w:bidi="ar-SA"/>
              </w:rPr>
            </w:pPr>
            <w:hyperlink r:id="rId19" w:history="1">
              <w:r w:rsidRPr="00D32269">
                <w:rPr>
                  <w:rStyle w:val="Hyperlink"/>
                  <w:rFonts w:eastAsiaTheme="minorHAnsi"/>
                  <w:color w:val="0000FF"/>
                  <w:sz w:val="24"/>
                  <w:szCs w:val="24"/>
                  <w:u w:val="single"/>
                  <w:lang w:val="en-US" w:eastAsia="en-US" w:bidi="ar-SA"/>
                </w:rPr>
                <w:t>dstinson@bricker.com</w:t>
              </w:r>
            </w:hyperlink>
          </w:p>
          <w:p w:rsidR="007C6C5A" w:rsidRPr="00D32269" w:rsidP="00C72933" w14:paraId="393105D5" w14:textId="77777777">
            <w:pPr>
              <w:autoSpaceDE w:val="0"/>
              <w:autoSpaceDN w:val="0"/>
              <w:adjustRightInd w:val="0"/>
              <w:rPr>
                <w:rStyle w:val="Hyperlink"/>
                <w:rFonts w:eastAsiaTheme="minorHAnsi"/>
                <w:color w:val="0000FF"/>
                <w:sz w:val="24"/>
                <w:szCs w:val="24"/>
                <w:u w:val="single"/>
                <w:lang w:val="en-US" w:eastAsia="en-US" w:bidi="ar-SA"/>
              </w:rPr>
            </w:pPr>
            <w:hyperlink r:id="rId20" w:history="1">
              <w:r w:rsidRPr="00D32269">
                <w:rPr>
                  <w:rStyle w:val="Hyperlink"/>
                  <w:rFonts w:eastAsiaTheme="minorHAnsi"/>
                  <w:color w:val="0000FF"/>
                  <w:sz w:val="24"/>
                  <w:szCs w:val="24"/>
                  <w:u w:val="single"/>
                  <w:lang w:val="en-US" w:eastAsia="en-US" w:bidi="ar-SA"/>
                </w:rPr>
                <w:t>paul@carpenterlipps.com</w:t>
              </w:r>
            </w:hyperlink>
          </w:p>
          <w:p w:rsidR="007C6C5A" w:rsidRPr="00D32269" w:rsidP="00C72933" w14:paraId="28B99F49" w14:textId="77777777">
            <w:pPr>
              <w:autoSpaceDE w:val="0"/>
              <w:autoSpaceDN w:val="0"/>
              <w:adjustRightInd w:val="0"/>
              <w:rPr>
                <w:rStyle w:val="Hyperlink"/>
                <w:rFonts w:eastAsiaTheme="minorHAnsi"/>
                <w:color w:val="0000FF"/>
                <w:sz w:val="24"/>
                <w:szCs w:val="24"/>
                <w:u w:val="single"/>
                <w:lang w:val="en-US" w:eastAsia="en-US" w:bidi="ar-SA"/>
              </w:rPr>
            </w:pPr>
            <w:r w:rsidRPr="00D32269">
              <w:rPr>
                <w:rStyle w:val="Hyperlink"/>
                <w:rFonts w:eastAsiaTheme="minorHAnsi"/>
                <w:color w:val="0000FF"/>
                <w:sz w:val="24"/>
                <w:szCs w:val="24"/>
                <w:u w:val="single"/>
                <w:lang w:val="en-US" w:eastAsia="en-US" w:bidi="ar-SA"/>
              </w:rPr>
              <w:t>ctavenor@theOEC.org</w:t>
            </w:r>
          </w:p>
          <w:p w:rsidR="007C6C5A" w:rsidRPr="00D32269" w:rsidP="00C72933" w14:paraId="7420845D" w14:textId="77777777">
            <w:pPr>
              <w:autoSpaceDE w:val="0"/>
              <w:autoSpaceDN w:val="0"/>
              <w:adjustRightInd w:val="0"/>
              <w:rPr>
                <w:rFonts w:eastAsiaTheme="minorHAnsi"/>
                <w:sz w:val="24"/>
                <w:szCs w:val="24"/>
                <w:lang w:val="en-US" w:eastAsia="en-US" w:bidi="ar-SA"/>
              </w:rPr>
            </w:pPr>
            <w:hyperlink r:id="rId21" w:history="1">
              <w:r w:rsidRPr="00D32269">
                <w:rPr>
                  <w:rStyle w:val="Hyperlink"/>
                  <w:rFonts w:eastAsiaTheme="minorHAnsi"/>
                  <w:color w:val="0000FF"/>
                  <w:sz w:val="24"/>
                  <w:szCs w:val="24"/>
                  <w:u w:val="single"/>
                  <w:lang w:val="en-US" w:eastAsia="en-US" w:bidi="ar-SA"/>
                </w:rPr>
                <w:t>rkelter@elpc.org</w:t>
              </w:r>
            </w:hyperlink>
          </w:p>
          <w:p w:rsidR="007C6C5A" w:rsidRPr="00D32269" w:rsidP="00C72933" w14:paraId="1E82E39D" w14:textId="77777777">
            <w:pPr>
              <w:autoSpaceDE w:val="0"/>
              <w:autoSpaceDN w:val="0"/>
              <w:adjustRightInd w:val="0"/>
              <w:rPr>
                <w:rFonts w:eastAsiaTheme="minorHAnsi"/>
                <w:sz w:val="24"/>
                <w:szCs w:val="24"/>
                <w:lang w:val="en-US" w:eastAsia="en-US" w:bidi="ar-SA"/>
              </w:rPr>
            </w:pPr>
            <w:hyperlink r:id="rId22" w:history="1">
              <w:r w:rsidRPr="00D32269">
                <w:rPr>
                  <w:rStyle w:val="Hyperlink"/>
                  <w:rFonts w:eastAsiaTheme="minorHAnsi"/>
                  <w:color w:val="0000FF"/>
                  <w:sz w:val="24"/>
                  <w:szCs w:val="24"/>
                  <w:u w:val="single"/>
                  <w:lang w:val="en-US" w:eastAsia="en-US" w:bidi="ar-SA"/>
                </w:rPr>
                <w:t>jweber@elpc.org</w:t>
              </w:r>
            </w:hyperlink>
          </w:p>
          <w:p w:rsidR="007C6C5A" w:rsidRPr="00D32269" w:rsidP="00C72933" w14:paraId="1E62D361" w14:textId="77777777">
            <w:pPr>
              <w:autoSpaceDE w:val="0"/>
              <w:autoSpaceDN w:val="0"/>
              <w:adjustRightInd w:val="0"/>
              <w:rPr>
                <w:rStyle w:val="Hyperlink"/>
                <w:rFonts w:eastAsiaTheme="minorHAnsi"/>
                <w:color w:val="0000FF"/>
                <w:sz w:val="24"/>
                <w:szCs w:val="24"/>
                <w:u w:val="single"/>
                <w:lang w:val="en-US" w:eastAsia="en-US" w:bidi="ar-SA"/>
              </w:rPr>
            </w:pPr>
            <w:hyperlink r:id="rId23" w:history="1">
              <w:r w:rsidRPr="00D32269">
                <w:rPr>
                  <w:rStyle w:val="Hyperlink"/>
                  <w:rFonts w:eastAsiaTheme="minorHAnsi"/>
                  <w:color w:val="0000FF"/>
                  <w:sz w:val="24"/>
                  <w:szCs w:val="24"/>
                  <w:u w:val="single"/>
                  <w:lang w:val="en-US" w:eastAsia="en-US" w:bidi="ar-SA"/>
                </w:rPr>
                <w:t>Bojko@carpenterlipps.com</w:t>
              </w:r>
            </w:hyperlink>
          </w:p>
          <w:p w:rsidR="007C6C5A" w:rsidRPr="00D32269" w:rsidP="00C72933" w14:paraId="505405CE" w14:textId="77777777">
            <w:pPr>
              <w:autoSpaceDE w:val="0"/>
              <w:autoSpaceDN w:val="0"/>
              <w:adjustRightInd w:val="0"/>
              <w:rPr>
                <w:rFonts w:eastAsiaTheme="minorHAnsi"/>
                <w:color w:val="0000FF"/>
                <w:sz w:val="24"/>
                <w:szCs w:val="24"/>
                <w:lang w:val="en-US" w:eastAsia="en-US" w:bidi="ar-SA"/>
              </w:rPr>
            </w:pPr>
            <w:hyperlink r:id="rId24" w:history="1">
              <w:r w:rsidRPr="00D32269">
                <w:rPr>
                  <w:rStyle w:val="Hyperlink"/>
                  <w:rFonts w:eastAsiaTheme="minorHAnsi"/>
                  <w:color w:val="0000FF"/>
                  <w:sz w:val="24"/>
                  <w:szCs w:val="24"/>
                  <w:u w:val="single"/>
                  <w:lang w:val="en-US" w:eastAsia="en-US" w:bidi="ar-SA"/>
                </w:rPr>
                <w:t>ghiloni@carpenterlipps.com</w:t>
              </w:r>
            </w:hyperlink>
          </w:p>
          <w:p w:rsidR="007C6C5A" w:rsidRPr="00D32269" w:rsidP="00C72933" w14:paraId="426F9A4F" w14:textId="77777777">
            <w:pPr>
              <w:autoSpaceDE w:val="0"/>
              <w:autoSpaceDN w:val="0"/>
              <w:adjustRightInd w:val="0"/>
              <w:rPr>
                <w:sz w:val="24"/>
                <w:szCs w:val="24"/>
                <w:lang w:val="en-US" w:eastAsia="en-US" w:bidi="ar-SA"/>
              </w:rPr>
            </w:pPr>
            <w:hyperlink r:id="rId25" w:history="1">
              <w:r w:rsidRPr="00D32269">
                <w:rPr>
                  <w:rStyle w:val="Hyperlink"/>
                  <w:color w:val="0000FF"/>
                  <w:sz w:val="24"/>
                  <w:szCs w:val="24"/>
                  <w:u w:val="single"/>
                  <w:lang w:val="en-US" w:eastAsia="en-US" w:bidi="ar-SA"/>
                </w:rPr>
                <w:t>glpetrucci@vorys.com</w:t>
              </w:r>
            </w:hyperlink>
          </w:p>
          <w:p w:rsidR="007C6C5A" w:rsidRPr="00D32269" w:rsidP="00C72933" w14:paraId="4E7FA6CF" w14:textId="77777777">
            <w:pPr>
              <w:pStyle w:val="CommentText"/>
              <w:rPr>
                <w:rFonts w:eastAsiaTheme="minorHAnsi"/>
                <w:color w:val="0000FF"/>
                <w:sz w:val="24"/>
                <w:szCs w:val="24"/>
                <w:lang w:val="en-US" w:eastAsia="en-US" w:bidi="ar-SA"/>
              </w:rPr>
            </w:pPr>
            <w:hyperlink r:id="rId26" w:history="1">
              <w:r w:rsidRPr="00D32269">
                <w:rPr>
                  <w:rStyle w:val="Hyperlink"/>
                  <w:rFonts w:eastAsiaTheme="minorHAnsi"/>
                  <w:color w:val="0000FF"/>
                  <w:sz w:val="24"/>
                  <w:szCs w:val="24"/>
                  <w:u w:val="single"/>
                  <w:lang w:val="en-US" w:eastAsia="en-US" w:bidi="ar-SA"/>
                </w:rPr>
                <w:t>mwarnock@bricker.com</w:t>
              </w:r>
            </w:hyperlink>
          </w:p>
          <w:p w:rsidR="007C6C5A" w:rsidRPr="00D32269" w:rsidP="00C72933" w14:paraId="122F3270" w14:textId="77777777">
            <w:pPr>
              <w:pStyle w:val="CommentText"/>
              <w:rPr>
                <w:rFonts w:eastAsiaTheme="minorHAnsi"/>
                <w:color w:val="0000FF"/>
                <w:sz w:val="24"/>
                <w:szCs w:val="24"/>
                <w:lang w:val="en-US" w:eastAsia="en-US" w:bidi="ar-SA"/>
              </w:rPr>
            </w:pPr>
            <w:hyperlink r:id="rId27" w:history="1">
              <w:r w:rsidRPr="00D32269">
                <w:rPr>
                  <w:rStyle w:val="Hyperlink"/>
                  <w:rFonts w:eastAsiaTheme="minorHAnsi"/>
                  <w:color w:val="0000FF"/>
                  <w:sz w:val="24"/>
                  <w:szCs w:val="24"/>
                  <w:u w:val="single"/>
                  <w:lang w:val="en-US" w:eastAsia="en-US" w:bidi="ar-SA"/>
                </w:rPr>
                <w:t>dborchers@bricker.com</w:t>
              </w:r>
            </w:hyperlink>
          </w:p>
          <w:p w:rsidR="007C6C5A" w:rsidRPr="00D32269" w:rsidP="00C72933" w14:paraId="37AEA0FE" w14:textId="77777777">
            <w:pPr>
              <w:autoSpaceDE w:val="0"/>
              <w:autoSpaceDN w:val="0"/>
              <w:adjustRightInd w:val="0"/>
              <w:rPr>
                <w:rFonts w:eastAsiaTheme="minorHAnsi"/>
                <w:color w:val="0000FF"/>
                <w:sz w:val="24"/>
                <w:szCs w:val="24"/>
                <w:lang w:val="en-US" w:eastAsia="en-US" w:bidi="ar-SA"/>
              </w:rPr>
            </w:pPr>
          </w:p>
          <w:p w:rsidR="007C6C5A" w:rsidRPr="00D32269" w:rsidP="00C72933" w14:paraId="416313DA" w14:textId="77777777">
            <w:pPr>
              <w:pStyle w:val="BodyText"/>
              <w:jc w:val="both"/>
              <w:rPr>
                <w:sz w:val="24"/>
                <w:szCs w:val="24"/>
                <w:lang w:val="en-US" w:eastAsia="en-US" w:bidi="ar-SA"/>
              </w:rPr>
            </w:pPr>
            <w:r w:rsidRPr="00D32269">
              <w:rPr>
                <w:sz w:val="24"/>
                <w:szCs w:val="24"/>
                <w:lang w:val="en-US" w:eastAsia="en-US" w:bidi="ar-SA"/>
              </w:rPr>
              <w:t>Attorney Examiners:</w:t>
            </w:r>
          </w:p>
          <w:p w:rsidR="007C6C5A" w:rsidRPr="00D32269" w:rsidP="00C72933" w14:paraId="10FD7B66" w14:textId="77777777">
            <w:pPr>
              <w:pStyle w:val="BodyText"/>
              <w:jc w:val="both"/>
              <w:rPr>
                <w:color w:val="0000FF"/>
                <w:sz w:val="24"/>
                <w:szCs w:val="24"/>
                <w:lang w:val="en-US" w:eastAsia="en-US" w:bidi="ar-SA"/>
              </w:rPr>
            </w:pPr>
            <w:hyperlink r:id="rId28" w:history="1">
              <w:r w:rsidRPr="00D32269">
                <w:rPr>
                  <w:rStyle w:val="Hyperlink"/>
                  <w:color w:val="0000FF"/>
                  <w:sz w:val="24"/>
                  <w:szCs w:val="24"/>
                  <w:u w:val="single"/>
                  <w:lang w:val="en-US" w:eastAsia="en-US" w:bidi="ar-SA"/>
                </w:rPr>
                <w:t>Megan.addison@puc.state.oh.us</w:t>
              </w:r>
            </w:hyperlink>
          </w:p>
          <w:p w:rsidR="007C6C5A" w:rsidRPr="00D32269" w:rsidP="00C72933" w14:paraId="6773AC6D" w14:textId="77777777">
            <w:pPr>
              <w:pStyle w:val="BodyText"/>
              <w:jc w:val="both"/>
              <w:rPr>
                <w:color w:val="0000FF"/>
                <w:sz w:val="24"/>
                <w:szCs w:val="24"/>
                <w:lang w:val="en-US" w:eastAsia="en-US" w:bidi="ar-SA"/>
              </w:rPr>
            </w:pPr>
            <w:hyperlink r:id="rId29" w:history="1">
              <w:r w:rsidRPr="00D32269">
                <w:rPr>
                  <w:rStyle w:val="Hyperlink"/>
                  <w:color w:val="0000FF"/>
                  <w:sz w:val="24"/>
                  <w:szCs w:val="24"/>
                  <w:u w:val="single"/>
                  <w:lang w:val="en-US" w:eastAsia="en-US" w:bidi="ar-SA"/>
                </w:rPr>
                <w:t>Gregory.price@puc.state.oh.us</w:t>
              </w:r>
            </w:hyperlink>
          </w:p>
          <w:p w:rsidR="007C6C5A" w:rsidRPr="00D32269" w:rsidP="00C72933" w14:paraId="5BAAD086" w14:textId="77777777">
            <w:pPr>
              <w:autoSpaceDE w:val="0"/>
              <w:autoSpaceDN w:val="0"/>
              <w:adjustRightInd w:val="0"/>
              <w:rPr>
                <w:rFonts w:eastAsiaTheme="minorHAnsi"/>
                <w:color w:val="0000FF"/>
                <w:sz w:val="24"/>
                <w:szCs w:val="24"/>
                <w:lang w:val="en-US" w:eastAsia="en-US" w:bidi="ar-SA"/>
              </w:rPr>
            </w:pPr>
          </w:p>
          <w:p w:rsidR="007C6C5A" w:rsidRPr="00D32269" w:rsidP="00C72933" w14:paraId="430E9958" w14:textId="77777777">
            <w:pPr>
              <w:autoSpaceDE w:val="0"/>
              <w:autoSpaceDN w:val="0"/>
              <w:adjustRightInd w:val="0"/>
              <w:rPr>
                <w:rFonts w:eastAsiaTheme="minorHAnsi"/>
                <w:color w:val="0000FF"/>
                <w:sz w:val="24"/>
                <w:szCs w:val="24"/>
                <w:lang w:val="en-US" w:eastAsia="en-US" w:bidi="ar-SA"/>
              </w:rPr>
            </w:pPr>
          </w:p>
          <w:p w:rsidR="007C6C5A" w:rsidRPr="00D32269" w:rsidP="00C72933" w14:paraId="221D97B1" w14:textId="77777777">
            <w:pPr>
              <w:autoSpaceDE w:val="0"/>
              <w:autoSpaceDN w:val="0"/>
              <w:adjustRightInd w:val="0"/>
              <w:rPr>
                <w:rFonts w:eastAsiaTheme="minorHAnsi"/>
                <w:sz w:val="24"/>
                <w:szCs w:val="24"/>
                <w:lang w:val="en-US" w:eastAsia="en-US" w:bidi="ar-SA"/>
              </w:rPr>
            </w:pPr>
          </w:p>
          <w:p w:rsidR="007C6C5A" w:rsidRPr="00D32269" w:rsidP="00C72933" w14:paraId="64512928" w14:textId="77777777">
            <w:pPr>
              <w:autoSpaceDE w:val="0"/>
              <w:autoSpaceDN w:val="0"/>
              <w:adjustRightInd w:val="0"/>
              <w:rPr>
                <w:rFonts w:eastAsiaTheme="minorHAnsi"/>
                <w:sz w:val="24"/>
                <w:szCs w:val="24"/>
                <w:lang w:val="en-US" w:eastAsia="en-US" w:bidi="ar-SA"/>
              </w:rPr>
            </w:pPr>
          </w:p>
          <w:p w:rsidR="007C6C5A" w:rsidRPr="00D32269" w:rsidP="00C72933" w14:paraId="18A4C4CA" w14:textId="77777777">
            <w:pPr>
              <w:autoSpaceDE w:val="0"/>
              <w:autoSpaceDN w:val="0"/>
              <w:adjustRightInd w:val="0"/>
              <w:rPr>
                <w:sz w:val="24"/>
                <w:szCs w:val="24"/>
                <w:lang w:val="en-US" w:eastAsia="en-US" w:bidi="ar-SA"/>
              </w:rPr>
            </w:pPr>
          </w:p>
          <w:p w:rsidR="007C6C5A" w:rsidRPr="00D32269" w:rsidP="00C72933" w14:paraId="041E4A62" w14:textId="77777777">
            <w:pPr>
              <w:pStyle w:val="BodyText"/>
              <w:jc w:val="both"/>
              <w:rPr>
                <w:bCs/>
                <w:i/>
                <w:sz w:val="24"/>
                <w:szCs w:val="24"/>
                <w:lang w:val="en-US" w:eastAsia="en-US" w:bidi="ar-SA"/>
              </w:rPr>
            </w:pPr>
          </w:p>
        </w:tc>
        <w:tc>
          <w:tcPr>
            <w:tcW w:w="4788" w:type="dxa"/>
          </w:tcPr>
          <w:p w:rsidR="007C6C5A" w:rsidRPr="00D32269" w:rsidP="00C72933" w14:paraId="191852A4" w14:textId="77777777">
            <w:pPr>
              <w:pStyle w:val="CommentText"/>
              <w:ind w:left="296"/>
              <w:rPr>
                <w:sz w:val="24"/>
                <w:szCs w:val="24"/>
                <w:lang w:val="en-US" w:eastAsia="en-US" w:bidi="ar-SA"/>
              </w:rPr>
            </w:pPr>
            <w:hyperlink r:id="rId30" w:history="1">
              <w:r w:rsidRPr="00D32269">
                <w:rPr>
                  <w:rStyle w:val="Hyperlink"/>
                  <w:color w:val="0000FF"/>
                  <w:sz w:val="24"/>
                  <w:szCs w:val="24"/>
                  <w:u w:val="single"/>
                  <w:lang w:val="en-US" w:eastAsia="en-US" w:bidi="ar-SA"/>
                </w:rPr>
                <w:t>cwatchorn@firstenergycorp.com</w:t>
              </w:r>
            </w:hyperlink>
          </w:p>
          <w:p w:rsidR="007C6C5A" w:rsidRPr="00D32269" w:rsidP="00C72933" w14:paraId="55272A87" w14:textId="77777777">
            <w:pPr>
              <w:pStyle w:val="CommentText"/>
              <w:ind w:left="296"/>
              <w:rPr>
                <w:sz w:val="24"/>
                <w:szCs w:val="24"/>
                <w:lang w:val="en-US" w:eastAsia="en-US" w:bidi="ar-SA"/>
              </w:rPr>
            </w:pPr>
            <w:hyperlink r:id="rId31" w:history="1">
              <w:r w:rsidRPr="00D32269">
                <w:rPr>
                  <w:rStyle w:val="Hyperlink"/>
                  <w:color w:val="0000FF"/>
                  <w:sz w:val="24"/>
                  <w:szCs w:val="24"/>
                  <w:u w:val="single"/>
                  <w:lang w:val="en-US" w:eastAsia="en-US" w:bidi="ar-SA"/>
                </w:rPr>
                <w:t>bknipe@firstenergycorp.com</w:t>
              </w:r>
            </w:hyperlink>
          </w:p>
          <w:p w:rsidR="007C6C5A" w:rsidRPr="00D32269" w:rsidP="00C72933" w14:paraId="5A976BC9" w14:textId="77777777">
            <w:pPr>
              <w:pStyle w:val="CommentText"/>
              <w:ind w:left="296"/>
              <w:rPr>
                <w:sz w:val="24"/>
                <w:szCs w:val="24"/>
                <w:lang w:val="en-US" w:eastAsia="en-US" w:bidi="ar-SA"/>
              </w:rPr>
            </w:pPr>
            <w:hyperlink r:id="rId32" w:history="1">
              <w:r w:rsidRPr="00D32269">
                <w:rPr>
                  <w:rStyle w:val="Hyperlink"/>
                  <w:color w:val="0000FF"/>
                  <w:sz w:val="24"/>
                  <w:szCs w:val="24"/>
                  <w:u w:val="single"/>
                  <w:lang w:val="en-US" w:eastAsia="en-US" w:bidi="ar-SA"/>
                </w:rPr>
                <w:t>mkeaney@calfee.com</w:t>
              </w:r>
            </w:hyperlink>
          </w:p>
          <w:p w:rsidR="007C6C5A" w:rsidRPr="00D32269" w:rsidP="00C72933" w14:paraId="7E0EE9B0" w14:textId="77777777">
            <w:pPr>
              <w:pStyle w:val="CommentText"/>
              <w:ind w:left="296"/>
              <w:rPr>
                <w:sz w:val="24"/>
                <w:szCs w:val="24"/>
                <w:lang w:val="en-US" w:eastAsia="en-US" w:bidi="ar-SA"/>
              </w:rPr>
            </w:pPr>
            <w:hyperlink r:id="rId33" w:history="1">
              <w:r w:rsidRPr="00D32269">
                <w:rPr>
                  <w:rStyle w:val="Hyperlink"/>
                  <w:color w:val="0000FF"/>
                  <w:sz w:val="24"/>
                  <w:szCs w:val="24"/>
                  <w:u w:val="single"/>
                  <w:lang w:val="en-US" w:eastAsia="en-US" w:bidi="ar-SA"/>
                </w:rPr>
                <w:t>mpritchard@mwncmh.com</w:t>
              </w:r>
            </w:hyperlink>
          </w:p>
          <w:p w:rsidR="007C6C5A" w:rsidRPr="00D32269" w:rsidP="00C72933" w14:paraId="1D2805D1" w14:textId="77777777">
            <w:pPr>
              <w:pStyle w:val="BodyText"/>
              <w:ind w:left="296"/>
              <w:jc w:val="both"/>
              <w:rPr>
                <w:sz w:val="24"/>
                <w:szCs w:val="24"/>
                <w:lang w:val="en-US" w:eastAsia="en-US" w:bidi="ar-SA"/>
              </w:rPr>
            </w:pPr>
            <w:hyperlink r:id="rId34" w:history="1">
              <w:r w:rsidRPr="00D32269">
                <w:rPr>
                  <w:rStyle w:val="Hyperlink"/>
                  <w:iCs/>
                  <w:color w:val="0000FF"/>
                  <w:sz w:val="24"/>
                  <w:szCs w:val="24"/>
                  <w:u w:val="single"/>
                  <w:lang w:val="en-US" w:eastAsia="en-US" w:bidi="ar-SA"/>
                </w:rPr>
                <w:t>rdove@keglerbrown.com</w:t>
              </w:r>
            </w:hyperlink>
          </w:p>
          <w:p w:rsidR="007C6C5A" w:rsidRPr="00D32269" w:rsidP="00C72933" w14:paraId="2373E697" w14:textId="77777777">
            <w:pPr>
              <w:pStyle w:val="BodyText"/>
              <w:ind w:left="296"/>
              <w:jc w:val="both"/>
              <w:rPr>
                <w:rFonts w:eastAsiaTheme="minorHAnsi"/>
                <w:i/>
                <w:sz w:val="24"/>
                <w:szCs w:val="24"/>
                <w:lang w:val="en-US" w:eastAsia="en-US" w:bidi="ar-SA"/>
              </w:rPr>
            </w:pPr>
            <w:hyperlink r:id="rId35" w:history="1">
              <w:r w:rsidRPr="00D32269">
                <w:rPr>
                  <w:rStyle w:val="Hyperlink"/>
                  <w:rFonts w:eastAsiaTheme="minorHAnsi"/>
                  <w:iCs/>
                  <w:color w:val="0000FF"/>
                  <w:sz w:val="24"/>
                  <w:szCs w:val="24"/>
                  <w:u w:val="single"/>
                  <w:lang w:val="en-US" w:eastAsia="en-US" w:bidi="ar-SA"/>
                </w:rPr>
                <w:t>mdortch@kravitzllc.com</w:t>
              </w:r>
            </w:hyperlink>
          </w:p>
          <w:p w:rsidR="007C6C5A" w:rsidRPr="00D32269" w:rsidP="00C72933" w14:paraId="3061E328" w14:textId="77777777">
            <w:pPr>
              <w:autoSpaceDE w:val="0"/>
              <w:autoSpaceDN w:val="0"/>
              <w:adjustRightInd w:val="0"/>
              <w:ind w:left="296"/>
              <w:rPr>
                <w:rFonts w:eastAsiaTheme="minorHAnsi"/>
                <w:color w:val="0000FF"/>
                <w:sz w:val="24"/>
                <w:szCs w:val="24"/>
                <w:lang w:val="en-US" w:eastAsia="en-US" w:bidi="ar-SA"/>
              </w:rPr>
            </w:pPr>
            <w:hyperlink r:id="rId36" w:history="1">
              <w:r w:rsidRPr="00D32269">
                <w:rPr>
                  <w:rStyle w:val="Hyperlink"/>
                  <w:rFonts w:eastAsiaTheme="minorHAnsi"/>
                  <w:color w:val="0000FF"/>
                  <w:sz w:val="24"/>
                  <w:szCs w:val="24"/>
                  <w:u w:val="single"/>
                  <w:lang w:val="en-US" w:eastAsia="en-US" w:bidi="ar-SA"/>
                </w:rPr>
                <w:t>dparram@bricker.com</w:t>
              </w:r>
            </w:hyperlink>
          </w:p>
          <w:p w:rsidR="007C6C5A" w:rsidRPr="00D32269" w:rsidP="00C72933" w14:paraId="36544721" w14:textId="77777777">
            <w:pPr>
              <w:pStyle w:val="CommentText"/>
              <w:ind w:left="296"/>
              <w:rPr>
                <w:rFonts w:eastAsiaTheme="minorHAnsi"/>
                <w:sz w:val="24"/>
                <w:szCs w:val="24"/>
                <w:lang w:val="en-US" w:eastAsia="en-US" w:bidi="ar-SA"/>
              </w:rPr>
            </w:pPr>
            <w:hyperlink r:id="rId37" w:history="1">
              <w:r w:rsidRPr="00D32269">
                <w:rPr>
                  <w:rStyle w:val="Hyperlink"/>
                  <w:rFonts w:eastAsiaTheme="minorHAnsi"/>
                  <w:color w:val="0000FF"/>
                  <w:sz w:val="24"/>
                  <w:szCs w:val="24"/>
                  <w:u w:val="single"/>
                  <w:lang w:val="en-US" w:eastAsia="en-US" w:bidi="ar-SA"/>
                </w:rPr>
                <w:t>joliker@igsenergy.com</w:t>
              </w:r>
            </w:hyperlink>
          </w:p>
          <w:p w:rsidR="007C6C5A" w:rsidRPr="00D32269" w:rsidP="00C72933" w14:paraId="5A398F68" w14:textId="77777777">
            <w:pPr>
              <w:pStyle w:val="CommentText"/>
              <w:ind w:left="296"/>
              <w:rPr>
                <w:rFonts w:eastAsiaTheme="minorHAnsi"/>
                <w:sz w:val="24"/>
                <w:szCs w:val="24"/>
                <w:lang w:val="en-US" w:eastAsia="en-US" w:bidi="ar-SA"/>
              </w:rPr>
            </w:pPr>
            <w:hyperlink r:id="rId38" w:history="1">
              <w:r w:rsidRPr="00D32269">
                <w:rPr>
                  <w:rStyle w:val="Hyperlink"/>
                  <w:rFonts w:eastAsiaTheme="minorHAnsi"/>
                  <w:color w:val="0000FF"/>
                  <w:sz w:val="24"/>
                  <w:szCs w:val="24"/>
                  <w:u w:val="single"/>
                  <w:lang w:val="en-US" w:eastAsia="en-US" w:bidi="ar-SA"/>
                </w:rPr>
                <w:t>mnugent@igsenergy.com</w:t>
              </w:r>
            </w:hyperlink>
          </w:p>
          <w:p w:rsidR="007C6C5A" w:rsidRPr="00D32269" w:rsidP="00C72933" w14:paraId="6D3F817D" w14:textId="77777777">
            <w:pPr>
              <w:pStyle w:val="CommentText"/>
              <w:ind w:left="296"/>
              <w:rPr>
                <w:rFonts w:eastAsiaTheme="minorHAnsi"/>
                <w:sz w:val="24"/>
                <w:szCs w:val="24"/>
                <w:lang w:val="en-US" w:eastAsia="en-US" w:bidi="ar-SA"/>
              </w:rPr>
            </w:pPr>
            <w:hyperlink r:id="rId39" w:history="1">
              <w:r w:rsidRPr="00D32269">
                <w:rPr>
                  <w:rStyle w:val="Hyperlink"/>
                  <w:rFonts w:eastAsiaTheme="minorHAnsi"/>
                  <w:color w:val="0000FF"/>
                  <w:sz w:val="24"/>
                  <w:szCs w:val="24"/>
                  <w:u w:val="single"/>
                  <w:lang w:val="en-US" w:eastAsia="en-US" w:bidi="ar-SA"/>
                </w:rPr>
                <w:t>Bethany.Allen@igs.com</w:t>
              </w:r>
            </w:hyperlink>
          </w:p>
          <w:p w:rsidR="007C6C5A" w:rsidRPr="00D32269" w:rsidP="00C72933" w14:paraId="38578A27" w14:textId="77777777">
            <w:pPr>
              <w:autoSpaceDE w:val="0"/>
              <w:autoSpaceDN w:val="0"/>
              <w:adjustRightInd w:val="0"/>
              <w:ind w:left="296"/>
              <w:rPr>
                <w:rStyle w:val="Hyperlink"/>
                <w:rFonts w:eastAsiaTheme="minorHAnsi"/>
                <w:color w:val="0000FF"/>
                <w:sz w:val="24"/>
                <w:szCs w:val="24"/>
                <w:u w:val="single"/>
                <w:lang w:val="en-US" w:eastAsia="en-US" w:bidi="ar-SA"/>
              </w:rPr>
            </w:pPr>
            <w:hyperlink r:id="rId40" w:history="1">
              <w:r w:rsidRPr="00D32269">
                <w:rPr>
                  <w:rStyle w:val="Hyperlink"/>
                  <w:rFonts w:eastAsiaTheme="minorHAnsi"/>
                  <w:color w:val="0000FF"/>
                  <w:sz w:val="24"/>
                  <w:szCs w:val="24"/>
                  <w:u w:val="single"/>
                  <w:lang w:val="en-US" w:eastAsia="en-US" w:bidi="ar-SA"/>
                </w:rPr>
                <w:t>whitt@whitt-sturtevant.com</w:t>
              </w:r>
            </w:hyperlink>
          </w:p>
          <w:p w:rsidR="007C6C5A" w:rsidRPr="00D32269" w:rsidP="00C72933" w14:paraId="115BC9D2" w14:textId="77777777">
            <w:pPr>
              <w:autoSpaceDE w:val="0"/>
              <w:autoSpaceDN w:val="0"/>
              <w:adjustRightInd w:val="0"/>
              <w:ind w:left="296"/>
              <w:rPr>
                <w:rFonts w:eastAsiaTheme="minorHAnsi"/>
                <w:sz w:val="24"/>
                <w:szCs w:val="24"/>
                <w:lang w:val="en-US" w:eastAsia="en-US" w:bidi="ar-SA"/>
              </w:rPr>
            </w:pPr>
            <w:hyperlink r:id="rId41" w:history="1">
              <w:r w:rsidRPr="00D32269">
                <w:rPr>
                  <w:rStyle w:val="Hyperlink"/>
                  <w:rFonts w:eastAsiaTheme="minorHAnsi"/>
                  <w:color w:val="0000FF"/>
                  <w:sz w:val="24"/>
                  <w:szCs w:val="24"/>
                  <w:u w:val="single"/>
                  <w:lang w:val="en-US" w:eastAsia="en-US" w:bidi="ar-SA"/>
                </w:rPr>
                <w:t>kennedy@whitt-sturtevant.com</w:t>
              </w:r>
            </w:hyperlink>
          </w:p>
          <w:p w:rsidR="007C6C5A" w:rsidRPr="00D32269" w:rsidP="00C72933" w14:paraId="095A33FE" w14:textId="77777777">
            <w:pPr>
              <w:autoSpaceDE w:val="0"/>
              <w:autoSpaceDN w:val="0"/>
              <w:adjustRightInd w:val="0"/>
              <w:ind w:left="296"/>
              <w:rPr>
                <w:rFonts w:eastAsiaTheme="minorHAnsi"/>
                <w:sz w:val="24"/>
                <w:szCs w:val="24"/>
                <w:lang w:val="en-US" w:eastAsia="en-US" w:bidi="ar-SA"/>
              </w:rPr>
            </w:pPr>
            <w:hyperlink r:id="rId42" w:history="1">
              <w:r w:rsidRPr="00D32269">
                <w:rPr>
                  <w:rStyle w:val="Hyperlink"/>
                  <w:rFonts w:eastAsiaTheme="minorHAnsi"/>
                  <w:color w:val="0000FF"/>
                  <w:sz w:val="24"/>
                  <w:szCs w:val="24"/>
                  <w:u w:val="single"/>
                  <w:lang w:val="en-US" w:eastAsia="en-US" w:bidi="ar-SA"/>
                </w:rPr>
                <w:t>dproano@bakerlaw.com</w:t>
              </w:r>
            </w:hyperlink>
          </w:p>
          <w:p w:rsidR="007C6C5A" w:rsidRPr="00D32269" w:rsidP="00C72933" w14:paraId="64893B50" w14:textId="77777777">
            <w:pPr>
              <w:autoSpaceDE w:val="0"/>
              <w:autoSpaceDN w:val="0"/>
              <w:adjustRightInd w:val="0"/>
              <w:ind w:left="296"/>
              <w:rPr>
                <w:sz w:val="24"/>
                <w:szCs w:val="24"/>
                <w:lang w:val="en-US" w:eastAsia="en-US" w:bidi="ar-SA"/>
              </w:rPr>
            </w:pPr>
            <w:hyperlink r:id="rId43" w:history="1">
              <w:r w:rsidRPr="00D32269">
                <w:rPr>
                  <w:rStyle w:val="Hyperlink"/>
                  <w:color w:val="0000FF"/>
                  <w:sz w:val="24"/>
                  <w:szCs w:val="24"/>
                  <w:u w:val="single"/>
                  <w:lang w:val="en-US" w:eastAsia="en-US" w:bidi="ar-SA"/>
                </w:rPr>
                <w:t>ahaque@bakerlaw.com</w:t>
              </w:r>
            </w:hyperlink>
          </w:p>
          <w:p w:rsidR="007C6C5A" w:rsidRPr="00D32269" w:rsidP="00C72933" w14:paraId="7FB5540F" w14:textId="77777777">
            <w:pPr>
              <w:autoSpaceDE w:val="0"/>
              <w:autoSpaceDN w:val="0"/>
              <w:adjustRightInd w:val="0"/>
              <w:ind w:left="296"/>
              <w:rPr>
                <w:sz w:val="24"/>
                <w:szCs w:val="24"/>
                <w:lang w:val="en-US" w:eastAsia="en-US" w:bidi="ar-SA"/>
              </w:rPr>
            </w:pPr>
            <w:hyperlink r:id="rId44" w:history="1">
              <w:r w:rsidRPr="00D32269">
                <w:rPr>
                  <w:rStyle w:val="Hyperlink"/>
                  <w:color w:val="0000FF"/>
                  <w:sz w:val="24"/>
                  <w:szCs w:val="24"/>
                  <w:u w:val="single"/>
                  <w:lang w:val="en-US" w:eastAsia="en-US" w:bidi="ar-SA"/>
                </w:rPr>
                <w:t>eprouty@bakerlaw.com</w:t>
              </w:r>
            </w:hyperlink>
          </w:p>
          <w:p w:rsidR="007C6C5A" w:rsidRPr="00D32269" w:rsidP="00C72933" w14:paraId="6A66C825" w14:textId="77777777">
            <w:pPr>
              <w:autoSpaceDE w:val="0"/>
              <w:autoSpaceDN w:val="0"/>
              <w:adjustRightInd w:val="0"/>
              <w:ind w:left="296"/>
              <w:rPr>
                <w:rFonts w:eastAsiaTheme="minorHAnsi"/>
                <w:sz w:val="24"/>
                <w:szCs w:val="24"/>
                <w:lang w:val="en-US" w:eastAsia="en-US" w:bidi="ar-SA"/>
              </w:rPr>
            </w:pPr>
          </w:p>
          <w:p w:rsidR="007C6C5A" w:rsidRPr="00D32269" w:rsidP="00C72933" w14:paraId="041927A9" w14:textId="77777777">
            <w:pPr>
              <w:pStyle w:val="CommentText"/>
              <w:ind w:left="296"/>
              <w:rPr>
                <w:rFonts w:eastAsiaTheme="minorHAnsi"/>
                <w:color w:val="0000FF"/>
                <w:sz w:val="24"/>
                <w:szCs w:val="24"/>
                <w:lang w:val="en-US" w:eastAsia="en-US" w:bidi="ar-SA"/>
              </w:rPr>
            </w:pPr>
          </w:p>
          <w:p w:rsidR="007C6C5A" w:rsidRPr="00D32269" w:rsidP="00C72933" w14:paraId="5413274E" w14:textId="77777777">
            <w:pPr>
              <w:pStyle w:val="CommentText"/>
              <w:ind w:left="296"/>
              <w:rPr>
                <w:rFonts w:eastAsiaTheme="minorHAnsi"/>
                <w:color w:val="0000FF"/>
                <w:sz w:val="24"/>
                <w:szCs w:val="24"/>
                <w:lang w:val="en-US" w:eastAsia="en-US" w:bidi="ar-SA"/>
              </w:rPr>
            </w:pPr>
          </w:p>
          <w:p w:rsidR="007C6C5A" w:rsidRPr="00D32269" w:rsidP="00C72933" w14:paraId="7DD7BBEA" w14:textId="77777777">
            <w:pPr>
              <w:pStyle w:val="CommentText"/>
              <w:ind w:left="296"/>
              <w:rPr>
                <w:rFonts w:eastAsiaTheme="minorHAnsi"/>
                <w:sz w:val="24"/>
                <w:szCs w:val="24"/>
                <w:lang w:val="en-US" w:eastAsia="en-US" w:bidi="ar-SA"/>
              </w:rPr>
            </w:pPr>
          </w:p>
          <w:p w:rsidR="007C6C5A" w:rsidRPr="00D32269" w:rsidP="00C72933" w14:paraId="58510561" w14:textId="77777777">
            <w:pPr>
              <w:pStyle w:val="CommentText"/>
              <w:ind w:left="296"/>
              <w:rPr>
                <w:rFonts w:eastAsiaTheme="minorHAnsi"/>
                <w:sz w:val="24"/>
                <w:szCs w:val="24"/>
                <w:lang w:val="en-US" w:eastAsia="en-US" w:bidi="ar-SA"/>
              </w:rPr>
            </w:pPr>
          </w:p>
          <w:p w:rsidR="007C6C5A" w:rsidRPr="00D32269" w:rsidP="00C72933" w14:paraId="3748405E" w14:textId="77777777">
            <w:pPr>
              <w:pStyle w:val="CommentText"/>
              <w:ind w:left="972"/>
              <w:rPr>
                <w:rFonts w:eastAsiaTheme="minorHAnsi"/>
                <w:sz w:val="24"/>
                <w:szCs w:val="24"/>
                <w:lang w:val="en-US" w:eastAsia="en-US" w:bidi="ar-SA"/>
              </w:rPr>
            </w:pPr>
          </w:p>
          <w:p w:rsidR="007C6C5A" w:rsidRPr="00D32269" w:rsidP="00C72933" w14:paraId="69DA1FBA" w14:textId="77777777">
            <w:pPr>
              <w:pStyle w:val="CommentText"/>
              <w:ind w:left="972"/>
              <w:rPr>
                <w:rFonts w:eastAsiaTheme="minorHAnsi"/>
                <w:sz w:val="24"/>
                <w:szCs w:val="24"/>
                <w:lang w:val="en-US" w:eastAsia="en-US" w:bidi="ar-SA"/>
              </w:rPr>
            </w:pPr>
          </w:p>
          <w:p w:rsidR="007C6C5A" w:rsidRPr="00D32269" w:rsidP="00C72933" w14:paraId="70000AA5" w14:textId="77777777">
            <w:pPr>
              <w:pStyle w:val="CommentText"/>
              <w:ind w:left="972"/>
              <w:rPr>
                <w:b/>
                <w:sz w:val="24"/>
                <w:szCs w:val="24"/>
                <w:u w:val="single"/>
                <w:lang w:val="en-US" w:eastAsia="en-US" w:bidi="ar-SA"/>
              </w:rPr>
            </w:pPr>
          </w:p>
        </w:tc>
      </w:tr>
    </w:tbl>
    <w:p w:rsidR="00714C1E" w:rsidRPr="00D32269" w14:paraId="658FF2F2" w14:textId="77777777">
      <w:pPr>
        <w:pStyle w:val="CommentText"/>
        <w:jc w:val="center"/>
        <w:rPr>
          <w:b/>
          <w:u w:val="single"/>
        </w:rPr>
      </w:pPr>
    </w:p>
    <w:p w:rsidR="00714C1E" w:rsidRPr="00D32269" w14:paraId="5E6827F9" w14:textId="77777777">
      <w:pPr>
        <w:pStyle w:val="BodyText"/>
        <w:rPr>
          <w:b/>
          <w:bCs/>
          <w:szCs w:val="24"/>
        </w:rPr>
      </w:pPr>
    </w:p>
    <w:p w:rsidR="00714C1E" w:rsidRPr="00D32269" w14:paraId="7EF83E0F" w14:textId="77777777">
      <w:pPr>
        <w:pStyle w:val="BodyText"/>
        <w:rPr>
          <w:b/>
          <w:bCs/>
          <w:szCs w:val="24"/>
        </w:rPr>
      </w:pPr>
    </w:p>
    <w:sectPr w:rsidSect="0072695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8D6" w14:paraId="73D8E7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1996633"/>
      <w:docPartObj>
        <w:docPartGallery w:val="Page Numbers (Bottom of Page)"/>
        <w:docPartUnique/>
      </w:docPartObj>
    </w:sdtPr>
    <w:sdtEndPr>
      <w:rPr>
        <w:noProof/>
        <w:sz w:val="24"/>
        <w:szCs w:val="24"/>
      </w:rPr>
    </w:sdtEndPr>
    <w:sdtContent>
      <w:p w:rsidR="00C72933" w:rsidRPr="00C013CC" w14:paraId="5108195F" w14:textId="7015049E">
        <w:pPr>
          <w:pStyle w:val="Footer"/>
          <w:jc w:val="center"/>
          <w:rPr>
            <w:sz w:val="24"/>
            <w:szCs w:val="24"/>
          </w:rPr>
        </w:pPr>
        <w:r w:rsidRPr="00C013CC">
          <w:rPr>
            <w:sz w:val="24"/>
            <w:szCs w:val="24"/>
          </w:rPr>
          <w:fldChar w:fldCharType="begin"/>
        </w:r>
        <w:r w:rsidRPr="00C013CC">
          <w:rPr>
            <w:sz w:val="24"/>
            <w:szCs w:val="24"/>
          </w:rPr>
          <w:instrText xml:space="preserve"> PAGE   \* MERGEFORMAT </w:instrText>
        </w:r>
        <w:r w:rsidRPr="00C013CC">
          <w:rPr>
            <w:sz w:val="24"/>
            <w:szCs w:val="24"/>
          </w:rPr>
          <w:fldChar w:fldCharType="separate"/>
        </w:r>
        <w:r w:rsidRPr="00C013CC">
          <w:rPr>
            <w:noProof/>
            <w:sz w:val="24"/>
            <w:szCs w:val="24"/>
          </w:rPr>
          <w:t>2</w:t>
        </w:r>
        <w:r w:rsidRPr="00C013CC">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8D6" w14:paraId="4FA87AD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099171"/>
      <w:docPartObj>
        <w:docPartGallery w:val="Page Numbers (Bottom of Page)"/>
        <w:docPartUnique/>
      </w:docPartObj>
    </w:sdtPr>
    <w:sdtEndPr>
      <w:rPr>
        <w:noProof/>
        <w:sz w:val="24"/>
        <w:szCs w:val="24"/>
      </w:rPr>
    </w:sdtEndPr>
    <w:sdtContent>
      <w:p w:rsidR="00C72933" w:rsidRPr="00057887" w14:paraId="233816F8" w14:textId="1CF1C561">
        <w:pPr>
          <w:pStyle w:val="Footer"/>
          <w:jc w:val="center"/>
          <w:rPr>
            <w:sz w:val="24"/>
            <w:szCs w:val="24"/>
          </w:rPr>
        </w:pPr>
        <w:r w:rsidRPr="00057887">
          <w:rPr>
            <w:sz w:val="24"/>
            <w:szCs w:val="24"/>
          </w:rPr>
          <w:fldChar w:fldCharType="begin"/>
        </w:r>
        <w:r w:rsidRPr="00057887">
          <w:rPr>
            <w:sz w:val="24"/>
            <w:szCs w:val="24"/>
          </w:rPr>
          <w:instrText xml:space="preserve"> PAGE   \* MERGEFORMAT </w:instrText>
        </w:r>
        <w:r w:rsidRPr="00057887">
          <w:rPr>
            <w:sz w:val="24"/>
            <w:szCs w:val="24"/>
          </w:rPr>
          <w:fldChar w:fldCharType="separate"/>
        </w:r>
        <w:r w:rsidRPr="00057887">
          <w:rPr>
            <w:noProof/>
            <w:sz w:val="24"/>
            <w:szCs w:val="24"/>
          </w:rPr>
          <w:t>2</w:t>
        </w:r>
        <w:r w:rsidRPr="0005788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05B" w14:paraId="1368C87B" w14:textId="77777777">
      <w:r>
        <w:separator/>
      </w:r>
    </w:p>
  </w:footnote>
  <w:footnote w:type="continuationSeparator" w:id="1">
    <w:p w:rsidR="004E405B" w14:paraId="69018E89" w14:textId="77777777">
      <w:r>
        <w:continuationSeparator/>
      </w:r>
    </w:p>
  </w:footnote>
  <w:footnote w:id="2">
    <w:p w:rsidR="00C72933" w:rsidP="00AB150B" w14:paraId="3D5C7DFB" w14:textId="7B52A9B8">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Stipulation and Recommendation at Attachment B (Nov. 9, 2018). </w:t>
      </w:r>
    </w:p>
  </w:footnote>
  <w:footnote w:id="3">
    <w:p w:rsidR="00C72933" w:rsidP="00AB150B" w14:paraId="4E78967F" w14:textId="45C5D4EF">
      <w:pPr>
        <w:pStyle w:val="FootnoteText"/>
        <w:spacing w:after="120"/>
      </w:pPr>
      <w:r>
        <w:rPr>
          <w:rStyle w:val="FootnoteReference"/>
        </w:rPr>
        <w:footnoteRef/>
      </w:r>
      <w:r>
        <w:t xml:space="preserve"> There have been very limited disallowances recommended by the PUCO Staff for FirstEnergy’s Grid Mod expenses and investment</w:t>
      </w:r>
      <w:r w:rsidRPr="00931E01">
        <w:t xml:space="preserve">. </w:t>
      </w:r>
      <w:r w:rsidRPr="007B3247">
        <w:rPr>
          <w:szCs w:val="24"/>
        </w:rPr>
        <w:t xml:space="preserve">From 2019 to 2021, approximately </w:t>
      </w:r>
      <w:r w:rsidRPr="00514C2E">
        <w:rPr>
          <w:szCs w:val="24"/>
        </w:rPr>
        <w:t>$</w:t>
      </w:r>
      <w:r>
        <w:rPr>
          <w:szCs w:val="24"/>
        </w:rPr>
        <w:t>5 million in total has been recommended for disallowance</w:t>
      </w:r>
      <w:r w:rsidR="00097DF8">
        <w:rPr>
          <w:szCs w:val="24"/>
        </w:rPr>
        <w:t xml:space="preserve"> </w:t>
      </w:r>
      <w:r>
        <w:rPr>
          <w:szCs w:val="24"/>
        </w:rPr>
        <w:t>in FirstEnergy’s Grid Mod 1 annual audit cases, which are all awaiting a PUCO decision.</w:t>
      </w:r>
      <w:r w:rsidR="00D32269">
        <w:rPr>
          <w:szCs w:val="24"/>
        </w:rPr>
        <w:t xml:space="preserve"> </w:t>
      </w:r>
      <w:r w:rsidRPr="00514C2E">
        <w:rPr>
          <w:i/>
          <w:iCs/>
          <w:szCs w:val="24"/>
        </w:rPr>
        <w:t>See</w:t>
      </w:r>
      <w:r>
        <w:rPr>
          <w:szCs w:val="24"/>
        </w:rPr>
        <w:t xml:space="preserve"> Case Nos. 18-1647-EL-UNC, 21-1903-EL-UNC, 20-1672-El-UNC.</w:t>
      </w:r>
      <w:r w:rsidR="00D32269">
        <w:rPr>
          <w:szCs w:val="24"/>
        </w:rPr>
        <w:t xml:space="preserve"> </w:t>
      </w:r>
    </w:p>
  </w:footnote>
  <w:footnote w:id="4">
    <w:p w:rsidR="00C72933" w:rsidP="00AB150B" w14:paraId="375B15C1" w14:textId="1F232414">
      <w:pPr>
        <w:pStyle w:val="FootnoteText"/>
        <w:spacing w:after="120"/>
      </w:pPr>
      <w:r>
        <w:rPr>
          <w:rStyle w:val="FootnoteReference"/>
        </w:rPr>
        <w:footnoteRef/>
      </w:r>
      <w:r>
        <w:t xml:space="preserve"> NOAC Comments (Aug</w:t>
      </w:r>
      <w:r w:rsidRPr="005A2F20">
        <w:t xml:space="preserve">. 11, 2023). </w:t>
      </w:r>
      <w:r w:rsidRPr="005A2F20" w:rsidR="00A30008">
        <w:t xml:space="preserve">Note that the PUCO has approved a third </w:t>
      </w:r>
      <w:r w:rsidRPr="005A2F20">
        <w:t xml:space="preserve">stay request by the U.S. Attorney </w:t>
      </w:r>
      <w:r w:rsidRPr="005A2F20" w:rsidR="00A30008">
        <w:t>in the</w:t>
      </w:r>
      <w:r w:rsidRPr="005A2F20" w:rsidR="005A2F20">
        <w:t xml:space="preserve"> </w:t>
      </w:r>
      <w:r w:rsidRPr="005A2F20">
        <w:t xml:space="preserve">four H.B. 6 investigations. </w:t>
      </w:r>
      <w:r w:rsidRPr="005A2F20">
        <w:rPr>
          <w:i/>
          <w:iCs/>
        </w:rPr>
        <w:t>See</w:t>
      </w:r>
      <w:r w:rsidRPr="005A2F20">
        <w:t>,</w:t>
      </w:r>
      <w:r w:rsidRPr="005A2F20" w:rsidR="00A30008">
        <w:t xml:space="preserve"> </w:t>
      </w:r>
      <w:r w:rsidRPr="005A2F20" w:rsidR="00A30008">
        <w:rPr>
          <w:i/>
          <w:iCs/>
        </w:rPr>
        <w:t>e.g.</w:t>
      </w:r>
      <w:r w:rsidRPr="005A2F20" w:rsidR="00A30008">
        <w:t>,</w:t>
      </w:r>
      <w:r w:rsidRPr="005A2F20" w:rsidR="005A2F20">
        <w:t xml:space="preserve"> </w:t>
      </w:r>
      <w:r w:rsidRPr="005A2F20">
        <w:rPr>
          <w:i/>
          <w:iCs/>
        </w:rPr>
        <w:t>In the Matter of the 2020 Review of the Delivery Capital Recovery Rider of Ohio Edison Company, the Cleveland Electric Illuminating Company, and the Toledo Edison Company,</w:t>
      </w:r>
      <w:r w:rsidRPr="005A2F20">
        <w:t xml:space="preserve"> Case No. 20-</w:t>
      </w:r>
      <w:r>
        <w:t>1629-EL-RDR, Entry (Aug. 23, 2023).</w:t>
      </w:r>
    </w:p>
  </w:footnote>
  <w:footnote w:id="5">
    <w:p w:rsidR="00C72933" w:rsidP="00AB150B" w14:paraId="76C4BF06" w14:textId="685F89AC">
      <w:pPr>
        <w:pStyle w:val="FootnoteText"/>
        <w:spacing w:after="120"/>
      </w:pPr>
      <w:r>
        <w:rPr>
          <w:rStyle w:val="FootnoteReference"/>
        </w:rPr>
        <w:footnoteRef/>
      </w:r>
      <w:r>
        <w:t xml:space="preserve"> Ohio Energy Leadership Council Comments at 2 (Aug. 11, 2023). </w:t>
      </w:r>
    </w:p>
  </w:footnote>
  <w:footnote w:id="6">
    <w:p w:rsidR="00C72933" w:rsidP="00AB150B" w14:paraId="3547C25E" w14:textId="57ABA92D">
      <w:pPr>
        <w:pStyle w:val="FootnoteText"/>
        <w:spacing w:after="120"/>
      </w:pPr>
      <w:r>
        <w:rPr>
          <w:rStyle w:val="FootnoteReference"/>
        </w:rPr>
        <w:footnoteRef/>
      </w:r>
      <w:r>
        <w:t xml:space="preserve"> </w:t>
      </w:r>
      <w:r w:rsidRPr="00EC75B2">
        <w:rPr>
          <w:i/>
          <w:iCs/>
        </w:rPr>
        <w:t>United States of America v. FirstEnergy Corp</w:t>
      </w:r>
      <w:r>
        <w:t xml:space="preserve">., Case No. 1:21-cr-86, Deferred Prosecution Agreement at 17 (July 20, 2021) (emphasis added). </w:t>
      </w:r>
    </w:p>
  </w:footnote>
  <w:footnote w:id="7">
    <w:p w:rsidR="00C72933" w:rsidP="00AB150B" w14:paraId="161758B1" w14:textId="4E89DD00">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w:t>
      </w:r>
      <w:r w:rsidRPr="00514C2E">
        <w:t xml:space="preserve">Order at 31 (July 17, </w:t>
      </w:r>
      <w:r w:rsidRPr="008244C6">
        <w:t>2</w:t>
      </w:r>
      <w:r>
        <w:t xml:space="preserve">019); </w:t>
      </w:r>
      <w:r w:rsidRPr="00EE37BB">
        <w:rPr>
          <w:i/>
          <w:iCs/>
        </w:rPr>
        <w:t>see also</w:t>
      </w:r>
      <w:r>
        <w:t xml:space="preserve"> Chairman Haque’s concurring opinion in Case No. 14-1297-EL-SSO, at ¶</w:t>
      </w:r>
      <w:r w:rsidR="00D32269">
        <w:t xml:space="preserve"> </w:t>
      </w:r>
      <w:r>
        <w:t xml:space="preserve">3, where he described Rider AMI as functioning “as the corresponding traditional regulatory mechanism, providing a return for monies expended to construct/maintain service.” </w:t>
      </w:r>
    </w:p>
  </w:footnote>
  <w:footnote w:id="8">
    <w:p w:rsidR="00C72933" w:rsidP="00AB150B" w14:paraId="7769BA21" w14:textId="7AF16141">
      <w:pPr>
        <w:pStyle w:val="FootnoteText"/>
        <w:spacing w:after="120"/>
      </w:pPr>
      <w:r>
        <w:rPr>
          <w:rStyle w:val="FootnoteReference"/>
        </w:rPr>
        <w:footnoteRef/>
      </w:r>
      <w:r>
        <w:t xml:space="preserve"> </w:t>
      </w:r>
      <w:r w:rsidRPr="00DB7E9B">
        <w:rPr>
          <w:i/>
          <w:iCs/>
        </w:rPr>
        <w:t>Id.</w:t>
      </w:r>
      <w:r>
        <w:t xml:space="preserve"> at ¶ 107. </w:t>
      </w:r>
    </w:p>
  </w:footnote>
  <w:footnote w:id="9">
    <w:p w:rsidR="00DD36AB" w:rsidP="00AB150B" w14:paraId="09F89164" w14:textId="329CD232">
      <w:pPr>
        <w:pStyle w:val="FootnoteText"/>
        <w:spacing w:after="120"/>
      </w:pPr>
      <w:r>
        <w:rPr>
          <w:rStyle w:val="FootnoteReference"/>
        </w:rPr>
        <w:footnoteRef/>
      </w:r>
      <w:r>
        <w:t xml:space="preserve"> </w:t>
      </w:r>
      <w:r w:rsidRPr="00AB150B">
        <w:rPr>
          <w:i/>
          <w:iCs/>
        </w:rPr>
        <w:t>Id.</w:t>
      </w:r>
      <w:r>
        <w:t>, Supplemental Stipulation at ¶</w:t>
      </w:r>
      <w:r w:rsidR="00B92AA5">
        <w:t xml:space="preserve"> </w:t>
      </w:r>
      <w:r>
        <w:t xml:space="preserve">4 (Jan. 25, 2019). </w:t>
      </w:r>
    </w:p>
  </w:footnote>
  <w:footnote w:id="10">
    <w:p w:rsidR="00C72933" w:rsidP="00AB150B" w14:paraId="20585222" w14:textId="1C6F9244">
      <w:pPr>
        <w:pStyle w:val="FootnoteText"/>
        <w:spacing w:after="120"/>
      </w:pPr>
      <w:r>
        <w:rPr>
          <w:rStyle w:val="FootnoteReference"/>
        </w:rPr>
        <w:footnoteRef/>
      </w:r>
      <w:r>
        <w:t xml:space="preserve"> </w:t>
      </w:r>
      <w:r w:rsidRPr="00DF3ECE">
        <w:rPr>
          <w:i/>
          <w:iCs/>
          <w:szCs w:val="24"/>
        </w:rPr>
        <w:t>In re Application of Suburban Natural Gas Co.,</w:t>
      </w:r>
      <w:r>
        <w:rPr>
          <w:szCs w:val="24"/>
        </w:rPr>
        <w:t xml:space="preserve"> 166 Ohio St.3d 176, 2021-Ohio-3224, ¶</w:t>
      </w:r>
      <w:r w:rsidR="009E1C08">
        <w:rPr>
          <w:szCs w:val="24"/>
        </w:rPr>
        <w:t>¶</w:t>
      </w:r>
      <w:r>
        <w:rPr>
          <w:szCs w:val="24"/>
        </w:rPr>
        <w:t xml:space="preserve"> 18, 20.</w:t>
      </w:r>
    </w:p>
  </w:footnote>
  <w:footnote w:id="11">
    <w:p w:rsidR="00C72933" w:rsidP="00AB150B" w14:paraId="1FA10805" w14:textId="192CFF3D">
      <w:pPr>
        <w:pStyle w:val="FootnoteText"/>
        <w:spacing w:after="120"/>
      </w:pPr>
      <w:r>
        <w:rPr>
          <w:rStyle w:val="FootnoteReference"/>
        </w:rPr>
        <w:footnoteRef/>
      </w:r>
      <w:r>
        <w:t xml:space="preserve"> </w:t>
      </w:r>
      <w:r w:rsidRPr="00491292">
        <w:rPr>
          <w:i/>
          <w:iCs/>
        </w:rPr>
        <w:t>Id.</w:t>
      </w:r>
      <w:r>
        <w:t xml:space="preserve"> at ¶ 17 (citations omitted). </w:t>
      </w:r>
    </w:p>
  </w:footnote>
  <w:footnote w:id="12">
    <w:p w:rsidR="00C72933" w:rsidP="00AB150B" w14:paraId="02FF015C" w14:textId="27EAAD04">
      <w:pPr>
        <w:pStyle w:val="FootnoteText"/>
        <w:spacing w:after="120"/>
      </w:pPr>
      <w:r>
        <w:rPr>
          <w:rStyle w:val="FootnoteReference"/>
        </w:rPr>
        <w:footnoteRef/>
      </w:r>
      <w:r>
        <w:rPr>
          <w:i/>
          <w:iCs/>
        </w:rPr>
        <w:t xml:space="preserve"> </w:t>
      </w:r>
      <w:r w:rsidRPr="00491292">
        <w:rPr>
          <w:i/>
          <w:iCs/>
        </w:rPr>
        <w:t>Id</w:t>
      </w:r>
      <w:r>
        <w:t xml:space="preserve">. at ¶ 25. </w:t>
      </w:r>
    </w:p>
  </w:footnote>
  <w:footnote w:id="13">
    <w:p w:rsidR="00C72933" w:rsidP="00AB150B" w14:paraId="2CEC9E11" w14:textId="356B0F49">
      <w:pPr>
        <w:pStyle w:val="FootnoteText"/>
        <w:spacing w:after="120"/>
      </w:pPr>
      <w:r>
        <w:rPr>
          <w:rStyle w:val="FootnoteReference"/>
        </w:rPr>
        <w:footnoteRef/>
      </w:r>
      <w:r>
        <w:t xml:space="preserve"> </w:t>
      </w:r>
      <w:r w:rsidRPr="005E353E">
        <w:rPr>
          <w:i/>
          <w:iCs/>
        </w:rPr>
        <w:t>See, e.g.,</w:t>
      </w:r>
      <w:r>
        <w:t xml:space="preserve"> Case No. 18-1647-EL-RDR, Staff’s Review and Recommendations at 1 (Dec. 24, 2020). </w:t>
      </w:r>
    </w:p>
  </w:footnote>
  <w:footnote w:id="14">
    <w:p w:rsidR="00C72933" w:rsidP="00AB150B" w14:paraId="33AE6287" w14:textId="69A8A999">
      <w:pPr>
        <w:pStyle w:val="FootnoteText"/>
        <w:spacing w:after="120"/>
      </w:pPr>
      <w:r>
        <w:rPr>
          <w:rStyle w:val="FootnoteReference"/>
        </w:rPr>
        <w:footnoteRef/>
      </w:r>
      <w:r>
        <w:t xml:space="preserve"> </w:t>
      </w:r>
      <w:r w:rsidRPr="005E353E">
        <w:rPr>
          <w:i/>
          <w:iCs/>
        </w:rPr>
        <w:t xml:space="preserve">See </w:t>
      </w:r>
      <w:r>
        <w:t xml:space="preserve">Case No. 18-1647-EL-RDR, Staff Review and Recommendations (Dec. 24, 2020); Case No. 19-1903-EL-RDR, Staff Review and Recommendations (March 24, 2022); Case No. 20-1672-EL-RDR, Staff Review and Recommendations (Feb. 1, 2023). </w:t>
      </w:r>
    </w:p>
  </w:footnote>
  <w:footnote w:id="15">
    <w:p w:rsidR="009E2A32" w:rsidP="00AB150B" w14:paraId="0868023B" w14:textId="07E5F938">
      <w:pPr>
        <w:pStyle w:val="FootnoteText"/>
        <w:spacing w:after="120"/>
      </w:pPr>
      <w:r>
        <w:rPr>
          <w:rStyle w:val="FootnoteReference"/>
        </w:rPr>
        <w:footnoteRef/>
      </w:r>
      <w:r>
        <w:t xml:space="preserve"> </w:t>
      </w:r>
      <w:r w:rsidRPr="004E16A8">
        <w:rPr>
          <w:i/>
          <w:iCs/>
        </w:rPr>
        <w:t xml:space="preserve">See </w:t>
      </w:r>
      <w:r>
        <w:t xml:space="preserve">Operational Benefits Assessment of FirstEnergy Ohio’s Gird Mod I at </w:t>
      </w:r>
      <w:r w:rsidR="00E13236">
        <w:t>1-5</w:t>
      </w:r>
      <w:r>
        <w:t xml:space="preserve"> (Nov. 14, 2022</w:t>
      </w:r>
      <w:r w:rsidR="00E13236">
        <w:t>).</w:t>
      </w:r>
    </w:p>
  </w:footnote>
  <w:footnote w:id="16">
    <w:p w:rsidR="00C72933" w:rsidP="00AB150B" w14:paraId="2E205744" w14:textId="21C21FA2">
      <w:pPr>
        <w:pStyle w:val="FootnoteText"/>
        <w:spacing w:after="120"/>
      </w:pPr>
      <w:r>
        <w:rPr>
          <w:rStyle w:val="FootnoteReference"/>
        </w:rPr>
        <w:footnoteRef/>
      </w:r>
      <w:r>
        <w:t xml:space="preserve"> Ohio Energy Leadership Coun</w:t>
      </w:r>
      <w:r w:rsidR="004E16A8">
        <w:t>cil</w:t>
      </w:r>
      <w:r>
        <w:t xml:space="preserve"> Comments at 3. </w:t>
      </w:r>
    </w:p>
  </w:footnote>
  <w:footnote w:id="17">
    <w:p w:rsidR="00C72933" w:rsidP="00AB150B" w14:paraId="4BDEE1E6" w14:textId="7203EAD7">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Opinion and Order at ¶ 122 (July 17, 2019) (emphasis added). </w:t>
      </w:r>
    </w:p>
  </w:footnote>
  <w:footnote w:id="18">
    <w:p w:rsidR="00C72933" w:rsidP="00AB150B" w14:paraId="2846C77D" w14:textId="7D1430FD">
      <w:pPr>
        <w:pStyle w:val="FootnoteText"/>
        <w:spacing w:after="120"/>
      </w:pPr>
      <w:r>
        <w:rPr>
          <w:rStyle w:val="FootnoteReference"/>
        </w:rPr>
        <w:footnoteRef/>
      </w:r>
      <w:r>
        <w:t xml:space="preserve"> OCC Comments at 8-9, OMAEG/Kroger Comments at 8. </w:t>
      </w:r>
    </w:p>
  </w:footnote>
  <w:footnote w:id="19">
    <w:p w:rsidR="00C72933" w:rsidP="00AB150B" w14:paraId="587A354E" w14:textId="6A09B656">
      <w:pPr>
        <w:pStyle w:val="FootnoteText"/>
        <w:spacing w:after="120"/>
      </w:pPr>
      <w:r>
        <w:rPr>
          <w:rStyle w:val="FootnoteReference"/>
        </w:rPr>
        <w:footnoteRef/>
      </w:r>
      <w:r>
        <w:t xml:space="preserve"> OMAEG Comments at 8. </w:t>
      </w:r>
    </w:p>
  </w:footnote>
  <w:footnote w:id="20">
    <w:p w:rsidR="00C72933" w:rsidP="00AB150B" w14:paraId="18AB07D5" w14:textId="0071F865">
      <w:pPr>
        <w:pStyle w:val="FootnoteText"/>
        <w:spacing w:after="120"/>
      </w:pPr>
      <w:r>
        <w:rPr>
          <w:rStyle w:val="FootnoteReference"/>
        </w:rPr>
        <w:footnoteRef/>
      </w:r>
      <w:r>
        <w:t xml:space="preserve"> NOAC Comment 5. </w:t>
      </w:r>
    </w:p>
  </w:footnote>
  <w:footnote w:id="21">
    <w:p w:rsidR="00C72933" w:rsidP="00AB150B" w14:paraId="27E500AD" w14:textId="1AB022FF">
      <w:pPr>
        <w:pStyle w:val="FootnoteText"/>
        <w:spacing w:after="120"/>
      </w:pPr>
      <w:r>
        <w:rPr>
          <w:rStyle w:val="FootnoteReference"/>
        </w:rPr>
        <w:footnoteRef/>
      </w:r>
      <w:r>
        <w:t xml:space="preserve"> </w:t>
      </w:r>
      <w:r w:rsidRPr="00491292">
        <w:rPr>
          <w:i/>
          <w:iCs/>
        </w:rPr>
        <w:t>See</w:t>
      </w:r>
      <w:r>
        <w:t xml:space="preserve"> FirstEnergy Utilities Rider AMI Tariff. The Rider AMI tariff also defines reconciliation “based solely upon the results of audits ordered by the Commission in accordance with the July 18, 2012 Opinion and Order in Case No. 12-1230-EL-SSO, and the March 21, 2016 Opinion and Order in Case No. 14-1297-EL-SSO and upon the Commission’s orders in Case No. 18-47-AU-COI.”</w:t>
      </w:r>
    </w:p>
  </w:footnote>
  <w:footnote w:id="22">
    <w:p w:rsidR="00C72933" w:rsidP="00AB150B" w14:paraId="629C76C1" w14:textId="70FC416D">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Opinion and Order at ¶ 120 (July 17, 2019). </w:t>
      </w:r>
    </w:p>
  </w:footnote>
  <w:footnote w:id="23">
    <w:p w:rsidR="00334366" w:rsidP="00AB150B" w14:paraId="48A0D639" w14:textId="1F812A6D">
      <w:pPr>
        <w:pStyle w:val="FootnoteText"/>
        <w:spacing w:after="120"/>
      </w:pPr>
      <w:r>
        <w:rPr>
          <w:rStyle w:val="FootnoteReference"/>
        </w:rPr>
        <w:footnoteRef/>
      </w:r>
      <w:r w:rsidR="00A64F0A">
        <w:t xml:space="preserve"> </w:t>
      </w:r>
      <w:r w:rsidRPr="00A64F0A">
        <w:rPr>
          <w:i/>
          <w:iCs/>
        </w:rPr>
        <w:t>Id</w:t>
      </w:r>
      <w:r>
        <w:t xml:space="preserve">., </w:t>
      </w:r>
      <w:r w:rsidR="00C478DC">
        <w:t>Supplemental</w:t>
      </w:r>
      <w:r>
        <w:t xml:space="preserve"> Stipulation and Recommendation at ¶</w:t>
      </w:r>
      <w:r w:rsidR="00FB5881">
        <w:t xml:space="preserve"> </w:t>
      </w:r>
      <w:r>
        <w:t>4 (Jan. 25, 2019).</w:t>
      </w:r>
    </w:p>
  </w:footnote>
  <w:footnote w:id="24">
    <w:p w:rsidR="00C72933" w:rsidP="00AB150B" w14:paraId="09FE06A8" w14:textId="7C68E924">
      <w:pPr>
        <w:pStyle w:val="FootnoteText"/>
        <w:spacing w:after="120"/>
      </w:pPr>
      <w:r>
        <w:rPr>
          <w:rStyle w:val="FootnoteReference"/>
        </w:rPr>
        <w:footnoteRef/>
      </w:r>
      <w:r>
        <w:t xml:space="preserve"> OCC Comments at 7-8, OMAEG/Kroger Comments at 8, NOAC Comment 6. </w:t>
      </w:r>
    </w:p>
  </w:footnote>
  <w:footnote w:id="25">
    <w:p w:rsidR="00C72933" w:rsidP="00AB150B" w14:paraId="3065A54E" w14:textId="244A8849">
      <w:pPr>
        <w:pStyle w:val="FootnoteText"/>
        <w:spacing w:after="120"/>
      </w:pPr>
      <w:r>
        <w:rPr>
          <w:rStyle w:val="FootnoteReference"/>
        </w:rPr>
        <w:footnoteRef/>
      </w:r>
      <w:r>
        <w:t xml:space="preserve"> Ohio Energy Leadership Council Comments at 3. </w:t>
      </w:r>
    </w:p>
  </w:footnote>
  <w:footnote w:id="26">
    <w:p w:rsidR="00C72933" w:rsidP="00AB150B" w14:paraId="694A0460" w14:textId="2339D426">
      <w:pPr>
        <w:pStyle w:val="FootnoteText"/>
        <w:spacing w:after="120"/>
      </w:pPr>
      <w:r>
        <w:rPr>
          <w:rStyle w:val="FootnoteReference"/>
        </w:rPr>
        <w:footnoteRef/>
      </w:r>
      <w:r>
        <w:t xml:space="preserve"> NOAC Comment 6. </w:t>
      </w:r>
    </w:p>
  </w:footnote>
  <w:footnote w:id="27">
    <w:p w:rsidR="00C72933" w:rsidP="00AB150B" w14:paraId="0CA056D1" w14:textId="723A1607">
      <w:pPr>
        <w:pStyle w:val="FootnoteText"/>
        <w:spacing w:after="120"/>
      </w:pPr>
      <w:r>
        <w:rPr>
          <w:rStyle w:val="FootnoteReference"/>
        </w:rPr>
        <w:footnoteRef/>
      </w:r>
      <w:r>
        <w:t xml:space="preserve"> NOAC Comment 4.</w:t>
      </w:r>
    </w:p>
  </w:footnote>
  <w:footnote w:id="28">
    <w:p w:rsidR="00E13236" w:rsidP="00AB150B" w14:paraId="7D086C19" w14:textId="0253DCDF">
      <w:pPr>
        <w:pStyle w:val="FootnoteText"/>
        <w:spacing w:after="120"/>
      </w:pPr>
      <w:r>
        <w:rPr>
          <w:rStyle w:val="FootnoteReference"/>
        </w:rPr>
        <w:footnoteRef/>
      </w:r>
      <w:r>
        <w:t xml:space="preserve"> Operational Benefits Assessment of FirstEnergy Ohio’s Grid Mod I at 1-5.</w:t>
      </w:r>
    </w:p>
  </w:footnote>
  <w:footnote w:id="29">
    <w:p w:rsidR="00C72933" w:rsidP="00AB150B" w14:paraId="15EDDDDA" w14:textId="258B89E5">
      <w:pPr>
        <w:pStyle w:val="FootnoteText"/>
        <w:spacing w:after="120"/>
      </w:pPr>
      <w:r>
        <w:rPr>
          <w:rStyle w:val="FootnoteReference"/>
        </w:rPr>
        <w:footnoteRef/>
      </w:r>
      <w:r>
        <w:t xml:space="preserve"> OMAEG/Kroger Comments at 4.</w:t>
      </w:r>
    </w:p>
  </w:footnote>
  <w:footnote w:id="30">
    <w:p w:rsidR="00C72933" w:rsidP="00AB150B" w14:paraId="437DC741" w14:textId="7E594281">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Case No. 16-481-EL-UNC, Opinion and Order at ¶ 111.</w:t>
      </w:r>
    </w:p>
  </w:footnote>
  <w:footnote w:id="31">
    <w:p w:rsidR="00C72933" w:rsidP="00AB150B" w14:paraId="31B9C474" w14:textId="35673606">
      <w:pPr>
        <w:pStyle w:val="FootnoteText"/>
        <w:spacing w:after="120"/>
      </w:pPr>
      <w:r>
        <w:rPr>
          <w:rStyle w:val="FootnoteReference"/>
        </w:rPr>
        <w:footnoteRef/>
      </w:r>
      <w:r>
        <w:t xml:space="preserve"> FirstEnergy Comments at 8. </w:t>
      </w:r>
    </w:p>
  </w:footnote>
  <w:footnote w:id="32">
    <w:p w:rsidR="00C72933" w:rsidP="00AB150B" w14:paraId="09201E6E" w14:textId="415938AA">
      <w:pPr>
        <w:pStyle w:val="FootnoteText"/>
        <w:spacing w:after="120"/>
      </w:pPr>
      <w:r>
        <w:rPr>
          <w:rStyle w:val="FootnoteReference"/>
        </w:rPr>
        <w:footnoteRef/>
      </w:r>
      <w:r>
        <w:rPr>
          <w:i/>
          <w:iCs/>
        </w:rPr>
        <w:t xml:space="preserve"> </w:t>
      </w:r>
      <w:r w:rsidRPr="000443E3">
        <w:rPr>
          <w:i/>
          <w:iCs/>
        </w:rPr>
        <w:t>In the Matter of the Filing by Ohio Edison Company, the Cleveland Electric Illuminating Company and the Toledo Edison Company of a Grid Modernization Business Plan</w:t>
      </w:r>
      <w:r>
        <w:t>, Case No. 16-481-EL-UNC, Case No. 16-481-EL-RDR, Order at ¶ 44.</w:t>
      </w:r>
    </w:p>
  </w:footnote>
  <w:footnote w:id="33">
    <w:p w:rsidR="00C72933" w:rsidP="00AB150B" w14:paraId="35B037C3" w14:textId="3E0A5B6A">
      <w:pPr>
        <w:pStyle w:val="FootnoteText"/>
        <w:spacing w:after="120"/>
      </w:pPr>
      <w:r>
        <w:rPr>
          <w:rStyle w:val="FootnoteReference"/>
        </w:rPr>
        <w:footnoteRef/>
      </w:r>
      <w:r>
        <w:t xml:space="preserve"> Ohio Energy Leadership Coun</w:t>
      </w:r>
      <w:r w:rsidR="004E16A8">
        <w:t>cil</w:t>
      </w:r>
      <w:r>
        <w:t xml:space="preserve"> Comments at 3.</w:t>
      </w:r>
    </w:p>
  </w:footnote>
  <w:footnote w:id="34">
    <w:p w:rsidR="00C72933" w:rsidP="00AB150B" w14:paraId="4B5C6D0D" w14:textId="61321CFE">
      <w:pPr>
        <w:pStyle w:val="FootnoteText"/>
        <w:spacing w:after="120"/>
      </w:pPr>
      <w:r>
        <w:rPr>
          <w:rStyle w:val="FootnoteReference"/>
        </w:rPr>
        <w:footnoteRef/>
      </w:r>
      <w:r>
        <w:t xml:space="preserve"> OMAEG/Kroger Comments at 8. </w:t>
      </w:r>
    </w:p>
  </w:footnote>
  <w:footnote w:id="35">
    <w:p w:rsidR="00C72933" w:rsidP="00AB150B" w14:paraId="017F6A70" w14:textId="66C7C0B1">
      <w:pPr>
        <w:pStyle w:val="FootnoteText"/>
        <w:spacing w:after="120"/>
      </w:pPr>
      <w:r>
        <w:rPr>
          <w:rStyle w:val="FootnoteReference"/>
        </w:rPr>
        <w:footnoteRef/>
      </w:r>
      <w:r>
        <w:t xml:space="preserve"> OCC Comments at 7.</w:t>
      </w:r>
    </w:p>
  </w:footnote>
  <w:footnote w:id="36">
    <w:p w:rsidR="00C72933" w:rsidP="00AB150B" w14:paraId="000AB7ED" w14:textId="26F03901">
      <w:pPr>
        <w:pStyle w:val="FootnoteText"/>
        <w:spacing w:after="120"/>
      </w:pPr>
      <w:r>
        <w:rPr>
          <w:rStyle w:val="FootnoteReference"/>
        </w:rPr>
        <w:footnoteRef/>
      </w:r>
      <w:r>
        <w:t xml:space="preserve"> NOAC Comments at 6. </w:t>
      </w:r>
    </w:p>
  </w:footnote>
  <w:footnote w:id="37">
    <w:p w:rsidR="00C72933" w:rsidP="00AB150B" w14:paraId="69CBFDCE" w14:textId="3F1F1EE5">
      <w:pPr>
        <w:pStyle w:val="FootnoteText"/>
        <w:spacing w:after="120"/>
      </w:pPr>
      <w:r>
        <w:rPr>
          <w:rStyle w:val="FootnoteReference"/>
        </w:rPr>
        <w:footnoteRef/>
      </w:r>
      <w:r>
        <w:t xml:space="preserve"> Ohio Energy Leadership Council Comments at 10; FirstEnergy Comments at 2. </w:t>
      </w:r>
    </w:p>
  </w:footnote>
  <w:footnote w:id="38">
    <w:p w:rsidR="00C72933" w:rsidP="00AB150B" w14:paraId="0F13F539" w14:textId="067F42FA">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Request for Proposal No. RA21-GM-1 at 3 (March 9, 2022); </w:t>
      </w:r>
      <w:r w:rsidRPr="00A909DA">
        <w:rPr>
          <w:i/>
          <w:iCs/>
        </w:rPr>
        <w:t>see also</w:t>
      </w:r>
      <w:r>
        <w:t xml:space="preserve"> Opinion and Order at ¶ 44. </w:t>
      </w:r>
    </w:p>
  </w:footnote>
  <w:footnote w:id="39">
    <w:p w:rsidR="00C72933" w:rsidP="00AB150B" w14:paraId="6072C6AE" w14:textId="5C2394DD">
      <w:pPr>
        <w:pStyle w:val="FootnoteText"/>
        <w:spacing w:after="120"/>
      </w:pPr>
      <w:r>
        <w:rPr>
          <w:rStyle w:val="FootnoteReference"/>
        </w:rPr>
        <w:footnoteRef/>
      </w:r>
      <w:r>
        <w:t xml:space="preserve"> Daymark Audit at 2 (Nov. 14, 2022). </w:t>
      </w:r>
    </w:p>
  </w:footnote>
  <w:footnote w:id="40">
    <w:p w:rsidR="00C72933" w:rsidP="00AB150B" w14:paraId="224E75DC" w14:textId="09898B1F">
      <w:pPr>
        <w:pStyle w:val="FootnoteText"/>
        <w:spacing w:after="120"/>
      </w:pPr>
      <w:r>
        <w:rPr>
          <w:rStyle w:val="FootnoteReference"/>
        </w:rPr>
        <w:footnoteRef/>
      </w:r>
      <w:r>
        <w:t xml:space="preserve"> </w:t>
      </w:r>
      <w:r w:rsidRPr="00A909DA">
        <w:rPr>
          <w:i/>
          <w:iCs/>
        </w:rPr>
        <w:t>Id</w:t>
      </w:r>
      <w:r>
        <w:t xml:space="preserve">. at 50. </w:t>
      </w:r>
    </w:p>
  </w:footnote>
  <w:footnote w:id="41">
    <w:p w:rsidR="00C72933" w:rsidP="00AB150B" w14:paraId="3328C0CD" w14:textId="59D92041">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Case No. 16-481-EL-UNC, Stipulation at 22, 23 (Nov. 9, 2018).</w:t>
      </w:r>
    </w:p>
  </w:footnote>
  <w:footnote w:id="42">
    <w:p w:rsidR="00C72933" w:rsidP="00AB150B" w14:paraId="35D9859B" w14:textId="3937A6CA">
      <w:pPr>
        <w:pStyle w:val="FootnoteText"/>
        <w:spacing w:after="120"/>
      </w:pPr>
      <w:r>
        <w:rPr>
          <w:rStyle w:val="FootnoteReference"/>
        </w:rPr>
        <w:footnoteRef/>
      </w:r>
      <w:r>
        <w:t xml:space="preserve"> </w:t>
      </w:r>
      <w:r w:rsidR="00514C2E">
        <w:t>FirstEnergy was ordered in another case to show cause why</w:t>
      </w:r>
      <w:r w:rsidR="004901E4">
        <w:t xml:space="preserve"> they should not assess a forfeiture for their delayed responses to a PUCO-approved Auditor’s data requests.</w:t>
      </w:r>
      <w:r w:rsidR="00D32269">
        <w:t xml:space="preserve"> </w:t>
      </w:r>
      <w:r w:rsidRPr="004E16A8" w:rsidR="004901E4">
        <w:rPr>
          <w:i/>
          <w:iCs/>
        </w:rPr>
        <w:t xml:space="preserve">In the Matter of the Review of the Non-Market-Based Service Rider Pilot Program Established by Ohio Edison Company, the Cleveland </w:t>
      </w:r>
      <w:r w:rsidRPr="004E16A8" w:rsidR="004E16A8">
        <w:rPr>
          <w:i/>
          <w:iCs/>
        </w:rPr>
        <w:t>Electric</w:t>
      </w:r>
      <w:r w:rsidRPr="004E16A8" w:rsidR="004901E4">
        <w:rPr>
          <w:i/>
          <w:iCs/>
        </w:rPr>
        <w:t xml:space="preserve"> Illuminating Company, and the Toledo Edison Company</w:t>
      </w:r>
      <w:r w:rsidR="004901E4">
        <w:t xml:space="preserve">, Case No. 22-391-EL-RDR, Entry at </w:t>
      </w:r>
      <w:r w:rsidR="004E16A8">
        <w:t>¶ 15 (April 7, 2023).</w:t>
      </w:r>
      <w:r w:rsidR="00D32269">
        <w:t xml:space="preserve"> </w:t>
      </w:r>
      <w:r w:rsidR="004E16A8">
        <w:t>The PUCO should consider a similar show cause order here.</w:t>
      </w:r>
      <w:r w:rsidR="00D32269">
        <w:t xml:space="preserve"> </w:t>
      </w:r>
    </w:p>
  </w:footnote>
  <w:footnote w:id="43">
    <w:p w:rsidR="00C72933" w:rsidP="00AB150B" w14:paraId="57050F63" w14:textId="4F5D1F91">
      <w:pPr>
        <w:pStyle w:val="FootnoteText"/>
        <w:spacing w:after="120"/>
      </w:pPr>
      <w:r>
        <w:rPr>
          <w:rStyle w:val="FootnoteReference"/>
        </w:rPr>
        <w:footnoteRef/>
      </w:r>
      <w:r>
        <w:t xml:space="preserve"> </w:t>
      </w:r>
      <w:r w:rsidRPr="00B71855">
        <w:rPr>
          <w:i/>
          <w:iCs/>
        </w:rPr>
        <w:t>In the Matter of the Application of Ohio Edison Company, the Cleveland Electric Illuminating Company, and the Toledo Edison Company for Authority to Provide for a Standard Service offer Pursuant to R.C. 4928.143 in the Form of an Electric Security Plan</w:t>
      </w:r>
      <w:r>
        <w:t xml:space="preserve">, Case No. 14-1297-EL-SSO, Fifth Entry on </w:t>
      </w:r>
      <w:r w:rsidRPr="0055410C">
        <w:t>Rehearing (Oct. 12, 2016).</w:t>
      </w:r>
      <w:r>
        <w:t xml:space="preserve"> </w:t>
      </w:r>
    </w:p>
  </w:footnote>
  <w:footnote w:id="44">
    <w:p w:rsidR="00C72933" w:rsidP="00AB150B" w14:paraId="1FA62BEF" w14:textId="6FA411E5">
      <w:pPr>
        <w:pStyle w:val="FootnoteText"/>
        <w:spacing w:after="120"/>
      </w:pPr>
      <w:r>
        <w:rPr>
          <w:rStyle w:val="FootnoteReference"/>
        </w:rPr>
        <w:footnoteRef/>
      </w:r>
      <w:r w:rsidRPr="00EF4F45">
        <w:rPr>
          <w:i/>
          <w:iCs/>
        </w:rPr>
        <w:t xml:space="preserve"> </w:t>
      </w:r>
      <w:r w:rsidRPr="00B71855">
        <w:rPr>
          <w:i/>
          <w:iCs/>
        </w:rPr>
        <w:t>In the Matter of the Application of Ohio Edison Company, the Cleveland Electric Illuminating Company, and the Toledo Edison Company for Authority to Provide for a Standard Service offer Pursuant to R.C. 4928.143 in the Form of an Electric Security Plan</w:t>
      </w:r>
      <w:r>
        <w:t xml:space="preserve">, Case No. 14-1297-EL-SSO, Third Supplemental Stipulation at 9-10 (Dec. 1, 2015). </w:t>
      </w:r>
    </w:p>
  </w:footnote>
  <w:footnote w:id="45">
    <w:p w:rsidR="00C72933" w:rsidP="00AB150B" w14:paraId="56C3F48F" w14:textId="2621674B">
      <w:pPr>
        <w:pStyle w:val="FootnoteText"/>
        <w:spacing w:after="120"/>
      </w:pPr>
      <w:r>
        <w:rPr>
          <w:rStyle w:val="FootnoteReference"/>
        </w:rPr>
        <w:footnoteRef/>
      </w:r>
      <w:r>
        <w:t xml:space="preserve"> </w:t>
      </w:r>
      <w:r w:rsidRPr="009F54A5">
        <w:rPr>
          <w:i/>
          <w:iCs/>
        </w:rPr>
        <w:t>Id.</w:t>
      </w:r>
      <w:r>
        <w:t xml:space="preserve"> </w:t>
      </w:r>
    </w:p>
  </w:footnote>
  <w:footnote w:id="46">
    <w:p w:rsidR="00C72933" w:rsidP="00AB150B" w14:paraId="09B1A08B" w14:textId="75B41CD6">
      <w:pPr>
        <w:pStyle w:val="FootnoteText"/>
        <w:spacing w:after="120"/>
      </w:pPr>
      <w:r>
        <w:rPr>
          <w:rStyle w:val="FootnoteReference"/>
        </w:rPr>
        <w:footnoteRef/>
      </w:r>
      <w:r>
        <w:t xml:space="preserve"> </w:t>
      </w:r>
      <w:r w:rsidRPr="0037384F">
        <w:rPr>
          <w:i/>
          <w:iCs/>
        </w:rPr>
        <w:t>In the Matter of the 2020 Review of the Delivery Capital Recovery Rider of Ohio Edison Company, the Cleveland Electric Illuminating Company, and the Toledo Edison Company,</w:t>
      </w:r>
      <w:r>
        <w:t xml:space="preserve"> Case No. 20-1629-EL-RDR, Entry (Dec. 15, 2021). </w:t>
      </w:r>
    </w:p>
  </w:footnote>
  <w:footnote w:id="47">
    <w:p w:rsidR="00C72933" w:rsidP="00AB150B" w14:paraId="5050578C" w14:textId="71D329CB">
      <w:pPr>
        <w:pStyle w:val="FootnoteText"/>
        <w:spacing w:after="120"/>
      </w:pPr>
      <w:r>
        <w:rPr>
          <w:rStyle w:val="FootnoteReference"/>
        </w:rPr>
        <w:footnoteRef/>
      </w:r>
      <w:r>
        <w:t xml:space="preserve"> </w:t>
      </w:r>
      <w:r w:rsidRPr="00A909DA">
        <w:rPr>
          <w:i/>
          <w:iCs/>
        </w:rPr>
        <w:t>Id.,</w:t>
      </w:r>
      <w:r>
        <w:t xml:space="preserve"> Entry (Aug. 23, 2023)</w:t>
      </w:r>
    </w:p>
  </w:footnote>
  <w:footnote w:id="48">
    <w:p w:rsidR="00C72933" w:rsidP="00AB150B" w14:paraId="54DBD4A9" w14:textId="71A0A7EA">
      <w:pPr>
        <w:pStyle w:val="FootnoteText"/>
        <w:spacing w:after="120"/>
      </w:pPr>
      <w:r>
        <w:rPr>
          <w:rStyle w:val="FootnoteReference"/>
        </w:rPr>
        <w:footnoteRef/>
      </w:r>
      <w:r>
        <w:t xml:space="preserve"> </w:t>
      </w:r>
      <w:r w:rsidRPr="005913FE">
        <w:rPr>
          <w:i/>
          <w:iCs/>
        </w:rPr>
        <w:t>Id.,</w:t>
      </w:r>
      <w:r>
        <w:t xml:space="preserve"> Entry at ¶ 8 (Dec. 15, 2021). </w:t>
      </w:r>
    </w:p>
  </w:footnote>
  <w:footnote w:id="49">
    <w:p w:rsidR="00C72933" w:rsidP="00AB150B" w14:paraId="4CC85B8C" w14:textId="3B56A668">
      <w:pPr>
        <w:pStyle w:val="FootnoteText"/>
        <w:spacing w:after="120"/>
      </w:pPr>
      <w:r>
        <w:rPr>
          <w:rStyle w:val="FootnoteReference"/>
        </w:rPr>
        <w:footnoteRef/>
      </w:r>
      <w:r>
        <w:t xml:space="preserve"> </w:t>
      </w:r>
      <w:r w:rsidRPr="00A909DA">
        <w:rPr>
          <w:i/>
          <w:iCs/>
        </w:rPr>
        <w:t>Id.</w:t>
      </w:r>
      <w:r>
        <w:t xml:space="preserve">, Entry at ¶ 13. </w:t>
      </w:r>
    </w:p>
  </w:footnote>
  <w:footnote w:id="50">
    <w:p w:rsidR="00A06944" w:rsidP="00AB150B" w14:paraId="40CA5A61" w14:textId="1885422F">
      <w:pPr>
        <w:pStyle w:val="FootnoteText"/>
        <w:spacing w:after="120"/>
      </w:pPr>
      <w:r>
        <w:rPr>
          <w:rStyle w:val="FootnoteReference"/>
        </w:rPr>
        <w:footnoteRef/>
      </w:r>
      <w:r>
        <w:t xml:space="preserve"> NOAC Comments </w:t>
      </w:r>
      <w:r w:rsidRPr="00FD3583">
        <w:t>(Aug. 11, 2023). Note that the PUCO has approved a third stay request by the U.S. Attorney in the</w:t>
      </w:r>
      <w:r w:rsidRPr="00FD3583" w:rsidR="005A2F20">
        <w:t xml:space="preserve"> </w:t>
      </w:r>
      <w:r w:rsidRPr="00FD3583">
        <w:t xml:space="preserve">four H.B. 6 investigations. </w:t>
      </w:r>
      <w:r w:rsidRPr="00FD3583">
        <w:rPr>
          <w:i/>
          <w:iCs/>
        </w:rPr>
        <w:t>See</w:t>
      </w:r>
      <w:r w:rsidRPr="00FD3583">
        <w:t xml:space="preserve">, </w:t>
      </w:r>
      <w:r w:rsidRPr="00CE5D54">
        <w:rPr>
          <w:i/>
          <w:iCs/>
        </w:rPr>
        <w:t>e.g</w:t>
      </w:r>
      <w:r w:rsidRPr="00FD3583">
        <w:t>.,</w:t>
      </w:r>
      <w:r w:rsidRPr="00FD3583" w:rsidR="005A2F20">
        <w:t xml:space="preserve"> </w:t>
      </w:r>
      <w:r w:rsidRPr="00FD3583">
        <w:rPr>
          <w:i/>
          <w:iCs/>
        </w:rPr>
        <w:t>In the Matter of the 2020 Review of the Delivery Capital Recovery Rider of Ohio Edison Company, the Cleveland Electric Illuminating Company, and the Toledo Edison Company,</w:t>
      </w:r>
      <w:r w:rsidRPr="00FD3583">
        <w:t xml:space="preserve"> Case No</w:t>
      </w:r>
      <w:r>
        <w:t>. 20-1629-EL-RDR, Entry (Aug. 23, 2023).</w:t>
      </w:r>
    </w:p>
  </w:footnote>
  <w:footnote w:id="51">
    <w:p w:rsidR="00A06944" w:rsidP="00AB150B" w14:paraId="2DFA0E2F" w14:textId="77777777">
      <w:pPr>
        <w:pStyle w:val="FootnoteText"/>
        <w:spacing w:after="120"/>
      </w:pPr>
      <w:r>
        <w:rPr>
          <w:rStyle w:val="FootnoteReference"/>
        </w:rPr>
        <w:footnoteRef/>
      </w:r>
      <w:r>
        <w:t xml:space="preserve"> Ohio Energy Leadership Council Comments at 2 (Aug. 11,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8D6" w14:paraId="361FDB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8D6" w14:paraId="7D833C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8D6" w14:paraId="7EDDCE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E45B0"/>
    <w:multiLevelType w:val="hybridMultilevel"/>
    <w:tmpl w:val="B180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4F2F3B"/>
    <w:multiLevelType w:val="hybridMultilevel"/>
    <w:tmpl w:val="19B487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3FE5846"/>
    <w:multiLevelType w:val="hybridMultilevel"/>
    <w:tmpl w:val="1646CAC4"/>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6B1BB9"/>
    <w:multiLevelType w:val="hybridMultilevel"/>
    <w:tmpl w:val="4AD2BBA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8EF6DAB"/>
    <w:multiLevelType w:val="hybridMultilevel"/>
    <w:tmpl w:val="10E44A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7147C5F"/>
    <w:multiLevelType w:val="hybridMultilevel"/>
    <w:tmpl w:val="B180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8234BE"/>
    <w:multiLevelType w:val="hybridMultilevel"/>
    <w:tmpl w:val="C5224E3E"/>
    <w:lvl w:ilvl="0">
      <w:start w:val="1"/>
      <w:numFmt w:val="upperLetter"/>
      <w:pStyle w:val="Heading2"/>
      <w:lvlText w:val="%1."/>
      <w:lvlJc w:val="left"/>
      <w:pPr>
        <w:ind w:left="16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3823889"/>
    <w:multiLevelType w:val="hybridMultilevel"/>
    <w:tmpl w:val="40406C8C"/>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6A6E56E7"/>
    <w:multiLevelType w:val="hybridMultilevel"/>
    <w:tmpl w:val="322084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E824022"/>
    <w:multiLevelType w:val="hybridMultilevel"/>
    <w:tmpl w:val="1F929D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8"/>
  </w:num>
  <w:num w:numId="3">
    <w:abstractNumId w:val="12"/>
  </w:num>
  <w:num w:numId="4">
    <w:abstractNumId w:val="10"/>
  </w:num>
  <w:num w:numId="5">
    <w:abstractNumId w:val="1"/>
  </w:num>
  <w:num w:numId="6">
    <w:abstractNumId w:val="15"/>
  </w:num>
  <w:num w:numId="7">
    <w:abstractNumId w:val="13"/>
  </w:num>
  <w:num w:numId="8">
    <w:abstractNumId w:val="0"/>
  </w:num>
  <w:num w:numId="9">
    <w:abstractNumId w:val="7"/>
  </w:num>
  <w:num w:numId="10">
    <w:abstractNumId w:val="5"/>
  </w:num>
  <w:num w:numId="11">
    <w:abstractNumId w:val="6"/>
  </w:num>
  <w:num w:numId="12">
    <w:abstractNumId w:val="2"/>
  </w:num>
  <w:num w:numId="13">
    <w:abstractNumId w:val="14"/>
  </w:num>
  <w:num w:numId="14">
    <w:abstractNumId w:val="3"/>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53"/>
    <w:rsid w:val="000015AD"/>
    <w:rsid w:val="00002EDA"/>
    <w:rsid w:val="00012087"/>
    <w:rsid w:val="000125E4"/>
    <w:rsid w:val="000135A5"/>
    <w:rsid w:val="00016D8E"/>
    <w:rsid w:val="000209A9"/>
    <w:rsid w:val="00021B58"/>
    <w:rsid w:val="00022939"/>
    <w:rsid w:val="000254A3"/>
    <w:rsid w:val="000277AA"/>
    <w:rsid w:val="00032497"/>
    <w:rsid w:val="00033BAB"/>
    <w:rsid w:val="00033EB1"/>
    <w:rsid w:val="00034664"/>
    <w:rsid w:val="0003546F"/>
    <w:rsid w:val="00037600"/>
    <w:rsid w:val="00040B01"/>
    <w:rsid w:val="00041152"/>
    <w:rsid w:val="000443E3"/>
    <w:rsid w:val="000465D3"/>
    <w:rsid w:val="00057887"/>
    <w:rsid w:val="000648A7"/>
    <w:rsid w:val="00071807"/>
    <w:rsid w:val="00073E1A"/>
    <w:rsid w:val="00074C4C"/>
    <w:rsid w:val="00075DD1"/>
    <w:rsid w:val="00076F8C"/>
    <w:rsid w:val="0008354E"/>
    <w:rsid w:val="000873C5"/>
    <w:rsid w:val="00093513"/>
    <w:rsid w:val="000938FF"/>
    <w:rsid w:val="00097DF8"/>
    <w:rsid w:val="000A1C71"/>
    <w:rsid w:val="000A6C50"/>
    <w:rsid w:val="000B1495"/>
    <w:rsid w:val="000B1E2C"/>
    <w:rsid w:val="000B44E4"/>
    <w:rsid w:val="000B6243"/>
    <w:rsid w:val="000B6AC4"/>
    <w:rsid w:val="000C3F2D"/>
    <w:rsid w:val="000C5945"/>
    <w:rsid w:val="000D1FA3"/>
    <w:rsid w:val="000D699F"/>
    <w:rsid w:val="000E0CA0"/>
    <w:rsid w:val="000E265C"/>
    <w:rsid w:val="000E4521"/>
    <w:rsid w:val="000E71F8"/>
    <w:rsid w:val="000F19E0"/>
    <w:rsid w:val="000F379F"/>
    <w:rsid w:val="000F5668"/>
    <w:rsid w:val="000F7A9A"/>
    <w:rsid w:val="00100E2C"/>
    <w:rsid w:val="0011040F"/>
    <w:rsid w:val="00110FD8"/>
    <w:rsid w:val="0011495E"/>
    <w:rsid w:val="00115079"/>
    <w:rsid w:val="001330A3"/>
    <w:rsid w:val="0013480A"/>
    <w:rsid w:val="001423A2"/>
    <w:rsid w:val="00143FEA"/>
    <w:rsid w:val="00146C12"/>
    <w:rsid w:val="00150F1E"/>
    <w:rsid w:val="00151250"/>
    <w:rsid w:val="00152406"/>
    <w:rsid w:val="001545AA"/>
    <w:rsid w:val="00170866"/>
    <w:rsid w:val="00171B21"/>
    <w:rsid w:val="00173DD3"/>
    <w:rsid w:val="00173F42"/>
    <w:rsid w:val="00174B62"/>
    <w:rsid w:val="0017742D"/>
    <w:rsid w:val="00182BE6"/>
    <w:rsid w:val="00183128"/>
    <w:rsid w:val="00183351"/>
    <w:rsid w:val="00183EEC"/>
    <w:rsid w:val="0018622D"/>
    <w:rsid w:val="0019164C"/>
    <w:rsid w:val="00195880"/>
    <w:rsid w:val="00195C2A"/>
    <w:rsid w:val="00196602"/>
    <w:rsid w:val="001A0240"/>
    <w:rsid w:val="001A1B93"/>
    <w:rsid w:val="001A579A"/>
    <w:rsid w:val="001B07C4"/>
    <w:rsid w:val="001B0AEE"/>
    <w:rsid w:val="001B2DDF"/>
    <w:rsid w:val="001B429D"/>
    <w:rsid w:val="001B4681"/>
    <w:rsid w:val="001B554C"/>
    <w:rsid w:val="001C217C"/>
    <w:rsid w:val="001C390E"/>
    <w:rsid w:val="001C3D70"/>
    <w:rsid w:val="001E3B36"/>
    <w:rsid w:val="001E5DFC"/>
    <w:rsid w:val="001E731D"/>
    <w:rsid w:val="001F0E18"/>
    <w:rsid w:val="001F2710"/>
    <w:rsid w:val="001F6102"/>
    <w:rsid w:val="00205FE3"/>
    <w:rsid w:val="00213397"/>
    <w:rsid w:val="00221D2E"/>
    <w:rsid w:val="00222BD5"/>
    <w:rsid w:val="00223BA5"/>
    <w:rsid w:val="00224A92"/>
    <w:rsid w:val="00231E8C"/>
    <w:rsid w:val="00234C3D"/>
    <w:rsid w:val="00235133"/>
    <w:rsid w:val="002408E7"/>
    <w:rsid w:val="002439BA"/>
    <w:rsid w:val="0024698C"/>
    <w:rsid w:val="00247984"/>
    <w:rsid w:val="002520A0"/>
    <w:rsid w:val="002520B2"/>
    <w:rsid w:val="00252989"/>
    <w:rsid w:val="00255143"/>
    <w:rsid w:val="00256015"/>
    <w:rsid w:val="002561F4"/>
    <w:rsid w:val="00272398"/>
    <w:rsid w:val="002728C4"/>
    <w:rsid w:val="00275DB9"/>
    <w:rsid w:val="002768ED"/>
    <w:rsid w:val="00277E63"/>
    <w:rsid w:val="00282E46"/>
    <w:rsid w:val="0029101C"/>
    <w:rsid w:val="00293D26"/>
    <w:rsid w:val="002A6920"/>
    <w:rsid w:val="002B150A"/>
    <w:rsid w:val="002B2C2B"/>
    <w:rsid w:val="002B773B"/>
    <w:rsid w:val="002C0C5B"/>
    <w:rsid w:val="002C1269"/>
    <w:rsid w:val="002C2510"/>
    <w:rsid w:val="002C78FC"/>
    <w:rsid w:val="002D16B6"/>
    <w:rsid w:val="002D29BD"/>
    <w:rsid w:val="002D2CF7"/>
    <w:rsid w:val="002D306F"/>
    <w:rsid w:val="002D4E21"/>
    <w:rsid w:val="002D768D"/>
    <w:rsid w:val="002E2B02"/>
    <w:rsid w:val="002E4A32"/>
    <w:rsid w:val="002E4F75"/>
    <w:rsid w:val="002F709C"/>
    <w:rsid w:val="0030354D"/>
    <w:rsid w:val="00303DE5"/>
    <w:rsid w:val="00306505"/>
    <w:rsid w:val="00307FCD"/>
    <w:rsid w:val="00313188"/>
    <w:rsid w:val="003148F8"/>
    <w:rsid w:val="00320575"/>
    <w:rsid w:val="003305C8"/>
    <w:rsid w:val="00331F3D"/>
    <w:rsid w:val="00334366"/>
    <w:rsid w:val="003430F4"/>
    <w:rsid w:val="00344FB7"/>
    <w:rsid w:val="00347824"/>
    <w:rsid w:val="00351167"/>
    <w:rsid w:val="003631FB"/>
    <w:rsid w:val="003667E3"/>
    <w:rsid w:val="00367846"/>
    <w:rsid w:val="003706CE"/>
    <w:rsid w:val="0037384F"/>
    <w:rsid w:val="00376A36"/>
    <w:rsid w:val="00381363"/>
    <w:rsid w:val="00382108"/>
    <w:rsid w:val="003866A5"/>
    <w:rsid w:val="00386DB6"/>
    <w:rsid w:val="00387726"/>
    <w:rsid w:val="003904F9"/>
    <w:rsid w:val="00391A08"/>
    <w:rsid w:val="00391FD1"/>
    <w:rsid w:val="00395E6A"/>
    <w:rsid w:val="003A41DD"/>
    <w:rsid w:val="003A4DE4"/>
    <w:rsid w:val="003B0DA4"/>
    <w:rsid w:val="003B4513"/>
    <w:rsid w:val="003C097A"/>
    <w:rsid w:val="003C0CF3"/>
    <w:rsid w:val="003C127F"/>
    <w:rsid w:val="003C551A"/>
    <w:rsid w:val="003E0C90"/>
    <w:rsid w:val="003F2FC5"/>
    <w:rsid w:val="003F4327"/>
    <w:rsid w:val="00400448"/>
    <w:rsid w:val="00404652"/>
    <w:rsid w:val="00407BA1"/>
    <w:rsid w:val="00412C6C"/>
    <w:rsid w:val="00413175"/>
    <w:rsid w:val="00413E18"/>
    <w:rsid w:val="00414724"/>
    <w:rsid w:val="004232A9"/>
    <w:rsid w:val="00431359"/>
    <w:rsid w:val="00440504"/>
    <w:rsid w:val="0044257B"/>
    <w:rsid w:val="0045048D"/>
    <w:rsid w:val="004558B0"/>
    <w:rsid w:val="00455CE0"/>
    <w:rsid w:val="004618F5"/>
    <w:rsid w:val="00462766"/>
    <w:rsid w:val="00465A20"/>
    <w:rsid w:val="00475189"/>
    <w:rsid w:val="004770B6"/>
    <w:rsid w:val="00480285"/>
    <w:rsid w:val="00481DDE"/>
    <w:rsid w:val="00483C61"/>
    <w:rsid w:val="004852BD"/>
    <w:rsid w:val="0048620B"/>
    <w:rsid w:val="004869B7"/>
    <w:rsid w:val="004901E4"/>
    <w:rsid w:val="00490DFB"/>
    <w:rsid w:val="00491292"/>
    <w:rsid w:val="00493D98"/>
    <w:rsid w:val="004A57C1"/>
    <w:rsid w:val="004B346F"/>
    <w:rsid w:val="004B619F"/>
    <w:rsid w:val="004B6258"/>
    <w:rsid w:val="004C7062"/>
    <w:rsid w:val="004D1060"/>
    <w:rsid w:val="004D67D1"/>
    <w:rsid w:val="004D71FF"/>
    <w:rsid w:val="004D78B7"/>
    <w:rsid w:val="004D7F46"/>
    <w:rsid w:val="004E16A8"/>
    <w:rsid w:val="004E405B"/>
    <w:rsid w:val="004E6483"/>
    <w:rsid w:val="004E6CF0"/>
    <w:rsid w:val="004E6DE2"/>
    <w:rsid w:val="004E7E65"/>
    <w:rsid w:val="005001F9"/>
    <w:rsid w:val="0050629D"/>
    <w:rsid w:val="005137BB"/>
    <w:rsid w:val="00514C08"/>
    <w:rsid w:val="00514C2E"/>
    <w:rsid w:val="005211EB"/>
    <w:rsid w:val="005363B7"/>
    <w:rsid w:val="0054097C"/>
    <w:rsid w:val="00540F5A"/>
    <w:rsid w:val="0054662F"/>
    <w:rsid w:val="00546AEA"/>
    <w:rsid w:val="0055410C"/>
    <w:rsid w:val="00565E34"/>
    <w:rsid w:val="00573E57"/>
    <w:rsid w:val="00581CD6"/>
    <w:rsid w:val="00583DA4"/>
    <w:rsid w:val="00584043"/>
    <w:rsid w:val="005863A6"/>
    <w:rsid w:val="005913FE"/>
    <w:rsid w:val="005970E7"/>
    <w:rsid w:val="005A2F20"/>
    <w:rsid w:val="005A4BB0"/>
    <w:rsid w:val="005A6B1F"/>
    <w:rsid w:val="005B095A"/>
    <w:rsid w:val="005B352B"/>
    <w:rsid w:val="005B6CA9"/>
    <w:rsid w:val="005C4224"/>
    <w:rsid w:val="005C65FF"/>
    <w:rsid w:val="005D1E67"/>
    <w:rsid w:val="005D65A2"/>
    <w:rsid w:val="005E0437"/>
    <w:rsid w:val="005E1D46"/>
    <w:rsid w:val="005E353E"/>
    <w:rsid w:val="005E41F9"/>
    <w:rsid w:val="005E4685"/>
    <w:rsid w:val="005E57A1"/>
    <w:rsid w:val="005F197F"/>
    <w:rsid w:val="006020F3"/>
    <w:rsid w:val="0060273F"/>
    <w:rsid w:val="00605566"/>
    <w:rsid w:val="00610061"/>
    <w:rsid w:val="00615D59"/>
    <w:rsid w:val="006171CC"/>
    <w:rsid w:val="0061737A"/>
    <w:rsid w:val="00621A7B"/>
    <w:rsid w:val="00627491"/>
    <w:rsid w:val="00627C8C"/>
    <w:rsid w:val="006344C3"/>
    <w:rsid w:val="00641542"/>
    <w:rsid w:val="00652CD0"/>
    <w:rsid w:val="006553C3"/>
    <w:rsid w:val="00665FD6"/>
    <w:rsid w:val="006729EB"/>
    <w:rsid w:val="0068139C"/>
    <w:rsid w:val="0068191D"/>
    <w:rsid w:val="00685C5A"/>
    <w:rsid w:val="00687053"/>
    <w:rsid w:val="006907EC"/>
    <w:rsid w:val="00691A80"/>
    <w:rsid w:val="006944F3"/>
    <w:rsid w:val="00694E2D"/>
    <w:rsid w:val="006A0C8B"/>
    <w:rsid w:val="006A2B3A"/>
    <w:rsid w:val="006A511E"/>
    <w:rsid w:val="006A629A"/>
    <w:rsid w:val="006A78AA"/>
    <w:rsid w:val="006B009D"/>
    <w:rsid w:val="006B10B1"/>
    <w:rsid w:val="006B702E"/>
    <w:rsid w:val="006C3F71"/>
    <w:rsid w:val="006C5713"/>
    <w:rsid w:val="006C5B0C"/>
    <w:rsid w:val="006D7973"/>
    <w:rsid w:val="006E5101"/>
    <w:rsid w:val="006E5D72"/>
    <w:rsid w:val="006F3905"/>
    <w:rsid w:val="006F43AB"/>
    <w:rsid w:val="006F4AD4"/>
    <w:rsid w:val="00703169"/>
    <w:rsid w:val="0070390F"/>
    <w:rsid w:val="00704A57"/>
    <w:rsid w:val="007101DF"/>
    <w:rsid w:val="00711F59"/>
    <w:rsid w:val="00714C1E"/>
    <w:rsid w:val="00714F38"/>
    <w:rsid w:val="00717720"/>
    <w:rsid w:val="00720276"/>
    <w:rsid w:val="00722034"/>
    <w:rsid w:val="0072263A"/>
    <w:rsid w:val="00726953"/>
    <w:rsid w:val="00732DA4"/>
    <w:rsid w:val="00734D06"/>
    <w:rsid w:val="007351AE"/>
    <w:rsid w:val="00735704"/>
    <w:rsid w:val="007410B9"/>
    <w:rsid w:val="00742C32"/>
    <w:rsid w:val="00746208"/>
    <w:rsid w:val="0074625A"/>
    <w:rsid w:val="00754727"/>
    <w:rsid w:val="00755507"/>
    <w:rsid w:val="00766A16"/>
    <w:rsid w:val="00766D97"/>
    <w:rsid w:val="007701D0"/>
    <w:rsid w:val="00772BFB"/>
    <w:rsid w:val="00773CDC"/>
    <w:rsid w:val="00780AAF"/>
    <w:rsid w:val="00781D79"/>
    <w:rsid w:val="00782036"/>
    <w:rsid w:val="007873F9"/>
    <w:rsid w:val="00790DAE"/>
    <w:rsid w:val="00791214"/>
    <w:rsid w:val="0079483F"/>
    <w:rsid w:val="00795185"/>
    <w:rsid w:val="00797689"/>
    <w:rsid w:val="007A0385"/>
    <w:rsid w:val="007A1956"/>
    <w:rsid w:val="007A25A1"/>
    <w:rsid w:val="007A28B9"/>
    <w:rsid w:val="007B1023"/>
    <w:rsid w:val="007B3247"/>
    <w:rsid w:val="007B61CB"/>
    <w:rsid w:val="007C54FB"/>
    <w:rsid w:val="007C6C5A"/>
    <w:rsid w:val="007D0035"/>
    <w:rsid w:val="007D3E0D"/>
    <w:rsid w:val="007D4EBF"/>
    <w:rsid w:val="007D56BD"/>
    <w:rsid w:val="007E4F8D"/>
    <w:rsid w:val="007E68EA"/>
    <w:rsid w:val="007E6F7C"/>
    <w:rsid w:val="007F00E7"/>
    <w:rsid w:val="007F4587"/>
    <w:rsid w:val="008017EA"/>
    <w:rsid w:val="008064C3"/>
    <w:rsid w:val="0081341F"/>
    <w:rsid w:val="008136A5"/>
    <w:rsid w:val="00821AE8"/>
    <w:rsid w:val="00821CC9"/>
    <w:rsid w:val="008244C6"/>
    <w:rsid w:val="008332AE"/>
    <w:rsid w:val="00833436"/>
    <w:rsid w:val="0083379C"/>
    <w:rsid w:val="008376C1"/>
    <w:rsid w:val="00840FE1"/>
    <w:rsid w:val="00844E6D"/>
    <w:rsid w:val="00845C7A"/>
    <w:rsid w:val="00857C44"/>
    <w:rsid w:val="00860AA3"/>
    <w:rsid w:val="00874FEC"/>
    <w:rsid w:val="008754F0"/>
    <w:rsid w:val="00886309"/>
    <w:rsid w:val="008915F5"/>
    <w:rsid w:val="0089261D"/>
    <w:rsid w:val="00892F78"/>
    <w:rsid w:val="00893740"/>
    <w:rsid w:val="008A189E"/>
    <w:rsid w:val="008A7180"/>
    <w:rsid w:val="008A7C53"/>
    <w:rsid w:val="008B0CB8"/>
    <w:rsid w:val="008B282F"/>
    <w:rsid w:val="008B3AD5"/>
    <w:rsid w:val="008B40DC"/>
    <w:rsid w:val="008B4903"/>
    <w:rsid w:val="008B59B2"/>
    <w:rsid w:val="008B7978"/>
    <w:rsid w:val="008D287D"/>
    <w:rsid w:val="008D3EA8"/>
    <w:rsid w:val="008D6E82"/>
    <w:rsid w:val="008E0FE7"/>
    <w:rsid w:val="008E3BE3"/>
    <w:rsid w:val="008F1CDF"/>
    <w:rsid w:val="008F5E8F"/>
    <w:rsid w:val="008F7985"/>
    <w:rsid w:val="00902381"/>
    <w:rsid w:val="009111F4"/>
    <w:rsid w:val="00912930"/>
    <w:rsid w:val="0091386F"/>
    <w:rsid w:val="00913DA6"/>
    <w:rsid w:val="00915A15"/>
    <w:rsid w:val="00915A7F"/>
    <w:rsid w:val="00916564"/>
    <w:rsid w:val="00917EFA"/>
    <w:rsid w:val="0092086F"/>
    <w:rsid w:val="00921654"/>
    <w:rsid w:val="00922369"/>
    <w:rsid w:val="00931E01"/>
    <w:rsid w:val="009349B3"/>
    <w:rsid w:val="00934C8B"/>
    <w:rsid w:val="009414F9"/>
    <w:rsid w:val="00941613"/>
    <w:rsid w:val="00942A37"/>
    <w:rsid w:val="00950A1C"/>
    <w:rsid w:val="009525C1"/>
    <w:rsid w:val="009540FC"/>
    <w:rsid w:val="009547FE"/>
    <w:rsid w:val="00960C88"/>
    <w:rsid w:val="00961CFD"/>
    <w:rsid w:val="00966A13"/>
    <w:rsid w:val="0097230A"/>
    <w:rsid w:val="0097473D"/>
    <w:rsid w:val="00974F60"/>
    <w:rsid w:val="00980F22"/>
    <w:rsid w:val="009A35C4"/>
    <w:rsid w:val="009A67C5"/>
    <w:rsid w:val="009A7ED1"/>
    <w:rsid w:val="009B008C"/>
    <w:rsid w:val="009B4F2F"/>
    <w:rsid w:val="009B780E"/>
    <w:rsid w:val="009B7F85"/>
    <w:rsid w:val="009C7D5E"/>
    <w:rsid w:val="009D00A5"/>
    <w:rsid w:val="009D0E53"/>
    <w:rsid w:val="009D3740"/>
    <w:rsid w:val="009D607E"/>
    <w:rsid w:val="009E08B3"/>
    <w:rsid w:val="009E1C08"/>
    <w:rsid w:val="009E2A32"/>
    <w:rsid w:val="009F3DC7"/>
    <w:rsid w:val="009F54A5"/>
    <w:rsid w:val="00A000A9"/>
    <w:rsid w:val="00A0048C"/>
    <w:rsid w:val="00A03C6C"/>
    <w:rsid w:val="00A05068"/>
    <w:rsid w:val="00A06944"/>
    <w:rsid w:val="00A10F3F"/>
    <w:rsid w:val="00A1101E"/>
    <w:rsid w:val="00A15D78"/>
    <w:rsid w:val="00A16C00"/>
    <w:rsid w:val="00A216FD"/>
    <w:rsid w:val="00A30008"/>
    <w:rsid w:val="00A32254"/>
    <w:rsid w:val="00A36ED5"/>
    <w:rsid w:val="00A406C0"/>
    <w:rsid w:val="00A43C23"/>
    <w:rsid w:val="00A47F55"/>
    <w:rsid w:val="00A53368"/>
    <w:rsid w:val="00A54B9E"/>
    <w:rsid w:val="00A57CA6"/>
    <w:rsid w:val="00A620F7"/>
    <w:rsid w:val="00A63F5E"/>
    <w:rsid w:val="00A64F0A"/>
    <w:rsid w:val="00A66D88"/>
    <w:rsid w:val="00A722BE"/>
    <w:rsid w:val="00A73CA3"/>
    <w:rsid w:val="00A747BB"/>
    <w:rsid w:val="00A75897"/>
    <w:rsid w:val="00A77A66"/>
    <w:rsid w:val="00A833AA"/>
    <w:rsid w:val="00A83D92"/>
    <w:rsid w:val="00A85600"/>
    <w:rsid w:val="00A909DA"/>
    <w:rsid w:val="00A92BCE"/>
    <w:rsid w:val="00A9309B"/>
    <w:rsid w:val="00A94036"/>
    <w:rsid w:val="00AA046E"/>
    <w:rsid w:val="00AA315A"/>
    <w:rsid w:val="00AB150B"/>
    <w:rsid w:val="00AB21C0"/>
    <w:rsid w:val="00AB3A8F"/>
    <w:rsid w:val="00AB42BE"/>
    <w:rsid w:val="00AB526F"/>
    <w:rsid w:val="00AB58CD"/>
    <w:rsid w:val="00AC1703"/>
    <w:rsid w:val="00AC3011"/>
    <w:rsid w:val="00AD2E86"/>
    <w:rsid w:val="00AE17EB"/>
    <w:rsid w:val="00AE6481"/>
    <w:rsid w:val="00AE69BA"/>
    <w:rsid w:val="00AF218C"/>
    <w:rsid w:val="00AF2BB9"/>
    <w:rsid w:val="00AF2FB1"/>
    <w:rsid w:val="00B02F5A"/>
    <w:rsid w:val="00B108D2"/>
    <w:rsid w:val="00B13829"/>
    <w:rsid w:val="00B15B5F"/>
    <w:rsid w:val="00B16B43"/>
    <w:rsid w:val="00B21E30"/>
    <w:rsid w:val="00B2223E"/>
    <w:rsid w:val="00B26CF0"/>
    <w:rsid w:val="00B27675"/>
    <w:rsid w:val="00B27867"/>
    <w:rsid w:val="00B366E4"/>
    <w:rsid w:val="00B429CD"/>
    <w:rsid w:val="00B51DD3"/>
    <w:rsid w:val="00B55CA9"/>
    <w:rsid w:val="00B5639D"/>
    <w:rsid w:val="00B6618A"/>
    <w:rsid w:val="00B671BB"/>
    <w:rsid w:val="00B71462"/>
    <w:rsid w:val="00B71855"/>
    <w:rsid w:val="00B73B4A"/>
    <w:rsid w:val="00B76663"/>
    <w:rsid w:val="00B80B31"/>
    <w:rsid w:val="00B85708"/>
    <w:rsid w:val="00B92AA5"/>
    <w:rsid w:val="00BA35F5"/>
    <w:rsid w:val="00BA57CA"/>
    <w:rsid w:val="00BA77EB"/>
    <w:rsid w:val="00BB3ACB"/>
    <w:rsid w:val="00BC0678"/>
    <w:rsid w:val="00BC5226"/>
    <w:rsid w:val="00BD1B38"/>
    <w:rsid w:val="00BD78D6"/>
    <w:rsid w:val="00BE0924"/>
    <w:rsid w:val="00BE27FE"/>
    <w:rsid w:val="00BF275A"/>
    <w:rsid w:val="00BF3A2C"/>
    <w:rsid w:val="00C013CC"/>
    <w:rsid w:val="00C0326D"/>
    <w:rsid w:val="00C10F92"/>
    <w:rsid w:val="00C12521"/>
    <w:rsid w:val="00C1321A"/>
    <w:rsid w:val="00C1515D"/>
    <w:rsid w:val="00C2182D"/>
    <w:rsid w:val="00C2639C"/>
    <w:rsid w:val="00C339EF"/>
    <w:rsid w:val="00C34DB5"/>
    <w:rsid w:val="00C36D17"/>
    <w:rsid w:val="00C415B0"/>
    <w:rsid w:val="00C44F58"/>
    <w:rsid w:val="00C478DC"/>
    <w:rsid w:val="00C52529"/>
    <w:rsid w:val="00C60E96"/>
    <w:rsid w:val="00C611D1"/>
    <w:rsid w:val="00C638EA"/>
    <w:rsid w:val="00C63B19"/>
    <w:rsid w:val="00C70145"/>
    <w:rsid w:val="00C72933"/>
    <w:rsid w:val="00C76A54"/>
    <w:rsid w:val="00C868E2"/>
    <w:rsid w:val="00C9265D"/>
    <w:rsid w:val="00C971FE"/>
    <w:rsid w:val="00C97EC8"/>
    <w:rsid w:val="00CA1A03"/>
    <w:rsid w:val="00CB0DE7"/>
    <w:rsid w:val="00CB55E6"/>
    <w:rsid w:val="00CC3BFE"/>
    <w:rsid w:val="00CC5D74"/>
    <w:rsid w:val="00CD4C8E"/>
    <w:rsid w:val="00CD5D0A"/>
    <w:rsid w:val="00CE57DD"/>
    <w:rsid w:val="00CE5D54"/>
    <w:rsid w:val="00CF1EDF"/>
    <w:rsid w:val="00CF2B33"/>
    <w:rsid w:val="00CF3C54"/>
    <w:rsid w:val="00D0217A"/>
    <w:rsid w:val="00D036F5"/>
    <w:rsid w:val="00D05B24"/>
    <w:rsid w:val="00D11049"/>
    <w:rsid w:val="00D13F91"/>
    <w:rsid w:val="00D1499B"/>
    <w:rsid w:val="00D1771E"/>
    <w:rsid w:val="00D233F3"/>
    <w:rsid w:val="00D24665"/>
    <w:rsid w:val="00D24696"/>
    <w:rsid w:val="00D26E7F"/>
    <w:rsid w:val="00D32269"/>
    <w:rsid w:val="00D32FAC"/>
    <w:rsid w:val="00D35ACF"/>
    <w:rsid w:val="00D37800"/>
    <w:rsid w:val="00D37DD5"/>
    <w:rsid w:val="00D41201"/>
    <w:rsid w:val="00D52616"/>
    <w:rsid w:val="00D574FE"/>
    <w:rsid w:val="00D602D1"/>
    <w:rsid w:val="00D62DEB"/>
    <w:rsid w:val="00D66310"/>
    <w:rsid w:val="00D75525"/>
    <w:rsid w:val="00D765F1"/>
    <w:rsid w:val="00D849F9"/>
    <w:rsid w:val="00D90F54"/>
    <w:rsid w:val="00D97B28"/>
    <w:rsid w:val="00DA6625"/>
    <w:rsid w:val="00DA6A61"/>
    <w:rsid w:val="00DA71ED"/>
    <w:rsid w:val="00DB7E9B"/>
    <w:rsid w:val="00DC0171"/>
    <w:rsid w:val="00DC0C8A"/>
    <w:rsid w:val="00DC1D80"/>
    <w:rsid w:val="00DC7055"/>
    <w:rsid w:val="00DD1919"/>
    <w:rsid w:val="00DD36AB"/>
    <w:rsid w:val="00DD5204"/>
    <w:rsid w:val="00DD539A"/>
    <w:rsid w:val="00DD69E6"/>
    <w:rsid w:val="00DE0A38"/>
    <w:rsid w:val="00DE4B08"/>
    <w:rsid w:val="00DF3D0E"/>
    <w:rsid w:val="00DF3ECE"/>
    <w:rsid w:val="00DF5613"/>
    <w:rsid w:val="00E01D3D"/>
    <w:rsid w:val="00E02E51"/>
    <w:rsid w:val="00E075BF"/>
    <w:rsid w:val="00E116C8"/>
    <w:rsid w:val="00E13236"/>
    <w:rsid w:val="00E138B3"/>
    <w:rsid w:val="00E14D28"/>
    <w:rsid w:val="00E16449"/>
    <w:rsid w:val="00E17F55"/>
    <w:rsid w:val="00E20E7E"/>
    <w:rsid w:val="00E2199B"/>
    <w:rsid w:val="00E237AA"/>
    <w:rsid w:val="00E23B40"/>
    <w:rsid w:val="00E23BD1"/>
    <w:rsid w:val="00E26835"/>
    <w:rsid w:val="00E26E67"/>
    <w:rsid w:val="00E31917"/>
    <w:rsid w:val="00E3275A"/>
    <w:rsid w:val="00E35202"/>
    <w:rsid w:val="00E3672D"/>
    <w:rsid w:val="00E41E53"/>
    <w:rsid w:val="00E51F5A"/>
    <w:rsid w:val="00E55E4B"/>
    <w:rsid w:val="00E5712B"/>
    <w:rsid w:val="00E61039"/>
    <w:rsid w:val="00E61086"/>
    <w:rsid w:val="00E73B84"/>
    <w:rsid w:val="00E77095"/>
    <w:rsid w:val="00E90D6F"/>
    <w:rsid w:val="00E93B92"/>
    <w:rsid w:val="00EA36A9"/>
    <w:rsid w:val="00EA37C1"/>
    <w:rsid w:val="00EA4B3F"/>
    <w:rsid w:val="00EB0FA2"/>
    <w:rsid w:val="00EC21F2"/>
    <w:rsid w:val="00EC6168"/>
    <w:rsid w:val="00EC75B2"/>
    <w:rsid w:val="00EC760C"/>
    <w:rsid w:val="00ED08DF"/>
    <w:rsid w:val="00ED3DAE"/>
    <w:rsid w:val="00ED5E63"/>
    <w:rsid w:val="00ED6066"/>
    <w:rsid w:val="00ED6BD9"/>
    <w:rsid w:val="00EE37BB"/>
    <w:rsid w:val="00EE68BC"/>
    <w:rsid w:val="00EF01F4"/>
    <w:rsid w:val="00EF0423"/>
    <w:rsid w:val="00EF1A7C"/>
    <w:rsid w:val="00EF20D7"/>
    <w:rsid w:val="00EF4F45"/>
    <w:rsid w:val="00EF6BC3"/>
    <w:rsid w:val="00EF6BC7"/>
    <w:rsid w:val="00EF776C"/>
    <w:rsid w:val="00F007FB"/>
    <w:rsid w:val="00F058F5"/>
    <w:rsid w:val="00F10CF1"/>
    <w:rsid w:val="00F15562"/>
    <w:rsid w:val="00F22063"/>
    <w:rsid w:val="00F24010"/>
    <w:rsid w:val="00F31747"/>
    <w:rsid w:val="00F33D65"/>
    <w:rsid w:val="00F428F0"/>
    <w:rsid w:val="00F443AA"/>
    <w:rsid w:val="00F51D40"/>
    <w:rsid w:val="00F57E9A"/>
    <w:rsid w:val="00F64765"/>
    <w:rsid w:val="00F66D8F"/>
    <w:rsid w:val="00F73423"/>
    <w:rsid w:val="00F849F6"/>
    <w:rsid w:val="00F87139"/>
    <w:rsid w:val="00F9252B"/>
    <w:rsid w:val="00F925AE"/>
    <w:rsid w:val="00F9262C"/>
    <w:rsid w:val="00F955A6"/>
    <w:rsid w:val="00F97ECF"/>
    <w:rsid w:val="00FA2690"/>
    <w:rsid w:val="00FB1BF3"/>
    <w:rsid w:val="00FB5881"/>
    <w:rsid w:val="00FC2870"/>
    <w:rsid w:val="00FD3288"/>
    <w:rsid w:val="00FD3583"/>
    <w:rsid w:val="00FD6F43"/>
    <w:rsid w:val="00FE0C7D"/>
    <w:rsid w:val="00FE2B15"/>
    <w:rsid w:val="00FE671B"/>
    <w:rsid w:val="00FE69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FC30D6"/>
  <w15:docId w15:val="{0312081F-50D4-4818-9A95-9F72ED4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36"/>
    <w:rPr>
      <w:sz w:val="24"/>
    </w:rPr>
  </w:style>
  <w:style w:type="paragraph" w:styleId="Heading1">
    <w:name w:val="heading 1"/>
    <w:basedOn w:val="ListParagraph"/>
    <w:next w:val="Normal"/>
    <w:link w:val="Heading1Char"/>
    <w:qFormat/>
    <w:rsid w:val="0011495E"/>
    <w:pPr>
      <w:spacing w:line="480" w:lineRule="auto"/>
      <w:ind w:hanging="720"/>
      <w:outlineLvl w:val="0"/>
    </w:pPr>
    <w:rPr>
      <w:b/>
      <w:bCs/>
      <w:szCs w:val="24"/>
    </w:rPr>
  </w:style>
  <w:style w:type="paragraph" w:styleId="Heading2">
    <w:name w:val="heading 2"/>
    <w:basedOn w:val="BodyTextIndent3"/>
    <w:next w:val="Normal"/>
    <w:qFormat/>
    <w:rsid w:val="00076F8C"/>
    <w:pPr>
      <w:keepNext/>
      <w:keepLines/>
      <w:numPr>
        <w:numId w:val="9"/>
      </w:numPr>
      <w:spacing w:after="240" w:line="240" w:lineRule="auto"/>
      <w:ind w:left="1440"/>
      <w:outlineLvl w:val="1"/>
    </w:pPr>
    <w:rPr>
      <w:b/>
      <w:szCs w:val="24"/>
    </w:rPr>
  </w:style>
  <w:style w:type="paragraph" w:styleId="Heading3">
    <w:name w:val="heading 3"/>
    <w:basedOn w:val="Normal"/>
    <w:next w:val="Normal"/>
    <w:qFormat/>
    <w:rsid w:val="00726953"/>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26953"/>
    <w:pPr>
      <w:tabs>
        <w:tab w:val="center" w:pos="4320"/>
        <w:tab w:val="right" w:pos="8640"/>
      </w:tabs>
    </w:pPr>
    <w:rPr>
      <w:sz w:val="20"/>
    </w:rPr>
  </w:style>
  <w:style w:type="character" w:styleId="Hyperlink">
    <w:name w:val="Hyperlink"/>
    <w:uiPriority w:val="99"/>
    <w:rsid w:val="00726953"/>
    <w:rPr>
      <w:color w:val="0000FF"/>
      <w:u w:val="single"/>
    </w:rPr>
  </w:style>
  <w:style w:type="paragraph" w:styleId="FootnoteText">
    <w:name w:val="footnote text"/>
    <w:basedOn w:val="Normal"/>
    <w:link w:val="FootnoteTextChar"/>
    <w:semiHidden/>
    <w:rsid w:val="00726953"/>
    <w:rPr>
      <w:sz w:val="20"/>
    </w:rPr>
  </w:style>
  <w:style w:type="character" w:styleId="FootnoteReference">
    <w:name w:val="footnote reference"/>
    <w:semiHidden/>
    <w:rsid w:val="00726953"/>
    <w:rPr>
      <w:vertAlign w:val="superscript"/>
    </w:rPr>
  </w:style>
  <w:style w:type="paragraph" w:styleId="BodyTextIndent">
    <w:name w:val="Body Text Indent"/>
    <w:basedOn w:val="Normal"/>
    <w:rsid w:val="00726953"/>
    <w:pPr>
      <w:spacing w:line="480" w:lineRule="auto"/>
      <w:ind w:firstLine="720"/>
    </w:pPr>
  </w:style>
  <w:style w:type="paragraph" w:styleId="BodyTextIndent3">
    <w:name w:val="Body Text Indent 3"/>
    <w:basedOn w:val="Normal"/>
    <w:link w:val="BodyTextIndent3Char"/>
    <w:rsid w:val="00726953"/>
    <w:pPr>
      <w:spacing w:line="480" w:lineRule="atLeast"/>
      <w:ind w:firstLine="720"/>
    </w:pPr>
  </w:style>
  <w:style w:type="paragraph" w:styleId="BodyTextIndent2">
    <w:name w:val="Body Text Indent 2"/>
    <w:basedOn w:val="Normal"/>
    <w:rsid w:val="00726953"/>
    <w:pPr>
      <w:tabs>
        <w:tab w:val="left" w:pos="720"/>
      </w:tabs>
      <w:spacing w:before="240" w:after="240"/>
      <w:ind w:left="1464" w:hanging="744"/>
    </w:pPr>
  </w:style>
  <w:style w:type="character" w:styleId="PageNumber">
    <w:name w:val="page number"/>
    <w:basedOn w:val="DefaultParagraphFont"/>
    <w:rsid w:val="00726953"/>
  </w:style>
  <w:style w:type="paragraph" w:styleId="BodyText">
    <w:name w:val="Body Text"/>
    <w:basedOn w:val="Normal"/>
    <w:link w:val="BodyTextChar"/>
    <w:rsid w:val="00726953"/>
    <w:pPr>
      <w:jc w:val="both"/>
    </w:pPr>
  </w:style>
  <w:style w:type="paragraph" w:styleId="BlockText">
    <w:name w:val="Block Text"/>
    <w:basedOn w:val="Normal"/>
    <w:rsid w:val="00726953"/>
    <w:pPr>
      <w:ind w:left="1440" w:right="720"/>
    </w:pPr>
  </w:style>
  <w:style w:type="paragraph" w:styleId="EndnoteText">
    <w:name w:val="endnote text"/>
    <w:basedOn w:val="Normal"/>
    <w:semiHidden/>
    <w:rsid w:val="00726953"/>
    <w:rPr>
      <w:sz w:val="20"/>
    </w:rPr>
  </w:style>
  <w:style w:type="character" w:styleId="EndnoteReference">
    <w:name w:val="endnote reference"/>
    <w:semiHidden/>
    <w:rsid w:val="00726953"/>
    <w:rPr>
      <w:vertAlign w:val="superscript"/>
    </w:rPr>
  </w:style>
  <w:style w:type="paragraph" w:styleId="BodyText2">
    <w:name w:val="Body Text 2"/>
    <w:basedOn w:val="Normal"/>
    <w:rsid w:val="00726953"/>
    <w:pPr>
      <w:spacing w:line="480" w:lineRule="auto"/>
      <w:ind w:right="1440"/>
    </w:pPr>
  </w:style>
  <w:style w:type="paragraph" w:styleId="Header">
    <w:name w:val="header"/>
    <w:basedOn w:val="Normal"/>
    <w:rsid w:val="00726953"/>
    <w:pPr>
      <w:tabs>
        <w:tab w:val="center" w:pos="4320"/>
        <w:tab w:val="right" w:pos="8640"/>
      </w:tabs>
    </w:pPr>
  </w:style>
  <w:style w:type="paragraph" w:styleId="BalloonText">
    <w:name w:val="Balloon Text"/>
    <w:basedOn w:val="Normal"/>
    <w:semiHidden/>
    <w:rsid w:val="00726953"/>
    <w:rPr>
      <w:rFonts w:ascii="Lucida Grande" w:hAnsi="Lucida Grande"/>
      <w:sz w:val="18"/>
      <w:szCs w:val="18"/>
    </w:rPr>
  </w:style>
  <w:style w:type="character" w:styleId="CommentReference">
    <w:name w:val="annotation reference"/>
    <w:uiPriority w:val="99"/>
    <w:semiHidden/>
    <w:rsid w:val="00726953"/>
    <w:rPr>
      <w:sz w:val="18"/>
    </w:rPr>
  </w:style>
  <w:style w:type="paragraph" w:styleId="CommentText">
    <w:name w:val="annotation text"/>
    <w:basedOn w:val="Normal"/>
    <w:link w:val="CommentTextChar"/>
    <w:rsid w:val="00726953"/>
    <w:rPr>
      <w:szCs w:val="24"/>
    </w:rPr>
  </w:style>
  <w:style w:type="paragraph" w:styleId="CommentSubject">
    <w:name w:val="annotation subject"/>
    <w:basedOn w:val="CommentText"/>
    <w:next w:val="CommentText"/>
    <w:semiHidden/>
    <w:rsid w:val="00726953"/>
    <w:rPr>
      <w:szCs w:val="20"/>
    </w:rPr>
  </w:style>
  <w:style w:type="character" w:styleId="FollowedHyperlink">
    <w:name w:val="FollowedHyperlink"/>
    <w:rsid w:val="00726953"/>
    <w:rPr>
      <w:color w:val="800080"/>
      <w:u w:val="single"/>
    </w:rPr>
  </w:style>
  <w:style w:type="character" w:customStyle="1" w:styleId="term1">
    <w:name w:val="term1"/>
    <w:rsid w:val="00726953"/>
    <w:rPr>
      <w:b/>
      <w:bCs/>
    </w:rPr>
  </w:style>
  <w:style w:type="table" w:styleId="TableGrid">
    <w:name w:val="Table Grid"/>
    <w:basedOn w:val="TableNormal"/>
    <w:rsid w:val="0072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26953"/>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D5095"/>
    <w:rPr>
      <w:color w:val="605E5C"/>
      <w:shd w:val="clear" w:color="auto" w:fill="E1DFDD"/>
    </w:rPr>
  </w:style>
  <w:style w:type="character" w:customStyle="1" w:styleId="CommentTextChar">
    <w:name w:val="Comment Text Char"/>
    <w:basedOn w:val="DefaultParagraphFont"/>
    <w:link w:val="CommentText"/>
    <w:rsid w:val="009A2718"/>
    <w:rPr>
      <w:sz w:val="24"/>
      <w:szCs w:val="24"/>
    </w:rPr>
  </w:style>
  <w:style w:type="character" w:customStyle="1" w:styleId="FootnoteTextChar">
    <w:name w:val="Footnote Text Char"/>
    <w:basedOn w:val="DefaultParagraphFont"/>
    <w:link w:val="FootnoteText"/>
    <w:semiHidden/>
    <w:rsid w:val="006A78AA"/>
  </w:style>
  <w:style w:type="character" w:customStyle="1" w:styleId="BodyTextIndent3Char">
    <w:name w:val="Body Text Indent 3 Char"/>
    <w:basedOn w:val="DefaultParagraphFont"/>
    <w:link w:val="BodyTextIndent3"/>
    <w:rsid w:val="006A78AA"/>
    <w:rPr>
      <w:sz w:val="24"/>
    </w:rPr>
  </w:style>
  <w:style w:type="paragraph" w:customStyle="1" w:styleId="Style1">
    <w:name w:val="Style1"/>
    <w:basedOn w:val="BodyTextIndent3"/>
    <w:link w:val="Style1Char"/>
    <w:qFormat/>
    <w:rsid w:val="007A0385"/>
    <w:pPr>
      <w:keepNext/>
      <w:keepLines/>
      <w:spacing w:after="240" w:line="240" w:lineRule="auto"/>
      <w:ind w:right="-317" w:firstLine="0"/>
    </w:pPr>
    <w:rPr>
      <w:b/>
    </w:rPr>
  </w:style>
  <w:style w:type="character" w:customStyle="1" w:styleId="Style1Char">
    <w:name w:val="Style1 Char"/>
    <w:basedOn w:val="BodyTextIndent3Char"/>
    <w:link w:val="Style1"/>
    <w:rsid w:val="007A0385"/>
    <w:rPr>
      <w:b/>
      <w:sz w:val="24"/>
    </w:rPr>
  </w:style>
  <w:style w:type="character" w:styleId="BookTitle">
    <w:name w:val="Book Title"/>
    <w:basedOn w:val="DefaultParagraphFont"/>
    <w:uiPriority w:val="33"/>
    <w:qFormat/>
    <w:rsid w:val="007A0385"/>
    <w:rPr>
      <w:spacing w:val="5"/>
    </w:rPr>
  </w:style>
  <w:style w:type="paragraph" w:styleId="ListParagraph">
    <w:name w:val="List Paragraph"/>
    <w:basedOn w:val="Normal"/>
    <w:uiPriority w:val="34"/>
    <w:qFormat/>
    <w:rsid w:val="007A0385"/>
    <w:pPr>
      <w:ind w:left="720"/>
      <w:contextualSpacing/>
    </w:pPr>
  </w:style>
  <w:style w:type="character" w:customStyle="1" w:styleId="UnresolvedMention2">
    <w:name w:val="Unresolved Mention2"/>
    <w:basedOn w:val="DefaultParagraphFont"/>
    <w:uiPriority w:val="99"/>
    <w:semiHidden/>
    <w:unhideWhenUsed/>
    <w:rsid w:val="00892F78"/>
    <w:rPr>
      <w:color w:val="605E5C"/>
      <w:shd w:val="clear" w:color="auto" w:fill="E1DFDD"/>
    </w:rPr>
  </w:style>
  <w:style w:type="character" w:customStyle="1" w:styleId="HTMLPreformattedChar">
    <w:name w:val="HTML Preformatted Char"/>
    <w:basedOn w:val="DefaultParagraphFont"/>
    <w:link w:val="HTMLPreformatted"/>
    <w:rsid w:val="001C390E"/>
    <w:rPr>
      <w:rFonts w:ascii="Courier New" w:eastAsia="Courier New" w:hAnsi="Courier New" w:cs="Courier New"/>
    </w:rPr>
  </w:style>
  <w:style w:type="character" w:customStyle="1" w:styleId="FooterChar">
    <w:name w:val="Footer Char"/>
    <w:basedOn w:val="DefaultParagraphFont"/>
    <w:link w:val="Footer"/>
    <w:uiPriority w:val="99"/>
    <w:rsid w:val="00C013CC"/>
  </w:style>
  <w:style w:type="character" w:customStyle="1" w:styleId="BodyTextChar">
    <w:name w:val="Body Text Char"/>
    <w:basedOn w:val="DefaultParagraphFont"/>
    <w:link w:val="BodyText"/>
    <w:rsid w:val="002A6920"/>
    <w:rPr>
      <w:sz w:val="24"/>
    </w:rPr>
  </w:style>
  <w:style w:type="paragraph" w:styleId="Revision">
    <w:name w:val="Revision"/>
    <w:hidden/>
    <w:uiPriority w:val="99"/>
    <w:semiHidden/>
    <w:rsid w:val="00546AEA"/>
    <w:rPr>
      <w:sz w:val="24"/>
    </w:rPr>
  </w:style>
  <w:style w:type="character" w:customStyle="1" w:styleId="Heading1Char">
    <w:name w:val="Heading 1 Char"/>
    <w:basedOn w:val="DefaultParagraphFont"/>
    <w:link w:val="Heading1"/>
    <w:rsid w:val="001E3B36"/>
    <w:rPr>
      <w:b/>
      <w:bCs/>
      <w:sz w:val="24"/>
      <w:szCs w:val="24"/>
    </w:rPr>
  </w:style>
  <w:style w:type="paragraph" w:styleId="TOC1">
    <w:name w:val="toc 1"/>
    <w:basedOn w:val="Normal"/>
    <w:next w:val="Normal"/>
    <w:autoRedefine/>
    <w:uiPriority w:val="39"/>
    <w:unhideWhenUsed/>
    <w:qFormat/>
    <w:rsid w:val="00057887"/>
    <w:pPr>
      <w:tabs>
        <w:tab w:val="decimal" w:leader="dot" w:pos="9360"/>
      </w:tabs>
      <w:spacing w:after="240"/>
      <w:ind w:left="720" w:hanging="720"/>
      <w:outlineLvl w:val="0"/>
    </w:pPr>
    <w:rPr>
      <w:rFonts w:eastAsiaTheme="minorHAnsi" w:cstheme="minorBidi"/>
      <w:szCs w:val="22"/>
    </w:rPr>
  </w:style>
  <w:style w:type="paragraph" w:styleId="TOC2">
    <w:name w:val="toc 2"/>
    <w:basedOn w:val="Normal"/>
    <w:next w:val="Normal"/>
    <w:autoRedefine/>
    <w:uiPriority w:val="39"/>
    <w:unhideWhenUsed/>
    <w:qFormat/>
    <w:rsid w:val="00057887"/>
    <w:pPr>
      <w:tabs>
        <w:tab w:val="left" w:pos="2160"/>
        <w:tab w:val="decimal" w:leader="dot" w:pos="9360"/>
      </w:tabs>
      <w:spacing w:after="240"/>
      <w:ind w:left="1440" w:hanging="720"/>
      <w:outlineLvl w:val="1"/>
    </w:pPr>
    <w:rPr>
      <w:rFonts w:eastAsiaTheme="minorHAnsi" w:cstheme="minorBidi"/>
      <w:szCs w:val="22"/>
    </w:rPr>
  </w:style>
  <w:style w:type="paragraph" w:styleId="TOC3">
    <w:name w:val="toc 3"/>
    <w:basedOn w:val="Normal"/>
    <w:next w:val="Normal"/>
    <w:autoRedefine/>
    <w:uiPriority w:val="39"/>
    <w:unhideWhenUsed/>
    <w:rsid w:val="00057887"/>
    <w:pPr>
      <w:tabs>
        <w:tab w:val="left" w:pos="2160"/>
        <w:tab w:val="decimal" w:leader="dot" w:pos="9360"/>
      </w:tabs>
      <w:spacing w:after="240"/>
      <w:ind w:left="2160" w:hanging="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mailto:Thomas.lindgren@ohioago.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gkrassen@bricker.com" TargetMode="External" /><Relationship Id="rId19" Type="http://schemas.openxmlformats.org/officeDocument/2006/relationships/hyperlink" Target="mailto:dstinson@bricker.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rkelter@elpc.org" TargetMode="External" /><Relationship Id="rId22" Type="http://schemas.openxmlformats.org/officeDocument/2006/relationships/hyperlink" Target="mailto:jweber@elpc.org" TargetMode="External" /><Relationship Id="rId23" Type="http://schemas.openxmlformats.org/officeDocument/2006/relationships/hyperlink" Target="mailto:Bojko@carpenterlipps.com" TargetMode="External" /><Relationship Id="rId24" Type="http://schemas.openxmlformats.org/officeDocument/2006/relationships/hyperlink" Target="mailto:ghiloni@carpenterlipps.com" TargetMode="External" /><Relationship Id="rId25" Type="http://schemas.openxmlformats.org/officeDocument/2006/relationships/hyperlink" Target="mailto:glpetrucci@vorys.com" TargetMode="External" /><Relationship Id="rId26" Type="http://schemas.openxmlformats.org/officeDocument/2006/relationships/hyperlink" Target="mailto:mwarnock@bricker.com" TargetMode="External" /><Relationship Id="rId27" Type="http://schemas.openxmlformats.org/officeDocument/2006/relationships/hyperlink" Target="mailto:dborchers@bricker.com" TargetMode="External" /><Relationship Id="rId28" Type="http://schemas.openxmlformats.org/officeDocument/2006/relationships/hyperlink" Target="mailto:Megan.addison@puc.state.oh.us" TargetMode="External" /><Relationship Id="rId29" Type="http://schemas.openxmlformats.org/officeDocument/2006/relationships/hyperlink" Target="mailto:Gregory.price@puc.state.oh.us" TargetMode="External" /><Relationship Id="rId3" Type="http://schemas.openxmlformats.org/officeDocument/2006/relationships/webSettings" Target="webSettings.xml" /><Relationship Id="rId30" Type="http://schemas.openxmlformats.org/officeDocument/2006/relationships/hyperlink" Target="mailto:cwatchorn@firstenergycorp.com" TargetMode="External" /><Relationship Id="rId31" Type="http://schemas.openxmlformats.org/officeDocument/2006/relationships/hyperlink" Target="mailto:bknipe@firstenergycorp.com" TargetMode="External" /><Relationship Id="rId32" Type="http://schemas.openxmlformats.org/officeDocument/2006/relationships/hyperlink" Target="mailto:mkeaney@calfee.com" TargetMode="External" /><Relationship Id="rId33" Type="http://schemas.openxmlformats.org/officeDocument/2006/relationships/hyperlink" Target="mailto:mpritchard@mwncmh.com" TargetMode="External" /><Relationship Id="rId34" Type="http://schemas.openxmlformats.org/officeDocument/2006/relationships/hyperlink" Target="mailto:rdove@keglerbrown.com" TargetMode="External" /><Relationship Id="rId35" Type="http://schemas.openxmlformats.org/officeDocument/2006/relationships/hyperlink" Target="mailto:mdortch@kravitzllc.com" TargetMode="External" /><Relationship Id="rId36" Type="http://schemas.openxmlformats.org/officeDocument/2006/relationships/hyperlink" Target="mailto:dparram@bricker.com" TargetMode="External" /><Relationship Id="rId37" Type="http://schemas.openxmlformats.org/officeDocument/2006/relationships/hyperlink" Target="mailto:joliker@igsenergy.com" TargetMode="External" /><Relationship Id="rId38" Type="http://schemas.openxmlformats.org/officeDocument/2006/relationships/hyperlink" Target="mailto:mnugent@igsenergy.com" TargetMode="External" /><Relationship Id="rId39" Type="http://schemas.openxmlformats.org/officeDocument/2006/relationships/hyperlink" Target="mailto:Bethany.Allen@igs.com" TargetMode="External" /><Relationship Id="rId4" Type="http://schemas.openxmlformats.org/officeDocument/2006/relationships/fontTable" Target="fontTable.xml" /><Relationship Id="rId40" Type="http://schemas.openxmlformats.org/officeDocument/2006/relationships/hyperlink" Target="mailto:whitt@whitt-sturtevant.com" TargetMode="External" /><Relationship Id="rId41" Type="http://schemas.openxmlformats.org/officeDocument/2006/relationships/hyperlink" Target="mailto:kennedy@whitt-sturtevant.com" TargetMode="External" /><Relationship Id="rId42" Type="http://schemas.openxmlformats.org/officeDocument/2006/relationships/hyperlink" Target="mailto:dproano@bakerlaw.com" TargetMode="External" /><Relationship Id="rId43" Type="http://schemas.openxmlformats.org/officeDocument/2006/relationships/hyperlink" Target="mailto:ahaque@bakerlaw.com" TargetMode="External" /><Relationship Id="rId44" Type="http://schemas.openxmlformats.org/officeDocument/2006/relationships/hyperlink" Target="mailto:eprouty@bakerlaw.com" TargetMode="Externa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F80B-724A-442A-81DC-499E0468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2023-08-25T20:57:05Z</dcterms:created>
  <dcterms:modified xsi:type="dcterms:W3CDTF">2023-08-25T20:57:05Z</dcterms:modified>
</cp:coreProperties>
</file>