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C24C80" w:rsidRPr="00FD5750" w14:paraId="4EC34B73" w14:textId="0BBC0B3B">
      <w:pPr>
        <w:pStyle w:val="HTMLPreformatted"/>
        <w:jc w:val="center"/>
        <w:rPr>
          <w:rFonts w:ascii="Times New Roman" w:hAnsi="Times New Roman" w:cs="Times New Roman"/>
          <w:b/>
          <w:bCs/>
          <w:sz w:val="24"/>
          <w:szCs w:val="24"/>
        </w:rPr>
      </w:pPr>
      <w:r w:rsidRPr="00FD5750">
        <w:rPr>
          <w:rFonts w:ascii="Times New Roman" w:hAnsi="Times New Roman" w:cs="Times New Roman"/>
          <w:b/>
          <w:bCs/>
          <w:sz w:val="24"/>
          <w:szCs w:val="24"/>
        </w:rPr>
        <w:t>BEFORE</w:t>
      </w:r>
    </w:p>
    <w:p w:rsidR="00C24C80" w:rsidRPr="00FD5750" w14:paraId="353250A5" w14:textId="77777777">
      <w:pPr>
        <w:pStyle w:val="HTMLPreformatted"/>
        <w:jc w:val="center"/>
        <w:rPr>
          <w:rFonts w:ascii="Times New Roman" w:hAnsi="Times New Roman" w:cs="Times New Roman"/>
          <w:sz w:val="24"/>
          <w:szCs w:val="24"/>
        </w:rPr>
      </w:pPr>
      <w:r w:rsidRPr="00FD5750">
        <w:rPr>
          <w:rFonts w:ascii="Times New Roman" w:hAnsi="Times New Roman" w:cs="Times New Roman"/>
          <w:b/>
          <w:bCs/>
          <w:sz w:val="24"/>
          <w:szCs w:val="24"/>
        </w:rPr>
        <w:t>THE PUBLIC UTILITIES COMMISSION OF OHIO</w:t>
      </w:r>
    </w:p>
    <w:p w:rsidR="00AE4906" w:rsidRPr="00FD5750" w:rsidP="00AE4906" w14:paraId="664CA9EC" w14:textId="77777777"/>
    <w:tbl>
      <w:tblPr>
        <w:tblW w:w="9092" w:type="dxa"/>
        <w:tblLook w:val="01E0"/>
      </w:tblPr>
      <w:tblGrid>
        <w:gridCol w:w="4332"/>
        <w:gridCol w:w="528"/>
        <w:gridCol w:w="4232"/>
      </w:tblGrid>
      <w:tr w14:paraId="06C88C52" w14:textId="77777777" w:rsidTr="00C21E21">
        <w:tblPrEx>
          <w:tblW w:w="9092" w:type="dxa"/>
          <w:tblLook w:val="01E0"/>
        </w:tblPrEx>
        <w:tc>
          <w:tcPr>
            <w:tcW w:w="4332" w:type="dxa"/>
            <w:shd w:val="clear" w:color="auto" w:fill="auto"/>
          </w:tcPr>
          <w:p w:rsidR="007660EB" w:rsidRPr="00FD5750" w:rsidP="007660EB" w14:paraId="261FB6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FD5750">
              <w:t>In the Matter of the Application of the Dayton Power and Light Company d/b/a AES Ohio for Approval of Its Electric Security Plan.</w:t>
            </w:r>
          </w:p>
        </w:tc>
        <w:tc>
          <w:tcPr>
            <w:tcW w:w="528" w:type="dxa"/>
            <w:shd w:val="clear" w:color="auto" w:fill="auto"/>
          </w:tcPr>
          <w:p w:rsidR="007660EB" w:rsidRPr="00FD5750" w:rsidP="007660EB" w14:paraId="29B1B7F1" w14:textId="77777777">
            <w:r w:rsidRPr="00FD5750">
              <w:t>)</w:t>
            </w:r>
          </w:p>
          <w:p w:rsidR="007660EB" w:rsidRPr="00FD5750" w:rsidP="007660EB" w14:paraId="21EA5F23" w14:textId="77777777">
            <w:r w:rsidRPr="00FD5750">
              <w:t>)</w:t>
            </w:r>
          </w:p>
          <w:p w:rsidR="007660EB" w:rsidRPr="00FD5750" w:rsidP="007660EB" w14:paraId="3750793D" w14:textId="77777777">
            <w:r w:rsidRPr="00FD5750">
              <w:t>)</w:t>
            </w:r>
          </w:p>
          <w:p w:rsidR="007660EB" w:rsidRPr="00FD5750" w:rsidP="007660EB" w14:paraId="2547E37E" w14:textId="77777777">
            <w:r w:rsidRPr="00FD5750">
              <w:t>)</w:t>
            </w:r>
          </w:p>
        </w:tc>
        <w:tc>
          <w:tcPr>
            <w:tcW w:w="4232" w:type="dxa"/>
            <w:shd w:val="clear" w:color="auto" w:fill="auto"/>
          </w:tcPr>
          <w:p w:rsidR="007660EB" w:rsidRPr="00FD5750" w:rsidP="007660EB" w14:paraId="51EF1371" w14:textId="77777777"/>
          <w:p w:rsidR="007660EB" w:rsidRPr="00FD5750" w:rsidP="007660EB" w14:paraId="64B820A0" w14:textId="77777777">
            <w:pPr>
              <w:rPr>
                <w:rFonts w:eastAsia="Courier New"/>
              </w:rPr>
            </w:pPr>
            <w:r w:rsidRPr="00FD5750">
              <w:t>Case No. 22-900-EL-SSO</w:t>
            </w:r>
          </w:p>
        </w:tc>
      </w:tr>
    </w:tbl>
    <w:p w:rsidR="00C24C80" w:rsidRPr="00FD5750" w14:paraId="56BBD25F" w14:textId="77777777">
      <w:pPr>
        <w:pBdr>
          <w:bottom w:val="single" w:sz="12" w:space="1" w:color="auto"/>
        </w:pBdr>
        <w:rPr>
          <w:b/>
        </w:rPr>
      </w:pPr>
    </w:p>
    <w:p w:rsidR="00C24C80" w:rsidRPr="00FD5750" w14:paraId="7E826345" w14:textId="77777777">
      <w:pPr>
        <w:jc w:val="center"/>
        <w:rPr>
          <w:b/>
        </w:rPr>
      </w:pPr>
    </w:p>
    <w:p w:rsidR="00C24C80" w:rsidRPr="00FD5750" w14:paraId="6B274952" w14:textId="77777777">
      <w:pPr>
        <w:jc w:val="center"/>
        <w:rPr>
          <w:b/>
        </w:rPr>
      </w:pPr>
      <w:r w:rsidRPr="00FD5750">
        <w:rPr>
          <w:b/>
        </w:rPr>
        <w:t xml:space="preserve">MOTION TO TAKE ADMINISTRATIVE NOTICE </w:t>
      </w:r>
    </w:p>
    <w:p w:rsidR="00C24C80" w:rsidRPr="00FD5750" w14:paraId="5D34C759" w14:textId="77777777">
      <w:pPr>
        <w:jc w:val="center"/>
        <w:rPr>
          <w:b/>
        </w:rPr>
      </w:pPr>
      <w:r w:rsidRPr="00FD5750">
        <w:rPr>
          <w:b/>
        </w:rPr>
        <w:t>BY</w:t>
      </w:r>
    </w:p>
    <w:p w:rsidR="00C24C80" w:rsidRPr="00FD5750" w14:paraId="4CD08536" w14:textId="0FA8D754">
      <w:pPr>
        <w:jc w:val="center"/>
        <w:rPr>
          <w:b/>
        </w:rPr>
      </w:pPr>
      <w:r w:rsidRPr="00FD5750">
        <w:rPr>
          <w:b/>
        </w:rPr>
        <w:t xml:space="preserve">OFFICE OF THE OHIO CONSUMERS’ COUNSEL </w:t>
      </w:r>
    </w:p>
    <w:p w:rsidR="00C24C80" w:rsidRPr="00FD5750" w14:paraId="76934753" w14:textId="77777777">
      <w:pPr>
        <w:pStyle w:val="HTMLPreformatted"/>
        <w:pBdr>
          <w:bottom w:val="single" w:sz="12" w:space="1" w:color="auto"/>
        </w:pBdr>
        <w:jc w:val="center"/>
        <w:rPr>
          <w:rFonts w:ascii="Times New Roman" w:hAnsi="Times New Roman" w:cs="Times New Roman"/>
          <w:b/>
          <w:bCs/>
          <w:sz w:val="24"/>
          <w:szCs w:val="24"/>
        </w:rPr>
      </w:pPr>
    </w:p>
    <w:p w:rsidR="00036159" w:rsidRPr="00FD5750" w:rsidP="00036159" w14:paraId="0B242BC6" w14:textId="77777777">
      <w:pPr>
        <w:ind w:firstLine="720"/>
      </w:pPr>
    </w:p>
    <w:p w:rsidR="007660EB" w:rsidRPr="00FD5750" w:rsidP="007660EB" w14:paraId="05AFFEB6" w14:textId="5DA1C602">
      <w:pPr>
        <w:spacing w:line="480" w:lineRule="auto"/>
        <w:ind w:firstLine="720"/>
        <w:rPr>
          <w:color w:val="000000"/>
        </w:rPr>
      </w:pPr>
      <w:r w:rsidRPr="00FD5750">
        <w:t>Th</w:t>
      </w:r>
      <w:r w:rsidRPr="00FD5750" w:rsidR="00B3531A">
        <w:t xml:space="preserve">rough a Settlement filed in this proceeding, </w:t>
      </w:r>
      <w:r w:rsidRPr="00FD5750" w:rsidR="00C97FCD">
        <w:t>agreed to</w:t>
      </w:r>
      <w:r w:rsidRPr="00FD5750" w:rsidR="00B3531A">
        <w:t xml:space="preserve"> by the PUCO Staff and m</w:t>
      </w:r>
      <w:r w:rsidRPr="00FD5750" w:rsidR="00C97FCD">
        <w:t>any others,</w:t>
      </w:r>
      <w:r>
        <w:rPr>
          <w:rStyle w:val="FootnoteReference"/>
        </w:rPr>
        <w:footnoteReference w:id="2"/>
      </w:r>
      <w:r w:rsidRPr="00FD5750" w:rsidR="00C97FCD">
        <w:t xml:space="preserve"> </w:t>
      </w:r>
      <w:r w:rsidRPr="00FD5750">
        <w:t xml:space="preserve">Dayton Power and Light Company (“DP&amp;L” or “AES Ohio”) seeks to collect </w:t>
      </w:r>
      <w:r w:rsidR="002F67F8">
        <w:t>from Dayton-area consumers $160 million or more</w:t>
      </w:r>
      <w:r w:rsidR="0073273F">
        <w:t>,</w:t>
      </w:r>
      <w:r>
        <w:rPr>
          <w:rStyle w:val="FootnoteReference"/>
        </w:rPr>
        <w:footnoteReference w:id="3"/>
      </w:r>
      <w:r w:rsidR="002F67F8">
        <w:t xml:space="preserve"> including </w:t>
      </w:r>
      <w:r w:rsidRPr="00FD5750">
        <w:t xml:space="preserve">charges </w:t>
      </w:r>
      <w:r w:rsidRPr="00FD5750" w:rsidR="00C97FCD">
        <w:t xml:space="preserve">of </w:t>
      </w:r>
      <w:r w:rsidRPr="00FD5750">
        <w:t xml:space="preserve">approximately </w:t>
      </w:r>
      <w:r w:rsidRPr="00FD5750" w:rsidR="00CF55D6">
        <w:t>$</w:t>
      </w:r>
      <w:r w:rsidR="00C46FC6">
        <w:t>73</w:t>
      </w:r>
      <w:r w:rsidRPr="00FD5750" w:rsidR="00CF55D6">
        <w:t xml:space="preserve"> million</w:t>
      </w:r>
      <w:r w:rsidRPr="00FD5750">
        <w:t xml:space="preserve"> under its Regulatory Compliance Rider (“RCR”)</w:t>
      </w:r>
      <w:r w:rsidR="0073273F">
        <w:t>.</w:t>
      </w:r>
      <w:r>
        <w:rPr>
          <w:rStyle w:val="FootnoteReference"/>
        </w:rPr>
        <w:footnoteReference w:id="4"/>
      </w:r>
      <w:r w:rsidRPr="00FD5750">
        <w:t xml:space="preserve"> These </w:t>
      </w:r>
      <w:r w:rsidR="0073273F">
        <w:t xml:space="preserve">RCR </w:t>
      </w:r>
      <w:r w:rsidRPr="00FD5750">
        <w:t xml:space="preserve">charges </w:t>
      </w:r>
      <w:r w:rsidR="0073273F">
        <w:t xml:space="preserve">to consumers </w:t>
      </w:r>
      <w:r w:rsidRPr="00FD5750">
        <w:t xml:space="preserve">include </w:t>
      </w:r>
      <w:r w:rsidRPr="00FD5750" w:rsidR="006F7672">
        <w:t xml:space="preserve">coal plant </w:t>
      </w:r>
      <w:r w:rsidRPr="00FD5750">
        <w:t>subsidies for AES’s share of two Ohio Valley Electric Corporation (“OVEC”) coal plants</w:t>
      </w:r>
      <w:r w:rsidRPr="00FD5750" w:rsidR="006F7672">
        <w:t>, dating back to prior periods (2014-2017 and two weeks in 2019)</w:t>
      </w:r>
      <w:r w:rsidRPr="00FD5750">
        <w:t xml:space="preserve">. </w:t>
      </w:r>
      <w:r w:rsidRPr="00FD5750" w:rsidR="00B3531A">
        <w:t xml:space="preserve">And DP&amp;L </w:t>
      </w:r>
      <w:r w:rsidRPr="00FD5750" w:rsidR="00C97FCD">
        <w:t xml:space="preserve">would </w:t>
      </w:r>
      <w:r w:rsidRPr="00FD5750" w:rsidR="00B3531A">
        <w:t xml:space="preserve">collect from </w:t>
      </w:r>
      <w:r w:rsidR="0073273F">
        <w:t xml:space="preserve">its </w:t>
      </w:r>
      <w:r w:rsidRPr="00FD5750" w:rsidR="00B3531A">
        <w:t>consumers other prior charges (“prior RCR</w:t>
      </w:r>
      <w:r w:rsidRPr="00FD5750" w:rsidR="0073273F">
        <w:t>”</w:t>
      </w:r>
      <w:r w:rsidR="0073273F">
        <w:t xml:space="preserve">) </w:t>
      </w:r>
      <w:r w:rsidRPr="00FD5750" w:rsidR="00C73244">
        <w:t>of $6.5 million</w:t>
      </w:r>
      <w:r w:rsidRPr="00FD5750" w:rsidR="00B3531A">
        <w:t>, some dating back to 1999</w:t>
      </w:r>
      <w:r w:rsidR="0073273F">
        <w:t xml:space="preserve">, approved by the PUCO as </w:t>
      </w:r>
      <w:r w:rsidR="00C46FC6">
        <w:t>“</w:t>
      </w:r>
      <w:r w:rsidR="0073273F">
        <w:t>transition charges.</w:t>
      </w:r>
      <w:r w:rsidR="00C46FC6">
        <w:t>”</w:t>
      </w:r>
      <w:r>
        <w:rPr>
          <w:rStyle w:val="FootnoteReference"/>
        </w:rPr>
        <w:footnoteReference w:id="5"/>
      </w:r>
      <w:r w:rsidR="00FD5750">
        <w:t xml:space="preserve"> </w:t>
      </w:r>
    </w:p>
    <w:p w:rsidR="00C97FCD" w:rsidRPr="00FD5750" w:rsidP="0081786C" w14:paraId="4BCB2CEF" w14:textId="1F6F9589">
      <w:pPr>
        <w:spacing w:line="480" w:lineRule="auto"/>
        <w:ind w:firstLine="720"/>
        <w:rPr>
          <w:color w:val="000000"/>
        </w:rPr>
      </w:pPr>
      <w:r w:rsidRPr="00FD5750">
        <w:rPr>
          <w:color w:val="000000"/>
        </w:rPr>
        <w:t>The Office of the Ohio Consumers’ Counsel (</w:t>
      </w:r>
      <w:r w:rsidRPr="00FD5750" w:rsidR="00EC17CA">
        <w:rPr>
          <w:color w:val="000000"/>
        </w:rPr>
        <w:t xml:space="preserve">“OCC”), on behalf of </w:t>
      </w:r>
      <w:r w:rsidR="0073273F">
        <w:rPr>
          <w:color w:val="000000"/>
        </w:rPr>
        <w:t xml:space="preserve">DP&amp;L’s </w:t>
      </w:r>
      <w:r w:rsidRPr="00FD5750" w:rsidR="00EC17CA">
        <w:rPr>
          <w:color w:val="000000"/>
        </w:rPr>
        <w:t>residential</w:t>
      </w:r>
      <w:r w:rsidRPr="00FD5750">
        <w:rPr>
          <w:color w:val="000000"/>
        </w:rPr>
        <w:t xml:space="preserve"> </w:t>
      </w:r>
      <w:r w:rsidRPr="00FD5750" w:rsidR="0073273F">
        <w:rPr>
          <w:color w:val="000000"/>
        </w:rPr>
        <w:t>c</w:t>
      </w:r>
      <w:r w:rsidR="0073273F">
        <w:rPr>
          <w:color w:val="000000"/>
        </w:rPr>
        <w:t>onsume</w:t>
      </w:r>
      <w:r w:rsidRPr="00FD5750" w:rsidR="0073273F">
        <w:rPr>
          <w:color w:val="000000"/>
        </w:rPr>
        <w:t>rs</w:t>
      </w:r>
      <w:r w:rsidRPr="00FD5750" w:rsidR="00302FED">
        <w:rPr>
          <w:color w:val="000000"/>
        </w:rPr>
        <w:t xml:space="preserve">, </w:t>
      </w:r>
      <w:r w:rsidRPr="00FD5750" w:rsidR="0081786C">
        <w:rPr>
          <w:color w:val="000000"/>
        </w:rPr>
        <w:t>asks the PUCO</w:t>
      </w:r>
      <w:r w:rsidRPr="00FD5750" w:rsidR="00302FED">
        <w:rPr>
          <w:color w:val="000000"/>
        </w:rPr>
        <w:t xml:space="preserve"> to take </w:t>
      </w:r>
      <w:r w:rsidRPr="00FD5750" w:rsidR="0081786C">
        <w:rPr>
          <w:color w:val="000000"/>
        </w:rPr>
        <w:t>a</w:t>
      </w:r>
      <w:r w:rsidRPr="00FD5750" w:rsidR="00302FED">
        <w:rPr>
          <w:color w:val="000000"/>
        </w:rPr>
        <w:t xml:space="preserve">dministrative </w:t>
      </w:r>
      <w:r w:rsidRPr="00FD5750" w:rsidR="0081786C">
        <w:rPr>
          <w:color w:val="000000"/>
        </w:rPr>
        <w:t>n</w:t>
      </w:r>
      <w:r w:rsidRPr="00FD5750">
        <w:rPr>
          <w:color w:val="000000"/>
        </w:rPr>
        <w:t xml:space="preserve">otice </w:t>
      </w:r>
      <w:r w:rsidRPr="00FD5750" w:rsidR="007660EB">
        <w:rPr>
          <w:color w:val="000000"/>
        </w:rPr>
        <w:t xml:space="preserve">of </w:t>
      </w:r>
      <w:r w:rsidRPr="00FD5750" w:rsidR="00565AE4">
        <w:rPr>
          <w:color w:val="000000"/>
        </w:rPr>
        <w:t xml:space="preserve">DP&amp;L’s </w:t>
      </w:r>
      <w:r w:rsidRPr="00FD5750" w:rsidR="002859BE">
        <w:rPr>
          <w:color w:val="000000"/>
        </w:rPr>
        <w:t>A</w:t>
      </w:r>
      <w:r w:rsidRPr="00FD5750" w:rsidR="00305FB3">
        <w:rPr>
          <w:color w:val="000000"/>
        </w:rPr>
        <w:t xml:space="preserve">mended </w:t>
      </w:r>
      <w:r w:rsidRPr="00FD5750" w:rsidR="002859BE">
        <w:rPr>
          <w:color w:val="000000"/>
        </w:rPr>
        <w:t>A</w:t>
      </w:r>
      <w:r w:rsidRPr="00FD5750" w:rsidR="00565AE4">
        <w:rPr>
          <w:color w:val="000000"/>
        </w:rPr>
        <w:t>pplication</w:t>
      </w:r>
      <w:r w:rsidRPr="00FD5750" w:rsidR="00C73244">
        <w:rPr>
          <w:color w:val="000000"/>
        </w:rPr>
        <w:t xml:space="preserve">, Part F, </w:t>
      </w:r>
      <w:r w:rsidRPr="00FD5750" w:rsidR="00305FB3">
        <w:rPr>
          <w:color w:val="000000"/>
        </w:rPr>
        <w:t>to receive</w:t>
      </w:r>
      <w:r w:rsidRPr="00FD5750" w:rsidR="00565AE4">
        <w:rPr>
          <w:color w:val="000000"/>
        </w:rPr>
        <w:t xml:space="preserve"> transition revenues</w:t>
      </w:r>
      <w:r w:rsidRPr="00FD5750" w:rsidR="00305FB3">
        <w:rPr>
          <w:color w:val="000000"/>
        </w:rPr>
        <w:t xml:space="preserve">, filed in </w:t>
      </w:r>
      <w:r w:rsidRPr="00FD5750" w:rsidR="00565AE4">
        <w:rPr>
          <w:color w:val="000000"/>
        </w:rPr>
        <w:t>Case No. 99-1687-EL-ETP</w:t>
      </w:r>
      <w:r w:rsidRPr="00FD5750" w:rsidR="00305FB3">
        <w:rPr>
          <w:color w:val="000000"/>
        </w:rPr>
        <w:t xml:space="preserve"> on April 20, 2000</w:t>
      </w:r>
      <w:r w:rsidRPr="00FD5750" w:rsidR="00491F3B">
        <w:rPr>
          <w:color w:val="000000"/>
        </w:rPr>
        <w:t>.</w:t>
      </w:r>
      <w:r w:rsidR="00FD5750">
        <w:rPr>
          <w:color w:val="000000"/>
        </w:rPr>
        <w:t xml:space="preserve"> </w:t>
      </w:r>
      <w:r w:rsidRPr="00FD5750" w:rsidR="00F7060A">
        <w:rPr>
          <w:color w:val="000000"/>
        </w:rPr>
        <w:t>There is good cause to grant this Motion</w:t>
      </w:r>
      <w:r w:rsidRPr="00FD5750" w:rsidR="00CE5443">
        <w:rPr>
          <w:color w:val="000000"/>
        </w:rPr>
        <w:t>, as the information sought to be noticed is highly relevant to the issues before the PUCO and will help fill a potential gap in the record that might otherwise exist.</w:t>
      </w:r>
      <w:r w:rsidR="00FD5750">
        <w:rPr>
          <w:color w:val="000000"/>
        </w:rPr>
        <w:t xml:space="preserve"> </w:t>
      </w:r>
      <w:r w:rsidRPr="00FD5750" w:rsidR="00CE5443">
        <w:rPr>
          <w:color w:val="000000"/>
        </w:rPr>
        <w:t xml:space="preserve">Moreover DP&amp;L’s </w:t>
      </w:r>
      <w:r w:rsidRPr="00FD5750" w:rsidR="002859BE">
        <w:rPr>
          <w:color w:val="000000"/>
        </w:rPr>
        <w:t>A</w:t>
      </w:r>
      <w:r w:rsidRPr="00FD5750" w:rsidR="00CE5443">
        <w:rPr>
          <w:color w:val="000000"/>
        </w:rPr>
        <w:t xml:space="preserve">mended </w:t>
      </w:r>
      <w:r w:rsidRPr="00FD5750" w:rsidR="002859BE">
        <w:rPr>
          <w:color w:val="000000"/>
        </w:rPr>
        <w:t>A</w:t>
      </w:r>
      <w:r w:rsidRPr="00FD5750" w:rsidR="00CE5443">
        <w:rPr>
          <w:color w:val="000000"/>
        </w:rPr>
        <w:t>pplication</w:t>
      </w:r>
      <w:r w:rsidRPr="00FD5750" w:rsidR="002859BE">
        <w:rPr>
          <w:color w:val="000000"/>
        </w:rPr>
        <w:t xml:space="preserve">, Part F, </w:t>
      </w:r>
      <w:r w:rsidRPr="00FD5750" w:rsidR="00CE5443">
        <w:rPr>
          <w:color w:val="000000"/>
        </w:rPr>
        <w:t>presents adjudicative fact</w:t>
      </w:r>
      <w:r w:rsidRPr="00FD5750" w:rsidR="002859BE">
        <w:rPr>
          <w:color w:val="000000"/>
        </w:rPr>
        <w:t>s</w:t>
      </w:r>
      <w:r w:rsidRPr="00FD5750" w:rsidR="00CE5443">
        <w:rPr>
          <w:color w:val="000000"/>
        </w:rPr>
        <w:t>, not subject to reasonable dispute.</w:t>
      </w:r>
      <w:r w:rsidR="00FD5750">
        <w:rPr>
          <w:color w:val="000000"/>
        </w:rPr>
        <w:t xml:space="preserve"> </w:t>
      </w:r>
      <w:r w:rsidR="00C46FC6">
        <w:rPr>
          <w:color w:val="000000"/>
        </w:rPr>
        <w:t>Th</w:t>
      </w:r>
      <w:r w:rsidRPr="00FD5750" w:rsidR="00CE5443">
        <w:rPr>
          <w:color w:val="000000"/>
        </w:rPr>
        <w:t>e</w:t>
      </w:r>
      <w:r w:rsidRPr="00FD5750" w:rsidR="002859BE">
        <w:rPr>
          <w:color w:val="000000"/>
        </w:rPr>
        <w:t xml:space="preserve">re will be no prejudice to parties as they had prior knowledge of DP&amp;L’s Amended Application and will have the opportunity to </w:t>
      </w:r>
      <w:r w:rsidRPr="00FD5750" w:rsidR="001C1219">
        <w:rPr>
          <w:color w:val="000000"/>
        </w:rPr>
        <w:t xml:space="preserve">address </w:t>
      </w:r>
      <w:r w:rsidRPr="00FD5750" w:rsidR="002859BE">
        <w:rPr>
          <w:color w:val="000000"/>
        </w:rPr>
        <w:t xml:space="preserve">it in </w:t>
      </w:r>
      <w:r w:rsidR="0073273F">
        <w:rPr>
          <w:color w:val="000000"/>
        </w:rPr>
        <w:t xml:space="preserve">response to this motion and in </w:t>
      </w:r>
      <w:r w:rsidRPr="00FD5750" w:rsidR="002859BE">
        <w:rPr>
          <w:color w:val="000000"/>
        </w:rPr>
        <w:t>the upcoming briefs and reply briefs.</w:t>
      </w:r>
      <w:r w:rsidR="00FD5750">
        <w:rPr>
          <w:color w:val="000000"/>
        </w:rPr>
        <w:t xml:space="preserve"> </w:t>
      </w:r>
    </w:p>
    <w:p w:rsidR="00C73244" w:rsidRPr="00FD5750" w:rsidP="0081786C" w14:paraId="4C87BC18" w14:textId="2333A445">
      <w:pPr>
        <w:spacing w:line="480" w:lineRule="auto"/>
        <w:ind w:firstLine="720"/>
        <w:rPr>
          <w:color w:val="000000"/>
        </w:rPr>
      </w:pPr>
      <w:r w:rsidRPr="00FD5750">
        <w:rPr>
          <w:color w:val="000000"/>
        </w:rPr>
        <w:t xml:space="preserve">On September 21, 2000, </w:t>
      </w:r>
      <w:r w:rsidRPr="00FD5750">
        <w:rPr>
          <w:color w:val="000000"/>
        </w:rPr>
        <w:t>DP&amp;L’s</w:t>
      </w:r>
      <w:r w:rsidR="00FD5750">
        <w:rPr>
          <w:color w:val="000000"/>
        </w:rPr>
        <w:t xml:space="preserve"> </w:t>
      </w:r>
      <w:r w:rsidRPr="00FD5750" w:rsidR="002859BE">
        <w:rPr>
          <w:color w:val="000000"/>
        </w:rPr>
        <w:t>A</w:t>
      </w:r>
      <w:r w:rsidRPr="00FD5750" w:rsidR="00C07E02">
        <w:rPr>
          <w:color w:val="000000"/>
        </w:rPr>
        <w:t xml:space="preserve">mended </w:t>
      </w:r>
      <w:r w:rsidRPr="00FD5750" w:rsidR="002859BE">
        <w:rPr>
          <w:color w:val="000000"/>
        </w:rPr>
        <w:t>A</w:t>
      </w:r>
      <w:r w:rsidRPr="00FD5750" w:rsidR="00C07E02">
        <w:rPr>
          <w:color w:val="000000"/>
        </w:rPr>
        <w:t>pplication</w:t>
      </w:r>
      <w:r w:rsidRPr="00FD5750">
        <w:rPr>
          <w:color w:val="000000"/>
        </w:rPr>
        <w:t xml:space="preserve"> to receive transition revenues </w:t>
      </w:r>
      <w:r w:rsidRPr="00FD5750" w:rsidR="006F7672">
        <w:rPr>
          <w:color w:val="000000"/>
        </w:rPr>
        <w:t>was approved by the PUCO</w:t>
      </w:r>
      <w:r w:rsidRPr="00FD5750">
        <w:rPr>
          <w:color w:val="000000"/>
        </w:rPr>
        <w:t>.</w:t>
      </w:r>
      <w:r w:rsidR="00FD5750">
        <w:rPr>
          <w:color w:val="000000"/>
        </w:rPr>
        <w:t xml:space="preserve"> </w:t>
      </w:r>
      <w:r w:rsidRPr="00FD5750">
        <w:rPr>
          <w:color w:val="000000"/>
        </w:rPr>
        <w:t xml:space="preserve">Under the PUCO-approved transition plan, </w:t>
      </w:r>
      <w:r w:rsidRPr="00FD5750" w:rsidR="00177FD9">
        <w:rPr>
          <w:color w:val="000000"/>
        </w:rPr>
        <w:t xml:space="preserve">DP&amp;L was allowed to charge its consumers $699.2 million in transition costs and was permitted to defer </w:t>
      </w:r>
      <w:r w:rsidRPr="00FD5750">
        <w:rPr>
          <w:color w:val="000000"/>
        </w:rPr>
        <w:t xml:space="preserve">another </w:t>
      </w:r>
      <w:r w:rsidRPr="00FD5750" w:rsidR="00177FD9">
        <w:rPr>
          <w:color w:val="000000"/>
        </w:rPr>
        <w:t>$28.6 million in “accounting related expenses.”</w:t>
      </w:r>
      <w:r>
        <w:rPr>
          <w:rStyle w:val="FootnoteReference"/>
          <w:color w:val="000000"/>
        </w:rPr>
        <w:footnoteReference w:id="6"/>
      </w:r>
      <w:r w:rsidRPr="00FD5750" w:rsidR="00C07E02">
        <w:rPr>
          <w:color w:val="000000"/>
        </w:rPr>
        <w:t xml:space="preserve"> </w:t>
      </w:r>
      <w:r w:rsidRPr="00FD5750" w:rsidR="00177FD9">
        <w:rPr>
          <w:color w:val="000000"/>
        </w:rPr>
        <w:t xml:space="preserve">Part F of </w:t>
      </w:r>
      <w:r w:rsidRPr="00FD5750">
        <w:rPr>
          <w:color w:val="000000"/>
        </w:rPr>
        <w:t xml:space="preserve">DP&amp;L’s </w:t>
      </w:r>
      <w:r w:rsidRPr="00FD5750" w:rsidR="002859BE">
        <w:rPr>
          <w:color w:val="000000"/>
        </w:rPr>
        <w:t>A</w:t>
      </w:r>
      <w:r w:rsidRPr="00FD5750">
        <w:rPr>
          <w:color w:val="000000"/>
        </w:rPr>
        <w:t xml:space="preserve">mended </w:t>
      </w:r>
      <w:r w:rsidRPr="00FD5750" w:rsidR="002859BE">
        <w:rPr>
          <w:color w:val="000000"/>
        </w:rPr>
        <w:t>A</w:t>
      </w:r>
      <w:r w:rsidRPr="00FD5750">
        <w:rPr>
          <w:color w:val="000000"/>
        </w:rPr>
        <w:t xml:space="preserve">pplication </w:t>
      </w:r>
      <w:r w:rsidRPr="00FD5750" w:rsidR="00177FD9">
        <w:rPr>
          <w:color w:val="000000"/>
        </w:rPr>
        <w:t xml:space="preserve">identifies the total transition costs </w:t>
      </w:r>
      <w:r w:rsidRPr="00FD5750">
        <w:rPr>
          <w:color w:val="000000"/>
        </w:rPr>
        <w:t xml:space="preserve">($699.2 million) </w:t>
      </w:r>
      <w:r w:rsidRPr="00FD5750" w:rsidR="00177FD9">
        <w:rPr>
          <w:color w:val="000000"/>
        </w:rPr>
        <w:t xml:space="preserve">plus the deferral amounts </w:t>
      </w:r>
      <w:r w:rsidRPr="00FD5750">
        <w:rPr>
          <w:color w:val="000000"/>
        </w:rPr>
        <w:t xml:space="preserve">($28.6 million) </w:t>
      </w:r>
      <w:r w:rsidRPr="00FD5750" w:rsidR="00177FD9">
        <w:rPr>
          <w:color w:val="000000"/>
        </w:rPr>
        <w:t xml:space="preserve">that the PUCO ultimately authorized for collection from consumers as “transition costs. ” Under </w:t>
      </w:r>
      <w:r w:rsidRPr="00FD5750">
        <w:rPr>
          <w:color w:val="000000"/>
        </w:rPr>
        <w:t>DP&amp;L’s</w:t>
      </w:r>
      <w:r w:rsidRPr="00FD5750" w:rsidR="00CF55D6">
        <w:rPr>
          <w:color w:val="000000"/>
        </w:rPr>
        <w:t xml:space="preserve"> </w:t>
      </w:r>
      <w:r w:rsidRPr="00FD5750">
        <w:rPr>
          <w:color w:val="000000"/>
        </w:rPr>
        <w:t xml:space="preserve">Part F, Schedule TC-2, with the </w:t>
      </w:r>
      <w:r w:rsidRPr="00FD5750" w:rsidR="00177FD9">
        <w:rPr>
          <w:color w:val="000000"/>
        </w:rPr>
        <w:t xml:space="preserve">heading “Accounting Order Recovery” DP&amp;L lists “Consumer Education </w:t>
      </w:r>
      <w:r w:rsidRPr="00FD5750" w:rsidR="002859BE">
        <w:rPr>
          <w:color w:val="000000"/>
        </w:rPr>
        <w:t>C</w:t>
      </w:r>
      <w:r w:rsidRPr="00FD5750" w:rsidR="00177FD9">
        <w:rPr>
          <w:color w:val="000000"/>
        </w:rPr>
        <w:t xml:space="preserve">osts” and “Settlement </w:t>
      </w:r>
      <w:r w:rsidRPr="00FD5750" w:rsidR="002859BE">
        <w:rPr>
          <w:color w:val="000000"/>
        </w:rPr>
        <w:t>S</w:t>
      </w:r>
      <w:r w:rsidRPr="00FD5750" w:rsidR="00177FD9">
        <w:rPr>
          <w:color w:val="000000"/>
        </w:rPr>
        <w:t xml:space="preserve">ystem </w:t>
      </w:r>
      <w:r w:rsidRPr="00FD5750" w:rsidR="002859BE">
        <w:rPr>
          <w:color w:val="000000"/>
        </w:rPr>
        <w:t>I</w:t>
      </w:r>
      <w:r w:rsidRPr="00FD5750" w:rsidR="00177FD9">
        <w:rPr>
          <w:color w:val="000000"/>
        </w:rPr>
        <w:t xml:space="preserve">mplementation </w:t>
      </w:r>
      <w:r w:rsidRPr="00FD5750" w:rsidR="002859BE">
        <w:rPr>
          <w:color w:val="000000"/>
        </w:rPr>
        <w:t>C</w:t>
      </w:r>
      <w:r w:rsidRPr="00FD5750" w:rsidR="00177FD9">
        <w:rPr>
          <w:color w:val="000000"/>
        </w:rPr>
        <w:t xml:space="preserve">osts.” </w:t>
      </w:r>
      <w:r w:rsidRPr="00FD5750" w:rsidR="002859BE">
        <w:rPr>
          <w:color w:val="000000"/>
        </w:rPr>
        <w:t>DP&amp;L’s A</w:t>
      </w:r>
      <w:r w:rsidRPr="00FD5750" w:rsidR="00B3531A">
        <w:rPr>
          <w:color w:val="000000"/>
        </w:rPr>
        <w:t>pplication</w:t>
      </w:r>
      <w:r w:rsidRPr="00FD5750" w:rsidR="002859BE">
        <w:rPr>
          <w:color w:val="000000"/>
        </w:rPr>
        <w:t>, Part F,</w:t>
      </w:r>
      <w:r w:rsidR="00FD5750">
        <w:rPr>
          <w:color w:val="000000"/>
        </w:rPr>
        <w:t xml:space="preserve"> </w:t>
      </w:r>
      <w:r w:rsidRPr="00FD5750">
        <w:rPr>
          <w:color w:val="000000"/>
        </w:rPr>
        <w:t>Schedule TC-2, s</w:t>
      </w:r>
      <w:r w:rsidRPr="00FD5750" w:rsidR="00C97FCD">
        <w:rPr>
          <w:color w:val="000000"/>
        </w:rPr>
        <w:t xml:space="preserve">pecifically </w:t>
      </w:r>
      <w:r w:rsidRPr="00FD5750" w:rsidR="00B3531A">
        <w:rPr>
          <w:color w:val="000000"/>
        </w:rPr>
        <w:t>identifies</w:t>
      </w:r>
      <w:r w:rsidRPr="00FD5750" w:rsidR="002859BE">
        <w:rPr>
          <w:color w:val="000000"/>
        </w:rPr>
        <w:t xml:space="preserve"> as “transition costs”</w:t>
      </w:r>
      <w:r w:rsidRPr="00FD5750" w:rsidR="00B3531A">
        <w:rPr>
          <w:color w:val="000000"/>
        </w:rPr>
        <w:t xml:space="preserve"> </w:t>
      </w:r>
      <w:r w:rsidR="0073273F">
        <w:rPr>
          <w:color w:val="000000"/>
        </w:rPr>
        <w:t xml:space="preserve"> </w:t>
      </w:r>
      <w:r w:rsidRPr="00FD5750" w:rsidR="00C97FCD">
        <w:rPr>
          <w:color w:val="000000"/>
        </w:rPr>
        <w:t xml:space="preserve">the deferrals DP&amp;L </w:t>
      </w:r>
      <w:r w:rsidRPr="00FD5750" w:rsidR="0031515E">
        <w:rPr>
          <w:color w:val="000000"/>
        </w:rPr>
        <w:t xml:space="preserve">now </w:t>
      </w:r>
      <w:r w:rsidRPr="00FD5750" w:rsidR="00C97FCD">
        <w:rPr>
          <w:color w:val="000000"/>
        </w:rPr>
        <w:t xml:space="preserve">seeks to collect from consumers in this case </w:t>
      </w:r>
      <w:r w:rsidRPr="00FD5750" w:rsidR="002859BE">
        <w:rPr>
          <w:color w:val="000000"/>
        </w:rPr>
        <w:t xml:space="preserve">(through the RCR) </w:t>
      </w:r>
      <w:r w:rsidRPr="00FD5750" w:rsidR="00C97FCD">
        <w:rPr>
          <w:color w:val="000000"/>
        </w:rPr>
        <w:t>-- “</w:t>
      </w:r>
      <w:r w:rsidRPr="00FD5750" w:rsidR="00B3531A">
        <w:rPr>
          <w:color w:val="000000"/>
        </w:rPr>
        <w:t>consumer education costs</w:t>
      </w:r>
      <w:r w:rsidRPr="00FD5750" w:rsidR="00C97FCD">
        <w:rPr>
          <w:color w:val="000000"/>
        </w:rPr>
        <w:t>”</w:t>
      </w:r>
      <w:r w:rsidRPr="00FD5750" w:rsidR="00B3531A">
        <w:rPr>
          <w:color w:val="000000"/>
        </w:rPr>
        <w:t xml:space="preserve"> and </w:t>
      </w:r>
      <w:r w:rsidRPr="00FD5750" w:rsidR="00C97FCD">
        <w:rPr>
          <w:color w:val="000000"/>
        </w:rPr>
        <w:t>“</w:t>
      </w:r>
      <w:r w:rsidRPr="00FD5750" w:rsidR="00B3531A">
        <w:rPr>
          <w:color w:val="000000"/>
        </w:rPr>
        <w:t xml:space="preserve">settlement system </w:t>
      </w:r>
      <w:r w:rsidRPr="00FD5750" w:rsidR="00B3531A">
        <w:rPr>
          <w:color w:val="000000"/>
        </w:rPr>
        <w:t>implementation costs</w:t>
      </w:r>
      <w:r w:rsidRPr="00FD5750" w:rsidR="00C97FCD">
        <w:rPr>
          <w:color w:val="000000"/>
        </w:rPr>
        <w:t>.”</w:t>
      </w:r>
      <w:r>
        <w:rPr>
          <w:rStyle w:val="FootnoteReference"/>
          <w:color w:val="000000"/>
        </w:rPr>
        <w:footnoteReference w:id="7"/>
      </w:r>
      <w:r w:rsidRPr="00FD5750" w:rsidR="00C97FCD">
        <w:rPr>
          <w:color w:val="000000"/>
        </w:rPr>
        <w:t xml:space="preserve"> </w:t>
      </w:r>
      <w:r w:rsidRPr="00FD5750">
        <w:rPr>
          <w:color w:val="000000"/>
        </w:rPr>
        <w:t xml:space="preserve">OCC Witness Schroder confirmed that these deferrals </w:t>
      </w:r>
      <w:r w:rsidRPr="00FD5750" w:rsidR="00CE5443">
        <w:rPr>
          <w:color w:val="000000"/>
        </w:rPr>
        <w:t xml:space="preserve">it now seeks to collect from consumers </w:t>
      </w:r>
      <w:r w:rsidR="00C46FC6">
        <w:rPr>
          <w:color w:val="000000"/>
        </w:rPr>
        <w:t>for consumer education costs and retail settlement system costs (approximately $2.3 million)</w:t>
      </w:r>
      <w:r>
        <w:rPr>
          <w:rStyle w:val="FootnoteReference"/>
          <w:color w:val="000000"/>
        </w:rPr>
        <w:footnoteReference w:id="8"/>
      </w:r>
      <w:r w:rsidR="00C46FC6">
        <w:rPr>
          <w:color w:val="000000"/>
        </w:rPr>
        <w:t xml:space="preserve"> </w:t>
      </w:r>
      <w:r w:rsidRPr="00FD5750">
        <w:rPr>
          <w:color w:val="000000"/>
        </w:rPr>
        <w:t xml:space="preserve">were created in DP&amp;L’s electric transition </w:t>
      </w:r>
      <w:r w:rsidRPr="00FD5750" w:rsidR="00CE5443">
        <w:rPr>
          <w:color w:val="000000"/>
        </w:rPr>
        <w:t xml:space="preserve">plan </w:t>
      </w:r>
      <w:r w:rsidRPr="00FD5750">
        <w:rPr>
          <w:color w:val="000000"/>
        </w:rPr>
        <w:t>filing</w:t>
      </w:r>
      <w:r w:rsidRPr="00FD5750" w:rsidR="00CE5443">
        <w:rPr>
          <w:color w:val="000000"/>
        </w:rPr>
        <w:t xml:space="preserve"> in Case No. 99-1687-EL-ETP</w:t>
      </w:r>
      <w:r w:rsidRPr="00FD5750">
        <w:rPr>
          <w:color w:val="000000"/>
        </w:rPr>
        <w:t>.</w:t>
      </w:r>
      <w:r w:rsidRPr="00FD5750" w:rsidR="00CE5443">
        <w:rPr>
          <w:color w:val="000000"/>
        </w:rPr>
        <w:t xml:space="preserve"> </w:t>
      </w:r>
      <w:r w:rsidRPr="00FD5750">
        <w:rPr>
          <w:color w:val="000000"/>
        </w:rPr>
        <w:t xml:space="preserve">(Tr. </w:t>
      </w:r>
      <w:r w:rsidRPr="00FD5750" w:rsidR="00DE74E6">
        <w:rPr>
          <w:color w:val="000000"/>
        </w:rPr>
        <w:t>Vol. 1</w:t>
      </w:r>
      <w:r w:rsidR="00C46FC6">
        <w:rPr>
          <w:color w:val="000000"/>
        </w:rPr>
        <w:t xml:space="preserve"> at 139-141</w:t>
      </w:r>
      <w:r w:rsidRPr="00FD5750">
        <w:rPr>
          <w:color w:val="000000"/>
        </w:rPr>
        <w:t xml:space="preserve">; OCC Exhibit </w:t>
      </w:r>
      <w:r w:rsidRPr="00FD5750" w:rsidR="00CF55D6">
        <w:rPr>
          <w:color w:val="000000"/>
        </w:rPr>
        <w:t>9</w:t>
      </w:r>
      <w:r w:rsidR="00C46FC6">
        <w:rPr>
          <w:color w:val="000000"/>
        </w:rPr>
        <w:t xml:space="preserve">). </w:t>
      </w:r>
    </w:p>
    <w:p w:rsidR="0031515E" w:rsidRPr="00FD5750" w:rsidP="0081786C" w14:paraId="0E47B472" w14:textId="608A38AB">
      <w:pPr>
        <w:spacing w:line="480" w:lineRule="auto"/>
        <w:ind w:firstLine="720"/>
        <w:rPr>
          <w:color w:val="000000"/>
        </w:rPr>
      </w:pPr>
      <w:r w:rsidRPr="00FD5750">
        <w:rPr>
          <w:color w:val="000000"/>
        </w:rPr>
        <w:t xml:space="preserve">In its </w:t>
      </w:r>
      <w:r w:rsidRPr="00FD5750" w:rsidR="002859BE">
        <w:rPr>
          <w:color w:val="000000"/>
        </w:rPr>
        <w:t xml:space="preserve">Sept. 21, 2000 </w:t>
      </w:r>
      <w:r w:rsidRPr="00FD5750">
        <w:rPr>
          <w:color w:val="000000"/>
        </w:rPr>
        <w:t>Order approving DP&amp;L’s electric transition plan, t</w:t>
      </w:r>
      <w:r w:rsidRPr="00FD5750" w:rsidR="00C97FCD">
        <w:rPr>
          <w:color w:val="000000"/>
        </w:rPr>
        <w:t xml:space="preserve">he PUCO approved the </w:t>
      </w:r>
      <w:r w:rsidRPr="00FD5750" w:rsidR="00CE0101">
        <w:rPr>
          <w:color w:val="000000"/>
        </w:rPr>
        <w:t xml:space="preserve">accounting </w:t>
      </w:r>
      <w:r w:rsidRPr="00FD5750" w:rsidR="00C97FCD">
        <w:rPr>
          <w:color w:val="000000"/>
        </w:rPr>
        <w:t>deferrals</w:t>
      </w:r>
      <w:r w:rsidRPr="00FD5750">
        <w:rPr>
          <w:color w:val="000000"/>
        </w:rPr>
        <w:t xml:space="preserve"> as </w:t>
      </w:r>
      <w:r w:rsidR="00C46FC6">
        <w:rPr>
          <w:color w:val="000000"/>
        </w:rPr>
        <w:t>“</w:t>
      </w:r>
      <w:r w:rsidRPr="00FD5750">
        <w:rPr>
          <w:color w:val="000000"/>
        </w:rPr>
        <w:t>transition costs</w:t>
      </w:r>
      <w:r w:rsidR="00C46FC6">
        <w:rPr>
          <w:color w:val="000000"/>
        </w:rPr>
        <w:t>”</w:t>
      </w:r>
      <w:r w:rsidRPr="00FD5750">
        <w:rPr>
          <w:color w:val="000000"/>
        </w:rPr>
        <w:t xml:space="preserve"> to be collected from consumers</w:t>
      </w:r>
      <w:r w:rsidRPr="00FD5750" w:rsidR="00832C75">
        <w:rPr>
          <w:color w:val="000000"/>
        </w:rPr>
        <w:t xml:space="preserve">, </w:t>
      </w:r>
      <w:r w:rsidRPr="00FD5750">
        <w:rPr>
          <w:color w:val="000000"/>
        </w:rPr>
        <w:t xml:space="preserve">but </w:t>
      </w:r>
      <w:r w:rsidRPr="00FD5750" w:rsidR="00832C75">
        <w:rPr>
          <w:color w:val="000000"/>
        </w:rPr>
        <w:t>without specifically identifying them other than to characterize them as “$28.6 million in accounting related expenses.”</w:t>
      </w:r>
      <w:r>
        <w:rPr>
          <w:rStyle w:val="FootnoteReference"/>
          <w:color w:val="000000"/>
        </w:rPr>
        <w:footnoteReference w:id="9"/>
      </w:r>
      <w:r w:rsidRPr="00FD5750">
        <w:rPr>
          <w:color w:val="000000"/>
        </w:rPr>
        <w:t xml:space="preserve"> </w:t>
      </w:r>
      <w:r w:rsidRPr="00FD5750" w:rsidR="00CE5443">
        <w:rPr>
          <w:color w:val="000000"/>
        </w:rPr>
        <w:t>DP&amp;L’s</w:t>
      </w:r>
      <w:r w:rsidR="00FD5750">
        <w:rPr>
          <w:color w:val="000000"/>
        </w:rPr>
        <w:t xml:space="preserve"> </w:t>
      </w:r>
      <w:r w:rsidRPr="00FD5750" w:rsidR="002859BE">
        <w:rPr>
          <w:color w:val="000000"/>
        </w:rPr>
        <w:t>A</w:t>
      </w:r>
      <w:r w:rsidRPr="00FD5750">
        <w:rPr>
          <w:color w:val="000000"/>
        </w:rPr>
        <w:t xml:space="preserve">mended </w:t>
      </w:r>
      <w:r w:rsidRPr="00FD5750" w:rsidR="002859BE">
        <w:rPr>
          <w:color w:val="000000"/>
        </w:rPr>
        <w:t>A</w:t>
      </w:r>
      <w:r w:rsidRPr="00FD5750">
        <w:rPr>
          <w:color w:val="000000"/>
        </w:rPr>
        <w:t xml:space="preserve">pplication, Part F, provides the tie in to the PUCO’s approval of the </w:t>
      </w:r>
      <w:r w:rsidRPr="00FD5750" w:rsidR="00CE5443">
        <w:rPr>
          <w:color w:val="000000"/>
        </w:rPr>
        <w:t>consumer</w:t>
      </w:r>
      <w:r w:rsidR="00FD5750">
        <w:rPr>
          <w:color w:val="000000"/>
        </w:rPr>
        <w:t xml:space="preserve"> </w:t>
      </w:r>
      <w:r w:rsidRPr="00FD5750" w:rsidR="00CE5443">
        <w:rPr>
          <w:color w:val="000000"/>
        </w:rPr>
        <w:t xml:space="preserve">education and settlement system implementation cost </w:t>
      </w:r>
      <w:r w:rsidRPr="00FD5750">
        <w:rPr>
          <w:color w:val="000000"/>
        </w:rPr>
        <w:t xml:space="preserve">deferrals as “transition costs” to be collected from </w:t>
      </w:r>
      <w:r w:rsidR="00AD5D3B">
        <w:rPr>
          <w:color w:val="000000"/>
        </w:rPr>
        <w:t xml:space="preserve">Dayton area </w:t>
      </w:r>
      <w:r w:rsidRPr="00FD5750">
        <w:rPr>
          <w:color w:val="000000"/>
        </w:rPr>
        <w:t>consumers.</w:t>
      </w:r>
      <w:r w:rsidR="00FD5750">
        <w:rPr>
          <w:color w:val="000000"/>
        </w:rPr>
        <w:t xml:space="preserve"> </w:t>
      </w:r>
    </w:p>
    <w:p w:rsidR="007660EB" w:rsidRPr="00FD5750" w:rsidP="0081786C" w14:paraId="6FE23714" w14:textId="7632C777">
      <w:pPr>
        <w:spacing w:line="480" w:lineRule="auto"/>
        <w:ind w:firstLine="720"/>
        <w:rPr>
          <w:color w:val="000000"/>
        </w:rPr>
      </w:pPr>
      <w:r w:rsidRPr="00FD5750">
        <w:rPr>
          <w:color w:val="000000"/>
        </w:rPr>
        <w:t>Under R.C. 4928.40(A), deferred expenses (recognized as regulatory assets) that are authorized by the PUCO as transition costs, must be collected from consumers no later than December 31, 2010.</w:t>
      </w:r>
      <w:r w:rsidR="00FD5750">
        <w:rPr>
          <w:color w:val="000000"/>
        </w:rPr>
        <w:t xml:space="preserve"> </w:t>
      </w:r>
      <w:r w:rsidRPr="00FD5750">
        <w:rPr>
          <w:color w:val="000000"/>
        </w:rPr>
        <w:t xml:space="preserve">In other words, DP&amp;L is 13 years late in its request to collect these charges from </w:t>
      </w:r>
      <w:r w:rsidR="00AD5D3B">
        <w:rPr>
          <w:color w:val="000000"/>
        </w:rPr>
        <w:t xml:space="preserve">its </w:t>
      </w:r>
      <w:r w:rsidRPr="00FD5750">
        <w:rPr>
          <w:color w:val="000000"/>
        </w:rPr>
        <w:t>consumers.</w:t>
      </w:r>
      <w:r w:rsidR="00FD5750">
        <w:rPr>
          <w:color w:val="000000"/>
        </w:rPr>
        <w:t xml:space="preserve"> </w:t>
      </w:r>
      <w:r w:rsidRPr="00FD5750">
        <w:rPr>
          <w:color w:val="000000"/>
        </w:rPr>
        <w:t>And R.C. 4928.141 pr</w:t>
      </w:r>
      <w:r w:rsidRPr="00FD5750" w:rsidR="00CE5443">
        <w:rPr>
          <w:color w:val="000000"/>
        </w:rPr>
        <w:t>ecludes a utility from including in its standard service offer “any previously authorized allowances for transition costs, with such exclusion being effective on and after the date that the allowance is scheduled to end under the utility’s rate plan.”</w:t>
      </w:r>
      <w:r w:rsidR="00FD5750">
        <w:rPr>
          <w:color w:val="000000"/>
        </w:rPr>
        <w:t xml:space="preserve"> </w:t>
      </w:r>
      <w:r w:rsidRPr="00FD5750" w:rsidR="002859BE">
        <w:rPr>
          <w:color w:val="000000"/>
        </w:rPr>
        <w:t xml:space="preserve">Consequently, the Settlement provision allowing collection of these previously authorized </w:t>
      </w:r>
      <w:r w:rsidR="00AD5D3B">
        <w:rPr>
          <w:color w:val="000000"/>
        </w:rPr>
        <w:t xml:space="preserve">deferred </w:t>
      </w:r>
      <w:r w:rsidRPr="00FD5750" w:rsidR="002859BE">
        <w:rPr>
          <w:color w:val="000000"/>
        </w:rPr>
        <w:t>transition costs violates the law, and</w:t>
      </w:r>
      <w:r w:rsidRPr="00FD5750" w:rsidR="00CE0101">
        <w:rPr>
          <w:color w:val="000000"/>
        </w:rPr>
        <w:t xml:space="preserve"> is thus, contrary to regulatory practices and principles, failing the third p</w:t>
      </w:r>
      <w:r w:rsidRPr="00FD5750" w:rsidR="001C1219">
        <w:rPr>
          <w:color w:val="000000"/>
        </w:rPr>
        <w:t xml:space="preserve">rong </w:t>
      </w:r>
      <w:r w:rsidRPr="00FD5750" w:rsidR="00CE0101">
        <w:rPr>
          <w:color w:val="000000"/>
        </w:rPr>
        <w:t xml:space="preserve">of the PUCO’s settlement </w:t>
      </w:r>
      <w:r w:rsidRPr="00FD5750" w:rsidR="001C1219">
        <w:rPr>
          <w:color w:val="000000"/>
        </w:rPr>
        <w:t>test</w:t>
      </w:r>
      <w:r w:rsidRPr="00FD5750" w:rsidR="00CE0101">
        <w:rPr>
          <w:color w:val="000000"/>
        </w:rPr>
        <w:t>.</w:t>
      </w:r>
      <w:r w:rsidR="00FD5750">
        <w:rPr>
          <w:color w:val="000000"/>
        </w:rPr>
        <w:t xml:space="preserve"> </w:t>
      </w:r>
    </w:p>
    <w:p w:rsidR="00C24C80" w:rsidRPr="00FD5750" w:rsidP="0081786C" w14:paraId="5467E6E9" w14:textId="5E5F626D">
      <w:pPr>
        <w:spacing w:line="480" w:lineRule="auto"/>
        <w:ind w:firstLine="720"/>
        <w:rPr>
          <w:color w:val="000000"/>
        </w:rPr>
      </w:pPr>
      <w:r w:rsidRPr="00FD5750">
        <w:rPr>
          <w:color w:val="000000"/>
        </w:rPr>
        <w:t xml:space="preserve">The </w:t>
      </w:r>
      <w:r w:rsidRPr="00FD5750" w:rsidR="00CE0101">
        <w:rPr>
          <w:color w:val="000000"/>
        </w:rPr>
        <w:t>information found in DP&amp;L’s Amended Application, Part F, will provide the PUCO with a more complete record, upon which to base its decision on this matter.</w:t>
      </w:r>
      <w:r w:rsidR="00FD5750">
        <w:rPr>
          <w:color w:val="000000"/>
        </w:rPr>
        <w:t xml:space="preserve"> </w:t>
      </w:r>
      <w:r w:rsidRPr="00FD5750" w:rsidR="00CE0101">
        <w:rPr>
          <w:color w:val="000000"/>
        </w:rPr>
        <w:t xml:space="preserve">The </w:t>
      </w:r>
      <w:r w:rsidRPr="00FD5750">
        <w:rPr>
          <w:color w:val="000000"/>
        </w:rPr>
        <w:t>PUCO should grant OCC’s motion for</w:t>
      </w:r>
      <w:r w:rsidRPr="00FD5750">
        <w:rPr>
          <w:color w:val="000000"/>
        </w:rPr>
        <w:t xml:space="preserve"> reasons more fully explained in the attached Memorandum in Support.</w:t>
      </w:r>
    </w:p>
    <w:p w:rsidR="00BB2861" w14:paraId="0FFB7B7C" w14:textId="0EB58B62"/>
    <w:p w:rsidR="00AE4906" w:rsidRPr="00FD5750" w:rsidP="007660EB" w14:paraId="2926975F" w14:textId="44411626">
      <w:pPr>
        <w:pStyle w:val="BodyTextIndent3"/>
        <w:widowControl w:val="0"/>
        <w:spacing w:after="0"/>
        <w:ind w:left="3600" w:firstLine="720"/>
        <w:rPr>
          <w:sz w:val="24"/>
          <w:szCs w:val="24"/>
        </w:rPr>
      </w:pPr>
      <w:r w:rsidRPr="00FD5750">
        <w:rPr>
          <w:sz w:val="24"/>
          <w:szCs w:val="24"/>
        </w:rPr>
        <w:t>Respectfully submitted,</w:t>
      </w:r>
    </w:p>
    <w:p w:rsidR="00C24C80" w:rsidRPr="00FD5750" w14:paraId="4889EECE" w14:textId="77777777">
      <w:pPr>
        <w:pStyle w:val="HTMLPreformatted"/>
        <w:jc w:val="center"/>
        <w:rPr>
          <w:rFonts w:ascii="Times New Roman" w:hAnsi="Times New Roman" w:cs="Times New Roman"/>
          <w:sz w:val="24"/>
          <w:szCs w:val="24"/>
        </w:rPr>
      </w:pPr>
    </w:p>
    <w:p w:rsidR="00B775E8" w:rsidRPr="00FD5750" w:rsidP="00B775E8" w14:paraId="6E9B1FC3" w14:textId="77777777">
      <w:pPr>
        <w:pStyle w:val="Footer"/>
        <w:tabs>
          <w:tab w:val="left" w:pos="4320"/>
          <w:tab w:val="clear" w:pos="8640"/>
        </w:tabs>
        <w:ind w:left="3600"/>
      </w:pPr>
      <w:r w:rsidRPr="00FD5750">
        <w:tab/>
      </w:r>
      <w:r w:rsidRPr="00FD5750">
        <w:t>Bruce Weston (0016973)</w:t>
      </w:r>
    </w:p>
    <w:p w:rsidR="00B775E8" w:rsidRPr="00FD5750" w:rsidP="00B775E8" w14:paraId="501E6E41" w14:textId="77777777">
      <w:pPr>
        <w:tabs>
          <w:tab w:val="left" w:pos="4320"/>
        </w:tabs>
        <w:ind w:left="3600"/>
      </w:pPr>
      <w:r w:rsidRPr="00FD5750">
        <w:tab/>
      </w:r>
      <w:r w:rsidRPr="00FD5750">
        <w:t>Ohio Consumers’ Counsel</w:t>
      </w:r>
    </w:p>
    <w:p w:rsidR="00B775E8" w:rsidRPr="00FD5750" w:rsidP="00B775E8" w14:paraId="3A789B8A" w14:textId="77777777">
      <w:pPr>
        <w:pStyle w:val="Footer"/>
        <w:tabs>
          <w:tab w:val="left" w:pos="4320"/>
          <w:tab w:val="clear" w:pos="8640"/>
        </w:tabs>
        <w:ind w:left="3600"/>
      </w:pPr>
    </w:p>
    <w:p w:rsidR="007660EB" w:rsidRPr="00FD5750" w:rsidP="007660EB" w14:paraId="3FF3D480" w14:textId="77777777">
      <w:pPr>
        <w:tabs>
          <w:tab w:val="left" w:pos="4320"/>
        </w:tabs>
        <w:ind w:right="-180"/>
        <w:rPr>
          <w:i/>
          <w:iCs/>
          <w:u w:val="single"/>
        </w:rPr>
      </w:pPr>
      <w:r w:rsidRPr="00FD5750">
        <w:rPr>
          <w:i/>
          <w:iCs/>
        </w:rPr>
        <w:tab/>
      </w:r>
      <w:r w:rsidRPr="00FD5750">
        <w:rPr>
          <w:i/>
          <w:iCs/>
          <w:u w:val="single"/>
        </w:rPr>
        <w:t>/s/ Maureen R. Willis</w:t>
      </w:r>
    </w:p>
    <w:p w:rsidR="007660EB" w:rsidRPr="00FD5750" w:rsidP="007660EB" w14:paraId="082C0466" w14:textId="77777777">
      <w:pPr>
        <w:tabs>
          <w:tab w:val="left" w:pos="4320"/>
        </w:tabs>
        <w:ind w:left="4320" w:right="-180"/>
      </w:pPr>
      <w:r w:rsidRPr="00FD5750">
        <w:t>Maureen R. Willis (0020847)</w:t>
      </w:r>
    </w:p>
    <w:p w:rsidR="007660EB" w:rsidRPr="00FD5750" w:rsidP="007660EB" w14:paraId="1BB184FD" w14:textId="77777777">
      <w:pPr>
        <w:tabs>
          <w:tab w:val="left" w:pos="4320"/>
        </w:tabs>
        <w:ind w:left="4320" w:right="-180"/>
      </w:pPr>
      <w:r w:rsidRPr="00FD5750">
        <w:t>Legal Director</w:t>
      </w:r>
    </w:p>
    <w:p w:rsidR="007660EB" w:rsidRPr="00FD5750" w:rsidP="007660EB" w14:paraId="04479FC7" w14:textId="77777777">
      <w:pPr>
        <w:tabs>
          <w:tab w:val="left" w:pos="4320"/>
        </w:tabs>
        <w:ind w:left="4320" w:right="-180"/>
      </w:pPr>
      <w:r w:rsidRPr="00FD5750">
        <w:t>Counsel of Record</w:t>
      </w:r>
    </w:p>
    <w:p w:rsidR="007660EB" w:rsidRPr="00FD5750" w:rsidP="007660EB" w14:paraId="4AC93BCE" w14:textId="77777777">
      <w:pPr>
        <w:tabs>
          <w:tab w:val="left" w:pos="4320"/>
        </w:tabs>
        <w:ind w:left="4320" w:right="-180"/>
      </w:pPr>
      <w:r w:rsidRPr="00FD5750">
        <w:t>John Finnigan (0018689)</w:t>
      </w:r>
    </w:p>
    <w:p w:rsidR="007660EB" w:rsidRPr="00FD5750" w:rsidP="007660EB" w14:paraId="2508359D" w14:textId="77777777">
      <w:pPr>
        <w:tabs>
          <w:tab w:val="left" w:pos="4320"/>
        </w:tabs>
        <w:ind w:left="4320" w:right="-180"/>
      </w:pPr>
      <w:r w:rsidRPr="00FD5750">
        <w:t>Connor D. Semple (0101102)</w:t>
      </w:r>
      <w:r w:rsidRPr="00FD5750">
        <w:tab/>
      </w:r>
    </w:p>
    <w:p w:rsidR="007660EB" w:rsidRPr="00FD5750" w:rsidP="007660EB" w14:paraId="46FD9177" w14:textId="77777777">
      <w:pPr>
        <w:tabs>
          <w:tab w:val="left" w:pos="4320"/>
        </w:tabs>
        <w:ind w:left="4320" w:right="-180"/>
      </w:pPr>
      <w:r w:rsidRPr="00FD5750">
        <w:t xml:space="preserve">Assistant Consumers’ Counsel </w:t>
      </w:r>
    </w:p>
    <w:p w:rsidR="007660EB" w:rsidRPr="00FD5750" w:rsidP="007660EB" w14:paraId="08C25C5F" w14:textId="77777777">
      <w:pPr>
        <w:ind w:left="3600" w:firstLine="720"/>
      </w:pPr>
    </w:p>
    <w:p w:rsidR="007660EB" w:rsidRPr="00FD5750" w:rsidP="007660EB" w14:paraId="235E6FB2" w14:textId="77777777">
      <w:pPr>
        <w:ind w:left="3600" w:firstLine="720"/>
        <w:rPr>
          <w:b/>
          <w:bCs/>
        </w:rPr>
      </w:pPr>
      <w:r w:rsidRPr="00FD5750">
        <w:rPr>
          <w:b/>
          <w:bCs/>
        </w:rPr>
        <w:t>Office of the Ohio Consumers’ Counsel</w:t>
      </w:r>
    </w:p>
    <w:p w:rsidR="007660EB" w:rsidRPr="00FD5750" w:rsidP="007660EB" w14:paraId="78EFC891" w14:textId="77777777">
      <w:pPr>
        <w:pStyle w:val="PlainText"/>
        <w:ind w:left="3600" w:firstLine="720"/>
        <w:rPr>
          <w:rFonts w:ascii="Times New Roman" w:hAnsi="Times New Roman"/>
          <w:sz w:val="24"/>
          <w:szCs w:val="24"/>
        </w:rPr>
      </w:pPr>
      <w:r w:rsidRPr="00FD5750">
        <w:rPr>
          <w:rFonts w:ascii="Times New Roman" w:hAnsi="Times New Roman"/>
          <w:sz w:val="24"/>
          <w:szCs w:val="24"/>
        </w:rPr>
        <w:t>65 East State Street, Suite 700</w:t>
      </w:r>
    </w:p>
    <w:p w:rsidR="007660EB" w:rsidRPr="00FD5750" w:rsidP="007660EB" w14:paraId="21EE58C4" w14:textId="77777777">
      <w:pPr>
        <w:pStyle w:val="PlainText"/>
        <w:ind w:left="3600" w:firstLine="720"/>
        <w:rPr>
          <w:rFonts w:ascii="Times New Roman" w:hAnsi="Times New Roman"/>
          <w:sz w:val="24"/>
          <w:szCs w:val="24"/>
        </w:rPr>
      </w:pPr>
      <w:r w:rsidRPr="00FD5750">
        <w:rPr>
          <w:rFonts w:ascii="Times New Roman" w:hAnsi="Times New Roman"/>
          <w:sz w:val="24"/>
          <w:szCs w:val="24"/>
        </w:rPr>
        <w:t>Columbus, Ohio 43215</w:t>
      </w:r>
    </w:p>
    <w:p w:rsidR="007660EB" w:rsidRPr="00FD5750" w:rsidP="007660EB" w14:paraId="4FD014DE" w14:textId="77777777">
      <w:pPr>
        <w:adjustRightInd w:val="0"/>
        <w:ind w:left="4320"/>
      </w:pPr>
      <w:r w:rsidRPr="00FD5750">
        <w:t>Telephone: Willis (614) 466-9567</w:t>
      </w:r>
    </w:p>
    <w:p w:rsidR="007660EB" w:rsidRPr="00FD5750" w:rsidP="007660EB" w14:paraId="7CBD754B" w14:textId="77777777">
      <w:pPr>
        <w:pStyle w:val="ListParagraph"/>
        <w:autoSpaceDE w:val="0"/>
        <w:autoSpaceDN w:val="0"/>
        <w:adjustRightInd w:val="0"/>
        <w:ind w:left="3600" w:firstLine="720"/>
        <w:rPr>
          <w:szCs w:val="24"/>
        </w:rPr>
      </w:pPr>
      <w:r w:rsidRPr="00FD5750">
        <w:rPr>
          <w:szCs w:val="24"/>
        </w:rPr>
        <w:t>Telephone: Finnigan (614) 466-9585</w:t>
      </w:r>
    </w:p>
    <w:p w:rsidR="007660EB" w:rsidRPr="00FD5750" w:rsidP="007660EB" w14:paraId="0B49A6A0" w14:textId="77777777">
      <w:pPr>
        <w:suppressLineNumbers/>
        <w:ind w:left="4320"/>
      </w:pPr>
      <w:r w:rsidRPr="00FD5750">
        <w:t>Telephone: Semple (614) 466-9565</w:t>
      </w:r>
    </w:p>
    <w:p w:rsidR="007660EB" w:rsidRPr="00FD5750" w:rsidP="007660EB" w14:paraId="2389FCA7" w14:textId="77777777">
      <w:pPr>
        <w:ind w:left="4320"/>
      </w:pPr>
      <w:hyperlink r:id="rId6" w:history="1">
        <w:r w:rsidRPr="00FD5750">
          <w:rPr>
            <w:rStyle w:val="Hyperlink"/>
          </w:rPr>
          <w:t>maureen.willis@occ.ohio.gov</w:t>
        </w:r>
      </w:hyperlink>
      <w:r w:rsidRPr="00FD5750">
        <w:t xml:space="preserve"> </w:t>
      </w:r>
    </w:p>
    <w:p w:rsidR="007660EB" w:rsidRPr="00FD5750" w:rsidP="007660EB" w14:paraId="7FAE52CE" w14:textId="77777777">
      <w:pPr>
        <w:ind w:left="4320"/>
      </w:pPr>
      <w:hyperlink r:id="rId7" w:history="1">
        <w:r w:rsidRPr="00FD5750">
          <w:rPr>
            <w:rStyle w:val="Hyperlink"/>
          </w:rPr>
          <w:t>john.finnigan@occ.ohio.gov</w:t>
        </w:r>
      </w:hyperlink>
    </w:p>
    <w:p w:rsidR="007660EB" w:rsidRPr="00FD5750" w:rsidP="007660EB" w14:paraId="5DAB9541" w14:textId="77777777">
      <w:pPr>
        <w:suppressLineNumbers/>
        <w:ind w:left="4320"/>
      </w:pPr>
      <w:hyperlink r:id="rId8" w:history="1">
        <w:r w:rsidRPr="00FD5750">
          <w:rPr>
            <w:rStyle w:val="Hyperlink"/>
          </w:rPr>
          <w:t>connor.semple@occ.ohio.gov</w:t>
        </w:r>
      </w:hyperlink>
    </w:p>
    <w:p w:rsidR="007660EB" w:rsidRPr="00FD5750" w:rsidP="007660EB" w14:paraId="1A89D886" w14:textId="77777777">
      <w:pPr>
        <w:ind w:firstLine="4320"/>
      </w:pPr>
      <w:r w:rsidRPr="00FD5750">
        <w:t>(willing to accept service by e-mail)</w:t>
      </w:r>
    </w:p>
    <w:p w:rsidR="00B775E8" w:rsidRPr="00FD5750" w14:paraId="35445476" w14:textId="77777777">
      <w:pPr>
        <w:pStyle w:val="HTMLPreformatted"/>
        <w:jc w:val="center"/>
        <w:rPr>
          <w:rFonts w:ascii="Times New Roman" w:hAnsi="Times New Roman" w:cs="Times New Roman"/>
          <w:sz w:val="24"/>
          <w:szCs w:val="24"/>
        </w:rPr>
        <w:sectPr>
          <w:footerReference w:type="even" r:id="rId9"/>
          <w:footerReference w:type="default" r:id="rId10"/>
          <w:pgSz w:w="12240" w:h="15840"/>
          <w:pgMar w:top="1440" w:right="1800" w:bottom="1440" w:left="1800" w:header="720" w:footer="720" w:gutter="0"/>
          <w:cols w:space="720"/>
          <w:titlePg/>
          <w:docGrid w:linePitch="360"/>
        </w:sectPr>
      </w:pPr>
    </w:p>
    <w:p w:rsidR="00C24C80" w:rsidRPr="00FD5750" w14:paraId="19690D29" w14:textId="77777777">
      <w:pPr>
        <w:pStyle w:val="HTMLPreformatted"/>
        <w:jc w:val="center"/>
        <w:rPr>
          <w:rFonts w:ascii="Times New Roman" w:hAnsi="Times New Roman" w:cs="Times New Roman"/>
          <w:b/>
          <w:bCs/>
          <w:sz w:val="24"/>
          <w:szCs w:val="24"/>
        </w:rPr>
      </w:pPr>
      <w:r w:rsidRPr="00FD5750">
        <w:rPr>
          <w:rFonts w:ascii="Times New Roman" w:hAnsi="Times New Roman" w:cs="Times New Roman"/>
          <w:b/>
          <w:bCs/>
          <w:sz w:val="24"/>
          <w:szCs w:val="24"/>
        </w:rPr>
        <w:t>BEFORE</w:t>
      </w:r>
    </w:p>
    <w:p w:rsidR="00C24C80" w:rsidRPr="00FD5750" w14:paraId="6E2A8CA6" w14:textId="77777777">
      <w:pPr>
        <w:pStyle w:val="HTMLPreformatted"/>
        <w:jc w:val="center"/>
        <w:rPr>
          <w:rFonts w:ascii="Times New Roman" w:hAnsi="Times New Roman" w:cs="Times New Roman"/>
          <w:sz w:val="24"/>
          <w:szCs w:val="24"/>
        </w:rPr>
      </w:pPr>
      <w:r w:rsidRPr="00FD5750">
        <w:rPr>
          <w:rFonts w:ascii="Times New Roman" w:hAnsi="Times New Roman" w:cs="Times New Roman"/>
          <w:b/>
          <w:bCs/>
          <w:sz w:val="24"/>
          <w:szCs w:val="24"/>
        </w:rPr>
        <w:t>THE PUBLIC UTILITIES COMMISSION OF OHIO</w:t>
      </w:r>
    </w:p>
    <w:p w:rsidR="00AE4906" w:rsidRPr="00FD5750" w:rsidP="00AE4906" w14:paraId="7162A354" w14:textId="77777777"/>
    <w:tbl>
      <w:tblPr>
        <w:tblW w:w="9092" w:type="dxa"/>
        <w:tblLook w:val="01E0"/>
      </w:tblPr>
      <w:tblGrid>
        <w:gridCol w:w="4332"/>
        <w:gridCol w:w="528"/>
        <w:gridCol w:w="4232"/>
      </w:tblGrid>
      <w:tr w14:paraId="665C8370" w14:textId="77777777" w:rsidTr="00C66D15">
        <w:tblPrEx>
          <w:tblW w:w="9092" w:type="dxa"/>
          <w:tblLook w:val="01E0"/>
        </w:tblPrEx>
        <w:tc>
          <w:tcPr>
            <w:tcW w:w="4332" w:type="dxa"/>
            <w:shd w:val="clear" w:color="auto" w:fill="auto"/>
          </w:tcPr>
          <w:p w:rsidR="007660EB" w:rsidRPr="00FD5750" w:rsidP="007660EB" w14:paraId="7020C46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FD5750">
              <w:t>In the Matter of the Application of the Dayton Power and Light Company d/b/a AES Ohio for Approval of Its Electric Security Plan.</w:t>
            </w:r>
          </w:p>
        </w:tc>
        <w:tc>
          <w:tcPr>
            <w:tcW w:w="528" w:type="dxa"/>
            <w:shd w:val="clear" w:color="auto" w:fill="auto"/>
          </w:tcPr>
          <w:p w:rsidR="007660EB" w:rsidRPr="00FD5750" w:rsidP="007660EB" w14:paraId="341C6DA1" w14:textId="77777777">
            <w:r w:rsidRPr="00FD5750">
              <w:t>)</w:t>
            </w:r>
          </w:p>
          <w:p w:rsidR="007660EB" w:rsidRPr="00FD5750" w:rsidP="007660EB" w14:paraId="41A67FD9" w14:textId="77777777">
            <w:r w:rsidRPr="00FD5750">
              <w:t>)</w:t>
            </w:r>
          </w:p>
          <w:p w:rsidR="007660EB" w:rsidRPr="00FD5750" w:rsidP="007660EB" w14:paraId="2B8370D0" w14:textId="77777777">
            <w:r w:rsidRPr="00FD5750">
              <w:t>)</w:t>
            </w:r>
          </w:p>
          <w:p w:rsidR="007660EB" w:rsidRPr="00FD5750" w:rsidP="007660EB" w14:paraId="6C8BB241" w14:textId="77777777">
            <w:r w:rsidRPr="00FD5750">
              <w:t>)</w:t>
            </w:r>
          </w:p>
        </w:tc>
        <w:tc>
          <w:tcPr>
            <w:tcW w:w="4232" w:type="dxa"/>
            <w:shd w:val="clear" w:color="auto" w:fill="auto"/>
          </w:tcPr>
          <w:p w:rsidR="007660EB" w:rsidRPr="00FD5750" w:rsidP="007660EB" w14:paraId="46424785" w14:textId="77777777"/>
          <w:p w:rsidR="007660EB" w:rsidRPr="00FD5750" w:rsidP="007660EB" w14:paraId="680016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FD5750">
              <w:t>Case No. 22-900-EL-SSO</w:t>
            </w:r>
          </w:p>
        </w:tc>
      </w:tr>
    </w:tbl>
    <w:p w:rsidR="00C24C80" w:rsidRPr="00FD5750" w:rsidP="00C66D15" w14:paraId="062B4F09" w14:textId="77777777">
      <w:pPr>
        <w:pBdr>
          <w:bottom w:val="single" w:sz="12" w:space="0" w:color="auto"/>
        </w:pBdr>
      </w:pPr>
    </w:p>
    <w:p w:rsidR="00C24C80" w:rsidRPr="00FD5750" w14:paraId="4683BC99" w14:textId="77777777"/>
    <w:p w:rsidR="00C24C80" w:rsidRPr="00FD5750" w14:paraId="46E7197D" w14:textId="77777777">
      <w:pPr>
        <w:pBdr>
          <w:bottom w:val="single" w:sz="12" w:space="1" w:color="auto"/>
        </w:pBdr>
        <w:jc w:val="center"/>
        <w:rPr>
          <w:b/>
        </w:rPr>
      </w:pPr>
      <w:r w:rsidRPr="00FD5750">
        <w:rPr>
          <w:b/>
        </w:rPr>
        <w:t>MEMORANDUM IN SUPPORT</w:t>
      </w:r>
    </w:p>
    <w:p w:rsidR="00C24C80" w:rsidRPr="00FD5750" w14:paraId="2AC9BD6F" w14:textId="77777777">
      <w:pPr>
        <w:pBdr>
          <w:bottom w:val="single" w:sz="12" w:space="1" w:color="auto"/>
        </w:pBdr>
        <w:jc w:val="center"/>
        <w:rPr>
          <w:b/>
        </w:rPr>
      </w:pPr>
    </w:p>
    <w:p w:rsidR="00C24C80" w:rsidRPr="00FD5750" w14:paraId="187509D1" w14:textId="77777777"/>
    <w:p w:rsidR="00C24C80" w:rsidRPr="00FD5750" w14:paraId="5D065D22" w14:textId="486514A0">
      <w:pPr>
        <w:spacing w:line="480" w:lineRule="auto"/>
        <w:ind w:firstLine="720"/>
        <w:rPr>
          <w:color w:val="000000"/>
        </w:rPr>
      </w:pPr>
      <w:r w:rsidRPr="00FD5750">
        <w:rPr>
          <w:color w:val="000000"/>
        </w:rPr>
        <w:t>The PUCO has broad discretion to conduct its own hearings.</w:t>
      </w:r>
      <w:r>
        <w:rPr>
          <w:rStyle w:val="FootnoteReference"/>
          <w:color w:val="000000"/>
        </w:rPr>
        <w:footnoteReference w:id="10"/>
      </w:r>
      <w:r w:rsidR="00FD5750">
        <w:rPr>
          <w:color w:val="000000"/>
        </w:rPr>
        <w:t xml:space="preserve"> </w:t>
      </w:r>
      <w:r w:rsidRPr="00FD5750">
        <w:rPr>
          <w:color w:val="000000"/>
        </w:rPr>
        <w:t>The PUCO is not stringently confined to the rules of evidence,</w:t>
      </w:r>
      <w:r>
        <w:rPr>
          <w:rStyle w:val="FootnoteReference"/>
          <w:color w:val="000000"/>
        </w:rPr>
        <w:footnoteReference w:id="11"/>
      </w:r>
      <w:r w:rsidRPr="00FD5750">
        <w:rPr>
          <w:color w:val="000000"/>
        </w:rPr>
        <w:t xml:space="preserve"> but is directed by statute to observe the practice and rules of evidence in civil proceedings.</w:t>
      </w:r>
      <w:r>
        <w:rPr>
          <w:rStyle w:val="FootnoteReference"/>
          <w:color w:val="000000"/>
        </w:rPr>
        <w:footnoteReference w:id="12"/>
      </w:r>
      <w:r w:rsidR="00FD5750">
        <w:rPr>
          <w:color w:val="000000"/>
        </w:rPr>
        <w:t xml:space="preserve"> </w:t>
      </w:r>
    </w:p>
    <w:p w:rsidR="00C24C80" w:rsidRPr="00FD5750" w14:paraId="582FC2C2" w14:textId="71E5B840">
      <w:pPr>
        <w:autoSpaceDE w:val="0"/>
        <w:autoSpaceDN w:val="0"/>
        <w:adjustRightInd w:val="0"/>
        <w:spacing w:line="480" w:lineRule="auto"/>
        <w:rPr>
          <w:color w:val="000000"/>
        </w:rPr>
      </w:pPr>
      <w:r w:rsidRPr="00FD5750">
        <w:rPr>
          <w:color w:val="000000"/>
        </w:rPr>
        <w:tab/>
        <w:t>Under Rule 201 of the Ohio Rules of Evidence, judicial notice may be taken of any adjudicative fact that is not subject to reasonable dispute.</w:t>
      </w:r>
      <w:r w:rsidR="00FD5750">
        <w:rPr>
          <w:color w:val="000000"/>
        </w:rPr>
        <w:t xml:space="preserve"> </w:t>
      </w:r>
      <w:r w:rsidRPr="00FD5750">
        <w:rPr>
          <w:color w:val="000000"/>
        </w:rPr>
        <w:t xml:space="preserve">This rule permits courts to fill gaps in </w:t>
      </w:r>
      <w:r w:rsidRPr="00FD5750" w:rsidR="004B49CB">
        <w:rPr>
          <w:color w:val="000000"/>
        </w:rPr>
        <w:t>the record.</w:t>
      </w:r>
      <w:r w:rsidR="00FD5750">
        <w:rPr>
          <w:color w:val="000000"/>
        </w:rPr>
        <w:t xml:space="preserve"> </w:t>
      </w:r>
      <w:r w:rsidRPr="00FD5750" w:rsidR="004B49CB">
        <w:rPr>
          <w:color w:val="000000"/>
        </w:rPr>
        <w:t xml:space="preserve">Accordingly, </w:t>
      </w:r>
      <w:r w:rsidRPr="00FD5750" w:rsidR="002C2FA1">
        <w:rPr>
          <w:color w:val="000000"/>
        </w:rPr>
        <w:t>c</w:t>
      </w:r>
      <w:r w:rsidRPr="00FD5750">
        <w:rPr>
          <w:color w:val="000000"/>
        </w:rPr>
        <w:t>ourts have judicially noted documents filed, testimony given, and orders or findings.</w:t>
      </w:r>
      <w:r w:rsidR="00FD5750">
        <w:rPr>
          <w:color w:val="000000"/>
        </w:rPr>
        <w:t xml:space="preserve"> </w:t>
      </w:r>
      <w:r w:rsidRPr="00FD5750">
        <w:rPr>
          <w:color w:val="000000"/>
        </w:rPr>
        <w:t>Under subsection (F) of Rule 201, “Judicial notice may be taken at any stage of the proceeding.”</w:t>
      </w:r>
    </w:p>
    <w:p w:rsidR="002C2FA1" w:rsidRPr="00FD5750" w:rsidP="002C2FA1" w14:paraId="3B4F6B69" w14:textId="4579558F">
      <w:pPr>
        <w:autoSpaceDE w:val="0"/>
        <w:autoSpaceDN w:val="0"/>
        <w:adjustRightInd w:val="0"/>
        <w:spacing w:line="480" w:lineRule="auto"/>
        <w:rPr>
          <w:color w:val="000000"/>
        </w:rPr>
      </w:pPr>
      <w:r w:rsidRPr="00FD5750">
        <w:rPr>
          <w:color w:val="000000"/>
        </w:rPr>
        <w:tab/>
        <w:t xml:space="preserve">The Supreme Court of Ohio has held that while there is no absolute right for the taking of administrative notice, there is no prohibition against the </w:t>
      </w:r>
      <w:r w:rsidRPr="00FD5750" w:rsidR="00361B83">
        <w:rPr>
          <w:color w:val="000000"/>
        </w:rPr>
        <w:t>PUCO</w:t>
      </w:r>
      <w:r w:rsidRPr="00FD5750">
        <w:rPr>
          <w:color w:val="000000"/>
        </w:rPr>
        <w:t xml:space="preserve"> taking administrative notice of facts outside the record in a case.</w:t>
      </w:r>
      <w:r>
        <w:rPr>
          <w:rStyle w:val="FootnoteReference"/>
          <w:color w:val="000000"/>
        </w:rPr>
        <w:footnoteReference w:id="13"/>
      </w:r>
      <w:r w:rsidR="00FD5750">
        <w:rPr>
          <w:color w:val="000000"/>
        </w:rPr>
        <w:t xml:space="preserve"> </w:t>
      </w:r>
      <w:r w:rsidRPr="00FD5750">
        <w:rPr>
          <w:color w:val="000000"/>
        </w:rPr>
        <w:t>The important factors for applying administrative notice, according to the Court, are that the complaining party has prior knowledge of and an opportunity to rebut the materials judicially noticed.</w:t>
      </w:r>
      <w:r>
        <w:rPr>
          <w:rStyle w:val="FootnoteReference"/>
          <w:color w:val="000000"/>
        </w:rPr>
        <w:footnoteReference w:id="14"/>
      </w:r>
      <w:r w:rsidR="00FD5750">
        <w:rPr>
          <w:color w:val="000000"/>
        </w:rPr>
        <w:t xml:space="preserve"> </w:t>
      </w:r>
      <w:r w:rsidRPr="00FD5750">
        <w:rPr>
          <w:color w:val="000000"/>
        </w:rPr>
        <w:t>The appropriate scope of notice is broader in administrative proceedings than in trials.</w:t>
      </w:r>
      <w:r>
        <w:rPr>
          <w:rStyle w:val="FootnoteReference"/>
          <w:color w:val="000000"/>
        </w:rPr>
        <w:footnoteReference w:id="15"/>
      </w:r>
    </w:p>
    <w:p w:rsidR="002C2FA1" w:rsidRPr="00FD5750" w:rsidP="002C2FA1" w14:paraId="70D87A4D" w14:textId="08839927">
      <w:pPr>
        <w:autoSpaceDE w:val="0"/>
        <w:autoSpaceDN w:val="0"/>
        <w:adjustRightInd w:val="0"/>
        <w:spacing w:line="480" w:lineRule="auto"/>
        <w:ind w:firstLine="720"/>
        <w:rPr>
          <w:color w:val="000000"/>
        </w:rPr>
      </w:pPr>
      <w:r w:rsidRPr="00FD5750">
        <w:rPr>
          <w:color w:val="000000"/>
        </w:rPr>
        <w:t>The PUCO itself has recognized that it may take administrative notice of adjudicative facts,</w:t>
      </w:r>
      <w:r>
        <w:rPr>
          <w:rStyle w:val="FootnoteReference"/>
          <w:color w:val="000000"/>
        </w:rPr>
        <w:footnoteReference w:id="16"/>
      </w:r>
      <w:r w:rsidRPr="00FD5750">
        <w:rPr>
          <w:color w:val="000000"/>
        </w:rPr>
        <w:t xml:space="preserve"> cases,</w:t>
      </w:r>
      <w:r>
        <w:rPr>
          <w:rStyle w:val="FootnoteReference"/>
          <w:color w:val="000000"/>
        </w:rPr>
        <w:footnoteReference w:id="17"/>
      </w:r>
      <w:r w:rsidRPr="00FD5750">
        <w:rPr>
          <w:color w:val="000000"/>
        </w:rPr>
        <w:t xml:space="preserve"> entries,</w:t>
      </w:r>
      <w:r>
        <w:rPr>
          <w:rStyle w:val="FootnoteReference"/>
          <w:color w:val="000000"/>
        </w:rPr>
        <w:footnoteReference w:id="18"/>
      </w:r>
      <w:r w:rsidRPr="00FD5750">
        <w:rPr>
          <w:color w:val="000000"/>
        </w:rPr>
        <w:t xml:space="preserve"> expert opinion testimony, and briefs and other pleadings filed in separate proceedings.</w:t>
      </w:r>
      <w:r>
        <w:rPr>
          <w:rStyle w:val="FootnoteReference"/>
          <w:color w:val="000000"/>
        </w:rPr>
        <w:footnoteReference w:id="19"/>
      </w:r>
      <w:r w:rsidR="00FD5750">
        <w:rPr>
          <w:color w:val="000000"/>
        </w:rPr>
        <w:t xml:space="preserve"> </w:t>
      </w:r>
      <w:r w:rsidRPr="00FD5750">
        <w:rPr>
          <w:color w:val="000000"/>
        </w:rPr>
        <w:t>The PUCO has also taken administrative notice of the entire record</w:t>
      </w:r>
      <w:r>
        <w:rPr>
          <w:rStyle w:val="FootnoteReference"/>
          <w:color w:val="000000"/>
        </w:rPr>
        <w:footnoteReference w:id="20"/>
      </w:r>
      <w:r w:rsidRPr="00FD5750">
        <w:rPr>
          <w:color w:val="000000"/>
        </w:rPr>
        <w:t xml:space="preserve"> and evidence presented in separate cases.</w:t>
      </w:r>
      <w:r>
        <w:rPr>
          <w:rStyle w:val="FootnoteReference"/>
          <w:color w:val="000000"/>
        </w:rPr>
        <w:footnoteReference w:id="21"/>
      </w:r>
      <w:r w:rsidR="00FD5750">
        <w:rPr>
          <w:color w:val="000000"/>
        </w:rPr>
        <w:t xml:space="preserve"> </w:t>
      </w:r>
    </w:p>
    <w:p w:rsidR="002859BE" w:rsidRPr="00FD5750" w:rsidP="002859BE" w14:paraId="3BD8D00A" w14:textId="0893C3E9">
      <w:pPr>
        <w:spacing w:line="480" w:lineRule="auto"/>
        <w:ind w:firstLine="720"/>
        <w:rPr>
          <w:color w:val="000000"/>
        </w:rPr>
      </w:pPr>
      <w:r w:rsidRPr="00FD5750">
        <w:rPr>
          <w:color w:val="000000"/>
        </w:rPr>
        <w:t>In this case,</w:t>
      </w:r>
      <w:r w:rsidRPr="00FD5750" w:rsidR="00702F59">
        <w:rPr>
          <w:color w:val="000000"/>
        </w:rPr>
        <w:t xml:space="preserve"> OCC is asking the PUCO to take administrative notice of </w:t>
      </w:r>
      <w:r w:rsidRPr="00FD5750" w:rsidR="00305FB3">
        <w:rPr>
          <w:color w:val="000000"/>
        </w:rPr>
        <w:t xml:space="preserve">DP&amp;L’s </w:t>
      </w:r>
      <w:r w:rsidRPr="00FD5750">
        <w:rPr>
          <w:color w:val="000000"/>
        </w:rPr>
        <w:t>A</w:t>
      </w:r>
      <w:r w:rsidRPr="00FD5750" w:rsidR="00305FB3">
        <w:rPr>
          <w:color w:val="000000"/>
        </w:rPr>
        <w:t xml:space="preserve">mended </w:t>
      </w:r>
      <w:r w:rsidRPr="00FD5750">
        <w:rPr>
          <w:color w:val="000000"/>
        </w:rPr>
        <w:t>A</w:t>
      </w:r>
      <w:r w:rsidRPr="00FD5750" w:rsidR="00305FB3">
        <w:rPr>
          <w:color w:val="000000"/>
        </w:rPr>
        <w:t>pplication</w:t>
      </w:r>
      <w:r w:rsidRPr="00FD5750">
        <w:rPr>
          <w:color w:val="000000"/>
        </w:rPr>
        <w:t>, Part F,</w:t>
      </w:r>
      <w:r w:rsidR="00FD5750">
        <w:rPr>
          <w:color w:val="000000"/>
        </w:rPr>
        <w:t xml:space="preserve"> </w:t>
      </w:r>
      <w:r w:rsidRPr="00FD5750" w:rsidR="00305FB3">
        <w:rPr>
          <w:color w:val="000000"/>
        </w:rPr>
        <w:t xml:space="preserve">to receive transition revenues, filed in Case No. 99-1687-EL-ETP on April 20, 2000. </w:t>
      </w:r>
      <w:r w:rsidRPr="00FD5750">
        <w:rPr>
          <w:color w:val="000000"/>
        </w:rPr>
        <w:t xml:space="preserve">DP&amp;L’s </w:t>
      </w:r>
      <w:r w:rsidRPr="00FD5750" w:rsidR="00CE0101">
        <w:rPr>
          <w:color w:val="000000"/>
        </w:rPr>
        <w:t>A</w:t>
      </w:r>
      <w:r w:rsidRPr="00FD5750">
        <w:rPr>
          <w:color w:val="000000"/>
        </w:rPr>
        <w:t xml:space="preserve">mended </w:t>
      </w:r>
      <w:r w:rsidRPr="00FD5750" w:rsidR="00CE0101">
        <w:rPr>
          <w:color w:val="000000"/>
        </w:rPr>
        <w:t>A</w:t>
      </w:r>
      <w:r w:rsidRPr="00FD5750">
        <w:rPr>
          <w:color w:val="000000"/>
        </w:rPr>
        <w:t>pplication to receive transition revenues was approved by the PUCO</w:t>
      </w:r>
      <w:r w:rsidRPr="00FD5750" w:rsidR="00CE0101">
        <w:rPr>
          <w:color w:val="000000"/>
        </w:rPr>
        <w:t xml:space="preserve"> </w:t>
      </w:r>
      <w:r w:rsidRPr="00FD5750" w:rsidR="001C1219">
        <w:rPr>
          <w:color w:val="000000"/>
        </w:rPr>
        <w:t>o</w:t>
      </w:r>
      <w:r w:rsidRPr="00FD5750" w:rsidR="00CE0101">
        <w:rPr>
          <w:color w:val="000000"/>
        </w:rPr>
        <w:t>n Septem</w:t>
      </w:r>
      <w:r w:rsidRPr="00FD5750" w:rsidR="001C1219">
        <w:rPr>
          <w:color w:val="000000"/>
        </w:rPr>
        <w:t>b</w:t>
      </w:r>
      <w:r w:rsidRPr="00FD5750" w:rsidR="00CE0101">
        <w:rPr>
          <w:color w:val="000000"/>
        </w:rPr>
        <w:t>er 21, 2000.</w:t>
      </w:r>
      <w:r w:rsidR="00FD5750">
        <w:rPr>
          <w:color w:val="000000"/>
        </w:rPr>
        <w:t xml:space="preserve"> </w:t>
      </w:r>
      <w:r w:rsidRPr="00FD5750" w:rsidR="00CE0101">
        <w:rPr>
          <w:color w:val="000000"/>
        </w:rPr>
        <w:t xml:space="preserve">Under that PUCO Order </w:t>
      </w:r>
      <w:r w:rsidRPr="00FD5750">
        <w:rPr>
          <w:color w:val="000000"/>
        </w:rPr>
        <w:t>DP&amp;L was allowed to charge its consumers $699.2 million in transition costs and was permitted to defer $28.6 million in “accounting related expenses.”</w:t>
      </w:r>
      <w:r w:rsidR="00FD5750">
        <w:rPr>
          <w:color w:val="000000"/>
        </w:rPr>
        <w:t xml:space="preserve"> </w:t>
      </w:r>
      <w:r>
        <w:rPr>
          <w:rStyle w:val="FootnoteReference"/>
          <w:color w:val="000000"/>
        </w:rPr>
        <w:footnoteReference w:id="22"/>
      </w:r>
      <w:r w:rsidRPr="00FD5750">
        <w:rPr>
          <w:color w:val="000000"/>
        </w:rPr>
        <w:t xml:space="preserve"> Part F of </w:t>
      </w:r>
      <w:r w:rsidRPr="00FD5750" w:rsidR="00CE0101">
        <w:rPr>
          <w:color w:val="000000"/>
        </w:rPr>
        <w:t>DP&amp;L’s</w:t>
      </w:r>
      <w:r w:rsidRPr="00FD5750">
        <w:rPr>
          <w:color w:val="000000"/>
        </w:rPr>
        <w:t xml:space="preserve"> </w:t>
      </w:r>
      <w:r w:rsidRPr="00FD5750" w:rsidR="00CE0101">
        <w:rPr>
          <w:color w:val="000000"/>
        </w:rPr>
        <w:t>A</w:t>
      </w:r>
      <w:r w:rsidRPr="00FD5750">
        <w:rPr>
          <w:color w:val="000000"/>
        </w:rPr>
        <w:t xml:space="preserve">mended </w:t>
      </w:r>
      <w:r w:rsidRPr="00FD5750" w:rsidR="00CE0101">
        <w:rPr>
          <w:color w:val="000000"/>
        </w:rPr>
        <w:t>A</w:t>
      </w:r>
      <w:r w:rsidRPr="00FD5750">
        <w:rPr>
          <w:color w:val="000000"/>
        </w:rPr>
        <w:t>pplication identifies the total transition costs plus the deferral amounts that the PUCO ultimately authorized for collection from consumers as “transition costs</w:t>
      </w:r>
      <w:r w:rsidRPr="00FD5750" w:rsidR="00A75BDF">
        <w:rPr>
          <w:color w:val="000000"/>
        </w:rPr>
        <w:t>.”</w:t>
      </w:r>
      <w:r w:rsidRPr="00FD5750">
        <w:rPr>
          <w:color w:val="000000"/>
        </w:rPr>
        <w:t xml:space="preserve"> </w:t>
      </w:r>
      <w:r w:rsidRPr="00FD5750" w:rsidR="001C1219">
        <w:rPr>
          <w:color w:val="000000"/>
        </w:rPr>
        <w:t>On Sc</w:t>
      </w:r>
      <w:r w:rsidRPr="00FD5750" w:rsidR="00CE0101">
        <w:rPr>
          <w:color w:val="000000"/>
        </w:rPr>
        <w:t xml:space="preserve">hedule TC-2, </w:t>
      </w:r>
      <w:r w:rsidRPr="00FD5750" w:rsidR="001C1219">
        <w:rPr>
          <w:color w:val="000000"/>
        </w:rPr>
        <w:t xml:space="preserve">under </w:t>
      </w:r>
      <w:r w:rsidRPr="00FD5750" w:rsidR="00CE0101">
        <w:rPr>
          <w:color w:val="000000"/>
        </w:rPr>
        <w:t xml:space="preserve">the </w:t>
      </w:r>
      <w:r w:rsidRPr="00FD5750">
        <w:rPr>
          <w:color w:val="000000"/>
        </w:rPr>
        <w:t xml:space="preserve">heading “Accounting Order Recovery” DP&amp;L lists “Consumer Education </w:t>
      </w:r>
      <w:r w:rsidRPr="00FD5750" w:rsidR="00CE0101">
        <w:rPr>
          <w:color w:val="000000"/>
        </w:rPr>
        <w:t>C</w:t>
      </w:r>
      <w:r w:rsidRPr="00FD5750">
        <w:rPr>
          <w:color w:val="000000"/>
        </w:rPr>
        <w:t xml:space="preserve">osts” and “Settlement </w:t>
      </w:r>
      <w:r w:rsidRPr="00FD5750" w:rsidR="00CE0101">
        <w:rPr>
          <w:color w:val="000000"/>
        </w:rPr>
        <w:t>S</w:t>
      </w:r>
      <w:r w:rsidRPr="00FD5750">
        <w:rPr>
          <w:color w:val="000000"/>
        </w:rPr>
        <w:t xml:space="preserve">ystem </w:t>
      </w:r>
      <w:r w:rsidRPr="00FD5750" w:rsidR="00CE0101">
        <w:rPr>
          <w:color w:val="000000"/>
        </w:rPr>
        <w:t>I</w:t>
      </w:r>
      <w:r w:rsidRPr="00FD5750">
        <w:rPr>
          <w:color w:val="000000"/>
        </w:rPr>
        <w:t xml:space="preserve">mplementation </w:t>
      </w:r>
      <w:r w:rsidRPr="00FD5750" w:rsidR="00CE0101">
        <w:rPr>
          <w:color w:val="000000"/>
        </w:rPr>
        <w:t>C</w:t>
      </w:r>
      <w:r w:rsidRPr="00FD5750">
        <w:rPr>
          <w:color w:val="000000"/>
        </w:rPr>
        <w:t xml:space="preserve">osts.” </w:t>
      </w:r>
      <w:r w:rsidRPr="00FD5750" w:rsidR="00CE0101">
        <w:rPr>
          <w:color w:val="000000"/>
        </w:rPr>
        <w:t>DP&amp;L’s Amended Ap</w:t>
      </w:r>
      <w:r w:rsidRPr="00FD5750">
        <w:rPr>
          <w:color w:val="000000"/>
        </w:rPr>
        <w:t>plication specifically identifies the deferrals DP&amp;L now seeks to collect from consumers in this case -- “consumer education costs” and “settlement system implementation costs.”</w:t>
      </w:r>
      <w:r>
        <w:rPr>
          <w:rStyle w:val="FootnoteReference"/>
          <w:color w:val="000000"/>
        </w:rPr>
        <w:footnoteReference w:id="23"/>
      </w:r>
      <w:r w:rsidRPr="00FD5750">
        <w:rPr>
          <w:color w:val="000000"/>
        </w:rPr>
        <w:t xml:space="preserve"> OCC Witness Schroder confirmed that these deferrals it now seeks to collect from consumers were created in DP&amp;L’s electric transition plan filing in Case No. 99-1687-EL-ETP.</w:t>
      </w:r>
      <w:r w:rsidR="00FD5750">
        <w:rPr>
          <w:color w:val="000000"/>
        </w:rPr>
        <w:t xml:space="preserve"> </w:t>
      </w:r>
      <w:r w:rsidRPr="00FD5750">
        <w:rPr>
          <w:color w:val="000000"/>
        </w:rPr>
        <w:t xml:space="preserve">(Tr. </w:t>
      </w:r>
      <w:r w:rsidRPr="00FD5750" w:rsidR="007D6014">
        <w:rPr>
          <w:color w:val="000000"/>
        </w:rPr>
        <w:t>Vol. 1</w:t>
      </w:r>
      <w:r w:rsidR="00AD5D3B">
        <w:rPr>
          <w:color w:val="000000"/>
        </w:rPr>
        <w:t xml:space="preserve"> at </w:t>
      </w:r>
      <w:r w:rsidRPr="00FD5750" w:rsidR="007D6014">
        <w:rPr>
          <w:color w:val="000000"/>
        </w:rPr>
        <w:t xml:space="preserve"> 139-141</w:t>
      </w:r>
      <w:r w:rsidRPr="00FD5750">
        <w:rPr>
          <w:color w:val="000000"/>
        </w:rPr>
        <w:t>; OCC Exhibit</w:t>
      </w:r>
      <w:r w:rsidR="00FD5750">
        <w:rPr>
          <w:color w:val="000000"/>
        </w:rPr>
        <w:t xml:space="preserve"> </w:t>
      </w:r>
      <w:r w:rsidRPr="00FD5750" w:rsidR="00DE74E6">
        <w:rPr>
          <w:color w:val="000000"/>
        </w:rPr>
        <w:t>9</w:t>
      </w:r>
      <w:r w:rsidR="00AD5D3B">
        <w:rPr>
          <w:color w:val="000000"/>
        </w:rPr>
        <w:t xml:space="preserve">). </w:t>
      </w:r>
      <w:r w:rsidRPr="00FD5750">
        <w:rPr>
          <w:color w:val="000000"/>
        </w:rPr>
        <w:t xml:space="preserve"> </w:t>
      </w:r>
    </w:p>
    <w:p w:rsidR="00702F59" w:rsidRPr="00FD5750" w:rsidP="002859BE" w14:paraId="07B1D10D" w14:textId="69ECDD0D">
      <w:pPr>
        <w:autoSpaceDE w:val="0"/>
        <w:autoSpaceDN w:val="0"/>
        <w:adjustRightInd w:val="0"/>
        <w:spacing w:line="480" w:lineRule="auto"/>
        <w:ind w:firstLine="720"/>
        <w:rPr>
          <w:color w:val="FF0000"/>
        </w:rPr>
      </w:pPr>
      <w:r w:rsidRPr="00FD5750">
        <w:rPr>
          <w:color w:val="000000"/>
        </w:rPr>
        <w:t xml:space="preserve">In its </w:t>
      </w:r>
      <w:r w:rsidRPr="00FD5750" w:rsidR="00CE0101">
        <w:rPr>
          <w:color w:val="000000"/>
        </w:rPr>
        <w:t xml:space="preserve">September 21, 2000 </w:t>
      </w:r>
      <w:r w:rsidRPr="00FD5750">
        <w:rPr>
          <w:color w:val="000000"/>
        </w:rPr>
        <w:t>Order approving DP&amp;L’s electric transition plan, the PUCO approved the deferrals as transition costs to be collected from consumers, but without specifically identifying them other than to characterize them as “$28.6 million in accounting related expenses.”</w:t>
      </w:r>
      <w:r>
        <w:rPr>
          <w:rStyle w:val="FootnoteReference"/>
          <w:color w:val="000000"/>
        </w:rPr>
        <w:footnoteReference w:id="24"/>
      </w:r>
      <w:r w:rsidRPr="00FD5750">
        <w:rPr>
          <w:color w:val="000000"/>
        </w:rPr>
        <w:t xml:space="preserve"> DP&amp;L’s</w:t>
      </w:r>
      <w:r w:rsidR="00FD5750">
        <w:rPr>
          <w:color w:val="000000"/>
        </w:rPr>
        <w:t xml:space="preserve"> </w:t>
      </w:r>
      <w:r w:rsidRPr="00FD5750" w:rsidR="00CE0101">
        <w:rPr>
          <w:color w:val="000000"/>
        </w:rPr>
        <w:t>A</w:t>
      </w:r>
      <w:r w:rsidRPr="00FD5750">
        <w:rPr>
          <w:color w:val="000000"/>
        </w:rPr>
        <w:t xml:space="preserve">mended </w:t>
      </w:r>
      <w:r w:rsidRPr="00FD5750" w:rsidR="001C1219">
        <w:rPr>
          <w:color w:val="000000"/>
        </w:rPr>
        <w:t xml:space="preserve">Transition Plan </w:t>
      </w:r>
      <w:r w:rsidRPr="00FD5750" w:rsidR="00CE0101">
        <w:rPr>
          <w:color w:val="000000"/>
        </w:rPr>
        <w:t>A</w:t>
      </w:r>
      <w:r w:rsidRPr="00FD5750">
        <w:rPr>
          <w:color w:val="000000"/>
        </w:rPr>
        <w:t>pplication, Part F, provides the tie in to the PUCO’s approval of the consumer</w:t>
      </w:r>
      <w:r w:rsidR="00FD5750">
        <w:rPr>
          <w:color w:val="000000"/>
        </w:rPr>
        <w:t xml:space="preserve"> </w:t>
      </w:r>
      <w:r w:rsidRPr="00FD5750">
        <w:rPr>
          <w:color w:val="000000"/>
        </w:rPr>
        <w:t>education and settlement system implementation cost deferrals as “transition costs” to be collected from consumers</w:t>
      </w:r>
      <w:r w:rsidRPr="00FD5750" w:rsidR="00CE0101">
        <w:rPr>
          <w:color w:val="000000"/>
        </w:rPr>
        <w:t xml:space="preserve">. </w:t>
      </w:r>
    </w:p>
    <w:p w:rsidR="002C2FA1" w:rsidRPr="00FD5750" w:rsidP="002C2FA1" w14:paraId="4BAD82CA" w14:textId="33F42526">
      <w:pPr>
        <w:autoSpaceDE w:val="0"/>
        <w:autoSpaceDN w:val="0"/>
        <w:adjustRightInd w:val="0"/>
        <w:spacing w:line="480" w:lineRule="auto"/>
        <w:ind w:firstLine="720"/>
        <w:rPr>
          <w:color w:val="000000"/>
        </w:rPr>
      </w:pPr>
      <w:r w:rsidRPr="00FD5750">
        <w:rPr>
          <w:color w:val="000000"/>
        </w:rPr>
        <w:t>T</w:t>
      </w:r>
      <w:r w:rsidRPr="00FD5750" w:rsidR="00361B83">
        <w:rPr>
          <w:color w:val="000000"/>
        </w:rPr>
        <w:t xml:space="preserve">he PUCO </w:t>
      </w:r>
      <w:r w:rsidRPr="00FD5750" w:rsidR="00903937">
        <w:rPr>
          <w:color w:val="000000"/>
        </w:rPr>
        <w:t xml:space="preserve">taking administrative notice </w:t>
      </w:r>
      <w:r w:rsidRPr="00FD5750" w:rsidR="00361B83">
        <w:rPr>
          <w:color w:val="000000"/>
        </w:rPr>
        <w:t xml:space="preserve">of </w:t>
      </w:r>
      <w:r w:rsidRPr="00FD5750" w:rsidR="009C1A35">
        <w:rPr>
          <w:color w:val="000000"/>
        </w:rPr>
        <w:t xml:space="preserve">DP&amp;L’s </w:t>
      </w:r>
      <w:r w:rsidRPr="00FD5750" w:rsidR="00CE0101">
        <w:rPr>
          <w:color w:val="000000"/>
        </w:rPr>
        <w:t>Amended A</w:t>
      </w:r>
      <w:r w:rsidRPr="00FD5750" w:rsidR="009C1A35">
        <w:rPr>
          <w:color w:val="000000"/>
        </w:rPr>
        <w:t xml:space="preserve">pplication to receive transition costs would not prejudice </w:t>
      </w:r>
      <w:r w:rsidR="00AD5D3B">
        <w:rPr>
          <w:color w:val="000000"/>
        </w:rPr>
        <w:t>any party</w:t>
      </w:r>
      <w:r w:rsidRPr="00FD5750" w:rsidR="009C1A35">
        <w:rPr>
          <w:color w:val="000000"/>
        </w:rPr>
        <w:t>.</w:t>
      </w:r>
      <w:r w:rsidR="00FD5750">
        <w:rPr>
          <w:color w:val="000000"/>
        </w:rPr>
        <w:t xml:space="preserve"> </w:t>
      </w:r>
      <w:r w:rsidRPr="00FD5750" w:rsidR="00CD1AB6">
        <w:rPr>
          <w:color w:val="000000"/>
        </w:rPr>
        <w:t>DP&amp;L</w:t>
      </w:r>
      <w:r w:rsidR="00AD5D3B">
        <w:rPr>
          <w:color w:val="000000"/>
        </w:rPr>
        <w:t xml:space="preserve"> and other parties are </w:t>
      </w:r>
      <w:r w:rsidRPr="00FD5750" w:rsidR="00CD1AB6">
        <w:rPr>
          <w:color w:val="000000"/>
        </w:rPr>
        <w:t xml:space="preserve"> </w:t>
      </w:r>
      <w:r w:rsidR="00AD5D3B">
        <w:rPr>
          <w:color w:val="000000"/>
        </w:rPr>
        <w:t xml:space="preserve">(or should be) </w:t>
      </w:r>
      <w:r w:rsidRPr="00FD5750" w:rsidR="00CE0101">
        <w:rPr>
          <w:color w:val="000000"/>
        </w:rPr>
        <w:t xml:space="preserve">well </w:t>
      </w:r>
      <w:r w:rsidRPr="00FD5750" w:rsidR="00CD1AB6">
        <w:rPr>
          <w:color w:val="000000"/>
        </w:rPr>
        <w:t xml:space="preserve">aware of </w:t>
      </w:r>
      <w:r w:rsidRPr="00FD5750" w:rsidR="009C1A35">
        <w:rPr>
          <w:color w:val="000000"/>
        </w:rPr>
        <w:t xml:space="preserve">the regulatory assets created in </w:t>
      </w:r>
      <w:r w:rsidRPr="00FD5750" w:rsidR="00CE0101">
        <w:rPr>
          <w:color w:val="000000"/>
        </w:rPr>
        <w:t xml:space="preserve">its transition plan filing. </w:t>
      </w:r>
      <w:r w:rsidRPr="00FD5750" w:rsidR="00426D0C">
        <w:rPr>
          <w:color w:val="000000"/>
        </w:rPr>
        <w:t xml:space="preserve">DP&amp;L witness Sharon Schroeder testified at hearing </w:t>
      </w:r>
      <w:r w:rsidRPr="00FD5750" w:rsidR="001C1219">
        <w:rPr>
          <w:color w:val="000000"/>
        </w:rPr>
        <w:t>that the consumer education and settlement system implementation cost deferrals sought to be collected in the Settlement in this case were created in Case No. 99-1687-EL-ETP.</w:t>
      </w:r>
      <w:r>
        <w:rPr>
          <w:rStyle w:val="FootnoteReference"/>
          <w:color w:val="000000"/>
        </w:rPr>
        <w:footnoteReference w:id="25"/>
      </w:r>
      <w:r w:rsidRPr="00FD5750" w:rsidR="007B2F16">
        <w:rPr>
          <w:color w:val="000000"/>
        </w:rPr>
        <w:t xml:space="preserve"> </w:t>
      </w:r>
      <w:r w:rsidRPr="00FD5750" w:rsidR="00CD1AB6">
        <w:rPr>
          <w:color w:val="000000"/>
        </w:rPr>
        <w:t>DP&amp;L</w:t>
      </w:r>
      <w:r w:rsidRPr="00FD5750">
        <w:rPr>
          <w:color w:val="000000"/>
        </w:rPr>
        <w:t xml:space="preserve"> </w:t>
      </w:r>
      <w:r w:rsidRPr="00FD5750" w:rsidR="001C1219">
        <w:rPr>
          <w:color w:val="000000"/>
        </w:rPr>
        <w:t>and others will have the opportunity to address this matter in the upcoming briefs and reply briefs.</w:t>
      </w:r>
      <w:r w:rsidR="00FD5750">
        <w:rPr>
          <w:color w:val="000000"/>
        </w:rPr>
        <w:t xml:space="preserve"> </w:t>
      </w:r>
      <w:r w:rsidRPr="00FD5750" w:rsidR="001C1219">
        <w:rPr>
          <w:color w:val="000000"/>
        </w:rPr>
        <w:t>They</w:t>
      </w:r>
      <w:r w:rsidR="00FD5750">
        <w:rPr>
          <w:color w:val="000000"/>
        </w:rPr>
        <w:t xml:space="preserve"> </w:t>
      </w:r>
      <w:r w:rsidRPr="00FD5750">
        <w:rPr>
          <w:color w:val="000000"/>
        </w:rPr>
        <w:t xml:space="preserve">will </w:t>
      </w:r>
      <w:r w:rsidRPr="00FD5750" w:rsidR="00CD1AB6">
        <w:rPr>
          <w:color w:val="000000"/>
        </w:rPr>
        <w:t xml:space="preserve">also have an opportunity to respond to </w:t>
      </w:r>
      <w:r w:rsidRPr="00FD5750" w:rsidR="001C1219">
        <w:rPr>
          <w:color w:val="000000"/>
        </w:rPr>
        <w:t xml:space="preserve">this motion to take </w:t>
      </w:r>
      <w:r w:rsidRPr="00FD5750" w:rsidR="00CD1AB6">
        <w:rPr>
          <w:color w:val="000000"/>
        </w:rPr>
        <w:t>administrative notice</w:t>
      </w:r>
      <w:r w:rsidRPr="00FD5750" w:rsidR="00306041">
        <w:rPr>
          <w:color w:val="000000"/>
        </w:rPr>
        <w:t>.</w:t>
      </w:r>
    </w:p>
    <w:p w:rsidR="00C24C80" w:rsidRPr="00FD5750" w:rsidP="00517E82" w14:paraId="5A7F5985" w14:textId="53A73375">
      <w:pPr>
        <w:autoSpaceDE w:val="0"/>
        <w:autoSpaceDN w:val="0"/>
        <w:adjustRightInd w:val="0"/>
        <w:spacing w:line="480" w:lineRule="auto"/>
        <w:ind w:firstLine="720"/>
        <w:rPr>
          <w:color w:val="000000"/>
        </w:rPr>
      </w:pPr>
      <w:r w:rsidRPr="00FD5750">
        <w:rPr>
          <w:color w:val="000000"/>
        </w:rPr>
        <w:t xml:space="preserve">Taking administrative notice will provide the </w:t>
      </w:r>
      <w:r w:rsidRPr="00FD5750" w:rsidR="00375EA9">
        <w:rPr>
          <w:color w:val="000000"/>
        </w:rPr>
        <w:t>PUCO</w:t>
      </w:r>
      <w:r w:rsidRPr="00FD5750">
        <w:rPr>
          <w:color w:val="000000"/>
        </w:rPr>
        <w:t xml:space="preserve"> with </w:t>
      </w:r>
      <w:r w:rsidRPr="00FD5750" w:rsidR="007660EB">
        <w:rPr>
          <w:color w:val="000000"/>
        </w:rPr>
        <w:t xml:space="preserve">a more complete record upon which to base its decision whether to approve the settlement in this case. </w:t>
      </w:r>
      <w:r w:rsidRPr="00FD5750" w:rsidR="00517E82">
        <w:rPr>
          <w:color w:val="000000"/>
        </w:rPr>
        <w:t xml:space="preserve">The adjudicative facts sought to be noticed are relevant to whether the Settlement satisfies the third prong of the PUCO’s settlement standard. </w:t>
      </w:r>
      <w:r w:rsidRPr="00FD5750" w:rsidR="00375EA9">
        <w:rPr>
          <w:color w:val="000000"/>
        </w:rPr>
        <w:t>The PUCO should grant OCC’s Motion</w:t>
      </w:r>
      <w:r w:rsidRPr="00FD5750" w:rsidR="00F7060A">
        <w:rPr>
          <w:color w:val="000000"/>
        </w:rPr>
        <w:t>.</w:t>
      </w:r>
      <w:r w:rsidR="00FD5750">
        <w:rPr>
          <w:color w:val="FF0000"/>
        </w:rPr>
        <w:t xml:space="preserve"> </w:t>
      </w:r>
    </w:p>
    <w:p w:rsidR="00BB2861" w14:paraId="18114318" w14:textId="77777777">
      <w:r>
        <w:br w:type="page"/>
      </w:r>
    </w:p>
    <w:p w:rsidR="007660EB" w:rsidRPr="00FD5750" w:rsidP="007660EB" w14:paraId="629A30DC" w14:textId="3DBD090E">
      <w:pPr>
        <w:pStyle w:val="BodyTextIndent3"/>
        <w:widowControl w:val="0"/>
        <w:spacing w:after="0"/>
        <w:ind w:left="3600" w:firstLine="720"/>
        <w:rPr>
          <w:sz w:val="24"/>
          <w:szCs w:val="24"/>
        </w:rPr>
      </w:pPr>
      <w:r w:rsidRPr="00FD5750">
        <w:rPr>
          <w:sz w:val="24"/>
          <w:szCs w:val="24"/>
        </w:rPr>
        <w:t>Respectfully submitted,</w:t>
      </w:r>
    </w:p>
    <w:p w:rsidR="007660EB" w:rsidRPr="00FD5750" w:rsidP="007660EB" w14:paraId="50515731" w14:textId="77777777">
      <w:pPr>
        <w:pStyle w:val="HTMLPreformatted"/>
        <w:jc w:val="center"/>
        <w:rPr>
          <w:rFonts w:ascii="Times New Roman" w:hAnsi="Times New Roman" w:cs="Times New Roman"/>
          <w:sz w:val="24"/>
          <w:szCs w:val="24"/>
        </w:rPr>
      </w:pPr>
    </w:p>
    <w:p w:rsidR="007660EB" w:rsidRPr="00FD5750" w:rsidP="007660EB" w14:paraId="5B8AC286" w14:textId="77777777">
      <w:pPr>
        <w:pStyle w:val="Footer"/>
        <w:tabs>
          <w:tab w:val="left" w:pos="4320"/>
          <w:tab w:val="clear" w:pos="8640"/>
        </w:tabs>
        <w:ind w:left="3600"/>
      </w:pPr>
      <w:r w:rsidRPr="00FD5750">
        <w:tab/>
        <w:t>Bruce Weston (0016973)</w:t>
      </w:r>
    </w:p>
    <w:p w:rsidR="007660EB" w:rsidRPr="00FD5750" w:rsidP="007660EB" w14:paraId="755572B5" w14:textId="77777777">
      <w:pPr>
        <w:tabs>
          <w:tab w:val="left" w:pos="4320"/>
        </w:tabs>
        <w:ind w:left="3600"/>
      </w:pPr>
      <w:r w:rsidRPr="00FD5750">
        <w:tab/>
        <w:t>Ohio Consumers’ Counsel</w:t>
      </w:r>
    </w:p>
    <w:p w:rsidR="007660EB" w:rsidRPr="00FD5750" w:rsidP="007660EB" w14:paraId="6A1E7666" w14:textId="77777777">
      <w:pPr>
        <w:pStyle w:val="Footer"/>
        <w:tabs>
          <w:tab w:val="left" w:pos="4320"/>
          <w:tab w:val="clear" w:pos="8640"/>
        </w:tabs>
        <w:ind w:left="3600"/>
      </w:pPr>
    </w:p>
    <w:p w:rsidR="007660EB" w:rsidRPr="00FD5750" w:rsidP="007660EB" w14:paraId="2DB10F95" w14:textId="77777777">
      <w:pPr>
        <w:tabs>
          <w:tab w:val="left" w:pos="4320"/>
        </w:tabs>
        <w:ind w:right="-180"/>
        <w:rPr>
          <w:i/>
          <w:iCs/>
          <w:u w:val="single"/>
        </w:rPr>
      </w:pPr>
      <w:r w:rsidRPr="00FD5750">
        <w:rPr>
          <w:i/>
          <w:iCs/>
        </w:rPr>
        <w:tab/>
      </w:r>
      <w:r w:rsidRPr="00FD5750">
        <w:rPr>
          <w:i/>
          <w:iCs/>
          <w:u w:val="single"/>
        </w:rPr>
        <w:t>/s/ Maureen R. Willis</w:t>
      </w:r>
    </w:p>
    <w:p w:rsidR="007660EB" w:rsidRPr="00FD5750" w:rsidP="007660EB" w14:paraId="7CAF8983" w14:textId="77777777">
      <w:pPr>
        <w:tabs>
          <w:tab w:val="left" w:pos="4320"/>
        </w:tabs>
        <w:ind w:left="4320" w:right="-180"/>
      </w:pPr>
      <w:r w:rsidRPr="00FD5750">
        <w:t>Maureen R. Willis (0020847)</w:t>
      </w:r>
    </w:p>
    <w:p w:rsidR="007660EB" w:rsidRPr="00FD5750" w:rsidP="007660EB" w14:paraId="753B643E" w14:textId="77777777">
      <w:pPr>
        <w:tabs>
          <w:tab w:val="left" w:pos="4320"/>
        </w:tabs>
        <w:ind w:left="4320" w:right="-180"/>
      </w:pPr>
      <w:r w:rsidRPr="00FD5750">
        <w:t>Legal Director</w:t>
      </w:r>
    </w:p>
    <w:p w:rsidR="007660EB" w:rsidRPr="00FD5750" w:rsidP="007660EB" w14:paraId="02818FE5" w14:textId="77777777">
      <w:pPr>
        <w:tabs>
          <w:tab w:val="left" w:pos="4320"/>
        </w:tabs>
        <w:ind w:left="4320" w:right="-180"/>
      </w:pPr>
      <w:r w:rsidRPr="00FD5750">
        <w:t>Counsel of Record</w:t>
      </w:r>
    </w:p>
    <w:p w:rsidR="007660EB" w:rsidRPr="00FD5750" w:rsidP="007660EB" w14:paraId="3F79F0ED" w14:textId="77777777">
      <w:pPr>
        <w:tabs>
          <w:tab w:val="left" w:pos="4320"/>
        </w:tabs>
        <w:ind w:left="4320" w:right="-180"/>
      </w:pPr>
      <w:r w:rsidRPr="00FD5750">
        <w:t>John Finnigan (0018689)</w:t>
      </w:r>
    </w:p>
    <w:p w:rsidR="007660EB" w:rsidRPr="00FD5750" w:rsidP="007660EB" w14:paraId="441C786F" w14:textId="77777777">
      <w:pPr>
        <w:tabs>
          <w:tab w:val="left" w:pos="4320"/>
        </w:tabs>
        <w:ind w:left="4320" w:right="-180"/>
      </w:pPr>
      <w:r w:rsidRPr="00FD5750">
        <w:t>Connor D. Semple (0101102)</w:t>
      </w:r>
      <w:r w:rsidRPr="00FD5750">
        <w:tab/>
      </w:r>
    </w:p>
    <w:p w:rsidR="007660EB" w:rsidRPr="00FD5750" w:rsidP="007660EB" w14:paraId="13451DFB" w14:textId="77777777">
      <w:pPr>
        <w:tabs>
          <w:tab w:val="left" w:pos="4320"/>
        </w:tabs>
        <w:ind w:left="4320" w:right="-180"/>
      </w:pPr>
      <w:r w:rsidRPr="00FD5750">
        <w:t xml:space="preserve">Assistant Consumers’ Counsel </w:t>
      </w:r>
    </w:p>
    <w:p w:rsidR="007660EB" w:rsidRPr="00FD5750" w:rsidP="007660EB" w14:paraId="5D9BEFFD" w14:textId="77777777">
      <w:pPr>
        <w:ind w:left="3600" w:firstLine="720"/>
      </w:pPr>
    </w:p>
    <w:p w:rsidR="007660EB" w:rsidRPr="00FD5750" w:rsidP="007660EB" w14:paraId="42529387" w14:textId="77777777">
      <w:pPr>
        <w:ind w:left="3600" w:firstLine="720"/>
        <w:rPr>
          <w:b/>
          <w:bCs/>
        </w:rPr>
      </w:pPr>
      <w:r w:rsidRPr="00FD5750">
        <w:rPr>
          <w:b/>
          <w:bCs/>
        </w:rPr>
        <w:t>Office of the Ohio Consumers’ Counsel</w:t>
      </w:r>
    </w:p>
    <w:p w:rsidR="007660EB" w:rsidRPr="00FD5750" w:rsidP="007660EB" w14:paraId="74F27AFB" w14:textId="77777777">
      <w:pPr>
        <w:pStyle w:val="PlainText"/>
        <w:ind w:left="3600" w:firstLine="720"/>
        <w:rPr>
          <w:rFonts w:ascii="Times New Roman" w:hAnsi="Times New Roman"/>
          <w:sz w:val="24"/>
          <w:szCs w:val="24"/>
        </w:rPr>
      </w:pPr>
      <w:r w:rsidRPr="00FD5750">
        <w:rPr>
          <w:rFonts w:ascii="Times New Roman" w:hAnsi="Times New Roman"/>
          <w:sz w:val="24"/>
          <w:szCs w:val="24"/>
        </w:rPr>
        <w:t>65 East State Street, Suite 700</w:t>
      </w:r>
    </w:p>
    <w:p w:rsidR="007660EB" w:rsidRPr="00FD5750" w:rsidP="007660EB" w14:paraId="1564E054" w14:textId="77777777">
      <w:pPr>
        <w:pStyle w:val="PlainText"/>
        <w:ind w:left="3600" w:firstLine="720"/>
        <w:rPr>
          <w:rFonts w:ascii="Times New Roman" w:hAnsi="Times New Roman"/>
          <w:sz w:val="24"/>
          <w:szCs w:val="24"/>
        </w:rPr>
      </w:pPr>
      <w:r w:rsidRPr="00FD5750">
        <w:rPr>
          <w:rFonts w:ascii="Times New Roman" w:hAnsi="Times New Roman"/>
          <w:sz w:val="24"/>
          <w:szCs w:val="24"/>
        </w:rPr>
        <w:t>Columbus, Ohio 43215</w:t>
      </w:r>
    </w:p>
    <w:p w:rsidR="007660EB" w:rsidRPr="00FD5750" w:rsidP="007660EB" w14:paraId="59FEB4C8" w14:textId="77777777">
      <w:pPr>
        <w:adjustRightInd w:val="0"/>
        <w:ind w:left="4320"/>
      </w:pPr>
      <w:r w:rsidRPr="00FD5750">
        <w:t>Telephone: Willis (614) 466-9567</w:t>
      </w:r>
    </w:p>
    <w:p w:rsidR="007660EB" w:rsidRPr="00FD5750" w:rsidP="007660EB" w14:paraId="1B6A3453" w14:textId="77777777">
      <w:pPr>
        <w:pStyle w:val="ListParagraph"/>
        <w:autoSpaceDE w:val="0"/>
        <w:autoSpaceDN w:val="0"/>
        <w:adjustRightInd w:val="0"/>
        <w:ind w:left="3600" w:firstLine="720"/>
        <w:rPr>
          <w:szCs w:val="24"/>
        </w:rPr>
      </w:pPr>
      <w:r w:rsidRPr="00FD5750">
        <w:rPr>
          <w:szCs w:val="24"/>
        </w:rPr>
        <w:t>Telephone: Finnigan (614) 466-9585</w:t>
      </w:r>
    </w:p>
    <w:p w:rsidR="007660EB" w:rsidRPr="00FD5750" w:rsidP="007660EB" w14:paraId="54661B8F" w14:textId="77777777">
      <w:pPr>
        <w:suppressLineNumbers/>
        <w:ind w:left="4320"/>
      </w:pPr>
      <w:r w:rsidRPr="00FD5750">
        <w:t>Telephone: Semple (614) 466-9565</w:t>
      </w:r>
    </w:p>
    <w:p w:rsidR="007660EB" w:rsidRPr="00FD5750" w:rsidP="007660EB" w14:paraId="6C3C1AC2" w14:textId="77777777">
      <w:pPr>
        <w:ind w:left="4320"/>
      </w:pPr>
      <w:hyperlink r:id="rId6" w:history="1">
        <w:r w:rsidRPr="00FD5750">
          <w:rPr>
            <w:rStyle w:val="Hyperlink"/>
          </w:rPr>
          <w:t>maureen.willis@occ.ohio.gov</w:t>
        </w:r>
      </w:hyperlink>
      <w:r w:rsidRPr="00FD5750">
        <w:t xml:space="preserve"> </w:t>
      </w:r>
    </w:p>
    <w:p w:rsidR="007660EB" w:rsidRPr="00FD5750" w:rsidP="007660EB" w14:paraId="58DB6E33" w14:textId="77777777">
      <w:pPr>
        <w:ind w:left="4320"/>
      </w:pPr>
      <w:hyperlink r:id="rId7" w:history="1">
        <w:r w:rsidRPr="00FD5750">
          <w:rPr>
            <w:rStyle w:val="Hyperlink"/>
          </w:rPr>
          <w:t>john.finnigan@occ.ohio.gov</w:t>
        </w:r>
      </w:hyperlink>
    </w:p>
    <w:p w:rsidR="007660EB" w:rsidRPr="00FD5750" w:rsidP="007660EB" w14:paraId="751F7FC1" w14:textId="77777777">
      <w:pPr>
        <w:suppressLineNumbers/>
        <w:ind w:left="4320"/>
      </w:pPr>
      <w:hyperlink r:id="rId8" w:history="1">
        <w:r w:rsidRPr="00FD5750">
          <w:rPr>
            <w:rStyle w:val="Hyperlink"/>
          </w:rPr>
          <w:t>connor.semple@occ.ohio.gov</w:t>
        </w:r>
      </w:hyperlink>
    </w:p>
    <w:p w:rsidR="007660EB" w:rsidRPr="00FD5750" w:rsidP="007660EB" w14:paraId="5474F829" w14:textId="77777777">
      <w:pPr>
        <w:ind w:firstLine="4320"/>
      </w:pPr>
      <w:r w:rsidRPr="00FD5750">
        <w:t>(willing to accept service by e-mail)</w:t>
      </w:r>
    </w:p>
    <w:p w:rsidR="00AE4906" w:rsidRPr="00FD5750" w:rsidP="00AE4906" w14:paraId="26613036" w14:textId="77777777">
      <w:pPr>
        <w:ind w:left="4320" w:hanging="4320"/>
      </w:pPr>
    </w:p>
    <w:p w:rsidR="00C24C80" w:rsidRPr="00FD5750" w14:paraId="79834FFF" w14:textId="77777777">
      <w:pPr>
        <w:ind w:left="3600" w:firstLine="720"/>
        <w:rPr>
          <w:i/>
          <w:u w:val="single"/>
        </w:rPr>
      </w:pPr>
    </w:p>
    <w:p w:rsidR="00C24C80" w:rsidRPr="00FD5750" w14:paraId="3DA0D54F" w14:textId="77777777">
      <w:pPr>
        <w:pStyle w:val="ANSWER"/>
        <w:ind w:left="720"/>
        <w:jc w:val="center"/>
        <w:rPr>
          <w:b/>
          <w:szCs w:val="24"/>
          <w:u w:val="single"/>
        </w:rPr>
      </w:pPr>
      <w:r w:rsidRPr="00FD5750">
        <w:rPr>
          <w:szCs w:val="24"/>
        </w:rPr>
        <w:br w:type="page"/>
      </w:r>
      <w:r w:rsidRPr="00FD5750">
        <w:rPr>
          <w:b/>
          <w:szCs w:val="24"/>
          <w:u w:val="single"/>
        </w:rPr>
        <w:t>CERTIFICATE OF SERVICE</w:t>
      </w:r>
    </w:p>
    <w:p w:rsidR="00C24C80" w:rsidRPr="00FD5750" w:rsidP="00365FBD" w14:paraId="5E241249" w14:textId="497A15CB">
      <w:pPr>
        <w:spacing w:line="480" w:lineRule="auto"/>
      </w:pPr>
      <w:r w:rsidRPr="00FD5750">
        <w:tab/>
        <w:t xml:space="preserve">I hereby certify that a copy of the foregoing Motion to Take Administrative Notice has been served electronically upon those persons listed below this </w:t>
      </w:r>
      <w:r w:rsidR="007D567E">
        <w:t>10</w:t>
      </w:r>
      <w:r w:rsidRPr="00FD5750" w:rsidR="00C94A14">
        <w:rPr>
          <w:vertAlign w:val="superscript"/>
        </w:rPr>
        <w:t>th</w:t>
      </w:r>
      <w:r w:rsidRPr="00FD5750" w:rsidR="00C94A14">
        <w:t xml:space="preserve"> </w:t>
      </w:r>
      <w:r w:rsidRPr="00FD5750" w:rsidR="00E854A2">
        <w:t xml:space="preserve">day </w:t>
      </w:r>
      <w:r w:rsidRPr="00FD5750">
        <w:t xml:space="preserve">of </w:t>
      </w:r>
      <w:r w:rsidRPr="00FD5750" w:rsidR="007660EB">
        <w:t>May</w:t>
      </w:r>
      <w:r w:rsidRPr="00FD5750" w:rsidR="00C94A14">
        <w:t xml:space="preserve"> </w:t>
      </w:r>
      <w:r w:rsidRPr="00FD5750">
        <w:t>20</w:t>
      </w:r>
      <w:r w:rsidRPr="00FD5750" w:rsidR="007660EB">
        <w:t>23</w:t>
      </w:r>
      <w:r w:rsidRPr="00FD5750">
        <w:t>.</w:t>
      </w:r>
    </w:p>
    <w:p w:rsidR="00A05892" w:rsidRPr="00FD5750" w:rsidP="00365FBD" w14:paraId="28DE6B83" w14:textId="5B32E04E">
      <w:pPr>
        <w:tabs>
          <w:tab w:val="left" w:pos="4320"/>
        </w:tabs>
        <w:ind w:left="4320"/>
      </w:pPr>
      <w:r w:rsidRPr="00FD5750">
        <w:rPr>
          <w:i/>
          <w:u w:val="single"/>
        </w:rPr>
        <w:t xml:space="preserve">/s/ </w:t>
      </w:r>
      <w:r w:rsidRPr="00FD5750" w:rsidR="007660EB">
        <w:rPr>
          <w:i/>
          <w:u w:val="single"/>
        </w:rPr>
        <w:t>Maure</w:t>
      </w:r>
      <w:r w:rsidR="00365FBD">
        <w:rPr>
          <w:i/>
          <w:u w:val="single"/>
        </w:rPr>
        <w:t>e</w:t>
      </w:r>
      <w:r w:rsidRPr="00FD5750" w:rsidR="007660EB">
        <w:rPr>
          <w:i/>
          <w:u w:val="single"/>
        </w:rPr>
        <w:t>n R. Willis</w:t>
      </w:r>
    </w:p>
    <w:p w:rsidR="00A05892" w:rsidRPr="00FD5750" w:rsidP="007660EB" w14:paraId="77CF5721" w14:textId="77777777">
      <w:pPr>
        <w:tabs>
          <w:tab w:val="left" w:pos="4320"/>
        </w:tabs>
      </w:pPr>
      <w:r w:rsidRPr="00FD5750">
        <w:tab/>
      </w:r>
      <w:r w:rsidRPr="00FD5750" w:rsidR="007660EB">
        <w:t>Maureen R. Willis</w:t>
      </w:r>
    </w:p>
    <w:p w:rsidR="007660EB" w:rsidRPr="00FD5750" w:rsidP="007660EB" w14:paraId="684E8552" w14:textId="77777777">
      <w:pPr>
        <w:tabs>
          <w:tab w:val="left" w:pos="4320"/>
        </w:tabs>
      </w:pPr>
      <w:r w:rsidRPr="00FD5750">
        <w:tab/>
        <w:t>Legal Director</w:t>
      </w:r>
    </w:p>
    <w:p w:rsidR="00A05892" w:rsidRPr="00FD5750" w:rsidP="00A05892" w14:paraId="275D9034" w14:textId="77777777">
      <w:pPr>
        <w:pStyle w:val="CommentSubject"/>
        <w:rPr>
          <w:sz w:val="24"/>
          <w:szCs w:val="24"/>
        </w:rPr>
      </w:pPr>
    </w:p>
    <w:p w:rsidR="00A05892" w:rsidRPr="00FD5750" w:rsidP="00A05892" w14:paraId="4B71E691" w14:textId="77777777">
      <w:r w:rsidRPr="00FD5750">
        <w:t>The PUCO’s e-filing system will electronically serve notice of the filing of this document on the following parties:</w:t>
      </w:r>
    </w:p>
    <w:p w:rsidR="00A05892" w:rsidRPr="00FD5750" w:rsidP="00A05892" w14:paraId="6BA7340C" w14:textId="77777777">
      <w:pPr>
        <w:jc w:val="center"/>
        <w:rPr>
          <w:b/>
          <w:u w:val="single"/>
        </w:rPr>
      </w:pPr>
    </w:p>
    <w:p w:rsidR="00A05892" w:rsidRPr="00FD5750" w:rsidP="00A05892" w14:paraId="0884955E" w14:textId="77777777">
      <w:pPr>
        <w:jc w:val="center"/>
        <w:rPr>
          <w:b/>
          <w:u w:val="single"/>
        </w:rPr>
      </w:pPr>
    </w:p>
    <w:p w:rsidR="00A05892" w:rsidP="00A05892" w14:paraId="6162E4EE" w14:textId="77777777">
      <w:pPr>
        <w:jc w:val="center"/>
        <w:rPr>
          <w:b/>
          <w:u w:val="single"/>
        </w:rPr>
      </w:pPr>
      <w:r w:rsidRPr="00FD5750">
        <w:rPr>
          <w:b/>
          <w:u w:val="single"/>
        </w:rPr>
        <w:t>SERVICE LIST</w:t>
      </w:r>
    </w:p>
    <w:p w:rsidR="003F7F3F" w:rsidRPr="00FD5750" w:rsidP="003F7F3F" w14:paraId="330E3FAE" w14:textId="77777777">
      <w:pPr>
        <w:jc w:val="center"/>
        <w:rPr>
          <w:b/>
          <w:u w:val="single"/>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6"/>
        <w:gridCol w:w="4374"/>
      </w:tblGrid>
      <w:tr w14:paraId="0011CEF5" w14:textId="77777777" w:rsidTr="00A73B97">
        <w:tblPrEx>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6590"/>
        </w:trPr>
        <w:tc>
          <w:tcPr>
            <w:tcW w:w="4266" w:type="dxa"/>
            <w:tcBorders>
              <w:top w:val="nil"/>
              <w:left w:val="nil"/>
              <w:bottom w:val="nil"/>
              <w:right w:val="nil"/>
            </w:tcBorders>
            <w:shd w:val="clear" w:color="auto" w:fill="auto"/>
            <w:tcMar>
              <w:top w:w="80" w:type="dxa"/>
              <w:left w:w="80" w:type="dxa"/>
              <w:bottom w:w="80" w:type="dxa"/>
              <w:right w:w="80" w:type="dxa"/>
            </w:tcMar>
          </w:tcPr>
          <w:p w:rsidR="0039554E" w:rsidRPr="008E026B" w:rsidP="00A73B97" w14:paraId="1D25F835" w14:textId="77777777">
            <w:pPr>
              <w:pBdr>
                <w:top w:val="nil"/>
                <w:left w:val="nil"/>
                <w:bottom w:val="nil"/>
                <w:right w:val="nil"/>
                <w:between w:val="nil"/>
                <w:bar w:val="nil"/>
              </w:pBdr>
              <w:rPr>
                <w:rFonts w:eastAsia="Arial Unicode MS"/>
                <w:color w:val="0000FF"/>
                <w:u w:val="single" w:color="0000FF"/>
                <w:bdr w:val="nil"/>
              </w:rPr>
            </w:pPr>
            <w:hyperlink r:id="rId11" w:history="1">
              <w:r w:rsidRPr="008E026B">
                <w:rPr>
                  <w:rFonts w:eastAsia="Arial Unicode MS"/>
                  <w:color w:val="0000FF"/>
                  <w:u w:val="single" w:color="0000FF"/>
                  <w:bdr w:val="nil"/>
                </w:rPr>
                <w:t>werner.margard@ohioAGO.gov</w:t>
              </w:r>
            </w:hyperlink>
          </w:p>
          <w:p w:rsidR="0039554E" w:rsidRPr="008E026B" w:rsidP="00A73B97" w14:paraId="54AFC9B1" w14:textId="77777777">
            <w:pPr>
              <w:pBdr>
                <w:top w:val="nil"/>
                <w:left w:val="nil"/>
                <w:bottom w:val="nil"/>
                <w:right w:val="nil"/>
                <w:between w:val="nil"/>
                <w:bar w:val="nil"/>
              </w:pBdr>
              <w:rPr>
                <w:rFonts w:eastAsia="Arial Unicode MS"/>
                <w:color w:val="0000FF"/>
                <w:u w:val="single" w:color="0000FF"/>
                <w:bdr w:val="nil"/>
              </w:rPr>
            </w:pPr>
            <w:hyperlink r:id="rId12" w:history="1">
              <w:r w:rsidRPr="008E026B">
                <w:rPr>
                  <w:rFonts w:eastAsia="Arial Unicode MS"/>
                  <w:color w:val="0000FF"/>
                  <w:u w:val="single" w:color="000000"/>
                  <w:bdr w:val="nil"/>
                </w:rPr>
                <w:t>ambrosia.wilson@ohioAGO.gov</w:t>
              </w:r>
            </w:hyperlink>
          </w:p>
          <w:p w:rsidR="0039554E" w:rsidRPr="008E026B" w:rsidP="00A73B97" w14:paraId="76D96D3B" w14:textId="77777777">
            <w:pPr>
              <w:pBdr>
                <w:top w:val="nil"/>
                <w:left w:val="nil"/>
                <w:bottom w:val="nil"/>
                <w:right w:val="nil"/>
                <w:between w:val="nil"/>
                <w:bar w:val="nil"/>
              </w:pBdr>
              <w:rPr>
                <w:rFonts w:eastAsia="Arial Unicode MS"/>
                <w:color w:val="0000FF"/>
                <w:u w:val="single" w:color="0000FF"/>
                <w:bdr w:val="nil"/>
              </w:rPr>
            </w:pPr>
            <w:hyperlink r:id="rId13" w:history="1">
              <w:r w:rsidRPr="008E026B">
                <w:rPr>
                  <w:rFonts w:eastAsia="Arial Unicode MS"/>
                  <w:color w:val="0000FF"/>
                  <w:u w:val="single" w:color="0000FF"/>
                  <w:bdr w:val="nil"/>
                </w:rPr>
                <w:t>shaun.lyons@ohioAGO.gov</w:t>
              </w:r>
            </w:hyperlink>
          </w:p>
          <w:p w:rsidR="0039554E" w:rsidRPr="008E026B" w:rsidP="00A73B97" w14:paraId="0E4059C9" w14:textId="77777777">
            <w:pPr>
              <w:pBdr>
                <w:top w:val="nil"/>
                <w:left w:val="nil"/>
                <w:bottom w:val="nil"/>
                <w:right w:val="nil"/>
                <w:between w:val="nil"/>
                <w:bar w:val="nil"/>
              </w:pBdr>
              <w:rPr>
                <w:rFonts w:eastAsia="Arial Unicode MS"/>
                <w:color w:val="0000FF"/>
                <w:u w:val="single" w:color="0000FF"/>
                <w:bdr w:val="nil"/>
              </w:rPr>
            </w:pPr>
            <w:hyperlink r:id="rId14" w:history="1">
              <w:r w:rsidRPr="008E026B">
                <w:rPr>
                  <w:rFonts w:eastAsia="Arial Unicode MS"/>
                  <w:color w:val="0000FF"/>
                  <w:u w:val="single" w:color="0000FF"/>
                  <w:bdr w:val="nil"/>
                </w:rPr>
                <w:t>kherrnstein@bricker.com</w:t>
              </w:r>
            </w:hyperlink>
          </w:p>
          <w:p w:rsidR="0039554E" w:rsidRPr="008E026B" w:rsidP="00A73B97" w14:paraId="55C1367B" w14:textId="77777777">
            <w:pPr>
              <w:pBdr>
                <w:top w:val="nil"/>
                <w:left w:val="nil"/>
                <w:bottom w:val="nil"/>
                <w:right w:val="nil"/>
                <w:between w:val="nil"/>
                <w:bar w:val="nil"/>
              </w:pBdr>
              <w:rPr>
                <w:rFonts w:eastAsia="Calibri"/>
                <w:color w:val="0000FF"/>
                <w:u w:val="single" w:color="0000FF"/>
                <w:bdr w:val="nil"/>
              </w:rPr>
            </w:pPr>
            <w:r w:rsidRPr="008E026B">
              <w:rPr>
                <w:rFonts w:eastAsia="Calibri"/>
                <w:color w:val="0000FF"/>
                <w:u w:val="single" w:color="0000FF"/>
                <w:bdr w:val="nil"/>
              </w:rPr>
              <w:t>dparram@brickergraydon.com</w:t>
            </w:r>
          </w:p>
          <w:p w:rsidR="0039554E" w:rsidRPr="008E026B" w:rsidP="00A73B97" w14:paraId="7053EAF1" w14:textId="77777777">
            <w:pPr>
              <w:pBdr>
                <w:top w:val="nil"/>
                <w:left w:val="nil"/>
                <w:bottom w:val="nil"/>
                <w:right w:val="nil"/>
                <w:between w:val="nil"/>
                <w:bar w:val="nil"/>
              </w:pBdr>
              <w:rPr>
                <w:rFonts w:eastAsia="Calibri"/>
                <w:color w:val="0000FF"/>
                <w:u w:val="single" w:color="0000FF"/>
                <w:bdr w:val="nil"/>
              </w:rPr>
            </w:pPr>
            <w:r w:rsidRPr="008E026B">
              <w:rPr>
                <w:rFonts w:eastAsia="Calibri"/>
                <w:color w:val="0000FF"/>
                <w:u w:val="single" w:color="0000FF"/>
                <w:bdr w:val="nil"/>
              </w:rPr>
              <w:t>dborchers@brickergraydon.com</w:t>
            </w:r>
          </w:p>
          <w:p w:rsidR="0039554E" w:rsidRPr="008E026B" w:rsidP="00A73B97" w14:paraId="5E690CB8" w14:textId="77777777">
            <w:pPr>
              <w:pBdr>
                <w:top w:val="nil"/>
                <w:left w:val="nil"/>
                <w:bottom w:val="nil"/>
                <w:right w:val="nil"/>
                <w:between w:val="nil"/>
                <w:bar w:val="nil"/>
              </w:pBdr>
              <w:rPr>
                <w:rFonts w:eastAsia="Arial Unicode MS"/>
                <w:color w:val="0000FF"/>
                <w:u w:val="single" w:color="0000FF"/>
              </w:rPr>
            </w:pPr>
            <w:r w:rsidRPr="008E026B">
              <w:rPr>
                <w:rFonts w:eastAsia="Calibri"/>
                <w:color w:val="0000FF"/>
                <w:u w:val="single" w:color="0000FF"/>
                <w:bdr w:val="nil"/>
              </w:rPr>
              <w:t>rmains@brickergraydon.com</w:t>
            </w:r>
            <w:r w:rsidRPr="008E026B">
              <w:rPr>
                <w:rFonts w:eastAsia="Calibri"/>
                <w:color w:val="0000FF"/>
                <w:u w:val="single" w:color="0000FF"/>
                <w:bdr w:val="nil"/>
              </w:rPr>
              <w:cr/>
            </w:r>
            <w:hyperlink r:id="rId15" w:history="1">
              <w:r w:rsidRPr="008E026B">
                <w:rPr>
                  <w:rFonts w:eastAsia="Arial Unicode MS"/>
                  <w:color w:val="0000FF"/>
                  <w:u w:val="single" w:color="0000FF"/>
                </w:rPr>
                <w:t>dproano@bakerlaw.com</w:t>
              </w:r>
            </w:hyperlink>
          </w:p>
          <w:p w:rsidR="0039554E" w:rsidRPr="008E026B" w:rsidP="00A73B97" w14:paraId="7F19E1B5" w14:textId="77777777">
            <w:pPr>
              <w:rPr>
                <w:rFonts w:eastAsia="Arial Unicode MS"/>
                <w:color w:val="0000FF"/>
                <w:u w:val="single" w:color="0000FF"/>
              </w:rPr>
            </w:pPr>
            <w:hyperlink r:id="rId16" w:history="1">
              <w:r w:rsidRPr="008E026B">
                <w:rPr>
                  <w:rFonts w:eastAsia="Arial Unicode MS"/>
                  <w:color w:val="0000FF"/>
                  <w:u w:val="single" w:color="0000FF"/>
                </w:rPr>
                <w:t>ahaque@bakerlaw.com</w:t>
              </w:r>
            </w:hyperlink>
          </w:p>
          <w:p w:rsidR="0039554E" w:rsidRPr="008E026B" w:rsidP="00A73B97" w14:paraId="1EF4C80E" w14:textId="77777777">
            <w:pPr>
              <w:pBdr>
                <w:top w:val="nil"/>
                <w:left w:val="nil"/>
                <w:bottom w:val="nil"/>
                <w:right w:val="nil"/>
                <w:between w:val="nil"/>
                <w:bar w:val="nil"/>
              </w:pBdr>
              <w:rPr>
                <w:rFonts w:eastAsia="Arial Unicode MS"/>
                <w:color w:val="0000FF"/>
                <w:u w:val="single" w:color="0000FF"/>
                <w:bdr w:val="nil"/>
              </w:rPr>
            </w:pPr>
            <w:hyperlink r:id="rId17" w:history="1">
              <w:r w:rsidRPr="008E026B">
                <w:rPr>
                  <w:rFonts w:eastAsia="Arial Unicode MS"/>
                  <w:color w:val="0000FF"/>
                  <w:u w:val="single" w:color="0000FF"/>
                  <w:bdr w:val="nil"/>
                </w:rPr>
                <w:t>eprouty@bakerlaw.com</w:t>
              </w:r>
            </w:hyperlink>
          </w:p>
          <w:p w:rsidR="0039554E" w:rsidRPr="008E026B" w:rsidP="00A73B97" w14:paraId="2FAB78C2" w14:textId="77777777">
            <w:pPr>
              <w:pBdr>
                <w:top w:val="nil"/>
                <w:left w:val="nil"/>
                <w:bottom w:val="nil"/>
                <w:right w:val="nil"/>
                <w:between w:val="nil"/>
                <w:bar w:val="nil"/>
              </w:pBdr>
              <w:rPr>
                <w:rFonts w:eastAsia="Arial Unicode MS"/>
                <w:color w:val="0000FF"/>
                <w:u w:val="single" w:color="0000FF"/>
                <w:bdr w:val="nil"/>
              </w:rPr>
            </w:pPr>
            <w:hyperlink r:id="rId18" w:history="1">
              <w:r w:rsidRPr="008E026B">
                <w:rPr>
                  <w:rFonts w:eastAsia="Arial Unicode MS"/>
                  <w:color w:val="0000FF"/>
                  <w:u w:val="single" w:color="0000FF"/>
                  <w:bdr w:val="nil"/>
                </w:rPr>
                <w:t>knordstrom@theOEC.org</w:t>
              </w:r>
            </w:hyperlink>
          </w:p>
          <w:p w:rsidR="0039554E" w:rsidRPr="008E026B" w:rsidP="00A73B97" w14:paraId="604482BE" w14:textId="77777777">
            <w:pPr>
              <w:pBdr>
                <w:top w:val="nil"/>
                <w:left w:val="nil"/>
                <w:bottom w:val="nil"/>
                <w:right w:val="nil"/>
                <w:between w:val="nil"/>
                <w:bar w:val="nil"/>
              </w:pBdr>
              <w:rPr>
                <w:rFonts w:eastAsia="Arial Unicode MS"/>
                <w:color w:val="0000FF"/>
                <w:u w:val="single" w:color="0000FF"/>
                <w:bdr w:val="nil"/>
              </w:rPr>
            </w:pPr>
            <w:hyperlink r:id="rId19" w:history="1">
              <w:r w:rsidRPr="008E026B">
                <w:rPr>
                  <w:rFonts w:eastAsia="Arial Unicode MS"/>
                  <w:color w:val="0000FF"/>
                  <w:u w:val="single" w:color="0000FF"/>
                  <w:bdr w:val="nil"/>
                </w:rPr>
                <w:t>ctavenor@theOEC.org</w:t>
              </w:r>
            </w:hyperlink>
          </w:p>
          <w:p w:rsidR="0039554E" w:rsidRPr="008E026B" w:rsidP="00A73B97" w14:paraId="3F588BD0" w14:textId="77777777">
            <w:pPr>
              <w:pBdr>
                <w:top w:val="nil"/>
                <w:left w:val="nil"/>
                <w:bottom w:val="nil"/>
                <w:right w:val="nil"/>
                <w:between w:val="nil"/>
                <w:bar w:val="nil"/>
              </w:pBdr>
              <w:rPr>
                <w:rFonts w:eastAsia="Arial Unicode MS"/>
                <w:color w:val="0000FF"/>
                <w:u w:val="single" w:color="0000FF"/>
                <w:bdr w:val="nil"/>
              </w:rPr>
            </w:pPr>
            <w:hyperlink r:id="rId20" w:history="1">
              <w:r w:rsidRPr="008E026B">
                <w:rPr>
                  <w:rFonts w:eastAsia="Arial Unicode MS"/>
                  <w:color w:val="0000FF"/>
                  <w:u w:val="single" w:color="0000FF"/>
                  <w:bdr w:val="nil"/>
                </w:rPr>
                <w:t>leonard.bazelak@daytonohio.gov</w:t>
              </w:r>
            </w:hyperlink>
          </w:p>
          <w:p w:rsidR="0039554E" w:rsidRPr="008E026B" w:rsidP="00A73B97" w14:paraId="42F88DC5" w14:textId="77777777">
            <w:pPr>
              <w:pBdr>
                <w:top w:val="nil"/>
                <w:left w:val="nil"/>
                <w:bottom w:val="nil"/>
                <w:right w:val="nil"/>
                <w:between w:val="nil"/>
                <w:bar w:val="nil"/>
              </w:pBdr>
              <w:rPr>
                <w:rFonts w:eastAsia="Arial Unicode MS"/>
                <w:color w:val="0000FF"/>
                <w:u w:val="single" w:color="0000FF"/>
                <w:bdr w:val="nil"/>
              </w:rPr>
            </w:pPr>
            <w:hyperlink r:id="rId21" w:history="1">
              <w:r w:rsidRPr="008E026B">
                <w:rPr>
                  <w:rFonts w:eastAsia="Arial Unicode MS"/>
                  <w:color w:val="0000FF"/>
                  <w:u w:val="single" w:color="0000FF"/>
                  <w:bdr w:val="nil"/>
                </w:rPr>
                <w:t>bojko@carpenterlipps.com</w:t>
              </w:r>
            </w:hyperlink>
          </w:p>
          <w:p w:rsidR="0039554E" w:rsidRPr="008E026B" w:rsidP="00A73B97" w14:paraId="546384EC" w14:textId="77777777">
            <w:pPr>
              <w:pBdr>
                <w:top w:val="nil"/>
                <w:left w:val="nil"/>
                <w:bottom w:val="nil"/>
                <w:right w:val="nil"/>
                <w:between w:val="nil"/>
                <w:bar w:val="nil"/>
              </w:pBdr>
              <w:rPr>
                <w:rFonts w:eastAsia="Arial Unicode MS"/>
                <w:color w:val="0000FF"/>
                <w:u w:val="single" w:color="0000FF"/>
                <w:bdr w:val="nil"/>
              </w:rPr>
            </w:pPr>
            <w:hyperlink r:id="rId22" w:history="1">
              <w:r w:rsidRPr="008E026B">
                <w:rPr>
                  <w:rFonts w:eastAsia="Arial Unicode MS"/>
                  <w:color w:val="0000FF"/>
                  <w:u w:val="single" w:color="0000FF"/>
                  <w:bdr w:val="nil"/>
                </w:rPr>
                <w:t>easley@carpenterlipps.com</w:t>
              </w:r>
            </w:hyperlink>
          </w:p>
          <w:p w:rsidR="0039554E" w:rsidRPr="008E026B" w:rsidP="00A73B97" w14:paraId="08EF4115" w14:textId="77777777">
            <w:pPr>
              <w:pBdr>
                <w:top w:val="nil"/>
                <w:left w:val="nil"/>
                <w:bottom w:val="nil"/>
                <w:right w:val="nil"/>
                <w:between w:val="nil"/>
                <w:bar w:val="nil"/>
              </w:pBdr>
              <w:rPr>
                <w:rFonts w:eastAsia="Arial Unicode MS"/>
                <w:color w:val="0000FF"/>
                <w:u w:val="single" w:color="0000FF"/>
                <w:bdr w:val="nil"/>
              </w:rPr>
            </w:pPr>
            <w:r w:rsidRPr="008E026B">
              <w:rPr>
                <w:rFonts w:eastAsia="Arial Unicode MS"/>
                <w:color w:val="0000FF"/>
                <w:u w:val="single" w:color="0000FF"/>
                <w:bdr w:val="nil"/>
              </w:rPr>
              <w:t>mwarnock@bricker.com</w:t>
            </w:r>
          </w:p>
          <w:p w:rsidR="0039554E" w:rsidRPr="008E026B" w:rsidP="00A73B97" w14:paraId="5DA072F5" w14:textId="77777777">
            <w:pPr>
              <w:pBdr>
                <w:top w:val="nil"/>
                <w:left w:val="nil"/>
                <w:bottom w:val="nil"/>
                <w:right w:val="nil"/>
                <w:between w:val="nil"/>
                <w:bar w:val="nil"/>
              </w:pBdr>
              <w:rPr>
                <w:rFonts w:eastAsia="Calibri"/>
                <w:color w:val="0000FF"/>
                <w:u w:val="single" w:color="0000FF"/>
                <w:bdr w:val="nil"/>
              </w:rPr>
            </w:pPr>
          </w:p>
          <w:p w:rsidR="0039554E" w:rsidRPr="008E026B" w:rsidP="00A73B97" w14:paraId="6F6700E9" w14:textId="77777777">
            <w:pPr>
              <w:pBdr>
                <w:top w:val="nil"/>
                <w:left w:val="nil"/>
                <w:bottom w:val="nil"/>
                <w:right w:val="nil"/>
                <w:between w:val="nil"/>
                <w:bar w:val="nil"/>
              </w:pBdr>
              <w:rPr>
                <w:rFonts w:eastAsia="Calibri"/>
                <w:color w:val="000000"/>
                <w:u w:color="000000"/>
                <w:bdr w:val="nil"/>
                <w14:textOutline w14:w="0">
                  <w14:noFill/>
                  <w14:bevel/>
                </w14:textOutline>
              </w:rPr>
            </w:pPr>
            <w:r w:rsidRPr="008E026B">
              <w:rPr>
                <w:rFonts w:eastAsia="Calibri"/>
                <w:color w:val="000000"/>
                <w:u w:color="000000"/>
                <w:bdr w:val="nil"/>
                <w14:textOutline w14:w="0">
                  <w14:noFill/>
                  <w14:bevel/>
                </w14:textOutline>
              </w:rPr>
              <w:t>Attorney Examiners:</w:t>
            </w:r>
          </w:p>
          <w:p w:rsidR="0039554E" w:rsidRPr="008E026B" w:rsidP="00A73B97" w14:paraId="5D9AD7AA" w14:textId="77777777">
            <w:pPr>
              <w:pBdr>
                <w:top w:val="nil"/>
                <w:left w:val="nil"/>
                <w:bottom w:val="nil"/>
                <w:right w:val="nil"/>
                <w:between w:val="nil"/>
                <w:bar w:val="nil"/>
              </w:pBdr>
              <w:rPr>
                <w:rFonts w:eastAsia="Calibri"/>
                <w:color w:val="000000"/>
                <w:u w:color="000000"/>
                <w:bdr w:val="nil"/>
                <w14:textOutline w14:w="0">
                  <w14:noFill/>
                  <w14:bevel/>
                </w14:textOutline>
              </w:rPr>
            </w:pPr>
            <w:hyperlink r:id="rId23" w:history="1">
              <w:r w:rsidRPr="008E026B">
                <w:rPr>
                  <w:rFonts w:eastAsia="Calibri"/>
                  <w:color w:val="0000FF"/>
                  <w:u w:val="single" w:color="000000"/>
                  <w:bdr w:val="nil"/>
                  <w14:textOutline w14:w="0">
                    <w14:noFill/>
                    <w14:bevel/>
                  </w14:textOutline>
                </w:rPr>
                <w:t>Gregory.price@puco.ohio.gov</w:t>
              </w:r>
            </w:hyperlink>
          </w:p>
          <w:p w:rsidR="0039554E" w:rsidRPr="008E026B" w:rsidP="00A73B97" w14:paraId="185079B0" w14:textId="77777777">
            <w:pPr>
              <w:pBdr>
                <w:top w:val="nil"/>
                <w:left w:val="nil"/>
                <w:bottom w:val="nil"/>
                <w:right w:val="nil"/>
                <w:between w:val="nil"/>
                <w:bar w:val="nil"/>
              </w:pBdr>
              <w:rPr>
                <w:rFonts w:eastAsia="Calibri"/>
                <w:color w:val="000000"/>
                <w:u w:color="000000"/>
                <w:bdr w:val="nil"/>
                <w14:textOutline w14:w="0">
                  <w14:noFill/>
                  <w14:bevel/>
                </w14:textOutline>
              </w:rPr>
            </w:pPr>
            <w:hyperlink r:id="rId24" w:history="1">
              <w:r w:rsidRPr="008E026B">
                <w:rPr>
                  <w:rFonts w:eastAsia="Calibri"/>
                  <w:color w:val="0000FF"/>
                  <w:u w:val="single" w:color="000000"/>
                  <w:bdr w:val="nil"/>
                  <w14:textOutline w14:w="0">
                    <w14:noFill/>
                    <w14:bevel/>
                  </w14:textOutline>
                </w:rPr>
                <w:t>Patricia.schabo@puco.ohio.gov</w:t>
              </w:r>
            </w:hyperlink>
          </w:p>
          <w:p w:rsidR="0039554E" w:rsidRPr="008E026B" w:rsidP="00A73B97" w14:paraId="6259221D" w14:textId="77777777">
            <w:pPr>
              <w:pBdr>
                <w:top w:val="nil"/>
                <w:left w:val="nil"/>
                <w:bottom w:val="nil"/>
                <w:right w:val="nil"/>
                <w:between w:val="nil"/>
                <w:bar w:val="nil"/>
              </w:pBdr>
              <w:rPr>
                <w:rFonts w:eastAsia="Calibri"/>
                <w:color w:val="000000"/>
                <w:u w:color="000000"/>
                <w:bdr w:val="nil"/>
                <w14:textOutline w14:w="0">
                  <w14:noFill/>
                  <w14:bevel/>
                </w14:textOutline>
              </w:rPr>
            </w:pPr>
          </w:p>
        </w:tc>
        <w:tc>
          <w:tcPr>
            <w:tcW w:w="4374" w:type="dxa"/>
            <w:tcBorders>
              <w:top w:val="nil"/>
              <w:left w:val="nil"/>
              <w:bottom w:val="nil"/>
              <w:right w:val="nil"/>
            </w:tcBorders>
            <w:shd w:val="clear" w:color="auto" w:fill="auto"/>
            <w:tcMar>
              <w:top w:w="80" w:type="dxa"/>
              <w:left w:w="80" w:type="dxa"/>
              <w:bottom w:w="80" w:type="dxa"/>
              <w:right w:w="80" w:type="dxa"/>
            </w:tcMar>
          </w:tcPr>
          <w:p w:rsidR="0039554E" w:rsidRPr="008E026B" w:rsidP="00A73B97" w14:paraId="107E8FD3" w14:textId="77777777">
            <w:pPr>
              <w:rPr>
                <w:rFonts w:eastAsia="PMingLiU"/>
              </w:rPr>
            </w:pPr>
            <w:hyperlink r:id="rId25" w:history="1">
              <w:r w:rsidRPr="008E026B">
                <w:rPr>
                  <w:rFonts w:eastAsia="Arial Unicode MS"/>
                  <w:color w:val="0000FF"/>
                  <w:u w:val="single" w:color="0000FF"/>
                </w:rPr>
                <w:t>christopher.hollon@aes.com</w:t>
              </w:r>
            </w:hyperlink>
          </w:p>
          <w:p w:rsidR="0039554E" w:rsidRPr="008E026B" w:rsidP="00A73B97" w14:paraId="62604A99" w14:textId="77777777">
            <w:pPr>
              <w:rPr>
                <w:rFonts w:eastAsia="PMingLiU"/>
              </w:rPr>
            </w:pPr>
            <w:hyperlink r:id="rId26" w:history="1">
              <w:r w:rsidRPr="008E026B">
                <w:rPr>
                  <w:rFonts w:eastAsia="Arial Unicode MS"/>
                  <w:color w:val="0000FF"/>
                  <w:u w:val="single" w:color="0000FF"/>
                </w:rPr>
                <w:t>jsharkey@ficlaw.com</w:t>
              </w:r>
            </w:hyperlink>
          </w:p>
          <w:p w:rsidR="0039554E" w:rsidRPr="008E026B" w:rsidP="00A73B97" w14:paraId="231AAB39" w14:textId="77777777">
            <w:pPr>
              <w:rPr>
                <w:rFonts w:eastAsia="PMingLiU"/>
              </w:rPr>
            </w:pPr>
            <w:hyperlink r:id="rId27" w:history="1">
              <w:r w:rsidRPr="008E026B">
                <w:rPr>
                  <w:rFonts w:eastAsia="Arial Unicode MS"/>
                  <w:color w:val="0000FF"/>
                  <w:u w:val="single" w:color="0000FF"/>
                </w:rPr>
                <w:t>djireland@ficlaw.com</w:t>
              </w:r>
            </w:hyperlink>
          </w:p>
          <w:p w:rsidR="0039554E" w:rsidRPr="008E026B" w:rsidP="00A73B97" w14:paraId="512762CD" w14:textId="77777777">
            <w:pPr>
              <w:rPr>
                <w:rFonts w:eastAsia="PMingLiU"/>
              </w:rPr>
            </w:pPr>
            <w:hyperlink r:id="rId28" w:history="1">
              <w:r w:rsidRPr="008E026B">
                <w:rPr>
                  <w:rFonts w:eastAsia="Arial Unicode MS"/>
                  <w:color w:val="0000FF"/>
                  <w:u w:val="single" w:color="0000FF"/>
                </w:rPr>
                <w:t>mwatt@ficlaw.com</w:t>
              </w:r>
            </w:hyperlink>
          </w:p>
          <w:p w:rsidR="0039554E" w:rsidRPr="008E026B" w:rsidP="00A73B97" w14:paraId="6F063C0B" w14:textId="77777777">
            <w:pPr>
              <w:rPr>
                <w:rFonts w:eastAsia="PMingLiU"/>
              </w:rPr>
            </w:pPr>
            <w:hyperlink r:id="rId29" w:history="1">
              <w:r w:rsidRPr="008E026B">
                <w:rPr>
                  <w:rFonts w:eastAsia="Arial Unicode MS"/>
                  <w:color w:val="0000FF"/>
                  <w:u w:val="single" w:color="0000FF"/>
                </w:rPr>
                <w:t>mkurtz@bkllawfirm.com</w:t>
              </w:r>
            </w:hyperlink>
          </w:p>
          <w:p w:rsidR="0039554E" w:rsidRPr="008E026B" w:rsidP="00A73B97" w14:paraId="5D3A6F93" w14:textId="77777777">
            <w:pPr>
              <w:rPr>
                <w:rFonts w:eastAsia="PMingLiU"/>
              </w:rPr>
            </w:pPr>
            <w:hyperlink r:id="rId30" w:history="1">
              <w:r w:rsidRPr="008E026B">
                <w:rPr>
                  <w:rFonts w:eastAsia="Arial Unicode MS"/>
                  <w:color w:val="0000FF"/>
                  <w:u w:val="single" w:color="0000FF"/>
                </w:rPr>
                <w:t>kboehm@bkllawfirm.com</w:t>
              </w:r>
            </w:hyperlink>
          </w:p>
          <w:p w:rsidR="0039554E" w:rsidRPr="008E026B" w:rsidP="00A73B97" w14:paraId="25D744BA" w14:textId="77777777">
            <w:pPr>
              <w:rPr>
                <w:rFonts w:eastAsia="PMingLiU"/>
              </w:rPr>
            </w:pPr>
            <w:hyperlink r:id="rId31" w:history="1">
              <w:r w:rsidRPr="008E026B">
                <w:rPr>
                  <w:rFonts w:eastAsia="Arial Unicode MS"/>
                  <w:color w:val="0000FF"/>
                  <w:u w:val="single" w:color="0000FF"/>
                </w:rPr>
                <w:t>jkylercohn@bkllawfirm.com</w:t>
              </w:r>
            </w:hyperlink>
          </w:p>
          <w:p w:rsidR="0039554E" w:rsidRPr="008E026B" w:rsidP="00A73B97" w14:paraId="4E7463BE" w14:textId="77777777">
            <w:pPr>
              <w:rPr>
                <w:rFonts w:eastAsia="PMingLiU"/>
              </w:rPr>
            </w:pPr>
            <w:hyperlink r:id="rId32" w:history="1">
              <w:r w:rsidRPr="008E026B">
                <w:rPr>
                  <w:rFonts w:eastAsia="Arial Unicode MS"/>
                  <w:color w:val="0000FF"/>
                  <w:u w:val="single" w:color="0000FF"/>
                </w:rPr>
                <w:t>stacie.cathcart@igs.com</w:t>
              </w:r>
            </w:hyperlink>
          </w:p>
          <w:p w:rsidR="0039554E" w:rsidRPr="008E026B" w:rsidP="00A73B97" w14:paraId="6223577F" w14:textId="77777777">
            <w:pPr>
              <w:rPr>
                <w:rFonts w:eastAsia="PMingLiU"/>
              </w:rPr>
            </w:pPr>
            <w:hyperlink r:id="rId33" w:history="1">
              <w:r w:rsidRPr="008E026B">
                <w:rPr>
                  <w:rFonts w:eastAsia="Arial Unicode MS"/>
                  <w:color w:val="0000FF"/>
                  <w:u w:val="single" w:color="0000FF"/>
                </w:rPr>
                <w:t>evan.betterton@igs.com</w:t>
              </w:r>
            </w:hyperlink>
          </w:p>
          <w:p w:rsidR="0039554E" w:rsidRPr="008E026B" w:rsidP="00A73B97" w14:paraId="00E09D6D" w14:textId="77777777">
            <w:pPr>
              <w:rPr>
                <w:rFonts w:eastAsia="PMingLiU"/>
              </w:rPr>
            </w:pPr>
            <w:hyperlink r:id="rId34" w:history="1">
              <w:r w:rsidRPr="008E026B">
                <w:rPr>
                  <w:rFonts w:eastAsia="PMingLiU"/>
                  <w:color w:val="0000FF"/>
                  <w:u w:val="single"/>
                </w:rPr>
                <w:t>michael.nugent@igs.com</w:t>
              </w:r>
            </w:hyperlink>
          </w:p>
          <w:p w:rsidR="0039554E" w:rsidRPr="008E026B" w:rsidP="00A73B97" w14:paraId="4403FC7E" w14:textId="77777777">
            <w:pPr>
              <w:rPr>
                <w:rFonts w:eastAsia="PMingLiU"/>
              </w:rPr>
            </w:pPr>
            <w:hyperlink r:id="rId35" w:history="1">
              <w:r w:rsidRPr="008E026B">
                <w:rPr>
                  <w:rFonts w:eastAsia="PMingLiU"/>
                  <w:color w:val="0000FF"/>
                  <w:u w:val="single"/>
                </w:rPr>
                <w:t>Joe.Oliker@igs.com</w:t>
              </w:r>
            </w:hyperlink>
          </w:p>
          <w:p w:rsidR="0039554E" w:rsidRPr="008E026B" w:rsidP="00A73B97" w14:paraId="67FA59D2" w14:textId="77777777">
            <w:pPr>
              <w:rPr>
                <w:rFonts w:eastAsia="PMingLiU"/>
              </w:rPr>
            </w:pPr>
            <w:hyperlink r:id="rId36" w:history="1">
              <w:r w:rsidRPr="008E026B">
                <w:rPr>
                  <w:rFonts w:eastAsia="Arial Unicode MS"/>
                  <w:color w:val="0000FF"/>
                  <w:u w:val="single" w:color="0000FF"/>
                </w:rPr>
                <w:t>stephanie.chmiel@thompsonhine.com</w:t>
              </w:r>
            </w:hyperlink>
          </w:p>
          <w:p w:rsidR="0039554E" w:rsidRPr="008E026B" w:rsidP="00A73B97" w14:paraId="0A54AFC0" w14:textId="77777777">
            <w:pPr>
              <w:rPr>
                <w:rFonts w:eastAsia="Arial Unicode MS"/>
                <w:color w:val="0000FF"/>
                <w:u w:val="single" w:color="0000FF"/>
              </w:rPr>
            </w:pPr>
            <w:hyperlink r:id="rId37" w:history="1">
              <w:r w:rsidRPr="008E026B">
                <w:rPr>
                  <w:rFonts w:eastAsia="Arial Unicode MS"/>
                  <w:color w:val="0000FF"/>
                  <w:u w:val="single" w:color="0000FF"/>
                </w:rPr>
                <w:t>mary.csarny@thompsonhine.com</w:t>
              </w:r>
            </w:hyperlink>
          </w:p>
          <w:p w:rsidR="0039554E" w:rsidRPr="008E026B" w:rsidP="00A73B97" w14:paraId="6DE6FFC9" w14:textId="77777777">
            <w:pPr>
              <w:rPr>
                <w:rFonts w:eastAsia="PMingLiU"/>
              </w:rPr>
            </w:pPr>
            <w:hyperlink r:id="rId38" w:history="1">
              <w:r w:rsidRPr="008E026B">
                <w:rPr>
                  <w:rFonts w:eastAsia="Arial Unicode MS"/>
                  <w:color w:val="0000FF"/>
                  <w:u w:val="single" w:color="0000FF"/>
                </w:rPr>
                <w:t>mpritchard@mcneeslaw.com</w:t>
              </w:r>
            </w:hyperlink>
          </w:p>
          <w:p w:rsidR="0039554E" w:rsidRPr="008E026B" w:rsidP="00A73B97" w14:paraId="51EFB436" w14:textId="77777777">
            <w:pPr>
              <w:rPr>
                <w:rFonts w:eastAsia="Arial Unicode MS"/>
                <w:color w:val="0000FF"/>
                <w:u w:val="single" w:color="0000FF"/>
              </w:rPr>
            </w:pPr>
            <w:hyperlink r:id="rId39" w:history="1">
              <w:r w:rsidRPr="008E026B">
                <w:rPr>
                  <w:rFonts w:eastAsia="Arial Unicode MS"/>
                  <w:color w:val="0000FF"/>
                  <w:u w:val="single" w:color="0000FF"/>
                </w:rPr>
                <w:t>bmckenney@mcneeslaw.com</w:t>
              </w:r>
            </w:hyperlink>
          </w:p>
          <w:p w:rsidR="0039554E" w:rsidRPr="008E026B" w:rsidP="00A73B97" w14:paraId="73E14E8F" w14:textId="77777777">
            <w:pPr>
              <w:rPr>
                <w:rFonts w:eastAsia="PMingLiU"/>
              </w:rPr>
            </w:pPr>
            <w:r w:rsidRPr="008E026B">
              <w:rPr>
                <w:rFonts w:eastAsia="Arial Unicode MS"/>
                <w:color w:val="0000FF"/>
                <w:u w:val="single" w:color="0000FF"/>
              </w:rPr>
              <w:t>awalke@mcneeslaw.com</w:t>
            </w:r>
          </w:p>
          <w:p w:rsidR="0039554E" w:rsidRPr="008E026B" w:rsidP="00A73B97" w14:paraId="258FC713" w14:textId="77777777">
            <w:pPr>
              <w:rPr>
                <w:rFonts w:eastAsia="PMingLiU"/>
              </w:rPr>
            </w:pPr>
            <w:hyperlink r:id="rId40" w:history="1">
              <w:r w:rsidRPr="008E026B">
                <w:rPr>
                  <w:rFonts w:eastAsia="PMingLiU"/>
                  <w:color w:val="0000FF"/>
                  <w:u w:val="single"/>
                </w:rPr>
                <w:t>dromig@armadapower.com</w:t>
              </w:r>
            </w:hyperlink>
          </w:p>
          <w:p w:rsidR="0039554E" w:rsidRPr="008E026B" w:rsidP="00A73B97" w14:paraId="17D4F8F3" w14:textId="77777777">
            <w:pPr>
              <w:rPr>
                <w:rFonts w:eastAsia="PMingLiU"/>
              </w:rPr>
            </w:pPr>
            <w:hyperlink r:id="rId41" w:history="1">
              <w:r w:rsidRPr="008E026B">
                <w:rPr>
                  <w:rFonts w:eastAsia="Arial Unicode MS"/>
                  <w:color w:val="0000FF"/>
                  <w:u w:val="single" w:color="0000FF"/>
                </w:rPr>
                <w:t>mjsettineri@vorys.com</w:t>
              </w:r>
            </w:hyperlink>
          </w:p>
          <w:p w:rsidR="0039554E" w:rsidRPr="008E026B" w:rsidP="00A73B97" w14:paraId="605F3BF8" w14:textId="77777777">
            <w:pPr>
              <w:rPr>
                <w:rFonts w:eastAsia="PMingLiU"/>
              </w:rPr>
            </w:pPr>
            <w:hyperlink r:id="rId42" w:history="1">
              <w:r w:rsidRPr="008E026B">
                <w:rPr>
                  <w:rFonts w:eastAsia="Arial Unicode MS"/>
                  <w:color w:val="0000FF"/>
                  <w:u w:val="single" w:color="0000FF"/>
                </w:rPr>
                <w:t>glpetrucci@vorys.com</w:t>
              </w:r>
            </w:hyperlink>
          </w:p>
          <w:p w:rsidR="0039554E" w:rsidRPr="008E026B" w:rsidP="00A73B97" w14:paraId="408C940D" w14:textId="77777777">
            <w:pPr>
              <w:rPr>
                <w:rFonts w:eastAsia="PMingLiU"/>
              </w:rPr>
            </w:pPr>
            <w:hyperlink r:id="rId43" w:history="1">
              <w:r w:rsidRPr="008E026B">
                <w:rPr>
                  <w:rFonts w:eastAsia="Arial Unicode MS"/>
                  <w:color w:val="0000FF"/>
                  <w:u w:val="single" w:color="0000FF"/>
                </w:rPr>
                <w:t>paul@carpenterlipps.com</w:t>
              </w:r>
            </w:hyperlink>
          </w:p>
          <w:p w:rsidR="0039554E" w:rsidRPr="008E026B" w:rsidP="00A73B97" w14:paraId="6C189355" w14:textId="77777777">
            <w:pPr>
              <w:rPr>
                <w:rFonts w:eastAsia="PMingLiU"/>
              </w:rPr>
            </w:pPr>
            <w:hyperlink r:id="rId44" w:history="1">
              <w:r w:rsidRPr="008E026B">
                <w:rPr>
                  <w:rFonts w:eastAsia="Arial Unicode MS"/>
                  <w:color w:val="0000FF"/>
                  <w:u w:val="single" w:color="0000FF"/>
                </w:rPr>
                <w:t>trent@hubaydougherty.com</w:t>
              </w:r>
            </w:hyperlink>
          </w:p>
          <w:p w:rsidR="0039554E" w:rsidRPr="008E026B" w:rsidP="00A73B97" w14:paraId="05D91134" w14:textId="77777777">
            <w:pPr>
              <w:rPr>
                <w:rFonts w:eastAsia="Arial Unicode MS"/>
                <w:color w:val="0000FF"/>
                <w:u w:val="single" w:color="0000FF"/>
              </w:rPr>
            </w:pPr>
            <w:hyperlink r:id="rId45" w:history="1">
              <w:r w:rsidRPr="008E026B">
                <w:rPr>
                  <w:rFonts w:eastAsia="Arial Unicode MS"/>
                  <w:color w:val="0000FF"/>
                  <w:u w:val="single" w:color="0000FF"/>
                </w:rPr>
                <w:t>rdove@keglerbrown.com</w:t>
              </w:r>
            </w:hyperlink>
          </w:p>
          <w:p w:rsidR="0039554E" w:rsidRPr="008E026B" w:rsidP="00A73B97" w14:paraId="7375ABF7" w14:textId="77777777">
            <w:pPr>
              <w:rPr>
                <w:rFonts w:eastAsia="Arial Unicode MS"/>
                <w:color w:val="0000FF"/>
                <w:u w:val="single" w:color="0000FF"/>
              </w:rPr>
            </w:pPr>
            <w:hyperlink r:id="rId46" w:history="1">
              <w:r w:rsidRPr="008E026B">
                <w:rPr>
                  <w:rFonts w:eastAsia="Arial Unicode MS"/>
                  <w:color w:val="0000FF"/>
                  <w:u w:val="single" w:color="0000FF"/>
                </w:rPr>
                <w:t>cgrundmann@spilmanlaw.com</w:t>
              </w:r>
            </w:hyperlink>
          </w:p>
          <w:p w:rsidR="0039554E" w:rsidRPr="008E026B" w:rsidP="00A73B97" w14:paraId="045305CA" w14:textId="77777777">
            <w:pPr>
              <w:spacing w:after="120"/>
              <w:rPr>
                <w:rFonts w:eastAsia="PMingLiU"/>
              </w:rPr>
            </w:pPr>
            <w:hyperlink r:id="rId47" w:history="1">
              <w:r w:rsidRPr="008E026B">
                <w:rPr>
                  <w:rFonts w:eastAsia="Arial Unicode MS"/>
                  <w:color w:val="0000FF"/>
                  <w:u w:val="single" w:color="0000FF"/>
                </w:rPr>
                <w:t>dwilliamson@spilmanlaw.com</w:t>
              </w:r>
            </w:hyperlink>
          </w:p>
        </w:tc>
      </w:tr>
    </w:tbl>
    <w:p w:rsidR="00C24C80" w:rsidRPr="00FD5750" w:rsidP="00AB752F" w14:paraId="7313E043" w14:textId="77777777">
      <w:pPr>
        <w:autoSpaceDE w:val="0"/>
        <w:autoSpaceDN w:val="0"/>
        <w:adjustRightInd w:val="0"/>
        <w:rPr>
          <w:b/>
          <w:u w:val="single"/>
        </w:rPr>
      </w:pPr>
    </w:p>
    <w:sectPr w:rsidSect="008853CA">
      <w:headerReference w:type="even" r:id="rId48"/>
      <w:headerReference w:type="default" r:id="rId49"/>
      <w:footerReference w:type="default" r:id="rId50"/>
      <w:headerReference w:type="first" r:id="rId51"/>
      <w:footerReference w:type="first" r:id="rId52"/>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C80" w14:paraId="311911A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4C80" w14:paraId="29C710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A05" w14:paraId="5F5C177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C80" w14:paraId="60731C4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07182">
      <w:rPr>
        <w:rStyle w:val="PageNumber"/>
        <w:noProof/>
      </w:rPr>
      <w:t>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C80" w14:paraId="36FAF4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D2D93" w14:paraId="2BE3787D" w14:textId="77777777">
      <w:r>
        <w:separator/>
      </w:r>
    </w:p>
  </w:footnote>
  <w:footnote w:type="continuationSeparator" w:id="1">
    <w:p w:rsidR="00ED2D93" w14:paraId="0E60F5A8" w14:textId="77777777">
      <w:r>
        <w:continuationSeparator/>
      </w:r>
    </w:p>
  </w:footnote>
  <w:footnote w:id="2">
    <w:p w:rsidR="00C97FCD" w:rsidP="0008654B" w14:paraId="5F871866" w14:textId="62A412BF">
      <w:pPr>
        <w:pStyle w:val="FootnoteText"/>
      </w:pPr>
      <w:r>
        <w:rPr>
          <w:rStyle w:val="FootnoteReference"/>
        </w:rPr>
        <w:footnoteRef/>
      </w:r>
      <w:r>
        <w:t xml:space="preserve"> </w:t>
      </w:r>
      <w:r w:rsidR="00A910EE">
        <w:t xml:space="preserve">Stipulation and Recommendation </w:t>
      </w:r>
      <w:r w:rsidR="002F67F8">
        <w:t>at 40-41 (</w:t>
      </w:r>
      <w:r w:rsidR="00A910EE">
        <w:t>Apr</w:t>
      </w:r>
      <w:r w:rsidR="002F67F8">
        <w:t>.</w:t>
      </w:r>
      <w:r w:rsidR="00A910EE">
        <w:t xml:space="preserve"> 10, 2023)</w:t>
      </w:r>
      <w:r w:rsidR="002F67F8">
        <w:t xml:space="preserve">, with Signatory Parties consisting of DP&amp;L, PUCO Staff, the City of Dayton, Ohio Partners for Affordable Energy, Ohio Manufacturers’ Association Energy Group,  Ohio Energy Leadership Council (formerly IEU Ohio),  the Kroger Company, the Ohio Energy Group, the Ohio Hospital Association, IGS, University of Dayton, RESA, ChargePoint, Constellation, </w:t>
      </w:r>
      <w:r w:rsidR="0073273F">
        <w:t xml:space="preserve">and </w:t>
      </w:r>
      <w:r w:rsidR="002F67F8">
        <w:t xml:space="preserve">Walmart and Non-Opposing Parties consisting of One Energy, Citizens Utility Board and the Ohio Environmental Council.  </w:t>
      </w:r>
    </w:p>
  </w:footnote>
  <w:footnote w:id="3">
    <w:p w:rsidR="002F67F8" w:rsidP="0008654B" w14:paraId="396369B8" w14:textId="060C5C6C">
      <w:pPr>
        <w:pStyle w:val="FootnoteText"/>
      </w:pPr>
      <w:r>
        <w:rPr>
          <w:rStyle w:val="FootnoteReference"/>
        </w:rPr>
        <w:footnoteRef/>
      </w:r>
      <w:r>
        <w:t xml:space="preserve"> </w:t>
      </w:r>
      <w:r w:rsidRPr="0008654B">
        <w:rPr>
          <w:i/>
          <w:iCs/>
        </w:rPr>
        <w:t>See</w:t>
      </w:r>
      <w:r>
        <w:t xml:space="preserve"> OCC Ex. </w:t>
      </w:r>
      <w:r w:rsidR="0073273F">
        <w:t xml:space="preserve">8.  </w:t>
      </w:r>
    </w:p>
  </w:footnote>
  <w:footnote w:id="4">
    <w:p w:rsidR="00A910EE" w:rsidP="0008654B" w14:paraId="5CBFDEDD" w14:textId="10EA11DB">
      <w:pPr>
        <w:pStyle w:val="FootnoteText"/>
      </w:pPr>
      <w:r>
        <w:rPr>
          <w:rStyle w:val="FootnoteReference"/>
        </w:rPr>
        <w:footnoteRef/>
      </w:r>
      <w:r>
        <w:t xml:space="preserve"> Direct Testimony of </w:t>
      </w:r>
      <w:r w:rsidR="00C16C9B">
        <w:t xml:space="preserve">Jonathan J. Borer </w:t>
      </w:r>
      <w:r w:rsidR="002F67F8">
        <w:t xml:space="preserve">at 2 </w:t>
      </w:r>
      <w:r w:rsidR="00C16C9B">
        <w:t>(Apr</w:t>
      </w:r>
      <w:r w:rsidR="002F67F8">
        <w:t>.</w:t>
      </w:r>
      <w:r w:rsidR="00C16C9B">
        <w:t>26, 2023)</w:t>
      </w:r>
      <w:r w:rsidR="002F67F8">
        <w:t>,</w:t>
      </w:r>
      <w:r w:rsidR="0073273F">
        <w:t>(</w:t>
      </w:r>
      <w:r w:rsidR="002F67F8">
        <w:t>adding in $8.8 million for deferred O&amp;M expen</w:t>
      </w:r>
      <w:r w:rsidR="0073273F">
        <w:t>s</w:t>
      </w:r>
      <w:r w:rsidR="002F67F8">
        <w:t>es associated with AES Ohio’s new Customer Information System (Settlement provision B.5</w:t>
      </w:r>
      <w:r w:rsidR="00C46FC6">
        <w:t xml:space="preserve"> and $6,515,070 for uncollectibles (Settlement provision B.6, OCC Ex. 20</w:t>
      </w:r>
      <w:r w:rsidR="0073273F">
        <w:t>)</w:t>
      </w:r>
      <w:r w:rsidR="0008654B">
        <w:t>.</w:t>
      </w:r>
    </w:p>
  </w:footnote>
  <w:footnote w:id="5">
    <w:p w:rsidR="0073273F" w:rsidP="0008654B" w14:paraId="052085CC" w14:textId="73473C57">
      <w:pPr>
        <w:pStyle w:val="FootnoteText"/>
      </w:pPr>
      <w:r>
        <w:rPr>
          <w:rStyle w:val="FootnoteReference"/>
        </w:rPr>
        <w:footnoteRef/>
      </w:r>
      <w:r>
        <w:t xml:space="preserve"> </w:t>
      </w:r>
      <w:r w:rsidRPr="00523F0C">
        <w:rPr>
          <w:i/>
          <w:iCs/>
        </w:rPr>
        <w:t xml:space="preserve">In the Matter of the Application of the Dayton Power and Light Company for Approval of </w:t>
      </w:r>
      <w:r>
        <w:rPr>
          <w:i/>
          <w:iCs/>
        </w:rPr>
        <w:t>I</w:t>
      </w:r>
      <w:r w:rsidRPr="00523F0C">
        <w:rPr>
          <w:i/>
          <w:iCs/>
        </w:rPr>
        <w:t>ts Transition Plan Pursuant to Section 4928.31, Revised Code and for the Opportunity to Receive Transition Revenues as Authorized under Sections 4928.31 to 4928.40, Revised Code</w:t>
      </w:r>
      <w:r>
        <w:t>, Case No. 99-1687-EL-ETP, et al., Opinion and Order at 27 (Sept. 21, 2000).</w:t>
      </w:r>
    </w:p>
  </w:footnote>
  <w:footnote w:id="6">
    <w:p w:rsidR="006F7672" w:rsidP="0008654B" w14:paraId="47D5AE02" w14:textId="2B50BDD8">
      <w:pPr>
        <w:pStyle w:val="FootnoteText"/>
      </w:pPr>
      <w:r>
        <w:rPr>
          <w:rStyle w:val="FootnoteReference"/>
        </w:rPr>
        <w:footnoteRef/>
      </w:r>
      <w:r>
        <w:t xml:space="preserve"> </w:t>
      </w:r>
      <w:r w:rsidRPr="00523F0C">
        <w:rPr>
          <w:i/>
          <w:iCs/>
        </w:rPr>
        <w:t>In the Matter of the Application of the Dayton Power and Light Company fo</w:t>
      </w:r>
      <w:r w:rsidRPr="00523F0C" w:rsidR="00B3531A">
        <w:rPr>
          <w:i/>
          <w:iCs/>
        </w:rPr>
        <w:t>r</w:t>
      </w:r>
      <w:r w:rsidRPr="00523F0C">
        <w:rPr>
          <w:i/>
          <w:iCs/>
        </w:rPr>
        <w:t xml:space="preserve"> Approval of </w:t>
      </w:r>
      <w:r w:rsidR="00D56AA2">
        <w:rPr>
          <w:i/>
          <w:iCs/>
        </w:rPr>
        <w:t>I</w:t>
      </w:r>
      <w:r w:rsidRPr="00523F0C">
        <w:rPr>
          <w:i/>
          <w:iCs/>
        </w:rPr>
        <w:t xml:space="preserve">ts Transition Plan Pursuant to Section 4928.31, Revised Code and for the Opportunity to Receive </w:t>
      </w:r>
      <w:r w:rsidRPr="00523F0C" w:rsidR="00B3531A">
        <w:rPr>
          <w:i/>
          <w:iCs/>
        </w:rPr>
        <w:t>Transition</w:t>
      </w:r>
      <w:r w:rsidRPr="00523F0C">
        <w:rPr>
          <w:i/>
          <w:iCs/>
        </w:rPr>
        <w:t xml:space="preserve"> Rev</w:t>
      </w:r>
      <w:r w:rsidRPr="00523F0C" w:rsidR="00B3531A">
        <w:rPr>
          <w:i/>
          <w:iCs/>
        </w:rPr>
        <w:t xml:space="preserve">enues </w:t>
      </w:r>
      <w:r w:rsidRPr="00523F0C">
        <w:rPr>
          <w:i/>
          <w:iCs/>
        </w:rPr>
        <w:t xml:space="preserve">as </w:t>
      </w:r>
      <w:r w:rsidRPr="00523F0C" w:rsidR="00B3531A">
        <w:rPr>
          <w:i/>
          <w:iCs/>
        </w:rPr>
        <w:t>Authorized</w:t>
      </w:r>
      <w:r w:rsidRPr="00523F0C">
        <w:rPr>
          <w:i/>
          <w:iCs/>
        </w:rPr>
        <w:t xml:space="preserve"> under Sections 4928.31 to 4928.40, Revised Code</w:t>
      </w:r>
      <w:r>
        <w:t xml:space="preserve">, Case No. 99-1687-EL-ETP, et al., Opinion and Order </w:t>
      </w:r>
      <w:r w:rsidR="00B3531A">
        <w:t>(Sept. 21, 2000).</w:t>
      </w:r>
    </w:p>
  </w:footnote>
  <w:footnote w:id="7">
    <w:p w:rsidR="00832C75" w:rsidP="0008654B" w14:paraId="6B8167E1" w14:textId="241D8B72">
      <w:pPr>
        <w:pStyle w:val="FootnoteText"/>
      </w:pPr>
      <w:r>
        <w:rPr>
          <w:rStyle w:val="FootnoteReference"/>
        </w:rPr>
        <w:footnoteRef/>
      </w:r>
      <w:r>
        <w:t xml:space="preserve"> </w:t>
      </w:r>
      <w:r w:rsidRPr="0008654B" w:rsidR="00C46FC6">
        <w:rPr>
          <w:i/>
          <w:iCs/>
        </w:rPr>
        <w:t>Id.,</w:t>
      </w:r>
      <w:r w:rsidR="00C46FC6">
        <w:t xml:space="preserve"> </w:t>
      </w:r>
      <w:r>
        <w:t xml:space="preserve">Application to </w:t>
      </w:r>
      <w:r w:rsidR="00C46FC6">
        <w:t>Re</w:t>
      </w:r>
      <w:r>
        <w:t>ceive Transition Revenues (</w:t>
      </w:r>
      <w:r w:rsidR="00C46FC6">
        <w:t>R</w:t>
      </w:r>
      <w:r>
        <w:t xml:space="preserve">evised), Summary of Transition Costs, </w:t>
      </w:r>
      <w:r w:rsidR="00C73244">
        <w:t xml:space="preserve">Part F, </w:t>
      </w:r>
      <w:r>
        <w:t>File TC-</w:t>
      </w:r>
      <w:r w:rsidR="006C536C">
        <w:t>2 (Apr</w:t>
      </w:r>
      <w:r w:rsidR="00C46FC6">
        <w:t xml:space="preserve">. </w:t>
      </w:r>
      <w:r w:rsidR="006C536C">
        <w:t>20, 2000</w:t>
      </w:r>
      <w:r>
        <w:t>)</w:t>
      </w:r>
      <w:r w:rsidR="006C536C">
        <w:t>.</w:t>
      </w:r>
    </w:p>
  </w:footnote>
  <w:footnote w:id="8">
    <w:p w:rsidR="00C46FC6" w:rsidP="0008654B" w14:paraId="2A2936DB" w14:textId="2E0AE846">
      <w:pPr>
        <w:pStyle w:val="FootnoteText"/>
      </w:pPr>
      <w:r>
        <w:rPr>
          <w:rStyle w:val="FootnoteReference"/>
        </w:rPr>
        <w:footnoteRef/>
      </w:r>
      <w:r>
        <w:t xml:space="preserve"> OCC Ex. 9.  </w:t>
      </w:r>
    </w:p>
  </w:footnote>
  <w:footnote w:id="9">
    <w:p w:rsidR="00832C75" w:rsidP="0008654B" w14:paraId="5E7B04D1" w14:textId="1C7B4FD6">
      <w:pPr>
        <w:pStyle w:val="FootnoteText"/>
      </w:pPr>
      <w:r>
        <w:rPr>
          <w:rStyle w:val="FootnoteReference"/>
        </w:rPr>
        <w:footnoteRef/>
      </w:r>
      <w:r>
        <w:t xml:space="preserve"> </w:t>
      </w:r>
      <w:r w:rsidR="006C536C">
        <w:t xml:space="preserve">Case No. 99-1687-EL-ETP, et al., Opinion and Order </w:t>
      </w:r>
      <w:r w:rsidR="00C46FC6">
        <w:t xml:space="preserve">at 27 </w:t>
      </w:r>
      <w:r w:rsidR="006C536C">
        <w:t>(Sept. 21, 2000)</w:t>
      </w:r>
      <w:r w:rsidR="00C46FC6">
        <w:t>.</w:t>
      </w:r>
      <w:r w:rsidR="006C536C">
        <w:t xml:space="preserve"> </w:t>
      </w:r>
    </w:p>
  </w:footnote>
  <w:footnote w:id="10">
    <w:p w:rsidR="00C24C80" w:rsidP="0008654B" w14:paraId="3074BD4A" w14:textId="228326F2">
      <w:pPr>
        <w:pStyle w:val="FootnoteText"/>
      </w:pPr>
      <w:r>
        <w:rPr>
          <w:rStyle w:val="FootnoteReference"/>
        </w:rPr>
        <w:footnoteRef/>
      </w:r>
      <w:r>
        <w:t xml:space="preserve"> </w:t>
      </w:r>
      <w:r>
        <w:rPr>
          <w:i/>
        </w:rPr>
        <w:t>See, e.g.,</w:t>
      </w:r>
      <w:r>
        <w:t xml:space="preserve"> R.C. 4903.02, 4903.03, 4903.04; </w:t>
      </w:r>
      <w:r w:rsidR="00564659">
        <w:t>O.A.C.</w:t>
      </w:r>
      <w:r>
        <w:t xml:space="preserve"> 4901-1-27.</w:t>
      </w:r>
    </w:p>
  </w:footnote>
  <w:footnote w:id="11">
    <w:p w:rsidR="00C24C80" w:rsidP="0008654B" w14:paraId="098E80ED" w14:textId="77777777">
      <w:pPr>
        <w:pStyle w:val="FootnoteText"/>
      </w:pPr>
      <w:r>
        <w:rPr>
          <w:rStyle w:val="FootnoteReference"/>
        </w:rPr>
        <w:footnoteRef/>
      </w:r>
      <w:r>
        <w:t xml:space="preserve"> </w:t>
      </w:r>
      <w:r>
        <w:rPr>
          <w:i/>
        </w:rPr>
        <w:t>See Greater Cleveland Welfare Rights v. Pub. Util. Comm</w:t>
      </w:r>
      <w:r>
        <w:t>. (1982), 2 Ohio St.3d 62.</w:t>
      </w:r>
    </w:p>
  </w:footnote>
  <w:footnote w:id="12">
    <w:p w:rsidR="00C24C80" w:rsidP="0008654B" w14:paraId="3AF4AAB0" w14:textId="77777777">
      <w:pPr>
        <w:pStyle w:val="FootnoteText"/>
      </w:pPr>
      <w:r>
        <w:rPr>
          <w:rStyle w:val="FootnoteReference"/>
        </w:rPr>
        <w:footnoteRef/>
      </w:r>
      <w:r>
        <w:t xml:space="preserve"> R.C. 4903.22.</w:t>
      </w:r>
    </w:p>
  </w:footnote>
  <w:footnote w:id="13">
    <w:p w:rsidR="00C24C80" w:rsidP="0008654B" w14:paraId="5744EA51" w14:textId="41B279CB">
      <w:pPr>
        <w:pStyle w:val="FootnoteText"/>
      </w:pPr>
      <w:r>
        <w:rPr>
          <w:rStyle w:val="FootnoteReference"/>
        </w:rPr>
        <w:footnoteRef/>
      </w:r>
      <w:r>
        <w:t xml:space="preserve"> </w:t>
      </w:r>
      <w:r>
        <w:rPr>
          <w:i/>
        </w:rPr>
        <w:t>See Canton Storage and Transfer Co. v. Pub. Util. Comm.</w:t>
      </w:r>
      <w:r>
        <w:t xml:space="preserve"> (1995), 72 Ohio St.3d 1, 17-18 (citing to </w:t>
      </w:r>
      <w:r>
        <w:rPr>
          <w:i/>
        </w:rPr>
        <w:t>Allen, D.B.A. J &amp; M Trucking, et al., v. Pub. Util. Comm</w:t>
      </w:r>
      <w:r>
        <w:t>. (1988), 40 Ohio St.3d 184, 185.</w:t>
      </w:r>
      <w:r w:rsidR="00FD5750">
        <w:t xml:space="preserve"> </w:t>
      </w:r>
    </w:p>
  </w:footnote>
  <w:footnote w:id="14">
    <w:p w:rsidR="00C24C80" w:rsidP="0008654B" w14:paraId="09DE111A" w14:textId="2CF64982">
      <w:pPr>
        <w:pStyle w:val="FootnoteText"/>
      </w:pPr>
      <w:r>
        <w:rPr>
          <w:rStyle w:val="FootnoteReference"/>
        </w:rPr>
        <w:footnoteRef/>
      </w:r>
      <w:r>
        <w:t xml:space="preserve"> </w:t>
      </w:r>
      <w:r>
        <w:rPr>
          <w:i/>
        </w:rPr>
        <w:t xml:space="preserve">See, e.g., </w:t>
      </w:r>
      <w:r w:rsidR="00B30E4C">
        <w:rPr>
          <w:i/>
        </w:rPr>
        <w:t>Allen</w:t>
      </w:r>
      <w:r>
        <w:rPr>
          <w:i/>
        </w:rPr>
        <w:t>,</w:t>
      </w:r>
      <w:r>
        <w:t xml:space="preserve"> 40 Ohio St.3d at 186.</w:t>
      </w:r>
      <w:r w:rsidR="00FD5750">
        <w:t xml:space="preserve"> </w:t>
      </w:r>
    </w:p>
  </w:footnote>
  <w:footnote w:id="15">
    <w:p w:rsidR="002C2FA1" w:rsidRPr="002C2FA1" w:rsidP="0008654B" w14:paraId="2742C699" w14:textId="77777777">
      <w:pPr>
        <w:pStyle w:val="FootnoteText"/>
        <w:rPr>
          <w:i/>
          <w:iCs/>
        </w:rPr>
      </w:pPr>
      <w:r>
        <w:rPr>
          <w:rStyle w:val="FootnoteReference"/>
        </w:rPr>
        <w:footnoteRef/>
      </w:r>
      <w:r>
        <w:t xml:space="preserve"> </w:t>
      </w:r>
      <w:r>
        <w:rPr>
          <w:i/>
          <w:iCs/>
        </w:rPr>
        <w:t xml:space="preserve">See </w:t>
      </w:r>
      <w:r w:rsidRPr="002C2FA1">
        <w:rPr>
          <w:i/>
          <w:iCs/>
        </w:rPr>
        <w:t>Banks v. Schweiker</w:t>
      </w:r>
      <w:r w:rsidRPr="002C2FA1">
        <w:t>, 654 F.2d 637, 641 (9th Cir. 1981).</w:t>
      </w:r>
    </w:p>
  </w:footnote>
  <w:footnote w:id="16">
    <w:p w:rsidR="002C2FA1" w:rsidP="0008654B" w14:paraId="47C99F3E" w14:textId="07FFE91B">
      <w:pPr>
        <w:pStyle w:val="FootnoteText"/>
      </w:pPr>
      <w:r>
        <w:rPr>
          <w:rStyle w:val="FootnoteReference"/>
        </w:rPr>
        <w:footnoteRef/>
      </w:r>
      <w:r>
        <w:rPr>
          <w:rStyle w:val="ssleftalign"/>
          <w:i/>
          <w:lang w:val="en"/>
        </w:rPr>
        <w:t xml:space="preserve"> In the Matter of the Review of the Interim Emergency and Temporary PIP</w:t>
      </w:r>
      <w:r w:rsidR="00AD5D3B">
        <w:rPr>
          <w:rStyle w:val="ssleftalign"/>
          <w:i/>
          <w:lang w:val="en"/>
        </w:rPr>
        <w:t>P</w:t>
      </w:r>
      <w:r>
        <w:rPr>
          <w:rStyle w:val="ssleftalign"/>
          <w:i/>
          <w:lang w:val="en"/>
        </w:rPr>
        <w:t xml:space="preserve"> Plan Riders Contained in the Approved Rate Schedules of Electric and Gas Companies</w:t>
      </w:r>
      <w:r>
        <w:rPr>
          <w:rStyle w:val="ssleftalign"/>
          <w:lang w:val="en"/>
        </w:rPr>
        <w:t xml:space="preserve">, Case No. 83-303-GE-COI, Entry </w:t>
      </w:r>
      <w:r w:rsidR="00AD5D3B">
        <w:rPr>
          <w:rStyle w:val="ssleftalign"/>
          <w:lang w:val="en"/>
        </w:rPr>
        <w:t xml:space="preserve">at ¶ 6 </w:t>
      </w:r>
      <w:r>
        <w:rPr>
          <w:rStyle w:val="ssleftalign"/>
          <w:lang w:val="en"/>
        </w:rPr>
        <w:t>(Feb</w:t>
      </w:r>
      <w:r w:rsidR="003C02EF">
        <w:rPr>
          <w:rStyle w:val="ssleftalign"/>
          <w:lang w:val="en"/>
        </w:rPr>
        <w:t>.</w:t>
      </w:r>
      <w:r>
        <w:rPr>
          <w:rStyle w:val="ssleftalign"/>
          <w:lang w:val="en"/>
        </w:rPr>
        <w:t xml:space="preserve"> 22, 1989) (administrative notice taken of facts adduced at hearing in another investigation, information compiled by Staff from the 1980 Census Report, and customer information reported pursuant to the Ohio Administrative Code).</w:t>
      </w:r>
    </w:p>
  </w:footnote>
  <w:footnote w:id="17">
    <w:p w:rsidR="002C2FA1" w:rsidP="0008654B" w14:paraId="1CEEE830" w14:textId="4FC4C5CC">
      <w:pPr>
        <w:pStyle w:val="FootnoteText"/>
      </w:pPr>
      <w:r>
        <w:rPr>
          <w:rStyle w:val="FootnoteReference"/>
        </w:rPr>
        <w:footnoteRef/>
      </w:r>
      <w:r>
        <w:t xml:space="preserve"> </w:t>
      </w:r>
      <w:r>
        <w:rPr>
          <w:rStyle w:val="ssleftalign"/>
          <w:i/>
          <w:lang w:val="en"/>
        </w:rPr>
        <w:t>In the Matter of the Amendment of Chapter 4901:1-13, Ohio Administrative Code, to Establish Minimum Gas Service Standards</w:t>
      </w:r>
      <w:r>
        <w:rPr>
          <w:rStyle w:val="ssleftalign"/>
          <w:lang w:val="en"/>
        </w:rPr>
        <w:t xml:space="preserve">, Case No. 05-602-GA-ORD, Entry on Rehearing </w:t>
      </w:r>
      <w:r w:rsidR="00AD5D3B">
        <w:rPr>
          <w:rStyle w:val="ssleftalign"/>
          <w:lang w:val="en"/>
        </w:rPr>
        <w:t>at 33  (</w:t>
      </w:r>
      <w:r>
        <w:rPr>
          <w:rStyle w:val="ssleftalign"/>
          <w:lang w:val="en"/>
        </w:rPr>
        <w:t xml:space="preserve">May 16, 2006) (administrative notice taken of case filed where utility presented problems with remote </w:t>
      </w:r>
      <w:r w:rsidR="00E544A2">
        <w:rPr>
          <w:rStyle w:val="ssleftalign"/>
          <w:lang w:val="en"/>
        </w:rPr>
        <w:t>technology and</w:t>
      </w:r>
      <w:r>
        <w:rPr>
          <w:rStyle w:val="ssleftalign"/>
          <w:lang w:val="en"/>
        </w:rPr>
        <w:t xml:space="preserve"> sought to discontinue new installation of remote meters).</w:t>
      </w:r>
    </w:p>
  </w:footnote>
  <w:footnote w:id="18">
    <w:p w:rsidR="002C2FA1" w:rsidP="0008654B" w14:paraId="144E4B0A" w14:textId="4AE50B2F">
      <w:pPr>
        <w:pStyle w:val="FootnoteText"/>
      </w:pPr>
      <w:r>
        <w:rPr>
          <w:rStyle w:val="FootnoteReference"/>
        </w:rPr>
        <w:footnoteRef/>
      </w:r>
      <w:r>
        <w:t xml:space="preserve"> </w:t>
      </w:r>
      <w:r>
        <w:rPr>
          <w:rStyle w:val="ssleftalign"/>
          <w:i/>
          <w:lang w:val="en"/>
        </w:rPr>
        <w:t>In the Matter of the Application of Ohio Edison Company for Authority to Change Certain of Its Filed Schedules Fixing Rates and Charges for Electric Service</w:t>
      </w:r>
      <w:r>
        <w:rPr>
          <w:rStyle w:val="ssleftalign"/>
          <w:lang w:val="en"/>
        </w:rPr>
        <w:t xml:space="preserve">, Case No. 89-1001-EL-AIR, Opinion and Order </w:t>
      </w:r>
      <w:r w:rsidR="00AD5D3B">
        <w:rPr>
          <w:rStyle w:val="ssleftalign"/>
          <w:lang w:val="en"/>
        </w:rPr>
        <w:t xml:space="preserve">at 110 </w:t>
      </w:r>
      <w:r>
        <w:rPr>
          <w:rStyle w:val="ssleftalign"/>
          <w:lang w:val="en"/>
        </w:rPr>
        <w:t>(Aug</w:t>
      </w:r>
      <w:r w:rsidR="00723EB9">
        <w:rPr>
          <w:rStyle w:val="ssleftalign"/>
          <w:lang w:val="en"/>
        </w:rPr>
        <w:t>.</w:t>
      </w:r>
      <w:r>
        <w:rPr>
          <w:rStyle w:val="ssleftalign"/>
          <w:lang w:val="en"/>
        </w:rPr>
        <w:t xml:space="preserve"> 19, 1990) (administrative notice taken by the Attorney Examiner of entries and orders issued in an audit proceeding and an agreement filed in the audit docket).</w:t>
      </w:r>
    </w:p>
  </w:footnote>
  <w:footnote w:id="19">
    <w:p w:rsidR="002C2FA1" w:rsidP="0008654B" w14:paraId="1AA16AB1" w14:textId="3A20597B">
      <w:pPr>
        <w:pStyle w:val="FootnoteText"/>
      </w:pPr>
      <w:r>
        <w:rPr>
          <w:rStyle w:val="FootnoteReference"/>
        </w:rPr>
        <w:footnoteRef/>
      </w:r>
      <w:r>
        <w:rPr>
          <w:i/>
        </w:rPr>
        <w:t xml:space="preserve"> See In the Matter of</w:t>
      </w:r>
      <w:r w:rsidR="00FD5750">
        <w:rPr>
          <w:i/>
        </w:rPr>
        <w:t xml:space="preserve"> </w:t>
      </w:r>
      <w:r>
        <w:rPr>
          <w:i/>
        </w:rPr>
        <w:t>Ohio Edison Company, the Cleveland Electric Illuminating Company, and the Toledo Edison Company for Authority to Provide for a Standard Service Offer Pursuant to Section 4928.143, Revised Code, in the Form of an Electric Security Plan,</w:t>
      </w:r>
      <w:r>
        <w:t xml:space="preserve"> Case No. 12-1230-EL-SSO, Opinion and Order </w:t>
      </w:r>
      <w:r w:rsidR="00AD5D3B">
        <w:t>at 18-21 (</w:t>
      </w:r>
      <w:r w:rsidR="006F5A4A">
        <w:t xml:space="preserve">July 18, 2012) </w:t>
      </w:r>
      <w:r>
        <w:t>(finding that the Court has placed no restrictions on taking administrative notice of expert opinion testimony, and that it declined to impose such restrictions</w:t>
      </w:r>
      <w:r>
        <w:rPr>
          <w:i/>
        </w:rPr>
        <w:t xml:space="preserve">); In the Matter of the Application of Ohio Edison Company, </w:t>
      </w:r>
      <w:r w:rsidR="007E3035">
        <w:rPr>
          <w:i/>
        </w:rPr>
        <w:t>t</w:t>
      </w:r>
      <w:r>
        <w:rPr>
          <w:i/>
        </w:rPr>
        <w:t>he Cleveland Electric Illuminating Company and the Toledo Edison Company for Authority to Establish a Standard Service Offer Pursuant to Section 4928.143, Revised Code, in the Form of an Electric Security Plan</w:t>
      </w:r>
      <w:r>
        <w:t xml:space="preserve">, Case No. 10-388-EL-SSO, Entry </w:t>
      </w:r>
      <w:r w:rsidR="00AD5D3B">
        <w:t>at ¶ 6</w:t>
      </w:r>
      <w:r w:rsidR="00AD5D3B">
        <w:rPr>
          <w:i/>
        </w:rPr>
        <w:t xml:space="preserve">, </w:t>
      </w:r>
      <w:r>
        <w:t>(April 6, 2010)</w:t>
      </w:r>
      <w:r w:rsidR="00AD5D3B">
        <w:t xml:space="preserve">, </w:t>
      </w:r>
      <w:r>
        <w:t xml:space="preserve"> aff’d by Entry on Rehearing </w:t>
      </w:r>
      <w:r w:rsidR="00AD5D3B">
        <w:t>at ¶ 14  (</w:t>
      </w:r>
      <w:r>
        <w:t>May 13, 2010) (both Entries allowing</w:t>
      </w:r>
      <w:r w:rsidR="00FD5750">
        <w:t xml:space="preserve"> </w:t>
      </w:r>
      <w:r>
        <w:t xml:space="preserve">the entire record of a prior proceeding to be administratively noticed in the ESP proceeding and ruling that all briefs and pleadings “may be used for any appropriate purposes”). </w:t>
      </w:r>
    </w:p>
  </w:footnote>
  <w:footnote w:id="20">
    <w:p w:rsidR="002C2FA1" w:rsidP="0008654B" w14:paraId="3D86DAA6" w14:textId="7C27D16D">
      <w:pPr>
        <w:pStyle w:val="FootnoteText"/>
      </w:pPr>
      <w:r>
        <w:rPr>
          <w:rStyle w:val="FootnoteReference"/>
        </w:rPr>
        <w:footnoteRef/>
      </w:r>
      <w:r>
        <w:t xml:space="preserve"> Case No. 10-388-EL-SSO, Entry </w:t>
      </w:r>
      <w:r w:rsidR="00AD5D3B">
        <w:t>at ¶ 6 (</w:t>
      </w:r>
      <w:r>
        <w:t>Apr</w:t>
      </w:r>
      <w:r w:rsidR="00AD5D3B">
        <w:t>.</w:t>
      </w:r>
      <w:r>
        <w:t xml:space="preserve"> 6, 2010), aff’d by Entry on Rehearing </w:t>
      </w:r>
      <w:r w:rsidR="00AD5D3B">
        <w:t xml:space="preserve">at ¶ 14 </w:t>
      </w:r>
      <w:r>
        <w:t>(May 13, 2010)</w:t>
      </w:r>
      <w:r w:rsidR="007D567E">
        <w:t>.</w:t>
      </w:r>
    </w:p>
  </w:footnote>
  <w:footnote w:id="21">
    <w:p w:rsidR="002C2FA1" w:rsidP="0008654B" w14:paraId="797EDDAE" w14:textId="063F914A">
      <w:pPr>
        <w:pStyle w:val="Heading2"/>
        <w:spacing w:before="0" w:beforeAutospacing="0" w:after="120" w:afterAutospacing="0"/>
        <w:rPr>
          <w:lang w:val="en"/>
        </w:rPr>
      </w:pPr>
      <w:r>
        <w:rPr>
          <w:rStyle w:val="FootnoteReference"/>
          <w:b w:val="0"/>
          <w:sz w:val="20"/>
          <w:szCs w:val="20"/>
        </w:rPr>
        <w:footnoteRef/>
      </w:r>
      <w:r w:rsidR="00FD5750">
        <w:rPr>
          <w:b w:val="0"/>
          <w:i/>
          <w:sz w:val="20"/>
          <w:szCs w:val="20"/>
        </w:rPr>
        <w:t xml:space="preserve"> </w:t>
      </w:r>
      <w:r>
        <w:rPr>
          <w:b w:val="0"/>
          <w:i/>
          <w:sz w:val="20"/>
          <w:szCs w:val="20"/>
        </w:rPr>
        <w:t>Id.</w:t>
      </w:r>
      <w:r w:rsidR="000E77A7">
        <w:rPr>
          <w:b w:val="0"/>
          <w:i/>
          <w:sz w:val="20"/>
          <w:szCs w:val="20"/>
        </w:rPr>
        <w:t>;</w:t>
      </w:r>
      <w:r>
        <w:rPr>
          <w:sz w:val="20"/>
          <w:szCs w:val="20"/>
        </w:rPr>
        <w:t xml:space="preserve"> </w:t>
      </w:r>
      <w:r>
        <w:rPr>
          <w:rStyle w:val="ssleftalign"/>
          <w:b w:val="0"/>
          <w:i/>
          <w:sz w:val="20"/>
          <w:szCs w:val="20"/>
          <w:lang w:val="en"/>
        </w:rPr>
        <w:t xml:space="preserve">In the Matter of the Application of </w:t>
      </w:r>
      <w:r w:rsidR="006E62CD">
        <w:rPr>
          <w:rStyle w:val="ssleftalign"/>
          <w:b w:val="0"/>
          <w:i/>
          <w:sz w:val="20"/>
          <w:szCs w:val="20"/>
          <w:lang w:val="en"/>
        </w:rPr>
        <w:t>t</w:t>
      </w:r>
      <w:r>
        <w:rPr>
          <w:rStyle w:val="ssleftalign"/>
          <w:b w:val="0"/>
          <w:i/>
          <w:sz w:val="20"/>
          <w:szCs w:val="20"/>
          <w:lang w:val="en"/>
        </w:rPr>
        <w:t xml:space="preserve">he Cincinnati Gas &amp; Electric Company for an Increase in Electric Rates in </w:t>
      </w:r>
      <w:r w:rsidR="00746CA7">
        <w:rPr>
          <w:rStyle w:val="ssleftalign"/>
          <w:b w:val="0"/>
          <w:i/>
          <w:sz w:val="20"/>
          <w:szCs w:val="20"/>
          <w:lang w:val="en"/>
        </w:rPr>
        <w:t>I</w:t>
      </w:r>
      <w:r>
        <w:rPr>
          <w:rStyle w:val="ssleftalign"/>
          <w:b w:val="0"/>
          <w:i/>
          <w:sz w:val="20"/>
          <w:szCs w:val="20"/>
          <w:lang w:val="en"/>
        </w:rPr>
        <w:t>ts Service Area,</w:t>
      </w:r>
      <w:r>
        <w:rPr>
          <w:rStyle w:val="ssleftalign"/>
          <w:b w:val="0"/>
          <w:sz w:val="20"/>
          <w:szCs w:val="20"/>
          <w:lang w:val="en"/>
        </w:rPr>
        <w:t xml:space="preserve"> Case No. 91-410-EL-AIR, Opinion and Order </w:t>
      </w:r>
      <w:r w:rsidR="00AD5D3B">
        <w:rPr>
          <w:rStyle w:val="ssleftalign"/>
          <w:b w:val="0"/>
          <w:sz w:val="20"/>
          <w:szCs w:val="20"/>
          <w:lang w:val="en"/>
        </w:rPr>
        <w:t xml:space="preserve">at 19 </w:t>
      </w:r>
      <w:r>
        <w:rPr>
          <w:rStyle w:val="ssleftalign"/>
          <w:b w:val="0"/>
          <w:sz w:val="20"/>
          <w:szCs w:val="20"/>
          <w:lang w:val="en"/>
        </w:rPr>
        <w:t>(May 12, 1992) (administrative notice taken of the record in the Zimmer restatement case and evidence presented in the case</w:t>
      </w:r>
      <w:r w:rsidR="006F5A4A">
        <w:rPr>
          <w:rStyle w:val="ssleftalign"/>
          <w:b w:val="0"/>
          <w:sz w:val="20"/>
          <w:szCs w:val="20"/>
          <w:lang w:val="en"/>
        </w:rPr>
        <w:t>)</w:t>
      </w:r>
      <w:r>
        <w:rPr>
          <w:rStyle w:val="ssleftalign"/>
          <w:b w:val="0"/>
          <w:sz w:val="20"/>
          <w:szCs w:val="20"/>
          <w:lang w:val="en"/>
        </w:rPr>
        <w:t>.</w:t>
      </w:r>
    </w:p>
  </w:footnote>
  <w:footnote w:id="22">
    <w:p w:rsidR="002859BE" w:rsidP="0008654B" w14:paraId="130B5214" w14:textId="2C9B303C">
      <w:pPr>
        <w:pStyle w:val="FootnoteText"/>
      </w:pPr>
      <w:r>
        <w:rPr>
          <w:rStyle w:val="FootnoteReference"/>
        </w:rPr>
        <w:footnoteRef/>
      </w:r>
      <w:r>
        <w:t xml:space="preserve"> </w:t>
      </w:r>
      <w:r w:rsidRPr="009E4792">
        <w:rPr>
          <w:i/>
          <w:iCs/>
        </w:rPr>
        <w:t xml:space="preserve">In the Matter of the Application of the Dayton Power and Light Company for Approval of </w:t>
      </w:r>
      <w:r w:rsidR="00622EAB">
        <w:rPr>
          <w:i/>
          <w:iCs/>
        </w:rPr>
        <w:t>I</w:t>
      </w:r>
      <w:r w:rsidRPr="009E4792">
        <w:rPr>
          <w:i/>
          <w:iCs/>
        </w:rPr>
        <w:t>ts Transition Plan Pursuant to Section 4928.31, Revised Code and for the Opportunity to Receive Transition Revenues as Authorized under Sections 4928.31 to 4928.40, Revised Code</w:t>
      </w:r>
      <w:r>
        <w:t>, Case No. 99-1687-EL-ETP, et al., Opinion and Order (Sept. 21, 2000).</w:t>
      </w:r>
    </w:p>
  </w:footnote>
  <w:footnote w:id="23">
    <w:p w:rsidR="002859BE" w:rsidP="0008654B" w14:paraId="3458721A" w14:textId="35D9274E">
      <w:pPr>
        <w:pStyle w:val="FootnoteText"/>
      </w:pPr>
      <w:r>
        <w:rPr>
          <w:rStyle w:val="FootnoteReference"/>
        </w:rPr>
        <w:footnoteRef/>
      </w:r>
      <w:r>
        <w:t xml:space="preserve"> Application to </w:t>
      </w:r>
      <w:r w:rsidR="00996BC4">
        <w:t>R</w:t>
      </w:r>
      <w:r>
        <w:t>eceive Transition Revenues (revised), Summary of Transition Costs, Part F, File TC-2 (</w:t>
      </w:r>
      <w:r w:rsidR="006C536C">
        <w:t>April 20, 2000</w:t>
      </w:r>
      <w:r>
        <w:t>)</w:t>
      </w:r>
      <w:r w:rsidR="006C536C">
        <w:t>.</w:t>
      </w:r>
      <w:r w:rsidR="00FD5750">
        <w:t xml:space="preserve"> </w:t>
      </w:r>
    </w:p>
  </w:footnote>
  <w:footnote w:id="24">
    <w:p w:rsidR="002859BE" w:rsidP="0008654B" w14:paraId="401E290F" w14:textId="77777777">
      <w:pPr>
        <w:pStyle w:val="FootnoteText"/>
      </w:pPr>
      <w:r>
        <w:rPr>
          <w:rStyle w:val="FootnoteReference"/>
        </w:rPr>
        <w:footnoteRef/>
      </w:r>
      <w:r>
        <w:t xml:space="preserve"> </w:t>
      </w:r>
      <w:r w:rsidR="006C536C">
        <w:t>Case No. 99-1687-EL-ETP, et al., Opinion and Order (Sept. 21, 2000) at 27.</w:t>
      </w:r>
    </w:p>
  </w:footnote>
  <w:footnote w:id="25">
    <w:p w:rsidR="007B2F16" w:rsidRPr="007B2F16" w:rsidP="0008654B" w14:paraId="601A0794" w14:textId="049B313B">
      <w:pPr>
        <w:pStyle w:val="FootnoteText"/>
      </w:pPr>
      <w:r>
        <w:rPr>
          <w:rStyle w:val="FootnoteReference"/>
        </w:rPr>
        <w:footnoteRef/>
      </w:r>
      <w:r>
        <w:t xml:space="preserve"> </w:t>
      </w:r>
      <w:r>
        <w:rPr>
          <w:i/>
          <w:iCs/>
        </w:rPr>
        <w:t>See</w:t>
      </w:r>
      <w:r>
        <w:t xml:space="preserve"> </w:t>
      </w:r>
      <w:r w:rsidR="007F53B1">
        <w:rPr>
          <w:color w:val="000000"/>
        </w:rPr>
        <w:t>Tr. Vol. 1</w:t>
      </w:r>
      <w:r w:rsidR="00AD5D3B">
        <w:rPr>
          <w:color w:val="000000"/>
        </w:rPr>
        <w:t xml:space="preserve"> at  </w:t>
      </w:r>
      <w:r w:rsidR="007F53B1">
        <w:rPr>
          <w:color w:val="000000"/>
        </w:rPr>
        <w:t>139</w:t>
      </w:r>
      <w:r w:rsidR="00AD5D3B">
        <w:rPr>
          <w:color w:val="000000"/>
        </w:rPr>
        <w:t xml:space="preserve">-141.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C80" w14:paraId="014BA5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C80" w14:paraId="4CF22FE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C80" w14:paraId="7F86A4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14860"/>
    <w:multiLevelType w:val="hybridMultilevel"/>
    <w:tmpl w:val="2D403774"/>
    <w:lvl w:ilvl="0">
      <w:start w:val="17"/>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61C02E4"/>
    <w:multiLevelType w:val="hybridMultilevel"/>
    <w:tmpl w:val="717E7C8A"/>
    <w:lvl w:ilvl="0">
      <w:start w:val="1"/>
      <w:numFmt w:val="decimal"/>
      <w:lvlText w:val="%1."/>
      <w:lvlJc w:val="left"/>
      <w:pPr>
        <w:ind w:left="1980" w:hanging="36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2">
    <w:nsid w:val="2A8C7D2D"/>
    <w:multiLevelType w:val="hybridMultilevel"/>
    <w:tmpl w:val="ABEE3686"/>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6DF8119F"/>
    <w:multiLevelType w:val="hybridMultilevel"/>
    <w:tmpl w:val="4DE6D2E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7DE22681"/>
    <w:multiLevelType w:val="hybridMultilevel"/>
    <w:tmpl w:val="6CBCEC5A"/>
    <w:lvl w:ilvl="0">
      <w:start w:val="6"/>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63"/>
    <w:rsid w:val="00001124"/>
    <w:rsid w:val="000057EB"/>
    <w:rsid w:val="00024626"/>
    <w:rsid w:val="00035A05"/>
    <w:rsid w:val="00036159"/>
    <w:rsid w:val="00037AA9"/>
    <w:rsid w:val="000641DB"/>
    <w:rsid w:val="00065A4E"/>
    <w:rsid w:val="000800B6"/>
    <w:rsid w:val="0008654B"/>
    <w:rsid w:val="000A256C"/>
    <w:rsid w:val="000C7CEF"/>
    <w:rsid w:val="000E77A7"/>
    <w:rsid w:val="00124AEE"/>
    <w:rsid w:val="00137412"/>
    <w:rsid w:val="00154F1F"/>
    <w:rsid w:val="00172D1E"/>
    <w:rsid w:val="00177FD9"/>
    <w:rsid w:val="001A690C"/>
    <w:rsid w:val="001C1219"/>
    <w:rsid w:val="001D2EF9"/>
    <w:rsid w:val="002113C7"/>
    <w:rsid w:val="00250799"/>
    <w:rsid w:val="00256D03"/>
    <w:rsid w:val="0026386B"/>
    <w:rsid w:val="00264BB8"/>
    <w:rsid w:val="002859BE"/>
    <w:rsid w:val="00287357"/>
    <w:rsid w:val="00290A6C"/>
    <w:rsid w:val="002C2FA1"/>
    <w:rsid w:val="002C331A"/>
    <w:rsid w:val="002D657D"/>
    <w:rsid w:val="002E1410"/>
    <w:rsid w:val="002E3CBB"/>
    <w:rsid w:val="002F67F8"/>
    <w:rsid w:val="00302FED"/>
    <w:rsid w:val="00305FB3"/>
    <w:rsid w:val="00306041"/>
    <w:rsid w:val="00311914"/>
    <w:rsid w:val="0031515E"/>
    <w:rsid w:val="003537E0"/>
    <w:rsid w:val="00356121"/>
    <w:rsid w:val="00361B83"/>
    <w:rsid w:val="00365FBD"/>
    <w:rsid w:val="00375C86"/>
    <w:rsid w:val="00375EA9"/>
    <w:rsid w:val="003950AB"/>
    <w:rsid w:val="0039554E"/>
    <w:rsid w:val="00395B3E"/>
    <w:rsid w:val="003A2005"/>
    <w:rsid w:val="003A3FE5"/>
    <w:rsid w:val="003C02EF"/>
    <w:rsid w:val="003F7F3F"/>
    <w:rsid w:val="00426D0C"/>
    <w:rsid w:val="00446517"/>
    <w:rsid w:val="004562CA"/>
    <w:rsid w:val="004667CC"/>
    <w:rsid w:val="00490375"/>
    <w:rsid w:val="00491F3B"/>
    <w:rsid w:val="004A2CD7"/>
    <w:rsid w:val="004A6DD2"/>
    <w:rsid w:val="004B49CB"/>
    <w:rsid w:val="004E6D62"/>
    <w:rsid w:val="004E7269"/>
    <w:rsid w:val="004F0C02"/>
    <w:rsid w:val="004F2722"/>
    <w:rsid w:val="00517E82"/>
    <w:rsid w:val="0052399F"/>
    <w:rsid w:val="00523F0C"/>
    <w:rsid w:val="00531829"/>
    <w:rsid w:val="00543D5A"/>
    <w:rsid w:val="00564659"/>
    <w:rsid w:val="00565AE4"/>
    <w:rsid w:val="0058194F"/>
    <w:rsid w:val="005D4470"/>
    <w:rsid w:val="00622EAB"/>
    <w:rsid w:val="00624FAE"/>
    <w:rsid w:val="0064384B"/>
    <w:rsid w:val="006448BC"/>
    <w:rsid w:val="00654F0E"/>
    <w:rsid w:val="006C0EAA"/>
    <w:rsid w:val="006C536C"/>
    <w:rsid w:val="006E62CD"/>
    <w:rsid w:val="006F5A4A"/>
    <w:rsid w:val="006F7672"/>
    <w:rsid w:val="00702F59"/>
    <w:rsid w:val="00703CE6"/>
    <w:rsid w:val="00716ADF"/>
    <w:rsid w:val="00723EB9"/>
    <w:rsid w:val="0073273F"/>
    <w:rsid w:val="00740E9F"/>
    <w:rsid w:val="0074539C"/>
    <w:rsid w:val="00746CA7"/>
    <w:rsid w:val="00750957"/>
    <w:rsid w:val="007533AD"/>
    <w:rsid w:val="007660EB"/>
    <w:rsid w:val="00770B53"/>
    <w:rsid w:val="00786B64"/>
    <w:rsid w:val="007A529B"/>
    <w:rsid w:val="007B2F16"/>
    <w:rsid w:val="007B51D1"/>
    <w:rsid w:val="007D567E"/>
    <w:rsid w:val="007D6014"/>
    <w:rsid w:val="007E1FD3"/>
    <w:rsid w:val="007E3035"/>
    <w:rsid w:val="007F53B1"/>
    <w:rsid w:val="007F6A95"/>
    <w:rsid w:val="0081786C"/>
    <w:rsid w:val="00832C75"/>
    <w:rsid w:val="00845F7F"/>
    <w:rsid w:val="00853EB0"/>
    <w:rsid w:val="00857C5A"/>
    <w:rsid w:val="00870E00"/>
    <w:rsid w:val="00871FE8"/>
    <w:rsid w:val="008853CA"/>
    <w:rsid w:val="008B5267"/>
    <w:rsid w:val="008B62B8"/>
    <w:rsid w:val="008E026B"/>
    <w:rsid w:val="008E7D99"/>
    <w:rsid w:val="009000FB"/>
    <w:rsid w:val="00903937"/>
    <w:rsid w:val="00904AE2"/>
    <w:rsid w:val="0092586B"/>
    <w:rsid w:val="00927C2D"/>
    <w:rsid w:val="00957D63"/>
    <w:rsid w:val="00965F2B"/>
    <w:rsid w:val="009956FE"/>
    <w:rsid w:val="00996BC4"/>
    <w:rsid w:val="009A75A4"/>
    <w:rsid w:val="009C1A35"/>
    <w:rsid w:val="009E4792"/>
    <w:rsid w:val="00A05892"/>
    <w:rsid w:val="00A07182"/>
    <w:rsid w:val="00A2225E"/>
    <w:rsid w:val="00A5772F"/>
    <w:rsid w:val="00A6184C"/>
    <w:rsid w:val="00A73B97"/>
    <w:rsid w:val="00A75BDF"/>
    <w:rsid w:val="00A910EE"/>
    <w:rsid w:val="00A91DFF"/>
    <w:rsid w:val="00AB556A"/>
    <w:rsid w:val="00AB752F"/>
    <w:rsid w:val="00AD13ED"/>
    <w:rsid w:val="00AD5D3B"/>
    <w:rsid w:val="00AE4906"/>
    <w:rsid w:val="00AF1554"/>
    <w:rsid w:val="00B05BE3"/>
    <w:rsid w:val="00B30E4C"/>
    <w:rsid w:val="00B33CBD"/>
    <w:rsid w:val="00B3531A"/>
    <w:rsid w:val="00B74840"/>
    <w:rsid w:val="00B775E8"/>
    <w:rsid w:val="00B9507F"/>
    <w:rsid w:val="00B957F4"/>
    <w:rsid w:val="00BB2861"/>
    <w:rsid w:val="00BC4E8A"/>
    <w:rsid w:val="00BD3EDF"/>
    <w:rsid w:val="00BF4D7A"/>
    <w:rsid w:val="00BF4E23"/>
    <w:rsid w:val="00C018BF"/>
    <w:rsid w:val="00C07E02"/>
    <w:rsid w:val="00C16C9B"/>
    <w:rsid w:val="00C20241"/>
    <w:rsid w:val="00C21E21"/>
    <w:rsid w:val="00C24C80"/>
    <w:rsid w:val="00C46FC6"/>
    <w:rsid w:val="00C61231"/>
    <w:rsid w:val="00C66D15"/>
    <w:rsid w:val="00C73244"/>
    <w:rsid w:val="00C764E8"/>
    <w:rsid w:val="00C81343"/>
    <w:rsid w:val="00C82AA3"/>
    <w:rsid w:val="00C94A14"/>
    <w:rsid w:val="00C97FCD"/>
    <w:rsid w:val="00CB664C"/>
    <w:rsid w:val="00CC6618"/>
    <w:rsid w:val="00CC74D1"/>
    <w:rsid w:val="00CD1AB6"/>
    <w:rsid w:val="00CE0101"/>
    <w:rsid w:val="00CE5443"/>
    <w:rsid w:val="00CF55D6"/>
    <w:rsid w:val="00D05573"/>
    <w:rsid w:val="00D20F93"/>
    <w:rsid w:val="00D368E6"/>
    <w:rsid w:val="00D56AA2"/>
    <w:rsid w:val="00DA46DD"/>
    <w:rsid w:val="00DA487B"/>
    <w:rsid w:val="00DC1480"/>
    <w:rsid w:val="00DC30D2"/>
    <w:rsid w:val="00DE74E6"/>
    <w:rsid w:val="00DF36B7"/>
    <w:rsid w:val="00E1088F"/>
    <w:rsid w:val="00E544A2"/>
    <w:rsid w:val="00E7779F"/>
    <w:rsid w:val="00E854A2"/>
    <w:rsid w:val="00E95173"/>
    <w:rsid w:val="00EB6E8A"/>
    <w:rsid w:val="00EC17CA"/>
    <w:rsid w:val="00ED2D93"/>
    <w:rsid w:val="00F03010"/>
    <w:rsid w:val="00F07F01"/>
    <w:rsid w:val="00F22FF5"/>
    <w:rsid w:val="00F7060A"/>
    <w:rsid w:val="00F80C6C"/>
    <w:rsid w:val="00F84205"/>
    <w:rsid w:val="00FD57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B53"/>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autoRedefine/>
    <w:qFormat/>
    <w:pPr>
      <w:keepNext/>
      <w:overflowPunct w:val="0"/>
      <w:autoSpaceDE w:val="0"/>
      <w:autoSpaceDN w:val="0"/>
      <w:adjustRightInd w:val="0"/>
      <w:spacing w:after="240" w:line="480" w:lineRule="auto"/>
      <w:ind w:left="2160" w:hanging="720"/>
      <w:textAlignment w:val="baseline"/>
      <w:outlineLvl w:val="2"/>
    </w:pPr>
    <w:rPr>
      <w:rFonts w:ascii="Times New Roman Bold" w:hAnsi="Times New Roman Bold"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leftalign">
    <w:name w:val="ss_leftalign"/>
    <w:basedOn w:val="DefaultParagraphFont"/>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link w:val="HTMLPreformatted"/>
    <w:locked/>
    <w:rPr>
      <w:rFonts w:ascii="Courier New" w:eastAsia="Courier New" w:hAnsi="Courier New" w:cs="Courier New"/>
      <w:lang w:val="en-US" w:eastAsia="en-US" w:bidi="ar-SA"/>
    </w:rPr>
  </w:style>
  <w:style w:type="paragraph" w:styleId="Header">
    <w:name w:val="header"/>
    <w:basedOn w:val="Normal"/>
    <w:link w:val="HeaderChar"/>
    <w:pPr>
      <w:tabs>
        <w:tab w:val="center" w:pos="4320"/>
        <w:tab w:val="right" w:pos="8640"/>
      </w:tabs>
    </w:pPr>
  </w:style>
  <w:style w:type="character" w:styleId="Hyperlink">
    <w:name w:val="Hyperlink"/>
    <w:uiPriority w:val="99"/>
    <w:rPr>
      <w:color w:val="0000FF"/>
      <w:u w:val="single"/>
    </w:rPr>
  </w:style>
  <w:style w:type="character" w:customStyle="1" w:styleId="HeaderChar">
    <w:name w:val="Header Char"/>
    <w:link w:val="Header"/>
    <w:semiHidden/>
    <w:locked/>
    <w:rPr>
      <w:sz w:val="24"/>
      <w:szCs w:val="24"/>
      <w:lang w:val="en-US" w:eastAsia="en-US" w:bidi="ar-SA"/>
    </w:rPr>
  </w:style>
  <w:style w:type="paragraph" w:styleId="FootnoteText">
    <w:name w:val="footnote text"/>
    <w:aliases w:val="Car,Footnote Text Cha,Footnote Text Char Char4 Char,Footnote Text Char Char4 Char1 Char Char,Footnote Text Char2,Footnote Text Char4 Char,Footnote Text Char4 Char1 Char Char,Footnote Text Char5 Char1 Char Char Char Char Char,fn"/>
    <w:basedOn w:val="Normal"/>
    <w:link w:val="FootnoteTextChar"/>
    <w:qFormat/>
    <w:rsid w:val="00770B53"/>
    <w:pPr>
      <w:spacing w:after="120"/>
    </w:pPr>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Pr>
      <w:vertAlign w:val="superscript"/>
    </w:rPr>
  </w:style>
  <w:style w:type="paragraph" w:styleId="BodyTextIndent">
    <w:name w:val="Body Text Indent"/>
    <w:basedOn w:val="Normal"/>
    <w:link w:val="BodyTextIndentChar"/>
    <w:pPr>
      <w:spacing w:line="480" w:lineRule="auto"/>
      <w:ind w:firstLine="720"/>
    </w:pPr>
  </w:style>
  <w:style w:type="paragraph" w:customStyle="1" w:styleId="ANSWER">
    <w:name w:val="ANSWER"/>
    <w:basedOn w:val="Normal"/>
    <w:pPr>
      <w:spacing w:line="480" w:lineRule="auto"/>
      <w:ind w:left="1008" w:hanging="720"/>
    </w:pPr>
    <w:rPr>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BodyTextIndentChar">
    <w:name w:val="Body Text Indent Char"/>
    <w:link w:val="BodyTextIndent"/>
    <w:rPr>
      <w:sz w:val="24"/>
      <w:szCs w:val="24"/>
    </w:rPr>
  </w:style>
  <w:style w:type="character" w:customStyle="1" w:styleId="term1">
    <w:name w:val="term1"/>
    <w:rPr>
      <w:b/>
      <w:bCs/>
    </w:rPr>
  </w:style>
  <w:style w:type="paragraph" w:styleId="BodyText">
    <w:name w:val="Body Text"/>
    <w:basedOn w:val="Normal"/>
    <w:link w:val="BodyTextChar"/>
    <w:pPr>
      <w:spacing w:after="120"/>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E4906"/>
    <w:pPr>
      <w:spacing w:after="120"/>
      <w:ind w:left="360"/>
    </w:pPr>
    <w:rPr>
      <w:sz w:val="16"/>
      <w:szCs w:val="16"/>
    </w:rPr>
  </w:style>
  <w:style w:type="character" w:customStyle="1" w:styleId="BodyTextIndent3Char">
    <w:name w:val="Body Text Indent 3 Char"/>
    <w:link w:val="BodyTextIndent3"/>
    <w:rsid w:val="00AE4906"/>
    <w:rPr>
      <w:sz w:val="16"/>
      <w:szCs w:val="16"/>
    </w:rPr>
  </w:style>
  <w:style w:type="paragraph" w:customStyle="1" w:styleId="Default">
    <w:name w:val="Default"/>
    <w:rsid w:val="00250799"/>
    <w:pPr>
      <w:autoSpaceDE w:val="0"/>
      <w:autoSpaceDN w:val="0"/>
      <w:adjustRightInd w:val="0"/>
    </w:pPr>
    <w:rPr>
      <w:rFonts w:ascii="Verdana" w:hAnsi="Verdana" w:cs="Verdana"/>
      <w:color w:val="000000"/>
      <w:sz w:val="24"/>
      <w:szCs w:val="24"/>
    </w:rPr>
  </w:style>
  <w:style w:type="character" w:customStyle="1" w:styleId="FooterChar">
    <w:name w:val="Footer Char"/>
    <w:link w:val="Footer"/>
    <w:uiPriority w:val="99"/>
    <w:locked/>
    <w:rsid w:val="00B775E8"/>
    <w:rPr>
      <w:sz w:val="24"/>
      <w:szCs w:val="24"/>
    </w:rPr>
  </w:style>
  <w:style w:type="character" w:customStyle="1" w:styleId="FootnoteTextChar">
    <w:name w:val="Footnote Text Char"/>
    <w:aliases w:val="Car Char,Footnote Text Cha Char,Footnote Text Char Char4 Char Char,Footnote Text Char Char4 Char1 Char Char Char,Footnote Text Char2 Char,Footnote Text Char4 Char Char,Footnote Text Char4 Char1 Char Char Char,fn Char"/>
    <w:link w:val="FootnoteText"/>
    <w:locked/>
    <w:rsid w:val="00770B53"/>
  </w:style>
  <w:style w:type="character" w:customStyle="1" w:styleId="CommentSubjectChar">
    <w:name w:val="Comment Subject Char"/>
    <w:link w:val="CommentSubject"/>
    <w:semiHidden/>
    <w:locked/>
    <w:rsid w:val="00A05892"/>
    <w:rPr>
      <w:b/>
      <w:bCs/>
    </w:rPr>
  </w:style>
  <w:style w:type="character" w:customStyle="1" w:styleId="BodyTextChar">
    <w:name w:val="Body Text Char"/>
    <w:link w:val="BodyText"/>
    <w:rsid w:val="00770B53"/>
    <w:rPr>
      <w:sz w:val="24"/>
    </w:rPr>
  </w:style>
  <w:style w:type="character" w:customStyle="1" w:styleId="UnresolvedMention">
    <w:name w:val="Unresolved Mention"/>
    <w:uiPriority w:val="99"/>
    <w:semiHidden/>
    <w:unhideWhenUsed/>
    <w:rsid w:val="002113C7"/>
    <w:rPr>
      <w:color w:val="605E5C"/>
      <w:shd w:val="clear" w:color="auto" w:fill="E1DFDD"/>
    </w:rPr>
  </w:style>
  <w:style w:type="paragraph" w:styleId="ListParagraph">
    <w:name w:val="List Paragraph"/>
    <w:basedOn w:val="Normal"/>
    <w:uiPriority w:val="34"/>
    <w:qFormat/>
    <w:rsid w:val="007660EB"/>
    <w:pPr>
      <w:ind w:left="720"/>
      <w:contextualSpacing/>
    </w:pPr>
    <w:rPr>
      <w:szCs w:val="20"/>
    </w:rPr>
  </w:style>
  <w:style w:type="paragraph" w:styleId="PlainText">
    <w:name w:val="Plain Text"/>
    <w:basedOn w:val="Normal"/>
    <w:link w:val="PlainTextChar"/>
    <w:uiPriority w:val="99"/>
    <w:unhideWhenUsed/>
    <w:rsid w:val="007660EB"/>
    <w:rPr>
      <w:rFonts w:ascii="Calibri" w:eastAsia="Calibri" w:hAnsi="Calibri"/>
      <w:sz w:val="22"/>
      <w:szCs w:val="21"/>
    </w:rPr>
  </w:style>
  <w:style w:type="character" w:customStyle="1" w:styleId="PlainTextChar">
    <w:name w:val="Plain Text Char"/>
    <w:link w:val="PlainText"/>
    <w:uiPriority w:val="99"/>
    <w:rsid w:val="007660EB"/>
    <w:rPr>
      <w:rFonts w:ascii="Calibri" w:eastAsia="Calibri" w:hAnsi="Calibri"/>
      <w:sz w:val="22"/>
      <w:szCs w:val="21"/>
    </w:rPr>
  </w:style>
  <w:style w:type="paragraph" w:styleId="Revision">
    <w:name w:val="Revision"/>
    <w:hidden/>
    <w:uiPriority w:val="99"/>
    <w:semiHidden/>
    <w:rsid w:val="006F76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werner.margard@ohioAGO.gov" TargetMode="External" /><Relationship Id="rId12" Type="http://schemas.openxmlformats.org/officeDocument/2006/relationships/hyperlink" Target="mailto:ambrosia.wilson@ohioAGO.gov" TargetMode="External" /><Relationship Id="rId13" Type="http://schemas.openxmlformats.org/officeDocument/2006/relationships/hyperlink" Target="mailto:shaun.lyons@ohioAGO.gov" TargetMode="External" /><Relationship Id="rId14" Type="http://schemas.openxmlformats.org/officeDocument/2006/relationships/hyperlink" Target="mailto:kherrnstein@bricker.com" TargetMode="External" /><Relationship Id="rId15" Type="http://schemas.openxmlformats.org/officeDocument/2006/relationships/hyperlink" Target="mailto:drpoano@bakerlaw.com" TargetMode="External" /><Relationship Id="rId16" Type="http://schemas.openxmlformats.org/officeDocument/2006/relationships/hyperlink" Target="mailto:ahaque@bakerlaw.com" TargetMode="External" /><Relationship Id="rId17" Type="http://schemas.openxmlformats.org/officeDocument/2006/relationships/hyperlink" Target="mailto:eprouty@bakerlaw.com" TargetMode="External" /><Relationship Id="rId18" Type="http://schemas.openxmlformats.org/officeDocument/2006/relationships/hyperlink" Target="mailto:knordstrom@theOEC.org" TargetMode="External" /><Relationship Id="rId19" Type="http://schemas.openxmlformats.org/officeDocument/2006/relationships/hyperlink" Target="mailto:ctavenor@theOEC.org" TargetMode="External" /><Relationship Id="rId2" Type="http://schemas.openxmlformats.org/officeDocument/2006/relationships/settings" Target="settings.xml" /><Relationship Id="rId20" Type="http://schemas.openxmlformats.org/officeDocument/2006/relationships/hyperlink" Target="mailto:leonard.bazelak@daytonohio.gov" TargetMode="External" /><Relationship Id="rId21" Type="http://schemas.openxmlformats.org/officeDocument/2006/relationships/hyperlink" Target="mailto:bojko@carpenterlipps.com" TargetMode="External" /><Relationship Id="rId22" Type="http://schemas.openxmlformats.org/officeDocument/2006/relationships/hyperlink" Target="mailto:easley@carpenterlipps.com" TargetMode="External" /><Relationship Id="rId23" Type="http://schemas.openxmlformats.org/officeDocument/2006/relationships/hyperlink" Target="mailto:Gregory.price@puco.ohio.gov" TargetMode="External" /><Relationship Id="rId24" Type="http://schemas.openxmlformats.org/officeDocument/2006/relationships/hyperlink" Target="mailto:Patricia.schabo@puco.ohio.gov" TargetMode="External" /><Relationship Id="rId25" Type="http://schemas.openxmlformats.org/officeDocument/2006/relationships/hyperlink" Target="mailto:christopher.hollon@aes.com" TargetMode="External" /><Relationship Id="rId26" Type="http://schemas.openxmlformats.org/officeDocument/2006/relationships/hyperlink" Target="mailto:jsharkey@ficlaw.com" TargetMode="External" /><Relationship Id="rId27" Type="http://schemas.openxmlformats.org/officeDocument/2006/relationships/hyperlink" Target="mailto:djireland@ficlaw.com" TargetMode="External" /><Relationship Id="rId28" Type="http://schemas.openxmlformats.org/officeDocument/2006/relationships/hyperlink" Target="mailto:mwatt@ficlaw.com" TargetMode="External" /><Relationship Id="rId29" Type="http://schemas.openxmlformats.org/officeDocument/2006/relationships/hyperlink" Target="mailto:mkurtz@bkllawfirm.com" TargetMode="External" /><Relationship Id="rId3" Type="http://schemas.openxmlformats.org/officeDocument/2006/relationships/webSettings" Target="webSettings.xml" /><Relationship Id="rId30" Type="http://schemas.openxmlformats.org/officeDocument/2006/relationships/hyperlink" Target="mailto:kboehm@bkllawfirm.com" TargetMode="External" /><Relationship Id="rId31" Type="http://schemas.openxmlformats.org/officeDocument/2006/relationships/hyperlink" Target="mailto:jkylercohn@bkllawfirm.com" TargetMode="External" /><Relationship Id="rId32" Type="http://schemas.openxmlformats.org/officeDocument/2006/relationships/hyperlink" Target="mailto:stacie.cathcart@igs.com" TargetMode="External" /><Relationship Id="rId33" Type="http://schemas.openxmlformats.org/officeDocument/2006/relationships/hyperlink" Target="mailto:evan.betterton@igs.com" TargetMode="External" /><Relationship Id="rId34" Type="http://schemas.openxmlformats.org/officeDocument/2006/relationships/hyperlink" Target="mailto:michael.nugent@igs.com" TargetMode="External" /><Relationship Id="rId35" Type="http://schemas.openxmlformats.org/officeDocument/2006/relationships/hyperlink" Target="mailto:Joe.Oliker@igs.com" TargetMode="External" /><Relationship Id="rId36" Type="http://schemas.openxmlformats.org/officeDocument/2006/relationships/hyperlink" Target="mailto:stephanie.chmiel@thompsonhine.com" TargetMode="External" /><Relationship Id="rId37" Type="http://schemas.openxmlformats.org/officeDocument/2006/relationships/hyperlink" Target="mailto:mary.csarny@thompsonhine.com" TargetMode="External" /><Relationship Id="rId38" Type="http://schemas.openxmlformats.org/officeDocument/2006/relationships/hyperlink" Target="mailto:mpritchard@mcneeslaw.com" TargetMode="External" /><Relationship Id="rId39" Type="http://schemas.openxmlformats.org/officeDocument/2006/relationships/hyperlink" Target="mailto:bmckenney@mcneeslaw.com" TargetMode="External" /><Relationship Id="rId4" Type="http://schemas.openxmlformats.org/officeDocument/2006/relationships/fontTable" Target="fontTable.xml" /><Relationship Id="rId40" Type="http://schemas.openxmlformats.org/officeDocument/2006/relationships/hyperlink" Target="mailto:dromig@armadapower.com" TargetMode="External" /><Relationship Id="rId41" Type="http://schemas.openxmlformats.org/officeDocument/2006/relationships/hyperlink" Target="mailto:mjsettineri@vorys.com" TargetMode="External" /><Relationship Id="rId42" Type="http://schemas.openxmlformats.org/officeDocument/2006/relationships/hyperlink" Target="mailto:glpetrucci@vorys.com" TargetMode="External" /><Relationship Id="rId43" Type="http://schemas.openxmlformats.org/officeDocument/2006/relationships/hyperlink" Target="mailto:paul@carpenterlipps.com" TargetMode="External" /><Relationship Id="rId44" Type="http://schemas.openxmlformats.org/officeDocument/2006/relationships/hyperlink" Target="mailto:trent@hubaydougherty.com" TargetMode="External" /><Relationship Id="rId45" Type="http://schemas.openxmlformats.org/officeDocument/2006/relationships/hyperlink" Target="mailto:rdove@keglerbrown.com" TargetMode="External" /><Relationship Id="rId46" Type="http://schemas.openxmlformats.org/officeDocument/2006/relationships/hyperlink" Target="mailto:cgrundmann@spilmanlaw.com" TargetMode="External" /><Relationship Id="rId47" Type="http://schemas.openxmlformats.org/officeDocument/2006/relationships/hyperlink" Target="mailto:dwilliamson@spilmanlaw.com" TargetMode="External" /><Relationship Id="rId48" Type="http://schemas.openxmlformats.org/officeDocument/2006/relationships/header" Target="header1.xml" /><Relationship Id="rId49" Type="http://schemas.openxmlformats.org/officeDocument/2006/relationships/header" Target="header2.xml" /><Relationship Id="rId5" Type="http://schemas.openxmlformats.org/officeDocument/2006/relationships/customXml" Target="../customXml/item1.xml" /><Relationship Id="rId50" Type="http://schemas.openxmlformats.org/officeDocument/2006/relationships/footer" Target="footer3.xml" /><Relationship Id="rId51" Type="http://schemas.openxmlformats.org/officeDocument/2006/relationships/header" Target="header3.xml" /><Relationship Id="rId52" Type="http://schemas.openxmlformats.org/officeDocument/2006/relationships/footer" Target="footer4.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connor.semple@occ.ohio.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DEB7-EFFF-438A-A89C-FC9DD10F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2023-05-10T13:51:29Z</dcterms:created>
  <dcterms:modified xsi:type="dcterms:W3CDTF">2023-05-10T13:51:29Z</dcterms:modified>
</cp:coreProperties>
</file>