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FC1C" w14:textId="77777777"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14:paraId="71E573F8" w14:textId="77777777" w:rsidR="00D615CC" w:rsidRDefault="00D615CC">
      <w:pPr>
        <w:pStyle w:val="Heading1"/>
      </w:pPr>
      <w:r>
        <w:t>PART 29 - BILLING ADJUSTMENTS</w:t>
      </w:r>
    </w:p>
    <w:p w14:paraId="0A9EDAF9" w14:textId="77777777" w:rsidR="00D615CC" w:rsidRDefault="00D615CC">
      <w:pPr>
        <w:suppressAutoHyphens/>
        <w:ind w:left="360"/>
        <w:jc w:val="center"/>
        <w:rPr>
          <w:b/>
        </w:rPr>
      </w:pPr>
    </w:p>
    <w:p w14:paraId="0B4328E6" w14:textId="77777777" w:rsidR="00D615CC" w:rsidRDefault="00D615CC">
      <w:pPr>
        <w:suppressAutoHyphens/>
        <w:ind w:left="360"/>
        <w:jc w:val="center"/>
        <w:rPr>
          <w:b/>
        </w:rPr>
      </w:pPr>
    </w:p>
    <w:p w14:paraId="2A84BA00" w14:textId="77777777" w:rsidR="00D615CC" w:rsidRDefault="00D615CC">
      <w:pPr>
        <w:suppressAutoHyphens/>
        <w:ind w:left="360"/>
        <w:jc w:val="center"/>
        <w:rPr>
          <w:b/>
        </w:rPr>
      </w:pPr>
    </w:p>
    <w:p w14:paraId="40E05F8D" w14:textId="77777777"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14:paraId="7ABE7DFC" w14:textId="77777777" w:rsidR="00D615CC" w:rsidRDefault="00D615CC">
      <w:pPr>
        <w:suppressAutoHyphens/>
        <w:rPr>
          <w:b/>
        </w:rPr>
      </w:pPr>
    </w:p>
    <w:p w14:paraId="78F41D9C" w14:textId="77777777"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14:paraId="4820ED9F" w14:textId="77777777" w:rsidR="00D615CC" w:rsidRDefault="00D615CC">
      <w:pPr>
        <w:suppressAutoHyphens/>
        <w:rPr>
          <w:b/>
        </w:rPr>
      </w:pPr>
    </w:p>
    <w:p w14:paraId="3248C1A8" w14:textId="77777777"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14:paraId="2C3A1C27" w14:textId="77777777" w:rsidR="00D615CC" w:rsidRDefault="00D615CC">
      <w:pPr>
        <w:suppressAutoHyphens/>
        <w:ind w:left="720"/>
      </w:pPr>
    </w:p>
    <w:p w14:paraId="4C56E101" w14:textId="77777777"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14:paraId="3C02BF3A" w14:textId="77777777" w:rsidR="00D615CC" w:rsidRDefault="00D615CC">
      <w:pPr>
        <w:suppressAutoHyphens/>
        <w:ind w:left="720"/>
        <w:rPr>
          <w:b/>
        </w:rPr>
      </w:pPr>
    </w:p>
    <w:p w14:paraId="506EE212" w14:textId="77777777"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</w:t>
      </w:r>
      <w:proofErr w:type="gramStart"/>
      <w:r>
        <w:t>addition</w:t>
      </w:r>
      <w:proofErr w:type="gramEnd"/>
      <w:r>
        <w:t xml:space="preserve"> this mechanism will provide for reconciliation of all variances between projected and actual pass back or recoveries through this rider.  </w:t>
      </w:r>
    </w:p>
    <w:p w14:paraId="48E3A9C0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60F40317" w14:textId="77777777"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14:paraId="0C27691E" w14:textId="77777777" w:rsidR="00D615CC" w:rsidRDefault="00D615CC" w:rsidP="00231081">
      <w:pPr>
        <w:suppressAutoHyphens/>
        <w:jc w:val="both"/>
        <w:rPr>
          <w:b/>
        </w:rPr>
      </w:pPr>
    </w:p>
    <w:p w14:paraId="5EF85C9E" w14:textId="4C4B539B"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DC3BA4">
        <w:t>(</w:t>
      </w:r>
      <w:r w:rsidR="006B5073" w:rsidRPr="002A72F5">
        <w:t>$0.</w:t>
      </w:r>
      <w:r w:rsidR="00047BC8">
        <w:t>0363</w:t>
      </w:r>
      <w:r w:rsidR="00DC3BA4">
        <w:t>)</w:t>
      </w:r>
      <w:r w:rsidRPr="002A72F5">
        <w:t>/Mcf</w:t>
      </w:r>
    </w:p>
    <w:p w14:paraId="7906067E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7733FB98" w14:textId="77777777" w:rsidR="00D615CC" w:rsidRDefault="00D615CC" w:rsidP="00231081">
      <w:pPr>
        <w:suppressAutoHyphens/>
        <w:ind w:left="720"/>
        <w:jc w:val="both"/>
        <w:rPr>
          <w:b/>
        </w:rPr>
      </w:pPr>
    </w:p>
    <w:p w14:paraId="2047DEBF" w14:textId="77777777" w:rsidR="00D615CC" w:rsidRDefault="00D615CC" w:rsidP="00231081">
      <w:pPr>
        <w:suppressAutoHyphens/>
        <w:ind w:left="360"/>
        <w:jc w:val="both"/>
        <w:rPr>
          <w:b/>
        </w:rPr>
      </w:pPr>
    </w:p>
    <w:p w14:paraId="003907DA" w14:textId="77777777" w:rsidR="00D615CC" w:rsidRDefault="00D615CC">
      <w:pPr>
        <w:suppressAutoHyphens/>
        <w:ind w:left="360"/>
        <w:jc w:val="center"/>
        <w:rPr>
          <w:b/>
        </w:rPr>
      </w:pPr>
    </w:p>
    <w:p w14:paraId="26EEEE18" w14:textId="77777777" w:rsidR="00D615CC" w:rsidRDefault="00D615CC">
      <w:pPr>
        <w:suppressAutoHyphens/>
        <w:ind w:left="360"/>
        <w:jc w:val="center"/>
        <w:rPr>
          <w:b/>
        </w:rPr>
      </w:pPr>
    </w:p>
    <w:p w14:paraId="3730D587" w14:textId="77777777" w:rsidR="00D615CC" w:rsidRDefault="00D615CC">
      <w:pPr>
        <w:suppressAutoHyphens/>
        <w:ind w:left="360"/>
        <w:jc w:val="center"/>
        <w:rPr>
          <w:b/>
        </w:rPr>
      </w:pPr>
    </w:p>
    <w:p w14:paraId="677C76DB" w14:textId="77777777" w:rsidR="00D615CC" w:rsidRDefault="00D615CC">
      <w:pPr>
        <w:suppressAutoHyphens/>
        <w:ind w:left="360"/>
        <w:jc w:val="center"/>
        <w:rPr>
          <w:b/>
        </w:rPr>
      </w:pPr>
    </w:p>
    <w:p w14:paraId="2CE88F18" w14:textId="77777777" w:rsidR="00D615CC" w:rsidRDefault="00D615CC">
      <w:pPr>
        <w:suppressAutoHyphens/>
        <w:ind w:left="360"/>
        <w:jc w:val="center"/>
        <w:rPr>
          <w:b/>
        </w:rPr>
      </w:pPr>
    </w:p>
    <w:p w14:paraId="70C655E5" w14:textId="77777777" w:rsidR="00D615CC" w:rsidRDefault="00D615CC">
      <w:pPr>
        <w:suppressAutoHyphens/>
        <w:ind w:left="360"/>
        <w:jc w:val="center"/>
        <w:rPr>
          <w:b/>
        </w:rPr>
      </w:pPr>
    </w:p>
    <w:p w14:paraId="03DA2BA7" w14:textId="77777777" w:rsidR="00D615CC" w:rsidRDefault="00D615CC">
      <w:pPr>
        <w:suppressAutoHyphens/>
        <w:ind w:left="360"/>
        <w:jc w:val="center"/>
        <w:rPr>
          <w:b/>
        </w:rPr>
      </w:pPr>
    </w:p>
    <w:p w14:paraId="63C96A13" w14:textId="77777777" w:rsidR="00D615CC" w:rsidRDefault="00D615CC">
      <w:pPr>
        <w:suppressAutoHyphens/>
        <w:ind w:left="360"/>
        <w:jc w:val="center"/>
        <w:rPr>
          <w:b/>
        </w:rPr>
      </w:pPr>
    </w:p>
    <w:p w14:paraId="40F754E3" w14:textId="77777777" w:rsidR="00D615CC" w:rsidRDefault="00D615CC">
      <w:pPr>
        <w:suppressAutoHyphens/>
        <w:ind w:left="360"/>
        <w:jc w:val="center"/>
        <w:rPr>
          <w:b/>
        </w:rPr>
      </w:pPr>
    </w:p>
    <w:p w14:paraId="6B805736" w14:textId="77777777" w:rsidR="00D615CC" w:rsidRDefault="00D615CC">
      <w:pPr>
        <w:suppressAutoHyphens/>
        <w:ind w:left="360"/>
        <w:jc w:val="center"/>
        <w:rPr>
          <w:b/>
        </w:rPr>
      </w:pPr>
    </w:p>
    <w:p w14:paraId="359EAF26" w14:textId="77777777" w:rsidR="00D615CC" w:rsidRDefault="00D615CC">
      <w:pPr>
        <w:suppressAutoHyphens/>
        <w:ind w:left="360"/>
        <w:jc w:val="center"/>
        <w:rPr>
          <w:b/>
        </w:rPr>
      </w:pPr>
    </w:p>
    <w:p w14:paraId="23B21A73" w14:textId="77777777"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5572" w14:textId="77777777" w:rsidR="00F30ADF" w:rsidRDefault="00F30ADF">
      <w:r>
        <w:separator/>
      </w:r>
    </w:p>
  </w:endnote>
  <w:endnote w:type="continuationSeparator" w:id="0">
    <w:p w14:paraId="6424CA47" w14:textId="77777777"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F958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14:paraId="485F7810" w14:textId="77777777" w:rsidR="00D615CC" w:rsidRDefault="00D615CC">
    <w:pPr>
      <w:pStyle w:val="Footer"/>
      <w:rPr>
        <w:sz w:val="16"/>
      </w:rPr>
    </w:pPr>
  </w:p>
  <w:tbl>
    <w:tblPr>
      <w:tblW w:w="9468" w:type="dxa"/>
      <w:tblLayout w:type="fixed"/>
      <w:tblLook w:val="0000" w:firstRow="0" w:lastRow="0" w:firstColumn="0" w:lastColumn="0" w:noHBand="0" w:noVBand="0"/>
    </w:tblPr>
    <w:tblGrid>
      <w:gridCol w:w="4428"/>
      <w:gridCol w:w="5040"/>
    </w:tblGrid>
    <w:tr w:rsidR="00D615CC" w14:paraId="6AE53B64" w14:textId="77777777" w:rsidTr="00901806">
      <w:tc>
        <w:tcPr>
          <w:tcW w:w="4428" w:type="dxa"/>
        </w:tcPr>
        <w:p w14:paraId="118DE883" w14:textId="4A944E83" w:rsidR="00D615CC" w:rsidRDefault="006B5073" w:rsidP="008A4C4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047BC8">
            <w:rPr>
              <w:sz w:val="16"/>
            </w:rPr>
            <w:t>September</w:t>
          </w:r>
          <w:r>
            <w:rPr>
              <w:sz w:val="16"/>
            </w:rPr>
            <w:t xml:space="preserve"> 2</w:t>
          </w:r>
          <w:r w:rsidR="00045531">
            <w:rPr>
              <w:sz w:val="16"/>
            </w:rPr>
            <w:t>8</w:t>
          </w:r>
          <w:r w:rsidR="00563979">
            <w:rPr>
              <w:sz w:val="16"/>
            </w:rPr>
            <w:t>, 20</w:t>
          </w:r>
          <w:r w:rsidR="007764A1">
            <w:rPr>
              <w:sz w:val="16"/>
            </w:rPr>
            <w:t>2</w:t>
          </w:r>
          <w:r w:rsidR="00564036">
            <w:rPr>
              <w:sz w:val="16"/>
            </w:rPr>
            <w:t>2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14:paraId="0C1DB63F" w14:textId="0DC483D4" w:rsidR="00D615CC" w:rsidRDefault="00602E40" w:rsidP="00D06235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</w:t>
          </w:r>
          <w:r w:rsidR="00D615CC"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6B5073">
            <w:rPr>
              <w:sz w:val="16"/>
            </w:rPr>
            <w:t xml:space="preserve">   </w:t>
          </w:r>
          <w:r w:rsidR="00047BC8">
            <w:rPr>
              <w:sz w:val="16"/>
            </w:rPr>
            <w:t>September</w:t>
          </w:r>
          <w:r w:rsidR="006B5073">
            <w:rPr>
              <w:sz w:val="16"/>
            </w:rPr>
            <w:t xml:space="preserve"> </w:t>
          </w:r>
          <w:r w:rsidR="00045531">
            <w:rPr>
              <w:sz w:val="16"/>
            </w:rPr>
            <w:t>2</w:t>
          </w:r>
          <w:r w:rsidR="00047BC8">
            <w:rPr>
              <w:sz w:val="16"/>
            </w:rPr>
            <w:t>8</w:t>
          </w:r>
          <w:r w:rsidR="007764A1">
            <w:rPr>
              <w:sz w:val="16"/>
            </w:rPr>
            <w:t>, 202</w:t>
          </w:r>
          <w:r w:rsidR="004E586B">
            <w:rPr>
              <w:sz w:val="16"/>
            </w:rPr>
            <w:t>2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14:paraId="7724677B" w14:textId="77777777" w:rsidR="00D615CC" w:rsidRDefault="00D615CC">
    <w:pPr>
      <w:pStyle w:val="Footer"/>
      <w:rPr>
        <w:sz w:val="16"/>
      </w:rPr>
    </w:pPr>
  </w:p>
  <w:p w14:paraId="4AA2D923" w14:textId="77777777"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470EC81" w14:textId="77777777" w:rsidR="00D615CC" w:rsidRDefault="002F38FB">
    <w:pPr>
      <w:pStyle w:val="Footer"/>
      <w:jc w:val="center"/>
      <w:rPr>
        <w:szCs w:val="16"/>
      </w:rPr>
    </w:pPr>
    <w:r>
      <w:rPr>
        <w:sz w:val="16"/>
      </w:rPr>
      <w:t>Vincent</w:t>
    </w:r>
    <w:r w:rsidR="00C16076">
      <w:rPr>
        <w:sz w:val="16"/>
      </w:rPr>
      <w:t xml:space="preserve"> A. </w:t>
    </w:r>
    <w:r>
      <w:rPr>
        <w:sz w:val="16"/>
      </w:rPr>
      <w:t>Parisi</w:t>
    </w:r>
    <w:r w:rsidR="00C16076">
      <w:rPr>
        <w:sz w:val="16"/>
      </w:rPr>
      <w:t>,</w:t>
    </w:r>
    <w:r w:rsidR="00D615CC">
      <w:rPr>
        <w:sz w:val="16"/>
      </w:rPr>
      <w:t xml:space="preserve"> President</w:t>
    </w:r>
  </w:p>
  <w:p w14:paraId="5B2DF411" w14:textId="77777777"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78DC" w14:textId="77777777" w:rsidR="00F30ADF" w:rsidRDefault="00F30ADF">
      <w:r>
        <w:separator/>
      </w:r>
    </w:p>
  </w:footnote>
  <w:footnote w:type="continuationSeparator" w:id="0">
    <w:p w14:paraId="75E63178" w14:textId="77777777"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 w14:paraId="74D02613" w14:textId="77777777">
      <w:tc>
        <w:tcPr>
          <w:tcW w:w="4428" w:type="dxa"/>
        </w:tcPr>
        <w:p w14:paraId="6FEF73A2" w14:textId="77777777" w:rsidR="00D615CC" w:rsidRDefault="00D615CC">
          <w:pPr>
            <w:pStyle w:val="Header"/>
          </w:pPr>
        </w:p>
      </w:tc>
      <w:tc>
        <w:tcPr>
          <w:tcW w:w="4428" w:type="dxa"/>
        </w:tcPr>
        <w:p w14:paraId="5033F879" w14:textId="77777777" w:rsidR="00D615CC" w:rsidRDefault="00D615CC">
          <w:pPr>
            <w:pStyle w:val="Header"/>
          </w:pPr>
        </w:p>
      </w:tc>
    </w:tr>
  </w:tbl>
  <w:p w14:paraId="7051AB39" w14:textId="77777777"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2FE0" w14:textId="2719149D" w:rsidR="00D615CC" w:rsidRDefault="00516BE7" w:rsidP="00DB7CBA">
    <w:pPr>
      <w:pStyle w:val="Header"/>
      <w:rPr>
        <w:b/>
        <w:sz w:val="22"/>
      </w:rPr>
    </w:pPr>
    <w:r>
      <w:rPr>
        <w:b/>
        <w:sz w:val="22"/>
      </w:rPr>
      <w:tab/>
    </w:r>
    <w:r w:rsidR="00D615CC">
      <w:rPr>
        <w:b/>
        <w:sz w:val="22"/>
      </w:rPr>
      <w:t>P.U.C.O. No. 2</w:t>
    </w:r>
  </w:p>
  <w:p w14:paraId="638885EE" w14:textId="77777777" w:rsidR="00D615CC" w:rsidRDefault="00D615CC">
    <w:pPr>
      <w:pStyle w:val="Header"/>
      <w:jc w:val="center"/>
      <w:rPr>
        <w:b/>
        <w:sz w:val="22"/>
      </w:rPr>
    </w:pPr>
  </w:p>
  <w:p w14:paraId="0786E856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14:paraId="5D8BDBCB" w14:textId="6FA050FD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</w:t>
    </w:r>
    <w:r w:rsidR="00045531">
      <w:rPr>
        <w:b/>
        <w:sz w:val="22"/>
      </w:rPr>
      <w:t>S</w:t>
    </w:r>
    <w:r w:rsidR="00047BC8">
      <w:rPr>
        <w:b/>
        <w:sz w:val="22"/>
      </w:rPr>
      <w:t>eventh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14:paraId="597BEF8F" w14:textId="77777777"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02A2219C" w14:textId="50A8692C" w:rsidR="00D615CC" w:rsidRDefault="006B5073">
    <w:pPr>
      <w:pStyle w:val="Header"/>
      <w:jc w:val="right"/>
      <w:rPr>
        <w:b/>
        <w:sz w:val="22"/>
      </w:rPr>
    </w:pPr>
    <w:r>
      <w:rPr>
        <w:b/>
        <w:sz w:val="22"/>
      </w:rPr>
      <w:t>Fifty-</w:t>
    </w:r>
    <w:r w:rsidR="00047BC8">
      <w:rPr>
        <w:b/>
        <w:sz w:val="22"/>
      </w:rPr>
      <w:t>Sixth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 w14:paraId="40E42B00" w14:textId="77777777">
      <w:tc>
        <w:tcPr>
          <w:tcW w:w="5148" w:type="dxa"/>
        </w:tcPr>
        <w:p w14:paraId="20F01D4A" w14:textId="77777777"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14:paraId="36A05B87" w14:textId="77777777"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14:paraId="0C527A7E" w14:textId="77777777"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852960374">
    <w:abstractNumId w:val="6"/>
  </w:num>
  <w:num w:numId="2" w16cid:durableId="1255743101">
    <w:abstractNumId w:val="4"/>
  </w:num>
  <w:num w:numId="3" w16cid:durableId="760374133">
    <w:abstractNumId w:val="3"/>
  </w:num>
  <w:num w:numId="4" w16cid:durableId="1113939295">
    <w:abstractNumId w:val="1"/>
  </w:num>
  <w:num w:numId="5" w16cid:durableId="1266353427">
    <w:abstractNumId w:val="5"/>
  </w:num>
  <w:num w:numId="6" w16cid:durableId="626353463">
    <w:abstractNumId w:val="7"/>
  </w:num>
  <w:num w:numId="7" w16cid:durableId="69692965">
    <w:abstractNumId w:val="21"/>
  </w:num>
  <w:num w:numId="8" w16cid:durableId="1287783472">
    <w:abstractNumId w:val="26"/>
  </w:num>
  <w:num w:numId="9" w16cid:durableId="2061897912">
    <w:abstractNumId w:val="23"/>
  </w:num>
  <w:num w:numId="10" w16cid:durableId="1018388691">
    <w:abstractNumId w:val="2"/>
  </w:num>
  <w:num w:numId="11" w16cid:durableId="1877308941">
    <w:abstractNumId w:val="0"/>
  </w:num>
  <w:num w:numId="12" w16cid:durableId="901527196">
    <w:abstractNumId w:val="17"/>
  </w:num>
  <w:num w:numId="13" w16cid:durableId="842472806">
    <w:abstractNumId w:val="11"/>
  </w:num>
  <w:num w:numId="14" w16cid:durableId="752048007">
    <w:abstractNumId w:val="20"/>
  </w:num>
  <w:num w:numId="15" w16cid:durableId="302542926">
    <w:abstractNumId w:val="19"/>
  </w:num>
  <w:num w:numId="16" w16cid:durableId="1094206238">
    <w:abstractNumId w:val="8"/>
  </w:num>
  <w:num w:numId="17" w16cid:durableId="990017441">
    <w:abstractNumId w:val="15"/>
  </w:num>
  <w:num w:numId="18" w16cid:durableId="1277251522">
    <w:abstractNumId w:val="24"/>
  </w:num>
  <w:num w:numId="19" w16cid:durableId="973680822">
    <w:abstractNumId w:val="13"/>
  </w:num>
  <w:num w:numId="20" w16cid:durableId="353000574">
    <w:abstractNumId w:val="12"/>
  </w:num>
  <w:num w:numId="21" w16cid:durableId="1763838692">
    <w:abstractNumId w:val="25"/>
  </w:num>
  <w:num w:numId="22" w16cid:durableId="159197906">
    <w:abstractNumId w:val="14"/>
  </w:num>
  <w:num w:numId="23" w16cid:durableId="1926263544">
    <w:abstractNumId w:val="16"/>
  </w:num>
  <w:num w:numId="24" w16cid:durableId="864945736">
    <w:abstractNumId w:val="10"/>
  </w:num>
  <w:num w:numId="25" w16cid:durableId="692415731">
    <w:abstractNumId w:val="18"/>
  </w:num>
  <w:num w:numId="26" w16cid:durableId="834224890">
    <w:abstractNumId w:val="22"/>
  </w:num>
  <w:num w:numId="27" w16cid:durableId="2027559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EF"/>
    <w:rsid w:val="000176F3"/>
    <w:rsid w:val="00026031"/>
    <w:rsid w:val="00045531"/>
    <w:rsid w:val="00047BC8"/>
    <w:rsid w:val="00050E1A"/>
    <w:rsid w:val="000973E9"/>
    <w:rsid w:val="000A603E"/>
    <w:rsid w:val="000A7EE8"/>
    <w:rsid w:val="00130367"/>
    <w:rsid w:val="001639BF"/>
    <w:rsid w:val="00193F9D"/>
    <w:rsid w:val="00231081"/>
    <w:rsid w:val="00246D27"/>
    <w:rsid w:val="0029173D"/>
    <w:rsid w:val="002A72F5"/>
    <w:rsid w:val="002B08C4"/>
    <w:rsid w:val="002C006F"/>
    <w:rsid w:val="002E25EF"/>
    <w:rsid w:val="002F38FB"/>
    <w:rsid w:val="003332F1"/>
    <w:rsid w:val="00380E25"/>
    <w:rsid w:val="0039382F"/>
    <w:rsid w:val="003C0C53"/>
    <w:rsid w:val="003D4275"/>
    <w:rsid w:val="003F3F2F"/>
    <w:rsid w:val="00424811"/>
    <w:rsid w:val="004649A0"/>
    <w:rsid w:val="00465888"/>
    <w:rsid w:val="004758E6"/>
    <w:rsid w:val="0048292C"/>
    <w:rsid w:val="004E4E2B"/>
    <w:rsid w:val="004E586B"/>
    <w:rsid w:val="004F20F5"/>
    <w:rsid w:val="005009D3"/>
    <w:rsid w:val="00501F3B"/>
    <w:rsid w:val="00506367"/>
    <w:rsid w:val="00516BE7"/>
    <w:rsid w:val="00555C41"/>
    <w:rsid w:val="00563979"/>
    <w:rsid w:val="00564036"/>
    <w:rsid w:val="00602E40"/>
    <w:rsid w:val="006310F5"/>
    <w:rsid w:val="0063632C"/>
    <w:rsid w:val="006B5073"/>
    <w:rsid w:val="006E3840"/>
    <w:rsid w:val="0070488E"/>
    <w:rsid w:val="00766716"/>
    <w:rsid w:val="007764A1"/>
    <w:rsid w:val="007909E4"/>
    <w:rsid w:val="007E31CE"/>
    <w:rsid w:val="0081282A"/>
    <w:rsid w:val="00816BD1"/>
    <w:rsid w:val="00820DF2"/>
    <w:rsid w:val="00831BA8"/>
    <w:rsid w:val="00840BAE"/>
    <w:rsid w:val="00857617"/>
    <w:rsid w:val="008A4C4A"/>
    <w:rsid w:val="008C6D84"/>
    <w:rsid w:val="008D0037"/>
    <w:rsid w:val="008E10F8"/>
    <w:rsid w:val="00901806"/>
    <w:rsid w:val="00917195"/>
    <w:rsid w:val="009304B7"/>
    <w:rsid w:val="009A3F83"/>
    <w:rsid w:val="009A7DC2"/>
    <w:rsid w:val="009C6F2C"/>
    <w:rsid w:val="00A52847"/>
    <w:rsid w:val="00A75BCA"/>
    <w:rsid w:val="00A86EC0"/>
    <w:rsid w:val="00A93B8B"/>
    <w:rsid w:val="00A96F1D"/>
    <w:rsid w:val="00AF26DD"/>
    <w:rsid w:val="00B108A2"/>
    <w:rsid w:val="00B73A0C"/>
    <w:rsid w:val="00B83681"/>
    <w:rsid w:val="00BE73D4"/>
    <w:rsid w:val="00BF6D79"/>
    <w:rsid w:val="00C16076"/>
    <w:rsid w:val="00C40828"/>
    <w:rsid w:val="00C725F9"/>
    <w:rsid w:val="00CC1722"/>
    <w:rsid w:val="00CE0652"/>
    <w:rsid w:val="00D06235"/>
    <w:rsid w:val="00D150AB"/>
    <w:rsid w:val="00D157F7"/>
    <w:rsid w:val="00D16885"/>
    <w:rsid w:val="00D27A61"/>
    <w:rsid w:val="00D5407A"/>
    <w:rsid w:val="00D615CC"/>
    <w:rsid w:val="00DB15BC"/>
    <w:rsid w:val="00DB7CBA"/>
    <w:rsid w:val="00DC3BA4"/>
    <w:rsid w:val="00DC4FB5"/>
    <w:rsid w:val="00DE117B"/>
    <w:rsid w:val="00E051FA"/>
    <w:rsid w:val="00E0687F"/>
    <w:rsid w:val="00E51C9F"/>
    <w:rsid w:val="00E82A5C"/>
    <w:rsid w:val="00EB7C79"/>
    <w:rsid w:val="00EE6507"/>
    <w:rsid w:val="00F02024"/>
    <w:rsid w:val="00F13513"/>
    <w:rsid w:val="00F16382"/>
    <w:rsid w:val="00F30ADF"/>
    <w:rsid w:val="00F33B03"/>
    <w:rsid w:val="00F649DF"/>
    <w:rsid w:val="00F70126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9329"/>
    <o:shapelayout v:ext="edit">
      <o:idmap v:ext="edit" data="1"/>
    </o:shapelayout>
  </w:shapeDefaults>
  <w:decimalSymbol w:val="."/>
  <w:listSeparator w:val=","/>
  <w14:docId w14:val="4DE3745B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Helenthal \ Cynthia \ J</cp:lastModifiedBy>
  <cp:revision>7</cp:revision>
  <cp:lastPrinted>2012-06-27T19:56:00Z</cp:lastPrinted>
  <dcterms:created xsi:type="dcterms:W3CDTF">2022-06-28T11:32:00Z</dcterms:created>
  <dcterms:modified xsi:type="dcterms:W3CDTF">2022-09-27T16:11:00Z</dcterms:modified>
</cp:coreProperties>
</file>