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85" w:rsidRPr="002D54AC" w:rsidRDefault="001D2785" w:rsidP="001D2785">
      <w:pPr>
        <w:jc w:val="center"/>
        <w:rPr>
          <w:b/>
          <w:sz w:val="26"/>
          <w:szCs w:val="26"/>
        </w:rPr>
      </w:pPr>
      <w:r w:rsidRPr="002D54AC">
        <w:rPr>
          <w:b/>
          <w:sz w:val="26"/>
          <w:szCs w:val="26"/>
        </w:rPr>
        <w:t>BEFORE</w:t>
      </w:r>
    </w:p>
    <w:p w:rsidR="001D2785" w:rsidRPr="00246030" w:rsidRDefault="001D2785" w:rsidP="00246030">
      <w:pPr>
        <w:jc w:val="center"/>
        <w:rPr>
          <w:b/>
          <w:sz w:val="26"/>
          <w:szCs w:val="26"/>
        </w:rPr>
      </w:pPr>
      <w:r w:rsidRPr="002D54AC">
        <w:rPr>
          <w:b/>
          <w:sz w:val="26"/>
          <w:szCs w:val="26"/>
        </w:rPr>
        <w:t>THE PUBLIC UTILITIES COMMISSION OF OHIO</w:t>
      </w:r>
    </w:p>
    <w:p w:rsidR="001D2785" w:rsidRDefault="001D2785" w:rsidP="001D2785">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96"/>
        <w:gridCol w:w="289"/>
        <w:gridCol w:w="4475"/>
      </w:tblGrid>
      <w:tr w:rsidR="001D2785" w:rsidTr="00202C39">
        <w:tc>
          <w:tcPr>
            <w:tcW w:w="4698" w:type="dxa"/>
          </w:tcPr>
          <w:p w:rsidR="001D2785" w:rsidRDefault="001D2785" w:rsidP="00202C39">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the Application of</w:t>
            </w:r>
            <w:r w:rsidR="007E3C87">
              <w:rPr>
                <w:rFonts w:ascii="Times New Roman" w:hAnsi="Times New Roman"/>
                <w:sz w:val="26"/>
                <w:szCs w:val="26"/>
              </w:rPr>
              <w:t xml:space="preserve"> Duke Energy Ohio</w:t>
            </w:r>
            <w:r>
              <w:rPr>
                <w:rFonts w:ascii="Times New Roman" w:hAnsi="Times New Roman"/>
                <w:sz w:val="26"/>
                <w:szCs w:val="26"/>
              </w:rPr>
              <w:t xml:space="preserve"> for Authority to Establish a Stand</w:t>
            </w:r>
            <w:r w:rsidR="00E13E24">
              <w:rPr>
                <w:rFonts w:ascii="Times New Roman" w:hAnsi="Times New Roman"/>
                <w:sz w:val="26"/>
                <w:szCs w:val="26"/>
              </w:rPr>
              <w:t>ard Service Offer Pursuant to §</w:t>
            </w:r>
            <w:r>
              <w:rPr>
                <w:rFonts w:ascii="Times New Roman" w:hAnsi="Times New Roman"/>
                <w:sz w:val="26"/>
                <w:szCs w:val="26"/>
              </w:rPr>
              <w:t>4928.143, Revised Code, in the Fo</w:t>
            </w:r>
            <w:r w:rsidR="007E3C87">
              <w:rPr>
                <w:rFonts w:ascii="Times New Roman" w:hAnsi="Times New Roman"/>
                <w:sz w:val="26"/>
                <w:szCs w:val="26"/>
              </w:rPr>
              <w:t>rm of an Electric Security Plan, Accounting Modifications</w:t>
            </w:r>
            <w:r w:rsidR="00344E9E">
              <w:rPr>
                <w:rFonts w:ascii="Times New Roman" w:hAnsi="Times New Roman"/>
                <w:sz w:val="26"/>
                <w:szCs w:val="26"/>
              </w:rPr>
              <w:t>,</w:t>
            </w:r>
            <w:r w:rsidR="007E3C87">
              <w:rPr>
                <w:rFonts w:ascii="Times New Roman" w:hAnsi="Times New Roman"/>
                <w:sz w:val="26"/>
                <w:szCs w:val="26"/>
              </w:rPr>
              <w:t xml:space="preserve"> and Tariffs for Generation Service</w:t>
            </w:r>
            <w:r w:rsidR="00745BFB">
              <w:rPr>
                <w:rFonts w:ascii="Times New Roman" w:hAnsi="Times New Roman"/>
                <w:sz w:val="26"/>
                <w:szCs w:val="26"/>
              </w:rPr>
              <w:t>.</w:t>
            </w:r>
          </w:p>
          <w:p w:rsidR="001D2785" w:rsidRDefault="001D2785" w:rsidP="00202C39">
            <w:pPr>
              <w:pStyle w:val="Title"/>
              <w:tabs>
                <w:tab w:val="left" w:pos="5130"/>
                <w:tab w:val="left" w:pos="5670"/>
              </w:tabs>
              <w:jc w:val="left"/>
              <w:rPr>
                <w:rFonts w:ascii="Times New Roman" w:hAnsi="Times New Roman"/>
                <w:sz w:val="26"/>
                <w:szCs w:val="26"/>
              </w:rPr>
            </w:pPr>
          </w:p>
          <w:p w:rsidR="001D2785" w:rsidRPr="00221496" w:rsidRDefault="001D2785" w:rsidP="007E3C87">
            <w:pPr>
              <w:pStyle w:val="Title"/>
              <w:tabs>
                <w:tab w:val="left" w:pos="5130"/>
                <w:tab w:val="left" w:pos="5670"/>
              </w:tabs>
              <w:jc w:val="left"/>
              <w:rPr>
                <w:rFonts w:ascii="Times New Roman" w:hAnsi="Times New Roman"/>
                <w:sz w:val="26"/>
                <w:szCs w:val="26"/>
              </w:rPr>
            </w:pPr>
            <w:r>
              <w:rPr>
                <w:rFonts w:ascii="Times New Roman" w:hAnsi="Times New Roman"/>
                <w:sz w:val="26"/>
                <w:szCs w:val="26"/>
              </w:rPr>
              <w:t>In the Matter of the Application of</w:t>
            </w:r>
            <w:r w:rsidR="007E3C87">
              <w:rPr>
                <w:rFonts w:ascii="Times New Roman" w:hAnsi="Times New Roman"/>
                <w:sz w:val="26"/>
                <w:szCs w:val="26"/>
              </w:rPr>
              <w:t xml:space="preserve"> Duke </w:t>
            </w:r>
            <w:r w:rsidR="00344E9E">
              <w:rPr>
                <w:rFonts w:ascii="Times New Roman" w:hAnsi="Times New Roman"/>
                <w:sz w:val="26"/>
                <w:szCs w:val="26"/>
              </w:rPr>
              <w:t xml:space="preserve">Energy Ohio for Authority to Amend its Certified Supplier Tariff, </w:t>
            </w:r>
            <w:proofErr w:type="spellStart"/>
            <w:r w:rsidR="00344E9E">
              <w:rPr>
                <w:rFonts w:ascii="Times New Roman" w:hAnsi="Times New Roman"/>
                <w:sz w:val="26"/>
                <w:szCs w:val="26"/>
              </w:rPr>
              <w:t>P.U.C.O</w:t>
            </w:r>
            <w:proofErr w:type="spellEnd"/>
            <w:r w:rsidR="00344E9E">
              <w:rPr>
                <w:rFonts w:ascii="Times New Roman" w:hAnsi="Times New Roman"/>
                <w:sz w:val="26"/>
                <w:szCs w:val="26"/>
              </w:rPr>
              <w:t xml:space="preserve"> No. 20</w:t>
            </w:r>
            <w:r>
              <w:rPr>
                <w:rFonts w:ascii="Times New Roman" w:hAnsi="Times New Roman"/>
                <w:sz w:val="26"/>
                <w:szCs w:val="26"/>
              </w:rPr>
              <w:t>.</w:t>
            </w:r>
          </w:p>
        </w:tc>
        <w:tc>
          <w:tcPr>
            <w:tcW w:w="270" w:type="dxa"/>
          </w:tcPr>
          <w:p w:rsidR="001D2785" w:rsidRPr="00221496" w:rsidRDefault="001D2785" w:rsidP="00202C39">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D2785" w:rsidRPr="00221496" w:rsidRDefault="001D2785" w:rsidP="00202C39">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D2785" w:rsidRDefault="001D2785" w:rsidP="00202C39">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D2785" w:rsidRDefault="001D2785" w:rsidP="00202C39">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1D2785" w:rsidRDefault="001D2785" w:rsidP="00202C39">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1D2785" w:rsidRDefault="00246030" w:rsidP="00202C39">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246030" w:rsidRDefault="00246030" w:rsidP="00202C39">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1D2785" w:rsidRDefault="001D2785" w:rsidP="00246030">
            <w:pPr>
              <w:pStyle w:val="Title"/>
              <w:tabs>
                <w:tab w:val="left" w:pos="5130"/>
                <w:tab w:val="left" w:pos="5670"/>
              </w:tabs>
              <w:jc w:val="left"/>
              <w:rPr>
                <w:rFonts w:ascii="Times New Roman" w:hAnsi="Times New Roman"/>
                <w:sz w:val="26"/>
                <w:szCs w:val="26"/>
              </w:rPr>
            </w:pPr>
          </w:p>
          <w:p w:rsidR="001D2785" w:rsidRDefault="001D2785" w:rsidP="00202C39">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246030" w:rsidRDefault="00246030" w:rsidP="00202C39">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246030" w:rsidRDefault="00246030" w:rsidP="00202C39">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246030" w:rsidRPr="00221496" w:rsidRDefault="00246030" w:rsidP="00202C39">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1D2785" w:rsidRDefault="001D2785" w:rsidP="00202C39">
            <w:pPr>
              <w:pStyle w:val="Title"/>
              <w:tabs>
                <w:tab w:val="left" w:pos="1142"/>
                <w:tab w:val="left" w:pos="5130"/>
                <w:tab w:val="left" w:pos="5670"/>
              </w:tabs>
              <w:jc w:val="left"/>
              <w:rPr>
                <w:rFonts w:ascii="Times New Roman" w:hAnsi="Times New Roman"/>
                <w:sz w:val="26"/>
                <w:szCs w:val="26"/>
              </w:rPr>
            </w:pPr>
          </w:p>
          <w:p w:rsidR="001D2785" w:rsidRDefault="00071CF0" w:rsidP="00202C39">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 xml:space="preserve">Case No. </w:t>
            </w:r>
            <w:r w:rsidR="007E3C87">
              <w:rPr>
                <w:rFonts w:ascii="Times New Roman" w:hAnsi="Times New Roman"/>
                <w:sz w:val="26"/>
                <w:szCs w:val="26"/>
              </w:rPr>
              <w:t>14-841</w:t>
            </w:r>
            <w:r w:rsidR="001D2785">
              <w:rPr>
                <w:rFonts w:ascii="Times New Roman" w:hAnsi="Times New Roman"/>
                <w:sz w:val="26"/>
                <w:szCs w:val="26"/>
              </w:rPr>
              <w:t>-EL-SSO</w:t>
            </w:r>
          </w:p>
          <w:p w:rsidR="001D2785" w:rsidRDefault="001D2785" w:rsidP="00202C39">
            <w:pPr>
              <w:pStyle w:val="Title"/>
              <w:tabs>
                <w:tab w:val="left" w:pos="1142"/>
                <w:tab w:val="left" w:pos="5130"/>
                <w:tab w:val="left" w:pos="5670"/>
              </w:tabs>
              <w:jc w:val="left"/>
              <w:rPr>
                <w:rFonts w:ascii="Times New Roman" w:hAnsi="Times New Roman"/>
                <w:sz w:val="26"/>
                <w:szCs w:val="26"/>
              </w:rPr>
            </w:pPr>
          </w:p>
          <w:p w:rsidR="001D2785" w:rsidRDefault="001D2785" w:rsidP="00202C39">
            <w:pPr>
              <w:pStyle w:val="Title"/>
              <w:tabs>
                <w:tab w:val="left" w:pos="1142"/>
                <w:tab w:val="left" w:pos="5130"/>
                <w:tab w:val="left" w:pos="5670"/>
              </w:tabs>
              <w:jc w:val="left"/>
              <w:rPr>
                <w:rFonts w:ascii="Times New Roman" w:hAnsi="Times New Roman"/>
                <w:sz w:val="26"/>
                <w:szCs w:val="26"/>
              </w:rPr>
            </w:pPr>
          </w:p>
          <w:p w:rsidR="001D2785" w:rsidRDefault="001D2785" w:rsidP="00202C39">
            <w:pPr>
              <w:pStyle w:val="Title"/>
              <w:tabs>
                <w:tab w:val="left" w:pos="1142"/>
                <w:tab w:val="left" w:pos="5130"/>
                <w:tab w:val="left" w:pos="5670"/>
              </w:tabs>
              <w:jc w:val="left"/>
              <w:rPr>
                <w:rFonts w:ascii="Times New Roman" w:hAnsi="Times New Roman"/>
                <w:sz w:val="26"/>
                <w:szCs w:val="26"/>
              </w:rPr>
            </w:pPr>
          </w:p>
          <w:p w:rsidR="001D2785" w:rsidRDefault="001D2785" w:rsidP="00202C39">
            <w:pPr>
              <w:pStyle w:val="Title"/>
              <w:tabs>
                <w:tab w:val="left" w:pos="1142"/>
                <w:tab w:val="left" w:pos="5130"/>
                <w:tab w:val="left" w:pos="5670"/>
              </w:tabs>
              <w:jc w:val="left"/>
              <w:rPr>
                <w:rFonts w:ascii="Times New Roman" w:hAnsi="Times New Roman"/>
                <w:sz w:val="26"/>
                <w:szCs w:val="26"/>
              </w:rPr>
            </w:pPr>
          </w:p>
          <w:p w:rsidR="001D2785" w:rsidRDefault="001D2785" w:rsidP="00202C39">
            <w:pPr>
              <w:pStyle w:val="Title"/>
              <w:tabs>
                <w:tab w:val="left" w:pos="1142"/>
                <w:tab w:val="left" w:pos="5130"/>
                <w:tab w:val="left" w:pos="5670"/>
              </w:tabs>
              <w:jc w:val="left"/>
              <w:rPr>
                <w:rFonts w:ascii="Times New Roman" w:hAnsi="Times New Roman"/>
                <w:sz w:val="26"/>
                <w:szCs w:val="26"/>
              </w:rPr>
            </w:pPr>
          </w:p>
          <w:p w:rsidR="00246030" w:rsidRDefault="00246030" w:rsidP="00202C39">
            <w:pPr>
              <w:pStyle w:val="Title"/>
              <w:tabs>
                <w:tab w:val="left" w:pos="1142"/>
                <w:tab w:val="left" w:pos="5130"/>
                <w:tab w:val="left" w:pos="5670"/>
              </w:tabs>
              <w:jc w:val="left"/>
              <w:rPr>
                <w:rFonts w:ascii="Times New Roman" w:hAnsi="Times New Roman"/>
                <w:sz w:val="26"/>
                <w:szCs w:val="26"/>
              </w:rPr>
            </w:pPr>
          </w:p>
          <w:p w:rsidR="00246030" w:rsidRDefault="00246030" w:rsidP="00202C39">
            <w:pPr>
              <w:pStyle w:val="Title"/>
              <w:tabs>
                <w:tab w:val="left" w:pos="1142"/>
                <w:tab w:val="left" w:pos="5130"/>
                <w:tab w:val="left" w:pos="5670"/>
              </w:tabs>
              <w:jc w:val="left"/>
              <w:rPr>
                <w:rFonts w:ascii="Times New Roman" w:hAnsi="Times New Roman"/>
                <w:sz w:val="26"/>
                <w:szCs w:val="26"/>
              </w:rPr>
            </w:pPr>
          </w:p>
          <w:p w:rsidR="001D2785" w:rsidRPr="00221496" w:rsidRDefault="007E3C87" w:rsidP="00202C39">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Case No. 14-842-EL-ATA</w:t>
            </w:r>
          </w:p>
        </w:tc>
      </w:tr>
    </w:tbl>
    <w:p w:rsidR="001D2785" w:rsidRDefault="001D2785" w:rsidP="001D2785">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1D2785" w:rsidRPr="00E10679" w:rsidRDefault="001D2785" w:rsidP="001D2785">
      <w:pPr>
        <w:pStyle w:val="Title"/>
        <w:tabs>
          <w:tab w:val="left" w:pos="9360"/>
        </w:tabs>
        <w:rPr>
          <w:rFonts w:ascii="Times New Roman" w:hAnsi="Times New Roman"/>
          <w:b/>
          <w:sz w:val="32"/>
          <w:szCs w:val="32"/>
        </w:rPr>
      </w:pPr>
      <w:r>
        <w:rPr>
          <w:rFonts w:ascii="Times New Roman" w:hAnsi="Times New Roman"/>
          <w:b/>
          <w:sz w:val="32"/>
          <w:szCs w:val="32"/>
        </w:rPr>
        <w:t>POST-HEARING BRIEF</w:t>
      </w:r>
    </w:p>
    <w:p w:rsidR="001D2785" w:rsidRPr="00D03D20" w:rsidRDefault="001D2785" w:rsidP="001D2785">
      <w:pPr>
        <w:jc w:val="center"/>
        <w:rPr>
          <w:sz w:val="26"/>
          <w:szCs w:val="26"/>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D03D20">
        <w:rPr>
          <w:sz w:val="26"/>
          <w:szCs w:val="26"/>
        </w:rPr>
        <w:t>SUBMITTED ON BEHALF OF THE STAFF OF</w:t>
      </w:r>
      <w:bookmarkEnd w:id="0"/>
      <w:bookmarkEnd w:id="1"/>
      <w:bookmarkEnd w:id="2"/>
      <w:bookmarkEnd w:id="3"/>
      <w:bookmarkEnd w:id="4"/>
      <w:bookmarkEnd w:id="5"/>
      <w:bookmarkEnd w:id="6"/>
    </w:p>
    <w:p w:rsidR="001D2785" w:rsidRPr="00D03D20" w:rsidRDefault="001D2785" w:rsidP="001D2785">
      <w:pPr>
        <w:jc w:val="center"/>
        <w:rPr>
          <w:sz w:val="26"/>
          <w:szCs w:val="26"/>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D03D20">
        <w:rPr>
          <w:sz w:val="26"/>
          <w:szCs w:val="26"/>
        </w:rPr>
        <w:t>THE PUBLIC UTILITIES COMMISSION OF OHIO</w:t>
      </w:r>
      <w:bookmarkEnd w:id="7"/>
      <w:bookmarkEnd w:id="8"/>
      <w:bookmarkEnd w:id="9"/>
      <w:bookmarkEnd w:id="10"/>
      <w:bookmarkEnd w:id="11"/>
      <w:bookmarkEnd w:id="12"/>
      <w:bookmarkEnd w:id="13"/>
    </w:p>
    <w:p w:rsidR="001D2785" w:rsidRDefault="001D2785" w:rsidP="001D2785">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1D2785" w:rsidRPr="002D54AC" w:rsidRDefault="001D2785" w:rsidP="001D2785">
      <w:pPr>
        <w:pStyle w:val="PlainText"/>
        <w:jc w:val="center"/>
        <w:outlineLvl w:val="0"/>
        <w:rPr>
          <w:rFonts w:ascii="Times New Roman" w:hAnsi="Times New Roman"/>
          <w:sz w:val="26"/>
          <w:szCs w:val="26"/>
        </w:rPr>
      </w:pPr>
    </w:p>
    <w:p w:rsidR="001D2785" w:rsidRDefault="001D2785" w:rsidP="001D2785">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Michael DeWine</w:t>
      </w:r>
    </w:p>
    <w:p w:rsidR="001D2785" w:rsidRDefault="001D2785" w:rsidP="001D2785">
      <w:pPr>
        <w:pStyle w:val="Title"/>
        <w:tabs>
          <w:tab w:val="left" w:pos="4320"/>
        </w:tabs>
        <w:jc w:val="left"/>
        <w:rPr>
          <w:rFonts w:ascii="Times New Roman" w:hAnsi="Times New Roman"/>
          <w:sz w:val="26"/>
          <w:szCs w:val="26"/>
        </w:rPr>
      </w:pPr>
      <w:r>
        <w:rPr>
          <w:rFonts w:ascii="Times New Roman" w:hAnsi="Times New Roman"/>
          <w:sz w:val="26"/>
          <w:szCs w:val="26"/>
        </w:rPr>
        <w:tab/>
        <w:t>Ohio Attorney General</w:t>
      </w:r>
    </w:p>
    <w:p w:rsidR="001D2785" w:rsidRDefault="001D2785" w:rsidP="001D2785">
      <w:pPr>
        <w:pStyle w:val="Title"/>
        <w:tabs>
          <w:tab w:val="left" w:pos="4320"/>
        </w:tabs>
        <w:jc w:val="left"/>
        <w:rPr>
          <w:rFonts w:ascii="Times New Roman" w:hAnsi="Times New Roman"/>
          <w:sz w:val="26"/>
          <w:szCs w:val="26"/>
        </w:rPr>
      </w:pPr>
    </w:p>
    <w:p w:rsidR="001D2785" w:rsidRDefault="001D2785" w:rsidP="001D2785">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William L. Wright</w:t>
      </w:r>
    </w:p>
    <w:p w:rsidR="001D2785" w:rsidRDefault="001D2785" w:rsidP="001D2785">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1D2785" w:rsidRDefault="001D2785" w:rsidP="001D2785">
      <w:pPr>
        <w:pStyle w:val="Title"/>
        <w:tabs>
          <w:tab w:val="left" w:pos="4320"/>
        </w:tabs>
        <w:jc w:val="left"/>
        <w:rPr>
          <w:rFonts w:ascii="Times New Roman" w:hAnsi="Times New Roman"/>
          <w:sz w:val="26"/>
          <w:szCs w:val="26"/>
        </w:rPr>
      </w:pPr>
    </w:p>
    <w:p w:rsidR="001D2785" w:rsidRDefault="001D2785" w:rsidP="001D2785">
      <w:pPr>
        <w:pStyle w:val="Title"/>
        <w:tabs>
          <w:tab w:val="left" w:pos="4320"/>
        </w:tabs>
        <w:jc w:val="left"/>
        <w:rPr>
          <w:rFonts w:ascii="Times New Roman" w:hAnsi="Times New Roman"/>
          <w:b/>
          <w:sz w:val="26"/>
          <w:szCs w:val="26"/>
        </w:rPr>
      </w:pPr>
      <w:r>
        <w:rPr>
          <w:rFonts w:ascii="Times New Roman" w:hAnsi="Times New Roman"/>
          <w:sz w:val="26"/>
          <w:szCs w:val="26"/>
        </w:rPr>
        <w:tab/>
      </w:r>
      <w:r w:rsidR="007E3C87">
        <w:rPr>
          <w:rFonts w:ascii="Times New Roman" w:hAnsi="Times New Roman"/>
          <w:b/>
          <w:sz w:val="26"/>
          <w:szCs w:val="26"/>
        </w:rPr>
        <w:t>Steven L. Beeler</w:t>
      </w:r>
      <w:r>
        <w:rPr>
          <w:rFonts w:ascii="Times New Roman" w:hAnsi="Times New Roman"/>
          <w:b/>
          <w:sz w:val="26"/>
          <w:szCs w:val="26"/>
        </w:rPr>
        <w:t xml:space="preserve"> </w:t>
      </w:r>
    </w:p>
    <w:p w:rsidR="001D2785" w:rsidRDefault="001D2785" w:rsidP="001D2785">
      <w:pPr>
        <w:pStyle w:val="Title"/>
        <w:tabs>
          <w:tab w:val="left" w:pos="4320"/>
        </w:tabs>
        <w:jc w:val="left"/>
        <w:rPr>
          <w:rFonts w:ascii="Times New Roman" w:hAnsi="Times New Roman"/>
          <w:b/>
          <w:sz w:val="26"/>
          <w:szCs w:val="26"/>
        </w:rPr>
      </w:pPr>
      <w:r>
        <w:rPr>
          <w:rFonts w:ascii="Times New Roman" w:hAnsi="Times New Roman"/>
          <w:b/>
          <w:sz w:val="26"/>
          <w:szCs w:val="26"/>
        </w:rPr>
        <w:tab/>
      </w:r>
      <w:r w:rsidR="007E3C87">
        <w:rPr>
          <w:rFonts w:ascii="Times New Roman" w:hAnsi="Times New Roman"/>
          <w:b/>
          <w:sz w:val="26"/>
          <w:szCs w:val="26"/>
        </w:rPr>
        <w:t>Thomas G. Lindgren</w:t>
      </w:r>
      <w:r>
        <w:rPr>
          <w:rFonts w:ascii="Times New Roman" w:hAnsi="Times New Roman"/>
          <w:b/>
          <w:sz w:val="26"/>
          <w:szCs w:val="26"/>
        </w:rPr>
        <w:t xml:space="preserve"> </w:t>
      </w:r>
    </w:p>
    <w:p w:rsidR="001D2785" w:rsidRDefault="007E3C87" w:rsidP="001D2785">
      <w:pPr>
        <w:pStyle w:val="Title"/>
        <w:tabs>
          <w:tab w:val="left" w:pos="4320"/>
        </w:tabs>
        <w:jc w:val="left"/>
        <w:rPr>
          <w:rFonts w:ascii="Times New Roman" w:hAnsi="Times New Roman"/>
          <w:b/>
          <w:sz w:val="26"/>
          <w:szCs w:val="26"/>
        </w:rPr>
      </w:pPr>
      <w:r>
        <w:rPr>
          <w:rFonts w:ascii="Times New Roman" w:hAnsi="Times New Roman"/>
          <w:b/>
          <w:sz w:val="26"/>
          <w:szCs w:val="26"/>
        </w:rPr>
        <w:tab/>
        <w:t xml:space="preserve">Ryan P. O’Rourke </w:t>
      </w:r>
    </w:p>
    <w:p w:rsidR="001D2785" w:rsidRDefault="001D2785" w:rsidP="001D2785">
      <w:pPr>
        <w:pStyle w:val="Title"/>
        <w:tabs>
          <w:tab w:val="left" w:pos="4320"/>
        </w:tabs>
        <w:jc w:val="left"/>
        <w:rPr>
          <w:rFonts w:ascii="Times New Roman" w:hAnsi="Times New Roman"/>
          <w:sz w:val="26"/>
          <w:szCs w:val="26"/>
        </w:rPr>
      </w:pPr>
      <w:r>
        <w:rPr>
          <w:rFonts w:ascii="Times New Roman" w:hAnsi="Times New Roman"/>
          <w:sz w:val="26"/>
          <w:szCs w:val="26"/>
        </w:rPr>
        <w:tab/>
        <w:t>Assistant Attorneys General</w:t>
      </w:r>
    </w:p>
    <w:p w:rsidR="001D2785" w:rsidRDefault="001D2785" w:rsidP="001D2785">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rsidR="001D2785" w:rsidRDefault="001D2785" w:rsidP="001D2785">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1D2785" w:rsidRDefault="001D2785" w:rsidP="001D2785">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1D2785" w:rsidRDefault="001D2785" w:rsidP="001D2785">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1D2785" w:rsidRDefault="001D2785" w:rsidP="001D2785">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1D2785" w:rsidRDefault="001D2785" w:rsidP="001D2785">
      <w:pPr>
        <w:pStyle w:val="Title"/>
        <w:tabs>
          <w:tab w:val="left" w:pos="4320"/>
        </w:tabs>
        <w:jc w:val="left"/>
        <w:rPr>
          <w:rStyle w:val="Hyperlink"/>
          <w:rFonts w:ascii="Times New Roman" w:hAnsi="Times New Roman"/>
          <w:sz w:val="26"/>
          <w:szCs w:val="26"/>
        </w:rPr>
      </w:pPr>
      <w:r>
        <w:rPr>
          <w:rFonts w:ascii="Times New Roman" w:hAnsi="Times New Roman"/>
          <w:sz w:val="26"/>
          <w:szCs w:val="26"/>
        </w:rPr>
        <w:tab/>
      </w:r>
      <w:hyperlink r:id="rId8" w:history="1">
        <w:proofErr w:type="spellStart"/>
        <w:r w:rsidR="007E3C87">
          <w:rPr>
            <w:rStyle w:val="Hyperlink"/>
            <w:rFonts w:ascii="Times New Roman" w:hAnsi="Times New Roman"/>
            <w:sz w:val="26"/>
            <w:szCs w:val="26"/>
          </w:rPr>
          <w:t>steven.beeler</w:t>
        </w:r>
        <w:proofErr w:type="spellEnd"/>
        <w:r w:rsidR="007E3C87" w:rsidRPr="00654A95">
          <w:rPr>
            <w:rStyle w:val="Hyperlink"/>
            <w:rFonts w:ascii="Times New Roman" w:hAnsi="Times New Roman"/>
            <w:sz w:val="26"/>
            <w:szCs w:val="26"/>
          </w:rPr>
          <w:t xml:space="preserve"> </w:t>
        </w:r>
        <w:r w:rsidRPr="00654A95">
          <w:rPr>
            <w:rStyle w:val="Hyperlink"/>
            <w:rFonts w:ascii="Times New Roman" w:hAnsi="Times New Roman"/>
            <w:sz w:val="26"/>
            <w:szCs w:val="26"/>
          </w:rPr>
          <w:t>@puc.state.oh.us</w:t>
        </w:r>
      </w:hyperlink>
    </w:p>
    <w:p w:rsidR="001D2785" w:rsidRDefault="001D2785" w:rsidP="001D2785">
      <w:pPr>
        <w:pStyle w:val="Title"/>
        <w:tabs>
          <w:tab w:val="left" w:pos="4320"/>
        </w:tabs>
        <w:jc w:val="left"/>
        <w:rPr>
          <w:rStyle w:val="Hyperlink"/>
          <w:rFonts w:ascii="Times New Roman" w:hAnsi="Times New Roman"/>
          <w:sz w:val="26"/>
          <w:szCs w:val="26"/>
          <w:u w:val="none"/>
        </w:rPr>
      </w:pPr>
      <w:r>
        <w:rPr>
          <w:rStyle w:val="Hyperlink"/>
          <w:rFonts w:ascii="Times New Roman" w:hAnsi="Times New Roman"/>
          <w:sz w:val="26"/>
          <w:szCs w:val="26"/>
          <w:u w:val="none"/>
        </w:rPr>
        <w:tab/>
      </w:r>
      <w:hyperlink r:id="rId9" w:history="1">
        <w:r w:rsidR="007E3C87" w:rsidRPr="002552DD">
          <w:rPr>
            <w:rStyle w:val="Hyperlink"/>
            <w:rFonts w:ascii="Times New Roman" w:hAnsi="Times New Roman"/>
            <w:sz w:val="26"/>
            <w:szCs w:val="26"/>
          </w:rPr>
          <w:t>thomas.lindgren@puc.state.oh.us</w:t>
        </w:r>
      </w:hyperlink>
    </w:p>
    <w:p w:rsidR="001D2785" w:rsidRDefault="001D2785" w:rsidP="001D2785">
      <w:pPr>
        <w:pStyle w:val="Title"/>
        <w:tabs>
          <w:tab w:val="left" w:pos="4320"/>
        </w:tabs>
        <w:jc w:val="left"/>
        <w:rPr>
          <w:rStyle w:val="Hyperlink"/>
          <w:rFonts w:ascii="Times New Roman" w:hAnsi="Times New Roman"/>
          <w:sz w:val="26"/>
          <w:szCs w:val="26"/>
          <w:u w:val="none"/>
        </w:rPr>
      </w:pPr>
      <w:r>
        <w:rPr>
          <w:rStyle w:val="Hyperlink"/>
          <w:rFonts w:ascii="Times New Roman" w:hAnsi="Times New Roman"/>
          <w:sz w:val="26"/>
          <w:szCs w:val="26"/>
          <w:u w:val="none"/>
        </w:rPr>
        <w:tab/>
      </w:r>
      <w:hyperlink r:id="rId10" w:history="1">
        <w:r w:rsidR="007E3C87">
          <w:rPr>
            <w:rStyle w:val="Hyperlink"/>
            <w:rFonts w:ascii="Times New Roman" w:hAnsi="Times New Roman"/>
            <w:sz w:val="26"/>
            <w:szCs w:val="26"/>
          </w:rPr>
          <w:t>ryan.o’rourke</w:t>
        </w:r>
        <w:r w:rsidRPr="00654A95">
          <w:rPr>
            <w:rStyle w:val="Hyperlink"/>
            <w:rFonts w:ascii="Times New Roman" w:hAnsi="Times New Roman"/>
            <w:sz w:val="26"/>
            <w:szCs w:val="26"/>
          </w:rPr>
          <w:t>@puc.state.oh.us</w:t>
        </w:r>
      </w:hyperlink>
    </w:p>
    <w:p w:rsidR="001D2785" w:rsidRPr="00D03D20" w:rsidRDefault="001D2785" w:rsidP="001D2785">
      <w:pPr>
        <w:pStyle w:val="Title"/>
        <w:tabs>
          <w:tab w:val="left" w:pos="4320"/>
        </w:tabs>
        <w:jc w:val="left"/>
        <w:rPr>
          <w:rFonts w:ascii="Times New Roman" w:hAnsi="Times New Roman"/>
          <w:sz w:val="26"/>
          <w:szCs w:val="26"/>
        </w:rPr>
      </w:pPr>
    </w:p>
    <w:p w:rsidR="001D2785" w:rsidRPr="002D54AC" w:rsidRDefault="00E13E24" w:rsidP="001D2785">
      <w:pPr>
        <w:pStyle w:val="PlainText"/>
        <w:rPr>
          <w:rFonts w:ascii="Times New Roman" w:hAnsi="Times New Roman"/>
          <w:sz w:val="26"/>
          <w:szCs w:val="26"/>
        </w:rPr>
      </w:pPr>
      <w:r>
        <w:rPr>
          <w:rFonts w:ascii="Times New Roman" w:hAnsi="Times New Roman"/>
          <w:sz w:val="26"/>
          <w:szCs w:val="26"/>
        </w:rPr>
        <w:t>December 15</w:t>
      </w:r>
      <w:r w:rsidR="001D2785">
        <w:rPr>
          <w:rFonts w:ascii="Times New Roman" w:hAnsi="Times New Roman"/>
          <w:sz w:val="26"/>
          <w:szCs w:val="26"/>
        </w:rPr>
        <w:t>, 2014</w:t>
      </w:r>
    </w:p>
    <w:p w:rsidR="001D2785" w:rsidRDefault="001D2785" w:rsidP="001D2785">
      <w:pPr>
        <w:jc w:val="center"/>
        <w:rPr>
          <w:b/>
          <w:sz w:val="26"/>
          <w:szCs w:val="26"/>
        </w:rPr>
        <w:sectPr w:rsidR="001D2785" w:rsidSect="003B12DD">
          <w:headerReference w:type="default" r:id="rId11"/>
          <w:footerReference w:type="default" r:id="rId12"/>
          <w:pgSz w:w="12240" w:h="15840" w:code="1"/>
          <w:pgMar w:top="1440" w:right="1440" w:bottom="1440" w:left="1440" w:header="720" w:footer="720" w:gutter="0"/>
          <w:pgNumType w:fmt="lowerRoman" w:start="1"/>
          <w:cols w:space="720"/>
          <w:titlePg/>
          <w:docGrid w:linePitch="360"/>
        </w:sectPr>
      </w:pPr>
    </w:p>
    <w:p w:rsidR="00797850" w:rsidRDefault="00797850">
      <w:pPr>
        <w:pStyle w:val="TOC1"/>
        <w:rPr>
          <w:rFonts w:asciiTheme="minorHAnsi" w:eastAsiaTheme="minorEastAsia" w:hAnsiTheme="minorHAnsi" w:cstheme="minorBidi"/>
          <w:noProof/>
          <w:sz w:val="22"/>
          <w:szCs w:val="22"/>
        </w:rPr>
      </w:pPr>
      <w:r>
        <w:rPr>
          <w:b/>
          <w:i/>
          <w:sz w:val="28"/>
          <w:szCs w:val="28"/>
          <w:u w:val="single"/>
        </w:rPr>
        <w:lastRenderedPageBreak/>
        <w:fldChar w:fldCharType="begin"/>
      </w:r>
      <w:r>
        <w:rPr>
          <w:b/>
          <w:i/>
          <w:sz w:val="28"/>
          <w:szCs w:val="28"/>
          <w:u w:val="single"/>
        </w:rPr>
        <w:instrText xml:space="preserve"> TOC \o "1-5" \u </w:instrText>
      </w:r>
      <w:r>
        <w:rPr>
          <w:b/>
          <w:i/>
          <w:sz w:val="28"/>
          <w:szCs w:val="28"/>
          <w:u w:val="single"/>
        </w:rPr>
        <w:fldChar w:fldCharType="separate"/>
      </w:r>
      <w:r>
        <w:rPr>
          <w:noProof/>
        </w:rPr>
        <w:t>INTRODUCTION</w:t>
      </w:r>
      <w:r>
        <w:rPr>
          <w:noProof/>
        </w:rPr>
        <w:tab/>
      </w:r>
      <w:r>
        <w:rPr>
          <w:noProof/>
        </w:rPr>
        <w:fldChar w:fldCharType="begin"/>
      </w:r>
      <w:r>
        <w:rPr>
          <w:noProof/>
        </w:rPr>
        <w:instrText xml:space="preserve"> PAGEREF _Toc406411812 \h </w:instrText>
      </w:r>
      <w:r>
        <w:rPr>
          <w:noProof/>
        </w:rPr>
      </w:r>
      <w:r>
        <w:rPr>
          <w:noProof/>
        </w:rPr>
        <w:fldChar w:fldCharType="separate"/>
      </w:r>
      <w:r w:rsidR="0098302E">
        <w:rPr>
          <w:noProof/>
        </w:rPr>
        <w:t>1</w:t>
      </w:r>
      <w:r>
        <w:rPr>
          <w:noProof/>
        </w:rPr>
        <w:fldChar w:fldCharType="end"/>
      </w:r>
    </w:p>
    <w:p w:rsidR="00797850" w:rsidRDefault="00797850">
      <w:pPr>
        <w:pStyle w:val="TOC1"/>
        <w:rPr>
          <w:rFonts w:asciiTheme="minorHAnsi" w:eastAsiaTheme="minorEastAsia" w:hAnsiTheme="minorHAnsi" w:cstheme="minorBidi"/>
          <w:noProof/>
          <w:sz w:val="22"/>
          <w:szCs w:val="22"/>
        </w:rPr>
      </w:pPr>
      <w:r>
        <w:rPr>
          <w:noProof/>
        </w:rPr>
        <w:t>DISCUSSION</w:t>
      </w:r>
      <w:r>
        <w:rPr>
          <w:noProof/>
        </w:rPr>
        <w:tab/>
      </w:r>
      <w:r>
        <w:rPr>
          <w:noProof/>
        </w:rPr>
        <w:fldChar w:fldCharType="begin"/>
      </w:r>
      <w:r>
        <w:rPr>
          <w:noProof/>
        </w:rPr>
        <w:instrText xml:space="preserve"> PAGEREF _Toc406411813 \h </w:instrText>
      </w:r>
      <w:r>
        <w:rPr>
          <w:noProof/>
        </w:rPr>
      </w:r>
      <w:r>
        <w:rPr>
          <w:noProof/>
        </w:rPr>
        <w:fldChar w:fldCharType="separate"/>
      </w:r>
      <w:r w:rsidR="0098302E">
        <w:rPr>
          <w:noProof/>
        </w:rPr>
        <w:t>2</w:t>
      </w:r>
      <w:r>
        <w:rPr>
          <w:noProof/>
        </w:rPr>
        <w:fldChar w:fldCharType="end"/>
      </w:r>
    </w:p>
    <w:p w:rsidR="00797850" w:rsidRDefault="00797850">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sidRPr="003349C0">
        <w:rPr>
          <w:rFonts w:eastAsia="Calibri"/>
          <w:noProof/>
        </w:rPr>
        <w:t>Staff’s Position Regarding New Riders Proposed by Duke</w:t>
      </w:r>
      <w:r>
        <w:rPr>
          <w:noProof/>
        </w:rPr>
        <w:tab/>
      </w:r>
      <w:r>
        <w:rPr>
          <w:noProof/>
        </w:rPr>
        <w:fldChar w:fldCharType="begin"/>
      </w:r>
      <w:r>
        <w:rPr>
          <w:noProof/>
        </w:rPr>
        <w:instrText xml:space="preserve"> PAGEREF _Toc406411814 \h </w:instrText>
      </w:r>
      <w:r>
        <w:rPr>
          <w:noProof/>
        </w:rPr>
      </w:r>
      <w:r>
        <w:rPr>
          <w:noProof/>
        </w:rPr>
        <w:fldChar w:fldCharType="separate"/>
      </w:r>
      <w:r w:rsidR="0098302E">
        <w:rPr>
          <w:noProof/>
        </w:rPr>
        <w:t>2</w:t>
      </w:r>
      <w:r>
        <w:rPr>
          <w:noProof/>
        </w:rPr>
        <w:fldChar w:fldCharType="end"/>
      </w:r>
    </w:p>
    <w:p w:rsidR="00797850" w:rsidRDefault="00797850" w:rsidP="00797850">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Price Stability Rider (“PSR”)</w:t>
      </w:r>
      <w:r>
        <w:tab/>
      </w:r>
      <w:r>
        <w:fldChar w:fldCharType="begin"/>
      </w:r>
      <w:r>
        <w:instrText xml:space="preserve"> PAGEREF _Toc406411815 \h </w:instrText>
      </w:r>
      <w:r>
        <w:fldChar w:fldCharType="separate"/>
      </w:r>
      <w:r w:rsidR="0098302E">
        <w:t>2</w:t>
      </w:r>
      <w:r>
        <w:fldChar w:fldCharType="end"/>
      </w:r>
    </w:p>
    <w:p w:rsidR="00797850" w:rsidRDefault="00797850" w:rsidP="00797850">
      <w:pPr>
        <w:pStyle w:val="TOC4"/>
        <w:rPr>
          <w:rFonts w:asciiTheme="minorHAnsi" w:eastAsiaTheme="minorEastAsia" w:hAnsiTheme="minorHAnsi" w:cstheme="minorBidi"/>
          <w:sz w:val="22"/>
          <w:szCs w:val="22"/>
        </w:rPr>
      </w:pPr>
      <w:r w:rsidRPr="003349C0">
        <w:rPr>
          <w:rFonts w:eastAsia="Calibri"/>
        </w:rPr>
        <w:t>a.</w:t>
      </w:r>
      <w:r>
        <w:rPr>
          <w:rFonts w:asciiTheme="minorHAnsi" w:eastAsiaTheme="minorEastAsia" w:hAnsiTheme="minorHAnsi" w:cstheme="minorBidi"/>
          <w:sz w:val="22"/>
          <w:szCs w:val="22"/>
        </w:rPr>
        <w:tab/>
      </w:r>
      <w:r w:rsidRPr="003349C0">
        <w:rPr>
          <w:rFonts w:eastAsia="Calibri"/>
        </w:rPr>
        <w:t>The PSR conflicts with the Commission’s policy goal of transitioning to a fully competitive market.</w:t>
      </w:r>
      <w:r>
        <w:tab/>
      </w:r>
      <w:r>
        <w:fldChar w:fldCharType="begin"/>
      </w:r>
      <w:r>
        <w:instrText xml:space="preserve"> PAGEREF _Toc406411816 \h </w:instrText>
      </w:r>
      <w:r>
        <w:fldChar w:fldCharType="separate"/>
      </w:r>
      <w:r w:rsidR="0098302E">
        <w:t>2</w:t>
      </w:r>
      <w:r>
        <w:fldChar w:fldCharType="end"/>
      </w:r>
    </w:p>
    <w:p w:rsidR="00797850" w:rsidRDefault="00797850" w:rsidP="00797850">
      <w:pPr>
        <w:pStyle w:val="TOC5"/>
        <w:rPr>
          <w:rFonts w:asciiTheme="minorHAnsi" w:eastAsiaTheme="minorEastAsia" w:hAnsiTheme="minorHAnsi" w:cstheme="minorBidi"/>
          <w:sz w:val="22"/>
          <w:szCs w:val="22"/>
        </w:rPr>
      </w:pPr>
      <w:r>
        <w:t>i.</w:t>
      </w:r>
      <w:r>
        <w:rPr>
          <w:rFonts w:asciiTheme="minorHAnsi" w:eastAsiaTheme="minorEastAsia" w:hAnsiTheme="minorHAnsi" w:cstheme="minorBidi"/>
          <w:sz w:val="22"/>
          <w:szCs w:val="22"/>
        </w:rPr>
        <w:tab/>
      </w:r>
      <w:r>
        <w:t>The PSR contradicts the primary goal of Duke’s last ESP case, which was to transition Duke to a fully competitive market.</w:t>
      </w:r>
      <w:r>
        <w:tab/>
      </w:r>
      <w:r>
        <w:fldChar w:fldCharType="begin"/>
      </w:r>
      <w:r>
        <w:instrText xml:space="preserve"> PAGEREF _Toc406411817 \h </w:instrText>
      </w:r>
      <w:r>
        <w:fldChar w:fldCharType="separate"/>
      </w:r>
      <w:r w:rsidR="0098302E">
        <w:t>2</w:t>
      </w:r>
      <w:r>
        <w:fldChar w:fldCharType="end"/>
      </w:r>
    </w:p>
    <w:p w:rsidR="00797850" w:rsidRDefault="00797850" w:rsidP="00797850">
      <w:pPr>
        <w:pStyle w:val="TOC5"/>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The PSR is unwarranted because there are more appropriate methods of stabilizing customer prices that are currently being used by the Commission and shopping customers.</w:t>
      </w:r>
      <w:r>
        <w:tab/>
      </w:r>
      <w:r>
        <w:fldChar w:fldCharType="begin"/>
      </w:r>
      <w:r>
        <w:instrText xml:space="preserve"> PAGEREF _Toc406411818 \h </w:instrText>
      </w:r>
      <w:r>
        <w:fldChar w:fldCharType="separate"/>
      </w:r>
      <w:r w:rsidR="0098302E">
        <w:t>5</w:t>
      </w:r>
      <w:r>
        <w:fldChar w:fldCharType="end"/>
      </w:r>
    </w:p>
    <w:p w:rsidR="00797850" w:rsidRDefault="00797850" w:rsidP="00797850">
      <w:pPr>
        <w:pStyle w:val="TOC5"/>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If the PSR is granted, the Commission would lack the authority to disallow or challenge PSR costs.</w:t>
      </w:r>
      <w:r>
        <w:tab/>
      </w:r>
      <w:r>
        <w:fldChar w:fldCharType="begin"/>
      </w:r>
      <w:r>
        <w:instrText xml:space="preserve"> PAGEREF _Toc406411819 \h </w:instrText>
      </w:r>
      <w:r>
        <w:fldChar w:fldCharType="separate"/>
      </w:r>
      <w:r w:rsidR="0098302E">
        <w:t>7</w:t>
      </w:r>
      <w:r>
        <w:fldChar w:fldCharType="end"/>
      </w:r>
    </w:p>
    <w:p w:rsidR="00797850" w:rsidRDefault="00797850" w:rsidP="00797850">
      <w:pPr>
        <w:pStyle w:val="TOC5"/>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There are more appropriate and effective ways to address concerns about the PJM wholesale markets than the PSR.</w:t>
      </w:r>
      <w:r>
        <w:tab/>
      </w:r>
      <w:r>
        <w:fldChar w:fldCharType="begin"/>
      </w:r>
      <w:r>
        <w:instrText xml:space="preserve"> PAGEREF _Toc406411820 \h </w:instrText>
      </w:r>
      <w:r>
        <w:fldChar w:fldCharType="separate"/>
      </w:r>
      <w:r w:rsidR="0098302E">
        <w:t>9</w:t>
      </w:r>
      <w:r>
        <w:fldChar w:fldCharType="end"/>
      </w:r>
    </w:p>
    <w:p w:rsidR="00797850" w:rsidRDefault="00797850" w:rsidP="00797850">
      <w:pPr>
        <w:pStyle w:val="TOC4"/>
        <w:rPr>
          <w:rFonts w:asciiTheme="minorHAnsi" w:eastAsiaTheme="minorEastAsia" w:hAnsiTheme="minorHAnsi" w:cstheme="minorBidi"/>
          <w:sz w:val="22"/>
          <w:szCs w:val="22"/>
        </w:rPr>
      </w:pPr>
      <w:r w:rsidRPr="003349C0">
        <w:rPr>
          <w:rFonts w:eastAsia="Calibri"/>
        </w:rPr>
        <w:t>b.</w:t>
      </w:r>
      <w:r>
        <w:rPr>
          <w:rFonts w:asciiTheme="minorHAnsi" w:eastAsiaTheme="minorEastAsia" w:hAnsiTheme="minorHAnsi" w:cstheme="minorBidi"/>
          <w:sz w:val="22"/>
          <w:szCs w:val="22"/>
        </w:rPr>
        <w:tab/>
      </w:r>
      <w:r w:rsidRPr="003349C0">
        <w:rPr>
          <w:rFonts w:eastAsia="Calibri"/>
        </w:rPr>
        <w:t xml:space="preserve">The PSR should be denied because it violates the stipulation from the </w:t>
      </w:r>
      <w:r w:rsidRPr="003349C0">
        <w:rPr>
          <w:rFonts w:eastAsia="Calibri"/>
          <w:i/>
        </w:rPr>
        <w:t>ESP II</w:t>
      </w:r>
      <w:r w:rsidRPr="003349C0">
        <w:rPr>
          <w:rFonts w:eastAsia="Calibri"/>
        </w:rPr>
        <w:t xml:space="preserve"> case.</w:t>
      </w:r>
      <w:r>
        <w:tab/>
      </w:r>
      <w:r>
        <w:fldChar w:fldCharType="begin"/>
      </w:r>
      <w:r>
        <w:instrText xml:space="preserve"> PAGEREF _Toc406411821 \h </w:instrText>
      </w:r>
      <w:r>
        <w:fldChar w:fldCharType="separate"/>
      </w:r>
      <w:r w:rsidR="0098302E">
        <w:t>11</w:t>
      </w:r>
      <w:r>
        <w:fldChar w:fldCharType="end"/>
      </w:r>
    </w:p>
    <w:p w:rsidR="00797850" w:rsidRDefault="00797850" w:rsidP="00797850">
      <w:pPr>
        <w:pStyle w:val="TOC4"/>
        <w:rPr>
          <w:rFonts w:asciiTheme="minorHAnsi" w:eastAsiaTheme="minorEastAsia" w:hAnsiTheme="minorHAnsi" w:cstheme="minorBidi"/>
          <w:sz w:val="22"/>
          <w:szCs w:val="22"/>
        </w:rPr>
      </w:pPr>
      <w:r w:rsidRPr="003349C0">
        <w:rPr>
          <w:rFonts w:eastAsia="Calibri"/>
        </w:rPr>
        <w:t>c.</w:t>
      </w:r>
      <w:r>
        <w:rPr>
          <w:rFonts w:asciiTheme="minorHAnsi" w:eastAsiaTheme="minorEastAsia" w:hAnsiTheme="minorHAnsi" w:cstheme="minorBidi"/>
          <w:sz w:val="22"/>
          <w:szCs w:val="22"/>
        </w:rPr>
        <w:tab/>
      </w:r>
      <w:r w:rsidRPr="003349C0">
        <w:rPr>
          <w:rFonts w:eastAsia="Calibri"/>
        </w:rPr>
        <w:t>The PSR should be denied because it would violate both Ohio and federal law.</w:t>
      </w:r>
      <w:r>
        <w:tab/>
      </w:r>
      <w:r>
        <w:fldChar w:fldCharType="begin"/>
      </w:r>
      <w:r>
        <w:instrText xml:space="preserve"> PAGEREF _Toc406411822 \h </w:instrText>
      </w:r>
      <w:r>
        <w:fldChar w:fldCharType="separate"/>
      </w:r>
      <w:r w:rsidR="0098302E">
        <w:t>14</w:t>
      </w:r>
      <w:r>
        <w:fldChar w:fldCharType="end"/>
      </w:r>
    </w:p>
    <w:p w:rsidR="00797850" w:rsidRDefault="00797850" w:rsidP="00797850">
      <w:pPr>
        <w:pStyle w:val="TOC5"/>
        <w:rPr>
          <w:rFonts w:asciiTheme="minorHAnsi" w:eastAsiaTheme="minorEastAsia" w:hAnsiTheme="minorHAnsi" w:cstheme="minorBidi"/>
          <w:sz w:val="22"/>
          <w:szCs w:val="22"/>
        </w:rPr>
      </w:pPr>
      <w:r>
        <w:t>i.</w:t>
      </w:r>
      <w:r>
        <w:rPr>
          <w:rFonts w:asciiTheme="minorHAnsi" w:eastAsiaTheme="minorEastAsia" w:hAnsiTheme="minorHAnsi" w:cstheme="minorBidi"/>
          <w:sz w:val="22"/>
          <w:szCs w:val="22"/>
        </w:rPr>
        <w:tab/>
      </w:r>
      <w:r>
        <w:t>The PSR is not permitted under Ohio law.</w:t>
      </w:r>
      <w:r>
        <w:tab/>
      </w:r>
      <w:r>
        <w:fldChar w:fldCharType="begin"/>
      </w:r>
      <w:r>
        <w:instrText xml:space="preserve"> PAGEREF _Toc406411823 \h </w:instrText>
      </w:r>
      <w:r>
        <w:fldChar w:fldCharType="separate"/>
      </w:r>
      <w:r w:rsidR="0098302E">
        <w:t>15</w:t>
      </w:r>
      <w:r>
        <w:fldChar w:fldCharType="end"/>
      </w:r>
    </w:p>
    <w:p w:rsidR="00797850" w:rsidRDefault="00797850" w:rsidP="00797850">
      <w:pPr>
        <w:pStyle w:val="TOC5"/>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The PSR would be preempted by the Federal Power Act.</w:t>
      </w:r>
      <w:r>
        <w:tab/>
      </w:r>
      <w:r>
        <w:fldChar w:fldCharType="begin"/>
      </w:r>
      <w:r>
        <w:instrText xml:space="preserve"> PAGEREF _Toc406411824 \h </w:instrText>
      </w:r>
      <w:r>
        <w:fldChar w:fldCharType="separate"/>
      </w:r>
      <w:r w:rsidR="0098302E">
        <w:t>18</w:t>
      </w:r>
      <w:r>
        <w:fldChar w:fldCharType="end"/>
      </w:r>
    </w:p>
    <w:p w:rsidR="00797850" w:rsidRDefault="00797850" w:rsidP="00797850">
      <w:pPr>
        <w:pStyle w:val="TOC4"/>
        <w:rPr>
          <w:rFonts w:asciiTheme="minorHAnsi" w:eastAsiaTheme="minorEastAsia" w:hAnsiTheme="minorHAnsi" w:cstheme="minorBidi"/>
          <w:sz w:val="22"/>
          <w:szCs w:val="22"/>
        </w:rPr>
      </w:pPr>
      <w:r w:rsidRPr="003349C0">
        <w:rPr>
          <w:rFonts w:eastAsia="Calibri"/>
        </w:rPr>
        <w:lastRenderedPageBreak/>
        <w:t>d.</w:t>
      </w:r>
      <w:r>
        <w:rPr>
          <w:rFonts w:asciiTheme="minorHAnsi" w:eastAsiaTheme="minorEastAsia" w:hAnsiTheme="minorHAnsi" w:cstheme="minorBidi"/>
          <w:sz w:val="22"/>
          <w:szCs w:val="22"/>
        </w:rPr>
        <w:tab/>
      </w:r>
      <w:r w:rsidRPr="003349C0">
        <w:rPr>
          <w:rFonts w:eastAsia="Calibri"/>
        </w:rPr>
        <w:t>Duke failed to prove that the PSR will actually stabilize customer rates.</w:t>
      </w:r>
      <w:r>
        <w:tab/>
      </w:r>
      <w:r>
        <w:fldChar w:fldCharType="begin"/>
      </w:r>
      <w:r>
        <w:instrText xml:space="preserve"> PAGEREF _Toc406411825 \h </w:instrText>
      </w:r>
      <w:r>
        <w:fldChar w:fldCharType="separate"/>
      </w:r>
      <w:r w:rsidR="0098302E">
        <w:t>21</w:t>
      </w:r>
      <w:r>
        <w:fldChar w:fldCharType="end"/>
      </w:r>
    </w:p>
    <w:p w:rsidR="00797850" w:rsidRDefault="00797850" w:rsidP="00797850">
      <w:pPr>
        <w:pStyle w:val="TOC5"/>
        <w:rPr>
          <w:rFonts w:asciiTheme="minorHAnsi" w:eastAsiaTheme="minorEastAsia" w:hAnsiTheme="minorHAnsi" w:cstheme="minorBidi"/>
          <w:sz w:val="22"/>
          <w:szCs w:val="22"/>
        </w:rPr>
      </w:pPr>
      <w:r>
        <w:t>i.</w:t>
      </w:r>
      <w:r>
        <w:rPr>
          <w:rFonts w:asciiTheme="minorHAnsi" w:eastAsiaTheme="minorEastAsia" w:hAnsiTheme="minorHAnsi" w:cstheme="minorBidi"/>
          <w:sz w:val="22"/>
          <w:szCs w:val="22"/>
        </w:rPr>
        <w:tab/>
      </w:r>
      <w:r>
        <w:t>The PSR will impose significant costs on customers during the ESP Period.</w:t>
      </w:r>
      <w:r>
        <w:tab/>
      </w:r>
      <w:r>
        <w:fldChar w:fldCharType="begin"/>
      </w:r>
      <w:r>
        <w:instrText xml:space="preserve"> PAGEREF _Toc406411826 \h </w:instrText>
      </w:r>
      <w:r>
        <w:fldChar w:fldCharType="separate"/>
      </w:r>
      <w:r w:rsidR="0098302E">
        <w:t>21</w:t>
      </w:r>
      <w:r>
        <w:fldChar w:fldCharType="end"/>
      </w:r>
    </w:p>
    <w:p w:rsidR="00797850" w:rsidRDefault="00797850" w:rsidP="00797850">
      <w:pPr>
        <w:pStyle w:val="TOC5"/>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Various unknown factors make it difficult to determine whether the PSR will stabilize rates for customers.</w:t>
      </w:r>
      <w:r>
        <w:tab/>
      </w:r>
      <w:r>
        <w:fldChar w:fldCharType="begin"/>
      </w:r>
      <w:r>
        <w:instrText xml:space="preserve"> PAGEREF _Toc406411827 \h </w:instrText>
      </w:r>
      <w:r>
        <w:fldChar w:fldCharType="separate"/>
      </w:r>
      <w:r w:rsidR="0098302E">
        <w:t>22</w:t>
      </w:r>
      <w:r>
        <w:fldChar w:fldCharType="end"/>
      </w:r>
    </w:p>
    <w:p w:rsidR="00797850" w:rsidRDefault="00797850" w:rsidP="00797850">
      <w:pPr>
        <w:pStyle w:val="TOC5"/>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The PSR will destabilize prices for customers currently in fixed-price arrangements and force these customers to pay twice for non-existent price stability.</w:t>
      </w:r>
      <w:r>
        <w:tab/>
      </w:r>
      <w:r>
        <w:fldChar w:fldCharType="begin"/>
      </w:r>
      <w:r>
        <w:instrText xml:space="preserve"> PAGEREF _Toc406411828 \h </w:instrText>
      </w:r>
      <w:r>
        <w:fldChar w:fldCharType="separate"/>
      </w:r>
      <w:r w:rsidR="0098302E">
        <w:t>24</w:t>
      </w:r>
      <w:r>
        <w:fldChar w:fldCharType="end"/>
      </w:r>
    </w:p>
    <w:p w:rsidR="00797850" w:rsidRDefault="00797850" w:rsidP="00797850">
      <w:pPr>
        <w:pStyle w:val="TOC4"/>
        <w:rPr>
          <w:rFonts w:asciiTheme="minorHAnsi" w:eastAsiaTheme="minorEastAsia" w:hAnsiTheme="minorHAnsi" w:cstheme="minorBidi"/>
          <w:sz w:val="22"/>
          <w:szCs w:val="22"/>
        </w:rPr>
      </w:pPr>
      <w:r w:rsidRPr="003349C0">
        <w:rPr>
          <w:rFonts w:eastAsia="Calibri"/>
        </w:rPr>
        <w:t>e.</w:t>
      </w:r>
      <w:r>
        <w:rPr>
          <w:rFonts w:asciiTheme="minorHAnsi" w:eastAsiaTheme="minorEastAsia" w:hAnsiTheme="minorHAnsi" w:cstheme="minorBidi"/>
          <w:sz w:val="22"/>
          <w:szCs w:val="22"/>
        </w:rPr>
        <w:tab/>
      </w:r>
      <w:r w:rsidRPr="003349C0">
        <w:rPr>
          <w:rFonts w:eastAsia="Calibri"/>
        </w:rPr>
        <w:t>If the Commission adopts the PSR, it should place the conditions on the rider recommended by Staff.</w:t>
      </w:r>
      <w:r>
        <w:tab/>
      </w:r>
      <w:r>
        <w:fldChar w:fldCharType="begin"/>
      </w:r>
      <w:r>
        <w:instrText xml:space="preserve"> PAGEREF _Toc406411829 \h </w:instrText>
      </w:r>
      <w:r>
        <w:fldChar w:fldCharType="separate"/>
      </w:r>
      <w:r w:rsidR="0098302E">
        <w:t>25</w:t>
      </w:r>
      <w:r>
        <w:fldChar w:fldCharType="end"/>
      </w:r>
    </w:p>
    <w:p w:rsidR="00797850" w:rsidRDefault="00797850" w:rsidP="00797850">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Distribution Capital Investment Rider (“DCI”)</w:t>
      </w:r>
      <w:r>
        <w:tab/>
      </w:r>
      <w:r>
        <w:fldChar w:fldCharType="begin"/>
      </w:r>
      <w:r>
        <w:instrText xml:space="preserve"> PAGEREF _Toc406411830 \h </w:instrText>
      </w:r>
      <w:r>
        <w:fldChar w:fldCharType="separate"/>
      </w:r>
      <w:r w:rsidR="0098302E">
        <w:t>27</w:t>
      </w:r>
      <w:r>
        <w:fldChar w:fldCharType="end"/>
      </w:r>
    </w:p>
    <w:p w:rsidR="00797850" w:rsidRDefault="00797850" w:rsidP="00797850">
      <w:pPr>
        <w:pStyle w:val="TOC4"/>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General Plant accounts should not be included in the DCI.</w:t>
      </w:r>
      <w:r>
        <w:tab/>
      </w:r>
      <w:r>
        <w:fldChar w:fldCharType="begin"/>
      </w:r>
      <w:r>
        <w:instrText xml:space="preserve"> PAGEREF _Toc406411831 \h </w:instrText>
      </w:r>
      <w:r>
        <w:fldChar w:fldCharType="separate"/>
      </w:r>
      <w:r w:rsidR="0098302E">
        <w:t>27</w:t>
      </w:r>
      <w:r>
        <w:fldChar w:fldCharType="end"/>
      </w:r>
    </w:p>
    <w:p w:rsidR="00797850" w:rsidRDefault="00797850" w:rsidP="00797850">
      <w:pPr>
        <w:pStyle w:val="TOC4"/>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Projected Plant Balances</w:t>
      </w:r>
      <w:r>
        <w:tab/>
      </w:r>
      <w:r>
        <w:fldChar w:fldCharType="begin"/>
      </w:r>
      <w:r>
        <w:instrText xml:space="preserve"> PAGEREF _Toc406411832 \h </w:instrText>
      </w:r>
      <w:r>
        <w:fldChar w:fldCharType="separate"/>
      </w:r>
      <w:r w:rsidR="0098302E">
        <w:t>30</w:t>
      </w:r>
      <w:r>
        <w:fldChar w:fldCharType="end"/>
      </w:r>
    </w:p>
    <w:p w:rsidR="00797850" w:rsidRPr="00797850" w:rsidRDefault="00797850" w:rsidP="00797850">
      <w:pPr>
        <w:pStyle w:val="TOC4"/>
        <w:rPr>
          <w:rFonts w:asciiTheme="minorHAnsi" w:eastAsiaTheme="minorEastAsia" w:hAnsiTheme="minorHAnsi" w:cstheme="minorBidi"/>
          <w:sz w:val="22"/>
          <w:szCs w:val="22"/>
        </w:rPr>
      </w:pPr>
      <w:r w:rsidRPr="00797850">
        <w:t>c.</w:t>
      </w:r>
      <w:r w:rsidRPr="00797850">
        <w:rPr>
          <w:rFonts w:asciiTheme="minorHAnsi" w:eastAsiaTheme="minorEastAsia" w:hAnsiTheme="minorHAnsi" w:cstheme="minorBidi"/>
          <w:sz w:val="22"/>
          <w:szCs w:val="22"/>
        </w:rPr>
        <w:tab/>
      </w:r>
      <w:r w:rsidRPr="00797850">
        <w:t>Information Duke should include in subsequent filings</w:t>
      </w:r>
      <w:r w:rsidRPr="00797850">
        <w:tab/>
      </w:r>
      <w:r w:rsidRPr="00797850">
        <w:fldChar w:fldCharType="begin"/>
      </w:r>
      <w:r w:rsidRPr="00797850">
        <w:instrText xml:space="preserve"> PAGEREF _Toc406411833 \h </w:instrText>
      </w:r>
      <w:r w:rsidRPr="00797850">
        <w:fldChar w:fldCharType="separate"/>
      </w:r>
      <w:r w:rsidR="0098302E">
        <w:t>30</w:t>
      </w:r>
      <w:r w:rsidRPr="00797850">
        <w:fldChar w:fldCharType="end"/>
      </w:r>
    </w:p>
    <w:p w:rsidR="00797850" w:rsidRPr="00797850" w:rsidRDefault="00797850" w:rsidP="00797850">
      <w:pPr>
        <w:pStyle w:val="TOC4"/>
      </w:pPr>
      <w:r w:rsidRPr="00797850">
        <w:t>d.</w:t>
      </w:r>
      <w:r w:rsidRPr="00797850">
        <w:tab/>
        <w:t>DCI Caps</w:t>
      </w:r>
      <w:r>
        <w:tab/>
      </w:r>
      <w:r>
        <w:fldChar w:fldCharType="begin"/>
      </w:r>
      <w:r>
        <w:instrText xml:space="preserve"> PAGEREF _Toc406411834 \h </w:instrText>
      </w:r>
      <w:r>
        <w:fldChar w:fldCharType="separate"/>
      </w:r>
      <w:r w:rsidR="0098302E">
        <w:t>32</w:t>
      </w:r>
      <w:r>
        <w:fldChar w:fldCharType="end"/>
      </w:r>
    </w:p>
    <w:p w:rsidR="00797850" w:rsidRPr="00797850" w:rsidRDefault="00797850" w:rsidP="00797850">
      <w:pPr>
        <w:pStyle w:val="TOC4"/>
      </w:pPr>
      <w:r w:rsidRPr="00797850">
        <w:t>e.</w:t>
      </w:r>
      <w:r w:rsidRPr="00797850">
        <w:tab/>
        <w:t>Sunset of the DCI Rate</w:t>
      </w:r>
      <w:r>
        <w:tab/>
      </w:r>
      <w:r>
        <w:fldChar w:fldCharType="begin"/>
      </w:r>
      <w:r>
        <w:instrText xml:space="preserve"> PAGEREF _Toc406411835 \h </w:instrText>
      </w:r>
      <w:r>
        <w:fldChar w:fldCharType="separate"/>
      </w:r>
      <w:r w:rsidR="0098302E">
        <w:t>32</w:t>
      </w:r>
      <w:r>
        <w:fldChar w:fldCharType="end"/>
      </w:r>
    </w:p>
    <w:p w:rsidR="00797850" w:rsidRDefault="00797850" w:rsidP="00797850">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Distribution Storm Rider (“DSR”)</w:t>
      </w:r>
      <w:r>
        <w:tab/>
      </w:r>
      <w:r>
        <w:fldChar w:fldCharType="begin"/>
      </w:r>
      <w:r>
        <w:instrText xml:space="preserve"> PAGEREF _Toc406411836 \h </w:instrText>
      </w:r>
      <w:r>
        <w:fldChar w:fldCharType="separate"/>
      </w:r>
      <w:r w:rsidR="0098302E">
        <w:t>34</w:t>
      </w:r>
      <w:r>
        <w:fldChar w:fldCharType="end"/>
      </w:r>
    </w:p>
    <w:p w:rsidR="00797850" w:rsidRPr="00797850" w:rsidRDefault="00797850" w:rsidP="00797850">
      <w:pPr>
        <w:pStyle w:val="TOC4"/>
      </w:pPr>
      <w:r w:rsidRPr="00797850">
        <w:t>a.</w:t>
      </w:r>
      <w:r w:rsidRPr="00797850">
        <w:tab/>
        <w:t>Staff’s Recommended Alternative</w:t>
      </w:r>
      <w:r>
        <w:tab/>
      </w:r>
      <w:r>
        <w:fldChar w:fldCharType="begin"/>
      </w:r>
      <w:r>
        <w:instrText xml:space="preserve"> PAGEREF _Toc406411837 \h </w:instrText>
      </w:r>
      <w:r>
        <w:fldChar w:fldCharType="separate"/>
      </w:r>
      <w:r w:rsidR="0098302E">
        <w:t>36</w:t>
      </w:r>
      <w:r>
        <w:fldChar w:fldCharType="end"/>
      </w:r>
    </w:p>
    <w:p w:rsidR="00797850" w:rsidRPr="00797850" w:rsidRDefault="00797850" w:rsidP="00797850">
      <w:pPr>
        <w:pStyle w:val="TOC4"/>
      </w:pPr>
      <w:r w:rsidRPr="00797850">
        <w:t>b.</w:t>
      </w:r>
      <w:r w:rsidRPr="00797850">
        <w:tab/>
        <w:t>Staff’s Proposed Audit</w:t>
      </w:r>
      <w:r>
        <w:tab/>
      </w:r>
      <w:r>
        <w:fldChar w:fldCharType="begin"/>
      </w:r>
      <w:r>
        <w:instrText xml:space="preserve"> PAGEREF _Toc406411838 \h </w:instrText>
      </w:r>
      <w:r>
        <w:fldChar w:fldCharType="separate"/>
      </w:r>
      <w:r w:rsidR="0098302E">
        <w:t>37</w:t>
      </w:r>
      <w:r>
        <w:fldChar w:fldCharType="end"/>
      </w:r>
    </w:p>
    <w:p w:rsidR="00797850" w:rsidRPr="00797850" w:rsidRDefault="00797850" w:rsidP="00797850">
      <w:pPr>
        <w:pStyle w:val="TOC4"/>
      </w:pPr>
      <w:r w:rsidRPr="00797850">
        <w:t>c.</w:t>
      </w:r>
      <w:r w:rsidRPr="00797850">
        <w:tab/>
        <w:t>Carrying Charges</w:t>
      </w:r>
      <w:r>
        <w:tab/>
      </w:r>
      <w:r>
        <w:fldChar w:fldCharType="begin"/>
      </w:r>
      <w:r>
        <w:instrText xml:space="preserve"> PAGEREF _Toc406411839 \h </w:instrText>
      </w:r>
      <w:r>
        <w:fldChar w:fldCharType="separate"/>
      </w:r>
      <w:r w:rsidR="0098302E">
        <w:t>38</w:t>
      </w:r>
      <w:r>
        <w:fldChar w:fldCharType="end"/>
      </w:r>
    </w:p>
    <w:p w:rsidR="00797850" w:rsidRPr="00797850" w:rsidRDefault="00797850" w:rsidP="00797850">
      <w:pPr>
        <w:pStyle w:val="TOC4"/>
      </w:pPr>
      <w:r w:rsidRPr="00797850">
        <w:t>d.</w:t>
      </w:r>
      <w:r w:rsidRPr="00797850">
        <w:tab/>
        <w:t>Labor Expenses</w:t>
      </w:r>
      <w:r>
        <w:tab/>
      </w:r>
      <w:r>
        <w:fldChar w:fldCharType="begin"/>
      </w:r>
      <w:r>
        <w:instrText xml:space="preserve"> PAGEREF _Toc406411840 \h </w:instrText>
      </w:r>
      <w:r>
        <w:fldChar w:fldCharType="separate"/>
      </w:r>
      <w:r w:rsidR="0098302E">
        <w:t>39</w:t>
      </w:r>
      <w:r>
        <w:fldChar w:fldCharType="end"/>
      </w:r>
    </w:p>
    <w:p w:rsidR="00797850" w:rsidRPr="00797850" w:rsidRDefault="00797850" w:rsidP="00797850">
      <w:pPr>
        <w:pStyle w:val="TOC5"/>
        <w:rPr>
          <w:rFonts w:asciiTheme="minorHAnsi" w:eastAsiaTheme="minorEastAsia" w:hAnsiTheme="minorHAnsi" w:cstheme="minorBidi"/>
          <w:sz w:val="22"/>
          <w:szCs w:val="22"/>
        </w:rPr>
      </w:pPr>
      <w:r w:rsidRPr="00797850">
        <w:t>i.</w:t>
      </w:r>
      <w:r w:rsidRPr="00797850">
        <w:rPr>
          <w:rFonts w:asciiTheme="minorHAnsi" w:eastAsiaTheme="minorEastAsia" w:hAnsiTheme="minorHAnsi" w:cstheme="minorBidi"/>
          <w:sz w:val="22"/>
          <w:szCs w:val="22"/>
        </w:rPr>
        <w:tab/>
      </w:r>
      <w:r w:rsidRPr="00797850">
        <w:t>Mutual Assistance</w:t>
      </w:r>
      <w:r w:rsidRPr="00797850">
        <w:tab/>
      </w:r>
      <w:r w:rsidRPr="00797850">
        <w:fldChar w:fldCharType="begin"/>
      </w:r>
      <w:r w:rsidRPr="00797850">
        <w:instrText xml:space="preserve"> PAGEREF _Toc406411841 \h </w:instrText>
      </w:r>
      <w:r w:rsidRPr="00797850">
        <w:fldChar w:fldCharType="separate"/>
      </w:r>
      <w:r w:rsidR="0098302E">
        <w:t>41</w:t>
      </w:r>
      <w:r w:rsidRPr="00797850">
        <w:fldChar w:fldCharType="end"/>
      </w:r>
    </w:p>
    <w:p w:rsidR="00797850" w:rsidRDefault="00797850">
      <w:pPr>
        <w:pStyle w:val="TOC2"/>
        <w:tabs>
          <w:tab w:val="left" w:pos="1440"/>
        </w:tabs>
        <w:rPr>
          <w:rFonts w:asciiTheme="minorHAnsi" w:eastAsiaTheme="minorEastAsia" w:hAnsiTheme="minorHAnsi" w:cstheme="minorBidi"/>
          <w:noProof/>
          <w:sz w:val="22"/>
          <w:szCs w:val="22"/>
        </w:rPr>
      </w:pPr>
      <w:r>
        <w:rPr>
          <w:noProof/>
        </w:rPr>
        <w:lastRenderedPageBreak/>
        <w:t>B.</w:t>
      </w:r>
      <w:r>
        <w:rPr>
          <w:rFonts w:asciiTheme="minorHAnsi" w:eastAsiaTheme="minorEastAsia" w:hAnsiTheme="minorHAnsi" w:cstheme="minorBidi"/>
          <w:noProof/>
          <w:sz w:val="22"/>
          <w:szCs w:val="22"/>
        </w:rPr>
        <w:tab/>
      </w:r>
      <w:r>
        <w:rPr>
          <w:noProof/>
        </w:rPr>
        <w:t>Modification of Current Riders</w:t>
      </w:r>
      <w:r>
        <w:rPr>
          <w:noProof/>
        </w:rPr>
        <w:tab/>
      </w:r>
      <w:r>
        <w:rPr>
          <w:noProof/>
        </w:rPr>
        <w:fldChar w:fldCharType="begin"/>
      </w:r>
      <w:r>
        <w:rPr>
          <w:noProof/>
        </w:rPr>
        <w:instrText xml:space="preserve"> PAGEREF _Toc406411842 \h </w:instrText>
      </w:r>
      <w:r>
        <w:rPr>
          <w:noProof/>
        </w:rPr>
      </w:r>
      <w:r>
        <w:rPr>
          <w:noProof/>
        </w:rPr>
        <w:fldChar w:fldCharType="separate"/>
      </w:r>
      <w:r w:rsidR="0098302E">
        <w:rPr>
          <w:noProof/>
        </w:rPr>
        <w:t>47</w:t>
      </w:r>
      <w:r>
        <w:rPr>
          <w:noProof/>
        </w:rPr>
        <w:fldChar w:fldCharType="end"/>
      </w:r>
    </w:p>
    <w:p w:rsidR="00797850" w:rsidRPr="00797850" w:rsidRDefault="00797850" w:rsidP="00797850">
      <w:pPr>
        <w:pStyle w:val="TOC3"/>
        <w:rPr>
          <w:rFonts w:asciiTheme="minorHAnsi" w:eastAsiaTheme="minorEastAsia" w:hAnsiTheme="minorHAnsi" w:cstheme="minorBidi"/>
          <w:sz w:val="22"/>
          <w:szCs w:val="22"/>
        </w:rPr>
      </w:pPr>
      <w:r w:rsidRPr="00797850">
        <w:t>1.</w:t>
      </w:r>
      <w:r w:rsidRPr="00797850">
        <w:rPr>
          <w:rFonts w:asciiTheme="minorHAnsi" w:eastAsiaTheme="minorEastAsia" w:hAnsiTheme="minorHAnsi" w:cstheme="minorBidi"/>
          <w:sz w:val="22"/>
          <w:szCs w:val="22"/>
        </w:rPr>
        <w:tab/>
      </w:r>
      <w:r w:rsidRPr="00797850">
        <w:t>The Retail Capacity Rider (“Rider RC”) and The Retail Energy Rider (“Rider RE”)</w:t>
      </w:r>
      <w:r w:rsidRPr="00797850">
        <w:tab/>
      </w:r>
      <w:r w:rsidRPr="00797850">
        <w:fldChar w:fldCharType="begin"/>
      </w:r>
      <w:r w:rsidRPr="00797850">
        <w:instrText xml:space="preserve"> PAGEREF _Toc406411843 \h </w:instrText>
      </w:r>
      <w:r w:rsidRPr="00797850">
        <w:fldChar w:fldCharType="separate"/>
      </w:r>
      <w:r w:rsidR="0098302E">
        <w:t>47</w:t>
      </w:r>
      <w:r w:rsidRPr="00797850">
        <w:fldChar w:fldCharType="end"/>
      </w:r>
    </w:p>
    <w:p w:rsidR="00797850" w:rsidRDefault="00797850">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Additional Issues Regarding Duke’s Application</w:t>
      </w:r>
      <w:r>
        <w:rPr>
          <w:noProof/>
        </w:rPr>
        <w:tab/>
      </w:r>
      <w:r>
        <w:rPr>
          <w:noProof/>
        </w:rPr>
        <w:fldChar w:fldCharType="begin"/>
      </w:r>
      <w:r>
        <w:rPr>
          <w:noProof/>
        </w:rPr>
        <w:instrText xml:space="preserve"> PAGEREF _Toc406411844 \h </w:instrText>
      </w:r>
      <w:r>
        <w:rPr>
          <w:noProof/>
        </w:rPr>
      </w:r>
      <w:r>
        <w:rPr>
          <w:noProof/>
        </w:rPr>
        <w:fldChar w:fldCharType="separate"/>
      </w:r>
      <w:r w:rsidR="0098302E">
        <w:rPr>
          <w:noProof/>
        </w:rPr>
        <w:t>49</w:t>
      </w:r>
      <w:r>
        <w:rPr>
          <w:noProof/>
        </w:rPr>
        <w:fldChar w:fldCharType="end"/>
      </w:r>
    </w:p>
    <w:p w:rsidR="00797850" w:rsidRDefault="00797850" w:rsidP="00797850">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Competitive Bid Process Proposal</w:t>
      </w:r>
      <w:r>
        <w:tab/>
      </w:r>
      <w:r>
        <w:fldChar w:fldCharType="begin"/>
      </w:r>
      <w:r>
        <w:instrText xml:space="preserve"> PAGEREF _Toc406411845 \h </w:instrText>
      </w:r>
      <w:r>
        <w:fldChar w:fldCharType="separate"/>
      </w:r>
      <w:r w:rsidR="0098302E">
        <w:t>49</w:t>
      </w:r>
      <w:r>
        <w:fldChar w:fldCharType="end"/>
      </w:r>
    </w:p>
    <w:p w:rsidR="00797850" w:rsidRDefault="00797850" w:rsidP="00797850">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Duke’s Reliability Expectations</w:t>
      </w:r>
      <w:r>
        <w:tab/>
      </w:r>
      <w:r>
        <w:fldChar w:fldCharType="begin"/>
      </w:r>
      <w:r>
        <w:instrText xml:space="preserve"> PAGEREF _Toc406411846 \h </w:instrText>
      </w:r>
      <w:r>
        <w:fldChar w:fldCharType="separate"/>
      </w:r>
      <w:r w:rsidR="0098302E">
        <w:t>52</w:t>
      </w:r>
      <w:r>
        <w:fldChar w:fldCharType="end"/>
      </w:r>
    </w:p>
    <w:p w:rsidR="00797850" w:rsidRDefault="00797850" w:rsidP="00797850">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The Load Factor Adjustment Rider (“LFA”)</w:t>
      </w:r>
      <w:r>
        <w:tab/>
      </w:r>
      <w:r>
        <w:fldChar w:fldCharType="begin"/>
      </w:r>
      <w:r>
        <w:instrText xml:space="preserve"> PAGEREF _Toc406411847 \h </w:instrText>
      </w:r>
      <w:r>
        <w:fldChar w:fldCharType="separate"/>
      </w:r>
      <w:r w:rsidR="0098302E">
        <w:t>55</w:t>
      </w:r>
      <w:r>
        <w:fldChar w:fldCharType="end"/>
      </w:r>
    </w:p>
    <w:p w:rsidR="00797850" w:rsidRDefault="00797850" w:rsidP="00797850">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ESP Versus MRO Test</w:t>
      </w:r>
      <w:r>
        <w:tab/>
      </w:r>
      <w:r>
        <w:fldChar w:fldCharType="begin"/>
      </w:r>
      <w:r>
        <w:instrText xml:space="preserve"> PAGEREF _Toc406411848 \h </w:instrText>
      </w:r>
      <w:r>
        <w:fldChar w:fldCharType="separate"/>
      </w:r>
      <w:r w:rsidR="0098302E">
        <w:t>57</w:t>
      </w:r>
      <w:r>
        <w:fldChar w:fldCharType="end"/>
      </w:r>
    </w:p>
    <w:p w:rsidR="00797850" w:rsidRDefault="00797850">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_Toc406411849 \h </w:instrText>
      </w:r>
      <w:r>
        <w:rPr>
          <w:noProof/>
        </w:rPr>
      </w:r>
      <w:r>
        <w:rPr>
          <w:noProof/>
        </w:rPr>
        <w:fldChar w:fldCharType="separate"/>
      </w:r>
      <w:r w:rsidR="0098302E">
        <w:rPr>
          <w:noProof/>
        </w:rPr>
        <w:t>59</w:t>
      </w:r>
      <w:r>
        <w:rPr>
          <w:noProof/>
        </w:rPr>
        <w:fldChar w:fldCharType="end"/>
      </w:r>
    </w:p>
    <w:p w:rsidR="00797850" w:rsidRDefault="00797850">
      <w:pPr>
        <w:pStyle w:val="TOC1"/>
        <w:rPr>
          <w:rFonts w:asciiTheme="minorHAnsi" w:eastAsiaTheme="minorEastAsia" w:hAnsiTheme="minorHAnsi" w:cstheme="minorBidi"/>
          <w:noProof/>
          <w:sz w:val="22"/>
          <w:szCs w:val="22"/>
        </w:rPr>
      </w:pPr>
      <w:r w:rsidRPr="003349C0">
        <w:rPr>
          <w:noProof/>
        </w:rPr>
        <w:t>PROOF OF SERVICE</w:t>
      </w:r>
      <w:r>
        <w:rPr>
          <w:noProof/>
        </w:rPr>
        <w:tab/>
      </w:r>
      <w:r>
        <w:rPr>
          <w:noProof/>
        </w:rPr>
        <w:fldChar w:fldCharType="begin"/>
      </w:r>
      <w:r>
        <w:rPr>
          <w:noProof/>
        </w:rPr>
        <w:instrText xml:space="preserve"> PAGEREF _Toc406411850 \h </w:instrText>
      </w:r>
      <w:r>
        <w:rPr>
          <w:noProof/>
        </w:rPr>
      </w:r>
      <w:r>
        <w:rPr>
          <w:noProof/>
        </w:rPr>
        <w:fldChar w:fldCharType="separate"/>
      </w:r>
      <w:r w:rsidR="0098302E">
        <w:rPr>
          <w:noProof/>
        </w:rPr>
        <w:t>60</w:t>
      </w:r>
      <w:r>
        <w:rPr>
          <w:noProof/>
        </w:rPr>
        <w:fldChar w:fldCharType="end"/>
      </w:r>
    </w:p>
    <w:p w:rsidR="001D2785" w:rsidRDefault="00797850" w:rsidP="001D2785">
      <w:pPr>
        <w:jc w:val="center"/>
        <w:rPr>
          <w:b/>
          <w:sz w:val="26"/>
          <w:szCs w:val="26"/>
        </w:rPr>
        <w:sectPr w:rsidR="001D2785" w:rsidSect="00C95499">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docGrid w:linePitch="360"/>
        </w:sectPr>
      </w:pPr>
      <w:r>
        <w:rPr>
          <w:b/>
          <w:i/>
          <w:sz w:val="28"/>
          <w:szCs w:val="28"/>
          <w:u w:val="single"/>
        </w:rPr>
        <w:fldChar w:fldCharType="end"/>
      </w:r>
    </w:p>
    <w:p w:rsidR="001D2785" w:rsidRPr="002D54AC" w:rsidRDefault="001D2785" w:rsidP="001D2785">
      <w:pPr>
        <w:jc w:val="center"/>
        <w:rPr>
          <w:b/>
          <w:sz w:val="26"/>
          <w:szCs w:val="26"/>
        </w:rPr>
      </w:pPr>
      <w:r w:rsidRPr="002D54AC">
        <w:rPr>
          <w:b/>
          <w:sz w:val="26"/>
          <w:szCs w:val="26"/>
        </w:rPr>
        <w:lastRenderedPageBreak/>
        <w:t>BEFORE</w:t>
      </w:r>
    </w:p>
    <w:p w:rsidR="001D2785" w:rsidRDefault="001D2785" w:rsidP="001D2785">
      <w:pPr>
        <w:jc w:val="center"/>
        <w:rPr>
          <w:b/>
          <w:sz w:val="26"/>
          <w:szCs w:val="26"/>
        </w:rPr>
      </w:pPr>
      <w:r w:rsidRPr="002D54AC">
        <w:rPr>
          <w:b/>
          <w:sz w:val="26"/>
          <w:szCs w:val="26"/>
        </w:rPr>
        <w:t>THE PUBLIC UTILITIES COMMISSION OF OHIO</w:t>
      </w:r>
    </w:p>
    <w:p w:rsidR="001D2785" w:rsidRDefault="001D2785" w:rsidP="001D2785">
      <w:pPr>
        <w:jc w:val="center"/>
        <w:rPr>
          <w:b/>
          <w:sz w:val="26"/>
          <w:szCs w:val="26"/>
        </w:rPr>
      </w:pPr>
    </w:p>
    <w:p w:rsidR="001D2785" w:rsidRDefault="001D2785" w:rsidP="001D2785">
      <w:pPr>
        <w:jc w:val="center"/>
        <w:rPr>
          <w:b/>
          <w:sz w:val="26"/>
          <w:szCs w:val="26"/>
        </w:rPr>
      </w:pPr>
    </w:p>
    <w:p w:rsidR="001D2785" w:rsidRDefault="001D2785" w:rsidP="001D2785">
      <w:pPr>
        <w:jc w:val="center"/>
        <w:rPr>
          <w:b/>
          <w:sz w:val="26"/>
          <w:szCs w:val="26"/>
        </w:rPr>
      </w:pPr>
    </w:p>
    <w:tbl>
      <w:tblPr>
        <w:tblW w:w="0" w:type="auto"/>
        <w:tblLook w:val="01E0" w:firstRow="1" w:lastRow="1" w:firstColumn="1" w:lastColumn="1" w:noHBand="0" w:noVBand="0"/>
      </w:tblPr>
      <w:tblGrid>
        <w:gridCol w:w="4596"/>
        <w:gridCol w:w="289"/>
        <w:gridCol w:w="4475"/>
      </w:tblGrid>
      <w:tr w:rsidR="001D2785" w:rsidTr="00202C39">
        <w:tc>
          <w:tcPr>
            <w:tcW w:w="4698" w:type="dxa"/>
          </w:tcPr>
          <w:p w:rsidR="001D2785" w:rsidRDefault="001D2785" w:rsidP="00202C39">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the Application of </w:t>
            </w:r>
            <w:r w:rsidR="00F4690C">
              <w:rPr>
                <w:rFonts w:ascii="Times New Roman" w:hAnsi="Times New Roman"/>
                <w:sz w:val="26"/>
                <w:szCs w:val="26"/>
              </w:rPr>
              <w:t>Duke Energy Ohio</w:t>
            </w:r>
            <w:r>
              <w:rPr>
                <w:rFonts w:ascii="Times New Roman" w:hAnsi="Times New Roman"/>
                <w:sz w:val="26"/>
                <w:szCs w:val="26"/>
              </w:rPr>
              <w:t xml:space="preserve"> </w:t>
            </w:r>
            <w:r w:rsidR="00745BFB" w:rsidRPr="00745BFB">
              <w:rPr>
                <w:rFonts w:ascii="Times New Roman" w:hAnsi="Times New Roman"/>
                <w:sz w:val="26"/>
                <w:szCs w:val="26"/>
              </w:rPr>
              <w:t>for Authority to Establish a Standard Service Offer Pursuant to §4928.143, Revised Code, in the Form of an Electric Security Plan, Accounting Modifications, and Tariffs for Generation Service.</w:t>
            </w:r>
          </w:p>
          <w:p w:rsidR="001D2785" w:rsidRDefault="001D2785" w:rsidP="00202C39">
            <w:pPr>
              <w:pStyle w:val="Title"/>
              <w:tabs>
                <w:tab w:val="left" w:pos="5130"/>
                <w:tab w:val="left" w:pos="5670"/>
              </w:tabs>
              <w:jc w:val="left"/>
              <w:rPr>
                <w:rFonts w:ascii="Times New Roman" w:hAnsi="Times New Roman"/>
                <w:sz w:val="26"/>
                <w:szCs w:val="26"/>
              </w:rPr>
            </w:pPr>
          </w:p>
          <w:p w:rsidR="001D2785" w:rsidRPr="00221496" w:rsidRDefault="001D2785" w:rsidP="00F4690C">
            <w:pPr>
              <w:pStyle w:val="Title"/>
              <w:tabs>
                <w:tab w:val="left" w:pos="5130"/>
                <w:tab w:val="left" w:pos="5670"/>
              </w:tabs>
              <w:jc w:val="left"/>
              <w:rPr>
                <w:rFonts w:ascii="Times New Roman" w:hAnsi="Times New Roman"/>
                <w:sz w:val="26"/>
                <w:szCs w:val="26"/>
              </w:rPr>
            </w:pPr>
            <w:r>
              <w:rPr>
                <w:rFonts w:ascii="Times New Roman" w:hAnsi="Times New Roman"/>
                <w:sz w:val="26"/>
                <w:szCs w:val="26"/>
              </w:rPr>
              <w:t xml:space="preserve">In the Matter of the Application of </w:t>
            </w:r>
            <w:r w:rsidR="00F4690C">
              <w:rPr>
                <w:rFonts w:ascii="Times New Roman" w:hAnsi="Times New Roman"/>
                <w:sz w:val="26"/>
                <w:szCs w:val="26"/>
              </w:rPr>
              <w:t>Duke Energy Ohio</w:t>
            </w:r>
            <w:r>
              <w:rPr>
                <w:rFonts w:ascii="Times New Roman" w:hAnsi="Times New Roman"/>
                <w:sz w:val="26"/>
                <w:szCs w:val="26"/>
              </w:rPr>
              <w:t xml:space="preserve"> </w:t>
            </w:r>
            <w:r w:rsidR="00745BFB" w:rsidRPr="00745BFB">
              <w:rPr>
                <w:rFonts w:ascii="Times New Roman" w:hAnsi="Times New Roman"/>
                <w:sz w:val="26"/>
                <w:szCs w:val="26"/>
              </w:rPr>
              <w:t xml:space="preserve">for Authority to Amend its Certified Supplier Tariff, </w:t>
            </w:r>
            <w:proofErr w:type="spellStart"/>
            <w:r w:rsidR="00745BFB" w:rsidRPr="00745BFB">
              <w:rPr>
                <w:rFonts w:ascii="Times New Roman" w:hAnsi="Times New Roman"/>
                <w:sz w:val="26"/>
                <w:szCs w:val="26"/>
              </w:rPr>
              <w:t>P.U.C.O</w:t>
            </w:r>
            <w:proofErr w:type="spellEnd"/>
            <w:r w:rsidR="00745BFB" w:rsidRPr="00745BFB">
              <w:rPr>
                <w:rFonts w:ascii="Times New Roman" w:hAnsi="Times New Roman"/>
                <w:sz w:val="26"/>
                <w:szCs w:val="26"/>
              </w:rPr>
              <w:t xml:space="preserve"> No. 20.</w:t>
            </w:r>
          </w:p>
        </w:tc>
        <w:tc>
          <w:tcPr>
            <w:tcW w:w="270" w:type="dxa"/>
          </w:tcPr>
          <w:p w:rsidR="001D2785" w:rsidRPr="00221496" w:rsidRDefault="001D2785" w:rsidP="00202C39">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D2785" w:rsidRPr="00221496" w:rsidRDefault="001D2785" w:rsidP="00202C39">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D2785" w:rsidRDefault="001D2785" w:rsidP="00202C39">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D2785" w:rsidRDefault="001D2785" w:rsidP="00202C39">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1D2785" w:rsidRDefault="001D2785" w:rsidP="00202C39">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1D2785" w:rsidRDefault="001D2785" w:rsidP="00202C39">
            <w:pPr>
              <w:pStyle w:val="Title"/>
              <w:tabs>
                <w:tab w:val="left" w:pos="5130"/>
                <w:tab w:val="left" w:pos="5670"/>
              </w:tabs>
              <w:rPr>
                <w:rFonts w:ascii="Times New Roman" w:hAnsi="Times New Roman"/>
                <w:sz w:val="26"/>
                <w:szCs w:val="26"/>
              </w:rPr>
            </w:pPr>
          </w:p>
          <w:p w:rsidR="001D2785" w:rsidRDefault="001D2785" w:rsidP="00202C39">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1D2785" w:rsidRDefault="001D2785" w:rsidP="00202C39">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1D2785" w:rsidRPr="00221496" w:rsidRDefault="001D2785" w:rsidP="00202C39">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1D2785" w:rsidRDefault="001D2785" w:rsidP="00202C39">
            <w:pPr>
              <w:pStyle w:val="Title"/>
              <w:tabs>
                <w:tab w:val="left" w:pos="1142"/>
                <w:tab w:val="left" w:pos="5130"/>
                <w:tab w:val="left" w:pos="5670"/>
              </w:tabs>
              <w:jc w:val="left"/>
              <w:rPr>
                <w:rFonts w:ascii="Times New Roman" w:hAnsi="Times New Roman"/>
                <w:sz w:val="26"/>
                <w:szCs w:val="26"/>
              </w:rPr>
            </w:pPr>
          </w:p>
          <w:p w:rsidR="001D2785" w:rsidRDefault="00071CF0" w:rsidP="00202C39">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 xml:space="preserve">Case No. </w:t>
            </w:r>
            <w:r w:rsidR="00F4690C">
              <w:rPr>
                <w:rFonts w:ascii="Times New Roman" w:hAnsi="Times New Roman"/>
                <w:sz w:val="26"/>
                <w:szCs w:val="26"/>
              </w:rPr>
              <w:t>14-841</w:t>
            </w:r>
            <w:r w:rsidR="001D2785">
              <w:rPr>
                <w:rFonts w:ascii="Times New Roman" w:hAnsi="Times New Roman"/>
                <w:sz w:val="26"/>
                <w:szCs w:val="26"/>
              </w:rPr>
              <w:t>-EL-SSO</w:t>
            </w:r>
          </w:p>
          <w:p w:rsidR="001D2785" w:rsidRDefault="001D2785" w:rsidP="00202C39">
            <w:pPr>
              <w:pStyle w:val="Title"/>
              <w:tabs>
                <w:tab w:val="left" w:pos="1142"/>
                <w:tab w:val="left" w:pos="5130"/>
                <w:tab w:val="left" w:pos="5670"/>
              </w:tabs>
              <w:jc w:val="left"/>
              <w:rPr>
                <w:rFonts w:ascii="Times New Roman" w:hAnsi="Times New Roman"/>
                <w:sz w:val="26"/>
                <w:szCs w:val="26"/>
              </w:rPr>
            </w:pPr>
          </w:p>
          <w:p w:rsidR="001D2785" w:rsidRDefault="001D2785" w:rsidP="00202C39">
            <w:pPr>
              <w:pStyle w:val="Title"/>
              <w:tabs>
                <w:tab w:val="left" w:pos="1142"/>
                <w:tab w:val="left" w:pos="5130"/>
                <w:tab w:val="left" w:pos="5670"/>
              </w:tabs>
              <w:jc w:val="left"/>
              <w:rPr>
                <w:rFonts w:ascii="Times New Roman" w:hAnsi="Times New Roman"/>
                <w:sz w:val="26"/>
                <w:szCs w:val="26"/>
              </w:rPr>
            </w:pPr>
          </w:p>
          <w:p w:rsidR="001D2785" w:rsidRDefault="001D2785" w:rsidP="00202C39">
            <w:pPr>
              <w:pStyle w:val="Title"/>
              <w:tabs>
                <w:tab w:val="left" w:pos="1142"/>
                <w:tab w:val="left" w:pos="5130"/>
                <w:tab w:val="left" w:pos="5670"/>
              </w:tabs>
              <w:jc w:val="left"/>
              <w:rPr>
                <w:rFonts w:ascii="Times New Roman" w:hAnsi="Times New Roman"/>
                <w:sz w:val="26"/>
                <w:szCs w:val="26"/>
              </w:rPr>
            </w:pPr>
          </w:p>
          <w:p w:rsidR="001D2785" w:rsidRDefault="001D2785" w:rsidP="00202C39">
            <w:pPr>
              <w:pStyle w:val="Title"/>
              <w:tabs>
                <w:tab w:val="left" w:pos="1142"/>
                <w:tab w:val="left" w:pos="5130"/>
                <w:tab w:val="left" w:pos="5670"/>
              </w:tabs>
              <w:jc w:val="left"/>
              <w:rPr>
                <w:rFonts w:ascii="Times New Roman" w:hAnsi="Times New Roman"/>
                <w:sz w:val="26"/>
                <w:szCs w:val="26"/>
              </w:rPr>
            </w:pPr>
          </w:p>
          <w:p w:rsidR="001D2785" w:rsidRDefault="001D2785" w:rsidP="00202C39">
            <w:pPr>
              <w:pStyle w:val="Title"/>
              <w:tabs>
                <w:tab w:val="left" w:pos="1142"/>
                <w:tab w:val="left" w:pos="5130"/>
                <w:tab w:val="left" w:pos="5670"/>
              </w:tabs>
              <w:jc w:val="left"/>
              <w:rPr>
                <w:rFonts w:ascii="Times New Roman" w:hAnsi="Times New Roman"/>
                <w:sz w:val="26"/>
                <w:szCs w:val="26"/>
              </w:rPr>
            </w:pPr>
          </w:p>
          <w:p w:rsidR="001D2785" w:rsidRPr="00221496" w:rsidRDefault="00F4690C" w:rsidP="00202C39">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Case No. 14-842</w:t>
            </w:r>
            <w:r w:rsidR="001D2785">
              <w:rPr>
                <w:rFonts w:ascii="Times New Roman" w:hAnsi="Times New Roman"/>
                <w:sz w:val="26"/>
                <w:szCs w:val="26"/>
              </w:rPr>
              <w:t>-EL-A</w:t>
            </w:r>
            <w:r>
              <w:rPr>
                <w:rFonts w:ascii="Times New Roman" w:hAnsi="Times New Roman"/>
                <w:sz w:val="26"/>
                <w:szCs w:val="26"/>
              </w:rPr>
              <w:t>TA</w:t>
            </w:r>
          </w:p>
        </w:tc>
      </w:tr>
    </w:tbl>
    <w:p w:rsidR="001D2785" w:rsidRPr="002D54AC" w:rsidRDefault="001D2785" w:rsidP="001D2785">
      <w:pPr>
        <w:pStyle w:val="Title"/>
        <w:tabs>
          <w:tab w:val="left" w:pos="5130"/>
          <w:tab w:val="left" w:pos="5670"/>
        </w:tabs>
        <w:rPr>
          <w:rFonts w:ascii="Times New Roman" w:hAnsi="Times New Roman"/>
          <w:sz w:val="26"/>
          <w:szCs w:val="26"/>
        </w:rPr>
      </w:pPr>
    </w:p>
    <w:p w:rsidR="001D2785" w:rsidRDefault="001D2785" w:rsidP="001D2785">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1D2785" w:rsidRPr="00E10679" w:rsidRDefault="001D2785" w:rsidP="001D2785">
      <w:pPr>
        <w:pStyle w:val="Title"/>
        <w:tabs>
          <w:tab w:val="left" w:pos="9360"/>
        </w:tabs>
        <w:rPr>
          <w:rFonts w:ascii="Times New Roman" w:hAnsi="Times New Roman"/>
          <w:b/>
          <w:sz w:val="32"/>
          <w:szCs w:val="32"/>
        </w:rPr>
      </w:pPr>
      <w:r>
        <w:rPr>
          <w:rFonts w:ascii="Times New Roman" w:hAnsi="Times New Roman"/>
          <w:b/>
          <w:sz w:val="32"/>
          <w:szCs w:val="32"/>
        </w:rPr>
        <w:t>POST-HEARING BRIEF</w:t>
      </w:r>
    </w:p>
    <w:p w:rsidR="001D2785" w:rsidRPr="00D03D20" w:rsidRDefault="001D2785" w:rsidP="001D2785">
      <w:pPr>
        <w:jc w:val="center"/>
        <w:rPr>
          <w:sz w:val="26"/>
          <w:szCs w:val="26"/>
        </w:rPr>
      </w:pPr>
      <w:r w:rsidRPr="00D03D20">
        <w:rPr>
          <w:sz w:val="26"/>
          <w:szCs w:val="26"/>
        </w:rPr>
        <w:t>SUBMITTED ON BEHALF OF THE STAFF OF</w:t>
      </w:r>
    </w:p>
    <w:p w:rsidR="001D2785" w:rsidRPr="00D03D20" w:rsidRDefault="001D2785" w:rsidP="001D2785">
      <w:pPr>
        <w:jc w:val="center"/>
        <w:rPr>
          <w:sz w:val="26"/>
          <w:szCs w:val="26"/>
        </w:rPr>
      </w:pPr>
      <w:r w:rsidRPr="00D03D20">
        <w:rPr>
          <w:sz w:val="26"/>
          <w:szCs w:val="26"/>
        </w:rPr>
        <w:t>THE PUBLIC UTILITIES COMMISSION OF OHIO</w:t>
      </w:r>
    </w:p>
    <w:p w:rsidR="001D2785" w:rsidRDefault="001D2785" w:rsidP="001D2785">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1D2785" w:rsidRPr="00613023" w:rsidRDefault="001D2785" w:rsidP="001D2785">
      <w:pPr>
        <w:pStyle w:val="Heading1"/>
      </w:pPr>
      <w:bookmarkStart w:id="14" w:name="_Toc406411812"/>
      <w:r w:rsidRPr="00613023">
        <w:t>INTRODUCTION</w:t>
      </w:r>
      <w:bookmarkEnd w:id="14"/>
    </w:p>
    <w:p w:rsidR="001A24B1" w:rsidRDefault="001D2785" w:rsidP="00CE7318">
      <w:pPr>
        <w:pStyle w:val="textstyle0"/>
      </w:pPr>
      <w:r>
        <w:tab/>
      </w:r>
      <w:r w:rsidR="00AB096B">
        <w:t xml:space="preserve">This </w:t>
      </w:r>
      <w:r w:rsidR="001A24B1">
        <w:t xml:space="preserve">initial post-hearing </w:t>
      </w:r>
      <w:r w:rsidR="00AB096B">
        <w:t xml:space="preserve">brief represents </w:t>
      </w:r>
      <w:r w:rsidR="001A24B1" w:rsidRPr="001A24B1">
        <w:t>Staff of the Public Utilities Commission of Ohio</w:t>
      </w:r>
      <w:r w:rsidR="001A24B1">
        <w:t>’s</w:t>
      </w:r>
      <w:r w:rsidR="001A24B1" w:rsidRPr="001A24B1">
        <w:t xml:space="preserve"> </w:t>
      </w:r>
      <w:r w:rsidR="001A24B1">
        <w:t xml:space="preserve">(“Staff”) </w:t>
      </w:r>
      <w:r w:rsidR="00AB096B">
        <w:t xml:space="preserve">position regarding </w:t>
      </w:r>
      <w:r w:rsidR="00633BA6">
        <w:t>Duke Energy Ohio’s (“Duke</w:t>
      </w:r>
      <w:r w:rsidR="00AB096B">
        <w:t>” or the “Company”)</w:t>
      </w:r>
      <w:r w:rsidR="001A24B1">
        <w:t xml:space="preserve"> latest standard service offer application. </w:t>
      </w:r>
      <w:r w:rsidR="00720DF3">
        <w:t xml:space="preserve"> </w:t>
      </w:r>
      <w:r w:rsidR="00633BA6">
        <w:t>Duke</w:t>
      </w:r>
      <w:r w:rsidR="001A24B1">
        <w:t xml:space="preserve"> proposes new riders in its application, and also proposes modification</w:t>
      </w:r>
      <w:r w:rsidR="007E17B6">
        <w:t>s</w:t>
      </w:r>
      <w:r w:rsidR="001A24B1">
        <w:t xml:space="preserve"> </w:t>
      </w:r>
      <w:r w:rsidR="007E17B6">
        <w:t xml:space="preserve">to some existing </w:t>
      </w:r>
      <w:r w:rsidR="001A24B1">
        <w:t>riders.  Staff will first</w:t>
      </w:r>
      <w:r w:rsidR="00E701A1">
        <w:t xml:space="preserve"> discuss its recommendations</w:t>
      </w:r>
      <w:r w:rsidR="007E17B6">
        <w:t xml:space="preserve"> </w:t>
      </w:r>
      <w:r w:rsidR="00E701A1">
        <w:t xml:space="preserve">for the </w:t>
      </w:r>
      <w:r w:rsidR="001A24B1">
        <w:t>new riders, then</w:t>
      </w:r>
      <w:r w:rsidR="00E701A1">
        <w:t xml:space="preserve"> address</w:t>
      </w:r>
      <w:r w:rsidR="007E17B6">
        <w:t xml:space="preserve"> </w:t>
      </w:r>
      <w:r w:rsidR="001A24B1">
        <w:t>prop</w:t>
      </w:r>
      <w:r w:rsidR="00E701A1">
        <w:t>osed changes to existing riders, and finally,</w:t>
      </w:r>
      <w:r w:rsidR="001A24B1">
        <w:t xml:space="preserve"> Staff </w:t>
      </w:r>
      <w:r w:rsidR="00582AFA">
        <w:t>discusses</w:t>
      </w:r>
      <w:r w:rsidR="001A24B1">
        <w:t xml:space="preserve"> its recommendations regarding </w:t>
      </w:r>
      <w:r w:rsidR="007E17B6">
        <w:t>other</w:t>
      </w:r>
      <w:r w:rsidR="001A24B1">
        <w:t xml:space="preserve"> aspects of </w:t>
      </w:r>
      <w:r w:rsidR="00633BA6">
        <w:t>Duke</w:t>
      </w:r>
      <w:r w:rsidR="001A24B1">
        <w:t>’s appli</w:t>
      </w:r>
      <w:r w:rsidR="006E341A">
        <w:softHyphen/>
      </w:r>
      <w:r w:rsidR="001A24B1">
        <w:t>ca</w:t>
      </w:r>
      <w:r w:rsidR="00634F10">
        <w:softHyphen/>
      </w:r>
      <w:r w:rsidR="001A24B1">
        <w:t>tion.  Staff believes</w:t>
      </w:r>
      <w:r w:rsidR="00E0326B">
        <w:t xml:space="preserve"> that</w:t>
      </w:r>
      <w:r w:rsidR="001A24B1">
        <w:t>, with Staff’s proposed modifications, th</w:t>
      </w:r>
      <w:r w:rsidR="00633BA6">
        <w:t>e Commission should approve Duke</w:t>
      </w:r>
      <w:r w:rsidR="001A24B1">
        <w:t xml:space="preserve">’s application. </w:t>
      </w:r>
    </w:p>
    <w:p w:rsidR="001D2785" w:rsidRDefault="001D2785" w:rsidP="001D2785">
      <w:pPr>
        <w:pStyle w:val="Heading1"/>
      </w:pPr>
      <w:bookmarkStart w:id="15" w:name="_Toc406411813"/>
      <w:r>
        <w:lastRenderedPageBreak/>
        <w:t>DISCUSSION</w:t>
      </w:r>
      <w:bookmarkEnd w:id="15"/>
    </w:p>
    <w:p w:rsidR="001D2785" w:rsidRDefault="00A90D3E" w:rsidP="001D2785">
      <w:pPr>
        <w:pStyle w:val="Heading2"/>
      </w:pPr>
      <w:bookmarkStart w:id="16" w:name="_Toc406411814"/>
      <w:r>
        <w:rPr>
          <w:rFonts w:eastAsia="Calibri"/>
        </w:rPr>
        <w:t xml:space="preserve">Staff’s </w:t>
      </w:r>
      <w:r w:rsidR="00720DF3">
        <w:rPr>
          <w:rFonts w:eastAsia="Calibri"/>
        </w:rPr>
        <w:t xml:space="preserve">Position </w:t>
      </w:r>
      <w:r w:rsidR="00F5283A">
        <w:rPr>
          <w:rFonts w:eastAsia="Calibri"/>
        </w:rPr>
        <w:t>Regarding</w:t>
      </w:r>
      <w:r>
        <w:rPr>
          <w:rFonts w:eastAsia="Calibri"/>
        </w:rPr>
        <w:t xml:space="preserve"> </w:t>
      </w:r>
      <w:r w:rsidR="00720DF3">
        <w:rPr>
          <w:rFonts w:eastAsia="Calibri"/>
        </w:rPr>
        <w:t>New R</w:t>
      </w:r>
      <w:r w:rsidR="00720DF3" w:rsidRPr="001B5F3B">
        <w:rPr>
          <w:rFonts w:eastAsia="Calibri"/>
        </w:rPr>
        <w:t xml:space="preserve">iders Proposed </w:t>
      </w:r>
      <w:r w:rsidR="001D2785" w:rsidRPr="001B5F3B">
        <w:rPr>
          <w:rFonts w:eastAsia="Calibri"/>
        </w:rPr>
        <w:t xml:space="preserve">by </w:t>
      </w:r>
      <w:r w:rsidR="00633BA6">
        <w:rPr>
          <w:rFonts w:eastAsia="Calibri"/>
        </w:rPr>
        <w:t>Duke</w:t>
      </w:r>
      <w:bookmarkEnd w:id="16"/>
    </w:p>
    <w:p w:rsidR="001D2785" w:rsidRPr="00105DB5" w:rsidRDefault="00720DF3" w:rsidP="00720DF3">
      <w:pPr>
        <w:pStyle w:val="Heading3"/>
      </w:pPr>
      <w:bookmarkStart w:id="17" w:name="_Toc406411815"/>
      <w:r>
        <w:t>1.</w:t>
      </w:r>
      <w:r>
        <w:tab/>
      </w:r>
      <w:r w:rsidR="00FC05A5">
        <w:t>Price Stability</w:t>
      </w:r>
      <w:r w:rsidR="001D2785" w:rsidRPr="00105DB5">
        <w:t xml:space="preserve"> Rider</w:t>
      </w:r>
      <w:r w:rsidR="00261089">
        <w:t xml:space="preserve"> (“</w:t>
      </w:r>
      <w:proofErr w:type="spellStart"/>
      <w:r w:rsidR="002540B5">
        <w:t>PSR</w:t>
      </w:r>
      <w:proofErr w:type="spellEnd"/>
      <w:r w:rsidR="00261089">
        <w:t>”)</w:t>
      </w:r>
      <w:bookmarkEnd w:id="17"/>
    </w:p>
    <w:p w:rsidR="001D2785" w:rsidRPr="00105DB5" w:rsidRDefault="00720DF3" w:rsidP="00720DF3">
      <w:pPr>
        <w:pStyle w:val="Heading4"/>
        <w:rPr>
          <w:rFonts w:eastAsia="Calibri"/>
        </w:rPr>
      </w:pPr>
      <w:bookmarkStart w:id="18" w:name="_Toc406411816"/>
      <w:r>
        <w:rPr>
          <w:rFonts w:eastAsia="Calibri"/>
        </w:rPr>
        <w:t>a.</w:t>
      </w:r>
      <w:r>
        <w:rPr>
          <w:rFonts w:eastAsia="Calibri"/>
        </w:rPr>
        <w:tab/>
      </w:r>
      <w:r w:rsidR="001D2785" w:rsidRPr="00105DB5">
        <w:rPr>
          <w:rFonts w:eastAsia="Calibri"/>
        </w:rPr>
        <w:t xml:space="preserve">The </w:t>
      </w:r>
      <w:proofErr w:type="spellStart"/>
      <w:r w:rsidR="002540B5">
        <w:rPr>
          <w:rFonts w:eastAsia="Calibri"/>
        </w:rPr>
        <w:t>PSR</w:t>
      </w:r>
      <w:proofErr w:type="spellEnd"/>
      <w:r w:rsidR="001D2785" w:rsidRPr="00105DB5">
        <w:rPr>
          <w:rFonts w:eastAsia="Calibri"/>
        </w:rPr>
        <w:t xml:space="preserve"> conflicts with the Commission’s policy goal of transitioning to a fully competitive market.</w:t>
      </w:r>
      <w:bookmarkEnd w:id="18"/>
      <w:r w:rsidR="001D2785" w:rsidRPr="00105DB5">
        <w:rPr>
          <w:rFonts w:eastAsia="Calibri"/>
        </w:rPr>
        <w:t xml:space="preserve">  </w:t>
      </w:r>
    </w:p>
    <w:p w:rsidR="001D2785" w:rsidRPr="00105DB5" w:rsidRDefault="00720DF3" w:rsidP="003A10B3">
      <w:pPr>
        <w:pStyle w:val="Heading5"/>
      </w:pPr>
      <w:bookmarkStart w:id="19" w:name="_Toc406411817"/>
      <w:proofErr w:type="spellStart"/>
      <w:r>
        <w:t>i</w:t>
      </w:r>
      <w:proofErr w:type="spellEnd"/>
      <w:r>
        <w:t>.</w:t>
      </w:r>
      <w:r>
        <w:tab/>
      </w:r>
      <w:r w:rsidR="001D2785" w:rsidRPr="00105DB5">
        <w:t xml:space="preserve">The </w:t>
      </w:r>
      <w:proofErr w:type="spellStart"/>
      <w:r w:rsidR="002540B5">
        <w:t>PSR</w:t>
      </w:r>
      <w:proofErr w:type="spellEnd"/>
      <w:r w:rsidR="001D2785" w:rsidRPr="00105DB5">
        <w:t xml:space="preserve"> contradicts the primary goal of </w:t>
      </w:r>
      <w:r w:rsidR="00633BA6">
        <w:t>Duke</w:t>
      </w:r>
      <w:r w:rsidR="001D2785" w:rsidRPr="00105DB5">
        <w:t>’s last ESP case, which was to transi</w:t>
      </w:r>
      <w:r w:rsidR="00634F10">
        <w:softHyphen/>
      </w:r>
      <w:r w:rsidR="001D2785" w:rsidRPr="00105DB5">
        <w:t xml:space="preserve">tion </w:t>
      </w:r>
      <w:r w:rsidR="00633BA6">
        <w:t>Duke</w:t>
      </w:r>
      <w:r w:rsidR="001D2785" w:rsidRPr="00105DB5">
        <w:t xml:space="preserve"> to a fully competitive market.</w:t>
      </w:r>
      <w:bookmarkEnd w:id="19"/>
      <w:r w:rsidR="001D2785" w:rsidRPr="00105DB5">
        <w:t xml:space="preserve"> </w:t>
      </w:r>
    </w:p>
    <w:p w:rsidR="001D2785" w:rsidRPr="00105DB5" w:rsidRDefault="00720DF3" w:rsidP="00CE7318">
      <w:pPr>
        <w:pStyle w:val="textstyle0"/>
        <w:rPr>
          <w:rFonts w:eastAsia="Calibri"/>
        </w:rPr>
      </w:pPr>
      <w:r>
        <w:rPr>
          <w:rFonts w:eastAsia="Calibri"/>
        </w:rPr>
        <w:tab/>
      </w:r>
      <w:r w:rsidR="001D2785" w:rsidRPr="00105DB5">
        <w:rPr>
          <w:rFonts w:eastAsia="Calibri"/>
        </w:rPr>
        <w:t>Staff oppose</w:t>
      </w:r>
      <w:r w:rsidR="00186D9E">
        <w:rPr>
          <w:rFonts w:eastAsia="Calibri"/>
        </w:rPr>
        <w:t>s</w:t>
      </w:r>
      <w:r w:rsidR="001D2785" w:rsidRPr="00105DB5">
        <w:rPr>
          <w:rFonts w:eastAsia="Calibri"/>
        </w:rPr>
        <w:t xml:space="preserve"> </w:t>
      </w:r>
      <w:r w:rsidR="00633BA6">
        <w:rPr>
          <w:rFonts w:eastAsia="Calibri"/>
        </w:rPr>
        <w:t>Duke</w:t>
      </w:r>
      <w:r w:rsidR="001D2785" w:rsidRPr="00105DB5">
        <w:rPr>
          <w:rFonts w:eastAsia="Calibri"/>
        </w:rPr>
        <w:t xml:space="preserve">’s </w:t>
      </w:r>
      <w:proofErr w:type="spellStart"/>
      <w:r w:rsidR="002540B5">
        <w:rPr>
          <w:rFonts w:eastAsia="Calibri"/>
        </w:rPr>
        <w:t>PSR</w:t>
      </w:r>
      <w:proofErr w:type="spellEnd"/>
      <w:r w:rsidR="001D2785" w:rsidRPr="00105DB5">
        <w:rPr>
          <w:rFonts w:eastAsia="Calibri"/>
        </w:rPr>
        <w:t>.  Staff’s primary con</w:t>
      </w:r>
      <w:r w:rsidR="00634F10">
        <w:rPr>
          <w:rFonts w:eastAsia="Calibri"/>
        </w:rPr>
        <w:softHyphen/>
      </w:r>
      <w:r w:rsidR="001D2785" w:rsidRPr="00105DB5">
        <w:rPr>
          <w:rFonts w:eastAsia="Calibri"/>
        </w:rPr>
        <w:t>cern</w:t>
      </w:r>
      <w:r w:rsidR="001D2785">
        <w:rPr>
          <w:rFonts w:eastAsia="Calibri"/>
        </w:rPr>
        <w:t xml:space="preserve"> is that the </w:t>
      </w:r>
      <w:proofErr w:type="spellStart"/>
      <w:r w:rsidR="002540B5">
        <w:rPr>
          <w:rFonts w:eastAsia="Calibri"/>
        </w:rPr>
        <w:t>PSR</w:t>
      </w:r>
      <w:proofErr w:type="spellEnd"/>
      <w:r w:rsidR="001D2785">
        <w:rPr>
          <w:rFonts w:eastAsia="Calibri"/>
        </w:rPr>
        <w:t xml:space="preserve"> </w:t>
      </w:r>
      <w:r w:rsidR="001D2785" w:rsidRPr="00105DB5">
        <w:rPr>
          <w:rFonts w:eastAsia="Calibri"/>
        </w:rPr>
        <w:t>conflicts with the Commission’s goal of</w:t>
      </w:r>
      <w:r w:rsidR="00241E49">
        <w:rPr>
          <w:rFonts w:eastAsia="Calibri"/>
        </w:rPr>
        <w:t xml:space="preserve"> transitioning the Ohio electric distribution companies (EDUs) toward a fully-competitive retail-market construct</w:t>
      </w:r>
      <w:r w:rsidR="001D2785" w:rsidRPr="00105DB5">
        <w:rPr>
          <w:rFonts w:eastAsia="Calibri"/>
        </w:rPr>
        <w:t>.  The Commission has been moving towards full market compe</w:t>
      </w:r>
      <w:r w:rsidR="00634F10">
        <w:rPr>
          <w:rFonts w:eastAsia="Calibri"/>
        </w:rPr>
        <w:softHyphen/>
      </w:r>
      <w:r w:rsidR="001D2785" w:rsidRPr="00105DB5">
        <w:rPr>
          <w:rFonts w:eastAsia="Calibri"/>
        </w:rPr>
        <w:t>tition</w:t>
      </w:r>
      <w:r w:rsidR="00770826">
        <w:rPr>
          <w:rFonts w:eastAsia="Calibri"/>
        </w:rPr>
        <w:t xml:space="preserve"> for over a decade</w:t>
      </w:r>
      <w:r w:rsidR="001D2785" w:rsidRPr="00105DB5">
        <w:rPr>
          <w:rFonts w:eastAsia="Calibri"/>
        </w:rPr>
        <w:t>.</w:t>
      </w:r>
      <w:r w:rsidR="001D2785">
        <w:rPr>
          <w:rStyle w:val="FootnoteReference"/>
          <w:rFonts w:eastAsia="Calibri"/>
          <w:szCs w:val="26"/>
        </w:rPr>
        <w:footnoteReference w:id="1"/>
      </w:r>
      <w:r w:rsidR="001D2785">
        <w:rPr>
          <w:rFonts w:eastAsia="Calibri"/>
        </w:rPr>
        <w:t xml:space="preserve">  </w:t>
      </w:r>
      <w:r w:rsidR="001D2785" w:rsidRPr="00105DB5">
        <w:rPr>
          <w:rFonts w:eastAsia="Calibri"/>
        </w:rPr>
        <w:t xml:space="preserve">In </w:t>
      </w:r>
      <w:r w:rsidR="00633BA6">
        <w:rPr>
          <w:rFonts w:eastAsia="Calibri"/>
        </w:rPr>
        <w:t>Duke</w:t>
      </w:r>
      <w:r w:rsidR="00C414DE">
        <w:rPr>
          <w:rFonts w:eastAsia="Calibri"/>
        </w:rPr>
        <w:t>’s last ESP</w:t>
      </w:r>
      <w:r w:rsidR="00FC05A5">
        <w:rPr>
          <w:rFonts w:eastAsia="Calibri"/>
        </w:rPr>
        <w:t xml:space="preserve"> case (“</w:t>
      </w:r>
      <w:r w:rsidR="00FC05A5">
        <w:rPr>
          <w:rFonts w:eastAsia="Calibri"/>
          <w:i/>
        </w:rPr>
        <w:t>ESP II case</w:t>
      </w:r>
      <w:r w:rsidR="00FC05A5">
        <w:rPr>
          <w:rFonts w:eastAsia="Calibri"/>
        </w:rPr>
        <w:t>”)</w:t>
      </w:r>
      <w:r w:rsidR="00C414DE">
        <w:rPr>
          <w:rFonts w:eastAsia="Calibri"/>
        </w:rPr>
        <w:t>,</w:t>
      </w:r>
      <w:r w:rsidR="00D32B74">
        <w:rPr>
          <w:rFonts w:eastAsia="Calibri"/>
        </w:rPr>
        <w:t xml:space="preserve"> the Commission ordered that “all of Duke’s generation assets will be transferred to an affiliate.</w:t>
      </w:r>
      <w:r w:rsidR="000F5FD3">
        <w:rPr>
          <w:rFonts w:eastAsia="Calibri"/>
        </w:rPr>
        <w:t>”</w:t>
      </w:r>
      <w:r w:rsidR="00D32B74" w:rsidRPr="00D32B74">
        <w:rPr>
          <w:rStyle w:val="FootnoteReference"/>
          <w:rFonts w:eastAsia="Calibri"/>
        </w:rPr>
        <w:t xml:space="preserve"> </w:t>
      </w:r>
      <w:r w:rsidR="00D32B74">
        <w:rPr>
          <w:rStyle w:val="FootnoteReference"/>
          <w:rFonts w:eastAsia="Calibri"/>
        </w:rPr>
        <w:footnoteReference w:id="2"/>
      </w:r>
      <w:r w:rsidR="00D32B74">
        <w:rPr>
          <w:rFonts w:eastAsia="Calibri"/>
        </w:rPr>
        <w:t xml:space="preserve">  </w:t>
      </w:r>
      <w:r w:rsidR="00CF16D5">
        <w:rPr>
          <w:rFonts w:eastAsia="Calibri"/>
        </w:rPr>
        <w:t>This transfer is to occur no later than December 31, 2014.</w:t>
      </w:r>
      <w:r w:rsidR="00CF16D5">
        <w:rPr>
          <w:rStyle w:val="FootnoteReference"/>
          <w:rFonts w:eastAsia="Calibri"/>
        </w:rPr>
        <w:footnoteReference w:id="3"/>
      </w:r>
      <w:r w:rsidR="00CF16D5">
        <w:rPr>
          <w:rFonts w:eastAsia="Calibri"/>
        </w:rPr>
        <w:t xml:space="preserve">  </w:t>
      </w:r>
      <w:r w:rsidR="000F5FD3">
        <w:rPr>
          <w:rFonts w:eastAsia="Calibri"/>
        </w:rPr>
        <w:t xml:space="preserve">In the </w:t>
      </w:r>
      <w:r w:rsidR="000F5FD3">
        <w:rPr>
          <w:rFonts w:eastAsia="Calibri"/>
          <w:i/>
        </w:rPr>
        <w:t xml:space="preserve">ESP II case, </w:t>
      </w:r>
      <w:r w:rsidR="000F5FD3">
        <w:rPr>
          <w:rFonts w:eastAsia="Calibri"/>
        </w:rPr>
        <w:t>t</w:t>
      </w:r>
      <w:r w:rsidR="00FC05A5">
        <w:rPr>
          <w:rFonts w:eastAsia="Calibri"/>
        </w:rPr>
        <w:t xml:space="preserve">he Commission cited </w:t>
      </w:r>
      <w:r w:rsidR="00C414DE">
        <w:rPr>
          <w:rFonts w:eastAsia="Calibri"/>
        </w:rPr>
        <w:t>Duke witness Janson</w:t>
      </w:r>
      <w:r w:rsidR="00FC05A5">
        <w:rPr>
          <w:rFonts w:eastAsia="Calibri"/>
        </w:rPr>
        <w:t>’s discussion of</w:t>
      </w:r>
      <w:r w:rsidR="001D2785" w:rsidRPr="00105DB5">
        <w:rPr>
          <w:rFonts w:eastAsia="Calibri"/>
        </w:rPr>
        <w:t xml:space="preserve"> this transi</w:t>
      </w:r>
      <w:r w:rsidR="006E341A">
        <w:rPr>
          <w:rFonts w:eastAsia="Calibri"/>
        </w:rPr>
        <w:softHyphen/>
      </w:r>
      <w:r w:rsidR="001D2785" w:rsidRPr="00105DB5">
        <w:rPr>
          <w:rFonts w:eastAsia="Calibri"/>
        </w:rPr>
        <w:t xml:space="preserve">tion to full competition, and the role </w:t>
      </w:r>
      <w:r w:rsidR="00633BA6">
        <w:rPr>
          <w:rFonts w:eastAsia="Calibri"/>
        </w:rPr>
        <w:t>Duke</w:t>
      </w:r>
      <w:r w:rsidR="001D2785" w:rsidRPr="00105DB5">
        <w:rPr>
          <w:rFonts w:eastAsia="Calibri"/>
        </w:rPr>
        <w:t xml:space="preserve">’s </w:t>
      </w:r>
      <w:r w:rsidR="001D2785" w:rsidRPr="00D32B74">
        <w:rPr>
          <w:rFonts w:eastAsia="Calibri"/>
          <w:i/>
        </w:rPr>
        <w:t xml:space="preserve">ESP II </w:t>
      </w:r>
      <w:r w:rsidR="00D32B74">
        <w:rPr>
          <w:rFonts w:eastAsia="Calibri"/>
        </w:rPr>
        <w:t xml:space="preserve">case </w:t>
      </w:r>
      <w:r w:rsidR="001D2785" w:rsidRPr="00105DB5">
        <w:rPr>
          <w:rFonts w:eastAsia="Calibri"/>
        </w:rPr>
        <w:t xml:space="preserve">played:  </w:t>
      </w:r>
    </w:p>
    <w:p w:rsidR="001D2785" w:rsidRPr="00105DB5" w:rsidRDefault="00770826" w:rsidP="00CE7318">
      <w:pPr>
        <w:pStyle w:val="Blockquote"/>
        <w:rPr>
          <w:rFonts w:eastAsia="Calibri"/>
        </w:rPr>
      </w:pPr>
      <w:r>
        <w:rPr>
          <w:rFonts w:eastAsia="Calibri"/>
        </w:rPr>
        <w:lastRenderedPageBreak/>
        <w:t xml:space="preserve">Duke witness Janson further avers that the </w:t>
      </w:r>
      <w:r w:rsidRPr="00770826">
        <w:rPr>
          <w:rFonts w:eastAsia="Calibri"/>
        </w:rPr>
        <w:t>stipulation complies with all relevant and important principles and practices, and furthers those through the advancement of the competitive market in Duke's service territory in Ohio, by embracing a full competitive auction SSO and full legal separation</w:t>
      </w:r>
      <w:r>
        <w:rPr>
          <w:rFonts w:eastAsia="Calibri"/>
        </w:rPr>
        <w:t xml:space="preserve"> of Duke's </w:t>
      </w:r>
      <w:r w:rsidRPr="00770826">
        <w:rPr>
          <w:rFonts w:eastAsia="Calibri"/>
        </w:rPr>
        <w:t>generating assets from its distributio</w:t>
      </w:r>
      <w:r>
        <w:rPr>
          <w:rFonts w:eastAsia="Calibri"/>
        </w:rPr>
        <w:t>n utility</w:t>
      </w:r>
      <w:r w:rsidR="001D2785" w:rsidRPr="00105DB5">
        <w:rPr>
          <w:rFonts w:eastAsia="Calibri"/>
        </w:rPr>
        <w:t>.</w:t>
      </w:r>
      <w:r w:rsidR="001D2785" w:rsidRPr="00105DB5">
        <w:rPr>
          <w:rFonts w:eastAsia="Calibri"/>
          <w:vertAlign w:val="superscript"/>
        </w:rPr>
        <w:footnoteReference w:id="4"/>
      </w:r>
      <w:r w:rsidR="001D2785" w:rsidRPr="00105DB5">
        <w:rPr>
          <w:rFonts w:eastAsia="Calibri"/>
        </w:rPr>
        <w:t xml:space="preserve"> </w:t>
      </w:r>
    </w:p>
    <w:p w:rsidR="00514FB6" w:rsidRDefault="00B16DEF" w:rsidP="00514FB6">
      <w:pPr>
        <w:pStyle w:val="textstyle0"/>
        <w:rPr>
          <w:rFonts w:eastAsia="Calibri"/>
        </w:rPr>
      </w:pPr>
      <w:r>
        <w:rPr>
          <w:rFonts w:eastAsia="Calibri"/>
        </w:rPr>
        <w:tab/>
      </w:r>
      <w:r w:rsidR="001D2785" w:rsidRPr="00105DB5">
        <w:rPr>
          <w:rFonts w:eastAsia="Calibri"/>
        </w:rPr>
        <w:t>The objective was to expe</w:t>
      </w:r>
      <w:r w:rsidR="006E341A">
        <w:rPr>
          <w:rFonts w:eastAsia="Calibri"/>
        </w:rPr>
        <w:softHyphen/>
      </w:r>
      <w:r w:rsidR="001D2785" w:rsidRPr="00105DB5">
        <w:rPr>
          <w:rFonts w:eastAsia="Calibri"/>
        </w:rPr>
        <w:t>di</w:t>
      </w:r>
      <w:r w:rsidR="00634F10">
        <w:rPr>
          <w:rFonts w:eastAsia="Calibri"/>
        </w:rPr>
        <w:softHyphen/>
      </w:r>
      <w:r w:rsidR="001D2785" w:rsidRPr="00105DB5">
        <w:rPr>
          <w:rFonts w:eastAsia="Calibri"/>
        </w:rPr>
        <w:t xml:space="preserve">tiously transition </w:t>
      </w:r>
      <w:r w:rsidR="00633BA6">
        <w:rPr>
          <w:rFonts w:eastAsia="Calibri"/>
        </w:rPr>
        <w:t>Duke</w:t>
      </w:r>
      <w:r w:rsidR="00581C02">
        <w:rPr>
          <w:rFonts w:eastAsia="Calibri"/>
        </w:rPr>
        <w:t>’s generation assets to a fully-</w:t>
      </w:r>
      <w:r w:rsidR="001D2785" w:rsidRPr="00105DB5">
        <w:rPr>
          <w:rFonts w:eastAsia="Calibri"/>
        </w:rPr>
        <w:t xml:space="preserve">competitive market.  </w:t>
      </w:r>
      <w:r w:rsidR="00D3762D">
        <w:rPr>
          <w:rFonts w:eastAsia="Calibri"/>
        </w:rPr>
        <w:t>T</w:t>
      </w:r>
      <w:r w:rsidR="001D2785" w:rsidRPr="00105DB5">
        <w:rPr>
          <w:rFonts w:eastAsia="Calibri"/>
        </w:rPr>
        <w:t xml:space="preserve">his transition was </w:t>
      </w:r>
      <w:r w:rsidR="00D3762D">
        <w:rPr>
          <w:rFonts w:eastAsia="Calibri"/>
        </w:rPr>
        <w:t xml:space="preserve">a </w:t>
      </w:r>
      <w:r w:rsidR="001D2785" w:rsidRPr="00105DB5">
        <w:rPr>
          <w:rFonts w:eastAsia="Calibri"/>
        </w:rPr>
        <w:t>significant non-quanti</w:t>
      </w:r>
      <w:r w:rsidR="006E341A">
        <w:rPr>
          <w:rFonts w:eastAsia="Calibri"/>
        </w:rPr>
        <w:softHyphen/>
      </w:r>
      <w:r w:rsidR="00D3762D">
        <w:rPr>
          <w:rFonts w:eastAsia="Calibri"/>
        </w:rPr>
        <w:t>fiable benefit</w:t>
      </w:r>
      <w:r w:rsidR="001D2785" w:rsidRPr="00105DB5">
        <w:rPr>
          <w:rFonts w:eastAsia="Calibri"/>
        </w:rPr>
        <w:t xml:space="preserve"> of the</w:t>
      </w:r>
      <w:r w:rsidR="00D3762D">
        <w:rPr>
          <w:rFonts w:eastAsia="Calibri"/>
        </w:rPr>
        <w:t xml:space="preserve"> stipulated</w:t>
      </w:r>
      <w:r w:rsidR="001D2785" w:rsidRPr="00105DB5">
        <w:rPr>
          <w:rFonts w:eastAsia="Calibri"/>
        </w:rPr>
        <w:t xml:space="preserve"> </w:t>
      </w:r>
      <w:r w:rsidR="001D2785" w:rsidRPr="00444B72">
        <w:rPr>
          <w:rFonts w:eastAsia="Calibri"/>
          <w:i/>
        </w:rPr>
        <w:t>ESP II</w:t>
      </w:r>
      <w:r w:rsidR="00FC05A5">
        <w:rPr>
          <w:rFonts w:eastAsia="Calibri"/>
          <w:i/>
        </w:rPr>
        <w:t xml:space="preserve"> c</w:t>
      </w:r>
      <w:r w:rsidR="001D2785">
        <w:rPr>
          <w:rFonts w:eastAsia="Calibri"/>
          <w:i/>
        </w:rPr>
        <w:t>ase</w:t>
      </w:r>
      <w:r w:rsidR="001D2785" w:rsidRPr="00105DB5">
        <w:rPr>
          <w:rFonts w:eastAsia="Calibri"/>
        </w:rPr>
        <w:t>.</w:t>
      </w:r>
      <w:r w:rsidR="001D2785" w:rsidRPr="00105DB5">
        <w:rPr>
          <w:rFonts w:eastAsia="Calibri"/>
          <w:vertAlign w:val="superscript"/>
        </w:rPr>
        <w:t xml:space="preserve"> </w:t>
      </w:r>
      <w:r w:rsidR="001D2785" w:rsidRPr="00105DB5">
        <w:rPr>
          <w:rFonts w:eastAsia="Calibri"/>
          <w:vertAlign w:val="superscript"/>
        </w:rPr>
        <w:footnoteReference w:id="5"/>
      </w:r>
      <w:r w:rsidR="001D2785" w:rsidRPr="00105DB5">
        <w:rPr>
          <w:rFonts w:eastAsia="Calibri"/>
        </w:rPr>
        <w:t xml:space="preserve">  </w:t>
      </w:r>
      <w:r w:rsidR="00D3762D">
        <w:t xml:space="preserve">As part of the </w:t>
      </w:r>
      <w:r w:rsidR="00D3762D" w:rsidRPr="00D3762D">
        <w:rPr>
          <w:i/>
        </w:rPr>
        <w:t>ESP II</w:t>
      </w:r>
      <w:r w:rsidR="00FC05A5">
        <w:rPr>
          <w:i/>
        </w:rPr>
        <w:t xml:space="preserve"> case</w:t>
      </w:r>
      <w:r w:rsidR="00FC05A5">
        <w:t xml:space="preserve"> s</w:t>
      </w:r>
      <w:r w:rsidR="00D3762D">
        <w:t>tipulation terms, the parties agreed that Duke was permitted</w:t>
      </w:r>
      <w:r w:rsidR="00D3762D" w:rsidRPr="007B1ABF">
        <w:t xml:space="preserve"> to collect $330 million from customers for its Electric Stability Service Charge (</w:t>
      </w:r>
      <w:r w:rsidR="00D3762D">
        <w:t>“</w:t>
      </w:r>
      <w:proofErr w:type="spellStart"/>
      <w:r w:rsidR="00D3762D" w:rsidRPr="007B1ABF">
        <w:t>ESSC</w:t>
      </w:r>
      <w:proofErr w:type="spellEnd"/>
      <w:r w:rsidR="00D3762D">
        <w:t>”</w:t>
      </w:r>
      <w:r w:rsidR="00D3762D" w:rsidRPr="007B1ABF">
        <w:t>)</w:t>
      </w:r>
      <w:r w:rsidR="00D3762D">
        <w:t xml:space="preserve"> settling the issue of Duke’s capacity revenues.</w:t>
      </w:r>
      <w:r w:rsidR="00D3762D">
        <w:rPr>
          <w:rStyle w:val="FootnoteReference"/>
        </w:rPr>
        <w:footnoteReference w:id="6"/>
      </w:r>
      <w:r w:rsidR="00D3762D">
        <w:t xml:space="preserve">  </w:t>
      </w:r>
      <w:r w:rsidR="00EF54DF">
        <w:rPr>
          <w:rFonts w:eastAsia="Calibri"/>
        </w:rPr>
        <w:t>T</w:t>
      </w:r>
      <w:r w:rsidR="00D3762D">
        <w:rPr>
          <w:rFonts w:eastAsia="Calibri"/>
        </w:rPr>
        <w:t xml:space="preserve">he </w:t>
      </w:r>
      <w:proofErr w:type="spellStart"/>
      <w:r w:rsidR="00D3762D">
        <w:rPr>
          <w:rFonts w:eastAsia="Calibri"/>
        </w:rPr>
        <w:t>ESCC</w:t>
      </w:r>
      <w:proofErr w:type="spellEnd"/>
      <w:r w:rsidR="00EF54DF">
        <w:rPr>
          <w:rFonts w:eastAsia="Calibri"/>
        </w:rPr>
        <w:t xml:space="preserve"> was an important element</w:t>
      </w:r>
      <w:r w:rsidR="001D2785" w:rsidRPr="00105DB5">
        <w:rPr>
          <w:rFonts w:eastAsia="Calibri"/>
        </w:rPr>
        <w:t xml:space="preserve"> </w:t>
      </w:r>
      <w:r w:rsidR="00EF54DF">
        <w:rPr>
          <w:rFonts w:eastAsia="Calibri"/>
        </w:rPr>
        <w:t xml:space="preserve">that </w:t>
      </w:r>
      <w:r w:rsidR="001D2785" w:rsidRPr="00105DB5">
        <w:rPr>
          <w:rFonts w:eastAsia="Calibri"/>
        </w:rPr>
        <w:t xml:space="preserve">would ensure that </w:t>
      </w:r>
      <w:r w:rsidR="00633BA6">
        <w:rPr>
          <w:rFonts w:eastAsia="Calibri"/>
        </w:rPr>
        <w:t>Duke</w:t>
      </w:r>
      <w:r w:rsidR="001D2785" w:rsidRPr="00105DB5">
        <w:rPr>
          <w:rFonts w:eastAsia="Calibri"/>
        </w:rPr>
        <w:t xml:space="preserve"> w</w:t>
      </w:r>
      <w:r w:rsidR="00EF54DF">
        <w:rPr>
          <w:rFonts w:eastAsia="Calibri"/>
        </w:rPr>
        <w:t xml:space="preserve">ould achieve a </w:t>
      </w:r>
      <w:r w:rsidR="001D2785" w:rsidRPr="00105DB5">
        <w:rPr>
          <w:rFonts w:eastAsia="Calibri"/>
        </w:rPr>
        <w:t>fully-establish</w:t>
      </w:r>
      <w:r w:rsidR="00EF54DF">
        <w:rPr>
          <w:rFonts w:eastAsia="Calibri"/>
        </w:rPr>
        <w:t xml:space="preserve">ed competitive electric market where </w:t>
      </w:r>
      <w:r w:rsidR="001D2785" w:rsidRPr="00105DB5">
        <w:rPr>
          <w:rFonts w:eastAsia="Calibri"/>
        </w:rPr>
        <w:t xml:space="preserve">market forces dictate the success or failure of </w:t>
      </w:r>
      <w:r w:rsidR="00633BA6">
        <w:rPr>
          <w:rFonts w:eastAsia="Calibri"/>
        </w:rPr>
        <w:t>Duke</w:t>
      </w:r>
      <w:r w:rsidR="001D2785" w:rsidRPr="00105DB5">
        <w:rPr>
          <w:rFonts w:eastAsia="Calibri"/>
        </w:rPr>
        <w:t xml:space="preserve">’s former generation assets, </w:t>
      </w:r>
      <w:r w:rsidR="001D2785" w:rsidRPr="00105DB5">
        <w:rPr>
          <w:rFonts w:eastAsia="Calibri"/>
          <w:i/>
        </w:rPr>
        <w:t xml:space="preserve">not </w:t>
      </w:r>
      <w:r w:rsidR="001D2785" w:rsidRPr="00105DB5">
        <w:rPr>
          <w:rFonts w:eastAsia="Calibri"/>
        </w:rPr>
        <w:t xml:space="preserve">the </w:t>
      </w:r>
      <w:r w:rsidR="00CF16D5">
        <w:rPr>
          <w:rFonts w:eastAsia="Calibri"/>
        </w:rPr>
        <w:t xml:space="preserve">Commission.  Again, the </w:t>
      </w:r>
      <w:r w:rsidR="0030498F">
        <w:rPr>
          <w:rFonts w:eastAsia="Calibri"/>
        </w:rPr>
        <w:t>Commission</w:t>
      </w:r>
      <w:r w:rsidR="00CF16D5">
        <w:rPr>
          <w:rFonts w:eastAsia="Calibri"/>
        </w:rPr>
        <w:t xml:space="preserve"> ordere</w:t>
      </w:r>
      <w:r w:rsidR="0030498F">
        <w:rPr>
          <w:rFonts w:eastAsia="Calibri"/>
        </w:rPr>
        <w:t>d that Duke transfer all its gener</w:t>
      </w:r>
      <w:r w:rsidR="00CF16D5">
        <w:rPr>
          <w:rFonts w:eastAsia="Calibri"/>
        </w:rPr>
        <w:t>ation assets; regulated cost-of-</w:t>
      </w:r>
      <w:r w:rsidR="001D2785" w:rsidRPr="00105DB5">
        <w:rPr>
          <w:rFonts w:eastAsia="Calibri"/>
        </w:rPr>
        <w:t xml:space="preserve">service recovery for </w:t>
      </w:r>
      <w:r w:rsidR="00633BA6">
        <w:rPr>
          <w:rFonts w:eastAsia="Calibri"/>
        </w:rPr>
        <w:t>Duke</w:t>
      </w:r>
      <w:r w:rsidR="001D2785" w:rsidRPr="00105DB5">
        <w:rPr>
          <w:rFonts w:eastAsia="Calibri"/>
        </w:rPr>
        <w:t>’s genera</w:t>
      </w:r>
      <w:r w:rsidR="00634F10">
        <w:rPr>
          <w:rFonts w:eastAsia="Calibri"/>
        </w:rPr>
        <w:softHyphen/>
      </w:r>
      <w:r w:rsidR="00831605">
        <w:rPr>
          <w:rFonts w:eastAsia="Calibri"/>
        </w:rPr>
        <w:t>tion assets should</w:t>
      </w:r>
      <w:r w:rsidR="001D2785" w:rsidRPr="00105DB5">
        <w:rPr>
          <w:rFonts w:eastAsia="Calibri"/>
        </w:rPr>
        <w:t xml:space="preserve"> cease to exist when this goal is reached.  </w:t>
      </w:r>
    </w:p>
    <w:p w:rsidR="00AB31B8" w:rsidRDefault="00514FB6" w:rsidP="00EF120D">
      <w:pPr>
        <w:pStyle w:val="textstyle0"/>
        <w:rPr>
          <w:rFonts w:eastAsia="Calibri"/>
        </w:rPr>
      </w:pPr>
      <w:r>
        <w:rPr>
          <w:rFonts w:eastAsia="Calibri"/>
        </w:rPr>
        <w:tab/>
      </w:r>
      <w:r w:rsidR="002D7F1A" w:rsidRPr="002D7F1A">
        <w:rPr>
          <w:rFonts w:eastAsia="Calibri"/>
        </w:rPr>
        <w:t xml:space="preserve">Duke Energy Ohio has not been in the business of selling electric generation </w:t>
      </w:r>
      <w:r w:rsidR="002D7F1A">
        <w:rPr>
          <w:rFonts w:eastAsia="Calibri"/>
        </w:rPr>
        <w:t>service since January 1, 2012</w:t>
      </w:r>
      <w:r w:rsidR="00CA158A">
        <w:rPr>
          <w:rFonts w:eastAsia="Calibri"/>
        </w:rPr>
        <w:t>,</w:t>
      </w:r>
      <w:r w:rsidR="00241E49">
        <w:rPr>
          <w:rFonts w:eastAsia="Calibri"/>
        </w:rPr>
        <w:t xml:space="preserve"> but rather, Duke is</w:t>
      </w:r>
      <w:r w:rsidR="001D2785" w:rsidRPr="00105DB5">
        <w:rPr>
          <w:rFonts w:eastAsia="Calibri"/>
        </w:rPr>
        <w:t xml:space="preserve"> a “wires only” company that no longer </w:t>
      </w:r>
      <w:r w:rsidR="00AB31B8">
        <w:rPr>
          <w:rFonts w:eastAsia="Calibri"/>
        </w:rPr>
        <w:br w:type="page"/>
      </w:r>
    </w:p>
    <w:p w:rsidR="00241E49" w:rsidRDefault="001D2785" w:rsidP="00EF120D">
      <w:pPr>
        <w:pStyle w:val="textstyle0"/>
        <w:rPr>
          <w:rFonts w:eastAsia="Calibri"/>
        </w:rPr>
      </w:pPr>
      <w:proofErr w:type="gramStart"/>
      <w:r w:rsidRPr="00105DB5">
        <w:rPr>
          <w:rFonts w:eastAsia="Calibri"/>
        </w:rPr>
        <w:lastRenderedPageBreak/>
        <w:t>sells</w:t>
      </w:r>
      <w:proofErr w:type="gramEnd"/>
      <w:r w:rsidRPr="00105DB5">
        <w:rPr>
          <w:rFonts w:eastAsia="Calibri"/>
        </w:rPr>
        <w:t xml:space="preserve"> electricity to Ohio ratepayers.</w:t>
      </w:r>
      <w:r w:rsidRPr="00105DB5">
        <w:rPr>
          <w:rFonts w:eastAsia="Calibri"/>
          <w:vertAlign w:val="superscript"/>
        </w:rPr>
        <w:footnoteReference w:id="7"/>
      </w:r>
      <w:r w:rsidR="00EF54DF">
        <w:rPr>
          <w:rFonts w:eastAsia="Calibri"/>
        </w:rPr>
        <w:t xml:space="preserve">  </w:t>
      </w:r>
      <w:r w:rsidR="00633BA6">
        <w:rPr>
          <w:rFonts w:eastAsia="Calibri"/>
        </w:rPr>
        <w:t>Duke</w:t>
      </w:r>
      <w:r w:rsidR="00EF54DF">
        <w:rPr>
          <w:rFonts w:eastAsia="Calibri"/>
        </w:rPr>
        <w:t>, however, now</w:t>
      </w:r>
      <w:r w:rsidRPr="00105DB5">
        <w:rPr>
          <w:rFonts w:eastAsia="Calibri"/>
        </w:rPr>
        <w:t xml:space="preserve"> asks to the Commission to reverse course and begin “reregulating”</w:t>
      </w:r>
      <w:r w:rsidRPr="00105DB5">
        <w:rPr>
          <w:rFonts w:eastAsia="Calibri"/>
          <w:vertAlign w:val="superscript"/>
        </w:rPr>
        <w:footnoteReference w:id="8"/>
      </w:r>
      <w:r w:rsidRPr="00105DB5">
        <w:rPr>
          <w:rFonts w:eastAsia="Calibri"/>
        </w:rPr>
        <w:t xml:space="preserve"> some of </w:t>
      </w:r>
      <w:r w:rsidR="00633BA6">
        <w:rPr>
          <w:rFonts w:eastAsia="Calibri"/>
        </w:rPr>
        <w:t>Duke</w:t>
      </w:r>
      <w:r w:rsidRPr="00105DB5">
        <w:rPr>
          <w:rFonts w:eastAsia="Calibri"/>
        </w:rPr>
        <w:t>’s generation assets</w:t>
      </w:r>
      <w:r w:rsidR="00514FB6">
        <w:rPr>
          <w:rFonts w:eastAsia="Calibri"/>
        </w:rPr>
        <w:t xml:space="preserve"> – its 9% stock-ownership interest in the Ohio Valley Electric Corporation (“</w:t>
      </w:r>
      <w:proofErr w:type="spellStart"/>
      <w:r w:rsidR="00514FB6">
        <w:rPr>
          <w:rFonts w:eastAsia="Calibri"/>
        </w:rPr>
        <w:t>OVEC</w:t>
      </w:r>
      <w:proofErr w:type="spellEnd"/>
      <w:r w:rsidR="00514FB6">
        <w:rPr>
          <w:rFonts w:eastAsia="Calibri"/>
        </w:rPr>
        <w:t>”), generation facilities originally built</w:t>
      </w:r>
      <w:r w:rsidR="00514FB6" w:rsidRPr="007B6B73">
        <w:rPr>
          <w:rFonts w:eastAsia="Calibri"/>
          <w:szCs w:val="26"/>
        </w:rPr>
        <w:t xml:space="preserve"> for</w:t>
      </w:r>
      <w:r w:rsidR="00514FB6">
        <w:rPr>
          <w:rFonts w:eastAsia="Calibri"/>
          <w:szCs w:val="26"/>
        </w:rPr>
        <w:t xml:space="preserve"> the U.S. Department of Energy</w:t>
      </w:r>
      <w:r w:rsidR="00514FB6" w:rsidRPr="007B6B73">
        <w:rPr>
          <w:rFonts w:eastAsia="Calibri"/>
          <w:szCs w:val="26"/>
        </w:rPr>
        <w:t>.</w:t>
      </w:r>
      <w:r w:rsidR="00514FB6">
        <w:rPr>
          <w:rFonts w:eastAsia="Calibri"/>
        </w:rPr>
        <w:t xml:space="preserve"> </w:t>
      </w:r>
      <w:r w:rsidRPr="00105DB5">
        <w:rPr>
          <w:rFonts w:eastAsia="Calibri"/>
        </w:rPr>
        <w:t xml:space="preserve"> The </w:t>
      </w:r>
      <w:r w:rsidR="00CA158A">
        <w:rPr>
          <w:rFonts w:eastAsia="Calibri"/>
        </w:rPr>
        <w:t xml:space="preserve">proposed </w:t>
      </w:r>
      <w:proofErr w:type="spellStart"/>
      <w:r w:rsidR="002540B5">
        <w:rPr>
          <w:rFonts w:eastAsia="Calibri"/>
        </w:rPr>
        <w:t>PSR</w:t>
      </w:r>
      <w:proofErr w:type="spellEnd"/>
      <w:r>
        <w:rPr>
          <w:rFonts w:eastAsia="Calibri"/>
        </w:rPr>
        <w:t xml:space="preserve"> will move </w:t>
      </w:r>
      <w:r w:rsidR="00633BA6">
        <w:rPr>
          <w:rFonts w:eastAsia="Calibri"/>
        </w:rPr>
        <w:t>Duke</w:t>
      </w:r>
      <w:r>
        <w:rPr>
          <w:rFonts w:eastAsia="Calibri"/>
        </w:rPr>
        <w:t xml:space="preserve"> in the </w:t>
      </w:r>
      <w:r w:rsidRPr="00105DB5">
        <w:rPr>
          <w:rFonts w:eastAsia="Calibri"/>
        </w:rPr>
        <w:t xml:space="preserve">opposite </w:t>
      </w:r>
      <w:r>
        <w:rPr>
          <w:rFonts w:eastAsia="Calibri"/>
        </w:rPr>
        <w:t xml:space="preserve">direction </w:t>
      </w:r>
      <w:r w:rsidR="00EF54DF">
        <w:rPr>
          <w:rFonts w:eastAsia="Calibri"/>
        </w:rPr>
        <w:t>of market-based competition by providing</w:t>
      </w:r>
      <w:r w:rsidRPr="00105DB5">
        <w:rPr>
          <w:rFonts w:eastAsia="Calibri"/>
        </w:rPr>
        <w:t xml:space="preserve"> </w:t>
      </w:r>
      <w:r w:rsidR="00633BA6">
        <w:rPr>
          <w:rFonts w:eastAsia="Calibri"/>
        </w:rPr>
        <w:t>Duke</w:t>
      </w:r>
      <w:r w:rsidRPr="00105DB5">
        <w:rPr>
          <w:rFonts w:eastAsia="Calibri"/>
        </w:rPr>
        <w:t xml:space="preserve"> a guarantee</w:t>
      </w:r>
      <w:r w:rsidR="00514FB6">
        <w:rPr>
          <w:rFonts w:eastAsia="Calibri"/>
        </w:rPr>
        <w:t>d revenue stream for these</w:t>
      </w:r>
      <w:r w:rsidRPr="00105DB5">
        <w:rPr>
          <w:rFonts w:eastAsia="Calibri"/>
        </w:rPr>
        <w:t xml:space="preserve"> generation assets, irrespec</w:t>
      </w:r>
      <w:r w:rsidR="00634F10">
        <w:rPr>
          <w:rFonts w:eastAsia="Calibri"/>
        </w:rPr>
        <w:softHyphen/>
      </w:r>
      <w:r w:rsidRPr="00105DB5">
        <w:rPr>
          <w:rFonts w:eastAsia="Calibri"/>
        </w:rPr>
        <w:t xml:space="preserve">tive of market forces.  </w:t>
      </w:r>
      <w:r w:rsidR="00A676B6" w:rsidRPr="00A676B6">
        <w:rPr>
          <w:rFonts w:eastAsia="Calibri"/>
        </w:rPr>
        <w:t>The Inter-comp</w:t>
      </w:r>
      <w:r w:rsidR="0074653F">
        <w:rPr>
          <w:rFonts w:eastAsia="Calibri"/>
        </w:rPr>
        <w:t>a</w:t>
      </w:r>
      <w:r w:rsidR="00A676B6" w:rsidRPr="00A676B6">
        <w:rPr>
          <w:rFonts w:eastAsia="Calibri"/>
        </w:rPr>
        <w:t>ny Power Agreement (</w:t>
      </w:r>
      <w:r w:rsidR="0074653F">
        <w:rPr>
          <w:rFonts w:eastAsia="Calibri"/>
        </w:rPr>
        <w:t>“</w:t>
      </w:r>
      <w:proofErr w:type="spellStart"/>
      <w:r w:rsidR="00A676B6" w:rsidRPr="00A676B6">
        <w:rPr>
          <w:rFonts w:eastAsia="Calibri"/>
        </w:rPr>
        <w:t>ICPA</w:t>
      </w:r>
      <w:proofErr w:type="spellEnd"/>
      <w:r w:rsidR="0074653F">
        <w:rPr>
          <w:rFonts w:eastAsia="Calibri"/>
        </w:rPr>
        <w:t>”</w:t>
      </w:r>
      <w:r w:rsidR="00A676B6" w:rsidRPr="00A676B6">
        <w:rPr>
          <w:rFonts w:eastAsia="Calibri"/>
        </w:rPr>
        <w:t xml:space="preserve">) in effect is Duke’s purchase power agreement with </w:t>
      </w:r>
      <w:proofErr w:type="spellStart"/>
      <w:r w:rsidR="00A676B6" w:rsidRPr="00A676B6">
        <w:rPr>
          <w:rFonts w:eastAsia="Calibri"/>
        </w:rPr>
        <w:t>OVEC</w:t>
      </w:r>
      <w:proofErr w:type="spellEnd"/>
      <w:r w:rsidR="00A676B6" w:rsidRPr="00A676B6">
        <w:rPr>
          <w:rFonts w:eastAsia="Calibri"/>
        </w:rPr>
        <w:t>.</w:t>
      </w:r>
      <w:r w:rsidRPr="00A676B6">
        <w:rPr>
          <w:rFonts w:eastAsia="Calibri"/>
          <w:vertAlign w:val="superscript"/>
        </w:rPr>
        <w:t xml:space="preserve"> </w:t>
      </w:r>
      <w:r w:rsidRPr="00A676B6">
        <w:rPr>
          <w:rFonts w:eastAsia="Calibri"/>
          <w:vertAlign w:val="superscript"/>
        </w:rPr>
        <w:footnoteReference w:id="9"/>
      </w:r>
      <w:r w:rsidR="00B16DEF">
        <w:rPr>
          <w:rFonts w:eastAsia="Calibri"/>
        </w:rPr>
        <w:t xml:space="preserve">  </w:t>
      </w:r>
      <w:r w:rsidR="00A676B6">
        <w:rPr>
          <w:rFonts w:eastAsia="Calibri"/>
        </w:rPr>
        <w:t xml:space="preserve">Under the </w:t>
      </w:r>
      <w:proofErr w:type="spellStart"/>
      <w:r w:rsidR="00A676B6">
        <w:rPr>
          <w:rFonts w:eastAsia="Calibri"/>
        </w:rPr>
        <w:t>ICPA</w:t>
      </w:r>
      <w:proofErr w:type="spellEnd"/>
      <w:r w:rsidR="00A676B6">
        <w:rPr>
          <w:rFonts w:eastAsia="Calibri"/>
        </w:rPr>
        <w:t xml:space="preserve">, Duke is required to pay </w:t>
      </w:r>
      <w:proofErr w:type="spellStart"/>
      <w:r w:rsidR="00A676B6">
        <w:rPr>
          <w:rFonts w:eastAsia="Calibri"/>
        </w:rPr>
        <w:t>OVEC</w:t>
      </w:r>
      <w:proofErr w:type="spellEnd"/>
      <w:r w:rsidR="00A676B6">
        <w:rPr>
          <w:rFonts w:eastAsia="Calibri"/>
        </w:rPr>
        <w:t xml:space="preserve"> a traditional cost-based rate (including a return on investment).</w:t>
      </w:r>
      <w:r w:rsidR="00A676B6">
        <w:rPr>
          <w:rStyle w:val="FootnoteReference"/>
          <w:rFonts w:eastAsia="Calibri"/>
        </w:rPr>
        <w:footnoteReference w:id="10"/>
      </w:r>
      <w:r w:rsidR="00A676B6">
        <w:rPr>
          <w:rFonts w:eastAsia="Calibri"/>
        </w:rPr>
        <w:t xml:space="preserve">  Regardless of the amount of power that Duke takes from </w:t>
      </w:r>
      <w:proofErr w:type="spellStart"/>
      <w:r w:rsidR="00A676B6">
        <w:rPr>
          <w:rFonts w:eastAsia="Calibri"/>
        </w:rPr>
        <w:t>OVEC</w:t>
      </w:r>
      <w:proofErr w:type="spellEnd"/>
      <w:r w:rsidR="00A676B6">
        <w:rPr>
          <w:rFonts w:eastAsia="Calibri"/>
        </w:rPr>
        <w:t xml:space="preserve">, Duke is required to pay the embedded cost of the </w:t>
      </w:r>
      <w:proofErr w:type="spellStart"/>
      <w:r w:rsidR="00A676B6">
        <w:rPr>
          <w:rFonts w:eastAsia="Calibri"/>
        </w:rPr>
        <w:t>OVEC</w:t>
      </w:r>
      <w:proofErr w:type="spellEnd"/>
      <w:r w:rsidR="00A676B6">
        <w:rPr>
          <w:rFonts w:eastAsia="Calibri"/>
        </w:rPr>
        <w:t xml:space="preserve"> units.</w:t>
      </w:r>
      <w:r w:rsidR="00A676B6">
        <w:rPr>
          <w:rStyle w:val="FootnoteReference"/>
          <w:rFonts w:eastAsia="Calibri"/>
        </w:rPr>
        <w:footnoteReference w:id="11"/>
      </w:r>
      <w:r w:rsidR="00A676B6">
        <w:rPr>
          <w:rFonts w:eastAsia="Calibri"/>
        </w:rPr>
        <w:t xml:space="preserve">  </w:t>
      </w:r>
      <w:r w:rsidR="0074653F">
        <w:rPr>
          <w:rFonts w:eastAsia="Calibri"/>
        </w:rPr>
        <w:t xml:space="preserve">Because Duke is one of the owners of </w:t>
      </w:r>
      <w:proofErr w:type="spellStart"/>
      <w:r w:rsidR="0074653F">
        <w:rPr>
          <w:rFonts w:eastAsia="Calibri"/>
        </w:rPr>
        <w:t>OV</w:t>
      </w:r>
      <w:r w:rsidR="00514FB6">
        <w:rPr>
          <w:rFonts w:eastAsia="Calibri"/>
        </w:rPr>
        <w:t>EC</w:t>
      </w:r>
      <w:proofErr w:type="spellEnd"/>
      <w:r w:rsidR="0074653F">
        <w:rPr>
          <w:rFonts w:eastAsia="Calibri"/>
        </w:rPr>
        <w:t xml:space="preserve">, its payment of a cost-based rate </w:t>
      </w:r>
      <w:r w:rsidR="0074653F">
        <w:rPr>
          <w:rFonts w:eastAsia="Calibri"/>
        </w:rPr>
        <w:lastRenderedPageBreak/>
        <w:t>ensures that its investment is protected.</w:t>
      </w:r>
      <w:r w:rsidR="0074653F">
        <w:rPr>
          <w:rStyle w:val="FootnoteReference"/>
          <w:rFonts w:eastAsia="Calibri"/>
        </w:rPr>
        <w:footnoteReference w:id="12"/>
      </w:r>
      <w:r w:rsidR="0074653F">
        <w:rPr>
          <w:rFonts w:eastAsia="Calibri"/>
        </w:rPr>
        <w:t xml:space="preserve">  </w:t>
      </w:r>
      <w:r w:rsidRPr="00105DB5">
        <w:rPr>
          <w:rFonts w:eastAsia="Calibri"/>
        </w:rPr>
        <w:t xml:space="preserve">Further, </w:t>
      </w:r>
      <w:r w:rsidR="00633BA6">
        <w:rPr>
          <w:rFonts w:eastAsia="Calibri"/>
        </w:rPr>
        <w:t>Duke</w:t>
      </w:r>
      <w:r w:rsidRPr="00105DB5">
        <w:rPr>
          <w:rFonts w:eastAsia="Calibri"/>
        </w:rPr>
        <w:t xml:space="preserve"> would receive this nonmarket-based cost recovery despite the fact it will no longer sell</w:t>
      </w:r>
      <w:r w:rsidR="00241E49">
        <w:rPr>
          <w:rFonts w:eastAsia="Calibri"/>
        </w:rPr>
        <w:t xml:space="preserve"> electricity to Ohio ratepayers.</w:t>
      </w:r>
    </w:p>
    <w:p w:rsidR="001D2785" w:rsidRPr="00105DB5" w:rsidRDefault="00241E49" w:rsidP="00EF120D">
      <w:pPr>
        <w:pStyle w:val="textstyle0"/>
        <w:rPr>
          <w:rFonts w:eastAsia="Calibri"/>
        </w:rPr>
      </w:pPr>
      <w:r>
        <w:rPr>
          <w:rFonts w:eastAsia="Calibri"/>
        </w:rPr>
        <w:tab/>
      </w:r>
      <w:r w:rsidR="00EF120D">
        <w:rPr>
          <w:rFonts w:eastAsia="Calibri"/>
        </w:rPr>
        <w:t>Given S</w:t>
      </w:r>
      <w:r w:rsidR="00EF120D" w:rsidRPr="00EF120D">
        <w:rPr>
          <w:rFonts w:eastAsia="Calibri"/>
        </w:rPr>
        <w:t xml:space="preserve">taff’s recommendation to deny rider </w:t>
      </w:r>
      <w:proofErr w:type="spellStart"/>
      <w:r w:rsidR="00EF120D" w:rsidRPr="00EF120D">
        <w:rPr>
          <w:rFonts w:eastAsia="Calibri"/>
        </w:rPr>
        <w:t>PSR</w:t>
      </w:r>
      <w:proofErr w:type="spellEnd"/>
      <w:r w:rsidR="00EF120D" w:rsidRPr="00EF120D">
        <w:rPr>
          <w:rFonts w:eastAsia="Calibri"/>
        </w:rPr>
        <w:t>,</w:t>
      </w:r>
      <w:r w:rsidR="00514FB6">
        <w:rPr>
          <w:rFonts w:eastAsia="Calibri"/>
        </w:rPr>
        <w:t xml:space="preserve"> it is only fair</w:t>
      </w:r>
      <w:r w:rsidR="00EF120D">
        <w:rPr>
          <w:rFonts w:eastAsia="Calibri"/>
        </w:rPr>
        <w:t xml:space="preserve"> to assign not only the risks but</w:t>
      </w:r>
      <w:r w:rsidR="00EF120D" w:rsidRPr="00EF120D">
        <w:rPr>
          <w:rFonts w:eastAsia="Calibri"/>
        </w:rPr>
        <w:t xml:space="preserve"> </w:t>
      </w:r>
      <w:r w:rsidR="00EF120D">
        <w:rPr>
          <w:rFonts w:eastAsia="Calibri"/>
        </w:rPr>
        <w:t>t</w:t>
      </w:r>
      <w:r w:rsidR="00EF120D" w:rsidRPr="00EF120D">
        <w:rPr>
          <w:rFonts w:eastAsia="Calibri"/>
        </w:rPr>
        <w:t>he potential rewards associated with Duke’s entitlement i</w:t>
      </w:r>
      <w:r w:rsidR="00EF120D">
        <w:rPr>
          <w:rFonts w:eastAsia="Calibri"/>
        </w:rPr>
        <w:t xml:space="preserve">n the </w:t>
      </w:r>
      <w:proofErr w:type="spellStart"/>
      <w:r w:rsidR="00EF120D">
        <w:rPr>
          <w:rFonts w:eastAsia="Calibri"/>
        </w:rPr>
        <w:t>OVEC</w:t>
      </w:r>
      <w:proofErr w:type="spellEnd"/>
      <w:r w:rsidR="00EF120D">
        <w:rPr>
          <w:rFonts w:eastAsia="Calibri"/>
        </w:rPr>
        <w:t xml:space="preserve"> generation</w:t>
      </w:r>
      <w:r w:rsidR="00EF120D" w:rsidRPr="00EF120D">
        <w:rPr>
          <w:rFonts w:eastAsia="Calibri"/>
        </w:rPr>
        <w:t xml:space="preserve"> to the owners of Duke Energy Ohio.</w:t>
      </w:r>
      <w:r w:rsidR="00EF120D">
        <w:rPr>
          <w:rStyle w:val="FootnoteReference"/>
          <w:rFonts w:eastAsia="Calibri"/>
        </w:rPr>
        <w:footnoteReference w:id="13"/>
      </w:r>
      <w:r w:rsidR="00EF120D" w:rsidRPr="00EF120D">
        <w:rPr>
          <w:rFonts w:eastAsia="Calibri"/>
        </w:rPr>
        <w:t xml:space="preserve">  To accomplish this objective, Staff recommends that all expenses and revenues associated with Duke’s interests in the </w:t>
      </w:r>
      <w:proofErr w:type="spellStart"/>
      <w:r w:rsidR="00EF120D" w:rsidRPr="00EF120D">
        <w:rPr>
          <w:rFonts w:eastAsia="Calibri"/>
        </w:rPr>
        <w:t>OVEC</w:t>
      </w:r>
      <w:proofErr w:type="spellEnd"/>
      <w:r w:rsidR="00EF120D" w:rsidRPr="00EF120D">
        <w:rPr>
          <w:rFonts w:eastAsia="Calibri"/>
        </w:rPr>
        <w:t xml:space="preserve"> generating stations be excluded from the Significantly Excessive Earnings Test (</w:t>
      </w:r>
      <w:r w:rsidR="00EF120D">
        <w:rPr>
          <w:rFonts w:eastAsia="Calibri"/>
        </w:rPr>
        <w:t>“</w:t>
      </w:r>
      <w:r w:rsidR="00EF120D" w:rsidRPr="00EF120D">
        <w:rPr>
          <w:rFonts w:eastAsia="Calibri"/>
        </w:rPr>
        <w:t>SEET</w:t>
      </w:r>
      <w:r w:rsidR="00EF120D">
        <w:rPr>
          <w:rFonts w:eastAsia="Calibri"/>
        </w:rPr>
        <w:t>”</w:t>
      </w:r>
      <w:r w:rsidR="00EF120D" w:rsidRPr="00EF120D">
        <w:rPr>
          <w:rFonts w:eastAsia="Calibri"/>
        </w:rPr>
        <w:t>) calculation.</w:t>
      </w:r>
      <w:r w:rsidR="00A934C0">
        <w:rPr>
          <w:rStyle w:val="FootnoteReference"/>
          <w:rFonts w:eastAsia="Calibri"/>
        </w:rPr>
        <w:footnoteReference w:id="14"/>
      </w:r>
      <w:r w:rsidR="00EF120D" w:rsidRPr="00EF120D">
        <w:rPr>
          <w:rFonts w:eastAsia="Calibri"/>
        </w:rPr>
        <w:t xml:space="preserve">    </w:t>
      </w:r>
      <w:r w:rsidR="001D2785" w:rsidRPr="00105DB5">
        <w:rPr>
          <w:rFonts w:eastAsia="Calibri"/>
        </w:rPr>
        <w:tab/>
      </w:r>
    </w:p>
    <w:p w:rsidR="00007615" w:rsidRPr="00105DB5" w:rsidRDefault="00B16DEF" w:rsidP="00CE7318">
      <w:pPr>
        <w:pStyle w:val="textstyle0"/>
        <w:rPr>
          <w:rFonts w:eastAsia="Calibri"/>
        </w:rPr>
      </w:pPr>
      <w:r>
        <w:rPr>
          <w:rFonts w:eastAsia="Calibri"/>
        </w:rPr>
        <w:tab/>
      </w:r>
      <w:r w:rsidR="001D2785" w:rsidRPr="00105DB5">
        <w:rPr>
          <w:rFonts w:eastAsia="Calibri"/>
        </w:rPr>
        <w:t>Staff is</w:t>
      </w:r>
      <w:r w:rsidR="001D2785">
        <w:rPr>
          <w:rFonts w:eastAsia="Calibri"/>
        </w:rPr>
        <w:t xml:space="preserve"> concerned that going down the </w:t>
      </w:r>
      <w:proofErr w:type="spellStart"/>
      <w:r w:rsidR="002540B5">
        <w:rPr>
          <w:rFonts w:eastAsia="Calibri"/>
        </w:rPr>
        <w:t>PSR</w:t>
      </w:r>
      <w:proofErr w:type="spellEnd"/>
      <w:r w:rsidR="001D2785" w:rsidRPr="00105DB5">
        <w:rPr>
          <w:rFonts w:eastAsia="Calibri"/>
        </w:rPr>
        <w:t xml:space="preserve"> pat</w:t>
      </w:r>
      <w:r>
        <w:rPr>
          <w:rFonts w:eastAsia="Calibri"/>
        </w:rPr>
        <w:t>h may ultimately be a mis</w:t>
      </w:r>
      <w:r w:rsidR="00634F10">
        <w:rPr>
          <w:rFonts w:eastAsia="Calibri"/>
        </w:rPr>
        <w:softHyphen/>
      </w:r>
      <w:r>
        <w:rPr>
          <w:rFonts w:eastAsia="Calibri"/>
        </w:rPr>
        <w:t xml:space="preserve">take. </w:t>
      </w:r>
      <w:r w:rsidR="001D2785" w:rsidRPr="00105DB5">
        <w:rPr>
          <w:rFonts w:eastAsia="Calibri"/>
        </w:rPr>
        <w:t xml:space="preserve"> Not only would it defeat the wh</w:t>
      </w:r>
      <w:r w:rsidR="001D2785">
        <w:rPr>
          <w:rFonts w:eastAsia="Calibri"/>
        </w:rPr>
        <w:t xml:space="preserve">ole point of </w:t>
      </w:r>
      <w:r w:rsidR="00633BA6">
        <w:rPr>
          <w:rFonts w:eastAsia="Calibri"/>
        </w:rPr>
        <w:t>Duke</w:t>
      </w:r>
      <w:r w:rsidR="001D2785">
        <w:rPr>
          <w:rFonts w:eastAsia="Calibri"/>
        </w:rPr>
        <w:t>’s</w:t>
      </w:r>
      <w:r w:rsidR="0067424F">
        <w:rPr>
          <w:rFonts w:eastAsia="Calibri"/>
        </w:rPr>
        <w:t xml:space="preserve"> stipulated</w:t>
      </w:r>
      <w:r w:rsidR="001D2785">
        <w:rPr>
          <w:rFonts w:eastAsia="Calibri"/>
        </w:rPr>
        <w:t xml:space="preserve"> </w:t>
      </w:r>
      <w:r w:rsidR="00CF16D5">
        <w:rPr>
          <w:rFonts w:eastAsia="Calibri"/>
          <w:i/>
        </w:rPr>
        <w:t>ESP II c</w:t>
      </w:r>
      <w:r w:rsidR="001D2785" w:rsidRPr="00BB727F">
        <w:rPr>
          <w:rFonts w:eastAsia="Calibri"/>
          <w:i/>
        </w:rPr>
        <w:t>ase</w:t>
      </w:r>
      <w:r w:rsidR="00630A45">
        <w:rPr>
          <w:rFonts w:eastAsia="Calibri"/>
        </w:rPr>
        <w:t>, it will also invite the other</w:t>
      </w:r>
      <w:r w:rsidR="001D2785" w:rsidRPr="00105DB5">
        <w:rPr>
          <w:rFonts w:eastAsia="Calibri"/>
        </w:rPr>
        <w:t xml:space="preserve"> Ohio EDU’s to seek guaranteed cost recovery for generation assets that are </w:t>
      </w:r>
      <w:r w:rsidR="001D2785" w:rsidRPr="00105DB5">
        <w:rPr>
          <w:rFonts w:eastAsia="Calibri"/>
          <w:i/>
        </w:rPr>
        <w:t>not</w:t>
      </w:r>
      <w:r w:rsidR="001D2785" w:rsidRPr="00105DB5">
        <w:rPr>
          <w:rFonts w:eastAsia="Calibri"/>
        </w:rPr>
        <w:t xml:space="preserve"> committed to Ohio ratepayers and are </w:t>
      </w:r>
      <w:r w:rsidR="001D2785" w:rsidRPr="00105DB5">
        <w:rPr>
          <w:rFonts w:eastAsia="Calibri"/>
          <w:i/>
        </w:rPr>
        <w:t>not</w:t>
      </w:r>
      <w:r w:rsidR="001D2785" w:rsidRPr="00105DB5">
        <w:rPr>
          <w:rFonts w:eastAsia="Calibri"/>
        </w:rPr>
        <w:t xml:space="preserve"> regulated by the Commission.</w:t>
      </w:r>
    </w:p>
    <w:p w:rsidR="001D2785" w:rsidRPr="00105DB5" w:rsidRDefault="00B16DEF" w:rsidP="003A10B3">
      <w:pPr>
        <w:pStyle w:val="Heading5"/>
      </w:pPr>
      <w:bookmarkStart w:id="20" w:name="_Toc406411818"/>
      <w:r>
        <w:t>ii.</w:t>
      </w:r>
      <w:r>
        <w:tab/>
      </w:r>
      <w:r w:rsidR="001D2785" w:rsidRPr="00105DB5">
        <w:t xml:space="preserve">The </w:t>
      </w:r>
      <w:proofErr w:type="spellStart"/>
      <w:r w:rsidR="002540B5">
        <w:t>PSR</w:t>
      </w:r>
      <w:proofErr w:type="spellEnd"/>
      <w:r w:rsidR="001D2785" w:rsidRPr="00105DB5">
        <w:t xml:space="preserve"> is unwarranted because there are more appropriate methods of stabilizing customer prices that are currently being used by the Commission and shopping customers.</w:t>
      </w:r>
      <w:bookmarkEnd w:id="20"/>
      <w:r w:rsidR="001D2785" w:rsidRPr="00105DB5">
        <w:t xml:space="preserve">  </w:t>
      </w:r>
    </w:p>
    <w:p w:rsidR="00874509" w:rsidRDefault="001D2785" w:rsidP="00CE7318">
      <w:pPr>
        <w:pStyle w:val="textstyle0"/>
        <w:rPr>
          <w:rFonts w:eastAsia="Calibri"/>
        </w:rPr>
      </w:pPr>
      <w:r w:rsidRPr="00105DB5">
        <w:rPr>
          <w:rFonts w:eastAsia="Calibri"/>
        </w:rPr>
        <w:tab/>
        <w:t xml:space="preserve">Instead of focusing on the guaranteed cost recovery aspect of the </w:t>
      </w:r>
      <w:proofErr w:type="spellStart"/>
      <w:r w:rsidR="002540B5">
        <w:rPr>
          <w:rFonts w:eastAsia="Calibri"/>
        </w:rPr>
        <w:t>PSR</w:t>
      </w:r>
      <w:proofErr w:type="spellEnd"/>
      <w:r w:rsidRPr="00105DB5">
        <w:rPr>
          <w:rFonts w:eastAsia="Calibri"/>
        </w:rPr>
        <w:t xml:space="preserve">, </w:t>
      </w:r>
      <w:r w:rsidR="00633BA6">
        <w:rPr>
          <w:rFonts w:eastAsia="Calibri"/>
        </w:rPr>
        <w:t>Duke</w:t>
      </w:r>
      <w:r w:rsidRPr="00105DB5">
        <w:rPr>
          <w:rFonts w:eastAsia="Calibri"/>
        </w:rPr>
        <w:t xml:space="preserve"> </w:t>
      </w:r>
      <w:r w:rsidR="00186D9E">
        <w:rPr>
          <w:rFonts w:eastAsia="Calibri"/>
        </w:rPr>
        <w:t>promotes</w:t>
      </w:r>
      <w:r w:rsidRPr="00105DB5">
        <w:rPr>
          <w:rFonts w:eastAsia="Calibri"/>
        </w:rPr>
        <w:t xml:space="preserve"> the </w:t>
      </w:r>
      <w:proofErr w:type="spellStart"/>
      <w:r w:rsidR="002540B5">
        <w:rPr>
          <w:rFonts w:eastAsia="Calibri"/>
        </w:rPr>
        <w:t>PSR</w:t>
      </w:r>
      <w:proofErr w:type="spellEnd"/>
      <w:r w:rsidRPr="00105DB5">
        <w:rPr>
          <w:rFonts w:eastAsia="Calibri"/>
        </w:rPr>
        <w:t xml:space="preserve"> as a</w:t>
      </w:r>
      <w:r w:rsidR="00EB24B2">
        <w:rPr>
          <w:rFonts w:eastAsia="Calibri"/>
        </w:rPr>
        <w:t xml:space="preserve"> rider that</w:t>
      </w:r>
      <w:r w:rsidRPr="00105DB5">
        <w:rPr>
          <w:rFonts w:eastAsia="Calibri"/>
        </w:rPr>
        <w:t xml:space="preserve"> “</w:t>
      </w:r>
      <w:r w:rsidR="00EB24B2">
        <w:rPr>
          <w:rFonts w:eastAsia="Calibri"/>
        </w:rPr>
        <w:t xml:space="preserve">will serve to mitigate some of the volatility in overall </w:t>
      </w:r>
      <w:r w:rsidR="00EB24B2">
        <w:rPr>
          <w:rFonts w:eastAsia="Calibri"/>
        </w:rPr>
        <w:lastRenderedPageBreak/>
        <w:t>rates that customers pay for generation service</w:t>
      </w:r>
      <w:r w:rsidRPr="00105DB5">
        <w:rPr>
          <w:rFonts w:eastAsia="Calibri"/>
        </w:rPr>
        <w:t>.”</w:t>
      </w:r>
      <w:r w:rsidR="00511C27">
        <w:rPr>
          <w:rStyle w:val="FootnoteReference"/>
          <w:rFonts w:eastAsia="Calibri"/>
        </w:rPr>
        <w:footnoteReference w:id="15"/>
      </w:r>
      <w:r w:rsidR="00B16DEF">
        <w:rPr>
          <w:rFonts w:eastAsia="Calibri"/>
        </w:rPr>
        <w:t xml:space="preserve"> </w:t>
      </w:r>
      <w:r w:rsidRPr="00105DB5">
        <w:rPr>
          <w:rFonts w:eastAsia="Calibri"/>
        </w:rPr>
        <w:t xml:space="preserve"> Staff </w:t>
      </w:r>
      <w:r w:rsidR="00514FB6">
        <w:rPr>
          <w:rFonts w:eastAsia="Calibri"/>
        </w:rPr>
        <w:t>believes, however,</w:t>
      </w:r>
      <w:r w:rsidRPr="00105DB5">
        <w:rPr>
          <w:rFonts w:eastAsia="Calibri"/>
        </w:rPr>
        <w:t xml:space="preserve"> that there are currently more effective methods of mitigating mar</w:t>
      </w:r>
      <w:r w:rsidR="00634F10">
        <w:rPr>
          <w:rFonts w:eastAsia="Calibri"/>
        </w:rPr>
        <w:softHyphen/>
      </w:r>
      <w:r w:rsidRPr="00105DB5">
        <w:rPr>
          <w:rFonts w:eastAsia="Calibri"/>
        </w:rPr>
        <w:t xml:space="preserve">ket volatility than the </w:t>
      </w:r>
      <w:proofErr w:type="spellStart"/>
      <w:r w:rsidR="002540B5">
        <w:rPr>
          <w:rFonts w:eastAsia="Calibri"/>
        </w:rPr>
        <w:t>PSR</w:t>
      </w:r>
      <w:proofErr w:type="spellEnd"/>
      <w:r w:rsidRPr="00105DB5">
        <w:rPr>
          <w:rFonts w:eastAsia="Calibri"/>
        </w:rPr>
        <w:t>.</w:t>
      </w:r>
      <w:r w:rsidR="00877B28">
        <w:rPr>
          <w:rFonts w:eastAsia="Calibri"/>
        </w:rPr>
        <w:t xml:space="preserve">  The</w:t>
      </w:r>
      <w:r w:rsidRPr="00877B28">
        <w:rPr>
          <w:rFonts w:eastAsia="Calibri"/>
        </w:rPr>
        <w:t xml:space="preserve"> practice of staggering and laddering SSO auction products has successfully addressed market volatility.</w:t>
      </w:r>
      <w:r w:rsidR="00877B28">
        <w:rPr>
          <w:rStyle w:val="FootnoteReference"/>
          <w:rFonts w:eastAsia="Calibri"/>
        </w:rPr>
        <w:footnoteReference w:id="16"/>
      </w:r>
      <w:r w:rsidRPr="00877B28">
        <w:rPr>
          <w:rFonts w:eastAsia="Calibri"/>
        </w:rPr>
        <w:t xml:space="preserve">  </w:t>
      </w:r>
      <w:r w:rsidR="00633BA6" w:rsidRPr="00877B28">
        <w:rPr>
          <w:rFonts w:eastAsia="Calibri"/>
        </w:rPr>
        <w:t>Duke</w:t>
      </w:r>
      <w:r w:rsidR="00877B28">
        <w:rPr>
          <w:rFonts w:eastAsia="Calibri"/>
        </w:rPr>
        <w:t xml:space="preserve"> witness Lee acknowledges</w:t>
      </w:r>
      <w:r w:rsidRPr="00877B28">
        <w:rPr>
          <w:rFonts w:eastAsia="Calibri"/>
        </w:rPr>
        <w:t xml:space="preserve"> that the laddering and stag</w:t>
      </w:r>
      <w:r w:rsidR="00634F10" w:rsidRPr="00877B28">
        <w:rPr>
          <w:rFonts w:eastAsia="Calibri"/>
        </w:rPr>
        <w:softHyphen/>
      </w:r>
      <w:r w:rsidRPr="00877B28">
        <w:rPr>
          <w:rFonts w:eastAsia="Calibri"/>
        </w:rPr>
        <w:t>gering of auction products “</w:t>
      </w:r>
      <w:r w:rsidR="00877B28">
        <w:rPr>
          <w:rFonts w:eastAsia="Calibri"/>
        </w:rPr>
        <w:t xml:space="preserve">achieve[s] </w:t>
      </w:r>
      <w:r w:rsidR="00C27A23">
        <w:rPr>
          <w:rFonts w:eastAsia="Calibri"/>
        </w:rPr>
        <w:t>consistent</w:t>
      </w:r>
      <w:r w:rsidR="00877B28">
        <w:rPr>
          <w:rFonts w:eastAsia="Calibri"/>
        </w:rPr>
        <w:t>, price-smoothing benefits f</w:t>
      </w:r>
      <w:r w:rsidR="005F1230">
        <w:rPr>
          <w:rFonts w:eastAsia="Calibri"/>
        </w:rPr>
        <w:t>or customers over the long</w:t>
      </w:r>
      <w:r w:rsidR="00C27A23">
        <w:rPr>
          <w:rFonts w:eastAsia="Calibri"/>
        </w:rPr>
        <w:t xml:space="preserve"> </w:t>
      </w:r>
      <w:r w:rsidR="005F1230">
        <w:rPr>
          <w:rFonts w:eastAsia="Calibri"/>
        </w:rPr>
        <w:t>term.</w:t>
      </w:r>
      <w:r w:rsidRPr="00877B28">
        <w:rPr>
          <w:rFonts w:eastAsia="Calibri"/>
        </w:rPr>
        <w:t>”</w:t>
      </w:r>
      <w:r w:rsidRPr="00877B28">
        <w:rPr>
          <w:rFonts w:eastAsia="Calibri"/>
          <w:vertAlign w:val="superscript"/>
        </w:rPr>
        <w:footnoteReference w:id="17"/>
      </w:r>
      <w:r w:rsidR="00874509" w:rsidRPr="00874509">
        <w:rPr>
          <w:rFonts w:eastAsia="Calibri"/>
        </w:rPr>
        <w:t xml:space="preserve"> </w:t>
      </w:r>
      <w:r w:rsidR="00874509">
        <w:rPr>
          <w:rFonts w:eastAsia="Calibri"/>
        </w:rPr>
        <w:t xml:space="preserve"> </w:t>
      </w:r>
      <w:r w:rsidR="00874509" w:rsidRPr="00874509">
        <w:rPr>
          <w:rFonts w:eastAsia="Calibri"/>
        </w:rPr>
        <w:t>Staff agrees with</w:t>
      </w:r>
      <w:r w:rsidR="00874509">
        <w:rPr>
          <w:rFonts w:eastAsia="Calibri"/>
        </w:rPr>
        <w:t xml:space="preserve"> Duke</w:t>
      </w:r>
      <w:r w:rsidR="00874509" w:rsidRPr="00874509">
        <w:rPr>
          <w:rFonts w:eastAsia="Calibri"/>
        </w:rPr>
        <w:t xml:space="preserve"> that the energy prices in the PJM footprint have been quite volatile recently, especially during the polar vortex this past January.</w:t>
      </w:r>
      <w:r w:rsidR="00874509">
        <w:rPr>
          <w:rStyle w:val="FootnoteReference"/>
          <w:rFonts w:eastAsia="Calibri"/>
        </w:rPr>
        <w:footnoteReference w:id="18"/>
      </w:r>
      <w:r w:rsidR="00514FB6">
        <w:rPr>
          <w:rFonts w:eastAsia="Calibri"/>
        </w:rPr>
        <w:t xml:space="preserve">  Although t</w:t>
      </w:r>
      <w:r w:rsidR="00874509" w:rsidRPr="00874509">
        <w:rPr>
          <w:rFonts w:eastAsia="Calibri"/>
        </w:rPr>
        <w:t xml:space="preserve">he Company claims that rider </w:t>
      </w:r>
      <w:proofErr w:type="spellStart"/>
      <w:r w:rsidR="00874509" w:rsidRPr="00874509">
        <w:rPr>
          <w:rFonts w:eastAsia="Calibri"/>
        </w:rPr>
        <w:t>PSR</w:t>
      </w:r>
      <w:proofErr w:type="spellEnd"/>
      <w:r w:rsidR="00874509" w:rsidRPr="00874509">
        <w:rPr>
          <w:rFonts w:eastAsia="Calibri"/>
        </w:rPr>
        <w:t xml:space="preserve"> will provide a hedge for consum</w:t>
      </w:r>
      <w:r w:rsidR="00514FB6">
        <w:rPr>
          <w:rFonts w:eastAsia="Calibri"/>
        </w:rPr>
        <w:t xml:space="preserve">ers against market volatility, </w:t>
      </w:r>
      <w:r w:rsidR="00874509" w:rsidRPr="00874509">
        <w:rPr>
          <w:rFonts w:eastAsia="Calibri"/>
        </w:rPr>
        <w:t>Staff believes that a more effective approach for mitigating price volatility,</w:t>
      </w:r>
      <w:r w:rsidR="00514FB6">
        <w:rPr>
          <w:rFonts w:eastAsia="Calibri"/>
        </w:rPr>
        <w:t xml:space="preserve"> an approach that</w:t>
      </w:r>
      <w:r w:rsidR="00874509" w:rsidRPr="00874509">
        <w:rPr>
          <w:rFonts w:eastAsia="Calibri"/>
        </w:rPr>
        <w:t xml:space="preserve"> does not violate any state p</w:t>
      </w:r>
      <w:r w:rsidR="00874509">
        <w:rPr>
          <w:rFonts w:eastAsia="Calibri"/>
        </w:rPr>
        <w:t xml:space="preserve">olicies, is the staggering and laddering approach </w:t>
      </w:r>
      <w:r w:rsidR="00874509" w:rsidRPr="00874509">
        <w:rPr>
          <w:rFonts w:eastAsia="Calibri"/>
        </w:rPr>
        <w:t>that the Commission has adopted in administering all past SSO procurement auctions.</w:t>
      </w:r>
    </w:p>
    <w:p w:rsidR="006C7801" w:rsidRDefault="00874509" w:rsidP="00CE7318">
      <w:pPr>
        <w:pStyle w:val="textstyle0"/>
        <w:rPr>
          <w:rFonts w:eastAsia="Calibri"/>
        </w:rPr>
      </w:pPr>
      <w:r>
        <w:rPr>
          <w:rFonts w:eastAsia="Calibri"/>
        </w:rPr>
        <w:tab/>
      </w:r>
      <w:r w:rsidR="00633BA6" w:rsidRPr="00877B28">
        <w:rPr>
          <w:rFonts w:eastAsia="Calibri"/>
        </w:rPr>
        <w:t>Duke</w:t>
      </w:r>
      <w:r w:rsidR="009A7417" w:rsidRPr="00877B28">
        <w:rPr>
          <w:rFonts w:eastAsia="Calibri"/>
        </w:rPr>
        <w:t xml:space="preserve"> witness</w:t>
      </w:r>
      <w:r w:rsidR="007A5E38">
        <w:rPr>
          <w:rFonts w:eastAsia="Calibri"/>
        </w:rPr>
        <w:t xml:space="preserve"> Lee stated</w:t>
      </w:r>
      <w:r w:rsidR="001D2785" w:rsidRPr="00877B28">
        <w:rPr>
          <w:rFonts w:eastAsia="Calibri"/>
        </w:rPr>
        <w:t xml:space="preserve"> that SSO customers pay </w:t>
      </w:r>
      <w:r w:rsidR="00186D9E" w:rsidRPr="00877B28">
        <w:rPr>
          <w:rFonts w:eastAsia="Calibri"/>
        </w:rPr>
        <w:t>a</w:t>
      </w:r>
      <w:r w:rsidR="001D2785" w:rsidRPr="00877B28">
        <w:rPr>
          <w:rFonts w:eastAsia="Calibri"/>
        </w:rPr>
        <w:t xml:space="preserve"> blended auc</w:t>
      </w:r>
      <w:r w:rsidR="00634F10" w:rsidRPr="00877B28">
        <w:rPr>
          <w:rFonts w:eastAsia="Calibri"/>
        </w:rPr>
        <w:softHyphen/>
      </w:r>
      <w:r w:rsidR="001D2785" w:rsidRPr="00877B28">
        <w:rPr>
          <w:rFonts w:eastAsia="Calibri"/>
        </w:rPr>
        <w:t xml:space="preserve">tion price, and are not exposed to </w:t>
      </w:r>
      <w:r w:rsidR="00186D9E" w:rsidRPr="00877B28">
        <w:rPr>
          <w:rFonts w:eastAsia="Calibri"/>
        </w:rPr>
        <w:t>real-time energy market volatility</w:t>
      </w:r>
      <w:r w:rsidR="001D2785" w:rsidRPr="00877B28">
        <w:rPr>
          <w:rFonts w:eastAsia="Calibri"/>
        </w:rPr>
        <w:t>.</w:t>
      </w:r>
      <w:r w:rsidR="001D2785" w:rsidRPr="00877B28">
        <w:rPr>
          <w:rFonts w:eastAsia="Calibri"/>
          <w:vertAlign w:val="superscript"/>
        </w:rPr>
        <w:footnoteReference w:id="19"/>
      </w:r>
      <w:r w:rsidR="001D2785" w:rsidRPr="00105DB5">
        <w:rPr>
          <w:rFonts w:eastAsia="Calibri"/>
        </w:rPr>
        <w:t xml:space="preserve">  </w:t>
      </w:r>
      <w:r w:rsidR="001D2785" w:rsidRPr="006C7801">
        <w:rPr>
          <w:rFonts w:eastAsia="Calibri"/>
        </w:rPr>
        <w:t xml:space="preserve">While the SSO auction structure mitigates market volatility for SSO customers, </w:t>
      </w:r>
      <w:r w:rsidR="00186D9E" w:rsidRPr="006C7801">
        <w:rPr>
          <w:rFonts w:eastAsia="Calibri"/>
        </w:rPr>
        <w:t xml:space="preserve">shopping customers have </w:t>
      </w:r>
      <w:r w:rsidR="001D2785" w:rsidRPr="006C7801">
        <w:rPr>
          <w:rFonts w:eastAsia="Calibri"/>
        </w:rPr>
        <w:t xml:space="preserve">market-based options </w:t>
      </w:r>
      <w:r w:rsidR="00186D9E" w:rsidRPr="006C7801">
        <w:rPr>
          <w:rFonts w:eastAsia="Calibri"/>
        </w:rPr>
        <w:t xml:space="preserve">that </w:t>
      </w:r>
      <w:r w:rsidR="001D2785" w:rsidRPr="006C7801">
        <w:rPr>
          <w:rFonts w:eastAsia="Calibri"/>
        </w:rPr>
        <w:t>alleviate market volatility.  Most commercial and residential customers</w:t>
      </w:r>
      <w:r w:rsidR="006C7801">
        <w:rPr>
          <w:rFonts w:eastAsia="Calibri"/>
        </w:rPr>
        <w:t xml:space="preserve"> that</w:t>
      </w:r>
      <w:r w:rsidR="001D2785" w:rsidRPr="006C7801">
        <w:rPr>
          <w:rFonts w:eastAsia="Calibri"/>
        </w:rPr>
        <w:t xml:space="preserve"> </w:t>
      </w:r>
      <w:r w:rsidR="001D2785" w:rsidRPr="006C7801">
        <w:rPr>
          <w:rFonts w:eastAsia="Calibri"/>
        </w:rPr>
        <w:lastRenderedPageBreak/>
        <w:t>are shopping purchase elec</w:t>
      </w:r>
      <w:r w:rsidR="00634F10" w:rsidRPr="006C7801">
        <w:rPr>
          <w:rFonts w:eastAsia="Calibri"/>
        </w:rPr>
        <w:softHyphen/>
      </w:r>
      <w:r w:rsidR="001D2785" w:rsidRPr="006C7801">
        <w:rPr>
          <w:rFonts w:eastAsia="Calibri"/>
        </w:rPr>
        <w:t>t</w:t>
      </w:r>
      <w:r w:rsidR="00B16DEF" w:rsidRPr="006C7801">
        <w:rPr>
          <w:rFonts w:eastAsia="Calibri"/>
        </w:rPr>
        <w:t>ricity on a fixed-price basis.</w:t>
      </w:r>
      <w:r w:rsidR="001D2785" w:rsidRPr="006C7801">
        <w:rPr>
          <w:rFonts w:eastAsia="Calibri"/>
        </w:rPr>
        <w:t xml:space="preserve">  </w:t>
      </w:r>
      <w:r w:rsidR="006C7801" w:rsidRPr="006C7801">
        <w:rPr>
          <w:rFonts w:eastAsia="Calibri"/>
        </w:rPr>
        <w:t>Very few customers</w:t>
      </w:r>
      <w:r w:rsidR="001D2785" w:rsidRPr="006C7801">
        <w:rPr>
          <w:rFonts w:eastAsia="Calibri"/>
        </w:rPr>
        <w:t xml:space="preserve"> – primarily large customers</w:t>
      </w:r>
      <w:r w:rsidR="00B16DEF" w:rsidRPr="006C7801">
        <w:rPr>
          <w:rFonts w:eastAsia="Calibri"/>
        </w:rPr>
        <w:t xml:space="preserve"> – </w:t>
      </w:r>
      <w:r w:rsidR="001D2785" w:rsidRPr="006C7801">
        <w:rPr>
          <w:rFonts w:eastAsia="Calibri"/>
        </w:rPr>
        <w:t>buy on an index that is tied to PJM’s hourly or day-ahead market.</w:t>
      </w:r>
      <w:r w:rsidR="006C7801" w:rsidRPr="006C7801">
        <w:rPr>
          <w:rFonts w:eastAsia="Calibri"/>
        </w:rPr>
        <w:t xml:space="preserve">  Only these few customers</w:t>
      </w:r>
      <w:r w:rsidR="001D2785" w:rsidRPr="006C7801">
        <w:rPr>
          <w:rFonts w:eastAsia="Calibri"/>
        </w:rPr>
        <w:t xml:space="preserve"> are sophisticated enough to buy hedges or call options, which mitigat</w:t>
      </w:r>
      <w:r w:rsidR="00CB0F90" w:rsidRPr="006C7801">
        <w:rPr>
          <w:rFonts w:eastAsia="Calibri"/>
        </w:rPr>
        <w:t xml:space="preserve">e </w:t>
      </w:r>
      <w:r w:rsidR="001D2785" w:rsidRPr="006C7801">
        <w:rPr>
          <w:rFonts w:eastAsia="Calibri"/>
        </w:rPr>
        <w:t>market volatility.</w:t>
      </w:r>
      <w:r w:rsidR="001D2785" w:rsidRPr="00105DB5">
        <w:rPr>
          <w:rFonts w:eastAsia="Calibri"/>
        </w:rPr>
        <w:tab/>
      </w:r>
    </w:p>
    <w:p w:rsidR="001D2785" w:rsidRPr="00105DB5" w:rsidRDefault="006C7801" w:rsidP="00CE7318">
      <w:pPr>
        <w:pStyle w:val="textstyle0"/>
        <w:rPr>
          <w:rFonts w:eastAsia="Calibri"/>
        </w:rPr>
      </w:pPr>
      <w:r>
        <w:rPr>
          <w:rFonts w:eastAsia="Calibri"/>
        </w:rPr>
        <w:tab/>
      </w:r>
      <w:r w:rsidR="001D2785" w:rsidRPr="00105DB5">
        <w:rPr>
          <w:rFonts w:eastAsia="Calibri"/>
        </w:rPr>
        <w:t xml:space="preserve">Although the current market contains these various hedging options for customers, </w:t>
      </w:r>
      <w:r w:rsidR="00633BA6">
        <w:rPr>
          <w:rFonts w:eastAsia="Calibri"/>
        </w:rPr>
        <w:t>Duke</w:t>
      </w:r>
      <w:r w:rsidR="001D2785" w:rsidRPr="00105DB5">
        <w:rPr>
          <w:rFonts w:eastAsia="Calibri"/>
        </w:rPr>
        <w:t xml:space="preserve"> wants to force a nonmarket-based, non</w:t>
      </w:r>
      <w:r w:rsidR="001D2785">
        <w:rPr>
          <w:rFonts w:eastAsia="Calibri"/>
        </w:rPr>
        <w:t>byp</w:t>
      </w:r>
      <w:r w:rsidR="001D2785" w:rsidRPr="00105DB5">
        <w:rPr>
          <w:rFonts w:eastAsia="Calibri"/>
        </w:rPr>
        <w:t>assable hedge on all of its custom</w:t>
      </w:r>
      <w:r w:rsidR="00634F10">
        <w:rPr>
          <w:rFonts w:eastAsia="Calibri"/>
        </w:rPr>
        <w:softHyphen/>
      </w:r>
      <w:r w:rsidR="001D2785" w:rsidRPr="00105DB5">
        <w:rPr>
          <w:rFonts w:eastAsia="Calibri"/>
        </w:rPr>
        <w:t>ers.</w:t>
      </w:r>
      <w:r w:rsidR="00E6015A">
        <w:rPr>
          <w:rFonts w:eastAsia="Calibri"/>
        </w:rPr>
        <w:t xml:space="preserve">  The risk should be on the Company, not the customer.</w:t>
      </w:r>
      <w:r w:rsidR="001D2785" w:rsidRPr="00105DB5">
        <w:rPr>
          <w:rFonts w:eastAsia="Calibri"/>
        </w:rPr>
        <w:t xml:space="preserve">  This proposal is unwarranted.  The current market, where customers can shop and voluntarily cho</w:t>
      </w:r>
      <w:r w:rsidR="001D2785">
        <w:rPr>
          <w:rFonts w:eastAsia="Calibri"/>
        </w:rPr>
        <w:t>o</w:t>
      </w:r>
      <w:r w:rsidR="001D2785" w:rsidRPr="00105DB5">
        <w:rPr>
          <w:rFonts w:eastAsia="Calibri"/>
        </w:rPr>
        <w:t xml:space="preserve">se fixed-price arrangements or other hedging options, should be allowed to run its course.  Allowing the </w:t>
      </w:r>
      <w:r w:rsidR="001D2785">
        <w:rPr>
          <w:rFonts w:eastAsia="Calibri"/>
        </w:rPr>
        <w:t xml:space="preserve">market to continue developing </w:t>
      </w:r>
      <w:r w:rsidR="001D2785" w:rsidRPr="00105DB5">
        <w:rPr>
          <w:rFonts w:eastAsia="Calibri"/>
        </w:rPr>
        <w:t>is consistent with t</w:t>
      </w:r>
      <w:r w:rsidR="00630A45">
        <w:rPr>
          <w:rFonts w:eastAsia="Calibri"/>
        </w:rPr>
        <w:t>he Commission’s policy goals, whil</w:t>
      </w:r>
      <w:r w:rsidR="001D2785" w:rsidRPr="00105DB5">
        <w:rPr>
          <w:rFonts w:eastAsia="Calibri"/>
        </w:rPr>
        <w:t xml:space="preserve">e </w:t>
      </w:r>
      <w:proofErr w:type="spellStart"/>
      <w:r w:rsidR="002540B5">
        <w:rPr>
          <w:rFonts w:eastAsia="Calibri"/>
        </w:rPr>
        <w:t>PSR</w:t>
      </w:r>
      <w:proofErr w:type="spellEnd"/>
      <w:r w:rsidR="001D2785" w:rsidRPr="00105DB5">
        <w:rPr>
          <w:rFonts w:eastAsia="Calibri"/>
        </w:rPr>
        <w:t xml:space="preserve"> is not.  </w:t>
      </w:r>
    </w:p>
    <w:p w:rsidR="001D2785" w:rsidRPr="00105DB5" w:rsidRDefault="00AA08C4" w:rsidP="003A10B3">
      <w:pPr>
        <w:pStyle w:val="Heading5"/>
      </w:pPr>
      <w:bookmarkStart w:id="21" w:name="_Toc406411819"/>
      <w:r>
        <w:t>iii.</w:t>
      </w:r>
      <w:r>
        <w:tab/>
      </w:r>
      <w:r w:rsidR="001D2785" w:rsidRPr="00105DB5">
        <w:t xml:space="preserve">If the </w:t>
      </w:r>
      <w:proofErr w:type="spellStart"/>
      <w:r w:rsidR="002540B5">
        <w:t>PSR</w:t>
      </w:r>
      <w:proofErr w:type="spellEnd"/>
      <w:r w:rsidR="001D2785" w:rsidRPr="00105DB5">
        <w:t xml:space="preserve"> is granted, the Commission</w:t>
      </w:r>
      <w:r w:rsidR="00CF1700">
        <w:t xml:space="preserve"> would lack the</w:t>
      </w:r>
      <w:r w:rsidR="001D2785" w:rsidRPr="00105DB5">
        <w:t xml:space="preserve"> authority to disallow</w:t>
      </w:r>
      <w:r w:rsidR="00CF1700">
        <w:t xml:space="preserve"> or challenge</w:t>
      </w:r>
      <w:r w:rsidR="001D2785" w:rsidRPr="00105DB5">
        <w:t xml:space="preserve"> </w:t>
      </w:r>
      <w:proofErr w:type="spellStart"/>
      <w:r w:rsidR="002540B5">
        <w:t>PSR</w:t>
      </w:r>
      <w:proofErr w:type="spellEnd"/>
      <w:r w:rsidR="00CF1700">
        <w:t xml:space="preserve"> costs</w:t>
      </w:r>
      <w:r w:rsidR="001D2785" w:rsidRPr="00105DB5">
        <w:t>.</w:t>
      </w:r>
      <w:bookmarkEnd w:id="21"/>
      <w:r w:rsidR="001D2785" w:rsidRPr="00105DB5">
        <w:t xml:space="preserve">   </w:t>
      </w:r>
    </w:p>
    <w:p w:rsidR="001D2785" w:rsidRPr="00105DB5" w:rsidRDefault="001D2785" w:rsidP="00CE7318">
      <w:pPr>
        <w:pStyle w:val="textstyle0"/>
        <w:rPr>
          <w:rFonts w:eastAsia="Calibri"/>
        </w:rPr>
      </w:pPr>
      <w:r w:rsidRPr="00105DB5">
        <w:rPr>
          <w:rFonts w:eastAsia="Calibri"/>
        </w:rPr>
        <w:tab/>
      </w:r>
      <w:r w:rsidR="00870841">
        <w:rPr>
          <w:rFonts w:eastAsia="Calibri"/>
        </w:rPr>
        <w:t xml:space="preserve">Under the </w:t>
      </w:r>
      <w:proofErr w:type="spellStart"/>
      <w:r w:rsidR="00870841">
        <w:rPr>
          <w:rFonts w:eastAsia="Calibri"/>
        </w:rPr>
        <w:t>PSR</w:t>
      </w:r>
      <w:proofErr w:type="spellEnd"/>
      <w:r w:rsidR="00870841">
        <w:rPr>
          <w:rFonts w:eastAsia="Calibri"/>
        </w:rPr>
        <w:t>, t</w:t>
      </w:r>
      <w:r w:rsidRPr="00105DB5">
        <w:rPr>
          <w:rFonts w:eastAsia="Calibri"/>
        </w:rPr>
        <w:t xml:space="preserve">he Commission’s role in regulating the prudency of </w:t>
      </w:r>
      <w:r w:rsidR="00633BA6">
        <w:rPr>
          <w:rFonts w:eastAsia="Calibri"/>
        </w:rPr>
        <w:t>Duke</w:t>
      </w:r>
      <w:r w:rsidRPr="00105DB5">
        <w:rPr>
          <w:rFonts w:eastAsia="Calibri"/>
        </w:rPr>
        <w:t>’s generation-relate</w:t>
      </w:r>
      <w:r w:rsidR="00870841">
        <w:rPr>
          <w:rFonts w:eastAsia="Calibri"/>
        </w:rPr>
        <w:t>d costs will be very limited or potentially</w:t>
      </w:r>
      <w:r w:rsidRPr="00105DB5">
        <w:rPr>
          <w:rFonts w:eastAsia="Calibri"/>
        </w:rPr>
        <w:t xml:space="preserve"> nonexistent.  The </w:t>
      </w:r>
      <w:proofErr w:type="spellStart"/>
      <w:r w:rsidR="00633BA6">
        <w:rPr>
          <w:rFonts w:eastAsia="Calibri"/>
        </w:rPr>
        <w:t>PSR</w:t>
      </w:r>
      <w:proofErr w:type="spellEnd"/>
      <w:r w:rsidRPr="00105DB5">
        <w:rPr>
          <w:rFonts w:eastAsia="Calibri"/>
        </w:rPr>
        <w:t xml:space="preserve"> will be subject to the Federal Energy Regulatory Commission’s (“FERC”) jurisdiction, not the Commission’s.</w:t>
      </w:r>
      <w:r w:rsidRPr="00105DB5">
        <w:rPr>
          <w:rFonts w:eastAsia="Calibri"/>
          <w:vertAlign w:val="superscript"/>
        </w:rPr>
        <w:footnoteReference w:id="20"/>
      </w:r>
      <w:r w:rsidRPr="00105DB5">
        <w:rPr>
          <w:rFonts w:eastAsia="Calibri"/>
        </w:rPr>
        <w:t xml:space="preserve">  </w:t>
      </w:r>
      <w:proofErr w:type="spellStart"/>
      <w:r w:rsidR="002540B5">
        <w:rPr>
          <w:rFonts w:eastAsia="Calibri"/>
        </w:rPr>
        <w:t>PSR</w:t>
      </w:r>
      <w:proofErr w:type="spellEnd"/>
      <w:r w:rsidRPr="00105DB5">
        <w:rPr>
          <w:rFonts w:eastAsia="Calibri"/>
        </w:rPr>
        <w:t xml:space="preserve"> costs will not be subject to prudency review by the Commission, and the Commission will not have the ability to independently disallow </w:t>
      </w:r>
      <w:r w:rsidR="006A7C12">
        <w:rPr>
          <w:rFonts w:eastAsia="Calibri"/>
        </w:rPr>
        <w:t xml:space="preserve">any costs </w:t>
      </w:r>
      <w:r w:rsidR="00633BA6">
        <w:rPr>
          <w:rFonts w:eastAsia="Calibri"/>
        </w:rPr>
        <w:t>Duke</w:t>
      </w:r>
      <w:r w:rsidR="006A7C12">
        <w:rPr>
          <w:rFonts w:eastAsia="Calibri"/>
        </w:rPr>
        <w:t xml:space="preserve"> </w:t>
      </w:r>
      <w:r w:rsidR="00A958B4">
        <w:rPr>
          <w:rFonts w:eastAsia="Calibri"/>
        </w:rPr>
        <w:t xml:space="preserve">will </w:t>
      </w:r>
      <w:r w:rsidR="006A7C12">
        <w:rPr>
          <w:rFonts w:eastAsia="Calibri"/>
        </w:rPr>
        <w:t>assess its retail customers</w:t>
      </w:r>
      <w:r w:rsidRPr="00105DB5">
        <w:rPr>
          <w:rFonts w:eastAsia="Calibri"/>
        </w:rPr>
        <w:t xml:space="preserve">.  Rather, if the Commission disagreed with certain </w:t>
      </w:r>
      <w:proofErr w:type="spellStart"/>
      <w:r w:rsidR="00633BA6">
        <w:rPr>
          <w:rFonts w:eastAsia="Calibri"/>
        </w:rPr>
        <w:t>PSR</w:t>
      </w:r>
      <w:proofErr w:type="spellEnd"/>
      <w:r w:rsidRPr="00105DB5">
        <w:rPr>
          <w:rFonts w:eastAsia="Calibri"/>
        </w:rPr>
        <w:t xml:space="preserve"> </w:t>
      </w:r>
      <w:r w:rsidRPr="00105DB5">
        <w:rPr>
          <w:rFonts w:eastAsia="Calibri"/>
        </w:rPr>
        <w:lastRenderedPageBreak/>
        <w:t>costs, the Commission would have to file a com</w:t>
      </w:r>
      <w:r w:rsidR="006E341A">
        <w:rPr>
          <w:rFonts w:eastAsia="Calibri"/>
        </w:rPr>
        <w:softHyphen/>
      </w:r>
      <w:r w:rsidRPr="00105DB5">
        <w:rPr>
          <w:rFonts w:eastAsia="Calibri"/>
        </w:rPr>
        <w:t>plaint at FERC and the Commission would have the burden of proving that these costs were unreasonable.</w:t>
      </w:r>
      <w:r w:rsidRPr="00105DB5">
        <w:rPr>
          <w:rFonts w:eastAsia="Calibri"/>
          <w:vertAlign w:val="superscript"/>
        </w:rPr>
        <w:footnoteReference w:id="21"/>
      </w:r>
      <w:r w:rsidRPr="00105DB5">
        <w:rPr>
          <w:rFonts w:eastAsia="Calibri"/>
        </w:rPr>
        <w:t xml:space="preserve">   </w:t>
      </w:r>
    </w:p>
    <w:p w:rsidR="001D2785" w:rsidRPr="00105DB5" w:rsidRDefault="001D2785" w:rsidP="00CE7318">
      <w:pPr>
        <w:pStyle w:val="textstyle0"/>
        <w:rPr>
          <w:rFonts w:eastAsia="Calibri"/>
        </w:rPr>
      </w:pPr>
      <w:r w:rsidRPr="00105DB5">
        <w:rPr>
          <w:rFonts w:eastAsia="Calibri"/>
        </w:rPr>
        <w:tab/>
        <w:t xml:space="preserve">And, to make matters worse, a heightened burden of proof would be applied because the Commission would be challenging a rate established by a FERC-approved contract.  The U.S. Supreme Court has held that, under the </w:t>
      </w:r>
      <w:r w:rsidRPr="00105DB5">
        <w:rPr>
          <w:rFonts w:eastAsia="Calibri"/>
          <w:i/>
        </w:rPr>
        <w:t>Mobile Sierra</w:t>
      </w:r>
      <w:r w:rsidRPr="00105DB5">
        <w:rPr>
          <w:rFonts w:eastAsia="Calibri"/>
        </w:rPr>
        <w:t xml:space="preserve"> doctrine, FERC must presume that a rate set by a wholesale-energy contract is just and reasonable.</w:t>
      </w:r>
      <w:r w:rsidRPr="00105DB5">
        <w:rPr>
          <w:rFonts w:eastAsia="Calibri"/>
          <w:vertAlign w:val="superscript"/>
        </w:rPr>
        <w:footnoteReference w:id="22"/>
      </w:r>
      <w:r w:rsidRPr="00105DB5">
        <w:rPr>
          <w:rFonts w:eastAsia="Calibri"/>
        </w:rPr>
        <w:t xml:space="preserve">     The only way to overcome this presumption is to show that the contract “seriously harms the public interest.” </w:t>
      </w:r>
      <w:r w:rsidR="00AA08C4">
        <w:rPr>
          <w:rFonts w:eastAsia="Calibri"/>
        </w:rPr>
        <w:t xml:space="preserve"> </w:t>
      </w:r>
      <w:r w:rsidRPr="00105DB5">
        <w:rPr>
          <w:rFonts w:eastAsia="Calibri"/>
        </w:rPr>
        <w:t>The U.S. Supreme Court stated that this requires a finding of “une</w:t>
      </w:r>
      <w:r w:rsidR="00634F10">
        <w:rPr>
          <w:rFonts w:eastAsia="Calibri"/>
        </w:rPr>
        <w:softHyphen/>
      </w:r>
      <w:r w:rsidR="00542548">
        <w:rPr>
          <w:rFonts w:eastAsia="Calibri"/>
        </w:rPr>
        <w:t>quivocal public necessity” or “extraordinary circumstances</w:t>
      </w:r>
      <w:r w:rsidRPr="00105DB5">
        <w:rPr>
          <w:rFonts w:eastAsia="Calibri"/>
        </w:rPr>
        <w:t>,</w:t>
      </w:r>
      <w:r w:rsidR="00542548">
        <w:rPr>
          <w:rFonts w:eastAsia="Calibri"/>
        </w:rPr>
        <w:t>”</w:t>
      </w:r>
      <w:r w:rsidRPr="00105DB5">
        <w:rPr>
          <w:rFonts w:eastAsia="Calibri"/>
        </w:rPr>
        <w:t xml:space="preserve"> which goes well beyond the “just and reasonable” standard.</w:t>
      </w:r>
      <w:r w:rsidRPr="00105DB5">
        <w:rPr>
          <w:rFonts w:eastAsia="Calibri"/>
          <w:vertAlign w:val="superscript"/>
        </w:rPr>
        <w:footnoteReference w:id="23"/>
      </w:r>
      <w:r w:rsidRPr="00105DB5">
        <w:rPr>
          <w:rFonts w:eastAsia="Calibri"/>
        </w:rPr>
        <w:t xml:space="preserve">   </w:t>
      </w:r>
    </w:p>
    <w:p w:rsidR="001D2785" w:rsidRPr="00105DB5" w:rsidRDefault="001D2785" w:rsidP="00CE7318">
      <w:pPr>
        <w:pStyle w:val="textstyle0"/>
        <w:rPr>
          <w:rFonts w:eastAsia="Calibri"/>
        </w:rPr>
      </w:pPr>
      <w:r w:rsidRPr="00105DB5">
        <w:rPr>
          <w:rFonts w:eastAsia="Calibri"/>
        </w:rPr>
        <w:tab/>
      </w:r>
      <w:r w:rsidRPr="00550986">
        <w:rPr>
          <w:rFonts w:eastAsia="Calibri"/>
        </w:rPr>
        <w:t xml:space="preserve">Staff believes market forces should determine whether </w:t>
      </w:r>
      <w:r w:rsidR="00633BA6" w:rsidRPr="00550986">
        <w:rPr>
          <w:rFonts w:eastAsia="Calibri"/>
        </w:rPr>
        <w:t>Duke</w:t>
      </w:r>
      <w:r w:rsidRPr="00550986">
        <w:rPr>
          <w:rFonts w:eastAsia="Calibri"/>
        </w:rPr>
        <w:t xml:space="preserve"> can recover its </w:t>
      </w:r>
      <w:proofErr w:type="spellStart"/>
      <w:r w:rsidRPr="00550986">
        <w:rPr>
          <w:rFonts w:eastAsia="Calibri"/>
        </w:rPr>
        <w:t>OVEC</w:t>
      </w:r>
      <w:proofErr w:type="spellEnd"/>
      <w:r w:rsidRPr="00550986">
        <w:rPr>
          <w:rFonts w:eastAsia="Calibri"/>
        </w:rPr>
        <w:t xml:space="preserve"> costs.  </w:t>
      </w:r>
      <w:r w:rsidR="00550986">
        <w:rPr>
          <w:rFonts w:eastAsia="Calibri"/>
        </w:rPr>
        <w:t>T</w:t>
      </w:r>
      <w:r w:rsidRPr="00550986">
        <w:rPr>
          <w:rFonts w:eastAsia="Calibri"/>
        </w:rPr>
        <w:t xml:space="preserve">he </w:t>
      </w:r>
      <w:proofErr w:type="spellStart"/>
      <w:r w:rsidR="002540B5" w:rsidRPr="00550986">
        <w:rPr>
          <w:rFonts w:eastAsia="Calibri"/>
        </w:rPr>
        <w:t>PSR</w:t>
      </w:r>
      <w:proofErr w:type="spellEnd"/>
      <w:r w:rsidRPr="00550986">
        <w:rPr>
          <w:rFonts w:eastAsia="Calibri"/>
        </w:rPr>
        <w:t xml:space="preserve"> would</w:t>
      </w:r>
      <w:r w:rsidR="00550986">
        <w:rPr>
          <w:rFonts w:eastAsia="Calibri"/>
        </w:rPr>
        <w:t xml:space="preserve"> only</w:t>
      </w:r>
      <w:r w:rsidRPr="00550986">
        <w:rPr>
          <w:rFonts w:eastAsia="Calibri"/>
        </w:rPr>
        <w:t xml:space="preserve"> burden all of </w:t>
      </w:r>
      <w:r w:rsidR="00633BA6" w:rsidRPr="00550986">
        <w:rPr>
          <w:rFonts w:eastAsia="Calibri"/>
        </w:rPr>
        <w:t>Duke</w:t>
      </w:r>
      <w:r w:rsidRPr="00550986">
        <w:rPr>
          <w:rFonts w:eastAsia="Calibri"/>
        </w:rPr>
        <w:t>’s distribu</w:t>
      </w:r>
      <w:r w:rsidR="00634F10" w:rsidRPr="00550986">
        <w:rPr>
          <w:rFonts w:eastAsia="Calibri"/>
        </w:rPr>
        <w:softHyphen/>
      </w:r>
      <w:r w:rsidRPr="00550986">
        <w:rPr>
          <w:rFonts w:eastAsia="Calibri"/>
        </w:rPr>
        <w:t>tion customers with generation-related costs that the Commission no longer regulates.</w:t>
      </w:r>
      <w:r w:rsidRPr="00105DB5">
        <w:rPr>
          <w:rFonts w:eastAsia="Calibri"/>
        </w:rPr>
        <w:t xml:space="preserve">  </w:t>
      </w:r>
    </w:p>
    <w:p w:rsidR="001D2785" w:rsidRPr="00105DB5" w:rsidRDefault="00AA08C4" w:rsidP="003A10B3">
      <w:pPr>
        <w:pStyle w:val="Heading5"/>
      </w:pPr>
      <w:bookmarkStart w:id="22" w:name="_Toc406411820"/>
      <w:r>
        <w:lastRenderedPageBreak/>
        <w:t>iv.</w:t>
      </w:r>
      <w:r>
        <w:tab/>
      </w:r>
      <w:r w:rsidR="001D2785" w:rsidRPr="00105DB5">
        <w:t xml:space="preserve">There are more appropriate and effective ways to address concerns about the PJM wholesale markets than the </w:t>
      </w:r>
      <w:proofErr w:type="spellStart"/>
      <w:r w:rsidR="002540B5">
        <w:t>PSR</w:t>
      </w:r>
      <w:proofErr w:type="spellEnd"/>
      <w:r w:rsidR="001D2785" w:rsidRPr="00105DB5">
        <w:t>.</w:t>
      </w:r>
      <w:bookmarkEnd w:id="22"/>
      <w:r w:rsidR="001D2785" w:rsidRPr="00105DB5">
        <w:t xml:space="preserve">   </w:t>
      </w:r>
    </w:p>
    <w:p w:rsidR="001D2785" w:rsidRPr="00424690" w:rsidRDefault="001D2785" w:rsidP="00424690">
      <w:pPr>
        <w:pStyle w:val="textstyle0"/>
        <w:contextualSpacing/>
        <w:rPr>
          <w:rFonts w:eastAsia="Calibri"/>
          <w:szCs w:val="26"/>
        </w:rPr>
      </w:pPr>
      <w:r w:rsidRPr="00105DB5">
        <w:rPr>
          <w:rFonts w:eastAsia="Calibri"/>
        </w:rPr>
        <w:tab/>
      </w:r>
      <w:r w:rsidRPr="00E6015A">
        <w:rPr>
          <w:rFonts w:eastAsia="Calibri"/>
        </w:rPr>
        <w:t>Like many of the parties, Staff has concerns about market volatility and the contin</w:t>
      </w:r>
      <w:r w:rsidR="00634F10" w:rsidRPr="00E6015A">
        <w:rPr>
          <w:rFonts w:eastAsia="Calibri"/>
        </w:rPr>
        <w:softHyphen/>
      </w:r>
      <w:r w:rsidRPr="00E6015A">
        <w:rPr>
          <w:rFonts w:eastAsia="Calibri"/>
        </w:rPr>
        <w:t>uing development of the wholesale markets.</w:t>
      </w:r>
      <w:r w:rsidR="0080388C" w:rsidRPr="00E6015A">
        <w:rPr>
          <w:rStyle w:val="FootnoteReference"/>
          <w:rFonts w:eastAsia="Calibri"/>
        </w:rPr>
        <w:footnoteReference w:id="24"/>
      </w:r>
      <w:r w:rsidRPr="00E6015A">
        <w:rPr>
          <w:rFonts w:eastAsia="Calibri"/>
        </w:rPr>
        <w:t xml:space="preserve">  The </w:t>
      </w:r>
      <w:proofErr w:type="spellStart"/>
      <w:r w:rsidR="002540B5" w:rsidRPr="00E6015A">
        <w:rPr>
          <w:rFonts w:eastAsia="Calibri"/>
        </w:rPr>
        <w:t>PSR</w:t>
      </w:r>
      <w:proofErr w:type="spellEnd"/>
      <w:r w:rsidRPr="00E6015A">
        <w:rPr>
          <w:rFonts w:eastAsia="Calibri"/>
        </w:rPr>
        <w:t xml:space="preserve">, however, is not a proper solution to issues in the wholesale markets.  The Commission determined in the </w:t>
      </w:r>
      <w:r w:rsidR="00870841" w:rsidRPr="00E6015A">
        <w:rPr>
          <w:rFonts w:eastAsia="Calibri"/>
          <w:i/>
        </w:rPr>
        <w:t>ESP II c</w:t>
      </w:r>
      <w:r w:rsidRPr="00E6015A">
        <w:rPr>
          <w:rFonts w:eastAsia="Calibri"/>
          <w:i/>
        </w:rPr>
        <w:t>ase</w:t>
      </w:r>
      <w:r w:rsidRPr="00E6015A">
        <w:rPr>
          <w:rFonts w:eastAsia="Calibri"/>
        </w:rPr>
        <w:t xml:space="preserve"> that </w:t>
      </w:r>
      <w:r w:rsidR="00633BA6" w:rsidRPr="00E6015A">
        <w:rPr>
          <w:rFonts w:eastAsia="Calibri"/>
        </w:rPr>
        <w:t>Duke</w:t>
      </w:r>
      <w:r w:rsidRPr="00E6015A">
        <w:rPr>
          <w:rFonts w:eastAsia="Calibri"/>
        </w:rPr>
        <w:t xml:space="preserve">’s generation service should be market based.  This determination is consistent with SB 3 and SB 221.  </w:t>
      </w:r>
      <w:r w:rsidRPr="00612CCD">
        <w:rPr>
          <w:rFonts w:eastAsia="Calibri"/>
        </w:rPr>
        <w:t xml:space="preserve">To the extent </w:t>
      </w:r>
      <w:r w:rsidR="00633BA6" w:rsidRPr="00612CCD">
        <w:rPr>
          <w:rFonts w:eastAsia="Calibri"/>
        </w:rPr>
        <w:t>Duke</w:t>
      </w:r>
      <w:r w:rsidRPr="00612CCD">
        <w:rPr>
          <w:rFonts w:eastAsia="Calibri"/>
        </w:rPr>
        <w:t xml:space="preserve"> has concerns about the wholesale market, the competitive wholesale market is under FERC’s jurisdiction, a</w:t>
      </w:r>
      <w:r w:rsidR="00B807AE" w:rsidRPr="00612CCD">
        <w:rPr>
          <w:rFonts w:eastAsia="Calibri"/>
        </w:rPr>
        <w:t xml:space="preserve">nd that is </w:t>
      </w:r>
      <w:r w:rsidRPr="00612CCD">
        <w:rPr>
          <w:rFonts w:eastAsia="Calibri"/>
        </w:rPr>
        <w:t xml:space="preserve">the proper forum to address those concerns.  </w:t>
      </w:r>
      <w:r w:rsidRPr="0069268E">
        <w:rPr>
          <w:rFonts w:eastAsia="Calibri"/>
        </w:rPr>
        <w:t>Staff witness Choueiki testified regarding the continuing development of PJM</w:t>
      </w:r>
      <w:r w:rsidR="00AD512E" w:rsidRPr="0069268E">
        <w:rPr>
          <w:rFonts w:eastAsia="Calibri"/>
        </w:rPr>
        <w:t>’</w:t>
      </w:r>
      <w:r w:rsidRPr="0069268E">
        <w:rPr>
          <w:rFonts w:eastAsia="Calibri"/>
        </w:rPr>
        <w:t>s wholesale markets.</w:t>
      </w:r>
      <w:r w:rsidRPr="00F76894">
        <w:rPr>
          <w:rFonts w:eastAsia="Calibri"/>
        </w:rPr>
        <w:t xml:space="preserve">  </w:t>
      </w:r>
      <w:r w:rsidRPr="0069268E">
        <w:rPr>
          <w:rFonts w:eastAsia="Calibri"/>
        </w:rPr>
        <w:t>He testified that the PJM energy market is already a competitive market.</w:t>
      </w:r>
      <w:r w:rsidRPr="0069268E">
        <w:rPr>
          <w:rFonts w:eastAsia="Calibri"/>
          <w:vertAlign w:val="superscript"/>
        </w:rPr>
        <w:footnoteReference w:id="25"/>
      </w:r>
      <w:r w:rsidRPr="00F76894">
        <w:rPr>
          <w:rFonts w:eastAsia="Calibri"/>
        </w:rPr>
        <w:t xml:space="preserve">  </w:t>
      </w:r>
      <w:r w:rsidRPr="0069268E">
        <w:rPr>
          <w:rFonts w:eastAsia="Calibri"/>
        </w:rPr>
        <w:t>To the extent the PJM capacity market</w:t>
      </w:r>
      <w:r w:rsidR="0069268E">
        <w:rPr>
          <w:rFonts w:eastAsia="Calibri"/>
        </w:rPr>
        <w:t xml:space="preserve"> is not fully competitive, Staff’s </w:t>
      </w:r>
      <w:r w:rsidRPr="0069268E">
        <w:rPr>
          <w:rFonts w:eastAsia="Calibri"/>
        </w:rPr>
        <w:t>focus is on improv</w:t>
      </w:r>
      <w:r w:rsidR="00634F10" w:rsidRPr="0069268E">
        <w:rPr>
          <w:rFonts w:eastAsia="Calibri"/>
        </w:rPr>
        <w:softHyphen/>
      </w:r>
      <w:r w:rsidRPr="0069268E">
        <w:rPr>
          <w:rFonts w:eastAsia="Calibri"/>
        </w:rPr>
        <w:t xml:space="preserve">ing the capacity market in </w:t>
      </w:r>
      <w:r w:rsidR="008002D6">
        <w:rPr>
          <w:rFonts w:eastAsia="Calibri"/>
        </w:rPr>
        <w:t xml:space="preserve">PJM because that </w:t>
      </w:r>
      <w:r w:rsidR="008002D6" w:rsidRPr="00424690">
        <w:rPr>
          <w:rFonts w:eastAsia="Calibri"/>
          <w:szCs w:val="26"/>
        </w:rPr>
        <w:t>benefits Ohio.</w:t>
      </w:r>
    </w:p>
    <w:p w:rsidR="00424690" w:rsidRPr="00424690" w:rsidRDefault="00A52198" w:rsidP="00424690">
      <w:pPr>
        <w:spacing w:line="480" w:lineRule="auto"/>
        <w:contextualSpacing/>
        <w:rPr>
          <w:rFonts w:eastAsia="Calibri"/>
          <w:sz w:val="26"/>
          <w:szCs w:val="26"/>
        </w:rPr>
      </w:pPr>
      <w:r w:rsidRPr="00424690">
        <w:rPr>
          <w:rFonts w:eastAsia="Calibri"/>
          <w:sz w:val="26"/>
          <w:szCs w:val="26"/>
        </w:rPr>
        <w:tab/>
      </w:r>
      <w:r w:rsidR="00633BA6" w:rsidRPr="00424690">
        <w:rPr>
          <w:rFonts w:eastAsia="Calibri"/>
          <w:sz w:val="26"/>
          <w:szCs w:val="26"/>
        </w:rPr>
        <w:t>Duke</w:t>
      </w:r>
      <w:r w:rsidR="001D2785" w:rsidRPr="00424690">
        <w:rPr>
          <w:rFonts w:eastAsia="Calibri"/>
          <w:sz w:val="26"/>
          <w:szCs w:val="26"/>
        </w:rPr>
        <w:t xml:space="preserve"> claim</w:t>
      </w:r>
      <w:r w:rsidR="00630A45" w:rsidRPr="00424690">
        <w:rPr>
          <w:rFonts w:eastAsia="Calibri"/>
          <w:sz w:val="26"/>
          <w:szCs w:val="26"/>
        </w:rPr>
        <w:t>s that</w:t>
      </w:r>
      <w:r w:rsidR="001D2785" w:rsidRPr="00424690">
        <w:rPr>
          <w:rFonts w:eastAsia="Calibri"/>
          <w:sz w:val="26"/>
          <w:szCs w:val="26"/>
        </w:rPr>
        <w:t xml:space="preserve"> the </w:t>
      </w:r>
      <w:proofErr w:type="spellStart"/>
      <w:r w:rsidR="002540B5" w:rsidRPr="00424690">
        <w:rPr>
          <w:rFonts w:eastAsia="Calibri"/>
          <w:sz w:val="26"/>
          <w:szCs w:val="26"/>
        </w:rPr>
        <w:t>PSR</w:t>
      </w:r>
      <w:proofErr w:type="spellEnd"/>
      <w:r w:rsidR="001D2785" w:rsidRPr="00424690">
        <w:rPr>
          <w:rFonts w:eastAsia="Calibri"/>
          <w:sz w:val="26"/>
          <w:szCs w:val="26"/>
        </w:rPr>
        <w:t xml:space="preserve"> will help address reliability</w:t>
      </w:r>
      <w:r w:rsidR="00FA3136" w:rsidRPr="00424690">
        <w:rPr>
          <w:rFonts w:eastAsia="Calibri"/>
          <w:sz w:val="26"/>
          <w:szCs w:val="26"/>
        </w:rPr>
        <w:t xml:space="preserve"> because the </w:t>
      </w:r>
      <w:proofErr w:type="spellStart"/>
      <w:r w:rsidR="00FA3136" w:rsidRPr="00424690">
        <w:rPr>
          <w:rFonts w:eastAsia="Calibri"/>
          <w:sz w:val="26"/>
          <w:szCs w:val="26"/>
        </w:rPr>
        <w:t>OVEC</w:t>
      </w:r>
      <w:proofErr w:type="spellEnd"/>
      <w:r w:rsidR="00FA3136" w:rsidRPr="00424690">
        <w:rPr>
          <w:rFonts w:eastAsia="Calibri"/>
          <w:sz w:val="26"/>
          <w:szCs w:val="26"/>
        </w:rPr>
        <w:t xml:space="preserve"> generating stations reflect actual “steel in the ground,” providing reliable power at times when other generating stations are not.</w:t>
      </w:r>
      <w:r w:rsidR="00FA3136" w:rsidRPr="00424690">
        <w:rPr>
          <w:rStyle w:val="FootnoteReference"/>
          <w:rFonts w:eastAsia="Calibri"/>
          <w:sz w:val="26"/>
          <w:szCs w:val="26"/>
        </w:rPr>
        <w:footnoteReference w:id="26"/>
      </w:r>
      <w:r w:rsidR="00FA3136" w:rsidRPr="00424690">
        <w:rPr>
          <w:rFonts w:eastAsia="Calibri"/>
          <w:sz w:val="26"/>
          <w:szCs w:val="26"/>
        </w:rPr>
        <w:t xml:space="preserve">  </w:t>
      </w:r>
      <w:r w:rsidR="00424690" w:rsidRPr="00424690">
        <w:rPr>
          <w:sz w:val="26"/>
          <w:szCs w:val="26"/>
        </w:rPr>
        <w:t>The last three Base Residual Auctions (“</w:t>
      </w:r>
      <w:proofErr w:type="spellStart"/>
      <w:r w:rsidR="00424690" w:rsidRPr="00424690">
        <w:rPr>
          <w:sz w:val="26"/>
          <w:szCs w:val="26"/>
        </w:rPr>
        <w:t>BRAs</w:t>
      </w:r>
      <w:proofErr w:type="spellEnd"/>
      <w:r w:rsidR="00424690" w:rsidRPr="00424690">
        <w:rPr>
          <w:sz w:val="26"/>
          <w:szCs w:val="26"/>
        </w:rPr>
        <w:t>”) administered by PJM in May of 2012, May of 2013, and, more recently, in May of 2014 demonstrate that there are suffi</w:t>
      </w:r>
      <w:r w:rsidR="00424690" w:rsidRPr="00424690">
        <w:rPr>
          <w:sz w:val="26"/>
          <w:szCs w:val="26"/>
        </w:rPr>
        <w:softHyphen/>
        <w:t xml:space="preserve">cient supply resources procured and </w:t>
      </w:r>
      <w:r w:rsidR="00424690" w:rsidRPr="00424690">
        <w:rPr>
          <w:sz w:val="26"/>
          <w:szCs w:val="26"/>
        </w:rPr>
        <w:lastRenderedPageBreak/>
        <w:t xml:space="preserve">contracted to satisfy the projected peak load demand and the associated necessary reserves during the period starting on June 1, 2015 and ending on May 31, 2018.  In other words, all the necessary resources required for reliability during the term of the proposed ESP have already been procured for the entire PJM footprint; including the Duke Energy </w:t>
      </w:r>
      <w:r w:rsidR="00424690">
        <w:rPr>
          <w:sz w:val="26"/>
          <w:szCs w:val="26"/>
        </w:rPr>
        <w:t>Ohio footprint</w:t>
      </w:r>
      <w:r w:rsidR="00424690" w:rsidRPr="00424690">
        <w:rPr>
          <w:sz w:val="26"/>
          <w:szCs w:val="26"/>
        </w:rPr>
        <w:t>.</w:t>
      </w:r>
      <w:r w:rsidR="00424690" w:rsidRPr="00424690">
        <w:rPr>
          <w:rStyle w:val="FootnoteReference"/>
          <w:rFonts w:eastAsia="Calibri"/>
          <w:sz w:val="26"/>
          <w:szCs w:val="26"/>
        </w:rPr>
        <w:footnoteReference w:id="27"/>
      </w:r>
      <w:r w:rsidR="00424690" w:rsidRPr="00424690">
        <w:rPr>
          <w:sz w:val="26"/>
          <w:szCs w:val="26"/>
        </w:rPr>
        <w:t xml:space="preserve">  Therefore, in Staff’s opinion, granting the </w:t>
      </w:r>
      <w:proofErr w:type="spellStart"/>
      <w:r w:rsidR="00424690" w:rsidRPr="00424690">
        <w:rPr>
          <w:sz w:val="26"/>
          <w:szCs w:val="26"/>
        </w:rPr>
        <w:t>PSR</w:t>
      </w:r>
      <w:proofErr w:type="spellEnd"/>
      <w:r w:rsidR="00424690" w:rsidRPr="00424690">
        <w:rPr>
          <w:sz w:val="26"/>
          <w:szCs w:val="26"/>
        </w:rPr>
        <w:t xml:space="preserve"> will neither decrease nor increase the reliability o</w:t>
      </w:r>
      <w:r w:rsidR="00424690">
        <w:rPr>
          <w:sz w:val="26"/>
          <w:szCs w:val="26"/>
        </w:rPr>
        <w:t>f the grid in the PJM footprint</w:t>
      </w:r>
      <w:r w:rsidR="001D2785" w:rsidRPr="00424690">
        <w:rPr>
          <w:rFonts w:eastAsia="Calibri"/>
          <w:sz w:val="26"/>
          <w:szCs w:val="26"/>
        </w:rPr>
        <w:t xml:space="preserve">.  </w:t>
      </w:r>
    </w:p>
    <w:p w:rsidR="00B7653D" w:rsidRPr="005432CA" w:rsidRDefault="00424690" w:rsidP="00CE7318">
      <w:pPr>
        <w:pStyle w:val="textstyle0"/>
        <w:rPr>
          <w:rFonts w:eastAsia="Calibri"/>
          <w:highlight w:val="yellow"/>
        </w:rPr>
      </w:pPr>
      <w:r>
        <w:rPr>
          <w:rFonts w:eastAsia="Calibri"/>
        </w:rPr>
        <w:tab/>
        <w:t xml:space="preserve">Additionally, </w:t>
      </w:r>
      <w:r w:rsidR="001D2785" w:rsidRPr="00B10A34">
        <w:rPr>
          <w:rFonts w:eastAsia="Calibri"/>
        </w:rPr>
        <w:t>Staff witness Choueiki testified that the Commission has</w:t>
      </w:r>
      <w:r>
        <w:rPr>
          <w:rFonts w:eastAsia="Calibri"/>
        </w:rPr>
        <w:t xml:space="preserve"> the necessary</w:t>
      </w:r>
      <w:r w:rsidR="001D2785" w:rsidRPr="00B10A34">
        <w:rPr>
          <w:rFonts w:eastAsia="Calibri"/>
        </w:rPr>
        <w:t xml:space="preserve"> tools to address </w:t>
      </w:r>
      <w:r>
        <w:rPr>
          <w:rFonts w:eastAsia="Calibri"/>
        </w:rPr>
        <w:t xml:space="preserve">other </w:t>
      </w:r>
      <w:r w:rsidR="001D2785" w:rsidRPr="00B10A34">
        <w:rPr>
          <w:rFonts w:eastAsia="Calibri"/>
        </w:rPr>
        <w:t>potential reliability needs in the future.</w:t>
      </w:r>
      <w:r w:rsidR="00AA08C4" w:rsidRPr="00B10A34">
        <w:rPr>
          <w:rStyle w:val="FootnoteReference"/>
          <w:rFonts w:eastAsia="Calibri"/>
        </w:rPr>
        <w:footnoteReference w:id="28"/>
      </w:r>
      <w:r w:rsidR="001D2785" w:rsidRPr="00B10A34">
        <w:rPr>
          <w:rFonts w:eastAsia="Calibri"/>
        </w:rPr>
        <w:t xml:space="preserve">  For example, the Commission could approve a nonbypassable rider to fund the construction of a new generating facility if the Commission determines that there is </w:t>
      </w:r>
      <w:r w:rsidR="006B7344" w:rsidRPr="00B10A34">
        <w:rPr>
          <w:rFonts w:eastAsia="Calibri"/>
        </w:rPr>
        <w:t xml:space="preserve">a </w:t>
      </w:r>
      <w:r w:rsidR="001D2785" w:rsidRPr="00B10A34">
        <w:rPr>
          <w:rFonts w:eastAsia="Calibri"/>
        </w:rPr>
        <w:t>need for the facility.</w:t>
      </w:r>
      <w:r w:rsidR="001D2785" w:rsidRPr="00B10A34">
        <w:rPr>
          <w:rStyle w:val="FootnoteReference"/>
          <w:rFonts w:eastAsia="Calibri"/>
          <w:szCs w:val="26"/>
        </w:rPr>
        <w:footnoteReference w:id="29"/>
      </w:r>
      <w:r w:rsidR="001D2785" w:rsidRPr="00B10A34">
        <w:rPr>
          <w:rFonts w:eastAsia="Calibri"/>
        </w:rPr>
        <w:t xml:space="preserve"> </w:t>
      </w:r>
      <w:r w:rsidR="00AA08C4" w:rsidRPr="00B10A34">
        <w:rPr>
          <w:rFonts w:eastAsia="Calibri"/>
        </w:rPr>
        <w:t xml:space="preserve"> </w:t>
      </w:r>
      <w:r w:rsidR="001D2785" w:rsidRPr="00B10A34">
        <w:rPr>
          <w:rFonts w:eastAsia="Calibri"/>
        </w:rPr>
        <w:t>This process</w:t>
      </w:r>
      <w:r>
        <w:rPr>
          <w:rFonts w:eastAsia="Calibri"/>
        </w:rPr>
        <w:t xml:space="preserve"> is more effective than granting</w:t>
      </w:r>
      <w:r w:rsidR="001D2785" w:rsidRPr="00B10A34">
        <w:rPr>
          <w:rFonts w:eastAsia="Calibri"/>
        </w:rPr>
        <w:t xml:space="preserve"> the </w:t>
      </w:r>
      <w:proofErr w:type="spellStart"/>
      <w:r w:rsidR="002540B5" w:rsidRPr="00B10A34">
        <w:rPr>
          <w:rFonts w:eastAsia="Calibri"/>
        </w:rPr>
        <w:t>PSR</w:t>
      </w:r>
      <w:proofErr w:type="spellEnd"/>
      <w:r w:rsidR="001D2785" w:rsidRPr="00B10A34">
        <w:rPr>
          <w:rFonts w:eastAsia="Calibri"/>
        </w:rPr>
        <w:t xml:space="preserve"> because it would require proof </w:t>
      </w:r>
      <w:r w:rsidR="007E33D5" w:rsidRPr="00B10A34">
        <w:rPr>
          <w:rFonts w:eastAsia="Calibri"/>
        </w:rPr>
        <w:t xml:space="preserve">that </w:t>
      </w:r>
      <w:r w:rsidR="001D2785" w:rsidRPr="00B10A34">
        <w:rPr>
          <w:rFonts w:eastAsia="Calibri"/>
        </w:rPr>
        <w:t>a capacity need exists, the con</w:t>
      </w:r>
      <w:r w:rsidR="00634F10" w:rsidRPr="00B10A34">
        <w:rPr>
          <w:rFonts w:eastAsia="Calibri"/>
        </w:rPr>
        <w:softHyphen/>
      </w:r>
      <w:r w:rsidR="001D2785" w:rsidRPr="00B10A34">
        <w:rPr>
          <w:rFonts w:eastAsia="Calibri"/>
        </w:rPr>
        <w:t xml:space="preserve">struction of the facility would involve a competitive bidding process, and the facility would actually supply power to </w:t>
      </w:r>
      <w:r w:rsidR="00633BA6" w:rsidRPr="00B10A34">
        <w:rPr>
          <w:rFonts w:eastAsia="Calibri"/>
        </w:rPr>
        <w:t>Duke</w:t>
      </w:r>
      <w:r w:rsidR="001D2785" w:rsidRPr="00B10A34">
        <w:rPr>
          <w:rFonts w:eastAsia="Calibri"/>
        </w:rPr>
        <w:t>’s customers.</w:t>
      </w:r>
      <w:r w:rsidR="001D2785" w:rsidRPr="00B10A34">
        <w:rPr>
          <w:rStyle w:val="FootnoteReference"/>
          <w:rFonts w:eastAsia="Calibri"/>
          <w:szCs w:val="26"/>
        </w:rPr>
        <w:footnoteReference w:id="30"/>
      </w:r>
      <w:r w:rsidR="001D2785" w:rsidRPr="00B10A34">
        <w:rPr>
          <w:rFonts w:eastAsia="Calibri"/>
        </w:rPr>
        <w:t xml:space="preserve"> </w:t>
      </w:r>
      <w:r w:rsidR="00B7653D" w:rsidRPr="00B10A34">
        <w:rPr>
          <w:rFonts w:eastAsia="Calibri"/>
        </w:rPr>
        <w:t xml:space="preserve"> </w:t>
      </w:r>
    </w:p>
    <w:p w:rsidR="001D2785" w:rsidRPr="00105DB5" w:rsidRDefault="00F277B8" w:rsidP="00CE7318">
      <w:pPr>
        <w:pStyle w:val="textstyle0"/>
        <w:rPr>
          <w:rFonts w:eastAsia="Calibri"/>
        </w:rPr>
      </w:pPr>
      <w:r w:rsidRPr="00B10A34">
        <w:rPr>
          <w:rFonts w:eastAsia="Calibri"/>
        </w:rPr>
        <w:tab/>
      </w:r>
      <w:r w:rsidR="001D2785" w:rsidRPr="00B10A34">
        <w:rPr>
          <w:rFonts w:eastAsia="Calibri"/>
        </w:rPr>
        <w:t>In short, there are a number of systems in place to address price volatility and reli</w:t>
      </w:r>
      <w:r w:rsidR="00634F10" w:rsidRPr="00B10A34">
        <w:rPr>
          <w:rFonts w:eastAsia="Calibri"/>
        </w:rPr>
        <w:softHyphen/>
      </w:r>
      <w:r w:rsidR="001D2785" w:rsidRPr="00B10A34">
        <w:rPr>
          <w:rFonts w:eastAsia="Calibri"/>
        </w:rPr>
        <w:t xml:space="preserve">ability concerns.  Staff intends to continue working within these systems, and encourages </w:t>
      </w:r>
      <w:r w:rsidR="00633BA6" w:rsidRPr="00B10A34">
        <w:rPr>
          <w:rFonts w:eastAsia="Calibri"/>
        </w:rPr>
        <w:t>Duke</w:t>
      </w:r>
      <w:r w:rsidR="001D2785" w:rsidRPr="00B10A34">
        <w:rPr>
          <w:rFonts w:eastAsia="Calibri"/>
        </w:rPr>
        <w:t xml:space="preserve"> to do the same.  But, the </w:t>
      </w:r>
      <w:proofErr w:type="spellStart"/>
      <w:r w:rsidR="002540B5" w:rsidRPr="00B10A34">
        <w:rPr>
          <w:rFonts w:eastAsia="Calibri"/>
        </w:rPr>
        <w:t>PSR</w:t>
      </w:r>
      <w:proofErr w:type="spellEnd"/>
      <w:r w:rsidR="001D2785" w:rsidRPr="00B10A34">
        <w:rPr>
          <w:rFonts w:eastAsia="Calibri"/>
        </w:rPr>
        <w:t xml:space="preserve"> is </w:t>
      </w:r>
      <w:r w:rsidR="00C54784" w:rsidRPr="00B10A34">
        <w:rPr>
          <w:rFonts w:eastAsia="Calibri"/>
        </w:rPr>
        <w:t>not a</w:t>
      </w:r>
      <w:r w:rsidR="001D2785" w:rsidRPr="00B10A34">
        <w:rPr>
          <w:rFonts w:eastAsia="Calibri"/>
        </w:rPr>
        <w:t xml:space="preserve"> proper or </w:t>
      </w:r>
      <w:r w:rsidR="00424690">
        <w:rPr>
          <w:rFonts w:eastAsia="Calibri"/>
        </w:rPr>
        <w:t xml:space="preserve">an </w:t>
      </w:r>
      <w:r w:rsidR="001D2785" w:rsidRPr="00B10A34">
        <w:rPr>
          <w:rFonts w:eastAsia="Calibri"/>
        </w:rPr>
        <w:t>effective remedy to</w:t>
      </w:r>
      <w:r w:rsidR="00424690">
        <w:rPr>
          <w:rFonts w:eastAsia="Calibri"/>
        </w:rPr>
        <w:t xml:space="preserve"> the</w:t>
      </w:r>
      <w:r w:rsidR="001D2785" w:rsidRPr="00B10A34">
        <w:rPr>
          <w:rFonts w:eastAsia="Calibri"/>
        </w:rPr>
        <w:t xml:space="preserve"> con</w:t>
      </w:r>
      <w:r w:rsidR="006E341A" w:rsidRPr="00B10A34">
        <w:rPr>
          <w:rFonts w:eastAsia="Calibri"/>
        </w:rPr>
        <w:softHyphen/>
      </w:r>
      <w:r w:rsidR="001D2785" w:rsidRPr="00B10A34">
        <w:rPr>
          <w:rFonts w:eastAsia="Calibri"/>
        </w:rPr>
        <w:t>cerns with the PJM markets.</w:t>
      </w:r>
      <w:r w:rsidR="001D2785" w:rsidRPr="00105DB5">
        <w:rPr>
          <w:rFonts w:eastAsia="Calibri"/>
        </w:rPr>
        <w:t xml:space="preserve">  </w:t>
      </w:r>
    </w:p>
    <w:p w:rsidR="000A5A34" w:rsidRDefault="00AA08C4" w:rsidP="00AA08C4">
      <w:pPr>
        <w:pStyle w:val="Heading4"/>
        <w:rPr>
          <w:rFonts w:eastAsia="Calibri"/>
        </w:rPr>
      </w:pPr>
      <w:bookmarkStart w:id="23" w:name="_Toc406411821"/>
      <w:r>
        <w:rPr>
          <w:rFonts w:eastAsia="Calibri"/>
        </w:rPr>
        <w:lastRenderedPageBreak/>
        <w:t>b.</w:t>
      </w:r>
      <w:r w:rsidR="000A5A34">
        <w:rPr>
          <w:rFonts w:eastAsia="Calibri"/>
        </w:rPr>
        <w:tab/>
        <w:t xml:space="preserve">The </w:t>
      </w:r>
      <w:proofErr w:type="spellStart"/>
      <w:r w:rsidR="002540B5">
        <w:rPr>
          <w:rFonts w:eastAsia="Calibri"/>
        </w:rPr>
        <w:t>PSR</w:t>
      </w:r>
      <w:proofErr w:type="spellEnd"/>
      <w:r w:rsidR="000A5A34">
        <w:rPr>
          <w:rFonts w:eastAsia="Calibri"/>
        </w:rPr>
        <w:t xml:space="preserve"> should be denied because it violates the stipulation from the </w:t>
      </w:r>
      <w:r w:rsidR="000A5A34" w:rsidRPr="000A5A34">
        <w:rPr>
          <w:rFonts w:eastAsia="Calibri"/>
          <w:i/>
        </w:rPr>
        <w:t>ESP II</w:t>
      </w:r>
      <w:r w:rsidR="000A5A34">
        <w:rPr>
          <w:rFonts w:eastAsia="Calibri"/>
        </w:rPr>
        <w:t xml:space="preserve"> case.</w:t>
      </w:r>
      <w:bookmarkEnd w:id="23"/>
    </w:p>
    <w:p w:rsidR="00111B89" w:rsidRDefault="00D32B74" w:rsidP="00111B89">
      <w:pPr>
        <w:spacing w:line="480" w:lineRule="auto"/>
        <w:ind w:firstLine="720"/>
        <w:rPr>
          <w:rFonts w:eastAsia="Calibri"/>
          <w:sz w:val="26"/>
          <w:szCs w:val="26"/>
        </w:rPr>
      </w:pPr>
      <w:r w:rsidRPr="00D32B74">
        <w:rPr>
          <w:rFonts w:eastAsia="Calibri"/>
          <w:sz w:val="26"/>
          <w:szCs w:val="26"/>
        </w:rPr>
        <w:t>In</w:t>
      </w:r>
      <w:r w:rsidR="00870841">
        <w:rPr>
          <w:rFonts w:eastAsia="Calibri"/>
          <w:sz w:val="26"/>
          <w:szCs w:val="26"/>
        </w:rPr>
        <w:t xml:space="preserve"> </w:t>
      </w:r>
      <w:r w:rsidR="00870841">
        <w:rPr>
          <w:rFonts w:eastAsia="Calibri"/>
          <w:i/>
          <w:sz w:val="26"/>
          <w:szCs w:val="26"/>
        </w:rPr>
        <w:t>ESP II case</w:t>
      </w:r>
      <w:r w:rsidRPr="00D32B74">
        <w:rPr>
          <w:rFonts w:eastAsia="Calibri"/>
          <w:sz w:val="26"/>
          <w:szCs w:val="26"/>
        </w:rPr>
        <w:t xml:space="preserve">, the Commission ordered that “all of Duke’s generation assets will be </w:t>
      </w:r>
      <w:r>
        <w:rPr>
          <w:rFonts w:eastAsia="Calibri"/>
          <w:sz w:val="26"/>
          <w:szCs w:val="26"/>
        </w:rPr>
        <w:t>transferred to an affiliate.</w:t>
      </w:r>
      <w:r>
        <w:rPr>
          <w:rStyle w:val="FootnoteReference"/>
          <w:rFonts w:eastAsia="Calibri"/>
          <w:sz w:val="26"/>
          <w:szCs w:val="26"/>
        </w:rPr>
        <w:footnoteReference w:id="31"/>
      </w:r>
      <w:r>
        <w:rPr>
          <w:rFonts w:eastAsia="Calibri"/>
          <w:sz w:val="26"/>
          <w:szCs w:val="26"/>
        </w:rPr>
        <w:t xml:space="preserve">  </w:t>
      </w:r>
      <w:r w:rsidR="000A5A34" w:rsidRPr="000A5A34">
        <w:rPr>
          <w:rFonts w:eastAsia="Calibri"/>
          <w:sz w:val="26"/>
          <w:szCs w:val="26"/>
        </w:rPr>
        <w:t xml:space="preserve">According to Company witness </w:t>
      </w:r>
      <w:proofErr w:type="spellStart"/>
      <w:r w:rsidR="000A5A34" w:rsidRPr="000A5A34">
        <w:rPr>
          <w:rFonts w:eastAsia="Calibri"/>
          <w:sz w:val="26"/>
          <w:szCs w:val="26"/>
        </w:rPr>
        <w:t>Wathen</w:t>
      </w:r>
      <w:proofErr w:type="spellEnd"/>
      <w:r w:rsidR="000A5A34" w:rsidRPr="000A5A34">
        <w:rPr>
          <w:rFonts w:eastAsia="Calibri"/>
          <w:sz w:val="26"/>
          <w:szCs w:val="26"/>
        </w:rPr>
        <w:t xml:space="preserve">, Duke does not “directly” own the </w:t>
      </w:r>
      <w:proofErr w:type="spellStart"/>
      <w:r w:rsidR="000A5A34" w:rsidRPr="000A5A34">
        <w:rPr>
          <w:rFonts w:eastAsia="Calibri"/>
          <w:sz w:val="26"/>
          <w:szCs w:val="26"/>
        </w:rPr>
        <w:t>OVEC</w:t>
      </w:r>
      <w:proofErr w:type="spellEnd"/>
      <w:r w:rsidR="000A5A34" w:rsidRPr="000A5A34">
        <w:rPr>
          <w:rFonts w:eastAsia="Calibri"/>
          <w:sz w:val="26"/>
          <w:szCs w:val="26"/>
        </w:rPr>
        <w:t xml:space="preserve"> generating stations.   The Stipulation adopted by th</w:t>
      </w:r>
      <w:r w:rsidR="001F50A1">
        <w:rPr>
          <w:rFonts w:eastAsia="Calibri"/>
          <w:sz w:val="26"/>
          <w:szCs w:val="26"/>
        </w:rPr>
        <w:t xml:space="preserve">e Commission in the </w:t>
      </w:r>
      <w:r w:rsidR="001F50A1">
        <w:rPr>
          <w:rFonts w:eastAsia="Calibri"/>
          <w:i/>
          <w:sz w:val="26"/>
          <w:szCs w:val="26"/>
        </w:rPr>
        <w:t xml:space="preserve">ESP II </w:t>
      </w:r>
      <w:r w:rsidR="001F50A1">
        <w:rPr>
          <w:rFonts w:eastAsia="Calibri"/>
          <w:sz w:val="26"/>
          <w:szCs w:val="26"/>
        </w:rPr>
        <w:t xml:space="preserve">case, </w:t>
      </w:r>
      <w:r w:rsidR="000A5A34" w:rsidRPr="000A5A34">
        <w:rPr>
          <w:rFonts w:eastAsia="Calibri"/>
          <w:sz w:val="26"/>
          <w:szCs w:val="26"/>
        </w:rPr>
        <w:t>however, required the Company to transfer all of the generating assets “directly owned” by Duke Energy Ohio by the end of 2014.</w:t>
      </w:r>
      <w:r w:rsidR="001F50A1">
        <w:rPr>
          <w:rStyle w:val="FootnoteReference"/>
          <w:rFonts w:eastAsia="Calibri"/>
          <w:sz w:val="26"/>
          <w:szCs w:val="26"/>
        </w:rPr>
        <w:footnoteReference w:id="32"/>
      </w:r>
      <w:r w:rsidR="001D3E53">
        <w:rPr>
          <w:rFonts w:eastAsia="Calibri"/>
          <w:sz w:val="26"/>
          <w:szCs w:val="26"/>
        </w:rPr>
        <w:t xml:space="preserve">  </w:t>
      </w:r>
      <w:r w:rsidR="000A5A34" w:rsidRPr="000A5A34">
        <w:rPr>
          <w:rFonts w:eastAsia="Calibri"/>
          <w:sz w:val="26"/>
          <w:szCs w:val="26"/>
        </w:rPr>
        <w:t xml:space="preserve">Duke witness </w:t>
      </w:r>
      <w:proofErr w:type="spellStart"/>
      <w:r w:rsidR="000A5A34" w:rsidRPr="000A5A34">
        <w:rPr>
          <w:rFonts w:eastAsia="Calibri"/>
          <w:sz w:val="26"/>
          <w:szCs w:val="26"/>
        </w:rPr>
        <w:t>Wathen</w:t>
      </w:r>
      <w:proofErr w:type="spellEnd"/>
      <w:r w:rsidR="000A5A34" w:rsidRPr="000A5A34">
        <w:rPr>
          <w:rFonts w:eastAsia="Calibri"/>
          <w:sz w:val="26"/>
          <w:szCs w:val="26"/>
        </w:rPr>
        <w:t xml:space="preserve"> concludes that the requirements in Section VIII of the </w:t>
      </w:r>
      <w:r w:rsidR="001F50A1">
        <w:rPr>
          <w:rFonts w:eastAsia="Calibri"/>
          <w:i/>
          <w:sz w:val="26"/>
          <w:szCs w:val="26"/>
        </w:rPr>
        <w:t xml:space="preserve">ESP II </w:t>
      </w:r>
      <w:r w:rsidR="00870841">
        <w:rPr>
          <w:rFonts w:eastAsia="Calibri"/>
          <w:sz w:val="26"/>
          <w:szCs w:val="26"/>
        </w:rPr>
        <w:t>s</w:t>
      </w:r>
      <w:r w:rsidR="000A5A34" w:rsidRPr="000A5A34">
        <w:rPr>
          <w:rFonts w:eastAsia="Calibri"/>
          <w:sz w:val="26"/>
          <w:szCs w:val="26"/>
        </w:rPr>
        <w:t>tipulation are not applicable</w:t>
      </w:r>
      <w:r w:rsidR="001F50A1">
        <w:rPr>
          <w:rFonts w:eastAsia="Calibri"/>
          <w:sz w:val="26"/>
          <w:szCs w:val="26"/>
        </w:rPr>
        <w:t xml:space="preserve"> because</w:t>
      </w:r>
      <w:r w:rsidR="001F50A1" w:rsidRPr="000A5A34">
        <w:rPr>
          <w:rFonts w:eastAsia="Calibri"/>
          <w:sz w:val="26"/>
          <w:szCs w:val="26"/>
        </w:rPr>
        <w:t xml:space="preserve"> </w:t>
      </w:r>
      <w:proofErr w:type="spellStart"/>
      <w:r w:rsidR="001F50A1" w:rsidRPr="000A5A34">
        <w:rPr>
          <w:rFonts w:eastAsia="Calibri"/>
          <w:sz w:val="26"/>
          <w:szCs w:val="26"/>
        </w:rPr>
        <w:t>OVEC</w:t>
      </w:r>
      <w:proofErr w:type="spellEnd"/>
      <w:r w:rsidR="001F50A1" w:rsidRPr="000A5A34">
        <w:rPr>
          <w:rFonts w:eastAsia="Calibri"/>
          <w:sz w:val="26"/>
          <w:szCs w:val="26"/>
        </w:rPr>
        <w:t xml:space="preserve"> generating stations are not “directly” owned by Duke Energy Ohio</w:t>
      </w:r>
      <w:r w:rsidR="000A5A34" w:rsidRPr="000A5A34">
        <w:rPr>
          <w:rFonts w:eastAsia="Calibri"/>
          <w:sz w:val="26"/>
          <w:szCs w:val="26"/>
        </w:rPr>
        <w:t>.</w:t>
      </w:r>
      <w:r w:rsidR="001F50A1">
        <w:rPr>
          <w:rStyle w:val="FootnoteReference"/>
          <w:rFonts w:eastAsia="Calibri"/>
          <w:sz w:val="26"/>
          <w:szCs w:val="26"/>
        </w:rPr>
        <w:footnoteReference w:id="33"/>
      </w:r>
      <w:r w:rsidR="000A5A34" w:rsidRPr="000A5A34">
        <w:rPr>
          <w:rFonts w:eastAsia="Calibri"/>
          <w:sz w:val="26"/>
          <w:szCs w:val="26"/>
        </w:rPr>
        <w:t xml:space="preserve">   Whether the Company owns “directly” a generating asset or owns an equity/stock in a generating asset, it is Staff’s opinion that the Company owns entitlement to all energy and capacity that comes out of the generating asset.</w:t>
      </w:r>
      <w:r w:rsidR="001F50A1">
        <w:rPr>
          <w:rStyle w:val="FootnoteReference"/>
          <w:rFonts w:eastAsia="Calibri"/>
          <w:sz w:val="26"/>
          <w:szCs w:val="26"/>
        </w:rPr>
        <w:footnoteReference w:id="34"/>
      </w:r>
      <w:r w:rsidR="000A5A34" w:rsidRPr="000A5A34">
        <w:rPr>
          <w:rFonts w:eastAsia="Calibri"/>
          <w:sz w:val="26"/>
          <w:szCs w:val="26"/>
        </w:rPr>
        <w:t xml:space="preserve">   Section VIII of the </w:t>
      </w:r>
      <w:r w:rsidR="000A5A34" w:rsidRPr="001F50A1">
        <w:rPr>
          <w:rFonts w:eastAsia="Calibri"/>
          <w:i/>
          <w:sz w:val="26"/>
          <w:szCs w:val="26"/>
        </w:rPr>
        <w:t>ESP II</w:t>
      </w:r>
      <w:r w:rsidR="00870841">
        <w:rPr>
          <w:rFonts w:eastAsia="Calibri"/>
          <w:sz w:val="26"/>
          <w:szCs w:val="26"/>
        </w:rPr>
        <w:t xml:space="preserve"> s</w:t>
      </w:r>
      <w:r w:rsidR="000A5A34" w:rsidRPr="000A5A34">
        <w:rPr>
          <w:rFonts w:eastAsia="Calibri"/>
          <w:sz w:val="26"/>
          <w:szCs w:val="26"/>
        </w:rPr>
        <w:t>tipulation that was signed by Staff, the Company, and a large number of interveners required all generation assets to be transferred out of Duke Energy Ohio no later than December 31, 2014.</w:t>
      </w:r>
      <w:r w:rsidR="001F50A1">
        <w:rPr>
          <w:rStyle w:val="FootnoteReference"/>
          <w:rFonts w:eastAsia="Calibri"/>
          <w:sz w:val="26"/>
          <w:szCs w:val="26"/>
        </w:rPr>
        <w:footnoteReference w:id="35"/>
      </w:r>
      <w:r w:rsidR="000A5A34" w:rsidRPr="000A5A34">
        <w:rPr>
          <w:rFonts w:eastAsia="Calibri"/>
          <w:sz w:val="26"/>
          <w:szCs w:val="26"/>
        </w:rPr>
        <w:t xml:space="preserve">   There was no provision in Section VIII of the </w:t>
      </w:r>
      <w:r w:rsidR="000A5A34" w:rsidRPr="00B7653D">
        <w:rPr>
          <w:rFonts w:eastAsia="Calibri"/>
          <w:i/>
          <w:sz w:val="26"/>
          <w:szCs w:val="26"/>
        </w:rPr>
        <w:t>ESP II</w:t>
      </w:r>
      <w:r w:rsidR="00870841">
        <w:rPr>
          <w:rFonts w:eastAsia="Calibri"/>
          <w:sz w:val="26"/>
          <w:szCs w:val="26"/>
        </w:rPr>
        <w:t xml:space="preserve"> </w:t>
      </w:r>
      <w:r w:rsidR="00870841">
        <w:rPr>
          <w:rFonts w:eastAsia="Calibri"/>
          <w:sz w:val="26"/>
          <w:szCs w:val="26"/>
        </w:rPr>
        <w:lastRenderedPageBreak/>
        <w:t>s</w:t>
      </w:r>
      <w:r w:rsidR="000A5A34" w:rsidRPr="000A5A34">
        <w:rPr>
          <w:rFonts w:eastAsia="Calibri"/>
          <w:sz w:val="26"/>
          <w:szCs w:val="26"/>
        </w:rPr>
        <w:t xml:space="preserve">tipulation that specifically excluded from the transfer requirement Duke Energy Ohio’s entitlement in the </w:t>
      </w:r>
      <w:proofErr w:type="spellStart"/>
      <w:r w:rsidR="000A5A34" w:rsidRPr="000A5A34">
        <w:rPr>
          <w:rFonts w:eastAsia="Calibri"/>
          <w:sz w:val="26"/>
          <w:szCs w:val="26"/>
        </w:rPr>
        <w:t>OVEC</w:t>
      </w:r>
      <w:proofErr w:type="spellEnd"/>
      <w:r w:rsidR="000A5A34" w:rsidRPr="000A5A34">
        <w:rPr>
          <w:rFonts w:eastAsia="Calibri"/>
          <w:sz w:val="26"/>
          <w:szCs w:val="26"/>
        </w:rPr>
        <w:t xml:space="preserve"> generating stations.</w:t>
      </w:r>
      <w:r w:rsidR="00B7653D">
        <w:rPr>
          <w:rStyle w:val="FootnoteReference"/>
          <w:rFonts w:eastAsia="Calibri"/>
          <w:sz w:val="26"/>
          <w:szCs w:val="26"/>
        </w:rPr>
        <w:footnoteReference w:id="36"/>
      </w:r>
      <w:r w:rsidR="00493F25">
        <w:rPr>
          <w:rFonts w:eastAsia="Calibri"/>
          <w:sz w:val="26"/>
          <w:szCs w:val="26"/>
        </w:rPr>
        <w:t xml:space="preserve">  </w:t>
      </w:r>
    </w:p>
    <w:p w:rsidR="007B6B73" w:rsidRDefault="00111B89" w:rsidP="00111B89">
      <w:pPr>
        <w:spacing w:line="480" w:lineRule="auto"/>
        <w:ind w:firstLine="720"/>
        <w:rPr>
          <w:rFonts w:eastAsia="Calibri"/>
          <w:sz w:val="26"/>
          <w:szCs w:val="26"/>
        </w:rPr>
      </w:pPr>
      <w:r>
        <w:rPr>
          <w:rFonts w:eastAsia="Calibri"/>
          <w:sz w:val="26"/>
          <w:szCs w:val="26"/>
        </w:rPr>
        <w:t>The objectives of Section VIII of the</w:t>
      </w:r>
      <w:r w:rsidRPr="007052B8">
        <w:rPr>
          <w:rFonts w:eastAsia="Calibri"/>
          <w:i/>
          <w:sz w:val="26"/>
          <w:szCs w:val="26"/>
        </w:rPr>
        <w:t xml:space="preserve"> ESP II</w:t>
      </w:r>
      <w:r>
        <w:rPr>
          <w:rFonts w:eastAsia="Calibri"/>
          <w:sz w:val="26"/>
          <w:szCs w:val="26"/>
        </w:rPr>
        <w:t xml:space="preserve"> stipulation were for Duke to</w:t>
      </w:r>
      <w:r w:rsidR="00C626B1">
        <w:rPr>
          <w:rFonts w:eastAsia="Calibri"/>
          <w:sz w:val="26"/>
          <w:szCs w:val="26"/>
        </w:rPr>
        <w:t>:</w:t>
      </w:r>
      <w:r w:rsidRPr="007052B8">
        <w:rPr>
          <w:rFonts w:eastAsia="Calibri"/>
          <w:sz w:val="26"/>
          <w:szCs w:val="26"/>
        </w:rPr>
        <w:t xml:space="preserve"> become a wires on</w:t>
      </w:r>
      <w:r>
        <w:rPr>
          <w:rFonts w:eastAsia="Calibri"/>
          <w:sz w:val="26"/>
          <w:szCs w:val="26"/>
        </w:rPr>
        <w:t>ly company</w:t>
      </w:r>
      <w:r w:rsidR="00C626B1">
        <w:rPr>
          <w:rFonts w:eastAsia="Calibri"/>
          <w:sz w:val="26"/>
          <w:szCs w:val="26"/>
        </w:rPr>
        <w:t>;</w:t>
      </w:r>
      <w:r>
        <w:rPr>
          <w:rFonts w:eastAsia="Calibri"/>
          <w:sz w:val="26"/>
          <w:szCs w:val="26"/>
        </w:rPr>
        <w:t xml:space="preserve"> put its </w:t>
      </w:r>
      <w:r w:rsidRPr="007052B8">
        <w:rPr>
          <w:rFonts w:eastAsia="Calibri"/>
          <w:sz w:val="26"/>
          <w:szCs w:val="26"/>
        </w:rPr>
        <w:t>generation fleet on an equal footing with other</w:t>
      </w:r>
      <w:r>
        <w:rPr>
          <w:rFonts w:eastAsia="Calibri"/>
          <w:sz w:val="26"/>
          <w:szCs w:val="26"/>
        </w:rPr>
        <w:t xml:space="preserve"> </w:t>
      </w:r>
      <w:r w:rsidRPr="007052B8">
        <w:rPr>
          <w:rFonts w:eastAsia="Calibri"/>
          <w:sz w:val="26"/>
          <w:szCs w:val="26"/>
        </w:rPr>
        <w:t xml:space="preserve">generation, </w:t>
      </w:r>
      <w:r>
        <w:rPr>
          <w:rFonts w:eastAsia="Calibri"/>
          <w:sz w:val="26"/>
          <w:szCs w:val="26"/>
        </w:rPr>
        <w:t xml:space="preserve">and </w:t>
      </w:r>
      <w:r w:rsidRPr="007052B8">
        <w:rPr>
          <w:rFonts w:eastAsia="Calibri"/>
          <w:sz w:val="26"/>
          <w:szCs w:val="26"/>
        </w:rPr>
        <w:t>compete in the retail and</w:t>
      </w:r>
      <w:r>
        <w:rPr>
          <w:rFonts w:eastAsia="Calibri"/>
          <w:sz w:val="26"/>
          <w:szCs w:val="26"/>
        </w:rPr>
        <w:t xml:space="preserve"> </w:t>
      </w:r>
      <w:r w:rsidRPr="007052B8">
        <w:rPr>
          <w:rFonts w:eastAsia="Calibri"/>
          <w:sz w:val="26"/>
          <w:szCs w:val="26"/>
        </w:rPr>
        <w:t>wholesale market for generation service.</w:t>
      </w:r>
      <w:r>
        <w:rPr>
          <w:rStyle w:val="FootnoteReference"/>
          <w:rFonts w:eastAsia="Calibri"/>
          <w:sz w:val="26"/>
          <w:szCs w:val="26"/>
        </w:rPr>
        <w:footnoteReference w:id="37"/>
      </w:r>
      <w:r w:rsidRPr="007052B8">
        <w:rPr>
          <w:rFonts w:eastAsia="Calibri"/>
          <w:sz w:val="26"/>
          <w:szCs w:val="26"/>
        </w:rPr>
        <w:t xml:space="preserve"> </w:t>
      </w:r>
      <w:r>
        <w:rPr>
          <w:rFonts w:eastAsia="Calibri"/>
          <w:sz w:val="26"/>
          <w:szCs w:val="26"/>
        </w:rPr>
        <w:t xml:space="preserve"> </w:t>
      </w:r>
      <w:r w:rsidR="00493F25">
        <w:rPr>
          <w:rFonts w:eastAsia="Calibri"/>
          <w:sz w:val="26"/>
          <w:szCs w:val="26"/>
        </w:rPr>
        <w:t xml:space="preserve">Duke contends that </w:t>
      </w:r>
      <w:proofErr w:type="spellStart"/>
      <w:r w:rsidR="00493F25">
        <w:rPr>
          <w:rFonts w:eastAsia="Calibri"/>
          <w:sz w:val="26"/>
          <w:szCs w:val="26"/>
        </w:rPr>
        <w:t>OVEC</w:t>
      </w:r>
      <w:proofErr w:type="spellEnd"/>
      <w:r w:rsidR="00493F25">
        <w:rPr>
          <w:rFonts w:eastAsia="Calibri"/>
          <w:sz w:val="26"/>
          <w:szCs w:val="26"/>
        </w:rPr>
        <w:t xml:space="preserve"> was not contemplated in the </w:t>
      </w:r>
      <w:r w:rsidR="00493F25">
        <w:rPr>
          <w:rFonts w:eastAsia="Calibri"/>
          <w:i/>
          <w:sz w:val="26"/>
          <w:szCs w:val="26"/>
        </w:rPr>
        <w:t xml:space="preserve">ESP II </w:t>
      </w:r>
      <w:r w:rsidR="00493F25">
        <w:rPr>
          <w:rFonts w:eastAsia="Calibri"/>
          <w:sz w:val="26"/>
          <w:szCs w:val="26"/>
        </w:rPr>
        <w:t>stipulation process and Duke witness Whitlock’s supplemental testimony</w:t>
      </w:r>
      <w:r w:rsidR="00493F25">
        <w:rPr>
          <w:rStyle w:val="FootnoteReference"/>
          <w:rFonts w:eastAsia="Calibri"/>
          <w:sz w:val="26"/>
          <w:szCs w:val="26"/>
        </w:rPr>
        <w:footnoteReference w:id="38"/>
      </w:r>
      <w:r w:rsidR="00493F25">
        <w:rPr>
          <w:rFonts w:eastAsia="Calibri"/>
          <w:sz w:val="26"/>
          <w:szCs w:val="26"/>
        </w:rPr>
        <w:t xml:space="preserve"> </w:t>
      </w:r>
      <w:r>
        <w:rPr>
          <w:rFonts w:eastAsia="Calibri"/>
          <w:sz w:val="26"/>
          <w:szCs w:val="26"/>
        </w:rPr>
        <w:t xml:space="preserve">in support of the </w:t>
      </w:r>
      <w:r w:rsidRPr="00111B89">
        <w:rPr>
          <w:rFonts w:eastAsia="Calibri"/>
          <w:i/>
          <w:sz w:val="26"/>
          <w:szCs w:val="26"/>
        </w:rPr>
        <w:t>ESP II</w:t>
      </w:r>
      <w:r>
        <w:rPr>
          <w:rFonts w:eastAsia="Calibri"/>
          <w:sz w:val="26"/>
          <w:szCs w:val="26"/>
        </w:rPr>
        <w:t xml:space="preserve"> stipulation listed</w:t>
      </w:r>
      <w:r w:rsidR="00493F25">
        <w:rPr>
          <w:rFonts w:eastAsia="Calibri"/>
          <w:sz w:val="26"/>
          <w:szCs w:val="26"/>
        </w:rPr>
        <w:t xml:space="preserve"> the generati</w:t>
      </w:r>
      <w:r w:rsidR="007B6B73">
        <w:rPr>
          <w:rFonts w:eastAsia="Calibri"/>
          <w:sz w:val="26"/>
          <w:szCs w:val="26"/>
        </w:rPr>
        <w:t>on assets.  This is misguided.</w:t>
      </w:r>
      <w:r w:rsidR="007052B8">
        <w:rPr>
          <w:rFonts w:eastAsia="Calibri"/>
          <w:sz w:val="26"/>
          <w:szCs w:val="26"/>
        </w:rPr>
        <w:t xml:space="preserve">  </w:t>
      </w:r>
      <w:r w:rsidR="003A4813">
        <w:rPr>
          <w:rFonts w:eastAsia="Calibri"/>
          <w:sz w:val="26"/>
          <w:szCs w:val="26"/>
        </w:rPr>
        <w:t xml:space="preserve">Mr. Whitlock’s list only included legacy generation assets; </w:t>
      </w:r>
      <w:proofErr w:type="spellStart"/>
      <w:r w:rsidR="003A4813">
        <w:rPr>
          <w:rFonts w:eastAsia="Calibri"/>
          <w:sz w:val="26"/>
          <w:szCs w:val="26"/>
        </w:rPr>
        <w:t>OVEC</w:t>
      </w:r>
      <w:proofErr w:type="spellEnd"/>
      <w:r w:rsidR="003A4813">
        <w:rPr>
          <w:rFonts w:eastAsia="Calibri"/>
          <w:sz w:val="26"/>
          <w:szCs w:val="26"/>
        </w:rPr>
        <w:t xml:space="preserve"> is not a legacy generation asset.  </w:t>
      </w:r>
      <w:r w:rsidR="00493F25" w:rsidRPr="007B6B73">
        <w:rPr>
          <w:rFonts w:eastAsia="Calibri"/>
          <w:sz w:val="26"/>
          <w:szCs w:val="26"/>
        </w:rPr>
        <w:t>Staff witness Choueki</w:t>
      </w:r>
      <w:r w:rsidR="00C626B1">
        <w:rPr>
          <w:rFonts w:eastAsia="Calibri"/>
          <w:sz w:val="26"/>
          <w:szCs w:val="26"/>
        </w:rPr>
        <w:t xml:space="preserve"> explained </w:t>
      </w:r>
      <w:r w:rsidR="003A4813">
        <w:rPr>
          <w:rFonts w:eastAsia="Calibri"/>
          <w:sz w:val="26"/>
          <w:szCs w:val="26"/>
        </w:rPr>
        <w:t>t</w:t>
      </w:r>
      <w:r w:rsidR="00C626B1">
        <w:rPr>
          <w:rFonts w:eastAsia="Calibri"/>
          <w:sz w:val="26"/>
          <w:szCs w:val="26"/>
        </w:rPr>
        <w:t>his</w:t>
      </w:r>
      <w:r w:rsidR="003A4813">
        <w:rPr>
          <w:rFonts w:eastAsia="Calibri"/>
          <w:sz w:val="26"/>
          <w:szCs w:val="26"/>
        </w:rPr>
        <w:t xml:space="preserve"> distinction</w:t>
      </w:r>
      <w:r>
        <w:rPr>
          <w:rFonts w:eastAsia="Calibri"/>
          <w:sz w:val="26"/>
          <w:szCs w:val="26"/>
        </w:rPr>
        <w:t xml:space="preserve"> on cross</w:t>
      </w:r>
      <w:r w:rsidR="007B6B73">
        <w:rPr>
          <w:rFonts w:eastAsia="Calibri"/>
          <w:sz w:val="26"/>
          <w:szCs w:val="26"/>
        </w:rPr>
        <w:t>:</w:t>
      </w:r>
    </w:p>
    <w:p w:rsidR="00974568" w:rsidRDefault="00974568" w:rsidP="00974568">
      <w:pPr>
        <w:ind w:left="1440" w:right="1440"/>
        <w:rPr>
          <w:rFonts w:eastAsia="Calibri"/>
          <w:sz w:val="26"/>
          <w:szCs w:val="26"/>
        </w:rPr>
      </w:pPr>
      <w:r w:rsidRPr="00974568">
        <w:rPr>
          <w:rFonts w:eastAsia="Calibri"/>
          <w:sz w:val="26"/>
          <w:szCs w:val="26"/>
        </w:rPr>
        <w:t xml:space="preserve">Q. </w:t>
      </w:r>
      <w:r>
        <w:rPr>
          <w:rFonts w:eastAsia="Calibri"/>
          <w:sz w:val="26"/>
          <w:szCs w:val="26"/>
        </w:rPr>
        <w:tab/>
        <w:t xml:space="preserve">[Ms. Spiller] </w:t>
      </w:r>
      <w:r w:rsidRPr="00974568">
        <w:rPr>
          <w:rFonts w:eastAsia="Calibri"/>
          <w:sz w:val="26"/>
          <w:szCs w:val="26"/>
        </w:rPr>
        <w:t>And you understood that Mr. Whitlock</w:t>
      </w:r>
      <w:r>
        <w:rPr>
          <w:rFonts w:eastAsia="Calibri"/>
          <w:sz w:val="26"/>
          <w:szCs w:val="26"/>
        </w:rPr>
        <w:t xml:space="preserve"> </w:t>
      </w:r>
      <w:r w:rsidRPr="00974568">
        <w:rPr>
          <w:rFonts w:eastAsia="Calibri"/>
          <w:sz w:val="26"/>
          <w:szCs w:val="26"/>
        </w:rPr>
        <w:t>delineated on his testimony in support of the ESP</w:t>
      </w:r>
      <w:r>
        <w:rPr>
          <w:rFonts w:eastAsia="Calibri"/>
          <w:sz w:val="26"/>
          <w:szCs w:val="26"/>
        </w:rPr>
        <w:t xml:space="preserve"> </w:t>
      </w:r>
      <w:r w:rsidRPr="00974568">
        <w:rPr>
          <w:rFonts w:eastAsia="Calibri"/>
          <w:sz w:val="26"/>
          <w:szCs w:val="26"/>
        </w:rPr>
        <w:t>stipulation all of the then operating and retired</w:t>
      </w:r>
      <w:r>
        <w:rPr>
          <w:rFonts w:eastAsia="Calibri"/>
          <w:sz w:val="26"/>
          <w:szCs w:val="26"/>
        </w:rPr>
        <w:t xml:space="preserve"> </w:t>
      </w:r>
      <w:r w:rsidRPr="00974568">
        <w:rPr>
          <w:rFonts w:eastAsia="Calibri"/>
          <w:sz w:val="26"/>
          <w:szCs w:val="26"/>
        </w:rPr>
        <w:t>generating assets that Duke Energy Ohio directly</w:t>
      </w:r>
      <w:r>
        <w:rPr>
          <w:rFonts w:eastAsia="Calibri"/>
          <w:sz w:val="26"/>
          <w:szCs w:val="26"/>
        </w:rPr>
        <w:t xml:space="preserve"> </w:t>
      </w:r>
      <w:r w:rsidRPr="00974568">
        <w:rPr>
          <w:rFonts w:eastAsia="Calibri"/>
          <w:sz w:val="26"/>
          <w:szCs w:val="26"/>
        </w:rPr>
        <w:t>owned, correct?</w:t>
      </w:r>
    </w:p>
    <w:p w:rsidR="00974568" w:rsidRDefault="00974568" w:rsidP="00974568">
      <w:pPr>
        <w:ind w:left="1440" w:right="1440"/>
        <w:rPr>
          <w:rFonts w:eastAsia="Calibri"/>
          <w:sz w:val="26"/>
          <w:szCs w:val="26"/>
        </w:rPr>
      </w:pPr>
    </w:p>
    <w:p w:rsidR="007B6B73" w:rsidRDefault="00974568" w:rsidP="00974568">
      <w:pPr>
        <w:ind w:left="1440" w:right="1440"/>
        <w:rPr>
          <w:rFonts w:eastAsia="Calibri"/>
          <w:sz w:val="26"/>
          <w:szCs w:val="26"/>
        </w:rPr>
      </w:pPr>
      <w:r>
        <w:rPr>
          <w:rFonts w:eastAsia="Calibri"/>
          <w:sz w:val="26"/>
          <w:szCs w:val="26"/>
        </w:rPr>
        <w:t>A.</w:t>
      </w:r>
      <w:r>
        <w:rPr>
          <w:rFonts w:eastAsia="Calibri"/>
          <w:sz w:val="26"/>
          <w:szCs w:val="26"/>
        </w:rPr>
        <w:tab/>
      </w:r>
      <w:r w:rsidR="007B6B73" w:rsidRPr="007B6B73">
        <w:rPr>
          <w:rFonts w:eastAsia="Calibri"/>
          <w:sz w:val="26"/>
          <w:szCs w:val="26"/>
        </w:rPr>
        <w:t>Mr. Whitlock didn't talk about all</w:t>
      </w:r>
      <w:r>
        <w:rPr>
          <w:rFonts w:eastAsia="Calibri"/>
          <w:sz w:val="26"/>
          <w:szCs w:val="26"/>
        </w:rPr>
        <w:t xml:space="preserve"> </w:t>
      </w:r>
      <w:r w:rsidR="007B6B73" w:rsidRPr="007B6B73">
        <w:rPr>
          <w:rFonts w:eastAsia="Calibri"/>
          <w:sz w:val="26"/>
          <w:szCs w:val="26"/>
        </w:rPr>
        <w:t>generation assets. He only talked about the legacy</w:t>
      </w:r>
      <w:r>
        <w:rPr>
          <w:rFonts w:eastAsia="Calibri"/>
          <w:sz w:val="26"/>
          <w:szCs w:val="26"/>
        </w:rPr>
        <w:t xml:space="preserve"> </w:t>
      </w:r>
      <w:r w:rsidR="007B6B73" w:rsidRPr="007B6B73">
        <w:rPr>
          <w:rFonts w:eastAsia="Calibri"/>
          <w:sz w:val="26"/>
          <w:szCs w:val="26"/>
        </w:rPr>
        <w:t xml:space="preserve">generation assets of Duke Ohio. </w:t>
      </w:r>
      <w:proofErr w:type="spellStart"/>
      <w:r w:rsidR="007B6B73" w:rsidRPr="007B6B73">
        <w:rPr>
          <w:rFonts w:eastAsia="Calibri"/>
          <w:sz w:val="26"/>
          <w:szCs w:val="26"/>
        </w:rPr>
        <w:t>OVEC</w:t>
      </w:r>
      <w:proofErr w:type="spellEnd"/>
      <w:r w:rsidR="007B6B73" w:rsidRPr="007B6B73">
        <w:rPr>
          <w:rFonts w:eastAsia="Calibri"/>
          <w:sz w:val="26"/>
          <w:szCs w:val="26"/>
        </w:rPr>
        <w:t xml:space="preserve"> was never a</w:t>
      </w:r>
      <w:r>
        <w:rPr>
          <w:rFonts w:eastAsia="Calibri"/>
          <w:sz w:val="26"/>
          <w:szCs w:val="26"/>
        </w:rPr>
        <w:t xml:space="preserve"> </w:t>
      </w:r>
      <w:r w:rsidR="007B6B73" w:rsidRPr="007B6B73">
        <w:rPr>
          <w:rFonts w:eastAsia="Calibri"/>
          <w:sz w:val="26"/>
          <w:szCs w:val="26"/>
        </w:rPr>
        <w:t>legacy asset. As a matter of fact, you never used to</w:t>
      </w:r>
      <w:r>
        <w:rPr>
          <w:rFonts w:eastAsia="Calibri"/>
          <w:sz w:val="26"/>
          <w:szCs w:val="26"/>
        </w:rPr>
        <w:t xml:space="preserve"> </w:t>
      </w:r>
      <w:r w:rsidR="007B6B73" w:rsidRPr="007B6B73">
        <w:rPr>
          <w:rFonts w:eastAsia="Calibri"/>
          <w:sz w:val="26"/>
          <w:szCs w:val="26"/>
        </w:rPr>
        <w:t>report it in the long-term forecast report because it</w:t>
      </w:r>
      <w:r>
        <w:rPr>
          <w:rFonts w:eastAsia="Calibri"/>
          <w:sz w:val="26"/>
          <w:szCs w:val="26"/>
        </w:rPr>
        <w:t xml:space="preserve"> </w:t>
      </w:r>
      <w:r w:rsidR="007B6B73" w:rsidRPr="007B6B73">
        <w:rPr>
          <w:rFonts w:eastAsia="Calibri"/>
          <w:sz w:val="26"/>
          <w:szCs w:val="26"/>
        </w:rPr>
        <w:t xml:space="preserve">wasn't built for Ohio. Duke and </w:t>
      </w:r>
      <w:proofErr w:type="spellStart"/>
      <w:r w:rsidR="007B6B73" w:rsidRPr="007B6B73">
        <w:rPr>
          <w:rFonts w:eastAsia="Calibri"/>
          <w:sz w:val="26"/>
          <w:szCs w:val="26"/>
        </w:rPr>
        <w:t>OVEC</w:t>
      </w:r>
      <w:proofErr w:type="spellEnd"/>
      <w:r w:rsidR="007B6B73" w:rsidRPr="007B6B73">
        <w:rPr>
          <w:rFonts w:eastAsia="Calibri"/>
          <w:sz w:val="26"/>
          <w:szCs w:val="26"/>
        </w:rPr>
        <w:t xml:space="preserve"> was built for</w:t>
      </w:r>
      <w:r>
        <w:rPr>
          <w:rFonts w:eastAsia="Calibri"/>
          <w:sz w:val="26"/>
          <w:szCs w:val="26"/>
        </w:rPr>
        <w:t xml:space="preserve"> </w:t>
      </w:r>
      <w:r w:rsidR="007B6B73" w:rsidRPr="007B6B73">
        <w:rPr>
          <w:rFonts w:eastAsia="Calibri"/>
          <w:sz w:val="26"/>
          <w:szCs w:val="26"/>
        </w:rPr>
        <w:t>the U.S. Department of Energy. They were a one</w:t>
      </w:r>
      <w:r w:rsidR="007B6B73">
        <w:rPr>
          <w:rFonts w:eastAsia="Calibri"/>
          <w:sz w:val="26"/>
          <w:szCs w:val="26"/>
        </w:rPr>
        <w:t xml:space="preserve"> </w:t>
      </w:r>
      <w:r w:rsidR="007B6B73" w:rsidRPr="007B6B73">
        <w:rPr>
          <w:rFonts w:eastAsia="Calibri"/>
          <w:sz w:val="26"/>
          <w:szCs w:val="26"/>
        </w:rPr>
        <w:t>customer company.</w:t>
      </w:r>
    </w:p>
    <w:p w:rsidR="00974568" w:rsidRDefault="00974568" w:rsidP="00974568">
      <w:pPr>
        <w:ind w:left="1440" w:right="1440"/>
        <w:rPr>
          <w:rFonts w:eastAsia="Calibri"/>
          <w:sz w:val="26"/>
          <w:szCs w:val="26"/>
        </w:rPr>
      </w:pPr>
    </w:p>
    <w:p w:rsidR="007B6B73" w:rsidRDefault="00493F25" w:rsidP="00974568">
      <w:pPr>
        <w:ind w:left="1440" w:right="1440"/>
        <w:rPr>
          <w:rFonts w:eastAsia="Calibri"/>
          <w:sz w:val="26"/>
          <w:szCs w:val="26"/>
        </w:rPr>
      </w:pPr>
      <w:r>
        <w:rPr>
          <w:rFonts w:eastAsia="Calibri"/>
          <w:sz w:val="26"/>
          <w:szCs w:val="26"/>
        </w:rPr>
        <w:t xml:space="preserve"> </w:t>
      </w:r>
      <w:r w:rsidR="007B6B73" w:rsidRPr="007B6B73">
        <w:rPr>
          <w:rFonts w:eastAsia="Calibri"/>
          <w:sz w:val="26"/>
          <w:szCs w:val="26"/>
        </w:rPr>
        <w:t xml:space="preserve">Q. </w:t>
      </w:r>
      <w:r w:rsidR="00974568">
        <w:rPr>
          <w:rFonts w:eastAsia="Calibri"/>
          <w:sz w:val="26"/>
          <w:szCs w:val="26"/>
        </w:rPr>
        <w:tab/>
      </w:r>
      <w:r w:rsidR="007B6B73" w:rsidRPr="007B6B73">
        <w:rPr>
          <w:rFonts w:eastAsia="Calibri"/>
          <w:sz w:val="26"/>
          <w:szCs w:val="26"/>
        </w:rPr>
        <w:t>And, sir, I appreciate that, but I'm</w:t>
      </w:r>
      <w:r w:rsidR="00974568">
        <w:rPr>
          <w:rFonts w:eastAsia="Calibri"/>
          <w:sz w:val="26"/>
          <w:szCs w:val="26"/>
        </w:rPr>
        <w:t xml:space="preserve"> </w:t>
      </w:r>
      <w:r w:rsidR="007B6B73" w:rsidRPr="007B6B73">
        <w:rPr>
          <w:rFonts w:eastAsia="Calibri"/>
          <w:sz w:val="26"/>
          <w:szCs w:val="26"/>
        </w:rPr>
        <w:t>going to go back to my question. You know that</w:t>
      </w:r>
      <w:r w:rsidR="00974568">
        <w:rPr>
          <w:rFonts w:eastAsia="Calibri"/>
          <w:sz w:val="26"/>
          <w:szCs w:val="26"/>
        </w:rPr>
        <w:t xml:space="preserve"> </w:t>
      </w:r>
      <w:r w:rsidR="007B6B73" w:rsidRPr="007B6B73">
        <w:rPr>
          <w:rFonts w:eastAsia="Calibri"/>
          <w:sz w:val="26"/>
          <w:szCs w:val="26"/>
        </w:rPr>
        <w:t>Mr. Whitlock delineated in his testimony filed in</w:t>
      </w:r>
      <w:r w:rsidR="00974568">
        <w:rPr>
          <w:rFonts w:eastAsia="Calibri"/>
          <w:sz w:val="26"/>
          <w:szCs w:val="26"/>
        </w:rPr>
        <w:t xml:space="preserve"> </w:t>
      </w:r>
      <w:r w:rsidR="007B6B73" w:rsidRPr="007B6B73">
        <w:rPr>
          <w:rFonts w:eastAsia="Calibri"/>
          <w:sz w:val="26"/>
          <w:szCs w:val="26"/>
        </w:rPr>
        <w:t xml:space="preserve">support of the stipulation all of the </w:t>
      </w:r>
      <w:r w:rsidR="007B6B73" w:rsidRPr="007B6B73">
        <w:rPr>
          <w:rFonts w:eastAsia="Calibri"/>
          <w:sz w:val="26"/>
          <w:szCs w:val="26"/>
        </w:rPr>
        <w:lastRenderedPageBreak/>
        <w:t>operating</w:t>
      </w:r>
      <w:r w:rsidR="00974568">
        <w:rPr>
          <w:rFonts w:eastAsia="Calibri"/>
          <w:sz w:val="26"/>
          <w:szCs w:val="26"/>
        </w:rPr>
        <w:t xml:space="preserve"> </w:t>
      </w:r>
      <w:r w:rsidR="007B6B73" w:rsidRPr="007B6B73">
        <w:rPr>
          <w:rFonts w:eastAsia="Calibri"/>
          <w:sz w:val="26"/>
          <w:szCs w:val="26"/>
        </w:rPr>
        <w:t>generating assets that Duke Energy Ohio directly</w:t>
      </w:r>
      <w:r w:rsidR="00974568">
        <w:rPr>
          <w:rFonts w:eastAsia="Calibri"/>
          <w:sz w:val="26"/>
          <w:szCs w:val="26"/>
        </w:rPr>
        <w:t xml:space="preserve"> </w:t>
      </w:r>
      <w:r w:rsidR="007B6B73" w:rsidRPr="007B6B73">
        <w:rPr>
          <w:rFonts w:eastAsia="Calibri"/>
          <w:sz w:val="26"/>
          <w:szCs w:val="26"/>
        </w:rPr>
        <w:t>owned as well as all of the retired generating assets</w:t>
      </w:r>
      <w:r w:rsidR="00974568">
        <w:rPr>
          <w:rFonts w:eastAsia="Calibri"/>
          <w:sz w:val="26"/>
          <w:szCs w:val="26"/>
        </w:rPr>
        <w:t xml:space="preserve"> </w:t>
      </w:r>
      <w:r w:rsidR="007B6B73" w:rsidRPr="007B6B73">
        <w:rPr>
          <w:rFonts w:eastAsia="Calibri"/>
          <w:sz w:val="26"/>
          <w:szCs w:val="26"/>
        </w:rPr>
        <w:t>that Duke Energy Ohio directly owned, correct?</w:t>
      </w:r>
    </w:p>
    <w:p w:rsidR="00974568" w:rsidRPr="007B6B73" w:rsidRDefault="00974568" w:rsidP="00974568">
      <w:pPr>
        <w:ind w:left="1440" w:right="1440"/>
        <w:rPr>
          <w:rFonts w:eastAsia="Calibri"/>
          <w:sz w:val="26"/>
          <w:szCs w:val="26"/>
        </w:rPr>
      </w:pPr>
    </w:p>
    <w:p w:rsidR="00974568" w:rsidRDefault="00974568" w:rsidP="00974568">
      <w:pPr>
        <w:ind w:left="1440" w:right="1440"/>
        <w:rPr>
          <w:rFonts w:eastAsia="Calibri"/>
          <w:sz w:val="26"/>
          <w:szCs w:val="26"/>
        </w:rPr>
      </w:pPr>
      <w:r>
        <w:rPr>
          <w:rFonts w:eastAsia="Calibri"/>
          <w:sz w:val="26"/>
          <w:szCs w:val="26"/>
        </w:rPr>
        <w:t>***</w:t>
      </w:r>
    </w:p>
    <w:p w:rsidR="00974568" w:rsidRDefault="00974568" w:rsidP="00974568">
      <w:pPr>
        <w:ind w:left="1440" w:right="1440"/>
        <w:rPr>
          <w:rFonts w:eastAsia="Calibri"/>
          <w:sz w:val="26"/>
          <w:szCs w:val="26"/>
        </w:rPr>
      </w:pPr>
    </w:p>
    <w:p w:rsidR="007B6B73" w:rsidRDefault="007B6B73" w:rsidP="00974568">
      <w:pPr>
        <w:ind w:left="1440" w:right="1440"/>
        <w:rPr>
          <w:rFonts w:eastAsia="Calibri"/>
          <w:sz w:val="26"/>
          <w:szCs w:val="26"/>
        </w:rPr>
      </w:pPr>
      <w:r w:rsidRPr="007B6B73">
        <w:rPr>
          <w:rFonts w:eastAsia="Calibri"/>
          <w:sz w:val="26"/>
          <w:szCs w:val="26"/>
        </w:rPr>
        <w:t xml:space="preserve">A. </w:t>
      </w:r>
      <w:r w:rsidR="00974568">
        <w:rPr>
          <w:rFonts w:eastAsia="Calibri"/>
          <w:sz w:val="26"/>
          <w:szCs w:val="26"/>
        </w:rPr>
        <w:tab/>
      </w:r>
      <w:r w:rsidRPr="007B6B73">
        <w:rPr>
          <w:rFonts w:eastAsia="Calibri"/>
          <w:sz w:val="26"/>
          <w:szCs w:val="26"/>
        </w:rPr>
        <w:t>I think I answered you. I said</w:t>
      </w:r>
      <w:r w:rsidR="00974568">
        <w:rPr>
          <w:rFonts w:eastAsia="Calibri"/>
          <w:sz w:val="26"/>
          <w:szCs w:val="26"/>
        </w:rPr>
        <w:t xml:space="preserve"> </w:t>
      </w:r>
      <w:r w:rsidRPr="007B6B73">
        <w:rPr>
          <w:rFonts w:eastAsia="Calibri"/>
          <w:sz w:val="26"/>
          <w:szCs w:val="26"/>
        </w:rPr>
        <w:t>Mr. Whitlock defined all legacy assets. He didn't</w:t>
      </w:r>
      <w:r w:rsidR="00974568">
        <w:rPr>
          <w:rFonts w:eastAsia="Calibri"/>
          <w:sz w:val="26"/>
          <w:szCs w:val="26"/>
        </w:rPr>
        <w:t xml:space="preserve"> </w:t>
      </w:r>
      <w:r w:rsidRPr="007B6B73">
        <w:rPr>
          <w:rFonts w:eastAsia="Calibri"/>
          <w:sz w:val="26"/>
          <w:szCs w:val="26"/>
        </w:rPr>
        <w:t>define all generation assets because Duke Energy Ohio</w:t>
      </w:r>
      <w:r w:rsidR="00974568">
        <w:rPr>
          <w:rFonts w:eastAsia="Calibri"/>
          <w:sz w:val="26"/>
          <w:szCs w:val="26"/>
        </w:rPr>
        <w:t xml:space="preserve"> </w:t>
      </w:r>
      <w:r w:rsidRPr="007B6B73">
        <w:rPr>
          <w:rFonts w:eastAsia="Calibri"/>
          <w:sz w:val="26"/>
          <w:szCs w:val="26"/>
        </w:rPr>
        <w:t>owns more than the legacy assets.</w:t>
      </w:r>
    </w:p>
    <w:p w:rsidR="00974568" w:rsidRDefault="00974568" w:rsidP="00974568">
      <w:pPr>
        <w:ind w:left="1440" w:right="1440"/>
        <w:rPr>
          <w:rFonts w:eastAsia="Calibri"/>
          <w:sz w:val="26"/>
          <w:szCs w:val="26"/>
        </w:rPr>
      </w:pPr>
    </w:p>
    <w:p w:rsidR="00974568" w:rsidRPr="007B6B73" w:rsidRDefault="00974568" w:rsidP="00974568">
      <w:pPr>
        <w:ind w:left="1440" w:right="1440"/>
        <w:rPr>
          <w:rFonts w:eastAsia="Calibri"/>
          <w:sz w:val="26"/>
          <w:szCs w:val="26"/>
        </w:rPr>
      </w:pPr>
      <w:r>
        <w:rPr>
          <w:rFonts w:eastAsia="Calibri"/>
          <w:sz w:val="26"/>
          <w:szCs w:val="26"/>
        </w:rPr>
        <w:t>***</w:t>
      </w:r>
    </w:p>
    <w:p w:rsidR="00974568" w:rsidRPr="00974568" w:rsidRDefault="00974568" w:rsidP="00974568">
      <w:pPr>
        <w:ind w:left="1440" w:right="1440"/>
        <w:rPr>
          <w:rFonts w:eastAsia="Calibri"/>
          <w:sz w:val="26"/>
          <w:szCs w:val="26"/>
        </w:rPr>
      </w:pPr>
    </w:p>
    <w:p w:rsidR="00974568" w:rsidRDefault="00974568" w:rsidP="00974568">
      <w:pPr>
        <w:ind w:left="1440" w:right="1440"/>
        <w:rPr>
          <w:rFonts w:eastAsia="Calibri"/>
          <w:sz w:val="26"/>
          <w:szCs w:val="26"/>
        </w:rPr>
      </w:pPr>
      <w:r w:rsidRPr="00974568">
        <w:rPr>
          <w:rFonts w:eastAsia="Calibri"/>
          <w:sz w:val="26"/>
          <w:szCs w:val="26"/>
        </w:rPr>
        <w:t xml:space="preserve">Q. </w:t>
      </w:r>
      <w:r>
        <w:rPr>
          <w:rFonts w:eastAsia="Calibri"/>
          <w:sz w:val="26"/>
          <w:szCs w:val="26"/>
        </w:rPr>
        <w:tab/>
      </w:r>
      <w:r w:rsidRPr="00974568">
        <w:rPr>
          <w:rFonts w:eastAsia="Calibri"/>
          <w:sz w:val="26"/>
          <w:szCs w:val="26"/>
        </w:rPr>
        <w:t xml:space="preserve">And those delineations in Mr. Whitlock's testimony did not at all mention the contractual entitlement in </w:t>
      </w:r>
      <w:proofErr w:type="spellStart"/>
      <w:r w:rsidRPr="00974568">
        <w:rPr>
          <w:rFonts w:eastAsia="Calibri"/>
          <w:sz w:val="26"/>
          <w:szCs w:val="26"/>
        </w:rPr>
        <w:t>OVEC</w:t>
      </w:r>
      <w:proofErr w:type="spellEnd"/>
      <w:r w:rsidRPr="00974568">
        <w:rPr>
          <w:rFonts w:eastAsia="Calibri"/>
          <w:sz w:val="26"/>
          <w:szCs w:val="26"/>
        </w:rPr>
        <w:t>, correct?</w:t>
      </w:r>
    </w:p>
    <w:p w:rsidR="00974568" w:rsidRPr="00974568" w:rsidRDefault="00974568" w:rsidP="00974568">
      <w:pPr>
        <w:ind w:left="1440" w:right="1440"/>
        <w:rPr>
          <w:rFonts w:eastAsia="Calibri"/>
          <w:sz w:val="26"/>
          <w:szCs w:val="26"/>
        </w:rPr>
      </w:pPr>
    </w:p>
    <w:p w:rsidR="00974568" w:rsidRDefault="00974568" w:rsidP="00974568">
      <w:pPr>
        <w:ind w:left="1440" w:right="1440"/>
        <w:rPr>
          <w:rFonts w:eastAsia="Calibri"/>
          <w:sz w:val="26"/>
          <w:szCs w:val="26"/>
        </w:rPr>
      </w:pPr>
      <w:r w:rsidRPr="00974568">
        <w:rPr>
          <w:rFonts w:eastAsia="Calibri"/>
          <w:sz w:val="26"/>
          <w:szCs w:val="26"/>
        </w:rPr>
        <w:t xml:space="preserve">A. </w:t>
      </w:r>
      <w:r>
        <w:rPr>
          <w:rFonts w:eastAsia="Calibri"/>
          <w:sz w:val="26"/>
          <w:szCs w:val="26"/>
        </w:rPr>
        <w:tab/>
      </w:r>
      <w:r w:rsidRPr="00974568">
        <w:rPr>
          <w:rFonts w:eastAsia="Calibri"/>
          <w:sz w:val="26"/>
          <w:szCs w:val="26"/>
        </w:rPr>
        <w:t>That's correct. But that didn't mean</w:t>
      </w:r>
      <w:r>
        <w:rPr>
          <w:rFonts w:eastAsia="Calibri"/>
          <w:sz w:val="26"/>
          <w:szCs w:val="26"/>
        </w:rPr>
        <w:t xml:space="preserve"> </w:t>
      </w:r>
      <w:r w:rsidRPr="00974568">
        <w:rPr>
          <w:rFonts w:eastAsia="Calibri"/>
          <w:sz w:val="26"/>
          <w:szCs w:val="26"/>
        </w:rPr>
        <w:t xml:space="preserve">that the </w:t>
      </w:r>
      <w:proofErr w:type="spellStart"/>
      <w:r w:rsidRPr="00974568">
        <w:rPr>
          <w:rFonts w:eastAsia="Calibri"/>
          <w:sz w:val="26"/>
          <w:szCs w:val="26"/>
        </w:rPr>
        <w:t>OVEC</w:t>
      </w:r>
      <w:proofErr w:type="spellEnd"/>
      <w:r w:rsidRPr="00974568">
        <w:rPr>
          <w:rFonts w:eastAsia="Calibri"/>
          <w:sz w:val="26"/>
          <w:szCs w:val="26"/>
        </w:rPr>
        <w:t xml:space="preserve"> entitlement was not going to be separated too.</w:t>
      </w:r>
    </w:p>
    <w:p w:rsidR="00974568" w:rsidRPr="00974568" w:rsidRDefault="00974568" w:rsidP="00974568">
      <w:pPr>
        <w:ind w:left="1440" w:right="1440"/>
        <w:rPr>
          <w:rFonts w:eastAsia="Calibri"/>
          <w:sz w:val="26"/>
          <w:szCs w:val="26"/>
        </w:rPr>
      </w:pPr>
    </w:p>
    <w:p w:rsidR="00974568" w:rsidRDefault="00974568" w:rsidP="00974568">
      <w:pPr>
        <w:ind w:left="1440" w:right="1440"/>
        <w:rPr>
          <w:rFonts w:eastAsia="Calibri"/>
          <w:sz w:val="26"/>
          <w:szCs w:val="26"/>
        </w:rPr>
      </w:pPr>
      <w:r w:rsidRPr="00974568">
        <w:rPr>
          <w:rFonts w:eastAsia="Calibri"/>
          <w:sz w:val="26"/>
          <w:szCs w:val="26"/>
        </w:rPr>
        <w:t xml:space="preserve">Q. </w:t>
      </w:r>
      <w:r>
        <w:rPr>
          <w:rFonts w:eastAsia="Calibri"/>
          <w:sz w:val="26"/>
          <w:szCs w:val="26"/>
        </w:rPr>
        <w:tab/>
      </w:r>
      <w:r w:rsidRPr="00974568">
        <w:rPr>
          <w:rFonts w:eastAsia="Calibri"/>
          <w:sz w:val="26"/>
          <w:szCs w:val="26"/>
        </w:rPr>
        <w:t xml:space="preserve">Is </w:t>
      </w:r>
      <w:proofErr w:type="spellStart"/>
      <w:r w:rsidRPr="00974568">
        <w:rPr>
          <w:rFonts w:eastAsia="Calibri"/>
          <w:sz w:val="26"/>
          <w:szCs w:val="26"/>
        </w:rPr>
        <w:t>OVEC</w:t>
      </w:r>
      <w:proofErr w:type="spellEnd"/>
      <w:r w:rsidRPr="00974568">
        <w:rPr>
          <w:rFonts w:eastAsia="Calibri"/>
          <w:sz w:val="26"/>
          <w:szCs w:val="26"/>
        </w:rPr>
        <w:t>, sir, anywhere mentioned in the</w:t>
      </w:r>
      <w:r>
        <w:rPr>
          <w:rFonts w:eastAsia="Calibri"/>
          <w:sz w:val="26"/>
          <w:szCs w:val="26"/>
        </w:rPr>
        <w:t xml:space="preserve"> </w:t>
      </w:r>
      <w:r w:rsidRPr="00974568">
        <w:rPr>
          <w:rFonts w:eastAsia="Calibri"/>
          <w:sz w:val="26"/>
          <w:szCs w:val="26"/>
        </w:rPr>
        <w:t>ESP stipulation filed in case 11-3549?</w:t>
      </w:r>
    </w:p>
    <w:p w:rsidR="00974568" w:rsidRPr="00974568" w:rsidRDefault="00974568" w:rsidP="00974568">
      <w:pPr>
        <w:ind w:left="1440" w:right="1440"/>
        <w:rPr>
          <w:rFonts w:eastAsia="Calibri"/>
          <w:sz w:val="26"/>
          <w:szCs w:val="26"/>
        </w:rPr>
      </w:pPr>
    </w:p>
    <w:p w:rsidR="00974568" w:rsidRDefault="00974568" w:rsidP="00974568">
      <w:pPr>
        <w:ind w:left="1440" w:right="1440"/>
        <w:rPr>
          <w:rFonts w:eastAsia="Calibri"/>
          <w:sz w:val="26"/>
          <w:szCs w:val="26"/>
        </w:rPr>
      </w:pPr>
      <w:r w:rsidRPr="00974568">
        <w:rPr>
          <w:rFonts w:eastAsia="Calibri"/>
          <w:sz w:val="26"/>
          <w:szCs w:val="26"/>
        </w:rPr>
        <w:t xml:space="preserve">A. </w:t>
      </w:r>
      <w:r>
        <w:rPr>
          <w:rFonts w:eastAsia="Calibri"/>
          <w:sz w:val="26"/>
          <w:szCs w:val="26"/>
        </w:rPr>
        <w:tab/>
      </w:r>
      <w:r w:rsidRPr="00974568">
        <w:rPr>
          <w:rFonts w:eastAsia="Calibri"/>
          <w:sz w:val="26"/>
          <w:szCs w:val="26"/>
        </w:rPr>
        <w:t>No, it's not. That's my point. There</w:t>
      </w:r>
      <w:r>
        <w:rPr>
          <w:rFonts w:eastAsia="Calibri"/>
          <w:sz w:val="26"/>
          <w:szCs w:val="26"/>
        </w:rPr>
        <w:t xml:space="preserve"> </w:t>
      </w:r>
      <w:r w:rsidRPr="00974568">
        <w:rPr>
          <w:rFonts w:eastAsia="Calibri"/>
          <w:sz w:val="26"/>
          <w:szCs w:val="26"/>
        </w:rPr>
        <w:t xml:space="preserve">was no exclusion in the stipulation for </w:t>
      </w:r>
      <w:proofErr w:type="spellStart"/>
      <w:r w:rsidRPr="00974568">
        <w:rPr>
          <w:rFonts w:eastAsia="Calibri"/>
          <w:sz w:val="26"/>
          <w:szCs w:val="26"/>
        </w:rPr>
        <w:t>OVEC</w:t>
      </w:r>
      <w:proofErr w:type="spellEnd"/>
      <w:r>
        <w:rPr>
          <w:rFonts w:eastAsia="Calibri"/>
          <w:sz w:val="26"/>
          <w:szCs w:val="26"/>
        </w:rPr>
        <w:t xml:space="preserve"> </w:t>
      </w:r>
      <w:r w:rsidRPr="00974568">
        <w:rPr>
          <w:rFonts w:eastAsia="Calibri"/>
          <w:sz w:val="26"/>
          <w:szCs w:val="26"/>
        </w:rPr>
        <w:t>generating stations.</w:t>
      </w:r>
    </w:p>
    <w:p w:rsidR="00974568" w:rsidRPr="00974568" w:rsidRDefault="00974568" w:rsidP="00974568">
      <w:pPr>
        <w:ind w:left="1440" w:right="1440"/>
        <w:rPr>
          <w:rFonts w:eastAsia="Calibri"/>
          <w:sz w:val="26"/>
          <w:szCs w:val="26"/>
        </w:rPr>
      </w:pPr>
    </w:p>
    <w:p w:rsidR="00974568" w:rsidRDefault="00974568" w:rsidP="00974568">
      <w:pPr>
        <w:ind w:left="1440" w:right="1440"/>
        <w:rPr>
          <w:rFonts w:eastAsia="Calibri"/>
          <w:sz w:val="26"/>
          <w:szCs w:val="26"/>
        </w:rPr>
      </w:pPr>
      <w:r w:rsidRPr="00974568">
        <w:rPr>
          <w:rFonts w:eastAsia="Calibri"/>
          <w:sz w:val="26"/>
          <w:szCs w:val="26"/>
        </w:rPr>
        <w:t xml:space="preserve">Q. </w:t>
      </w:r>
      <w:r>
        <w:rPr>
          <w:rFonts w:eastAsia="Calibri"/>
          <w:sz w:val="26"/>
          <w:szCs w:val="26"/>
        </w:rPr>
        <w:tab/>
      </w:r>
      <w:r w:rsidRPr="00974568">
        <w:rPr>
          <w:rFonts w:eastAsia="Calibri"/>
          <w:sz w:val="26"/>
          <w:szCs w:val="26"/>
        </w:rPr>
        <w:t>There was no inclusion, was there, sir?</w:t>
      </w:r>
      <w:r>
        <w:rPr>
          <w:rFonts w:eastAsia="Calibri"/>
          <w:sz w:val="26"/>
          <w:szCs w:val="26"/>
        </w:rPr>
        <w:t xml:space="preserve">  </w:t>
      </w:r>
    </w:p>
    <w:p w:rsidR="00974568" w:rsidRDefault="00493F25" w:rsidP="00974568">
      <w:pPr>
        <w:ind w:left="1440" w:right="1440"/>
        <w:rPr>
          <w:rFonts w:eastAsia="Calibri"/>
          <w:sz w:val="26"/>
          <w:szCs w:val="26"/>
        </w:rPr>
      </w:pPr>
      <w:r>
        <w:rPr>
          <w:rFonts w:eastAsia="Calibri"/>
          <w:sz w:val="26"/>
          <w:szCs w:val="26"/>
        </w:rPr>
        <w:t xml:space="preserve"> </w:t>
      </w:r>
    </w:p>
    <w:p w:rsidR="00493F25" w:rsidRDefault="00974568" w:rsidP="00974568">
      <w:pPr>
        <w:ind w:left="1440" w:right="1440"/>
        <w:rPr>
          <w:rFonts w:eastAsia="Calibri"/>
          <w:sz w:val="26"/>
          <w:szCs w:val="26"/>
        </w:rPr>
      </w:pPr>
      <w:r w:rsidRPr="00974568">
        <w:rPr>
          <w:rFonts w:eastAsia="Calibri"/>
          <w:sz w:val="26"/>
          <w:szCs w:val="26"/>
        </w:rPr>
        <w:t xml:space="preserve">A. </w:t>
      </w:r>
      <w:r>
        <w:rPr>
          <w:rFonts w:eastAsia="Calibri"/>
          <w:sz w:val="26"/>
          <w:szCs w:val="26"/>
        </w:rPr>
        <w:tab/>
      </w:r>
      <w:r w:rsidRPr="00974568">
        <w:rPr>
          <w:rFonts w:eastAsia="Calibri"/>
          <w:sz w:val="26"/>
          <w:szCs w:val="26"/>
        </w:rPr>
        <w:t>So I guess the Commission will have to</w:t>
      </w:r>
      <w:r>
        <w:rPr>
          <w:rFonts w:eastAsia="Calibri"/>
          <w:sz w:val="26"/>
          <w:szCs w:val="26"/>
        </w:rPr>
        <w:t xml:space="preserve"> </w:t>
      </w:r>
      <w:r w:rsidRPr="00974568">
        <w:rPr>
          <w:rFonts w:eastAsia="Calibri"/>
          <w:sz w:val="26"/>
          <w:szCs w:val="26"/>
        </w:rPr>
        <w:t>decide whether they agree with the ones who are</w:t>
      </w:r>
      <w:r>
        <w:rPr>
          <w:rFonts w:eastAsia="Calibri"/>
          <w:sz w:val="26"/>
          <w:szCs w:val="26"/>
        </w:rPr>
        <w:t xml:space="preserve"> </w:t>
      </w:r>
      <w:r w:rsidRPr="00974568">
        <w:rPr>
          <w:rFonts w:eastAsia="Calibri"/>
          <w:sz w:val="26"/>
          <w:szCs w:val="26"/>
        </w:rPr>
        <w:t xml:space="preserve">promoting exclusion of </w:t>
      </w:r>
      <w:proofErr w:type="spellStart"/>
      <w:r w:rsidRPr="00974568">
        <w:rPr>
          <w:rFonts w:eastAsia="Calibri"/>
          <w:sz w:val="26"/>
          <w:szCs w:val="26"/>
        </w:rPr>
        <w:t>OVEC</w:t>
      </w:r>
      <w:proofErr w:type="spellEnd"/>
      <w:r w:rsidRPr="00974568">
        <w:rPr>
          <w:rFonts w:eastAsia="Calibri"/>
          <w:sz w:val="26"/>
          <w:szCs w:val="26"/>
        </w:rPr>
        <w:t xml:space="preserve"> or the ones who are</w:t>
      </w:r>
      <w:r>
        <w:rPr>
          <w:rFonts w:eastAsia="Calibri"/>
          <w:sz w:val="26"/>
          <w:szCs w:val="26"/>
        </w:rPr>
        <w:t xml:space="preserve"> </w:t>
      </w:r>
      <w:r w:rsidRPr="00974568">
        <w:rPr>
          <w:rFonts w:eastAsia="Calibri"/>
          <w:sz w:val="26"/>
          <w:szCs w:val="26"/>
        </w:rPr>
        <w:t xml:space="preserve">promoting inclusion of </w:t>
      </w:r>
      <w:proofErr w:type="spellStart"/>
      <w:r w:rsidRPr="00974568">
        <w:rPr>
          <w:rFonts w:eastAsia="Calibri"/>
          <w:sz w:val="26"/>
          <w:szCs w:val="26"/>
        </w:rPr>
        <w:t>OVEC</w:t>
      </w:r>
      <w:proofErr w:type="spellEnd"/>
      <w:r w:rsidRPr="00974568">
        <w:rPr>
          <w:rFonts w:eastAsia="Calibri"/>
          <w:sz w:val="26"/>
          <w:szCs w:val="26"/>
        </w:rPr>
        <w:t>. That's what it boils</w:t>
      </w:r>
      <w:r>
        <w:rPr>
          <w:rFonts w:eastAsia="Calibri"/>
          <w:sz w:val="26"/>
          <w:szCs w:val="26"/>
        </w:rPr>
        <w:t xml:space="preserve"> </w:t>
      </w:r>
      <w:r w:rsidRPr="00974568">
        <w:rPr>
          <w:rFonts w:eastAsia="Calibri"/>
          <w:sz w:val="26"/>
          <w:szCs w:val="26"/>
        </w:rPr>
        <w:t>down to.</w:t>
      </w:r>
      <w:r w:rsidR="00C626B1">
        <w:rPr>
          <w:rStyle w:val="FootnoteReference"/>
          <w:rFonts w:eastAsia="Calibri"/>
          <w:sz w:val="26"/>
          <w:szCs w:val="26"/>
        </w:rPr>
        <w:footnoteReference w:id="39"/>
      </w:r>
      <w:r w:rsidRPr="00974568">
        <w:rPr>
          <w:rFonts w:eastAsia="Calibri"/>
          <w:sz w:val="26"/>
          <w:szCs w:val="26"/>
        </w:rPr>
        <w:cr/>
      </w:r>
      <w:r w:rsidR="00493F25">
        <w:rPr>
          <w:rFonts w:eastAsia="Calibri"/>
          <w:sz w:val="26"/>
          <w:szCs w:val="26"/>
        </w:rPr>
        <w:t xml:space="preserve">   </w:t>
      </w:r>
    </w:p>
    <w:p w:rsidR="00870841" w:rsidRDefault="003A4813" w:rsidP="00493F25">
      <w:pPr>
        <w:spacing w:line="480" w:lineRule="auto"/>
        <w:ind w:firstLine="720"/>
        <w:rPr>
          <w:rFonts w:eastAsia="Calibri"/>
          <w:sz w:val="26"/>
          <w:szCs w:val="26"/>
        </w:rPr>
      </w:pPr>
      <w:r>
        <w:rPr>
          <w:rFonts w:eastAsia="Calibri"/>
          <w:sz w:val="26"/>
          <w:szCs w:val="26"/>
        </w:rPr>
        <w:t xml:space="preserve">Duke’s </w:t>
      </w:r>
      <w:proofErr w:type="spellStart"/>
      <w:r>
        <w:rPr>
          <w:rFonts w:eastAsia="Calibri"/>
          <w:sz w:val="26"/>
          <w:szCs w:val="26"/>
        </w:rPr>
        <w:t>OVEC</w:t>
      </w:r>
      <w:proofErr w:type="spellEnd"/>
      <w:r>
        <w:rPr>
          <w:rFonts w:eastAsia="Calibri"/>
          <w:sz w:val="26"/>
          <w:szCs w:val="26"/>
        </w:rPr>
        <w:t xml:space="preserve"> entitlement is a function of generation and customers do not receive generation from the </w:t>
      </w:r>
      <w:proofErr w:type="spellStart"/>
      <w:r>
        <w:rPr>
          <w:rFonts w:eastAsia="Calibri"/>
          <w:sz w:val="26"/>
          <w:szCs w:val="26"/>
        </w:rPr>
        <w:t>OVEC</w:t>
      </w:r>
      <w:proofErr w:type="spellEnd"/>
      <w:r>
        <w:rPr>
          <w:rFonts w:eastAsia="Calibri"/>
          <w:sz w:val="26"/>
          <w:szCs w:val="26"/>
        </w:rPr>
        <w:t xml:space="preserve"> output.</w:t>
      </w:r>
      <w:r>
        <w:rPr>
          <w:rStyle w:val="FootnoteReference"/>
          <w:rFonts w:eastAsia="Calibri"/>
          <w:sz w:val="26"/>
          <w:szCs w:val="26"/>
        </w:rPr>
        <w:footnoteReference w:id="40"/>
      </w:r>
      <w:r>
        <w:rPr>
          <w:rFonts w:eastAsia="Calibri"/>
          <w:sz w:val="26"/>
          <w:szCs w:val="26"/>
        </w:rPr>
        <w:t xml:space="preserve">  As a result</w:t>
      </w:r>
      <w:r w:rsidR="007052B8">
        <w:rPr>
          <w:rFonts w:eastAsia="Calibri"/>
          <w:sz w:val="26"/>
          <w:szCs w:val="26"/>
        </w:rPr>
        <w:t xml:space="preserve">, </w:t>
      </w:r>
      <w:r w:rsidR="000A5A34" w:rsidRPr="000A5A34">
        <w:rPr>
          <w:rFonts w:eastAsia="Calibri"/>
          <w:sz w:val="26"/>
          <w:szCs w:val="26"/>
        </w:rPr>
        <w:t xml:space="preserve">Duke should transfer its </w:t>
      </w:r>
      <w:r w:rsidR="000A5A34" w:rsidRPr="000A5A34">
        <w:rPr>
          <w:rFonts w:eastAsia="Calibri"/>
          <w:sz w:val="26"/>
          <w:szCs w:val="26"/>
        </w:rPr>
        <w:lastRenderedPageBreak/>
        <w:t xml:space="preserve">entitlement in the </w:t>
      </w:r>
      <w:proofErr w:type="spellStart"/>
      <w:r w:rsidR="000A5A34" w:rsidRPr="000A5A34">
        <w:rPr>
          <w:rFonts w:eastAsia="Calibri"/>
          <w:sz w:val="26"/>
          <w:szCs w:val="26"/>
        </w:rPr>
        <w:t>OVEC</w:t>
      </w:r>
      <w:proofErr w:type="spellEnd"/>
      <w:r w:rsidR="000A5A34" w:rsidRPr="000A5A34">
        <w:rPr>
          <w:rFonts w:eastAsia="Calibri"/>
          <w:sz w:val="26"/>
          <w:szCs w:val="26"/>
        </w:rPr>
        <w:t xml:space="preserve"> generating stations in accordance with Section VIII of the </w:t>
      </w:r>
      <w:r w:rsidR="000A5A34" w:rsidRPr="00B7653D">
        <w:rPr>
          <w:rFonts w:eastAsia="Calibri"/>
          <w:i/>
          <w:sz w:val="26"/>
          <w:szCs w:val="26"/>
        </w:rPr>
        <w:t>ESP II</w:t>
      </w:r>
      <w:r w:rsidR="000A5A34" w:rsidRPr="000A5A34">
        <w:rPr>
          <w:rFonts w:eastAsia="Calibri"/>
          <w:sz w:val="26"/>
          <w:szCs w:val="26"/>
        </w:rPr>
        <w:t xml:space="preserve"> Stipulation prior to December 31, 2014.</w:t>
      </w:r>
      <w:r w:rsidR="00B7653D">
        <w:rPr>
          <w:rStyle w:val="FootnoteReference"/>
          <w:rFonts w:eastAsia="Calibri"/>
          <w:sz w:val="26"/>
          <w:szCs w:val="26"/>
        </w:rPr>
        <w:footnoteReference w:id="41"/>
      </w:r>
      <w:r w:rsidR="00C626B1">
        <w:rPr>
          <w:rFonts w:eastAsia="Calibri"/>
          <w:sz w:val="26"/>
          <w:szCs w:val="26"/>
        </w:rPr>
        <w:t xml:space="preserve">  </w:t>
      </w:r>
    </w:p>
    <w:p w:rsidR="000A5A34" w:rsidRPr="000A5A34" w:rsidRDefault="000A5A34" w:rsidP="00870841">
      <w:pPr>
        <w:spacing w:line="480" w:lineRule="auto"/>
        <w:ind w:firstLine="720"/>
        <w:rPr>
          <w:rFonts w:eastAsia="Calibri"/>
          <w:sz w:val="26"/>
          <w:szCs w:val="26"/>
        </w:rPr>
      </w:pPr>
      <w:r w:rsidRPr="000A5A34">
        <w:rPr>
          <w:rFonts w:eastAsia="Calibri"/>
          <w:sz w:val="26"/>
          <w:szCs w:val="26"/>
        </w:rPr>
        <w:t xml:space="preserve">To the extent it can demonstrate to the Commission an inability to transfer or sell its entitlement in the </w:t>
      </w:r>
      <w:proofErr w:type="spellStart"/>
      <w:r w:rsidRPr="000A5A34">
        <w:rPr>
          <w:rFonts w:eastAsia="Calibri"/>
          <w:sz w:val="26"/>
          <w:szCs w:val="26"/>
        </w:rPr>
        <w:t>OVEC</w:t>
      </w:r>
      <w:proofErr w:type="spellEnd"/>
      <w:r w:rsidRPr="000A5A34">
        <w:rPr>
          <w:rFonts w:eastAsia="Calibri"/>
          <w:sz w:val="26"/>
          <w:szCs w:val="26"/>
        </w:rPr>
        <w:t xml:space="preserve"> generating stations prior to December 31, 2014, Duke Energy Ohio should file with the Commission a request for a waiver.</w:t>
      </w:r>
      <w:r w:rsidR="00B7653D">
        <w:rPr>
          <w:rStyle w:val="FootnoteReference"/>
          <w:rFonts w:eastAsia="Calibri"/>
          <w:sz w:val="26"/>
          <w:szCs w:val="26"/>
        </w:rPr>
        <w:footnoteReference w:id="42"/>
      </w:r>
      <w:r w:rsidRPr="000A5A34">
        <w:rPr>
          <w:rFonts w:eastAsia="Calibri"/>
          <w:sz w:val="26"/>
          <w:szCs w:val="26"/>
        </w:rPr>
        <w:t xml:space="preserve">  This would be similar to the waiver that the Ohio Power Company requested from the Commission on October 4, 2013 in its corporate separation docket.</w:t>
      </w:r>
      <w:r w:rsidR="00B7653D">
        <w:rPr>
          <w:rStyle w:val="FootnoteReference"/>
          <w:rFonts w:eastAsia="Calibri"/>
          <w:sz w:val="26"/>
          <w:szCs w:val="26"/>
        </w:rPr>
        <w:footnoteReference w:id="43"/>
      </w:r>
      <w:r w:rsidRPr="000A5A34">
        <w:rPr>
          <w:rFonts w:eastAsia="Calibri"/>
          <w:sz w:val="26"/>
          <w:szCs w:val="26"/>
        </w:rPr>
        <w:t xml:space="preserve">     </w:t>
      </w:r>
    </w:p>
    <w:p w:rsidR="001D2785" w:rsidRPr="00105DB5" w:rsidRDefault="000A5A34" w:rsidP="00AA08C4">
      <w:pPr>
        <w:pStyle w:val="Heading4"/>
        <w:rPr>
          <w:rFonts w:eastAsia="Calibri"/>
        </w:rPr>
      </w:pPr>
      <w:bookmarkStart w:id="24" w:name="_Toc406411822"/>
      <w:r>
        <w:rPr>
          <w:rFonts w:eastAsia="Calibri"/>
        </w:rPr>
        <w:t>c.</w:t>
      </w:r>
      <w:r w:rsidR="00AA08C4">
        <w:rPr>
          <w:rFonts w:eastAsia="Calibri"/>
        </w:rPr>
        <w:tab/>
      </w:r>
      <w:r w:rsidR="001D2785" w:rsidRPr="00105DB5">
        <w:rPr>
          <w:rFonts w:eastAsia="Calibri"/>
        </w:rPr>
        <w:t xml:space="preserve">The </w:t>
      </w:r>
      <w:proofErr w:type="spellStart"/>
      <w:r w:rsidR="002540B5">
        <w:rPr>
          <w:rFonts w:eastAsia="Calibri"/>
        </w:rPr>
        <w:t>PSR</w:t>
      </w:r>
      <w:proofErr w:type="spellEnd"/>
      <w:r w:rsidR="001D2785" w:rsidRPr="00105DB5">
        <w:rPr>
          <w:rFonts w:eastAsia="Calibri"/>
        </w:rPr>
        <w:t xml:space="preserve"> should be denied because it would vio</w:t>
      </w:r>
      <w:r w:rsidR="00634F10">
        <w:rPr>
          <w:rFonts w:eastAsia="Calibri"/>
        </w:rPr>
        <w:softHyphen/>
      </w:r>
      <w:r w:rsidR="001D2785" w:rsidRPr="00105DB5">
        <w:rPr>
          <w:rFonts w:eastAsia="Calibri"/>
        </w:rPr>
        <w:t>late both Ohio and federal law.</w:t>
      </w:r>
      <w:bookmarkEnd w:id="24"/>
      <w:r w:rsidR="001D2785" w:rsidRPr="00105DB5">
        <w:rPr>
          <w:rFonts w:eastAsia="Calibri"/>
        </w:rPr>
        <w:t xml:space="preserve"> </w:t>
      </w:r>
    </w:p>
    <w:p w:rsidR="001D2785" w:rsidRPr="00105DB5" w:rsidRDefault="00AA08C4" w:rsidP="00CE7318">
      <w:pPr>
        <w:pStyle w:val="textstyle0"/>
        <w:rPr>
          <w:rFonts w:eastAsia="Calibri"/>
        </w:rPr>
      </w:pPr>
      <w:r>
        <w:rPr>
          <w:rFonts w:eastAsia="Calibri"/>
        </w:rPr>
        <w:tab/>
      </w:r>
      <w:r w:rsidR="00E6015A">
        <w:rPr>
          <w:rFonts w:eastAsia="Calibri"/>
        </w:rPr>
        <w:t>T</w:t>
      </w:r>
      <w:r w:rsidR="001D2785" w:rsidRPr="00105DB5">
        <w:rPr>
          <w:rFonts w:eastAsia="Calibri"/>
        </w:rPr>
        <w:t xml:space="preserve">he </w:t>
      </w:r>
      <w:proofErr w:type="spellStart"/>
      <w:r w:rsidR="002540B5">
        <w:rPr>
          <w:rFonts w:eastAsia="Calibri"/>
        </w:rPr>
        <w:t>PSR</w:t>
      </w:r>
      <w:proofErr w:type="spellEnd"/>
      <w:r w:rsidR="001D2785" w:rsidRPr="00105DB5">
        <w:rPr>
          <w:rFonts w:eastAsia="Calibri"/>
        </w:rPr>
        <w:t xml:space="preserve"> is contrary to the Commission’s policy goals</w:t>
      </w:r>
      <w:r w:rsidR="00E6015A">
        <w:rPr>
          <w:rFonts w:eastAsia="Calibri"/>
        </w:rPr>
        <w:t>, but even if approved, it is unclear</w:t>
      </w:r>
      <w:r w:rsidR="001D2785" w:rsidRPr="00105DB5">
        <w:rPr>
          <w:rFonts w:eastAsia="Calibri"/>
        </w:rPr>
        <w:t xml:space="preserve"> whether the </w:t>
      </w:r>
      <w:proofErr w:type="spellStart"/>
      <w:r w:rsidR="002540B5">
        <w:rPr>
          <w:rFonts w:eastAsia="Calibri"/>
        </w:rPr>
        <w:t>PSR</w:t>
      </w:r>
      <w:proofErr w:type="spellEnd"/>
      <w:r w:rsidR="001D2785" w:rsidRPr="00105DB5">
        <w:rPr>
          <w:rFonts w:eastAsia="Calibri"/>
        </w:rPr>
        <w:t xml:space="preserve"> would be lawful.  Even if the Commis</w:t>
      </w:r>
      <w:r w:rsidR="00634F10">
        <w:rPr>
          <w:rFonts w:eastAsia="Calibri"/>
        </w:rPr>
        <w:softHyphen/>
      </w:r>
      <w:r w:rsidR="001D2785" w:rsidRPr="00105DB5">
        <w:rPr>
          <w:rFonts w:eastAsia="Calibri"/>
        </w:rPr>
        <w:t xml:space="preserve">sion favors the general concept of the </w:t>
      </w:r>
      <w:proofErr w:type="spellStart"/>
      <w:r w:rsidR="002540B5">
        <w:rPr>
          <w:rFonts w:eastAsia="Calibri"/>
        </w:rPr>
        <w:t>PSR</w:t>
      </w:r>
      <w:proofErr w:type="spellEnd"/>
      <w:r w:rsidR="001D2785" w:rsidRPr="00105DB5">
        <w:rPr>
          <w:rFonts w:eastAsia="Calibri"/>
        </w:rPr>
        <w:t xml:space="preserve">, both Ohio and federal law preclude the rider as currently proposed by </w:t>
      </w:r>
      <w:r w:rsidR="00633BA6">
        <w:rPr>
          <w:rFonts w:eastAsia="Calibri"/>
        </w:rPr>
        <w:t>Duke</w:t>
      </w:r>
      <w:r w:rsidR="001D2785" w:rsidRPr="00105DB5">
        <w:rPr>
          <w:rFonts w:eastAsia="Calibri"/>
        </w:rPr>
        <w:t>.</w:t>
      </w:r>
      <w:r w:rsidR="001D2785" w:rsidRPr="00105DB5">
        <w:rPr>
          <w:rFonts w:eastAsia="Calibri"/>
        </w:rPr>
        <w:tab/>
      </w:r>
    </w:p>
    <w:p w:rsidR="001D2785" w:rsidRPr="00105DB5" w:rsidRDefault="00AA08C4" w:rsidP="003A10B3">
      <w:pPr>
        <w:pStyle w:val="Heading5"/>
      </w:pPr>
      <w:bookmarkStart w:id="25" w:name="_Toc406411823"/>
      <w:proofErr w:type="spellStart"/>
      <w:r>
        <w:lastRenderedPageBreak/>
        <w:t>i</w:t>
      </w:r>
      <w:proofErr w:type="spellEnd"/>
      <w:r>
        <w:t>.</w:t>
      </w:r>
      <w:r>
        <w:tab/>
      </w:r>
      <w:r w:rsidR="00AD512E">
        <w:t xml:space="preserve">The </w:t>
      </w:r>
      <w:proofErr w:type="spellStart"/>
      <w:r w:rsidR="002540B5">
        <w:t>PSR</w:t>
      </w:r>
      <w:proofErr w:type="spellEnd"/>
      <w:r w:rsidR="00AD512E">
        <w:t xml:space="preserve"> is not permitted under Ohio law</w:t>
      </w:r>
      <w:r w:rsidR="001D2785">
        <w:t>.</w:t>
      </w:r>
      <w:bookmarkEnd w:id="25"/>
      <w:r w:rsidR="001D2785">
        <w:t xml:space="preserve"> </w:t>
      </w:r>
    </w:p>
    <w:p w:rsidR="001D2785" w:rsidRPr="00105DB5" w:rsidRDefault="00AA08C4" w:rsidP="00AA08C4">
      <w:pPr>
        <w:pStyle w:val="Heading6"/>
        <w:rPr>
          <w:rFonts w:eastAsia="Calibri"/>
        </w:rPr>
      </w:pPr>
      <w:r>
        <w:rPr>
          <w:rFonts w:eastAsia="Calibri"/>
        </w:rPr>
        <w:t>a.</w:t>
      </w:r>
      <w:r>
        <w:rPr>
          <w:rFonts w:eastAsia="Calibri"/>
        </w:rPr>
        <w:tab/>
      </w:r>
      <w:proofErr w:type="spellStart"/>
      <w:r w:rsidR="001D2785" w:rsidRPr="00105DB5">
        <w:rPr>
          <w:rFonts w:eastAsia="Calibri"/>
        </w:rPr>
        <w:t>OVEC</w:t>
      </w:r>
      <w:proofErr w:type="spellEnd"/>
      <w:r w:rsidR="001D2785" w:rsidRPr="00105DB5">
        <w:rPr>
          <w:rFonts w:eastAsia="Calibri"/>
        </w:rPr>
        <w:t xml:space="preserve"> costs are generation-related cost</w:t>
      </w:r>
      <w:r w:rsidR="00EB213B">
        <w:rPr>
          <w:rFonts w:eastAsia="Calibri"/>
        </w:rPr>
        <w:t>s</w:t>
      </w:r>
      <w:r w:rsidR="001D2785" w:rsidRPr="00105DB5">
        <w:rPr>
          <w:rFonts w:eastAsia="Calibri"/>
        </w:rPr>
        <w:t xml:space="preserve"> that </w:t>
      </w:r>
      <w:r w:rsidR="00633BA6">
        <w:rPr>
          <w:rFonts w:eastAsia="Calibri"/>
        </w:rPr>
        <w:t>Duke</w:t>
      </w:r>
      <w:r w:rsidR="001D2785" w:rsidRPr="00105DB5">
        <w:rPr>
          <w:rFonts w:eastAsia="Calibri"/>
        </w:rPr>
        <w:t xml:space="preserve"> cannot recover in an ESP.  </w:t>
      </w:r>
    </w:p>
    <w:p w:rsidR="001D2785" w:rsidRPr="00105DB5" w:rsidRDefault="00AA08C4" w:rsidP="00CE7318">
      <w:pPr>
        <w:pStyle w:val="textstyle0"/>
        <w:rPr>
          <w:rFonts w:eastAsia="Calibri"/>
        </w:rPr>
      </w:pPr>
      <w:r>
        <w:rPr>
          <w:rFonts w:eastAsia="Calibri"/>
        </w:rPr>
        <w:tab/>
      </w:r>
      <w:r w:rsidR="001D2785" w:rsidRPr="00105DB5">
        <w:rPr>
          <w:rFonts w:eastAsia="Calibri"/>
        </w:rPr>
        <w:t xml:space="preserve">No provision in R.C. 4928.143 justifies the </w:t>
      </w:r>
      <w:proofErr w:type="spellStart"/>
      <w:r w:rsidR="002540B5">
        <w:rPr>
          <w:rFonts w:eastAsia="Calibri"/>
        </w:rPr>
        <w:t>PSR</w:t>
      </w:r>
      <w:proofErr w:type="spellEnd"/>
      <w:r w:rsidR="00BC66CF">
        <w:rPr>
          <w:rFonts w:eastAsia="Calibri"/>
        </w:rPr>
        <w:t xml:space="preserve">.  </w:t>
      </w:r>
      <w:r w:rsidR="00633BA6">
        <w:rPr>
          <w:rFonts w:eastAsia="Calibri"/>
        </w:rPr>
        <w:t>Duke</w:t>
      </w:r>
      <w:r w:rsidR="001D2785" w:rsidRPr="00105DB5">
        <w:rPr>
          <w:rFonts w:eastAsia="Calibri"/>
        </w:rPr>
        <w:t xml:space="preserve"> would recover generation-related costs through the </w:t>
      </w:r>
      <w:proofErr w:type="spellStart"/>
      <w:r w:rsidR="002540B5">
        <w:rPr>
          <w:rFonts w:eastAsia="Calibri"/>
        </w:rPr>
        <w:t>PSR</w:t>
      </w:r>
      <w:proofErr w:type="spellEnd"/>
      <w:r w:rsidR="001D2785" w:rsidRPr="00105DB5">
        <w:rPr>
          <w:rFonts w:eastAsia="Calibri"/>
        </w:rPr>
        <w:t>.</w:t>
      </w:r>
      <w:r w:rsidR="001D2785" w:rsidRPr="00105DB5">
        <w:rPr>
          <w:rFonts w:eastAsia="Calibri"/>
          <w:vertAlign w:val="superscript"/>
        </w:rPr>
        <w:footnoteReference w:id="44"/>
      </w:r>
      <w:r w:rsidR="001D2785" w:rsidRPr="00105DB5">
        <w:rPr>
          <w:rFonts w:eastAsia="Calibri"/>
        </w:rPr>
        <w:t xml:space="preserve">  The general rule is that generation service is not regulated by the Commission, and EDU’s are only allowed to recover g</w:t>
      </w:r>
      <w:r w:rsidR="00A33D6C">
        <w:rPr>
          <w:rFonts w:eastAsia="Calibri"/>
        </w:rPr>
        <w:t>eneration-related costs if the</w:t>
      </w:r>
      <w:r w:rsidR="001D2785" w:rsidRPr="00105DB5">
        <w:rPr>
          <w:rFonts w:eastAsia="Calibri"/>
        </w:rPr>
        <w:t xml:space="preserve"> costs are permitted under R.C. 4928.141 to 4928.144.</w:t>
      </w:r>
      <w:r w:rsidR="001D2785" w:rsidRPr="00105DB5">
        <w:rPr>
          <w:rFonts w:eastAsia="Calibri"/>
          <w:vertAlign w:val="superscript"/>
        </w:rPr>
        <w:footnoteReference w:id="45"/>
      </w:r>
      <w:r w:rsidR="00A33D6C">
        <w:rPr>
          <w:rFonts w:eastAsia="Calibri"/>
        </w:rPr>
        <w:t xml:space="preserve">  The </w:t>
      </w:r>
      <w:proofErr w:type="spellStart"/>
      <w:r w:rsidR="00A33D6C">
        <w:rPr>
          <w:rFonts w:eastAsia="Calibri"/>
        </w:rPr>
        <w:t>PSR</w:t>
      </w:r>
      <w:proofErr w:type="spellEnd"/>
      <w:r w:rsidR="00A33D6C">
        <w:rPr>
          <w:rFonts w:eastAsia="Calibri"/>
        </w:rPr>
        <w:t xml:space="preserve"> is not permitted under </w:t>
      </w:r>
      <w:r w:rsidR="00A33D6C" w:rsidRPr="00105DB5">
        <w:rPr>
          <w:rFonts w:eastAsia="Calibri"/>
        </w:rPr>
        <w:t>R.C. 4928.141 to 4928.144</w:t>
      </w:r>
      <w:r w:rsidR="008C4788">
        <w:rPr>
          <w:rFonts w:eastAsia="Calibri"/>
        </w:rPr>
        <w:t xml:space="preserve"> because Duke is a “wires only” company and</w:t>
      </w:r>
      <w:r w:rsidR="00A33D6C">
        <w:rPr>
          <w:rFonts w:eastAsia="Calibri"/>
        </w:rPr>
        <w:t xml:space="preserve"> </w:t>
      </w:r>
      <w:r w:rsidR="00C547D2">
        <w:rPr>
          <w:rFonts w:eastAsia="Calibri"/>
        </w:rPr>
        <w:t xml:space="preserve">Ohio law does not allow </w:t>
      </w:r>
      <w:r w:rsidR="00633BA6">
        <w:rPr>
          <w:rFonts w:eastAsia="Calibri"/>
        </w:rPr>
        <w:t>Duke</w:t>
      </w:r>
      <w:r w:rsidR="00C547D2">
        <w:rPr>
          <w:rFonts w:eastAsia="Calibri"/>
        </w:rPr>
        <w:t xml:space="preserve"> to</w:t>
      </w:r>
      <w:r w:rsidR="008C4788">
        <w:rPr>
          <w:rFonts w:eastAsia="Calibri"/>
        </w:rPr>
        <w:t xml:space="preserve"> recover</w:t>
      </w:r>
      <w:r w:rsidR="00C547D2">
        <w:rPr>
          <w:rFonts w:eastAsia="Calibri"/>
        </w:rPr>
        <w:t xml:space="preserve"> </w:t>
      </w:r>
      <w:proofErr w:type="spellStart"/>
      <w:r w:rsidR="001D2785" w:rsidRPr="00105DB5">
        <w:rPr>
          <w:rFonts w:eastAsia="Calibri"/>
        </w:rPr>
        <w:t>OVEC’s</w:t>
      </w:r>
      <w:proofErr w:type="spellEnd"/>
      <w:r w:rsidR="001D2785" w:rsidRPr="00105DB5">
        <w:rPr>
          <w:rFonts w:eastAsia="Calibri"/>
        </w:rPr>
        <w:t xml:space="preserve"> genera</w:t>
      </w:r>
      <w:r w:rsidR="006E341A">
        <w:rPr>
          <w:rFonts w:eastAsia="Calibri"/>
        </w:rPr>
        <w:softHyphen/>
      </w:r>
      <w:r w:rsidR="001D2785" w:rsidRPr="00105DB5">
        <w:rPr>
          <w:rFonts w:eastAsia="Calibri"/>
        </w:rPr>
        <w:t xml:space="preserve">tion-related cost through an ESP. </w:t>
      </w:r>
    </w:p>
    <w:p w:rsidR="001D2785" w:rsidRPr="00105DB5" w:rsidRDefault="003A10B3" w:rsidP="003A10B3">
      <w:pPr>
        <w:pStyle w:val="Heading6"/>
        <w:rPr>
          <w:rFonts w:eastAsia="Calibri"/>
        </w:rPr>
      </w:pPr>
      <w:r>
        <w:rPr>
          <w:rFonts w:eastAsia="Calibri"/>
        </w:rPr>
        <w:t>b.</w:t>
      </w:r>
      <w:r>
        <w:rPr>
          <w:rFonts w:eastAsia="Calibri"/>
        </w:rPr>
        <w:tab/>
      </w:r>
      <w:r w:rsidR="001D2785" w:rsidRPr="00105DB5">
        <w:rPr>
          <w:rFonts w:eastAsia="Calibri"/>
        </w:rPr>
        <w:t xml:space="preserve">Forcing all of </w:t>
      </w:r>
      <w:r w:rsidR="00633BA6">
        <w:rPr>
          <w:rFonts w:eastAsia="Calibri"/>
        </w:rPr>
        <w:t>Duke</w:t>
      </w:r>
      <w:r w:rsidR="001D2785" w:rsidRPr="00105DB5">
        <w:rPr>
          <w:rFonts w:eastAsia="Calibri"/>
        </w:rPr>
        <w:t>’s distribution customer</w:t>
      </w:r>
      <w:r w:rsidR="001D2785">
        <w:rPr>
          <w:rFonts w:eastAsia="Calibri"/>
        </w:rPr>
        <w:t>s</w:t>
      </w:r>
      <w:r w:rsidR="001D2785" w:rsidRPr="00105DB5">
        <w:rPr>
          <w:rFonts w:eastAsia="Calibri"/>
        </w:rPr>
        <w:t xml:space="preserve"> to subsidize </w:t>
      </w:r>
      <w:r w:rsidR="00633BA6">
        <w:rPr>
          <w:rFonts w:eastAsia="Calibri"/>
        </w:rPr>
        <w:t>Duke</w:t>
      </w:r>
      <w:r w:rsidR="001D2785">
        <w:rPr>
          <w:rFonts w:eastAsia="Calibri"/>
        </w:rPr>
        <w:t>’s</w:t>
      </w:r>
      <w:r w:rsidR="001D2785" w:rsidRPr="00105DB5">
        <w:rPr>
          <w:rFonts w:eastAsia="Calibri"/>
        </w:rPr>
        <w:t xml:space="preserve"> gener</w:t>
      </w:r>
      <w:r w:rsidR="00634F10">
        <w:rPr>
          <w:rFonts w:eastAsia="Calibri"/>
        </w:rPr>
        <w:softHyphen/>
      </w:r>
      <w:r w:rsidR="001D2785" w:rsidRPr="00105DB5">
        <w:rPr>
          <w:rFonts w:eastAsia="Calibri"/>
        </w:rPr>
        <w:t xml:space="preserve">ation-related </w:t>
      </w:r>
      <w:r w:rsidR="001D2785">
        <w:rPr>
          <w:rFonts w:eastAsia="Calibri"/>
        </w:rPr>
        <w:t xml:space="preserve">assets </w:t>
      </w:r>
      <w:r w:rsidR="008A65E0">
        <w:rPr>
          <w:rFonts w:eastAsia="Calibri"/>
        </w:rPr>
        <w:t xml:space="preserve">would violate </w:t>
      </w:r>
      <w:r w:rsidR="001D2785" w:rsidRPr="00105DB5">
        <w:rPr>
          <w:rFonts w:eastAsia="Calibri"/>
        </w:rPr>
        <w:t>R.C.</w:t>
      </w:r>
      <w:r w:rsidR="003E5040">
        <w:rPr>
          <w:rFonts w:eastAsia="Calibri"/>
        </w:rPr>
        <w:t> </w:t>
      </w:r>
      <w:r w:rsidR="001D2785" w:rsidRPr="00105DB5">
        <w:rPr>
          <w:rFonts w:eastAsia="Calibri"/>
        </w:rPr>
        <w:t xml:space="preserve">4928.02(H).  </w:t>
      </w:r>
    </w:p>
    <w:p w:rsidR="001D2785" w:rsidRPr="00FD17F4" w:rsidRDefault="00CE7318" w:rsidP="00FD17F4">
      <w:pPr>
        <w:tabs>
          <w:tab w:val="left" w:pos="720"/>
        </w:tabs>
        <w:spacing w:line="480" w:lineRule="auto"/>
        <w:rPr>
          <w:sz w:val="26"/>
          <w:szCs w:val="26"/>
        </w:rPr>
      </w:pPr>
      <w:r>
        <w:rPr>
          <w:rFonts w:eastAsia="Calibri"/>
        </w:rPr>
        <w:tab/>
      </w:r>
      <w:r w:rsidR="00FD17F4" w:rsidRPr="00527FF3">
        <w:rPr>
          <w:sz w:val="26"/>
          <w:szCs w:val="26"/>
        </w:rPr>
        <w:t xml:space="preserve">Granting </w:t>
      </w:r>
      <w:r w:rsidR="00FD17F4">
        <w:rPr>
          <w:sz w:val="26"/>
          <w:szCs w:val="26"/>
        </w:rPr>
        <w:t>the</w:t>
      </w:r>
      <w:r w:rsidR="00FD17F4" w:rsidRPr="00527FF3">
        <w:rPr>
          <w:sz w:val="26"/>
          <w:szCs w:val="26"/>
        </w:rPr>
        <w:t xml:space="preserve"> </w:t>
      </w:r>
      <w:proofErr w:type="spellStart"/>
      <w:r w:rsidR="00FD17F4" w:rsidRPr="00527FF3">
        <w:rPr>
          <w:sz w:val="26"/>
          <w:szCs w:val="26"/>
        </w:rPr>
        <w:t>PSR</w:t>
      </w:r>
      <w:proofErr w:type="spellEnd"/>
      <w:r w:rsidR="00FD17F4" w:rsidRPr="00527FF3">
        <w:rPr>
          <w:sz w:val="26"/>
          <w:szCs w:val="26"/>
        </w:rPr>
        <w:t xml:space="preserve"> shifts the risk associated with the </w:t>
      </w:r>
      <w:proofErr w:type="spellStart"/>
      <w:r w:rsidR="00FD17F4" w:rsidRPr="00527FF3">
        <w:rPr>
          <w:sz w:val="26"/>
          <w:szCs w:val="26"/>
        </w:rPr>
        <w:t>OVEC</w:t>
      </w:r>
      <w:proofErr w:type="spellEnd"/>
      <w:r w:rsidR="00FD17F4" w:rsidRPr="00527FF3">
        <w:rPr>
          <w:sz w:val="26"/>
          <w:szCs w:val="26"/>
        </w:rPr>
        <w:t xml:space="preserve"> generating stations to</w:t>
      </w:r>
      <w:r w:rsidR="00FD17F4">
        <w:rPr>
          <w:sz w:val="26"/>
          <w:szCs w:val="26"/>
        </w:rPr>
        <w:t xml:space="preserve"> Duke Energy Ohio’s customers and</w:t>
      </w:r>
      <w:r w:rsidR="00FD17F4" w:rsidRPr="00FD17F4">
        <w:rPr>
          <w:sz w:val="26"/>
          <w:szCs w:val="26"/>
        </w:rPr>
        <w:t xml:space="preserve"> violates</w:t>
      </w:r>
      <w:r w:rsidR="00FD17F4">
        <w:rPr>
          <w:sz w:val="26"/>
          <w:szCs w:val="26"/>
        </w:rPr>
        <w:t xml:space="preserve"> the</w:t>
      </w:r>
      <w:r w:rsidR="00FD17F4" w:rsidRPr="00FD17F4">
        <w:rPr>
          <w:sz w:val="26"/>
          <w:szCs w:val="26"/>
        </w:rPr>
        <w:t xml:space="preserve"> state’s policy goals in R.C. 4928.02(H).</w:t>
      </w:r>
      <w:r w:rsidR="00FD17F4">
        <w:rPr>
          <w:rStyle w:val="FootnoteReference"/>
          <w:sz w:val="26"/>
          <w:szCs w:val="26"/>
        </w:rPr>
        <w:footnoteReference w:id="46"/>
      </w:r>
      <w:r w:rsidR="00FD17F4" w:rsidRPr="00FD17F4">
        <w:rPr>
          <w:sz w:val="26"/>
          <w:szCs w:val="26"/>
        </w:rPr>
        <w:t xml:space="preserve"> </w:t>
      </w:r>
      <w:r w:rsidR="00FD17F4">
        <w:rPr>
          <w:sz w:val="26"/>
          <w:szCs w:val="26"/>
        </w:rPr>
        <w:t xml:space="preserve"> </w:t>
      </w:r>
      <w:r w:rsidR="00FD17F4">
        <w:rPr>
          <w:rFonts w:eastAsia="Calibri"/>
          <w:sz w:val="26"/>
          <w:szCs w:val="26"/>
        </w:rPr>
        <w:t>R.C. 4928.02(H)</w:t>
      </w:r>
      <w:r w:rsidR="001D2785" w:rsidRPr="00FD17F4">
        <w:rPr>
          <w:rFonts w:eastAsia="Calibri"/>
          <w:sz w:val="26"/>
          <w:szCs w:val="26"/>
        </w:rPr>
        <w:t xml:space="preserve"> states that the Commis</w:t>
      </w:r>
      <w:r w:rsidR="00634F10" w:rsidRPr="00FD17F4">
        <w:rPr>
          <w:rFonts w:eastAsia="Calibri"/>
          <w:sz w:val="26"/>
          <w:szCs w:val="26"/>
        </w:rPr>
        <w:softHyphen/>
      </w:r>
      <w:r w:rsidR="001D2785" w:rsidRPr="00FD17F4">
        <w:rPr>
          <w:rFonts w:eastAsia="Calibri"/>
          <w:sz w:val="26"/>
          <w:szCs w:val="26"/>
        </w:rPr>
        <w:t xml:space="preserve">sion should: </w:t>
      </w:r>
    </w:p>
    <w:p w:rsidR="001D2785" w:rsidRPr="00FD17F4" w:rsidRDefault="001D2785" w:rsidP="00CE7318">
      <w:pPr>
        <w:pStyle w:val="Blockquote"/>
        <w:rPr>
          <w:rFonts w:eastAsia="Calibri"/>
          <w:szCs w:val="26"/>
        </w:rPr>
      </w:pPr>
      <w:r w:rsidRPr="00FD17F4">
        <w:rPr>
          <w:rFonts w:eastAsia="Calibri"/>
          <w:szCs w:val="26"/>
        </w:rPr>
        <w:lastRenderedPageBreak/>
        <w:t>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including by prohibiting the recovery of any generation-related costs through distribution or transmission rates.</w:t>
      </w:r>
    </w:p>
    <w:p w:rsidR="001D2785" w:rsidRPr="00105DB5" w:rsidRDefault="001D2785" w:rsidP="00CE7318">
      <w:pPr>
        <w:pStyle w:val="textstyle0"/>
        <w:rPr>
          <w:rFonts w:eastAsia="Calibri"/>
        </w:rPr>
      </w:pPr>
      <w:r w:rsidRPr="00105DB5">
        <w:rPr>
          <w:rFonts w:eastAsia="Calibri"/>
        </w:rPr>
        <w:t xml:space="preserve"> </w:t>
      </w:r>
      <w:r w:rsidRPr="00105DB5">
        <w:rPr>
          <w:rFonts w:eastAsia="Calibri"/>
        </w:rPr>
        <w:tab/>
        <w:t xml:space="preserve">The </w:t>
      </w:r>
      <w:proofErr w:type="spellStart"/>
      <w:r w:rsidR="002540B5">
        <w:rPr>
          <w:rFonts w:eastAsia="Calibri"/>
        </w:rPr>
        <w:t>PSR</w:t>
      </w:r>
      <w:proofErr w:type="spellEnd"/>
      <w:r w:rsidRPr="00105DB5">
        <w:rPr>
          <w:rFonts w:eastAsia="Calibri"/>
        </w:rPr>
        <w:t xml:space="preserve"> would force all of </w:t>
      </w:r>
      <w:r w:rsidR="00633BA6">
        <w:rPr>
          <w:rFonts w:eastAsia="Calibri"/>
        </w:rPr>
        <w:t>Duke</w:t>
      </w:r>
      <w:r w:rsidRPr="00105DB5">
        <w:rPr>
          <w:rFonts w:eastAsia="Calibri"/>
        </w:rPr>
        <w:t xml:space="preserve">’s distribution customers, including shopping customers, to subsidize </w:t>
      </w:r>
      <w:r w:rsidR="00633BA6">
        <w:rPr>
          <w:rFonts w:eastAsia="Calibri"/>
        </w:rPr>
        <w:t>Duke</w:t>
      </w:r>
      <w:r w:rsidRPr="00105DB5">
        <w:rPr>
          <w:rFonts w:eastAsia="Calibri"/>
        </w:rPr>
        <w:t>’s generation assets.</w:t>
      </w:r>
      <w:r w:rsidR="003A10B3">
        <w:rPr>
          <w:rFonts w:eastAsia="Calibri"/>
        </w:rPr>
        <w:t xml:space="preserve"> </w:t>
      </w:r>
      <w:r w:rsidR="0000463C">
        <w:rPr>
          <w:rFonts w:eastAsia="Calibri"/>
        </w:rPr>
        <w:t xml:space="preserve"> Duke’s ownership interest in </w:t>
      </w:r>
      <w:proofErr w:type="spellStart"/>
      <w:r w:rsidR="0000463C">
        <w:rPr>
          <w:rFonts w:eastAsia="Calibri"/>
        </w:rPr>
        <w:t>OVEC</w:t>
      </w:r>
      <w:proofErr w:type="spellEnd"/>
      <w:r w:rsidR="0000463C">
        <w:rPr>
          <w:rFonts w:eastAsia="Calibri"/>
        </w:rPr>
        <w:t xml:space="preserve"> is generation-related.</w:t>
      </w:r>
      <w:r w:rsidR="00C634AF">
        <w:rPr>
          <w:rStyle w:val="FootnoteReference"/>
          <w:rFonts w:eastAsia="Calibri"/>
        </w:rPr>
        <w:footnoteReference w:id="47"/>
      </w:r>
      <w:r w:rsidR="00C634AF">
        <w:rPr>
          <w:rFonts w:eastAsia="Calibri"/>
        </w:rPr>
        <w:t xml:space="preserve">   </w:t>
      </w:r>
      <w:r w:rsidRPr="00105DB5">
        <w:rPr>
          <w:rFonts w:eastAsia="Calibri"/>
        </w:rPr>
        <w:t xml:space="preserve">The Supreme Court of Ohio has criticized similar anti-competitive subsidies for EDU’s in the past.  In </w:t>
      </w:r>
      <w:r w:rsidRPr="00105DB5">
        <w:rPr>
          <w:rFonts w:eastAsia="Calibri"/>
          <w:i/>
        </w:rPr>
        <w:t>Indus. Energy Users-Ohio v. Pub. Util. Comm</w:t>
      </w:r>
      <w:r w:rsidRPr="00105DB5">
        <w:rPr>
          <w:rFonts w:eastAsia="Calibri"/>
        </w:rPr>
        <w:t xml:space="preserve">., 2008-Ohio-990, 117 Ohio St. 3d 486, 487-88, 885 N.E.2d 195, 198, the Court reversed a Commission decision that allowed </w:t>
      </w:r>
      <w:r w:rsidR="00712605">
        <w:rPr>
          <w:rFonts w:eastAsia="Calibri"/>
        </w:rPr>
        <w:t>AEP-Ohio</w:t>
      </w:r>
      <w:r>
        <w:rPr>
          <w:rFonts w:eastAsia="Calibri"/>
        </w:rPr>
        <w:t xml:space="preserve"> to</w:t>
      </w:r>
      <w:r w:rsidRPr="00105DB5">
        <w:rPr>
          <w:rFonts w:eastAsia="Calibri"/>
        </w:rPr>
        <w:t xml:space="preserve"> charge all of its distribution customers for costs related to the potential construction of a generation facility. </w:t>
      </w:r>
      <w:r w:rsidR="003A10B3">
        <w:rPr>
          <w:rFonts w:eastAsia="Calibri"/>
        </w:rPr>
        <w:t xml:space="preserve"> </w:t>
      </w:r>
      <w:r w:rsidRPr="00105DB5">
        <w:rPr>
          <w:rFonts w:eastAsia="Calibri"/>
        </w:rPr>
        <w:t xml:space="preserve">The Court held that it was unlawful for the Commission to allow </w:t>
      </w:r>
      <w:r w:rsidR="006316A4">
        <w:rPr>
          <w:rFonts w:eastAsia="Calibri"/>
        </w:rPr>
        <w:t>AEP-Ohio</w:t>
      </w:r>
      <w:r w:rsidRPr="00105DB5">
        <w:rPr>
          <w:rFonts w:eastAsia="Calibri"/>
        </w:rPr>
        <w:t xml:space="preserve"> to use “revenues from noncompetitive distribution service to subsidize the cost of providing a competitive generation-service component.”</w:t>
      </w:r>
      <w:r w:rsidRPr="00105DB5">
        <w:rPr>
          <w:rFonts w:eastAsia="Calibri"/>
          <w:vertAlign w:val="superscript"/>
        </w:rPr>
        <w:footnoteReference w:id="48"/>
      </w:r>
      <w:r w:rsidRPr="00105DB5">
        <w:rPr>
          <w:rFonts w:eastAsia="Calibri"/>
        </w:rPr>
        <w:t xml:space="preserve"> </w:t>
      </w:r>
    </w:p>
    <w:p w:rsidR="001D2785" w:rsidRPr="00105DB5" w:rsidRDefault="00100FB1" w:rsidP="00CE7318">
      <w:pPr>
        <w:pStyle w:val="textstyle0"/>
        <w:rPr>
          <w:rFonts w:eastAsia="Calibri"/>
        </w:rPr>
      </w:pPr>
      <w:r>
        <w:rPr>
          <w:rFonts w:eastAsia="Calibri"/>
        </w:rPr>
        <w:lastRenderedPageBreak/>
        <w:tab/>
      </w:r>
      <w:r w:rsidR="001D2785" w:rsidRPr="00105DB5">
        <w:rPr>
          <w:rFonts w:eastAsia="Calibri"/>
        </w:rPr>
        <w:t xml:space="preserve">The Commission has previously addressed </w:t>
      </w:r>
      <w:r w:rsidR="00CB0F90">
        <w:rPr>
          <w:rFonts w:eastAsia="Calibri"/>
        </w:rPr>
        <w:t xml:space="preserve">why it is important to comply with </w:t>
      </w:r>
      <w:r w:rsidR="001D2785" w:rsidRPr="00105DB5">
        <w:rPr>
          <w:rFonts w:eastAsia="Calibri"/>
        </w:rPr>
        <w:t>R.C.</w:t>
      </w:r>
      <w:r w:rsidR="003A10B3">
        <w:rPr>
          <w:rFonts w:eastAsia="Calibri"/>
        </w:rPr>
        <w:t> </w:t>
      </w:r>
      <w:r w:rsidR="001D2785" w:rsidRPr="00105DB5">
        <w:rPr>
          <w:rFonts w:eastAsia="Calibri"/>
        </w:rPr>
        <w:t>4928.02(H).</w:t>
      </w:r>
      <w:r w:rsidR="003A10B3">
        <w:rPr>
          <w:rStyle w:val="FootnoteReference"/>
          <w:rFonts w:eastAsia="Calibri"/>
        </w:rPr>
        <w:footnoteReference w:id="49"/>
      </w:r>
      <w:r w:rsidR="001D2785">
        <w:rPr>
          <w:rFonts w:eastAsia="Calibri"/>
        </w:rPr>
        <w:t xml:space="preserve">  </w:t>
      </w:r>
      <w:r w:rsidR="001D2785" w:rsidRPr="00105DB5">
        <w:rPr>
          <w:rFonts w:eastAsia="Calibri"/>
        </w:rPr>
        <w:t xml:space="preserve">In the </w:t>
      </w:r>
      <w:proofErr w:type="spellStart"/>
      <w:r w:rsidR="001D2785" w:rsidRPr="003A10B3">
        <w:rPr>
          <w:rFonts w:eastAsia="Calibri"/>
          <w:i/>
        </w:rPr>
        <w:t>Sporn</w:t>
      </w:r>
      <w:proofErr w:type="spellEnd"/>
      <w:r w:rsidR="001D2785" w:rsidRPr="003A10B3">
        <w:rPr>
          <w:rFonts w:eastAsia="Calibri"/>
          <w:i/>
        </w:rPr>
        <w:t xml:space="preserve"> Case</w:t>
      </w:r>
      <w:r w:rsidR="001D2785" w:rsidRPr="00105DB5">
        <w:rPr>
          <w:rFonts w:eastAsia="Calibri"/>
        </w:rPr>
        <w:t xml:space="preserve">, the Commission rejected </w:t>
      </w:r>
      <w:r w:rsidR="00712605">
        <w:rPr>
          <w:rFonts w:eastAsia="Calibri"/>
        </w:rPr>
        <w:t>AEP-Ohio</w:t>
      </w:r>
      <w:r w:rsidR="006316A4">
        <w:rPr>
          <w:rFonts w:eastAsia="Calibri"/>
        </w:rPr>
        <w:t>’s request to establish a non</w:t>
      </w:r>
      <w:r w:rsidR="001D2785" w:rsidRPr="00105DB5">
        <w:rPr>
          <w:rFonts w:eastAsia="Calibri"/>
        </w:rPr>
        <w:t>bypassable charge that would recover plant closure costs for from all dis</w:t>
      </w:r>
      <w:r w:rsidR="00634F10">
        <w:rPr>
          <w:rFonts w:eastAsia="Calibri"/>
        </w:rPr>
        <w:softHyphen/>
      </w:r>
      <w:r w:rsidR="001D2785" w:rsidRPr="00105DB5">
        <w:rPr>
          <w:rFonts w:eastAsia="Calibri"/>
        </w:rPr>
        <w:t>tribution customers, and discussed why such a charge would violate R.C. 4928.02(H):</w:t>
      </w:r>
    </w:p>
    <w:p w:rsidR="001D2785" w:rsidRPr="00105DB5" w:rsidRDefault="001D2785" w:rsidP="00CE7318">
      <w:pPr>
        <w:pStyle w:val="Blockquote"/>
        <w:rPr>
          <w:rFonts w:eastAsia="Calibri"/>
        </w:rPr>
      </w:pPr>
      <w:r w:rsidRPr="00105DB5">
        <w:rPr>
          <w:rFonts w:eastAsia="Calibri"/>
        </w:rPr>
        <w:t>Additionally, the Commission notes that [</w:t>
      </w:r>
      <w:r w:rsidR="00712605">
        <w:rPr>
          <w:rFonts w:eastAsia="Calibri"/>
        </w:rPr>
        <w:t>AEP-Ohio</w:t>
      </w:r>
      <w:r w:rsidRPr="00105DB5">
        <w:rPr>
          <w:rFonts w:eastAsia="Calibri"/>
        </w:rPr>
        <w:t>’s] recov</w:t>
      </w:r>
      <w:r w:rsidR="00634F10">
        <w:rPr>
          <w:rFonts w:eastAsia="Calibri"/>
        </w:rPr>
        <w:softHyphen/>
      </w:r>
      <w:r w:rsidRPr="00105DB5">
        <w:rPr>
          <w:rFonts w:eastAsia="Calibri"/>
        </w:rPr>
        <w:t>ery of the closure costs would be contrary to the state policy found in Section 4928.02(H), Revised Code. That policy requires the Commission to avoid subsidies flowing from a noncompetitive retail electric service to a competitive retail electric service. [</w:t>
      </w:r>
      <w:r w:rsidR="00712605">
        <w:rPr>
          <w:rFonts w:eastAsia="Calibri"/>
        </w:rPr>
        <w:t>AEP-Ohio</w:t>
      </w:r>
      <w:r w:rsidRPr="00105DB5">
        <w:rPr>
          <w:rFonts w:eastAsia="Calibri"/>
        </w:rPr>
        <w:t>] seeks to establish a nonbypass</w:t>
      </w:r>
      <w:r w:rsidR="006E341A">
        <w:rPr>
          <w:rFonts w:eastAsia="Calibri"/>
        </w:rPr>
        <w:softHyphen/>
      </w:r>
      <w:r w:rsidRPr="00105DB5">
        <w:rPr>
          <w:rFonts w:eastAsia="Calibri"/>
        </w:rPr>
        <w:t>able charge that would be collected from all distribution cus</w:t>
      </w:r>
      <w:r w:rsidR="00634F10">
        <w:rPr>
          <w:rFonts w:eastAsia="Calibri"/>
        </w:rPr>
        <w:softHyphen/>
      </w:r>
      <w:r w:rsidRPr="00105DB5">
        <w:rPr>
          <w:rFonts w:eastAsia="Calibri"/>
        </w:rPr>
        <w:t xml:space="preserve">tomers by way of the </w:t>
      </w:r>
      <w:proofErr w:type="spellStart"/>
      <w:r w:rsidRPr="00105DB5">
        <w:rPr>
          <w:rFonts w:eastAsia="Calibri"/>
        </w:rPr>
        <w:t>PCCRR</w:t>
      </w:r>
      <w:proofErr w:type="spellEnd"/>
      <w:r w:rsidRPr="00105DB5">
        <w:rPr>
          <w:rFonts w:eastAsia="Calibri"/>
        </w:rPr>
        <w:t>. Approval of such a charge would effectively allow the Company to recover competitive, generation-related costs through its noncompetitive, distribu</w:t>
      </w:r>
      <w:r w:rsidR="00634F10">
        <w:rPr>
          <w:rFonts w:eastAsia="Calibri"/>
        </w:rPr>
        <w:softHyphen/>
      </w:r>
      <w:r w:rsidRPr="00105DB5">
        <w:rPr>
          <w:rFonts w:eastAsia="Calibri"/>
        </w:rPr>
        <w:t>tion rates, in contravention of the statute. Accordingly, we find that [</w:t>
      </w:r>
      <w:r w:rsidR="00712605">
        <w:rPr>
          <w:rFonts w:eastAsia="Calibri"/>
        </w:rPr>
        <w:t>AEP-Ohio</w:t>
      </w:r>
      <w:r w:rsidRPr="00105DB5">
        <w:rPr>
          <w:rFonts w:eastAsia="Calibri"/>
        </w:rPr>
        <w:t>’s] request for cost recovery should be denied.</w:t>
      </w:r>
      <w:r w:rsidRPr="00105DB5">
        <w:rPr>
          <w:rFonts w:eastAsia="Calibri"/>
          <w:vertAlign w:val="superscript"/>
        </w:rPr>
        <w:footnoteReference w:id="50"/>
      </w:r>
    </w:p>
    <w:p w:rsidR="00FD17F4" w:rsidRDefault="001D2785" w:rsidP="00FD17F4">
      <w:pPr>
        <w:pStyle w:val="textstyle0"/>
        <w:rPr>
          <w:rFonts w:eastAsia="Calibri"/>
        </w:rPr>
      </w:pPr>
      <w:r w:rsidRPr="00105DB5">
        <w:rPr>
          <w:rFonts w:eastAsia="Calibri"/>
        </w:rPr>
        <w:t xml:space="preserve">The </w:t>
      </w:r>
      <w:proofErr w:type="spellStart"/>
      <w:r w:rsidRPr="00105DB5">
        <w:rPr>
          <w:rFonts w:eastAsia="Calibri"/>
          <w:i/>
        </w:rPr>
        <w:t>Sporn</w:t>
      </w:r>
      <w:proofErr w:type="spellEnd"/>
      <w:r w:rsidRPr="00105DB5">
        <w:rPr>
          <w:rFonts w:eastAsia="Calibri"/>
          <w:i/>
        </w:rPr>
        <w:t xml:space="preserve"> Case</w:t>
      </w:r>
      <w:r w:rsidR="00EB213B">
        <w:rPr>
          <w:rFonts w:eastAsia="Calibri"/>
        </w:rPr>
        <w:t xml:space="preserve"> is instructive because </w:t>
      </w:r>
      <w:r w:rsidRPr="00105DB5">
        <w:rPr>
          <w:rFonts w:eastAsia="Calibri"/>
        </w:rPr>
        <w:t xml:space="preserve">the Commission not only explained that </w:t>
      </w:r>
      <w:r w:rsidR="00712605">
        <w:rPr>
          <w:rFonts w:eastAsia="Calibri"/>
        </w:rPr>
        <w:t>AEP-Ohio</w:t>
      </w:r>
      <w:r w:rsidRPr="00105DB5">
        <w:rPr>
          <w:rFonts w:eastAsia="Calibri"/>
        </w:rPr>
        <w:t>’s request for a nonby</w:t>
      </w:r>
      <w:r>
        <w:rPr>
          <w:rFonts w:eastAsia="Calibri"/>
        </w:rPr>
        <w:t>p</w:t>
      </w:r>
      <w:r w:rsidRPr="00105DB5">
        <w:rPr>
          <w:rFonts w:eastAsia="Calibri"/>
        </w:rPr>
        <w:t xml:space="preserve">assable charge would result in </w:t>
      </w:r>
      <w:r>
        <w:rPr>
          <w:rFonts w:eastAsia="Calibri"/>
        </w:rPr>
        <w:t xml:space="preserve">an </w:t>
      </w:r>
      <w:r w:rsidRPr="00105DB5">
        <w:rPr>
          <w:rFonts w:eastAsia="Calibri"/>
        </w:rPr>
        <w:t>anti-competitive subsidy, but also explained that recovery would be unlawful because there was no statutory justification for recovery of plant closure costs under R.C. 4928.143.</w:t>
      </w:r>
      <w:r w:rsidRPr="00105DB5">
        <w:rPr>
          <w:rFonts w:eastAsia="Calibri"/>
          <w:vertAlign w:val="superscript"/>
        </w:rPr>
        <w:footnoteReference w:id="51"/>
      </w:r>
      <w:r w:rsidR="00550986">
        <w:rPr>
          <w:rFonts w:eastAsia="Calibri"/>
        </w:rPr>
        <w:t xml:space="preserve">  Duke’s</w:t>
      </w:r>
      <w:r w:rsidRPr="00105DB5">
        <w:rPr>
          <w:rFonts w:eastAsia="Calibri"/>
        </w:rPr>
        <w:t xml:space="preserve"> </w:t>
      </w:r>
      <w:proofErr w:type="spellStart"/>
      <w:r w:rsidR="002540B5">
        <w:rPr>
          <w:rFonts w:eastAsia="Calibri"/>
        </w:rPr>
        <w:t>PSR</w:t>
      </w:r>
      <w:proofErr w:type="spellEnd"/>
      <w:r w:rsidRPr="00105DB5">
        <w:rPr>
          <w:rFonts w:eastAsia="Calibri"/>
        </w:rPr>
        <w:t xml:space="preserve"> </w:t>
      </w:r>
      <w:r>
        <w:rPr>
          <w:rFonts w:eastAsia="Calibri"/>
        </w:rPr>
        <w:t>request</w:t>
      </w:r>
      <w:r w:rsidR="00712605">
        <w:rPr>
          <w:rFonts w:eastAsia="Calibri"/>
        </w:rPr>
        <w:t xml:space="preserve"> in this case</w:t>
      </w:r>
      <w:r>
        <w:rPr>
          <w:rFonts w:eastAsia="Calibri"/>
        </w:rPr>
        <w:t xml:space="preserve"> </w:t>
      </w:r>
      <w:r w:rsidRPr="00105DB5">
        <w:rPr>
          <w:rFonts w:eastAsia="Calibri"/>
        </w:rPr>
        <w:t xml:space="preserve">suffers from the same </w:t>
      </w:r>
      <w:r>
        <w:rPr>
          <w:rFonts w:eastAsia="Calibri"/>
        </w:rPr>
        <w:t>flaws</w:t>
      </w:r>
      <w:r w:rsidRPr="00105DB5">
        <w:rPr>
          <w:rFonts w:eastAsia="Calibri"/>
        </w:rPr>
        <w:t xml:space="preserve"> as </w:t>
      </w:r>
      <w:r w:rsidR="00712605">
        <w:rPr>
          <w:rFonts w:eastAsia="Calibri"/>
        </w:rPr>
        <w:t>AEP-Ohio</w:t>
      </w:r>
      <w:r>
        <w:rPr>
          <w:rFonts w:eastAsia="Calibri"/>
        </w:rPr>
        <w:t>’s</w:t>
      </w:r>
      <w:r w:rsidRPr="00105DB5">
        <w:rPr>
          <w:rFonts w:eastAsia="Calibri"/>
        </w:rPr>
        <w:t xml:space="preserve"> request </w:t>
      </w:r>
      <w:r w:rsidRPr="00CA004E">
        <w:rPr>
          <w:rFonts w:eastAsia="Calibri"/>
        </w:rPr>
        <w:t>in</w:t>
      </w:r>
      <w:r>
        <w:rPr>
          <w:rFonts w:eastAsia="Calibri"/>
        </w:rPr>
        <w:t xml:space="preserve"> the</w:t>
      </w:r>
      <w:r w:rsidRPr="00CA004E">
        <w:rPr>
          <w:rFonts w:eastAsia="Calibri"/>
        </w:rPr>
        <w:t xml:space="preserve"> </w:t>
      </w:r>
      <w:proofErr w:type="spellStart"/>
      <w:r w:rsidRPr="00105DB5">
        <w:rPr>
          <w:rFonts w:eastAsia="Calibri"/>
          <w:i/>
        </w:rPr>
        <w:t>Sporn</w:t>
      </w:r>
      <w:proofErr w:type="spellEnd"/>
      <w:r w:rsidRPr="00105DB5">
        <w:rPr>
          <w:rFonts w:eastAsia="Calibri"/>
          <w:i/>
        </w:rPr>
        <w:t xml:space="preserve"> Case</w:t>
      </w:r>
      <w:r>
        <w:rPr>
          <w:rFonts w:eastAsia="Calibri"/>
        </w:rPr>
        <w:t>.  B</w:t>
      </w:r>
      <w:r w:rsidRPr="00105DB5">
        <w:rPr>
          <w:rFonts w:eastAsia="Calibri"/>
        </w:rPr>
        <w:t>oth reque</w:t>
      </w:r>
      <w:r>
        <w:rPr>
          <w:rFonts w:eastAsia="Calibri"/>
        </w:rPr>
        <w:t xml:space="preserve">sts seek recovery of generation-related costs, but neither </w:t>
      </w:r>
      <w:r w:rsidRPr="00105DB5">
        <w:rPr>
          <w:rFonts w:eastAsia="Calibri"/>
        </w:rPr>
        <w:t xml:space="preserve">is allowed under any </w:t>
      </w:r>
      <w:r w:rsidRPr="00105DB5">
        <w:rPr>
          <w:rFonts w:eastAsia="Calibri"/>
        </w:rPr>
        <w:lastRenderedPageBreak/>
        <w:t xml:space="preserve">provision of the ESP statute.  </w:t>
      </w:r>
      <w:r w:rsidR="00EB213B">
        <w:rPr>
          <w:rFonts w:eastAsia="Calibri"/>
        </w:rPr>
        <w:t xml:space="preserve">As </w:t>
      </w:r>
      <w:r w:rsidRPr="00105DB5">
        <w:rPr>
          <w:rFonts w:eastAsia="Calibri"/>
        </w:rPr>
        <w:t xml:space="preserve">it did in the </w:t>
      </w:r>
      <w:proofErr w:type="spellStart"/>
      <w:r w:rsidRPr="00105DB5">
        <w:rPr>
          <w:rFonts w:eastAsia="Calibri"/>
          <w:i/>
        </w:rPr>
        <w:t>Sporn</w:t>
      </w:r>
      <w:proofErr w:type="spellEnd"/>
      <w:r w:rsidRPr="00105DB5">
        <w:rPr>
          <w:rFonts w:eastAsia="Calibri"/>
          <w:i/>
        </w:rPr>
        <w:t xml:space="preserve"> Case</w:t>
      </w:r>
      <w:r w:rsidR="00712605">
        <w:rPr>
          <w:rFonts w:eastAsia="Calibri"/>
          <w:i/>
        </w:rPr>
        <w:t xml:space="preserve"> </w:t>
      </w:r>
      <w:r w:rsidR="00712605">
        <w:rPr>
          <w:rFonts w:eastAsia="Calibri"/>
        </w:rPr>
        <w:t>with AEP-Ohio</w:t>
      </w:r>
      <w:r w:rsidRPr="00105DB5">
        <w:rPr>
          <w:rFonts w:eastAsia="Calibri"/>
        </w:rPr>
        <w:t xml:space="preserve">, the Commission should reject </w:t>
      </w:r>
      <w:r w:rsidR="00633BA6">
        <w:rPr>
          <w:rFonts w:eastAsia="Calibri"/>
        </w:rPr>
        <w:t>Duke</w:t>
      </w:r>
      <w:r w:rsidRPr="00105DB5">
        <w:rPr>
          <w:rFonts w:eastAsia="Calibri"/>
        </w:rPr>
        <w:t xml:space="preserve">’s </w:t>
      </w:r>
      <w:r>
        <w:rPr>
          <w:rFonts w:eastAsia="Calibri"/>
        </w:rPr>
        <w:t>cur</w:t>
      </w:r>
      <w:r w:rsidR="00634F10">
        <w:rPr>
          <w:rFonts w:eastAsia="Calibri"/>
        </w:rPr>
        <w:softHyphen/>
      </w:r>
      <w:r>
        <w:rPr>
          <w:rFonts w:eastAsia="Calibri"/>
        </w:rPr>
        <w:t xml:space="preserve">rent </w:t>
      </w:r>
      <w:r w:rsidRPr="00105DB5">
        <w:rPr>
          <w:rFonts w:eastAsia="Calibri"/>
        </w:rPr>
        <w:t xml:space="preserve">attempt to </w:t>
      </w:r>
      <w:r>
        <w:rPr>
          <w:rFonts w:eastAsia="Calibri"/>
        </w:rPr>
        <w:t>“</w:t>
      </w:r>
      <w:r w:rsidRPr="00105DB5">
        <w:rPr>
          <w:rFonts w:eastAsia="Calibri"/>
        </w:rPr>
        <w:t>recover</w:t>
      </w:r>
      <w:r>
        <w:rPr>
          <w:rFonts w:eastAsia="Calibri"/>
        </w:rPr>
        <w:t xml:space="preserve"> </w:t>
      </w:r>
      <w:r w:rsidRPr="00105DB5">
        <w:rPr>
          <w:rFonts w:eastAsia="Calibri"/>
        </w:rPr>
        <w:t>competitive, generation-related costs through its noncompetitive, distribution rates, in contravention of the statute</w:t>
      </w:r>
      <w:r>
        <w:rPr>
          <w:rFonts w:eastAsia="Calibri"/>
        </w:rPr>
        <w:t>.”</w:t>
      </w:r>
      <w:r>
        <w:rPr>
          <w:rStyle w:val="FootnoteReference"/>
          <w:rFonts w:eastAsia="Calibri"/>
          <w:szCs w:val="26"/>
        </w:rPr>
        <w:footnoteReference w:id="52"/>
      </w:r>
    </w:p>
    <w:p w:rsidR="00FD17F4" w:rsidRPr="00FD17F4" w:rsidRDefault="00FD17F4" w:rsidP="00FD17F4">
      <w:pPr>
        <w:tabs>
          <w:tab w:val="left" w:pos="720"/>
        </w:tabs>
        <w:spacing w:line="480" w:lineRule="auto"/>
        <w:rPr>
          <w:sz w:val="26"/>
          <w:szCs w:val="26"/>
        </w:rPr>
      </w:pPr>
      <w:r>
        <w:rPr>
          <w:rFonts w:eastAsia="Calibri"/>
        </w:rPr>
        <w:tab/>
      </w:r>
      <w:r w:rsidRPr="00527FF3">
        <w:rPr>
          <w:sz w:val="26"/>
          <w:szCs w:val="26"/>
        </w:rPr>
        <w:t>Additionally, in Case No. 13-2385-EL-SSO, Staff</w:t>
      </w:r>
      <w:r>
        <w:rPr>
          <w:sz w:val="26"/>
          <w:szCs w:val="26"/>
        </w:rPr>
        <w:t xml:space="preserve"> also argues</w:t>
      </w:r>
      <w:r w:rsidRPr="00527FF3">
        <w:rPr>
          <w:sz w:val="26"/>
          <w:szCs w:val="26"/>
        </w:rPr>
        <w:t xml:space="preserve"> that AEP Ohio’s similarly proposed Purchased Power Agreement (</w:t>
      </w:r>
      <w:proofErr w:type="spellStart"/>
      <w:r w:rsidRPr="00527FF3">
        <w:rPr>
          <w:sz w:val="26"/>
          <w:szCs w:val="26"/>
        </w:rPr>
        <w:t>PPA</w:t>
      </w:r>
      <w:proofErr w:type="spellEnd"/>
      <w:r w:rsidRPr="00527FF3">
        <w:rPr>
          <w:sz w:val="26"/>
          <w:szCs w:val="26"/>
        </w:rPr>
        <w:t xml:space="preserve">) rider would force all of AEP-Ohio’s distribution customers, including shopping customers, to subsidize AEP-Ohio’s generation assets.  Duke’s proposed </w:t>
      </w:r>
      <w:proofErr w:type="spellStart"/>
      <w:r w:rsidRPr="00527FF3">
        <w:rPr>
          <w:sz w:val="26"/>
          <w:szCs w:val="26"/>
        </w:rPr>
        <w:t>OVEC</w:t>
      </w:r>
      <w:proofErr w:type="spellEnd"/>
      <w:r w:rsidRPr="00527FF3">
        <w:rPr>
          <w:sz w:val="26"/>
          <w:szCs w:val="26"/>
        </w:rPr>
        <w:t>-related rider is almost identical to what AEP Ohio proposed in its</w:t>
      </w:r>
      <w:r>
        <w:rPr>
          <w:sz w:val="26"/>
          <w:szCs w:val="26"/>
        </w:rPr>
        <w:t xml:space="preserve"> pending</w:t>
      </w:r>
      <w:r w:rsidR="00F374EE">
        <w:rPr>
          <w:sz w:val="26"/>
          <w:szCs w:val="26"/>
        </w:rPr>
        <w:t xml:space="preserve"> ESP</w:t>
      </w:r>
      <w:r>
        <w:rPr>
          <w:sz w:val="26"/>
          <w:szCs w:val="26"/>
        </w:rPr>
        <w:t>.</w:t>
      </w:r>
      <w:r w:rsidRPr="00527FF3">
        <w:rPr>
          <w:rStyle w:val="FootnoteReference"/>
          <w:sz w:val="26"/>
          <w:szCs w:val="26"/>
        </w:rPr>
        <w:footnoteReference w:id="53"/>
      </w:r>
      <w:r w:rsidRPr="00527FF3">
        <w:rPr>
          <w:sz w:val="26"/>
          <w:szCs w:val="26"/>
        </w:rPr>
        <w:t xml:space="preserve">  Staff recommended that the Commission deny AEP Ohio’s proposed </w:t>
      </w:r>
      <w:proofErr w:type="spellStart"/>
      <w:r w:rsidRPr="00527FF3">
        <w:rPr>
          <w:sz w:val="26"/>
          <w:szCs w:val="26"/>
        </w:rPr>
        <w:t>PPA</w:t>
      </w:r>
      <w:proofErr w:type="spellEnd"/>
      <w:r w:rsidRPr="00527FF3">
        <w:rPr>
          <w:sz w:val="26"/>
          <w:szCs w:val="26"/>
        </w:rPr>
        <w:t xml:space="preserve"> rider. Accordingly, Staff recommends that the Commission deny Duke’s proposed rider </w:t>
      </w:r>
      <w:proofErr w:type="spellStart"/>
      <w:r w:rsidRPr="00527FF3">
        <w:rPr>
          <w:sz w:val="26"/>
          <w:szCs w:val="26"/>
        </w:rPr>
        <w:t>PSR</w:t>
      </w:r>
      <w:proofErr w:type="spellEnd"/>
      <w:r w:rsidRPr="00527FF3">
        <w:rPr>
          <w:sz w:val="26"/>
          <w:szCs w:val="26"/>
        </w:rPr>
        <w:t>.</w:t>
      </w:r>
    </w:p>
    <w:p w:rsidR="00FD17F4" w:rsidRPr="00FD17F4" w:rsidRDefault="00FD17F4" w:rsidP="00FD17F4">
      <w:pPr>
        <w:pStyle w:val="textstyle0"/>
        <w:rPr>
          <w:rFonts w:eastAsia="Calibri"/>
        </w:rPr>
      </w:pPr>
    </w:p>
    <w:p w:rsidR="001D2785" w:rsidRPr="003A10B3" w:rsidRDefault="003A10B3" w:rsidP="003A10B3">
      <w:pPr>
        <w:pStyle w:val="Heading5"/>
      </w:pPr>
      <w:bookmarkStart w:id="26" w:name="_Toc406411824"/>
      <w:r w:rsidRPr="003A10B3">
        <w:t>ii.</w:t>
      </w:r>
      <w:r w:rsidRPr="003A10B3">
        <w:tab/>
      </w:r>
      <w:r w:rsidR="001D2785" w:rsidRPr="003A10B3">
        <w:t xml:space="preserve">The </w:t>
      </w:r>
      <w:proofErr w:type="spellStart"/>
      <w:r w:rsidR="002540B5">
        <w:t>PSR</w:t>
      </w:r>
      <w:proofErr w:type="spellEnd"/>
      <w:r w:rsidR="001D2785" w:rsidRPr="003A10B3">
        <w:t xml:space="preserve"> would be preempted by the Fed</w:t>
      </w:r>
      <w:r w:rsidR="00634F10">
        <w:softHyphen/>
      </w:r>
      <w:r w:rsidR="001D2785" w:rsidRPr="003A10B3">
        <w:t>eral Power Act.</w:t>
      </w:r>
      <w:bookmarkEnd w:id="26"/>
      <w:r w:rsidR="001D2785" w:rsidRPr="003A10B3">
        <w:t xml:space="preserve"> </w:t>
      </w:r>
    </w:p>
    <w:p w:rsidR="001D2785" w:rsidRPr="00105DB5" w:rsidRDefault="001D2785" w:rsidP="00CE7318">
      <w:pPr>
        <w:pStyle w:val="textstyle0"/>
        <w:rPr>
          <w:rFonts w:eastAsia="Calibri"/>
        </w:rPr>
      </w:pPr>
      <w:r>
        <w:rPr>
          <w:rFonts w:eastAsia="Calibri"/>
        </w:rPr>
        <w:tab/>
      </w:r>
      <w:r w:rsidRPr="00105DB5">
        <w:rPr>
          <w:rFonts w:eastAsia="Calibri"/>
        </w:rPr>
        <w:t xml:space="preserve">The </w:t>
      </w:r>
      <w:proofErr w:type="spellStart"/>
      <w:r w:rsidR="00633BA6">
        <w:rPr>
          <w:rFonts w:eastAsia="Calibri"/>
        </w:rPr>
        <w:t>PSR</w:t>
      </w:r>
      <w:proofErr w:type="spellEnd"/>
      <w:r w:rsidRPr="00105DB5">
        <w:rPr>
          <w:rFonts w:eastAsia="Calibri"/>
        </w:rPr>
        <w:t xml:space="preserve"> runs afoul of federal law, as well.  The United States Court of Appeals, Fourth Circuit, recently held </w:t>
      </w:r>
      <w:r w:rsidR="001E7303">
        <w:rPr>
          <w:rFonts w:eastAsia="Calibri"/>
        </w:rPr>
        <w:t xml:space="preserve">in </w:t>
      </w:r>
      <w:proofErr w:type="spellStart"/>
      <w:r w:rsidR="001E7303" w:rsidRPr="001E7303">
        <w:rPr>
          <w:rFonts w:eastAsia="Calibri"/>
          <w:i/>
        </w:rPr>
        <w:t>PPL</w:t>
      </w:r>
      <w:proofErr w:type="spellEnd"/>
      <w:r w:rsidR="001E7303" w:rsidRPr="001E7303">
        <w:rPr>
          <w:rFonts w:eastAsia="Calibri"/>
          <w:i/>
        </w:rPr>
        <w:t xml:space="preserve"> </w:t>
      </w:r>
      <w:proofErr w:type="spellStart"/>
      <w:r w:rsidR="001E7303" w:rsidRPr="001E7303">
        <w:rPr>
          <w:rFonts w:eastAsia="Calibri"/>
          <w:i/>
        </w:rPr>
        <w:t>EnergyPlus</w:t>
      </w:r>
      <w:proofErr w:type="spellEnd"/>
      <w:r w:rsidR="001E7303" w:rsidRPr="001E7303">
        <w:rPr>
          <w:rFonts w:eastAsia="Calibri"/>
          <w:i/>
        </w:rPr>
        <w:t xml:space="preserve">, LLC v. </w:t>
      </w:r>
      <w:proofErr w:type="spellStart"/>
      <w:r w:rsidR="001E7303" w:rsidRPr="001E7303">
        <w:rPr>
          <w:rFonts w:eastAsia="Calibri"/>
          <w:i/>
        </w:rPr>
        <w:t>Nazarian</w:t>
      </w:r>
      <w:proofErr w:type="spellEnd"/>
      <w:r w:rsidR="001E7303" w:rsidRPr="001E7303">
        <w:rPr>
          <w:rFonts w:eastAsia="Calibri"/>
        </w:rPr>
        <w:t xml:space="preserve"> </w:t>
      </w:r>
      <w:r w:rsidRPr="00105DB5">
        <w:rPr>
          <w:rFonts w:eastAsia="Calibri"/>
        </w:rPr>
        <w:t xml:space="preserve">that Maryland’s scheme to subsidize generators participating in the PJM markets was preempted under the </w:t>
      </w:r>
      <w:r w:rsidRPr="00105DB5">
        <w:rPr>
          <w:rFonts w:eastAsia="Calibri"/>
        </w:rPr>
        <w:lastRenderedPageBreak/>
        <w:t>Federal Power Act</w:t>
      </w:r>
      <w:r w:rsidRPr="00105DB5">
        <w:rPr>
          <w:rFonts w:eastAsia="Calibri"/>
          <w:i/>
        </w:rPr>
        <w:t>.</w:t>
      </w:r>
      <w:r w:rsidRPr="0006247B">
        <w:rPr>
          <w:rFonts w:eastAsia="Calibri"/>
          <w:vertAlign w:val="superscript"/>
        </w:rPr>
        <w:footnoteReference w:id="54"/>
      </w:r>
      <w:r w:rsidRPr="0006247B">
        <w:rPr>
          <w:rFonts w:eastAsia="Calibri"/>
        </w:rPr>
        <w:t xml:space="preserve"> </w:t>
      </w:r>
      <w:r w:rsidRPr="00105DB5">
        <w:rPr>
          <w:rFonts w:eastAsia="Calibri"/>
          <w:i/>
        </w:rPr>
        <w:t xml:space="preserve"> </w:t>
      </w:r>
      <w:r w:rsidRPr="00105DB5">
        <w:rPr>
          <w:rFonts w:eastAsia="Calibri"/>
        </w:rPr>
        <w:t xml:space="preserve">At issue in </w:t>
      </w:r>
      <w:proofErr w:type="spellStart"/>
      <w:r w:rsidRPr="00105DB5">
        <w:rPr>
          <w:rFonts w:eastAsia="Calibri"/>
          <w:i/>
        </w:rPr>
        <w:t>Nazarian</w:t>
      </w:r>
      <w:proofErr w:type="spellEnd"/>
      <w:r w:rsidRPr="00105DB5">
        <w:rPr>
          <w:rFonts w:eastAsia="Calibri"/>
        </w:rPr>
        <w:t xml:space="preserve"> was an order issued by the Maryland Public Service Commission that required electric utilities to enter in</w:t>
      </w:r>
      <w:r>
        <w:rPr>
          <w:rFonts w:eastAsia="Calibri"/>
        </w:rPr>
        <w:t>to</w:t>
      </w:r>
      <w:r w:rsidRPr="00105DB5">
        <w:rPr>
          <w:rFonts w:eastAsia="Calibri"/>
        </w:rPr>
        <w:t xml:space="preserve"> long-term purchase power agreements with </w:t>
      </w:r>
      <w:r w:rsidR="00456C47">
        <w:rPr>
          <w:rFonts w:eastAsia="Calibri"/>
        </w:rPr>
        <w:t>generators</w:t>
      </w:r>
      <w:r w:rsidRPr="00105DB5">
        <w:rPr>
          <w:rFonts w:eastAsia="Calibri"/>
        </w:rPr>
        <w:t>.</w:t>
      </w:r>
      <w:r w:rsidRPr="00105DB5">
        <w:rPr>
          <w:rFonts w:eastAsia="Calibri"/>
          <w:vertAlign w:val="superscript"/>
        </w:rPr>
        <w:footnoteReference w:id="55"/>
      </w:r>
      <w:r w:rsidRPr="00105DB5">
        <w:rPr>
          <w:rFonts w:eastAsia="Calibri"/>
        </w:rPr>
        <w:t xml:space="preserve">  In these long-term contracts (</w:t>
      </w:r>
      <w:r w:rsidR="008F6459">
        <w:rPr>
          <w:rFonts w:eastAsia="Calibri"/>
        </w:rPr>
        <w:t>“</w:t>
      </w:r>
      <w:r w:rsidRPr="00105DB5">
        <w:rPr>
          <w:rFonts w:eastAsia="Calibri"/>
        </w:rPr>
        <w:t>con</w:t>
      </w:r>
      <w:r w:rsidR="006E341A">
        <w:rPr>
          <w:rFonts w:eastAsia="Calibri"/>
        </w:rPr>
        <w:softHyphen/>
      </w:r>
      <w:r w:rsidRPr="00105DB5">
        <w:rPr>
          <w:rFonts w:eastAsia="Calibri"/>
        </w:rPr>
        <w:t>tracts for differences</w:t>
      </w:r>
      <w:r w:rsidR="008F6459">
        <w:rPr>
          <w:rFonts w:eastAsia="Calibri"/>
        </w:rPr>
        <w:t>”</w:t>
      </w:r>
      <w:r w:rsidRPr="00105DB5">
        <w:rPr>
          <w:rFonts w:eastAsia="Calibri"/>
        </w:rPr>
        <w:t xml:space="preserve"> or “</w:t>
      </w:r>
      <w:proofErr w:type="spellStart"/>
      <w:r w:rsidRPr="00105DB5">
        <w:rPr>
          <w:rFonts w:eastAsia="Calibri"/>
        </w:rPr>
        <w:t>CfDs</w:t>
      </w:r>
      <w:proofErr w:type="spellEnd"/>
      <w:r w:rsidRPr="00105DB5">
        <w:rPr>
          <w:rFonts w:eastAsia="Calibri"/>
        </w:rPr>
        <w:t>”), the gener</w:t>
      </w:r>
      <w:r w:rsidR="00634F10">
        <w:rPr>
          <w:rFonts w:eastAsia="Calibri"/>
        </w:rPr>
        <w:softHyphen/>
      </w:r>
      <w:r w:rsidRPr="00105DB5">
        <w:rPr>
          <w:rFonts w:eastAsia="Calibri"/>
        </w:rPr>
        <w:t xml:space="preserve">ators were required </w:t>
      </w:r>
      <w:r w:rsidR="00D317C4">
        <w:rPr>
          <w:rFonts w:eastAsia="Calibri"/>
        </w:rPr>
        <w:t xml:space="preserve">to </w:t>
      </w:r>
      <w:r w:rsidRPr="00105DB5">
        <w:rPr>
          <w:rFonts w:eastAsia="Calibri"/>
        </w:rPr>
        <w:t>sell energy and capac</w:t>
      </w:r>
      <w:r w:rsidR="006E341A">
        <w:rPr>
          <w:rFonts w:eastAsia="Calibri"/>
        </w:rPr>
        <w:softHyphen/>
      </w:r>
      <w:r w:rsidRPr="00105DB5">
        <w:rPr>
          <w:rFonts w:eastAsia="Calibri"/>
        </w:rPr>
        <w:t xml:space="preserve">ity in the PJM market.  The </w:t>
      </w:r>
      <w:proofErr w:type="spellStart"/>
      <w:r w:rsidRPr="00105DB5">
        <w:rPr>
          <w:rFonts w:eastAsia="Calibri"/>
        </w:rPr>
        <w:t>CfDs</w:t>
      </w:r>
      <w:proofErr w:type="spellEnd"/>
      <w:r w:rsidRPr="00105DB5">
        <w:rPr>
          <w:rFonts w:eastAsia="Calibri"/>
        </w:rPr>
        <w:t xml:space="preserve"> provided a guaranteed revenue stream to the generators, so long as the energy and capacity cleared the PJM markets.  The </w:t>
      </w:r>
      <w:proofErr w:type="spellStart"/>
      <w:r w:rsidRPr="00105DB5">
        <w:rPr>
          <w:rFonts w:eastAsia="Calibri"/>
        </w:rPr>
        <w:t>CfDs</w:t>
      </w:r>
      <w:proofErr w:type="spellEnd"/>
      <w:r w:rsidRPr="00105DB5">
        <w:rPr>
          <w:rFonts w:eastAsia="Calibri"/>
        </w:rPr>
        <w:t xml:space="preserve"> did not require the generator </w:t>
      </w:r>
      <w:r w:rsidR="008F6459">
        <w:rPr>
          <w:rFonts w:eastAsia="Calibri"/>
        </w:rPr>
        <w:t xml:space="preserve">to </w:t>
      </w:r>
      <w:r w:rsidRPr="00105DB5">
        <w:rPr>
          <w:rFonts w:eastAsia="Calibri"/>
        </w:rPr>
        <w:t>actually sell any energy o</w:t>
      </w:r>
      <w:r>
        <w:rPr>
          <w:rFonts w:eastAsia="Calibri"/>
        </w:rPr>
        <w:t>r</w:t>
      </w:r>
      <w:r w:rsidRPr="00105DB5">
        <w:rPr>
          <w:rFonts w:eastAsia="Calibri"/>
        </w:rPr>
        <w:t xml:space="preserve"> capacity to the </w:t>
      </w:r>
      <w:r w:rsidRPr="00C62538">
        <w:rPr>
          <w:rFonts w:eastAsia="Calibri"/>
        </w:rPr>
        <w:t>electric utilities</w:t>
      </w:r>
      <w:r>
        <w:rPr>
          <w:rFonts w:eastAsia="Calibri"/>
        </w:rPr>
        <w:t xml:space="preserve">.  </w:t>
      </w:r>
      <w:r w:rsidRPr="00105DB5">
        <w:rPr>
          <w:rFonts w:eastAsia="Calibri"/>
        </w:rPr>
        <w:t>In addition, the electric utilities would pass the differ</w:t>
      </w:r>
      <w:r w:rsidR="00634F10">
        <w:rPr>
          <w:rFonts w:eastAsia="Calibri"/>
        </w:rPr>
        <w:softHyphen/>
      </w:r>
      <w:r w:rsidRPr="00105DB5">
        <w:rPr>
          <w:rFonts w:eastAsia="Calibri"/>
        </w:rPr>
        <w:t>ences between the PJM market revenues and the “contract price” on to ratepayers as charges or credits.</w:t>
      </w:r>
      <w:r>
        <w:rPr>
          <w:rStyle w:val="FootnoteReference"/>
          <w:rFonts w:eastAsia="Calibri"/>
          <w:szCs w:val="26"/>
        </w:rPr>
        <w:footnoteReference w:id="56"/>
      </w:r>
      <w:r w:rsidRPr="00105DB5">
        <w:rPr>
          <w:rFonts w:eastAsia="Calibri"/>
        </w:rPr>
        <w:t xml:space="preserve">   </w:t>
      </w:r>
    </w:p>
    <w:p w:rsidR="001D2785" w:rsidRPr="00105DB5" w:rsidRDefault="001D2785" w:rsidP="00CE7318">
      <w:pPr>
        <w:pStyle w:val="textstyle0"/>
        <w:rPr>
          <w:rFonts w:eastAsia="Calibri"/>
        </w:rPr>
      </w:pPr>
      <w:r>
        <w:rPr>
          <w:rFonts w:eastAsia="Calibri"/>
        </w:rPr>
        <w:tab/>
      </w:r>
      <w:r w:rsidRPr="00105DB5">
        <w:rPr>
          <w:rFonts w:eastAsia="Calibri"/>
        </w:rPr>
        <w:t>The Court held that Maryland’s order was unlawful because “it functionally sets the rate that [the generator] receives for sales into the PJM market.”</w:t>
      </w:r>
      <w:r w:rsidRPr="00105DB5">
        <w:rPr>
          <w:rFonts w:eastAsia="Calibri"/>
          <w:vertAlign w:val="superscript"/>
        </w:rPr>
        <w:footnoteReference w:id="57"/>
      </w:r>
      <w:r w:rsidRPr="00105DB5">
        <w:rPr>
          <w:rFonts w:ascii="Calibri" w:eastAsia="Calibri" w:hAnsi="Calibri"/>
        </w:rPr>
        <w:t xml:space="preserve">  </w:t>
      </w:r>
      <w:r w:rsidRPr="00105DB5">
        <w:rPr>
          <w:rFonts w:eastAsia="Calibri"/>
        </w:rPr>
        <w:t>The Court indi</w:t>
      </w:r>
      <w:r w:rsidR="00634F10">
        <w:rPr>
          <w:rFonts w:eastAsia="Calibri"/>
        </w:rPr>
        <w:softHyphen/>
      </w:r>
      <w:r w:rsidRPr="00105DB5">
        <w:rPr>
          <w:rFonts w:eastAsia="Calibri"/>
        </w:rPr>
        <w:t xml:space="preserve">cated that Maryland’s “system of rebates and subsidies” supplanted the prices offered in the PJM capacity and energy </w:t>
      </w:r>
      <w:r w:rsidR="00352EC2">
        <w:rPr>
          <w:rFonts w:eastAsia="Calibri"/>
        </w:rPr>
        <w:t>market, which ultimately “compro</w:t>
      </w:r>
      <w:r w:rsidR="00352EC2" w:rsidRPr="00105DB5">
        <w:rPr>
          <w:rFonts w:eastAsia="Calibri"/>
        </w:rPr>
        <w:t>mise</w:t>
      </w:r>
      <w:r w:rsidRPr="00105DB5">
        <w:rPr>
          <w:rFonts w:eastAsia="Calibri"/>
        </w:rPr>
        <w:t>[d] the integrity of the federal scheme and intrude[d] on FERC's jurisdiction.”  The Court explained how Maryland’s scheme had the “potential to seriously distort the PJM auction's price signals, thus “</w:t>
      </w:r>
      <w:proofErr w:type="spellStart"/>
      <w:r w:rsidRPr="00105DB5">
        <w:rPr>
          <w:rFonts w:eastAsia="Calibri"/>
        </w:rPr>
        <w:t>interfer</w:t>
      </w:r>
      <w:proofErr w:type="spellEnd"/>
      <w:r w:rsidRPr="00105DB5">
        <w:rPr>
          <w:rFonts w:eastAsia="Calibri"/>
        </w:rPr>
        <w:t>[</w:t>
      </w:r>
      <w:proofErr w:type="spellStart"/>
      <w:r w:rsidRPr="00105DB5">
        <w:rPr>
          <w:rFonts w:eastAsia="Calibri"/>
        </w:rPr>
        <w:t>ing</w:t>
      </w:r>
      <w:proofErr w:type="spellEnd"/>
      <w:r w:rsidRPr="00105DB5">
        <w:rPr>
          <w:rFonts w:eastAsia="Calibri"/>
        </w:rPr>
        <w:t xml:space="preserve">] with the method by which the federal statute was designed to reach its </w:t>
      </w:r>
      <w:r w:rsidRPr="00105DB5">
        <w:rPr>
          <w:rFonts w:eastAsia="Calibri"/>
        </w:rPr>
        <w:lastRenderedPageBreak/>
        <w:t>goals.”</w:t>
      </w:r>
      <w:r w:rsidRPr="00105DB5">
        <w:rPr>
          <w:rFonts w:eastAsia="Calibri"/>
          <w:vertAlign w:val="superscript"/>
        </w:rPr>
        <w:footnoteReference w:id="58"/>
      </w:r>
      <w:r w:rsidRPr="00105DB5">
        <w:rPr>
          <w:rFonts w:eastAsia="Calibri"/>
        </w:rPr>
        <w:t xml:space="preserve">  Because Maryland ratepayers would be providing a generator (</w:t>
      </w:r>
      <w:r>
        <w:rPr>
          <w:rFonts w:eastAsia="Calibri"/>
        </w:rPr>
        <w:t xml:space="preserve">a </w:t>
      </w:r>
      <w:r w:rsidRPr="00105DB5">
        <w:rPr>
          <w:rFonts w:eastAsia="Calibri"/>
        </w:rPr>
        <w:t xml:space="preserve">bidder in the PJM auction) with a guaranteed revenue stream, the generator would be indifferent about the price it bid into PJM auctions and potentially drive down the auction prices. </w:t>
      </w:r>
      <w:r w:rsidR="003A10B3">
        <w:rPr>
          <w:rFonts w:eastAsia="Calibri"/>
        </w:rPr>
        <w:t xml:space="preserve"> </w:t>
      </w:r>
      <w:r w:rsidRPr="00105DB5">
        <w:rPr>
          <w:rFonts w:eastAsia="Calibri"/>
        </w:rPr>
        <w:t xml:space="preserve">This would not only send inaccurate price signals regarding the need for new generation, but it would also disadvantage other bidders that do not receive guaranteed cost recovery. </w:t>
      </w:r>
    </w:p>
    <w:p w:rsidR="001D2785" w:rsidRDefault="001D2785" w:rsidP="00CE7318">
      <w:pPr>
        <w:pStyle w:val="textstyle0"/>
        <w:rPr>
          <w:rFonts w:eastAsia="Calibri"/>
        </w:rPr>
      </w:pPr>
      <w:r w:rsidRPr="00105DB5">
        <w:rPr>
          <w:rFonts w:eastAsia="Calibri"/>
        </w:rPr>
        <w:t xml:space="preserve">The similarities between </w:t>
      </w:r>
      <w:r w:rsidR="00633BA6">
        <w:rPr>
          <w:rFonts w:eastAsia="Calibri"/>
        </w:rPr>
        <w:t>Duke</w:t>
      </w:r>
      <w:r w:rsidRPr="00105DB5">
        <w:rPr>
          <w:rFonts w:eastAsia="Calibri"/>
        </w:rPr>
        <w:t xml:space="preserve">’s </w:t>
      </w:r>
      <w:proofErr w:type="spellStart"/>
      <w:r w:rsidR="002540B5">
        <w:rPr>
          <w:rFonts w:eastAsia="Calibri"/>
        </w:rPr>
        <w:t>PSR</w:t>
      </w:r>
      <w:proofErr w:type="spellEnd"/>
      <w:r w:rsidRPr="00105DB5">
        <w:rPr>
          <w:rFonts w:eastAsia="Calibri"/>
        </w:rPr>
        <w:t xml:space="preserve"> and Maryland’s </w:t>
      </w:r>
      <w:proofErr w:type="spellStart"/>
      <w:r>
        <w:rPr>
          <w:rFonts w:eastAsia="Calibri"/>
        </w:rPr>
        <w:t>CfDs</w:t>
      </w:r>
      <w:proofErr w:type="spellEnd"/>
      <w:r w:rsidRPr="00105DB5">
        <w:rPr>
          <w:rFonts w:eastAsia="Calibri"/>
        </w:rPr>
        <w:t xml:space="preserve"> are aplenty.  The </w:t>
      </w:r>
      <w:proofErr w:type="spellStart"/>
      <w:r w:rsidR="002540B5">
        <w:rPr>
          <w:rFonts w:eastAsia="Calibri"/>
        </w:rPr>
        <w:t>PSR</w:t>
      </w:r>
      <w:proofErr w:type="spellEnd"/>
      <w:r w:rsidRPr="00105DB5">
        <w:rPr>
          <w:rFonts w:eastAsia="Calibri"/>
        </w:rPr>
        <w:t xml:space="preserve">, </w:t>
      </w:r>
      <w:r>
        <w:rPr>
          <w:rFonts w:eastAsia="Calibri"/>
        </w:rPr>
        <w:t xml:space="preserve">like the </w:t>
      </w:r>
      <w:proofErr w:type="spellStart"/>
      <w:r>
        <w:rPr>
          <w:rFonts w:eastAsia="Calibri"/>
        </w:rPr>
        <w:t>CfD</w:t>
      </w:r>
      <w:r w:rsidRPr="00105DB5">
        <w:rPr>
          <w:rFonts w:eastAsia="Calibri"/>
        </w:rPr>
        <w:t>s</w:t>
      </w:r>
      <w:proofErr w:type="spellEnd"/>
      <w:r w:rsidRPr="00105DB5">
        <w:rPr>
          <w:rFonts w:eastAsia="Calibri"/>
        </w:rPr>
        <w:t xml:space="preserve">, establishes a “cost plus” recovery mechanism that provides guaranteed recovery for the generator, regardless of the revenues actually received from the PJM markets.  </w:t>
      </w:r>
      <w:r>
        <w:rPr>
          <w:rFonts w:eastAsia="Calibri"/>
        </w:rPr>
        <w:t>L</w:t>
      </w:r>
      <w:r w:rsidRPr="00105DB5">
        <w:rPr>
          <w:rFonts w:eastAsia="Calibri"/>
        </w:rPr>
        <w:t xml:space="preserve">ike the Maryland </w:t>
      </w:r>
      <w:proofErr w:type="spellStart"/>
      <w:r w:rsidRPr="00105DB5">
        <w:rPr>
          <w:rFonts w:eastAsia="Calibri"/>
        </w:rPr>
        <w:t>CfD</w:t>
      </w:r>
      <w:r>
        <w:rPr>
          <w:rFonts w:eastAsia="Calibri"/>
        </w:rPr>
        <w:t>s</w:t>
      </w:r>
      <w:proofErr w:type="spellEnd"/>
      <w:r w:rsidRPr="00105DB5">
        <w:rPr>
          <w:rFonts w:eastAsia="Calibri"/>
        </w:rPr>
        <w:t xml:space="preserve">, the </w:t>
      </w:r>
      <w:proofErr w:type="spellStart"/>
      <w:r w:rsidR="002540B5">
        <w:rPr>
          <w:rFonts w:eastAsia="Calibri"/>
        </w:rPr>
        <w:t>PSR</w:t>
      </w:r>
      <w:proofErr w:type="spellEnd"/>
      <w:r w:rsidR="00511C27">
        <w:rPr>
          <w:rFonts w:eastAsia="Calibri"/>
        </w:rPr>
        <w:t xml:space="preserve"> is characterized as a “hedge”</w:t>
      </w:r>
      <w:r w:rsidR="00550986">
        <w:rPr>
          <w:rStyle w:val="FootnoteReference"/>
          <w:rFonts w:eastAsia="Calibri"/>
        </w:rPr>
        <w:footnoteReference w:id="59"/>
      </w:r>
      <w:r w:rsidR="00CE7318">
        <w:rPr>
          <w:rFonts w:eastAsia="Calibri"/>
        </w:rPr>
        <w:t xml:space="preserve"> </w:t>
      </w:r>
      <w:r w:rsidRPr="00105DB5">
        <w:rPr>
          <w:rFonts w:eastAsia="Calibri"/>
        </w:rPr>
        <w:t>or “financial arrangement</w:t>
      </w:r>
      <w:r w:rsidR="00D317C4">
        <w:rPr>
          <w:rFonts w:eastAsia="Calibri"/>
        </w:rPr>
        <w:t>,”</w:t>
      </w:r>
      <w:r w:rsidRPr="00105DB5">
        <w:rPr>
          <w:rFonts w:eastAsia="Calibri"/>
        </w:rPr>
        <w:t xml:space="preserve"> and not a contract for the sale of energy or capacity.</w:t>
      </w:r>
      <w:r w:rsidRPr="00587121">
        <w:rPr>
          <w:rFonts w:eastAsia="Calibri"/>
          <w:vertAlign w:val="superscript"/>
        </w:rPr>
        <w:t xml:space="preserve"> </w:t>
      </w:r>
      <w:r w:rsidRPr="00105DB5">
        <w:rPr>
          <w:rFonts w:eastAsia="Calibri"/>
          <w:vertAlign w:val="superscript"/>
        </w:rPr>
        <w:footnoteReference w:id="60"/>
      </w:r>
      <w:r w:rsidR="003A10B3">
        <w:rPr>
          <w:rFonts w:eastAsia="Calibri"/>
        </w:rPr>
        <w:t xml:space="preserve">  </w:t>
      </w:r>
      <w:r w:rsidRPr="00105DB5">
        <w:rPr>
          <w:rFonts w:eastAsia="Calibri"/>
        </w:rPr>
        <w:t xml:space="preserve">And, most importantly, the </w:t>
      </w:r>
      <w:proofErr w:type="spellStart"/>
      <w:r w:rsidR="002540B5">
        <w:rPr>
          <w:rFonts w:eastAsia="Calibri"/>
        </w:rPr>
        <w:t>PSR</w:t>
      </w:r>
      <w:proofErr w:type="spellEnd"/>
      <w:r w:rsidRPr="00105DB5">
        <w:rPr>
          <w:rFonts w:eastAsia="Calibri"/>
        </w:rPr>
        <w:t xml:space="preserve"> would result in </w:t>
      </w:r>
      <w:r w:rsidR="00633BA6">
        <w:rPr>
          <w:rFonts w:eastAsia="Calibri"/>
        </w:rPr>
        <w:t>Duke</w:t>
      </w:r>
      <w:r w:rsidRPr="00105DB5">
        <w:rPr>
          <w:rFonts w:eastAsia="Calibri"/>
        </w:rPr>
        <w:t xml:space="preserve"> being compensated for its par</w:t>
      </w:r>
      <w:r w:rsidR="00634F10">
        <w:rPr>
          <w:rFonts w:eastAsia="Calibri"/>
        </w:rPr>
        <w:softHyphen/>
      </w:r>
      <w:r w:rsidRPr="00105DB5">
        <w:rPr>
          <w:rFonts w:eastAsia="Calibri"/>
        </w:rPr>
        <w:t xml:space="preserve">ticipation in the wholesale market in a manner that conflicts with </w:t>
      </w:r>
      <w:r w:rsidR="00352EC2">
        <w:rPr>
          <w:rFonts w:eastAsia="Calibri"/>
        </w:rPr>
        <w:t>FERC jurisdiction</w:t>
      </w:r>
      <w:r w:rsidRPr="00105DB5">
        <w:rPr>
          <w:rFonts w:eastAsia="Calibri"/>
        </w:rPr>
        <w:t xml:space="preserve">, just like Maryland’s </w:t>
      </w:r>
      <w:proofErr w:type="spellStart"/>
      <w:r w:rsidRPr="00105DB5">
        <w:rPr>
          <w:rFonts w:eastAsia="Calibri"/>
        </w:rPr>
        <w:t>CfDs</w:t>
      </w:r>
      <w:proofErr w:type="spellEnd"/>
      <w:r w:rsidRPr="00105DB5">
        <w:rPr>
          <w:rFonts w:eastAsia="Calibri"/>
        </w:rPr>
        <w:t xml:space="preserve">.  This is the crux of the preemption problem. </w:t>
      </w:r>
      <w:r w:rsidR="003A10B3">
        <w:rPr>
          <w:rFonts w:eastAsia="Calibri"/>
        </w:rPr>
        <w:t xml:space="preserve"> </w:t>
      </w:r>
      <w:r w:rsidRPr="00105DB5">
        <w:rPr>
          <w:rFonts w:eastAsia="Calibri"/>
        </w:rPr>
        <w:t xml:space="preserve">The </w:t>
      </w:r>
      <w:proofErr w:type="spellStart"/>
      <w:r w:rsidR="002540B5">
        <w:rPr>
          <w:rFonts w:eastAsia="Calibri"/>
        </w:rPr>
        <w:t>PSR</w:t>
      </w:r>
      <w:proofErr w:type="spellEnd"/>
      <w:r w:rsidRPr="00105DB5">
        <w:rPr>
          <w:rFonts w:eastAsia="Calibri"/>
        </w:rPr>
        <w:t xml:space="preserve"> would remove any incentive </w:t>
      </w:r>
      <w:r w:rsidRPr="00105DB5">
        <w:rPr>
          <w:rFonts w:eastAsia="Calibri"/>
        </w:rPr>
        <w:lastRenderedPageBreak/>
        <w:t xml:space="preserve">for </w:t>
      </w:r>
      <w:r w:rsidR="00633BA6">
        <w:rPr>
          <w:rFonts w:eastAsia="Calibri"/>
        </w:rPr>
        <w:t>Duke</w:t>
      </w:r>
      <w:r w:rsidRPr="00105DB5">
        <w:rPr>
          <w:rFonts w:eastAsia="Calibri"/>
        </w:rPr>
        <w:t xml:space="preserve"> to bid a price into the PJM </w:t>
      </w:r>
      <w:r>
        <w:rPr>
          <w:rFonts w:eastAsia="Calibri"/>
        </w:rPr>
        <w:t xml:space="preserve">auction </w:t>
      </w:r>
      <w:r w:rsidRPr="00105DB5">
        <w:rPr>
          <w:rFonts w:eastAsia="Calibri"/>
        </w:rPr>
        <w:t xml:space="preserve">that is based on </w:t>
      </w:r>
      <w:r w:rsidRPr="00E45DC7">
        <w:rPr>
          <w:rFonts w:eastAsia="Calibri"/>
        </w:rPr>
        <w:t>marginal costs</w:t>
      </w:r>
      <w:r w:rsidRPr="00105DB5">
        <w:rPr>
          <w:rFonts w:eastAsia="Calibri"/>
        </w:rPr>
        <w:t xml:space="preserve">, and would </w:t>
      </w:r>
      <w:r>
        <w:rPr>
          <w:rFonts w:eastAsia="Calibri"/>
        </w:rPr>
        <w:t xml:space="preserve">be </w:t>
      </w:r>
      <w:r w:rsidRPr="00105DB5">
        <w:rPr>
          <w:rFonts w:eastAsia="Calibri"/>
        </w:rPr>
        <w:t>inherently anti-competiti</w:t>
      </w:r>
      <w:r w:rsidR="00352EC2">
        <w:rPr>
          <w:rFonts w:eastAsia="Calibri"/>
        </w:rPr>
        <w:t>ve to other wholesale generation owners</w:t>
      </w:r>
      <w:r w:rsidRPr="00105DB5">
        <w:rPr>
          <w:rFonts w:eastAsia="Calibri"/>
        </w:rPr>
        <w:t xml:space="preserve">. </w:t>
      </w:r>
    </w:p>
    <w:p w:rsidR="001D2785" w:rsidRPr="00105DB5" w:rsidRDefault="001D2785" w:rsidP="00CE7318">
      <w:pPr>
        <w:pStyle w:val="textstyle0"/>
        <w:rPr>
          <w:rFonts w:eastAsia="Calibri"/>
        </w:rPr>
      </w:pPr>
      <w:r>
        <w:rPr>
          <w:rFonts w:eastAsia="Calibri"/>
        </w:rPr>
        <w:tab/>
      </w:r>
      <w:r w:rsidR="003C4CDD">
        <w:rPr>
          <w:rFonts w:eastAsia="Calibri"/>
        </w:rPr>
        <w:t>As demonstrated above, D</w:t>
      </w:r>
      <w:r w:rsidR="00633BA6">
        <w:rPr>
          <w:rFonts w:eastAsia="Calibri"/>
        </w:rPr>
        <w:t>uke</w:t>
      </w:r>
      <w:r w:rsidR="003C4CDD">
        <w:rPr>
          <w:rFonts w:eastAsia="Calibri"/>
        </w:rPr>
        <w:t xml:space="preserve"> asks the Commission to create legal uncertainty with</w:t>
      </w:r>
      <w:r>
        <w:rPr>
          <w:rFonts w:eastAsia="Calibri"/>
        </w:rPr>
        <w:t xml:space="preserve"> its </w:t>
      </w:r>
      <w:proofErr w:type="spellStart"/>
      <w:r w:rsidR="002540B5">
        <w:rPr>
          <w:rFonts w:eastAsia="Calibri"/>
        </w:rPr>
        <w:t>PSR</w:t>
      </w:r>
      <w:proofErr w:type="spellEnd"/>
      <w:r>
        <w:rPr>
          <w:rFonts w:eastAsia="Calibri"/>
        </w:rPr>
        <w:t xml:space="preserve"> request.  </w:t>
      </w:r>
      <w:r w:rsidR="003C4CDD">
        <w:rPr>
          <w:rFonts w:eastAsia="Calibri"/>
        </w:rPr>
        <w:t>T</w:t>
      </w:r>
      <w:r>
        <w:rPr>
          <w:rFonts w:eastAsia="Calibri"/>
        </w:rPr>
        <w:t>he Com</w:t>
      </w:r>
      <w:r w:rsidR="003C4CDD">
        <w:rPr>
          <w:rFonts w:eastAsia="Calibri"/>
        </w:rPr>
        <w:t>mission should avoid this uncertainly and simply</w:t>
      </w:r>
      <w:r>
        <w:rPr>
          <w:rFonts w:eastAsia="Calibri"/>
        </w:rPr>
        <w:t xml:space="preserve"> deny the </w:t>
      </w:r>
      <w:proofErr w:type="spellStart"/>
      <w:r w:rsidR="002540B5">
        <w:rPr>
          <w:rFonts w:eastAsia="Calibri"/>
        </w:rPr>
        <w:t>PSR</w:t>
      </w:r>
      <w:proofErr w:type="spellEnd"/>
      <w:r>
        <w:rPr>
          <w:rFonts w:eastAsia="Calibri"/>
        </w:rPr>
        <w:t>.</w:t>
      </w:r>
      <w:r w:rsidRPr="00105DB5">
        <w:rPr>
          <w:rFonts w:eastAsia="Calibri"/>
        </w:rPr>
        <w:t xml:space="preserve"> </w:t>
      </w:r>
    </w:p>
    <w:p w:rsidR="001D2785" w:rsidRPr="00105DB5" w:rsidRDefault="00C6144D" w:rsidP="003A10B3">
      <w:pPr>
        <w:pStyle w:val="Heading4"/>
        <w:rPr>
          <w:rFonts w:eastAsia="Calibri"/>
        </w:rPr>
      </w:pPr>
      <w:bookmarkStart w:id="27" w:name="_Toc406411825"/>
      <w:r>
        <w:rPr>
          <w:rFonts w:eastAsia="Calibri"/>
        </w:rPr>
        <w:t>d</w:t>
      </w:r>
      <w:r w:rsidR="003A10B3">
        <w:rPr>
          <w:rFonts w:eastAsia="Calibri"/>
        </w:rPr>
        <w:t>.</w:t>
      </w:r>
      <w:r w:rsidR="003A10B3">
        <w:rPr>
          <w:rFonts w:eastAsia="Calibri"/>
        </w:rPr>
        <w:tab/>
      </w:r>
      <w:r w:rsidR="00633BA6">
        <w:rPr>
          <w:rFonts w:eastAsia="Calibri"/>
        </w:rPr>
        <w:t>Duke</w:t>
      </w:r>
      <w:r w:rsidR="001D2785" w:rsidRPr="00105DB5">
        <w:rPr>
          <w:rFonts w:eastAsia="Calibri"/>
        </w:rPr>
        <w:t xml:space="preserve"> failed to prove that the </w:t>
      </w:r>
      <w:proofErr w:type="spellStart"/>
      <w:r w:rsidR="00633BA6">
        <w:rPr>
          <w:rFonts w:eastAsia="Calibri"/>
        </w:rPr>
        <w:t>PSR</w:t>
      </w:r>
      <w:proofErr w:type="spellEnd"/>
      <w:r w:rsidR="001D2785" w:rsidRPr="00105DB5">
        <w:rPr>
          <w:rFonts w:eastAsia="Calibri"/>
        </w:rPr>
        <w:t xml:space="preserve"> will actually stabilize customer rates.</w:t>
      </w:r>
      <w:bookmarkEnd w:id="27"/>
      <w:r w:rsidR="001D2785" w:rsidRPr="00105DB5">
        <w:rPr>
          <w:rFonts w:eastAsia="Calibri"/>
        </w:rPr>
        <w:t xml:space="preserve"> </w:t>
      </w:r>
    </w:p>
    <w:p w:rsidR="001D2785" w:rsidRPr="00105DB5" w:rsidRDefault="00CE7318" w:rsidP="00CE7318">
      <w:pPr>
        <w:pStyle w:val="textstyle0"/>
        <w:rPr>
          <w:rFonts w:eastAsia="Calibri"/>
          <w:b/>
        </w:rPr>
      </w:pPr>
      <w:r>
        <w:rPr>
          <w:rFonts w:eastAsia="Calibri"/>
        </w:rPr>
        <w:tab/>
      </w:r>
      <w:r w:rsidR="00633BA6">
        <w:rPr>
          <w:rFonts w:eastAsia="Calibri"/>
        </w:rPr>
        <w:t>Duke</w:t>
      </w:r>
      <w:r w:rsidR="001D2785" w:rsidRPr="00105DB5">
        <w:rPr>
          <w:rFonts w:eastAsia="Calibri"/>
        </w:rPr>
        <w:t xml:space="preserve">’s rationale for proposing the </w:t>
      </w:r>
      <w:proofErr w:type="spellStart"/>
      <w:r w:rsidR="00633BA6">
        <w:rPr>
          <w:rFonts w:eastAsia="Calibri"/>
        </w:rPr>
        <w:t>PSR</w:t>
      </w:r>
      <w:proofErr w:type="spellEnd"/>
      <w:r w:rsidR="001D2785" w:rsidRPr="00105DB5">
        <w:rPr>
          <w:rFonts w:eastAsia="Calibri"/>
        </w:rPr>
        <w:t xml:space="preserve"> is to “</w:t>
      </w:r>
      <w:r w:rsidR="00096B62" w:rsidRPr="00096B62">
        <w:rPr>
          <w:rFonts w:eastAsia="Calibri"/>
        </w:rPr>
        <w:t>mitigate some of t</w:t>
      </w:r>
      <w:r w:rsidR="00096B62">
        <w:rPr>
          <w:rFonts w:eastAsia="Calibri"/>
        </w:rPr>
        <w:t>he volatility in overall rates</w:t>
      </w:r>
      <w:r w:rsidR="001D2785" w:rsidRPr="00105DB5">
        <w:rPr>
          <w:rFonts w:eastAsia="Calibri"/>
        </w:rPr>
        <w:t>.”</w:t>
      </w:r>
      <w:r w:rsidR="001D2785" w:rsidRPr="00105DB5">
        <w:rPr>
          <w:rFonts w:eastAsia="Calibri"/>
          <w:vertAlign w:val="superscript"/>
        </w:rPr>
        <w:footnoteReference w:id="61"/>
      </w:r>
      <w:r w:rsidR="001D2785" w:rsidRPr="00105DB5">
        <w:rPr>
          <w:rFonts w:eastAsia="Calibri"/>
        </w:rPr>
        <w:t xml:space="preserve">  </w:t>
      </w:r>
      <w:r w:rsidR="00633BA6">
        <w:rPr>
          <w:rFonts w:eastAsia="Calibri"/>
        </w:rPr>
        <w:t>Duke</w:t>
      </w:r>
      <w:r w:rsidR="001D2785" w:rsidRPr="00105DB5">
        <w:rPr>
          <w:rFonts w:eastAsia="Calibri"/>
        </w:rPr>
        <w:t xml:space="preserve"> has the burden of proving that this stabilizing effect exist</w:t>
      </w:r>
      <w:r w:rsidR="001D2785">
        <w:rPr>
          <w:rFonts w:eastAsia="Calibri"/>
        </w:rPr>
        <w:t>s</w:t>
      </w:r>
      <w:r w:rsidR="001D2785" w:rsidRPr="00105DB5">
        <w:rPr>
          <w:rFonts w:eastAsia="Calibri"/>
        </w:rPr>
        <w:t>.</w:t>
      </w:r>
      <w:r w:rsidR="003A10B3">
        <w:rPr>
          <w:rStyle w:val="FootnoteReference"/>
          <w:rFonts w:eastAsia="Calibri"/>
        </w:rPr>
        <w:footnoteReference w:id="62"/>
      </w:r>
      <w:r w:rsidR="001D2785" w:rsidRPr="00105DB5">
        <w:rPr>
          <w:rFonts w:eastAsia="Calibri"/>
        </w:rPr>
        <w:t xml:space="preserve"> </w:t>
      </w:r>
      <w:r w:rsidR="003A10B3">
        <w:rPr>
          <w:rFonts w:eastAsia="Calibri"/>
        </w:rPr>
        <w:t xml:space="preserve"> </w:t>
      </w:r>
      <w:r w:rsidR="00633BA6">
        <w:rPr>
          <w:rFonts w:eastAsia="Calibri"/>
        </w:rPr>
        <w:t>Duke</w:t>
      </w:r>
      <w:r w:rsidR="001412AA">
        <w:rPr>
          <w:rFonts w:eastAsia="Calibri"/>
        </w:rPr>
        <w:t xml:space="preserve"> failed to meet this burden.  Other interveners will</w:t>
      </w:r>
      <w:r w:rsidR="001D2785" w:rsidRPr="00105DB5">
        <w:rPr>
          <w:rFonts w:eastAsia="Calibri"/>
        </w:rPr>
        <w:t xml:space="preserve">, presumably, discuss in their post-hearing briefs how </w:t>
      </w:r>
      <w:r w:rsidR="00633BA6">
        <w:rPr>
          <w:rFonts w:eastAsia="Calibri"/>
        </w:rPr>
        <w:t>Duke</w:t>
      </w:r>
      <w:r w:rsidR="001D2785" w:rsidRPr="00105DB5">
        <w:rPr>
          <w:rFonts w:eastAsia="Calibri"/>
        </w:rPr>
        <w:t xml:space="preserve"> failed</w:t>
      </w:r>
      <w:r w:rsidR="009F4B1D">
        <w:rPr>
          <w:rFonts w:eastAsia="Calibri"/>
        </w:rPr>
        <w:t xml:space="preserve"> to</w:t>
      </w:r>
      <w:r w:rsidR="001D2785" w:rsidRPr="00105DB5">
        <w:rPr>
          <w:rFonts w:eastAsia="Calibri"/>
        </w:rPr>
        <w:t xml:space="preserve"> prove that the </w:t>
      </w:r>
      <w:proofErr w:type="spellStart"/>
      <w:r w:rsidR="002540B5">
        <w:rPr>
          <w:rFonts w:eastAsia="Calibri"/>
        </w:rPr>
        <w:t>PSR</w:t>
      </w:r>
      <w:proofErr w:type="spellEnd"/>
      <w:r w:rsidR="001D2785" w:rsidRPr="00105DB5">
        <w:rPr>
          <w:rFonts w:eastAsia="Calibri"/>
        </w:rPr>
        <w:t xml:space="preserve"> will</w:t>
      </w:r>
      <w:r w:rsidR="001D2785" w:rsidRPr="00105DB5">
        <w:rPr>
          <w:rFonts w:ascii="Calibri" w:eastAsia="Calibri" w:hAnsi="Calibri"/>
        </w:rPr>
        <w:t xml:space="preserve"> </w:t>
      </w:r>
      <w:r w:rsidR="001D2785" w:rsidRPr="00105DB5">
        <w:rPr>
          <w:rFonts w:eastAsia="Calibri"/>
        </w:rPr>
        <w:t>stabilize cus</w:t>
      </w:r>
      <w:r w:rsidR="00634F10">
        <w:rPr>
          <w:rFonts w:eastAsia="Calibri"/>
        </w:rPr>
        <w:softHyphen/>
      </w:r>
      <w:r w:rsidR="001D2785" w:rsidRPr="00105DB5">
        <w:rPr>
          <w:rFonts w:eastAsia="Calibri"/>
        </w:rPr>
        <w:t xml:space="preserve">tomer rates.  Staff, however, would point out some evidentiary flaws in </w:t>
      </w:r>
      <w:r w:rsidR="00633BA6">
        <w:rPr>
          <w:rFonts w:eastAsia="Calibri"/>
        </w:rPr>
        <w:t>Duke</w:t>
      </w:r>
      <w:r w:rsidR="001D2785" w:rsidRPr="00105DB5">
        <w:rPr>
          <w:rFonts w:eastAsia="Calibri"/>
        </w:rPr>
        <w:t xml:space="preserve">’s </w:t>
      </w:r>
      <w:proofErr w:type="spellStart"/>
      <w:r w:rsidR="002540B5">
        <w:rPr>
          <w:rFonts w:eastAsia="Calibri"/>
        </w:rPr>
        <w:t>PSR</w:t>
      </w:r>
      <w:proofErr w:type="spellEnd"/>
      <w:r w:rsidR="001D2785" w:rsidRPr="00105DB5">
        <w:rPr>
          <w:rFonts w:eastAsia="Calibri"/>
        </w:rPr>
        <w:t xml:space="preserve">.  </w:t>
      </w:r>
    </w:p>
    <w:p w:rsidR="001D2785" w:rsidRPr="00105DB5" w:rsidRDefault="00FA2572" w:rsidP="003A10B3">
      <w:pPr>
        <w:pStyle w:val="Heading5"/>
        <w:numPr>
          <w:ilvl w:val="0"/>
          <w:numId w:val="14"/>
        </w:numPr>
      </w:pPr>
      <w:bookmarkStart w:id="28" w:name="_Toc406411826"/>
      <w:r>
        <w:t xml:space="preserve">The </w:t>
      </w:r>
      <w:proofErr w:type="spellStart"/>
      <w:r w:rsidR="00633BA6">
        <w:t>PSR</w:t>
      </w:r>
      <w:proofErr w:type="spellEnd"/>
      <w:r w:rsidR="001D2785" w:rsidRPr="00105DB5">
        <w:t xml:space="preserve"> will</w:t>
      </w:r>
      <w:r w:rsidR="002540B5">
        <w:t xml:space="preserve"> impose significant costs on customers</w:t>
      </w:r>
      <w:r w:rsidR="001D2785" w:rsidRPr="00105DB5">
        <w:t xml:space="preserve"> during the ESP Period.</w:t>
      </w:r>
      <w:bookmarkEnd w:id="28"/>
      <w:r w:rsidR="001D2785" w:rsidRPr="00105DB5">
        <w:t xml:space="preserve"> </w:t>
      </w:r>
    </w:p>
    <w:p w:rsidR="001D2785" w:rsidRPr="00B37A3D" w:rsidRDefault="00D00FAE" w:rsidP="00CE7318">
      <w:pPr>
        <w:pStyle w:val="textstyle0"/>
        <w:rPr>
          <w:rFonts w:eastAsia="Calibri"/>
          <w:b/>
        </w:rPr>
      </w:pPr>
      <w:r>
        <w:rPr>
          <w:rFonts w:eastAsia="Calibri"/>
        </w:rPr>
        <w:tab/>
      </w:r>
      <w:r w:rsidR="001E7303">
        <w:rPr>
          <w:rFonts w:eastAsia="Calibri"/>
        </w:rPr>
        <w:t>A</w:t>
      </w:r>
      <w:r w:rsidR="001D2785" w:rsidRPr="00105DB5">
        <w:rPr>
          <w:rFonts w:eastAsia="Calibri"/>
        </w:rPr>
        <w:t xml:space="preserve"> substantial amount of evidence shows that the </w:t>
      </w:r>
      <w:proofErr w:type="spellStart"/>
      <w:r w:rsidR="002540B5">
        <w:rPr>
          <w:rFonts w:eastAsia="Calibri"/>
        </w:rPr>
        <w:t>PSR</w:t>
      </w:r>
      <w:proofErr w:type="spellEnd"/>
      <w:r w:rsidR="001D2785" w:rsidRPr="00105DB5">
        <w:rPr>
          <w:rFonts w:eastAsia="Calibri"/>
        </w:rPr>
        <w:t xml:space="preserve"> will </w:t>
      </w:r>
      <w:r w:rsidR="00D317C4">
        <w:rPr>
          <w:rFonts w:eastAsia="Calibri"/>
        </w:rPr>
        <w:t xml:space="preserve">impose significant </w:t>
      </w:r>
      <w:r w:rsidR="001D2785" w:rsidRPr="00105DB5">
        <w:rPr>
          <w:rFonts w:eastAsia="Calibri"/>
        </w:rPr>
        <w:t>cost</w:t>
      </w:r>
      <w:r w:rsidR="00AE2901">
        <w:rPr>
          <w:rFonts w:eastAsia="Calibri"/>
        </w:rPr>
        <w:t>s</w:t>
      </w:r>
      <w:r w:rsidR="001D2785" w:rsidRPr="00105DB5">
        <w:rPr>
          <w:rFonts w:eastAsia="Calibri"/>
        </w:rPr>
        <w:t xml:space="preserve"> </w:t>
      </w:r>
      <w:r w:rsidR="00D317C4">
        <w:rPr>
          <w:rFonts w:eastAsia="Calibri"/>
        </w:rPr>
        <w:t xml:space="preserve">on </w:t>
      </w:r>
      <w:r w:rsidR="001D2785" w:rsidRPr="00105DB5">
        <w:rPr>
          <w:rFonts w:eastAsia="Calibri"/>
        </w:rPr>
        <w:t xml:space="preserve">customers during the term of </w:t>
      </w:r>
      <w:r w:rsidR="001D2785" w:rsidRPr="00422D0D">
        <w:rPr>
          <w:rFonts w:eastAsia="Calibri"/>
          <w:i/>
        </w:rPr>
        <w:t>ESP III</w:t>
      </w:r>
      <w:r w:rsidR="001D2785" w:rsidRPr="00105DB5">
        <w:rPr>
          <w:rFonts w:eastAsia="Calibri"/>
        </w:rPr>
        <w:t>.</w:t>
      </w:r>
      <w:r w:rsidR="00B70FF1">
        <w:rPr>
          <w:rFonts w:eastAsia="Calibri"/>
        </w:rPr>
        <w:t xml:space="preserve">  Duke projects that annual </w:t>
      </w:r>
      <w:proofErr w:type="spellStart"/>
      <w:r w:rsidR="00B70FF1">
        <w:rPr>
          <w:rFonts w:eastAsia="Calibri"/>
        </w:rPr>
        <w:t>OVEC</w:t>
      </w:r>
      <w:proofErr w:type="spellEnd"/>
      <w:r w:rsidR="00B70FF1">
        <w:rPr>
          <w:rFonts w:eastAsia="Calibri"/>
        </w:rPr>
        <w:t xml:space="preserve"> costs will exceed revenue</w:t>
      </w:r>
      <w:r w:rsidR="005B0C43">
        <w:rPr>
          <w:rFonts w:eastAsia="Calibri"/>
        </w:rPr>
        <w:t>s</w:t>
      </w:r>
      <w:r w:rsidR="00B70FF1">
        <w:rPr>
          <w:rFonts w:eastAsia="Calibri"/>
        </w:rPr>
        <w:t xml:space="preserve"> from 2015 through 2018, resulting in a net charge to customers under the Company’s </w:t>
      </w:r>
      <w:proofErr w:type="spellStart"/>
      <w:r w:rsidR="00B70FF1">
        <w:rPr>
          <w:rFonts w:eastAsia="Calibri"/>
        </w:rPr>
        <w:t>PSR</w:t>
      </w:r>
      <w:proofErr w:type="spellEnd"/>
      <w:r w:rsidR="00B70FF1">
        <w:rPr>
          <w:rFonts w:eastAsia="Calibri"/>
        </w:rPr>
        <w:t xml:space="preserve"> proposal.</w:t>
      </w:r>
      <w:r w:rsidR="00B70FF1">
        <w:rPr>
          <w:rStyle w:val="FootnoteReference"/>
          <w:rFonts w:eastAsia="Calibri"/>
        </w:rPr>
        <w:footnoteReference w:id="63"/>
      </w:r>
      <w:r w:rsidR="005B0C43">
        <w:rPr>
          <w:rFonts w:eastAsia="Calibri"/>
        </w:rPr>
        <w:t xml:space="preserve">  </w:t>
      </w:r>
      <w:r w:rsidR="00D26910">
        <w:rPr>
          <w:rFonts w:eastAsia="Calibri"/>
        </w:rPr>
        <w:t>T</w:t>
      </w:r>
      <w:r w:rsidR="001D2785" w:rsidRPr="00105DB5">
        <w:rPr>
          <w:rFonts w:eastAsia="Calibri"/>
        </w:rPr>
        <w:t xml:space="preserve">he </w:t>
      </w:r>
      <w:proofErr w:type="spellStart"/>
      <w:r w:rsidR="002540B5">
        <w:rPr>
          <w:rFonts w:eastAsia="Calibri"/>
        </w:rPr>
        <w:t>PSR</w:t>
      </w:r>
      <w:proofErr w:type="spellEnd"/>
      <w:r w:rsidR="001D2785" w:rsidRPr="00105DB5">
        <w:rPr>
          <w:rFonts w:eastAsia="Calibri"/>
        </w:rPr>
        <w:t xml:space="preserve"> could be extremely costly for customers during </w:t>
      </w:r>
      <w:r w:rsidR="001D2785" w:rsidRPr="00105DB5">
        <w:rPr>
          <w:rFonts w:eastAsia="Calibri"/>
        </w:rPr>
        <w:lastRenderedPageBreak/>
        <w:t xml:space="preserve">the </w:t>
      </w:r>
      <w:r w:rsidR="001D2785" w:rsidRPr="00EF120D">
        <w:rPr>
          <w:rFonts w:eastAsia="Calibri"/>
          <w:i/>
        </w:rPr>
        <w:t xml:space="preserve">ESP III term.  </w:t>
      </w:r>
      <w:r w:rsidR="001D2785" w:rsidRPr="00105DB5">
        <w:rPr>
          <w:rFonts w:eastAsia="Calibri"/>
        </w:rPr>
        <w:t xml:space="preserve">  </w:t>
      </w:r>
      <w:r w:rsidR="00D26910">
        <w:rPr>
          <w:rFonts w:eastAsia="Calibri"/>
        </w:rPr>
        <w:t>In 2019, Duke projects that revenue</w:t>
      </w:r>
      <w:r w:rsidR="00B37A3D">
        <w:rPr>
          <w:rFonts w:eastAsia="Calibri"/>
        </w:rPr>
        <w:t>s from the</w:t>
      </w:r>
      <w:r w:rsidR="00D26910">
        <w:rPr>
          <w:rFonts w:eastAsia="Calibri"/>
        </w:rPr>
        <w:t xml:space="preserve"> sale of its </w:t>
      </w:r>
      <w:proofErr w:type="spellStart"/>
      <w:r w:rsidR="00D26910">
        <w:rPr>
          <w:rFonts w:eastAsia="Calibri"/>
        </w:rPr>
        <w:t>OVEC</w:t>
      </w:r>
      <w:proofErr w:type="spellEnd"/>
      <w:r w:rsidR="00D26910">
        <w:rPr>
          <w:rFonts w:eastAsia="Calibri"/>
        </w:rPr>
        <w:t xml:space="preserve"> entitlement will exceed its costs, resulting in a credit to customers.</w:t>
      </w:r>
      <w:r w:rsidR="00D26910">
        <w:rPr>
          <w:rStyle w:val="FootnoteReference"/>
          <w:rFonts w:eastAsia="Calibri"/>
        </w:rPr>
        <w:footnoteReference w:id="64"/>
      </w:r>
      <w:r w:rsidR="00D26910">
        <w:rPr>
          <w:rFonts w:eastAsia="Calibri"/>
        </w:rPr>
        <w:t xml:space="preserve">  </w:t>
      </w:r>
      <w:r w:rsidR="00A97358">
        <w:rPr>
          <w:rFonts w:eastAsia="Calibri"/>
        </w:rPr>
        <w:t xml:space="preserve">Thus, the claimed customer benefits of the </w:t>
      </w:r>
      <w:proofErr w:type="spellStart"/>
      <w:r w:rsidR="00A97358">
        <w:rPr>
          <w:rFonts w:eastAsia="Calibri"/>
        </w:rPr>
        <w:t>PSR</w:t>
      </w:r>
      <w:proofErr w:type="spellEnd"/>
      <w:r w:rsidR="00A97358">
        <w:rPr>
          <w:rFonts w:eastAsia="Calibri"/>
        </w:rPr>
        <w:t xml:space="preserve"> are not expected to be realized until after the proposed </w:t>
      </w:r>
      <w:r w:rsidR="00A97358" w:rsidRPr="00A97358">
        <w:rPr>
          <w:rFonts w:eastAsia="Calibri"/>
          <w:i/>
        </w:rPr>
        <w:t>ESP III</w:t>
      </w:r>
      <w:r w:rsidR="00A97358">
        <w:rPr>
          <w:rFonts w:eastAsia="Calibri"/>
        </w:rPr>
        <w:t xml:space="preserve"> term.</w:t>
      </w:r>
      <w:r w:rsidR="00A97358">
        <w:rPr>
          <w:rStyle w:val="FootnoteReference"/>
          <w:rFonts w:eastAsia="Calibri"/>
        </w:rPr>
        <w:footnoteReference w:id="65"/>
      </w:r>
      <w:r w:rsidR="00A97358">
        <w:rPr>
          <w:rFonts w:eastAsia="Calibri"/>
        </w:rPr>
        <w:t xml:space="preserve">  However, the projected b</w:t>
      </w:r>
      <w:r w:rsidR="00550986">
        <w:rPr>
          <w:rFonts w:eastAsia="Calibri"/>
        </w:rPr>
        <w:t>enefits are dependent on market-</w:t>
      </w:r>
      <w:r w:rsidR="00A97358">
        <w:rPr>
          <w:rFonts w:eastAsia="Calibri"/>
        </w:rPr>
        <w:t xml:space="preserve">price assumptions </w:t>
      </w:r>
      <w:r w:rsidR="009A1BDE">
        <w:rPr>
          <w:rFonts w:eastAsia="Calibri"/>
        </w:rPr>
        <w:t>several years into the future, which may or may not prove to be accurate.</w:t>
      </w:r>
      <w:r w:rsidR="009A1BDE">
        <w:rPr>
          <w:rStyle w:val="FootnoteReference"/>
          <w:rFonts w:eastAsia="Calibri"/>
        </w:rPr>
        <w:footnoteReference w:id="66"/>
      </w:r>
      <w:r w:rsidR="009A1BDE">
        <w:rPr>
          <w:rFonts w:eastAsia="Calibri"/>
        </w:rPr>
        <w:t xml:space="preserve">  </w:t>
      </w:r>
    </w:p>
    <w:p w:rsidR="001D2785" w:rsidRPr="00D4373A" w:rsidRDefault="002540B5" w:rsidP="00802C3D">
      <w:pPr>
        <w:pStyle w:val="Heading5"/>
        <w:numPr>
          <w:ilvl w:val="0"/>
          <w:numId w:val="14"/>
        </w:numPr>
        <w:rPr>
          <w:sz w:val="26"/>
          <w:szCs w:val="26"/>
        </w:rPr>
      </w:pPr>
      <w:bookmarkStart w:id="29" w:name="_Toc406411827"/>
      <w:r>
        <w:t>V</w:t>
      </w:r>
      <w:r w:rsidR="001D2785" w:rsidRPr="00D4373A">
        <w:t>arious unknown</w:t>
      </w:r>
      <w:r>
        <w:t xml:space="preserve"> factors</w:t>
      </w:r>
      <w:r w:rsidR="001D2785" w:rsidRPr="00D4373A">
        <w:t xml:space="preserve"> make</w:t>
      </w:r>
      <w:r>
        <w:t xml:space="preserve"> it difficult</w:t>
      </w:r>
      <w:r w:rsidR="001D2785" w:rsidRPr="00D4373A">
        <w:t xml:space="preserve"> to determine whether the </w:t>
      </w:r>
      <w:proofErr w:type="spellStart"/>
      <w:r>
        <w:t>PSR</w:t>
      </w:r>
      <w:proofErr w:type="spellEnd"/>
      <w:r w:rsidR="001D2785" w:rsidRPr="00D4373A">
        <w:t xml:space="preserve"> will stabilize rates for cus</w:t>
      </w:r>
      <w:r w:rsidR="00634F10">
        <w:softHyphen/>
      </w:r>
      <w:r w:rsidR="001D2785" w:rsidRPr="00D4373A">
        <w:t>tomers.</w:t>
      </w:r>
      <w:bookmarkEnd w:id="29"/>
      <w:r w:rsidR="001D2785" w:rsidRPr="00D4373A">
        <w:t xml:space="preserve">  </w:t>
      </w:r>
    </w:p>
    <w:p w:rsidR="001D2785" w:rsidRDefault="00D4373A" w:rsidP="00CE7318">
      <w:pPr>
        <w:pStyle w:val="textstyle0"/>
        <w:rPr>
          <w:rFonts w:eastAsia="Calibri"/>
        </w:rPr>
      </w:pPr>
      <w:r>
        <w:rPr>
          <w:rFonts w:eastAsia="Calibri"/>
        </w:rPr>
        <w:tab/>
      </w:r>
      <w:r w:rsidR="00A41F9F">
        <w:rPr>
          <w:rFonts w:eastAsia="Calibri"/>
        </w:rPr>
        <w:t>O</w:t>
      </w:r>
      <w:r w:rsidR="001D2785" w:rsidRPr="00105DB5">
        <w:rPr>
          <w:rFonts w:eastAsia="Calibri"/>
        </w:rPr>
        <w:t xml:space="preserve">ther unknowns regarding the </w:t>
      </w:r>
      <w:proofErr w:type="spellStart"/>
      <w:r w:rsidR="002540B5">
        <w:rPr>
          <w:rFonts w:eastAsia="Calibri"/>
        </w:rPr>
        <w:t>PSR</w:t>
      </w:r>
      <w:proofErr w:type="spellEnd"/>
      <w:r w:rsidR="001D2785" w:rsidRPr="00105DB5">
        <w:rPr>
          <w:rFonts w:eastAsia="Calibri"/>
        </w:rPr>
        <w:t xml:space="preserve"> hurt </w:t>
      </w:r>
      <w:r w:rsidR="00633BA6">
        <w:rPr>
          <w:rFonts w:eastAsia="Calibri"/>
        </w:rPr>
        <w:t>Duke</w:t>
      </w:r>
      <w:r w:rsidR="001D2785" w:rsidRPr="00105DB5">
        <w:rPr>
          <w:rFonts w:eastAsia="Calibri"/>
        </w:rPr>
        <w:t xml:space="preserve">’s “price stability” claim.  </w:t>
      </w:r>
      <w:r w:rsidR="00A41F9F">
        <w:rPr>
          <w:rFonts w:eastAsia="Calibri"/>
        </w:rPr>
        <w:t>P</w:t>
      </w:r>
      <w:r w:rsidR="001D2785" w:rsidRPr="00105DB5">
        <w:rPr>
          <w:rFonts w:eastAsia="Calibri"/>
        </w:rPr>
        <w:t xml:space="preserve">otential fluctuations in </w:t>
      </w:r>
      <w:proofErr w:type="spellStart"/>
      <w:r w:rsidR="001D2785" w:rsidRPr="00105DB5">
        <w:rPr>
          <w:rFonts w:eastAsia="Calibri"/>
        </w:rPr>
        <w:t>OVEC’s</w:t>
      </w:r>
      <w:proofErr w:type="spellEnd"/>
      <w:r w:rsidR="001D2785" w:rsidRPr="00105DB5">
        <w:rPr>
          <w:rFonts w:eastAsia="Calibri"/>
        </w:rPr>
        <w:t xml:space="preserve"> costs and changes in market prices may erase any potential sta</w:t>
      </w:r>
      <w:r w:rsidR="00634F10">
        <w:rPr>
          <w:rFonts w:eastAsia="Calibri"/>
        </w:rPr>
        <w:softHyphen/>
      </w:r>
      <w:r w:rsidR="001D2785" w:rsidRPr="00105DB5">
        <w:rPr>
          <w:rFonts w:eastAsia="Calibri"/>
        </w:rPr>
        <w:t xml:space="preserve">bility that the </w:t>
      </w:r>
      <w:proofErr w:type="spellStart"/>
      <w:r w:rsidR="002540B5">
        <w:rPr>
          <w:rFonts w:eastAsia="Calibri"/>
        </w:rPr>
        <w:t>PSR</w:t>
      </w:r>
      <w:proofErr w:type="spellEnd"/>
      <w:r w:rsidR="001D2785" w:rsidRPr="00105DB5">
        <w:rPr>
          <w:rFonts w:eastAsia="Calibri"/>
        </w:rPr>
        <w:t xml:space="preserve"> can purportedly provide.  </w:t>
      </w:r>
      <w:r w:rsidR="00633BA6">
        <w:rPr>
          <w:rFonts w:eastAsia="Calibri"/>
        </w:rPr>
        <w:t>Duke</w:t>
      </w:r>
      <w:r w:rsidR="00E84B02">
        <w:rPr>
          <w:rFonts w:eastAsia="Calibri"/>
        </w:rPr>
        <w:t>’s proposed</w:t>
      </w:r>
      <w:r w:rsidR="001D2785" w:rsidRPr="00105DB5">
        <w:rPr>
          <w:rFonts w:eastAsia="Calibri"/>
        </w:rPr>
        <w:t xml:space="preserve"> hedge and the results of this hedge will de</w:t>
      </w:r>
      <w:r w:rsidR="001D2785">
        <w:rPr>
          <w:rFonts w:eastAsia="Calibri"/>
        </w:rPr>
        <w:t>pend on future market prices.</w:t>
      </w:r>
      <w:r w:rsidR="001D2785" w:rsidRPr="00105DB5">
        <w:rPr>
          <w:rFonts w:eastAsia="Calibri"/>
        </w:rPr>
        <w:t xml:space="preserve"> </w:t>
      </w:r>
      <w:r w:rsidR="00D80BA1">
        <w:rPr>
          <w:rFonts w:eastAsia="Calibri"/>
        </w:rPr>
        <w:t xml:space="preserve"> </w:t>
      </w:r>
      <w:r w:rsidR="001D2785" w:rsidRPr="00105DB5">
        <w:rPr>
          <w:rFonts w:eastAsia="Calibri"/>
        </w:rPr>
        <w:t xml:space="preserve">Another unknown factor is potential changes in </w:t>
      </w:r>
      <w:proofErr w:type="spellStart"/>
      <w:r w:rsidR="001D2785" w:rsidRPr="00105DB5">
        <w:rPr>
          <w:rFonts w:eastAsia="Calibri"/>
        </w:rPr>
        <w:t>OVEC’s</w:t>
      </w:r>
      <w:proofErr w:type="spellEnd"/>
      <w:r w:rsidR="001D2785" w:rsidRPr="00105DB5">
        <w:rPr>
          <w:rFonts w:eastAsia="Calibri"/>
        </w:rPr>
        <w:t xml:space="preserve"> costs.  The success or failure of the </w:t>
      </w:r>
      <w:proofErr w:type="spellStart"/>
      <w:r w:rsidR="002540B5">
        <w:rPr>
          <w:rFonts w:eastAsia="Calibri"/>
        </w:rPr>
        <w:t>PSR</w:t>
      </w:r>
      <w:proofErr w:type="spellEnd"/>
      <w:r w:rsidR="001D2785">
        <w:rPr>
          <w:rFonts w:eastAsia="Calibri"/>
        </w:rPr>
        <w:t xml:space="preserve"> depends on the</w:t>
      </w:r>
      <w:r w:rsidR="001D2785" w:rsidRPr="00105DB5">
        <w:rPr>
          <w:rFonts w:eastAsia="Calibri"/>
        </w:rPr>
        <w:t xml:space="preserve"> stability of </w:t>
      </w:r>
      <w:proofErr w:type="spellStart"/>
      <w:r w:rsidR="001D2785" w:rsidRPr="00105DB5">
        <w:rPr>
          <w:rFonts w:eastAsia="Calibri"/>
        </w:rPr>
        <w:t>OVEC’s</w:t>
      </w:r>
      <w:proofErr w:type="spellEnd"/>
      <w:r w:rsidR="001D2785" w:rsidRPr="00105DB5">
        <w:rPr>
          <w:rFonts w:eastAsia="Calibri"/>
        </w:rPr>
        <w:t xml:space="preserve"> costs.  Although </w:t>
      </w:r>
      <w:r w:rsidR="00633BA6">
        <w:rPr>
          <w:rFonts w:eastAsia="Calibri"/>
        </w:rPr>
        <w:t>Duke</w:t>
      </w:r>
      <w:r w:rsidR="001D2785" w:rsidRPr="00105DB5">
        <w:rPr>
          <w:rFonts w:eastAsia="Calibri"/>
        </w:rPr>
        <w:t xml:space="preserve"> touts the relative stability of </w:t>
      </w:r>
      <w:proofErr w:type="spellStart"/>
      <w:r w:rsidR="001D2785" w:rsidRPr="00105DB5">
        <w:rPr>
          <w:rFonts w:eastAsia="Calibri"/>
        </w:rPr>
        <w:t>OVEC</w:t>
      </w:r>
      <w:proofErr w:type="spellEnd"/>
      <w:r w:rsidR="001D2785" w:rsidRPr="00105DB5">
        <w:rPr>
          <w:rFonts w:eastAsia="Calibri"/>
        </w:rPr>
        <w:t xml:space="preserve"> costs, a number of fac</w:t>
      </w:r>
      <w:r w:rsidR="00634F10">
        <w:rPr>
          <w:rFonts w:eastAsia="Calibri"/>
        </w:rPr>
        <w:softHyphen/>
      </w:r>
      <w:r w:rsidR="001D2785" w:rsidRPr="00105DB5">
        <w:rPr>
          <w:rFonts w:eastAsia="Calibri"/>
        </w:rPr>
        <w:t xml:space="preserve">tors could greatly increase the costs of operating the </w:t>
      </w:r>
      <w:proofErr w:type="spellStart"/>
      <w:r w:rsidR="001D2785" w:rsidRPr="00105DB5">
        <w:rPr>
          <w:rFonts w:eastAsia="Calibri"/>
        </w:rPr>
        <w:t>OVEC</w:t>
      </w:r>
      <w:proofErr w:type="spellEnd"/>
      <w:r w:rsidR="001D2785" w:rsidRPr="00105DB5">
        <w:rPr>
          <w:rFonts w:eastAsia="Calibri"/>
        </w:rPr>
        <w:t xml:space="preserve"> units over the next few years.  Some of these factors include additional capital expenditures, increases </w:t>
      </w:r>
      <w:r w:rsidR="001D2785">
        <w:rPr>
          <w:rFonts w:eastAsia="Calibri"/>
        </w:rPr>
        <w:t xml:space="preserve">in </w:t>
      </w:r>
      <w:r w:rsidR="001D2785" w:rsidRPr="00105DB5">
        <w:rPr>
          <w:rFonts w:eastAsia="Calibri"/>
        </w:rPr>
        <w:t>coal prices, and future environmental regulations.</w:t>
      </w:r>
      <w:r w:rsidR="001D2785" w:rsidRPr="00105DB5">
        <w:rPr>
          <w:rFonts w:eastAsia="Calibri"/>
          <w:vertAlign w:val="superscript"/>
        </w:rPr>
        <w:footnoteReference w:id="67"/>
      </w:r>
      <w:r w:rsidR="001D2785" w:rsidRPr="00105DB5">
        <w:rPr>
          <w:rFonts w:eastAsia="Calibri"/>
        </w:rPr>
        <w:t xml:space="preserve"> </w:t>
      </w:r>
      <w:r>
        <w:rPr>
          <w:rFonts w:eastAsia="Calibri"/>
        </w:rPr>
        <w:t xml:space="preserve"> </w:t>
      </w:r>
      <w:r w:rsidR="001D2785" w:rsidRPr="00105DB5">
        <w:rPr>
          <w:rFonts w:eastAsia="Calibri"/>
        </w:rPr>
        <w:t xml:space="preserve">Whether or not customers will benefit </w:t>
      </w:r>
      <w:r w:rsidR="001D2785" w:rsidRPr="00105DB5">
        <w:rPr>
          <w:rFonts w:eastAsia="Calibri"/>
        </w:rPr>
        <w:lastRenderedPageBreak/>
        <w:t xml:space="preserve">financially from the </w:t>
      </w:r>
      <w:proofErr w:type="spellStart"/>
      <w:r w:rsidR="002540B5">
        <w:rPr>
          <w:rFonts w:eastAsia="Calibri"/>
        </w:rPr>
        <w:t>PSR</w:t>
      </w:r>
      <w:proofErr w:type="spellEnd"/>
      <w:r w:rsidR="001D2785" w:rsidRPr="00105DB5">
        <w:rPr>
          <w:rFonts w:eastAsia="Calibri"/>
        </w:rPr>
        <w:t xml:space="preserve"> also depends largely on the market, which c</w:t>
      </w:r>
      <w:r w:rsidR="001D2785">
        <w:rPr>
          <w:rFonts w:eastAsia="Calibri"/>
        </w:rPr>
        <w:t>annot be pre</w:t>
      </w:r>
      <w:r w:rsidR="00634F10">
        <w:rPr>
          <w:rFonts w:eastAsia="Calibri"/>
        </w:rPr>
        <w:softHyphen/>
      </w:r>
      <w:r w:rsidR="001D2785">
        <w:rPr>
          <w:rFonts w:eastAsia="Calibri"/>
        </w:rPr>
        <w:t xml:space="preserve">dicted by </w:t>
      </w:r>
      <w:r w:rsidR="00633BA6">
        <w:rPr>
          <w:rFonts w:eastAsia="Calibri"/>
        </w:rPr>
        <w:t>Duke</w:t>
      </w:r>
      <w:r w:rsidR="001D2785">
        <w:rPr>
          <w:rFonts w:eastAsia="Calibri"/>
        </w:rPr>
        <w:t>.</w:t>
      </w:r>
      <w:r w:rsidR="001D2785" w:rsidRPr="00105DB5">
        <w:rPr>
          <w:rFonts w:eastAsia="Calibri"/>
        </w:rPr>
        <w:t xml:space="preserve">  </w:t>
      </w:r>
    </w:p>
    <w:p w:rsidR="003005E5" w:rsidRDefault="00CE7D6D" w:rsidP="00CE7318">
      <w:pPr>
        <w:pStyle w:val="textstyle0"/>
        <w:rPr>
          <w:rFonts w:eastAsia="Calibri"/>
        </w:rPr>
      </w:pPr>
      <w:r>
        <w:rPr>
          <w:rFonts w:eastAsia="Calibri"/>
        </w:rPr>
        <w:tab/>
      </w:r>
      <w:r w:rsidR="003D1066">
        <w:rPr>
          <w:rFonts w:eastAsia="Calibri"/>
        </w:rPr>
        <w:t>OCC w</w:t>
      </w:r>
      <w:r w:rsidR="003005E5">
        <w:rPr>
          <w:rFonts w:eastAsia="Calibri"/>
        </w:rPr>
        <w:t>itness Wilson provided further analysis of the volatility of future market prices:</w:t>
      </w:r>
    </w:p>
    <w:p w:rsidR="00583DED" w:rsidRDefault="003005E5" w:rsidP="006316A4">
      <w:pPr>
        <w:pStyle w:val="textstyle0"/>
        <w:tabs>
          <w:tab w:val="clear" w:pos="720"/>
          <w:tab w:val="left" w:pos="1440"/>
        </w:tabs>
        <w:spacing w:line="240" w:lineRule="auto"/>
        <w:ind w:left="1440" w:right="1440"/>
        <w:rPr>
          <w:rFonts w:eastAsia="Calibri"/>
        </w:rPr>
      </w:pPr>
      <w:r>
        <w:rPr>
          <w:rFonts w:eastAsia="Calibri"/>
        </w:rPr>
        <w:t xml:space="preserve">Customers under the proposed SSO will be served under one- to three-year full requirements contracts established through periodic auctions, and, therefore, would not be exposed to substantial </w:t>
      </w:r>
      <w:r w:rsidR="00583DED">
        <w:rPr>
          <w:rFonts w:eastAsia="Calibri"/>
        </w:rPr>
        <w:t xml:space="preserve">market price volatility.  The </w:t>
      </w:r>
      <w:proofErr w:type="spellStart"/>
      <w:r w:rsidR="00583DED">
        <w:rPr>
          <w:rFonts w:eastAsia="Calibri"/>
        </w:rPr>
        <w:t>PSR</w:t>
      </w:r>
      <w:proofErr w:type="spellEnd"/>
      <w:r w:rsidR="00583DED">
        <w:rPr>
          <w:rFonts w:eastAsia="Calibri"/>
        </w:rPr>
        <w:t xml:space="preserve"> could add a potentially volatile element to such customers’ bills.  </w:t>
      </w:r>
    </w:p>
    <w:p w:rsidR="00CE7D6D" w:rsidRDefault="00CE7D6D" w:rsidP="006316A4">
      <w:pPr>
        <w:pStyle w:val="textstyle0"/>
        <w:tabs>
          <w:tab w:val="clear" w:pos="720"/>
          <w:tab w:val="left" w:pos="1440"/>
        </w:tabs>
        <w:spacing w:line="240" w:lineRule="auto"/>
        <w:ind w:left="1440" w:right="1440"/>
        <w:rPr>
          <w:rFonts w:eastAsia="Calibri"/>
        </w:rPr>
      </w:pPr>
    </w:p>
    <w:p w:rsidR="00CE7D6D" w:rsidRDefault="00583DED" w:rsidP="006316A4">
      <w:pPr>
        <w:pStyle w:val="textstyle0"/>
        <w:tabs>
          <w:tab w:val="clear" w:pos="720"/>
          <w:tab w:val="left" w:pos="1440"/>
        </w:tabs>
        <w:spacing w:line="240" w:lineRule="auto"/>
        <w:ind w:left="1440" w:right="1440"/>
        <w:rPr>
          <w:rFonts w:eastAsia="Calibri"/>
        </w:rPr>
      </w:pPr>
      <w:r>
        <w:rPr>
          <w:rFonts w:eastAsia="Calibri"/>
        </w:rPr>
        <w:t xml:space="preserve">Customers choosing competitive retail electric service would select among the available offerings according to their preferences, and could choose offerings that hedge process and provide greater stability to the extent that is desired.  For such customers, the </w:t>
      </w:r>
      <w:proofErr w:type="spellStart"/>
      <w:r>
        <w:rPr>
          <w:rFonts w:eastAsia="Calibri"/>
        </w:rPr>
        <w:t>PSR</w:t>
      </w:r>
      <w:proofErr w:type="spellEnd"/>
      <w:r>
        <w:rPr>
          <w:rFonts w:eastAsia="Calibri"/>
        </w:rPr>
        <w:t xml:space="preserve"> could potentially move contrary to, </w:t>
      </w:r>
      <w:r w:rsidR="009B58A3">
        <w:rPr>
          <w:rFonts w:eastAsia="Calibri"/>
        </w:rPr>
        <w:t>or in the same direction as, the market-based prices they pay at any time</w:t>
      </w:r>
      <w:r w:rsidR="00CE7D6D">
        <w:rPr>
          <w:rFonts w:eastAsia="Calibri"/>
        </w:rPr>
        <w:t xml:space="preserve">.  This is because the proposed </w:t>
      </w:r>
      <w:proofErr w:type="spellStart"/>
      <w:r w:rsidR="00CE7D6D">
        <w:rPr>
          <w:rFonts w:eastAsia="Calibri"/>
        </w:rPr>
        <w:t>PSR</w:t>
      </w:r>
      <w:proofErr w:type="spellEnd"/>
      <w:r w:rsidR="00CE7D6D">
        <w:rPr>
          <w:rFonts w:eastAsia="Calibri"/>
        </w:rPr>
        <w:t xml:space="preserve"> would be updated on a quarterly basis, so the net </w:t>
      </w:r>
      <w:proofErr w:type="spellStart"/>
      <w:r w:rsidR="00CE7D6D">
        <w:rPr>
          <w:rFonts w:eastAsia="Calibri"/>
        </w:rPr>
        <w:t>OVEC</w:t>
      </w:r>
      <w:proofErr w:type="spellEnd"/>
      <w:r w:rsidR="00CE7D6D">
        <w:rPr>
          <w:rFonts w:eastAsia="Calibri"/>
        </w:rPr>
        <w:t xml:space="preserve"> cost incurred in one quarter would appear in customers’ bills the next quarter.</w:t>
      </w:r>
      <w:r w:rsidR="00CE7D6D">
        <w:rPr>
          <w:rStyle w:val="FootnoteReference"/>
          <w:rFonts w:eastAsia="Calibri"/>
        </w:rPr>
        <w:footnoteReference w:id="68"/>
      </w:r>
      <w:r w:rsidR="009B58A3">
        <w:rPr>
          <w:rFonts w:eastAsia="Calibri"/>
        </w:rPr>
        <w:t xml:space="preserve"> </w:t>
      </w:r>
      <w:r>
        <w:rPr>
          <w:rFonts w:eastAsia="Calibri"/>
        </w:rPr>
        <w:t xml:space="preserve">  </w:t>
      </w:r>
      <w:r w:rsidR="003005E5">
        <w:rPr>
          <w:rFonts w:eastAsia="Calibri"/>
        </w:rPr>
        <w:t xml:space="preserve">  </w:t>
      </w:r>
    </w:p>
    <w:p w:rsidR="00CE7D6D" w:rsidRDefault="00CE7D6D" w:rsidP="00CE7D6D">
      <w:pPr>
        <w:pStyle w:val="textstyle0"/>
        <w:spacing w:line="240" w:lineRule="auto"/>
        <w:ind w:right="1440"/>
        <w:rPr>
          <w:rFonts w:eastAsia="Calibri"/>
        </w:rPr>
      </w:pPr>
    </w:p>
    <w:p w:rsidR="000748D3" w:rsidRDefault="00CE7D6D" w:rsidP="00CE7D6D">
      <w:pPr>
        <w:pStyle w:val="textstyle0"/>
        <w:rPr>
          <w:rFonts w:eastAsia="Calibri"/>
        </w:rPr>
      </w:pPr>
      <w:r>
        <w:rPr>
          <w:rFonts w:eastAsia="Calibri"/>
        </w:rPr>
        <w:t xml:space="preserve">Duke’s </w:t>
      </w:r>
      <w:proofErr w:type="spellStart"/>
      <w:r>
        <w:rPr>
          <w:rFonts w:eastAsia="Calibri"/>
        </w:rPr>
        <w:t>OVEC</w:t>
      </w:r>
      <w:proofErr w:type="spellEnd"/>
      <w:r>
        <w:rPr>
          <w:rFonts w:eastAsia="Calibri"/>
        </w:rPr>
        <w:t xml:space="preserve"> entitlement is</w:t>
      </w:r>
      <w:r w:rsidR="00522123">
        <w:rPr>
          <w:rFonts w:eastAsia="Calibri"/>
        </w:rPr>
        <w:t xml:space="preserve"> also</w:t>
      </w:r>
      <w:r>
        <w:rPr>
          <w:rFonts w:eastAsia="Calibri"/>
        </w:rPr>
        <w:t xml:space="preserve"> a small amount of Duke’s</w:t>
      </w:r>
      <w:r w:rsidR="00D80BA1">
        <w:rPr>
          <w:rFonts w:eastAsia="Calibri"/>
        </w:rPr>
        <w:t xml:space="preserve"> customer load and generation</w:t>
      </w:r>
      <w:r>
        <w:rPr>
          <w:rFonts w:eastAsia="Calibri"/>
        </w:rPr>
        <w:t xml:space="preserve"> cost is about half the customers’ bill, so any impact of a hedge would be modest.</w:t>
      </w:r>
      <w:r>
        <w:rPr>
          <w:rStyle w:val="FootnoteReference"/>
          <w:rFonts w:eastAsia="Calibri"/>
        </w:rPr>
        <w:footnoteReference w:id="69"/>
      </w:r>
      <w:r>
        <w:rPr>
          <w:rFonts w:eastAsia="Calibri"/>
        </w:rPr>
        <w:t xml:space="preserve"> </w:t>
      </w:r>
    </w:p>
    <w:p w:rsidR="00522123" w:rsidRDefault="00522123" w:rsidP="00CE7D6D">
      <w:pPr>
        <w:pStyle w:val="textstyle0"/>
        <w:rPr>
          <w:rFonts w:eastAsia="Calibri"/>
        </w:rPr>
      </w:pPr>
      <w:r>
        <w:rPr>
          <w:rFonts w:eastAsia="Calibri"/>
        </w:rPr>
        <w:tab/>
        <w:t xml:space="preserve">Furthermore, because its contractual entitlements extend beyond the term of the proposed </w:t>
      </w:r>
      <w:r w:rsidRPr="00894DE1">
        <w:rPr>
          <w:rFonts w:eastAsia="Calibri"/>
          <w:i/>
        </w:rPr>
        <w:t>ESP III</w:t>
      </w:r>
      <w:r>
        <w:rPr>
          <w:rFonts w:eastAsia="Calibri"/>
          <w:i/>
        </w:rPr>
        <w:t xml:space="preserve"> </w:t>
      </w:r>
      <w:r>
        <w:rPr>
          <w:rFonts w:eastAsia="Calibri"/>
        </w:rPr>
        <w:t xml:space="preserve">term, </w:t>
      </w:r>
      <w:r w:rsidRPr="007636E6">
        <w:rPr>
          <w:rFonts w:eastAsia="Calibri"/>
        </w:rPr>
        <w:t>Duke</w:t>
      </w:r>
      <w:r>
        <w:rPr>
          <w:rFonts w:eastAsia="Calibri"/>
        </w:rPr>
        <w:t xml:space="preserve"> proposes</w:t>
      </w:r>
      <w:r w:rsidRPr="007636E6">
        <w:rPr>
          <w:rFonts w:eastAsia="Calibri"/>
        </w:rPr>
        <w:t xml:space="preserve"> the </w:t>
      </w:r>
      <w:proofErr w:type="spellStart"/>
      <w:r w:rsidRPr="007636E6">
        <w:rPr>
          <w:rFonts w:eastAsia="Calibri"/>
        </w:rPr>
        <w:t>PSR</w:t>
      </w:r>
      <w:proofErr w:type="spellEnd"/>
      <w:r w:rsidRPr="007636E6">
        <w:rPr>
          <w:rFonts w:eastAsia="Calibri"/>
        </w:rPr>
        <w:t xml:space="preserve"> to extend</w:t>
      </w:r>
      <w:r>
        <w:rPr>
          <w:rFonts w:eastAsia="Calibri"/>
        </w:rPr>
        <w:t xml:space="preserve"> beyond the term of the ESP.</w:t>
      </w:r>
      <w:r>
        <w:rPr>
          <w:rStyle w:val="FootnoteReference"/>
          <w:rFonts w:eastAsia="Calibri"/>
        </w:rPr>
        <w:footnoteReference w:id="70"/>
      </w:r>
      <w:r w:rsidRPr="007636E6">
        <w:rPr>
          <w:rFonts w:eastAsia="Calibri"/>
        </w:rPr>
        <w:t xml:space="preserve"> </w:t>
      </w:r>
      <w:r>
        <w:rPr>
          <w:rFonts w:eastAsia="Calibri"/>
        </w:rPr>
        <w:t xml:space="preserve"> </w:t>
      </w:r>
      <w:r>
        <w:rPr>
          <w:rFonts w:eastAsia="Calibri"/>
        </w:rPr>
        <w:lastRenderedPageBreak/>
        <w:t>Duke improperly compares this extension to its Alternative Energy Resource Rider (“</w:t>
      </w:r>
      <w:proofErr w:type="spellStart"/>
      <w:r>
        <w:rPr>
          <w:rFonts w:eastAsia="Calibri"/>
        </w:rPr>
        <w:t>AERR</w:t>
      </w:r>
      <w:proofErr w:type="spellEnd"/>
      <w:r>
        <w:rPr>
          <w:rFonts w:eastAsia="Calibri"/>
        </w:rPr>
        <w:t xml:space="preserve">”) approved in its </w:t>
      </w:r>
      <w:r>
        <w:rPr>
          <w:rFonts w:eastAsia="Calibri"/>
          <w:i/>
        </w:rPr>
        <w:t>ESP II case.</w:t>
      </w:r>
      <w:r>
        <w:rPr>
          <w:rFonts w:eastAsia="Calibri"/>
        </w:rPr>
        <w:t xml:space="preserve">  The </w:t>
      </w:r>
      <w:proofErr w:type="spellStart"/>
      <w:r>
        <w:rPr>
          <w:rFonts w:eastAsia="Calibri"/>
        </w:rPr>
        <w:t>AERR</w:t>
      </w:r>
      <w:proofErr w:type="spellEnd"/>
      <w:r>
        <w:rPr>
          <w:rFonts w:eastAsia="Calibri"/>
        </w:rPr>
        <w:t xml:space="preserve">, however, is distinguishable.  The </w:t>
      </w:r>
      <w:proofErr w:type="spellStart"/>
      <w:r>
        <w:rPr>
          <w:rFonts w:eastAsia="Calibri"/>
        </w:rPr>
        <w:t>AERR</w:t>
      </w:r>
      <w:proofErr w:type="spellEnd"/>
      <w:r>
        <w:rPr>
          <w:rFonts w:eastAsia="Calibri"/>
        </w:rPr>
        <w:t xml:space="preserve"> is a bypassable rider intended</w:t>
      </w:r>
      <w:r w:rsidR="00D80BA1">
        <w:rPr>
          <w:rFonts w:eastAsia="Calibri"/>
        </w:rPr>
        <w:t xml:space="preserve"> only</w:t>
      </w:r>
      <w:r>
        <w:rPr>
          <w:rFonts w:eastAsia="Calibri"/>
        </w:rPr>
        <w:t xml:space="preserve"> to recover costs that occurred during the </w:t>
      </w:r>
      <w:r>
        <w:rPr>
          <w:rFonts w:eastAsia="Calibri"/>
          <w:i/>
        </w:rPr>
        <w:t>ESP II</w:t>
      </w:r>
      <w:r>
        <w:rPr>
          <w:rFonts w:eastAsia="Calibri"/>
        </w:rPr>
        <w:t xml:space="preserve"> term.</w:t>
      </w:r>
      <w:r>
        <w:rPr>
          <w:rStyle w:val="FootnoteReference"/>
          <w:rFonts w:eastAsia="Calibri"/>
        </w:rPr>
        <w:footnoteReference w:id="71"/>
      </w:r>
      <w:r>
        <w:rPr>
          <w:rFonts w:eastAsia="Calibri"/>
        </w:rPr>
        <w:t xml:space="preserve">  The proposed </w:t>
      </w:r>
      <w:proofErr w:type="spellStart"/>
      <w:r>
        <w:rPr>
          <w:rFonts w:eastAsia="Calibri"/>
        </w:rPr>
        <w:t>PSR</w:t>
      </w:r>
      <w:proofErr w:type="spellEnd"/>
      <w:r>
        <w:rPr>
          <w:rFonts w:eastAsia="Calibri"/>
        </w:rPr>
        <w:t xml:space="preserve">, on the other hand, would be a nonbypassable rider that would, if the </w:t>
      </w:r>
      <w:proofErr w:type="spellStart"/>
      <w:r>
        <w:rPr>
          <w:rFonts w:eastAsia="Calibri"/>
        </w:rPr>
        <w:t>OVEC</w:t>
      </w:r>
      <w:proofErr w:type="spellEnd"/>
      <w:r>
        <w:rPr>
          <w:rFonts w:eastAsia="Calibri"/>
        </w:rPr>
        <w:t xml:space="preserve"> projections are accurate, potentially recover costs beyond the </w:t>
      </w:r>
      <w:r>
        <w:rPr>
          <w:rFonts w:eastAsia="Calibri"/>
          <w:i/>
        </w:rPr>
        <w:t xml:space="preserve">ESP III </w:t>
      </w:r>
      <w:r>
        <w:rPr>
          <w:rFonts w:eastAsia="Calibri"/>
        </w:rPr>
        <w:t>term.</w:t>
      </w:r>
      <w:r>
        <w:rPr>
          <w:rStyle w:val="FootnoteReference"/>
          <w:rFonts w:eastAsia="Calibri"/>
        </w:rPr>
        <w:footnoteReference w:id="72"/>
      </w:r>
      <w:r w:rsidR="00D80BA1">
        <w:rPr>
          <w:rFonts w:eastAsia="Calibri"/>
        </w:rPr>
        <w:t xml:space="preserve">   </w:t>
      </w:r>
    </w:p>
    <w:p w:rsidR="001D2785" w:rsidRPr="00105DB5" w:rsidRDefault="00B37A3D" w:rsidP="00D4373A">
      <w:pPr>
        <w:pStyle w:val="Heading5"/>
      </w:pPr>
      <w:bookmarkStart w:id="30" w:name="_Toc406411828"/>
      <w:r>
        <w:t>iii</w:t>
      </w:r>
      <w:r w:rsidR="00D4373A" w:rsidRPr="00D4373A">
        <w:t>.</w:t>
      </w:r>
      <w:r w:rsidR="00D4373A">
        <w:tab/>
      </w:r>
      <w:r w:rsidR="001D2785" w:rsidRPr="00105DB5">
        <w:t xml:space="preserve">The </w:t>
      </w:r>
      <w:proofErr w:type="spellStart"/>
      <w:r w:rsidR="002540B5">
        <w:t>PSR</w:t>
      </w:r>
      <w:proofErr w:type="spellEnd"/>
      <w:r w:rsidR="001D2785" w:rsidRPr="00105DB5">
        <w:t xml:space="preserve"> will destabilize prices for cus</w:t>
      </w:r>
      <w:r w:rsidR="00634F10">
        <w:softHyphen/>
      </w:r>
      <w:r w:rsidR="001D2785" w:rsidRPr="00105DB5">
        <w:t>tomers currently in fixed-price arrangements and force these customers to pay twice for non-existent price stability.</w:t>
      </w:r>
      <w:bookmarkEnd w:id="30"/>
      <w:r w:rsidR="001D2785" w:rsidRPr="00105DB5">
        <w:t xml:space="preserve"> </w:t>
      </w:r>
    </w:p>
    <w:p w:rsidR="001D2785" w:rsidRPr="00105DB5" w:rsidRDefault="00176D98" w:rsidP="00CE7318">
      <w:pPr>
        <w:pStyle w:val="textstyle0"/>
        <w:rPr>
          <w:rFonts w:eastAsia="Calibri"/>
        </w:rPr>
      </w:pPr>
      <w:r>
        <w:rPr>
          <w:rFonts w:eastAsia="Calibri"/>
        </w:rPr>
        <w:tab/>
      </w:r>
      <w:r w:rsidR="001D2785" w:rsidRPr="00105DB5">
        <w:rPr>
          <w:rFonts w:eastAsia="Calibri"/>
        </w:rPr>
        <w:t>The market already provides a method for hedging against market volatility</w:t>
      </w:r>
      <w:r w:rsidR="00870841">
        <w:rPr>
          <w:rFonts w:eastAsia="Calibri"/>
        </w:rPr>
        <w:t xml:space="preserve"> </w:t>
      </w:r>
      <w:r w:rsidR="006316A4">
        <w:rPr>
          <w:rFonts w:eastAsia="Calibri"/>
        </w:rPr>
        <w:t>–</w:t>
      </w:r>
      <w:r w:rsidR="00AE2901">
        <w:rPr>
          <w:rFonts w:eastAsia="Calibri"/>
        </w:rPr>
        <w:t xml:space="preserve"> </w:t>
      </w:r>
      <w:r w:rsidR="001D2785" w:rsidRPr="00105DB5">
        <w:rPr>
          <w:rFonts w:eastAsia="Calibri"/>
        </w:rPr>
        <w:t xml:space="preserve">fixed price contracts.  The </w:t>
      </w:r>
      <w:proofErr w:type="spellStart"/>
      <w:r w:rsidR="002540B5">
        <w:rPr>
          <w:rFonts w:eastAsia="Calibri"/>
        </w:rPr>
        <w:t>PSR</w:t>
      </w:r>
      <w:proofErr w:type="spellEnd"/>
      <w:r w:rsidR="001D2785" w:rsidRPr="00105DB5">
        <w:rPr>
          <w:rFonts w:eastAsia="Calibri"/>
        </w:rPr>
        <w:t xml:space="preserve"> will effectively eliminate the value of these fixed price contracts by introducing an unwanted element of variabil</w:t>
      </w:r>
      <w:r w:rsidR="00D80BA1">
        <w:rPr>
          <w:rFonts w:eastAsia="Calibri"/>
        </w:rPr>
        <w:t>ity and market risk.  Also,</w:t>
      </w:r>
      <w:r w:rsidR="001D2785" w:rsidRPr="00105DB5">
        <w:rPr>
          <w:rFonts w:eastAsia="Calibri"/>
        </w:rPr>
        <w:t xml:space="preserve"> shopping customers on fixed-price contracts would be forced to pay twice for nonexistent price stabilization.  They would pay once (voluntarily) through contract premiums for the fixed-price arrangement and again (involuntarily) through the nonbypass</w:t>
      </w:r>
      <w:r w:rsidR="001D2785">
        <w:rPr>
          <w:rFonts w:eastAsia="Calibri"/>
        </w:rPr>
        <w:t>a</w:t>
      </w:r>
      <w:r w:rsidR="001D2785" w:rsidRPr="00105DB5">
        <w:rPr>
          <w:rFonts w:eastAsia="Calibri"/>
        </w:rPr>
        <w:t xml:space="preserve">ble </w:t>
      </w:r>
      <w:proofErr w:type="spellStart"/>
      <w:r w:rsidR="002540B5">
        <w:rPr>
          <w:rFonts w:eastAsia="Calibri"/>
        </w:rPr>
        <w:t>PSR</w:t>
      </w:r>
      <w:proofErr w:type="spellEnd"/>
      <w:r w:rsidR="001D2785" w:rsidRPr="00105DB5">
        <w:rPr>
          <w:rFonts w:eastAsia="Calibri"/>
        </w:rPr>
        <w:t>.  Such a result would not consti</w:t>
      </w:r>
      <w:r w:rsidR="00634F10">
        <w:rPr>
          <w:rFonts w:eastAsia="Calibri"/>
        </w:rPr>
        <w:softHyphen/>
      </w:r>
      <w:r w:rsidR="001D2785" w:rsidRPr="00105DB5">
        <w:rPr>
          <w:rFonts w:eastAsia="Calibri"/>
        </w:rPr>
        <w:t xml:space="preserve">tute “price stability.” </w:t>
      </w:r>
      <w:r w:rsidR="00870841">
        <w:rPr>
          <w:rFonts w:eastAsia="Calibri"/>
        </w:rPr>
        <w:t xml:space="preserve"> </w:t>
      </w:r>
    </w:p>
    <w:p w:rsidR="001D2785" w:rsidRPr="00105DB5" w:rsidRDefault="00C6144D" w:rsidP="00D4373A">
      <w:pPr>
        <w:pStyle w:val="Heading4"/>
        <w:rPr>
          <w:rFonts w:eastAsia="Calibri"/>
        </w:rPr>
      </w:pPr>
      <w:bookmarkStart w:id="31" w:name="_Toc406411829"/>
      <w:r>
        <w:rPr>
          <w:rFonts w:eastAsia="Calibri"/>
        </w:rPr>
        <w:lastRenderedPageBreak/>
        <w:t>e</w:t>
      </w:r>
      <w:r w:rsidR="00D4373A">
        <w:rPr>
          <w:rFonts w:eastAsia="Calibri"/>
        </w:rPr>
        <w:t>.</w:t>
      </w:r>
      <w:r w:rsidR="00D4373A">
        <w:rPr>
          <w:rFonts w:eastAsia="Calibri"/>
        </w:rPr>
        <w:tab/>
      </w:r>
      <w:r w:rsidR="001D2785">
        <w:rPr>
          <w:rFonts w:eastAsia="Calibri"/>
        </w:rPr>
        <w:t xml:space="preserve">If the Commission adopts the </w:t>
      </w:r>
      <w:proofErr w:type="spellStart"/>
      <w:r w:rsidR="002540B5">
        <w:rPr>
          <w:rFonts w:eastAsia="Calibri"/>
        </w:rPr>
        <w:t>PSR</w:t>
      </w:r>
      <w:proofErr w:type="spellEnd"/>
      <w:r w:rsidR="001D2785">
        <w:rPr>
          <w:rFonts w:eastAsia="Calibri"/>
        </w:rPr>
        <w:t>, it should place the conditions on the rider recommended by Staff.</w:t>
      </w:r>
      <w:bookmarkEnd w:id="31"/>
      <w:r w:rsidR="001D2785">
        <w:rPr>
          <w:rFonts w:eastAsia="Calibri"/>
        </w:rPr>
        <w:t xml:space="preserve">  </w:t>
      </w:r>
      <w:r w:rsidR="001D2785" w:rsidRPr="00105DB5">
        <w:rPr>
          <w:rFonts w:eastAsia="Calibri"/>
        </w:rPr>
        <w:t xml:space="preserve"> </w:t>
      </w:r>
    </w:p>
    <w:p w:rsidR="001D2785" w:rsidRDefault="001D2785" w:rsidP="00CE7318">
      <w:pPr>
        <w:pStyle w:val="textstyle0"/>
        <w:rPr>
          <w:rFonts w:eastAsia="Calibri"/>
        </w:rPr>
      </w:pPr>
      <w:r>
        <w:rPr>
          <w:rFonts w:eastAsia="Calibri"/>
        </w:rPr>
        <w:tab/>
        <w:t xml:space="preserve">If the Commission approves the </w:t>
      </w:r>
      <w:proofErr w:type="spellStart"/>
      <w:r w:rsidR="002540B5">
        <w:rPr>
          <w:rFonts w:eastAsia="Calibri"/>
        </w:rPr>
        <w:t>PSR</w:t>
      </w:r>
      <w:proofErr w:type="spellEnd"/>
      <w:r>
        <w:rPr>
          <w:rFonts w:eastAsia="Calibri"/>
        </w:rPr>
        <w:t>,</w:t>
      </w:r>
      <w:r w:rsidR="00D4373A">
        <w:rPr>
          <w:rFonts w:eastAsia="Calibri"/>
        </w:rPr>
        <w:t xml:space="preserve"> </w:t>
      </w:r>
      <w:r>
        <w:rPr>
          <w:rFonts w:eastAsia="Calibri"/>
        </w:rPr>
        <w:t>Staff witness Choueiki made a number of rec</w:t>
      </w:r>
      <w:r w:rsidR="006E341A">
        <w:rPr>
          <w:rFonts w:eastAsia="Calibri"/>
        </w:rPr>
        <w:softHyphen/>
      </w:r>
      <w:r>
        <w:rPr>
          <w:rFonts w:eastAsia="Calibri"/>
        </w:rPr>
        <w:t xml:space="preserve">ommendations regarding conditions that should be placed on the </w:t>
      </w:r>
      <w:proofErr w:type="spellStart"/>
      <w:r w:rsidR="002540B5">
        <w:rPr>
          <w:rFonts w:eastAsia="Calibri"/>
        </w:rPr>
        <w:t>PSR</w:t>
      </w:r>
      <w:proofErr w:type="spellEnd"/>
      <w:r>
        <w:rPr>
          <w:rFonts w:eastAsia="Calibri"/>
        </w:rPr>
        <w:t xml:space="preserve">. </w:t>
      </w:r>
      <w:r w:rsidR="00D4373A">
        <w:rPr>
          <w:rFonts w:eastAsia="Calibri"/>
        </w:rPr>
        <w:t xml:space="preserve"> </w:t>
      </w:r>
      <w:r>
        <w:rPr>
          <w:rFonts w:eastAsia="Calibri"/>
        </w:rPr>
        <w:t>The fol</w:t>
      </w:r>
      <w:r w:rsidR="00634F10">
        <w:rPr>
          <w:rFonts w:eastAsia="Calibri"/>
        </w:rPr>
        <w:softHyphen/>
      </w:r>
      <w:r>
        <w:rPr>
          <w:rFonts w:eastAsia="Calibri"/>
        </w:rPr>
        <w:t>low</w:t>
      </w:r>
      <w:r w:rsidR="006E341A">
        <w:rPr>
          <w:rFonts w:eastAsia="Calibri"/>
        </w:rPr>
        <w:softHyphen/>
      </w:r>
      <w:r>
        <w:rPr>
          <w:rFonts w:eastAsia="Calibri"/>
        </w:rPr>
        <w:t>ing are Staff’s recommended conditions</w:t>
      </w:r>
      <w:r w:rsidR="00D80BA1" w:rsidRPr="005E51F0">
        <w:rPr>
          <w:rStyle w:val="FootnoteReference"/>
          <w:szCs w:val="26"/>
        </w:rPr>
        <w:footnoteReference w:id="73"/>
      </w:r>
      <w:r>
        <w:rPr>
          <w:rFonts w:eastAsia="Calibri"/>
        </w:rPr>
        <w:t>:</w:t>
      </w:r>
    </w:p>
    <w:p w:rsidR="00742B86" w:rsidRPr="00527FF3" w:rsidRDefault="00742B86" w:rsidP="00742B86">
      <w:pPr>
        <w:numPr>
          <w:ilvl w:val="0"/>
          <w:numId w:val="16"/>
        </w:numPr>
        <w:tabs>
          <w:tab w:val="left" w:pos="720"/>
        </w:tabs>
        <w:spacing w:after="200"/>
        <w:ind w:left="2160" w:right="720" w:hanging="720"/>
        <w:rPr>
          <w:i/>
          <w:sz w:val="26"/>
          <w:szCs w:val="26"/>
        </w:rPr>
      </w:pPr>
      <w:r w:rsidRPr="0078668E">
        <w:rPr>
          <w:sz w:val="26"/>
          <w:szCs w:val="26"/>
          <w:u w:val="single"/>
        </w:rPr>
        <w:t xml:space="preserve">Expanding Rider </w:t>
      </w:r>
      <w:proofErr w:type="spellStart"/>
      <w:r w:rsidRPr="0078668E">
        <w:rPr>
          <w:sz w:val="26"/>
          <w:szCs w:val="26"/>
          <w:u w:val="single"/>
        </w:rPr>
        <w:t>PSR</w:t>
      </w:r>
      <w:proofErr w:type="spellEnd"/>
      <w:r w:rsidRPr="0078668E">
        <w:rPr>
          <w:sz w:val="26"/>
          <w:szCs w:val="26"/>
          <w:u w:val="single"/>
        </w:rPr>
        <w:t>:</w:t>
      </w:r>
      <w:r w:rsidRPr="00527FF3">
        <w:rPr>
          <w:sz w:val="26"/>
          <w:szCs w:val="26"/>
        </w:rPr>
        <w:t xml:space="preserve">  Since Duke Energy Ohio has filed an application at FERC to sell all of the </w:t>
      </w:r>
      <w:proofErr w:type="spellStart"/>
      <w:r w:rsidRPr="00527FF3">
        <w:rPr>
          <w:sz w:val="26"/>
          <w:szCs w:val="26"/>
        </w:rPr>
        <w:t>DECAM</w:t>
      </w:r>
      <w:proofErr w:type="spellEnd"/>
      <w:r w:rsidRPr="00527FF3">
        <w:rPr>
          <w:sz w:val="26"/>
          <w:szCs w:val="26"/>
        </w:rPr>
        <w:t xml:space="preserve"> assets to Dynegy Resource I, Staff’s concern for expanding rider </w:t>
      </w:r>
      <w:proofErr w:type="spellStart"/>
      <w:r w:rsidRPr="00527FF3">
        <w:rPr>
          <w:sz w:val="26"/>
          <w:szCs w:val="26"/>
        </w:rPr>
        <w:t>PSR</w:t>
      </w:r>
      <w:proofErr w:type="spellEnd"/>
      <w:r w:rsidRPr="00527FF3">
        <w:rPr>
          <w:sz w:val="26"/>
          <w:szCs w:val="26"/>
        </w:rPr>
        <w:t xml:space="preserve"> to include other Duke Energy Ohio owned generation assets is no longer applicable.  As for Duke Energy Ohio’s interest in the </w:t>
      </w:r>
      <w:proofErr w:type="spellStart"/>
      <w:r w:rsidRPr="00527FF3">
        <w:rPr>
          <w:sz w:val="26"/>
          <w:szCs w:val="26"/>
        </w:rPr>
        <w:t>OVEC</w:t>
      </w:r>
      <w:proofErr w:type="spellEnd"/>
      <w:r w:rsidRPr="00527FF3">
        <w:rPr>
          <w:sz w:val="26"/>
          <w:szCs w:val="26"/>
        </w:rPr>
        <w:t xml:space="preserve"> generating stations, </w:t>
      </w:r>
      <w:r w:rsidRPr="00527FF3">
        <w:rPr>
          <w:i/>
          <w:sz w:val="26"/>
          <w:szCs w:val="26"/>
        </w:rPr>
        <w:t xml:space="preserve">it is Staff’s opinion that prior to the Commission granting rider </w:t>
      </w:r>
      <w:proofErr w:type="spellStart"/>
      <w:r w:rsidRPr="00527FF3">
        <w:rPr>
          <w:i/>
          <w:sz w:val="26"/>
          <w:szCs w:val="26"/>
        </w:rPr>
        <w:t>PSR</w:t>
      </w:r>
      <w:proofErr w:type="spellEnd"/>
      <w:r w:rsidRPr="00527FF3">
        <w:rPr>
          <w:i/>
          <w:sz w:val="26"/>
          <w:szCs w:val="26"/>
        </w:rPr>
        <w:t xml:space="preserve">, the Company should request in its corporate separation docket a waiver from the requirement articulated in Section VIII of the Stipulation and Recommendation Agreement.   </w:t>
      </w:r>
    </w:p>
    <w:p w:rsidR="00742B86" w:rsidRPr="00527FF3" w:rsidRDefault="00742B86" w:rsidP="00742B86">
      <w:pPr>
        <w:numPr>
          <w:ilvl w:val="0"/>
          <w:numId w:val="16"/>
        </w:numPr>
        <w:tabs>
          <w:tab w:val="left" w:pos="720"/>
        </w:tabs>
        <w:spacing w:after="200"/>
        <w:ind w:left="2160" w:right="720" w:hanging="720"/>
        <w:rPr>
          <w:i/>
          <w:sz w:val="26"/>
          <w:szCs w:val="26"/>
        </w:rPr>
      </w:pPr>
      <w:r w:rsidRPr="00527FF3">
        <w:rPr>
          <w:sz w:val="26"/>
          <w:szCs w:val="26"/>
          <w:u w:val="single"/>
        </w:rPr>
        <w:t xml:space="preserve">Limiting the Term of Rider </w:t>
      </w:r>
      <w:proofErr w:type="spellStart"/>
      <w:r w:rsidRPr="00527FF3">
        <w:rPr>
          <w:sz w:val="26"/>
          <w:szCs w:val="26"/>
          <w:u w:val="single"/>
        </w:rPr>
        <w:t>PSR</w:t>
      </w:r>
      <w:proofErr w:type="spellEnd"/>
      <w:r w:rsidRPr="00527FF3">
        <w:rPr>
          <w:sz w:val="26"/>
          <w:szCs w:val="26"/>
          <w:u w:val="single"/>
        </w:rPr>
        <w:t xml:space="preserve">: </w:t>
      </w:r>
      <w:r w:rsidRPr="00527FF3">
        <w:rPr>
          <w:sz w:val="26"/>
          <w:szCs w:val="26"/>
        </w:rPr>
        <w:t xml:space="preserve">Should the Commission grant Duke Energy Ohio a waiver from the requirement to transfer its interest in the </w:t>
      </w:r>
      <w:proofErr w:type="spellStart"/>
      <w:r w:rsidRPr="00527FF3">
        <w:rPr>
          <w:sz w:val="26"/>
          <w:szCs w:val="26"/>
        </w:rPr>
        <w:t>OVEC</w:t>
      </w:r>
      <w:proofErr w:type="spellEnd"/>
      <w:r w:rsidRPr="00527FF3">
        <w:rPr>
          <w:sz w:val="26"/>
          <w:szCs w:val="26"/>
        </w:rPr>
        <w:t xml:space="preserve"> generating stations to an affiliate, and should the Commission then grant Duke Energy Ohio rider </w:t>
      </w:r>
      <w:proofErr w:type="spellStart"/>
      <w:r w:rsidRPr="00527FF3">
        <w:rPr>
          <w:sz w:val="26"/>
          <w:szCs w:val="26"/>
        </w:rPr>
        <w:t>PSR</w:t>
      </w:r>
      <w:proofErr w:type="spellEnd"/>
      <w:r w:rsidRPr="00527FF3">
        <w:rPr>
          <w:sz w:val="26"/>
          <w:szCs w:val="26"/>
        </w:rPr>
        <w:t xml:space="preserve">, </w:t>
      </w:r>
      <w:r w:rsidRPr="00527FF3">
        <w:rPr>
          <w:i/>
          <w:sz w:val="26"/>
          <w:szCs w:val="26"/>
        </w:rPr>
        <w:t xml:space="preserve">Staff recommends that the term of the rider should be no longer than the term of ESP III.  This would be an incentive for Duke Energy Ohio to transfer, as soon as it possibly can, its interest in the </w:t>
      </w:r>
      <w:proofErr w:type="spellStart"/>
      <w:r w:rsidRPr="00527FF3">
        <w:rPr>
          <w:i/>
          <w:sz w:val="26"/>
          <w:szCs w:val="26"/>
        </w:rPr>
        <w:t>OVEC</w:t>
      </w:r>
      <w:proofErr w:type="spellEnd"/>
      <w:r w:rsidRPr="00527FF3">
        <w:rPr>
          <w:i/>
          <w:sz w:val="26"/>
          <w:szCs w:val="26"/>
        </w:rPr>
        <w:t xml:space="preserve"> generating stations to an affiliate or sell to a third party. </w:t>
      </w:r>
    </w:p>
    <w:p w:rsidR="00742B86" w:rsidRPr="00527FF3" w:rsidRDefault="00742B86" w:rsidP="00742B86">
      <w:pPr>
        <w:numPr>
          <w:ilvl w:val="0"/>
          <w:numId w:val="16"/>
        </w:numPr>
        <w:tabs>
          <w:tab w:val="left" w:pos="720"/>
        </w:tabs>
        <w:spacing w:after="200"/>
        <w:ind w:left="2160" w:right="720" w:hanging="720"/>
        <w:rPr>
          <w:sz w:val="26"/>
          <w:szCs w:val="26"/>
        </w:rPr>
      </w:pPr>
      <w:r w:rsidRPr="00527FF3">
        <w:rPr>
          <w:sz w:val="26"/>
          <w:szCs w:val="26"/>
          <w:u w:val="single"/>
        </w:rPr>
        <w:t xml:space="preserve">Rider </w:t>
      </w:r>
      <w:proofErr w:type="spellStart"/>
      <w:r w:rsidRPr="00527FF3">
        <w:rPr>
          <w:sz w:val="26"/>
          <w:szCs w:val="26"/>
          <w:u w:val="single"/>
        </w:rPr>
        <w:t>PSR</w:t>
      </w:r>
      <w:proofErr w:type="spellEnd"/>
      <w:r w:rsidRPr="00527FF3">
        <w:rPr>
          <w:sz w:val="26"/>
          <w:szCs w:val="26"/>
          <w:u w:val="single"/>
        </w:rPr>
        <w:t xml:space="preserve"> Expenses:</w:t>
      </w:r>
      <w:r w:rsidRPr="00527FF3">
        <w:rPr>
          <w:sz w:val="26"/>
          <w:szCs w:val="26"/>
        </w:rPr>
        <w:t xml:space="preserve"> In the formulaic approach that Company witness </w:t>
      </w:r>
      <w:proofErr w:type="spellStart"/>
      <w:r w:rsidRPr="00527FF3">
        <w:rPr>
          <w:sz w:val="26"/>
          <w:szCs w:val="26"/>
        </w:rPr>
        <w:t>Wathen</w:t>
      </w:r>
      <w:proofErr w:type="spellEnd"/>
      <w:r w:rsidRPr="00527FF3">
        <w:rPr>
          <w:sz w:val="26"/>
          <w:szCs w:val="26"/>
        </w:rPr>
        <w:t xml:space="preserve"> proposes in his testimony, the </w:t>
      </w:r>
      <w:r w:rsidRPr="00527FF3">
        <w:rPr>
          <w:i/>
          <w:sz w:val="26"/>
          <w:szCs w:val="26"/>
        </w:rPr>
        <w:t>fixed</w:t>
      </w:r>
      <w:r w:rsidRPr="00527FF3">
        <w:rPr>
          <w:sz w:val="26"/>
          <w:szCs w:val="26"/>
        </w:rPr>
        <w:t xml:space="preserve"> and </w:t>
      </w:r>
      <w:r w:rsidRPr="00527FF3">
        <w:rPr>
          <w:i/>
          <w:sz w:val="26"/>
          <w:szCs w:val="26"/>
        </w:rPr>
        <w:t>variable</w:t>
      </w:r>
      <w:r w:rsidRPr="00527FF3">
        <w:rPr>
          <w:sz w:val="26"/>
          <w:szCs w:val="26"/>
        </w:rPr>
        <w:t xml:space="preserve"> expenses will be components of a wholesale contract between Duke Energy Ohio and the entity that is managing Duke Energy Ohio’s interests in the </w:t>
      </w:r>
      <w:proofErr w:type="spellStart"/>
      <w:r w:rsidRPr="00527FF3">
        <w:rPr>
          <w:sz w:val="26"/>
          <w:szCs w:val="26"/>
        </w:rPr>
        <w:t>OVEC</w:t>
      </w:r>
      <w:proofErr w:type="spellEnd"/>
      <w:r w:rsidRPr="00527FF3">
        <w:rPr>
          <w:sz w:val="26"/>
          <w:szCs w:val="26"/>
        </w:rPr>
        <w:t xml:space="preserve"> generating stations.  This contract would be under the jurisdiction of the FERC.  As a result, if the Commission believed that any </w:t>
      </w:r>
      <w:r w:rsidRPr="00527FF3">
        <w:rPr>
          <w:i/>
          <w:sz w:val="26"/>
          <w:szCs w:val="26"/>
        </w:rPr>
        <w:t>fixed</w:t>
      </w:r>
      <w:r w:rsidRPr="00527FF3">
        <w:rPr>
          <w:sz w:val="26"/>
          <w:szCs w:val="26"/>
        </w:rPr>
        <w:t xml:space="preserve"> or </w:t>
      </w:r>
      <w:r w:rsidRPr="00527FF3">
        <w:rPr>
          <w:i/>
          <w:sz w:val="26"/>
          <w:szCs w:val="26"/>
        </w:rPr>
        <w:t>variable</w:t>
      </w:r>
      <w:r w:rsidRPr="00527FF3">
        <w:rPr>
          <w:sz w:val="26"/>
          <w:szCs w:val="26"/>
        </w:rPr>
        <w:t xml:space="preserve"> expense items in the contract were not prudent, the Commission would have to file at FERC challenging these expense items, and the burden of proof would be on the Commission to demonstrate its case.  </w:t>
      </w:r>
      <w:r w:rsidRPr="00527FF3">
        <w:rPr>
          <w:i/>
          <w:sz w:val="26"/>
          <w:szCs w:val="26"/>
        </w:rPr>
        <w:t xml:space="preserve">A </w:t>
      </w:r>
      <w:r w:rsidRPr="00527FF3">
        <w:rPr>
          <w:i/>
          <w:sz w:val="26"/>
          <w:szCs w:val="26"/>
        </w:rPr>
        <w:lastRenderedPageBreak/>
        <w:t>method to mitigate this concern would be for Duke Energy Ohio to accept that all expense items (fixed and variable expenses) in the contract will be audited annually by Staff (or by an outside consultant representing Staff) and for the Company to accept a Commission’s finding to the extent there is a disagreement between the Company and Staff and a hearing is conducted</w:t>
      </w:r>
      <w:r w:rsidRPr="00527FF3">
        <w:rPr>
          <w:sz w:val="26"/>
          <w:szCs w:val="26"/>
        </w:rPr>
        <w:t xml:space="preserve">.  </w:t>
      </w:r>
    </w:p>
    <w:p w:rsidR="00742B86" w:rsidRPr="00527FF3" w:rsidRDefault="00742B86" w:rsidP="00742B86">
      <w:pPr>
        <w:numPr>
          <w:ilvl w:val="0"/>
          <w:numId w:val="16"/>
        </w:numPr>
        <w:tabs>
          <w:tab w:val="left" w:pos="720"/>
        </w:tabs>
        <w:spacing w:after="200"/>
        <w:ind w:left="2160" w:right="720" w:hanging="720"/>
        <w:rPr>
          <w:i/>
          <w:sz w:val="26"/>
          <w:szCs w:val="26"/>
          <w:u w:val="single"/>
        </w:rPr>
      </w:pPr>
      <w:r w:rsidRPr="00527FF3">
        <w:rPr>
          <w:sz w:val="26"/>
          <w:szCs w:val="26"/>
          <w:u w:val="single"/>
        </w:rPr>
        <w:t xml:space="preserve">Rider </w:t>
      </w:r>
      <w:proofErr w:type="spellStart"/>
      <w:r w:rsidRPr="00527FF3">
        <w:rPr>
          <w:sz w:val="26"/>
          <w:szCs w:val="26"/>
          <w:u w:val="single"/>
        </w:rPr>
        <w:t>PSR</w:t>
      </w:r>
      <w:proofErr w:type="spellEnd"/>
      <w:r w:rsidRPr="00527FF3">
        <w:rPr>
          <w:sz w:val="26"/>
          <w:szCs w:val="26"/>
          <w:u w:val="single"/>
        </w:rPr>
        <w:t xml:space="preserve"> Revenues:</w:t>
      </w:r>
      <w:r w:rsidRPr="00527FF3">
        <w:rPr>
          <w:sz w:val="26"/>
          <w:szCs w:val="26"/>
        </w:rPr>
        <w:t xml:space="preserve"> Similar to the expenses, all the revenues from Duke Energy Ohio’s interest in the </w:t>
      </w:r>
      <w:proofErr w:type="spellStart"/>
      <w:r w:rsidRPr="00527FF3">
        <w:rPr>
          <w:sz w:val="26"/>
          <w:szCs w:val="26"/>
        </w:rPr>
        <w:t>OVEC</w:t>
      </w:r>
      <w:proofErr w:type="spellEnd"/>
      <w:r w:rsidRPr="00527FF3">
        <w:rPr>
          <w:sz w:val="26"/>
          <w:szCs w:val="26"/>
        </w:rPr>
        <w:t xml:space="preserve"> generating stations will be components in the wholesale contract.  Staff is concerned that the company would not have the incentive to use a profit-maximizing bidding strategy when liquidating the energy and capacity associated with its interest in the </w:t>
      </w:r>
      <w:proofErr w:type="spellStart"/>
      <w:r w:rsidRPr="00527FF3">
        <w:rPr>
          <w:sz w:val="26"/>
          <w:szCs w:val="26"/>
        </w:rPr>
        <w:t>OVEC</w:t>
      </w:r>
      <w:proofErr w:type="spellEnd"/>
      <w:r w:rsidRPr="00527FF3">
        <w:rPr>
          <w:sz w:val="26"/>
          <w:szCs w:val="26"/>
        </w:rPr>
        <w:t xml:space="preserve"> generating stations on behalf of its distribution customers that are carrying all of the risk.  </w:t>
      </w:r>
      <w:r w:rsidRPr="00527FF3">
        <w:rPr>
          <w:i/>
          <w:sz w:val="26"/>
          <w:szCs w:val="26"/>
        </w:rPr>
        <w:t xml:space="preserve">A method to mitigate this concern is for Staff to periodically monitor/evaluate the bidding strategies used for the </w:t>
      </w:r>
      <w:proofErr w:type="spellStart"/>
      <w:r w:rsidRPr="00527FF3">
        <w:rPr>
          <w:i/>
          <w:sz w:val="26"/>
          <w:szCs w:val="26"/>
        </w:rPr>
        <w:t>OVEC</w:t>
      </w:r>
      <w:proofErr w:type="spellEnd"/>
      <w:r w:rsidRPr="00527FF3">
        <w:rPr>
          <w:i/>
          <w:sz w:val="26"/>
          <w:szCs w:val="26"/>
        </w:rPr>
        <w:t xml:space="preserve"> generating stations with those used by other generation owners in PJM. </w:t>
      </w:r>
    </w:p>
    <w:p w:rsidR="00742B86" w:rsidRPr="00527FF3" w:rsidRDefault="00742B86" w:rsidP="00742B86">
      <w:pPr>
        <w:numPr>
          <w:ilvl w:val="0"/>
          <w:numId w:val="16"/>
        </w:numPr>
        <w:tabs>
          <w:tab w:val="left" w:pos="720"/>
        </w:tabs>
        <w:spacing w:after="200"/>
        <w:ind w:left="2160" w:right="720" w:hanging="720"/>
        <w:rPr>
          <w:i/>
          <w:sz w:val="26"/>
          <w:szCs w:val="26"/>
          <w:u w:val="single"/>
        </w:rPr>
      </w:pPr>
      <w:r w:rsidRPr="00527FF3">
        <w:rPr>
          <w:sz w:val="26"/>
          <w:szCs w:val="26"/>
          <w:u w:val="single"/>
        </w:rPr>
        <w:t xml:space="preserve">Loss of a Potential SSO Supplier: </w:t>
      </w:r>
      <w:r w:rsidRPr="00527FF3">
        <w:rPr>
          <w:sz w:val="26"/>
          <w:szCs w:val="26"/>
        </w:rPr>
        <w:t xml:space="preserve">In his testimony, Company witness </w:t>
      </w:r>
      <w:proofErr w:type="spellStart"/>
      <w:r w:rsidRPr="00527FF3">
        <w:rPr>
          <w:sz w:val="26"/>
          <w:szCs w:val="26"/>
        </w:rPr>
        <w:t>Wathen</w:t>
      </w:r>
      <w:proofErr w:type="spellEnd"/>
      <w:r w:rsidRPr="00527FF3">
        <w:rPr>
          <w:sz w:val="26"/>
          <w:szCs w:val="26"/>
        </w:rPr>
        <w:t xml:space="preserve"> states that rider </w:t>
      </w:r>
      <w:proofErr w:type="spellStart"/>
      <w:r w:rsidRPr="00527FF3">
        <w:rPr>
          <w:sz w:val="26"/>
          <w:szCs w:val="26"/>
        </w:rPr>
        <w:t>PSR</w:t>
      </w:r>
      <w:proofErr w:type="spellEnd"/>
      <w:r w:rsidRPr="00527FF3">
        <w:rPr>
          <w:sz w:val="26"/>
          <w:szCs w:val="26"/>
        </w:rPr>
        <w:t xml:space="preserve"> is competitively neutral; neither CRES providers nor </w:t>
      </w:r>
      <w:r w:rsidRPr="00527FF3">
        <w:rPr>
          <w:i/>
          <w:sz w:val="26"/>
          <w:szCs w:val="26"/>
        </w:rPr>
        <w:t>wholesale suppliers</w:t>
      </w:r>
      <w:r w:rsidRPr="00527FF3">
        <w:rPr>
          <w:sz w:val="26"/>
          <w:szCs w:val="26"/>
        </w:rPr>
        <w:t xml:space="preserve"> will be impacted by this rider.</w:t>
      </w:r>
      <w:r w:rsidR="00655142">
        <w:rPr>
          <w:rStyle w:val="FootnoteReference"/>
          <w:sz w:val="26"/>
          <w:szCs w:val="26"/>
        </w:rPr>
        <w:footnoteReference w:id="74"/>
      </w:r>
      <w:r w:rsidRPr="00527FF3">
        <w:rPr>
          <w:sz w:val="26"/>
          <w:szCs w:val="26"/>
        </w:rPr>
        <w:t xml:space="preserve">  Staff disagrees with this competitive neutrality concept.  Staff’s concerns are two-fold.  First, there is a concern that future SSO auctions in Ohio (post May 31, 2015) could potentially result in higher prices than otherwise might be obtained.  This is because about 200 MWs</w:t>
      </w:r>
      <w:r w:rsidRPr="00527FF3">
        <w:rPr>
          <w:rStyle w:val="FootnoteReference"/>
          <w:sz w:val="26"/>
          <w:szCs w:val="26"/>
        </w:rPr>
        <w:footnoteReference w:id="75"/>
      </w:r>
      <w:r w:rsidRPr="00527FF3">
        <w:rPr>
          <w:sz w:val="26"/>
          <w:szCs w:val="26"/>
        </w:rPr>
        <w:t xml:space="preserve"> of economic generation would be excluded from participating as competitive supply in these auctions.   Second, Staff is concerned that to the extent the Commission grants permission to the 200 MWs of </w:t>
      </w:r>
      <w:proofErr w:type="spellStart"/>
      <w:r w:rsidRPr="00527FF3">
        <w:rPr>
          <w:sz w:val="26"/>
          <w:szCs w:val="26"/>
        </w:rPr>
        <w:t>OVEC</w:t>
      </w:r>
      <w:proofErr w:type="spellEnd"/>
      <w:r w:rsidRPr="00527FF3">
        <w:rPr>
          <w:sz w:val="26"/>
          <w:szCs w:val="26"/>
        </w:rPr>
        <w:t xml:space="preserve"> supply to participate in SSO auctions, other wholesale suppliers might be discouraged from bidding for tranches as they would be competing, in one sense, with “subsidized” generation.  </w:t>
      </w:r>
      <w:r w:rsidRPr="00527FF3">
        <w:rPr>
          <w:i/>
          <w:sz w:val="26"/>
          <w:szCs w:val="26"/>
        </w:rPr>
        <w:t xml:space="preserve">Staff </w:t>
      </w:r>
      <w:r w:rsidRPr="00527FF3">
        <w:rPr>
          <w:i/>
          <w:sz w:val="26"/>
          <w:szCs w:val="26"/>
        </w:rPr>
        <w:lastRenderedPageBreak/>
        <w:t xml:space="preserve">is unable at this time to make a recommendation that would resolve this dilemma but thought that the Commission should be aware of it. The only way to avoid the dilemma pertaining to </w:t>
      </w:r>
      <w:proofErr w:type="spellStart"/>
      <w:r w:rsidRPr="00527FF3">
        <w:rPr>
          <w:i/>
          <w:sz w:val="26"/>
          <w:szCs w:val="26"/>
        </w:rPr>
        <w:t>OVEC</w:t>
      </w:r>
      <w:proofErr w:type="spellEnd"/>
      <w:r w:rsidRPr="00527FF3">
        <w:rPr>
          <w:i/>
          <w:sz w:val="26"/>
          <w:szCs w:val="26"/>
        </w:rPr>
        <w:t xml:space="preserve"> capacity participating in SSO auctions is to accept Staff’s recommendation to deny rider </w:t>
      </w:r>
      <w:proofErr w:type="spellStart"/>
      <w:r w:rsidRPr="00527FF3">
        <w:rPr>
          <w:i/>
          <w:sz w:val="26"/>
          <w:szCs w:val="26"/>
        </w:rPr>
        <w:t>PSR</w:t>
      </w:r>
      <w:proofErr w:type="spellEnd"/>
      <w:r w:rsidRPr="00527FF3">
        <w:rPr>
          <w:i/>
          <w:sz w:val="26"/>
          <w:szCs w:val="26"/>
        </w:rPr>
        <w:t xml:space="preserve">.  The </w:t>
      </w:r>
      <w:proofErr w:type="spellStart"/>
      <w:r w:rsidRPr="00527FF3">
        <w:rPr>
          <w:i/>
          <w:sz w:val="26"/>
          <w:szCs w:val="26"/>
        </w:rPr>
        <w:t>OVEC</w:t>
      </w:r>
      <w:proofErr w:type="spellEnd"/>
      <w:r w:rsidRPr="00527FF3">
        <w:rPr>
          <w:i/>
          <w:sz w:val="26"/>
          <w:szCs w:val="26"/>
        </w:rPr>
        <w:t xml:space="preserve"> capacity will then be free to participate or not participate in SSO auctions, just like all other capacity.</w:t>
      </w:r>
      <w:r w:rsidRPr="005E51F0">
        <w:rPr>
          <w:sz w:val="26"/>
          <w:szCs w:val="26"/>
        </w:rPr>
        <w:t xml:space="preserve"> </w:t>
      </w:r>
    </w:p>
    <w:p w:rsidR="001D2785" w:rsidRPr="00410E5B" w:rsidRDefault="001D2785" w:rsidP="00CE7318">
      <w:pPr>
        <w:pStyle w:val="textstyle0"/>
      </w:pPr>
      <w:r w:rsidRPr="00A664FE">
        <w:tab/>
      </w:r>
      <w:r>
        <w:t xml:space="preserve">These </w:t>
      </w:r>
      <w:r w:rsidRPr="00A664FE">
        <w:t>conditions may minimize some of Staff’</w:t>
      </w:r>
      <w:r w:rsidR="00782B73">
        <w:t>s concern</w:t>
      </w:r>
      <w:r w:rsidR="00D80BA1">
        <w:t>s</w:t>
      </w:r>
      <w:r w:rsidR="00782B73">
        <w:t>; however,</w:t>
      </w:r>
      <w:r>
        <w:t xml:space="preserve"> they will </w:t>
      </w:r>
      <w:r w:rsidRPr="00AE2B47">
        <w:rPr>
          <w:i/>
        </w:rPr>
        <w:t>not</w:t>
      </w:r>
      <w:r>
        <w:t xml:space="preserve"> cure the</w:t>
      </w:r>
      <w:r w:rsidR="00782B73">
        <w:t xml:space="preserve"> many</w:t>
      </w:r>
      <w:r>
        <w:t xml:space="preserve"> ills discussed above.  The only</w:t>
      </w:r>
      <w:r w:rsidR="00782B73">
        <w:t xml:space="preserve"> sure</w:t>
      </w:r>
      <w:r>
        <w:t xml:space="preserve"> way for the Commission to do so is deny the </w:t>
      </w:r>
      <w:proofErr w:type="spellStart"/>
      <w:r w:rsidR="002540B5">
        <w:t>PSR</w:t>
      </w:r>
      <w:proofErr w:type="spellEnd"/>
      <w:r>
        <w:t xml:space="preserve">.  </w:t>
      </w:r>
      <w:r w:rsidRPr="00410E5B">
        <w:t xml:space="preserve">  </w:t>
      </w:r>
    </w:p>
    <w:p w:rsidR="001D2785" w:rsidRPr="00FA37A9" w:rsidRDefault="00013213" w:rsidP="00802C3D">
      <w:pPr>
        <w:pStyle w:val="Heading3"/>
      </w:pPr>
      <w:bookmarkStart w:id="32" w:name="_Toc406411830"/>
      <w:r>
        <w:t>2</w:t>
      </w:r>
      <w:r w:rsidR="00802C3D">
        <w:t>.</w:t>
      </w:r>
      <w:r w:rsidR="001D2785">
        <w:tab/>
      </w:r>
      <w:r w:rsidR="001D2785" w:rsidRPr="00FA37A9">
        <w:t>Distribution</w:t>
      </w:r>
      <w:r w:rsidR="00CA4FF1">
        <w:t xml:space="preserve"> Capital Investment</w:t>
      </w:r>
      <w:r w:rsidR="00701AAC">
        <w:t xml:space="preserve"> Rider</w:t>
      </w:r>
      <w:r w:rsidR="001D2785" w:rsidRPr="00FA37A9">
        <w:t xml:space="preserve"> </w:t>
      </w:r>
      <w:r w:rsidR="00CA4FF1">
        <w:t>(“DCI</w:t>
      </w:r>
      <w:r w:rsidR="00261089">
        <w:t>”)</w:t>
      </w:r>
      <w:bookmarkEnd w:id="32"/>
    </w:p>
    <w:p w:rsidR="001D2785" w:rsidRDefault="00802C3D" w:rsidP="00CE7318">
      <w:pPr>
        <w:pStyle w:val="textstyle0"/>
      </w:pPr>
      <w:r>
        <w:tab/>
      </w:r>
      <w:r w:rsidR="001D2785" w:rsidRPr="00266B70">
        <w:t>In general, Staff supports the Distribution</w:t>
      </w:r>
      <w:r w:rsidR="00CA4FF1">
        <w:t xml:space="preserve"> Capital Investment</w:t>
      </w:r>
      <w:r w:rsidR="00701AAC">
        <w:t xml:space="preserve"> Rider</w:t>
      </w:r>
      <w:r w:rsidR="001D2785" w:rsidRPr="00266B70">
        <w:t xml:space="preserve"> (</w:t>
      </w:r>
      <w:r w:rsidR="006B3AA4">
        <w:t>“</w:t>
      </w:r>
      <w:r w:rsidR="00CA4FF1">
        <w:t>DCI</w:t>
      </w:r>
      <w:r w:rsidR="006B3AA4">
        <w:t>”</w:t>
      </w:r>
      <w:r w:rsidR="001D2785" w:rsidRPr="00266B70">
        <w:t>).</w:t>
      </w:r>
      <w:r>
        <w:rPr>
          <w:rStyle w:val="FootnoteReference"/>
        </w:rPr>
        <w:footnoteReference w:id="76"/>
      </w:r>
      <w:r w:rsidR="001D2785" w:rsidRPr="00266B70">
        <w:t xml:space="preserve"> </w:t>
      </w:r>
      <w:r>
        <w:t xml:space="preserve"> </w:t>
      </w:r>
      <w:r w:rsidR="001D2785">
        <w:t xml:space="preserve">Staff believes, however, that a number of changes should be made to the rider as proposed by </w:t>
      </w:r>
      <w:r w:rsidR="00633BA6">
        <w:t>Duke</w:t>
      </w:r>
      <w:r w:rsidR="001D2785">
        <w:t xml:space="preserve">. </w:t>
      </w:r>
    </w:p>
    <w:p w:rsidR="001D2785" w:rsidRPr="00E220C4" w:rsidRDefault="00802C3D" w:rsidP="00802C3D">
      <w:pPr>
        <w:pStyle w:val="Heading4"/>
      </w:pPr>
      <w:bookmarkStart w:id="33" w:name="_Toc406411831"/>
      <w:r>
        <w:t>a.</w:t>
      </w:r>
      <w:r>
        <w:tab/>
      </w:r>
      <w:r w:rsidR="001D2785" w:rsidRPr="00C33179">
        <w:t>General Plant accounts s</w:t>
      </w:r>
      <w:r w:rsidR="00CA4FF1">
        <w:t>hould not be included in the DCI</w:t>
      </w:r>
      <w:r>
        <w:t>.</w:t>
      </w:r>
      <w:bookmarkEnd w:id="33"/>
    </w:p>
    <w:p w:rsidR="001D2785" w:rsidRPr="00266B70" w:rsidRDefault="00802C3D" w:rsidP="00CE7318">
      <w:pPr>
        <w:pStyle w:val="textstyle0"/>
      </w:pPr>
      <w:r>
        <w:tab/>
      </w:r>
      <w:r w:rsidR="001D2785">
        <w:t>Staff opposes the inclu</w:t>
      </w:r>
      <w:r w:rsidR="00CA4FF1">
        <w:t>sion of General Plant in the DCI</w:t>
      </w:r>
      <w:r w:rsidR="00C1322A">
        <w:t xml:space="preserve"> – which would include, but is not limited to,</w:t>
      </w:r>
      <w:r w:rsidR="00A239E7">
        <w:t xml:space="preserve"> communications</w:t>
      </w:r>
      <w:r w:rsidR="00C1322A">
        <w:t xml:space="preserve"> equipment, office furniture and security equipment</w:t>
      </w:r>
      <w:r w:rsidR="001D2785">
        <w:t>.</w:t>
      </w:r>
      <w:r w:rsidR="00A239E7">
        <w:rPr>
          <w:rStyle w:val="FootnoteReference"/>
        </w:rPr>
        <w:footnoteReference w:id="77"/>
      </w:r>
      <w:r w:rsidR="001D2785">
        <w:t xml:space="preserve"> </w:t>
      </w:r>
      <w:r>
        <w:t xml:space="preserve"> </w:t>
      </w:r>
      <w:r w:rsidR="001D2785">
        <w:t>The request to include the recovery of General Plant in a rider is</w:t>
      </w:r>
      <w:r w:rsidR="002655AA">
        <w:t xml:space="preserve"> an</w:t>
      </w:r>
      <w:r w:rsidR="001D2785">
        <w:t xml:space="preserve"> example of the Company’s effort</w:t>
      </w:r>
      <w:r w:rsidR="002655AA">
        <w:t>s</w:t>
      </w:r>
      <w:r w:rsidR="001D2785">
        <w:t xml:space="preserve"> </w:t>
      </w:r>
      <w:r w:rsidR="00B56EEA">
        <w:t>to recover every capital expense that it would through a distribution rate case</w:t>
      </w:r>
      <w:r w:rsidR="001D2785">
        <w:t>.</w:t>
      </w:r>
      <w:r>
        <w:t xml:space="preserve"> </w:t>
      </w:r>
      <w:r w:rsidR="001D2785">
        <w:t xml:space="preserve"> Staff submits that such recovery is neither con</w:t>
      </w:r>
      <w:r w:rsidR="00634F10">
        <w:softHyphen/>
      </w:r>
      <w:r w:rsidR="001D2785">
        <w:t xml:space="preserve">sistent with the </w:t>
      </w:r>
      <w:r w:rsidR="001D2785">
        <w:lastRenderedPageBreak/>
        <w:t>intent of the E</w:t>
      </w:r>
      <w:r w:rsidR="006B3AA4">
        <w:t>SP</w:t>
      </w:r>
      <w:r w:rsidR="001D2785">
        <w:t xml:space="preserve"> statute, nor the Commission’s di</w:t>
      </w:r>
      <w:r w:rsidR="00CA4FF1">
        <w:t>rectives with respect to</w:t>
      </w:r>
      <w:r w:rsidR="00B56EEA">
        <w:t xml:space="preserve"> distribution capital expense recovery riders</w:t>
      </w:r>
      <w:r w:rsidR="001D2785">
        <w:t xml:space="preserve">. </w:t>
      </w:r>
    </w:p>
    <w:p w:rsidR="001D2785" w:rsidRDefault="00802C3D" w:rsidP="00CE7318">
      <w:pPr>
        <w:pStyle w:val="textstyle0"/>
      </w:pPr>
      <w:r>
        <w:tab/>
      </w:r>
      <w:r w:rsidR="00633BA6">
        <w:t>Duke</w:t>
      </w:r>
      <w:r w:rsidR="001D2785">
        <w:t xml:space="preserve"> st</w:t>
      </w:r>
      <w:r w:rsidR="00831605">
        <w:t>ates</w:t>
      </w:r>
      <w:r w:rsidR="00CA4FF1">
        <w:t xml:space="preserve"> that the purpose of the DCI</w:t>
      </w:r>
      <w:r w:rsidR="00831605">
        <w:t xml:space="preserve"> is</w:t>
      </w:r>
      <w:r w:rsidR="002655AA">
        <w:t xml:space="preserve"> “intended to allow the Company to timely recover the incremental revenue requirement on distribution-related capital investments” and “the Company’s current portfolio of infrastructure pr</w:t>
      </w:r>
      <w:r w:rsidR="006F22D2">
        <w:t>ograms and level of spending are no</w:t>
      </w:r>
      <w:r w:rsidR="002655AA">
        <w:t>t sufficient to maintain the present level of service reliability</w:t>
      </w:r>
      <w:r w:rsidR="001D2785">
        <w:t>.</w:t>
      </w:r>
      <w:r w:rsidR="002655AA">
        <w:t>”</w:t>
      </w:r>
      <w:r>
        <w:rPr>
          <w:rStyle w:val="FootnoteReference"/>
        </w:rPr>
        <w:footnoteReference w:id="78"/>
      </w:r>
      <w:r w:rsidR="004078B0">
        <w:t xml:space="preserve">  </w:t>
      </w:r>
      <w:r w:rsidR="001D2785">
        <w:t xml:space="preserve">The </w:t>
      </w:r>
      <w:r w:rsidR="001D2785" w:rsidRPr="00266B70">
        <w:t>Commission has repeatedly emphasized the importance of Commission over</w:t>
      </w:r>
      <w:r w:rsidR="00634F10">
        <w:softHyphen/>
      </w:r>
      <w:r w:rsidR="006F22D2">
        <w:t>sight, and the need for EDUs</w:t>
      </w:r>
      <w:r w:rsidR="001D2785" w:rsidRPr="00266B70">
        <w:t xml:space="preserve"> to quantify the actual reliability improvements achieved as a res</w:t>
      </w:r>
      <w:r w:rsidR="006F22D2">
        <w:t>ult of implementation of distribution-capital-investment</w:t>
      </w:r>
      <w:r w:rsidR="001D2785" w:rsidRPr="00266B70">
        <w:t xml:space="preserve"> plans.</w:t>
      </w:r>
      <w:r w:rsidR="006F22D2">
        <w:rPr>
          <w:rStyle w:val="FootnoteReference"/>
        </w:rPr>
        <w:footnoteReference w:id="79"/>
      </w:r>
      <w:r w:rsidR="001D2785" w:rsidRPr="00266B70">
        <w:t xml:space="preserve"> </w:t>
      </w:r>
      <w:r>
        <w:t xml:space="preserve"> </w:t>
      </w:r>
      <w:r w:rsidR="001D2785">
        <w:rPr>
          <w:szCs w:val="26"/>
        </w:rPr>
        <w:t>Staff respectfully requests</w:t>
      </w:r>
      <w:r w:rsidR="004B2318">
        <w:rPr>
          <w:szCs w:val="26"/>
        </w:rPr>
        <w:t xml:space="preserve"> Duke’</w:t>
      </w:r>
      <w:r w:rsidR="006F22D2">
        <w:rPr>
          <w:szCs w:val="26"/>
        </w:rPr>
        <w:t>s DCI</w:t>
      </w:r>
      <w:r w:rsidR="001D2785" w:rsidRPr="00266B70">
        <w:rPr>
          <w:szCs w:val="26"/>
        </w:rPr>
        <w:t xml:space="preserve"> spe</w:t>
      </w:r>
      <w:r w:rsidR="006F22D2">
        <w:rPr>
          <w:szCs w:val="26"/>
        </w:rPr>
        <w:t>nding should be focused on</w:t>
      </w:r>
      <w:r w:rsidR="001D2785" w:rsidRPr="00266B70">
        <w:rPr>
          <w:szCs w:val="26"/>
        </w:rPr>
        <w:t xml:space="preserve"> components that will </w:t>
      </w:r>
      <w:r w:rsidR="001D2785" w:rsidRPr="004D6166">
        <w:rPr>
          <w:i/>
          <w:szCs w:val="26"/>
        </w:rPr>
        <w:t>best</w:t>
      </w:r>
      <w:r w:rsidR="001D2785" w:rsidRPr="00266B70">
        <w:rPr>
          <w:szCs w:val="26"/>
        </w:rPr>
        <w:t xml:space="preserve"> </w:t>
      </w:r>
      <w:r w:rsidR="001D2785">
        <w:rPr>
          <w:szCs w:val="26"/>
        </w:rPr>
        <w:t>improve or maintain reliability.</w:t>
      </w:r>
      <w:r w:rsidR="008744D5">
        <w:rPr>
          <w:rStyle w:val="FootnoteReference"/>
          <w:szCs w:val="26"/>
        </w:rPr>
        <w:footnoteReference w:id="80"/>
      </w:r>
      <w:r w:rsidR="008744D5">
        <w:rPr>
          <w:szCs w:val="26"/>
        </w:rPr>
        <w:t xml:space="preserve"> </w:t>
      </w:r>
      <w:r w:rsidR="006E0CE4">
        <w:rPr>
          <w:szCs w:val="26"/>
        </w:rPr>
        <w:t xml:space="preserve"> </w:t>
      </w:r>
      <w:r w:rsidR="001D2785">
        <w:rPr>
          <w:szCs w:val="26"/>
        </w:rPr>
        <w:t>General Plant does not satisfy that criteria.</w:t>
      </w:r>
      <w:r w:rsidR="004078B0">
        <w:rPr>
          <w:szCs w:val="26"/>
        </w:rPr>
        <w:t xml:space="preserve">  </w:t>
      </w:r>
      <w:r w:rsidR="006E0CE4">
        <w:t>T</w:t>
      </w:r>
      <w:r w:rsidR="001D2785">
        <w:t xml:space="preserve">he overall nature of the assets recorded in the General Plant accounts are more appropriately considered for </w:t>
      </w:r>
      <w:r w:rsidR="001D2785">
        <w:lastRenderedPageBreak/>
        <w:t>recovery in a distribution rate case</w:t>
      </w:r>
      <w:r w:rsidR="006E0CE4">
        <w:t xml:space="preserve"> and expenses such as office furniture are not directly related to maintaining reliability of distribution serv</w:t>
      </w:r>
      <w:r w:rsidR="00B56EEA">
        <w:t>ice, which is the purpose of a distribution capital expense recover rider</w:t>
      </w:r>
      <w:r w:rsidR="001D2785">
        <w:t>.</w:t>
      </w:r>
      <w:r w:rsidR="006E0CE4">
        <w:rPr>
          <w:rStyle w:val="FootnoteReference"/>
        </w:rPr>
        <w:footnoteReference w:id="81"/>
      </w:r>
      <w:r w:rsidR="001D2785">
        <w:t xml:space="preserve"> </w:t>
      </w:r>
      <w:r w:rsidR="008744D5">
        <w:t xml:space="preserve"> </w:t>
      </w:r>
      <w:r w:rsidR="001D2785">
        <w:t>Exp</w:t>
      </w:r>
      <w:r w:rsidR="006E0CE4">
        <w:t>enses to be recovered in the DCI</w:t>
      </w:r>
      <w:r w:rsidR="001D2785">
        <w:t xml:space="preserve"> should be directly related to maintaining reliability of distribution service.</w:t>
      </w:r>
      <w:r w:rsidR="004B2318">
        <w:rPr>
          <w:rStyle w:val="FootnoteReference"/>
        </w:rPr>
        <w:footnoteReference w:id="82"/>
      </w:r>
      <w:r w:rsidR="001D2785">
        <w:t xml:space="preserve"> </w:t>
      </w:r>
      <w:r w:rsidR="002A4484">
        <w:t xml:space="preserve"> </w:t>
      </w:r>
      <w:r w:rsidR="00250930">
        <w:rPr>
          <w:szCs w:val="26"/>
        </w:rPr>
        <w:t xml:space="preserve">OCC witness </w:t>
      </w:r>
      <w:proofErr w:type="spellStart"/>
      <w:r w:rsidR="00250930">
        <w:rPr>
          <w:szCs w:val="26"/>
        </w:rPr>
        <w:t>Mierzwa</w:t>
      </w:r>
      <w:proofErr w:type="spellEnd"/>
      <w:r w:rsidR="002A4484">
        <w:rPr>
          <w:szCs w:val="26"/>
        </w:rPr>
        <w:t xml:space="preserve"> also asserts</w:t>
      </w:r>
      <w:r w:rsidR="00DA0BCB">
        <w:rPr>
          <w:szCs w:val="26"/>
        </w:rPr>
        <w:t xml:space="preserve"> </w:t>
      </w:r>
      <w:r w:rsidR="00250930">
        <w:rPr>
          <w:szCs w:val="26"/>
        </w:rPr>
        <w:t>General Plant should be excluded.</w:t>
      </w:r>
      <w:r w:rsidR="00250930">
        <w:rPr>
          <w:rStyle w:val="FootnoteReference"/>
          <w:szCs w:val="26"/>
        </w:rPr>
        <w:footnoteReference w:id="83"/>
      </w:r>
      <w:r w:rsidR="00250930">
        <w:rPr>
          <w:szCs w:val="26"/>
        </w:rPr>
        <w:t xml:space="preserve">   </w:t>
      </w:r>
    </w:p>
    <w:p w:rsidR="001D2785" w:rsidRPr="008E3745" w:rsidRDefault="008744D5" w:rsidP="00CE7318">
      <w:pPr>
        <w:pStyle w:val="textstyle0"/>
        <w:rPr>
          <w:highlight w:val="yellow"/>
        </w:rPr>
      </w:pPr>
      <w:r>
        <w:tab/>
      </w:r>
      <w:r w:rsidR="002A4484">
        <w:t>T</w:t>
      </w:r>
      <w:r w:rsidR="001D2785">
        <w:t>he type of General Plant expenses the Company</w:t>
      </w:r>
      <w:r w:rsidR="002A4484">
        <w:t xml:space="preserve"> requests</w:t>
      </w:r>
      <w:r w:rsidR="006E0CE4">
        <w:t xml:space="preserve"> to include in the DCI</w:t>
      </w:r>
      <w:r w:rsidR="002A4484">
        <w:t xml:space="preserve"> do not</w:t>
      </w:r>
      <w:r w:rsidR="001D2785">
        <w:t xml:space="preserve"> directly relate to the reliability of distribution service.</w:t>
      </w:r>
      <w:r w:rsidR="002A4484">
        <w:rPr>
          <w:rStyle w:val="FootnoteReference"/>
        </w:rPr>
        <w:footnoteReference w:id="84"/>
      </w:r>
      <w:r w:rsidR="001D2785">
        <w:t xml:space="preserve"> </w:t>
      </w:r>
      <w:r>
        <w:t xml:space="preserve"> </w:t>
      </w:r>
      <w:r w:rsidR="00250930">
        <w:rPr>
          <w:szCs w:val="26"/>
        </w:rPr>
        <w:t>OCC also asserts that General Plant expenses are not directly related maintaining reliability of distribution service.</w:t>
      </w:r>
      <w:r w:rsidR="00250930">
        <w:rPr>
          <w:rStyle w:val="FootnoteReference"/>
          <w:szCs w:val="26"/>
        </w:rPr>
        <w:footnoteReference w:id="85"/>
      </w:r>
      <w:r w:rsidR="00250930">
        <w:rPr>
          <w:szCs w:val="26"/>
        </w:rPr>
        <w:t xml:space="preserve">  </w:t>
      </w:r>
      <w:r w:rsidR="001D2785">
        <w:t xml:space="preserve">At best, the expenses proposed to be included would be incurred for plant that would </w:t>
      </w:r>
      <w:r w:rsidR="001D2785" w:rsidRPr="008E3745">
        <w:t>support</w:t>
      </w:r>
      <w:r w:rsidR="001D2785">
        <w:t xml:space="preserve"> maintaining reliability, but not directly relate to it.</w:t>
      </w:r>
      <w:r w:rsidR="008E3745" w:rsidRPr="004B2318">
        <w:t xml:space="preserve"> </w:t>
      </w:r>
      <w:r w:rsidR="008E3745">
        <w:t xml:space="preserve"> </w:t>
      </w:r>
      <w:r w:rsidR="001D2785" w:rsidRPr="004B2318">
        <w:t xml:space="preserve">Virtually </w:t>
      </w:r>
      <w:r w:rsidR="001D2785" w:rsidRPr="008E3745">
        <w:t>every</w:t>
      </w:r>
      <w:r w:rsidR="00634F10" w:rsidRPr="008E3745">
        <w:softHyphen/>
      </w:r>
      <w:r w:rsidR="001D2785" w:rsidRPr="008E3745">
        <w:t>thing</w:t>
      </w:r>
      <w:r w:rsidR="001D2785" w:rsidRPr="004B2318">
        <w:t xml:space="preserve"> the Company does could be an improvement or support an improvement or main</w:t>
      </w:r>
      <w:r w:rsidR="006E341A" w:rsidRPr="004B2318">
        <w:softHyphen/>
      </w:r>
      <w:r w:rsidR="001D2785" w:rsidRPr="004B2318">
        <w:t>tenance of reliability.</w:t>
      </w:r>
      <w:r w:rsidRPr="004B2318">
        <w:t xml:space="preserve"> </w:t>
      </w:r>
      <w:r w:rsidR="008E3745">
        <w:t xml:space="preserve"> And G</w:t>
      </w:r>
      <w:r w:rsidR="001D2785" w:rsidRPr="004B2318">
        <w:t>eneral Plant is very far removed from the “the replacement of aging infrastructure” that the Commission h</w:t>
      </w:r>
      <w:r w:rsidR="008E3745">
        <w:t>as relied on for approving the other c</w:t>
      </w:r>
      <w:r w:rsidR="001D2785" w:rsidRPr="004B2318">
        <w:t>o</w:t>
      </w:r>
      <w:r w:rsidR="008E3745">
        <w:t>mpany’s distribution investment p</w:t>
      </w:r>
      <w:r w:rsidR="001D2785" w:rsidRPr="004B2318">
        <w:t>lans.</w:t>
      </w:r>
      <w:r w:rsidRPr="004B2318">
        <w:rPr>
          <w:rStyle w:val="FootnoteReference"/>
        </w:rPr>
        <w:footnoteReference w:id="86"/>
      </w:r>
      <w:r w:rsidR="001D2785" w:rsidRPr="004B2318">
        <w:t xml:space="preserve"> </w:t>
      </w:r>
      <w:r w:rsidRPr="004B2318">
        <w:t xml:space="preserve"> </w:t>
      </w:r>
    </w:p>
    <w:p w:rsidR="001D2785" w:rsidRDefault="00250930" w:rsidP="00CE7318">
      <w:pPr>
        <w:pStyle w:val="textstyle0"/>
      </w:pPr>
      <w:r w:rsidRPr="008E3745">
        <w:lastRenderedPageBreak/>
        <w:tab/>
        <w:t>The DCI</w:t>
      </w:r>
      <w:r w:rsidR="008E3745">
        <w:t xml:space="preserve"> should not allow Duke</w:t>
      </w:r>
      <w:r w:rsidR="001D2785" w:rsidRPr="008E3745">
        <w:t xml:space="preserve"> to recover the cos</w:t>
      </w:r>
      <w:r w:rsidR="008E3745">
        <w:t>ts of all capital expenditures and should not serve as</w:t>
      </w:r>
      <w:r w:rsidR="001D2785" w:rsidRPr="008E3745">
        <w:t xml:space="preserve"> a substitute for distribution rate cases. </w:t>
      </w:r>
      <w:r w:rsidR="00A9644E" w:rsidRPr="008E3745">
        <w:t xml:space="preserve"> </w:t>
      </w:r>
      <w:r w:rsidR="008E3745">
        <w:t>Rather, the DCI should</w:t>
      </w:r>
      <w:r w:rsidR="001D2785" w:rsidRPr="008E3745">
        <w:t xml:space="preserve"> encourage the electric utility to proactively and efficiently replace and modernize infra</w:t>
      </w:r>
      <w:r w:rsidR="00634F10" w:rsidRPr="008E3745">
        <w:softHyphen/>
      </w:r>
      <w:r w:rsidR="001D2785" w:rsidRPr="008E3745">
        <w:t xml:space="preserve">structure. </w:t>
      </w:r>
      <w:r w:rsidR="00A9644E" w:rsidRPr="008E3745">
        <w:t xml:space="preserve"> </w:t>
      </w:r>
      <w:r w:rsidR="001D2785" w:rsidRPr="008E3745">
        <w:t>General Plant does not satisfy this objective, and the costs of investing in merely “supportive” facilities</w:t>
      </w:r>
      <w:r w:rsidR="008E3745">
        <w:t xml:space="preserve"> should be excluded from the DCI</w:t>
      </w:r>
      <w:r w:rsidR="001D2785" w:rsidRPr="008E3745">
        <w:t>.</w:t>
      </w:r>
      <w:r w:rsidR="001D2785">
        <w:t xml:space="preserve"> </w:t>
      </w:r>
    </w:p>
    <w:p w:rsidR="001D2785" w:rsidRPr="00FC2483" w:rsidRDefault="00A9644E" w:rsidP="00A9644E">
      <w:pPr>
        <w:pStyle w:val="Heading4"/>
      </w:pPr>
      <w:bookmarkStart w:id="34" w:name="_Toc406411832"/>
      <w:r>
        <w:t>b.</w:t>
      </w:r>
      <w:r>
        <w:tab/>
      </w:r>
      <w:r w:rsidR="006E0CE4">
        <w:t>Projected Plant Balances</w:t>
      </w:r>
      <w:bookmarkEnd w:id="34"/>
      <w:r w:rsidR="001D2785">
        <w:t xml:space="preserve"> </w:t>
      </w:r>
    </w:p>
    <w:p w:rsidR="00E85305" w:rsidRPr="00CE7318" w:rsidRDefault="00CE7318" w:rsidP="00CE7318">
      <w:pPr>
        <w:pStyle w:val="textstyle0"/>
      </w:pPr>
      <w:r>
        <w:tab/>
      </w:r>
      <w:r w:rsidR="00E85305">
        <w:t>Staff opposes the incorporation of projected plant balances in the establishment of the revenue requirement.</w:t>
      </w:r>
      <w:r w:rsidR="00551112">
        <w:rPr>
          <w:rStyle w:val="FootnoteReference"/>
        </w:rPr>
        <w:footnoteReference w:id="87"/>
      </w:r>
      <w:r w:rsidR="00E85305">
        <w:t xml:space="preserve">  As a general matter, Staff believes that only plant that is used and useful should be permitted in the calculation.</w:t>
      </w:r>
      <w:r w:rsidR="00805DC4">
        <w:rPr>
          <w:rStyle w:val="FootnoteReference"/>
        </w:rPr>
        <w:footnoteReference w:id="88"/>
      </w:r>
      <w:r w:rsidR="00E85305">
        <w:t xml:space="preserve">  In addition, given the frequency of the rider updates, very little lag exists in the commencement of capital cost recovery and therefore, the need for the use of projections is extremely minimalized.</w:t>
      </w:r>
      <w:r w:rsidR="00805DC4">
        <w:rPr>
          <w:rStyle w:val="FootnoteReference"/>
        </w:rPr>
        <w:footnoteReference w:id="89"/>
      </w:r>
      <w:r w:rsidR="00E85305" w:rsidRPr="00CE7318">
        <w:t xml:space="preserve">  </w:t>
      </w:r>
    </w:p>
    <w:p w:rsidR="009E19F5" w:rsidRPr="009E19F5" w:rsidRDefault="00CE7318" w:rsidP="00B461A0">
      <w:pPr>
        <w:pStyle w:val="textstyle0"/>
        <w:outlineLvl w:val="3"/>
        <w:rPr>
          <w:b/>
          <w:sz w:val="28"/>
          <w:szCs w:val="28"/>
        </w:rPr>
      </w:pPr>
      <w:r>
        <w:tab/>
      </w:r>
      <w:r w:rsidR="009E19F5">
        <w:tab/>
      </w:r>
      <w:bookmarkStart w:id="35" w:name="_Toc406411833"/>
      <w:r w:rsidR="009E19F5">
        <w:rPr>
          <w:b/>
          <w:sz w:val="28"/>
          <w:szCs w:val="28"/>
        </w:rPr>
        <w:t>c.</w:t>
      </w:r>
      <w:r w:rsidR="009E19F5">
        <w:rPr>
          <w:b/>
          <w:sz w:val="28"/>
          <w:szCs w:val="28"/>
        </w:rPr>
        <w:tab/>
        <w:t>Information Duke should include in subsequent filings</w:t>
      </w:r>
      <w:bookmarkEnd w:id="35"/>
    </w:p>
    <w:p w:rsidR="00E85305" w:rsidRPr="00CD0560" w:rsidRDefault="009E19F5" w:rsidP="00CE7318">
      <w:pPr>
        <w:pStyle w:val="textstyle0"/>
      </w:pPr>
      <w:r>
        <w:tab/>
      </w:r>
      <w:r w:rsidR="00E85305">
        <w:t>If the Commission approves a continuation of a DCI, Staff also recommends that the Commission continue to require Duke to use the jurisdictional allocations and accrual rates for each account and subaccount that was approved in Duke’s prior rate case.</w:t>
      </w:r>
      <w:r w:rsidR="0065663B">
        <w:rPr>
          <w:rStyle w:val="FootnoteReference"/>
        </w:rPr>
        <w:footnoteReference w:id="90"/>
      </w:r>
      <w:r w:rsidR="00E85305">
        <w:t xml:space="preserve"> </w:t>
      </w:r>
      <w:r w:rsidR="00551112">
        <w:t xml:space="preserve"> </w:t>
      </w:r>
      <w:r w:rsidR="00E85305">
        <w:t xml:space="preserve">In each DCI filing, Duke should include the same information that was provided in this case </w:t>
      </w:r>
      <w:r w:rsidR="00E85305">
        <w:lastRenderedPageBreak/>
        <w:t>for each a</w:t>
      </w:r>
      <w:r w:rsidR="00A239E7">
        <w:t>ccount and subaccount,</w:t>
      </w:r>
      <w:r w:rsidR="00E85305">
        <w:t xml:space="preserve"> as well as detailed workpapers showing the jurisdictional allocation, accrual rates and reserve balances of each account and subaccount.</w:t>
      </w:r>
      <w:r w:rsidR="00CD0560">
        <w:rPr>
          <w:rStyle w:val="FootnoteReference"/>
        </w:rPr>
        <w:footnoteReference w:id="91"/>
      </w:r>
      <w:r w:rsidR="00E85305">
        <w:t xml:space="preserve">  Duke should be directed to provide this information for any rider being used to collect costs recorded in the Distribution Plant Accounts, by rider and as a grand </w:t>
      </w:r>
      <w:r w:rsidR="00325904">
        <w:t xml:space="preserve">total.  </w:t>
      </w:r>
      <w:r w:rsidR="00E85305">
        <w:t>Staff needs this information to determine whether the appropriate allocation of cost recovery is occurring between the DCI and other riders.</w:t>
      </w:r>
      <w:r w:rsidR="00CD0560">
        <w:rPr>
          <w:rStyle w:val="FootnoteReference"/>
        </w:rPr>
        <w:footnoteReference w:id="92"/>
      </w:r>
      <w:r w:rsidR="00E85305">
        <w:t xml:space="preserve">  This information will also help Staff ensure that the Company is adhering to the schedules ordered in the previous rate case.</w:t>
      </w:r>
      <w:r w:rsidR="00CD0560">
        <w:rPr>
          <w:rStyle w:val="FootnoteReference"/>
        </w:rPr>
        <w:footnoteReference w:id="93"/>
      </w:r>
    </w:p>
    <w:p w:rsidR="00E85305" w:rsidRDefault="00E85305" w:rsidP="00CE7318">
      <w:pPr>
        <w:pStyle w:val="textstyle0"/>
      </w:pPr>
      <w:r>
        <w:tab/>
        <w:t>Duke should also be directed to detail the DCI revenue collected by month and to date in its filings to demonstrate compliance with the revenue caps authorized by the Commission.</w:t>
      </w:r>
      <w:r w:rsidR="00CD0560">
        <w:rPr>
          <w:rStyle w:val="FootnoteReference"/>
        </w:rPr>
        <w:footnoteReference w:id="94"/>
      </w:r>
      <w:r>
        <w:t xml:space="preserve">  Staff also recommends that any f</w:t>
      </w:r>
      <w:r w:rsidR="00CE7318">
        <w:t xml:space="preserve">urther changes Duke proposes to </w:t>
      </w:r>
      <w:r>
        <w:t>make to its capitalization policy should be highlighted and quantified in the DCI filing preceding the implementation of the change.</w:t>
      </w:r>
      <w:r w:rsidR="00CD0560">
        <w:rPr>
          <w:rStyle w:val="FootnoteReference"/>
        </w:rPr>
        <w:footnoteReference w:id="95"/>
      </w:r>
      <w:r>
        <w:t xml:space="preserve">  This would allow the Commission to consider the proposed change and ensure that there is no inappropriate recovery from Duke customers.</w:t>
      </w:r>
      <w:r w:rsidR="00CD0560">
        <w:rPr>
          <w:rStyle w:val="FootnoteReference"/>
        </w:rPr>
        <w:footnoteReference w:id="96"/>
      </w:r>
    </w:p>
    <w:p w:rsidR="00551112" w:rsidRPr="00551112" w:rsidRDefault="00551112" w:rsidP="00B461A0">
      <w:pPr>
        <w:pStyle w:val="textstyle0"/>
        <w:outlineLvl w:val="3"/>
        <w:rPr>
          <w:b/>
          <w:sz w:val="28"/>
          <w:szCs w:val="28"/>
        </w:rPr>
      </w:pPr>
      <w:r>
        <w:rPr>
          <w:sz w:val="28"/>
          <w:szCs w:val="28"/>
        </w:rPr>
        <w:lastRenderedPageBreak/>
        <w:tab/>
      </w:r>
      <w:r>
        <w:rPr>
          <w:sz w:val="28"/>
          <w:szCs w:val="28"/>
        </w:rPr>
        <w:tab/>
      </w:r>
      <w:bookmarkStart w:id="36" w:name="_Toc406411834"/>
      <w:r>
        <w:rPr>
          <w:b/>
          <w:sz w:val="28"/>
          <w:szCs w:val="28"/>
        </w:rPr>
        <w:t>d.</w:t>
      </w:r>
      <w:r>
        <w:rPr>
          <w:b/>
          <w:sz w:val="28"/>
          <w:szCs w:val="28"/>
        </w:rPr>
        <w:tab/>
        <w:t>DCI Caps</w:t>
      </w:r>
      <w:bookmarkEnd w:id="36"/>
      <w:r>
        <w:rPr>
          <w:b/>
          <w:sz w:val="28"/>
          <w:szCs w:val="28"/>
        </w:rPr>
        <w:t xml:space="preserve"> </w:t>
      </w:r>
    </w:p>
    <w:p w:rsidR="00E85305" w:rsidRDefault="00551112" w:rsidP="00CE7318">
      <w:pPr>
        <w:pStyle w:val="textstyle0"/>
      </w:pPr>
      <w:r>
        <w:tab/>
      </w:r>
      <w:r w:rsidR="00E85305">
        <w:t>Staff recommends the annual caps to be the following: $17 million for 2015, $50 million in 2016, $67 million in 2017, and $35 (which is the five month prorated amount associated with an annual cap of $85 million in 2018 based on the staff adjusted prorated capital budget for 2018).</w:t>
      </w:r>
      <w:r w:rsidR="0065663B">
        <w:rPr>
          <w:rStyle w:val="FootnoteReference"/>
        </w:rPr>
        <w:footnoteReference w:id="97"/>
      </w:r>
      <w:r w:rsidR="00E85305">
        <w:t xml:space="preserve">  This rate reflects the removal of common and general plant and the adjustment of the gross up factor to 10.68%</w:t>
      </w:r>
      <w:r w:rsidR="0065663B">
        <w:t>.</w:t>
      </w:r>
      <w:r w:rsidR="00CD0560">
        <w:rPr>
          <w:rStyle w:val="FootnoteReference"/>
        </w:rPr>
        <w:footnoteReference w:id="98"/>
      </w:r>
      <w:r w:rsidR="00E85305">
        <w:t xml:space="preserve"> </w:t>
      </w:r>
    </w:p>
    <w:p w:rsidR="00E85305" w:rsidRPr="00D00FAE" w:rsidRDefault="00D00FAE" w:rsidP="00B461A0">
      <w:pPr>
        <w:pStyle w:val="textstyle0"/>
        <w:outlineLvl w:val="3"/>
        <w:rPr>
          <w:b/>
          <w:sz w:val="28"/>
          <w:szCs w:val="28"/>
        </w:rPr>
      </w:pPr>
      <w:r>
        <w:tab/>
      </w:r>
      <w:r>
        <w:tab/>
      </w:r>
      <w:bookmarkStart w:id="37" w:name="_Toc406411835"/>
      <w:r>
        <w:rPr>
          <w:b/>
          <w:sz w:val="28"/>
          <w:szCs w:val="28"/>
        </w:rPr>
        <w:t>e.</w:t>
      </w:r>
      <w:r>
        <w:rPr>
          <w:b/>
          <w:sz w:val="28"/>
          <w:szCs w:val="28"/>
        </w:rPr>
        <w:tab/>
        <w:t>Sunset of the DCI Rate</w:t>
      </w:r>
      <w:bookmarkEnd w:id="37"/>
    </w:p>
    <w:p w:rsidR="00E85305" w:rsidRDefault="00D00FAE" w:rsidP="00CE7318">
      <w:pPr>
        <w:pStyle w:val="textstyle0"/>
      </w:pPr>
      <w:r>
        <w:tab/>
      </w:r>
      <w:r w:rsidR="00E85305">
        <w:t>Staff recommends</w:t>
      </w:r>
      <w:r w:rsidR="002A4484">
        <w:t xml:space="preserve"> that</w:t>
      </w:r>
      <w:r w:rsidR="00E85305">
        <w:t xml:space="preserve"> the DCI and associated rate(s) sunset with the end of the </w:t>
      </w:r>
      <w:r w:rsidR="00E85305" w:rsidRPr="002A4484">
        <w:rPr>
          <w:i/>
        </w:rPr>
        <w:t>ESP</w:t>
      </w:r>
      <w:r w:rsidR="002A4484" w:rsidRPr="002A4484">
        <w:rPr>
          <w:i/>
        </w:rPr>
        <w:t xml:space="preserve"> III</w:t>
      </w:r>
      <w:r w:rsidR="002A4484">
        <w:t xml:space="preserve"> on</w:t>
      </w:r>
      <w:r w:rsidR="00E85305">
        <w:t xml:space="preserve"> May 31, 2018.</w:t>
      </w:r>
      <w:r w:rsidR="00CD0560">
        <w:rPr>
          <w:rStyle w:val="FootnoteReference"/>
        </w:rPr>
        <w:footnoteReference w:id="99"/>
      </w:r>
      <w:r w:rsidR="008337DA">
        <w:t xml:space="preserve">  After that time, should Duke </w:t>
      </w:r>
      <w:r w:rsidR="00E85305">
        <w:t>wish to recover any of the incremental plant in service incurred si</w:t>
      </w:r>
      <w:r w:rsidR="002A4484">
        <w:t>nce the inception of the ESP, Duke should file a</w:t>
      </w:r>
      <w:r w:rsidR="00E85305">
        <w:t xml:space="preserve"> rate case to recover the incremental plant in service unless a subsequent ESP has been approved by the Commission which continues the DCI recovery mechanism for the incurred incremental plant in service.</w:t>
      </w:r>
      <w:r w:rsidR="00CD0560">
        <w:rPr>
          <w:rStyle w:val="FootnoteReference"/>
        </w:rPr>
        <w:footnoteReference w:id="100"/>
      </w:r>
      <w:r w:rsidR="00E85305">
        <w:t xml:space="preserve">  In addition, due to the timing of the quarterly filings and quarterly update process, no additional costs should be included in the DCI after May 31, 2018 and a reconciliation filing should be filed within 90 days of May 31, 2018.</w:t>
      </w:r>
      <w:r w:rsidR="00CD0560">
        <w:rPr>
          <w:rStyle w:val="FootnoteReference"/>
        </w:rPr>
        <w:footnoteReference w:id="101"/>
      </w:r>
      <w:r w:rsidR="00E85305">
        <w:t xml:space="preserve"> </w:t>
      </w:r>
    </w:p>
    <w:p w:rsidR="001D2785" w:rsidRPr="00F503DD" w:rsidRDefault="00D00FAE" w:rsidP="00CE7318">
      <w:pPr>
        <w:pStyle w:val="textstyle0"/>
      </w:pPr>
      <w:r>
        <w:lastRenderedPageBreak/>
        <w:tab/>
      </w:r>
      <w:r w:rsidR="00072846">
        <w:t>B</w:t>
      </w:r>
      <w:r w:rsidR="00E85305">
        <w:t>ecause this will be the third major distribution infrastructure rider in Ohio, Staff proposes that the quarterly filings occur on or about February 10, May 10, August 10 and November 10 of each year.</w:t>
      </w:r>
      <w:r w:rsidR="009D0703">
        <w:rPr>
          <w:rStyle w:val="FootnoteReference"/>
        </w:rPr>
        <w:footnoteReference w:id="102"/>
      </w:r>
      <w:r w:rsidR="00E85305">
        <w:t xml:space="preserve">  </w:t>
      </w:r>
      <w:r w:rsidR="00C1322A">
        <w:t>Staff does not object, however,</w:t>
      </w:r>
      <w:r w:rsidR="00707D4C">
        <w:t xml:space="preserve"> if Duke files at the beginning of each month.</w:t>
      </w:r>
      <w:r w:rsidR="00707D4C">
        <w:rPr>
          <w:rStyle w:val="FootnoteReference"/>
        </w:rPr>
        <w:footnoteReference w:id="103"/>
      </w:r>
      <w:r w:rsidR="00707D4C">
        <w:t xml:space="preserve"> </w:t>
      </w:r>
      <w:r w:rsidR="00E85305">
        <w:t>The filings should be permitted to be automatically approved 60 days after filing unless suspended.</w:t>
      </w:r>
      <w:r w:rsidR="00072846">
        <w:rPr>
          <w:rStyle w:val="FootnoteReference"/>
        </w:rPr>
        <w:footnoteReference w:id="104"/>
      </w:r>
      <w:r w:rsidR="00E85305">
        <w:t xml:space="preserve">  The annual compliance review would occur with the August 10th filing.</w:t>
      </w:r>
      <w:r w:rsidR="009D0703">
        <w:rPr>
          <w:rStyle w:val="FootnoteReference"/>
        </w:rPr>
        <w:footnoteReference w:id="105"/>
      </w:r>
      <w:r w:rsidR="00E85305">
        <w:t xml:space="preserve"> </w:t>
      </w:r>
      <w:r w:rsidR="009D0703">
        <w:t xml:space="preserve"> </w:t>
      </w:r>
      <w:r w:rsidR="00E85305">
        <w:t xml:space="preserve">Similar to the annual compliance audit mechanism utilized to review the AEP DIR and FE </w:t>
      </w:r>
      <w:proofErr w:type="spellStart"/>
      <w:r w:rsidR="00E85305">
        <w:t>DCR</w:t>
      </w:r>
      <w:proofErr w:type="spellEnd"/>
      <w:r w:rsidR="00E85305">
        <w:t>, the annual compliance audit could be conducted by either Staff or an independent auditor chosen by and under the direction of Staff.</w:t>
      </w:r>
      <w:r w:rsidR="009D0703">
        <w:rPr>
          <w:rStyle w:val="FootnoteReference"/>
        </w:rPr>
        <w:footnoteReference w:id="106"/>
      </w:r>
      <w:r w:rsidR="00E85305">
        <w:t xml:space="preserve">   The costs associated with the annual compliance audit would be recovered in the next quarter via the DCI Rider.</w:t>
      </w:r>
      <w:r w:rsidR="009D0703">
        <w:rPr>
          <w:rStyle w:val="FootnoteReference"/>
        </w:rPr>
        <w:footnoteReference w:id="107"/>
      </w:r>
      <w:r w:rsidR="00E85305">
        <w:t xml:space="preserve">  Recommendations or objections could be filed by either Staff or interested parties within 120 days of the filing of the application.</w:t>
      </w:r>
      <w:r w:rsidR="009D0703">
        <w:rPr>
          <w:rStyle w:val="FootnoteReference"/>
        </w:rPr>
        <w:footnoteReference w:id="108"/>
      </w:r>
      <w:r w:rsidR="008337DA">
        <w:t xml:space="preserve">  If after</w:t>
      </w:r>
      <w:r w:rsidR="00E85305">
        <w:t xml:space="preserve"> 150 days, Duke is unable to resolve objections or agree to recommendations made by Staff or interested parties, the Commission will set the matter for hearing.</w:t>
      </w:r>
      <w:r w:rsidR="009D0703">
        <w:rPr>
          <w:rStyle w:val="FootnoteReference"/>
        </w:rPr>
        <w:footnoteReference w:id="109"/>
      </w:r>
      <w:r w:rsidR="00E85305">
        <w:t xml:space="preserve">  If no </w:t>
      </w:r>
      <w:r w:rsidR="00E85305">
        <w:lastRenderedPageBreak/>
        <w:t>objections or recommendations are raised, or have been resolved, the rates will go into effect without adjustment.</w:t>
      </w:r>
      <w:r w:rsidR="009D0703">
        <w:rPr>
          <w:rStyle w:val="FootnoteReference"/>
        </w:rPr>
        <w:footnoteReference w:id="110"/>
      </w:r>
    </w:p>
    <w:p w:rsidR="001D2785" w:rsidRDefault="00215A4C" w:rsidP="00916537">
      <w:pPr>
        <w:pStyle w:val="Heading3"/>
      </w:pPr>
      <w:bookmarkStart w:id="38" w:name="_Toc406411836"/>
      <w:r>
        <w:t>3.</w:t>
      </w:r>
      <w:r>
        <w:tab/>
      </w:r>
      <w:r w:rsidR="00CA4FF1">
        <w:t>Distribution</w:t>
      </w:r>
      <w:r w:rsidR="001D2785" w:rsidRPr="000E01BC">
        <w:t xml:space="preserve"> </w:t>
      </w:r>
      <w:r w:rsidR="00013213">
        <w:t xml:space="preserve">Storm </w:t>
      </w:r>
      <w:r w:rsidR="001D2785" w:rsidRPr="000E01BC">
        <w:t>Rider (</w:t>
      </w:r>
      <w:r w:rsidR="00261089">
        <w:t>“</w:t>
      </w:r>
      <w:proofErr w:type="spellStart"/>
      <w:r w:rsidR="00CA4FF1">
        <w:t>DSR</w:t>
      </w:r>
      <w:proofErr w:type="spellEnd"/>
      <w:r w:rsidR="00261089">
        <w:t>”</w:t>
      </w:r>
      <w:r w:rsidR="001D2785" w:rsidRPr="000E01BC">
        <w:t>)</w:t>
      </w:r>
      <w:bookmarkEnd w:id="38"/>
    </w:p>
    <w:p w:rsidR="00AB31B8" w:rsidRDefault="00916537" w:rsidP="004246B4">
      <w:pPr>
        <w:pStyle w:val="textstyle0"/>
      </w:pPr>
      <w:r>
        <w:tab/>
      </w:r>
      <w:r w:rsidR="004246B4">
        <w:t>The Company is proposing to establish a regulatory asset or liability to defer the amount of prudently-incurred costs of major storm repairs above or below the $4.4 million in operation and maintenance storm costs that are included in base distribution rates.</w:t>
      </w:r>
      <w:r w:rsidR="004246B4">
        <w:rPr>
          <w:rStyle w:val="FootnoteReference"/>
        </w:rPr>
        <w:footnoteReference w:id="111"/>
      </w:r>
      <w:r w:rsidR="004246B4">
        <w:t xml:space="preserve">  The Company proposes to recover the balance of this deferral in the next distribution rate case by amortizing the balance over a certain number of years</w:t>
      </w:r>
      <w:r w:rsidR="004246B4">
        <w:rPr>
          <w:rStyle w:val="FootnoteReference"/>
        </w:rPr>
        <w:footnoteReference w:id="112"/>
      </w:r>
      <w:r w:rsidR="004246B4">
        <w:t xml:space="preserve"> and including the yearly amortization in the revenue requirement, unless the cumulative balance exceeds $5 million at the end of a calendar year.  If the balance exceeds $5 million, the Company proposes to adjust Rider </w:t>
      </w:r>
      <w:proofErr w:type="spellStart"/>
      <w:r w:rsidR="004246B4">
        <w:t>DSR</w:t>
      </w:r>
      <w:proofErr w:type="spellEnd"/>
      <w:r w:rsidR="004246B4">
        <w:t xml:space="preserve"> to collect (or refund) the entire balance in the regulatory account, with carrying charges at the latest-approved long-term </w:t>
      </w:r>
      <w:r w:rsidR="00AB31B8">
        <w:br w:type="page"/>
      </w:r>
    </w:p>
    <w:p w:rsidR="004246B4" w:rsidRDefault="004246B4" w:rsidP="004246B4">
      <w:pPr>
        <w:pStyle w:val="textstyle0"/>
      </w:pPr>
      <w:proofErr w:type="gramStart"/>
      <w:r>
        <w:lastRenderedPageBreak/>
        <w:t>cost</w:t>
      </w:r>
      <w:proofErr w:type="gramEnd"/>
      <w:r>
        <w:t xml:space="preserve"> of debt.</w:t>
      </w:r>
      <w:r>
        <w:rPr>
          <w:rStyle w:val="FootnoteReference"/>
        </w:rPr>
        <w:footnoteReference w:id="113"/>
      </w:r>
      <w:r>
        <w:t xml:space="preserve">   If the balance is more than a positive $5 million (a debit), the amount would be recovered from customers.  If it is more than a negative $5 million (a credit), the amount would be refunded to customers.   </w:t>
      </w:r>
    </w:p>
    <w:p w:rsidR="004246B4" w:rsidRDefault="004246B4" w:rsidP="004246B4">
      <w:pPr>
        <w:pStyle w:val="textstyle0"/>
      </w:pPr>
      <w:r>
        <w:tab/>
        <w:t>The Company does not propose to include capital in this request; rather, any capital additions will be addressed in Rider DCI or in a future distribution rate case.</w:t>
      </w:r>
      <w:r>
        <w:rPr>
          <w:rStyle w:val="FootnoteReference"/>
        </w:rPr>
        <w:footnoteReference w:id="114"/>
      </w:r>
    </w:p>
    <w:p w:rsidR="004246B4" w:rsidRDefault="004246B4" w:rsidP="004246B4">
      <w:pPr>
        <w:pStyle w:val="textstyle0"/>
      </w:pPr>
      <w:r>
        <w:tab/>
        <w:t>The Company proposes to collect the balance of the deferral in its next base distribution rate case, unless the balance reaches $5 million, after which the Company plans to file for recovery.</w:t>
      </w:r>
      <w:r>
        <w:rPr>
          <w:rStyle w:val="FootnoteReference"/>
        </w:rPr>
        <w:footnoteReference w:id="115"/>
      </w:r>
      <w:r>
        <w:t xml:space="preserve">  Staff believes that deferring the balance until the next base rate case could be problematic.</w:t>
      </w:r>
      <w:r>
        <w:rPr>
          <w:rStyle w:val="FootnoteReference"/>
        </w:rPr>
        <w:footnoteReference w:id="116"/>
      </w:r>
      <w:r>
        <w:t xml:space="preserve">  To be included in base rates, as stated above, the Company’s proposal is to amortize the amount of the deferral over a three-year period to be included in the revenue requirement for the next base rate case.</w:t>
      </w:r>
      <w:r>
        <w:rPr>
          <w:rStyle w:val="FootnoteReference"/>
        </w:rPr>
        <w:footnoteReference w:id="117"/>
      </w:r>
      <w:r>
        <w:t xml:space="preserve">   If there is an extended period between base rate cases, these base rates would be collected every year, which means that the amount of deferral included in the base rate calculation could be </w:t>
      </w:r>
      <w:r>
        <w:lastRenderedPageBreak/>
        <w:t>collected multiple times because the allowed recovery amount stays in base rates until the next rate case.</w:t>
      </w:r>
      <w:r>
        <w:rPr>
          <w:rStyle w:val="FootnoteReference"/>
        </w:rPr>
        <w:footnoteReference w:id="118"/>
      </w:r>
      <w:r>
        <w:t xml:space="preserve">  For example, because the deferral amount would be amortized over three years, if the same base rates are in effect longer than three years, the amount of the deferral is collected more than once from customers.</w:t>
      </w:r>
      <w:r>
        <w:rPr>
          <w:rStyle w:val="FootnoteReference"/>
        </w:rPr>
        <w:footnoteReference w:id="119"/>
      </w:r>
    </w:p>
    <w:p w:rsidR="004246B4" w:rsidRDefault="004246B4" w:rsidP="00E07F45">
      <w:pPr>
        <w:pStyle w:val="textstyle0"/>
        <w:numPr>
          <w:ilvl w:val="0"/>
          <w:numId w:val="19"/>
        </w:numPr>
        <w:ind w:left="2160" w:hanging="720"/>
        <w:outlineLvl w:val="3"/>
      </w:pPr>
      <w:bookmarkStart w:id="39" w:name="_Toc406411837"/>
      <w:r>
        <w:rPr>
          <w:b/>
        </w:rPr>
        <w:t>Staff’s Recommended Alternative</w:t>
      </w:r>
      <w:bookmarkEnd w:id="39"/>
      <w:r>
        <w:tab/>
        <w:t xml:space="preserve">  </w:t>
      </w:r>
    </w:p>
    <w:p w:rsidR="004246B4" w:rsidRDefault="004246B4" w:rsidP="004246B4">
      <w:pPr>
        <w:pStyle w:val="textstyle0"/>
      </w:pPr>
      <w:r>
        <w:tab/>
        <w:t xml:space="preserve">Staff believes recovery should only be done through the </w:t>
      </w:r>
      <w:proofErr w:type="spellStart"/>
      <w:r>
        <w:t>DSR</w:t>
      </w:r>
      <w:proofErr w:type="spellEnd"/>
      <w:r>
        <w:t>.</w:t>
      </w:r>
      <w:r>
        <w:rPr>
          <w:rStyle w:val="FootnoteReference"/>
        </w:rPr>
        <w:footnoteReference w:id="120"/>
      </w:r>
      <w:r>
        <w:t xml:space="preserve">  At the end of a year, the Company would determine the amount spent for major storm repairs.</w:t>
      </w:r>
      <w:r>
        <w:rPr>
          <w:rStyle w:val="FootnoteReference"/>
        </w:rPr>
        <w:footnoteReference w:id="121"/>
      </w:r>
      <w:r>
        <w:t xml:space="preserve">  If the amount spent is over the $4.4 million already included in base rates, the difference is deferred as a regulatory asset.</w:t>
      </w:r>
      <w:r>
        <w:rPr>
          <w:rStyle w:val="FootnoteReference"/>
        </w:rPr>
        <w:footnoteReference w:id="122"/>
      </w:r>
      <w:r>
        <w:t xml:space="preserve">  If the amount spent is less than $4.4 million, the difference is a regulatory liability, or a credit to the regulatory asset.</w:t>
      </w:r>
      <w:r>
        <w:rPr>
          <w:rStyle w:val="FootnoteReference"/>
        </w:rPr>
        <w:footnoteReference w:id="123"/>
      </w:r>
      <w:r>
        <w:t xml:space="preserve">  The deferral balance would be carried over from one year until the next until a year in which the net balance, positive or negative, exceeds $5 million.</w:t>
      </w:r>
      <w:r>
        <w:rPr>
          <w:rStyle w:val="FootnoteReference"/>
        </w:rPr>
        <w:footnoteReference w:id="124"/>
      </w:r>
      <w:r>
        <w:t xml:space="preserve">  After a year in which the balance of the asset or liability exceeds $5 million, the Staff proposes that the Company file an </w:t>
      </w:r>
      <w:r>
        <w:lastRenderedPageBreak/>
        <w:t>application for recovery with the Commission, including calculating a monthly rider charge, if the amount is a positive, or monthly rider credit, if the amount is a negative.</w:t>
      </w:r>
      <w:r>
        <w:rPr>
          <w:rStyle w:val="FootnoteReference"/>
        </w:rPr>
        <w:footnoteReference w:id="125"/>
      </w:r>
      <w:r>
        <w:t xml:space="preserve">      </w:t>
      </w:r>
    </w:p>
    <w:p w:rsidR="004246B4" w:rsidRPr="00606951" w:rsidRDefault="004246B4" w:rsidP="00E07F45">
      <w:pPr>
        <w:pStyle w:val="textstyle0"/>
        <w:numPr>
          <w:ilvl w:val="0"/>
          <w:numId w:val="19"/>
        </w:numPr>
        <w:ind w:left="2160" w:hanging="720"/>
        <w:outlineLvl w:val="3"/>
        <w:rPr>
          <w:b/>
        </w:rPr>
      </w:pPr>
      <w:bookmarkStart w:id="40" w:name="_Toc406411838"/>
      <w:r>
        <w:rPr>
          <w:b/>
        </w:rPr>
        <w:t>Staff’s Proposed Audit</w:t>
      </w:r>
      <w:bookmarkEnd w:id="40"/>
    </w:p>
    <w:p w:rsidR="004246B4" w:rsidRDefault="004246B4" w:rsidP="004246B4">
      <w:pPr>
        <w:pStyle w:val="textstyle0"/>
      </w:pPr>
      <w:r>
        <w:tab/>
        <w:t>Because rates are only affected when the deferral amount is $5 million or more, there is no need to audit the deferral each year.</w:t>
      </w:r>
      <w:r>
        <w:rPr>
          <w:rStyle w:val="FootnoteReference"/>
        </w:rPr>
        <w:footnoteReference w:id="126"/>
      </w:r>
      <w:r>
        <w:t xml:space="preserve">  Rather, at the end of each year in which the deferred amount of storm repair dollars exceeds $5 million, Staff plans to perform an audit of all of the expenses and offsetting revenues that are part of the deferred amount, regardless of what year those expenses and revenues occurred.</w:t>
      </w:r>
      <w:r>
        <w:rPr>
          <w:rStyle w:val="FootnoteReference"/>
        </w:rPr>
        <w:footnoteReference w:id="127"/>
      </w:r>
      <w:r>
        <w:t xml:space="preserve">   This will include a review of contractor invoices, labor transactions, material requisitions, etc. to confirm that they were</w:t>
      </w:r>
      <w:r w:rsidR="00FC3D0E">
        <w:t xml:space="preserve"> incremental</w:t>
      </w:r>
      <w:r>
        <w:t xml:space="preserve"> and prudently incurred.</w:t>
      </w:r>
      <w:r>
        <w:rPr>
          <w:rStyle w:val="FootnoteReference"/>
        </w:rPr>
        <w:footnoteReference w:id="128"/>
      </w:r>
      <w:r>
        <w:t xml:space="preserve">  This audit would also include a review of revenue received from other utilities for mutual assistance efforts, if any.</w:t>
      </w:r>
      <w:r>
        <w:rPr>
          <w:rStyle w:val="FootnoteReference"/>
        </w:rPr>
        <w:footnoteReference w:id="129"/>
      </w:r>
      <w:r>
        <w:t xml:space="preserve">  </w:t>
      </w:r>
    </w:p>
    <w:p w:rsidR="004246B4" w:rsidRDefault="004246B4" w:rsidP="004246B4">
      <w:pPr>
        <w:pStyle w:val="textstyle0"/>
      </w:pPr>
      <w:r>
        <w:tab/>
        <w:t>Once the recovery amount is determined, generally, Staff recommends a one-year recovery period for each year’s storm costs.</w:t>
      </w:r>
      <w:r>
        <w:rPr>
          <w:rStyle w:val="FootnoteReference"/>
        </w:rPr>
        <w:footnoteReference w:id="130"/>
      </w:r>
      <w:r>
        <w:t xml:space="preserve">  However, if the amount of the deferral is </w:t>
      </w:r>
      <w:r>
        <w:lastRenderedPageBreak/>
        <w:t>a large amount,</w:t>
      </w:r>
      <w:r>
        <w:rPr>
          <w:rStyle w:val="FootnoteReference"/>
        </w:rPr>
        <w:footnoteReference w:id="131"/>
      </w:r>
      <w:r>
        <w:t xml:space="preserve"> then the Company could have the option of filing for a longer recovery period to mitigate customers’ monthly bill impact.</w:t>
      </w:r>
      <w:r>
        <w:rPr>
          <w:rStyle w:val="FootnoteReference"/>
        </w:rPr>
        <w:footnoteReference w:id="132"/>
      </w:r>
      <w:r>
        <w:t xml:space="preserve"> The Commission can ultimately determine the recovery period based on all factors presented in the Company’s application.</w:t>
      </w:r>
      <w:r>
        <w:rPr>
          <w:rStyle w:val="FootnoteReference"/>
        </w:rPr>
        <w:footnoteReference w:id="133"/>
      </w:r>
      <w:r>
        <w:t xml:space="preserve">   </w:t>
      </w:r>
    </w:p>
    <w:p w:rsidR="004246B4" w:rsidRDefault="004246B4" w:rsidP="00E07F45">
      <w:pPr>
        <w:pStyle w:val="textstyle0"/>
        <w:numPr>
          <w:ilvl w:val="0"/>
          <w:numId w:val="19"/>
        </w:numPr>
        <w:ind w:left="2160" w:hanging="720"/>
        <w:outlineLvl w:val="3"/>
      </w:pPr>
      <w:bookmarkStart w:id="41" w:name="_Toc406411839"/>
      <w:r>
        <w:rPr>
          <w:b/>
        </w:rPr>
        <w:t>Carrying Charges</w:t>
      </w:r>
      <w:bookmarkEnd w:id="41"/>
      <w:r>
        <w:t xml:space="preserve"> </w:t>
      </w:r>
    </w:p>
    <w:p w:rsidR="004246B4" w:rsidRDefault="004246B4" w:rsidP="004246B4">
      <w:pPr>
        <w:pStyle w:val="textstyle0"/>
      </w:pPr>
      <w:r>
        <w:tab/>
        <w:t>In responses to data requests, the Company was inconsistent in its explanation of carrying charges.  In one instance, it said that carrying charges would begin at the end of the year when the balance is determined.</w:t>
      </w:r>
      <w:r>
        <w:rPr>
          <w:rStyle w:val="FootnoteReference"/>
        </w:rPr>
        <w:footnoteReference w:id="134"/>
      </w:r>
      <w:r>
        <w:t xml:space="preserve">  In another data request response, it said that the carrying charges were to be calculated on the monthly balance once total storm costs exceed $4.4 million.</w:t>
      </w:r>
      <w:r>
        <w:rPr>
          <w:rStyle w:val="FootnoteReference"/>
        </w:rPr>
        <w:footnoteReference w:id="135"/>
      </w:r>
      <w:r>
        <w:t xml:space="preserve">  Staff agrees with the approach that carrying charges would not begin until the end of the year when the amount of the deferral (the amount greater than or less than $4.4 million) is determined and also believes that there should be no carrying charges during any recovery period.</w:t>
      </w:r>
      <w:r>
        <w:rPr>
          <w:rStyle w:val="FootnoteReference"/>
        </w:rPr>
        <w:footnoteReference w:id="136"/>
      </w:r>
      <w:r>
        <w:t xml:space="preserve"> </w:t>
      </w:r>
    </w:p>
    <w:p w:rsidR="00AB31B8" w:rsidRDefault="00AB31B8" w:rsidP="004246B4">
      <w:pPr>
        <w:pStyle w:val="textstyle0"/>
      </w:pPr>
    </w:p>
    <w:p w:rsidR="004246B4" w:rsidRPr="00606951" w:rsidRDefault="004246B4" w:rsidP="00E07F45">
      <w:pPr>
        <w:pStyle w:val="textstyle0"/>
        <w:numPr>
          <w:ilvl w:val="0"/>
          <w:numId w:val="19"/>
        </w:numPr>
        <w:ind w:left="2160" w:hanging="720"/>
        <w:outlineLvl w:val="3"/>
        <w:rPr>
          <w:b/>
        </w:rPr>
      </w:pPr>
      <w:bookmarkStart w:id="42" w:name="_Toc406411840"/>
      <w:r>
        <w:rPr>
          <w:b/>
        </w:rPr>
        <w:lastRenderedPageBreak/>
        <w:t>Labor Expenses</w:t>
      </w:r>
      <w:bookmarkEnd w:id="42"/>
    </w:p>
    <w:p w:rsidR="004246B4" w:rsidRDefault="004246B4" w:rsidP="004246B4">
      <w:pPr>
        <w:pStyle w:val="textstyle0"/>
      </w:pPr>
      <w:r>
        <w:tab/>
        <w:t>Staff believes that the only labor that should be included in the deferral is labor that is in addition to what would normally be incurred - the incremental labor.</w:t>
      </w:r>
      <w:r>
        <w:rPr>
          <w:rStyle w:val="FootnoteReference"/>
        </w:rPr>
        <w:footnoteReference w:id="137"/>
      </w:r>
      <w:r>
        <w:t xml:space="preserve">  Typically, the first forty hours of straight-time labor for those Company employees working in storm restoration are built into the Company’s base rates and, therefore, are already being paid for by customers.</w:t>
      </w:r>
      <w:r>
        <w:rPr>
          <w:rStyle w:val="FootnoteReference"/>
        </w:rPr>
        <w:footnoteReference w:id="138"/>
      </w:r>
      <w:r>
        <w:t xml:space="preserve">  Staff recognizes that, due to union contracts, union employees are typically compensated at overtime rates (time-and-a-half or double-time) for storm restoration from the time that a major storm is declared.</w:t>
      </w:r>
      <w:r>
        <w:rPr>
          <w:rStyle w:val="FootnoteReference"/>
        </w:rPr>
        <w:footnoteReference w:id="139"/>
      </w:r>
      <w:r>
        <w:t xml:space="preserve">  However, customers are already paying for the first 40 hours of straight-time labor for the Company employees via base rates.</w:t>
      </w:r>
      <w:r>
        <w:rPr>
          <w:rStyle w:val="FootnoteReference"/>
        </w:rPr>
        <w:footnoteReference w:id="140"/>
      </w:r>
      <w:r>
        <w:t xml:space="preserve">  The Company’s recovery request should not include the straight-time portion of the first 40 hours of work for each employee during a week of storm repairs or double-recovery would occur.</w:t>
      </w:r>
      <w:r>
        <w:rPr>
          <w:rStyle w:val="FootnoteReference"/>
        </w:rPr>
        <w:footnoteReference w:id="141"/>
      </w:r>
      <w:r>
        <w:t xml:space="preserve">  However, any premium time (the overtime portion of the first 40 hours) and the total cost of the hours above 40 is incremental and would be eligible for recovery.</w:t>
      </w:r>
      <w:r>
        <w:rPr>
          <w:rStyle w:val="FootnoteReference"/>
        </w:rPr>
        <w:footnoteReference w:id="142"/>
      </w:r>
    </w:p>
    <w:p w:rsidR="004246B4" w:rsidRDefault="004246B4" w:rsidP="004246B4">
      <w:pPr>
        <w:pStyle w:val="textstyle0"/>
      </w:pPr>
      <w:r>
        <w:lastRenderedPageBreak/>
        <w:tab/>
        <w:t>In situations where the employee works some hours other than for storm repairs during a week, because the first 40 hours of straight-time labor for an employee are included in base rates, any hours worked performing other work would count against the 40 hours of straight-time not allowed for storm recovery.</w:t>
      </w:r>
      <w:r>
        <w:rPr>
          <w:rStyle w:val="FootnoteReference"/>
        </w:rPr>
        <w:footnoteReference w:id="143"/>
      </w:r>
      <w:r>
        <w:t xml:space="preserve">  For example, if a lineman worked 60 hours in a week, and 30 hours were for normal work and 30 hours were for storm repair, the 30 hours of non-storm related work plus the straight-time portion of the first 10 hours of storm-related work would account for the 40 hours that are in base rates and are not considered incremental.</w:t>
      </w:r>
      <w:r>
        <w:rPr>
          <w:rStyle w:val="FootnoteReference"/>
        </w:rPr>
        <w:footnoteReference w:id="144"/>
      </w:r>
      <w:r>
        <w:t xml:space="preserve">  The premium portion of the 10 storm-related work hours and the full pay of the other 20 hours of storm work would be eligible for deferral and recovery.</w:t>
      </w:r>
      <w:r>
        <w:rPr>
          <w:rStyle w:val="FootnoteReference"/>
        </w:rPr>
        <w:footnoteReference w:id="145"/>
      </w:r>
      <w:r>
        <w:t xml:space="preserve">  Another example is if an employee worked 80 hours in a week, of which 40 hours were for non-storm related work, then the entire 40 hours of storm repair (straight-time plus premium time) would be incremental and eligible for recovery.</w:t>
      </w:r>
      <w:r>
        <w:rPr>
          <w:rStyle w:val="FootnoteReference"/>
        </w:rPr>
        <w:footnoteReference w:id="146"/>
      </w:r>
      <w:r>
        <w:t xml:space="preserve">  Lastly, if an employee worked only 20 hours for storm work in a given week, only the premium portion of the employee’s labor would be considered incremental labor and eligible for deferral and recovery.</w:t>
      </w:r>
      <w:r>
        <w:rPr>
          <w:rStyle w:val="FootnoteReference"/>
        </w:rPr>
        <w:footnoteReference w:id="147"/>
      </w:r>
    </w:p>
    <w:p w:rsidR="004246B4" w:rsidRDefault="004246B4" w:rsidP="004246B4">
      <w:pPr>
        <w:pStyle w:val="textstyle0"/>
      </w:pPr>
      <w:r>
        <w:lastRenderedPageBreak/>
        <w:tab/>
        <w:t>Duke’s management-overtime pay should not be included in the deferral.</w:t>
      </w:r>
      <w:r>
        <w:rPr>
          <w:rStyle w:val="FootnoteReference"/>
        </w:rPr>
        <w:footnoteReference w:id="148"/>
      </w:r>
      <w:r>
        <w:t xml:space="preserve">  As Staff has stated in prior storm restoration cases, management personnel is paid to do a job and not necessarily to work a certain number of hours.</w:t>
      </w:r>
      <w:r>
        <w:rPr>
          <w:rStyle w:val="FootnoteReference"/>
        </w:rPr>
        <w:footnoteReference w:id="149"/>
      </w:r>
      <w:r>
        <w:t xml:space="preserve">  The Company may have a policy to pay these employees for their roles in storm restoration and may pay them, but its customers should not be expected to pay for this labor.</w:t>
      </w:r>
      <w:r>
        <w:rPr>
          <w:rStyle w:val="FootnoteReference"/>
        </w:rPr>
        <w:footnoteReference w:id="150"/>
      </w:r>
      <w:r>
        <w:t xml:space="preserve">  Staff believes that the goal for the Company should be to restore service as safely, efficiently, and quickly as possible.</w:t>
      </w:r>
      <w:r>
        <w:rPr>
          <w:rStyle w:val="FootnoteReference"/>
        </w:rPr>
        <w:footnoteReference w:id="151"/>
      </w:r>
      <w:r>
        <w:t xml:space="preserve">  If management employees can be utilized safely and efficiently to accomplish certain tasks, it would be a cost-efficient course of action, but whether the Company gets recovery should not be the determining factor.</w:t>
      </w:r>
      <w:r>
        <w:rPr>
          <w:rStyle w:val="FootnoteReference"/>
        </w:rPr>
        <w:footnoteReference w:id="152"/>
      </w:r>
    </w:p>
    <w:p w:rsidR="004246B4" w:rsidRPr="00ED03F2" w:rsidRDefault="004246B4" w:rsidP="00E07F45">
      <w:pPr>
        <w:pStyle w:val="textstyle0"/>
        <w:outlineLvl w:val="4"/>
        <w:rPr>
          <w:b/>
        </w:rPr>
      </w:pPr>
      <w:r>
        <w:tab/>
      </w:r>
      <w:r>
        <w:tab/>
        <w:t xml:space="preserve"> </w:t>
      </w:r>
      <w:r>
        <w:tab/>
      </w:r>
      <w:r w:rsidR="00E07F45">
        <w:tab/>
      </w:r>
      <w:bookmarkStart w:id="43" w:name="_Toc406411841"/>
      <w:proofErr w:type="spellStart"/>
      <w:r>
        <w:rPr>
          <w:b/>
        </w:rPr>
        <w:t>i</w:t>
      </w:r>
      <w:proofErr w:type="spellEnd"/>
      <w:r>
        <w:rPr>
          <w:b/>
        </w:rPr>
        <w:t>.</w:t>
      </w:r>
      <w:r>
        <w:rPr>
          <w:b/>
        </w:rPr>
        <w:tab/>
        <w:t>Mutual Assistance</w:t>
      </w:r>
      <w:bookmarkEnd w:id="43"/>
    </w:p>
    <w:p w:rsidR="004246B4" w:rsidRDefault="004246B4" w:rsidP="004246B4">
      <w:pPr>
        <w:pStyle w:val="textstyle0"/>
      </w:pPr>
      <w:r>
        <w:tab/>
        <w:t>Mutual assistance refers to voluntary agreements that allow for one utility to provide another utility with resources, labor (both utility employees and contractors), and equipment to perform restoration services.</w:t>
      </w:r>
      <w:r>
        <w:rPr>
          <w:rStyle w:val="FootnoteReference"/>
        </w:rPr>
        <w:footnoteReference w:id="153"/>
      </w:r>
      <w:r>
        <w:t xml:space="preserve">  Under mutual assistance agreements, it is the responsibility of the requesting utility to reimburse any assisting utilities for costs incurred and not paid for directly by the host utility.</w:t>
      </w:r>
      <w:r>
        <w:rPr>
          <w:rStyle w:val="FootnoteReference"/>
        </w:rPr>
        <w:footnoteReference w:id="154"/>
      </w:r>
      <w:r>
        <w:t xml:space="preserve">  Mutual assistance performed by </w:t>
      </w:r>
      <w:r>
        <w:lastRenderedPageBreak/>
        <w:t xml:space="preserve">other companies under the Company’s </w:t>
      </w:r>
      <w:proofErr w:type="spellStart"/>
      <w:r>
        <w:t>DSR</w:t>
      </w:r>
      <w:proofErr w:type="spellEnd"/>
      <w:r>
        <w:t xml:space="preserve"> creates the potential for double recovery of revenues.</w:t>
      </w:r>
      <w:r>
        <w:rPr>
          <w:rStyle w:val="FootnoteReference"/>
        </w:rPr>
        <w:footnoteReference w:id="155"/>
      </w:r>
      <w:r>
        <w:t xml:space="preserve">  According to the Company’s response to Staff’s Data Request No. 13, the requesting company usually pays directly for travel costs and supplies.</w:t>
      </w:r>
      <w:r>
        <w:rPr>
          <w:rStyle w:val="FootnoteReference"/>
        </w:rPr>
        <w:footnoteReference w:id="156"/>
      </w:r>
      <w:r>
        <w:t xml:space="preserve">  The assisting utility will invoice the host company for its labor cost incurred and other various costs if the host utility does not pay it directly.  Those charges that are reimbursed by the host utility are recorded by the Company to the following FERC accounts: 920 (Administrative and General Salaries) for labor, 921 (Office Supplies and Expenses) for non-labor costs, 926 (Employee Pensions and Benefits), and 408.1 (Taxes other than Income Taxes) for payroll taxes.</w:t>
      </w:r>
      <w:r>
        <w:rPr>
          <w:rStyle w:val="FootnoteReference"/>
        </w:rPr>
        <w:footnoteReference w:id="157"/>
      </w:r>
      <w:r>
        <w:t xml:space="preserve">  At the end of the accounting period, the costs are transferred from the expense accounts to Account 143 (Other Accounts Receivable), until the bill is paid by the other company.</w:t>
      </w:r>
      <w:r>
        <w:rPr>
          <w:rStyle w:val="FootnoteReference"/>
        </w:rPr>
        <w:footnoteReference w:id="158"/>
      </w:r>
      <w:r>
        <w:t xml:space="preserve">  When the reimbursement for the expenses is received, it is recognized as revenue and matched for accounting purposes against the expenses described above.</w:t>
      </w:r>
      <w:r>
        <w:rPr>
          <w:rStyle w:val="FootnoteReference"/>
        </w:rPr>
        <w:footnoteReference w:id="159"/>
      </w:r>
    </w:p>
    <w:p w:rsidR="004246B4" w:rsidRDefault="004246B4" w:rsidP="004246B4">
      <w:pPr>
        <w:pStyle w:val="textstyle0"/>
      </w:pPr>
      <w:r>
        <w:tab/>
        <w:t xml:space="preserve">When the Company sends employees to assist other utility companies in their service territories for storm restoration, Staff believes that the amount of payment received from other utilities for labor (the straight-time portion of the first 40 hours) </w:t>
      </w:r>
      <w:r>
        <w:lastRenderedPageBreak/>
        <w:t>performed by the Company’s employees in those companies’ service territories should be an offset to the Company’s storm damage recovery.</w:t>
      </w:r>
      <w:r>
        <w:rPr>
          <w:rStyle w:val="FootnoteReference"/>
        </w:rPr>
        <w:footnoteReference w:id="160"/>
      </w:r>
      <w:r>
        <w:t xml:space="preserve">  When base rates are calculated, the first 40 hours of each employee’s weekly labor are determined to be part of the revenue requirement used to calculate the rates.</w:t>
      </w:r>
      <w:r>
        <w:rPr>
          <w:rStyle w:val="FootnoteReference"/>
        </w:rPr>
        <w:footnoteReference w:id="161"/>
      </w:r>
      <w:r>
        <w:t xml:space="preserve">  Therefore customers are paying for these employees’ labor through base rates.</w:t>
      </w:r>
      <w:r>
        <w:rPr>
          <w:rStyle w:val="FootnoteReference"/>
        </w:rPr>
        <w:footnoteReference w:id="162"/>
      </w:r>
      <w:r>
        <w:t xml:space="preserve">  However, when that employee is working on mutual assistance for another utility, the ratepayer is not receiving the benefit of the labor for which has been paid.</w:t>
      </w:r>
      <w:r>
        <w:rPr>
          <w:rStyle w:val="FootnoteReference"/>
        </w:rPr>
        <w:footnoteReference w:id="163"/>
      </w:r>
      <w:r>
        <w:t xml:space="preserve">  While the Company is being reimbursed by the requesting company for mutual-assistance labor, which is considered revenue for accounting purposes, the Company is also receiving revenue from customers for this labor from base rates, which results in double-recovery.</w:t>
      </w:r>
      <w:r>
        <w:rPr>
          <w:rStyle w:val="FootnoteReference"/>
        </w:rPr>
        <w:footnoteReference w:id="164"/>
      </w:r>
      <w:r>
        <w:t xml:space="preserve">  In comparison of the response to Staff data requests, which showed a list of employees who were sent to work in Super Storm Sandy recovery efforts, and the employee labor data used as part of the calculation of base rates in the Company’s last base rate case (Case No. 12-1682-EL-AIR), Staff discovered that of the 38 Company employees sent to assist for repairs from Super Storm Sandy in 2012, all of them were also included in the labor calculation for the revenue </w:t>
      </w:r>
      <w:r>
        <w:lastRenderedPageBreak/>
        <w:t>requirement for the Company’s base rates.</w:t>
      </w:r>
      <w:r>
        <w:rPr>
          <w:rStyle w:val="FootnoteReference"/>
        </w:rPr>
        <w:footnoteReference w:id="165"/>
      </w:r>
      <w:r>
        <w:t xml:space="preserve">  Since these employees are part of the base rate calculation and the revenue from mutual assistance, double-recovery occurred.</w:t>
      </w:r>
      <w:r>
        <w:rPr>
          <w:rStyle w:val="FootnoteReference"/>
        </w:rPr>
        <w:footnoteReference w:id="166"/>
      </w:r>
      <w:r>
        <w:t xml:space="preserve">   </w:t>
      </w:r>
    </w:p>
    <w:p w:rsidR="004246B4" w:rsidRDefault="004246B4" w:rsidP="004246B4">
      <w:pPr>
        <w:pStyle w:val="textstyle0"/>
      </w:pPr>
      <w:r>
        <w:tab/>
        <w:t xml:space="preserve">Regarding the offset that occurs through the </w:t>
      </w:r>
      <w:proofErr w:type="spellStart"/>
      <w:r>
        <w:t>DSR</w:t>
      </w:r>
      <w:proofErr w:type="spellEnd"/>
      <w:r>
        <w:t>, Staff recommends that the amount up to the first 40 hours of labor at straight-time rates for each employee performing mutual assistance should be deducted from the deferral and recovery request.</w:t>
      </w:r>
      <w:r>
        <w:rPr>
          <w:rStyle w:val="FootnoteReference"/>
        </w:rPr>
        <w:footnoteReference w:id="167"/>
      </w:r>
      <w:r>
        <w:t xml:space="preserve">   The premium portion of these first 40 hours plus the entire amount of any additional hours would not be included in this deduction.</w:t>
      </w:r>
      <w:r>
        <w:rPr>
          <w:rStyle w:val="FootnoteReference"/>
        </w:rPr>
        <w:footnoteReference w:id="168"/>
      </w:r>
      <w:r w:rsidRPr="00F13D00">
        <w:rPr>
          <w:vertAlign w:val="superscript"/>
        </w:rPr>
        <w:t>,</w:t>
      </w:r>
      <w:r>
        <w:rPr>
          <w:vertAlign w:val="superscript"/>
        </w:rPr>
        <w:t xml:space="preserve"> </w:t>
      </w:r>
      <w:r>
        <w:rPr>
          <w:rStyle w:val="FootnoteReference"/>
        </w:rPr>
        <w:footnoteReference w:id="169"/>
      </w:r>
      <w:r>
        <w:t xml:space="preserve">  The amount of the deferral should be the net amount of the Company’s expenses (over the $4.4 million threshold) and the amounts received from the other companies for its mutual assistance labor.</w:t>
      </w:r>
      <w:r>
        <w:rPr>
          <w:rStyle w:val="FootnoteReference"/>
        </w:rPr>
        <w:footnoteReference w:id="170"/>
      </w:r>
      <w:r>
        <w:t xml:space="preserve">  The $5 million mentioned above as the threshold for recovery or carry-over would apply to the net of the expenses and revenue.</w:t>
      </w:r>
      <w:r>
        <w:rPr>
          <w:rStyle w:val="FootnoteReference"/>
        </w:rPr>
        <w:footnoteReference w:id="171"/>
      </w:r>
      <w:r>
        <w:t xml:space="preserve">  The Company would seek recovery after the end of the year when the difference (positive or negative) between </w:t>
      </w:r>
      <w:r>
        <w:lastRenderedPageBreak/>
        <w:t>Ohio major storm expenses (over the $4.4 million threshold) and the mutual assistance revenues exceeds $5 million.</w:t>
      </w:r>
      <w:r>
        <w:rPr>
          <w:rStyle w:val="FootnoteReference"/>
        </w:rPr>
        <w:footnoteReference w:id="172"/>
      </w:r>
      <w:r>
        <w:t xml:space="preserve">    </w:t>
      </w:r>
    </w:p>
    <w:p w:rsidR="004246B4" w:rsidRDefault="004246B4" w:rsidP="004246B4">
      <w:pPr>
        <w:pStyle w:val="textstyle0"/>
      </w:pPr>
      <w:r>
        <w:tab/>
        <w:t>Any associated carrying charges on the mutual-assistance revenues would be calculated beginning at the end of the year on the net amount of expenses and the amount of revenue.</w:t>
      </w:r>
      <w:r>
        <w:rPr>
          <w:rStyle w:val="FootnoteReference"/>
        </w:rPr>
        <w:footnoteReference w:id="173"/>
      </w:r>
      <w:r>
        <w:t xml:space="preserve">  In other words, if expenses exceed revenues, it would incur positive carrying charges; if, in the unlikely event that the mutual assistance revenues exceed the Company’s own major storm repair costs, negative carrying charges would occur.</w:t>
      </w:r>
      <w:r>
        <w:rPr>
          <w:rStyle w:val="FootnoteReference"/>
        </w:rPr>
        <w:footnoteReference w:id="174"/>
      </w:r>
      <w:r>
        <w:t xml:space="preserve">  If carrying charges were to be calculated on the monthly balance starting at the beginning of the year, then they should be calculated based on a $4.4 million liability at the beginning of the year.</w:t>
      </w:r>
      <w:r>
        <w:rPr>
          <w:rStyle w:val="FootnoteReference"/>
        </w:rPr>
        <w:footnoteReference w:id="175"/>
      </w:r>
      <w:r w:rsidRPr="00F13D00">
        <w:rPr>
          <w:vertAlign w:val="superscript"/>
        </w:rPr>
        <w:t>,</w:t>
      </w:r>
      <w:r>
        <w:rPr>
          <w:rStyle w:val="FootnoteReference"/>
        </w:rPr>
        <w:t xml:space="preserve"> </w:t>
      </w:r>
      <w:r>
        <w:rPr>
          <w:rStyle w:val="FootnoteReference"/>
        </w:rPr>
        <w:footnoteReference w:id="176"/>
      </w:r>
      <w:r>
        <w:t xml:space="preserve">   Since the Company is not proposing this, it is best to begin to calculate carrying charges at the end of the year when the balance of the deferred amount is known.</w:t>
      </w:r>
      <w:r>
        <w:rPr>
          <w:rStyle w:val="FootnoteReference"/>
        </w:rPr>
        <w:footnoteReference w:id="177"/>
      </w:r>
      <w:r>
        <w:t xml:space="preserve">  </w:t>
      </w:r>
    </w:p>
    <w:p w:rsidR="004246B4" w:rsidRPr="00B131AD" w:rsidRDefault="004246B4" w:rsidP="00B131AD">
      <w:pPr>
        <w:pStyle w:val="textstyle0"/>
        <w:contextualSpacing/>
        <w:rPr>
          <w:szCs w:val="26"/>
        </w:rPr>
      </w:pPr>
      <w:r>
        <w:lastRenderedPageBreak/>
        <w:tab/>
        <w:t xml:space="preserve">The Company suggests, in a response to a data request, that the amount billed should be the total recovery amount divided by rate classes (Residential, Secondary Distribution, etc.) and then divided by the number of customer bills within the class for a </w:t>
      </w:r>
      <w:r w:rsidRPr="00B131AD">
        <w:rPr>
          <w:szCs w:val="26"/>
        </w:rPr>
        <w:t>monthly charge per customer.</w:t>
      </w:r>
      <w:r w:rsidRPr="00B131AD">
        <w:rPr>
          <w:rStyle w:val="FootnoteReference"/>
          <w:szCs w:val="26"/>
        </w:rPr>
        <w:footnoteReference w:id="178"/>
      </w:r>
      <w:r w:rsidRPr="00B131AD">
        <w:rPr>
          <w:szCs w:val="26"/>
        </w:rPr>
        <w:t xml:space="preserve">  Staff agrees with this process.</w:t>
      </w:r>
      <w:r w:rsidRPr="00B131AD">
        <w:rPr>
          <w:rStyle w:val="FootnoteReference"/>
          <w:szCs w:val="26"/>
        </w:rPr>
        <w:footnoteReference w:id="179"/>
      </w:r>
    </w:p>
    <w:p w:rsidR="00B131AD" w:rsidRDefault="00B131AD" w:rsidP="00B131AD">
      <w:pPr>
        <w:spacing w:line="480" w:lineRule="auto"/>
        <w:contextualSpacing/>
        <w:rPr>
          <w:sz w:val="26"/>
          <w:szCs w:val="26"/>
        </w:rPr>
      </w:pPr>
      <w:r w:rsidRPr="00B131AD">
        <w:rPr>
          <w:sz w:val="26"/>
          <w:szCs w:val="26"/>
        </w:rPr>
        <w:tab/>
        <w:t xml:space="preserve">Finally, Staff has determined that one of the answers given during an exchange about catch-up work did not accurately capture its policy position. </w:t>
      </w:r>
      <w:r>
        <w:rPr>
          <w:sz w:val="26"/>
          <w:szCs w:val="26"/>
        </w:rPr>
        <w:t xml:space="preserve"> </w:t>
      </w:r>
      <w:r w:rsidRPr="00B131AD">
        <w:rPr>
          <w:sz w:val="26"/>
          <w:szCs w:val="26"/>
        </w:rPr>
        <w:t xml:space="preserve">Catch-up work denotes non-storm-related work that remains outstanding because of time spent performing storm-related work. </w:t>
      </w:r>
      <w:r>
        <w:rPr>
          <w:sz w:val="26"/>
          <w:szCs w:val="26"/>
        </w:rPr>
        <w:t xml:space="preserve"> </w:t>
      </w:r>
      <w:r w:rsidRPr="00B131AD">
        <w:rPr>
          <w:sz w:val="26"/>
          <w:szCs w:val="26"/>
        </w:rPr>
        <w:t>During re-cross, in response to a Company question, Staff witness Hecker explained that it would be appropriate for Company employees to code catch-up work with the storm code.</w:t>
      </w:r>
      <w:r>
        <w:rPr>
          <w:rStyle w:val="FootnoteReference"/>
          <w:sz w:val="26"/>
          <w:szCs w:val="26"/>
        </w:rPr>
        <w:footnoteReference w:id="180"/>
      </w:r>
      <w:r w:rsidRPr="00B131AD">
        <w:rPr>
          <w:sz w:val="26"/>
          <w:szCs w:val="26"/>
        </w:rPr>
        <w:t xml:space="preserve"> </w:t>
      </w:r>
      <w:r>
        <w:rPr>
          <w:sz w:val="26"/>
          <w:szCs w:val="26"/>
        </w:rPr>
        <w:t xml:space="preserve"> </w:t>
      </w:r>
      <w:r w:rsidRPr="00B131AD">
        <w:rPr>
          <w:sz w:val="26"/>
          <w:szCs w:val="26"/>
        </w:rPr>
        <w:t xml:space="preserve">This was, however, a misstatement of Staff’s position. Staff believes that only costs for work that are directly attributable to repairs for storm damage should be included in the rider. </w:t>
      </w:r>
      <w:r>
        <w:rPr>
          <w:sz w:val="26"/>
          <w:szCs w:val="26"/>
        </w:rPr>
        <w:t xml:space="preserve"> </w:t>
      </w:r>
      <w:r w:rsidRPr="00B131AD">
        <w:rPr>
          <w:sz w:val="26"/>
          <w:szCs w:val="26"/>
        </w:rPr>
        <w:t xml:space="preserve">That is, only this work should be coded with the particular storm (job) code. </w:t>
      </w:r>
      <w:r>
        <w:rPr>
          <w:sz w:val="26"/>
          <w:szCs w:val="26"/>
        </w:rPr>
        <w:t xml:space="preserve"> </w:t>
      </w:r>
      <w:r w:rsidRPr="00B131AD">
        <w:rPr>
          <w:sz w:val="26"/>
          <w:szCs w:val="26"/>
        </w:rPr>
        <w:t>While Staff acknowledges that it is</w:t>
      </w:r>
      <w:r w:rsidR="000B1591">
        <w:rPr>
          <w:sz w:val="26"/>
          <w:szCs w:val="26"/>
        </w:rPr>
        <w:t xml:space="preserve"> unusual</w:t>
      </w:r>
      <w:r w:rsidRPr="00B131AD">
        <w:rPr>
          <w:sz w:val="26"/>
          <w:szCs w:val="26"/>
        </w:rPr>
        <w:t xml:space="preserve"> to clarify its position on brief, it believes that as a policy advisor to the Commission, it has a duty to accurately inform the Commission of its recommendations.</w:t>
      </w:r>
    </w:p>
    <w:p w:rsidR="00AB31B8" w:rsidRPr="00B131AD" w:rsidRDefault="00AB31B8" w:rsidP="00B131AD">
      <w:pPr>
        <w:spacing w:line="480" w:lineRule="auto"/>
        <w:contextualSpacing/>
        <w:rPr>
          <w:sz w:val="26"/>
          <w:szCs w:val="26"/>
        </w:rPr>
      </w:pPr>
    </w:p>
    <w:p w:rsidR="00CA38B4" w:rsidRPr="004246B4" w:rsidRDefault="00CA38B4" w:rsidP="004246B4">
      <w:pPr>
        <w:pStyle w:val="Heading2"/>
      </w:pPr>
      <w:bookmarkStart w:id="44" w:name="_Toc406411842"/>
      <w:r w:rsidRPr="004246B4">
        <w:lastRenderedPageBreak/>
        <w:t>Modification of Current Riders</w:t>
      </w:r>
      <w:bookmarkEnd w:id="44"/>
    </w:p>
    <w:p w:rsidR="006C5AE7" w:rsidRPr="00131FEE" w:rsidRDefault="006E67B0" w:rsidP="00B461A0">
      <w:pPr>
        <w:pStyle w:val="ListParagraph"/>
        <w:numPr>
          <w:ilvl w:val="0"/>
          <w:numId w:val="17"/>
        </w:numPr>
        <w:outlineLvl w:val="2"/>
        <w:rPr>
          <w:rFonts w:ascii="Times New Roman" w:hAnsi="Times New Roman" w:cs="Times New Roman"/>
          <w:b/>
          <w:sz w:val="28"/>
          <w:szCs w:val="28"/>
        </w:rPr>
      </w:pPr>
      <w:bookmarkStart w:id="45" w:name="_Toc406411843"/>
      <w:r w:rsidRPr="009A6E8A">
        <w:rPr>
          <w:rFonts w:ascii="Times New Roman" w:hAnsi="Times New Roman" w:cs="Times New Roman"/>
          <w:b/>
          <w:sz w:val="28"/>
          <w:szCs w:val="28"/>
        </w:rPr>
        <w:t>The Retail Capacity Rider (“</w:t>
      </w:r>
      <w:r w:rsidR="00CA38B4" w:rsidRPr="009A6E8A">
        <w:rPr>
          <w:rFonts w:ascii="Times New Roman" w:hAnsi="Times New Roman" w:cs="Times New Roman"/>
          <w:b/>
          <w:sz w:val="28"/>
          <w:szCs w:val="28"/>
        </w:rPr>
        <w:t>Rider RC</w:t>
      </w:r>
      <w:r w:rsidRPr="009A6E8A">
        <w:rPr>
          <w:rFonts w:ascii="Times New Roman" w:hAnsi="Times New Roman" w:cs="Times New Roman"/>
          <w:b/>
          <w:sz w:val="28"/>
          <w:szCs w:val="28"/>
        </w:rPr>
        <w:t>”)</w:t>
      </w:r>
      <w:r w:rsidR="009A6E8A" w:rsidRPr="009A6E8A">
        <w:rPr>
          <w:rFonts w:ascii="Times New Roman" w:hAnsi="Times New Roman" w:cs="Times New Roman"/>
          <w:b/>
          <w:sz w:val="28"/>
          <w:szCs w:val="28"/>
        </w:rPr>
        <w:t xml:space="preserve"> and The Retail Energy Rider (“Rider RE”)</w:t>
      </w:r>
      <w:bookmarkEnd w:id="45"/>
    </w:p>
    <w:p w:rsidR="005F293B" w:rsidRDefault="00B20705" w:rsidP="009A6E8A">
      <w:pPr>
        <w:spacing w:line="480" w:lineRule="auto"/>
        <w:ind w:firstLine="720"/>
        <w:rPr>
          <w:sz w:val="26"/>
          <w:szCs w:val="26"/>
        </w:rPr>
      </w:pPr>
      <w:r>
        <w:rPr>
          <w:sz w:val="26"/>
          <w:szCs w:val="26"/>
        </w:rPr>
        <w:t>As discussed in the direct testimony of Staff witness Turkenton</w:t>
      </w:r>
      <w:r w:rsidR="005F293B">
        <w:rPr>
          <w:sz w:val="26"/>
          <w:szCs w:val="26"/>
        </w:rPr>
        <w:t>, S</w:t>
      </w:r>
      <w:r w:rsidR="009A6E8A">
        <w:rPr>
          <w:sz w:val="26"/>
          <w:szCs w:val="26"/>
        </w:rPr>
        <w:t xml:space="preserve">taff foresees </w:t>
      </w:r>
      <w:r w:rsidR="009A6E8A" w:rsidRPr="009A6E8A">
        <w:rPr>
          <w:sz w:val="26"/>
          <w:szCs w:val="26"/>
        </w:rPr>
        <w:t>potential rate impacts that certain customers may experience as a result of the Company’s modification to the r</w:t>
      </w:r>
      <w:r w:rsidR="009A6E8A">
        <w:rPr>
          <w:sz w:val="26"/>
          <w:szCs w:val="26"/>
        </w:rPr>
        <w:t>ate design for Riders RE and RC.</w:t>
      </w:r>
      <w:r w:rsidR="005F293B">
        <w:rPr>
          <w:rStyle w:val="FootnoteReference"/>
          <w:sz w:val="26"/>
          <w:szCs w:val="26"/>
        </w:rPr>
        <w:footnoteReference w:id="181"/>
      </w:r>
      <w:r w:rsidR="009A6E8A">
        <w:rPr>
          <w:sz w:val="26"/>
          <w:szCs w:val="26"/>
        </w:rPr>
        <w:t xml:space="preserve">  B</w:t>
      </w:r>
      <w:r w:rsidR="009A6E8A" w:rsidRPr="009A6E8A">
        <w:rPr>
          <w:sz w:val="26"/>
          <w:szCs w:val="26"/>
        </w:rPr>
        <w:t>ased on the typical bills pro</w:t>
      </w:r>
      <w:r w:rsidR="005F293B">
        <w:rPr>
          <w:sz w:val="26"/>
          <w:szCs w:val="26"/>
        </w:rPr>
        <w:t>vided in Duke’s</w:t>
      </w:r>
      <w:r w:rsidR="009A6E8A">
        <w:rPr>
          <w:sz w:val="26"/>
          <w:szCs w:val="26"/>
        </w:rPr>
        <w:t xml:space="preserve"> application</w:t>
      </w:r>
      <w:r w:rsidR="009A6E8A" w:rsidRPr="009A6E8A">
        <w:rPr>
          <w:sz w:val="26"/>
          <w:szCs w:val="26"/>
        </w:rPr>
        <w:t>,</w:t>
      </w:r>
      <w:r w:rsidR="009A6E8A">
        <w:rPr>
          <w:rStyle w:val="FootnoteReference"/>
          <w:sz w:val="26"/>
          <w:szCs w:val="26"/>
        </w:rPr>
        <w:footnoteReference w:id="182"/>
      </w:r>
      <w:r w:rsidR="009A6E8A" w:rsidRPr="009A6E8A">
        <w:rPr>
          <w:sz w:val="26"/>
          <w:szCs w:val="26"/>
        </w:rPr>
        <w:t xml:space="preserve"> the proposed rate design changes for Riders RE and RC may result in increases to certain customers that could exceed 12%.</w:t>
      </w:r>
      <w:r w:rsidR="00B2451B">
        <w:rPr>
          <w:rStyle w:val="FootnoteReference"/>
          <w:sz w:val="26"/>
          <w:szCs w:val="26"/>
        </w:rPr>
        <w:footnoteReference w:id="183"/>
      </w:r>
      <w:r w:rsidR="009A6E8A" w:rsidRPr="009A6E8A">
        <w:rPr>
          <w:sz w:val="26"/>
          <w:szCs w:val="26"/>
        </w:rPr>
        <w:t xml:space="preserve">  While Staff does not oppose the rate design changes in concept, the Staff is concerned with the potential for significant rate impacts for certain customers.</w:t>
      </w:r>
      <w:r w:rsidR="00B2451B">
        <w:rPr>
          <w:rStyle w:val="FootnoteReference"/>
          <w:sz w:val="26"/>
          <w:szCs w:val="26"/>
        </w:rPr>
        <w:footnoteReference w:id="184"/>
      </w:r>
      <w:r w:rsidR="009A6E8A" w:rsidRPr="009A6E8A">
        <w:rPr>
          <w:sz w:val="26"/>
          <w:szCs w:val="26"/>
        </w:rPr>
        <w:t xml:space="preserve"> </w:t>
      </w:r>
      <w:r w:rsidR="009A6E8A">
        <w:rPr>
          <w:sz w:val="26"/>
          <w:szCs w:val="26"/>
        </w:rPr>
        <w:t xml:space="preserve"> </w:t>
      </w:r>
      <w:r w:rsidR="009A6E8A" w:rsidRPr="009A6E8A">
        <w:rPr>
          <w:sz w:val="26"/>
          <w:szCs w:val="26"/>
        </w:rPr>
        <w:t>The Company is proposing to reduce the differences between stepped rates for certain rate schedules to better reflect rates that are being offered in the competitive retail market.</w:t>
      </w:r>
      <w:r w:rsidR="00B2451B">
        <w:rPr>
          <w:rStyle w:val="FootnoteReference"/>
          <w:sz w:val="26"/>
          <w:szCs w:val="26"/>
        </w:rPr>
        <w:footnoteReference w:id="185"/>
      </w:r>
      <w:r w:rsidR="009A6E8A" w:rsidRPr="009A6E8A">
        <w:rPr>
          <w:sz w:val="26"/>
          <w:szCs w:val="26"/>
        </w:rPr>
        <w:t xml:space="preserve">   </w:t>
      </w:r>
      <w:r w:rsidR="00B2451B">
        <w:rPr>
          <w:sz w:val="26"/>
          <w:szCs w:val="26"/>
        </w:rPr>
        <w:t>A</w:t>
      </w:r>
      <w:r w:rsidR="009A6E8A" w:rsidRPr="009A6E8A">
        <w:rPr>
          <w:sz w:val="26"/>
          <w:szCs w:val="26"/>
        </w:rPr>
        <w:t>s a result of the Company’s proposal,</w:t>
      </w:r>
      <w:r w:rsidR="00B2451B">
        <w:rPr>
          <w:sz w:val="26"/>
          <w:szCs w:val="26"/>
        </w:rPr>
        <w:t xml:space="preserve"> however,</w:t>
      </w:r>
      <w:r w:rsidR="009A6E8A" w:rsidRPr="009A6E8A">
        <w:rPr>
          <w:sz w:val="26"/>
          <w:szCs w:val="26"/>
        </w:rPr>
        <w:t xml:space="preserve"> customers</w:t>
      </w:r>
      <w:r>
        <w:rPr>
          <w:sz w:val="26"/>
          <w:szCs w:val="26"/>
        </w:rPr>
        <w:t xml:space="preserve"> on</w:t>
      </w:r>
      <w:r w:rsidRPr="00B20705">
        <w:rPr>
          <w:sz w:val="26"/>
          <w:szCs w:val="26"/>
        </w:rPr>
        <w:t xml:space="preserve"> </w:t>
      </w:r>
      <w:r w:rsidRPr="009A6E8A">
        <w:rPr>
          <w:sz w:val="26"/>
          <w:szCs w:val="26"/>
        </w:rPr>
        <w:t>three rate schedules</w:t>
      </w:r>
      <w:r>
        <w:rPr>
          <w:sz w:val="26"/>
          <w:szCs w:val="26"/>
        </w:rPr>
        <w:t xml:space="preserve"> –</w:t>
      </w:r>
      <w:r w:rsidRPr="00B2451B">
        <w:rPr>
          <w:rStyle w:val="FootnoteReference"/>
          <w:sz w:val="26"/>
          <w:szCs w:val="26"/>
        </w:rPr>
        <w:t xml:space="preserve"> </w:t>
      </w:r>
      <w:r w:rsidRPr="009A6E8A">
        <w:rPr>
          <w:sz w:val="26"/>
          <w:szCs w:val="26"/>
        </w:rPr>
        <w:t>Option Residential Heating (</w:t>
      </w:r>
      <w:r w:rsidR="00FD79F8">
        <w:rPr>
          <w:sz w:val="26"/>
          <w:szCs w:val="26"/>
        </w:rPr>
        <w:t>“</w:t>
      </w:r>
      <w:proofErr w:type="spellStart"/>
      <w:r w:rsidRPr="009A6E8A">
        <w:rPr>
          <w:sz w:val="26"/>
          <w:szCs w:val="26"/>
        </w:rPr>
        <w:t>ORH</w:t>
      </w:r>
      <w:proofErr w:type="spellEnd"/>
      <w:r w:rsidR="00FD79F8">
        <w:rPr>
          <w:sz w:val="26"/>
          <w:szCs w:val="26"/>
        </w:rPr>
        <w:t>”</w:t>
      </w:r>
      <w:r w:rsidRPr="009A6E8A">
        <w:rPr>
          <w:sz w:val="26"/>
          <w:szCs w:val="26"/>
        </w:rPr>
        <w:t>), the Common Use Reside</w:t>
      </w:r>
      <w:r>
        <w:rPr>
          <w:sz w:val="26"/>
          <w:szCs w:val="26"/>
        </w:rPr>
        <w:t>ntial (</w:t>
      </w:r>
      <w:r w:rsidR="00FD79F8">
        <w:rPr>
          <w:sz w:val="26"/>
          <w:szCs w:val="26"/>
        </w:rPr>
        <w:t>“</w:t>
      </w:r>
      <w:r>
        <w:rPr>
          <w:sz w:val="26"/>
          <w:szCs w:val="26"/>
        </w:rPr>
        <w:t>CUR</w:t>
      </w:r>
      <w:r w:rsidR="00FD79F8">
        <w:rPr>
          <w:sz w:val="26"/>
          <w:szCs w:val="26"/>
        </w:rPr>
        <w:t>”</w:t>
      </w:r>
      <w:r>
        <w:rPr>
          <w:sz w:val="26"/>
          <w:szCs w:val="26"/>
        </w:rPr>
        <w:t>), and</w:t>
      </w:r>
      <w:r w:rsidRPr="009A6E8A">
        <w:rPr>
          <w:sz w:val="26"/>
          <w:szCs w:val="26"/>
        </w:rPr>
        <w:t xml:space="preserve"> the small commercial rate (</w:t>
      </w:r>
      <w:r w:rsidR="00FD79F8">
        <w:rPr>
          <w:sz w:val="26"/>
          <w:szCs w:val="26"/>
        </w:rPr>
        <w:t>“</w:t>
      </w:r>
      <w:proofErr w:type="spellStart"/>
      <w:r w:rsidRPr="009A6E8A">
        <w:rPr>
          <w:sz w:val="26"/>
          <w:szCs w:val="26"/>
        </w:rPr>
        <w:t>DM</w:t>
      </w:r>
      <w:proofErr w:type="spellEnd"/>
      <w:r w:rsidR="00FD79F8">
        <w:rPr>
          <w:sz w:val="26"/>
          <w:szCs w:val="26"/>
        </w:rPr>
        <w:t>”</w:t>
      </w:r>
      <w:r w:rsidRPr="009A6E8A">
        <w:rPr>
          <w:sz w:val="26"/>
          <w:szCs w:val="26"/>
        </w:rPr>
        <w:t>)</w:t>
      </w:r>
      <w:r w:rsidR="005F293B">
        <w:rPr>
          <w:sz w:val="26"/>
          <w:szCs w:val="26"/>
        </w:rPr>
        <w:t xml:space="preserve"> –</w:t>
      </w:r>
      <w:r w:rsidR="009A6E8A" w:rsidRPr="009A6E8A">
        <w:rPr>
          <w:sz w:val="26"/>
          <w:szCs w:val="26"/>
        </w:rPr>
        <w:t xml:space="preserve"> could experience large increases.</w:t>
      </w:r>
      <w:r w:rsidRPr="00B20705">
        <w:rPr>
          <w:rStyle w:val="FootnoteReference"/>
          <w:sz w:val="26"/>
          <w:szCs w:val="26"/>
        </w:rPr>
        <w:t xml:space="preserve"> </w:t>
      </w:r>
      <w:r>
        <w:rPr>
          <w:rStyle w:val="FootnoteReference"/>
          <w:sz w:val="26"/>
          <w:szCs w:val="26"/>
        </w:rPr>
        <w:footnoteReference w:id="186"/>
      </w:r>
      <w:r w:rsidR="009A6E8A" w:rsidRPr="009A6E8A">
        <w:rPr>
          <w:sz w:val="26"/>
          <w:szCs w:val="26"/>
        </w:rPr>
        <w:t xml:space="preserve">  </w:t>
      </w:r>
    </w:p>
    <w:p w:rsidR="009A6E8A" w:rsidRPr="009A6E8A" w:rsidRDefault="009A6E8A" w:rsidP="009A6E8A">
      <w:pPr>
        <w:spacing w:line="480" w:lineRule="auto"/>
        <w:ind w:firstLine="720"/>
        <w:rPr>
          <w:sz w:val="26"/>
          <w:szCs w:val="26"/>
        </w:rPr>
      </w:pPr>
      <w:r w:rsidRPr="009A6E8A">
        <w:rPr>
          <w:sz w:val="26"/>
          <w:szCs w:val="26"/>
        </w:rPr>
        <w:lastRenderedPageBreak/>
        <w:t xml:space="preserve">The </w:t>
      </w:r>
      <w:r w:rsidR="00B20705">
        <w:rPr>
          <w:sz w:val="26"/>
          <w:szCs w:val="26"/>
        </w:rPr>
        <w:t xml:space="preserve">residential </w:t>
      </w:r>
      <w:r w:rsidRPr="009A6E8A">
        <w:rPr>
          <w:sz w:val="26"/>
          <w:szCs w:val="26"/>
        </w:rPr>
        <w:t>impacts are a result of reducing the difference between the first block rates and the tail block rates of the winter months that exist in current rate structure.</w:t>
      </w:r>
      <w:r w:rsidR="00B20705">
        <w:rPr>
          <w:rStyle w:val="FootnoteReference"/>
          <w:sz w:val="26"/>
          <w:szCs w:val="26"/>
        </w:rPr>
        <w:footnoteReference w:id="187"/>
      </w:r>
      <w:r w:rsidRPr="009A6E8A">
        <w:rPr>
          <w:sz w:val="26"/>
          <w:szCs w:val="26"/>
        </w:rPr>
        <w:t xml:space="preserve">  The impacts to the </w:t>
      </w:r>
      <w:proofErr w:type="spellStart"/>
      <w:r w:rsidRPr="009A6E8A">
        <w:rPr>
          <w:sz w:val="26"/>
          <w:szCs w:val="26"/>
        </w:rPr>
        <w:t>DM</w:t>
      </w:r>
      <w:proofErr w:type="spellEnd"/>
      <w:r w:rsidRPr="009A6E8A">
        <w:rPr>
          <w:sz w:val="26"/>
          <w:szCs w:val="26"/>
        </w:rPr>
        <w:t xml:space="preserve"> schedule are a result of reducing the difference between the first block rate and the tail block rates during the winter and summer months that exists in c</w:t>
      </w:r>
      <w:r w:rsidR="00B2451B">
        <w:rPr>
          <w:sz w:val="26"/>
          <w:szCs w:val="26"/>
        </w:rPr>
        <w:t>urrent rates.</w:t>
      </w:r>
      <w:r w:rsidR="005F293B">
        <w:rPr>
          <w:rStyle w:val="FootnoteReference"/>
          <w:sz w:val="26"/>
          <w:szCs w:val="26"/>
        </w:rPr>
        <w:footnoteReference w:id="188"/>
      </w:r>
      <w:r w:rsidR="00B2451B">
        <w:rPr>
          <w:sz w:val="26"/>
          <w:szCs w:val="26"/>
        </w:rPr>
        <w:t xml:space="preserve">  </w:t>
      </w:r>
      <w:r w:rsidRPr="009A6E8A">
        <w:rPr>
          <w:sz w:val="26"/>
          <w:szCs w:val="26"/>
        </w:rPr>
        <w:t>To help mitigate the large increases for certain customers under these schedules, Staff recommends that the Company reduce the difference in rate blocks at a slower pace than is being proposed by the Company.</w:t>
      </w:r>
      <w:r w:rsidR="005F293B">
        <w:rPr>
          <w:rStyle w:val="FootnoteReference"/>
          <w:sz w:val="26"/>
          <w:szCs w:val="26"/>
        </w:rPr>
        <w:footnoteReference w:id="189"/>
      </w:r>
      <w:r w:rsidRPr="009A6E8A">
        <w:rPr>
          <w:sz w:val="26"/>
          <w:szCs w:val="26"/>
        </w:rPr>
        <w:t xml:space="preserve">  For example, the Company’s proposed design could be phased in evenly over two years.</w:t>
      </w:r>
      <w:r w:rsidR="005F293B">
        <w:rPr>
          <w:rStyle w:val="FootnoteReference"/>
          <w:sz w:val="26"/>
          <w:szCs w:val="26"/>
        </w:rPr>
        <w:footnoteReference w:id="190"/>
      </w:r>
      <w:r w:rsidRPr="009A6E8A">
        <w:rPr>
          <w:sz w:val="26"/>
          <w:szCs w:val="26"/>
        </w:rPr>
        <w:t xml:space="preserve">  </w:t>
      </w:r>
    </w:p>
    <w:p w:rsidR="009A6E8A" w:rsidRPr="00B84394" w:rsidRDefault="009A6E8A" w:rsidP="009A6E8A">
      <w:pPr>
        <w:spacing w:line="480" w:lineRule="auto"/>
        <w:ind w:firstLine="720"/>
        <w:rPr>
          <w:sz w:val="26"/>
          <w:szCs w:val="26"/>
        </w:rPr>
      </w:pPr>
      <w:r w:rsidRPr="009A6E8A">
        <w:rPr>
          <w:sz w:val="26"/>
          <w:szCs w:val="26"/>
        </w:rPr>
        <w:t>While the typical bills (</w:t>
      </w:r>
      <w:proofErr w:type="spellStart"/>
      <w:r w:rsidRPr="009A6E8A">
        <w:rPr>
          <w:sz w:val="26"/>
          <w:szCs w:val="26"/>
        </w:rPr>
        <w:t>JEZ</w:t>
      </w:r>
      <w:proofErr w:type="spellEnd"/>
      <w:r w:rsidRPr="009A6E8A">
        <w:rPr>
          <w:sz w:val="26"/>
          <w:szCs w:val="26"/>
        </w:rPr>
        <w:t xml:space="preserve">-3) only show that certain customers under schedules </w:t>
      </w:r>
      <w:proofErr w:type="spellStart"/>
      <w:r w:rsidRPr="009A6E8A">
        <w:rPr>
          <w:sz w:val="26"/>
          <w:szCs w:val="26"/>
        </w:rPr>
        <w:t>ORH</w:t>
      </w:r>
      <w:proofErr w:type="spellEnd"/>
      <w:r w:rsidRPr="009A6E8A">
        <w:rPr>
          <w:sz w:val="26"/>
          <w:szCs w:val="26"/>
        </w:rPr>
        <w:t xml:space="preserve">, CUR and </w:t>
      </w:r>
      <w:proofErr w:type="spellStart"/>
      <w:r w:rsidRPr="009A6E8A">
        <w:rPr>
          <w:sz w:val="26"/>
          <w:szCs w:val="26"/>
        </w:rPr>
        <w:t>DM</w:t>
      </w:r>
      <w:proofErr w:type="spellEnd"/>
      <w:r w:rsidRPr="009A6E8A">
        <w:rPr>
          <w:sz w:val="26"/>
          <w:szCs w:val="26"/>
        </w:rPr>
        <w:t xml:space="preserve"> may be subject to increases over 12%, the Staff recommends that the company provide similar treatment (i.e. phase-in of proposed rate design changes) to any other customer class that may also receive substantial impacts as a result of the RE/RC rate design changes, but for whatever reason are not depicted in the typical bills provided.</w:t>
      </w:r>
      <w:r w:rsidR="005F293B">
        <w:rPr>
          <w:rStyle w:val="FootnoteReference"/>
          <w:sz w:val="26"/>
          <w:szCs w:val="26"/>
        </w:rPr>
        <w:footnoteReference w:id="191"/>
      </w:r>
    </w:p>
    <w:p w:rsidR="001D2785" w:rsidRDefault="001D2785" w:rsidP="007643B4">
      <w:pPr>
        <w:pStyle w:val="Heading2"/>
      </w:pPr>
      <w:bookmarkStart w:id="46" w:name="_Toc406411844"/>
      <w:r>
        <w:lastRenderedPageBreak/>
        <w:t>Addition</w:t>
      </w:r>
      <w:r w:rsidR="00561885">
        <w:t>al</w:t>
      </w:r>
      <w:r>
        <w:t xml:space="preserve"> Issues Regarding </w:t>
      </w:r>
      <w:r w:rsidR="00633BA6">
        <w:t>Duke</w:t>
      </w:r>
      <w:r>
        <w:t>’s Application</w:t>
      </w:r>
      <w:bookmarkEnd w:id="46"/>
    </w:p>
    <w:p w:rsidR="004246B4" w:rsidRDefault="007643B4" w:rsidP="004246B4">
      <w:pPr>
        <w:pStyle w:val="Heading3"/>
      </w:pPr>
      <w:bookmarkStart w:id="47" w:name="_Toc406411845"/>
      <w:r>
        <w:t>1.</w:t>
      </w:r>
      <w:r w:rsidR="001D2785">
        <w:tab/>
      </w:r>
      <w:r w:rsidR="006316A4">
        <w:t>Competitive</w:t>
      </w:r>
      <w:r w:rsidR="00131FEE">
        <w:t xml:space="preserve"> Bid Process Proposal</w:t>
      </w:r>
      <w:bookmarkEnd w:id="47"/>
      <w:r w:rsidR="005432CA">
        <w:t xml:space="preserve"> </w:t>
      </w:r>
    </w:p>
    <w:p w:rsidR="004246B4" w:rsidRDefault="004246B4" w:rsidP="004246B4">
      <w:pPr>
        <w:pStyle w:val="textstyle0"/>
      </w:pPr>
      <w:r>
        <w:tab/>
        <w:t>As a general matter, Staff witness Strom believes the Company’s competitive bidding proposals are appropriate and consistent with what the Company and other EDUs have used in the past.</w:t>
      </w:r>
      <w:r>
        <w:rPr>
          <w:rStyle w:val="FootnoteReference"/>
        </w:rPr>
        <w:footnoteReference w:id="192"/>
      </w:r>
      <w:r>
        <w:t xml:space="preserve"> </w:t>
      </w:r>
      <w:r w:rsidR="00F81FE2">
        <w:t xml:space="preserve"> </w:t>
      </w:r>
      <w:r>
        <w:t>However, Staff submits that the Company’s proposal to include an ESP termination provision in its Master Standard Service Offer Supply Agreement (</w:t>
      </w:r>
      <w:r w:rsidR="00FD79F8">
        <w:t>“</w:t>
      </w:r>
      <w:proofErr w:type="spellStart"/>
      <w:r>
        <w:t>MSA</w:t>
      </w:r>
      <w:proofErr w:type="spellEnd"/>
      <w:r w:rsidR="00FD79F8">
        <w:t>”</w:t>
      </w:r>
      <w:r>
        <w:t>)</w:t>
      </w:r>
      <w:r>
        <w:rPr>
          <w:rStyle w:val="FootnoteReference"/>
        </w:rPr>
        <w:footnoteReference w:id="193"/>
      </w:r>
      <w:r>
        <w:t xml:space="preserve"> will introduce unnecessary risk and uncertainty into the SSO supply procurement process, perhaps leading to chilled participation levels and less than robust winning bid prices in the auctions.</w:t>
      </w:r>
      <w:r>
        <w:rPr>
          <w:rStyle w:val="FootnoteReference"/>
        </w:rPr>
        <w:footnoteReference w:id="194"/>
      </w:r>
      <w:r>
        <w:t xml:space="preserve"> </w:t>
      </w:r>
      <w:r w:rsidR="00F81FE2">
        <w:t xml:space="preserve"> </w:t>
      </w:r>
      <w:r>
        <w:t>Additionally, if the Company implements this provision, the entirety of its SSO supply would terminate as of May 31, 2017, which could introduce rate volatility associated with 100% replacement of the SSO supply by subjecting it to prevailing market prices.</w:t>
      </w:r>
      <w:r>
        <w:rPr>
          <w:rStyle w:val="FootnoteReference"/>
        </w:rPr>
        <w:footnoteReference w:id="195"/>
      </w:r>
      <w:r w:rsidR="00FD79F8">
        <w:t xml:space="preserve">  Staff recommends that the ESP termination provision be removed from the </w:t>
      </w:r>
      <w:proofErr w:type="spellStart"/>
      <w:r w:rsidR="00FD79F8">
        <w:t>MSA</w:t>
      </w:r>
      <w:proofErr w:type="spellEnd"/>
      <w:r w:rsidR="00FD79F8">
        <w:t>.</w:t>
      </w:r>
    </w:p>
    <w:p w:rsidR="004246B4" w:rsidRDefault="004246B4" w:rsidP="004246B4">
      <w:pPr>
        <w:pStyle w:val="textstyle0"/>
      </w:pPr>
      <w:r>
        <w:tab/>
        <w:t>Staff</w:t>
      </w:r>
      <w:r w:rsidR="00FD79F8">
        <w:t xml:space="preserve"> further</w:t>
      </w:r>
      <w:r>
        <w:t xml:space="preserve"> suggests that the Commission reject the</w:t>
      </w:r>
      <w:r w:rsidR="00FD79F8">
        <w:t xml:space="preserve"> Company’s proposal to retain the unilateral authority to terminate the ESP</w:t>
      </w:r>
      <w:r>
        <w:t>.</w:t>
      </w:r>
      <w:r>
        <w:rPr>
          <w:rStyle w:val="FootnoteReference"/>
        </w:rPr>
        <w:footnoteReference w:id="196"/>
      </w:r>
      <w:r>
        <w:t xml:space="preserve"> </w:t>
      </w:r>
      <w:r w:rsidR="00F81FE2">
        <w:t xml:space="preserve"> </w:t>
      </w:r>
      <w:r>
        <w:t>But if the Commission permits the Company to keep this provision</w:t>
      </w:r>
      <w:r w:rsidR="00FD79F8">
        <w:t xml:space="preserve"> of the ESP</w:t>
      </w:r>
      <w:r>
        <w:t xml:space="preserve">, the Commission should require that any later </w:t>
      </w:r>
      <w:r>
        <w:lastRenderedPageBreak/>
        <w:t xml:space="preserve">ESP include the same competitive bidding process for procurement of the </w:t>
      </w:r>
      <w:r w:rsidR="00FD79F8">
        <w:t>Company’s SSO supply, and require</w:t>
      </w:r>
      <w:r>
        <w:t xml:space="preserve"> the auction blending process to continue unabated.</w:t>
      </w:r>
      <w:r>
        <w:rPr>
          <w:rStyle w:val="FootnoteReference"/>
        </w:rPr>
        <w:footnoteReference w:id="197"/>
      </w:r>
    </w:p>
    <w:p w:rsidR="004246B4" w:rsidRDefault="004246B4" w:rsidP="004246B4">
      <w:pPr>
        <w:pStyle w:val="textstyle0"/>
      </w:pPr>
      <w:r>
        <w:tab/>
        <w:t>To curb the potential harms arising from 100% termination of the SSO supply and any resultant rate volatility, Staff suggests that the auction laddering and blending process continue past the end date of the proposed ESP period.</w:t>
      </w:r>
      <w:r>
        <w:rPr>
          <w:rStyle w:val="FootnoteReference"/>
        </w:rPr>
        <w:footnoteReference w:id="198"/>
      </w:r>
      <w:r>
        <w:t xml:space="preserve"> </w:t>
      </w:r>
      <w:r w:rsidR="00F81FE2">
        <w:t xml:space="preserve"> </w:t>
      </w:r>
      <w:r>
        <w:t>This would allow transition from the proposed ESP to the next ESP without the rate volatility impact arising from a sudden end, followed by a re-start, of the auction laddering and blending process.</w:t>
      </w:r>
      <w:r>
        <w:rPr>
          <w:rStyle w:val="FootnoteReference"/>
        </w:rPr>
        <w:footnoteReference w:id="199"/>
      </w:r>
      <w:r>
        <w:t xml:space="preserve"> Exhibit </w:t>
      </w:r>
      <w:proofErr w:type="spellStart"/>
      <w:r>
        <w:t>RWS</w:t>
      </w:r>
      <w:proofErr w:type="spellEnd"/>
      <w:r>
        <w:t>-1 attached to Strom’</w:t>
      </w:r>
      <w:r w:rsidR="00FD79F8">
        <w:t>s testimony illustrates a possible method by which</w:t>
      </w:r>
      <w:r>
        <w:t xml:space="preserve"> this would work.</w:t>
      </w:r>
      <w:r>
        <w:rPr>
          <w:rStyle w:val="FootnoteReference"/>
        </w:rPr>
        <w:footnoteReference w:id="200"/>
      </w:r>
    </w:p>
    <w:p w:rsidR="004246B4" w:rsidRDefault="004246B4" w:rsidP="004246B4">
      <w:pPr>
        <w:pStyle w:val="textstyle0"/>
      </w:pPr>
      <w:r>
        <w:tab/>
      </w:r>
      <w:r w:rsidR="00FD79F8">
        <w:t>I</w:t>
      </w:r>
      <w:r>
        <w:t>n pre-filed testimony, Company Witness Lee made a reference that the Commission selected the winning bidder(s) from the SSO auctions.</w:t>
      </w:r>
      <w:r>
        <w:rPr>
          <w:rStyle w:val="FootnoteReference"/>
        </w:rPr>
        <w:footnoteReference w:id="201"/>
      </w:r>
      <w:r>
        <w:t xml:space="preserve"> </w:t>
      </w:r>
      <w:r w:rsidR="00F81FE2">
        <w:t xml:space="preserve"> </w:t>
      </w:r>
      <w:r>
        <w:t>Staff submits that this is a mischaracteri</w:t>
      </w:r>
      <w:r w:rsidR="00FD79F8">
        <w:t>zation of the Commission’s role.  T</w:t>
      </w:r>
      <w:r>
        <w:t>he</w:t>
      </w:r>
      <w:r w:rsidR="00FD79F8">
        <w:t xml:space="preserve"> standard practice for these auctions has been for the</w:t>
      </w:r>
      <w:r>
        <w:t xml:space="preserve"> auction manager </w:t>
      </w:r>
      <w:r w:rsidR="00FD79F8">
        <w:t xml:space="preserve">to </w:t>
      </w:r>
      <w:r>
        <w:t xml:space="preserve">select the winning bidder(s), subject to the Commission’s </w:t>
      </w:r>
      <w:r w:rsidR="00FD79F8">
        <w:t xml:space="preserve">subsequent </w:t>
      </w:r>
      <w:r>
        <w:t>approval or rejection.</w:t>
      </w:r>
      <w:r>
        <w:rPr>
          <w:rStyle w:val="FootnoteReference"/>
        </w:rPr>
        <w:footnoteReference w:id="202"/>
      </w:r>
      <w:r>
        <w:t xml:space="preserve"> </w:t>
      </w:r>
      <w:r w:rsidR="00F81FE2">
        <w:t xml:space="preserve"> </w:t>
      </w:r>
      <w:r>
        <w:t xml:space="preserve">Later, through a data request, the Company clarified Lee’s statement to cohere with Staff’s understanding of the </w:t>
      </w:r>
      <w:r>
        <w:lastRenderedPageBreak/>
        <w:t>Commission’s role in the competitive bidding process.</w:t>
      </w:r>
      <w:r>
        <w:rPr>
          <w:rStyle w:val="FootnoteReference"/>
        </w:rPr>
        <w:footnoteReference w:id="203"/>
      </w:r>
      <w:r>
        <w:t xml:space="preserve"> Given the information submitted in the data request, there is no longer a disagreement between the Company and Staff on this issue.</w:t>
      </w:r>
    </w:p>
    <w:p w:rsidR="004246B4" w:rsidRDefault="004246B4" w:rsidP="004246B4">
      <w:pPr>
        <w:pStyle w:val="textstyle0"/>
      </w:pPr>
      <w:r>
        <w:tab/>
        <w:t xml:space="preserve"> In the most recent DP&amp;L ESP case, the Commission noted its authority to modify and alter the load cap or any other feature of the </w:t>
      </w:r>
      <w:proofErr w:type="spellStart"/>
      <w:r>
        <w:t>CBP</w:t>
      </w:r>
      <w:proofErr w:type="spellEnd"/>
      <w:r>
        <w:t xml:space="preserve"> for future auctions as the Commission deems necessary based upon its continuing review of the </w:t>
      </w:r>
      <w:proofErr w:type="spellStart"/>
      <w:r>
        <w:t>CBP</w:t>
      </w:r>
      <w:proofErr w:type="spellEnd"/>
      <w:r>
        <w:t>, including its review of the reports on the auction provided to the Commission by the independent auction manager, the Commission’s consultant, the Company, and Staff.</w:t>
      </w:r>
      <w:r>
        <w:rPr>
          <w:rStyle w:val="FootnoteReference"/>
        </w:rPr>
        <w:footnoteReference w:id="204"/>
      </w:r>
      <w:r>
        <w:t xml:space="preserve"> </w:t>
      </w:r>
      <w:r w:rsidR="00F81FE2">
        <w:t xml:space="preserve"> </w:t>
      </w:r>
      <w:r w:rsidR="00FD79F8">
        <w:t xml:space="preserve">Staff believes that it is necessary for the Commission to retain such ongoing authority in order to be able to respond to any unforeseen conditions that may otherwise detrimentally impact the auction process.  </w:t>
      </w:r>
      <w:r>
        <w:t>The Commission should</w:t>
      </w:r>
      <w:r w:rsidR="00FD79F8">
        <w:t xml:space="preserve"> retain</w:t>
      </w:r>
      <w:r>
        <w:t xml:space="preserve"> the option of modification</w:t>
      </w:r>
      <w:r w:rsidR="00FD79F8">
        <w:t xml:space="preserve"> of the </w:t>
      </w:r>
      <w:proofErr w:type="spellStart"/>
      <w:r w:rsidR="00FD79F8">
        <w:t>CBP</w:t>
      </w:r>
      <w:proofErr w:type="spellEnd"/>
      <w:r w:rsidR="00FD79F8">
        <w:t xml:space="preserve"> process</w:t>
      </w:r>
      <w:r>
        <w:t xml:space="preserve"> during the ESP period in this case as the Commission deems necessary.</w:t>
      </w:r>
      <w:r>
        <w:rPr>
          <w:rStyle w:val="FootnoteReference"/>
        </w:rPr>
        <w:footnoteReference w:id="205"/>
      </w:r>
    </w:p>
    <w:p w:rsidR="004246B4" w:rsidRDefault="004246B4" w:rsidP="004246B4">
      <w:pPr>
        <w:pStyle w:val="textstyle0"/>
      </w:pPr>
      <w:r>
        <w:tab/>
        <w:t>To</w:t>
      </w:r>
      <w:r w:rsidR="00FD79F8">
        <w:t xml:space="preserve"> help assure</w:t>
      </w:r>
      <w:r>
        <w:t xml:space="preserve"> awareness about impending </w:t>
      </w:r>
      <w:proofErr w:type="spellStart"/>
      <w:r>
        <w:t>CBPs</w:t>
      </w:r>
      <w:proofErr w:type="spellEnd"/>
      <w:r>
        <w:t xml:space="preserve"> to</w:t>
      </w:r>
      <w:r w:rsidR="00FD79F8">
        <w:t xml:space="preserve"> all potential</w:t>
      </w:r>
      <w:r>
        <w:t xml:space="preserve"> auction participants, Staff recommends that the Company or Auction manager place at least one advertisement in an appropriate publication for each auction.</w:t>
      </w:r>
      <w:r>
        <w:rPr>
          <w:rStyle w:val="FootnoteReference"/>
        </w:rPr>
        <w:footnoteReference w:id="206"/>
      </w:r>
    </w:p>
    <w:p w:rsidR="004246B4" w:rsidRPr="004246B4" w:rsidRDefault="004246B4" w:rsidP="004246B4">
      <w:pPr>
        <w:pStyle w:val="textstyle0"/>
      </w:pPr>
      <w:r>
        <w:lastRenderedPageBreak/>
        <w:tab/>
        <w:t>Finally, Staff suggests a</w:t>
      </w:r>
      <w:r w:rsidR="00FD79F8">
        <w:t xml:space="preserve"> revision to the proposed communication protocols that discuss</w:t>
      </w:r>
      <w:r>
        <w:t xml:space="preserve"> the way the post-auction</w:t>
      </w:r>
      <w:r w:rsidR="00FD79F8">
        <w:t xml:space="preserve"> Commission consultant</w:t>
      </w:r>
      <w:r>
        <w:t xml:space="preserve"> reports are</w:t>
      </w:r>
      <w:r w:rsidR="00FD79F8">
        <w:t xml:space="preserve"> to be</w:t>
      </w:r>
      <w:r>
        <w:t xml:space="preserve"> handled.</w:t>
      </w:r>
      <w:r>
        <w:rPr>
          <w:rStyle w:val="FootnoteReference"/>
        </w:rPr>
        <w:footnoteReference w:id="207"/>
      </w:r>
      <w:r>
        <w:t xml:space="preserve"> In the Company’s application, at page 6 of attachment E that pertains to communication protocols for the Company’s </w:t>
      </w:r>
      <w:proofErr w:type="spellStart"/>
      <w:r>
        <w:t>CBP</w:t>
      </w:r>
      <w:proofErr w:type="spellEnd"/>
      <w:r>
        <w:t>, the Company writes that the auction manager “shall” review the consultant’s post-auction report and the Company “shall” also receive a copy of the report.</w:t>
      </w:r>
      <w:r>
        <w:rPr>
          <w:rStyle w:val="FootnoteReference"/>
        </w:rPr>
        <w:footnoteReference w:id="208"/>
      </w:r>
      <w:r>
        <w:t xml:space="preserve"> </w:t>
      </w:r>
      <w:r w:rsidR="00F73CC2">
        <w:t xml:space="preserve"> </w:t>
      </w:r>
      <w:r>
        <w:t>Staff recommends changing “shall” to “may” in both instances.</w:t>
      </w:r>
      <w:r>
        <w:rPr>
          <w:rStyle w:val="FootnoteReference"/>
        </w:rPr>
        <w:footnoteReference w:id="209"/>
      </w:r>
      <w:r>
        <w:t xml:space="preserve"> </w:t>
      </w:r>
      <w:r w:rsidR="00F81FE2">
        <w:t xml:space="preserve"> </w:t>
      </w:r>
      <w:r>
        <w:t>In practice, the scenario outlined by the Company has not taken place and Staff does not foresee a reason why it should.</w:t>
      </w:r>
      <w:r>
        <w:rPr>
          <w:rStyle w:val="FootnoteReference"/>
        </w:rPr>
        <w:footnoteReference w:id="210"/>
      </w:r>
      <w:r>
        <w:t xml:space="preserve"> </w:t>
      </w:r>
      <w:r w:rsidR="00F81FE2">
        <w:t xml:space="preserve"> </w:t>
      </w:r>
      <w:r w:rsidR="00FD79F8">
        <w:t>However, by using “may” instead of “shall</w:t>
      </w:r>
      <w:r>
        <w:t>,” it</w:t>
      </w:r>
      <w:r w:rsidR="00FD79F8">
        <w:t xml:space="preserve"> allows for the possibility, but would not require that</w:t>
      </w:r>
      <w:r>
        <w:t xml:space="preserve"> the consultant could show the auction report to the auction manager</w:t>
      </w:r>
      <w:r w:rsidR="00FD79F8">
        <w:t xml:space="preserve"> or Company in order</w:t>
      </w:r>
      <w:r>
        <w:t xml:space="preserve"> to confirm information</w:t>
      </w:r>
      <w:r w:rsidR="00FD79F8">
        <w:t xml:space="preserve"> used in the report</w:t>
      </w:r>
      <w:r>
        <w:t>.</w:t>
      </w:r>
      <w:r>
        <w:rPr>
          <w:rStyle w:val="FootnoteReference"/>
        </w:rPr>
        <w:footnoteReference w:id="211"/>
      </w:r>
    </w:p>
    <w:p w:rsidR="001D2785" w:rsidRDefault="00C6144D" w:rsidP="00636051">
      <w:pPr>
        <w:pStyle w:val="Heading3"/>
      </w:pPr>
      <w:bookmarkStart w:id="48" w:name="_Toc406411846"/>
      <w:r>
        <w:t>2</w:t>
      </w:r>
      <w:r w:rsidR="00BD4BEB">
        <w:t>.</w:t>
      </w:r>
      <w:r w:rsidR="00BD4BEB">
        <w:tab/>
      </w:r>
      <w:r w:rsidR="00633BA6">
        <w:t>Duke</w:t>
      </w:r>
      <w:r w:rsidR="008C59D2">
        <w:t>’s</w:t>
      </w:r>
      <w:r w:rsidR="001D2785" w:rsidRPr="00701C5A">
        <w:t xml:space="preserve"> Reliability Expectations</w:t>
      </w:r>
      <w:bookmarkEnd w:id="48"/>
    </w:p>
    <w:p w:rsidR="00F26F3F" w:rsidRDefault="001D2785" w:rsidP="00673DB8">
      <w:pPr>
        <w:pStyle w:val="textstyle0"/>
      </w:pPr>
      <w:r w:rsidRPr="00701C5A">
        <w:rPr>
          <w:b/>
        </w:rPr>
        <w:tab/>
      </w:r>
      <w:r w:rsidRPr="00701C5A">
        <w:t>R.C. 4928.143(B)(2)(h) requires the Commission to examine the reliability of a utility’s distribution system to ensure the customers’ and utility’s reliability expectations are aligned before it approves an electric utility’s distribution infrastructure or modern</w:t>
      </w:r>
      <w:r w:rsidR="006E341A">
        <w:softHyphen/>
      </w:r>
      <w:r w:rsidRPr="00701C5A">
        <w:t>ization incentive as part of its ESP.</w:t>
      </w:r>
      <w:r w:rsidR="00FC05A5">
        <w:t xml:space="preserve">  </w:t>
      </w:r>
      <w:r w:rsidR="00FB14D8">
        <w:t xml:space="preserve">Staff has conducted an examination of Duke’s reliability performance as well as customer involvement in the establishment of Duke’s </w:t>
      </w:r>
      <w:r w:rsidR="00FB14D8">
        <w:lastRenderedPageBreak/>
        <w:t xml:space="preserve">reliability standards, and has filed the results in this proceeding. </w:t>
      </w:r>
      <w:r w:rsidR="00FC05A5">
        <w:t>O.A.C. 4901:1-10-10</w:t>
      </w:r>
      <w:r w:rsidR="00673DB8">
        <w:t>(B)(2) requires each electric utility</w:t>
      </w:r>
      <w:r w:rsidR="00FC05A5">
        <w:t xml:space="preserve"> in the state to file with the C</w:t>
      </w:r>
      <w:r w:rsidR="00673DB8">
        <w:t>ommission an application to establish company-specific minimum reliability performance standards.  As part of that application, electric utilities are to include supporting justification for the proposed methodology and each resulting performance standard.</w:t>
      </w:r>
      <w:r w:rsidR="00673DB8">
        <w:rPr>
          <w:rStyle w:val="FootnoteReference"/>
        </w:rPr>
        <w:footnoteReference w:id="212"/>
      </w:r>
      <w:r w:rsidR="00673DB8">
        <w:t xml:space="preserve">  The performance standards should reflect historical system performance, system design, technological advancements, service area geography, customer perception surveys, and other relevant factors.</w:t>
      </w:r>
      <w:r w:rsidR="00F26F3F">
        <w:rPr>
          <w:rStyle w:val="FootnoteReference"/>
        </w:rPr>
        <w:footnoteReference w:id="213"/>
      </w:r>
      <w:r w:rsidR="00673DB8">
        <w:t xml:space="preserve">  Staff’s r</w:t>
      </w:r>
      <w:r w:rsidR="00F26F3F">
        <w:t>eview mainly involves two steps.</w:t>
      </w:r>
      <w:r w:rsidR="00673DB8">
        <w:t xml:space="preserve">  The first step is to work with the company and other interested parties in establishing Commission-approved reliability standards that incorporate a consideration of historical performance, customer survey results, and input from customer groups.</w:t>
      </w:r>
      <w:r w:rsidR="00F26F3F">
        <w:rPr>
          <w:rStyle w:val="FootnoteReference"/>
        </w:rPr>
        <w:footnoteReference w:id="214"/>
      </w:r>
      <w:r w:rsidR="00673DB8">
        <w:t xml:space="preserve">  Once the performance standards are set, the second step is to monitor the utility’s performance against its reliability standards to ensure that the standards are met.</w:t>
      </w:r>
      <w:r w:rsidR="00F26F3F">
        <w:rPr>
          <w:rStyle w:val="FootnoteReference"/>
        </w:rPr>
        <w:footnoteReference w:id="215"/>
      </w:r>
      <w:r w:rsidR="00673DB8">
        <w:t xml:space="preserve">  If the electric utility meets its standards, Staff considers the utility’s reliability expectations to be in alignment with those of its customers.</w:t>
      </w:r>
      <w:r w:rsidR="00F26F3F">
        <w:rPr>
          <w:rStyle w:val="FootnoteReference"/>
        </w:rPr>
        <w:footnoteReference w:id="216"/>
      </w:r>
      <w:r w:rsidR="00673DB8">
        <w:t xml:space="preserve">  This methodology is appropriate because the establishment of standards </w:t>
      </w:r>
      <w:r w:rsidR="00673DB8">
        <w:lastRenderedPageBreak/>
        <w:t>includes a consideration of reliability survey results and participation of consumer groups.</w:t>
      </w:r>
      <w:r w:rsidR="00F26F3F">
        <w:rPr>
          <w:rStyle w:val="FootnoteReference"/>
        </w:rPr>
        <w:footnoteReference w:id="217"/>
      </w:r>
    </w:p>
    <w:p w:rsidR="00673DB8" w:rsidRDefault="00F26F3F" w:rsidP="00673DB8">
      <w:pPr>
        <w:pStyle w:val="textstyle0"/>
      </w:pPr>
      <w:r>
        <w:tab/>
      </w:r>
      <w:r w:rsidR="00673DB8">
        <w:t>Duke met both of its reliability performance standards during each of the years 2011, 2012, and 2013</w:t>
      </w:r>
      <w:r>
        <w:t>.</w:t>
      </w:r>
      <w:r w:rsidR="004F6DE0">
        <w:rPr>
          <w:rStyle w:val="FootnoteReference"/>
        </w:rPr>
        <w:footnoteReference w:id="218"/>
      </w:r>
      <w:r>
        <w:t xml:space="preserve">   </w:t>
      </w:r>
      <w:r w:rsidR="00673DB8">
        <w:t xml:space="preserve">On September 17, 2014, the Commission adopted new reliability standards for Duke in Case No. 13-1539-EL-ESS. </w:t>
      </w:r>
      <w:r w:rsidR="004F6DE0">
        <w:rPr>
          <w:rStyle w:val="FootnoteReference"/>
        </w:rPr>
        <w:footnoteReference w:id="219"/>
      </w:r>
      <w:r w:rsidR="00673DB8">
        <w:t xml:space="preserve"> </w:t>
      </w:r>
      <w:r w:rsidR="004F6DE0">
        <w:t xml:space="preserve"> </w:t>
      </w:r>
      <w:r w:rsidR="00673DB8">
        <w:t>In that case, Duke filed both its reliability-standards application as well as its latest reliability survey results on June 28, 2013.</w:t>
      </w:r>
      <w:r w:rsidR="004F6DE0">
        <w:rPr>
          <w:rStyle w:val="FootnoteReference"/>
        </w:rPr>
        <w:footnoteReference w:id="220"/>
      </w:r>
      <w:r w:rsidR="00673DB8">
        <w:t xml:space="preserve">  As a result, Duke’s reliability survey results were available for consideration by Staff and interested parties as part of the standard setting process.</w:t>
      </w:r>
      <w:r w:rsidR="004F6DE0">
        <w:rPr>
          <w:rStyle w:val="FootnoteReference"/>
        </w:rPr>
        <w:footnoteReference w:id="221"/>
      </w:r>
      <w:r>
        <w:t xml:space="preserve">  In the </w:t>
      </w:r>
      <w:r w:rsidR="00FB14D8">
        <w:t>Duke’s most recent standard-setting proceeding</w:t>
      </w:r>
      <w:r>
        <w:t>, the OCC</w:t>
      </w:r>
      <w:r w:rsidR="00673DB8">
        <w:t xml:space="preserve"> intervened in the case, filed comments (and reply comments) on Duke’s proposed new standards, and also participated in negotiations with Staff and the Company.</w:t>
      </w:r>
      <w:r w:rsidR="004F6DE0">
        <w:rPr>
          <w:rStyle w:val="FootnoteReference"/>
        </w:rPr>
        <w:footnoteReference w:id="222"/>
      </w:r>
      <w:r w:rsidR="00673DB8">
        <w:t xml:space="preserve">  </w:t>
      </w:r>
    </w:p>
    <w:p w:rsidR="001D2785" w:rsidRPr="00701C5A" w:rsidRDefault="00F26F3F" w:rsidP="00673DB8">
      <w:pPr>
        <w:pStyle w:val="textstyle0"/>
      </w:pPr>
      <w:r>
        <w:tab/>
        <w:t xml:space="preserve">Staff </w:t>
      </w:r>
      <w:r w:rsidR="00673DB8">
        <w:t>believe</w:t>
      </w:r>
      <w:r>
        <w:t>s</w:t>
      </w:r>
      <w:r w:rsidR="00673DB8">
        <w:t xml:space="preserve"> that Duke’s reliability expectations are in alignm</w:t>
      </w:r>
      <w:r>
        <w:t>ent with those of its customers</w:t>
      </w:r>
      <w:r w:rsidR="00FB14D8">
        <w:t xml:space="preserve"> based on the following three reasons: first, Duke has met its reliability performance standards during each of the past three years; second, Duke’s latest reliability survey results were available for consideration in the Company’s most recent </w:t>
      </w:r>
      <w:r w:rsidR="00FB14D8">
        <w:lastRenderedPageBreak/>
        <w:t>reliability standards case; and third, the fact that OCC participated in that case.</w:t>
      </w:r>
      <w:r w:rsidR="00FB14D8" w:rsidRPr="00FB14D8">
        <w:rPr>
          <w:rStyle w:val="FootnoteReference"/>
        </w:rPr>
        <w:t xml:space="preserve"> </w:t>
      </w:r>
      <w:r w:rsidR="00FB14D8">
        <w:rPr>
          <w:rStyle w:val="FootnoteReference"/>
        </w:rPr>
        <w:footnoteReference w:id="223"/>
      </w:r>
      <w:r>
        <w:t xml:space="preserve">  </w:t>
      </w:r>
      <w:r w:rsidR="001D2785" w:rsidRPr="00701C5A">
        <w:t>Staff</w:t>
      </w:r>
      <w:r w:rsidR="00FB14D8">
        <w:t xml:space="preserve"> therefore</w:t>
      </w:r>
      <w:r w:rsidR="001D2785" w:rsidRPr="00701C5A">
        <w:t xml:space="preserve"> recommends the Commission find that </w:t>
      </w:r>
      <w:r w:rsidR="00633BA6">
        <w:t>Duke</w:t>
      </w:r>
      <w:r w:rsidR="001D2785" w:rsidRPr="00701C5A">
        <w:t>’s reliability expectations</w:t>
      </w:r>
      <w:r w:rsidR="00FB14D8">
        <w:t xml:space="preserve"> are</w:t>
      </w:r>
      <w:r w:rsidR="001D2785" w:rsidRPr="00701C5A">
        <w:t xml:space="preserve"> aligned with those of its customers.</w:t>
      </w:r>
      <w:r w:rsidR="004F6DE0">
        <w:rPr>
          <w:rStyle w:val="FootnoteReference"/>
        </w:rPr>
        <w:footnoteReference w:id="224"/>
      </w:r>
    </w:p>
    <w:p w:rsidR="00367E3D" w:rsidRDefault="00C6144D" w:rsidP="00636051">
      <w:pPr>
        <w:pStyle w:val="Heading3"/>
      </w:pPr>
      <w:bookmarkStart w:id="49" w:name="_Toc406411847"/>
      <w:r>
        <w:t>3</w:t>
      </w:r>
      <w:r w:rsidR="00BD4BEB">
        <w:t>.</w:t>
      </w:r>
      <w:r w:rsidR="00F578FA">
        <w:tab/>
        <w:t>The Load Factor Adjustment Rider (“</w:t>
      </w:r>
      <w:proofErr w:type="spellStart"/>
      <w:r w:rsidR="00D00FAE">
        <w:t>LFA</w:t>
      </w:r>
      <w:proofErr w:type="spellEnd"/>
      <w:r w:rsidR="00F578FA">
        <w:t>”)</w:t>
      </w:r>
      <w:bookmarkEnd w:id="49"/>
      <w:r w:rsidR="005432CA">
        <w:t xml:space="preserve"> </w:t>
      </w:r>
    </w:p>
    <w:p w:rsidR="00367E3D" w:rsidRPr="00BE6B4D" w:rsidRDefault="00367E3D" w:rsidP="00367E3D">
      <w:pPr>
        <w:pStyle w:val="question"/>
        <w:spacing w:line="480" w:lineRule="auto"/>
        <w:ind w:left="0" w:firstLine="0"/>
      </w:pPr>
      <w:r>
        <w:tab/>
      </w:r>
      <w:r w:rsidRPr="00BE6B4D">
        <w:t xml:space="preserve">The company is proposing to eliminate the </w:t>
      </w:r>
      <w:proofErr w:type="spellStart"/>
      <w:r w:rsidRPr="00BE6B4D">
        <w:t>L</w:t>
      </w:r>
      <w:r>
        <w:t>FA</w:t>
      </w:r>
      <w:proofErr w:type="spellEnd"/>
      <w:r>
        <w:t xml:space="preserve"> rider effective June 1, 2015 </w:t>
      </w:r>
      <w:r w:rsidRPr="00BE6B4D">
        <w:t>subject only to a true-up.</w:t>
      </w:r>
      <w:r>
        <w:rPr>
          <w:rStyle w:val="FootnoteReference"/>
        </w:rPr>
        <w:footnoteReference w:id="225"/>
      </w:r>
      <w:r w:rsidRPr="00BE6B4D">
        <w:t xml:space="preserve">  Once the rider is trued up, the Company proposes to eliminate the tariff schedule.</w:t>
      </w:r>
      <w:r>
        <w:rPr>
          <w:rStyle w:val="FootnoteReference"/>
        </w:rPr>
        <w:footnoteReference w:id="226"/>
      </w:r>
      <w:r w:rsidRPr="00BE6B4D">
        <w:t xml:space="preserve">  Staff</w:t>
      </w:r>
      <w:r>
        <w:t xml:space="preserve"> does not</w:t>
      </w:r>
      <w:r w:rsidRPr="00BE6B4D">
        <w:t xml:space="preserve"> recommend the immedia</w:t>
      </w:r>
      <w:r>
        <w:t xml:space="preserve">te elimination of the </w:t>
      </w:r>
      <w:proofErr w:type="spellStart"/>
      <w:r>
        <w:t>LFA</w:t>
      </w:r>
      <w:proofErr w:type="spellEnd"/>
      <w:r>
        <w:t xml:space="preserve"> Rider.</w:t>
      </w:r>
      <w:r>
        <w:rPr>
          <w:rStyle w:val="FootnoteReference"/>
        </w:rPr>
        <w:footnoteReference w:id="227"/>
      </w:r>
      <w:r>
        <w:t xml:space="preserve">  W</w:t>
      </w:r>
      <w:r w:rsidRPr="00BE6B4D">
        <w:t xml:space="preserve">hile Staff does agree that the </w:t>
      </w:r>
      <w:proofErr w:type="spellStart"/>
      <w:r w:rsidRPr="00BE6B4D">
        <w:t>LFA</w:t>
      </w:r>
      <w:proofErr w:type="spellEnd"/>
      <w:r w:rsidRPr="00BE6B4D">
        <w:t xml:space="preserve"> Rider should be eliminated, Staff believes that the initial rate increase to certain customers would be too high and thus the rider should be phased out over the period of the ESP.</w:t>
      </w:r>
      <w:r w:rsidR="008C59D2">
        <w:rPr>
          <w:rStyle w:val="FootnoteReference"/>
        </w:rPr>
        <w:footnoteReference w:id="228"/>
      </w:r>
      <w:r w:rsidRPr="00BE6B4D">
        <w:t xml:space="preserve">  </w:t>
      </w:r>
    </w:p>
    <w:p w:rsidR="00367E3D" w:rsidRDefault="00367E3D" w:rsidP="00367E3D">
      <w:pPr>
        <w:pStyle w:val="question"/>
        <w:spacing w:line="480" w:lineRule="auto"/>
        <w:ind w:left="0" w:firstLine="0"/>
      </w:pPr>
      <w:r>
        <w:tab/>
      </w:r>
      <w:r w:rsidRPr="00BE6B4D">
        <w:t>Staff estimated the rate impacts to the customers as shown in the chart below.</w:t>
      </w:r>
      <w:r w:rsidR="008C59D2">
        <w:rPr>
          <w:rStyle w:val="FootnoteReference"/>
        </w:rPr>
        <w:footnoteReference w:id="229"/>
      </w:r>
      <w:r w:rsidRPr="00BE6B4D">
        <w:t xml:space="preserve">  The chart is an estimate of total bill impacts.</w:t>
      </w:r>
      <w:r w:rsidR="008C59D2">
        <w:rPr>
          <w:rStyle w:val="FootnoteReference"/>
        </w:rPr>
        <w:footnoteReference w:id="230"/>
      </w:r>
      <w:r w:rsidRPr="00BE6B4D">
        <w:t xml:space="preserve"> </w:t>
      </w:r>
    </w:p>
    <w:p w:rsidR="00367E3D" w:rsidRPr="00BE6B4D" w:rsidRDefault="00367E3D" w:rsidP="00367E3D">
      <w:pPr>
        <w:pStyle w:val="question"/>
        <w:ind w:left="0" w:firstLine="0"/>
      </w:pPr>
    </w:p>
    <w:p w:rsidR="00367E3D" w:rsidRPr="00BE6B4D" w:rsidRDefault="00367E3D" w:rsidP="00367E3D">
      <w:pPr>
        <w:pStyle w:val="question"/>
      </w:pPr>
      <w:r w:rsidRPr="00BE6B4D">
        <w:lastRenderedPageBreak/>
        <w:tab/>
        <w:t xml:space="preserve">    </w:t>
      </w:r>
      <w:r w:rsidRPr="00BE6B4D">
        <w:rPr>
          <w:noProof/>
        </w:rPr>
        <w:drawing>
          <wp:inline distT="0" distB="0" distL="0" distR="0" wp14:anchorId="16DAECBD" wp14:editId="67B8C01D">
            <wp:extent cx="4791075" cy="2362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1075" cy="2362200"/>
                    </a:xfrm>
                    <a:prstGeom prst="rect">
                      <a:avLst/>
                    </a:prstGeom>
                    <a:noFill/>
                    <a:ln>
                      <a:noFill/>
                    </a:ln>
                  </pic:spPr>
                </pic:pic>
              </a:graphicData>
            </a:graphic>
          </wp:inline>
        </w:drawing>
      </w:r>
    </w:p>
    <w:p w:rsidR="00367E3D" w:rsidRPr="00BE6B4D" w:rsidRDefault="00367E3D" w:rsidP="00367E3D">
      <w:pPr>
        <w:pStyle w:val="question"/>
        <w:ind w:left="0" w:firstLine="0"/>
      </w:pPr>
    </w:p>
    <w:p w:rsidR="00367E3D" w:rsidRPr="00BE6B4D" w:rsidRDefault="00367E3D" w:rsidP="00367E3D">
      <w:pPr>
        <w:pStyle w:val="question"/>
        <w:ind w:left="0" w:firstLine="0"/>
      </w:pPr>
      <w:r w:rsidRPr="00BE6B4D">
        <w:tab/>
        <w:t xml:space="preserve">    </w:t>
      </w:r>
    </w:p>
    <w:p w:rsidR="00AE61CE" w:rsidRDefault="00367E3D" w:rsidP="0054011E">
      <w:pPr>
        <w:pStyle w:val="question"/>
        <w:spacing w:line="480" w:lineRule="auto"/>
        <w:ind w:left="0" w:firstLine="0"/>
      </w:pPr>
      <w:r>
        <w:tab/>
      </w:r>
      <w:r w:rsidRPr="00BE6B4D">
        <w:t xml:space="preserve">Staff’s suggested solution to mitigate the rate impact to customers </w:t>
      </w:r>
      <w:r>
        <w:t xml:space="preserve">is </w:t>
      </w:r>
      <w:r w:rsidRPr="00BE6B4D">
        <w:t xml:space="preserve">that the </w:t>
      </w:r>
      <w:proofErr w:type="spellStart"/>
      <w:r w:rsidRPr="00BE6B4D">
        <w:t>LFA</w:t>
      </w:r>
      <w:proofErr w:type="spellEnd"/>
      <w:r w:rsidRPr="00BE6B4D">
        <w:t xml:space="preserve"> Rider should be phased out over the term of the ESP.</w:t>
      </w:r>
      <w:r w:rsidR="008C59D2">
        <w:rPr>
          <w:rStyle w:val="FootnoteReference"/>
        </w:rPr>
        <w:footnoteReference w:id="231"/>
      </w:r>
      <w:r w:rsidR="00A059B0">
        <w:t xml:space="preserve">  </w:t>
      </w:r>
      <w:r w:rsidRPr="00BE6B4D">
        <w:t>Staff suggest</w:t>
      </w:r>
      <w:r>
        <w:t>s</w:t>
      </w:r>
      <w:r w:rsidRPr="00BE6B4D">
        <w:t xml:space="preserve"> that the </w:t>
      </w:r>
      <w:proofErr w:type="spellStart"/>
      <w:r w:rsidRPr="00BE6B4D">
        <w:t>LFA</w:t>
      </w:r>
      <w:proofErr w:type="spellEnd"/>
      <w:r w:rsidRPr="00BE6B4D">
        <w:t xml:space="preserve"> rider is reduced by 33% in year one and two and 34% in year three, with a true up to follow for any remaining balance.</w:t>
      </w:r>
      <w:r w:rsidR="008C59D2">
        <w:rPr>
          <w:rStyle w:val="FootnoteReference"/>
        </w:rPr>
        <w:footnoteReference w:id="232"/>
      </w:r>
      <w:r w:rsidRPr="00BE6B4D">
        <w:t xml:space="preserve">   Once the rider has been trued up, the Company can eliminate the tariff schedule.</w:t>
      </w:r>
      <w:r w:rsidR="008C59D2">
        <w:rPr>
          <w:rStyle w:val="FootnoteReference"/>
        </w:rPr>
        <w:footnoteReference w:id="233"/>
      </w:r>
      <w:r w:rsidR="008C59D2">
        <w:t xml:space="preserve">  </w:t>
      </w:r>
      <w:r w:rsidRPr="00BE6B4D">
        <w:t xml:space="preserve">This will reduce the initial rate impact of those customers receiving a credit for the </w:t>
      </w:r>
      <w:proofErr w:type="spellStart"/>
      <w:r w:rsidRPr="00BE6B4D">
        <w:t>LFA</w:t>
      </w:r>
      <w:proofErr w:type="spellEnd"/>
      <w:r w:rsidRPr="00BE6B4D">
        <w:t xml:space="preserve"> Rider, while still reducing the cost of those customers that are paying into the </w:t>
      </w:r>
      <w:proofErr w:type="spellStart"/>
      <w:r w:rsidRPr="00BE6B4D">
        <w:t>LFA</w:t>
      </w:r>
      <w:proofErr w:type="spellEnd"/>
      <w:r w:rsidRPr="00BE6B4D">
        <w:t xml:space="preserve"> Rider.</w:t>
      </w:r>
      <w:r w:rsidR="008C59D2">
        <w:rPr>
          <w:rStyle w:val="FootnoteReference"/>
        </w:rPr>
        <w:footnoteReference w:id="234"/>
      </w:r>
      <w:r w:rsidRPr="00BE6B4D">
        <w:t xml:space="preserve">   </w:t>
      </w:r>
    </w:p>
    <w:p w:rsidR="0032104E" w:rsidRDefault="0032104E" w:rsidP="0032104E">
      <w:pPr>
        <w:pStyle w:val="Heading3"/>
      </w:pPr>
      <w:bookmarkStart w:id="50" w:name="_Toc406411848"/>
      <w:r>
        <w:lastRenderedPageBreak/>
        <w:t>4.</w:t>
      </w:r>
      <w:r>
        <w:tab/>
      </w:r>
      <w:bookmarkStart w:id="51" w:name="_Toc395880363"/>
      <w:bookmarkStart w:id="52" w:name="_Toc395880290"/>
      <w:bookmarkStart w:id="53" w:name="_Toc395787502"/>
      <w:bookmarkStart w:id="54" w:name="_Toc395786688"/>
      <w:r>
        <w:t>ESP Versus MRO Test</w:t>
      </w:r>
      <w:bookmarkEnd w:id="51"/>
      <w:bookmarkEnd w:id="52"/>
      <w:bookmarkEnd w:id="53"/>
      <w:bookmarkEnd w:id="54"/>
      <w:bookmarkEnd w:id="50"/>
    </w:p>
    <w:p w:rsidR="0032104E" w:rsidRDefault="0032104E" w:rsidP="00E95018">
      <w:pPr>
        <w:spacing w:line="480" w:lineRule="auto"/>
        <w:ind w:firstLine="720"/>
        <w:rPr>
          <w:sz w:val="26"/>
          <w:szCs w:val="24"/>
        </w:rPr>
      </w:pPr>
      <w:r>
        <w:rPr>
          <w:sz w:val="26"/>
          <w:szCs w:val="24"/>
        </w:rPr>
        <w:t>Duke has proposed an ESP to fulfill its obligation to provide a SSO under R.C. 4928.141.  The Company submits that its proposed ESP will have the effect of stabilizing and providing certainty regarding retail electric service and is more favorable than the expected results that would otherwise apply under R.C. 4928.142.</w:t>
      </w:r>
      <w:r>
        <w:rPr>
          <w:rStyle w:val="FootnoteReference"/>
          <w:sz w:val="26"/>
          <w:szCs w:val="24"/>
        </w:rPr>
        <w:footnoteReference w:id="235"/>
      </w:r>
      <w:r>
        <w:rPr>
          <w:sz w:val="26"/>
          <w:szCs w:val="24"/>
        </w:rPr>
        <w:t xml:space="preserve"> </w:t>
      </w:r>
    </w:p>
    <w:p w:rsidR="0032104E" w:rsidRPr="00344688" w:rsidRDefault="00344688" w:rsidP="00344688">
      <w:pPr>
        <w:pStyle w:val="question"/>
        <w:spacing w:line="480" w:lineRule="auto"/>
        <w:ind w:left="0" w:firstLine="0"/>
      </w:pPr>
      <w:r>
        <w:rPr>
          <w:szCs w:val="24"/>
        </w:rPr>
        <w:tab/>
      </w:r>
      <w:r w:rsidR="0032104E">
        <w:rPr>
          <w:szCs w:val="24"/>
        </w:rPr>
        <w:t xml:space="preserve">While a number of intervenors offered arguments on whether the Company’s proposed ESP satisfied this statutory test, the Staff did not do so.  Staff does have an opinion on the issue. </w:t>
      </w:r>
      <w:r>
        <w:rPr>
          <w:szCs w:val="24"/>
        </w:rPr>
        <w:t xml:space="preserve"> </w:t>
      </w:r>
      <w:r w:rsidR="0032104E">
        <w:rPr>
          <w:szCs w:val="24"/>
        </w:rPr>
        <w:t>Specifically, Staff witness Turkenton testified that when all provisions of the ESP application are considered, she believed that the ESP,</w:t>
      </w:r>
      <w:r w:rsidR="0032104E">
        <w:t xml:space="preserve"> </w:t>
      </w:r>
      <w:r w:rsidR="0032104E">
        <w:rPr>
          <w:szCs w:val="24"/>
        </w:rPr>
        <w:t>with Staff’s recommended modifications, was more favorable in the aggregate than an MRO application would be.</w:t>
      </w:r>
      <w:r w:rsidR="0032104E">
        <w:rPr>
          <w:szCs w:val="24"/>
          <w:vertAlign w:val="superscript"/>
        </w:rPr>
        <w:footnoteReference w:id="236"/>
      </w:r>
      <w:r w:rsidR="0032104E">
        <w:rPr>
          <w:szCs w:val="24"/>
        </w:rPr>
        <w:t xml:space="preserve">  She bas</w:t>
      </w:r>
      <w:r>
        <w:rPr>
          <w:szCs w:val="24"/>
        </w:rPr>
        <w:t>ed her opinion on the fact that generation rates for the SSO are base</w:t>
      </w:r>
      <w:r w:rsidR="000132E0">
        <w:rPr>
          <w:szCs w:val="24"/>
        </w:rPr>
        <w:t>d on market-based a</w:t>
      </w:r>
      <w:r>
        <w:rPr>
          <w:szCs w:val="24"/>
        </w:rPr>
        <w:t>uction prices</w:t>
      </w:r>
      <w:r w:rsidR="0032104E">
        <w:rPr>
          <w:szCs w:val="24"/>
        </w:rPr>
        <w:t>, and</w:t>
      </w:r>
      <w:r>
        <w:rPr>
          <w:szCs w:val="24"/>
        </w:rPr>
        <w:t xml:space="preserve"> as a result,</w:t>
      </w:r>
      <w:r w:rsidR="0032104E">
        <w:rPr>
          <w:szCs w:val="24"/>
        </w:rPr>
        <w:t xml:space="preserve"> there would be no difference between market-based generation rates under a MRO or ESP filing.</w:t>
      </w:r>
      <w:r w:rsidR="006375F7">
        <w:rPr>
          <w:rStyle w:val="FootnoteReference"/>
          <w:szCs w:val="24"/>
        </w:rPr>
        <w:footnoteReference w:id="237"/>
      </w:r>
      <w:r w:rsidR="0032104E">
        <w:rPr>
          <w:szCs w:val="24"/>
        </w:rPr>
        <w:t xml:space="preserve">  She also considered qualitative benefits that result from the ESP application, including a</w:t>
      </w:r>
      <w:r>
        <w:rPr>
          <w:szCs w:val="24"/>
        </w:rPr>
        <w:t xml:space="preserve"> new Rider</w:t>
      </w:r>
      <w:r w:rsidR="0032104E">
        <w:rPr>
          <w:szCs w:val="24"/>
        </w:rPr>
        <w:t xml:space="preserve"> </w:t>
      </w:r>
      <w:r>
        <w:rPr>
          <w:szCs w:val="24"/>
        </w:rPr>
        <w:t xml:space="preserve">DCI which provides an </w:t>
      </w:r>
      <w:r w:rsidRPr="00344688">
        <w:t>economical and efficient process enabling the Company to make investments in its distribution system, improving both the safety and reliabil</w:t>
      </w:r>
      <w:r>
        <w:t>ity of the distribution system</w:t>
      </w:r>
      <w:r w:rsidR="0032104E">
        <w:rPr>
          <w:szCs w:val="24"/>
        </w:rPr>
        <w:t>.</w:t>
      </w:r>
      <w:r w:rsidR="0032104E">
        <w:rPr>
          <w:szCs w:val="24"/>
          <w:vertAlign w:val="superscript"/>
        </w:rPr>
        <w:footnoteReference w:id="238"/>
      </w:r>
    </w:p>
    <w:p w:rsidR="0032104E" w:rsidRDefault="0032104E" w:rsidP="0032104E">
      <w:pPr>
        <w:spacing w:line="480" w:lineRule="auto"/>
        <w:ind w:firstLine="720"/>
        <w:rPr>
          <w:sz w:val="26"/>
          <w:szCs w:val="24"/>
        </w:rPr>
      </w:pPr>
      <w:r>
        <w:rPr>
          <w:sz w:val="26"/>
          <w:szCs w:val="24"/>
        </w:rPr>
        <w:lastRenderedPageBreak/>
        <w:t xml:space="preserve">Staff’s opinion was based on approval of the ESP </w:t>
      </w:r>
      <w:r w:rsidRPr="00BE7DFB">
        <w:rPr>
          <w:sz w:val="26"/>
          <w:szCs w:val="24"/>
        </w:rPr>
        <w:t>not</w:t>
      </w:r>
      <w:r>
        <w:rPr>
          <w:sz w:val="26"/>
          <w:szCs w:val="24"/>
        </w:rPr>
        <w:t xml:space="preserve"> as proposed by the Company, but as </w:t>
      </w:r>
      <w:r w:rsidRPr="00BE7DFB">
        <w:rPr>
          <w:sz w:val="26"/>
          <w:szCs w:val="24"/>
        </w:rPr>
        <w:t>modified</w:t>
      </w:r>
      <w:r>
        <w:rPr>
          <w:sz w:val="26"/>
          <w:szCs w:val="24"/>
        </w:rPr>
        <w:t xml:space="preserve"> by </w:t>
      </w:r>
      <w:r w:rsidRPr="00B97F75">
        <w:rPr>
          <w:sz w:val="26"/>
          <w:szCs w:val="26"/>
        </w:rPr>
        <w:t>the Staff.</w:t>
      </w:r>
      <w:r w:rsidRPr="00B97F75">
        <w:rPr>
          <w:sz w:val="26"/>
          <w:szCs w:val="26"/>
          <w:vertAlign w:val="superscript"/>
        </w:rPr>
        <w:footnoteReference w:id="239"/>
      </w:r>
      <w:r w:rsidRPr="00B97F75">
        <w:rPr>
          <w:sz w:val="26"/>
          <w:szCs w:val="26"/>
        </w:rPr>
        <w:t xml:space="preserve">  Staff did not perform an analysis as to whether the ESP as proposed by the Company, without Staff’s modifications, would pass the ESP v. MRO test,</w:t>
      </w:r>
      <w:r w:rsidRPr="00B97F75">
        <w:rPr>
          <w:sz w:val="26"/>
          <w:szCs w:val="26"/>
          <w:vertAlign w:val="superscript"/>
        </w:rPr>
        <w:footnoteReference w:id="240"/>
      </w:r>
      <w:r w:rsidRPr="00B97F75">
        <w:rPr>
          <w:sz w:val="26"/>
          <w:szCs w:val="26"/>
        </w:rPr>
        <w:t xml:space="preserve"> and offers no opinion on that question.</w:t>
      </w:r>
      <w:r w:rsidR="00B97F75" w:rsidRPr="00B97F75">
        <w:rPr>
          <w:sz w:val="26"/>
          <w:szCs w:val="26"/>
        </w:rPr>
        <w:t xml:space="preserve">  </w:t>
      </w:r>
      <w:r w:rsidR="00B97F75">
        <w:rPr>
          <w:sz w:val="26"/>
          <w:szCs w:val="26"/>
        </w:rPr>
        <w:t>I</w:t>
      </w:r>
      <w:r w:rsidR="00B97F75" w:rsidRPr="00B97F75">
        <w:rPr>
          <w:sz w:val="26"/>
          <w:szCs w:val="26"/>
        </w:rPr>
        <w:t>f</w:t>
      </w:r>
      <w:r w:rsidR="00B97F75">
        <w:rPr>
          <w:sz w:val="26"/>
          <w:szCs w:val="26"/>
        </w:rPr>
        <w:t xml:space="preserve"> the Commission approves the </w:t>
      </w:r>
      <w:proofErr w:type="spellStart"/>
      <w:r w:rsidR="00B97F75">
        <w:rPr>
          <w:sz w:val="26"/>
          <w:szCs w:val="26"/>
        </w:rPr>
        <w:t>PSR</w:t>
      </w:r>
      <w:proofErr w:type="spellEnd"/>
      <w:r w:rsidR="00B97F75">
        <w:rPr>
          <w:sz w:val="26"/>
          <w:szCs w:val="26"/>
        </w:rPr>
        <w:t>,</w:t>
      </w:r>
      <w:r w:rsidR="00B97F75" w:rsidRPr="00B97F75">
        <w:rPr>
          <w:sz w:val="26"/>
          <w:szCs w:val="26"/>
        </w:rPr>
        <w:t xml:space="preserve"> the Staff would need to perform the test again to see if </w:t>
      </w:r>
      <w:r w:rsidR="00C123C9">
        <w:rPr>
          <w:sz w:val="26"/>
          <w:szCs w:val="26"/>
        </w:rPr>
        <w:t>it fails or passes</w:t>
      </w:r>
      <w:r w:rsidR="00B97F75" w:rsidRPr="00B97F75">
        <w:rPr>
          <w:sz w:val="26"/>
          <w:szCs w:val="26"/>
        </w:rPr>
        <w:t>.</w:t>
      </w:r>
      <w:r w:rsidR="00B97F75">
        <w:rPr>
          <w:rStyle w:val="FootnoteReference"/>
          <w:sz w:val="26"/>
          <w:szCs w:val="26"/>
        </w:rPr>
        <w:footnoteReference w:id="241"/>
      </w:r>
      <w:r w:rsidRPr="00B97F75">
        <w:rPr>
          <w:sz w:val="26"/>
          <w:szCs w:val="24"/>
        </w:rPr>
        <w:t xml:space="preserve"> </w:t>
      </w:r>
    </w:p>
    <w:p w:rsidR="0032104E" w:rsidRDefault="0032104E" w:rsidP="0054011E">
      <w:pPr>
        <w:pStyle w:val="question"/>
        <w:spacing w:line="480" w:lineRule="auto"/>
        <w:ind w:left="0" w:firstLine="0"/>
      </w:pPr>
    </w:p>
    <w:p w:rsidR="001813E7" w:rsidRDefault="001813E7" w:rsidP="0054011E">
      <w:pPr>
        <w:pStyle w:val="question"/>
        <w:spacing w:line="480" w:lineRule="auto"/>
        <w:ind w:left="0" w:firstLine="0"/>
      </w:pPr>
    </w:p>
    <w:p w:rsidR="00C76E80" w:rsidRDefault="00C76E80" w:rsidP="0054011E">
      <w:pPr>
        <w:pStyle w:val="question"/>
        <w:spacing w:line="480" w:lineRule="auto"/>
        <w:ind w:left="0" w:firstLine="0"/>
      </w:pPr>
    </w:p>
    <w:p w:rsidR="00C76E80" w:rsidRDefault="00C76E80" w:rsidP="0054011E">
      <w:pPr>
        <w:pStyle w:val="question"/>
        <w:spacing w:line="480" w:lineRule="auto"/>
        <w:ind w:left="0" w:firstLine="0"/>
      </w:pPr>
    </w:p>
    <w:p w:rsidR="00C76E80" w:rsidRDefault="00C76E80" w:rsidP="0054011E">
      <w:pPr>
        <w:pStyle w:val="question"/>
        <w:spacing w:line="480" w:lineRule="auto"/>
        <w:ind w:left="0" w:firstLine="0"/>
      </w:pPr>
    </w:p>
    <w:p w:rsidR="00C76E80" w:rsidRDefault="00C76E80" w:rsidP="0054011E">
      <w:pPr>
        <w:pStyle w:val="question"/>
        <w:spacing w:line="480" w:lineRule="auto"/>
        <w:ind w:left="0" w:firstLine="0"/>
      </w:pPr>
    </w:p>
    <w:p w:rsidR="00C76E80" w:rsidRDefault="00C76E80" w:rsidP="0054011E">
      <w:pPr>
        <w:pStyle w:val="question"/>
        <w:spacing w:line="480" w:lineRule="auto"/>
        <w:ind w:left="0" w:firstLine="0"/>
      </w:pPr>
    </w:p>
    <w:p w:rsidR="00C76E80" w:rsidRDefault="00C76E80" w:rsidP="0054011E">
      <w:pPr>
        <w:pStyle w:val="question"/>
        <w:spacing w:line="480" w:lineRule="auto"/>
        <w:ind w:left="0" w:firstLine="0"/>
      </w:pPr>
    </w:p>
    <w:p w:rsidR="00C76E80" w:rsidRDefault="00C76E80" w:rsidP="0054011E">
      <w:pPr>
        <w:pStyle w:val="question"/>
        <w:spacing w:line="480" w:lineRule="auto"/>
        <w:ind w:left="0" w:firstLine="0"/>
      </w:pPr>
    </w:p>
    <w:p w:rsidR="001D2785" w:rsidRDefault="001D2785" w:rsidP="007E142F">
      <w:pPr>
        <w:pStyle w:val="Heading1"/>
      </w:pPr>
      <w:bookmarkStart w:id="55" w:name="_Toc406411849"/>
      <w:bookmarkStart w:id="56" w:name="_GoBack"/>
      <w:bookmarkEnd w:id="56"/>
      <w:r>
        <w:lastRenderedPageBreak/>
        <w:t>CONCLUSION</w:t>
      </w:r>
      <w:bookmarkEnd w:id="55"/>
    </w:p>
    <w:p w:rsidR="001D2785" w:rsidRDefault="00A91742" w:rsidP="00CE7318">
      <w:pPr>
        <w:pStyle w:val="textstyle0"/>
      </w:pPr>
      <w:r>
        <w:tab/>
        <w:t xml:space="preserve">Staff recommends that the Commission approve </w:t>
      </w:r>
      <w:r w:rsidR="00633BA6">
        <w:t>Duke</w:t>
      </w:r>
      <w:r>
        <w:t xml:space="preserve">’s application, with the above modifications.  Staff believes these modifications will result in </w:t>
      </w:r>
      <w:r w:rsidR="0019398A">
        <w:t>an</w:t>
      </w:r>
      <w:r>
        <w:t xml:space="preserve"> ESP that will benefit all parties</w:t>
      </w:r>
      <w:r w:rsidR="0019398A">
        <w:t xml:space="preserve"> involved. </w:t>
      </w:r>
    </w:p>
    <w:p w:rsidR="001D2785" w:rsidRPr="0064436A" w:rsidRDefault="001D2785" w:rsidP="001D2785">
      <w:pPr>
        <w:tabs>
          <w:tab w:val="left" w:pos="9348"/>
        </w:tabs>
        <w:spacing w:line="480" w:lineRule="auto"/>
        <w:ind w:left="5040"/>
        <w:rPr>
          <w:sz w:val="26"/>
          <w:szCs w:val="26"/>
        </w:rPr>
      </w:pPr>
      <w:r w:rsidRPr="0064436A">
        <w:rPr>
          <w:sz w:val="26"/>
          <w:szCs w:val="26"/>
        </w:rPr>
        <w:t>Respectfully submitted,</w:t>
      </w:r>
    </w:p>
    <w:p w:rsidR="001D2785" w:rsidRPr="0064436A" w:rsidRDefault="001D2785" w:rsidP="001D2785">
      <w:pPr>
        <w:tabs>
          <w:tab w:val="left" w:pos="9348"/>
        </w:tabs>
        <w:ind w:left="5040"/>
        <w:rPr>
          <w:sz w:val="26"/>
          <w:szCs w:val="26"/>
        </w:rPr>
      </w:pPr>
      <w:r>
        <w:rPr>
          <w:b/>
          <w:sz w:val="26"/>
          <w:szCs w:val="26"/>
        </w:rPr>
        <w:t>Michael DeWine</w:t>
      </w:r>
    </w:p>
    <w:p w:rsidR="001D2785" w:rsidRPr="0064436A" w:rsidRDefault="001D2785" w:rsidP="001D2785">
      <w:pPr>
        <w:tabs>
          <w:tab w:val="left" w:pos="9348"/>
        </w:tabs>
        <w:ind w:left="5040"/>
        <w:rPr>
          <w:sz w:val="26"/>
          <w:szCs w:val="26"/>
        </w:rPr>
      </w:pPr>
      <w:r w:rsidRPr="0064436A">
        <w:rPr>
          <w:sz w:val="26"/>
          <w:szCs w:val="26"/>
        </w:rPr>
        <w:t>Ohio Attorney General</w:t>
      </w:r>
    </w:p>
    <w:p w:rsidR="001D2785" w:rsidRPr="0064436A" w:rsidRDefault="001D2785" w:rsidP="001D2785">
      <w:pPr>
        <w:tabs>
          <w:tab w:val="left" w:pos="9348"/>
        </w:tabs>
        <w:ind w:left="5040"/>
        <w:rPr>
          <w:sz w:val="26"/>
          <w:szCs w:val="26"/>
        </w:rPr>
      </w:pPr>
    </w:p>
    <w:p w:rsidR="001D2785" w:rsidRDefault="001D2785" w:rsidP="001D2785">
      <w:pPr>
        <w:tabs>
          <w:tab w:val="left" w:pos="9348"/>
        </w:tabs>
        <w:ind w:left="5040"/>
        <w:rPr>
          <w:b/>
          <w:sz w:val="26"/>
          <w:szCs w:val="26"/>
        </w:rPr>
      </w:pPr>
      <w:r>
        <w:rPr>
          <w:b/>
          <w:sz w:val="26"/>
          <w:szCs w:val="26"/>
        </w:rPr>
        <w:t>William L. Wright</w:t>
      </w:r>
    </w:p>
    <w:p w:rsidR="001D2785" w:rsidRPr="0064436A" w:rsidRDefault="001D2785" w:rsidP="001D2785">
      <w:pPr>
        <w:tabs>
          <w:tab w:val="left" w:pos="9348"/>
        </w:tabs>
        <w:ind w:left="5040"/>
        <w:rPr>
          <w:sz w:val="26"/>
          <w:szCs w:val="26"/>
        </w:rPr>
      </w:pPr>
      <w:r w:rsidRPr="0064436A">
        <w:rPr>
          <w:sz w:val="26"/>
          <w:szCs w:val="26"/>
        </w:rPr>
        <w:t>Section Chief</w:t>
      </w:r>
    </w:p>
    <w:p w:rsidR="001D2785" w:rsidRPr="0064436A" w:rsidRDefault="001D2785" w:rsidP="001D2785">
      <w:pPr>
        <w:tabs>
          <w:tab w:val="left" w:pos="9348"/>
        </w:tabs>
        <w:ind w:left="5040"/>
        <w:rPr>
          <w:sz w:val="26"/>
          <w:szCs w:val="26"/>
        </w:rPr>
      </w:pPr>
    </w:p>
    <w:p w:rsidR="001D2785" w:rsidRPr="0064436A" w:rsidRDefault="001D2785" w:rsidP="001D2785">
      <w:pPr>
        <w:tabs>
          <w:tab w:val="left" w:pos="9348"/>
        </w:tabs>
        <w:ind w:left="5040"/>
        <w:rPr>
          <w:sz w:val="26"/>
          <w:szCs w:val="26"/>
        </w:rPr>
      </w:pPr>
    </w:p>
    <w:p w:rsidR="001D2785" w:rsidRPr="00D459AE" w:rsidRDefault="00633BA6" w:rsidP="001D2785">
      <w:pPr>
        <w:tabs>
          <w:tab w:val="left" w:pos="9348"/>
        </w:tabs>
        <w:ind w:left="5040"/>
        <w:rPr>
          <w:rFonts w:ascii="AR BERKLEY" w:hAnsi="AR BERKLEY"/>
          <w:sz w:val="32"/>
          <w:szCs w:val="32"/>
          <w:u w:val="single"/>
        </w:rPr>
      </w:pPr>
      <w:r>
        <w:rPr>
          <w:rFonts w:ascii="AR BERKLEY" w:hAnsi="AR BERKLEY"/>
          <w:sz w:val="32"/>
          <w:szCs w:val="32"/>
          <w:u w:val="single"/>
        </w:rPr>
        <w:t>/s/ Steven L. Beeler</w:t>
      </w:r>
      <w:r w:rsidR="001D2785" w:rsidRPr="00D459AE">
        <w:rPr>
          <w:rFonts w:ascii="AR BERKLEY" w:hAnsi="AR BERKLEY"/>
          <w:sz w:val="32"/>
          <w:szCs w:val="32"/>
          <w:u w:val="single"/>
        </w:rPr>
        <w:tab/>
      </w:r>
    </w:p>
    <w:p w:rsidR="00633BA6" w:rsidRDefault="001D2785" w:rsidP="00633BA6">
      <w:pPr>
        <w:pStyle w:val="Title"/>
        <w:tabs>
          <w:tab w:val="left" w:pos="4320"/>
        </w:tabs>
        <w:jc w:val="left"/>
        <w:rPr>
          <w:rFonts w:ascii="Times New Roman" w:hAnsi="Times New Roman"/>
          <w:b/>
          <w:sz w:val="26"/>
          <w:szCs w:val="26"/>
        </w:rPr>
      </w:pPr>
      <w:r>
        <w:rPr>
          <w:rFonts w:ascii="Times New Roman" w:hAnsi="Times New Roman"/>
          <w:b/>
          <w:sz w:val="26"/>
          <w:szCs w:val="26"/>
        </w:rPr>
        <w:tab/>
      </w:r>
      <w:r w:rsidR="00633BA6">
        <w:rPr>
          <w:rFonts w:ascii="Times New Roman" w:hAnsi="Times New Roman"/>
          <w:b/>
          <w:sz w:val="26"/>
          <w:szCs w:val="26"/>
        </w:rPr>
        <w:tab/>
        <w:t xml:space="preserve">Steven L. Beeler </w:t>
      </w:r>
    </w:p>
    <w:p w:rsidR="00633BA6" w:rsidRDefault="00633BA6" w:rsidP="00633BA6">
      <w:pPr>
        <w:pStyle w:val="Title"/>
        <w:tabs>
          <w:tab w:val="left" w:pos="4320"/>
        </w:tabs>
        <w:jc w:val="left"/>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 xml:space="preserve">Thomas G. Lindgren </w:t>
      </w:r>
    </w:p>
    <w:p w:rsidR="00633BA6" w:rsidRDefault="00633BA6" w:rsidP="00633BA6">
      <w:pPr>
        <w:pStyle w:val="Title"/>
        <w:tabs>
          <w:tab w:val="left" w:pos="4320"/>
        </w:tabs>
        <w:jc w:val="left"/>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 xml:space="preserve">Ryan P. O’Rourke </w:t>
      </w:r>
    </w:p>
    <w:p w:rsidR="00633BA6" w:rsidRDefault="00633BA6" w:rsidP="00633BA6">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Assistant Attorneys General</w:t>
      </w:r>
    </w:p>
    <w:p w:rsidR="00633BA6" w:rsidRDefault="00633BA6" w:rsidP="00633BA6">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Public Utilities Section</w:t>
      </w:r>
    </w:p>
    <w:p w:rsidR="00633BA6" w:rsidRDefault="00633BA6" w:rsidP="00633BA6">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633BA6" w:rsidRDefault="00633BA6" w:rsidP="00633BA6">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Columbus, OH  43215-3793</w:t>
      </w:r>
    </w:p>
    <w:p w:rsidR="00633BA6" w:rsidRDefault="00633BA6" w:rsidP="00633BA6">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614.466.4397 (telephone)</w:t>
      </w:r>
    </w:p>
    <w:p w:rsidR="00633BA6" w:rsidRDefault="00633BA6" w:rsidP="00633BA6">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614.644.8764 (fax)</w:t>
      </w:r>
    </w:p>
    <w:p w:rsidR="00633BA6" w:rsidRDefault="00633BA6" w:rsidP="00633BA6">
      <w:pPr>
        <w:pStyle w:val="Title"/>
        <w:tabs>
          <w:tab w:val="left" w:pos="4320"/>
        </w:tabs>
        <w:jc w:val="left"/>
        <w:rPr>
          <w:rStyle w:val="Hyperlink"/>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hyperlink r:id="rId18" w:history="1">
        <w:proofErr w:type="spellStart"/>
        <w:r>
          <w:rPr>
            <w:rStyle w:val="Hyperlink"/>
            <w:rFonts w:ascii="Times New Roman" w:hAnsi="Times New Roman"/>
            <w:sz w:val="26"/>
            <w:szCs w:val="26"/>
          </w:rPr>
          <w:t>steven.beeler</w:t>
        </w:r>
        <w:proofErr w:type="spellEnd"/>
        <w:r w:rsidRPr="00654A95">
          <w:rPr>
            <w:rStyle w:val="Hyperlink"/>
            <w:rFonts w:ascii="Times New Roman" w:hAnsi="Times New Roman"/>
            <w:sz w:val="26"/>
            <w:szCs w:val="26"/>
          </w:rPr>
          <w:t xml:space="preserve"> @puc.state.oh.us</w:t>
        </w:r>
      </w:hyperlink>
    </w:p>
    <w:p w:rsidR="00633BA6" w:rsidRDefault="00633BA6" w:rsidP="00633BA6">
      <w:pPr>
        <w:pStyle w:val="Title"/>
        <w:tabs>
          <w:tab w:val="left" w:pos="4320"/>
        </w:tabs>
        <w:jc w:val="left"/>
        <w:rPr>
          <w:rStyle w:val="Hyperlink"/>
          <w:rFonts w:ascii="Times New Roman" w:hAnsi="Times New Roman"/>
          <w:sz w:val="26"/>
          <w:szCs w:val="26"/>
          <w:u w:val="none"/>
        </w:rPr>
      </w:pPr>
      <w:r>
        <w:rPr>
          <w:rStyle w:val="Hyperlink"/>
          <w:rFonts w:ascii="Times New Roman" w:hAnsi="Times New Roman"/>
          <w:sz w:val="26"/>
          <w:szCs w:val="26"/>
          <w:u w:val="none"/>
        </w:rPr>
        <w:tab/>
      </w:r>
      <w:r>
        <w:rPr>
          <w:rStyle w:val="Hyperlink"/>
          <w:rFonts w:ascii="Times New Roman" w:hAnsi="Times New Roman"/>
          <w:sz w:val="26"/>
          <w:szCs w:val="26"/>
          <w:u w:val="none"/>
        </w:rPr>
        <w:tab/>
      </w:r>
      <w:hyperlink r:id="rId19" w:history="1">
        <w:r w:rsidRPr="002552DD">
          <w:rPr>
            <w:rStyle w:val="Hyperlink"/>
            <w:rFonts w:ascii="Times New Roman" w:hAnsi="Times New Roman"/>
            <w:sz w:val="26"/>
            <w:szCs w:val="26"/>
          </w:rPr>
          <w:t>thomas.lindgren@puc.state.oh.us</w:t>
        </w:r>
      </w:hyperlink>
    </w:p>
    <w:p w:rsidR="00633BA6" w:rsidRDefault="00633BA6" w:rsidP="00633BA6">
      <w:pPr>
        <w:pStyle w:val="Title"/>
        <w:tabs>
          <w:tab w:val="left" w:pos="4320"/>
        </w:tabs>
        <w:jc w:val="left"/>
        <w:rPr>
          <w:rStyle w:val="Hyperlink"/>
          <w:rFonts w:ascii="Times New Roman" w:hAnsi="Times New Roman"/>
          <w:sz w:val="26"/>
          <w:szCs w:val="26"/>
          <w:u w:val="none"/>
        </w:rPr>
      </w:pPr>
      <w:r>
        <w:rPr>
          <w:rStyle w:val="Hyperlink"/>
          <w:rFonts w:ascii="Times New Roman" w:hAnsi="Times New Roman"/>
          <w:sz w:val="26"/>
          <w:szCs w:val="26"/>
          <w:u w:val="none"/>
        </w:rPr>
        <w:tab/>
      </w:r>
      <w:r>
        <w:rPr>
          <w:rStyle w:val="Hyperlink"/>
          <w:rFonts w:ascii="Times New Roman" w:hAnsi="Times New Roman"/>
          <w:sz w:val="26"/>
          <w:szCs w:val="26"/>
          <w:u w:val="none"/>
        </w:rPr>
        <w:tab/>
      </w:r>
      <w:hyperlink r:id="rId20" w:history="1">
        <w:r>
          <w:rPr>
            <w:rStyle w:val="Hyperlink"/>
            <w:rFonts w:ascii="Times New Roman" w:hAnsi="Times New Roman"/>
            <w:sz w:val="26"/>
            <w:szCs w:val="26"/>
          </w:rPr>
          <w:t>ryan.o’rourke</w:t>
        </w:r>
        <w:r w:rsidRPr="00654A95">
          <w:rPr>
            <w:rStyle w:val="Hyperlink"/>
            <w:rFonts w:ascii="Times New Roman" w:hAnsi="Times New Roman"/>
            <w:sz w:val="26"/>
            <w:szCs w:val="26"/>
          </w:rPr>
          <w:t>@puc.state.oh.us</w:t>
        </w:r>
      </w:hyperlink>
    </w:p>
    <w:p w:rsidR="001D2785" w:rsidRPr="0064436A" w:rsidRDefault="001D2785" w:rsidP="00633BA6">
      <w:pPr>
        <w:pStyle w:val="Title"/>
        <w:tabs>
          <w:tab w:val="left" w:pos="5040"/>
        </w:tabs>
        <w:jc w:val="left"/>
        <w:rPr>
          <w:b/>
          <w:sz w:val="26"/>
          <w:szCs w:val="26"/>
        </w:rPr>
      </w:pPr>
    </w:p>
    <w:p w:rsidR="001D2785" w:rsidRPr="00934B92" w:rsidRDefault="001D2785" w:rsidP="001D2785">
      <w:pPr>
        <w:pStyle w:val="Heading1"/>
      </w:pPr>
      <w:r w:rsidRPr="00955E20">
        <w:br w:type="page"/>
      </w:r>
      <w:bookmarkStart w:id="57" w:name="_Toc205862526"/>
      <w:bookmarkStart w:id="58" w:name="_Toc406411850"/>
      <w:r w:rsidRPr="00934B92">
        <w:rPr>
          <w:caps w:val="0"/>
        </w:rPr>
        <w:lastRenderedPageBreak/>
        <w:t>PROOF OF SERVICE</w:t>
      </w:r>
      <w:bookmarkEnd w:id="57"/>
      <w:bookmarkEnd w:id="58"/>
    </w:p>
    <w:p w:rsidR="001D2785" w:rsidRPr="00934B92" w:rsidRDefault="001D2785" w:rsidP="00CE7318">
      <w:pPr>
        <w:pStyle w:val="textstyle0"/>
      </w:pPr>
      <w:r>
        <w:tab/>
      </w:r>
      <w:r w:rsidRPr="00934B92">
        <w:t xml:space="preserve">I hereby certify that a true copy of the foregoing </w:t>
      </w:r>
      <w:r>
        <w:rPr>
          <w:b/>
        </w:rPr>
        <w:t xml:space="preserve">Post-Hearing Brief </w:t>
      </w:r>
      <w:r w:rsidRPr="00934B92">
        <w:t>submitted on behalf of the Staff of the Public Utilities Commis</w:t>
      </w:r>
      <w:r w:rsidRPr="00934B92">
        <w:softHyphen/>
        <w:t>sion of Ohio,</w:t>
      </w:r>
      <w:r w:rsidRPr="00934B92">
        <w:rPr>
          <w:b/>
        </w:rPr>
        <w:t xml:space="preserve"> </w:t>
      </w:r>
      <w:r w:rsidRPr="00934B92">
        <w:t>was served by regular U.S. mail, postage pre</w:t>
      </w:r>
      <w:r w:rsidRPr="00934B92">
        <w:softHyphen/>
        <w:t xml:space="preserve">paid, or hand-delivered, upon </w:t>
      </w:r>
      <w:r>
        <w:t xml:space="preserve">the following Parties of Record, </w:t>
      </w:r>
      <w:r w:rsidR="00E13E24">
        <w:t>this 15</w:t>
      </w:r>
      <w:r w:rsidR="00E13E24" w:rsidRPr="00E13E24">
        <w:rPr>
          <w:vertAlign w:val="superscript"/>
        </w:rPr>
        <w:t>th</w:t>
      </w:r>
      <w:r>
        <w:t xml:space="preserve"> d</w:t>
      </w:r>
      <w:r w:rsidRPr="00934B92">
        <w:t xml:space="preserve">ay of </w:t>
      </w:r>
      <w:r w:rsidR="00633BA6">
        <w:t>December</w:t>
      </w:r>
      <w:r>
        <w:t>, 2014</w:t>
      </w:r>
      <w:r w:rsidRPr="00934B92">
        <w:t>.</w:t>
      </w:r>
    </w:p>
    <w:p w:rsidR="00D459AE" w:rsidRDefault="00D459AE" w:rsidP="00D459AE">
      <w:pPr>
        <w:tabs>
          <w:tab w:val="left" w:pos="9360"/>
        </w:tabs>
        <w:ind w:left="4332"/>
        <w:jc w:val="both"/>
        <w:rPr>
          <w:b/>
          <w:sz w:val="26"/>
          <w:szCs w:val="26"/>
        </w:rPr>
      </w:pPr>
      <w:r w:rsidRPr="00D459AE">
        <w:rPr>
          <w:rFonts w:ascii="AR BERKLEY" w:hAnsi="AR BERKLEY"/>
          <w:sz w:val="32"/>
          <w:szCs w:val="32"/>
          <w:u w:val="single"/>
        </w:rPr>
        <w:t xml:space="preserve">/s/ </w:t>
      </w:r>
      <w:r w:rsidR="00633BA6">
        <w:rPr>
          <w:rFonts w:ascii="AR BERKLEY" w:hAnsi="AR BERKLEY"/>
          <w:sz w:val="32"/>
          <w:szCs w:val="32"/>
          <w:u w:val="single"/>
        </w:rPr>
        <w:t>Steven L. Beeler</w:t>
      </w:r>
      <w:r>
        <w:rPr>
          <w:rFonts w:ascii="AR BERKLEY" w:hAnsi="AR BERKLEY"/>
          <w:sz w:val="32"/>
          <w:szCs w:val="32"/>
          <w:u w:val="single"/>
        </w:rPr>
        <w:tab/>
      </w:r>
      <w:r>
        <w:rPr>
          <w:b/>
          <w:sz w:val="26"/>
          <w:szCs w:val="26"/>
        </w:rPr>
        <w:t xml:space="preserve"> </w:t>
      </w:r>
    </w:p>
    <w:p w:rsidR="001D2785" w:rsidRPr="00DF3D54" w:rsidRDefault="00633BA6" w:rsidP="001D2785">
      <w:pPr>
        <w:ind w:left="4332"/>
        <w:jc w:val="both"/>
        <w:rPr>
          <w:b/>
          <w:sz w:val="26"/>
          <w:szCs w:val="26"/>
        </w:rPr>
      </w:pPr>
      <w:r>
        <w:rPr>
          <w:b/>
          <w:sz w:val="26"/>
          <w:szCs w:val="26"/>
        </w:rPr>
        <w:t>Steven L. Beeler</w:t>
      </w:r>
    </w:p>
    <w:p w:rsidR="001D2785" w:rsidRDefault="001D2785" w:rsidP="001D2785">
      <w:pPr>
        <w:ind w:left="4332"/>
        <w:jc w:val="both"/>
        <w:rPr>
          <w:sz w:val="26"/>
          <w:szCs w:val="26"/>
        </w:rPr>
      </w:pPr>
      <w:r w:rsidRPr="00DF3D54">
        <w:rPr>
          <w:sz w:val="26"/>
          <w:szCs w:val="26"/>
        </w:rPr>
        <w:t>Assistant Attorney General</w:t>
      </w:r>
    </w:p>
    <w:p w:rsidR="001D2785" w:rsidRDefault="001D2785" w:rsidP="001D2785">
      <w:pPr>
        <w:ind w:left="4332"/>
        <w:jc w:val="both"/>
        <w:rPr>
          <w:sz w:val="26"/>
          <w:szCs w:val="26"/>
        </w:rPr>
      </w:pPr>
    </w:p>
    <w:p w:rsidR="001D2785" w:rsidRDefault="001D2785" w:rsidP="001D2785">
      <w:pPr>
        <w:rPr>
          <w:b/>
          <w:sz w:val="26"/>
          <w:szCs w:val="26"/>
        </w:rPr>
      </w:pPr>
      <w:r w:rsidRPr="00DF3D54">
        <w:rPr>
          <w:b/>
          <w:sz w:val="26"/>
          <w:szCs w:val="26"/>
        </w:rPr>
        <w:t>Parties of Record:</w:t>
      </w:r>
    </w:p>
    <w:p w:rsidR="001D2785" w:rsidRDefault="001D2785" w:rsidP="001D2785">
      <w:pPr>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27749C" w:rsidRPr="0027749C" w:rsidTr="00CA4FF1">
        <w:tc>
          <w:tcPr>
            <w:tcW w:w="4788" w:type="dxa"/>
          </w:tcPr>
          <w:p w:rsidR="0027749C" w:rsidRPr="0027749C" w:rsidRDefault="0098302E" w:rsidP="0027749C">
            <w:pPr>
              <w:ind w:left="-108"/>
              <w:rPr>
                <w:sz w:val="26"/>
                <w:szCs w:val="26"/>
              </w:rPr>
            </w:pPr>
            <w:hyperlink r:id="rId21" w:history="1">
              <w:r w:rsidR="0027749C" w:rsidRPr="0027749C">
                <w:rPr>
                  <w:color w:val="0563C1"/>
                  <w:sz w:val="26"/>
                  <w:szCs w:val="26"/>
                  <w:u w:val="single"/>
                </w:rPr>
                <w:t>Steven.beeler@puc.state.oh.us</w:t>
              </w:r>
            </w:hyperlink>
          </w:p>
          <w:p w:rsidR="0027749C" w:rsidRPr="0027749C" w:rsidRDefault="0098302E" w:rsidP="0027749C">
            <w:pPr>
              <w:ind w:left="-108"/>
              <w:rPr>
                <w:sz w:val="26"/>
                <w:szCs w:val="26"/>
              </w:rPr>
            </w:pPr>
            <w:hyperlink r:id="rId22" w:history="1">
              <w:r w:rsidR="0027749C" w:rsidRPr="0027749C">
                <w:rPr>
                  <w:color w:val="0563C1"/>
                  <w:sz w:val="26"/>
                  <w:szCs w:val="26"/>
                  <w:u w:val="single"/>
                </w:rPr>
                <w:t>Thomas.lindgren@puc.state.oh.us</w:t>
              </w:r>
            </w:hyperlink>
          </w:p>
          <w:p w:rsidR="0027749C" w:rsidRPr="0027749C" w:rsidRDefault="0098302E" w:rsidP="0027749C">
            <w:pPr>
              <w:ind w:left="-108"/>
              <w:rPr>
                <w:sz w:val="26"/>
                <w:szCs w:val="26"/>
              </w:rPr>
            </w:pPr>
            <w:hyperlink r:id="rId23" w:history="1">
              <w:r w:rsidR="0027749C" w:rsidRPr="0027749C">
                <w:rPr>
                  <w:color w:val="0563C1"/>
                  <w:sz w:val="26"/>
                  <w:szCs w:val="26"/>
                  <w:u w:val="single"/>
                </w:rPr>
                <w:t>Ryan.orourke@puc.state.oh.us</w:t>
              </w:r>
            </w:hyperlink>
          </w:p>
          <w:p w:rsidR="0027749C" w:rsidRPr="0027749C" w:rsidRDefault="0098302E" w:rsidP="0027749C">
            <w:pPr>
              <w:ind w:left="-108"/>
              <w:rPr>
                <w:sz w:val="26"/>
                <w:szCs w:val="26"/>
              </w:rPr>
            </w:pPr>
            <w:hyperlink r:id="rId24" w:history="1">
              <w:r w:rsidR="0027749C" w:rsidRPr="0027749C">
                <w:rPr>
                  <w:color w:val="0563C1"/>
                  <w:sz w:val="26"/>
                  <w:szCs w:val="26"/>
                  <w:u w:val="single"/>
                </w:rPr>
                <w:t>dboehm@BKLlawfirm.com</w:t>
              </w:r>
            </w:hyperlink>
          </w:p>
          <w:p w:rsidR="0027749C" w:rsidRPr="0027749C" w:rsidRDefault="0098302E" w:rsidP="0027749C">
            <w:pPr>
              <w:ind w:left="-108"/>
              <w:rPr>
                <w:sz w:val="26"/>
                <w:szCs w:val="26"/>
              </w:rPr>
            </w:pPr>
            <w:hyperlink r:id="rId25" w:history="1">
              <w:r w:rsidR="0027749C" w:rsidRPr="0027749C">
                <w:rPr>
                  <w:color w:val="0563C1"/>
                  <w:sz w:val="26"/>
                  <w:szCs w:val="26"/>
                  <w:u w:val="single"/>
                </w:rPr>
                <w:t>mkurtz@BKLlawfirm.com</w:t>
              </w:r>
            </w:hyperlink>
          </w:p>
          <w:p w:rsidR="0027749C" w:rsidRPr="0027749C" w:rsidRDefault="0098302E" w:rsidP="0027749C">
            <w:pPr>
              <w:ind w:left="-108"/>
              <w:rPr>
                <w:sz w:val="26"/>
                <w:szCs w:val="26"/>
              </w:rPr>
            </w:pPr>
            <w:hyperlink r:id="rId26" w:history="1">
              <w:r w:rsidR="0027749C" w:rsidRPr="0027749C">
                <w:rPr>
                  <w:color w:val="0563C1"/>
                  <w:sz w:val="26"/>
                  <w:szCs w:val="26"/>
                  <w:u w:val="single"/>
                </w:rPr>
                <w:t>jkylercohn@BKLlawfirm.com</w:t>
              </w:r>
            </w:hyperlink>
          </w:p>
          <w:p w:rsidR="0027749C" w:rsidRPr="0027749C" w:rsidRDefault="0098302E" w:rsidP="0027749C">
            <w:pPr>
              <w:ind w:left="-108"/>
              <w:rPr>
                <w:sz w:val="26"/>
                <w:szCs w:val="26"/>
              </w:rPr>
            </w:pPr>
            <w:hyperlink r:id="rId27" w:history="1">
              <w:r w:rsidR="0027749C" w:rsidRPr="0027749C">
                <w:rPr>
                  <w:color w:val="0563C1"/>
                  <w:sz w:val="26"/>
                  <w:szCs w:val="26"/>
                  <w:u w:val="single"/>
                </w:rPr>
                <w:t>Schmidt@sppgrp.com</w:t>
              </w:r>
            </w:hyperlink>
          </w:p>
          <w:p w:rsidR="0027749C" w:rsidRPr="0027749C" w:rsidRDefault="0098302E" w:rsidP="0027749C">
            <w:pPr>
              <w:ind w:left="-108"/>
              <w:rPr>
                <w:sz w:val="26"/>
                <w:szCs w:val="26"/>
              </w:rPr>
            </w:pPr>
            <w:hyperlink r:id="rId28" w:history="1">
              <w:r w:rsidR="0027749C" w:rsidRPr="0027749C">
                <w:rPr>
                  <w:color w:val="0563C1"/>
                  <w:sz w:val="26"/>
                  <w:szCs w:val="26"/>
                  <w:u w:val="single"/>
                </w:rPr>
                <w:t>Judi.sobecki@aes.com</w:t>
              </w:r>
            </w:hyperlink>
          </w:p>
          <w:p w:rsidR="0027749C" w:rsidRPr="0027749C" w:rsidRDefault="0098302E" w:rsidP="0027749C">
            <w:pPr>
              <w:ind w:left="-108"/>
              <w:rPr>
                <w:sz w:val="26"/>
                <w:szCs w:val="26"/>
              </w:rPr>
            </w:pPr>
            <w:hyperlink r:id="rId29" w:history="1">
              <w:r w:rsidR="0027749C" w:rsidRPr="0027749C">
                <w:rPr>
                  <w:color w:val="0563C1"/>
                  <w:sz w:val="26"/>
                  <w:szCs w:val="26"/>
                  <w:u w:val="single"/>
                </w:rPr>
                <w:t>Bojko@carpenterlipps.com</w:t>
              </w:r>
            </w:hyperlink>
          </w:p>
          <w:p w:rsidR="0027749C" w:rsidRPr="0027749C" w:rsidRDefault="0098302E" w:rsidP="0027749C">
            <w:pPr>
              <w:ind w:left="-108"/>
              <w:rPr>
                <w:sz w:val="26"/>
                <w:szCs w:val="26"/>
              </w:rPr>
            </w:pPr>
            <w:hyperlink r:id="rId30" w:history="1">
              <w:r w:rsidR="0027749C" w:rsidRPr="0027749C">
                <w:rPr>
                  <w:color w:val="0563C1"/>
                  <w:sz w:val="26"/>
                  <w:szCs w:val="26"/>
                  <w:u w:val="single"/>
                </w:rPr>
                <w:t>mohler@carpenterlipps.com</w:t>
              </w:r>
            </w:hyperlink>
          </w:p>
          <w:p w:rsidR="0027749C" w:rsidRPr="0027749C" w:rsidRDefault="0098302E" w:rsidP="0027749C">
            <w:pPr>
              <w:ind w:left="-108"/>
              <w:rPr>
                <w:sz w:val="26"/>
                <w:szCs w:val="26"/>
              </w:rPr>
            </w:pPr>
            <w:hyperlink r:id="rId31" w:history="1">
              <w:r w:rsidR="0027749C" w:rsidRPr="0027749C">
                <w:rPr>
                  <w:color w:val="0563C1"/>
                  <w:sz w:val="26"/>
                  <w:szCs w:val="26"/>
                  <w:u w:val="single"/>
                </w:rPr>
                <w:t>cmooney@ohiopartners.org</w:t>
              </w:r>
            </w:hyperlink>
          </w:p>
          <w:p w:rsidR="0027749C" w:rsidRPr="0027749C" w:rsidRDefault="0098302E" w:rsidP="0027749C">
            <w:pPr>
              <w:ind w:left="-108"/>
              <w:rPr>
                <w:sz w:val="26"/>
                <w:szCs w:val="26"/>
              </w:rPr>
            </w:pPr>
            <w:hyperlink r:id="rId32" w:history="1">
              <w:r w:rsidR="0027749C" w:rsidRPr="0027749C">
                <w:rPr>
                  <w:color w:val="0563C1"/>
                  <w:sz w:val="26"/>
                  <w:szCs w:val="26"/>
                  <w:u w:val="single"/>
                </w:rPr>
                <w:t>stnourse@aep.com</w:t>
              </w:r>
            </w:hyperlink>
          </w:p>
          <w:p w:rsidR="0027749C" w:rsidRPr="0027749C" w:rsidRDefault="0098302E" w:rsidP="0027749C">
            <w:pPr>
              <w:ind w:left="-108"/>
              <w:rPr>
                <w:sz w:val="26"/>
                <w:szCs w:val="26"/>
              </w:rPr>
            </w:pPr>
            <w:hyperlink r:id="rId33" w:history="1">
              <w:r w:rsidR="0027749C" w:rsidRPr="0027749C">
                <w:rPr>
                  <w:color w:val="0563C1"/>
                  <w:sz w:val="26"/>
                  <w:szCs w:val="26"/>
                  <w:u w:val="single"/>
                </w:rPr>
                <w:t>mjsatterwhite@aep.com</w:t>
              </w:r>
            </w:hyperlink>
          </w:p>
          <w:p w:rsidR="0027749C" w:rsidRPr="0027749C" w:rsidRDefault="0098302E" w:rsidP="0027749C">
            <w:pPr>
              <w:ind w:left="-108"/>
              <w:rPr>
                <w:sz w:val="26"/>
                <w:szCs w:val="26"/>
              </w:rPr>
            </w:pPr>
            <w:hyperlink r:id="rId34" w:history="1">
              <w:r w:rsidR="0027749C" w:rsidRPr="0027749C">
                <w:rPr>
                  <w:color w:val="0563C1"/>
                  <w:sz w:val="26"/>
                  <w:szCs w:val="26"/>
                  <w:u w:val="single"/>
                </w:rPr>
                <w:t>yalami@aep.com</w:t>
              </w:r>
            </w:hyperlink>
          </w:p>
          <w:p w:rsidR="0027749C" w:rsidRPr="0027749C" w:rsidRDefault="0098302E" w:rsidP="0027749C">
            <w:pPr>
              <w:ind w:left="-108"/>
              <w:rPr>
                <w:sz w:val="26"/>
                <w:szCs w:val="26"/>
              </w:rPr>
            </w:pPr>
            <w:hyperlink r:id="rId35" w:history="1">
              <w:r w:rsidR="0027749C" w:rsidRPr="0027749C">
                <w:rPr>
                  <w:color w:val="0563C1"/>
                  <w:sz w:val="26"/>
                  <w:szCs w:val="26"/>
                  <w:u w:val="single"/>
                </w:rPr>
                <w:t>asonderman@keglerbrown.com</w:t>
              </w:r>
            </w:hyperlink>
          </w:p>
          <w:p w:rsidR="0027749C" w:rsidRPr="0027749C" w:rsidRDefault="0098302E" w:rsidP="0027749C">
            <w:pPr>
              <w:ind w:left="-108"/>
              <w:rPr>
                <w:sz w:val="26"/>
                <w:szCs w:val="26"/>
              </w:rPr>
            </w:pPr>
            <w:hyperlink r:id="rId36" w:history="1">
              <w:r w:rsidR="0027749C" w:rsidRPr="0027749C">
                <w:rPr>
                  <w:color w:val="0563C1"/>
                  <w:sz w:val="26"/>
                  <w:szCs w:val="26"/>
                  <w:u w:val="single"/>
                </w:rPr>
                <w:t>mkimbrough@keglerbrown.com</w:t>
              </w:r>
            </w:hyperlink>
          </w:p>
          <w:p w:rsidR="0027749C" w:rsidRPr="0027749C" w:rsidRDefault="0098302E" w:rsidP="0027749C">
            <w:pPr>
              <w:ind w:left="-108"/>
              <w:rPr>
                <w:sz w:val="26"/>
                <w:szCs w:val="26"/>
              </w:rPr>
            </w:pPr>
            <w:hyperlink r:id="rId37" w:history="1">
              <w:r w:rsidR="0027749C" w:rsidRPr="0027749C">
                <w:rPr>
                  <w:color w:val="0563C1"/>
                  <w:sz w:val="26"/>
                  <w:szCs w:val="26"/>
                  <w:u w:val="single"/>
                </w:rPr>
                <w:t>hussey@carpenterlipps.com</w:t>
              </w:r>
            </w:hyperlink>
          </w:p>
          <w:p w:rsidR="0027749C" w:rsidRPr="0027749C" w:rsidRDefault="0098302E" w:rsidP="0027749C">
            <w:pPr>
              <w:ind w:left="-108"/>
              <w:rPr>
                <w:sz w:val="26"/>
                <w:szCs w:val="26"/>
              </w:rPr>
            </w:pPr>
            <w:hyperlink r:id="rId38" w:history="1">
              <w:r w:rsidR="0027749C" w:rsidRPr="0027749C">
                <w:rPr>
                  <w:color w:val="0563C1"/>
                  <w:sz w:val="26"/>
                  <w:szCs w:val="26"/>
                  <w:u w:val="single"/>
                </w:rPr>
                <w:t>mhpetricoff@vorys.com</w:t>
              </w:r>
            </w:hyperlink>
          </w:p>
          <w:p w:rsidR="0027749C" w:rsidRPr="0027749C" w:rsidRDefault="0098302E" w:rsidP="0027749C">
            <w:pPr>
              <w:ind w:left="-108"/>
              <w:rPr>
                <w:sz w:val="26"/>
                <w:szCs w:val="26"/>
              </w:rPr>
            </w:pPr>
            <w:hyperlink r:id="rId39" w:history="1">
              <w:r w:rsidR="0027749C" w:rsidRPr="0027749C">
                <w:rPr>
                  <w:color w:val="0563C1"/>
                  <w:sz w:val="26"/>
                  <w:szCs w:val="26"/>
                  <w:u w:val="single"/>
                </w:rPr>
                <w:t>mjsettineri@vorys.com</w:t>
              </w:r>
            </w:hyperlink>
          </w:p>
          <w:p w:rsidR="0027749C" w:rsidRPr="0027749C" w:rsidRDefault="0098302E" w:rsidP="0027749C">
            <w:pPr>
              <w:ind w:left="-108"/>
              <w:rPr>
                <w:sz w:val="26"/>
                <w:szCs w:val="26"/>
              </w:rPr>
            </w:pPr>
            <w:hyperlink r:id="rId40" w:history="1">
              <w:r w:rsidR="0027749C" w:rsidRPr="0027749C">
                <w:rPr>
                  <w:color w:val="0563C1"/>
                  <w:sz w:val="26"/>
                  <w:szCs w:val="26"/>
                  <w:u w:val="single"/>
                </w:rPr>
                <w:t>glpetrucci@vorys.com</w:t>
              </w:r>
            </w:hyperlink>
          </w:p>
          <w:p w:rsidR="0027749C" w:rsidRPr="0027749C" w:rsidRDefault="0098302E" w:rsidP="0027749C">
            <w:pPr>
              <w:ind w:left="-108"/>
              <w:rPr>
                <w:sz w:val="26"/>
                <w:szCs w:val="26"/>
              </w:rPr>
            </w:pPr>
            <w:hyperlink r:id="rId41" w:history="1">
              <w:r w:rsidR="0027749C" w:rsidRPr="0027749C">
                <w:rPr>
                  <w:color w:val="0563C1"/>
                  <w:sz w:val="26"/>
                  <w:szCs w:val="26"/>
                  <w:u w:val="single"/>
                </w:rPr>
                <w:t>dmason@ralaw.com</w:t>
              </w:r>
            </w:hyperlink>
          </w:p>
          <w:p w:rsidR="0027749C" w:rsidRPr="0027749C" w:rsidRDefault="0098302E" w:rsidP="0027749C">
            <w:pPr>
              <w:ind w:left="-108"/>
              <w:rPr>
                <w:sz w:val="26"/>
                <w:szCs w:val="26"/>
              </w:rPr>
            </w:pPr>
            <w:hyperlink r:id="rId42" w:history="1">
              <w:r w:rsidR="0027749C" w:rsidRPr="0027749C">
                <w:rPr>
                  <w:color w:val="0563C1"/>
                  <w:sz w:val="26"/>
                  <w:szCs w:val="26"/>
                  <w:u w:val="single"/>
                </w:rPr>
                <w:t>mtraven@ralaw.com</w:t>
              </w:r>
            </w:hyperlink>
          </w:p>
          <w:p w:rsidR="0027749C" w:rsidRPr="0027749C" w:rsidRDefault="0027749C" w:rsidP="0027749C">
            <w:pPr>
              <w:ind w:left="-108"/>
              <w:rPr>
                <w:sz w:val="26"/>
                <w:szCs w:val="26"/>
              </w:rPr>
            </w:pPr>
          </w:p>
          <w:p w:rsidR="0027749C" w:rsidRPr="0027749C" w:rsidRDefault="0027749C" w:rsidP="00093FE0">
            <w:pPr>
              <w:ind w:left="-108"/>
              <w:rPr>
                <w:sz w:val="26"/>
                <w:szCs w:val="26"/>
              </w:rPr>
            </w:pPr>
            <w:r w:rsidRPr="0027749C">
              <w:rPr>
                <w:sz w:val="26"/>
                <w:szCs w:val="26"/>
              </w:rPr>
              <w:t>Attorney Examiners:</w:t>
            </w:r>
          </w:p>
          <w:p w:rsidR="0027749C" w:rsidRPr="0027749C" w:rsidRDefault="0098302E" w:rsidP="0027749C">
            <w:pPr>
              <w:ind w:left="-108"/>
              <w:rPr>
                <w:sz w:val="26"/>
                <w:szCs w:val="26"/>
              </w:rPr>
            </w:pPr>
            <w:hyperlink r:id="rId43" w:history="1">
              <w:r w:rsidR="0027749C" w:rsidRPr="0027749C">
                <w:rPr>
                  <w:color w:val="0563C1"/>
                  <w:sz w:val="26"/>
                  <w:szCs w:val="26"/>
                  <w:u w:val="single"/>
                </w:rPr>
                <w:t>Christine.pirik@puc.state.oh.us</w:t>
              </w:r>
            </w:hyperlink>
          </w:p>
          <w:p w:rsidR="0027749C" w:rsidRPr="0027749C" w:rsidRDefault="0098302E" w:rsidP="0027749C">
            <w:pPr>
              <w:ind w:left="-108"/>
              <w:rPr>
                <w:sz w:val="26"/>
                <w:szCs w:val="26"/>
              </w:rPr>
            </w:pPr>
            <w:hyperlink r:id="rId44" w:history="1">
              <w:r w:rsidR="0027749C" w:rsidRPr="0027749C">
                <w:rPr>
                  <w:color w:val="0563C1"/>
                  <w:sz w:val="26"/>
                  <w:szCs w:val="26"/>
                  <w:u w:val="single"/>
                </w:rPr>
                <w:t>Nicholas.walstra@puc.state.oh.us</w:t>
              </w:r>
            </w:hyperlink>
          </w:p>
        </w:tc>
        <w:tc>
          <w:tcPr>
            <w:tcW w:w="4788" w:type="dxa"/>
          </w:tcPr>
          <w:p w:rsidR="0027749C" w:rsidRPr="0027749C" w:rsidRDefault="0098302E" w:rsidP="0027749C">
            <w:pPr>
              <w:rPr>
                <w:sz w:val="26"/>
                <w:szCs w:val="26"/>
              </w:rPr>
            </w:pPr>
            <w:hyperlink r:id="rId45" w:history="1">
              <w:r w:rsidR="0027749C" w:rsidRPr="0027749C">
                <w:rPr>
                  <w:color w:val="0563C1"/>
                  <w:sz w:val="26"/>
                  <w:szCs w:val="26"/>
                  <w:u w:val="single"/>
                </w:rPr>
                <w:t>rchamberlain@okenergylaw.com</w:t>
              </w:r>
            </w:hyperlink>
          </w:p>
          <w:p w:rsidR="0027749C" w:rsidRPr="0027749C" w:rsidRDefault="0098302E" w:rsidP="0027749C">
            <w:pPr>
              <w:rPr>
                <w:sz w:val="26"/>
                <w:szCs w:val="26"/>
              </w:rPr>
            </w:pPr>
            <w:hyperlink r:id="rId46" w:history="1">
              <w:r w:rsidR="0027749C" w:rsidRPr="0027749C">
                <w:rPr>
                  <w:color w:val="0563C1"/>
                  <w:sz w:val="26"/>
                  <w:szCs w:val="26"/>
                  <w:u w:val="single"/>
                </w:rPr>
                <w:t>Amy.Spiller@duke-energy.com</w:t>
              </w:r>
            </w:hyperlink>
          </w:p>
          <w:p w:rsidR="0027749C" w:rsidRPr="0027749C" w:rsidRDefault="0098302E" w:rsidP="0027749C">
            <w:pPr>
              <w:rPr>
                <w:sz w:val="26"/>
                <w:szCs w:val="26"/>
              </w:rPr>
            </w:pPr>
            <w:hyperlink r:id="rId47" w:history="1">
              <w:r w:rsidR="0027749C" w:rsidRPr="0027749C">
                <w:rPr>
                  <w:color w:val="0563C1"/>
                  <w:sz w:val="26"/>
                  <w:szCs w:val="26"/>
                  <w:u w:val="single"/>
                </w:rPr>
                <w:t>Elizabeth.watts@duke-energy.com</w:t>
              </w:r>
            </w:hyperlink>
          </w:p>
          <w:p w:rsidR="0027749C" w:rsidRPr="0027749C" w:rsidRDefault="0098302E" w:rsidP="0027749C">
            <w:pPr>
              <w:rPr>
                <w:sz w:val="26"/>
                <w:szCs w:val="26"/>
              </w:rPr>
            </w:pPr>
            <w:hyperlink r:id="rId48" w:history="1">
              <w:r w:rsidR="0027749C" w:rsidRPr="0027749C">
                <w:rPr>
                  <w:color w:val="0563C1"/>
                  <w:sz w:val="26"/>
                  <w:szCs w:val="26"/>
                  <w:u w:val="single"/>
                </w:rPr>
                <w:t>Rocco.dascenzo@duke-energy.com</w:t>
              </w:r>
            </w:hyperlink>
          </w:p>
          <w:p w:rsidR="0027749C" w:rsidRPr="0027749C" w:rsidRDefault="0098302E" w:rsidP="0027749C">
            <w:pPr>
              <w:rPr>
                <w:sz w:val="26"/>
                <w:szCs w:val="26"/>
              </w:rPr>
            </w:pPr>
            <w:hyperlink r:id="rId49" w:history="1">
              <w:r w:rsidR="0027749C" w:rsidRPr="0027749C">
                <w:rPr>
                  <w:color w:val="0563C1"/>
                  <w:sz w:val="26"/>
                  <w:szCs w:val="26"/>
                  <w:u w:val="single"/>
                </w:rPr>
                <w:t>Jeanne.Kingery@duke-energy.com</w:t>
              </w:r>
            </w:hyperlink>
          </w:p>
          <w:p w:rsidR="0027749C" w:rsidRPr="0027749C" w:rsidRDefault="0098302E" w:rsidP="0027749C">
            <w:pPr>
              <w:rPr>
                <w:sz w:val="26"/>
                <w:szCs w:val="26"/>
              </w:rPr>
            </w:pPr>
            <w:hyperlink r:id="rId50" w:history="1">
              <w:r w:rsidR="0027749C" w:rsidRPr="0027749C">
                <w:rPr>
                  <w:color w:val="0563C1"/>
                  <w:sz w:val="26"/>
                  <w:szCs w:val="26"/>
                  <w:u w:val="single"/>
                </w:rPr>
                <w:t>haydenm@firstenergycorp.com</w:t>
              </w:r>
            </w:hyperlink>
          </w:p>
          <w:p w:rsidR="0027749C" w:rsidRPr="0027749C" w:rsidRDefault="0098302E" w:rsidP="0027749C">
            <w:pPr>
              <w:rPr>
                <w:sz w:val="26"/>
                <w:szCs w:val="26"/>
              </w:rPr>
            </w:pPr>
            <w:hyperlink r:id="rId51" w:history="1">
              <w:r w:rsidR="0027749C" w:rsidRPr="0027749C">
                <w:rPr>
                  <w:color w:val="0563C1"/>
                  <w:sz w:val="26"/>
                  <w:szCs w:val="26"/>
                  <w:u w:val="single"/>
                </w:rPr>
                <w:t>jmcdermott@firstenergycorp.com</w:t>
              </w:r>
            </w:hyperlink>
          </w:p>
          <w:p w:rsidR="0027749C" w:rsidRPr="0027749C" w:rsidRDefault="0098302E" w:rsidP="0027749C">
            <w:pPr>
              <w:rPr>
                <w:sz w:val="26"/>
                <w:szCs w:val="26"/>
              </w:rPr>
            </w:pPr>
            <w:hyperlink r:id="rId52" w:history="1">
              <w:r w:rsidR="0027749C" w:rsidRPr="0027749C">
                <w:rPr>
                  <w:color w:val="0563C1"/>
                  <w:sz w:val="26"/>
                  <w:szCs w:val="26"/>
                  <w:u w:val="single"/>
                </w:rPr>
                <w:t>scasto@firstenergycorp.com</w:t>
              </w:r>
            </w:hyperlink>
          </w:p>
          <w:p w:rsidR="0027749C" w:rsidRPr="0027749C" w:rsidRDefault="0098302E" w:rsidP="0027749C">
            <w:pPr>
              <w:rPr>
                <w:sz w:val="26"/>
                <w:szCs w:val="26"/>
              </w:rPr>
            </w:pPr>
            <w:hyperlink r:id="rId53" w:history="1">
              <w:r w:rsidR="0027749C" w:rsidRPr="0027749C">
                <w:rPr>
                  <w:color w:val="0563C1"/>
                  <w:sz w:val="26"/>
                  <w:szCs w:val="26"/>
                  <w:u w:val="single"/>
                </w:rPr>
                <w:t>joliker@igsenergy.com</w:t>
              </w:r>
            </w:hyperlink>
          </w:p>
          <w:p w:rsidR="0027749C" w:rsidRPr="0027749C" w:rsidRDefault="0098302E" w:rsidP="0027749C">
            <w:pPr>
              <w:rPr>
                <w:sz w:val="26"/>
                <w:szCs w:val="26"/>
              </w:rPr>
            </w:pPr>
            <w:hyperlink r:id="rId54" w:history="1">
              <w:r w:rsidR="0027749C" w:rsidRPr="0027749C">
                <w:rPr>
                  <w:color w:val="0563C1"/>
                  <w:sz w:val="26"/>
                  <w:szCs w:val="26"/>
                  <w:u w:val="single"/>
                </w:rPr>
                <w:t>mswhite@igsenergy.com</w:t>
              </w:r>
            </w:hyperlink>
          </w:p>
          <w:p w:rsidR="0027749C" w:rsidRPr="0027749C" w:rsidRDefault="0098302E" w:rsidP="0027749C">
            <w:pPr>
              <w:rPr>
                <w:sz w:val="26"/>
                <w:szCs w:val="26"/>
              </w:rPr>
            </w:pPr>
            <w:hyperlink r:id="rId55" w:history="1">
              <w:r w:rsidR="0027749C" w:rsidRPr="0027749C">
                <w:rPr>
                  <w:color w:val="0563C1"/>
                  <w:sz w:val="26"/>
                  <w:szCs w:val="26"/>
                  <w:u w:val="single"/>
                </w:rPr>
                <w:t>joseph.clark@directenergy.com</w:t>
              </w:r>
            </w:hyperlink>
          </w:p>
          <w:p w:rsidR="0027749C" w:rsidRPr="0027749C" w:rsidRDefault="0098302E" w:rsidP="0027749C">
            <w:pPr>
              <w:rPr>
                <w:sz w:val="26"/>
                <w:szCs w:val="26"/>
              </w:rPr>
            </w:pPr>
            <w:hyperlink r:id="rId56" w:history="1">
              <w:r w:rsidR="0027749C" w:rsidRPr="0027749C">
                <w:rPr>
                  <w:color w:val="0563C1"/>
                  <w:sz w:val="26"/>
                  <w:szCs w:val="26"/>
                  <w:u w:val="single"/>
                </w:rPr>
                <w:t>sam@mwncmh.com</w:t>
              </w:r>
            </w:hyperlink>
          </w:p>
          <w:p w:rsidR="0027749C" w:rsidRPr="0027749C" w:rsidRDefault="0098302E" w:rsidP="0027749C">
            <w:pPr>
              <w:rPr>
                <w:sz w:val="26"/>
                <w:szCs w:val="26"/>
              </w:rPr>
            </w:pPr>
            <w:hyperlink r:id="rId57" w:history="1">
              <w:r w:rsidR="0027749C" w:rsidRPr="0027749C">
                <w:rPr>
                  <w:color w:val="0563C1"/>
                  <w:sz w:val="26"/>
                  <w:szCs w:val="26"/>
                  <w:u w:val="single"/>
                </w:rPr>
                <w:t>fdarr@mwncmh.com</w:t>
              </w:r>
            </w:hyperlink>
          </w:p>
          <w:p w:rsidR="0027749C" w:rsidRPr="0027749C" w:rsidRDefault="0098302E" w:rsidP="0027749C">
            <w:pPr>
              <w:rPr>
                <w:sz w:val="26"/>
                <w:szCs w:val="26"/>
              </w:rPr>
            </w:pPr>
            <w:hyperlink r:id="rId58" w:history="1">
              <w:r w:rsidR="0027749C" w:rsidRPr="0027749C">
                <w:rPr>
                  <w:color w:val="0563C1"/>
                  <w:sz w:val="26"/>
                  <w:szCs w:val="26"/>
                  <w:u w:val="single"/>
                </w:rPr>
                <w:t>mpritchard@mwncmh.com</w:t>
              </w:r>
            </w:hyperlink>
          </w:p>
          <w:p w:rsidR="0027749C" w:rsidRPr="0027749C" w:rsidRDefault="0098302E" w:rsidP="0027749C">
            <w:pPr>
              <w:rPr>
                <w:sz w:val="26"/>
                <w:szCs w:val="26"/>
              </w:rPr>
            </w:pPr>
            <w:hyperlink r:id="rId59" w:history="1">
              <w:r w:rsidR="0027749C" w:rsidRPr="0027749C">
                <w:rPr>
                  <w:color w:val="0563C1"/>
                  <w:sz w:val="26"/>
                  <w:szCs w:val="26"/>
                  <w:u w:val="single"/>
                </w:rPr>
                <w:t>callwein@wamenergylaw.com</w:t>
              </w:r>
            </w:hyperlink>
          </w:p>
          <w:p w:rsidR="0027749C" w:rsidRPr="0027749C" w:rsidRDefault="0098302E" w:rsidP="0027749C">
            <w:pPr>
              <w:rPr>
                <w:sz w:val="26"/>
                <w:szCs w:val="26"/>
              </w:rPr>
            </w:pPr>
            <w:hyperlink r:id="rId60" w:history="1">
              <w:r w:rsidR="0027749C" w:rsidRPr="0027749C">
                <w:rPr>
                  <w:color w:val="0563C1"/>
                  <w:sz w:val="26"/>
                  <w:szCs w:val="26"/>
                  <w:u w:val="single"/>
                </w:rPr>
                <w:t>tdougherty@theOEC.org</w:t>
              </w:r>
            </w:hyperlink>
          </w:p>
          <w:p w:rsidR="0027749C" w:rsidRPr="0027749C" w:rsidRDefault="0098302E" w:rsidP="0027749C">
            <w:pPr>
              <w:rPr>
                <w:sz w:val="26"/>
                <w:szCs w:val="26"/>
              </w:rPr>
            </w:pPr>
            <w:hyperlink r:id="rId61" w:history="1">
              <w:r w:rsidR="0027749C" w:rsidRPr="0027749C">
                <w:rPr>
                  <w:color w:val="0563C1"/>
                  <w:sz w:val="26"/>
                  <w:szCs w:val="26"/>
                  <w:u w:val="single"/>
                </w:rPr>
                <w:t>dhart@douglasehart.com</w:t>
              </w:r>
            </w:hyperlink>
          </w:p>
          <w:p w:rsidR="0027749C" w:rsidRPr="0027749C" w:rsidRDefault="0098302E" w:rsidP="0027749C">
            <w:pPr>
              <w:rPr>
                <w:sz w:val="26"/>
                <w:szCs w:val="26"/>
              </w:rPr>
            </w:pPr>
            <w:hyperlink r:id="rId62" w:history="1">
              <w:r w:rsidR="0027749C" w:rsidRPr="0027749C">
                <w:rPr>
                  <w:color w:val="0563C1"/>
                  <w:sz w:val="26"/>
                  <w:szCs w:val="26"/>
                  <w:u w:val="single"/>
                </w:rPr>
                <w:t>cloucas@ohiopartners.org</w:t>
              </w:r>
            </w:hyperlink>
          </w:p>
          <w:p w:rsidR="0027749C" w:rsidRPr="0027749C" w:rsidRDefault="0098302E" w:rsidP="0027749C">
            <w:pPr>
              <w:rPr>
                <w:sz w:val="26"/>
                <w:szCs w:val="26"/>
              </w:rPr>
            </w:pPr>
            <w:hyperlink r:id="rId63" w:history="1">
              <w:r w:rsidR="0027749C" w:rsidRPr="0027749C">
                <w:rPr>
                  <w:color w:val="0563C1"/>
                  <w:sz w:val="26"/>
                  <w:szCs w:val="26"/>
                  <w:u w:val="single"/>
                </w:rPr>
                <w:t>gpoulos@enernoc.com</w:t>
              </w:r>
            </w:hyperlink>
          </w:p>
          <w:p w:rsidR="0027749C" w:rsidRPr="0027749C" w:rsidRDefault="0098302E" w:rsidP="0027749C">
            <w:pPr>
              <w:rPr>
                <w:sz w:val="26"/>
                <w:szCs w:val="26"/>
              </w:rPr>
            </w:pPr>
            <w:hyperlink r:id="rId64" w:history="1">
              <w:r w:rsidR="0027749C" w:rsidRPr="0027749C">
                <w:rPr>
                  <w:color w:val="0563C1"/>
                  <w:sz w:val="26"/>
                  <w:szCs w:val="26"/>
                  <w:u w:val="single"/>
                </w:rPr>
                <w:t>swilliams@nrdc.org</w:t>
              </w:r>
            </w:hyperlink>
          </w:p>
          <w:p w:rsidR="0027749C" w:rsidRPr="0027749C" w:rsidRDefault="0098302E" w:rsidP="0027749C">
            <w:pPr>
              <w:rPr>
                <w:sz w:val="26"/>
                <w:szCs w:val="26"/>
              </w:rPr>
            </w:pPr>
            <w:hyperlink r:id="rId65" w:history="1">
              <w:r w:rsidR="0027749C" w:rsidRPr="0027749C">
                <w:rPr>
                  <w:color w:val="0563C1"/>
                  <w:sz w:val="26"/>
                  <w:szCs w:val="26"/>
                  <w:u w:val="single"/>
                </w:rPr>
                <w:t>tobrien@bricker.com</w:t>
              </w:r>
            </w:hyperlink>
          </w:p>
          <w:p w:rsidR="0027749C" w:rsidRPr="0027749C" w:rsidRDefault="0098302E" w:rsidP="0027749C">
            <w:pPr>
              <w:rPr>
                <w:sz w:val="26"/>
                <w:szCs w:val="26"/>
              </w:rPr>
            </w:pPr>
            <w:hyperlink r:id="rId66" w:history="1">
              <w:r w:rsidR="0027749C" w:rsidRPr="0027749C">
                <w:rPr>
                  <w:color w:val="0563C1"/>
                  <w:sz w:val="26"/>
                  <w:szCs w:val="26"/>
                  <w:u w:val="single"/>
                </w:rPr>
                <w:t>ghull@eckertseamans.com</w:t>
              </w:r>
            </w:hyperlink>
          </w:p>
          <w:p w:rsidR="0027749C" w:rsidRPr="0027749C" w:rsidRDefault="0098302E" w:rsidP="0027749C">
            <w:pPr>
              <w:rPr>
                <w:sz w:val="26"/>
                <w:szCs w:val="26"/>
              </w:rPr>
            </w:pPr>
            <w:hyperlink r:id="rId67" w:history="1">
              <w:r w:rsidR="0027749C" w:rsidRPr="0027749C">
                <w:rPr>
                  <w:color w:val="0563C1"/>
                  <w:sz w:val="26"/>
                  <w:szCs w:val="26"/>
                  <w:u w:val="single"/>
                </w:rPr>
                <w:t>jvickers@elpc.org</w:t>
              </w:r>
            </w:hyperlink>
          </w:p>
          <w:p w:rsidR="0027749C" w:rsidRPr="0027749C" w:rsidRDefault="0027749C" w:rsidP="0027749C">
            <w:pPr>
              <w:rPr>
                <w:sz w:val="26"/>
                <w:szCs w:val="26"/>
              </w:rPr>
            </w:pPr>
          </w:p>
        </w:tc>
      </w:tr>
    </w:tbl>
    <w:p w:rsidR="0027749C" w:rsidRPr="00DF3D54" w:rsidRDefault="0027749C" w:rsidP="001D2785">
      <w:pPr>
        <w:rPr>
          <w:b/>
          <w:sz w:val="26"/>
          <w:szCs w:val="26"/>
        </w:rPr>
      </w:pPr>
    </w:p>
    <w:sectPr w:rsidR="0027749C" w:rsidRPr="00DF3D54" w:rsidSect="003B12DD">
      <w:headerReference w:type="default" r:id="rId68"/>
      <w:footerReference w:type="default" r:id="rId69"/>
      <w:headerReference w:type="first" r:id="rId70"/>
      <w:footerReference w:type="first" r:id="rId7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CC2" w:rsidRDefault="00F73CC2" w:rsidP="008866FC">
      <w:pPr>
        <w:pStyle w:val="Title"/>
      </w:pPr>
      <w:r>
        <w:separator/>
      </w:r>
    </w:p>
  </w:endnote>
  <w:endnote w:type="continuationSeparator" w:id="0">
    <w:p w:rsidR="00F73CC2" w:rsidRDefault="00F73CC2"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C2" w:rsidRDefault="00F73CC2"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C2" w:rsidRPr="007F5520" w:rsidRDefault="00F73CC2"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98302E">
      <w:rPr>
        <w:rStyle w:val="PageNumber"/>
        <w:noProof/>
        <w:sz w:val="24"/>
        <w:szCs w:val="24"/>
      </w:rPr>
      <w:t>iii</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C2" w:rsidRPr="00C95499" w:rsidRDefault="00F73CC2" w:rsidP="00C95499">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98302E">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C2" w:rsidRPr="007F5520" w:rsidRDefault="00F73CC2"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98302E">
      <w:rPr>
        <w:rStyle w:val="PageNumber"/>
        <w:noProof/>
        <w:sz w:val="24"/>
        <w:szCs w:val="24"/>
      </w:rPr>
      <w:t>58</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C2" w:rsidRPr="00C95499" w:rsidRDefault="00F73CC2"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CC2" w:rsidRDefault="00F73CC2" w:rsidP="00663D6A">
      <w:pPr>
        <w:pStyle w:val="Title"/>
        <w:jc w:val="left"/>
      </w:pPr>
      <w:r>
        <w:separator/>
      </w:r>
    </w:p>
  </w:footnote>
  <w:footnote w:type="continuationSeparator" w:id="0">
    <w:p w:rsidR="00F73CC2" w:rsidRDefault="00F73CC2" w:rsidP="008866FC">
      <w:pPr>
        <w:pStyle w:val="Title"/>
      </w:pPr>
      <w:r>
        <w:continuationSeparator/>
      </w:r>
    </w:p>
  </w:footnote>
  <w:footnote w:id="1">
    <w:p w:rsidR="00F73CC2" w:rsidRDefault="00F73CC2" w:rsidP="00215F62">
      <w:pPr>
        <w:pStyle w:val="FootnoteText"/>
        <w:ind w:left="0" w:firstLine="0"/>
      </w:pPr>
      <w:r>
        <w:rPr>
          <w:rStyle w:val="FootnoteReference"/>
        </w:rPr>
        <w:footnoteRef/>
      </w:r>
      <w:r>
        <w:t xml:space="preserve"> </w:t>
      </w:r>
      <w:r>
        <w:tab/>
        <w:t xml:space="preserve">Staff Ex. 1, </w:t>
      </w:r>
      <w:r>
        <w:rPr>
          <w:i/>
        </w:rPr>
        <w:t>In the Matter of the Application of Duke Energy Ohio for Authority to Estab</w:t>
      </w:r>
      <w:r>
        <w:rPr>
          <w:i/>
        </w:rPr>
        <w:softHyphen/>
        <w:t>lish a Standard Service Offer Pursuant to § 4928.143, Revised Code, in the Form of an Electric Security Plan</w:t>
      </w:r>
      <w:r>
        <w:t xml:space="preserve">, Case Nos. 14-841-EL-SSO, </w:t>
      </w:r>
      <w:r>
        <w:rPr>
          <w:i/>
        </w:rPr>
        <w:t>et al.</w:t>
      </w:r>
      <w:r>
        <w:t xml:space="preserve"> (“</w:t>
      </w:r>
      <w:r>
        <w:rPr>
          <w:i/>
        </w:rPr>
        <w:t>ESP III Case”</w:t>
      </w:r>
      <w:r>
        <w:t xml:space="preserve">) </w:t>
      </w:r>
      <w:r w:rsidRPr="00070AF5">
        <w:rPr>
          <w:szCs w:val="24"/>
        </w:rPr>
        <w:t>(Prefiled Direct Testimony of</w:t>
      </w:r>
      <w:r>
        <w:rPr>
          <w:szCs w:val="24"/>
        </w:rPr>
        <w:t xml:space="preserve"> Dr. Hisham M. Choueiki</w:t>
      </w:r>
      <w:r w:rsidRPr="00070AF5">
        <w:rPr>
          <w:szCs w:val="24"/>
        </w:rPr>
        <w:t xml:space="preserve"> </w:t>
      </w:r>
      <w:r>
        <w:rPr>
          <w:szCs w:val="24"/>
        </w:rPr>
        <w:t>at 9) (October 2, 2014) (“Choueki Direct”)</w:t>
      </w:r>
      <w:r w:rsidRPr="00C80A1C">
        <w:rPr>
          <w:szCs w:val="24"/>
        </w:rPr>
        <w:t>.</w:t>
      </w:r>
    </w:p>
  </w:footnote>
  <w:footnote w:id="2">
    <w:p w:rsidR="00F73CC2" w:rsidRDefault="00F73CC2" w:rsidP="00215F62">
      <w:pPr>
        <w:pStyle w:val="FootnoteText"/>
        <w:ind w:left="0" w:firstLine="0"/>
      </w:pPr>
      <w:r>
        <w:rPr>
          <w:rStyle w:val="FootnoteReference"/>
        </w:rPr>
        <w:footnoteRef/>
      </w:r>
      <w:r>
        <w:t xml:space="preserve"> </w:t>
      </w:r>
      <w:r>
        <w:tab/>
      </w:r>
      <w:proofErr w:type="spellStart"/>
      <w:r>
        <w:t>OMA</w:t>
      </w:r>
      <w:proofErr w:type="spellEnd"/>
      <w:r>
        <w:t xml:space="preserve"> Ex. 2, </w:t>
      </w:r>
      <w:r w:rsidRPr="00CF16D5">
        <w:rPr>
          <w:i/>
        </w:rPr>
        <w:t>In the Matter of the Application of Duke Energy Ohio for Authority to Establish a Standard Service Offer Pursuant to 4928.143, Ohio Rev. Code, in the Form of an Electric Security Plan</w:t>
      </w:r>
      <w:r w:rsidRPr="00D32B74">
        <w:t>, Case Nos. 11-3549-EL-SSO, et al. (“</w:t>
      </w:r>
      <w:r>
        <w:rPr>
          <w:i/>
        </w:rPr>
        <w:t>ESP II c</w:t>
      </w:r>
      <w:r w:rsidRPr="00CF16D5">
        <w:rPr>
          <w:i/>
        </w:rPr>
        <w:t>ase</w:t>
      </w:r>
      <w:r w:rsidRPr="00D32B74">
        <w:t>”) (</w:t>
      </w:r>
      <w:r>
        <w:t>Opinion and Order at 45</w:t>
      </w:r>
      <w:r w:rsidRPr="00D32B74">
        <w:t>) (Nov. 22, 2011).</w:t>
      </w:r>
    </w:p>
  </w:footnote>
  <w:footnote w:id="3">
    <w:p w:rsidR="00F73CC2" w:rsidRDefault="00F73CC2" w:rsidP="00215F62">
      <w:pPr>
        <w:pStyle w:val="FootnoteText"/>
        <w:ind w:left="0" w:firstLine="0"/>
      </w:pPr>
      <w:r>
        <w:rPr>
          <w:rStyle w:val="FootnoteReference"/>
        </w:rPr>
        <w:footnoteRef/>
      </w:r>
      <w:r>
        <w:t xml:space="preserve"> </w:t>
      </w:r>
      <w:r>
        <w:tab/>
        <w:t>Staff Ex. 1 (Choueiki Direct at 6).</w:t>
      </w:r>
    </w:p>
  </w:footnote>
  <w:footnote w:id="4">
    <w:p w:rsidR="00F73CC2" w:rsidRPr="00072B85" w:rsidRDefault="00F73CC2" w:rsidP="00215F62">
      <w:pPr>
        <w:pStyle w:val="FootnoteText"/>
        <w:ind w:left="0" w:firstLine="0"/>
        <w:rPr>
          <w:szCs w:val="24"/>
        </w:rPr>
      </w:pPr>
      <w:r w:rsidRPr="00072B85">
        <w:rPr>
          <w:rStyle w:val="FootnoteReference"/>
          <w:szCs w:val="24"/>
        </w:rPr>
        <w:footnoteRef/>
      </w:r>
      <w:r w:rsidRPr="00072B85">
        <w:rPr>
          <w:szCs w:val="24"/>
        </w:rPr>
        <w:t xml:space="preserve"> </w:t>
      </w:r>
      <w:r>
        <w:rPr>
          <w:szCs w:val="24"/>
        </w:rPr>
        <w:tab/>
      </w:r>
      <w:proofErr w:type="spellStart"/>
      <w:r>
        <w:rPr>
          <w:szCs w:val="24"/>
        </w:rPr>
        <w:t>OMA</w:t>
      </w:r>
      <w:proofErr w:type="spellEnd"/>
      <w:r>
        <w:rPr>
          <w:szCs w:val="24"/>
        </w:rPr>
        <w:t xml:space="preserve"> Ex. 2 (</w:t>
      </w:r>
      <w:r>
        <w:rPr>
          <w:i/>
          <w:szCs w:val="24"/>
        </w:rPr>
        <w:t xml:space="preserve">ESP II case, </w:t>
      </w:r>
      <w:r>
        <w:rPr>
          <w:szCs w:val="24"/>
        </w:rPr>
        <w:t>Opinion and Order at 44).</w:t>
      </w:r>
    </w:p>
  </w:footnote>
  <w:footnote w:id="5">
    <w:p w:rsidR="00F73CC2" w:rsidRPr="00327B5E" w:rsidRDefault="00F73CC2" w:rsidP="00215F62">
      <w:pPr>
        <w:pStyle w:val="FootnoteText"/>
        <w:ind w:left="0" w:firstLine="0"/>
        <w:rPr>
          <w:szCs w:val="24"/>
        </w:rPr>
      </w:pPr>
      <w:r w:rsidRPr="00072B85">
        <w:rPr>
          <w:rStyle w:val="FootnoteReference"/>
          <w:szCs w:val="24"/>
        </w:rPr>
        <w:footnoteRef/>
      </w:r>
      <w:r w:rsidRPr="00072B85">
        <w:rPr>
          <w:szCs w:val="24"/>
        </w:rPr>
        <w:t xml:space="preserve"> </w:t>
      </w:r>
      <w:r>
        <w:rPr>
          <w:szCs w:val="24"/>
        </w:rPr>
        <w:tab/>
      </w:r>
      <w:r>
        <w:rPr>
          <w:i/>
          <w:szCs w:val="24"/>
        </w:rPr>
        <w:t>Id</w:t>
      </w:r>
      <w:r>
        <w:rPr>
          <w:szCs w:val="24"/>
        </w:rPr>
        <w:t>. at 76.</w:t>
      </w:r>
      <w:r w:rsidRPr="00327B5E">
        <w:rPr>
          <w:szCs w:val="24"/>
        </w:rPr>
        <w:t xml:space="preserve"> </w:t>
      </w:r>
    </w:p>
  </w:footnote>
  <w:footnote w:id="6">
    <w:p w:rsidR="00F73CC2" w:rsidRPr="00E322A0" w:rsidRDefault="00F73CC2" w:rsidP="00215F62">
      <w:pPr>
        <w:pStyle w:val="FootnoteText"/>
        <w:ind w:left="0" w:firstLine="0"/>
      </w:pPr>
      <w:r>
        <w:rPr>
          <w:rStyle w:val="FootnoteReference"/>
        </w:rPr>
        <w:footnoteRef/>
      </w:r>
      <w:r>
        <w:t xml:space="preserve"> </w:t>
      </w:r>
      <w:r>
        <w:tab/>
        <w:t>OCC Ex. 2 (</w:t>
      </w:r>
      <w:r w:rsidRPr="006515BB">
        <w:rPr>
          <w:i/>
        </w:rPr>
        <w:t>ESP</w:t>
      </w:r>
      <w:r>
        <w:rPr>
          <w:i/>
        </w:rPr>
        <w:t xml:space="preserve"> II Case</w:t>
      </w:r>
      <w:r>
        <w:t xml:space="preserve">, </w:t>
      </w:r>
      <w:r w:rsidRPr="00DF0E98">
        <w:t>Stipula</w:t>
      </w:r>
      <w:r w:rsidRPr="00DF0E98">
        <w:softHyphen/>
        <w:t>tion and Recommendation</w:t>
      </w:r>
      <w:r>
        <w:t xml:space="preserve"> at 15-16)</w:t>
      </w:r>
      <w:r w:rsidRPr="00DF0E98">
        <w:t xml:space="preserve"> (Oct. 24, 2011</w:t>
      </w:r>
      <w:r>
        <w:t>).</w:t>
      </w:r>
    </w:p>
  </w:footnote>
  <w:footnote w:id="7">
    <w:p w:rsidR="00F73CC2" w:rsidRPr="00C80A1C" w:rsidRDefault="00F73CC2" w:rsidP="00215F62">
      <w:pPr>
        <w:pStyle w:val="FootnoteText"/>
        <w:ind w:left="0" w:firstLine="0"/>
        <w:rPr>
          <w:szCs w:val="24"/>
        </w:rPr>
      </w:pPr>
      <w:r w:rsidRPr="00C80A1C">
        <w:rPr>
          <w:rStyle w:val="FootnoteReference"/>
          <w:szCs w:val="24"/>
        </w:rPr>
        <w:footnoteRef/>
      </w:r>
      <w:r w:rsidRPr="00C80A1C">
        <w:rPr>
          <w:szCs w:val="24"/>
        </w:rPr>
        <w:t xml:space="preserve"> </w:t>
      </w:r>
      <w:r w:rsidRPr="00C80A1C">
        <w:rPr>
          <w:szCs w:val="24"/>
        </w:rPr>
        <w:tab/>
      </w:r>
      <w:r>
        <w:rPr>
          <w:szCs w:val="24"/>
        </w:rPr>
        <w:t xml:space="preserve">Staff Ex. 1 (Choueiki Direct at 10). As of June 30, 2014, 76.62% </w:t>
      </w:r>
      <w:r w:rsidRPr="00C9563C">
        <w:rPr>
          <w:szCs w:val="24"/>
        </w:rPr>
        <w:t xml:space="preserve">of the MWHs consumed by Duke Energy Ohio customers are being supplied by competitive retail electric service (CRES) providers.  The remaining 23.38% are consumed by non-shoppers and are procured via a Commission-administered SSO auction.   In other words, all of Duke Energy Ohio’s distribution customers currently either shop (individually or via aggregation) for their generation needs or have their electricity needs procured through a Commission-administered SSO auction.   </w:t>
      </w:r>
    </w:p>
  </w:footnote>
  <w:footnote w:id="8">
    <w:p w:rsidR="00F73CC2" w:rsidRPr="00C80A1C" w:rsidRDefault="00F73CC2" w:rsidP="00215F62">
      <w:pPr>
        <w:pStyle w:val="FootnoteText"/>
        <w:ind w:left="0" w:firstLine="0"/>
        <w:rPr>
          <w:szCs w:val="24"/>
        </w:rPr>
      </w:pPr>
      <w:r w:rsidRPr="00C80A1C">
        <w:rPr>
          <w:rStyle w:val="FootnoteReference"/>
          <w:szCs w:val="24"/>
        </w:rPr>
        <w:footnoteRef/>
      </w:r>
      <w:r>
        <w:rPr>
          <w:szCs w:val="24"/>
        </w:rPr>
        <w:t xml:space="preserve"> </w:t>
      </w:r>
      <w:r>
        <w:rPr>
          <w:szCs w:val="24"/>
        </w:rPr>
        <w:tab/>
      </w:r>
      <w:r w:rsidRPr="00C80A1C">
        <w:rPr>
          <w:szCs w:val="24"/>
        </w:rPr>
        <w:t xml:space="preserve">Staff uses the term “reregulation” lightly because the regulatory role the Ohio Commission would play in </w:t>
      </w:r>
      <w:r>
        <w:rPr>
          <w:szCs w:val="24"/>
        </w:rPr>
        <w:t>Duke</w:t>
      </w:r>
      <w:r w:rsidRPr="00C80A1C">
        <w:rPr>
          <w:szCs w:val="24"/>
        </w:rPr>
        <w:t xml:space="preserve">’s </w:t>
      </w:r>
      <w:proofErr w:type="spellStart"/>
      <w:r>
        <w:rPr>
          <w:szCs w:val="24"/>
        </w:rPr>
        <w:t>PSR</w:t>
      </w:r>
      <w:proofErr w:type="spellEnd"/>
      <w:r w:rsidRPr="00C80A1C">
        <w:rPr>
          <w:szCs w:val="24"/>
        </w:rPr>
        <w:t xml:space="preserve"> proposal would be much more limited than the Commission’s traditional role.  The Ohio Commission’s jurisdiction </w:t>
      </w:r>
      <w:r>
        <w:rPr>
          <w:szCs w:val="24"/>
        </w:rPr>
        <w:t>(or lack thereof) over the proposed</w:t>
      </w:r>
      <w:r w:rsidRPr="00C80A1C">
        <w:rPr>
          <w:szCs w:val="24"/>
        </w:rPr>
        <w:t xml:space="preserve"> </w:t>
      </w:r>
      <w:proofErr w:type="spellStart"/>
      <w:r>
        <w:rPr>
          <w:szCs w:val="24"/>
        </w:rPr>
        <w:t>PSR</w:t>
      </w:r>
      <w:proofErr w:type="spellEnd"/>
      <w:r w:rsidRPr="00C80A1C">
        <w:rPr>
          <w:szCs w:val="24"/>
        </w:rPr>
        <w:t xml:space="preserve"> is discussed more fully below. </w:t>
      </w:r>
    </w:p>
  </w:footnote>
  <w:footnote w:id="9">
    <w:p w:rsidR="00F73CC2" w:rsidRPr="000148D4" w:rsidRDefault="00F73CC2" w:rsidP="00215F62">
      <w:pPr>
        <w:pStyle w:val="FootnoteText"/>
        <w:ind w:left="0" w:firstLine="0"/>
        <w:rPr>
          <w:szCs w:val="24"/>
        </w:rPr>
      </w:pPr>
      <w:r w:rsidRPr="000148D4">
        <w:rPr>
          <w:rStyle w:val="FootnoteReference"/>
          <w:szCs w:val="24"/>
        </w:rPr>
        <w:footnoteRef/>
      </w:r>
      <w:r>
        <w:rPr>
          <w:szCs w:val="24"/>
        </w:rPr>
        <w:t xml:space="preserve"> </w:t>
      </w:r>
      <w:r>
        <w:rPr>
          <w:szCs w:val="24"/>
        </w:rPr>
        <w:tab/>
        <w:t xml:space="preserve">IGS Ex. 12 (Hamilton/Haugen Direct at 4-5).  </w:t>
      </w:r>
    </w:p>
  </w:footnote>
  <w:footnote w:id="10">
    <w:p w:rsidR="00F73CC2" w:rsidRDefault="00F73CC2" w:rsidP="00215F62">
      <w:pPr>
        <w:pStyle w:val="FootnoteText"/>
        <w:ind w:left="0" w:firstLine="0"/>
      </w:pPr>
      <w:r>
        <w:rPr>
          <w:rStyle w:val="FootnoteReference"/>
        </w:rPr>
        <w:footnoteRef/>
      </w:r>
      <w:r>
        <w:t xml:space="preserve"> </w:t>
      </w:r>
      <w:r>
        <w:tab/>
        <w:t>Duke Ex. 6 (</w:t>
      </w:r>
      <w:proofErr w:type="spellStart"/>
      <w:r>
        <w:t>Wathen</w:t>
      </w:r>
      <w:proofErr w:type="spellEnd"/>
      <w:r>
        <w:t xml:space="preserve"> Direct at 13); IGS Ex. 12 (Hamilton/Haugen Direct at 5).</w:t>
      </w:r>
    </w:p>
  </w:footnote>
  <w:footnote w:id="11">
    <w:p w:rsidR="00F73CC2" w:rsidRDefault="00F73CC2" w:rsidP="00215F62">
      <w:pPr>
        <w:pStyle w:val="FootnoteText"/>
        <w:ind w:left="0" w:firstLine="0"/>
      </w:pPr>
      <w:r>
        <w:rPr>
          <w:rStyle w:val="FootnoteReference"/>
        </w:rPr>
        <w:footnoteRef/>
      </w:r>
      <w:r>
        <w:t xml:space="preserve"> </w:t>
      </w:r>
      <w:r>
        <w:tab/>
        <w:t>IGS Ex. 12 (Hamilton/Haugen Direct at 5).</w:t>
      </w:r>
    </w:p>
  </w:footnote>
  <w:footnote w:id="12">
    <w:p w:rsidR="00F73CC2" w:rsidRPr="0074653F" w:rsidRDefault="00F73CC2" w:rsidP="00215F62">
      <w:pPr>
        <w:pStyle w:val="FootnoteText"/>
        <w:ind w:left="0" w:firstLine="0"/>
        <w:rPr>
          <w:i/>
        </w:rPr>
      </w:pPr>
      <w:r>
        <w:rPr>
          <w:rStyle w:val="FootnoteReference"/>
        </w:rPr>
        <w:footnoteRef/>
      </w:r>
      <w:r>
        <w:t xml:space="preserve"> </w:t>
      </w:r>
      <w:r>
        <w:tab/>
      </w:r>
      <w:r w:rsidR="00AB31B8">
        <w:t>IGS Ex. 12 (Hamilton/Haugen Direct at 5)</w:t>
      </w:r>
      <w:r>
        <w:rPr>
          <w:i/>
        </w:rPr>
        <w:t>.</w:t>
      </w:r>
    </w:p>
  </w:footnote>
  <w:footnote w:id="13">
    <w:p w:rsidR="00F73CC2" w:rsidRDefault="00F73CC2" w:rsidP="00215F62">
      <w:pPr>
        <w:pStyle w:val="FootnoteText"/>
        <w:ind w:left="0" w:firstLine="0"/>
      </w:pPr>
      <w:r>
        <w:rPr>
          <w:rStyle w:val="FootnoteReference"/>
        </w:rPr>
        <w:footnoteRef/>
      </w:r>
      <w:r>
        <w:t xml:space="preserve"> </w:t>
      </w:r>
      <w:r>
        <w:tab/>
        <w:t>Staff Ex. 1 (Choueiki Direct at 12).</w:t>
      </w:r>
    </w:p>
  </w:footnote>
  <w:footnote w:id="14">
    <w:p w:rsidR="00F73CC2" w:rsidRPr="00A934C0" w:rsidRDefault="00F73CC2" w:rsidP="00215F62">
      <w:pPr>
        <w:pStyle w:val="FootnoteText"/>
        <w:ind w:left="0" w:firstLine="0"/>
        <w:rPr>
          <w:i/>
        </w:rPr>
      </w:pPr>
      <w:r>
        <w:rPr>
          <w:rStyle w:val="FootnoteReference"/>
        </w:rPr>
        <w:footnoteRef/>
      </w:r>
      <w:r>
        <w:t xml:space="preserve"> </w:t>
      </w:r>
      <w:r>
        <w:tab/>
      </w:r>
      <w:r>
        <w:rPr>
          <w:i/>
        </w:rPr>
        <w:t>Id.</w:t>
      </w:r>
    </w:p>
  </w:footnote>
  <w:footnote w:id="15">
    <w:p w:rsidR="00F73CC2" w:rsidRDefault="00F73CC2" w:rsidP="00215F62">
      <w:pPr>
        <w:pStyle w:val="FootnoteText"/>
        <w:ind w:left="0" w:firstLine="0"/>
      </w:pPr>
      <w:r>
        <w:rPr>
          <w:rStyle w:val="FootnoteReference"/>
        </w:rPr>
        <w:footnoteRef/>
      </w:r>
      <w:r>
        <w:t xml:space="preserve"> </w:t>
      </w:r>
      <w:r>
        <w:tab/>
        <w:t>Duke Ex. 2 (Henning Direct at 10).</w:t>
      </w:r>
    </w:p>
  </w:footnote>
  <w:footnote w:id="16">
    <w:p w:rsidR="00F73CC2" w:rsidRDefault="00F73CC2" w:rsidP="00215F62">
      <w:pPr>
        <w:pStyle w:val="FootnoteText"/>
        <w:ind w:left="0" w:firstLine="0"/>
      </w:pPr>
      <w:r>
        <w:rPr>
          <w:rStyle w:val="FootnoteReference"/>
        </w:rPr>
        <w:footnoteRef/>
      </w:r>
      <w:r>
        <w:t xml:space="preserve"> </w:t>
      </w:r>
      <w:r>
        <w:tab/>
        <w:t>Staff Ex. 3 (Strom Direct at 4-5).</w:t>
      </w:r>
    </w:p>
  </w:footnote>
  <w:footnote w:id="17">
    <w:p w:rsidR="00F73CC2" w:rsidRDefault="00F73CC2" w:rsidP="00215F62">
      <w:pPr>
        <w:pStyle w:val="FootnoteText"/>
        <w:ind w:left="0" w:firstLine="0"/>
      </w:pPr>
      <w:r w:rsidRPr="00C80A1C">
        <w:rPr>
          <w:rStyle w:val="FootnoteReference"/>
          <w:szCs w:val="24"/>
        </w:rPr>
        <w:footnoteRef/>
      </w:r>
      <w:r w:rsidRPr="00C80A1C">
        <w:rPr>
          <w:szCs w:val="24"/>
        </w:rPr>
        <w:t xml:space="preserve"> </w:t>
      </w:r>
      <w:r>
        <w:rPr>
          <w:szCs w:val="24"/>
        </w:rPr>
        <w:tab/>
        <w:t xml:space="preserve">Duke Ex. 3 (Lee Direct at 8). </w:t>
      </w:r>
    </w:p>
  </w:footnote>
  <w:footnote w:id="18">
    <w:p w:rsidR="00F73CC2" w:rsidRDefault="00F73CC2" w:rsidP="00215F62">
      <w:pPr>
        <w:pStyle w:val="FootnoteText"/>
        <w:ind w:left="0" w:firstLine="0"/>
      </w:pPr>
      <w:r>
        <w:rPr>
          <w:rStyle w:val="FootnoteReference"/>
        </w:rPr>
        <w:footnoteRef/>
      </w:r>
      <w:r>
        <w:t xml:space="preserve"> </w:t>
      </w:r>
      <w:r>
        <w:tab/>
        <w:t>Staff Ex. 1 (Choueiki Direct at 13).</w:t>
      </w:r>
    </w:p>
  </w:footnote>
  <w:footnote w:id="19">
    <w:p w:rsidR="00F73CC2" w:rsidRPr="00C80A1C" w:rsidRDefault="00F73CC2" w:rsidP="00215F62">
      <w:pPr>
        <w:pStyle w:val="FootnoteText"/>
        <w:ind w:left="0" w:firstLine="0"/>
        <w:rPr>
          <w:szCs w:val="24"/>
        </w:rPr>
      </w:pPr>
      <w:r w:rsidRPr="00C80A1C">
        <w:rPr>
          <w:rStyle w:val="FootnoteReference"/>
          <w:szCs w:val="24"/>
        </w:rPr>
        <w:footnoteRef/>
      </w:r>
      <w:r w:rsidRPr="00C80A1C">
        <w:rPr>
          <w:szCs w:val="24"/>
        </w:rPr>
        <w:t xml:space="preserve"> </w:t>
      </w:r>
      <w:r>
        <w:rPr>
          <w:szCs w:val="24"/>
        </w:rPr>
        <w:tab/>
        <w:t>Tr. Vol. II at 307</w:t>
      </w:r>
      <w:r w:rsidRPr="00C80A1C">
        <w:rPr>
          <w:szCs w:val="24"/>
        </w:rPr>
        <w:t>.</w:t>
      </w:r>
    </w:p>
  </w:footnote>
  <w:footnote w:id="20">
    <w:p w:rsidR="00F73CC2" w:rsidRPr="00716B1B" w:rsidRDefault="00F73CC2" w:rsidP="00215F62">
      <w:pPr>
        <w:pStyle w:val="FootnoteText"/>
        <w:ind w:left="0" w:firstLine="0"/>
        <w:rPr>
          <w:szCs w:val="24"/>
        </w:rPr>
      </w:pPr>
      <w:r w:rsidRPr="00716B1B">
        <w:rPr>
          <w:rStyle w:val="FootnoteReference"/>
          <w:szCs w:val="24"/>
        </w:rPr>
        <w:footnoteRef/>
      </w:r>
      <w:r w:rsidRPr="00716B1B">
        <w:rPr>
          <w:szCs w:val="24"/>
        </w:rPr>
        <w:t xml:space="preserve"> </w:t>
      </w:r>
      <w:r>
        <w:rPr>
          <w:szCs w:val="24"/>
        </w:rPr>
        <w:tab/>
        <w:t>Tr. I</w:t>
      </w:r>
      <w:r w:rsidRPr="00716B1B">
        <w:rPr>
          <w:szCs w:val="24"/>
        </w:rPr>
        <w:t xml:space="preserve"> at 31-33. </w:t>
      </w:r>
    </w:p>
  </w:footnote>
  <w:footnote w:id="21">
    <w:p w:rsidR="00F73CC2" w:rsidRDefault="00F73CC2" w:rsidP="00215F62">
      <w:pPr>
        <w:pStyle w:val="FootnoteText"/>
        <w:ind w:left="0" w:firstLine="0"/>
      </w:pPr>
      <w:r w:rsidRPr="00716B1B">
        <w:rPr>
          <w:rStyle w:val="FootnoteReference"/>
          <w:szCs w:val="24"/>
        </w:rPr>
        <w:footnoteRef/>
      </w:r>
      <w:r w:rsidRPr="00716B1B">
        <w:rPr>
          <w:szCs w:val="24"/>
        </w:rPr>
        <w:t xml:space="preserve"> </w:t>
      </w:r>
      <w:r>
        <w:rPr>
          <w:szCs w:val="24"/>
        </w:rPr>
        <w:tab/>
      </w:r>
      <w:r w:rsidR="00AB31B8">
        <w:rPr>
          <w:szCs w:val="24"/>
        </w:rPr>
        <w:t xml:space="preserve">Tr. </w:t>
      </w:r>
      <w:proofErr w:type="gramStart"/>
      <w:r w:rsidR="00AB31B8">
        <w:rPr>
          <w:szCs w:val="24"/>
        </w:rPr>
        <w:t xml:space="preserve">I </w:t>
      </w:r>
      <w:r w:rsidRPr="00716B1B">
        <w:rPr>
          <w:szCs w:val="24"/>
        </w:rPr>
        <w:t xml:space="preserve"> </w:t>
      </w:r>
      <w:proofErr w:type="spellStart"/>
      <w:r w:rsidRPr="00716B1B">
        <w:rPr>
          <w:szCs w:val="24"/>
        </w:rPr>
        <w:t>at</w:t>
      </w:r>
      <w:proofErr w:type="spellEnd"/>
      <w:proofErr w:type="gramEnd"/>
      <w:r w:rsidRPr="00716B1B">
        <w:rPr>
          <w:szCs w:val="24"/>
        </w:rPr>
        <w:t xml:space="preserve"> 34.</w:t>
      </w:r>
      <w:r>
        <w:t xml:space="preserve"> </w:t>
      </w:r>
    </w:p>
  </w:footnote>
  <w:footnote w:id="22">
    <w:p w:rsidR="00F73CC2" w:rsidRPr="00C80A1C" w:rsidRDefault="00F73CC2" w:rsidP="00215F62">
      <w:pPr>
        <w:pStyle w:val="FootnoteText"/>
        <w:ind w:left="0" w:firstLine="0"/>
        <w:rPr>
          <w:szCs w:val="24"/>
        </w:rPr>
      </w:pPr>
      <w:r w:rsidRPr="00C80A1C">
        <w:rPr>
          <w:rStyle w:val="FootnoteReference"/>
          <w:szCs w:val="24"/>
        </w:rPr>
        <w:footnoteRef/>
      </w:r>
      <w:r w:rsidRPr="00C80A1C">
        <w:rPr>
          <w:szCs w:val="24"/>
        </w:rPr>
        <w:t xml:space="preserve"> </w:t>
      </w:r>
      <w:r>
        <w:rPr>
          <w:szCs w:val="24"/>
        </w:rPr>
        <w:tab/>
      </w:r>
      <w:r w:rsidRPr="00C80A1C">
        <w:rPr>
          <w:i/>
          <w:szCs w:val="24"/>
        </w:rPr>
        <w:t xml:space="preserve">NRG Power Mktg., LLC v. Maine Pub. Utilities </w:t>
      </w:r>
      <w:proofErr w:type="spellStart"/>
      <w:r w:rsidRPr="00C80A1C">
        <w:rPr>
          <w:i/>
          <w:szCs w:val="24"/>
        </w:rPr>
        <w:t>Comm'n</w:t>
      </w:r>
      <w:proofErr w:type="spellEnd"/>
      <w:r>
        <w:rPr>
          <w:szCs w:val="24"/>
        </w:rPr>
        <w:t>, 558 U.S. 165, 130 S. Ct. 693</w:t>
      </w:r>
      <w:r w:rsidRPr="00C80A1C">
        <w:rPr>
          <w:szCs w:val="24"/>
        </w:rPr>
        <w:t xml:space="preserve"> (syllabus) (2010).</w:t>
      </w:r>
    </w:p>
  </w:footnote>
  <w:footnote w:id="23">
    <w:p w:rsidR="00F73CC2" w:rsidRPr="00C80A1C" w:rsidRDefault="00F73CC2" w:rsidP="00215F62">
      <w:pPr>
        <w:pStyle w:val="FootnoteText"/>
        <w:ind w:left="0" w:firstLine="0"/>
        <w:rPr>
          <w:szCs w:val="24"/>
        </w:rPr>
      </w:pPr>
      <w:r w:rsidRPr="00C80A1C">
        <w:rPr>
          <w:rStyle w:val="FootnoteReference"/>
          <w:szCs w:val="24"/>
        </w:rPr>
        <w:footnoteRef/>
      </w:r>
      <w:r w:rsidRPr="00C80A1C">
        <w:rPr>
          <w:szCs w:val="24"/>
        </w:rPr>
        <w:t xml:space="preserve"> </w:t>
      </w:r>
      <w:r w:rsidRPr="00C80A1C">
        <w:rPr>
          <w:szCs w:val="24"/>
        </w:rPr>
        <w:tab/>
      </w:r>
      <w:r w:rsidRPr="00C80A1C">
        <w:rPr>
          <w:i/>
          <w:szCs w:val="24"/>
        </w:rPr>
        <w:t xml:space="preserve">Morgan Stanley Capital Grp. Inc. v. Pub. Util. Dist. No. 1 of Snohomish </w:t>
      </w:r>
      <w:proofErr w:type="spellStart"/>
      <w:r w:rsidRPr="00C80A1C">
        <w:rPr>
          <w:i/>
          <w:szCs w:val="24"/>
        </w:rPr>
        <w:t>Cnty</w:t>
      </w:r>
      <w:proofErr w:type="spellEnd"/>
      <w:r w:rsidRPr="00C80A1C">
        <w:rPr>
          <w:i/>
          <w:szCs w:val="24"/>
        </w:rPr>
        <w:t>., Wash</w:t>
      </w:r>
      <w:r w:rsidRPr="00C80A1C">
        <w:rPr>
          <w:szCs w:val="24"/>
        </w:rPr>
        <w:t xml:space="preserve">., 554 U.S. 527, 528, 128 S. Ct. 2733, </w:t>
      </w:r>
      <w:r>
        <w:rPr>
          <w:szCs w:val="24"/>
        </w:rPr>
        <w:t xml:space="preserve">2735, 171 L. Ed. 2d 607 (2008). </w:t>
      </w:r>
    </w:p>
  </w:footnote>
  <w:footnote w:id="24">
    <w:p w:rsidR="00F73CC2" w:rsidRDefault="00F73CC2" w:rsidP="00215F62">
      <w:pPr>
        <w:pStyle w:val="FootnoteText"/>
        <w:ind w:left="0" w:firstLine="0"/>
      </w:pPr>
      <w:r>
        <w:rPr>
          <w:rStyle w:val="FootnoteReference"/>
        </w:rPr>
        <w:footnoteRef/>
      </w:r>
      <w:r>
        <w:t xml:space="preserve"> </w:t>
      </w:r>
      <w:r>
        <w:tab/>
        <w:t>Staff Ex. 1 (Choueiki Direct at 12-13).</w:t>
      </w:r>
    </w:p>
  </w:footnote>
  <w:footnote w:id="25">
    <w:p w:rsidR="00F73CC2" w:rsidRPr="00612CCD" w:rsidRDefault="00F73CC2" w:rsidP="001D2785">
      <w:pPr>
        <w:pStyle w:val="FootnoteText"/>
        <w:rPr>
          <w:szCs w:val="24"/>
        </w:rPr>
      </w:pPr>
      <w:r w:rsidRPr="00824459">
        <w:rPr>
          <w:rStyle w:val="FootnoteReference"/>
          <w:szCs w:val="24"/>
        </w:rPr>
        <w:footnoteRef/>
      </w:r>
      <w:r>
        <w:rPr>
          <w:szCs w:val="24"/>
        </w:rPr>
        <w:t xml:space="preserve"> </w:t>
      </w:r>
      <w:r>
        <w:rPr>
          <w:szCs w:val="24"/>
        </w:rPr>
        <w:tab/>
      </w:r>
      <w:r w:rsidRPr="0069268E">
        <w:rPr>
          <w:szCs w:val="24"/>
        </w:rPr>
        <w:t>Tr. Vol. XII at 3389.</w:t>
      </w:r>
    </w:p>
  </w:footnote>
  <w:footnote w:id="26">
    <w:p w:rsidR="00F73CC2" w:rsidRDefault="00F73CC2">
      <w:pPr>
        <w:pStyle w:val="FootnoteText"/>
      </w:pPr>
      <w:r>
        <w:rPr>
          <w:rStyle w:val="FootnoteReference"/>
        </w:rPr>
        <w:footnoteRef/>
      </w:r>
      <w:r>
        <w:t xml:space="preserve"> </w:t>
      </w:r>
      <w:r>
        <w:tab/>
        <w:t>Duke Ex. 6 (</w:t>
      </w:r>
      <w:proofErr w:type="spellStart"/>
      <w:r>
        <w:t>Wathen</w:t>
      </w:r>
      <w:proofErr w:type="spellEnd"/>
      <w:r>
        <w:t xml:space="preserve"> Direct at 15).</w:t>
      </w:r>
    </w:p>
  </w:footnote>
  <w:footnote w:id="27">
    <w:p w:rsidR="00F73CC2" w:rsidRPr="00424690" w:rsidRDefault="00F73CC2" w:rsidP="00424690">
      <w:pPr>
        <w:rPr>
          <w:color w:val="1F497D"/>
        </w:rPr>
      </w:pPr>
      <w:r w:rsidRPr="009C7C48">
        <w:rPr>
          <w:rStyle w:val="FootnoteReference"/>
          <w:szCs w:val="24"/>
        </w:rPr>
        <w:footnoteRef/>
      </w:r>
      <w:r w:rsidRPr="009C7C48">
        <w:rPr>
          <w:szCs w:val="24"/>
        </w:rPr>
        <w:t xml:space="preserve"> </w:t>
      </w:r>
      <w:r w:rsidRPr="009C7C48">
        <w:rPr>
          <w:szCs w:val="24"/>
        </w:rPr>
        <w:tab/>
      </w:r>
      <w:hyperlink r:id="rId1" w:anchor="Item07" w:history="1">
        <w:r w:rsidRPr="00424690">
          <w:rPr>
            <w:rStyle w:val="Hyperlink"/>
            <w:color w:val="auto"/>
            <w:sz w:val="24"/>
            <w:szCs w:val="24"/>
          </w:rPr>
          <w:t>http://www.pjm.com/markets-and-operations/rpm/rpm-auction-user-info.aspx#Item07</w:t>
        </w:r>
      </w:hyperlink>
      <w:r w:rsidRPr="00424690">
        <w:rPr>
          <w:szCs w:val="24"/>
        </w:rPr>
        <w:t xml:space="preserve"> </w:t>
      </w:r>
    </w:p>
  </w:footnote>
  <w:footnote w:id="28">
    <w:p w:rsidR="00F73CC2" w:rsidRDefault="00F73CC2">
      <w:pPr>
        <w:pStyle w:val="FootnoteText"/>
      </w:pPr>
      <w:r>
        <w:rPr>
          <w:rStyle w:val="FootnoteReference"/>
        </w:rPr>
        <w:footnoteRef/>
      </w:r>
      <w:r>
        <w:t xml:space="preserve"> </w:t>
      </w:r>
      <w:r>
        <w:tab/>
      </w:r>
      <w:r>
        <w:rPr>
          <w:rFonts w:eastAsia="Calibri"/>
        </w:rPr>
        <w:t xml:space="preserve">Tr. Vol. XII at 3393-3396. </w:t>
      </w:r>
    </w:p>
  </w:footnote>
  <w:footnote w:id="29">
    <w:p w:rsidR="00F73CC2" w:rsidRDefault="00F73CC2" w:rsidP="001D2785">
      <w:pPr>
        <w:pStyle w:val="FootnoteText"/>
      </w:pPr>
      <w:r w:rsidRPr="009C7C48">
        <w:rPr>
          <w:rStyle w:val="FootnoteReference"/>
          <w:szCs w:val="24"/>
        </w:rPr>
        <w:footnoteRef/>
      </w:r>
      <w:r w:rsidRPr="009C7C48">
        <w:rPr>
          <w:szCs w:val="24"/>
        </w:rPr>
        <w:t xml:space="preserve"> </w:t>
      </w:r>
      <w:r w:rsidRPr="009C7C48">
        <w:rPr>
          <w:szCs w:val="24"/>
        </w:rPr>
        <w:tab/>
      </w:r>
      <w:r w:rsidRPr="00B10A34">
        <w:rPr>
          <w:i/>
          <w:szCs w:val="24"/>
        </w:rPr>
        <w:t>Id</w:t>
      </w:r>
      <w:r>
        <w:rPr>
          <w:szCs w:val="24"/>
        </w:rPr>
        <w:t xml:space="preserve">.; </w:t>
      </w:r>
      <w:r w:rsidRPr="00B10A34">
        <w:rPr>
          <w:szCs w:val="24"/>
        </w:rPr>
        <w:t>R</w:t>
      </w:r>
      <w:r w:rsidRPr="009C7C48">
        <w:rPr>
          <w:szCs w:val="24"/>
        </w:rPr>
        <w:t>.C. 4928.143(B</w:t>
      </w:r>
      <w:proofErr w:type="gramStart"/>
      <w:r w:rsidRPr="009C7C48">
        <w:rPr>
          <w:szCs w:val="24"/>
        </w:rPr>
        <w:t>)(</w:t>
      </w:r>
      <w:proofErr w:type="gramEnd"/>
      <w:r w:rsidRPr="009C7C48">
        <w:rPr>
          <w:szCs w:val="24"/>
        </w:rPr>
        <w:t>2)(b).</w:t>
      </w:r>
      <w:r>
        <w:t xml:space="preserve">   </w:t>
      </w:r>
    </w:p>
  </w:footnote>
  <w:footnote w:id="30">
    <w:p w:rsidR="00F73CC2" w:rsidRDefault="00F73CC2" w:rsidP="001D2785">
      <w:pPr>
        <w:pStyle w:val="FootnoteText"/>
      </w:pPr>
      <w:r>
        <w:rPr>
          <w:rStyle w:val="FootnoteReference"/>
        </w:rPr>
        <w:footnoteRef/>
      </w:r>
      <w:r>
        <w:t xml:space="preserve"> </w:t>
      </w:r>
      <w:r>
        <w:tab/>
      </w:r>
      <w:r>
        <w:rPr>
          <w:i/>
          <w:szCs w:val="24"/>
        </w:rPr>
        <w:t>Id</w:t>
      </w:r>
      <w:r>
        <w:rPr>
          <w:szCs w:val="24"/>
        </w:rPr>
        <w:t xml:space="preserve"> at 3393-3396.</w:t>
      </w:r>
      <w:r>
        <w:t xml:space="preserve">  </w:t>
      </w:r>
    </w:p>
  </w:footnote>
  <w:footnote w:id="31">
    <w:p w:rsidR="00F73CC2" w:rsidRPr="00D32B74" w:rsidRDefault="00F73CC2">
      <w:pPr>
        <w:pStyle w:val="FootnoteText"/>
      </w:pPr>
      <w:r>
        <w:rPr>
          <w:rStyle w:val="FootnoteReference"/>
        </w:rPr>
        <w:footnoteRef/>
      </w:r>
      <w:r>
        <w:t xml:space="preserve"> </w:t>
      </w:r>
      <w:r>
        <w:tab/>
      </w:r>
      <w:proofErr w:type="spellStart"/>
      <w:r>
        <w:t>OMA</w:t>
      </w:r>
      <w:proofErr w:type="spellEnd"/>
      <w:r>
        <w:t xml:space="preserve"> Ex. 2 (</w:t>
      </w:r>
      <w:r>
        <w:rPr>
          <w:i/>
        </w:rPr>
        <w:t xml:space="preserve">ESP II case, </w:t>
      </w:r>
      <w:r>
        <w:t>Opinion and Order at 45).</w:t>
      </w:r>
    </w:p>
  </w:footnote>
  <w:footnote w:id="32">
    <w:p w:rsidR="00F73CC2" w:rsidRPr="001F50A1" w:rsidRDefault="00F73CC2">
      <w:pPr>
        <w:pStyle w:val="FootnoteText"/>
      </w:pPr>
      <w:r>
        <w:rPr>
          <w:rStyle w:val="FootnoteReference"/>
        </w:rPr>
        <w:footnoteRef/>
      </w:r>
      <w:r>
        <w:t xml:space="preserve"> </w:t>
      </w:r>
      <w:r>
        <w:tab/>
        <w:t>OCC Ex. 2 (</w:t>
      </w:r>
      <w:r>
        <w:rPr>
          <w:i/>
        </w:rPr>
        <w:t>ESP II case,</w:t>
      </w:r>
      <w:r>
        <w:t xml:space="preserve"> Stipulation at 25-28).</w:t>
      </w:r>
    </w:p>
  </w:footnote>
  <w:footnote w:id="33">
    <w:p w:rsidR="00F73CC2" w:rsidRDefault="00F73CC2">
      <w:pPr>
        <w:pStyle w:val="FootnoteText"/>
      </w:pPr>
      <w:r>
        <w:rPr>
          <w:rStyle w:val="FootnoteReference"/>
        </w:rPr>
        <w:footnoteRef/>
      </w:r>
      <w:r>
        <w:t xml:space="preserve"> </w:t>
      </w:r>
      <w:r>
        <w:tab/>
        <w:t>Duke Ex. 6 (</w:t>
      </w:r>
      <w:proofErr w:type="spellStart"/>
      <w:r>
        <w:t>Wathen</w:t>
      </w:r>
      <w:proofErr w:type="spellEnd"/>
      <w:r>
        <w:t xml:space="preserve"> Direct at 11).</w:t>
      </w:r>
    </w:p>
  </w:footnote>
  <w:footnote w:id="34">
    <w:p w:rsidR="00F73CC2" w:rsidRDefault="00F73CC2">
      <w:pPr>
        <w:pStyle w:val="FootnoteText"/>
      </w:pPr>
      <w:r>
        <w:rPr>
          <w:rStyle w:val="FootnoteReference"/>
        </w:rPr>
        <w:footnoteRef/>
      </w:r>
      <w:r>
        <w:t xml:space="preserve"> </w:t>
      </w:r>
      <w:r>
        <w:tab/>
        <w:t>Staff Ex. 1 (Choueiki Direct at 6).</w:t>
      </w:r>
    </w:p>
  </w:footnote>
  <w:footnote w:id="35">
    <w:p w:rsidR="00F73CC2" w:rsidRPr="001F50A1" w:rsidRDefault="00F73CC2">
      <w:pPr>
        <w:pStyle w:val="FootnoteText"/>
      </w:pPr>
      <w:r>
        <w:rPr>
          <w:rStyle w:val="FootnoteReference"/>
        </w:rPr>
        <w:footnoteRef/>
      </w:r>
      <w:r>
        <w:t xml:space="preserve"> </w:t>
      </w:r>
      <w:r>
        <w:tab/>
      </w:r>
      <w:r>
        <w:rPr>
          <w:i/>
        </w:rPr>
        <w:t>Id</w:t>
      </w:r>
      <w:r>
        <w:t>.</w:t>
      </w:r>
    </w:p>
  </w:footnote>
  <w:footnote w:id="36">
    <w:p w:rsidR="00F73CC2" w:rsidRPr="00B7653D" w:rsidRDefault="00F73CC2">
      <w:pPr>
        <w:pStyle w:val="FootnoteText"/>
      </w:pPr>
      <w:r>
        <w:rPr>
          <w:rStyle w:val="FootnoteReference"/>
        </w:rPr>
        <w:footnoteRef/>
      </w:r>
      <w:r>
        <w:t xml:space="preserve"> </w:t>
      </w:r>
      <w:r>
        <w:tab/>
      </w:r>
      <w:r w:rsidR="00AB31B8">
        <w:t>Staff Ex. 1 (Choueiki Direct at 6</w:t>
      </w:r>
      <w:r w:rsidR="00AB31B8">
        <w:t>-7</w:t>
      </w:r>
      <w:r w:rsidR="00AB31B8">
        <w:t>)</w:t>
      </w:r>
      <w:r>
        <w:t>.</w:t>
      </w:r>
    </w:p>
  </w:footnote>
  <w:footnote w:id="37">
    <w:p w:rsidR="00F73CC2" w:rsidRDefault="00F73CC2" w:rsidP="00111B89">
      <w:pPr>
        <w:pStyle w:val="FootnoteText"/>
      </w:pPr>
      <w:r>
        <w:rPr>
          <w:rStyle w:val="FootnoteReference"/>
        </w:rPr>
        <w:footnoteRef/>
      </w:r>
      <w:r>
        <w:t xml:space="preserve"> </w:t>
      </w:r>
      <w:r>
        <w:tab/>
        <w:t>Tr. Vol. XII at 3366-3367</w:t>
      </w:r>
    </w:p>
  </w:footnote>
  <w:footnote w:id="38">
    <w:p w:rsidR="00F73CC2" w:rsidRPr="00493F25" w:rsidRDefault="00F73CC2">
      <w:pPr>
        <w:pStyle w:val="FootnoteText"/>
      </w:pPr>
      <w:r>
        <w:rPr>
          <w:rStyle w:val="FootnoteReference"/>
        </w:rPr>
        <w:footnoteRef/>
      </w:r>
      <w:r>
        <w:t xml:space="preserve"> </w:t>
      </w:r>
      <w:r>
        <w:tab/>
        <w:t>Duke Ex. 25 (</w:t>
      </w:r>
      <w:r>
        <w:rPr>
          <w:i/>
        </w:rPr>
        <w:t>ESP II case</w:t>
      </w:r>
      <w:r>
        <w:t>, Whitlock supplemental testimony) (October 28, 2011)</w:t>
      </w:r>
    </w:p>
  </w:footnote>
  <w:footnote w:id="39">
    <w:p w:rsidR="00F73CC2" w:rsidRDefault="00F73CC2">
      <w:pPr>
        <w:pStyle w:val="FootnoteText"/>
      </w:pPr>
      <w:r>
        <w:rPr>
          <w:rStyle w:val="FootnoteReference"/>
        </w:rPr>
        <w:footnoteRef/>
      </w:r>
      <w:r>
        <w:t xml:space="preserve"> </w:t>
      </w:r>
      <w:r>
        <w:tab/>
        <w:t>Tr. Vol. XII at 3420-3423.</w:t>
      </w:r>
    </w:p>
  </w:footnote>
  <w:footnote w:id="40">
    <w:p w:rsidR="00F73CC2" w:rsidRDefault="00F73CC2" w:rsidP="003A4813">
      <w:pPr>
        <w:pStyle w:val="FootnoteText"/>
      </w:pPr>
      <w:r>
        <w:rPr>
          <w:rStyle w:val="FootnoteReference"/>
        </w:rPr>
        <w:footnoteRef/>
      </w:r>
      <w:r>
        <w:t xml:space="preserve"> </w:t>
      </w:r>
      <w:r>
        <w:tab/>
      </w:r>
      <w:r>
        <w:rPr>
          <w:i/>
        </w:rPr>
        <w:t>Id.</w:t>
      </w:r>
      <w:r>
        <w:t xml:space="preserve"> at 3368-3369.</w:t>
      </w:r>
    </w:p>
  </w:footnote>
  <w:footnote w:id="41">
    <w:p w:rsidR="00F73CC2" w:rsidRPr="00B7653D" w:rsidRDefault="00F73CC2" w:rsidP="001D005E">
      <w:pPr>
        <w:pStyle w:val="FootnoteText"/>
      </w:pPr>
      <w:r>
        <w:rPr>
          <w:rStyle w:val="FootnoteReference"/>
        </w:rPr>
        <w:footnoteRef/>
      </w:r>
      <w:r>
        <w:t xml:space="preserve"> </w:t>
      </w:r>
      <w:r>
        <w:tab/>
        <w:t>Staff Ex. 1 (Choueiki Direct at 6).</w:t>
      </w:r>
    </w:p>
  </w:footnote>
  <w:footnote w:id="42">
    <w:p w:rsidR="00F73CC2" w:rsidRPr="00B7653D" w:rsidRDefault="00F73CC2">
      <w:pPr>
        <w:pStyle w:val="FootnoteText"/>
        <w:rPr>
          <w:i/>
        </w:rPr>
      </w:pPr>
      <w:r>
        <w:rPr>
          <w:rStyle w:val="FootnoteReference"/>
        </w:rPr>
        <w:footnoteRef/>
      </w:r>
      <w:r>
        <w:t xml:space="preserve"> </w:t>
      </w:r>
      <w:r>
        <w:tab/>
      </w:r>
      <w:r>
        <w:rPr>
          <w:i/>
        </w:rPr>
        <w:t>Id.</w:t>
      </w:r>
    </w:p>
  </w:footnote>
  <w:footnote w:id="43">
    <w:p w:rsidR="00F73CC2" w:rsidRPr="00B7653D" w:rsidRDefault="00F73CC2">
      <w:pPr>
        <w:pStyle w:val="FootnoteText"/>
        <w:rPr>
          <w:i/>
        </w:rPr>
      </w:pPr>
      <w:r>
        <w:rPr>
          <w:rStyle w:val="FootnoteReference"/>
        </w:rPr>
        <w:footnoteRef/>
      </w:r>
      <w:r>
        <w:t xml:space="preserve"> </w:t>
      </w:r>
      <w:r>
        <w:tab/>
      </w:r>
      <w:r>
        <w:rPr>
          <w:i/>
        </w:rPr>
        <w:t>Id.</w:t>
      </w:r>
    </w:p>
  </w:footnote>
  <w:footnote w:id="44">
    <w:p w:rsidR="00F73CC2" w:rsidRPr="00EC4858" w:rsidRDefault="00F73CC2" w:rsidP="00215F62">
      <w:pPr>
        <w:pStyle w:val="FootnoteText"/>
        <w:ind w:left="0" w:firstLine="0"/>
        <w:rPr>
          <w:szCs w:val="24"/>
        </w:rPr>
      </w:pPr>
      <w:r w:rsidRPr="00502F63">
        <w:rPr>
          <w:rStyle w:val="FootnoteReference"/>
          <w:szCs w:val="24"/>
        </w:rPr>
        <w:footnoteRef/>
      </w:r>
      <w:r w:rsidRPr="00502F63">
        <w:rPr>
          <w:szCs w:val="24"/>
        </w:rPr>
        <w:t xml:space="preserve"> </w:t>
      </w:r>
      <w:r>
        <w:rPr>
          <w:szCs w:val="24"/>
        </w:rPr>
        <w:tab/>
        <w:t>Duke Ex. 2 (Henning Direct at 10)</w:t>
      </w:r>
      <w:r w:rsidRPr="00EC4858">
        <w:rPr>
          <w:szCs w:val="24"/>
        </w:rPr>
        <w:t xml:space="preserve">.   </w:t>
      </w:r>
    </w:p>
  </w:footnote>
  <w:footnote w:id="45">
    <w:p w:rsidR="00F73CC2" w:rsidRPr="00072B85" w:rsidRDefault="00F73CC2" w:rsidP="00215F62">
      <w:pPr>
        <w:pStyle w:val="FootnoteText"/>
        <w:ind w:left="0" w:firstLine="0"/>
        <w:rPr>
          <w:szCs w:val="24"/>
        </w:rPr>
      </w:pPr>
      <w:r w:rsidRPr="00EC4858">
        <w:rPr>
          <w:rStyle w:val="FootnoteReference"/>
          <w:szCs w:val="24"/>
        </w:rPr>
        <w:footnoteRef/>
      </w:r>
      <w:r w:rsidRPr="00EC4858">
        <w:rPr>
          <w:szCs w:val="24"/>
        </w:rPr>
        <w:t xml:space="preserve"> </w:t>
      </w:r>
      <w:r>
        <w:rPr>
          <w:szCs w:val="24"/>
        </w:rPr>
        <w:tab/>
      </w:r>
      <w:r w:rsidRPr="00EC4858">
        <w:rPr>
          <w:szCs w:val="24"/>
        </w:rPr>
        <w:t>R.C. 4928.05(A)(1) (“On and after the starting date of competitive retail electric service, a competitive retail electric service supplied by an electric utility or electric ser</w:t>
      </w:r>
      <w:r>
        <w:rPr>
          <w:szCs w:val="24"/>
        </w:rPr>
        <w:softHyphen/>
      </w:r>
      <w:r w:rsidRPr="00EC4858">
        <w:rPr>
          <w:szCs w:val="24"/>
        </w:rPr>
        <w:t xml:space="preserve">vices company shall not be subject to supervision and regulation … by the public </w:t>
      </w:r>
      <w:r w:rsidRPr="00072B85">
        <w:rPr>
          <w:szCs w:val="24"/>
        </w:rPr>
        <w:t xml:space="preserve">utilities …. Nothing in this division shall be construed to limit the commission's authority under sections 4928.141 to 4928.144 of the Revised Code.”) </w:t>
      </w:r>
    </w:p>
  </w:footnote>
  <w:footnote w:id="46">
    <w:p w:rsidR="00F73CC2" w:rsidRDefault="00F73CC2" w:rsidP="00215F62">
      <w:pPr>
        <w:pStyle w:val="FootnoteText"/>
        <w:ind w:left="0" w:firstLine="0"/>
      </w:pPr>
      <w:r>
        <w:rPr>
          <w:rStyle w:val="FootnoteReference"/>
        </w:rPr>
        <w:footnoteRef/>
      </w:r>
      <w:r>
        <w:t xml:space="preserve"> </w:t>
      </w:r>
      <w:r>
        <w:tab/>
        <w:t>Staff Ex. 1 (Choueiki Direct at 11).</w:t>
      </w:r>
    </w:p>
  </w:footnote>
  <w:footnote w:id="47">
    <w:p w:rsidR="00F73CC2" w:rsidRDefault="00F73CC2" w:rsidP="00215F62">
      <w:pPr>
        <w:pStyle w:val="FootnoteText"/>
        <w:ind w:left="0" w:firstLine="0"/>
      </w:pPr>
      <w:r>
        <w:rPr>
          <w:rStyle w:val="FootnoteReference"/>
        </w:rPr>
        <w:footnoteRef/>
      </w:r>
      <w:r>
        <w:t xml:space="preserve"> </w:t>
      </w:r>
      <w:r>
        <w:tab/>
      </w:r>
      <w:r w:rsidRPr="00412474">
        <w:t>Duke Ex. 11 (MEH-2 at 39 and 65).</w:t>
      </w:r>
    </w:p>
  </w:footnote>
  <w:footnote w:id="48">
    <w:p w:rsidR="00F73CC2" w:rsidRPr="003A10B3" w:rsidRDefault="00F73CC2" w:rsidP="00215F62">
      <w:pPr>
        <w:pStyle w:val="FootnoteText"/>
        <w:ind w:left="0" w:firstLine="0"/>
        <w:rPr>
          <w:szCs w:val="24"/>
        </w:rPr>
      </w:pPr>
      <w:r w:rsidRPr="00072B85">
        <w:rPr>
          <w:rStyle w:val="FootnoteReference"/>
          <w:szCs w:val="24"/>
        </w:rPr>
        <w:footnoteRef/>
      </w:r>
      <w:r>
        <w:rPr>
          <w:szCs w:val="24"/>
        </w:rPr>
        <w:t xml:space="preserve"> </w:t>
      </w:r>
      <w:r w:rsidRPr="003A10B3">
        <w:rPr>
          <w:szCs w:val="24"/>
        </w:rPr>
        <w:tab/>
      </w:r>
      <w:r>
        <w:rPr>
          <w:i/>
          <w:szCs w:val="24"/>
        </w:rPr>
        <w:t>Indus. Energy Users-Ohio</w:t>
      </w:r>
      <w:r w:rsidRPr="003A10B3">
        <w:rPr>
          <w:i/>
          <w:szCs w:val="24"/>
        </w:rPr>
        <w:t xml:space="preserve"> </w:t>
      </w:r>
      <w:r w:rsidRPr="003A10B3">
        <w:rPr>
          <w:szCs w:val="24"/>
        </w:rPr>
        <w:t>at ¶ 37.</w:t>
      </w:r>
      <w:r>
        <w:rPr>
          <w:szCs w:val="24"/>
        </w:rPr>
        <w:t xml:space="preserve"> </w:t>
      </w:r>
      <w:r w:rsidRPr="003A10B3">
        <w:rPr>
          <w:szCs w:val="24"/>
        </w:rPr>
        <w:t xml:space="preserve"> See also, </w:t>
      </w:r>
      <w:r w:rsidRPr="003A10B3">
        <w:rPr>
          <w:i/>
          <w:szCs w:val="24"/>
        </w:rPr>
        <w:t>Elyria Foundry Co. v. Pub. Util. Comm</w:t>
      </w:r>
      <w:r w:rsidRPr="003A10B3">
        <w:rPr>
          <w:szCs w:val="24"/>
        </w:rPr>
        <w:t>., 2007-Ohio-4164, 114 Ohio St. 3d 305, 315, 871 N.E.2d 1176, 1188</w:t>
      </w:r>
      <w:r>
        <w:rPr>
          <w:szCs w:val="24"/>
        </w:rPr>
        <w:t xml:space="preserve">.  </w:t>
      </w:r>
      <w:r w:rsidRPr="003A10B3">
        <w:rPr>
          <w:szCs w:val="24"/>
        </w:rPr>
        <w:t xml:space="preserve">In </w:t>
      </w:r>
      <w:r w:rsidRPr="003A10B3">
        <w:rPr>
          <w:i/>
          <w:szCs w:val="24"/>
        </w:rPr>
        <w:t>Elyria</w:t>
      </w:r>
      <w:r w:rsidRPr="003A10B3">
        <w:rPr>
          <w:szCs w:val="24"/>
        </w:rPr>
        <w:t>, the Court reversed a Commission decision that allowed FirstEnergy to defer and recover fuel costs from all of FirstEnergy’s distribution customer</w:t>
      </w:r>
      <w:r>
        <w:rPr>
          <w:szCs w:val="24"/>
        </w:rPr>
        <w:t>s</w:t>
      </w:r>
      <w:r w:rsidRPr="003A10B3">
        <w:rPr>
          <w:szCs w:val="24"/>
        </w:rPr>
        <w:t xml:space="preserve">. </w:t>
      </w:r>
      <w:r>
        <w:rPr>
          <w:szCs w:val="24"/>
        </w:rPr>
        <w:t xml:space="preserve"> </w:t>
      </w:r>
      <w:r w:rsidRPr="003A10B3">
        <w:rPr>
          <w:szCs w:val="24"/>
        </w:rPr>
        <w:t>The Court stated that the Commission violated R.C. 4928.02(G) - which subsequently became R.C. 4928.02(H) - “by allowing that generation-cost component to be deferred and subsequently recovered in a distribution rate case, or alternatively allowing FirstEnergy to apply generation rev</w:t>
      </w:r>
      <w:r>
        <w:rPr>
          <w:szCs w:val="24"/>
        </w:rPr>
        <w:softHyphen/>
      </w:r>
      <w:r w:rsidRPr="003A10B3">
        <w:rPr>
          <w:szCs w:val="24"/>
        </w:rPr>
        <w:t>enues to reduce distribution expenses</w:t>
      </w:r>
      <w:r w:rsidRPr="003A10B3">
        <w:rPr>
          <w:i/>
          <w:szCs w:val="24"/>
        </w:rPr>
        <w:t>.</w:t>
      </w:r>
      <w:r w:rsidRPr="003A10B3">
        <w:rPr>
          <w:szCs w:val="24"/>
        </w:rPr>
        <w:t>”</w:t>
      </w:r>
      <w:r w:rsidRPr="003A10B3">
        <w:rPr>
          <w:i/>
          <w:szCs w:val="24"/>
        </w:rPr>
        <w:t xml:space="preserve">  Elyria Foundry</w:t>
      </w:r>
      <w:r w:rsidRPr="003A10B3">
        <w:rPr>
          <w:szCs w:val="24"/>
        </w:rPr>
        <w:t xml:space="preserve"> at </w:t>
      </w:r>
      <w:r w:rsidRPr="003A10B3">
        <w:rPr>
          <w:i/>
          <w:szCs w:val="24"/>
        </w:rPr>
        <w:t xml:space="preserve">¶ </w:t>
      </w:r>
      <w:r w:rsidRPr="003A10B3">
        <w:rPr>
          <w:szCs w:val="24"/>
        </w:rPr>
        <w:t>47.</w:t>
      </w:r>
      <w:r w:rsidRPr="003A10B3">
        <w:rPr>
          <w:i/>
          <w:szCs w:val="24"/>
        </w:rPr>
        <w:t xml:space="preserve">  </w:t>
      </w:r>
    </w:p>
  </w:footnote>
  <w:footnote w:id="49">
    <w:p w:rsidR="00F73CC2" w:rsidRDefault="00F73CC2" w:rsidP="00B00F55">
      <w:pPr>
        <w:pStyle w:val="FootnoteText"/>
        <w:ind w:left="0" w:firstLine="0"/>
      </w:pPr>
      <w:r>
        <w:rPr>
          <w:rStyle w:val="FootnoteReference"/>
        </w:rPr>
        <w:footnoteRef/>
      </w:r>
      <w:r>
        <w:t xml:space="preserve"> </w:t>
      </w:r>
      <w:r>
        <w:tab/>
      </w:r>
      <w:r w:rsidRPr="003A10B3">
        <w:rPr>
          <w:rFonts w:eastAsia="Calibri"/>
          <w:i/>
        </w:rPr>
        <w:t xml:space="preserve">In the Matter of the Application of Ohio Power Company for Approval of the Shutdown of Unit 5 of the Philip </w:t>
      </w:r>
      <w:proofErr w:type="spellStart"/>
      <w:r w:rsidRPr="003A10B3">
        <w:rPr>
          <w:rFonts w:eastAsia="Calibri"/>
          <w:i/>
        </w:rPr>
        <w:t>Sporn</w:t>
      </w:r>
      <w:proofErr w:type="spellEnd"/>
      <w:r w:rsidRPr="003A10B3">
        <w:rPr>
          <w:rFonts w:eastAsia="Calibri"/>
          <w:i/>
        </w:rPr>
        <w:t xml:space="preserve"> Generating Station and to Establish a Plant Shut</w:t>
      </w:r>
      <w:r>
        <w:rPr>
          <w:rFonts w:eastAsia="Calibri"/>
          <w:i/>
        </w:rPr>
        <w:softHyphen/>
      </w:r>
      <w:r w:rsidRPr="003A10B3">
        <w:rPr>
          <w:rFonts w:eastAsia="Calibri"/>
          <w:i/>
        </w:rPr>
        <w:t>down Rider</w:t>
      </w:r>
      <w:r>
        <w:rPr>
          <w:rFonts w:eastAsia="Calibri"/>
        </w:rPr>
        <w:t>, Case No. 10-1454-EL-RDR</w:t>
      </w:r>
      <w:r w:rsidRPr="00A8124B">
        <w:rPr>
          <w:rFonts w:eastAsia="Calibri"/>
        </w:rPr>
        <w:t xml:space="preserve"> (“</w:t>
      </w:r>
      <w:proofErr w:type="spellStart"/>
      <w:r w:rsidRPr="003A10B3">
        <w:rPr>
          <w:rFonts w:eastAsia="Calibri"/>
          <w:i/>
        </w:rPr>
        <w:t>Sporn</w:t>
      </w:r>
      <w:proofErr w:type="spellEnd"/>
      <w:r w:rsidRPr="003A10B3">
        <w:rPr>
          <w:rFonts w:eastAsia="Calibri"/>
          <w:i/>
        </w:rPr>
        <w:t xml:space="preserve"> Case</w:t>
      </w:r>
      <w:r w:rsidRPr="00A8124B">
        <w:rPr>
          <w:rFonts w:eastAsia="Calibri"/>
        </w:rPr>
        <w:t>”)</w:t>
      </w:r>
      <w:r>
        <w:rPr>
          <w:rFonts w:eastAsia="Calibri"/>
        </w:rPr>
        <w:t xml:space="preserve">.  </w:t>
      </w:r>
    </w:p>
  </w:footnote>
  <w:footnote w:id="50">
    <w:p w:rsidR="00F73CC2" w:rsidRPr="004728E8" w:rsidRDefault="00F73CC2" w:rsidP="00B00F55">
      <w:pPr>
        <w:pStyle w:val="FootnoteText"/>
        <w:ind w:left="0" w:firstLine="0"/>
        <w:rPr>
          <w:szCs w:val="24"/>
        </w:rPr>
      </w:pPr>
      <w:r w:rsidRPr="004728E8">
        <w:rPr>
          <w:rStyle w:val="FootnoteReference"/>
          <w:szCs w:val="24"/>
        </w:rPr>
        <w:footnoteRef/>
      </w:r>
      <w:r>
        <w:rPr>
          <w:szCs w:val="24"/>
        </w:rPr>
        <w:t xml:space="preserve"> </w:t>
      </w:r>
      <w:r>
        <w:rPr>
          <w:szCs w:val="24"/>
        </w:rPr>
        <w:tab/>
      </w:r>
      <w:proofErr w:type="spellStart"/>
      <w:r w:rsidRPr="004728E8">
        <w:rPr>
          <w:i/>
          <w:szCs w:val="24"/>
        </w:rPr>
        <w:t>Sporn</w:t>
      </w:r>
      <w:proofErr w:type="spellEnd"/>
      <w:r w:rsidRPr="004728E8">
        <w:rPr>
          <w:i/>
          <w:szCs w:val="24"/>
        </w:rPr>
        <w:t xml:space="preserve"> Case</w:t>
      </w:r>
      <w:r w:rsidRPr="004728E8">
        <w:rPr>
          <w:szCs w:val="24"/>
        </w:rPr>
        <w:t xml:space="preserve"> </w:t>
      </w:r>
      <w:r>
        <w:rPr>
          <w:szCs w:val="24"/>
        </w:rPr>
        <w:t>(</w:t>
      </w:r>
      <w:r w:rsidRPr="004728E8">
        <w:rPr>
          <w:szCs w:val="24"/>
        </w:rPr>
        <w:t xml:space="preserve">Finding and Order </w:t>
      </w:r>
      <w:r>
        <w:rPr>
          <w:szCs w:val="24"/>
        </w:rPr>
        <w:t>at 19) (Jan. 11, 2012)</w:t>
      </w:r>
      <w:r w:rsidRPr="004728E8">
        <w:rPr>
          <w:szCs w:val="24"/>
        </w:rPr>
        <w:t xml:space="preserve">.  </w:t>
      </w:r>
    </w:p>
  </w:footnote>
  <w:footnote w:id="51">
    <w:p w:rsidR="00F73CC2" w:rsidRPr="00DA7E81" w:rsidRDefault="00F73CC2" w:rsidP="00B00F55">
      <w:pPr>
        <w:pStyle w:val="FootnoteText"/>
        <w:ind w:left="0" w:firstLine="0"/>
        <w:rPr>
          <w:szCs w:val="24"/>
        </w:rPr>
      </w:pPr>
      <w:r w:rsidRPr="00DA7E81">
        <w:rPr>
          <w:rStyle w:val="FootnoteReference"/>
          <w:szCs w:val="24"/>
        </w:rPr>
        <w:footnoteRef/>
      </w:r>
      <w:r w:rsidRPr="00DA7E81">
        <w:rPr>
          <w:szCs w:val="24"/>
        </w:rPr>
        <w:t xml:space="preserve"> </w:t>
      </w:r>
      <w:r>
        <w:rPr>
          <w:szCs w:val="24"/>
        </w:rPr>
        <w:tab/>
      </w:r>
      <w:r>
        <w:rPr>
          <w:i/>
          <w:szCs w:val="24"/>
        </w:rPr>
        <w:t>Id</w:t>
      </w:r>
      <w:r w:rsidRPr="00DA7E81">
        <w:rPr>
          <w:szCs w:val="24"/>
        </w:rPr>
        <w:t>.</w:t>
      </w:r>
    </w:p>
  </w:footnote>
  <w:footnote w:id="52">
    <w:p w:rsidR="00F73CC2" w:rsidRDefault="00F73CC2" w:rsidP="00B00F55">
      <w:pPr>
        <w:pStyle w:val="FootnoteText"/>
        <w:ind w:left="0" w:firstLine="0"/>
      </w:pPr>
      <w:r>
        <w:rPr>
          <w:rStyle w:val="FootnoteReference"/>
        </w:rPr>
        <w:footnoteRef/>
      </w:r>
      <w:r>
        <w:t xml:space="preserve"> </w:t>
      </w:r>
      <w:r>
        <w:tab/>
      </w:r>
      <w:proofErr w:type="spellStart"/>
      <w:r w:rsidR="00AB31B8" w:rsidRPr="004728E8">
        <w:rPr>
          <w:i/>
          <w:szCs w:val="24"/>
        </w:rPr>
        <w:t>Sporn</w:t>
      </w:r>
      <w:proofErr w:type="spellEnd"/>
      <w:r w:rsidR="00AB31B8" w:rsidRPr="004728E8">
        <w:rPr>
          <w:i/>
          <w:szCs w:val="24"/>
        </w:rPr>
        <w:t xml:space="preserve"> Case</w:t>
      </w:r>
      <w:r w:rsidR="00AB31B8" w:rsidRPr="004728E8">
        <w:rPr>
          <w:szCs w:val="24"/>
        </w:rPr>
        <w:t xml:space="preserve"> </w:t>
      </w:r>
      <w:r w:rsidR="00AB31B8">
        <w:rPr>
          <w:szCs w:val="24"/>
        </w:rPr>
        <w:t>(</w:t>
      </w:r>
      <w:r w:rsidR="00AB31B8" w:rsidRPr="004728E8">
        <w:rPr>
          <w:szCs w:val="24"/>
        </w:rPr>
        <w:t xml:space="preserve">Finding and Order </w:t>
      </w:r>
      <w:r w:rsidR="00AB31B8">
        <w:rPr>
          <w:szCs w:val="24"/>
        </w:rPr>
        <w:t>at 19) (Jan. 11, 2012)</w:t>
      </w:r>
      <w:r w:rsidRPr="004728E8">
        <w:rPr>
          <w:szCs w:val="24"/>
        </w:rPr>
        <w:t xml:space="preserve">.  </w:t>
      </w:r>
    </w:p>
  </w:footnote>
  <w:footnote w:id="53">
    <w:p w:rsidR="00F73CC2" w:rsidRPr="004D3CD6" w:rsidRDefault="00F73CC2" w:rsidP="00B00F55">
      <w:pPr>
        <w:pStyle w:val="FootnoteText"/>
        <w:ind w:left="0" w:firstLine="0"/>
      </w:pPr>
      <w:r w:rsidRPr="004D3CD6">
        <w:rPr>
          <w:rStyle w:val="FootnoteReference"/>
        </w:rPr>
        <w:footnoteRef/>
      </w:r>
      <w:r w:rsidRPr="004D3CD6">
        <w:t xml:space="preserve"> </w:t>
      </w:r>
      <w:r>
        <w:tab/>
      </w:r>
      <w:r w:rsidRPr="00F374EE">
        <w:rPr>
          <w:i/>
        </w:rPr>
        <w:t>In the Matter of the Application of Ohio Power Company for Authority to Establish a Standard Service Offer Pursuant to § 4928.143, Revised Code, in the Form of an Electric Security Plan</w:t>
      </w:r>
      <w:r>
        <w:t>, Case No.</w:t>
      </w:r>
      <w:r w:rsidRPr="004D3CD6">
        <w:t xml:space="preserve"> 13-2385-EL-SSO</w:t>
      </w:r>
      <w:r>
        <w:t xml:space="preserve"> (Staff Initial Brief) (September 23, 2014)</w:t>
      </w:r>
      <w:r w:rsidRPr="004D3CD6">
        <w:t>.</w:t>
      </w:r>
    </w:p>
  </w:footnote>
  <w:footnote w:id="54">
    <w:p w:rsidR="00F73CC2" w:rsidRPr="00776059" w:rsidRDefault="00F73CC2" w:rsidP="00B00F55">
      <w:pPr>
        <w:pStyle w:val="FootnoteText"/>
        <w:ind w:left="0" w:firstLine="0"/>
        <w:rPr>
          <w:szCs w:val="24"/>
        </w:rPr>
      </w:pPr>
      <w:r w:rsidRPr="00776059">
        <w:rPr>
          <w:rStyle w:val="FootnoteReference"/>
          <w:szCs w:val="24"/>
        </w:rPr>
        <w:footnoteRef/>
      </w:r>
      <w:r>
        <w:rPr>
          <w:szCs w:val="24"/>
        </w:rPr>
        <w:t xml:space="preserve"> </w:t>
      </w:r>
      <w:r>
        <w:rPr>
          <w:szCs w:val="24"/>
        </w:rPr>
        <w:tab/>
      </w:r>
      <w:proofErr w:type="spellStart"/>
      <w:r w:rsidRPr="00A8124B">
        <w:rPr>
          <w:rFonts w:eastAsia="Calibri"/>
          <w:i/>
        </w:rPr>
        <w:t>PPL</w:t>
      </w:r>
      <w:proofErr w:type="spellEnd"/>
      <w:r w:rsidRPr="00A8124B">
        <w:rPr>
          <w:rFonts w:eastAsia="Calibri"/>
          <w:i/>
        </w:rPr>
        <w:t xml:space="preserve"> </w:t>
      </w:r>
      <w:proofErr w:type="spellStart"/>
      <w:r w:rsidRPr="00A8124B">
        <w:rPr>
          <w:rFonts w:eastAsia="Calibri"/>
          <w:i/>
        </w:rPr>
        <w:t>EnergyPlus</w:t>
      </w:r>
      <w:proofErr w:type="spellEnd"/>
      <w:r w:rsidRPr="00A8124B">
        <w:rPr>
          <w:rFonts w:eastAsia="Calibri"/>
          <w:i/>
        </w:rPr>
        <w:t xml:space="preserve">, LLC v. </w:t>
      </w:r>
      <w:proofErr w:type="spellStart"/>
      <w:r w:rsidRPr="00A8124B">
        <w:rPr>
          <w:rFonts w:eastAsia="Calibri"/>
          <w:i/>
        </w:rPr>
        <w:t>Nazarian</w:t>
      </w:r>
      <w:proofErr w:type="spellEnd"/>
      <w:r w:rsidRPr="00A8124B">
        <w:rPr>
          <w:rFonts w:eastAsia="Calibri"/>
        </w:rPr>
        <w:t>, 4th Cir. No. 13-2419, 2014 WL 2445800 (Jun</w:t>
      </w:r>
      <w:r>
        <w:rPr>
          <w:rFonts w:eastAsia="Calibri"/>
        </w:rPr>
        <w:t>.</w:t>
      </w:r>
      <w:r w:rsidRPr="00A8124B">
        <w:rPr>
          <w:rFonts w:eastAsia="Calibri"/>
        </w:rPr>
        <w:t xml:space="preserve"> 2, 2014)</w:t>
      </w:r>
      <w:r>
        <w:rPr>
          <w:rFonts w:eastAsia="Calibri"/>
        </w:rPr>
        <w:t>.</w:t>
      </w:r>
      <w:r w:rsidRPr="003A10B3">
        <w:rPr>
          <w:szCs w:val="24"/>
        </w:rPr>
        <w:t xml:space="preserve"> </w:t>
      </w:r>
      <w:r>
        <w:rPr>
          <w:szCs w:val="24"/>
        </w:rPr>
        <w:t xml:space="preserve"> </w:t>
      </w:r>
      <w:r w:rsidRPr="00A8124B">
        <w:rPr>
          <w:szCs w:val="24"/>
        </w:rPr>
        <w:t xml:space="preserve">See also </w:t>
      </w:r>
      <w:proofErr w:type="spellStart"/>
      <w:r w:rsidRPr="00A8124B">
        <w:rPr>
          <w:i/>
          <w:szCs w:val="24"/>
        </w:rPr>
        <w:t>PPL</w:t>
      </w:r>
      <w:proofErr w:type="spellEnd"/>
      <w:r w:rsidRPr="00A8124B">
        <w:rPr>
          <w:i/>
          <w:szCs w:val="24"/>
        </w:rPr>
        <w:t xml:space="preserve"> </w:t>
      </w:r>
      <w:proofErr w:type="spellStart"/>
      <w:r w:rsidRPr="00A8124B">
        <w:rPr>
          <w:i/>
          <w:szCs w:val="24"/>
        </w:rPr>
        <w:t>EnergyPlus</w:t>
      </w:r>
      <w:proofErr w:type="spellEnd"/>
      <w:r w:rsidRPr="00A8124B">
        <w:rPr>
          <w:i/>
          <w:szCs w:val="24"/>
        </w:rPr>
        <w:t>, LLC v. Hanna</w:t>
      </w:r>
      <w:r w:rsidRPr="00A8124B">
        <w:rPr>
          <w:szCs w:val="24"/>
        </w:rPr>
        <w:t>, 977 F. Supp. 2d 372, 406 (</w:t>
      </w:r>
      <w:proofErr w:type="spellStart"/>
      <w:r w:rsidRPr="00A8124B">
        <w:rPr>
          <w:szCs w:val="24"/>
        </w:rPr>
        <w:t>D.N.J</w:t>
      </w:r>
      <w:proofErr w:type="spellEnd"/>
      <w:r w:rsidRPr="00A8124B">
        <w:rPr>
          <w:szCs w:val="24"/>
        </w:rPr>
        <w:t>. 2013)</w:t>
      </w:r>
      <w:r>
        <w:rPr>
          <w:szCs w:val="24"/>
        </w:rPr>
        <w:t xml:space="preserve"> </w:t>
      </w:r>
      <w:r w:rsidRPr="00A8124B">
        <w:rPr>
          <w:szCs w:val="24"/>
        </w:rPr>
        <w:t>(</w:t>
      </w:r>
      <w:r>
        <w:rPr>
          <w:szCs w:val="24"/>
        </w:rPr>
        <w:t>the U.S. District Court of New Jersey held that similar New Jersey pro</w:t>
      </w:r>
      <w:r>
        <w:rPr>
          <w:szCs w:val="24"/>
        </w:rPr>
        <w:softHyphen/>
        <w:t xml:space="preserve">gram that required utilities to enter into </w:t>
      </w:r>
      <w:proofErr w:type="spellStart"/>
      <w:r>
        <w:rPr>
          <w:szCs w:val="24"/>
        </w:rPr>
        <w:t>CfDs</w:t>
      </w:r>
      <w:proofErr w:type="spellEnd"/>
      <w:r>
        <w:rPr>
          <w:szCs w:val="24"/>
        </w:rPr>
        <w:t xml:space="preserve"> with generators was preempted by the Federal Power Act).</w:t>
      </w:r>
      <w:r w:rsidRPr="00776059">
        <w:rPr>
          <w:szCs w:val="24"/>
        </w:rPr>
        <w:t xml:space="preserve"> </w:t>
      </w:r>
    </w:p>
  </w:footnote>
  <w:footnote w:id="55">
    <w:p w:rsidR="00F73CC2" w:rsidRPr="00C62538" w:rsidRDefault="00F73CC2" w:rsidP="00B00F55">
      <w:pPr>
        <w:pStyle w:val="FootnoteText"/>
        <w:ind w:left="0" w:firstLine="0"/>
        <w:rPr>
          <w:szCs w:val="24"/>
        </w:rPr>
      </w:pPr>
      <w:r w:rsidRPr="00C62538">
        <w:rPr>
          <w:rStyle w:val="FootnoteReference"/>
          <w:szCs w:val="24"/>
        </w:rPr>
        <w:footnoteRef/>
      </w:r>
      <w:r>
        <w:rPr>
          <w:szCs w:val="24"/>
        </w:rPr>
        <w:t xml:space="preserve"> </w:t>
      </w:r>
      <w:r>
        <w:rPr>
          <w:szCs w:val="24"/>
        </w:rPr>
        <w:tab/>
      </w:r>
      <w:proofErr w:type="spellStart"/>
      <w:r>
        <w:rPr>
          <w:i/>
          <w:szCs w:val="24"/>
        </w:rPr>
        <w:t>Nazarian</w:t>
      </w:r>
      <w:proofErr w:type="spellEnd"/>
      <w:r>
        <w:rPr>
          <w:i/>
          <w:szCs w:val="24"/>
        </w:rPr>
        <w:t xml:space="preserve">, </w:t>
      </w:r>
      <w:r w:rsidRPr="00C62538">
        <w:rPr>
          <w:szCs w:val="24"/>
        </w:rPr>
        <w:t>at *2-3.</w:t>
      </w:r>
      <w:r w:rsidRPr="00C62538">
        <w:rPr>
          <w:i/>
          <w:szCs w:val="24"/>
        </w:rPr>
        <w:t xml:space="preserve"> </w:t>
      </w:r>
    </w:p>
  </w:footnote>
  <w:footnote w:id="56">
    <w:p w:rsidR="00F73CC2" w:rsidRDefault="00F73CC2" w:rsidP="00B00F55">
      <w:pPr>
        <w:pStyle w:val="FootnoteText"/>
        <w:ind w:left="0" w:firstLine="0"/>
      </w:pPr>
      <w:r w:rsidRPr="00C62538">
        <w:rPr>
          <w:rStyle w:val="FootnoteReference"/>
          <w:szCs w:val="24"/>
        </w:rPr>
        <w:footnoteRef/>
      </w:r>
      <w:r w:rsidRPr="00C62538">
        <w:rPr>
          <w:szCs w:val="24"/>
        </w:rPr>
        <w:t xml:space="preserve"> </w:t>
      </w:r>
      <w:r>
        <w:rPr>
          <w:szCs w:val="24"/>
        </w:rPr>
        <w:tab/>
      </w:r>
      <w:r>
        <w:rPr>
          <w:i/>
          <w:szCs w:val="24"/>
        </w:rPr>
        <w:t>Id</w:t>
      </w:r>
      <w:r>
        <w:rPr>
          <w:szCs w:val="24"/>
        </w:rPr>
        <w:t>.</w:t>
      </w:r>
      <w:r w:rsidRPr="00C62538">
        <w:rPr>
          <w:i/>
          <w:szCs w:val="24"/>
        </w:rPr>
        <w:t xml:space="preserve"> </w:t>
      </w:r>
      <w:r w:rsidRPr="00C62538">
        <w:rPr>
          <w:szCs w:val="24"/>
        </w:rPr>
        <w:t>at *2-3.</w:t>
      </w:r>
    </w:p>
  </w:footnote>
  <w:footnote w:id="57">
    <w:p w:rsidR="00F73CC2" w:rsidRPr="00DD1E05" w:rsidRDefault="00F73CC2" w:rsidP="00B00F55">
      <w:pPr>
        <w:pStyle w:val="FootnoteText"/>
        <w:ind w:left="0" w:firstLine="0"/>
        <w:rPr>
          <w:szCs w:val="24"/>
        </w:rPr>
      </w:pPr>
      <w:r w:rsidRPr="00776059">
        <w:rPr>
          <w:rStyle w:val="FootnoteReference"/>
          <w:szCs w:val="24"/>
        </w:rPr>
        <w:footnoteRef/>
      </w:r>
      <w:r>
        <w:rPr>
          <w:szCs w:val="24"/>
        </w:rPr>
        <w:t xml:space="preserve"> </w:t>
      </w:r>
      <w:r>
        <w:rPr>
          <w:szCs w:val="24"/>
        </w:rPr>
        <w:tab/>
      </w:r>
      <w:proofErr w:type="spellStart"/>
      <w:r>
        <w:rPr>
          <w:i/>
          <w:szCs w:val="24"/>
        </w:rPr>
        <w:t>Nazarian</w:t>
      </w:r>
      <w:proofErr w:type="spellEnd"/>
      <w:r>
        <w:rPr>
          <w:szCs w:val="24"/>
        </w:rPr>
        <w:t xml:space="preserve"> a</w:t>
      </w:r>
      <w:r w:rsidRPr="00776059">
        <w:rPr>
          <w:szCs w:val="24"/>
        </w:rPr>
        <w:t>t *5</w:t>
      </w:r>
      <w:r>
        <w:rPr>
          <w:szCs w:val="24"/>
        </w:rPr>
        <w:t xml:space="preserve">. </w:t>
      </w:r>
    </w:p>
  </w:footnote>
  <w:footnote w:id="58">
    <w:p w:rsidR="00F73CC2" w:rsidRPr="00DD1E05" w:rsidRDefault="00F73CC2" w:rsidP="00B00F55">
      <w:pPr>
        <w:pStyle w:val="FootnoteText"/>
        <w:ind w:left="0" w:firstLine="0"/>
        <w:rPr>
          <w:szCs w:val="24"/>
        </w:rPr>
      </w:pPr>
      <w:r w:rsidRPr="00DD1E05">
        <w:rPr>
          <w:rStyle w:val="FootnoteReference"/>
          <w:szCs w:val="24"/>
        </w:rPr>
        <w:footnoteRef/>
      </w:r>
      <w:r w:rsidRPr="00DD1E05">
        <w:rPr>
          <w:szCs w:val="24"/>
        </w:rPr>
        <w:t xml:space="preserve"> </w:t>
      </w:r>
      <w:r>
        <w:rPr>
          <w:szCs w:val="24"/>
        </w:rPr>
        <w:tab/>
      </w:r>
      <w:proofErr w:type="spellStart"/>
      <w:r w:rsidR="00AB31B8">
        <w:rPr>
          <w:i/>
          <w:szCs w:val="24"/>
        </w:rPr>
        <w:t>Nazarian</w:t>
      </w:r>
      <w:proofErr w:type="spellEnd"/>
      <w:r w:rsidR="00AB31B8">
        <w:rPr>
          <w:szCs w:val="24"/>
        </w:rPr>
        <w:t xml:space="preserve"> </w:t>
      </w:r>
      <w:r>
        <w:rPr>
          <w:szCs w:val="24"/>
        </w:rPr>
        <w:t xml:space="preserve">at </w:t>
      </w:r>
      <w:r w:rsidRPr="00DD1E05">
        <w:rPr>
          <w:szCs w:val="24"/>
        </w:rPr>
        <w:t xml:space="preserve">8. </w:t>
      </w:r>
    </w:p>
  </w:footnote>
  <w:footnote w:id="59">
    <w:p w:rsidR="00F73CC2" w:rsidRDefault="00F73CC2" w:rsidP="00B00F55">
      <w:pPr>
        <w:pStyle w:val="FootnoteText"/>
        <w:ind w:left="0" w:firstLine="0"/>
      </w:pPr>
      <w:r>
        <w:rPr>
          <w:rStyle w:val="FootnoteReference"/>
        </w:rPr>
        <w:footnoteRef/>
      </w:r>
      <w:r>
        <w:t xml:space="preserve"> </w:t>
      </w:r>
      <w:r>
        <w:tab/>
        <w:t>Duke Ex. 6 (</w:t>
      </w:r>
      <w:proofErr w:type="spellStart"/>
      <w:r>
        <w:t>Wathen</w:t>
      </w:r>
      <w:proofErr w:type="spellEnd"/>
      <w:r>
        <w:t xml:space="preserve"> Direct at 12).</w:t>
      </w:r>
    </w:p>
  </w:footnote>
  <w:footnote w:id="60">
    <w:p w:rsidR="00F73CC2" w:rsidRPr="00770919" w:rsidRDefault="00F73CC2" w:rsidP="00B00F55">
      <w:pPr>
        <w:pStyle w:val="FootnoteText"/>
        <w:ind w:left="0" w:firstLine="0"/>
        <w:rPr>
          <w:szCs w:val="24"/>
        </w:rPr>
      </w:pPr>
      <w:r w:rsidRPr="00770919">
        <w:rPr>
          <w:rStyle w:val="FootnoteReference"/>
          <w:szCs w:val="24"/>
        </w:rPr>
        <w:footnoteRef/>
      </w:r>
      <w:r w:rsidRPr="00770919">
        <w:rPr>
          <w:szCs w:val="24"/>
        </w:rPr>
        <w:t xml:space="preserve"> </w:t>
      </w:r>
      <w:r>
        <w:rPr>
          <w:szCs w:val="24"/>
        </w:rPr>
        <w:tab/>
        <w:t>T</w:t>
      </w:r>
      <w:r w:rsidRPr="00770919">
        <w:rPr>
          <w:szCs w:val="24"/>
        </w:rPr>
        <w:t>he unsuccessful defendants in New Jersey and Maryland</w:t>
      </w:r>
      <w:r>
        <w:rPr>
          <w:szCs w:val="24"/>
        </w:rPr>
        <w:t xml:space="preserve"> </w:t>
      </w:r>
      <w:r w:rsidRPr="00770919">
        <w:rPr>
          <w:szCs w:val="24"/>
        </w:rPr>
        <w:t xml:space="preserve">tried to characterize the </w:t>
      </w:r>
      <w:proofErr w:type="spellStart"/>
      <w:r w:rsidRPr="00770919">
        <w:rPr>
          <w:szCs w:val="24"/>
        </w:rPr>
        <w:t>CfDs</w:t>
      </w:r>
      <w:proofErr w:type="spellEnd"/>
      <w:r w:rsidRPr="00770919">
        <w:rPr>
          <w:szCs w:val="24"/>
        </w:rPr>
        <w:t xml:space="preserve"> as “hedges” or “financial arrangements.”  </w:t>
      </w:r>
      <w:proofErr w:type="spellStart"/>
      <w:r w:rsidRPr="00770919">
        <w:rPr>
          <w:i/>
          <w:szCs w:val="24"/>
        </w:rPr>
        <w:t>PPL</w:t>
      </w:r>
      <w:proofErr w:type="spellEnd"/>
      <w:r w:rsidRPr="00770919">
        <w:rPr>
          <w:i/>
          <w:szCs w:val="24"/>
        </w:rPr>
        <w:t xml:space="preserve"> </w:t>
      </w:r>
      <w:proofErr w:type="spellStart"/>
      <w:r w:rsidRPr="00770919">
        <w:rPr>
          <w:i/>
          <w:szCs w:val="24"/>
        </w:rPr>
        <w:t>Energyplus</w:t>
      </w:r>
      <w:proofErr w:type="spellEnd"/>
      <w:r w:rsidRPr="00770919">
        <w:rPr>
          <w:i/>
          <w:szCs w:val="24"/>
        </w:rPr>
        <w:t xml:space="preserve">, LLC v. </w:t>
      </w:r>
      <w:proofErr w:type="spellStart"/>
      <w:r w:rsidRPr="00770919">
        <w:rPr>
          <w:i/>
          <w:szCs w:val="24"/>
        </w:rPr>
        <w:t>Nazarian</w:t>
      </w:r>
      <w:proofErr w:type="spellEnd"/>
      <w:r w:rsidRPr="00770919">
        <w:rPr>
          <w:szCs w:val="24"/>
        </w:rPr>
        <w:t>, 974 F. Supp. 2d 790, 835 (D. Md. 2013)) (</w:t>
      </w:r>
      <w:r>
        <w:rPr>
          <w:szCs w:val="24"/>
        </w:rPr>
        <w:t>T</w:t>
      </w:r>
      <w:r w:rsidRPr="00770919">
        <w:rPr>
          <w:szCs w:val="24"/>
        </w:rPr>
        <w:t xml:space="preserve">he U.S. District Court, Maryland, “agree[d] … that the </w:t>
      </w:r>
      <w:proofErr w:type="spellStart"/>
      <w:r w:rsidRPr="00770919">
        <w:rPr>
          <w:szCs w:val="24"/>
        </w:rPr>
        <w:t>CfD</w:t>
      </w:r>
      <w:proofErr w:type="spellEnd"/>
      <w:r w:rsidRPr="00770919">
        <w:rPr>
          <w:szCs w:val="24"/>
        </w:rPr>
        <w:t xml:space="preserve"> is </w:t>
      </w:r>
      <w:r w:rsidRPr="00587121">
        <w:rPr>
          <w:szCs w:val="24"/>
        </w:rPr>
        <w:t>critically distinguishable</w:t>
      </w:r>
      <w:r w:rsidRPr="00770919">
        <w:rPr>
          <w:szCs w:val="24"/>
        </w:rPr>
        <w:t xml:space="preserve"> from a swap or similar agreement and </w:t>
      </w:r>
      <w:r w:rsidRPr="003A10B3">
        <w:rPr>
          <w:i/>
          <w:szCs w:val="24"/>
        </w:rPr>
        <w:t>cannot be categorized as a ‘purely financial arrangement’</w:t>
      </w:r>
      <w:r w:rsidRPr="00770919">
        <w:rPr>
          <w:szCs w:val="24"/>
        </w:rPr>
        <w:t>…”</w:t>
      </w:r>
      <w:r>
        <w:rPr>
          <w:szCs w:val="24"/>
        </w:rPr>
        <w:t>)(emphasis added)</w:t>
      </w:r>
      <w:r w:rsidRPr="00770919">
        <w:rPr>
          <w:szCs w:val="24"/>
        </w:rPr>
        <w:t xml:space="preserve">; and </w:t>
      </w:r>
      <w:r w:rsidRPr="00770919">
        <w:rPr>
          <w:i/>
          <w:szCs w:val="24"/>
        </w:rPr>
        <w:t>Hanna</w:t>
      </w:r>
      <w:r w:rsidRPr="00770919">
        <w:rPr>
          <w:szCs w:val="24"/>
        </w:rPr>
        <w:t xml:space="preserve">, 977 F. Supp. 2d </w:t>
      </w:r>
      <w:r>
        <w:rPr>
          <w:szCs w:val="24"/>
        </w:rPr>
        <w:t xml:space="preserve">at </w:t>
      </w:r>
      <w:r w:rsidRPr="00770919">
        <w:rPr>
          <w:szCs w:val="24"/>
        </w:rPr>
        <w:t>406</w:t>
      </w:r>
      <w:r>
        <w:rPr>
          <w:szCs w:val="24"/>
        </w:rPr>
        <w:t xml:space="preserve"> </w:t>
      </w:r>
      <w:r w:rsidRPr="00770919">
        <w:rPr>
          <w:szCs w:val="24"/>
        </w:rPr>
        <w:t>(“In the defendants’ view, the [</w:t>
      </w:r>
      <w:proofErr w:type="spellStart"/>
      <w:r w:rsidRPr="00770919">
        <w:rPr>
          <w:szCs w:val="24"/>
        </w:rPr>
        <w:t>CfDs</w:t>
      </w:r>
      <w:proofErr w:type="spellEnd"/>
      <w:r w:rsidRPr="00770919">
        <w:rPr>
          <w:szCs w:val="24"/>
        </w:rPr>
        <w:t>] are purely financial contracts that do not involve physical sales of electricity….The Court finds that the [</w:t>
      </w:r>
      <w:proofErr w:type="spellStart"/>
      <w:r w:rsidRPr="00770919">
        <w:rPr>
          <w:szCs w:val="24"/>
        </w:rPr>
        <w:t>CfDs</w:t>
      </w:r>
      <w:proofErr w:type="spellEnd"/>
      <w:r w:rsidRPr="00770919">
        <w:rPr>
          <w:szCs w:val="24"/>
        </w:rPr>
        <w:t xml:space="preserve">] </w:t>
      </w:r>
      <w:r w:rsidRPr="00FB114A">
        <w:rPr>
          <w:szCs w:val="24"/>
        </w:rPr>
        <w:t>occ</w:t>
      </w:r>
      <w:r w:rsidRPr="00770919">
        <w:rPr>
          <w:szCs w:val="24"/>
        </w:rPr>
        <w:t xml:space="preserve">upy the same field of regulation as the [FERC] and </w:t>
      </w:r>
      <w:r w:rsidRPr="003A10B3">
        <w:rPr>
          <w:i/>
          <w:szCs w:val="24"/>
        </w:rPr>
        <w:t>intrude upon the [FERC’s] authority to set wholesale energy prices</w:t>
      </w:r>
      <w:r w:rsidRPr="00770919">
        <w:rPr>
          <w:szCs w:val="24"/>
        </w:rPr>
        <w:t xml:space="preserve"> through its preferred RPM Auction process.”)</w:t>
      </w:r>
      <w:r>
        <w:rPr>
          <w:szCs w:val="24"/>
        </w:rPr>
        <w:t xml:space="preserve"> (</w:t>
      </w:r>
      <w:proofErr w:type="gramStart"/>
      <w:r>
        <w:rPr>
          <w:szCs w:val="24"/>
        </w:rPr>
        <w:t>emphasis</w:t>
      </w:r>
      <w:proofErr w:type="gramEnd"/>
      <w:r>
        <w:rPr>
          <w:szCs w:val="24"/>
        </w:rPr>
        <w:t xml:space="preserve"> added)</w:t>
      </w:r>
      <w:r w:rsidRPr="00770919">
        <w:rPr>
          <w:szCs w:val="24"/>
        </w:rPr>
        <w:t xml:space="preserve">.  </w:t>
      </w:r>
    </w:p>
  </w:footnote>
  <w:footnote w:id="61">
    <w:p w:rsidR="00F73CC2" w:rsidRPr="004053F4" w:rsidRDefault="00F73CC2" w:rsidP="00B00F55">
      <w:pPr>
        <w:pStyle w:val="FootnoteText"/>
        <w:ind w:left="0" w:firstLine="0"/>
        <w:rPr>
          <w:szCs w:val="24"/>
        </w:rPr>
      </w:pPr>
      <w:r w:rsidRPr="00A8124B">
        <w:rPr>
          <w:rStyle w:val="FootnoteReference"/>
          <w:szCs w:val="24"/>
        </w:rPr>
        <w:footnoteRef/>
      </w:r>
      <w:r>
        <w:rPr>
          <w:szCs w:val="24"/>
        </w:rPr>
        <w:t xml:space="preserve"> </w:t>
      </w:r>
      <w:r>
        <w:rPr>
          <w:szCs w:val="24"/>
        </w:rPr>
        <w:tab/>
        <w:t>Duke Ex. 2 (Henning Direct at 10).</w:t>
      </w:r>
      <w:r w:rsidRPr="004053F4">
        <w:rPr>
          <w:szCs w:val="24"/>
        </w:rPr>
        <w:t xml:space="preserve"> </w:t>
      </w:r>
    </w:p>
  </w:footnote>
  <w:footnote w:id="62">
    <w:p w:rsidR="00F73CC2" w:rsidRDefault="00F73CC2" w:rsidP="00B00F55">
      <w:pPr>
        <w:pStyle w:val="FootnoteText"/>
        <w:ind w:left="0" w:firstLine="0"/>
      </w:pPr>
      <w:r>
        <w:rPr>
          <w:rStyle w:val="FootnoteReference"/>
        </w:rPr>
        <w:footnoteRef/>
      </w:r>
      <w:r>
        <w:t xml:space="preserve"> </w:t>
      </w:r>
      <w:r>
        <w:tab/>
      </w:r>
      <w:r w:rsidRPr="00105DB5">
        <w:rPr>
          <w:rFonts w:eastAsia="Calibri"/>
        </w:rPr>
        <w:t>R.C. 4928.143(C</w:t>
      </w:r>
      <w:proofErr w:type="gramStart"/>
      <w:r w:rsidRPr="00105DB5">
        <w:rPr>
          <w:rFonts w:eastAsia="Calibri"/>
        </w:rPr>
        <w:t>)(</w:t>
      </w:r>
      <w:proofErr w:type="gramEnd"/>
      <w:r w:rsidRPr="00105DB5">
        <w:rPr>
          <w:rFonts w:eastAsia="Calibri"/>
        </w:rPr>
        <w:t>1).</w:t>
      </w:r>
      <w:r>
        <w:rPr>
          <w:rFonts w:eastAsia="Calibri"/>
        </w:rPr>
        <w:t xml:space="preserve"> </w:t>
      </w:r>
      <w:r w:rsidRPr="00105DB5">
        <w:rPr>
          <w:rFonts w:eastAsia="Calibri"/>
        </w:rPr>
        <w:t xml:space="preserve"> </w:t>
      </w:r>
    </w:p>
  </w:footnote>
  <w:footnote w:id="63">
    <w:p w:rsidR="00F73CC2" w:rsidRDefault="00F73CC2" w:rsidP="00B00F55">
      <w:pPr>
        <w:pStyle w:val="FootnoteText"/>
        <w:ind w:left="0" w:firstLine="0"/>
      </w:pPr>
      <w:r>
        <w:rPr>
          <w:rStyle w:val="FootnoteReference"/>
        </w:rPr>
        <w:footnoteRef/>
      </w:r>
      <w:r>
        <w:t xml:space="preserve"> </w:t>
      </w:r>
      <w:r>
        <w:tab/>
        <w:t>IGS Exhibit 12 (Hamilton/Haugen Direct at TH-4)</w:t>
      </w:r>
    </w:p>
  </w:footnote>
  <w:footnote w:id="64">
    <w:p w:rsidR="00F73CC2" w:rsidRDefault="00F73CC2" w:rsidP="00D26910">
      <w:pPr>
        <w:pStyle w:val="FootnoteText"/>
      </w:pPr>
      <w:r>
        <w:rPr>
          <w:rStyle w:val="FootnoteReference"/>
        </w:rPr>
        <w:footnoteRef/>
      </w:r>
      <w:r>
        <w:t xml:space="preserve"> </w:t>
      </w:r>
      <w:r>
        <w:tab/>
        <w:t>Kroger Ex. 1 (Higgins Direct at 6).</w:t>
      </w:r>
    </w:p>
  </w:footnote>
  <w:footnote w:id="65">
    <w:p w:rsidR="00F73CC2" w:rsidRPr="00A97358" w:rsidRDefault="00F73CC2">
      <w:pPr>
        <w:pStyle w:val="FootnoteText"/>
      </w:pPr>
      <w:r>
        <w:rPr>
          <w:rStyle w:val="FootnoteReference"/>
        </w:rPr>
        <w:footnoteRef/>
      </w:r>
      <w:r>
        <w:t xml:space="preserve"> </w:t>
      </w:r>
      <w:r>
        <w:tab/>
      </w:r>
      <w:r>
        <w:rPr>
          <w:i/>
        </w:rPr>
        <w:t xml:space="preserve">Id. </w:t>
      </w:r>
      <w:r>
        <w:t>at 6-7.</w:t>
      </w:r>
    </w:p>
  </w:footnote>
  <w:footnote w:id="66">
    <w:p w:rsidR="00F73CC2" w:rsidRPr="009A1BDE" w:rsidRDefault="00F73CC2">
      <w:pPr>
        <w:pStyle w:val="FootnoteText"/>
      </w:pPr>
      <w:r>
        <w:rPr>
          <w:rStyle w:val="FootnoteReference"/>
        </w:rPr>
        <w:footnoteRef/>
      </w:r>
      <w:r>
        <w:t xml:space="preserve"> </w:t>
      </w:r>
      <w:r>
        <w:tab/>
      </w:r>
      <w:r>
        <w:rPr>
          <w:i/>
        </w:rPr>
        <w:t xml:space="preserve">Id. </w:t>
      </w:r>
      <w:r>
        <w:t>at 7.</w:t>
      </w:r>
    </w:p>
  </w:footnote>
  <w:footnote w:id="67">
    <w:p w:rsidR="00F73CC2" w:rsidRPr="001D005E" w:rsidRDefault="00F73CC2" w:rsidP="001D2785">
      <w:pPr>
        <w:pStyle w:val="FootnoteText"/>
        <w:rPr>
          <w:i/>
          <w:szCs w:val="24"/>
        </w:rPr>
      </w:pPr>
      <w:r w:rsidRPr="00F75173">
        <w:rPr>
          <w:rStyle w:val="FootnoteReference"/>
          <w:szCs w:val="24"/>
        </w:rPr>
        <w:footnoteRef/>
      </w:r>
      <w:r>
        <w:rPr>
          <w:szCs w:val="24"/>
        </w:rPr>
        <w:t xml:space="preserve"> </w:t>
      </w:r>
      <w:r>
        <w:rPr>
          <w:szCs w:val="24"/>
        </w:rPr>
        <w:tab/>
      </w:r>
      <w:r>
        <w:rPr>
          <w:i/>
        </w:rPr>
        <w:t>Id.</w:t>
      </w:r>
    </w:p>
  </w:footnote>
  <w:footnote w:id="68">
    <w:p w:rsidR="00F73CC2" w:rsidRDefault="00F73CC2">
      <w:pPr>
        <w:pStyle w:val="FootnoteText"/>
      </w:pPr>
      <w:r>
        <w:rPr>
          <w:rStyle w:val="FootnoteReference"/>
        </w:rPr>
        <w:footnoteRef/>
      </w:r>
      <w:r>
        <w:t xml:space="preserve"> </w:t>
      </w:r>
      <w:r>
        <w:tab/>
        <w:t>OCC Ex. 4 (Wilson Direct at 12).</w:t>
      </w:r>
    </w:p>
  </w:footnote>
  <w:footnote w:id="69">
    <w:p w:rsidR="00F73CC2" w:rsidRPr="00CE7D6D" w:rsidRDefault="00F73CC2">
      <w:pPr>
        <w:pStyle w:val="FootnoteText"/>
      </w:pPr>
      <w:r>
        <w:rPr>
          <w:rStyle w:val="FootnoteReference"/>
        </w:rPr>
        <w:footnoteRef/>
      </w:r>
      <w:r>
        <w:t xml:space="preserve"> </w:t>
      </w:r>
      <w:r>
        <w:tab/>
      </w:r>
      <w:r>
        <w:rPr>
          <w:i/>
        </w:rPr>
        <w:t xml:space="preserve">Id. </w:t>
      </w:r>
      <w:r>
        <w:t>at 12-13.</w:t>
      </w:r>
    </w:p>
  </w:footnote>
  <w:footnote w:id="70">
    <w:p w:rsidR="00F73CC2" w:rsidRDefault="00F73CC2" w:rsidP="00522123">
      <w:pPr>
        <w:pStyle w:val="FootnoteText"/>
      </w:pPr>
      <w:r>
        <w:rPr>
          <w:rStyle w:val="FootnoteReference"/>
        </w:rPr>
        <w:footnoteRef/>
      </w:r>
      <w:r>
        <w:t xml:space="preserve"> </w:t>
      </w:r>
      <w:r>
        <w:tab/>
        <w:t>Duke Ex. 2 (Henning Direct at 11).</w:t>
      </w:r>
    </w:p>
  </w:footnote>
  <w:footnote w:id="71">
    <w:p w:rsidR="00F73CC2" w:rsidRDefault="00F73CC2" w:rsidP="00522123">
      <w:pPr>
        <w:pStyle w:val="FootnoteText"/>
      </w:pPr>
      <w:r>
        <w:rPr>
          <w:rStyle w:val="FootnoteReference"/>
        </w:rPr>
        <w:footnoteRef/>
      </w:r>
      <w:r>
        <w:t xml:space="preserve"> </w:t>
      </w:r>
      <w:r>
        <w:tab/>
        <w:t>Tr. Vol. I at 263.</w:t>
      </w:r>
    </w:p>
  </w:footnote>
  <w:footnote w:id="72">
    <w:p w:rsidR="00F73CC2" w:rsidRPr="00522123" w:rsidRDefault="00F73CC2" w:rsidP="00522123">
      <w:pPr>
        <w:pStyle w:val="FootnoteText"/>
      </w:pPr>
      <w:r>
        <w:rPr>
          <w:rStyle w:val="FootnoteReference"/>
        </w:rPr>
        <w:footnoteRef/>
      </w:r>
      <w:r>
        <w:t xml:space="preserve"> </w:t>
      </w:r>
      <w:r>
        <w:tab/>
      </w:r>
      <w:r>
        <w:rPr>
          <w:i/>
        </w:rPr>
        <w:t xml:space="preserve">Id. </w:t>
      </w:r>
      <w:r>
        <w:t>at 264-269.</w:t>
      </w:r>
    </w:p>
  </w:footnote>
  <w:footnote w:id="73">
    <w:p w:rsidR="00F73CC2" w:rsidRDefault="00F73CC2" w:rsidP="00D80BA1">
      <w:pPr>
        <w:pStyle w:val="FootnoteText"/>
      </w:pPr>
      <w:r>
        <w:rPr>
          <w:rStyle w:val="FootnoteReference"/>
        </w:rPr>
        <w:footnoteRef/>
      </w:r>
      <w:r>
        <w:t xml:space="preserve"> </w:t>
      </w:r>
      <w:r>
        <w:tab/>
        <w:t>Staff Ex. 1 (Choueiki Direct 13-17.)</w:t>
      </w:r>
    </w:p>
  </w:footnote>
  <w:footnote w:id="74">
    <w:p w:rsidR="00F73CC2" w:rsidRDefault="00F73CC2" w:rsidP="00B00F55">
      <w:pPr>
        <w:pStyle w:val="FootnoteText"/>
        <w:ind w:left="0" w:firstLine="0"/>
      </w:pPr>
      <w:r>
        <w:rPr>
          <w:rStyle w:val="FootnoteReference"/>
        </w:rPr>
        <w:footnoteRef/>
      </w:r>
      <w:r>
        <w:t xml:space="preserve"> </w:t>
      </w:r>
      <w:r>
        <w:tab/>
        <w:t>Duke Ex. 6 (</w:t>
      </w:r>
      <w:proofErr w:type="spellStart"/>
      <w:r>
        <w:t>Wathen</w:t>
      </w:r>
      <w:proofErr w:type="spellEnd"/>
      <w:r>
        <w:t xml:space="preserve"> Direct at 15).</w:t>
      </w:r>
    </w:p>
  </w:footnote>
  <w:footnote w:id="75">
    <w:p w:rsidR="00F73CC2" w:rsidRPr="004D3CD6" w:rsidRDefault="00F73CC2" w:rsidP="00B00F55">
      <w:pPr>
        <w:pStyle w:val="FootnoteText"/>
        <w:ind w:left="0" w:firstLine="0"/>
      </w:pPr>
      <w:r w:rsidRPr="004D3CD6">
        <w:rPr>
          <w:rStyle w:val="FootnoteReference"/>
        </w:rPr>
        <w:footnoteRef/>
      </w:r>
      <w:r w:rsidRPr="004D3CD6">
        <w:t xml:space="preserve"> </w:t>
      </w:r>
      <w:r>
        <w:tab/>
      </w:r>
      <w:r w:rsidRPr="004D3CD6">
        <w:t xml:space="preserve">Duke Energy Ohio’s 9% interest in the </w:t>
      </w:r>
      <w:proofErr w:type="spellStart"/>
      <w:r w:rsidRPr="004D3CD6">
        <w:t>OVEC</w:t>
      </w:r>
      <w:proofErr w:type="spellEnd"/>
      <w:r w:rsidRPr="004D3CD6">
        <w:t xml:space="preserve"> generating stations represents about 200 MWs.  Assuming a non-shopping load in Duke Energy Ohio’s service area of about 1,000 MWs, the Company’s interest in the </w:t>
      </w:r>
      <w:proofErr w:type="spellStart"/>
      <w:r w:rsidRPr="004D3CD6">
        <w:t>OVEC</w:t>
      </w:r>
      <w:proofErr w:type="spellEnd"/>
      <w:r w:rsidRPr="004D3CD6">
        <w:t xml:space="preserve"> generating stations represents about 20 tranches (an amount that is significant enough to impact the results of an SSO auction).  </w:t>
      </w:r>
    </w:p>
  </w:footnote>
  <w:footnote w:id="76">
    <w:p w:rsidR="00F73CC2" w:rsidRDefault="00F73CC2">
      <w:pPr>
        <w:pStyle w:val="FootnoteText"/>
      </w:pPr>
      <w:r>
        <w:rPr>
          <w:rStyle w:val="FootnoteReference"/>
        </w:rPr>
        <w:footnoteRef/>
      </w:r>
      <w:r>
        <w:t xml:space="preserve"> </w:t>
      </w:r>
      <w:r>
        <w:tab/>
        <w:t>Staff</w:t>
      </w:r>
      <w:r w:rsidRPr="00DD36C7">
        <w:t xml:space="preserve"> Ex. </w:t>
      </w:r>
      <w:r>
        <w:t>6</w:t>
      </w:r>
      <w:r w:rsidRPr="00DD36C7">
        <w:t xml:space="preserve"> (</w:t>
      </w:r>
      <w:r>
        <w:t>McCarter Direct</w:t>
      </w:r>
      <w:r w:rsidRPr="00DD36C7">
        <w:t xml:space="preserve"> </w:t>
      </w:r>
      <w:r>
        <w:t xml:space="preserve">at 2). </w:t>
      </w:r>
    </w:p>
  </w:footnote>
  <w:footnote w:id="77">
    <w:p w:rsidR="00F73CC2" w:rsidRDefault="00F73CC2">
      <w:pPr>
        <w:pStyle w:val="FootnoteText"/>
      </w:pPr>
      <w:r>
        <w:rPr>
          <w:rStyle w:val="FootnoteReference"/>
        </w:rPr>
        <w:footnoteRef/>
      </w:r>
      <w:r>
        <w:t xml:space="preserve"> </w:t>
      </w:r>
      <w:r>
        <w:tab/>
        <w:t>Tr. Vol. XIV at 3902-3904.</w:t>
      </w:r>
    </w:p>
  </w:footnote>
  <w:footnote w:id="78">
    <w:p w:rsidR="00F73CC2" w:rsidRDefault="00F73CC2" w:rsidP="00B00F55">
      <w:pPr>
        <w:pStyle w:val="FootnoteText"/>
        <w:ind w:left="0" w:firstLine="0"/>
      </w:pPr>
      <w:r>
        <w:rPr>
          <w:rStyle w:val="FootnoteReference"/>
        </w:rPr>
        <w:footnoteRef/>
      </w:r>
      <w:r>
        <w:t xml:space="preserve"> </w:t>
      </w:r>
      <w:r>
        <w:tab/>
        <w:t>Duke Ex. 6 (</w:t>
      </w:r>
      <w:proofErr w:type="spellStart"/>
      <w:r>
        <w:t>Wathen</w:t>
      </w:r>
      <w:proofErr w:type="spellEnd"/>
      <w:r>
        <w:t xml:space="preserve"> Direct at 5).</w:t>
      </w:r>
    </w:p>
  </w:footnote>
  <w:footnote w:id="79">
    <w:p w:rsidR="00F73CC2" w:rsidRDefault="00F73CC2" w:rsidP="00B00F55">
      <w:pPr>
        <w:pStyle w:val="FootnoteText"/>
        <w:ind w:left="0" w:firstLine="0"/>
      </w:pPr>
      <w:r>
        <w:rPr>
          <w:rStyle w:val="FootnoteReference"/>
        </w:rPr>
        <w:footnoteRef/>
      </w:r>
      <w:r>
        <w:t xml:space="preserve"> </w:t>
      </w:r>
      <w:r>
        <w:tab/>
        <w:t xml:space="preserve"> </w:t>
      </w:r>
      <w:r>
        <w:rPr>
          <w:i/>
        </w:rPr>
        <w:t>In the Matter of the Application of Columbus Southern Power and Ohio Power Company for Authority to Establish a Standard Service Offer Pursuant to Section 4828.143, Revised Code, in the Form of an Electric Security Plan (“</w:t>
      </w:r>
      <w:r w:rsidRPr="00EF14F0">
        <w:rPr>
          <w:i/>
        </w:rPr>
        <w:t>AEP-Ohio ESP II Case</w:t>
      </w:r>
      <w:r>
        <w:rPr>
          <w:i/>
        </w:rPr>
        <w:t>”)</w:t>
      </w:r>
      <w:r>
        <w:t xml:space="preserve">, Case No. 11-346-EL-SSO, et. al. </w:t>
      </w:r>
      <w:r w:rsidRPr="00EF14F0">
        <w:t xml:space="preserve">(Opinion </w:t>
      </w:r>
      <w:r>
        <w:t xml:space="preserve">and Order at 47) (Aug. 8, 2012) (For AEP-Ohio’s similar Distribution Investment Rider (“DIR”), the Commission found that “granting the DIR mechanism requires Commission oversight. We believe that it is detrimental to the state's economy to require the utility to be reactionary or allow the performance standards to take a negative turn before we encourage the electric utility to proactively and efficiently replace and modernize infrastructure and, therefore find it reasonable to permit the recovery of prudently incurred distribution infrastructure investment costs. AEP-Ohio is correct to aspire to move from a reactive to a more proactive replacement maintenance program. The Company is directed to work with Staff to develop a plan to emphasize proactive distribution maintenance that focuses spending on where it will have the greatest impact on maintaining and improving reliability for customers.”)  </w:t>
      </w:r>
    </w:p>
  </w:footnote>
  <w:footnote w:id="80">
    <w:p w:rsidR="00F73CC2" w:rsidRPr="006E0CE4" w:rsidRDefault="00F73CC2" w:rsidP="00B00F55">
      <w:pPr>
        <w:pStyle w:val="FootnoteText"/>
        <w:ind w:left="0" w:firstLine="0"/>
      </w:pPr>
      <w:r>
        <w:rPr>
          <w:rStyle w:val="FootnoteReference"/>
        </w:rPr>
        <w:footnoteRef/>
      </w:r>
      <w:r>
        <w:t xml:space="preserve"> </w:t>
      </w:r>
      <w:r>
        <w:tab/>
        <w:t>Staff Ex. 6 (McCarter Direct at 3).</w:t>
      </w:r>
    </w:p>
  </w:footnote>
  <w:footnote w:id="81">
    <w:p w:rsidR="00F73CC2" w:rsidRDefault="00F73CC2" w:rsidP="00B00F55">
      <w:pPr>
        <w:pStyle w:val="FootnoteText"/>
        <w:ind w:left="0" w:firstLine="0"/>
      </w:pPr>
      <w:r>
        <w:rPr>
          <w:rStyle w:val="FootnoteReference"/>
        </w:rPr>
        <w:footnoteRef/>
      </w:r>
      <w:r>
        <w:t xml:space="preserve"> </w:t>
      </w:r>
      <w:r>
        <w:tab/>
      </w:r>
      <w:r w:rsidR="00AB31B8">
        <w:t>Staff Ex. 6 (McCarter Direct at 3)</w:t>
      </w:r>
      <w:r w:rsidR="00AB31B8">
        <w:t>.</w:t>
      </w:r>
    </w:p>
  </w:footnote>
  <w:footnote w:id="82">
    <w:p w:rsidR="00F73CC2" w:rsidRPr="004B2318" w:rsidRDefault="00F73CC2" w:rsidP="00B00F55">
      <w:pPr>
        <w:pStyle w:val="FootnoteText"/>
        <w:ind w:left="0" w:firstLine="0"/>
        <w:rPr>
          <w:i/>
        </w:rPr>
      </w:pPr>
      <w:r>
        <w:rPr>
          <w:rStyle w:val="FootnoteReference"/>
        </w:rPr>
        <w:footnoteRef/>
      </w:r>
      <w:r>
        <w:t xml:space="preserve"> </w:t>
      </w:r>
      <w:r>
        <w:tab/>
      </w:r>
      <w:r>
        <w:rPr>
          <w:i/>
        </w:rPr>
        <w:t>Id.</w:t>
      </w:r>
    </w:p>
  </w:footnote>
  <w:footnote w:id="83">
    <w:p w:rsidR="00F73CC2" w:rsidRDefault="00F73CC2" w:rsidP="00B00F55">
      <w:pPr>
        <w:pStyle w:val="FootnoteText"/>
        <w:ind w:left="0" w:firstLine="0"/>
      </w:pPr>
      <w:r>
        <w:rPr>
          <w:rStyle w:val="FootnoteReference"/>
        </w:rPr>
        <w:footnoteRef/>
      </w:r>
      <w:r>
        <w:t xml:space="preserve"> </w:t>
      </w:r>
      <w:r>
        <w:tab/>
        <w:t>OCC Ex. 45 (</w:t>
      </w:r>
      <w:proofErr w:type="spellStart"/>
      <w:r>
        <w:t>Mierzwa</w:t>
      </w:r>
      <w:proofErr w:type="spellEnd"/>
      <w:r>
        <w:t xml:space="preserve"> Direct at 22).</w:t>
      </w:r>
    </w:p>
  </w:footnote>
  <w:footnote w:id="84">
    <w:p w:rsidR="00F73CC2" w:rsidRDefault="00F73CC2" w:rsidP="00B00F55">
      <w:pPr>
        <w:pStyle w:val="FootnoteText"/>
        <w:ind w:left="0" w:firstLine="0"/>
      </w:pPr>
      <w:r>
        <w:rPr>
          <w:rStyle w:val="FootnoteReference"/>
        </w:rPr>
        <w:footnoteRef/>
      </w:r>
      <w:r>
        <w:t xml:space="preserve"> </w:t>
      </w:r>
      <w:r>
        <w:tab/>
        <w:t xml:space="preserve">Staff Ex. 6 (McCarter Direct at 3). </w:t>
      </w:r>
    </w:p>
  </w:footnote>
  <w:footnote w:id="85">
    <w:p w:rsidR="00F73CC2" w:rsidRDefault="00F73CC2" w:rsidP="00B00F55">
      <w:pPr>
        <w:pStyle w:val="FootnoteText"/>
        <w:ind w:left="0" w:firstLine="0"/>
      </w:pPr>
      <w:r>
        <w:rPr>
          <w:rStyle w:val="FootnoteReference"/>
        </w:rPr>
        <w:footnoteRef/>
      </w:r>
      <w:r>
        <w:t xml:space="preserve"> </w:t>
      </w:r>
      <w:r>
        <w:tab/>
        <w:t>OCC Ex. 45 (</w:t>
      </w:r>
      <w:proofErr w:type="spellStart"/>
      <w:r>
        <w:t>Mierzwa</w:t>
      </w:r>
      <w:proofErr w:type="spellEnd"/>
      <w:r>
        <w:t xml:space="preserve"> Direct at 6-12).</w:t>
      </w:r>
    </w:p>
  </w:footnote>
  <w:footnote w:id="86">
    <w:p w:rsidR="00F73CC2" w:rsidRDefault="00F73CC2" w:rsidP="00B00F55">
      <w:pPr>
        <w:pStyle w:val="FootnoteText"/>
        <w:ind w:left="0" w:firstLine="0"/>
      </w:pPr>
      <w:r>
        <w:rPr>
          <w:rStyle w:val="FootnoteReference"/>
        </w:rPr>
        <w:footnoteRef/>
      </w:r>
      <w:r>
        <w:t xml:space="preserve"> </w:t>
      </w:r>
      <w:r>
        <w:tab/>
      </w:r>
      <w:r w:rsidRPr="004D6166">
        <w:rPr>
          <w:i/>
        </w:rPr>
        <w:t>In the Matter of the Commission’s review of Ohio Power Company’s Distribution Investment Rider Plan</w:t>
      </w:r>
      <w:r>
        <w:t xml:space="preserve">, Case No. </w:t>
      </w:r>
      <w:r w:rsidRPr="00266B70">
        <w:t>12-3129</w:t>
      </w:r>
      <w:r>
        <w:t>-EL-UNC</w:t>
      </w:r>
      <w:r w:rsidRPr="00266B70">
        <w:t xml:space="preserve"> </w:t>
      </w:r>
      <w:r>
        <w:t>(</w:t>
      </w:r>
      <w:r w:rsidRPr="00802C3D">
        <w:t>Finding and Order at 10) (May 29, 2013) ( “2013 DIR Plan Case”).</w:t>
      </w:r>
    </w:p>
  </w:footnote>
  <w:footnote w:id="87">
    <w:p w:rsidR="00F73CC2" w:rsidRDefault="00F73CC2">
      <w:pPr>
        <w:pStyle w:val="FootnoteText"/>
      </w:pPr>
      <w:r>
        <w:rPr>
          <w:rStyle w:val="FootnoteReference"/>
        </w:rPr>
        <w:footnoteRef/>
      </w:r>
      <w:r>
        <w:t xml:space="preserve"> </w:t>
      </w:r>
      <w:r>
        <w:tab/>
        <w:t>Staff Ex. 6 (McCarter Direct at 3).</w:t>
      </w:r>
    </w:p>
  </w:footnote>
  <w:footnote w:id="88">
    <w:p w:rsidR="00F73CC2" w:rsidRPr="00805DC4" w:rsidRDefault="00F73CC2">
      <w:pPr>
        <w:pStyle w:val="FootnoteText"/>
        <w:rPr>
          <w:i/>
        </w:rPr>
      </w:pPr>
      <w:r>
        <w:rPr>
          <w:rStyle w:val="FootnoteReference"/>
        </w:rPr>
        <w:footnoteRef/>
      </w:r>
      <w:r>
        <w:t xml:space="preserve"> </w:t>
      </w:r>
      <w:r>
        <w:tab/>
      </w:r>
      <w:r>
        <w:rPr>
          <w:i/>
        </w:rPr>
        <w:t>Id.</w:t>
      </w:r>
    </w:p>
  </w:footnote>
  <w:footnote w:id="89">
    <w:p w:rsidR="00F73CC2" w:rsidRPr="00805DC4" w:rsidRDefault="00F73CC2">
      <w:pPr>
        <w:pStyle w:val="FootnoteText"/>
        <w:rPr>
          <w:i/>
        </w:rPr>
      </w:pPr>
      <w:r>
        <w:rPr>
          <w:rStyle w:val="FootnoteReference"/>
        </w:rPr>
        <w:footnoteRef/>
      </w:r>
      <w:r>
        <w:t xml:space="preserve"> </w:t>
      </w:r>
      <w:r>
        <w:tab/>
      </w:r>
      <w:r>
        <w:rPr>
          <w:i/>
        </w:rPr>
        <w:t>Id.</w:t>
      </w:r>
    </w:p>
  </w:footnote>
  <w:footnote w:id="90">
    <w:p w:rsidR="00F73CC2" w:rsidRPr="0065663B" w:rsidRDefault="00F73CC2">
      <w:pPr>
        <w:pStyle w:val="FootnoteText"/>
      </w:pPr>
      <w:r>
        <w:rPr>
          <w:rStyle w:val="FootnoteReference"/>
        </w:rPr>
        <w:footnoteRef/>
      </w:r>
      <w:r>
        <w:t xml:space="preserve"> </w:t>
      </w:r>
      <w:r>
        <w:tab/>
      </w:r>
      <w:r>
        <w:rPr>
          <w:i/>
        </w:rPr>
        <w:t xml:space="preserve">Id. </w:t>
      </w:r>
      <w:r>
        <w:t>at 4.</w:t>
      </w:r>
    </w:p>
  </w:footnote>
  <w:footnote w:id="91">
    <w:p w:rsidR="00F73CC2" w:rsidRPr="00CD0560" w:rsidRDefault="00F73CC2" w:rsidP="00B00F55">
      <w:pPr>
        <w:pStyle w:val="FootnoteText"/>
        <w:ind w:left="0" w:firstLine="0"/>
      </w:pPr>
      <w:r>
        <w:rPr>
          <w:rStyle w:val="FootnoteReference"/>
        </w:rPr>
        <w:footnoteRef/>
      </w:r>
      <w:r>
        <w:t xml:space="preserve"> </w:t>
      </w:r>
      <w:r>
        <w:tab/>
      </w:r>
      <w:r w:rsidR="00AB31B8">
        <w:t xml:space="preserve">Staff Ex. 6 (McCarter Direct </w:t>
      </w:r>
      <w:r w:rsidR="00AB31B8">
        <w:t>at 4</w:t>
      </w:r>
      <w:r w:rsidR="00AB31B8">
        <w:t>)</w:t>
      </w:r>
      <w:r>
        <w:rPr>
          <w:i/>
        </w:rPr>
        <w:t xml:space="preserve">. </w:t>
      </w:r>
    </w:p>
  </w:footnote>
  <w:footnote w:id="92">
    <w:p w:rsidR="00F73CC2" w:rsidRPr="00CD0560" w:rsidRDefault="00F73CC2" w:rsidP="00B00F55">
      <w:pPr>
        <w:pStyle w:val="FootnoteText"/>
        <w:ind w:left="0" w:firstLine="0"/>
        <w:rPr>
          <w:i/>
        </w:rPr>
      </w:pPr>
      <w:r>
        <w:rPr>
          <w:rStyle w:val="FootnoteReference"/>
        </w:rPr>
        <w:footnoteRef/>
      </w:r>
      <w:r>
        <w:t xml:space="preserve"> </w:t>
      </w:r>
      <w:r>
        <w:tab/>
      </w:r>
      <w:r>
        <w:rPr>
          <w:i/>
        </w:rPr>
        <w:t>Id.</w:t>
      </w:r>
    </w:p>
  </w:footnote>
  <w:footnote w:id="93">
    <w:p w:rsidR="00F73CC2" w:rsidRPr="00F87A80" w:rsidRDefault="00F73CC2" w:rsidP="00B00F55">
      <w:pPr>
        <w:pStyle w:val="FootnoteText"/>
        <w:ind w:left="0" w:firstLine="0"/>
      </w:pPr>
      <w:r>
        <w:rPr>
          <w:rStyle w:val="FootnoteReference"/>
        </w:rPr>
        <w:footnoteRef/>
      </w:r>
      <w:r>
        <w:t xml:space="preserve"> </w:t>
      </w:r>
      <w:r>
        <w:tab/>
      </w:r>
      <w:r>
        <w:rPr>
          <w:i/>
        </w:rPr>
        <w:t xml:space="preserve">Id. citing, </w:t>
      </w:r>
      <w:r w:rsidRPr="00F87A80">
        <w:rPr>
          <w:i/>
        </w:rPr>
        <w:t>In the Matter of the Application of Duke Energy Ohio, Inc., for an Increase in its Electric Distribution Rates</w:t>
      </w:r>
      <w:r w:rsidRPr="00F87A80">
        <w:t>, Case No. 12-1682-EL-AI</w:t>
      </w:r>
      <w:r>
        <w:t>R (Opinion and Order</w:t>
      </w:r>
      <w:r w:rsidRPr="00F87A80">
        <w:t xml:space="preserve">) (May 1, 2013). </w:t>
      </w:r>
    </w:p>
  </w:footnote>
  <w:footnote w:id="94">
    <w:p w:rsidR="00F73CC2" w:rsidRPr="00CD0560" w:rsidRDefault="00F73CC2" w:rsidP="00B00F55">
      <w:pPr>
        <w:pStyle w:val="FootnoteText"/>
        <w:ind w:left="0" w:firstLine="0"/>
      </w:pPr>
      <w:r>
        <w:rPr>
          <w:rStyle w:val="FootnoteReference"/>
        </w:rPr>
        <w:footnoteRef/>
      </w:r>
      <w:r>
        <w:t xml:space="preserve"> </w:t>
      </w:r>
      <w:r>
        <w:tab/>
      </w:r>
      <w:r>
        <w:rPr>
          <w:i/>
        </w:rPr>
        <w:t>Id.</w:t>
      </w:r>
      <w:r>
        <w:t xml:space="preserve"> at 5.</w:t>
      </w:r>
    </w:p>
  </w:footnote>
  <w:footnote w:id="95">
    <w:p w:rsidR="00F73CC2" w:rsidRPr="00CD0560" w:rsidRDefault="00F73CC2" w:rsidP="00B00F55">
      <w:pPr>
        <w:pStyle w:val="FootnoteText"/>
        <w:ind w:left="0" w:firstLine="0"/>
        <w:rPr>
          <w:i/>
        </w:rPr>
      </w:pPr>
      <w:r>
        <w:rPr>
          <w:rStyle w:val="FootnoteReference"/>
        </w:rPr>
        <w:footnoteRef/>
      </w:r>
      <w:r>
        <w:t xml:space="preserve"> </w:t>
      </w:r>
      <w:r>
        <w:tab/>
      </w:r>
      <w:r>
        <w:rPr>
          <w:i/>
        </w:rPr>
        <w:t>Id.</w:t>
      </w:r>
    </w:p>
  </w:footnote>
  <w:footnote w:id="96">
    <w:p w:rsidR="00F73CC2" w:rsidRPr="00CD0560" w:rsidRDefault="00F73CC2">
      <w:pPr>
        <w:pStyle w:val="FootnoteText"/>
        <w:rPr>
          <w:i/>
        </w:rPr>
      </w:pPr>
      <w:r>
        <w:rPr>
          <w:rStyle w:val="FootnoteReference"/>
        </w:rPr>
        <w:footnoteRef/>
      </w:r>
      <w:r>
        <w:t xml:space="preserve"> </w:t>
      </w:r>
      <w:r>
        <w:tab/>
      </w:r>
      <w:r>
        <w:rPr>
          <w:i/>
        </w:rPr>
        <w:t>Id.</w:t>
      </w:r>
    </w:p>
  </w:footnote>
  <w:footnote w:id="97">
    <w:p w:rsidR="00F73CC2" w:rsidRDefault="00F73CC2">
      <w:pPr>
        <w:pStyle w:val="FootnoteText"/>
      </w:pPr>
      <w:r>
        <w:rPr>
          <w:rStyle w:val="FootnoteReference"/>
        </w:rPr>
        <w:footnoteRef/>
      </w:r>
      <w:r>
        <w:t xml:space="preserve"> </w:t>
      </w:r>
      <w:r>
        <w:tab/>
        <w:t>Staff Ex. 6 (McCarter Direct at 5).</w:t>
      </w:r>
    </w:p>
  </w:footnote>
  <w:footnote w:id="98">
    <w:p w:rsidR="00F73CC2" w:rsidRPr="00CD0560" w:rsidRDefault="00F73CC2">
      <w:pPr>
        <w:pStyle w:val="FootnoteText"/>
      </w:pPr>
      <w:r>
        <w:rPr>
          <w:rStyle w:val="FootnoteReference"/>
        </w:rPr>
        <w:footnoteRef/>
      </w:r>
      <w:r>
        <w:t xml:space="preserve"> </w:t>
      </w:r>
      <w:r>
        <w:tab/>
      </w:r>
      <w:r>
        <w:rPr>
          <w:i/>
        </w:rPr>
        <w:t>Id.</w:t>
      </w:r>
    </w:p>
  </w:footnote>
  <w:footnote w:id="99">
    <w:p w:rsidR="00F73CC2" w:rsidRPr="00CD0560" w:rsidRDefault="00F73CC2">
      <w:pPr>
        <w:pStyle w:val="FootnoteText"/>
        <w:rPr>
          <w:i/>
        </w:rPr>
      </w:pPr>
      <w:r>
        <w:rPr>
          <w:rStyle w:val="FootnoteReference"/>
        </w:rPr>
        <w:footnoteRef/>
      </w:r>
      <w:r>
        <w:t xml:space="preserve"> </w:t>
      </w:r>
      <w:r>
        <w:tab/>
      </w:r>
      <w:r>
        <w:rPr>
          <w:i/>
        </w:rPr>
        <w:t>Id.</w:t>
      </w:r>
    </w:p>
  </w:footnote>
  <w:footnote w:id="100">
    <w:p w:rsidR="00F73CC2" w:rsidRPr="00CD0560" w:rsidRDefault="00F73CC2">
      <w:pPr>
        <w:pStyle w:val="FootnoteText"/>
      </w:pPr>
      <w:r>
        <w:rPr>
          <w:rStyle w:val="FootnoteReference"/>
        </w:rPr>
        <w:footnoteRef/>
      </w:r>
      <w:r>
        <w:t xml:space="preserve"> </w:t>
      </w:r>
      <w:r>
        <w:tab/>
      </w:r>
      <w:r>
        <w:rPr>
          <w:i/>
        </w:rPr>
        <w:t>Id.</w:t>
      </w:r>
      <w:r>
        <w:t xml:space="preserve"> at 5-6.</w:t>
      </w:r>
    </w:p>
  </w:footnote>
  <w:footnote w:id="101">
    <w:p w:rsidR="00F73CC2" w:rsidRPr="009D0703" w:rsidRDefault="00F73CC2">
      <w:pPr>
        <w:pStyle w:val="FootnoteText"/>
      </w:pPr>
      <w:r>
        <w:rPr>
          <w:rStyle w:val="FootnoteReference"/>
        </w:rPr>
        <w:footnoteRef/>
      </w:r>
      <w:r>
        <w:t xml:space="preserve"> </w:t>
      </w:r>
      <w:r>
        <w:tab/>
      </w:r>
      <w:r>
        <w:rPr>
          <w:i/>
        </w:rPr>
        <w:t>Id.</w:t>
      </w:r>
      <w:r>
        <w:t xml:space="preserve"> at 6.</w:t>
      </w:r>
    </w:p>
  </w:footnote>
  <w:footnote w:id="102">
    <w:p w:rsidR="00F73CC2" w:rsidRPr="009D0703" w:rsidRDefault="00F73CC2">
      <w:pPr>
        <w:pStyle w:val="FootnoteText"/>
      </w:pPr>
      <w:r>
        <w:rPr>
          <w:rStyle w:val="FootnoteReference"/>
        </w:rPr>
        <w:footnoteRef/>
      </w:r>
      <w:r>
        <w:t xml:space="preserve"> </w:t>
      </w:r>
      <w:r>
        <w:tab/>
      </w:r>
      <w:r w:rsidR="00AB31B8">
        <w:t>S</w:t>
      </w:r>
      <w:r w:rsidR="00AB31B8">
        <w:t>taff Ex. 6 (McCarter Direct at 6)</w:t>
      </w:r>
      <w:r>
        <w:rPr>
          <w:i/>
        </w:rPr>
        <w:t xml:space="preserve">. </w:t>
      </w:r>
    </w:p>
  </w:footnote>
  <w:footnote w:id="103">
    <w:p w:rsidR="00F73CC2" w:rsidRDefault="00F73CC2">
      <w:pPr>
        <w:pStyle w:val="FootnoteText"/>
      </w:pPr>
      <w:r>
        <w:rPr>
          <w:rStyle w:val="FootnoteReference"/>
        </w:rPr>
        <w:footnoteRef/>
      </w:r>
      <w:r>
        <w:t xml:space="preserve"> </w:t>
      </w:r>
      <w:r>
        <w:tab/>
        <w:t xml:space="preserve">Tr. Vol. XIV at 3930. </w:t>
      </w:r>
    </w:p>
  </w:footnote>
  <w:footnote w:id="104">
    <w:p w:rsidR="00F73CC2" w:rsidRPr="00072846" w:rsidRDefault="00F73CC2">
      <w:pPr>
        <w:pStyle w:val="FootnoteText"/>
        <w:rPr>
          <w:i/>
        </w:rPr>
      </w:pPr>
      <w:r>
        <w:rPr>
          <w:rStyle w:val="FootnoteReference"/>
        </w:rPr>
        <w:footnoteRef/>
      </w:r>
      <w:r>
        <w:t xml:space="preserve"> </w:t>
      </w:r>
      <w:r>
        <w:tab/>
        <w:t>Staff Ex. 6 (McCarter Direct at 6)</w:t>
      </w:r>
      <w:r w:rsidR="00AB31B8">
        <w:t>.</w:t>
      </w:r>
    </w:p>
  </w:footnote>
  <w:footnote w:id="105">
    <w:p w:rsidR="00F73CC2" w:rsidRPr="009D0703" w:rsidRDefault="00F73CC2">
      <w:pPr>
        <w:pStyle w:val="FootnoteText"/>
        <w:rPr>
          <w:i/>
        </w:rPr>
      </w:pPr>
      <w:r>
        <w:rPr>
          <w:rStyle w:val="FootnoteReference"/>
        </w:rPr>
        <w:footnoteRef/>
      </w:r>
      <w:r>
        <w:t xml:space="preserve"> </w:t>
      </w:r>
      <w:r>
        <w:tab/>
      </w:r>
      <w:r>
        <w:rPr>
          <w:i/>
        </w:rPr>
        <w:t>Id.</w:t>
      </w:r>
    </w:p>
  </w:footnote>
  <w:footnote w:id="106">
    <w:p w:rsidR="00F73CC2" w:rsidRPr="009D0703" w:rsidRDefault="00F73CC2">
      <w:pPr>
        <w:pStyle w:val="FootnoteText"/>
        <w:rPr>
          <w:i/>
        </w:rPr>
      </w:pPr>
      <w:r>
        <w:rPr>
          <w:rStyle w:val="FootnoteReference"/>
        </w:rPr>
        <w:footnoteRef/>
      </w:r>
      <w:r>
        <w:t xml:space="preserve"> </w:t>
      </w:r>
      <w:r>
        <w:tab/>
      </w:r>
      <w:r>
        <w:rPr>
          <w:i/>
        </w:rPr>
        <w:t>Id.</w:t>
      </w:r>
    </w:p>
  </w:footnote>
  <w:footnote w:id="107">
    <w:p w:rsidR="00F73CC2" w:rsidRPr="009D0703" w:rsidRDefault="00F73CC2">
      <w:pPr>
        <w:pStyle w:val="FootnoteText"/>
        <w:rPr>
          <w:i/>
        </w:rPr>
      </w:pPr>
      <w:r>
        <w:rPr>
          <w:rStyle w:val="FootnoteReference"/>
        </w:rPr>
        <w:footnoteRef/>
      </w:r>
      <w:r>
        <w:t xml:space="preserve"> </w:t>
      </w:r>
      <w:r>
        <w:tab/>
      </w:r>
      <w:r>
        <w:rPr>
          <w:i/>
        </w:rPr>
        <w:t>Id.</w:t>
      </w:r>
    </w:p>
  </w:footnote>
  <w:footnote w:id="108">
    <w:p w:rsidR="00F73CC2" w:rsidRPr="009D0703" w:rsidRDefault="00F73CC2">
      <w:pPr>
        <w:pStyle w:val="FootnoteText"/>
        <w:rPr>
          <w:i/>
        </w:rPr>
      </w:pPr>
      <w:r>
        <w:rPr>
          <w:rStyle w:val="FootnoteReference"/>
        </w:rPr>
        <w:footnoteRef/>
      </w:r>
      <w:r>
        <w:t xml:space="preserve"> </w:t>
      </w:r>
      <w:r>
        <w:tab/>
      </w:r>
      <w:r>
        <w:rPr>
          <w:i/>
        </w:rPr>
        <w:t>Id.</w:t>
      </w:r>
    </w:p>
  </w:footnote>
  <w:footnote w:id="109">
    <w:p w:rsidR="00F73CC2" w:rsidRPr="009D0703" w:rsidRDefault="00F73CC2">
      <w:pPr>
        <w:pStyle w:val="FootnoteText"/>
        <w:rPr>
          <w:i/>
        </w:rPr>
      </w:pPr>
      <w:r>
        <w:rPr>
          <w:rStyle w:val="FootnoteReference"/>
        </w:rPr>
        <w:footnoteRef/>
      </w:r>
      <w:r>
        <w:t xml:space="preserve"> </w:t>
      </w:r>
      <w:r>
        <w:tab/>
      </w:r>
      <w:r>
        <w:rPr>
          <w:i/>
        </w:rPr>
        <w:t>Id.</w:t>
      </w:r>
    </w:p>
  </w:footnote>
  <w:footnote w:id="110">
    <w:p w:rsidR="00F73CC2" w:rsidRPr="009D0703" w:rsidRDefault="00F73CC2" w:rsidP="00B00F55">
      <w:pPr>
        <w:pStyle w:val="FootnoteText"/>
        <w:ind w:left="0" w:firstLine="0"/>
      </w:pPr>
      <w:r>
        <w:rPr>
          <w:rStyle w:val="FootnoteReference"/>
        </w:rPr>
        <w:footnoteRef/>
      </w:r>
      <w:r>
        <w:t xml:space="preserve"> </w:t>
      </w:r>
      <w:r>
        <w:tab/>
      </w:r>
      <w:r w:rsidR="00AB31B8">
        <w:t>S</w:t>
      </w:r>
      <w:r w:rsidR="00AB31B8">
        <w:t>taff Ex. 6 (McCarter Direct at 7</w:t>
      </w:r>
      <w:r w:rsidR="00AB31B8">
        <w:t>).</w:t>
      </w:r>
    </w:p>
  </w:footnote>
  <w:footnote w:id="111">
    <w:p w:rsidR="00F73CC2" w:rsidRDefault="00F73CC2" w:rsidP="00B00F55">
      <w:pPr>
        <w:pStyle w:val="FootnoteText"/>
        <w:ind w:left="0" w:firstLine="0"/>
      </w:pPr>
      <w:r>
        <w:rPr>
          <w:rStyle w:val="FootnoteReference"/>
        </w:rPr>
        <w:footnoteRef/>
      </w:r>
      <w:r>
        <w:t xml:space="preserve"> </w:t>
      </w:r>
      <w:r>
        <w:tab/>
      </w:r>
      <w:r w:rsidRPr="002E2478">
        <w:rPr>
          <w:i/>
        </w:rPr>
        <w:t>In the Matter of the Application of Duke Energy Ohio, Inc., for an Increase in its Electric Distribution Rates,</w:t>
      </w:r>
      <w:r w:rsidRPr="002E2478">
        <w:t xml:space="preserve"> </w:t>
      </w:r>
      <w:r>
        <w:t>Case No. 12-1682-EL-AIR</w:t>
      </w:r>
      <w:r w:rsidRPr="002E2478">
        <w:t xml:space="preserve"> </w:t>
      </w:r>
      <w:r>
        <w:t>(</w:t>
      </w:r>
      <w:r w:rsidRPr="002E2478">
        <w:t>Opinion and Order</w:t>
      </w:r>
      <w:r>
        <w:t xml:space="preserve"> at 6)</w:t>
      </w:r>
      <w:r w:rsidRPr="002E2478">
        <w:t xml:space="preserve"> </w:t>
      </w:r>
      <w:r>
        <w:t>(May 1, 2013)</w:t>
      </w:r>
      <w:r w:rsidRPr="002E2478">
        <w:t>.</w:t>
      </w:r>
    </w:p>
  </w:footnote>
  <w:footnote w:id="112">
    <w:p w:rsidR="00F73CC2" w:rsidRDefault="00F73CC2" w:rsidP="00B00F55">
      <w:pPr>
        <w:pStyle w:val="FootnoteText"/>
        <w:ind w:left="0" w:firstLine="0"/>
      </w:pPr>
      <w:r>
        <w:rPr>
          <w:rStyle w:val="FootnoteReference"/>
        </w:rPr>
        <w:footnoteRef/>
      </w:r>
      <w:r>
        <w:t xml:space="preserve"> </w:t>
      </w:r>
      <w:r>
        <w:tab/>
      </w:r>
      <w:r w:rsidRPr="00B65440">
        <w:t>For example, if the deferral balance is $3 million, the Company’s proposal would mean that it may choose to spread the amount (amortize) over 3 years, which means that $1 million would be part of the revenue requirement in the next base rate case.</w:t>
      </w:r>
    </w:p>
  </w:footnote>
  <w:footnote w:id="113">
    <w:p w:rsidR="00F73CC2" w:rsidRDefault="00F73CC2" w:rsidP="00B00F55">
      <w:pPr>
        <w:pStyle w:val="FootnoteText"/>
        <w:ind w:left="0" w:firstLine="0"/>
      </w:pPr>
      <w:r>
        <w:rPr>
          <w:rStyle w:val="FootnoteReference"/>
        </w:rPr>
        <w:footnoteRef/>
      </w:r>
      <w:r>
        <w:t xml:space="preserve"> </w:t>
      </w:r>
      <w:r>
        <w:tab/>
      </w:r>
      <w:r w:rsidRPr="00B65440">
        <w:t>For example, assume in year one the Company sustained $6.4 million in storm damage. Of that $6.4 million, $4.4 million would be accounted for in base rates, and the remaining $2 million ($6.4 million - $4.4 million) would go in the deferral balance. Assume in year two the Company sustained $7.4 million in storm damage. Of that $7.4 million, $4.4 million would be accounted for in base rates, and the remaining $3 million ($7.4 million - $4.4 million) would go in the deferral balance. Because the deferral balance is now $5 million ($2 million from year one + $3 million from year two), the Company could now file a rider case seeking to collect that $5 million from customers.  This example does not include carrying charges.</w:t>
      </w:r>
    </w:p>
  </w:footnote>
  <w:footnote w:id="114">
    <w:p w:rsidR="00F73CC2" w:rsidRDefault="00F73CC2" w:rsidP="004246B4">
      <w:pPr>
        <w:pStyle w:val="FootnoteText"/>
      </w:pPr>
      <w:r>
        <w:rPr>
          <w:rStyle w:val="FootnoteReference"/>
        </w:rPr>
        <w:footnoteRef/>
      </w:r>
      <w:r>
        <w:t xml:space="preserve"> </w:t>
      </w:r>
      <w:r>
        <w:tab/>
        <w:t>Staff Ex. 4 (Hecker Direct at 2).</w:t>
      </w:r>
    </w:p>
  </w:footnote>
  <w:footnote w:id="115">
    <w:p w:rsidR="00F73CC2" w:rsidRDefault="00F73CC2" w:rsidP="004246B4">
      <w:pPr>
        <w:pStyle w:val="FootnoteText"/>
      </w:pPr>
      <w:r>
        <w:rPr>
          <w:rStyle w:val="FootnoteReference"/>
        </w:rPr>
        <w:footnoteRef/>
      </w:r>
      <w:r>
        <w:t xml:space="preserve"> </w:t>
      </w:r>
      <w:r>
        <w:tab/>
      </w:r>
      <w:r w:rsidRPr="00786D7D">
        <w:rPr>
          <w:i/>
        </w:rPr>
        <w:t>Id.</w:t>
      </w:r>
      <w:r>
        <w:t xml:space="preserve"> at 3.</w:t>
      </w:r>
    </w:p>
  </w:footnote>
  <w:footnote w:id="116">
    <w:p w:rsidR="00F73CC2" w:rsidRDefault="00F73CC2" w:rsidP="004246B4">
      <w:pPr>
        <w:pStyle w:val="FootnoteText"/>
      </w:pPr>
      <w:r>
        <w:rPr>
          <w:rStyle w:val="FootnoteReference"/>
        </w:rPr>
        <w:footnoteRef/>
      </w:r>
      <w:r>
        <w:t xml:space="preserve"> </w:t>
      </w:r>
      <w:r>
        <w:tab/>
      </w:r>
      <w:r w:rsidRPr="00786D7D">
        <w:rPr>
          <w:i/>
        </w:rPr>
        <w:t>Id.</w:t>
      </w:r>
    </w:p>
  </w:footnote>
  <w:footnote w:id="117">
    <w:p w:rsidR="00F73CC2" w:rsidRPr="00062989" w:rsidRDefault="00F73CC2" w:rsidP="004246B4">
      <w:pPr>
        <w:pStyle w:val="FootnoteText"/>
        <w:rPr>
          <w:i/>
        </w:rPr>
      </w:pPr>
      <w:r>
        <w:rPr>
          <w:rStyle w:val="FootnoteReference"/>
        </w:rPr>
        <w:footnoteRef/>
      </w:r>
      <w:r>
        <w:t xml:space="preserve"> </w:t>
      </w:r>
      <w:r>
        <w:tab/>
      </w:r>
      <w:r>
        <w:rPr>
          <w:i/>
        </w:rPr>
        <w:t>Id.</w:t>
      </w:r>
    </w:p>
  </w:footnote>
  <w:footnote w:id="118">
    <w:p w:rsidR="00F73CC2" w:rsidRPr="00062989" w:rsidRDefault="00F73CC2" w:rsidP="004246B4">
      <w:pPr>
        <w:pStyle w:val="FootnoteText"/>
        <w:rPr>
          <w:i/>
        </w:rPr>
      </w:pPr>
      <w:r>
        <w:rPr>
          <w:rStyle w:val="FootnoteReference"/>
        </w:rPr>
        <w:footnoteRef/>
      </w:r>
      <w:r>
        <w:t xml:space="preserve"> </w:t>
      </w:r>
      <w:r>
        <w:tab/>
      </w:r>
      <w:r w:rsidR="00AB31B8">
        <w:t>Staff Ex. 4 (Hecker Direct at 3</w:t>
      </w:r>
      <w:r w:rsidR="00AB31B8">
        <w:t>)</w:t>
      </w:r>
      <w:r>
        <w:rPr>
          <w:i/>
        </w:rPr>
        <w:t>.</w:t>
      </w:r>
    </w:p>
  </w:footnote>
  <w:footnote w:id="119">
    <w:p w:rsidR="00F73CC2" w:rsidRPr="00062989" w:rsidRDefault="00F73CC2" w:rsidP="004246B4">
      <w:pPr>
        <w:pStyle w:val="FootnoteText"/>
        <w:rPr>
          <w:i/>
        </w:rPr>
      </w:pPr>
      <w:r>
        <w:rPr>
          <w:rStyle w:val="FootnoteReference"/>
        </w:rPr>
        <w:footnoteRef/>
      </w:r>
      <w:r>
        <w:t xml:space="preserve"> </w:t>
      </w:r>
      <w:r>
        <w:tab/>
      </w:r>
      <w:r>
        <w:rPr>
          <w:i/>
        </w:rPr>
        <w:t>Id.</w:t>
      </w:r>
    </w:p>
  </w:footnote>
  <w:footnote w:id="120">
    <w:p w:rsidR="00F73CC2" w:rsidRPr="00062989" w:rsidRDefault="00F73CC2" w:rsidP="004246B4">
      <w:pPr>
        <w:pStyle w:val="FootnoteText"/>
        <w:rPr>
          <w:i/>
        </w:rPr>
      </w:pPr>
      <w:r>
        <w:rPr>
          <w:rStyle w:val="FootnoteReference"/>
        </w:rPr>
        <w:footnoteRef/>
      </w:r>
      <w:r>
        <w:t xml:space="preserve"> </w:t>
      </w:r>
      <w:r>
        <w:tab/>
      </w:r>
      <w:r>
        <w:rPr>
          <w:i/>
        </w:rPr>
        <w:t>Id.</w:t>
      </w:r>
    </w:p>
  </w:footnote>
  <w:footnote w:id="121">
    <w:p w:rsidR="00F73CC2" w:rsidRDefault="00F73CC2" w:rsidP="004246B4">
      <w:pPr>
        <w:pStyle w:val="FootnoteText"/>
      </w:pPr>
      <w:r>
        <w:rPr>
          <w:rStyle w:val="FootnoteReference"/>
        </w:rPr>
        <w:footnoteRef/>
      </w:r>
      <w:r>
        <w:t xml:space="preserve"> </w:t>
      </w:r>
      <w:r>
        <w:tab/>
      </w:r>
      <w:r w:rsidRPr="00B569B3">
        <w:rPr>
          <w:i/>
        </w:rPr>
        <w:t>Id.</w:t>
      </w:r>
      <w:r>
        <w:t xml:space="preserve"> at 3-4.</w:t>
      </w:r>
    </w:p>
  </w:footnote>
  <w:footnote w:id="122">
    <w:p w:rsidR="00F73CC2" w:rsidRDefault="00F73CC2" w:rsidP="004246B4">
      <w:pPr>
        <w:pStyle w:val="FootnoteText"/>
      </w:pPr>
      <w:r>
        <w:rPr>
          <w:rStyle w:val="FootnoteReference"/>
        </w:rPr>
        <w:footnoteRef/>
      </w:r>
      <w:r>
        <w:t xml:space="preserve"> </w:t>
      </w:r>
      <w:r>
        <w:tab/>
      </w:r>
      <w:r w:rsidRPr="00B569B3">
        <w:rPr>
          <w:i/>
        </w:rPr>
        <w:t>Id.</w:t>
      </w:r>
      <w:r>
        <w:t xml:space="preserve"> at 4.</w:t>
      </w:r>
    </w:p>
  </w:footnote>
  <w:footnote w:id="123">
    <w:p w:rsidR="00F73CC2" w:rsidRDefault="00F73CC2" w:rsidP="004246B4">
      <w:pPr>
        <w:pStyle w:val="FootnoteText"/>
      </w:pPr>
      <w:r>
        <w:rPr>
          <w:rStyle w:val="FootnoteReference"/>
        </w:rPr>
        <w:footnoteRef/>
      </w:r>
      <w:r>
        <w:t xml:space="preserve"> </w:t>
      </w:r>
      <w:r>
        <w:tab/>
      </w:r>
      <w:r w:rsidRPr="00B569B3">
        <w:rPr>
          <w:i/>
        </w:rPr>
        <w:t>Id.</w:t>
      </w:r>
    </w:p>
  </w:footnote>
  <w:footnote w:id="124">
    <w:p w:rsidR="00F73CC2" w:rsidRDefault="00F73CC2" w:rsidP="004246B4">
      <w:pPr>
        <w:pStyle w:val="FootnoteText"/>
      </w:pPr>
      <w:r>
        <w:rPr>
          <w:rStyle w:val="FootnoteReference"/>
        </w:rPr>
        <w:footnoteRef/>
      </w:r>
      <w:r>
        <w:t xml:space="preserve"> </w:t>
      </w:r>
      <w:r>
        <w:tab/>
      </w:r>
      <w:r w:rsidRPr="00B569B3">
        <w:rPr>
          <w:i/>
        </w:rPr>
        <w:t>Id.</w:t>
      </w:r>
    </w:p>
  </w:footnote>
  <w:footnote w:id="125">
    <w:p w:rsidR="00F73CC2" w:rsidRDefault="00F73CC2" w:rsidP="004246B4">
      <w:pPr>
        <w:pStyle w:val="FootnoteText"/>
      </w:pPr>
      <w:r>
        <w:rPr>
          <w:rStyle w:val="FootnoteReference"/>
        </w:rPr>
        <w:footnoteRef/>
      </w:r>
      <w:r>
        <w:t xml:space="preserve"> </w:t>
      </w:r>
      <w:r>
        <w:tab/>
      </w:r>
      <w:r w:rsidR="00AB31B8">
        <w:t>Staff Ex. 4 (Hecker Direct at 4</w:t>
      </w:r>
      <w:r w:rsidR="00AB31B8">
        <w:t>)</w:t>
      </w:r>
      <w:r w:rsidRPr="00B569B3">
        <w:rPr>
          <w:i/>
        </w:rPr>
        <w:t>.</w:t>
      </w:r>
    </w:p>
  </w:footnote>
  <w:footnote w:id="126">
    <w:p w:rsidR="00F73CC2" w:rsidRDefault="00F73CC2" w:rsidP="00B00F55">
      <w:pPr>
        <w:pStyle w:val="FootnoteText"/>
        <w:ind w:left="0" w:firstLine="0"/>
      </w:pPr>
      <w:r>
        <w:rPr>
          <w:rStyle w:val="FootnoteReference"/>
        </w:rPr>
        <w:footnoteRef/>
      </w:r>
      <w:r>
        <w:t xml:space="preserve"> </w:t>
      </w:r>
      <w:r>
        <w:tab/>
      </w:r>
      <w:r w:rsidRPr="00B569B3">
        <w:rPr>
          <w:i/>
        </w:rPr>
        <w:t>Id.</w:t>
      </w:r>
    </w:p>
  </w:footnote>
  <w:footnote w:id="127">
    <w:p w:rsidR="00F73CC2" w:rsidRDefault="00F73CC2" w:rsidP="00B00F55">
      <w:pPr>
        <w:pStyle w:val="FootnoteText"/>
        <w:ind w:left="0" w:firstLine="0"/>
      </w:pPr>
      <w:r>
        <w:rPr>
          <w:rStyle w:val="FootnoteReference"/>
        </w:rPr>
        <w:footnoteRef/>
      </w:r>
      <w:r>
        <w:t xml:space="preserve"> </w:t>
      </w:r>
      <w:r>
        <w:tab/>
      </w:r>
      <w:r w:rsidRPr="00B569B3">
        <w:rPr>
          <w:i/>
        </w:rPr>
        <w:t>Id.</w:t>
      </w:r>
    </w:p>
  </w:footnote>
  <w:footnote w:id="128">
    <w:p w:rsidR="00F73CC2" w:rsidRDefault="00F73CC2" w:rsidP="00B00F55">
      <w:pPr>
        <w:pStyle w:val="FootnoteText"/>
        <w:ind w:left="0" w:firstLine="0"/>
      </w:pPr>
      <w:r>
        <w:rPr>
          <w:rStyle w:val="FootnoteReference"/>
        </w:rPr>
        <w:footnoteRef/>
      </w:r>
      <w:r>
        <w:t xml:space="preserve"> </w:t>
      </w:r>
      <w:r>
        <w:tab/>
      </w:r>
      <w:r w:rsidRPr="00B569B3">
        <w:rPr>
          <w:i/>
        </w:rPr>
        <w:t>Id.</w:t>
      </w:r>
    </w:p>
  </w:footnote>
  <w:footnote w:id="129">
    <w:p w:rsidR="00F73CC2" w:rsidRDefault="00F73CC2" w:rsidP="00B00F55">
      <w:pPr>
        <w:pStyle w:val="FootnoteText"/>
        <w:ind w:left="0" w:firstLine="0"/>
      </w:pPr>
      <w:r>
        <w:rPr>
          <w:rStyle w:val="FootnoteReference"/>
        </w:rPr>
        <w:footnoteRef/>
      </w:r>
      <w:r>
        <w:t xml:space="preserve"> </w:t>
      </w:r>
      <w:r>
        <w:tab/>
      </w:r>
      <w:r w:rsidRPr="00B569B3">
        <w:rPr>
          <w:i/>
        </w:rPr>
        <w:t>Id.</w:t>
      </w:r>
    </w:p>
  </w:footnote>
  <w:footnote w:id="130">
    <w:p w:rsidR="00F73CC2" w:rsidRDefault="00F73CC2" w:rsidP="00B00F55">
      <w:pPr>
        <w:pStyle w:val="FootnoteText"/>
        <w:ind w:left="0" w:firstLine="0"/>
      </w:pPr>
      <w:r>
        <w:rPr>
          <w:rStyle w:val="FootnoteReference"/>
        </w:rPr>
        <w:footnoteRef/>
      </w:r>
      <w:r>
        <w:t xml:space="preserve"> </w:t>
      </w:r>
      <w:r>
        <w:tab/>
      </w:r>
      <w:r w:rsidRPr="001218E2">
        <w:rPr>
          <w:i/>
        </w:rPr>
        <w:t>Id.</w:t>
      </w:r>
      <w:r>
        <w:t xml:space="preserve"> at 5.</w:t>
      </w:r>
    </w:p>
  </w:footnote>
  <w:footnote w:id="131">
    <w:p w:rsidR="00F73CC2" w:rsidRDefault="00F73CC2" w:rsidP="00B00F55">
      <w:pPr>
        <w:pStyle w:val="FootnoteText"/>
        <w:ind w:left="0" w:firstLine="0"/>
      </w:pPr>
      <w:r>
        <w:rPr>
          <w:rStyle w:val="FootnoteReference"/>
        </w:rPr>
        <w:footnoteRef/>
      </w:r>
      <w:r>
        <w:t xml:space="preserve"> </w:t>
      </w:r>
      <w:r>
        <w:tab/>
      </w:r>
      <w:r w:rsidRPr="00B65440">
        <w:t>For example, if an extraordinary event such as Hurricane Ike or the 2012 derecho occurs, to recover the amount of storm repair costs over one year could have a major impact on customers’ bills.</w:t>
      </w:r>
    </w:p>
  </w:footnote>
  <w:footnote w:id="132">
    <w:p w:rsidR="00F73CC2" w:rsidRDefault="00F73CC2" w:rsidP="00B00F55">
      <w:pPr>
        <w:pStyle w:val="FootnoteText"/>
        <w:ind w:left="0" w:firstLine="0"/>
      </w:pPr>
      <w:r>
        <w:rPr>
          <w:rStyle w:val="FootnoteReference"/>
        </w:rPr>
        <w:footnoteRef/>
      </w:r>
      <w:r>
        <w:t xml:space="preserve"> </w:t>
      </w:r>
      <w:r>
        <w:tab/>
        <w:t>Staff Ex. 4 (Hecker Direct at 5).</w:t>
      </w:r>
    </w:p>
  </w:footnote>
  <w:footnote w:id="133">
    <w:p w:rsidR="00F73CC2" w:rsidRDefault="00F73CC2" w:rsidP="004246B4">
      <w:pPr>
        <w:pStyle w:val="FootnoteText"/>
      </w:pPr>
      <w:r>
        <w:rPr>
          <w:rStyle w:val="FootnoteReference"/>
        </w:rPr>
        <w:footnoteRef/>
      </w:r>
      <w:r>
        <w:t xml:space="preserve"> </w:t>
      </w:r>
      <w:r>
        <w:tab/>
      </w:r>
      <w:r w:rsidRPr="001218E2">
        <w:rPr>
          <w:i/>
        </w:rPr>
        <w:t>Id.</w:t>
      </w:r>
    </w:p>
  </w:footnote>
  <w:footnote w:id="134">
    <w:p w:rsidR="00F73CC2" w:rsidRDefault="00F73CC2" w:rsidP="004246B4">
      <w:pPr>
        <w:pStyle w:val="FootnoteText"/>
      </w:pPr>
      <w:r>
        <w:rPr>
          <w:rStyle w:val="FootnoteReference"/>
        </w:rPr>
        <w:footnoteRef/>
      </w:r>
      <w:r>
        <w:t xml:space="preserve"> </w:t>
      </w:r>
      <w:r>
        <w:tab/>
      </w:r>
      <w:r w:rsidRPr="001218E2">
        <w:rPr>
          <w:i/>
        </w:rPr>
        <w:t>Id.</w:t>
      </w:r>
    </w:p>
  </w:footnote>
  <w:footnote w:id="135">
    <w:p w:rsidR="00F73CC2" w:rsidRDefault="00F73CC2" w:rsidP="004246B4">
      <w:pPr>
        <w:pStyle w:val="FootnoteText"/>
      </w:pPr>
      <w:r>
        <w:rPr>
          <w:rStyle w:val="FootnoteReference"/>
        </w:rPr>
        <w:footnoteRef/>
      </w:r>
      <w:r>
        <w:t xml:space="preserve"> </w:t>
      </w:r>
      <w:r>
        <w:tab/>
      </w:r>
      <w:r w:rsidRPr="001218E2">
        <w:rPr>
          <w:i/>
        </w:rPr>
        <w:t>Id.</w:t>
      </w:r>
    </w:p>
  </w:footnote>
  <w:footnote w:id="136">
    <w:p w:rsidR="00F73CC2" w:rsidRDefault="00F73CC2" w:rsidP="004246B4">
      <w:pPr>
        <w:pStyle w:val="FootnoteText"/>
      </w:pPr>
      <w:r>
        <w:rPr>
          <w:rStyle w:val="FootnoteReference"/>
        </w:rPr>
        <w:footnoteRef/>
      </w:r>
      <w:r>
        <w:t xml:space="preserve"> </w:t>
      </w:r>
      <w:r>
        <w:tab/>
      </w:r>
      <w:r w:rsidRPr="001218E2">
        <w:rPr>
          <w:i/>
        </w:rPr>
        <w:t>Id.</w:t>
      </w:r>
    </w:p>
  </w:footnote>
  <w:footnote w:id="137">
    <w:p w:rsidR="00F73CC2" w:rsidRDefault="00F73CC2" w:rsidP="004246B4">
      <w:pPr>
        <w:pStyle w:val="FootnoteText"/>
      </w:pPr>
      <w:r>
        <w:rPr>
          <w:rStyle w:val="FootnoteReference"/>
        </w:rPr>
        <w:footnoteRef/>
      </w:r>
      <w:r>
        <w:t xml:space="preserve"> </w:t>
      </w:r>
      <w:r>
        <w:tab/>
      </w:r>
      <w:r w:rsidR="00AB31B8">
        <w:t>Staff Ex. 4 (Hecker Direct at 6</w:t>
      </w:r>
      <w:r w:rsidR="00AB31B8">
        <w:t>)</w:t>
      </w:r>
      <w:r>
        <w:t>.</w:t>
      </w:r>
    </w:p>
  </w:footnote>
  <w:footnote w:id="138">
    <w:p w:rsidR="00F73CC2" w:rsidRDefault="00F73CC2" w:rsidP="004246B4">
      <w:pPr>
        <w:pStyle w:val="FootnoteText"/>
      </w:pPr>
      <w:r>
        <w:rPr>
          <w:rStyle w:val="FootnoteReference"/>
        </w:rPr>
        <w:footnoteRef/>
      </w:r>
      <w:r>
        <w:t xml:space="preserve"> </w:t>
      </w:r>
      <w:r>
        <w:tab/>
      </w:r>
      <w:r w:rsidRPr="001218E2">
        <w:rPr>
          <w:i/>
        </w:rPr>
        <w:t>Id.</w:t>
      </w:r>
    </w:p>
  </w:footnote>
  <w:footnote w:id="139">
    <w:p w:rsidR="00F73CC2" w:rsidRDefault="00F73CC2" w:rsidP="004246B4">
      <w:pPr>
        <w:pStyle w:val="FootnoteText"/>
      </w:pPr>
      <w:r>
        <w:rPr>
          <w:rStyle w:val="FootnoteReference"/>
        </w:rPr>
        <w:footnoteRef/>
      </w:r>
      <w:r>
        <w:t xml:space="preserve"> </w:t>
      </w:r>
      <w:r>
        <w:tab/>
      </w:r>
      <w:r w:rsidRPr="001218E2">
        <w:rPr>
          <w:i/>
        </w:rPr>
        <w:t>Id.</w:t>
      </w:r>
    </w:p>
  </w:footnote>
  <w:footnote w:id="140">
    <w:p w:rsidR="00F73CC2" w:rsidRDefault="00F73CC2" w:rsidP="004246B4">
      <w:pPr>
        <w:pStyle w:val="FootnoteText"/>
      </w:pPr>
      <w:r>
        <w:rPr>
          <w:rStyle w:val="FootnoteReference"/>
        </w:rPr>
        <w:footnoteRef/>
      </w:r>
      <w:r>
        <w:t xml:space="preserve"> </w:t>
      </w:r>
      <w:r>
        <w:tab/>
      </w:r>
      <w:r w:rsidRPr="001218E2">
        <w:rPr>
          <w:i/>
        </w:rPr>
        <w:t>Id.</w:t>
      </w:r>
    </w:p>
  </w:footnote>
  <w:footnote w:id="141">
    <w:p w:rsidR="00F73CC2" w:rsidRDefault="00F73CC2" w:rsidP="004246B4">
      <w:pPr>
        <w:pStyle w:val="FootnoteText"/>
      </w:pPr>
      <w:r>
        <w:rPr>
          <w:rStyle w:val="FootnoteReference"/>
        </w:rPr>
        <w:footnoteRef/>
      </w:r>
      <w:r>
        <w:t xml:space="preserve"> </w:t>
      </w:r>
      <w:r>
        <w:tab/>
      </w:r>
      <w:r w:rsidRPr="001218E2">
        <w:rPr>
          <w:i/>
        </w:rPr>
        <w:t>Id.</w:t>
      </w:r>
    </w:p>
  </w:footnote>
  <w:footnote w:id="142">
    <w:p w:rsidR="00F73CC2" w:rsidRDefault="00F73CC2" w:rsidP="004246B4">
      <w:pPr>
        <w:pStyle w:val="FootnoteText"/>
      </w:pPr>
      <w:r>
        <w:rPr>
          <w:rStyle w:val="FootnoteReference"/>
        </w:rPr>
        <w:footnoteRef/>
      </w:r>
      <w:r>
        <w:t xml:space="preserve"> </w:t>
      </w:r>
      <w:r>
        <w:tab/>
      </w:r>
      <w:r w:rsidRPr="001218E2">
        <w:rPr>
          <w:i/>
        </w:rPr>
        <w:t>Id.</w:t>
      </w:r>
    </w:p>
  </w:footnote>
  <w:footnote w:id="143">
    <w:p w:rsidR="00F73CC2" w:rsidRDefault="00F73CC2" w:rsidP="004246B4">
      <w:pPr>
        <w:pStyle w:val="FootnoteText"/>
      </w:pPr>
      <w:r>
        <w:rPr>
          <w:rStyle w:val="FootnoteReference"/>
        </w:rPr>
        <w:footnoteRef/>
      </w:r>
      <w:r>
        <w:t xml:space="preserve"> </w:t>
      </w:r>
      <w:r>
        <w:tab/>
      </w:r>
      <w:r w:rsidR="00AB31B8">
        <w:t>Staff Ex. 4 (Hecker Direct at 6</w:t>
      </w:r>
      <w:r w:rsidR="00AB31B8">
        <w:t>)</w:t>
      </w:r>
      <w:r w:rsidRPr="001218E2">
        <w:rPr>
          <w:i/>
        </w:rPr>
        <w:t>.</w:t>
      </w:r>
    </w:p>
  </w:footnote>
  <w:footnote w:id="144">
    <w:p w:rsidR="00F73CC2" w:rsidRDefault="00F73CC2" w:rsidP="004246B4">
      <w:pPr>
        <w:pStyle w:val="FootnoteText"/>
      </w:pPr>
      <w:r>
        <w:rPr>
          <w:rStyle w:val="FootnoteReference"/>
        </w:rPr>
        <w:footnoteRef/>
      </w:r>
      <w:r>
        <w:t xml:space="preserve"> </w:t>
      </w:r>
      <w:r>
        <w:tab/>
      </w:r>
      <w:r w:rsidRPr="001218E2">
        <w:rPr>
          <w:i/>
        </w:rPr>
        <w:t>Id.</w:t>
      </w:r>
      <w:r>
        <w:t xml:space="preserve"> at 7.</w:t>
      </w:r>
    </w:p>
  </w:footnote>
  <w:footnote w:id="145">
    <w:p w:rsidR="00F73CC2" w:rsidRDefault="00F73CC2" w:rsidP="004246B4">
      <w:pPr>
        <w:pStyle w:val="FootnoteText"/>
      </w:pPr>
      <w:r>
        <w:rPr>
          <w:rStyle w:val="FootnoteReference"/>
        </w:rPr>
        <w:footnoteRef/>
      </w:r>
      <w:r>
        <w:t xml:space="preserve"> </w:t>
      </w:r>
      <w:r>
        <w:tab/>
      </w:r>
      <w:r w:rsidRPr="001218E2">
        <w:rPr>
          <w:i/>
        </w:rPr>
        <w:t>Id.</w:t>
      </w:r>
    </w:p>
  </w:footnote>
  <w:footnote w:id="146">
    <w:p w:rsidR="00F73CC2" w:rsidRDefault="00F73CC2" w:rsidP="004246B4">
      <w:pPr>
        <w:pStyle w:val="FootnoteText"/>
      </w:pPr>
      <w:r>
        <w:rPr>
          <w:rStyle w:val="FootnoteReference"/>
        </w:rPr>
        <w:footnoteRef/>
      </w:r>
      <w:r>
        <w:t xml:space="preserve"> </w:t>
      </w:r>
      <w:r>
        <w:tab/>
      </w:r>
      <w:r w:rsidRPr="001218E2">
        <w:rPr>
          <w:i/>
        </w:rPr>
        <w:t>Id.</w:t>
      </w:r>
    </w:p>
  </w:footnote>
  <w:footnote w:id="147">
    <w:p w:rsidR="00F73CC2" w:rsidRDefault="00F73CC2" w:rsidP="004246B4">
      <w:pPr>
        <w:pStyle w:val="FootnoteText"/>
      </w:pPr>
      <w:r>
        <w:rPr>
          <w:rStyle w:val="FootnoteReference"/>
        </w:rPr>
        <w:footnoteRef/>
      </w:r>
      <w:r>
        <w:t xml:space="preserve"> </w:t>
      </w:r>
      <w:r>
        <w:tab/>
      </w:r>
      <w:r w:rsidRPr="001218E2">
        <w:rPr>
          <w:i/>
        </w:rPr>
        <w:t>Id.</w:t>
      </w:r>
    </w:p>
  </w:footnote>
  <w:footnote w:id="148">
    <w:p w:rsidR="00F73CC2" w:rsidRDefault="00F73CC2" w:rsidP="004246B4">
      <w:pPr>
        <w:pStyle w:val="FootnoteText"/>
      </w:pPr>
      <w:r>
        <w:rPr>
          <w:rStyle w:val="FootnoteReference"/>
        </w:rPr>
        <w:footnoteRef/>
      </w:r>
      <w:r>
        <w:t xml:space="preserve"> </w:t>
      </w:r>
      <w:r>
        <w:tab/>
      </w:r>
      <w:r w:rsidR="00AB31B8">
        <w:t>Staff Ex. 4 (Hecker Direct at 7</w:t>
      </w:r>
      <w:r w:rsidR="00AB31B8">
        <w:t>)</w:t>
      </w:r>
      <w:r w:rsidRPr="001218E2">
        <w:rPr>
          <w:i/>
        </w:rPr>
        <w:t>.</w:t>
      </w:r>
    </w:p>
  </w:footnote>
  <w:footnote w:id="149">
    <w:p w:rsidR="00F73CC2" w:rsidRDefault="00F73CC2" w:rsidP="004246B4">
      <w:pPr>
        <w:pStyle w:val="FootnoteText"/>
      </w:pPr>
      <w:r>
        <w:rPr>
          <w:rStyle w:val="FootnoteReference"/>
        </w:rPr>
        <w:footnoteRef/>
      </w:r>
      <w:r>
        <w:t xml:space="preserve"> </w:t>
      </w:r>
      <w:r>
        <w:tab/>
      </w:r>
      <w:r w:rsidRPr="001218E2">
        <w:rPr>
          <w:i/>
        </w:rPr>
        <w:t>Id.</w:t>
      </w:r>
    </w:p>
  </w:footnote>
  <w:footnote w:id="150">
    <w:p w:rsidR="00F73CC2" w:rsidRDefault="00F73CC2" w:rsidP="004246B4">
      <w:pPr>
        <w:pStyle w:val="FootnoteText"/>
      </w:pPr>
      <w:r>
        <w:rPr>
          <w:rStyle w:val="FootnoteReference"/>
        </w:rPr>
        <w:footnoteRef/>
      </w:r>
      <w:r>
        <w:t xml:space="preserve"> </w:t>
      </w:r>
      <w:r>
        <w:tab/>
      </w:r>
      <w:r w:rsidRPr="001218E2">
        <w:rPr>
          <w:i/>
        </w:rPr>
        <w:t>Id.</w:t>
      </w:r>
    </w:p>
  </w:footnote>
  <w:footnote w:id="151">
    <w:p w:rsidR="00F73CC2" w:rsidRDefault="00F73CC2" w:rsidP="004246B4">
      <w:pPr>
        <w:pStyle w:val="FootnoteText"/>
      </w:pPr>
      <w:r>
        <w:rPr>
          <w:rStyle w:val="FootnoteReference"/>
        </w:rPr>
        <w:footnoteRef/>
      </w:r>
      <w:r>
        <w:t xml:space="preserve"> </w:t>
      </w:r>
      <w:r>
        <w:tab/>
      </w:r>
      <w:r w:rsidRPr="001218E2">
        <w:rPr>
          <w:i/>
        </w:rPr>
        <w:t>Id.</w:t>
      </w:r>
    </w:p>
  </w:footnote>
  <w:footnote w:id="152">
    <w:p w:rsidR="00F73CC2" w:rsidRDefault="00F73CC2" w:rsidP="004246B4">
      <w:pPr>
        <w:pStyle w:val="FootnoteText"/>
      </w:pPr>
      <w:r>
        <w:rPr>
          <w:rStyle w:val="FootnoteReference"/>
        </w:rPr>
        <w:footnoteRef/>
      </w:r>
      <w:r>
        <w:t xml:space="preserve"> </w:t>
      </w:r>
      <w:r>
        <w:tab/>
      </w:r>
      <w:r w:rsidRPr="00F13D00">
        <w:rPr>
          <w:i/>
        </w:rPr>
        <w:t>Id.</w:t>
      </w:r>
      <w:r>
        <w:t xml:space="preserve"> at 7-8.</w:t>
      </w:r>
    </w:p>
  </w:footnote>
  <w:footnote w:id="153">
    <w:p w:rsidR="00F73CC2" w:rsidRDefault="00F73CC2" w:rsidP="004246B4">
      <w:pPr>
        <w:pStyle w:val="FootnoteText"/>
      </w:pPr>
      <w:r>
        <w:rPr>
          <w:rStyle w:val="FootnoteReference"/>
        </w:rPr>
        <w:footnoteRef/>
      </w:r>
      <w:r>
        <w:t xml:space="preserve"> </w:t>
      </w:r>
      <w:r>
        <w:tab/>
      </w:r>
      <w:r w:rsidRPr="00F13D00">
        <w:rPr>
          <w:i/>
        </w:rPr>
        <w:t>Id.</w:t>
      </w:r>
      <w:r>
        <w:t xml:space="preserve"> at 8.</w:t>
      </w:r>
    </w:p>
  </w:footnote>
  <w:footnote w:id="154">
    <w:p w:rsidR="00F73CC2" w:rsidRDefault="00F73CC2" w:rsidP="004246B4">
      <w:pPr>
        <w:pStyle w:val="FootnoteText"/>
      </w:pPr>
      <w:r>
        <w:rPr>
          <w:rStyle w:val="FootnoteReference"/>
        </w:rPr>
        <w:footnoteRef/>
      </w:r>
      <w:r>
        <w:t xml:space="preserve"> </w:t>
      </w:r>
      <w:r>
        <w:tab/>
      </w:r>
      <w:r w:rsidRPr="00F13D00">
        <w:rPr>
          <w:i/>
        </w:rPr>
        <w:t>Id.</w:t>
      </w:r>
    </w:p>
  </w:footnote>
  <w:footnote w:id="155">
    <w:p w:rsidR="00F73CC2" w:rsidRDefault="00F73CC2" w:rsidP="004246B4">
      <w:pPr>
        <w:pStyle w:val="FootnoteText"/>
      </w:pPr>
      <w:r>
        <w:rPr>
          <w:rStyle w:val="FootnoteReference"/>
        </w:rPr>
        <w:footnoteRef/>
      </w:r>
      <w:r>
        <w:t xml:space="preserve"> </w:t>
      </w:r>
      <w:r>
        <w:tab/>
      </w:r>
      <w:r w:rsidR="00AB31B8">
        <w:t>Staff Ex. 4 (Hecker Direct at 8</w:t>
      </w:r>
      <w:r w:rsidR="00AB31B8">
        <w:t>)</w:t>
      </w:r>
      <w:r w:rsidRPr="00F13D00">
        <w:rPr>
          <w:i/>
        </w:rPr>
        <w:t>.</w:t>
      </w:r>
    </w:p>
  </w:footnote>
  <w:footnote w:id="156">
    <w:p w:rsidR="00F73CC2" w:rsidRDefault="00F73CC2" w:rsidP="004246B4">
      <w:pPr>
        <w:pStyle w:val="FootnoteText"/>
      </w:pPr>
      <w:r>
        <w:rPr>
          <w:rStyle w:val="FootnoteReference"/>
        </w:rPr>
        <w:footnoteRef/>
      </w:r>
      <w:r>
        <w:t xml:space="preserve"> </w:t>
      </w:r>
      <w:r>
        <w:tab/>
      </w:r>
      <w:r w:rsidRPr="00F13D00">
        <w:rPr>
          <w:i/>
        </w:rPr>
        <w:t>Id.</w:t>
      </w:r>
    </w:p>
  </w:footnote>
  <w:footnote w:id="157">
    <w:p w:rsidR="00F73CC2" w:rsidRDefault="00F73CC2" w:rsidP="004246B4">
      <w:pPr>
        <w:pStyle w:val="FootnoteText"/>
      </w:pPr>
      <w:r>
        <w:rPr>
          <w:rStyle w:val="FootnoteReference"/>
        </w:rPr>
        <w:footnoteRef/>
      </w:r>
      <w:r>
        <w:t xml:space="preserve"> </w:t>
      </w:r>
      <w:r>
        <w:tab/>
      </w:r>
      <w:r w:rsidRPr="00F13D00">
        <w:rPr>
          <w:i/>
        </w:rPr>
        <w:t>Id.</w:t>
      </w:r>
      <w:r>
        <w:t xml:space="preserve"> at 8-9.</w:t>
      </w:r>
    </w:p>
  </w:footnote>
  <w:footnote w:id="158">
    <w:p w:rsidR="00F73CC2" w:rsidRDefault="00F73CC2" w:rsidP="004246B4">
      <w:pPr>
        <w:pStyle w:val="FootnoteText"/>
      </w:pPr>
      <w:r>
        <w:rPr>
          <w:rStyle w:val="FootnoteReference"/>
        </w:rPr>
        <w:footnoteRef/>
      </w:r>
      <w:r>
        <w:t xml:space="preserve"> </w:t>
      </w:r>
      <w:r>
        <w:tab/>
      </w:r>
      <w:r w:rsidRPr="00F13D00">
        <w:rPr>
          <w:i/>
        </w:rPr>
        <w:t>Id.</w:t>
      </w:r>
      <w:r>
        <w:t xml:space="preserve"> at 9.</w:t>
      </w:r>
    </w:p>
  </w:footnote>
  <w:footnote w:id="159">
    <w:p w:rsidR="00F73CC2" w:rsidRDefault="00F73CC2" w:rsidP="004246B4">
      <w:pPr>
        <w:pStyle w:val="FootnoteText"/>
      </w:pPr>
      <w:r>
        <w:rPr>
          <w:rStyle w:val="FootnoteReference"/>
        </w:rPr>
        <w:footnoteRef/>
      </w:r>
      <w:r>
        <w:t xml:space="preserve"> </w:t>
      </w:r>
      <w:r>
        <w:tab/>
      </w:r>
      <w:r w:rsidRPr="00F13D00">
        <w:rPr>
          <w:i/>
        </w:rPr>
        <w:t>Id.</w:t>
      </w:r>
    </w:p>
  </w:footnote>
  <w:footnote w:id="160">
    <w:p w:rsidR="00F73CC2" w:rsidRDefault="00F73CC2" w:rsidP="004246B4">
      <w:pPr>
        <w:pStyle w:val="FootnoteText"/>
      </w:pPr>
      <w:r>
        <w:rPr>
          <w:rStyle w:val="FootnoteReference"/>
        </w:rPr>
        <w:footnoteRef/>
      </w:r>
      <w:r>
        <w:t xml:space="preserve"> </w:t>
      </w:r>
      <w:r>
        <w:tab/>
      </w:r>
      <w:r w:rsidR="00AB31B8">
        <w:t>Staff Ex. 4 (Hecker Direct at 9</w:t>
      </w:r>
      <w:r w:rsidR="00AB31B8">
        <w:t>)</w:t>
      </w:r>
      <w:r w:rsidRPr="00F13D00">
        <w:rPr>
          <w:i/>
        </w:rPr>
        <w:t>.</w:t>
      </w:r>
    </w:p>
  </w:footnote>
  <w:footnote w:id="161">
    <w:p w:rsidR="00F73CC2" w:rsidRDefault="00F73CC2" w:rsidP="004246B4">
      <w:pPr>
        <w:pStyle w:val="FootnoteText"/>
      </w:pPr>
      <w:r>
        <w:rPr>
          <w:rStyle w:val="FootnoteReference"/>
        </w:rPr>
        <w:footnoteRef/>
      </w:r>
      <w:r>
        <w:t xml:space="preserve"> </w:t>
      </w:r>
      <w:r>
        <w:tab/>
      </w:r>
      <w:r w:rsidRPr="00F13D00">
        <w:rPr>
          <w:i/>
        </w:rPr>
        <w:t>Id.</w:t>
      </w:r>
    </w:p>
  </w:footnote>
  <w:footnote w:id="162">
    <w:p w:rsidR="00F73CC2" w:rsidRDefault="00F73CC2" w:rsidP="004246B4">
      <w:pPr>
        <w:pStyle w:val="FootnoteText"/>
      </w:pPr>
      <w:r>
        <w:rPr>
          <w:rStyle w:val="FootnoteReference"/>
        </w:rPr>
        <w:footnoteRef/>
      </w:r>
      <w:r>
        <w:t xml:space="preserve"> </w:t>
      </w:r>
      <w:r>
        <w:tab/>
      </w:r>
      <w:r w:rsidRPr="00F13D00">
        <w:rPr>
          <w:i/>
        </w:rPr>
        <w:t>Id.</w:t>
      </w:r>
    </w:p>
  </w:footnote>
  <w:footnote w:id="163">
    <w:p w:rsidR="00F73CC2" w:rsidRDefault="00F73CC2" w:rsidP="004246B4">
      <w:pPr>
        <w:pStyle w:val="FootnoteText"/>
      </w:pPr>
      <w:r>
        <w:rPr>
          <w:rStyle w:val="FootnoteReference"/>
        </w:rPr>
        <w:footnoteRef/>
      </w:r>
      <w:r>
        <w:t xml:space="preserve"> </w:t>
      </w:r>
      <w:r>
        <w:tab/>
      </w:r>
      <w:r w:rsidRPr="00F13D00">
        <w:rPr>
          <w:i/>
        </w:rPr>
        <w:t>Id.</w:t>
      </w:r>
    </w:p>
  </w:footnote>
  <w:footnote w:id="164">
    <w:p w:rsidR="00F73CC2" w:rsidRDefault="00F73CC2" w:rsidP="004246B4">
      <w:pPr>
        <w:pStyle w:val="FootnoteText"/>
      </w:pPr>
      <w:r>
        <w:rPr>
          <w:rStyle w:val="FootnoteReference"/>
        </w:rPr>
        <w:footnoteRef/>
      </w:r>
      <w:r>
        <w:t xml:space="preserve"> </w:t>
      </w:r>
      <w:r>
        <w:tab/>
      </w:r>
      <w:r w:rsidRPr="00F13D00">
        <w:rPr>
          <w:i/>
        </w:rPr>
        <w:t>Id.</w:t>
      </w:r>
      <w:r>
        <w:t xml:space="preserve"> at 9-10.</w:t>
      </w:r>
    </w:p>
  </w:footnote>
  <w:footnote w:id="165">
    <w:p w:rsidR="00F73CC2" w:rsidRDefault="00F73CC2" w:rsidP="004246B4">
      <w:pPr>
        <w:pStyle w:val="FootnoteText"/>
      </w:pPr>
      <w:r>
        <w:rPr>
          <w:rStyle w:val="FootnoteReference"/>
        </w:rPr>
        <w:footnoteRef/>
      </w:r>
      <w:r>
        <w:t xml:space="preserve"> </w:t>
      </w:r>
      <w:r>
        <w:tab/>
      </w:r>
      <w:r w:rsidR="00AB31B8">
        <w:t>Staff Ex. 4 (Hecker Direct at 10</w:t>
      </w:r>
      <w:r w:rsidR="00AB31B8">
        <w:t>)</w:t>
      </w:r>
      <w:r>
        <w:t>.</w:t>
      </w:r>
    </w:p>
  </w:footnote>
  <w:footnote w:id="166">
    <w:p w:rsidR="00F73CC2" w:rsidRDefault="00F73CC2" w:rsidP="004246B4">
      <w:pPr>
        <w:pStyle w:val="FootnoteText"/>
      </w:pPr>
      <w:r>
        <w:rPr>
          <w:rStyle w:val="FootnoteReference"/>
        </w:rPr>
        <w:footnoteRef/>
      </w:r>
      <w:r>
        <w:t xml:space="preserve"> </w:t>
      </w:r>
      <w:r>
        <w:tab/>
      </w:r>
      <w:r w:rsidRPr="00F13D00">
        <w:rPr>
          <w:i/>
        </w:rPr>
        <w:t>Id.</w:t>
      </w:r>
    </w:p>
  </w:footnote>
  <w:footnote w:id="167">
    <w:p w:rsidR="00F73CC2" w:rsidRDefault="00F73CC2" w:rsidP="004246B4">
      <w:pPr>
        <w:pStyle w:val="FootnoteText"/>
      </w:pPr>
      <w:r>
        <w:rPr>
          <w:rStyle w:val="FootnoteReference"/>
        </w:rPr>
        <w:footnoteRef/>
      </w:r>
      <w:r>
        <w:t xml:space="preserve"> </w:t>
      </w:r>
      <w:r>
        <w:tab/>
      </w:r>
      <w:r w:rsidRPr="00F13D00">
        <w:rPr>
          <w:i/>
        </w:rPr>
        <w:t>Id.</w:t>
      </w:r>
    </w:p>
  </w:footnote>
  <w:footnote w:id="168">
    <w:p w:rsidR="00F73CC2" w:rsidRDefault="00F73CC2" w:rsidP="00B00F55">
      <w:pPr>
        <w:pStyle w:val="FootnoteText"/>
        <w:ind w:left="0" w:firstLine="0"/>
      </w:pPr>
      <w:r>
        <w:rPr>
          <w:rStyle w:val="FootnoteReference"/>
        </w:rPr>
        <w:footnoteRef/>
      </w:r>
      <w:r>
        <w:t xml:space="preserve"> </w:t>
      </w:r>
      <w:r>
        <w:tab/>
      </w:r>
      <w:r w:rsidRPr="00F13D00">
        <w:rPr>
          <w:i/>
        </w:rPr>
        <w:t>Id.</w:t>
      </w:r>
    </w:p>
  </w:footnote>
  <w:footnote w:id="169">
    <w:p w:rsidR="00F73CC2" w:rsidRDefault="00F73CC2" w:rsidP="00B00F55">
      <w:pPr>
        <w:pStyle w:val="FootnoteText"/>
        <w:ind w:left="0" w:firstLine="0"/>
      </w:pPr>
      <w:r>
        <w:rPr>
          <w:rStyle w:val="FootnoteReference"/>
        </w:rPr>
        <w:footnoteRef/>
      </w:r>
      <w:r>
        <w:t xml:space="preserve"> </w:t>
      </w:r>
      <w:r>
        <w:tab/>
      </w:r>
      <w:r w:rsidRPr="00B65440">
        <w:t>For example, if the Company incurred $10 million in major storm repair expenses in a year, and during the same year sends a crew of four linemen to repair for hurricane damage along the Atlantic coast for one week, the straight time rate of the first 40 hours of each person (160 hours total) times their base rate (and loadings) would be subtracted from the $10 million. The 160 hours of pay was part of the base rate calculation.  Otherwise, double-recovery would occur when the Company is reim</w:t>
      </w:r>
      <w:r>
        <w:t xml:space="preserve">bursed by the other utility. </w:t>
      </w:r>
    </w:p>
  </w:footnote>
  <w:footnote w:id="170">
    <w:p w:rsidR="00F73CC2" w:rsidRDefault="00F73CC2" w:rsidP="00B00F55">
      <w:pPr>
        <w:pStyle w:val="FootnoteText"/>
        <w:ind w:left="0" w:firstLine="0"/>
      </w:pPr>
      <w:r>
        <w:rPr>
          <w:rStyle w:val="FootnoteReference"/>
        </w:rPr>
        <w:footnoteRef/>
      </w:r>
      <w:r>
        <w:t xml:space="preserve"> </w:t>
      </w:r>
      <w:r>
        <w:tab/>
        <w:t>Staff Ex. 4 (Hecker Direct at 11).</w:t>
      </w:r>
    </w:p>
  </w:footnote>
  <w:footnote w:id="171">
    <w:p w:rsidR="00F73CC2" w:rsidRDefault="00F73CC2" w:rsidP="00B00F55">
      <w:pPr>
        <w:pStyle w:val="FootnoteText"/>
        <w:ind w:left="0" w:firstLine="0"/>
      </w:pPr>
      <w:r>
        <w:rPr>
          <w:rStyle w:val="FootnoteReference"/>
        </w:rPr>
        <w:footnoteRef/>
      </w:r>
      <w:r>
        <w:t xml:space="preserve"> </w:t>
      </w:r>
      <w:r>
        <w:tab/>
      </w:r>
      <w:r w:rsidRPr="00F13D00">
        <w:rPr>
          <w:i/>
        </w:rPr>
        <w:t>Id.</w:t>
      </w:r>
    </w:p>
  </w:footnote>
  <w:footnote w:id="172">
    <w:p w:rsidR="00F73CC2" w:rsidRDefault="00F73CC2" w:rsidP="00B00F55">
      <w:pPr>
        <w:pStyle w:val="FootnoteText"/>
        <w:ind w:left="0" w:firstLine="0"/>
      </w:pPr>
      <w:r>
        <w:rPr>
          <w:rStyle w:val="FootnoteReference"/>
        </w:rPr>
        <w:footnoteRef/>
      </w:r>
      <w:r>
        <w:t xml:space="preserve"> </w:t>
      </w:r>
      <w:r>
        <w:tab/>
      </w:r>
      <w:r w:rsidR="00AB31B8">
        <w:t>Staff Ex. 4 (Hecker Direct at 11</w:t>
      </w:r>
      <w:r w:rsidR="00AB31B8">
        <w:t>).</w:t>
      </w:r>
    </w:p>
  </w:footnote>
  <w:footnote w:id="173">
    <w:p w:rsidR="00F73CC2" w:rsidRDefault="00F73CC2" w:rsidP="00B00F55">
      <w:pPr>
        <w:pStyle w:val="FootnoteText"/>
        <w:ind w:left="0" w:firstLine="0"/>
      </w:pPr>
      <w:r>
        <w:rPr>
          <w:rStyle w:val="FootnoteReference"/>
        </w:rPr>
        <w:footnoteRef/>
      </w:r>
      <w:r>
        <w:t xml:space="preserve"> </w:t>
      </w:r>
      <w:r>
        <w:tab/>
      </w:r>
      <w:r w:rsidRPr="00F13D00">
        <w:rPr>
          <w:i/>
        </w:rPr>
        <w:t>Id.</w:t>
      </w:r>
    </w:p>
  </w:footnote>
  <w:footnote w:id="174">
    <w:p w:rsidR="00F73CC2" w:rsidRDefault="00F73CC2" w:rsidP="00B00F55">
      <w:pPr>
        <w:pStyle w:val="FootnoteText"/>
        <w:ind w:left="0" w:firstLine="0"/>
      </w:pPr>
      <w:r>
        <w:rPr>
          <w:rStyle w:val="FootnoteReference"/>
        </w:rPr>
        <w:footnoteRef/>
      </w:r>
      <w:r>
        <w:t xml:space="preserve"> </w:t>
      </w:r>
      <w:r>
        <w:tab/>
      </w:r>
      <w:r w:rsidRPr="00F13D00">
        <w:rPr>
          <w:i/>
        </w:rPr>
        <w:t>Id.</w:t>
      </w:r>
    </w:p>
  </w:footnote>
  <w:footnote w:id="175">
    <w:p w:rsidR="00F73CC2" w:rsidRDefault="00F73CC2" w:rsidP="00B00F55">
      <w:pPr>
        <w:pStyle w:val="FootnoteText"/>
        <w:ind w:left="0" w:firstLine="0"/>
      </w:pPr>
      <w:r>
        <w:rPr>
          <w:rStyle w:val="FootnoteReference"/>
        </w:rPr>
        <w:footnoteRef/>
      </w:r>
      <w:r>
        <w:t xml:space="preserve"> </w:t>
      </w:r>
      <w:r>
        <w:tab/>
      </w:r>
      <w:r w:rsidRPr="00F13D00">
        <w:rPr>
          <w:i/>
        </w:rPr>
        <w:t>Id.</w:t>
      </w:r>
    </w:p>
  </w:footnote>
  <w:footnote w:id="176">
    <w:p w:rsidR="00F73CC2" w:rsidRDefault="00F73CC2" w:rsidP="00B00F55">
      <w:pPr>
        <w:pStyle w:val="FootnoteText"/>
        <w:ind w:left="0" w:firstLine="0"/>
      </w:pPr>
      <w:r>
        <w:rPr>
          <w:rStyle w:val="FootnoteReference"/>
        </w:rPr>
        <w:footnoteRef/>
      </w:r>
      <w:r>
        <w:t xml:space="preserve"> </w:t>
      </w:r>
      <w:r>
        <w:tab/>
      </w:r>
      <w:r w:rsidRPr="00A70CD5">
        <w:t>In other words, if the threshold is the $4.4 million in base rates, and if no dollars were spent to repair for major storms during the year, the Company would incur a $4.4 million liability.  If carrying charges are calculated based on expenses at the end of the month they were incurred throughout the year, if no expenses are incurred, then a carrying charge should be calculated on the $4.4 million liability.  Therefore, Staff believes it is more appropriate to calculate the carrying charges at the end of the year when the balance is known.</w:t>
      </w:r>
    </w:p>
  </w:footnote>
  <w:footnote w:id="177">
    <w:p w:rsidR="00F73CC2" w:rsidRDefault="00F73CC2" w:rsidP="00B00F55">
      <w:pPr>
        <w:pStyle w:val="FootnoteText"/>
        <w:ind w:left="0" w:firstLine="0"/>
      </w:pPr>
      <w:r>
        <w:rPr>
          <w:rStyle w:val="FootnoteReference"/>
        </w:rPr>
        <w:footnoteRef/>
      </w:r>
      <w:r>
        <w:t xml:space="preserve"> </w:t>
      </w:r>
      <w:r>
        <w:tab/>
        <w:t>Staff Ex. 4 (Hecker Direct at 11-12).</w:t>
      </w:r>
    </w:p>
  </w:footnote>
  <w:footnote w:id="178">
    <w:p w:rsidR="00F73CC2" w:rsidRDefault="00F73CC2" w:rsidP="00B00F55">
      <w:pPr>
        <w:pStyle w:val="FootnoteText"/>
        <w:ind w:left="0" w:firstLine="0"/>
      </w:pPr>
      <w:r>
        <w:rPr>
          <w:rStyle w:val="FootnoteReference"/>
        </w:rPr>
        <w:footnoteRef/>
      </w:r>
      <w:r>
        <w:t xml:space="preserve"> </w:t>
      </w:r>
      <w:r>
        <w:tab/>
      </w:r>
      <w:r w:rsidR="00AB31B8">
        <w:t>Staff Ex. 4 (Hecker Direct at 12)</w:t>
      </w:r>
      <w:r>
        <w:t>.</w:t>
      </w:r>
    </w:p>
  </w:footnote>
  <w:footnote w:id="179">
    <w:p w:rsidR="00F73CC2" w:rsidRDefault="00F73CC2" w:rsidP="00B00F55">
      <w:pPr>
        <w:pStyle w:val="FootnoteText"/>
        <w:ind w:left="0" w:firstLine="0"/>
      </w:pPr>
      <w:r>
        <w:rPr>
          <w:rStyle w:val="FootnoteReference"/>
        </w:rPr>
        <w:footnoteRef/>
      </w:r>
      <w:r>
        <w:t xml:space="preserve"> </w:t>
      </w:r>
      <w:r>
        <w:tab/>
      </w:r>
      <w:r w:rsidRPr="00DF7068">
        <w:rPr>
          <w:i/>
        </w:rPr>
        <w:t>Id.</w:t>
      </w:r>
    </w:p>
  </w:footnote>
  <w:footnote w:id="180">
    <w:p w:rsidR="00F73CC2" w:rsidRDefault="00F73CC2">
      <w:pPr>
        <w:pStyle w:val="FootnoteText"/>
      </w:pPr>
      <w:r>
        <w:rPr>
          <w:rStyle w:val="FootnoteReference"/>
        </w:rPr>
        <w:footnoteRef/>
      </w:r>
      <w:r>
        <w:t xml:space="preserve"> </w:t>
      </w:r>
      <w:r>
        <w:tab/>
        <w:t>Tr. Vol. XIV at 3897-3898.</w:t>
      </w:r>
    </w:p>
  </w:footnote>
  <w:footnote w:id="181">
    <w:p w:rsidR="00F73CC2" w:rsidRDefault="00F73CC2">
      <w:pPr>
        <w:pStyle w:val="FootnoteText"/>
      </w:pPr>
      <w:r>
        <w:rPr>
          <w:rStyle w:val="FootnoteReference"/>
        </w:rPr>
        <w:footnoteRef/>
      </w:r>
      <w:r>
        <w:t xml:space="preserve"> </w:t>
      </w:r>
      <w:r>
        <w:tab/>
        <w:t>Staff Ex. 2 (Turkenton Direct at 6).</w:t>
      </w:r>
    </w:p>
  </w:footnote>
  <w:footnote w:id="182">
    <w:p w:rsidR="00F73CC2" w:rsidRDefault="00F73CC2">
      <w:pPr>
        <w:pStyle w:val="FootnoteText"/>
      </w:pPr>
      <w:r>
        <w:rPr>
          <w:rStyle w:val="FootnoteReference"/>
        </w:rPr>
        <w:footnoteRef/>
      </w:r>
      <w:r>
        <w:t xml:space="preserve"> </w:t>
      </w:r>
      <w:r>
        <w:tab/>
        <w:t>Duke Ex. 18 (</w:t>
      </w:r>
      <w:proofErr w:type="spellStart"/>
      <w:r>
        <w:t>Ziolkowski</w:t>
      </w:r>
      <w:proofErr w:type="spellEnd"/>
      <w:r>
        <w:t xml:space="preserve"> Direct at </w:t>
      </w:r>
      <w:proofErr w:type="spellStart"/>
      <w:r>
        <w:t>JEZ</w:t>
      </w:r>
      <w:proofErr w:type="spellEnd"/>
      <w:r>
        <w:t>-3).</w:t>
      </w:r>
    </w:p>
  </w:footnote>
  <w:footnote w:id="183">
    <w:p w:rsidR="00F73CC2" w:rsidRDefault="00F73CC2">
      <w:pPr>
        <w:pStyle w:val="FootnoteText"/>
      </w:pPr>
      <w:r>
        <w:rPr>
          <w:rStyle w:val="FootnoteReference"/>
        </w:rPr>
        <w:footnoteRef/>
      </w:r>
      <w:r>
        <w:t xml:space="preserve"> </w:t>
      </w:r>
      <w:r>
        <w:tab/>
        <w:t>Staff Ex. 2 (Turkenton Direct at 6).</w:t>
      </w:r>
    </w:p>
  </w:footnote>
  <w:footnote w:id="184">
    <w:p w:rsidR="00F73CC2" w:rsidRPr="00B2451B" w:rsidRDefault="00F73CC2">
      <w:pPr>
        <w:pStyle w:val="FootnoteText"/>
        <w:rPr>
          <w:i/>
        </w:rPr>
      </w:pPr>
      <w:r>
        <w:rPr>
          <w:rStyle w:val="FootnoteReference"/>
        </w:rPr>
        <w:footnoteRef/>
      </w:r>
      <w:r>
        <w:t xml:space="preserve"> </w:t>
      </w:r>
      <w:r>
        <w:tab/>
      </w:r>
      <w:r>
        <w:rPr>
          <w:i/>
        </w:rPr>
        <w:t>Id.</w:t>
      </w:r>
    </w:p>
  </w:footnote>
  <w:footnote w:id="185">
    <w:p w:rsidR="00F73CC2" w:rsidRDefault="00F73CC2">
      <w:pPr>
        <w:pStyle w:val="FootnoteText"/>
      </w:pPr>
      <w:r>
        <w:rPr>
          <w:rStyle w:val="FootnoteReference"/>
        </w:rPr>
        <w:footnoteRef/>
      </w:r>
      <w:r>
        <w:t xml:space="preserve"> </w:t>
      </w:r>
      <w:r>
        <w:tab/>
        <w:t>Duke Ex. 18 (</w:t>
      </w:r>
      <w:proofErr w:type="spellStart"/>
      <w:r>
        <w:t>Ziolkowski</w:t>
      </w:r>
      <w:proofErr w:type="spellEnd"/>
      <w:r>
        <w:t xml:space="preserve"> Direct at 9).</w:t>
      </w:r>
    </w:p>
  </w:footnote>
  <w:footnote w:id="186">
    <w:p w:rsidR="00F73CC2" w:rsidRDefault="00F73CC2" w:rsidP="00B20705">
      <w:pPr>
        <w:pStyle w:val="FootnoteText"/>
      </w:pPr>
      <w:r>
        <w:rPr>
          <w:rStyle w:val="FootnoteReference"/>
        </w:rPr>
        <w:footnoteRef/>
      </w:r>
      <w:r>
        <w:t xml:space="preserve"> </w:t>
      </w:r>
      <w:r>
        <w:tab/>
        <w:t>Staff Ex. 2 (Turkenton Direct at 6).</w:t>
      </w:r>
    </w:p>
  </w:footnote>
  <w:footnote w:id="187">
    <w:p w:rsidR="00F73CC2" w:rsidRPr="00B20705" w:rsidRDefault="00F73CC2">
      <w:pPr>
        <w:pStyle w:val="FootnoteText"/>
      </w:pPr>
      <w:r>
        <w:rPr>
          <w:rStyle w:val="FootnoteReference"/>
        </w:rPr>
        <w:footnoteRef/>
      </w:r>
      <w:r>
        <w:t xml:space="preserve"> </w:t>
      </w:r>
      <w:r>
        <w:tab/>
      </w:r>
      <w:r w:rsidR="00AB31B8">
        <w:t>Staff Ex. 2 (Turkenton Direct at 6).</w:t>
      </w:r>
    </w:p>
  </w:footnote>
  <w:footnote w:id="188">
    <w:p w:rsidR="00F73CC2" w:rsidRPr="005F293B" w:rsidRDefault="00F73CC2">
      <w:pPr>
        <w:pStyle w:val="FootnoteText"/>
        <w:rPr>
          <w:i/>
        </w:rPr>
      </w:pPr>
      <w:r>
        <w:rPr>
          <w:rStyle w:val="FootnoteReference"/>
        </w:rPr>
        <w:footnoteRef/>
      </w:r>
      <w:r>
        <w:t xml:space="preserve"> </w:t>
      </w:r>
      <w:r>
        <w:tab/>
      </w:r>
      <w:r>
        <w:rPr>
          <w:i/>
        </w:rPr>
        <w:t>Id.</w:t>
      </w:r>
    </w:p>
  </w:footnote>
  <w:footnote w:id="189">
    <w:p w:rsidR="00F73CC2" w:rsidRPr="005F293B" w:rsidRDefault="00F73CC2">
      <w:pPr>
        <w:pStyle w:val="FootnoteText"/>
        <w:rPr>
          <w:i/>
        </w:rPr>
      </w:pPr>
      <w:r>
        <w:rPr>
          <w:rStyle w:val="FootnoteReference"/>
        </w:rPr>
        <w:footnoteRef/>
      </w:r>
      <w:r>
        <w:t xml:space="preserve"> </w:t>
      </w:r>
      <w:r>
        <w:tab/>
      </w:r>
      <w:r>
        <w:rPr>
          <w:i/>
        </w:rPr>
        <w:t>Id.</w:t>
      </w:r>
    </w:p>
  </w:footnote>
  <w:footnote w:id="190">
    <w:p w:rsidR="00F73CC2" w:rsidRPr="005F293B" w:rsidRDefault="00F73CC2">
      <w:pPr>
        <w:pStyle w:val="FootnoteText"/>
        <w:rPr>
          <w:i/>
        </w:rPr>
      </w:pPr>
      <w:r>
        <w:rPr>
          <w:rStyle w:val="FootnoteReference"/>
        </w:rPr>
        <w:footnoteRef/>
      </w:r>
      <w:r>
        <w:t xml:space="preserve"> </w:t>
      </w:r>
      <w:r>
        <w:tab/>
      </w:r>
      <w:r>
        <w:rPr>
          <w:i/>
        </w:rPr>
        <w:t>Id.</w:t>
      </w:r>
    </w:p>
  </w:footnote>
  <w:footnote w:id="191">
    <w:p w:rsidR="00F73CC2" w:rsidRPr="005F293B" w:rsidRDefault="00F73CC2">
      <w:pPr>
        <w:pStyle w:val="FootnoteText"/>
      </w:pPr>
      <w:r>
        <w:rPr>
          <w:rStyle w:val="FootnoteReference"/>
        </w:rPr>
        <w:footnoteRef/>
      </w:r>
      <w:r>
        <w:t xml:space="preserve"> </w:t>
      </w:r>
      <w:r>
        <w:tab/>
      </w:r>
      <w:r>
        <w:rPr>
          <w:i/>
        </w:rPr>
        <w:t xml:space="preserve">Id. </w:t>
      </w:r>
      <w:r>
        <w:t>at 7.</w:t>
      </w:r>
    </w:p>
  </w:footnote>
  <w:footnote w:id="192">
    <w:p w:rsidR="00F73CC2" w:rsidRDefault="00F73CC2" w:rsidP="004246B4">
      <w:pPr>
        <w:pStyle w:val="FootnoteText"/>
      </w:pPr>
      <w:r>
        <w:rPr>
          <w:rStyle w:val="FootnoteReference"/>
        </w:rPr>
        <w:footnoteRef/>
      </w:r>
      <w:r>
        <w:t xml:space="preserve"> </w:t>
      </w:r>
      <w:r>
        <w:tab/>
        <w:t>Staff Ex. 3 (Strom Direct at 3).</w:t>
      </w:r>
    </w:p>
  </w:footnote>
  <w:footnote w:id="193">
    <w:p w:rsidR="00F73CC2" w:rsidRDefault="00F73CC2" w:rsidP="00B00F55">
      <w:pPr>
        <w:pStyle w:val="FootnoteText"/>
        <w:ind w:left="0" w:firstLine="0"/>
      </w:pPr>
      <w:r>
        <w:rPr>
          <w:rStyle w:val="FootnoteReference"/>
        </w:rPr>
        <w:footnoteRef/>
      </w:r>
      <w:r>
        <w:t xml:space="preserve"> </w:t>
      </w:r>
      <w:r>
        <w:tab/>
        <w:t>Attachment F to the application at page 13 of 97, section 2.4 “Termination of ESP”</w:t>
      </w:r>
    </w:p>
  </w:footnote>
  <w:footnote w:id="194">
    <w:p w:rsidR="00F73CC2" w:rsidRDefault="00F73CC2" w:rsidP="00B00F55">
      <w:pPr>
        <w:pStyle w:val="FootnoteText"/>
        <w:ind w:left="0" w:firstLine="0"/>
      </w:pPr>
      <w:r>
        <w:rPr>
          <w:rStyle w:val="FootnoteReference"/>
        </w:rPr>
        <w:footnoteRef/>
      </w:r>
      <w:r>
        <w:t xml:space="preserve"> </w:t>
      </w:r>
      <w:r>
        <w:tab/>
        <w:t>Staff Ex. 3 (Strom Direct at 3-4).</w:t>
      </w:r>
    </w:p>
  </w:footnote>
  <w:footnote w:id="195">
    <w:p w:rsidR="00F73CC2" w:rsidRDefault="00F73CC2" w:rsidP="00B00F55">
      <w:pPr>
        <w:pStyle w:val="FootnoteText"/>
        <w:ind w:left="0" w:firstLine="0"/>
      </w:pPr>
      <w:r>
        <w:rPr>
          <w:rStyle w:val="FootnoteReference"/>
        </w:rPr>
        <w:footnoteRef/>
      </w:r>
      <w:r>
        <w:t xml:space="preserve"> </w:t>
      </w:r>
      <w:r>
        <w:tab/>
      </w:r>
      <w:r w:rsidRPr="007A2F15">
        <w:rPr>
          <w:i/>
        </w:rPr>
        <w:t>Id.</w:t>
      </w:r>
      <w:r>
        <w:t xml:space="preserve"> at 4.</w:t>
      </w:r>
    </w:p>
  </w:footnote>
  <w:footnote w:id="196">
    <w:p w:rsidR="00F73CC2" w:rsidRDefault="00F73CC2" w:rsidP="00B00F55">
      <w:pPr>
        <w:pStyle w:val="FootnoteText"/>
        <w:ind w:left="0" w:firstLine="0"/>
      </w:pPr>
      <w:r>
        <w:rPr>
          <w:rStyle w:val="FootnoteReference"/>
        </w:rPr>
        <w:footnoteRef/>
      </w:r>
      <w:r>
        <w:t xml:space="preserve"> </w:t>
      </w:r>
      <w:r>
        <w:tab/>
      </w:r>
      <w:r w:rsidRPr="007A2F15">
        <w:rPr>
          <w:i/>
        </w:rPr>
        <w:t>Id.</w:t>
      </w:r>
    </w:p>
  </w:footnote>
  <w:footnote w:id="197">
    <w:p w:rsidR="00F73CC2" w:rsidRDefault="00F73CC2" w:rsidP="00B00F55">
      <w:pPr>
        <w:pStyle w:val="FootnoteText"/>
        <w:ind w:left="0" w:firstLine="0"/>
      </w:pPr>
      <w:r>
        <w:rPr>
          <w:rStyle w:val="FootnoteReference"/>
        </w:rPr>
        <w:footnoteRef/>
      </w:r>
      <w:r>
        <w:t xml:space="preserve"> </w:t>
      </w:r>
      <w:r>
        <w:tab/>
      </w:r>
      <w:r w:rsidR="00AB31B8">
        <w:t>S</w:t>
      </w:r>
      <w:r w:rsidR="00AB31B8">
        <w:t>taff Ex. 3 (Strom Direct at 5).</w:t>
      </w:r>
    </w:p>
  </w:footnote>
  <w:footnote w:id="198">
    <w:p w:rsidR="00F73CC2" w:rsidRDefault="00F73CC2" w:rsidP="00B00F55">
      <w:pPr>
        <w:pStyle w:val="FootnoteText"/>
        <w:ind w:left="0" w:firstLine="0"/>
      </w:pPr>
      <w:r>
        <w:rPr>
          <w:rStyle w:val="FootnoteReference"/>
        </w:rPr>
        <w:footnoteRef/>
      </w:r>
      <w:r>
        <w:t xml:space="preserve"> </w:t>
      </w:r>
      <w:r>
        <w:tab/>
      </w:r>
      <w:r w:rsidRPr="00E31295">
        <w:rPr>
          <w:i/>
        </w:rPr>
        <w:t>Id.</w:t>
      </w:r>
    </w:p>
  </w:footnote>
  <w:footnote w:id="199">
    <w:p w:rsidR="00F73CC2" w:rsidRDefault="00F73CC2" w:rsidP="004246B4">
      <w:pPr>
        <w:pStyle w:val="FootnoteText"/>
      </w:pPr>
      <w:r>
        <w:rPr>
          <w:rStyle w:val="FootnoteReference"/>
        </w:rPr>
        <w:footnoteRef/>
      </w:r>
      <w:r>
        <w:t xml:space="preserve"> </w:t>
      </w:r>
      <w:r>
        <w:tab/>
      </w:r>
      <w:r w:rsidRPr="00E31295">
        <w:rPr>
          <w:i/>
        </w:rPr>
        <w:t>Id.</w:t>
      </w:r>
    </w:p>
  </w:footnote>
  <w:footnote w:id="200">
    <w:p w:rsidR="00F73CC2" w:rsidRDefault="00F73CC2" w:rsidP="004246B4">
      <w:pPr>
        <w:pStyle w:val="FootnoteText"/>
      </w:pPr>
      <w:r>
        <w:rPr>
          <w:rStyle w:val="FootnoteReference"/>
        </w:rPr>
        <w:footnoteRef/>
      </w:r>
      <w:r>
        <w:t xml:space="preserve"> </w:t>
      </w:r>
      <w:r>
        <w:tab/>
      </w:r>
      <w:r w:rsidRPr="00E31295">
        <w:rPr>
          <w:i/>
        </w:rPr>
        <w:t>Id.</w:t>
      </w:r>
    </w:p>
  </w:footnote>
  <w:footnote w:id="201">
    <w:p w:rsidR="00F73CC2" w:rsidRDefault="00F73CC2" w:rsidP="004246B4">
      <w:pPr>
        <w:pStyle w:val="FootnoteText"/>
      </w:pPr>
      <w:r>
        <w:rPr>
          <w:rStyle w:val="FootnoteReference"/>
        </w:rPr>
        <w:footnoteRef/>
      </w:r>
      <w:r>
        <w:t xml:space="preserve"> </w:t>
      </w:r>
      <w:r>
        <w:tab/>
      </w:r>
      <w:r w:rsidRPr="00242477">
        <w:rPr>
          <w:i/>
        </w:rPr>
        <w:t>Id.</w:t>
      </w:r>
    </w:p>
  </w:footnote>
  <w:footnote w:id="202">
    <w:p w:rsidR="00F73CC2" w:rsidRDefault="00F73CC2" w:rsidP="004246B4">
      <w:pPr>
        <w:pStyle w:val="FootnoteText"/>
      </w:pPr>
      <w:r>
        <w:rPr>
          <w:rStyle w:val="FootnoteReference"/>
        </w:rPr>
        <w:footnoteRef/>
      </w:r>
      <w:r>
        <w:t xml:space="preserve"> </w:t>
      </w:r>
      <w:r>
        <w:tab/>
      </w:r>
      <w:r w:rsidRPr="00437706">
        <w:rPr>
          <w:i/>
        </w:rPr>
        <w:t>Id.</w:t>
      </w:r>
      <w:r>
        <w:t xml:space="preserve"> at 6.</w:t>
      </w:r>
    </w:p>
  </w:footnote>
  <w:footnote w:id="203">
    <w:p w:rsidR="00F73CC2" w:rsidRDefault="00F73CC2" w:rsidP="004246B4">
      <w:pPr>
        <w:pStyle w:val="FootnoteText"/>
      </w:pPr>
      <w:r>
        <w:rPr>
          <w:rStyle w:val="FootnoteReference"/>
        </w:rPr>
        <w:footnoteRef/>
      </w:r>
      <w:r>
        <w:t xml:space="preserve"> </w:t>
      </w:r>
      <w:r>
        <w:tab/>
        <w:t>Duke Ex. 38 (Staff-</w:t>
      </w:r>
      <w:proofErr w:type="spellStart"/>
      <w:r>
        <w:t>DR</w:t>
      </w:r>
      <w:proofErr w:type="spellEnd"/>
      <w:r>
        <w:t>-17-001, Supplemental).</w:t>
      </w:r>
    </w:p>
  </w:footnote>
  <w:footnote w:id="204">
    <w:p w:rsidR="00F73CC2" w:rsidRDefault="00F73CC2" w:rsidP="004246B4">
      <w:pPr>
        <w:pStyle w:val="FootnoteText"/>
      </w:pPr>
      <w:r>
        <w:rPr>
          <w:rStyle w:val="FootnoteReference"/>
        </w:rPr>
        <w:footnoteRef/>
      </w:r>
      <w:r>
        <w:t xml:space="preserve"> </w:t>
      </w:r>
      <w:r>
        <w:tab/>
        <w:t>Staff Ex. 3 (Strom Direct at 6).</w:t>
      </w:r>
    </w:p>
  </w:footnote>
  <w:footnote w:id="205">
    <w:p w:rsidR="00F73CC2" w:rsidRDefault="00F73CC2" w:rsidP="004246B4">
      <w:pPr>
        <w:pStyle w:val="FootnoteText"/>
      </w:pPr>
      <w:r>
        <w:rPr>
          <w:rStyle w:val="FootnoteReference"/>
        </w:rPr>
        <w:footnoteRef/>
      </w:r>
      <w:r>
        <w:t xml:space="preserve"> </w:t>
      </w:r>
      <w:r>
        <w:tab/>
      </w:r>
      <w:r w:rsidRPr="00C323C3">
        <w:rPr>
          <w:i/>
        </w:rPr>
        <w:t>Id.</w:t>
      </w:r>
    </w:p>
  </w:footnote>
  <w:footnote w:id="206">
    <w:p w:rsidR="00F73CC2" w:rsidRDefault="00F73CC2" w:rsidP="004246B4">
      <w:pPr>
        <w:pStyle w:val="FootnoteText"/>
      </w:pPr>
      <w:r>
        <w:rPr>
          <w:rStyle w:val="FootnoteReference"/>
        </w:rPr>
        <w:footnoteRef/>
      </w:r>
      <w:r>
        <w:t xml:space="preserve"> </w:t>
      </w:r>
      <w:r>
        <w:tab/>
      </w:r>
      <w:r w:rsidRPr="00C323C3">
        <w:rPr>
          <w:i/>
        </w:rPr>
        <w:t>Id.</w:t>
      </w:r>
    </w:p>
  </w:footnote>
  <w:footnote w:id="207">
    <w:p w:rsidR="00F73CC2" w:rsidRDefault="00F73CC2" w:rsidP="004246B4">
      <w:pPr>
        <w:pStyle w:val="FootnoteText"/>
      </w:pPr>
      <w:r>
        <w:rPr>
          <w:rStyle w:val="FootnoteReference"/>
        </w:rPr>
        <w:footnoteRef/>
      </w:r>
      <w:r>
        <w:t xml:space="preserve"> </w:t>
      </w:r>
      <w:r>
        <w:tab/>
        <w:t>Tr. Vol. XIII at 3807-3808.</w:t>
      </w:r>
    </w:p>
  </w:footnote>
  <w:footnote w:id="208">
    <w:p w:rsidR="00F73CC2" w:rsidRDefault="00F73CC2" w:rsidP="004246B4">
      <w:pPr>
        <w:pStyle w:val="FootnoteText"/>
      </w:pPr>
      <w:r>
        <w:rPr>
          <w:rStyle w:val="FootnoteReference"/>
        </w:rPr>
        <w:footnoteRef/>
      </w:r>
      <w:r>
        <w:t xml:space="preserve"> </w:t>
      </w:r>
      <w:r>
        <w:tab/>
      </w:r>
      <w:r w:rsidRPr="00DD2393">
        <w:rPr>
          <w:i/>
        </w:rPr>
        <w:t>Id.</w:t>
      </w:r>
      <w:r>
        <w:t xml:space="preserve"> at 3808.</w:t>
      </w:r>
    </w:p>
  </w:footnote>
  <w:footnote w:id="209">
    <w:p w:rsidR="00F73CC2" w:rsidRDefault="00F73CC2" w:rsidP="004246B4">
      <w:pPr>
        <w:pStyle w:val="FootnoteText"/>
      </w:pPr>
      <w:r>
        <w:rPr>
          <w:rStyle w:val="FootnoteReference"/>
        </w:rPr>
        <w:footnoteRef/>
      </w:r>
      <w:r>
        <w:t xml:space="preserve"> </w:t>
      </w:r>
      <w:r>
        <w:tab/>
      </w:r>
      <w:r w:rsidRPr="00DD2393">
        <w:rPr>
          <w:i/>
        </w:rPr>
        <w:t>Id.</w:t>
      </w:r>
    </w:p>
  </w:footnote>
  <w:footnote w:id="210">
    <w:p w:rsidR="00F73CC2" w:rsidRDefault="00F73CC2" w:rsidP="004246B4">
      <w:pPr>
        <w:pStyle w:val="FootnoteText"/>
      </w:pPr>
      <w:r>
        <w:rPr>
          <w:rStyle w:val="FootnoteReference"/>
        </w:rPr>
        <w:footnoteRef/>
      </w:r>
      <w:r>
        <w:t xml:space="preserve"> </w:t>
      </w:r>
      <w:r>
        <w:tab/>
      </w:r>
      <w:r w:rsidRPr="00DD2393">
        <w:rPr>
          <w:i/>
        </w:rPr>
        <w:t>Id.</w:t>
      </w:r>
    </w:p>
  </w:footnote>
  <w:footnote w:id="211">
    <w:p w:rsidR="00F73CC2" w:rsidRDefault="00F73CC2" w:rsidP="004246B4">
      <w:pPr>
        <w:pStyle w:val="FootnoteText"/>
      </w:pPr>
      <w:r>
        <w:rPr>
          <w:rStyle w:val="FootnoteReference"/>
        </w:rPr>
        <w:footnoteRef/>
      </w:r>
      <w:r>
        <w:t xml:space="preserve"> </w:t>
      </w:r>
      <w:r>
        <w:tab/>
      </w:r>
      <w:r w:rsidRPr="00DD2393">
        <w:rPr>
          <w:i/>
        </w:rPr>
        <w:t>Id.</w:t>
      </w:r>
    </w:p>
  </w:footnote>
  <w:footnote w:id="212">
    <w:p w:rsidR="00F73CC2" w:rsidRDefault="00F73CC2">
      <w:pPr>
        <w:pStyle w:val="FootnoteText"/>
      </w:pPr>
      <w:r>
        <w:rPr>
          <w:rStyle w:val="FootnoteReference"/>
        </w:rPr>
        <w:footnoteRef/>
      </w:r>
      <w:r>
        <w:t xml:space="preserve"> </w:t>
      </w:r>
      <w:r>
        <w:tab/>
        <w:t>Staff Ex. 7 (Baker Direct at 3).</w:t>
      </w:r>
    </w:p>
  </w:footnote>
  <w:footnote w:id="213">
    <w:p w:rsidR="00F73CC2" w:rsidRPr="00F26F3F" w:rsidRDefault="00F73CC2">
      <w:pPr>
        <w:pStyle w:val="FootnoteText"/>
        <w:rPr>
          <w:i/>
        </w:rPr>
      </w:pPr>
      <w:r>
        <w:rPr>
          <w:rStyle w:val="FootnoteReference"/>
        </w:rPr>
        <w:footnoteRef/>
      </w:r>
      <w:r>
        <w:t xml:space="preserve"> </w:t>
      </w:r>
      <w:r>
        <w:tab/>
      </w:r>
      <w:r>
        <w:rPr>
          <w:i/>
        </w:rPr>
        <w:t>Id.</w:t>
      </w:r>
    </w:p>
  </w:footnote>
  <w:footnote w:id="214">
    <w:p w:rsidR="00F73CC2" w:rsidRPr="00F26F3F" w:rsidRDefault="00F73CC2">
      <w:pPr>
        <w:pStyle w:val="FootnoteText"/>
        <w:rPr>
          <w:i/>
        </w:rPr>
      </w:pPr>
      <w:r>
        <w:rPr>
          <w:rStyle w:val="FootnoteReference"/>
        </w:rPr>
        <w:footnoteRef/>
      </w:r>
      <w:r>
        <w:t xml:space="preserve"> </w:t>
      </w:r>
      <w:r>
        <w:tab/>
      </w:r>
      <w:r>
        <w:rPr>
          <w:i/>
        </w:rPr>
        <w:t>Id.</w:t>
      </w:r>
    </w:p>
  </w:footnote>
  <w:footnote w:id="215">
    <w:p w:rsidR="00F73CC2" w:rsidRPr="00F26F3F" w:rsidRDefault="00F73CC2">
      <w:pPr>
        <w:pStyle w:val="FootnoteText"/>
        <w:rPr>
          <w:i/>
        </w:rPr>
      </w:pPr>
      <w:r>
        <w:rPr>
          <w:rStyle w:val="FootnoteReference"/>
        </w:rPr>
        <w:footnoteRef/>
      </w:r>
      <w:r>
        <w:t xml:space="preserve"> </w:t>
      </w:r>
      <w:r>
        <w:tab/>
      </w:r>
      <w:r>
        <w:rPr>
          <w:i/>
        </w:rPr>
        <w:t>Id.</w:t>
      </w:r>
    </w:p>
  </w:footnote>
  <w:footnote w:id="216">
    <w:p w:rsidR="00F73CC2" w:rsidRPr="00F26F3F" w:rsidRDefault="00F73CC2">
      <w:pPr>
        <w:pStyle w:val="FootnoteText"/>
        <w:rPr>
          <w:i/>
        </w:rPr>
      </w:pPr>
      <w:r>
        <w:rPr>
          <w:rStyle w:val="FootnoteReference"/>
        </w:rPr>
        <w:footnoteRef/>
      </w:r>
      <w:r>
        <w:t xml:space="preserve"> </w:t>
      </w:r>
      <w:r>
        <w:tab/>
      </w:r>
      <w:r>
        <w:rPr>
          <w:i/>
        </w:rPr>
        <w:t>Id.</w:t>
      </w:r>
    </w:p>
  </w:footnote>
  <w:footnote w:id="217">
    <w:p w:rsidR="00F73CC2" w:rsidRPr="00F26F3F" w:rsidRDefault="00F73CC2" w:rsidP="00F26F3F">
      <w:pPr>
        <w:pStyle w:val="FootnoteText"/>
      </w:pPr>
      <w:r>
        <w:rPr>
          <w:rStyle w:val="FootnoteReference"/>
        </w:rPr>
        <w:footnoteRef/>
      </w:r>
      <w:r>
        <w:t xml:space="preserve"> </w:t>
      </w:r>
      <w:r>
        <w:tab/>
      </w:r>
      <w:r w:rsidR="00AB31B8">
        <w:t>Staff Ex. 7 (Baker Direct at 3-4</w:t>
      </w:r>
      <w:r w:rsidR="00AB31B8">
        <w:t>)</w:t>
      </w:r>
      <w:r>
        <w:t>.</w:t>
      </w:r>
    </w:p>
  </w:footnote>
  <w:footnote w:id="218">
    <w:p w:rsidR="00F73CC2" w:rsidRPr="004F6DE0" w:rsidRDefault="00F73CC2">
      <w:pPr>
        <w:pStyle w:val="FootnoteText"/>
      </w:pPr>
      <w:r>
        <w:rPr>
          <w:rStyle w:val="FootnoteReference"/>
        </w:rPr>
        <w:footnoteRef/>
      </w:r>
      <w:r>
        <w:t xml:space="preserve"> </w:t>
      </w:r>
      <w:r>
        <w:tab/>
      </w:r>
      <w:r>
        <w:rPr>
          <w:i/>
        </w:rPr>
        <w:t xml:space="preserve">Id. </w:t>
      </w:r>
      <w:r>
        <w:t>at 4.</w:t>
      </w:r>
    </w:p>
  </w:footnote>
  <w:footnote w:id="219">
    <w:p w:rsidR="00F73CC2" w:rsidRPr="004F6DE0" w:rsidRDefault="00F73CC2">
      <w:pPr>
        <w:pStyle w:val="FootnoteText"/>
        <w:rPr>
          <w:i/>
        </w:rPr>
      </w:pPr>
      <w:r>
        <w:rPr>
          <w:rStyle w:val="FootnoteReference"/>
        </w:rPr>
        <w:footnoteRef/>
      </w:r>
      <w:r>
        <w:t xml:space="preserve"> </w:t>
      </w:r>
      <w:r>
        <w:tab/>
      </w:r>
      <w:r>
        <w:rPr>
          <w:i/>
        </w:rPr>
        <w:t>Id.</w:t>
      </w:r>
    </w:p>
  </w:footnote>
  <w:footnote w:id="220">
    <w:p w:rsidR="00F73CC2" w:rsidRPr="004F6DE0" w:rsidRDefault="00F73CC2">
      <w:pPr>
        <w:pStyle w:val="FootnoteText"/>
        <w:rPr>
          <w:i/>
        </w:rPr>
      </w:pPr>
      <w:r>
        <w:rPr>
          <w:rStyle w:val="FootnoteReference"/>
        </w:rPr>
        <w:footnoteRef/>
      </w:r>
      <w:r>
        <w:t xml:space="preserve"> </w:t>
      </w:r>
      <w:r>
        <w:tab/>
      </w:r>
      <w:r>
        <w:rPr>
          <w:i/>
        </w:rPr>
        <w:t>Id.</w:t>
      </w:r>
    </w:p>
  </w:footnote>
  <w:footnote w:id="221">
    <w:p w:rsidR="00F73CC2" w:rsidRPr="004F6DE0" w:rsidRDefault="00F73CC2">
      <w:pPr>
        <w:pStyle w:val="FootnoteText"/>
        <w:rPr>
          <w:i/>
        </w:rPr>
      </w:pPr>
      <w:r>
        <w:rPr>
          <w:rStyle w:val="FootnoteReference"/>
        </w:rPr>
        <w:footnoteRef/>
      </w:r>
      <w:r>
        <w:t xml:space="preserve"> </w:t>
      </w:r>
      <w:r>
        <w:tab/>
      </w:r>
      <w:r>
        <w:rPr>
          <w:i/>
        </w:rPr>
        <w:t>Id.</w:t>
      </w:r>
    </w:p>
  </w:footnote>
  <w:footnote w:id="222">
    <w:p w:rsidR="00F73CC2" w:rsidRPr="004F6DE0" w:rsidRDefault="00F73CC2">
      <w:pPr>
        <w:pStyle w:val="FootnoteText"/>
        <w:rPr>
          <w:i/>
        </w:rPr>
      </w:pPr>
      <w:r>
        <w:rPr>
          <w:rStyle w:val="FootnoteReference"/>
        </w:rPr>
        <w:footnoteRef/>
      </w:r>
      <w:r>
        <w:t xml:space="preserve"> </w:t>
      </w:r>
      <w:r>
        <w:tab/>
      </w:r>
      <w:r>
        <w:rPr>
          <w:i/>
        </w:rPr>
        <w:t>Id.</w:t>
      </w:r>
    </w:p>
  </w:footnote>
  <w:footnote w:id="223">
    <w:p w:rsidR="00F73CC2" w:rsidRPr="004F6DE0" w:rsidRDefault="00F73CC2" w:rsidP="00FB14D8">
      <w:pPr>
        <w:pStyle w:val="FootnoteText"/>
      </w:pPr>
      <w:r>
        <w:rPr>
          <w:rStyle w:val="FootnoteReference"/>
        </w:rPr>
        <w:footnoteRef/>
      </w:r>
      <w:r>
        <w:t xml:space="preserve"> </w:t>
      </w:r>
      <w:r>
        <w:tab/>
      </w:r>
      <w:r w:rsidR="00AB31B8">
        <w:t>Staff Ex. 7 (Baker Direct at 5</w:t>
      </w:r>
      <w:r w:rsidR="00AB31B8">
        <w:t>)</w:t>
      </w:r>
      <w:r>
        <w:t>.</w:t>
      </w:r>
    </w:p>
  </w:footnote>
  <w:footnote w:id="224">
    <w:p w:rsidR="00F73CC2" w:rsidRPr="004F6DE0" w:rsidRDefault="00F73CC2">
      <w:pPr>
        <w:pStyle w:val="FootnoteText"/>
        <w:rPr>
          <w:i/>
        </w:rPr>
      </w:pPr>
      <w:r>
        <w:rPr>
          <w:rStyle w:val="FootnoteReference"/>
        </w:rPr>
        <w:footnoteRef/>
      </w:r>
      <w:r>
        <w:t xml:space="preserve"> </w:t>
      </w:r>
      <w:r>
        <w:tab/>
      </w:r>
      <w:r>
        <w:rPr>
          <w:i/>
        </w:rPr>
        <w:t>Id.</w:t>
      </w:r>
    </w:p>
  </w:footnote>
  <w:footnote w:id="225">
    <w:p w:rsidR="00F73CC2" w:rsidRDefault="00F73CC2">
      <w:pPr>
        <w:pStyle w:val="FootnoteText"/>
      </w:pPr>
      <w:r>
        <w:rPr>
          <w:rStyle w:val="FootnoteReference"/>
        </w:rPr>
        <w:footnoteRef/>
      </w:r>
      <w:r>
        <w:t xml:space="preserve"> </w:t>
      </w:r>
      <w:r>
        <w:tab/>
        <w:t>Duke Ex. 18 (</w:t>
      </w:r>
      <w:proofErr w:type="spellStart"/>
      <w:r>
        <w:t>Ziolkowski</w:t>
      </w:r>
      <w:proofErr w:type="spellEnd"/>
      <w:r>
        <w:t xml:space="preserve"> Direct at 6-7). </w:t>
      </w:r>
    </w:p>
  </w:footnote>
  <w:footnote w:id="226">
    <w:p w:rsidR="00F73CC2" w:rsidRPr="00C10DC8" w:rsidRDefault="00F73CC2">
      <w:pPr>
        <w:pStyle w:val="FootnoteText"/>
      </w:pPr>
      <w:r>
        <w:rPr>
          <w:rStyle w:val="FootnoteReference"/>
        </w:rPr>
        <w:footnoteRef/>
      </w:r>
      <w:r>
        <w:t xml:space="preserve"> </w:t>
      </w:r>
      <w:r>
        <w:tab/>
      </w:r>
      <w:r>
        <w:rPr>
          <w:i/>
        </w:rPr>
        <w:t>Id.</w:t>
      </w:r>
    </w:p>
  </w:footnote>
  <w:footnote w:id="227">
    <w:p w:rsidR="00F73CC2" w:rsidRDefault="00F73CC2">
      <w:pPr>
        <w:pStyle w:val="FootnoteText"/>
      </w:pPr>
      <w:r>
        <w:rPr>
          <w:rStyle w:val="FootnoteReference"/>
        </w:rPr>
        <w:footnoteRef/>
      </w:r>
      <w:r>
        <w:t xml:space="preserve"> </w:t>
      </w:r>
      <w:r>
        <w:tab/>
        <w:t>Staff Ex. 5 (Donlon Direct at 2-3).</w:t>
      </w:r>
    </w:p>
  </w:footnote>
  <w:footnote w:id="228">
    <w:p w:rsidR="00F73CC2" w:rsidRPr="008C59D2" w:rsidRDefault="00F73CC2">
      <w:pPr>
        <w:pStyle w:val="FootnoteText"/>
      </w:pPr>
      <w:r>
        <w:rPr>
          <w:rStyle w:val="FootnoteReference"/>
        </w:rPr>
        <w:footnoteRef/>
      </w:r>
      <w:r>
        <w:t xml:space="preserve"> </w:t>
      </w:r>
      <w:r>
        <w:tab/>
      </w:r>
      <w:r>
        <w:rPr>
          <w:i/>
        </w:rPr>
        <w:t xml:space="preserve">Id. </w:t>
      </w:r>
      <w:r>
        <w:t>at 3.</w:t>
      </w:r>
    </w:p>
  </w:footnote>
  <w:footnote w:id="229">
    <w:p w:rsidR="00F73CC2" w:rsidRPr="008C59D2" w:rsidRDefault="00F73CC2">
      <w:pPr>
        <w:pStyle w:val="FootnoteText"/>
        <w:rPr>
          <w:i/>
        </w:rPr>
      </w:pPr>
      <w:r>
        <w:rPr>
          <w:rStyle w:val="FootnoteReference"/>
        </w:rPr>
        <w:footnoteRef/>
      </w:r>
      <w:r>
        <w:t xml:space="preserve"> </w:t>
      </w:r>
      <w:r>
        <w:tab/>
      </w:r>
      <w:r>
        <w:rPr>
          <w:i/>
        </w:rPr>
        <w:t>Id.</w:t>
      </w:r>
    </w:p>
  </w:footnote>
  <w:footnote w:id="230">
    <w:p w:rsidR="00F73CC2" w:rsidRPr="008C59D2" w:rsidRDefault="00F73CC2">
      <w:pPr>
        <w:pStyle w:val="FootnoteText"/>
        <w:rPr>
          <w:i/>
        </w:rPr>
      </w:pPr>
      <w:r>
        <w:rPr>
          <w:rStyle w:val="FootnoteReference"/>
        </w:rPr>
        <w:footnoteRef/>
      </w:r>
      <w:r>
        <w:t xml:space="preserve"> </w:t>
      </w:r>
      <w:r>
        <w:tab/>
      </w:r>
      <w:r>
        <w:rPr>
          <w:i/>
        </w:rPr>
        <w:t>Id.</w:t>
      </w:r>
    </w:p>
  </w:footnote>
  <w:footnote w:id="231">
    <w:p w:rsidR="00F73CC2" w:rsidRPr="008C59D2" w:rsidRDefault="00F73CC2">
      <w:pPr>
        <w:pStyle w:val="FootnoteText"/>
        <w:rPr>
          <w:i/>
        </w:rPr>
      </w:pPr>
      <w:r>
        <w:rPr>
          <w:rStyle w:val="FootnoteReference"/>
        </w:rPr>
        <w:footnoteRef/>
      </w:r>
      <w:r>
        <w:t xml:space="preserve"> </w:t>
      </w:r>
      <w:r>
        <w:tab/>
      </w:r>
      <w:r w:rsidR="00AB31B8">
        <w:t xml:space="preserve">Staff Ex. 5 (Donlon Direct at </w:t>
      </w:r>
      <w:r w:rsidR="00AB31B8">
        <w:t>3)</w:t>
      </w:r>
      <w:r w:rsidR="00AB31B8">
        <w:t>.</w:t>
      </w:r>
    </w:p>
  </w:footnote>
  <w:footnote w:id="232">
    <w:p w:rsidR="00F73CC2" w:rsidRPr="008C59D2" w:rsidRDefault="00F73CC2">
      <w:pPr>
        <w:pStyle w:val="FootnoteText"/>
        <w:rPr>
          <w:i/>
        </w:rPr>
      </w:pPr>
      <w:r>
        <w:rPr>
          <w:rStyle w:val="FootnoteReference"/>
        </w:rPr>
        <w:footnoteRef/>
      </w:r>
      <w:r>
        <w:t xml:space="preserve"> </w:t>
      </w:r>
      <w:r>
        <w:tab/>
      </w:r>
      <w:r>
        <w:rPr>
          <w:i/>
        </w:rPr>
        <w:t>Id.</w:t>
      </w:r>
    </w:p>
  </w:footnote>
  <w:footnote w:id="233">
    <w:p w:rsidR="00F73CC2" w:rsidRPr="008C59D2" w:rsidRDefault="00F73CC2">
      <w:pPr>
        <w:pStyle w:val="FootnoteText"/>
      </w:pPr>
      <w:r>
        <w:rPr>
          <w:rStyle w:val="FootnoteReference"/>
        </w:rPr>
        <w:footnoteRef/>
      </w:r>
      <w:r>
        <w:t xml:space="preserve"> </w:t>
      </w:r>
      <w:r>
        <w:tab/>
      </w:r>
      <w:r>
        <w:rPr>
          <w:i/>
        </w:rPr>
        <w:t xml:space="preserve">Id. </w:t>
      </w:r>
      <w:r>
        <w:t>at 3-4.</w:t>
      </w:r>
    </w:p>
  </w:footnote>
  <w:footnote w:id="234">
    <w:p w:rsidR="00F73CC2" w:rsidRPr="008C59D2" w:rsidRDefault="00F73CC2">
      <w:pPr>
        <w:pStyle w:val="FootnoteText"/>
        <w:rPr>
          <w:i/>
        </w:rPr>
      </w:pPr>
      <w:r>
        <w:rPr>
          <w:rStyle w:val="FootnoteReference"/>
        </w:rPr>
        <w:footnoteRef/>
      </w:r>
      <w:r>
        <w:t xml:space="preserve"> </w:t>
      </w:r>
      <w:r>
        <w:tab/>
      </w:r>
      <w:r>
        <w:rPr>
          <w:i/>
        </w:rPr>
        <w:t>Id.</w:t>
      </w:r>
    </w:p>
  </w:footnote>
  <w:footnote w:id="235">
    <w:p w:rsidR="00F73CC2" w:rsidRDefault="00F73CC2">
      <w:pPr>
        <w:pStyle w:val="FootnoteText"/>
      </w:pPr>
      <w:r>
        <w:rPr>
          <w:rStyle w:val="FootnoteReference"/>
        </w:rPr>
        <w:footnoteRef/>
      </w:r>
      <w:r>
        <w:t xml:space="preserve"> </w:t>
      </w:r>
      <w:r>
        <w:tab/>
        <w:t>Duke Ex. 6 (</w:t>
      </w:r>
      <w:proofErr w:type="spellStart"/>
      <w:r>
        <w:t>Wathen</w:t>
      </w:r>
      <w:proofErr w:type="spellEnd"/>
      <w:r>
        <w:t xml:space="preserve"> Direct at 24).</w:t>
      </w:r>
    </w:p>
  </w:footnote>
  <w:footnote w:id="236">
    <w:p w:rsidR="00F73CC2" w:rsidRPr="0032104E" w:rsidRDefault="00F73CC2" w:rsidP="0032104E">
      <w:pPr>
        <w:pStyle w:val="FootnoteText"/>
        <w:rPr>
          <w:rFonts w:eastAsiaTheme="minorHAnsi"/>
          <w:szCs w:val="24"/>
        </w:rPr>
      </w:pPr>
      <w:r>
        <w:rPr>
          <w:rStyle w:val="FootnoteReference"/>
          <w:szCs w:val="24"/>
        </w:rPr>
        <w:footnoteRef/>
      </w:r>
      <w:r>
        <w:rPr>
          <w:szCs w:val="24"/>
        </w:rPr>
        <w:t xml:space="preserve"> </w:t>
      </w:r>
      <w:r>
        <w:rPr>
          <w:szCs w:val="24"/>
        </w:rPr>
        <w:tab/>
        <w:t>Staff Ex. 2 (Turkenton Direct at 3).</w:t>
      </w:r>
    </w:p>
  </w:footnote>
  <w:footnote w:id="237">
    <w:p w:rsidR="00F73CC2" w:rsidRPr="006375F7" w:rsidRDefault="00F73CC2">
      <w:pPr>
        <w:pStyle w:val="FootnoteText"/>
      </w:pPr>
      <w:r>
        <w:rPr>
          <w:rStyle w:val="FootnoteReference"/>
        </w:rPr>
        <w:footnoteRef/>
      </w:r>
      <w:r>
        <w:t xml:space="preserve"> </w:t>
      </w:r>
      <w:r>
        <w:tab/>
      </w:r>
      <w:r>
        <w:rPr>
          <w:i/>
        </w:rPr>
        <w:t>Id</w:t>
      </w:r>
      <w:r>
        <w:t>.</w:t>
      </w:r>
    </w:p>
  </w:footnote>
  <w:footnote w:id="238">
    <w:p w:rsidR="00F73CC2" w:rsidRDefault="00F73CC2" w:rsidP="0032104E">
      <w:pPr>
        <w:pStyle w:val="FootnoteText"/>
        <w:rPr>
          <w:szCs w:val="24"/>
        </w:rPr>
      </w:pPr>
      <w:r>
        <w:rPr>
          <w:rStyle w:val="FootnoteReference"/>
          <w:szCs w:val="24"/>
        </w:rPr>
        <w:footnoteRef/>
      </w:r>
      <w:r>
        <w:rPr>
          <w:szCs w:val="24"/>
        </w:rPr>
        <w:t xml:space="preserve"> </w:t>
      </w:r>
      <w:r>
        <w:rPr>
          <w:szCs w:val="24"/>
        </w:rPr>
        <w:tab/>
      </w:r>
      <w:r>
        <w:rPr>
          <w:i/>
          <w:szCs w:val="24"/>
        </w:rPr>
        <w:t>Id</w:t>
      </w:r>
      <w:r>
        <w:rPr>
          <w:szCs w:val="24"/>
        </w:rPr>
        <w:t xml:space="preserve">. at 3-4. </w:t>
      </w:r>
    </w:p>
  </w:footnote>
  <w:footnote w:id="239">
    <w:p w:rsidR="00F73CC2" w:rsidRPr="00BE7DFB" w:rsidRDefault="00F73CC2" w:rsidP="0032104E">
      <w:pPr>
        <w:pStyle w:val="FootnoteText"/>
        <w:rPr>
          <w:szCs w:val="24"/>
        </w:rPr>
      </w:pPr>
      <w:r>
        <w:rPr>
          <w:rStyle w:val="FootnoteReference"/>
          <w:szCs w:val="24"/>
        </w:rPr>
        <w:footnoteRef/>
      </w:r>
      <w:r>
        <w:rPr>
          <w:szCs w:val="24"/>
        </w:rPr>
        <w:t xml:space="preserve"> </w:t>
      </w:r>
      <w:r>
        <w:rPr>
          <w:szCs w:val="24"/>
        </w:rPr>
        <w:tab/>
      </w:r>
      <w:r w:rsidR="00AB31B8">
        <w:rPr>
          <w:szCs w:val="24"/>
        </w:rPr>
        <w:t>Staff Ex. 2 (Turkenton Direct at 3)</w:t>
      </w:r>
      <w:r w:rsidR="00AB31B8">
        <w:rPr>
          <w:szCs w:val="24"/>
        </w:rPr>
        <w:t>.</w:t>
      </w:r>
    </w:p>
  </w:footnote>
  <w:footnote w:id="240">
    <w:p w:rsidR="00F73CC2" w:rsidRDefault="00F73CC2" w:rsidP="0032104E">
      <w:pPr>
        <w:pStyle w:val="FootnoteText"/>
        <w:rPr>
          <w:szCs w:val="24"/>
        </w:rPr>
      </w:pPr>
      <w:r>
        <w:rPr>
          <w:rStyle w:val="FootnoteReference"/>
          <w:szCs w:val="24"/>
        </w:rPr>
        <w:footnoteRef/>
      </w:r>
      <w:r>
        <w:rPr>
          <w:szCs w:val="24"/>
        </w:rPr>
        <w:t xml:space="preserve"> </w:t>
      </w:r>
      <w:r>
        <w:rPr>
          <w:szCs w:val="24"/>
        </w:rPr>
        <w:tab/>
        <w:t>Tr.</w:t>
      </w:r>
      <w:r w:rsidR="00E83DE3">
        <w:rPr>
          <w:szCs w:val="24"/>
        </w:rPr>
        <w:t xml:space="preserve"> Vol.</w:t>
      </w:r>
      <w:r>
        <w:rPr>
          <w:szCs w:val="24"/>
        </w:rPr>
        <w:t xml:space="preserve"> XIII at 3795.</w:t>
      </w:r>
    </w:p>
  </w:footnote>
  <w:footnote w:id="241">
    <w:p w:rsidR="00B97F75" w:rsidRPr="00B97F75" w:rsidRDefault="00B97F75">
      <w:pPr>
        <w:pStyle w:val="FootnoteText"/>
      </w:pPr>
      <w:r>
        <w:rPr>
          <w:rStyle w:val="FootnoteReference"/>
        </w:rPr>
        <w:footnoteRef/>
      </w:r>
      <w:r>
        <w:t xml:space="preserve"> </w:t>
      </w:r>
      <w:r>
        <w:tab/>
      </w:r>
      <w:r>
        <w:rPr>
          <w:i/>
        </w:rPr>
        <w:t xml:space="preserve">Id. </w:t>
      </w:r>
      <w:r>
        <w:t>at 3794-3796.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C2" w:rsidRDefault="00F73CC2"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98302E">
      <w:rPr>
        <w:b/>
        <w:noProof/>
        <w:color w:val="FF0000"/>
      </w:rPr>
      <w:t>12/15/2014</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98302E">
      <w:rPr>
        <w:b/>
        <w:noProof/>
        <w:color w:val="FF0000"/>
      </w:rPr>
      <w:t>1:11:46 PM</w:t>
    </w:r>
    <w:r>
      <w:rPr>
        <w:b/>
        <w:color w:val="FF0000"/>
      </w:rPr>
      <w:fldChar w:fldCharType="end"/>
    </w:r>
  </w:p>
  <w:p w:rsidR="00F73CC2" w:rsidRPr="003B12DD" w:rsidRDefault="00F73CC2"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98302E">
      <w:rPr>
        <w:b/>
        <w:noProof/>
        <w:color w:val="FF0000"/>
      </w:rPr>
      <w:t>\\puc\shares\Departments\Attorney General\Attorneys\Beeler\Commission Cases\Electric\Duke\Duke SSO 14-841-EL-SSO\Briefs\Post-Hearing Brief 12-15-14.docx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C2" w:rsidRDefault="00F73CC2" w:rsidP="005258BF">
    <w:pPr>
      <w:pStyle w:val="Header"/>
      <w:jc w:val="center"/>
      <w:rPr>
        <w:b/>
        <w:sz w:val="28"/>
        <w:szCs w:val="28"/>
      </w:rPr>
    </w:pPr>
    <w:r>
      <w:rPr>
        <w:b/>
        <w:sz w:val="28"/>
        <w:szCs w:val="28"/>
      </w:rPr>
      <w:t>TABLE OF CONTENTS (cont’d)</w:t>
    </w:r>
  </w:p>
  <w:p w:rsidR="00F73CC2" w:rsidRDefault="00F73CC2" w:rsidP="005258BF">
    <w:pPr>
      <w:pStyle w:val="Header"/>
      <w:jc w:val="right"/>
      <w:rPr>
        <w:b/>
        <w:sz w:val="28"/>
        <w:szCs w:val="28"/>
      </w:rPr>
    </w:pPr>
    <w:r>
      <w:rPr>
        <w:b/>
        <w:sz w:val="28"/>
        <w:szCs w:val="28"/>
      </w:rPr>
      <w:t>Page</w:t>
    </w:r>
  </w:p>
  <w:p w:rsidR="00F73CC2" w:rsidRPr="00C95499" w:rsidRDefault="00F73CC2" w:rsidP="005258BF">
    <w:pPr>
      <w:pStyle w:val="Header"/>
      <w:jc w:val="right"/>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C2" w:rsidRDefault="00F73CC2" w:rsidP="003B12DD">
    <w:pPr>
      <w:pStyle w:val="Header"/>
      <w:jc w:val="center"/>
      <w:rPr>
        <w:b/>
        <w:sz w:val="28"/>
        <w:szCs w:val="28"/>
      </w:rPr>
    </w:pPr>
    <w:r>
      <w:rPr>
        <w:b/>
        <w:sz w:val="28"/>
        <w:szCs w:val="28"/>
      </w:rPr>
      <w:t>TABLE OF CONTENTS</w:t>
    </w:r>
  </w:p>
  <w:p w:rsidR="00F73CC2" w:rsidRDefault="00F73CC2" w:rsidP="00C95499">
    <w:pPr>
      <w:pStyle w:val="Header"/>
      <w:jc w:val="right"/>
      <w:rPr>
        <w:b/>
        <w:sz w:val="28"/>
        <w:szCs w:val="28"/>
      </w:rPr>
    </w:pPr>
    <w:r>
      <w:rPr>
        <w:b/>
        <w:sz w:val="28"/>
        <w:szCs w:val="28"/>
      </w:rPr>
      <w:t>Page</w:t>
    </w:r>
  </w:p>
  <w:p w:rsidR="00F73CC2" w:rsidRPr="00C95499" w:rsidRDefault="00F73CC2"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C2" w:rsidRDefault="00F73CC2" w:rsidP="008521EE">
    <w:pPr>
      <w:pStyle w:val="Header"/>
    </w:pPr>
  </w:p>
  <w:p w:rsidR="00F73CC2" w:rsidRPr="008521EE" w:rsidRDefault="00F73CC2" w:rsidP="008521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C2" w:rsidRPr="008521EE" w:rsidRDefault="00F73CC2" w:rsidP="00852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3C94"/>
    <w:multiLevelType w:val="hybridMultilevel"/>
    <w:tmpl w:val="B2F62EAA"/>
    <w:lvl w:ilvl="0" w:tplc="D35606E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C023AA"/>
    <w:multiLevelType w:val="hybridMultilevel"/>
    <w:tmpl w:val="98080326"/>
    <w:lvl w:ilvl="0" w:tplc="FBF692DC">
      <w:start w:val="1"/>
      <w:numFmt w:val="decimal"/>
      <w:lvlText w:val="%1."/>
      <w:lvlJc w:val="left"/>
      <w:pPr>
        <w:ind w:left="1080" w:hanging="360"/>
      </w:pPr>
      <w:rPr>
        <w:b/>
      </w:rPr>
    </w:lvl>
    <w:lvl w:ilvl="1" w:tplc="77686334">
      <w:start w:val="1"/>
      <w:numFmt w:val="lowerLetter"/>
      <w:lvlText w:val="%2."/>
      <w:lvlJc w:val="left"/>
      <w:pPr>
        <w:ind w:left="1800" w:hanging="360"/>
      </w:pPr>
      <w:rPr>
        <w:b/>
      </w:rPr>
    </w:lvl>
    <w:lvl w:ilvl="2" w:tplc="046868FE">
      <w:start w:val="1"/>
      <w:numFmt w:val="lowerRoman"/>
      <w:lvlText w:val="%3."/>
      <w:lvlJc w:val="right"/>
      <w:pPr>
        <w:ind w:left="2520" w:hanging="180"/>
      </w:pPr>
      <w:rPr>
        <w:rFonts w:ascii="Times New Roman" w:hAnsi="Times New Roman" w:cs="Times New Roman" w:hint="default"/>
        <w:b w:val="0"/>
        <w:sz w:val="26"/>
        <w:szCs w:val="26"/>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E05262"/>
    <w:multiLevelType w:val="hybridMultilevel"/>
    <w:tmpl w:val="782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95D5D"/>
    <w:multiLevelType w:val="hybridMultilevel"/>
    <w:tmpl w:val="DF06A5B0"/>
    <w:lvl w:ilvl="0" w:tplc="93D03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92F4B"/>
    <w:multiLevelType w:val="hybridMultilevel"/>
    <w:tmpl w:val="3784276A"/>
    <w:lvl w:ilvl="0" w:tplc="F244D008">
      <w:start w:val="12"/>
      <w:numFmt w:val="bullet"/>
      <w:lvlText w:val=""/>
      <w:lvlJc w:val="left"/>
      <w:pPr>
        <w:ind w:left="720" w:hanging="360"/>
      </w:pPr>
      <w:rPr>
        <w:rFonts w:ascii="Symbol" w:eastAsiaTheme="minorHAnsi" w:hAnsi="Symbol" w:cs="Times New Roman" w:hint="default"/>
      </w:rPr>
    </w:lvl>
    <w:lvl w:ilvl="1" w:tplc="F244D008">
      <w:start w:val="12"/>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931A06"/>
    <w:multiLevelType w:val="hybridMultilevel"/>
    <w:tmpl w:val="15BE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1503A"/>
    <w:multiLevelType w:val="hybridMultilevel"/>
    <w:tmpl w:val="8A50A11C"/>
    <w:lvl w:ilvl="0" w:tplc="4A46C0E4">
      <w:start w:val="1"/>
      <w:numFmt w:val="decimal"/>
      <w:lvlText w:val="%1)"/>
      <w:lvlJc w:val="left"/>
      <w:pPr>
        <w:ind w:left="1710" w:hanging="360"/>
      </w:pPr>
      <w:rPr>
        <w:rFonts w:hint="default"/>
        <w:i/>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34AF537A"/>
    <w:multiLevelType w:val="hybridMultilevel"/>
    <w:tmpl w:val="5672C59A"/>
    <w:lvl w:ilvl="0" w:tplc="86F4B082">
      <w:start w:val="1"/>
      <w:numFmt w:val="upperRoman"/>
      <w:lvlText w:val="%1."/>
      <w:lvlJc w:val="left"/>
      <w:pPr>
        <w:ind w:left="720" w:hanging="720"/>
      </w:pPr>
      <w:rPr>
        <w:rFonts w:hint="default"/>
      </w:rPr>
    </w:lvl>
    <w:lvl w:ilvl="1" w:tplc="779E64C6">
      <w:start w:val="1"/>
      <w:numFmt w:val="decimal"/>
      <w:lvlText w:val="%2."/>
      <w:lvlJc w:val="left"/>
      <w:pPr>
        <w:ind w:left="1080" w:hanging="360"/>
      </w:pPr>
      <w:rPr>
        <w:b/>
      </w:rPr>
    </w:lvl>
    <w:lvl w:ilvl="2" w:tplc="04090019">
      <w:start w:val="1"/>
      <w:numFmt w:val="lowerLetter"/>
      <w:lvlText w:val="%3."/>
      <w:lvlJc w:val="left"/>
      <w:pPr>
        <w:ind w:left="135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4C5B28"/>
    <w:multiLevelType w:val="hybridMultilevel"/>
    <w:tmpl w:val="46D013F2"/>
    <w:lvl w:ilvl="0" w:tplc="B2CA64B6">
      <w:start w:val="1"/>
      <w:numFmt w:val="upperLetter"/>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714955"/>
    <w:multiLevelType w:val="hybridMultilevel"/>
    <w:tmpl w:val="FE38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E44B9"/>
    <w:multiLevelType w:val="hybridMultilevel"/>
    <w:tmpl w:val="EB3265C8"/>
    <w:lvl w:ilvl="0" w:tplc="3372F184">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B6F31"/>
    <w:multiLevelType w:val="hybridMultilevel"/>
    <w:tmpl w:val="D15C2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C2D6B7C"/>
    <w:multiLevelType w:val="hybridMultilevel"/>
    <w:tmpl w:val="77381A00"/>
    <w:lvl w:ilvl="0" w:tplc="8DB267F4">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
  </w:num>
  <w:num w:numId="3">
    <w:abstractNumId w:val="2"/>
  </w:num>
  <w:num w:numId="4">
    <w:abstractNumId w:val="17"/>
  </w:num>
  <w:num w:numId="5">
    <w:abstractNumId w:val="7"/>
  </w:num>
  <w:num w:numId="6">
    <w:abstractNumId w:val="15"/>
  </w:num>
  <w:num w:numId="7">
    <w:abstractNumId w:val="12"/>
  </w:num>
  <w:num w:numId="8">
    <w:abstractNumId w:val="3"/>
  </w:num>
  <w:num w:numId="9">
    <w:abstractNumId w:val="16"/>
  </w:num>
  <w:num w:numId="10">
    <w:abstractNumId w:val="11"/>
  </w:num>
  <w:num w:numId="11">
    <w:abstractNumId w:val="6"/>
  </w:num>
  <w:num w:numId="12">
    <w:abstractNumId w:val="9"/>
  </w:num>
  <w:num w:numId="13">
    <w:abstractNumId w:val="4"/>
  </w:num>
  <w:num w:numId="14">
    <w:abstractNumId w:val="0"/>
  </w:num>
  <w:num w:numId="15">
    <w:abstractNumId w:val="13"/>
  </w:num>
  <w:num w:numId="16">
    <w:abstractNumId w:val="10"/>
  </w:num>
  <w:num w:numId="17">
    <w:abstractNumId w:val="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20"/>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63C"/>
    <w:rsid w:val="0000471E"/>
    <w:rsid w:val="00005932"/>
    <w:rsid w:val="00005983"/>
    <w:rsid w:val="0000598A"/>
    <w:rsid w:val="000063A0"/>
    <w:rsid w:val="000068AA"/>
    <w:rsid w:val="00006929"/>
    <w:rsid w:val="00006CA5"/>
    <w:rsid w:val="000072B6"/>
    <w:rsid w:val="00007615"/>
    <w:rsid w:val="00007967"/>
    <w:rsid w:val="000100CC"/>
    <w:rsid w:val="000102E1"/>
    <w:rsid w:val="0001053B"/>
    <w:rsid w:val="00011169"/>
    <w:rsid w:val="0001278C"/>
    <w:rsid w:val="0001282B"/>
    <w:rsid w:val="00012FA7"/>
    <w:rsid w:val="00013213"/>
    <w:rsid w:val="000132E0"/>
    <w:rsid w:val="00013BA9"/>
    <w:rsid w:val="00014470"/>
    <w:rsid w:val="0001485D"/>
    <w:rsid w:val="00014AA5"/>
    <w:rsid w:val="00014AB7"/>
    <w:rsid w:val="00014E4F"/>
    <w:rsid w:val="0001509B"/>
    <w:rsid w:val="00015561"/>
    <w:rsid w:val="000158AD"/>
    <w:rsid w:val="00015AA3"/>
    <w:rsid w:val="00015FD3"/>
    <w:rsid w:val="00016760"/>
    <w:rsid w:val="000168EC"/>
    <w:rsid w:val="0001696A"/>
    <w:rsid w:val="00016BAB"/>
    <w:rsid w:val="00016F0B"/>
    <w:rsid w:val="00016F51"/>
    <w:rsid w:val="0001726D"/>
    <w:rsid w:val="00017C7D"/>
    <w:rsid w:val="00017E69"/>
    <w:rsid w:val="00020911"/>
    <w:rsid w:val="000210FA"/>
    <w:rsid w:val="0002116E"/>
    <w:rsid w:val="0002165B"/>
    <w:rsid w:val="00021B66"/>
    <w:rsid w:val="00022993"/>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622"/>
    <w:rsid w:val="0003772B"/>
    <w:rsid w:val="00040197"/>
    <w:rsid w:val="00040428"/>
    <w:rsid w:val="000404ED"/>
    <w:rsid w:val="00040D38"/>
    <w:rsid w:val="00041996"/>
    <w:rsid w:val="00041E34"/>
    <w:rsid w:val="00041F64"/>
    <w:rsid w:val="00042070"/>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2D0"/>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989"/>
    <w:rsid w:val="00062B35"/>
    <w:rsid w:val="00062F19"/>
    <w:rsid w:val="0006348B"/>
    <w:rsid w:val="00063B9C"/>
    <w:rsid w:val="00063D48"/>
    <w:rsid w:val="00063E72"/>
    <w:rsid w:val="00064514"/>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1CF0"/>
    <w:rsid w:val="00072846"/>
    <w:rsid w:val="00072FC5"/>
    <w:rsid w:val="00073843"/>
    <w:rsid w:val="00073AD1"/>
    <w:rsid w:val="00073ADB"/>
    <w:rsid w:val="000748D3"/>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6E64"/>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D9F"/>
    <w:rsid w:val="00093EE6"/>
    <w:rsid w:val="00093FE0"/>
    <w:rsid w:val="00094437"/>
    <w:rsid w:val="000945A2"/>
    <w:rsid w:val="0009468E"/>
    <w:rsid w:val="000956F1"/>
    <w:rsid w:val="000957BC"/>
    <w:rsid w:val="000961F6"/>
    <w:rsid w:val="000962D0"/>
    <w:rsid w:val="000963CA"/>
    <w:rsid w:val="00096B62"/>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A34"/>
    <w:rsid w:val="000A5C8D"/>
    <w:rsid w:val="000A65C5"/>
    <w:rsid w:val="000A7458"/>
    <w:rsid w:val="000A75C6"/>
    <w:rsid w:val="000A7A4B"/>
    <w:rsid w:val="000A7E0E"/>
    <w:rsid w:val="000A7EA6"/>
    <w:rsid w:val="000B016B"/>
    <w:rsid w:val="000B08E1"/>
    <w:rsid w:val="000B0933"/>
    <w:rsid w:val="000B12D9"/>
    <w:rsid w:val="000B1591"/>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1F1B"/>
    <w:rsid w:val="000C21C7"/>
    <w:rsid w:val="000C2400"/>
    <w:rsid w:val="000C2ADB"/>
    <w:rsid w:val="000C3179"/>
    <w:rsid w:val="000C3AB5"/>
    <w:rsid w:val="000C3AC6"/>
    <w:rsid w:val="000C3C65"/>
    <w:rsid w:val="000C3F78"/>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22B"/>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1"/>
    <w:rsid w:val="000F20E4"/>
    <w:rsid w:val="000F2229"/>
    <w:rsid w:val="000F2412"/>
    <w:rsid w:val="000F28AF"/>
    <w:rsid w:val="000F2F1D"/>
    <w:rsid w:val="000F3006"/>
    <w:rsid w:val="000F32B0"/>
    <w:rsid w:val="000F3445"/>
    <w:rsid w:val="000F3B23"/>
    <w:rsid w:val="000F3EC9"/>
    <w:rsid w:val="000F42B3"/>
    <w:rsid w:val="000F44AD"/>
    <w:rsid w:val="000F48C3"/>
    <w:rsid w:val="000F4A3A"/>
    <w:rsid w:val="000F4B8F"/>
    <w:rsid w:val="000F4E6C"/>
    <w:rsid w:val="000F5448"/>
    <w:rsid w:val="000F5FD3"/>
    <w:rsid w:val="000F64EB"/>
    <w:rsid w:val="000F6752"/>
    <w:rsid w:val="000F6DC9"/>
    <w:rsid w:val="000F7031"/>
    <w:rsid w:val="000F78F0"/>
    <w:rsid w:val="000F7A86"/>
    <w:rsid w:val="00100BF5"/>
    <w:rsid w:val="00100C27"/>
    <w:rsid w:val="00100D5B"/>
    <w:rsid w:val="00100E5E"/>
    <w:rsid w:val="00100F1B"/>
    <w:rsid w:val="00100FB1"/>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1B89"/>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280"/>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757"/>
    <w:rsid w:val="00124B43"/>
    <w:rsid w:val="00124F7F"/>
    <w:rsid w:val="00125271"/>
    <w:rsid w:val="00125360"/>
    <w:rsid w:val="00125586"/>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1FEE"/>
    <w:rsid w:val="00132557"/>
    <w:rsid w:val="0013297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2AA"/>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536"/>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A53"/>
    <w:rsid w:val="00157C78"/>
    <w:rsid w:val="00157CB5"/>
    <w:rsid w:val="00157DD8"/>
    <w:rsid w:val="0016026D"/>
    <w:rsid w:val="001604CF"/>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D98"/>
    <w:rsid w:val="00176F1A"/>
    <w:rsid w:val="00177C54"/>
    <w:rsid w:val="00177CF5"/>
    <w:rsid w:val="00180891"/>
    <w:rsid w:val="0018089B"/>
    <w:rsid w:val="00180932"/>
    <w:rsid w:val="00180C2B"/>
    <w:rsid w:val="001813E7"/>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6D9E"/>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2F1"/>
    <w:rsid w:val="001925A6"/>
    <w:rsid w:val="00192A82"/>
    <w:rsid w:val="00193109"/>
    <w:rsid w:val="0019328F"/>
    <w:rsid w:val="0019398A"/>
    <w:rsid w:val="00193A6D"/>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4B1"/>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AD6"/>
    <w:rsid w:val="001B0DCA"/>
    <w:rsid w:val="001B1B9A"/>
    <w:rsid w:val="001B1DA8"/>
    <w:rsid w:val="001B1DAB"/>
    <w:rsid w:val="001B1DAE"/>
    <w:rsid w:val="001B1DF0"/>
    <w:rsid w:val="001B247F"/>
    <w:rsid w:val="001B2872"/>
    <w:rsid w:val="001B28A1"/>
    <w:rsid w:val="001B2A80"/>
    <w:rsid w:val="001B319C"/>
    <w:rsid w:val="001B3D9D"/>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864"/>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05E"/>
    <w:rsid w:val="001D022A"/>
    <w:rsid w:val="001D022D"/>
    <w:rsid w:val="001D02C1"/>
    <w:rsid w:val="001D1598"/>
    <w:rsid w:val="001D19C5"/>
    <w:rsid w:val="001D1A32"/>
    <w:rsid w:val="001D1A86"/>
    <w:rsid w:val="001D1F51"/>
    <w:rsid w:val="001D26EC"/>
    <w:rsid w:val="001D2785"/>
    <w:rsid w:val="001D2C5B"/>
    <w:rsid w:val="001D2E4F"/>
    <w:rsid w:val="001D374D"/>
    <w:rsid w:val="001D3AAF"/>
    <w:rsid w:val="001D3E53"/>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792"/>
    <w:rsid w:val="001E5DBD"/>
    <w:rsid w:val="001E5E15"/>
    <w:rsid w:val="001E6C8C"/>
    <w:rsid w:val="001E6D22"/>
    <w:rsid w:val="001E6D6D"/>
    <w:rsid w:val="001E7236"/>
    <w:rsid w:val="001E7303"/>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0A1"/>
    <w:rsid w:val="001F5451"/>
    <w:rsid w:val="001F5727"/>
    <w:rsid w:val="001F5949"/>
    <w:rsid w:val="001F5E8F"/>
    <w:rsid w:val="001F5EAE"/>
    <w:rsid w:val="001F62B6"/>
    <w:rsid w:val="001F62DB"/>
    <w:rsid w:val="001F6500"/>
    <w:rsid w:val="001F66EB"/>
    <w:rsid w:val="001F693A"/>
    <w:rsid w:val="001F69E8"/>
    <w:rsid w:val="001F6CA8"/>
    <w:rsid w:val="002002A9"/>
    <w:rsid w:val="002003F2"/>
    <w:rsid w:val="0020046C"/>
    <w:rsid w:val="002009BB"/>
    <w:rsid w:val="00200A0A"/>
    <w:rsid w:val="00200A7A"/>
    <w:rsid w:val="00200E71"/>
    <w:rsid w:val="002010D6"/>
    <w:rsid w:val="00201388"/>
    <w:rsid w:val="00201796"/>
    <w:rsid w:val="00201973"/>
    <w:rsid w:val="00202280"/>
    <w:rsid w:val="00202653"/>
    <w:rsid w:val="00202C39"/>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A4C"/>
    <w:rsid w:val="00215BCC"/>
    <w:rsid w:val="00215EE1"/>
    <w:rsid w:val="00215F62"/>
    <w:rsid w:val="0021665A"/>
    <w:rsid w:val="002168A2"/>
    <w:rsid w:val="00216C1F"/>
    <w:rsid w:val="002171BE"/>
    <w:rsid w:val="002174BF"/>
    <w:rsid w:val="00217A0B"/>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1E49"/>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030"/>
    <w:rsid w:val="002463DF"/>
    <w:rsid w:val="00246AB1"/>
    <w:rsid w:val="00246FF0"/>
    <w:rsid w:val="00247272"/>
    <w:rsid w:val="00247635"/>
    <w:rsid w:val="0024783A"/>
    <w:rsid w:val="00247CEE"/>
    <w:rsid w:val="00247E68"/>
    <w:rsid w:val="002502AA"/>
    <w:rsid w:val="0025043E"/>
    <w:rsid w:val="00250787"/>
    <w:rsid w:val="00250930"/>
    <w:rsid w:val="00250A8D"/>
    <w:rsid w:val="00250AE9"/>
    <w:rsid w:val="002512F2"/>
    <w:rsid w:val="002522CE"/>
    <w:rsid w:val="00252393"/>
    <w:rsid w:val="002523DE"/>
    <w:rsid w:val="002526BE"/>
    <w:rsid w:val="00253538"/>
    <w:rsid w:val="002540B5"/>
    <w:rsid w:val="002545A6"/>
    <w:rsid w:val="0025556F"/>
    <w:rsid w:val="002555FE"/>
    <w:rsid w:val="0025565C"/>
    <w:rsid w:val="00255950"/>
    <w:rsid w:val="00255CF2"/>
    <w:rsid w:val="00256388"/>
    <w:rsid w:val="00257469"/>
    <w:rsid w:val="00257543"/>
    <w:rsid w:val="00257555"/>
    <w:rsid w:val="0025786B"/>
    <w:rsid w:val="00257895"/>
    <w:rsid w:val="00257EDF"/>
    <w:rsid w:val="002605C1"/>
    <w:rsid w:val="00260FCD"/>
    <w:rsid w:val="00261049"/>
    <w:rsid w:val="00261089"/>
    <w:rsid w:val="00261A03"/>
    <w:rsid w:val="00261AE2"/>
    <w:rsid w:val="00261B96"/>
    <w:rsid w:val="00262526"/>
    <w:rsid w:val="00262CB7"/>
    <w:rsid w:val="00262E5C"/>
    <w:rsid w:val="00263D73"/>
    <w:rsid w:val="00264377"/>
    <w:rsid w:val="002643CC"/>
    <w:rsid w:val="002643F8"/>
    <w:rsid w:val="00264938"/>
    <w:rsid w:val="00264C74"/>
    <w:rsid w:val="00264EBB"/>
    <w:rsid w:val="002651F3"/>
    <w:rsid w:val="002655AA"/>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49C"/>
    <w:rsid w:val="00277BA7"/>
    <w:rsid w:val="00280041"/>
    <w:rsid w:val="00280335"/>
    <w:rsid w:val="002805AA"/>
    <w:rsid w:val="00280D96"/>
    <w:rsid w:val="002813D8"/>
    <w:rsid w:val="00281532"/>
    <w:rsid w:val="00281A17"/>
    <w:rsid w:val="00281F3C"/>
    <w:rsid w:val="00282450"/>
    <w:rsid w:val="00282D8D"/>
    <w:rsid w:val="00283007"/>
    <w:rsid w:val="00283EBC"/>
    <w:rsid w:val="00284178"/>
    <w:rsid w:val="00284D93"/>
    <w:rsid w:val="0028525B"/>
    <w:rsid w:val="002852AA"/>
    <w:rsid w:val="0028578B"/>
    <w:rsid w:val="00285A06"/>
    <w:rsid w:val="002860FA"/>
    <w:rsid w:val="002867C0"/>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81E"/>
    <w:rsid w:val="002A2F15"/>
    <w:rsid w:val="002A35F3"/>
    <w:rsid w:val="002A36E4"/>
    <w:rsid w:val="002A372D"/>
    <w:rsid w:val="002A3B8C"/>
    <w:rsid w:val="002A3BA7"/>
    <w:rsid w:val="002A4484"/>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1CC"/>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D7F1A"/>
    <w:rsid w:val="002E045A"/>
    <w:rsid w:val="002E0A9B"/>
    <w:rsid w:val="002E0E21"/>
    <w:rsid w:val="002E0F8A"/>
    <w:rsid w:val="002E2478"/>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48A"/>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472B"/>
    <w:rsid w:val="002F52B0"/>
    <w:rsid w:val="002F55BC"/>
    <w:rsid w:val="002F56AA"/>
    <w:rsid w:val="002F6271"/>
    <w:rsid w:val="002F64EF"/>
    <w:rsid w:val="002F72D7"/>
    <w:rsid w:val="002F767E"/>
    <w:rsid w:val="002F7A7E"/>
    <w:rsid w:val="003003EF"/>
    <w:rsid w:val="003005E5"/>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98F"/>
    <w:rsid w:val="00304BFC"/>
    <w:rsid w:val="00304C3F"/>
    <w:rsid w:val="003050F8"/>
    <w:rsid w:val="00305AB0"/>
    <w:rsid w:val="00305E85"/>
    <w:rsid w:val="00305FB5"/>
    <w:rsid w:val="00306797"/>
    <w:rsid w:val="0030697E"/>
    <w:rsid w:val="00307768"/>
    <w:rsid w:val="003078A4"/>
    <w:rsid w:val="00307F26"/>
    <w:rsid w:val="0031017F"/>
    <w:rsid w:val="00310674"/>
    <w:rsid w:val="00310907"/>
    <w:rsid w:val="00310A28"/>
    <w:rsid w:val="00311230"/>
    <w:rsid w:val="0031187C"/>
    <w:rsid w:val="00311953"/>
    <w:rsid w:val="00311F2A"/>
    <w:rsid w:val="0031233A"/>
    <w:rsid w:val="00312481"/>
    <w:rsid w:val="0031279E"/>
    <w:rsid w:val="00312E42"/>
    <w:rsid w:val="0031331C"/>
    <w:rsid w:val="00313A9E"/>
    <w:rsid w:val="00313F4F"/>
    <w:rsid w:val="003140CA"/>
    <w:rsid w:val="0031457C"/>
    <w:rsid w:val="00314677"/>
    <w:rsid w:val="00314CEA"/>
    <w:rsid w:val="00314D09"/>
    <w:rsid w:val="00315172"/>
    <w:rsid w:val="003166D9"/>
    <w:rsid w:val="003167C7"/>
    <w:rsid w:val="003170D5"/>
    <w:rsid w:val="00317A85"/>
    <w:rsid w:val="00317AC3"/>
    <w:rsid w:val="00317B28"/>
    <w:rsid w:val="00317D4B"/>
    <w:rsid w:val="00317F10"/>
    <w:rsid w:val="00320030"/>
    <w:rsid w:val="003204E8"/>
    <w:rsid w:val="003206CC"/>
    <w:rsid w:val="003206CE"/>
    <w:rsid w:val="00320858"/>
    <w:rsid w:val="00320AFF"/>
    <w:rsid w:val="0032104E"/>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4B68"/>
    <w:rsid w:val="00325167"/>
    <w:rsid w:val="00325904"/>
    <w:rsid w:val="00325D90"/>
    <w:rsid w:val="00326145"/>
    <w:rsid w:val="0032645A"/>
    <w:rsid w:val="003267EE"/>
    <w:rsid w:val="00326D8D"/>
    <w:rsid w:val="00327AAF"/>
    <w:rsid w:val="00330121"/>
    <w:rsid w:val="00330740"/>
    <w:rsid w:val="00330A41"/>
    <w:rsid w:val="00330F58"/>
    <w:rsid w:val="00331148"/>
    <w:rsid w:val="003314E3"/>
    <w:rsid w:val="00331B5A"/>
    <w:rsid w:val="00331E18"/>
    <w:rsid w:val="00332143"/>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688"/>
    <w:rsid w:val="00344702"/>
    <w:rsid w:val="00344C2E"/>
    <w:rsid w:val="00344E9E"/>
    <w:rsid w:val="003455E4"/>
    <w:rsid w:val="00345CBF"/>
    <w:rsid w:val="00346071"/>
    <w:rsid w:val="003467D2"/>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EC2"/>
    <w:rsid w:val="00352F7F"/>
    <w:rsid w:val="0035368A"/>
    <w:rsid w:val="003540F8"/>
    <w:rsid w:val="003545FB"/>
    <w:rsid w:val="003552A3"/>
    <w:rsid w:val="003557BE"/>
    <w:rsid w:val="00355A68"/>
    <w:rsid w:val="00355AF9"/>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67E3D"/>
    <w:rsid w:val="003702B8"/>
    <w:rsid w:val="00370DFD"/>
    <w:rsid w:val="00370E04"/>
    <w:rsid w:val="00370F4B"/>
    <w:rsid w:val="0037115B"/>
    <w:rsid w:val="00371CDB"/>
    <w:rsid w:val="00371D2A"/>
    <w:rsid w:val="00372423"/>
    <w:rsid w:val="003724A1"/>
    <w:rsid w:val="00372F03"/>
    <w:rsid w:val="0037309E"/>
    <w:rsid w:val="00373676"/>
    <w:rsid w:val="00373ACC"/>
    <w:rsid w:val="00373DD4"/>
    <w:rsid w:val="00374586"/>
    <w:rsid w:val="00374B35"/>
    <w:rsid w:val="00374F54"/>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4"/>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0B3"/>
    <w:rsid w:val="003A12B0"/>
    <w:rsid w:val="003A1462"/>
    <w:rsid w:val="003A1BDD"/>
    <w:rsid w:val="003A1CE7"/>
    <w:rsid w:val="003A21BD"/>
    <w:rsid w:val="003A2212"/>
    <w:rsid w:val="003A2231"/>
    <w:rsid w:val="003A3143"/>
    <w:rsid w:val="003A34FE"/>
    <w:rsid w:val="003A3FCB"/>
    <w:rsid w:val="003A4153"/>
    <w:rsid w:val="003A481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E60"/>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2C21"/>
    <w:rsid w:val="003C342A"/>
    <w:rsid w:val="003C342D"/>
    <w:rsid w:val="003C3C3F"/>
    <w:rsid w:val="003C3ED0"/>
    <w:rsid w:val="003C4812"/>
    <w:rsid w:val="003C4B90"/>
    <w:rsid w:val="003C4CDD"/>
    <w:rsid w:val="003C4E7F"/>
    <w:rsid w:val="003C5004"/>
    <w:rsid w:val="003C50EE"/>
    <w:rsid w:val="003C53D6"/>
    <w:rsid w:val="003C5B73"/>
    <w:rsid w:val="003C60F2"/>
    <w:rsid w:val="003C6154"/>
    <w:rsid w:val="003C665A"/>
    <w:rsid w:val="003C681E"/>
    <w:rsid w:val="003C6A4B"/>
    <w:rsid w:val="003C6BC6"/>
    <w:rsid w:val="003C7D4B"/>
    <w:rsid w:val="003D00BF"/>
    <w:rsid w:val="003D0117"/>
    <w:rsid w:val="003D0813"/>
    <w:rsid w:val="003D1066"/>
    <w:rsid w:val="003D1285"/>
    <w:rsid w:val="003D1758"/>
    <w:rsid w:val="003D20C6"/>
    <w:rsid w:val="003D211C"/>
    <w:rsid w:val="003D2146"/>
    <w:rsid w:val="003D2395"/>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40"/>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951"/>
    <w:rsid w:val="003F4FBA"/>
    <w:rsid w:val="003F5487"/>
    <w:rsid w:val="003F5E39"/>
    <w:rsid w:val="003F5EDC"/>
    <w:rsid w:val="003F6490"/>
    <w:rsid w:val="003F651F"/>
    <w:rsid w:val="003F69F7"/>
    <w:rsid w:val="003F6D39"/>
    <w:rsid w:val="003F7353"/>
    <w:rsid w:val="003F76FF"/>
    <w:rsid w:val="003F789F"/>
    <w:rsid w:val="003F7F0B"/>
    <w:rsid w:val="00400784"/>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8B0"/>
    <w:rsid w:val="00407F6F"/>
    <w:rsid w:val="00410C5C"/>
    <w:rsid w:val="00410E7E"/>
    <w:rsid w:val="00410EB9"/>
    <w:rsid w:val="004118F9"/>
    <w:rsid w:val="00411B7C"/>
    <w:rsid w:val="004123D6"/>
    <w:rsid w:val="004123D7"/>
    <w:rsid w:val="00412474"/>
    <w:rsid w:val="004124A6"/>
    <w:rsid w:val="004127AF"/>
    <w:rsid w:val="004135CB"/>
    <w:rsid w:val="00413C67"/>
    <w:rsid w:val="00414848"/>
    <w:rsid w:val="00414D05"/>
    <w:rsid w:val="00415838"/>
    <w:rsid w:val="00415E56"/>
    <w:rsid w:val="00416BB3"/>
    <w:rsid w:val="00416C21"/>
    <w:rsid w:val="00416E0B"/>
    <w:rsid w:val="004175DB"/>
    <w:rsid w:val="00417A2C"/>
    <w:rsid w:val="00417E33"/>
    <w:rsid w:val="00420596"/>
    <w:rsid w:val="00420A72"/>
    <w:rsid w:val="00421C15"/>
    <w:rsid w:val="00422D0D"/>
    <w:rsid w:val="00422F4B"/>
    <w:rsid w:val="00423006"/>
    <w:rsid w:val="00423067"/>
    <w:rsid w:val="00423296"/>
    <w:rsid w:val="00423D6B"/>
    <w:rsid w:val="00424690"/>
    <w:rsid w:val="004246B4"/>
    <w:rsid w:val="00424C2A"/>
    <w:rsid w:val="00424D2E"/>
    <w:rsid w:val="00424F51"/>
    <w:rsid w:val="004251AC"/>
    <w:rsid w:val="0042554A"/>
    <w:rsid w:val="00425F5C"/>
    <w:rsid w:val="0042675F"/>
    <w:rsid w:val="00426DDA"/>
    <w:rsid w:val="00427296"/>
    <w:rsid w:val="00427BC8"/>
    <w:rsid w:val="00430204"/>
    <w:rsid w:val="004302C1"/>
    <w:rsid w:val="00430537"/>
    <w:rsid w:val="00430A3C"/>
    <w:rsid w:val="00430D47"/>
    <w:rsid w:val="0043140B"/>
    <w:rsid w:val="0043202A"/>
    <w:rsid w:val="00432C9D"/>
    <w:rsid w:val="00432D07"/>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64F"/>
    <w:rsid w:val="00442B8B"/>
    <w:rsid w:val="00442B98"/>
    <w:rsid w:val="00442BD5"/>
    <w:rsid w:val="00442D6B"/>
    <w:rsid w:val="0044340C"/>
    <w:rsid w:val="00443AF2"/>
    <w:rsid w:val="0044436A"/>
    <w:rsid w:val="00444858"/>
    <w:rsid w:val="00444B95"/>
    <w:rsid w:val="00444BD1"/>
    <w:rsid w:val="00444DD1"/>
    <w:rsid w:val="004450D6"/>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6C47"/>
    <w:rsid w:val="00457020"/>
    <w:rsid w:val="00457950"/>
    <w:rsid w:val="00457988"/>
    <w:rsid w:val="00460070"/>
    <w:rsid w:val="00460087"/>
    <w:rsid w:val="00460B41"/>
    <w:rsid w:val="00460CB1"/>
    <w:rsid w:val="004617DC"/>
    <w:rsid w:val="00461968"/>
    <w:rsid w:val="00461B0B"/>
    <w:rsid w:val="00462883"/>
    <w:rsid w:val="00462B4F"/>
    <w:rsid w:val="00462DD5"/>
    <w:rsid w:val="004631B4"/>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985"/>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BAA"/>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3F25"/>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BB0"/>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318"/>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2A2"/>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41"/>
    <w:rsid w:val="004E2457"/>
    <w:rsid w:val="004E29BB"/>
    <w:rsid w:val="004E29C0"/>
    <w:rsid w:val="004E4041"/>
    <w:rsid w:val="004E44AF"/>
    <w:rsid w:val="004E4A5F"/>
    <w:rsid w:val="004E5001"/>
    <w:rsid w:val="004E52E0"/>
    <w:rsid w:val="004E570A"/>
    <w:rsid w:val="004E5762"/>
    <w:rsid w:val="004E5DB3"/>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441"/>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6DE0"/>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6E34"/>
    <w:rsid w:val="00507895"/>
    <w:rsid w:val="00507FDD"/>
    <w:rsid w:val="0051025D"/>
    <w:rsid w:val="00510311"/>
    <w:rsid w:val="00510763"/>
    <w:rsid w:val="00510D1D"/>
    <w:rsid w:val="00510F1E"/>
    <w:rsid w:val="005110A7"/>
    <w:rsid w:val="005111C5"/>
    <w:rsid w:val="00511681"/>
    <w:rsid w:val="0051178B"/>
    <w:rsid w:val="00511842"/>
    <w:rsid w:val="00511C27"/>
    <w:rsid w:val="00511E41"/>
    <w:rsid w:val="00511ED2"/>
    <w:rsid w:val="00511FB0"/>
    <w:rsid w:val="0051261E"/>
    <w:rsid w:val="00512811"/>
    <w:rsid w:val="00512ACB"/>
    <w:rsid w:val="00513501"/>
    <w:rsid w:val="00513A28"/>
    <w:rsid w:val="0051467B"/>
    <w:rsid w:val="00514705"/>
    <w:rsid w:val="00514FB6"/>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123"/>
    <w:rsid w:val="0052279E"/>
    <w:rsid w:val="00523280"/>
    <w:rsid w:val="005234B0"/>
    <w:rsid w:val="00523747"/>
    <w:rsid w:val="0052392D"/>
    <w:rsid w:val="00523D48"/>
    <w:rsid w:val="0052414A"/>
    <w:rsid w:val="00524301"/>
    <w:rsid w:val="005248D0"/>
    <w:rsid w:val="00524A14"/>
    <w:rsid w:val="00524B96"/>
    <w:rsid w:val="0052549C"/>
    <w:rsid w:val="00525530"/>
    <w:rsid w:val="0052565B"/>
    <w:rsid w:val="005256C0"/>
    <w:rsid w:val="005258BB"/>
    <w:rsid w:val="005258BF"/>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1D7"/>
    <w:rsid w:val="00532385"/>
    <w:rsid w:val="005324F0"/>
    <w:rsid w:val="005325BA"/>
    <w:rsid w:val="00532B8D"/>
    <w:rsid w:val="00532DF5"/>
    <w:rsid w:val="00532EA9"/>
    <w:rsid w:val="00533292"/>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11E"/>
    <w:rsid w:val="00540858"/>
    <w:rsid w:val="00540AA6"/>
    <w:rsid w:val="00540FE2"/>
    <w:rsid w:val="0054122F"/>
    <w:rsid w:val="00541FFF"/>
    <w:rsid w:val="005423A9"/>
    <w:rsid w:val="00542402"/>
    <w:rsid w:val="00542548"/>
    <w:rsid w:val="005425D8"/>
    <w:rsid w:val="00542639"/>
    <w:rsid w:val="005429D5"/>
    <w:rsid w:val="00542C23"/>
    <w:rsid w:val="005432CA"/>
    <w:rsid w:val="00543819"/>
    <w:rsid w:val="005438F7"/>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986"/>
    <w:rsid w:val="00550B14"/>
    <w:rsid w:val="00550B2A"/>
    <w:rsid w:val="00550BEC"/>
    <w:rsid w:val="00550D06"/>
    <w:rsid w:val="00551112"/>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46E"/>
    <w:rsid w:val="00557813"/>
    <w:rsid w:val="00557828"/>
    <w:rsid w:val="00557949"/>
    <w:rsid w:val="005603AE"/>
    <w:rsid w:val="005605E8"/>
    <w:rsid w:val="00560959"/>
    <w:rsid w:val="00560BCE"/>
    <w:rsid w:val="00560CA5"/>
    <w:rsid w:val="00560D7C"/>
    <w:rsid w:val="0056142F"/>
    <w:rsid w:val="00561885"/>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319"/>
    <w:rsid w:val="00566CE8"/>
    <w:rsid w:val="00566D26"/>
    <w:rsid w:val="005671B1"/>
    <w:rsid w:val="00567231"/>
    <w:rsid w:val="005674A4"/>
    <w:rsid w:val="005677BE"/>
    <w:rsid w:val="00567A2A"/>
    <w:rsid w:val="005702AE"/>
    <w:rsid w:val="00570E64"/>
    <w:rsid w:val="00570F8A"/>
    <w:rsid w:val="005710ED"/>
    <w:rsid w:val="00571ACF"/>
    <w:rsid w:val="00571F02"/>
    <w:rsid w:val="00572170"/>
    <w:rsid w:val="005723FE"/>
    <w:rsid w:val="0057240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02"/>
    <w:rsid w:val="00581C69"/>
    <w:rsid w:val="005822E7"/>
    <w:rsid w:val="00582547"/>
    <w:rsid w:val="00582570"/>
    <w:rsid w:val="00582AFA"/>
    <w:rsid w:val="00583461"/>
    <w:rsid w:val="005834FE"/>
    <w:rsid w:val="00583990"/>
    <w:rsid w:val="00583DED"/>
    <w:rsid w:val="005846F3"/>
    <w:rsid w:val="00584D60"/>
    <w:rsid w:val="00586111"/>
    <w:rsid w:val="005862D7"/>
    <w:rsid w:val="005864B0"/>
    <w:rsid w:val="00586D58"/>
    <w:rsid w:val="00586F02"/>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0D"/>
    <w:rsid w:val="00597CED"/>
    <w:rsid w:val="00597D89"/>
    <w:rsid w:val="00597E10"/>
    <w:rsid w:val="005A0356"/>
    <w:rsid w:val="005A0A1F"/>
    <w:rsid w:val="005A0A4E"/>
    <w:rsid w:val="005A0D58"/>
    <w:rsid w:val="005A0EE0"/>
    <w:rsid w:val="005A18F9"/>
    <w:rsid w:val="005A1EB6"/>
    <w:rsid w:val="005A1EBB"/>
    <w:rsid w:val="005A21C8"/>
    <w:rsid w:val="005A21DC"/>
    <w:rsid w:val="005A24A0"/>
    <w:rsid w:val="005A278D"/>
    <w:rsid w:val="005A2809"/>
    <w:rsid w:val="005A3123"/>
    <w:rsid w:val="005A340F"/>
    <w:rsid w:val="005A3430"/>
    <w:rsid w:val="005A3617"/>
    <w:rsid w:val="005A3DF6"/>
    <w:rsid w:val="005A4122"/>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C43"/>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41"/>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1F0"/>
    <w:rsid w:val="005E5EE7"/>
    <w:rsid w:val="005E5FFB"/>
    <w:rsid w:val="005E6763"/>
    <w:rsid w:val="005E6F3F"/>
    <w:rsid w:val="005E6F6B"/>
    <w:rsid w:val="005E72BB"/>
    <w:rsid w:val="005E79D8"/>
    <w:rsid w:val="005E7D9A"/>
    <w:rsid w:val="005F00FB"/>
    <w:rsid w:val="005F0D94"/>
    <w:rsid w:val="005F0E94"/>
    <w:rsid w:val="005F1230"/>
    <w:rsid w:val="005F1518"/>
    <w:rsid w:val="005F1585"/>
    <w:rsid w:val="005F15EF"/>
    <w:rsid w:val="005F1959"/>
    <w:rsid w:val="005F24F1"/>
    <w:rsid w:val="005F27AD"/>
    <w:rsid w:val="005F293B"/>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83B"/>
    <w:rsid w:val="00603F26"/>
    <w:rsid w:val="00604E51"/>
    <w:rsid w:val="006051B9"/>
    <w:rsid w:val="00606042"/>
    <w:rsid w:val="006066D7"/>
    <w:rsid w:val="00606951"/>
    <w:rsid w:val="006073C9"/>
    <w:rsid w:val="006075FD"/>
    <w:rsid w:val="00607928"/>
    <w:rsid w:val="00607979"/>
    <w:rsid w:val="00607AFA"/>
    <w:rsid w:val="00607D9E"/>
    <w:rsid w:val="00607F6B"/>
    <w:rsid w:val="00610136"/>
    <w:rsid w:val="00610A73"/>
    <w:rsid w:val="00610EF3"/>
    <w:rsid w:val="0061103F"/>
    <w:rsid w:val="006119D9"/>
    <w:rsid w:val="00611F34"/>
    <w:rsid w:val="0061252F"/>
    <w:rsid w:val="00612A95"/>
    <w:rsid w:val="00612CCD"/>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A45"/>
    <w:rsid w:val="00630D15"/>
    <w:rsid w:val="006316A4"/>
    <w:rsid w:val="00631E2C"/>
    <w:rsid w:val="00631EA5"/>
    <w:rsid w:val="006322C7"/>
    <w:rsid w:val="0063269F"/>
    <w:rsid w:val="00632CDB"/>
    <w:rsid w:val="00633BA6"/>
    <w:rsid w:val="00633BEF"/>
    <w:rsid w:val="00634490"/>
    <w:rsid w:val="00634A9B"/>
    <w:rsid w:val="00634B0D"/>
    <w:rsid w:val="00634F10"/>
    <w:rsid w:val="00635810"/>
    <w:rsid w:val="00635D24"/>
    <w:rsid w:val="00636036"/>
    <w:rsid w:val="00636051"/>
    <w:rsid w:val="00636121"/>
    <w:rsid w:val="0063617D"/>
    <w:rsid w:val="0063622F"/>
    <w:rsid w:val="00636252"/>
    <w:rsid w:val="0063626E"/>
    <w:rsid w:val="006366D2"/>
    <w:rsid w:val="00636AA7"/>
    <w:rsid w:val="006375F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648"/>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142"/>
    <w:rsid w:val="006558DD"/>
    <w:rsid w:val="00655B3D"/>
    <w:rsid w:val="00656161"/>
    <w:rsid w:val="0065627D"/>
    <w:rsid w:val="006562E2"/>
    <w:rsid w:val="006563F6"/>
    <w:rsid w:val="0065663B"/>
    <w:rsid w:val="00656B37"/>
    <w:rsid w:val="0065726A"/>
    <w:rsid w:val="00657A00"/>
    <w:rsid w:val="00660256"/>
    <w:rsid w:val="006603BF"/>
    <w:rsid w:val="00660AF9"/>
    <w:rsid w:val="00660BFF"/>
    <w:rsid w:val="00661143"/>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DB8"/>
    <w:rsid w:val="00673E6D"/>
    <w:rsid w:val="00673F55"/>
    <w:rsid w:val="0067424F"/>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19C"/>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E24"/>
    <w:rsid w:val="00687F2C"/>
    <w:rsid w:val="006900A5"/>
    <w:rsid w:val="00690145"/>
    <w:rsid w:val="006903C5"/>
    <w:rsid w:val="0069129C"/>
    <w:rsid w:val="006917A0"/>
    <w:rsid w:val="00691A45"/>
    <w:rsid w:val="00691BB0"/>
    <w:rsid w:val="00691C89"/>
    <w:rsid w:val="00691D52"/>
    <w:rsid w:val="00691DEE"/>
    <w:rsid w:val="0069268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A7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52D6"/>
    <w:rsid w:val="006A640C"/>
    <w:rsid w:val="006A6562"/>
    <w:rsid w:val="006A6744"/>
    <w:rsid w:val="006A68FD"/>
    <w:rsid w:val="006A6D49"/>
    <w:rsid w:val="006A71A1"/>
    <w:rsid w:val="006A7C12"/>
    <w:rsid w:val="006A7F73"/>
    <w:rsid w:val="006B0C8E"/>
    <w:rsid w:val="006B137E"/>
    <w:rsid w:val="006B1700"/>
    <w:rsid w:val="006B1E71"/>
    <w:rsid w:val="006B2A48"/>
    <w:rsid w:val="006B2D18"/>
    <w:rsid w:val="006B2DA2"/>
    <w:rsid w:val="006B3A4C"/>
    <w:rsid w:val="006B3A68"/>
    <w:rsid w:val="006B3AA4"/>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344"/>
    <w:rsid w:val="006B758F"/>
    <w:rsid w:val="006C083D"/>
    <w:rsid w:val="006C09A3"/>
    <w:rsid w:val="006C0C80"/>
    <w:rsid w:val="006C1393"/>
    <w:rsid w:val="006C1714"/>
    <w:rsid w:val="006C1F42"/>
    <w:rsid w:val="006C1F63"/>
    <w:rsid w:val="006C1F68"/>
    <w:rsid w:val="006C2495"/>
    <w:rsid w:val="006C2A0F"/>
    <w:rsid w:val="006C2D20"/>
    <w:rsid w:val="006C3633"/>
    <w:rsid w:val="006C3C0A"/>
    <w:rsid w:val="006C3CFA"/>
    <w:rsid w:val="006C3F23"/>
    <w:rsid w:val="006C4036"/>
    <w:rsid w:val="006C4500"/>
    <w:rsid w:val="006C4880"/>
    <w:rsid w:val="006C49CE"/>
    <w:rsid w:val="006C49E4"/>
    <w:rsid w:val="006C4BB1"/>
    <w:rsid w:val="006C4DC5"/>
    <w:rsid w:val="006C55D2"/>
    <w:rsid w:val="006C5AE7"/>
    <w:rsid w:val="006C5BE5"/>
    <w:rsid w:val="006C5C0A"/>
    <w:rsid w:val="006C5C2F"/>
    <w:rsid w:val="006C75C0"/>
    <w:rsid w:val="006C7801"/>
    <w:rsid w:val="006C7BFF"/>
    <w:rsid w:val="006C7E2E"/>
    <w:rsid w:val="006C7FA7"/>
    <w:rsid w:val="006D0D5A"/>
    <w:rsid w:val="006D0F47"/>
    <w:rsid w:val="006D162A"/>
    <w:rsid w:val="006D17A1"/>
    <w:rsid w:val="006D1810"/>
    <w:rsid w:val="006D1CA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CE4"/>
    <w:rsid w:val="006E0E84"/>
    <w:rsid w:val="006E13C8"/>
    <w:rsid w:val="006E169C"/>
    <w:rsid w:val="006E2C3E"/>
    <w:rsid w:val="006E2EF8"/>
    <w:rsid w:val="006E32D1"/>
    <w:rsid w:val="006E341A"/>
    <w:rsid w:val="006E3A96"/>
    <w:rsid w:val="006E3F3D"/>
    <w:rsid w:val="006E456C"/>
    <w:rsid w:val="006E46E4"/>
    <w:rsid w:val="006E489A"/>
    <w:rsid w:val="006E4AA0"/>
    <w:rsid w:val="006E4E81"/>
    <w:rsid w:val="006E4EFE"/>
    <w:rsid w:val="006E524E"/>
    <w:rsid w:val="006E56BF"/>
    <w:rsid w:val="006E5822"/>
    <w:rsid w:val="006E5A91"/>
    <w:rsid w:val="006E6643"/>
    <w:rsid w:val="006E67B0"/>
    <w:rsid w:val="006E6D8E"/>
    <w:rsid w:val="006E6E47"/>
    <w:rsid w:val="006E7B71"/>
    <w:rsid w:val="006F0C0F"/>
    <w:rsid w:val="006F1806"/>
    <w:rsid w:val="006F1F0D"/>
    <w:rsid w:val="006F2150"/>
    <w:rsid w:val="006F2185"/>
    <w:rsid w:val="006F22D2"/>
    <w:rsid w:val="006F2478"/>
    <w:rsid w:val="006F274F"/>
    <w:rsid w:val="006F2ACB"/>
    <w:rsid w:val="006F305E"/>
    <w:rsid w:val="006F3104"/>
    <w:rsid w:val="006F3171"/>
    <w:rsid w:val="006F3373"/>
    <w:rsid w:val="006F3BF1"/>
    <w:rsid w:val="006F419A"/>
    <w:rsid w:val="006F5BC4"/>
    <w:rsid w:val="006F5F3B"/>
    <w:rsid w:val="006F6202"/>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AAC"/>
    <w:rsid w:val="00701D50"/>
    <w:rsid w:val="0070229A"/>
    <w:rsid w:val="00702C26"/>
    <w:rsid w:val="00702CC5"/>
    <w:rsid w:val="00702FDE"/>
    <w:rsid w:val="007030D0"/>
    <w:rsid w:val="007032BB"/>
    <w:rsid w:val="00703BEA"/>
    <w:rsid w:val="00703D7D"/>
    <w:rsid w:val="00703DB1"/>
    <w:rsid w:val="00703F2A"/>
    <w:rsid w:val="00704E49"/>
    <w:rsid w:val="007051FB"/>
    <w:rsid w:val="007052B8"/>
    <w:rsid w:val="00705458"/>
    <w:rsid w:val="00705517"/>
    <w:rsid w:val="007056B0"/>
    <w:rsid w:val="0070573C"/>
    <w:rsid w:val="00705F6B"/>
    <w:rsid w:val="00706540"/>
    <w:rsid w:val="007069E2"/>
    <w:rsid w:val="00706A5E"/>
    <w:rsid w:val="00706E74"/>
    <w:rsid w:val="007076EC"/>
    <w:rsid w:val="0070771B"/>
    <w:rsid w:val="0070796D"/>
    <w:rsid w:val="00707D4C"/>
    <w:rsid w:val="007108D3"/>
    <w:rsid w:val="0071098A"/>
    <w:rsid w:val="007109FB"/>
    <w:rsid w:val="00710B97"/>
    <w:rsid w:val="007112A1"/>
    <w:rsid w:val="0071256C"/>
    <w:rsid w:val="00712605"/>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0DF3"/>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613"/>
    <w:rsid w:val="007328EA"/>
    <w:rsid w:val="00733002"/>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B86"/>
    <w:rsid w:val="00742DED"/>
    <w:rsid w:val="00742EC7"/>
    <w:rsid w:val="00743456"/>
    <w:rsid w:val="007434BF"/>
    <w:rsid w:val="007436B8"/>
    <w:rsid w:val="007441E6"/>
    <w:rsid w:val="007442AA"/>
    <w:rsid w:val="00744BF7"/>
    <w:rsid w:val="00744F78"/>
    <w:rsid w:val="0074509E"/>
    <w:rsid w:val="00745354"/>
    <w:rsid w:val="007457AA"/>
    <w:rsid w:val="00745BFB"/>
    <w:rsid w:val="007462DD"/>
    <w:rsid w:val="0074653F"/>
    <w:rsid w:val="0074673B"/>
    <w:rsid w:val="00746926"/>
    <w:rsid w:val="00746D3C"/>
    <w:rsid w:val="007477AA"/>
    <w:rsid w:val="00747884"/>
    <w:rsid w:val="00747BEB"/>
    <w:rsid w:val="00750AB6"/>
    <w:rsid w:val="007511EB"/>
    <w:rsid w:val="0075254D"/>
    <w:rsid w:val="00752613"/>
    <w:rsid w:val="0075265D"/>
    <w:rsid w:val="007528BA"/>
    <w:rsid w:val="0075304E"/>
    <w:rsid w:val="007532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343"/>
    <w:rsid w:val="007636E6"/>
    <w:rsid w:val="0076372A"/>
    <w:rsid w:val="00763D90"/>
    <w:rsid w:val="00764057"/>
    <w:rsid w:val="00764251"/>
    <w:rsid w:val="007643B4"/>
    <w:rsid w:val="00764C25"/>
    <w:rsid w:val="00764E70"/>
    <w:rsid w:val="0076505D"/>
    <w:rsid w:val="0076515B"/>
    <w:rsid w:val="00765439"/>
    <w:rsid w:val="00765646"/>
    <w:rsid w:val="00766441"/>
    <w:rsid w:val="00766CDF"/>
    <w:rsid w:val="00767051"/>
    <w:rsid w:val="00767C60"/>
    <w:rsid w:val="00767CEF"/>
    <w:rsid w:val="0077008B"/>
    <w:rsid w:val="007700BE"/>
    <w:rsid w:val="00770826"/>
    <w:rsid w:val="00770A1D"/>
    <w:rsid w:val="00771084"/>
    <w:rsid w:val="0077123A"/>
    <w:rsid w:val="00771666"/>
    <w:rsid w:val="00771847"/>
    <w:rsid w:val="0077195E"/>
    <w:rsid w:val="00771C44"/>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58C"/>
    <w:rsid w:val="00781916"/>
    <w:rsid w:val="00781A35"/>
    <w:rsid w:val="00781F71"/>
    <w:rsid w:val="007822BB"/>
    <w:rsid w:val="007822F6"/>
    <w:rsid w:val="0078289A"/>
    <w:rsid w:val="007828C5"/>
    <w:rsid w:val="00782B73"/>
    <w:rsid w:val="00782C06"/>
    <w:rsid w:val="00782CCB"/>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6A4"/>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850"/>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6DB"/>
    <w:rsid w:val="007A575D"/>
    <w:rsid w:val="007A5898"/>
    <w:rsid w:val="007A5AB6"/>
    <w:rsid w:val="007A5E10"/>
    <w:rsid w:val="007A5E38"/>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B6B73"/>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71B"/>
    <w:rsid w:val="007D6BEA"/>
    <w:rsid w:val="007D6EAD"/>
    <w:rsid w:val="007D6F96"/>
    <w:rsid w:val="007D7190"/>
    <w:rsid w:val="007D77E3"/>
    <w:rsid w:val="007D7D20"/>
    <w:rsid w:val="007D7EBC"/>
    <w:rsid w:val="007D7F1F"/>
    <w:rsid w:val="007E0198"/>
    <w:rsid w:val="007E0D3B"/>
    <w:rsid w:val="007E12F0"/>
    <w:rsid w:val="007E142F"/>
    <w:rsid w:val="007E17B6"/>
    <w:rsid w:val="007E1DA1"/>
    <w:rsid w:val="007E2231"/>
    <w:rsid w:val="007E2916"/>
    <w:rsid w:val="007E32F1"/>
    <w:rsid w:val="007E33D5"/>
    <w:rsid w:val="007E3A80"/>
    <w:rsid w:val="007E3C87"/>
    <w:rsid w:val="007E559B"/>
    <w:rsid w:val="007E58D1"/>
    <w:rsid w:val="007E5F74"/>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2D6"/>
    <w:rsid w:val="008003B2"/>
    <w:rsid w:val="008003EA"/>
    <w:rsid w:val="00800EE2"/>
    <w:rsid w:val="008015AB"/>
    <w:rsid w:val="00801BC9"/>
    <w:rsid w:val="00801D1C"/>
    <w:rsid w:val="00801F29"/>
    <w:rsid w:val="00801F7B"/>
    <w:rsid w:val="00802703"/>
    <w:rsid w:val="0080293D"/>
    <w:rsid w:val="00802B37"/>
    <w:rsid w:val="00802C3D"/>
    <w:rsid w:val="008033A6"/>
    <w:rsid w:val="0080388C"/>
    <w:rsid w:val="008038CA"/>
    <w:rsid w:val="0080391E"/>
    <w:rsid w:val="00803E34"/>
    <w:rsid w:val="00804687"/>
    <w:rsid w:val="00804B5E"/>
    <w:rsid w:val="00804EEB"/>
    <w:rsid w:val="00805076"/>
    <w:rsid w:val="00805D08"/>
    <w:rsid w:val="00805D2D"/>
    <w:rsid w:val="00805D34"/>
    <w:rsid w:val="00805DC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920"/>
    <w:rsid w:val="00811F58"/>
    <w:rsid w:val="00811FB0"/>
    <w:rsid w:val="00812137"/>
    <w:rsid w:val="00812159"/>
    <w:rsid w:val="00812216"/>
    <w:rsid w:val="00812773"/>
    <w:rsid w:val="00813079"/>
    <w:rsid w:val="00814128"/>
    <w:rsid w:val="00814EEA"/>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605"/>
    <w:rsid w:val="008317BF"/>
    <w:rsid w:val="00831A4D"/>
    <w:rsid w:val="00831C75"/>
    <w:rsid w:val="00831E13"/>
    <w:rsid w:val="00831F9A"/>
    <w:rsid w:val="00832046"/>
    <w:rsid w:val="00832A3C"/>
    <w:rsid w:val="00832D16"/>
    <w:rsid w:val="008333A5"/>
    <w:rsid w:val="008335CE"/>
    <w:rsid w:val="008337DA"/>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1EE"/>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19B"/>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41"/>
    <w:rsid w:val="008708D8"/>
    <w:rsid w:val="008709CB"/>
    <w:rsid w:val="00870C5A"/>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4D5"/>
    <w:rsid w:val="00874509"/>
    <w:rsid w:val="008745FB"/>
    <w:rsid w:val="00874DD2"/>
    <w:rsid w:val="00875776"/>
    <w:rsid w:val="0087589C"/>
    <w:rsid w:val="008758A3"/>
    <w:rsid w:val="00875BA9"/>
    <w:rsid w:val="00875EAA"/>
    <w:rsid w:val="00876214"/>
    <w:rsid w:val="008764F5"/>
    <w:rsid w:val="00876539"/>
    <w:rsid w:val="00876AC6"/>
    <w:rsid w:val="00876EDB"/>
    <w:rsid w:val="008775C8"/>
    <w:rsid w:val="0087763E"/>
    <w:rsid w:val="0087793B"/>
    <w:rsid w:val="00877B28"/>
    <w:rsid w:val="00877DF9"/>
    <w:rsid w:val="008803C7"/>
    <w:rsid w:val="008805BA"/>
    <w:rsid w:val="0088073C"/>
    <w:rsid w:val="0088088D"/>
    <w:rsid w:val="0088142E"/>
    <w:rsid w:val="00881B81"/>
    <w:rsid w:val="00882754"/>
    <w:rsid w:val="0088302C"/>
    <w:rsid w:val="008837E3"/>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4DE1"/>
    <w:rsid w:val="00895406"/>
    <w:rsid w:val="00895946"/>
    <w:rsid w:val="00895AF8"/>
    <w:rsid w:val="00895D43"/>
    <w:rsid w:val="0089621B"/>
    <w:rsid w:val="00896CF4"/>
    <w:rsid w:val="0089700D"/>
    <w:rsid w:val="00897F8D"/>
    <w:rsid w:val="008A0D37"/>
    <w:rsid w:val="008A0DF0"/>
    <w:rsid w:val="008A0F29"/>
    <w:rsid w:val="008A16C9"/>
    <w:rsid w:val="008A1B6B"/>
    <w:rsid w:val="008A1ECF"/>
    <w:rsid w:val="008A2783"/>
    <w:rsid w:val="008A2B11"/>
    <w:rsid w:val="008A34F6"/>
    <w:rsid w:val="008A37A4"/>
    <w:rsid w:val="008A3EA6"/>
    <w:rsid w:val="008A433C"/>
    <w:rsid w:val="008A45A0"/>
    <w:rsid w:val="008A471B"/>
    <w:rsid w:val="008A4838"/>
    <w:rsid w:val="008A49E0"/>
    <w:rsid w:val="008A4DEE"/>
    <w:rsid w:val="008A53AD"/>
    <w:rsid w:val="008A5692"/>
    <w:rsid w:val="008A5AFA"/>
    <w:rsid w:val="008A5D4A"/>
    <w:rsid w:val="008A5E0A"/>
    <w:rsid w:val="008A64B3"/>
    <w:rsid w:val="008A65E0"/>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6F"/>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788"/>
    <w:rsid w:val="008C4D44"/>
    <w:rsid w:val="008C5681"/>
    <w:rsid w:val="008C59D2"/>
    <w:rsid w:val="008C5D3B"/>
    <w:rsid w:val="008C65D1"/>
    <w:rsid w:val="008C6B43"/>
    <w:rsid w:val="008C6DB4"/>
    <w:rsid w:val="008C7AD5"/>
    <w:rsid w:val="008D01E7"/>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745"/>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2EE"/>
    <w:rsid w:val="008F6459"/>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111D"/>
    <w:rsid w:val="00912286"/>
    <w:rsid w:val="009124C2"/>
    <w:rsid w:val="00912D51"/>
    <w:rsid w:val="00912D82"/>
    <w:rsid w:val="00913387"/>
    <w:rsid w:val="0091398B"/>
    <w:rsid w:val="009146EF"/>
    <w:rsid w:val="009153ED"/>
    <w:rsid w:val="00915813"/>
    <w:rsid w:val="00915BD0"/>
    <w:rsid w:val="009164BE"/>
    <w:rsid w:val="00916537"/>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4C3"/>
    <w:rsid w:val="009358A2"/>
    <w:rsid w:val="00935B9E"/>
    <w:rsid w:val="00935C59"/>
    <w:rsid w:val="00936351"/>
    <w:rsid w:val="0093681C"/>
    <w:rsid w:val="00936984"/>
    <w:rsid w:val="0093715B"/>
    <w:rsid w:val="009371B9"/>
    <w:rsid w:val="0093782B"/>
    <w:rsid w:val="00937D8A"/>
    <w:rsid w:val="0094069F"/>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568"/>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02E"/>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8"/>
    <w:rsid w:val="00996D8E"/>
    <w:rsid w:val="009A0432"/>
    <w:rsid w:val="009A0802"/>
    <w:rsid w:val="009A0A22"/>
    <w:rsid w:val="009A0B98"/>
    <w:rsid w:val="009A0E24"/>
    <w:rsid w:val="009A122A"/>
    <w:rsid w:val="009A162A"/>
    <w:rsid w:val="009A1BDE"/>
    <w:rsid w:val="009A2B10"/>
    <w:rsid w:val="009A3436"/>
    <w:rsid w:val="009A39BA"/>
    <w:rsid w:val="009A3B25"/>
    <w:rsid w:val="009A3C8A"/>
    <w:rsid w:val="009A4ABE"/>
    <w:rsid w:val="009A5C9F"/>
    <w:rsid w:val="009A5CF9"/>
    <w:rsid w:val="009A6450"/>
    <w:rsid w:val="009A6903"/>
    <w:rsid w:val="009A6A14"/>
    <w:rsid w:val="009A6E8A"/>
    <w:rsid w:val="009A7408"/>
    <w:rsid w:val="009A7417"/>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58A3"/>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BB4"/>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703"/>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5D7F"/>
    <w:rsid w:val="009D5E2E"/>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19F5"/>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B1D"/>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59B0"/>
    <w:rsid w:val="00A05DA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138"/>
    <w:rsid w:val="00A1528A"/>
    <w:rsid w:val="00A15F6D"/>
    <w:rsid w:val="00A16054"/>
    <w:rsid w:val="00A1655C"/>
    <w:rsid w:val="00A16637"/>
    <w:rsid w:val="00A16D54"/>
    <w:rsid w:val="00A170B8"/>
    <w:rsid w:val="00A1753C"/>
    <w:rsid w:val="00A17879"/>
    <w:rsid w:val="00A17A47"/>
    <w:rsid w:val="00A17C6B"/>
    <w:rsid w:val="00A17CD2"/>
    <w:rsid w:val="00A20029"/>
    <w:rsid w:val="00A20153"/>
    <w:rsid w:val="00A21789"/>
    <w:rsid w:val="00A21930"/>
    <w:rsid w:val="00A219B0"/>
    <w:rsid w:val="00A21ABB"/>
    <w:rsid w:val="00A223BC"/>
    <w:rsid w:val="00A22687"/>
    <w:rsid w:val="00A22995"/>
    <w:rsid w:val="00A22A3B"/>
    <w:rsid w:val="00A22A86"/>
    <w:rsid w:val="00A22F46"/>
    <w:rsid w:val="00A239E7"/>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3D6C"/>
    <w:rsid w:val="00A33F67"/>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1F9F"/>
    <w:rsid w:val="00A424C2"/>
    <w:rsid w:val="00A428BD"/>
    <w:rsid w:val="00A428EC"/>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198"/>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0FD6"/>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6B6"/>
    <w:rsid w:val="00A67C73"/>
    <w:rsid w:val="00A67CC1"/>
    <w:rsid w:val="00A67E18"/>
    <w:rsid w:val="00A7000C"/>
    <w:rsid w:val="00A700F6"/>
    <w:rsid w:val="00A70814"/>
    <w:rsid w:val="00A70CD5"/>
    <w:rsid w:val="00A70E0E"/>
    <w:rsid w:val="00A710AE"/>
    <w:rsid w:val="00A711DD"/>
    <w:rsid w:val="00A71692"/>
    <w:rsid w:val="00A71BBF"/>
    <w:rsid w:val="00A71E46"/>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6A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0D3E"/>
    <w:rsid w:val="00A91742"/>
    <w:rsid w:val="00A92B41"/>
    <w:rsid w:val="00A92ED4"/>
    <w:rsid w:val="00A934C0"/>
    <w:rsid w:val="00A9355C"/>
    <w:rsid w:val="00A94536"/>
    <w:rsid w:val="00A94579"/>
    <w:rsid w:val="00A945EF"/>
    <w:rsid w:val="00A946E6"/>
    <w:rsid w:val="00A9514C"/>
    <w:rsid w:val="00A953D8"/>
    <w:rsid w:val="00A958B4"/>
    <w:rsid w:val="00A95C19"/>
    <w:rsid w:val="00A9644E"/>
    <w:rsid w:val="00A96BFF"/>
    <w:rsid w:val="00A97358"/>
    <w:rsid w:val="00A975D3"/>
    <w:rsid w:val="00A97632"/>
    <w:rsid w:val="00AA01E3"/>
    <w:rsid w:val="00AA08C4"/>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96B"/>
    <w:rsid w:val="00AB0E70"/>
    <w:rsid w:val="00AB104F"/>
    <w:rsid w:val="00AB1086"/>
    <w:rsid w:val="00AB126F"/>
    <w:rsid w:val="00AB1C5E"/>
    <w:rsid w:val="00AB22AC"/>
    <w:rsid w:val="00AB22FA"/>
    <w:rsid w:val="00AB255D"/>
    <w:rsid w:val="00AB2B0D"/>
    <w:rsid w:val="00AB2CC7"/>
    <w:rsid w:val="00AB2FD1"/>
    <w:rsid w:val="00AB311D"/>
    <w:rsid w:val="00AB31B8"/>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042B"/>
    <w:rsid w:val="00AC10CA"/>
    <w:rsid w:val="00AC1387"/>
    <w:rsid w:val="00AC1536"/>
    <w:rsid w:val="00AC174D"/>
    <w:rsid w:val="00AC18DB"/>
    <w:rsid w:val="00AC18F7"/>
    <w:rsid w:val="00AC214D"/>
    <w:rsid w:val="00AC2209"/>
    <w:rsid w:val="00AC22E7"/>
    <w:rsid w:val="00AC2E0A"/>
    <w:rsid w:val="00AC32AB"/>
    <w:rsid w:val="00AC348F"/>
    <w:rsid w:val="00AC3873"/>
    <w:rsid w:val="00AC3BD4"/>
    <w:rsid w:val="00AC3C81"/>
    <w:rsid w:val="00AC3D00"/>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2"/>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2E"/>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01"/>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4EFA"/>
    <w:rsid w:val="00AE5816"/>
    <w:rsid w:val="00AE5A9A"/>
    <w:rsid w:val="00AE6111"/>
    <w:rsid w:val="00AE61CE"/>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3ED8"/>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0F55"/>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0A34"/>
    <w:rsid w:val="00B11C7D"/>
    <w:rsid w:val="00B11DEA"/>
    <w:rsid w:val="00B11EE8"/>
    <w:rsid w:val="00B12044"/>
    <w:rsid w:val="00B1249A"/>
    <w:rsid w:val="00B128FA"/>
    <w:rsid w:val="00B12A8D"/>
    <w:rsid w:val="00B130E8"/>
    <w:rsid w:val="00B131AD"/>
    <w:rsid w:val="00B14095"/>
    <w:rsid w:val="00B142F8"/>
    <w:rsid w:val="00B14E90"/>
    <w:rsid w:val="00B15068"/>
    <w:rsid w:val="00B15278"/>
    <w:rsid w:val="00B15472"/>
    <w:rsid w:val="00B1556D"/>
    <w:rsid w:val="00B15B3B"/>
    <w:rsid w:val="00B16484"/>
    <w:rsid w:val="00B16844"/>
    <w:rsid w:val="00B16904"/>
    <w:rsid w:val="00B16DEF"/>
    <w:rsid w:val="00B17272"/>
    <w:rsid w:val="00B1735A"/>
    <w:rsid w:val="00B17478"/>
    <w:rsid w:val="00B17613"/>
    <w:rsid w:val="00B17A4F"/>
    <w:rsid w:val="00B2038E"/>
    <w:rsid w:val="00B20705"/>
    <w:rsid w:val="00B218F2"/>
    <w:rsid w:val="00B21A4A"/>
    <w:rsid w:val="00B224ED"/>
    <w:rsid w:val="00B22FFB"/>
    <w:rsid w:val="00B23193"/>
    <w:rsid w:val="00B23502"/>
    <w:rsid w:val="00B235A9"/>
    <w:rsid w:val="00B23A79"/>
    <w:rsid w:val="00B23B62"/>
    <w:rsid w:val="00B23B67"/>
    <w:rsid w:val="00B24148"/>
    <w:rsid w:val="00B24208"/>
    <w:rsid w:val="00B2451B"/>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3E1A"/>
    <w:rsid w:val="00B340B4"/>
    <w:rsid w:val="00B3440A"/>
    <w:rsid w:val="00B345DA"/>
    <w:rsid w:val="00B34607"/>
    <w:rsid w:val="00B34700"/>
    <w:rsid w:val="00B3517A"/>
    <w:rsid w:val="00B35B4F"/>
    <w:rsid w:val="00B36142"/>
    <w:rsid w:val="00B36DB0"/>
    <w:rsid w:val="00B36F30"/>
    <w:rsid w:val="00B37450"/>
    <w:rsid w:val="00B37929"/>
    <w:rsid w:val="00B37A3D"/>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1A0"/>
    <w:rsid w:val="00B469B0"/>
    <w:rsid w:val="00B46C73"/>
    <w:rsid w:val="00B47101"/>
    <w:rsid w:val="00B478A1"/>
    <w:rsid w:val="00B501B5"/>
    <w:rsid w:val="00B504E3"/>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6EEA"/>
    <w:rsid w:val="00B57245"/>
    <w:rsid w:val="00B572E4"/>
    <w:rsid w:val="00B57429"/>
    <w:rsid w:val="00B5778A"/>
    <w:rsid w:val="00B5797D"/>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440"/>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0FF1"/>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3D"/>
    <w:rsid w:val="00B765C8"/>
    <w:rsid w:val="00B7696A"/>
    <w:rsid w:val="00B76BDB"/>
    <w:rsid w:val="00B76DE6"/>
    <w:rsid w:val="00B800CB"/>
    <w:rsid w:val="00B80143"/>
    <w:rsid w:val="00B807AE"/>
    <w:rsid w:val="00B80D14"/>
    <w:rsid w:val="00B80DC0"/>
    <w:rsid w:val="00B80E94"/>
    <w:rsid w:val="00B81781"/>
    <w:rsid w:val="00B81817"/>
    <w:rsid w:val="00B819A2"/>
    <w:rsid w:val="00B823D2"/>
    <w:rsid w:val="00B824CA"/>
    <w:rsid w:val="00B82589"/>
    <w:rsid w:val="00B825EE"/>
    <w:rsid w:val="00B82B1B"/>
    <w:rsid w:val="00B83A60"/>
    <w:rsid w:val="00B83B05"/>
    <w:rsid w:val="00B842CB"/>
    <w:rsid w:val="00B84394"/>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75"/>
    <w:rsid w:val="00B97FA4"/>
    <w:rsid w:val="00BA0275"/>
    <w:rsid w:val="00BA02E4"/>
    <w:rsid w:val="00BA0313"/>
    <w:rsid w:val="00BA0B52"/>
    <w:rsid w:val="00BA1074"/>
    <w:rsid w:val="00BA136C"/>
    <w:rsid w:val="00BA1567"/>
    <w:rsid w:val="00BA156D"/>
    <w:rsid w:val="00BA16F0"/>
    <w:rsid w:val="00BA1C50"/>
    <w:rsid w:val="00BA2F80"/>
    <w:rsid w:val="00BA303F"/>
    <w:rsid w:val="00BA317F"/>
    <w:rsid w:val="00BA38CC"/>
    <w:rsid w:val="00BA3FDF"/>
    <w:rsid w:val="00BA48D9"/>
    <w:rsid w:val="00BA4E4F"/>
    <w:rsid w:val="00BA4F99"/>
    <w:rsid w:val="00BA503D"/>
    <w:rsid w:val="00BA52BA"/>
    <w:rsid w:val="00BA61D0"/>
    <w:rsid w:val="00BA68EF"/>
    <w:rsid w:val="00BA7691"/>
    <w:rsid w:val="00BA76D7"/>
    <w:rsid w:val="00BA7A55"/>
    <w:rsid w:val="00BB02FA"/>
    <w:rsid w:val="00BB082B"/>
    <w:rsid w:val="00BB0C20"/>
    <w:rsid w:val="00BB0F2C"/>
    <w:rsid w:val="00BB1212"/>
    <w:rsid w:val="00BB21EE"/>
    <w:rsid w:val="00BB2C11"/>
    <w:rsid w:val="00BB31A2"/>
    <w:rsid w:val="00BB31AC"/>
    <w:rsid w:val="00BB39C8"/>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184"/>
    <w:rsid w:val="00BC637A"/>
    <w:rsid w:val="00BC66CF"/>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562"/>
    <w:rsid w:val="00BD4BEB"/>
    <w:rsid w:val="00BD4EE6"/>
    <w:rsid w:val="00BD5603"/>
    <w:rsid w:val="00BD588C"/>
    <w:rsid w:val="00BD5DAD"/>
    <w:rsid w:val="00BD5E02"/>
    <w:rsid w:val="00BD6E09"/>
    <w:rsid w:val="00BD7743"/>
    <w:rsid w:val="00BD7B38"/>
    <w:rsid w:val="00BD7B7F"/>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E7DFB"/>
    <w:rsid w:val="00BF0786"/>
    <w:rsid w:val="00BF0931"/>
    <w:rsid w:val="00BF0E86"/>
    <w:rsid w:val="00BF0F58"/>
    <w:rsid w:val="00BF1564"/>
    <w:rsid w:val="00BF15C2"/>
    <w:rsid w:val="00BF1A4E"/>
    <w:rsid w:val="00BF1D02"/>
    <w:rsid w:val="00BF1DD1"/>
    <w:rsid w:val="00BF2839"/>
    <w:rsid w:val="00BF2C5F"/>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DC8"/>
    <w:rsid w:val="00C10F38"/>
    <w:rsid w:val="00C123C9"/>
    <w:rsid w:val="00C125BC"/>
    <w:rsid w:val="00C126B3"/>
    <w:rsid w:val="00C1270D"/>
    <w:rsid w:val="00C127BA"/>
    <w:rsid w:val="00C12B3C"/>
    <w:rsid w:val="00C1322A"/>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27"/>
    <w:rsid w:val="00C2606E"/>
    <w:rsid w:val="00C26086"/>
    <w:rsid w:val="00C265CA"/>
    <w:rsid w:val="00C26E65"/>
    <w:rsid w:val="00C27A23"/>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4DE"/>
    <w:rsid w:val="00C41752"/>
    <w:rsid w:val="00C41D0B"/>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784"/>
    <w:rsid w:val="00C547D2"/>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44D"/>
    <w:rsid w:val="00C61612"/>
    <w:rsid w:val="00C61E28"/>
    <w:rsid w:val="00C620F4"/>
    <w:rsid w:val="00C62230"/>
    <w:rsid w:val="00C623E3"/>
    <w:rsid w:val="00C626B1"/>
    <w:rsid w:val="00C631CD"/>
    <w:rsid w:val="00C634AF"/>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E80"/>
    <w:rsid w:val="00C76F91"/>
    <w:rsid w:val="00C77693"/>
    <w:rsid w:val="00C778AA"/>
    <w:rsid w:val="00C800F6"/>
    <w:rsid w:val="00C802E8"/>
    <w:rsid w:val="00C80454"/>
    <w:rsid w:val="00C8052E"/>
    <w:rsid w:val="00C80E7D"/>
    <w:rsid w:val="00C8226A"/>
    <w:rsid w:val="00C82EF1"/>
    <w:rsid w:val="00C832A4"/>
    <w:rsid w:val="00C833D6"/>
    <w:rsid w:val="00C83812"/>
    <w:rsid w:val="00C84077"/>
    <w:rsid w:val="00C84829"/>
    <w:rsid w:val="00C8490D"/>
    <w:rsid w:val="00C84C1D"/>
    <w:rsid w:val="00C8553F"/>
    <w:rsid w:val="00C85665"/>
    <w:rsid w:val="00C857E3"/>
    <w:rsid w:val="00C85CB1"/>
    <w:rsid w:val="00C85EF6"/>
    <w:rsid w:val="00C85F40"/>
    <w:rsid w:val="00C86732"/>
    <w:rsid w:val="00C867C9"/>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4CB"/>
    <w:rsid w:val="00C94968"/>
    <w:rsid w:val="00C94C53"/>
    <w:rsid w:val="00C94EA3"/>
    <w:rsid w:val="00C9525A"/>
    <w:rsid w:val="00C95499"/>
    <w:rsid w:val="00C95623"/>
    <w:rsid w:val="00C9563C"/>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58A"/>
    <w:rsid w:val="00CA185B"/>
    <w:rsid w:val="00CA1D18"/>
    <w:rsid w:val="00CA1D75"/>
    <w:rsid w:val="00CA1DA0"/>
    <w:rsid w:val="00CA2E50"/>
    <w:rsid w:val="00CA2F97"/>
    <w:rsid w:val="00CA319A"/>
    <w:rsid w:val="00CA31D8"/>
    <w:rsid w:val="00CA38B4"/>
    <w:rsid w:val="00CA3B63"/>
    <w:rsid w:val="00CA4FF1"/>
    <w:rsid w:val="00CA514C"/>
    <w:rsid w:val="00CA51B2"/>
    <w:rsid w:val="00CA51E3"/>
    <w:rsid w:val="00CA5339"/>
    <w:rsid w:val="00CA55E2"/>
    <w:rsid w:val="00CA55FC"/>
    <w:rsid w:val="00CA5867"/>
    <w:rsid w:val="00CA5A31"/>
    <w:rsid w:val="00CA5F41"/>
    <w:rsid w:val="00CA622C"/>
    <w:rsid w:val="00CA7588"/>
    <w:rsid w:val="00CA79C3"/>
    <w:rsid w:val="00CA7A75"/>
    <w:rsid w:val="00CB0C0E"/>
    <w:rsid w:val="00CB0F11"/>
    <w:rsid w:val="00CB0F90"/>
    <w:rsid w:val="00CB16B5"/>
    <w:rsid w:val="00CB1A98"/>
    <w:rsid w:val="00CB1B3A"/>
    <w:rsid w:val="00CB1F52"/>
    <w:rsid w:val="00CB23EB"/>
    <w:rsid w:val="00CB2B1A"/>
    <w:rsid w:val="00CB30FA"/>
    <w:rsid w:val="00CB3237"/>
    <w:rsid w:val="00CB36CD"/>
    <w:rsid w:val="00CB38B5"/>
    <w:rsid w:val="00CB3DD1"/>
    <w:rsid w:val="00CB4220"/>
    <w:rsid w:val="00CB4284"/>
    <w:rsid w:val="00CB4934"/>
    <w:rsid w:val="00CB4E87"/>
    <w:rsid w:val="00CB4F40"/>
    <w:rsid w:val="00CB5644"/>
    <w:rsid w:val="00CB56ED"/>
    <w:rsid w:val="00CB57D6"/>
    <w:rsid w:val="00CB58A9"/>
    <w:rsid w:val="00CB5D41"/>
    <w:rsid w:val="00CB65AF"/>
    <w:rsid w:val="00CB6D07"/>
    <w:rsid w:val="00CB75BC"/>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560"/>
    <w:rsid w:val="00CD080A"/>
    <w:rsid w:val="00CD0926"/>
    <w:rsid w:val="00CD0F59"/>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6FC4"/>
    <w:rsid w:val="00CD7155"/>
    <w:rsid w:val="00CD7367"/>
    <w:rsid w:val="00CD745D"/>
    <w:rsid w:val="00CD7690"/>
    <w:rsid w:val="00CE015E"/>
    <w:rsid w:val="00CE0621"/>
    <w:rsid w:val="00CE1383"/>
    <w:rsid w:val="00CE1482"/>
    <w:rsid w:val="00CE170E"/>
    <w:rsid w:val="00CE1A57"/>
    <w:rsid w:val="00CE2AE1"/>
    <w:rsid w:val="00CE2EF3"/>
    <w:rsid w:val="00CE3343"/>
    <w:rsid w:val="00CE3B8C"/>
    <w:rsid w:val="00CE3C01"/>
    <w:rsid w:val="00CE4C0A"/>
    <w:rsid w:val="00CE5AE6"/>
    <w:rsid w:val="00CE5BBB"/>
    <w:rsid w:val="00CE5F76"/>
    <w:rsid w:val="00CE7062"/>
    <w:rsid w:val="00CE7318"/>
    <w:rsid w:val="00CE758D"/>
    <w:rsid w:val="00CE75B3"/>
    <w:rsid w:val="00CE7A20"/>
    <w:rsid w:val="00CE7A71"/>
    <w:rsid w:val="00CE7D6D"/>
    <w:rsid w:val="00CF0108"/>
    <w:rsid w:val="00CF012A"/>
    <w:rsid w:val="00CF0E94"/>
    <w:rsid w:val="00CF102D"/>
    <w:rsid w:val="00CF12E7"/>
    <w:rsid w:val="00CF16D5"/>
    <w:rsid w:val="00CF1700"/>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C77"/>
    <w:rsid w:val="00CF4D5C"/>
    <w:rsid w:val="00CF5189"/>
    <w:rsid w:val="00CF5409"/>
    <w:rsid w:val="00CF62EA"/>
    <w:rsid w:val="00CF67A4"/>
    <w:rsid w:val="00CF70B1"/>
    <w:rsid w:val="00CF77F8"/>
    <w:rsid w:val="00CF7B7D"/>
    <w:rsid w:val="00CF7E85"/>
    <w:rsid w:val="00D00580"/>
    <w:rsid w:val="00D00FAE"/>
    <w:rsid w:val="00D0165D"/>
    <w:rsid w:val="00D01738"/>
    <w:rsid w:val="00D01EC7"/>
    <w:rsid w:val="00D02190"/>
    <w:rsid w:val="00D0231B"/>
    <w:rsid w:val="00D023FB"/>
    <w:rsid w:val="00D02F96"/>
    <w:rsid w:val="00D033DC"/>
    <w:rsid w:val="00D03404"/>
    <w:rsid w:val="00D03D20"/>
    <w:rsid w:val="00D03F01"/>
    <w:rsid w:val="00D04D5F"/>
    <w:rsid w:val="00D050B5"/>
    <w:rsid w:val="00D05F7D"/>
    <w:rsid w:val="00D067B3"/>
    <w:rsid w:val="00D0693E"/>
    <w:rsid w:val="00D069A7"/>
    <w:rsid w:val="00D06B24"/>
    <w:rsid w:val="00D06F52"/>
    <w:rsid w:val="00D07082"/>
    <w:rsid w:val="00D07779"/>
    <w:rsid w:val="00D0785F"/>
    <w:rsid w:val="00D07AF9"/>
    <w:rsid w:val="00D07C27"/>
    <w:rsid w:val="00D10724"/>
    <w:rsid w:val="00D10A9C"/>
    <w:rsid w:val="00D11241"/>
    <w:rsid w:val="00D11FA0"/>
    <w:rsid w:val="00D12678"/>
    <w:rsid w:val="00D12714"/>
    <w:rsid w:val="00D12847"/>
    <w:rsid w:val="00D129D2"/>
    <w:rsid w:val="00D1359A"/>
    <w:rsid w:val="00D13B6E"/>
    <w:rsid w:val="00D13BA0"/>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79B"/>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910"/>
    <w:rsid w:val="00D26A6F"/>
    <w:rsid w:val="00D26F5F"/>
    <w:rsid w:val="00D2703A"/>
    <w:rsid w:val="00D2721C"/>
    <w:rsid w:val="00D273FE"/>
    <w:rsid w:val="00D27B89"/>
    <w:rsid w:val="00D27E42"/>
    <w:rsid w:val="00D300C2"/>
    <w:rsid w:val="00D30320"/>
    <w:rsid w:val="00D30587"/>
    <w:rsid w:val="00D30975"/>
    <w:rsid w:val="00D309B7"/>
    <w:rsid w:val="00D30B18"/>
    <w:rsid w:val="00D31755"/>
    <w:rsid w:val="00D317C4"/>
    <w:rsid w:val="00D31989"/>
    <w:rsid w:val="00D31E9F"/>
    <w:rsid w:val="00D3266B"/>
    <w:rsid w:val="00D32814"/>
    <w:rsid w:val="00D329B0"/>
    <w:rsid w:val="00D329F6"/>
    <w:rsid w:val="00D32B74"/>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62D"/>
    <w:rsid w:val="00D37CA6"/>
    <w:rsid w:val="00D4004A"/>
    <w:rsid w:val="00D4076A"/>
    <w:rsid w:val="00D40D20"/>
    <w:rsid w:val="00D40DFC"/>
    <w:rsid w:val="00D41308"/>
    <w:rsid w:val="00D41552"/>
    <w:rsid w:val="00D41C12"/>
    <w:rsid w:val="00D421F2"/>
    <w:rsid w:val="00D42222"/>
    <w:rsid w:val="00D42DB0"/>
    <w:rsid w:val="00D43007"/>
    <w:rsid w:val="00D434BD"/>
    <w:rsid w:val="00D4373A"/>
    <w:rsid w:val="00D43DFA"/>
    <w:rsid w:val="00D44547"/>
    <w:rsid w:val="00D44D1F"/>
    <w:rsid w:val="00D44F5B"/>
    <w:rsid w:val="00D44FE8"/>
    <w:rsid w:val="00D451E2"/>
    <w:rsid w:val="00D452A5"/>
    <w:rsid w:val="00D453BA"/>
    <w:rsid w:val="00D4561B"/>
    <w:rsid w:val="00D45661"/>
    <w:rsid w:val="00D456C2"/>
    <w:rsid w:val="00D456C6"/>
    <w:rsid w:val="00D459AE"/>
    <w:rsid w:val="00D45D87"/>
    <w:rsid w:val="00D45F77"/>
    <w:rsid w:val="00D46748"/>
    <w:rsid w:val="00D46A9F"/>
    <w:rsid w:val="00D46D16"/>
    <w:rsid w:val="00D46EEA"/>
    <w:rsid w:val="00D47354"/>
    <w:rsid w:val="00D47792"/>
    <w:rsid w:val="00D47A92"/>
    <w:rsid w:val="00D47D3F"/>
    <w:rsid w:val="00D50653"/>
    <w:rsid w:val="00D50A5E"/>
    <w:rsid w:val="00D50D24"/>
    <w:rsid w:val="00D51058"/>
    <w:rsid w:val="00D513C1"/>
    <w:rsid w:val="00D51CDD"/>
    <w:rsid w:val="00D51FE2"/>
    <w:rsid w:val="00D522CC"/>
    <w:rsid w:val="00D52865"/>
    <w:rsid w:val="00D5288B"/>
    <w:rsid w:val="00D52A8F"/>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77A"/>
    <w:rsid w:val="00D719F2"/>
    <w:rsid w:val="00D719FE"/>
    <w:rsid w:val="00D71BDE"/>
    <w:rsid w:val="00D71DD8"/>
    <w:rsid w:val="00D73A60"/>
    <w:rsid w:val="00D73D61"/>
    <w:rsid w:val="00D73FAB"/>
    <w:rsid w:val="00D74591"/>
    <w:rsid w:val="00D74FB0"/>
    <w:rsid w:val="00D75297"/>
    <w:rsid w:val="00D75484"/>
    <w:rsid w:val="00D76100"/>
    <w:rsid w:val="00D76AE4"/>
    <w:rsid w:val="00D76C89"/>
    <w:rsid w:val="00D772FC"/>
    <w:rsid w:val="00D80BA1"/>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5E93"/>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CB"/>
    <w:rsid w:val="00DA0BE2"/>
    <w:rsid w:val="00DA1105"/>
    <w:rsid w:val="00DA1284"/>
    <w:rsid w:val="00DA1302"/>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5D8"/>
    <w:rsid w:val="00DA6A59"/>
    <w:rsid w:val="00DA6B0F"/>
    <w:rsid w:val="00DA74BA"/>
    <w:rsid w:val="00DA7A0A"/>
    <w:rsid w:val="00DB077E"/>
    <w:rsid w:val="00DB15DB"/>
    <w:rsid w:val="00DB192E"/>
    <w:rsid w:val="00DB24B1"/>
    <w:rsid w:val="00DB24C8"/>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10B6"/>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9BA"/>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2CC"/>
    <w:rsid w:val="00E02403"/>
    <w:rsid w:val="00E02411"/>
    <w:rsid w:val="00E02B0B"/>
    <w:rsid w:val="00E0300B"/>
    <w:rsid w:val="00E0326B"/>
    <w:rsid w:val="00E03D07"/>
    <w:rsid w:val="00E0437D"/>
    <w:rsid w:val="00E04CE7"/>
    <w:rsid w:val="00E04D87"/>
    <w:rsid w:val="00E0513A"/>
    <w:rsid w:val="00E05442"/>
    <w:rsid w:val="00E05832"/>
    <w:rsid w:val="00E05DC8"/>
    <w:rsid w:val="00E05ED3"/>
    <w:rsid w:val="00E05F74"/>
    <w:rsid w:val="00E067DB"/>
    <w:rsid w:val="00E06899"/>
    <w:rsid w:val="00E06C08"/>
    <w:rsid w:val="00E070E9"/>
    <w:rsid w:val="00E07C80"/>
    <w:rsid w:val="00E07F45"/>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2F7E"/>
    <w:rsid w:val="00E131CD"/>
    <w:rsid w:val="00E13D2E"/>
    <w:rsid w:val="00E13E24"/>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3"/>
    <w:rsid w:val="00E17268"/>
    <w:rsid w:val="00E178B5"/>
    <w:rsid w:val="00E178CC"/>
    <w:rsid w:val="00E17E6D"/>
    <w:rsid w:val="00E17F17"/>
    <w:rsid w:val="00E17F5C"/>
    <w:rsid w:val="00E200BE"/>
    <w:rsid w:val="00E20D5D"/>
    <w:rsid w:val="00E20ECA"/>
    <w:rsid w:val="00E21A68"/>
    <w:rsid w:val="00E21CB0"/>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6D82"/>
    <w:rsid w:val="00E27B02"/>
    <w:rsid w:val="00E30208"/>
    <w:rsid w:val="00E30AA6"/>
    <w:rsid w:val="00E32391"/>
    <w:rsid w:val="00E32882"/>
    <w:rsid w:val="00E32969"/>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310"/>
    <w:rsid w:val="00E42676"/>
    <w:rsid w:val="00E42A81"/>
    <w:rsid w:val="00E42BC7"/>
    <w:rsid w:val="00E43199"/>
    <w:rsid w:val="00E43337"/>
    <w:rsid w:val="00E43540"/>
    <w:rsid w:val="00E4395D"/>
    <w:rsid w:val="00E441AC"/>
    <w:rsid w:val="00E44259"/>
    <w:rsid w:val="00E4428D"/>
    <w:rsid w:val="00E444EE"/>
    <w:rsid w:val="00E44A21"/>
    <w:rsid w:val="00E4541D"/>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5A"/>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1A1"/>
    <w:rsid w:val="00E709F4"/>
    <w:rsid w:val="00E70CC3"/>
    <w:rsid w:val="00E70CC8"/>
    <w:rsid w:val="00E71390"/>
    <w:rsid w:val="00E71B9F"/>
    <w:rsid w:val="00E71EBC"/>
    <w:rsid w:val="00E72170"/>
    <w:rsid w:val="00E72514"/>
    <w:rsid w:val="00E727D8"/>
    <w:rsid w:val="00E72BE6"/>
    <w:rsid w:val="00E72C56"/>
    <w:rsid w:val="00E734C3"/>
    <w:rsid w:val="00E7380C"/>
    <w:rsid w:val="00E73F93"/>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491"/>
    <w:rsid w:val="00E779C7"/>
    <w:rsid w:val="00E77A61"/>
    <w:rsid w:val="00E77E04"/>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E3"/>
    <w:rsid w:val="00E83DF5"/>
    <w:rsid w:val="00E83FF4"/>
    <w:rsid w:val="00E848E3"/>
    <w:rsid w:val="00E84B02"/>
    <w:rsid w:val="00E85305"/>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18"/>
    <w:rsid w:val="00E95049"/>
    <w:rsid w:val="00E955EF"/>
    <w:rsid w:val="00E9578D"/>
    <w:rsid w:val="00E95893"/>
    <w:rsid w:val="00E96435"/>
    <w:rsid w:val="00E96AE3"/>
    <w:rsid w:val="00E96DA3"/>
    <w:rsid w:val="00E974E6"/>
    <w:rsid w:val="00E97859"/>
    <w:rsid w:val="00E97CD6"/>
    <w:rsid w:val="00E97ED0"/>
    <w:rsid w:val="00EA0107"/>
    <w:rsid w:val="00EA0AFC"/>
    <w:rsid w:val="00EA0BC1"/>
    <w:rsid w:val="00EA0BDB"/>
    <w:rsid w:val="00EA0E17"/>
    <w:rsid w:val="00EA12D6"/>
    <w:rsid w:val="00EA14DD"/>
    <w:rsid w:val="00EA14DE"/>
    <w:rsid w:val="00EA206B"/>
    <w:rsid w:val="00EA2455"/>
    <w:rsid w:val="00EA2C82"/>
    <w:rsid w:val="00EA33F9"/>
    <w:rsid w:val="00EA3437"/>
    <w:rsid w:val="00EA38DB"/>
    <w:rsid w:val="00EA3BF7"/>
    <w:rsid w:val="00EA3F53"/>
    <w:rsid w:val="00EA470F"/>
    <w:rsid w:val="00EA4D80"/>
    <w:rsid w:val="00EA4FFE"/>
    <w:rsid w:val="00EA502B"/>
    <w:rsid w:val="00EA5690"/>
    <w:rsid w:val="00EA58B4"/>
    <w:rsid w:val="00EA6247"/>
    <w:rsid w:val="00EA637C"/>
    <w:rsid w:val="00EA657C"/>
    <w:rsid w:val="00EA690A"/>
    <w:rsid w:val="00EA6DA4"/>
    <w:rsid w:val="00EA744A"/>
    <w:rsid w:val="00EA74E9"/>
    <w:rsid w:val="00EA7713"/>
    <w:rsid w:val="00EB001E"/>
    <w:rsid w:val="00EB0327"/>
    <w:rsid w:val="00EB05D8"/>
    <w:rsid w:val="00EB0644"/>
    <w:rsid w:val="00EB0B76"/>
    <w:rsid w:val="00EB0D0F"/>
    <w:rsid w:val="00EB120C"/>
    <w:rsid w:val="00EB187A"/>
    <w:rsid w:val="00EB213B"/>
    <w:rsid w:val="00EB24B2"/>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3F2"/>
    <w:rsid w:val="00ED0DC7"/>
    <w:rsid w:val="00ED108D"/>
    <w:rsid w:val="00ED1773"/>
    <w:rsid w:val="00ED1863"/>
    <w:rsid w:val="00ED1999"/>
    <w:rsid w:val="00ED211A"/>
    <w:rsid w:val="00ED2991"/>
    <w:rsid w:val="00ED2C3C"/>
    <w:rsid w:val="00ED2FD2"/>
    <w:rsid w:val="00ED2FD3"/>
    <w:rsid w:val="00ED3011"/>
    <w:rsid w:val="00ED31A7"/>
    <w:rsid w:val="00ED3A9F"/>
    <w:rsid w:val="00ED3CA0"/>
    <w:rsid w:val="00ED3FAA"/>
    <w:rsid w:val="00ED42E5"/>
    <w:rsid w:val="00ED4533"/>
    <w:rsid w:val="00ED4601"/>
    <w:rsid w:val="00ED4DB7"/>
    <w:rsid w:val="00ED4DE8"/>
    <w:rsid w:val="00ED4FD9"/>
    <w:rsid w:val="00ED5143"/>
    <w:rsid w:val="00ED5474"/>
    <w:rsid w:val="00ED5A76"/>
    <w:rsid w:val="00ED5B21"/>
    <w:rsid w:val="00ED5B8F"/>
    <w:rsid w:val="00ED5BB6"/>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0D"/>
    <w:rsid w:val="00EF124D"/>
    <w:rsid w:val="00EF135D"/>
    <w:rsid w:val="00EF1399"/>
    <w:rsid w:val="00EF14F0"/>
    <w:rsid w:val="00EF1554"/>
    <w:rsid w:val="00EF19E6"/>
    <w:rsid w:val="00EF21CF"/>
    <w:rsid w:val="00EF3DCB"/>
    <w:rsid w:val="00EF3E78"/>
    <w:rsid w:val="00EF3EED"/>
    <w:rsid w:val="00EF41DD"/>
    <w:rsid w:val="00EF43FA"/>
    <w:rsid w:val="00EF4880"/>
    <w:rsid w:val="00EF5032"/>
    <w:rsid w:val="00EF54DF"/>
    <w:rsid w:val="00EF5682"/>
    <w:rsid w:val="00EF5B51"/>
    <w:rsid w:val="00EF60B2"/>
    <w:rsid w:val="00EF6541"/>
    <w:rsid w:val="00EF6614"/>
    <w:rsid w:val="00EF67BC"/>
    <w:rsid w:val="00EF70B0"/>
    <w:rsid w:val="00EF73BA"/>
    <w:rsid w:val="00EF7530"/>
    <w:rsid w:val="00EF753B"/>
    <w:rsid w:val="00EF7BB8"/>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68C"/>
    <w:rsid w:val="00F12BDB"/>
    <w:rsid w:val="00F12BED"/>
    <w:rsid w:val="00F12C21"/>
    <w:rsid w:val="00F12C8E"/>
    <w:rsid w:val="00F137E1"/>
    <w:rsid w:val="00F14058"/>
    <w:rsid w:val="00F14DBA"/>
    <w:rsid w:val="00F15105"/>
    <w:rsid w:val="00F15738"/>
    <w:rsid w:val="00F15815"/>
    <w:rsid w:val="00F16112"/>
    <w:rsid w:val="00F1640A"/>
    <w:rsid w:val="00F1654F"/>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26F3F"/>
    <w:rsid w:val="00F277B8"/>
    <w:rsid w:val="00F27D0F"/>
    <w:rsid w:val="00F30365"/>
    <w:rsid w:val="00F30414"/>
    <w:rsid w:val="00F306EE"/>
    <w:rsid w:val="00F308B0"/>
    <w:rsid w:val="00F308F6"/>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648"/>
    <w:rsid w:val="00F35735"/>
    <w:rsid w:val="00F35971"/>
    <w:rsid w:val="00F359A5"/>
    <w:rsid w:val="00F36424"/>
    <w:rsid w:val="00F3671E"/>
    <w:rsid w:val="00F36C1B"/>
    <w:rsid w:val="00F36C7B"/>
    <w:rsid w:val="00F36F48"/>
    <w:rsid w:val="00F37469"/>
    <w:rsid w:val="00F374EE"/>
    <w:rsid w:val="00F37676"/>
    <w:rsid w:val="00F37724"/>
    <w:rsid w:val="00F377C3"/>
    <w:rsid w:val="00F37C8C"/>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690C"/>
    <w:rsid w:val="00F47AB7"/>
    <w:rsid w:val="00F50254"/>
    <w:rsid w:val="00F50314"/>
    <w:rsid w:val="00F503FE"/>
    <w:rsid w:val="00F5059C"/>
    <w:rsid w:val="00F505D5"/>
    <w:rsid w:val="00F50EC5"/>
    <w:rsid w:val="00F513B5"/>
    <w:rsid w:val="00F513B7"/>
    <w:rsid w:val="00F516D7"/>
    <w:rsid w:val="00F52188"/>
    <w:rsid w:val="00F526CD"/>
    <w:rsid w:val="00F5283A"/>
    <w:rsid w:val="00F52BAB"/>
    <w:rsid w:val="00F53915"/>
    <w:rsid w:val="00F53D11"/>
    <w:rsid w:val="00F54BBC"/>
    <w:rsid w:val="00F54D5B"/>
    <w:rsid w:val="00F54E9E"/>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8FA"/>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3CC2"/>
    <w:rsid w:val="00F740BE"/>
    <w:rsid w:val="00F74779"/>
    <w:rsid w:val="00F74788"/>
    <w:rsid w:val="00F747D4"/>
    <w:rsid w:val="00F7517E"/>
    <w:rsid w:val="00F75839"/>
    <w:rsid w:val="00F75BDE"/>
    <w:rsid w:val="00F75FA4"/>
    <w:rsid w:val="00F76412"/>
    <w:rsid w:val="00F7679F"/>
    <w:rsid w:val="00F76894"/>
    <w:rsid w:val="00F76F5C"/>
    <w:rsid w:val="00F80749"/>
    <w:rsid w:val="00F8077B"/>
    <w:rsid w:val="00F80C5D"/>
    <w:rsid w:val="00F81B54"/>
    <w:rsid w:val="00F81E09"/>
    <w:rsid w:val="00F81FE2"/>
    <w:rsid w:val="00F8224C"/>
    <w:rsid w:val="00F826EB"/>
    <w:rsid w:val="00F8286C"/>
    <w:rsid w:val="00F83B17"/>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87A80"/>
    <w:rsid w:val="00F905D4"/>
    <w:rsid w:val="00F907FC"/>
    <w:rsid w:val="00F91245"/>
    <w:rsid w:val="00F91469"/>
    <w:rsid w:val="00F915AD"/>
    <w:rsid w:val="00F91DCA"/>
    <w:rsid w:val="00F91EDE"/>
    <w:rsid w:val="00F920F6"/>
    <w:rsid w:val="00F92660"/>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572"/>
    <w:rsid w:val="00FA2F00"/>
    <w:rsid w:val="00FA2FFA"/>
    <w:rsid w:val="00FA3136"/>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59E"/>
    <w:rsid w:val="00FB06B3"/>
    <w:rsid w:val="00FB0A2D"/>
    <w:rsid w:val="00FB0A9C"/>
    <w:rsid w:val="00FB0B41"/>
    <w:rsid w:val="00FB0F3F"/>
    <w:rsid w:val="00FB14D8"/>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05A5"/>
    <w:rsid w:val="00FC132C"/>
    <w:rsid w:val="00FC152D"/>
    <w:rsid w:val="00FC17AD"/>
    <w:rsid w:val="00FC18C4"/>
    <w:rsid w:val="00FC2956"/>
    <w:rsid w:val="00FC2FD0"/>
    <w:rsid w:val="00FC3D0E"/>
    <w:rsid w:val="00FC40C2"/>
    <w:rsid w:val="00FC4415"/>
    <w:rsid w:val="00FC46FB"/>
    <w:rsid w:val="00FC4AD2"/>
    <w:rsid w:val="00FC5135"/>
    <w:rsid w:val="00FC57EA"/>
    <w:rsid w:val="00FC58F1"/>
    <w:rsid w:val="00FC592A"/>
    <w:rsid w:val="00FC5ABE"/>
    <w:rsid w:val="00FC5F7F"/>
    <w:rsid w:val="00FC62EA"/>
    <w:rsid w:val="00FC63E6"/>
    <w:rsid w:val="00FC64F7"/>
    <w:rsid w:val="00FC657D"/>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7F4"/>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9F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799"/>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027DAF-1B1F-4EBC-B0C2-A9D20595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DEF"/>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7643B4"/>
    <w:pPr>
      <w:keepNext/>
      <w:numPr>
        <w:numId w:val="7"/>
      </w:numPr>
      <w:spacing w:before="360" w:after="240"/>
      <w:outlineLvl w:val="1"/>
    </w:pPr>
    <w:rPr>
      <w:b/>
      <w:bCs/>
      <w:iCs/>
      <w:sz w:val="28"/>
      <w:szCs w:val="28"/>
    </w:rPr>
  </w:style>
  <w:style w:type="paragraph" w:styleId="Heading3">
    <w:name w:val="heading 3"/>
    <w:basedOn w:val="Normal"/>
    <w:next w:val="Normal"/>
    <w:link w:val="Heading3Char"/>
    <w:autoRedefine/>
    <w:unhideWhenUsed/>
    <w:qFormat/>
    <w:rsid w:val="00720DF3"/>
    <w:pPr>
      <w:keepNext/>
      <w:keepLines/>
      <w:spacing w:before="360" w:after="240"/>
      <w:ind w:left="1440" w:right="1440" w:hanging="720"/>
      <w:outlineLvl w:val="2"/>
    </w:pPr>
    <w:rPr>
      <w:rFonts w:eastAsia="Calibri" w:cstheme="majorBidi"/>
      <w:b/>
      <w:sz w:val="28"/>
      <w:szCs w:val="24"/>
    </w:rPr>
  </w:style>
  <w:style w:type="paragraph" w:styleId="Heading4">
    <w:name w:val="heading 4"/>
    <w:basedOn w:val="Normal"/>
    <w:next w:val="Normal"/>
    <w:link w:val="Heading4Char"/>
    <w:autoRedefine/>
    <w:unhideWhenUsed/>
    <w:qFormat/>
    <w:rsid w:val="00720DF3"/>
    <w:pPr>
      <w:keepNext/>
      <w:keepLines/>
      <w:spacing w:before="360" w:after="240"/>
      <w:ind w:left="2160" w:right="720" w:hanging="720"/>
      <w:outlineLvl w:val="3"/>
    </w:pPr>
    <w:rPr>
      <w:rFonts w:eastAsiaTheme="majorEastAsia" w:cstheme="majorBidi"/>
      <w:b/>
      <w:iCs/>
      <w:sz w:val="28"/>
    </w:rPr>
  </w:style>
  <w:style w:type="paragraph" w:styleId="Heading5">
    <w:name w:val="heading 5"/>
    <w:basedOn w:val="Normal"/>
    <w:next w:val="Normal"/>
    <w:link w:val="Heading5Char"/>
    <w:autoRedefine/>
    <w:unhideWhenUsed/>
    <w:qFormat/>
    <w:rsid w:val="003A10B3"/>
    <w:pPr>
      <w:keepNext/>
      <w:keepLines/>
      <w:spacing w:before="360" w:after="240"/>
      <w:ind w:left="2880" w:right="720" w:hanging="720"/>
      <w:outlineLvl w:val="4"/>
    </w:pPr>
    <w:rPr>
      <w:rFonts w:eastAsia="Calibri" w:cstheme="majorBidi"/>
      <w:b/>
      <w:sz w:val="28"/>
    </w:rPr>
  </w:style>
  <w:style w:type="paragraph" w:styleId="Heading6">
    <w:name w:val="heading 6"/>
    <w:basedOn w:val="Normal"/>
    <w:next w:val="Normal"/>
    <w:link w:val="Heading6Char"/>
    <w:autoRedefine/>
    <w:unhideWhenUsed/>
    <w:qFormat/>
    <w:rsid w:val="00AA08C4"/>
    <w:pPr>
      <w:keepNext/>
      <w:keepLines/>
      <w:spacing w:before="360" w:after="240"/>
      <w:ind w:left="3600" w:right="720" w:hanging="720"/>
      <w:outlineLvl w:val="5"/>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uiPriority w:val="59"/>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uiPriority w:val="99"/>
    <w:rsid w:val="00200A0A"/>
    <w:rPr>
      <w:color w:val="0000FF"/>
      <w:u w:val="single"/>
    </w:rPr>
  </w:style>
  <w:style w:type="paragraph" w:customStyle="1" w:styleId="textstyle0">
    <w:name w:val="text style"/>
    <w:basedOn w:val="Normal"/>
    <w:link w:val="textstyleChar"/>
    <w:autoRedefine/>
    <w:rsid w:val="00CE7318"/>
    <w:pPr>
      <w:tabs>
        <w:tab w:val="left" w:pos="720"/>
      </w:tabs>
      <w:spacing w:line="480" w:lineRule="auto"/>
    </w:pPr>
    <w:rPr>
      <w:sz w:val="26"/>
      <w:szCs w:val="24"/>
    </w:rPr>
  </w:style>
  <w:style w:type="character" w:customStyle="1" w:styleId="textstyleChar">
    <w:name w:val="text style Char"/>
    <w:link w:val="textstyle0"/>
    <w:rsid w:val="00CE7318"/>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7643B4"/>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ListParagraph">
    <w:name w:val="List Paragraph"/>
    <w:basedOn w:val="Normal"/>
    <w:uiPriority w:val="34"/>
    <w:qFormat/>
    <w:rsid w:val="004E2441"/>
    <w:pPr>
      <w:spacing w:after="160" w:line="259" w:lineRule="auto"/>
      <w:ind w:left="720"/>
      <w:contextualSpacing/>
    </w:pPr>
    <w:rPr>
      <w:rFonts w:asciiTheme="minorHAnsi" w:eastAsiaTheme="minorHAnsi" w:hAnsiTheme="minorHAnsi" w:cstheme="minorBidi"/>
      <w:sz w:val="22"/>
      <w:szCs w:val="22"/>
    </w:rPr>
  </w:style>
  <w:style w:type="paragraph" w:customStyle="1" w:styleId="question">
    <w:name w:val="question"/>
    <w:basedOn w:val="Normal"/>
    <w:rsid w:val="004E2441"/>
    <w:pPr>
      <w:tabs>
        <w:tab w:val="left" w:pos="720"/>
      </w:tabs>
      <w:spacing w:line="259" w:lineRule="auto"/>
      <w:ind w:left="1440" w:hanging="1440"/>
    </w:pPr>
    <w:rPr>
      <w:sz w:val="26"/>
      <w:szCs w:val="26"/>
    </w:rPr>
  </w:style>
  <w:style w:type="paragraph" w:customStyle="1" w:styleId="Default">
    <w:name w:val="Default"/>
    <w:rsid w:val="004E2441"/>
    <w:pPr>
      <w:autoSpaceDE w:val="0"/>
      <w:autoSpaceDN w:val="0"/>
      <w:adjustRightInd w:val="0"/>
    </w:pPr>
    <w:rPr>
      <w:rFonts w:eastAsiaTheme="minorHAnsi"/>
      <w:color w:val="000000"/>
      <w:sz w:val="24"/>
      <w:szCs w:val="24"/>
    </w:rPr>
  </w:style>
  <w:style w:type="character" w:customStyle="1" w:styleId="Heading3Char">
    <w:name w:val="Heading 3 Char"/>
    <w:basedOn w:val="DefaultParagraphFont"/>
    <w:link w:val="Heading3"/>
    <w:rsid w:val="00720DF3"/>
    <w:rPr>
      <w:rFonts w:eastAsia="Calibri" w:cstheme="majorBidi"/>
      <w:b/>
      <w:sz w:val="28"/>
      <w:szCs w:val="24"/>
    </w:rPr>
  </w:style>
  <w:style w:type="character" w:customStyle="1" w:styleId="Heading4Char">
    <w:name w:val="Heading 4 Char"/>
    <w:basedOn w:val="DefaultParagraphFont"/>
    <w:link w:val="Heading4"/>
    <w:rsid w:val="00720DF3"/>
    <w:rPr>
      <w:rFonts w:eastAsiaTheme="majorEastAsia" w:cstheme="majorBidi"/>
      <w:b/>
      <w:iCs/>
      <w:sz w:val="28"/>
    </w:rPr>
  </w:style>
  <w:style w:type="character" w:customStyle="1" w:styleId="Heading5Char">
    <w:name w:val="Heading 5 Char"/>
    <w:basedOn w:val="DefaultParagraphFont"/>
    <w:link w:val="Heading5"/>
    <w:rsid w:val="003A10B3"/>
    <w:rPr>
      <w:rFonts w:eastAsia="Calibri" w:cstheme="majorBidi"/>
      <w:b/>
      <w:sz w:val="28"/>
    </w:rPr>
  </w:style>
  <w:style w:type="paragraph" w:styleId="EndnoteText">
    <w:name w:val="endnote text"/>
    <w:basedOn w:val="Normal"/>
    <w:link w:val="EndnoteTextChar"/>
    <w:semiHidden/>
    <w:unhideWhenUsed/>
    <w:rsid w:val="00AA08C4"/>
  </w:style>
  <w:style w:type="character" w:customStyle="1" w:styleId="EndnoteTextChar">
    <w:name w:val="Endnote Text Char"/>
    <w:basedOn w:val="DefaultParagraphFont"/>
    <w:link w:val="EndnoteText"/>
    <w:semiHidden/>
    <w:rsid w:val="00AA08C4"/>
  </w:style>
  <w:style w:type="character" w:styleId="EndnoteReference">
    <w:name w:val="endnote reference"/>
    <w:basedOn w:val="DefaultParagraphFont"/>
    <w:semiHidden/>
    <w:unhideWhenUsed/>
    <w:rsid w:val="00AA08C4"/>
    <w:rPr>
      <w:vertAlign w:val="superscript"/>
    </w:rPr>
  </w:style>
  <w:style w:type="character" w:customStyle="1" w:styleId="Heading6Char">
    <w:name w:val="Heading 6 Char"/>
    <w:basedOn w:val="DefaultParagraphFont"/>
    <w:link w:val="Heading6"/>
    <w:rsid w:val="00AA08C4"/>
    <w:rPr>
      <w:rFonts w:eastAsiaTheme="majorEastAsia" w:cstheme="majorBidi"/>
      <w:b/>
      <w:sz w:val="28"/>
    </w:rPr>
  </w:style>
  <w:style w:type="paragraph" w:styleId="TOC3">
    <w:name w:val="toc 3"/>
    <w:basedOn w:val="Normal"/>
    <w:next w:val="Normal"/>
    <w:autoRedefine/>
    <w:uiPriority w:val="39"/>
    <w:unhideWhenUsed/>
    <w:rsid w:val="00797850"/>
    <w:pPr>
      <w:tabs>
        <w:tab w:val="left" w:pos="2160"/>
        <w:tab w:val="right" w:leader="dot" w:pos="9346"/>
      </w:tabs>
      <w:spacing w:before="240" w:after="240"/>
      <w:ind w:left="2160" w:right="1440" w:hanging="720"/>
    </w:pPr>
    <w:rPr>
      <w:noProof/>
      <w:sz w:val="26"/>
    </w:rPr>
  </w:style>
  <w:style w:type="paragraph" w:styleId="TOC4">
    <w:name w:val="toc 4"/>
    <w:basedOn w:val="Normal"/>
    <w:next w:val="Normal"/>
    <w:autoRedefine/>
    <w:uiPriority w:val="39"/>
    <w:unhideWhenUsed/>
    <w:rsid w:val="00797850"/>
    <w:pPr>
      <w:tabs>
        <w:tab w:val="left" w:pos="1440"/>
        <w:tab w:val="left" w:pos="2880"/>
        <w:tab w:val="right" w:leader="dot" w:pos="9350"/>
      </w:tabs>
      <w:spacing w:before="240" w:after="240"/>
      <w:ind w:left="2880" w:right="1440" w:hanging="720"/>
    </w:pPr>
    <w:rPr>
      <w:noProof/>
      <w:sz w:val="26"/>
    </w:rPr>
  </w:style>
  <w:style w:type="paragraph" w:styleId="TOC5">
    <w:name w:val="toc 5"/>
    <w:basedOn w:val="Normal"/>
    <w:next w:val="Normal"/>
    <w:autoRedefine/>
    <w:uiPriority w:val="39"/>
    <w:unhideWhenUsed/>
    <w:rsid w:val="00797850"/>
    <w:pPr>
      <w:tabs>
        <w:tab w:val="left" w:pos="3600"/>
        <w:tab w:val="right" w:leader="dot" w:pos="9346"/>
      </w:tabs>
      <w:spacing w:before="240" w:after="240"/>
      <w:ind w:left="3600" w:right="1440" w:hanging="720"/>
    </w:pPr>
    <w:rPr>
      <w:noProof/>
      <w:sz w:val="26"/>
    </w:rPr>
  </w:style>
  <w:style w:type="paragraph" w:styleId="TOC6">
    <w:name w:val="toc 6"/>
    <w:basedOn w:val="Normal"/>
    <w:next w:val="Normal"/>
    <w:autoRedefine/>
    <w:uiPriority w:val="39"/>
    <w:unhideWhenUsed/>
    <w:rsid w:val="0075324E"/>
    <w:pPr>
      <w:tabs>
        <w:tab w:val="right" w:leader="dot" w:pos="9350"/>
      </w:tabs>
      <w:spacing w:before="240" w:after="240"/>
      <w:ind w:left="4320" w:right="1440" w:hanging="72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78903">
      <w:bodyDiv w:val="1"/>
      <w:marLeft w:val="0"/>
      <w:marRight w:val="0"/>
      <w:marTop w:val="0"/>
      <w:marBottom w:val="0"/>
      <w:divBdr>
        <w:top w:val="none" w:sz="0" w:space="0" w:color="auto"/>
        <w:left w:val="none" w:sz="0" w:space="0" w:color="auto"/>
        <w:bottom w:val="none" w:sz="0" w:space="0" w:color="auto"/>
        <w:right w:val="none" w:sz="0" w:space="0" w:color="auto"/>
      </w:divBdr>
    </w:div>
    <w:div w:id="838807725">
      <w:bodyDiv w:val="1"/>
      <w:marLeft w:val="0"/>
      <w:marRight w:val="0"/>
      <w:marTop w:val="0"/>
      <w:marBottom w:val="0"/>
      <w:divBdr>
        <w:top w:val="none" w:sz="0" w:space="0" w:color="auto"/>
        <w:left w:val="none" w:sz="0" w:space="0" w:color="auto"/>
        <w:bottom w:val="none" w:sz="0" w:space="0" w:color="auto"/>
        <w:right w:val="none" w:sz="0" w:space="0" w:color="auto"/>
      </w:divBdr>
    </w:div>
    <w:div w:id="1670789312">
      <w:bodyDiv w:val="1"/>
      <w:marLeft w:val="0"/>
      <w:marRight w:val="0"/>
      <w:marTop w:val="0"/>
      <w:marBottom w:val="0"/>
      <w:divBdr>
        <w:top w:val="none" w:sz="0" w:space="0" w:color="auto"/>
        <w:left w:val="none" w:sz="0" w:space="0" w:color="auto"/>
        <w:bottom w:val="none" w:sz="0" w:space="0" w:color="auto"/>
        <w:right w:val="none" w:sz="0" w:space="0" w:color="auto"/>
      </w:divBdr>
    </w:div>
    <w:div w:id="19997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devin.parram@puc.state.oh.us" TargetMode="External"/><Relationship Id="rId26" Type="http://schemas.openxmlformats.org/officeDocument/2006/relationships/hyperlink" Target="mailto:jkylercohn@BKLlawfirm.com" TargetMode="External"/><Relationship Id="rId39" Type="http://schemas.openxmlformats.org/officeDocument/2006/relationships/hyperlink" Target="mailto:mjsettineri@vorys.com" TargetMode="External"/><Relationship Id="rId21" Type="http://schemas.openxmlformats.org/officeDocument/2006/relationships/hyperlink" Target="mailto:Steven.beeler@puc.state.oh.us" TargetMode="External"/><Relationship Id="rId34" Type="http://schemas.openxmlformats.org/officeDocument/2006/relationships/hyperlink" Target="mailto:yalami@aep.com" TargetMode="External"/><Relationship Id="rId42" Type="http://schemas.openxmlformats.org/officeDocument/2006/relationships/hyperlink" Target="mailto:mtraven@ralaw.com" TargetMode="External"/><Relationship Id="rId47" Type="http://schemas.openxmlformats.org/officeDocument/2006/relationships/hyperlink" Target="mailto:Elizabeth.watts@duke-energy.com" TargetMode="External"/><Relationship Id="rId50" Type="http://schemas.openxmlformats.org/officeDocument/2006/relationships/hyperlink" Target="mailto:haydenm@firstenergycorp.com" TargetMode="External"/><Relationship Id="rId55" Type="http://schemas.openxmlformats.org/officeDocument/2006/relationships/hyperlink" Target="mailto:joseph.clark@directenergy.com" TargetMode="External"/><Relationship Id="rId63" Type="http://schemas.openxmlformats.org/officeDocument/2006/relationships/hyperlink" Target="mailto:gpoulos@enernoc.com" TargetMode="Externa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Bojko@carpenterlipps.com" TargetMode="External"/><Relationship Id="rId11" Type="http://schemas.openxmlformats.org/officeDocument/2006/relationships/header" Target="header1.xml"/><Relationship Id="rId24" Type="http://schemas.openxmlformats.org/officeDocument/2006/relationships/hyperlink" Target="mailto:dboehm@BKLlawfirm.com" TargetMode="External"/><Relationship Id="rId32" Type="http://schemas.openxmlformats.org/officeDocument/2006/relationships/hyperlink" Target="mailto:stnourse@aep.com" TargetMode="External"/><Relationship Id="rId37" Type="http://schemas.openxmlformats.org/officeDocument/2006/relationships/hyperlink" Target="mailto:hussey@carpenterlipps.com" TargetMode="External"/><Relationship Id="rId40" Type="http://schemas.openxmlformats.org/officeDocument/2006/relationships/hyperlink" Target="mailto:glpetrucci@vorys.com" TargetMode="External"/><Relationship Id="rId45" Type="http://schemas.openxmlformats.org/officeDocument/2006/relationships/hyperlink" Target="mailto:rchamberlain@okenergylaw.com" TargetMode="External"/><Relationship Id="rId53" Type="http://schemas.openxmlformats.org/officeDocument/2006/relationships/hyperlink" Target="mailto:joliker@igsenergy.com" TargetMode="External"/><Relationship Id="rId58" Type="http://schemas.openxmlformats.org/officeDocument/2006/relationships/hyperlink" Target="mailto:mpritchard@mwncmh.com" TargetMode="External"/><Relationship Id="rId66" Type="http://schemas.openxmlformats.org/officeDocument/2006/relationships/hyperlink" Target="mailto:ghull@eckertseamans.co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Ryan.orourke@puc.state.oh.us" TargetMode="External"/><Relationship Id="rId28" Type="http://schemas.openxmlformats.org/officeDocument/2006/relationships/hyperlink" Target="mailto:Judi.sobecki@aes.com" TargetMode="External"/><Relationship Id="rId36" Type="http://schemas.openxmlformats.org/officeDocument/2006/relationships/hyperlink" Target="mailto:mkimbrough@keglerbrown.com" TargetMode="External"/><Relationship Id="rId49" Type="http://schemas.openxmlformats.org/officeDocument/2006/relationships/hyperlink" Target="mailto:Jeanne.Kingery@duke-energy.com" TargetMode="External"/><Relationship Id="rId57" Type="http://schemas.openxmlformats.org/officeDocument/2006/relationships/hyperlink" Target="mailto:fdarr@mwncmh.com" TargetMode="External"/><Relationship Id="rId61" Type="http://schemas.openxmlformats.org/officeDocument/2006/relationships/hyperlink" Target="mailto:dhart@douglasehart.com" TargetMode="External"/><Relationship Id="rId10" Type="http://schemas.openxmlformats.org/officeDocument/2006/relationships/hyperlink" Target="mailto:werner.margard@puc.state.oh.us" TargetMode="External"/><Relationship Id="rId19" Type="http://schemas.openxmlformats.org/officeDocument/2006/relationships/hyperlink" Target="mailto:thomas.lindgren@puc.state.oh.us" TargetMode="External"/><Relationship Id="rId31" Type="http://schemas.openxmlformats.org/officeDocument/2006/relationships/hyperlink" Target="mailto:cmooney@ohiopartners.org" TargetMode="External"/><Relationship Id="rId44" Type="http://schemas.openxmlformats.org/officeDocument/2006/relationships/hyperlink" Target="mailto:Nicholas.walstra@puc.state.oh.us" TargetMode="External"/><Relationship Id="rId52" Type="http://schemas.openxmlformats.org/officeDocument/2006/relationships/hyperlink" Target="mailto:scasto@firstenergycorp.com" TargetMode="External"/><Relationship Id="rId60" Type="http://schemas.openxmlformats.org/officeDocument/2006/relationships/hyperlink" Target="mailto:tdougherty@theOEC.org" TargetMode="External"/><Relationship Id="rId65" Type="http://schemas.openxmlformats.org/officeDocument/2006/relationships/hyperlink" Target="mailto:tobrien@bricker.co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homas.lindgren@puc.state.oh.us" TargetMode="External"/><Relationship Id="rId14" Type="http://schemas.openxmlformats.org/officeDocument/2006/relationships/footer" Target="footer2.xml"/><Relationship Id="rId22" Type="http://schemas.openxmlformats.org/officeDocument/2006/relationships/hyperlink" Target="mailto:Thomas.lindgren@puc.state.oh.us" TargetMode="External"/><Relationship Id="rId27" Type="http://schemas.openxmlformats.org/officeDocument/2006/relationships/hyperlink" Target="mailto:Schmidt@sppgrp.com" TargetMode="External"/><Relationship Id="rId30" Type="http://schemas.openxmlformats.org/officeDocument/2006/relationships/hyperlink" Target="mailto:mohler@carpenterlipps.com" TargetMode="External"/><Relationship Id="rId35" Type="http://schemas.openxmlformats.org/officeDocument/2006/relationships/hyperlink" Target="mailto:asonderman@keglerbrown.com" TargetMode="External"/><Relationship Id="rId43" Type="http://schemas.openxmlformats.org/officeDocument/2006/relationships/hyperlink" Target="mailto:Christine.pirik@puc.state.oh.us" TargetMode="External"/><Relationship Id="rId48" Type="http://schemas.openxmlformats.org/officeDocument/2006/relationships/hyperlink" Target="mailto:Rocco.dascenzo@duke-energy.com" TargetMode="External"/><Relationship Id="rId56" Type="http://schemas.openxmlformats.org/officeDocument/2006/relationships/hyperlink" Target="mailto:sam@mwncmh.com" TargetMode="External"/><Relationship Id="rId64" Type="http://schemas.openxmlformats.org/officeDocument/2006/relationships/hyperlink" Target="mailto:swilliams@nrdc.org" TargetMode="External"/><Relationship Id="rId69" Type="http://schemas.openxmlformats.org/officeDocument/2006/relationships/footer" Target="footer4.xml"/><Relationship Id="rId8" Type="http://schemas.openxmlformats.org/officeDocument/2006/relationships/hyperlink" Target="mailto:devin.parram@puc.state.oh.us" TargetMode="External"/><Relationship Id="rId51" Type="http://schemas.openxmlformats.org/officeDocument/2006/relationships/hyperlink" Target="mailto:jmcdermott@firstenergycorp.co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hyperlink" Target="mailto:mkurtz@BKLlawfirm.com" TargetMode="External"/><Relationship Id="rId33" Type="http://schemas.openxmlformats.org/officeDocument/2006/relationships/hyperlink" Target="mailto:mjsatterwhite@aep.com" TargetMode="External"/><Relationship Id="rId38" Type="http://schemas.openxmlformats.org/officeDocument/2006/relationships/hyperlink" Target="mailto:mhpetricoff@vorys.com" TargetMode="External"/><Relationship Id="rId46" Type="http://schemas.openxmlformats.org/officeDocument/2006/relationships/hyperlink" Target="mailto:Amy.Spiller@duke-energy.com" TargetMode="External"/><Relationship Id="rId59" Type="http://schemas.openxmlformats.org/officeDocument/2006/relationships/hyperlink" Target="mailto:callwein@wamenergylaw.com" TargetMode="External"/><Relationship Id="rId67" Type="http://schemas.openxmlformats.org/officeDocument/2006/relationships/hyperlink" Target="mailto:jvickers@elpc.org" TargetMode="External"/><Relationship Id="rId20" Type="http://schemas.openxmlformats.org/officeDocument/2006/relationships/hyperlink" Target="mailto:werner.margard@puc.state.oh.us" TargetMode="External"/><Relationship Id="rId41" Type="http://schemas.openxmlformats.org/officeDocument/2006/relationships/hyperlink" Target="mailto:dmason@ralaw.com" TargetMode="External"/><Relationship Id="rId54" Type="http://schemas.openxmlformats.org/officeDocument/2006/relationships/hyperlink" Target="mailto:mswhite@igsenergy.com" TargetMode="External"/><Relationship Id="rId62" Type="http://schemas.openxmlformats.org/officeDocument/2006/relationships/hyperlink" Target="mailto:cloucas@ohiopartners.org" TargetMode="External"/><Relationship Id="rId7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jm.com/markets-and-operations/rpm/rpm-auction-user-info.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11C8-DAD2-4458-BEEE-FF809BAB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Template>
  <TotalTime>146</TotalTime>
  <Pages>64</Pages>
  <Words>11477</Words>
  <Characters>66531</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77853</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30</cp:revision>
  <cp:lastPrinted>2014-12-15T18:11:00Z</cp:lastPrinted>
  <dcterms:created xsi:type="dcterms:W3CDTF">2014-12-08T15:15:00Z</dcterms:created>
  <dcterms:modified xsi:type="dcterms:W3CDTF">2014-12-15T18:11:00Z</dcterms:modified>
</cp:coreProperties>
</file>