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490" w:rsidRPr="00220857" w:rsidRDefault="00292490" w:rsidP="00292490">
      <w:pPr>
        <w:jc w:val="center"/>
        <w:rPr>
          <w:rFonts w:ascii="Times New Roman" w:hAnsi="Times New Roman"/>
          <w:b/>
          <w:bCs/>
          <w:sz w:val="26"/>
          <w:szCs w:val="26"/>
        </w:rPr>
      </w:pPr>
      <w:bookmarkStart w:id="0" w:name="_GoBack"/>
      <w:bookmarkEnd w:id="0"/>
      <w:r w:rsidRPr="00220857">
        <w:rPr>
          <w:rFonts w:ascii="Times New Roman" w:hAnsi="Times New Roman"/>
          <w:b/>
          <w:bCs/>
          <w:sz w:val="26"/>
          <w:szCs w:val="26"/>
        </w:rPr>
        <w:t>UNITED STATES OF AMERICA</w:t>
      </w:r>
    </w:p>
    <w:p w:rsidR="00292490" w:rsidRPr="00220857" w:rsidRDefault="00292490" w:rsidP="00292490">
      <w:pPr>
        <w:jc w:val="center"/>
        <w:rPr>
          <w:rFonts w:ascii="Times New Roman" w:hAnsi="Times New Roman"/>
          <w:b/>
          <w:bCs/>
          <w:sz w:val="26"/>
          <w:szCs w:val="26"/>
        </w:rPr>
      </w:pPr>
      <w:r w:rsidRPr="00220857">
        <w:rPr>
          <w:rFonts w:ascii="Times New Roman" w:hAnsi="Times New Roman"/>
          <w:b/>
          <w:bCs/>
          <w:sz w:val="26"/>
          <w:szCs w:val="26"/>
        </w:rPr>
        <w:t>BEFORE THE</w:t>
      </w:r>
    </w:p>
    <w:p w:rsidR="00292490" w:rsidRPr="00220857" w:rsidRDefault="00292490" w:rsidP="00292490">
      <w:pPr>
        <w:jc w:val="center"/>
        <w:rPr>
          <w:rFonts w:ascii="Times New Roman" w:hAnsi="Times New Roman"/>
          <w:b/>
          <w:bCs/>
          <w:sz w:val="26"/>
          <w:szCs w:val="26"/>
        </w:rPr>
      </w:pPr>
      <w:r w:rsidRPr="00220857">
        <w:rPr>
          <w:rFonts w:ascii="Times New Roman" w:hAnsi="Times New Roman"/>
          <w:b/>
          <w:bCs/>
          <w:sz w:val="26"/>
          <w:szCs w:val="26"/>
        </w:rPr>
        <w:t>FEDERAL ENERGY REGULATORY COMMISSION</w:t>
      </w:r>
    </w:p>
    <w:p w:rsidR="00292490" w:rsidRPr="00220857" w:rsidRDefault="00292490" w:rsidP="00292490">
      <w:pPr>
        <w:jc w:val="center"/>
        <w:rPr>
          <w:rFonts w:ascii="Times New Roman" w:hAnsi="Times New Roman"/>
          <w:bCs/>
          <w:sz w:val="26"/>
          <w:szCs w:val="26"/>
        </w:rPr>
      </w:pPr>
    </w:p>
    <w:p w:rsidR="003C100B" w:rsidRPr="003C100B" w:rsidRDefault="003C100B" w:rsidP="003C100B">
      <w:pPr>
        <w:jc w:val="center"/>
        <w:rPr>
          <w:rFonts w:ascii="Times New Roman" w:hAnsi="Times New Roman"/>
          <w:bCs/>
          <w:sz w:val="26"/>
          <w:szCs w:val="26"/>
        </w:rPr>
      </w:pPr>
    </w:p>
    <w:tbl>
      <w:tblPr>
        <w:tblW w:w="9652" w:type="dxa"/>
        <w:tblLook w:val="04A0" w:firstRow="1" w:lastRow="0" w:firstColumn="1" w:lastColumn="0" w:noHBand="0" w:noVBand="1"/>
      </w:tblPr>
      <w:tblGrid>
        <w:gridCol w:w="4423"/>
        <w:gridCol w:w="1085"/>
        <w:gridCol w:w="4144"/>
      </w:tblGrid>
      <w:tr w:rsidR="003C100B" w:rsidRPr="003C100B" w:rsidTr="003C100B">
        <w:tc>
          <w:tcPr>
            <w:tcW w:w="4423" w:type="dxa"/>
            <w:shd w:val="clear" w:color="auto" w:fill="auto"/>
          </w:tcPr>
          <w:p w:rsidR="003C100B" w:rsidRDefault="00256E09" w:rsidP="003C100B">
            <w:pPr>
              <w:tabs>
                <w:tab w:val="left" w:pos="2130"/>
              </w:tabs>
              <w:rPr>
                <w:rFonts w:ascii="Times New Roman" w:hAnsi="Times New Roman"/>
                <w:bCs/>
                <w:sz w:val="26"/>
                <w:szCs w:val="26"/>
              </w:rPr>
            </w:pPr>
            <w:r w:rsidRPr="00220857">
              <w:rPr>
                <w:rFonts w:ascii="Times New Roman" w:hAnsi="Times New Roman"/>
                <w:bCs/>
                <w:sz w:val="26"/>
                <w:szCs w:val="26"/>
              </w:rPr>
              <w:t>American Electric Power Service Corporation</w:t>
            </w:r>
          </w:p>
          <w:p w:rsidR="00256E09" w:rsidRDefault="00256E09" w:rsidP="003C100B">
            <w:pPr>
              <w:tabs>
                <w:tab w:val="left" w:pos="2130"/>
              </w:tabs>
              <w:rPr>
                <w:rFonts w:ascii="Times New Roman" w:hAnsi="Times New Roman"/>
                <w:bCs/>
                <w:sz w:val="26"/>
                <w:szCs w:val="26"/>
              </w:rPr>
            </w:pPr>
            <w:r>
              <w:rPr>
                <w:rFonts w:ascii="Times New Roman" w:hAnsi="Times New Roman"/>
                <w:bCs/>
                <w:sz w:val="26"/>
                <w:szCs w:val="26"/>
              </w:rPr>
              <w:t>PJM Interconnection, L.L.C.</w:t>
            </w:r>
          </w:p>
          <w:p w:rsidR="00256E09" w:rsidRPr="003C100B" w:rsidRDefault="00256E09" w:rsidP="003C100B">
            <w:pPr>
              <w:tabs>
                <w:tab w:val="left" w:pos="2130"/>
              </w:tabs>
              <w:rPr>
                <w:rFonts w:ascii="Times New Roman" w:hAnsi="Times New Roman"/>
                <w:bCs/>
                <w:sz w:val="26"/>
                <w:szCs w:val="26"/>
              </w:rPr>
            </w:pPr>
          </w:p>
        </w:tc>
        <w:tc>
          <w:tcPr>
            <w:tcW w:w="1085" w:type="dxa"/>
            <w:shd w:val="clear" w:color="auto" w:fill="auto"/>
          </w:tcPr>
          <w:p w:rsidR="003C100B" w:rsidRDefault="00256E09" w:rsidP="003C100B">
            <w:pPr>
              <w:ind w:right="-468"/>
              <w:jc w:val="center"/>
              <w:rPr>
                <w:rFonts w:ascii="Times New Roman" w:hAnsi="Times New Roman"/>
                <w:bCs/>
                <w:sz w:val="26"/>
                <w:szCs w:val="26"/>
              </w:rPr>
            </w:pPr>
            <w:r>
              <w:rPr>
                <w:rFonts w:ascii="Times New Roman" w:hAnsi="Times New Roman"/>
                <w:bCs/>
                <w:sz w:val="26"/>
                <w:szCs w:val="26"/>
              </w:rPr>
              <w:t>:</w:t>
            </w:r>
          </w:p>
          <w:p w:rsidR="00256E09" w:rsidRDefault="00256E09" w:rsidP="003C100B">
            <w:pPr>
              <w:ind w:right="-468"/>
              <w:jc w:val="center"/>
              <w:rPr>
                <w:rFonts w:ascii="Times New Roman" w:hAnsi="Times New Roman"/>
                <w:bCs/>
                <w:sz w:val="26"/>
                <w:szCs w:val="26"/>
              </w:rPr>
            </w:pPr>
            <w:r>
              <w:rPr>
                <w:rFonts w:ascii="Times New Roman" w:hAnsi="Times New Roman"/>
                <w:bCs/>
                <w:sz w:val="26"/>
                <w:szCs w:val="26"/>
              </w:rPr>
              <w:t>:</w:t>
            </w:r>
          </w:p>
          <w:p w:rsidR="00256E09" w:rsidRPr="003C100B" w:rsidRDefault="00256E09" w:rsidP="003C100B">
            <w:pPr>
              <w:ind w:right="-468"/>
              <w:jc w:val="center"/>
              <w:rPr>
                <w:rFonts w:ascii="Times New Roman" w:hAnsi="Times New Roman"/>
                <w:bCs/>
                <w:sz w:val="26"/>
                <w:szCs w:val="26"/>
              </w:rPr>
            </w:pPr>
            <w:r>
              <w:rPr>
                <w:rFonts w:ascii="Times New Roman" w:hAnsi="Times New Roman"/>
                <w:bCs/>
                <w:sz w:val="26"/>
                <w:szCs w:val="26"/>
              </w:rPr>
              <w:t>:</w:t>
            </w:r>
          </w:p>
        </w:tc>
        <w:tc>
          <w:tcPr>
            <w:tcW w:w="4144" w:type="dxa"/>
            <w:shd w:val="clear" w:color="auto" w:fill="auto"/>
          </w:tcPr>
          <w:p w:rsidR="003C100B" w:rsidRPr="003C100B" w:rsidRDefault="003C100B" w:rsidP="003C100B">
            <w:pPr>
              <w:rPr>
                <w:rFonts w:ascii="Times New Roman" w:hAnsi="Times New Roman"/>
                <w:bCs/>
                <w:sz w:val="26"/>
                <w:szCs w:val="26"/>
              </w:rPr>
            </w:pPr>
          </w:p>
          <w:p w:rsidR="003C100B" w:rsidRDefault="00256E09" w:rsidP="003C100B">
            <w:pPr>
              <w:rPr>
                <w:rFonts w:ascii="Times New Roman" w:hAnsi="Times New Roman"/>
                <w:bCs/>
                <w:sz w:val="26"/>
                <w:szCs w:val="26"/>
              </w:rPr>
            </w:pPr>
            <w:r w:rsidRPr="00220857">
              <w:rPr>
                <w:rFonts w:ascii="Times New Roman" w:hAnsi="Times New Roman"/>
                <w:bCs/>
                <w:sz w:val="26"/>
                <w:szCs w:val="26"/>
              </w:rPr>
              <w:t>Docket No. ER11-2183-000</w:t>
            </w:r>
          </w:p>
          <w:p w:rsidR="003C100B" w:rsidRPr="003C100B" w:rsidRDefault="003C100B" w:rsidP="003C100B">
            <w:pPr>
              <w:rPr>
                <w:rFonts w:ascii="Times New Roman" w:hAnsi="Times New Roman"/>
                <w:bCs/>
                <w:sz w:val="26"/>
                <w:szCs w:val="26"/>
              </w:rPr>
            </w:pPr>
          </w:p>
        </w:tc>
      </w:tr>
      <w:tr w:rsidR="00256E09" w:rsidRPr="003C100B" w:rsidTr="003C100B">
        <w:tc>
          <w:tcPr>
            <w:tcW w:w="4423" w:type="dxa"/>
            <w:shd w:val="clear" w:color="auto" w:fill="auto"/>
          </w:tcPr>
          <w:p w:rsidR="00256E09" w:rsidRPr="003C100B" w:rsidRDefault="00256E09" w:rsidP="00256E09">
            <w:pPr>
              <w:rPr>
                <w:rFonts w:ascii="Times New Roman" w:hAnsi="Times New Roman"/>
                <w:bCs/>
                <w:sz w:val="26"/>
                <w:szCs w:val="26"/>
              </w:rPr>
            </w:pPr>
            <w:r w:rsidRPr="003C100B">
              <w:rPr>
                <w:rFonts w:ascii="Times New Roman" w:hAnsi="Times New Roman"/>
                <w:bCs/>
                <w:sz w:val="26"/>
                <w:szCs w:val="26"/>
              </w:rPr>
              <w:t>American Electric Power Service</w:t>
            </w:r>
            <w:r w:rsidRPr="003C100B">
              <w:rPr>
                <w:rFonts w:ascii="Times New Roman" w:hAnsi="Times New Roman"/>
                <w:bCs/>
                <w:sz w:val="26"/>
                <w:szCs w:val="26"/>
              </w:rPr>
              <w:br/>
              <w:t xml:space="preserve">  Corporation</w:t>
            </w:r>
          </w:p>
          <w:p w:rsidR="00256E09" w:rsidRPr="003C100B" w:rsidRDefault="00256E09" w:rsidP="00256E09">
            <w:pPr>
              <w:rPr>
                <w:rFonts w:ascii="Times New Roman" w:hAnsi="Times New Roman"/>
                <w:bCs/>
                <w:sz w:val="26"/>
                <w:szCs w:val="26"/>
              </w:rPr>
            </w:pPr>
          </w:p>
          <w:p w:rsidR="00256E09" w:rsidRPr="003C100B" w:rsidRDefault="00256E09" w:rsidP="00256E09">
            <w:pPr>
              <w:tabs>
                <w:tab w:val="left" w:pos="2130"/>
              </w:tabs>
              <w:rPr>
                <w:rFonts w:ascii="Times New Roman" w:hAnsi="Times New Roman"/>
                <w:bCs/>
                <w:sz w:val="26"/>
                <w:szCs w:val="26"/>
              </w:rPr>
            </w:pPr>
            <w:r w:rsidRPr="003C100B">
              <w:rPr>
                <w:rFonts w:ascii="Times New Roman" w:hAnsi="Times New Roman"/>
                <w:bCs/>
                <w:sz w:val="26"/>
                <w:szCs w:val="26"/>
              </w:rPr>
              <w:tab/>
              <w:t>v.</w:t>
            </w:r>
          </w:p>
          <w:p w:rsidR="00256E09" w:rsidRPr="003C100B" w:rsidRDefault="00256E09" w:rsidP="00256E09">
            <w:pPr>
              <w:tabs>
                <w:tab w:val="left" w:pos="2130"/>
              </w:tabs>
              <w:rPr>
                <w:rFonts w:ascii="Times New Roman" w:hAnsi="Times New Roman"/>
                <w:bCs/>
                <w:sz w:val="26"/>
                <w:szCs w:val="26"/>
              </w:rPr>
            </w:pPr>
          </w:p>
          <w:p w:rsidR="00256E09" w:rsidRPr="003C100B" w:rsidRDefault="00256E09" w:rsidP="00256E09">
            <w:pPr>
              <w:rPr>
                <w:rFonts w:ascii="Times New Roman" w:hAnsi="Times New Roman"/>
                <w:bCs/>
                <w:sz w:val="26"/>
                <w:szCs w:val="26"/>
              </w:rPr>
            </w:pPr>
            <w:r w:rsidRPr="003C100B">
              <w:rPr>
                <w:rFonts w:ascii="Times New Roman" w:hAnsi="Times New Roman"/>
                <w:bCs/>
                <w:sz w:val="26"/>
                <w:szCs w:val="26"/>
              </w:rPr>
              <w:t>PJM Interconnection, L.L.C.</w:t>
            </w:r>
          </w:p>
        </w:tc>
        <w:tc>
          <w:tcPr>
            <w:tcW w:w="1085" w:type="dxa"/>
            <w:shd w:val="clear" w:color="auto" w:fill="auto"/>
          </w:tcPr>
          <w:p w:rsidR="00256E09" w:rsidRPr="003C100B" w:rsidRDefault="00256E09" w:rsidP="00256E09">
            <w:pPr>
              <w:ind w:left="49" w:right="-468"/>
              <w:jc w:val="center"/>
              <w:rPr>
                <w:rFonts w:ascii="Times New Roman" w:hAnsi="Times New Roman"/>
                <w:bCs/>
                <w:sz w:val="26"/>
                <w:szCs w:val="26"/>
              </w:rPr>
            </w:pPr>
            <w:r w:rsidRPr="003C100B">
              <w:rPr>
                <w:rFonts w:ascii="Times New Roman" w:hAnsi="Times New Roman"/>
                <w:bCs/>
                <w:sz w:val="26"/>
                <w:szCs w:val="26"/>
              </w:rPr>
              <w:t>:</w:t>
            </w:r>
          </w:p>
          <w:p w:rsidR="00256E09" w:rsidRPr="003C100B" w:rsidRDefault="00256E09" w:rsidP="00256E09">
            <w:pPr>
              <w:ind w:left="49" w:right="-468"/>
              <w:jc w:val="center"/>
              <w:rPr>
                <w:rFonts w:ascii="Times New Roman" w:hAnsi="Times New Roman"/>
                <w:bCs/>
                <w:sz w:val="26"/>
                <w:szCs w:val="26"/>
              </w:rPr>
            </w:pPr>
            <w:r w:rsidRPr="003C100B">
              <w:rPr>
                <w:rFonts w:ascii="Times New Roman" w:hAnsi="Times New Roman"/>
                <w:bCs/>
                <w:sz w:val="26"/>
                <w:szCs w:val="26"/>
              </w:rPr>
              <w:t>:</w:t>
            </w:r>
          </w:p>
          <w:p w:rsidR="00256E09" w:rsidRPr="003C100B" w:rsidRDefault="00256E09" w:rsidP="00256E09">
            <w:pPr>
              <w:ind w:left="49" w:right="-468"/>
              <w:jc w:val="center"/>
              <w:rPr>
                <w:rFonts w:ascii="Times New Roman" w:hAnsi="Times New Roman"/>
                <w:bCs/>
                <w:sz w:val="26"/>
                <w:szCs w:val="26"/>
              </w:rPr>
            </w:pPr>
            <w:r w:rsidRPr="003C100B">
              <w:rPr>
                <w:rFonts w:ascii="Times New Roman" w:hAnsi="Times New Roman"/>
                <w:bCs/>
                <w:sz w:val="26"/>
                <w:szCs w:val="26"/>
              </w:rPr>
              <w:t>:</w:t>
            </w:r>
          </w:p>
          <w:p w:rsidR="00256E09" w:rsidRPr="003C100B" w:rsidRDefault="00256E09" w:rsidP="00256E09">
            <w:pPr>
              <w:ind w:left="49" w:right="-468"/>
              <w:jc w:val="center"/>
              <w:rPr>
                <w:rFonts w:ascii="Times New Roman" w:hAnsi="Times New Roman"/>
                <w:bCs/>
                <w:sz w:val="26"/>
                <w:szCs w:val="26"/>
              </w:rPr>
            </w:pPr>
            <w:r w:rsidRPr="003C100B">
              <w:rPr>
                <w:rFonts w:ascii="Times New Roman" w:hAnsi="Times New Roman"/>
                <w:bCs/>
                <w:sz w:val="26"/>
                <w:szCs w:val="26"/>
              </w:rPr>
              <w:t>:</w:t>
            </w:r>
          </w:p>
          <w:p w:rsidR="00256E09" w:rsidRPr="003C100B" w:rsidRDefault="00256E09" w:rsidP="00256E09">
            <w:pPr>
              <w:ind w:left="49" w:right="-468"/>
              <w:jc w:val="center"/>
              <w:rPr>
                <w:rFonts w:ascii="Times New Roman" w:hAnsi="Times New Roman"/>
                <w:bCs/>
                <w:sz w:val="26"/>
                <w:szCs w:val="26"/>
              </w:rPr>
            </w:pPr>
            <w:r w:rsidRPr="003C100B">
              <w:rPr>
                <w:rFonts w:ascii="Times New Roman" w:hAnsi="Times New Roman"/>
                <w:bCs/>
                <w:sz w:val="26"/>
                <w:szCs w:val="26"/>
              </w:rPr>
              <w:t>:</w:t>
            </w:r>
          </w:p>
          <w:p w:rsidR="00256E09" w:rsidRPr="003C100B" w:rsidRDefault="00256E09" w:rsidP="00256E09">
            <w:pPr>
              <w:ind w:left="49" w:right="-468"/>
              <w:jc w:val="center"/>
              <w:rPr>
                <w:rFonts w:ascii="Times New Roman" w:hAnsi="Times New Roman"/>
                <w:bCs/>
                <w:sz w:val="26"/>
                <w:szCs w:val="26"/>
              </w:rPr>
            </w:pPr>
            <w:r w:rsidRPr="003C100B">
              <w:rPr>
                <w:rFonts w:ascii="Times New Roman" w:hAnsi="Times New Roman"/>
                <w:bCs/>
                <w:sz w:val="26"/>
                <w:szCs w:val="26"/>
              </w:rPr>
              <w:t>:</w:t>
            </w:r>
          </w:p>
        </w:tc>
        <w:tc>
          <w:tcPr>
            <w:tcW w:w="4144" w:type="dxa"/>
            <w:shd w:val="clear" w:color="auto" w:fill="auto"/>
          </w:tcPr>
          <w:p w:rsidR="00256E09" w:rsidRDefault="00256E09" w:rsidP="003C100B">
            <w:pPr>
              <w:rPr>
                <w:rFonts w:ascii="Times New Roman" w:hAnsi="Times New Roman"/>
                <w:bCs/>
                <w:sz w:val="26"/>
                <w:szCs w:val="26"/>
              </w:rPr>
            </w:pPr>
          </w:p>
          <w:p w:rsidR="00256E09" w:rsidRDefault="00256E09" w:rsidP="003C100B">
            <w:pPr>
              <w:rPr>
                <w:rFonts w:ascii="Times New Roman" w:hAnsi="Times New Roman"/>
                <w:bCs/>
                <w:sz w:val="26"/>
                <w:szCs w:val="26"/>
              </w:rPr>
            </w:pPr>
          </w:p>
          <w:p w:rsidR="00256E09" w:rsidRDefault="00256E09" w:rsidP="003C100B">
            <w:pPr>
              <w:rPr>
                <w:rFonts w:ascii="Times New Roman" w:hAnsi="Times New Roman"/>
                <w:bCs/>
                <w:sz w:val="26"/>
                <w:szCs w:val="26"/>
              </w:rPr>
            </w:pPr>
            <w:r w:rsidRPr="003C100B">
              <w:rPr>
                <w:rFonts w:ascii="Times New Roman" w:hAnsi="Times New Roman"/>
                <w:bCs/>
                <w:sz w:val="26"/>
                <w:szCs w:val="26"/>
              </w:rPr>
              <w:t>Docket No. EL11-32-000</w:t>
            </w:r>
          </w:p>
          <w:p w:rsidR="00256E09" w:rsidRDefault="00256E09" w:rsidP="003C100B">
            <w:pPr>
              <w:rPr>
                <w:rFonts w:ascii="Times New Roman" w:hAnsi="Times New Roman"/>
                <w:bCs/>
                <w:sz w:val="26"/>
                <w:szCs w:val="26"/>
              </w:rPr>
            </w:pPr>
          </w:p>
          <w:p w:rsidR="00256E09" w:rsidRPr="003C100B" w:rsidRDefault="00256E09" w:rsidP="003C100B">
            <w:pPr>
              <w:rPr>
                <w:rFonts w:ascii="Times New Roman" w:hAnsi="Times New Roman"/>
                <w:bCs/>
                <w:sz w:val="26"/>
                <w:szCs w:val="26"/>
              </w:rPr>
            </w:pPr>
            <w:r>
              <w:rPr>
                <w:rFonts w:ascii="Times New Roman" w:hAnsi="Times New Roman"/>
                <w:bCs/>
                <w:sz w:val="26"/>
                <w:szCs w:val="26"/>
              </w:rPr>
              <w:t>(not consolidated)</w:t>
            </w:r>
          </w:p>
        </w:tc>
      </w:tr>
    </w:tbl>
    <w:p w:rsidR="00C51DB3" w:rsidRDefault="00C51DB3" w:rsidP="00256E09"/>
    <w:p w:rsidR="00FD7D42" w:rsidRDefault="00FD7D42" w:rsidP="00256E09"/>
    <w:p w:rsidR="00FD7D42" w:rsidRDefault="00FD7D42" w:rsidP="00256E09"/>
    <w:p w:rsidR="0042772C" w:rsidRPr="00256E09" w:rsidRDefault="00256E09" w:rsidP="00256E09">
      <w:pPr>
        <w:tabs>
          <w:tab w:val="left" w:pos="9360"/>
        </w:tabs>
        <w:spacing w:after="240"/>
        <w:rPr>
          <w:rFonts w:ascii="Times New Roman" w:hAnsi="Times New Roman"/>
          <w:sz w:val="26"/>
          <w:szCs w:val="26"/>
          <w:u w:val="single"/>
        </w:rPr>
      </w:pPr>
      <w:r>
        <w:rPr>
          <w:rFonts w:ascii="Times New Roman" w:hAnsi="Times New Roman"/>
          <w:sz w:val="26"/>
          <w:szCs w:val="26"/>
          <w:u w:val="single"/>
        </w:rPr>
        <w:tab/>
      </w:r>
    </w:p>
    <w:p w:rsidR="00256E09" w:rsidRDefault="006D512F" w:rsidP="00256E09">
      <w:pPr>
        <w:jc w:val="center"/>
        <w:rPr>
          <w:rFonts w:ascii="Times New Roman" w:hAnsi="Times New Roman"/>
          <w:b/>
          <w:sz w:val="32"/>
          <w:szCs w:val="32"/>
        </w:rPr>
      </w:pPr>
      <w:r>
        <w:rPr>
          <w:rFonts w:ascii="Times New Roman" w:hAnsi="Times New Roman"/>
          <w:b/>
          <w:sz w:val="32"/>
          <w:szCs w:val="32"/>
        </w:rPr>
        <w:t xml:space="preserve">MOTION FOR LEAVE TO </w:t>
      </w:r>
      <w:r w:rsidR="003C100B" w:rsidRPr="00256E09">
        <w:rPr>
          <w:rFonts w:ascii="Times New Roman" w:hAnsi="Times New Roman"/>
          <w:b/>
          <w:sz w:val="32"/>
          <w:szCs w:val="32"/>
        </w:rPr>
        <w:t>ANSWER</w:t>
      </w:r>
    </w:p>
    <w:p w:rsidR="006D512F" w:rsidRPr="00256E09" w:rsidRDefault="006D512F" w:rsidP="00256E09">
      <w:pPr>
        <w:jc w:val="center"/>
        <w:rPr>
          <w:rFonts w:ascii="Times New Roman" w:hAnsi="Times New Roman"/>
          <w:b/>
          <w:sz w:val="32"/>
          <w:szCs w:val="32"/>
        </w:rPr>
      </w:pPr>
      <w:r>
        <w:rPr>
          <w:rFonts w:ascii="Times New Roman" w:hAnsi="Times New Roman"/>
          <w:b/>
          <w:sz w:val="32"/>
          <w:szCs w:val="32"/>
        </w:rPr>
        <w:t>AND LIMITED ANSWER</w:t>
      </w:r>
    </w:p>
    <w:p w:rsidR="00821C6D" w:rsidRPr="00256E09" w:rsidRDefault="00256E09" w:rsidP="00256E09">
      <w:pPr>
        <w:jc w:val="center"/>
        <w:rPr>
          <w:rFonts w:ascii="Times New Roman" w:hAnsi="Times New Roman"/>
          <w:b/>
          <w:sz w:val="28"/>
          <w:szCs w:val="28"/>
        </w:rPr>
      </w:pPr>
      <w:r w:rsidRPr="00256E09">
        <w:rPr>
          <w:rFonts w:ascii="Times New Roman" w:hAnsi="Times New Roman"/>
          <w:b/>
          <w:sz w:val="28"/>
          <w:szCs w:val="28"/>
        </w:rPr>
        <w:t xml:space="preserve">SUBMITTED ON BEHALF </w:t>
      </w:r>
      <w:r w:rsidR="00A758E3">
        <w:rPr>
          <w:rFonts w:ascii="Times New Roman" w:hAnsi="Times New Roman"/>
          <w:b/>
          <w:sz w:val="28"/>
          <w:szCs w:val="28"/>
        </w:rPr>
        <w:t>OF</w:t>
      </w:r>
    </w:p>
    <w:p w:rsidR="003C100B" w:rsidRPr="00256E09" w:rsidRDefault="004E3D82" w:rsidP="00256E09">
      <w:pPr>
        <w:jc w:val="center"/>
        <w:rPr>
          <w:rFonts w:ascii="Times New Roman" w:hAnsi="Times New Roman"/>
          <w:b/>
          <w:sz w:val="28"/>
          <w:szCs w:val="28"/>
        </w:rPr>
      </w:pPr>
      <w:r w:rsidRPr="00256E09">
        <w:rPr>
          <w:rFonts w:ascii="Times New Roman" w:hAnsi="Times New Roman"/>
          <w:b/>
          <w:sz w:val="28"/>
          <w:szCs w:val="28"/>
        </w:rPr>
        <w:t>THE PUBLIC UTILITIES COMMISSION OF OHIO</w:t>
      </w:r>
    </w:p>
    <w:p w:rsidR="003C100B" w:rsidRPr="00256E09" w:rsidRDefault="00A758E3" w:rsidP="00256E09">
      <w:pPr>
        <w:jc w:val="center"/>
        <w:rPr>
          <w:rFonts w:ascii="Times New Roman" w:hAnsi="Times New Roman"/>
          <w:b/>
          <w:sz w:val="28"/>
          <w:szCs w:val="28"/>
        </w:rPr>
      </w:pPr>
      <w:r>
        <w:rPr>
          <w:rFonts w:ascii="Times New Roman" w:hAnsi="Times New Roman"/>
          <w:b/>
          <w:sz w:val="28"/>
          <w:szCs w:val="28"/>
        </w:rPr>
        <w:t>TO</w:t>
      </w:r>
      <w:r w:rsidR="003C100B" w:rsidRPr="00256E09">
        <w:rPr>
          <w:rFonts w:ascii="Times New Roman" w:hAnsi="Times New Roman"/>
          <w:b/>
          <w:sz w:val="28"/>
          <w:szCs w:val="28"/>
        </w:rPr>
        <w:t xml:space="preserve"> PJM INTERCONNECTION, L.L.C. </w:t>
      </w:r>
      <w:r w:rsidR="00501169" w:rsidRPr="00256E09">
        <w:rPr>
          <w:rFonts w:ascii="Times New Roman" w:hAnsi="Times New Roman"/>
          <w:b/>
          <w:sz w:val="28"/>
          <w:szCs w:val="28"/>
        </w:rPr>
        <w:t>RESPONSE</w:t>
      </w:r>
    </w:p>
    <w:p w:rsidR="003C100B" w:rsidRDefault="003C100B" w:rsidP="00256E09">
      <w:pPr>
        <w:jc w:val="center"/>
        <w:rPr>
          <w:rFonts w:ascii="Times New Roman" w:hAnsi="Times New Roman"/>
          <w:b/>
          <w:sz w:val="28"/>
          <w:szCs w:val="28"/>
        </w:rPr>
      </w:pPr>
      <w:r w:rsidRPr="00256E09">
        <w:rPr>
          <w:rFonts w:ascii="Times New Roman" w:hAnsi="Times New Roman"/>
          <w:b/>
          <w:sz w:val="28"/>
          <w:szCs w:val="28"/>
        </w:rPr>
        <w:t xml:space="preserve">TO AEP MOTION FOR </w:t>
      </w:r>
      <w:r w:rsidR="004E3D82" w:rsidRPr="00256E09">
        <w:rPr>
          <w:rFonts w:ascii="Times New Roman" w:hAnsi="Times New Roman"/>
          <w:b/>
          <w:sz w:val="28"/>
          <w:szCs w:val="28"/>
        </w:rPr>
        <w:t>EXPEDITED</w:t>
      </w:r>
      <w:r w:rsidRPr="00256E09">
        <w:rPr>
          <w:rFonts w:ascii="Times New Roman" w:hAnsi="Times New Roman"/>
          <w:b/>
          <w:sz w:val="28"/>
          <w:szCs w:val="28"/>
        </w:rPr>
        <w:t xml:space="preserve"> RULING</w:t>
      </w:r>
    </w:p>
    <w:p w:rsidR="00256E09" w:rsidRPr="00256E09" w:rsidRDefault="00256E09" w:rsidP="00256E09">
      <w:pPr>
        <w:tabs>
          <w:tab w:val="left" w:pos="9360"/>
        </w:tabs>
        <w:spacing w:after="240"/>
        <w:rPr>
          <w:rFonts w:ascii="Times New Roman" w:hAnsi="Times New Roman"/>
          <w:sz w:val="26"/>
          <w:szCs w:val="26"/>
          <w:u w:val="single"/>
        </w:rPr>
      </w:pPr>
      <w:r>
        <w:rPr>
          <w:rFonts w:ascii="Times New Roman" w:hAnsi="Times New Roman"/>
          <w:sz w:val="26"/>
          <w:szCs w:val="26"/>
          <w:u w:val="single"/>
        </w:rPr>
        <w:tab/>
      </w:r>
    </w:p>
    <w:p w:rsidR="000C66FC" w:rsidRDefault="000C66FC" w:rsidP="00C50453">
      <w:pPr>
        <w:pStyle w:val="Heading1"/>
      </w:pPr>
    </w:p>
    <w:p w:rsidR="000C66FC" w:rsidRDefault="000C66FC" w:rsidP="00FD7D42"/>
    <w:p w:rsidR="000C66FC" w:rsidRDefault="000C66FC" w:rsidP="00FD7D42"/>
    <w:p w:rsidR="000C66FC" w:rsidRDefault="000C66FC" w:rsidP="00FD7D42">
      <w:pPr>
        <w:jc w:val="center"/>
      </w:pPr>
    </w:p>
    <w:p w:rsidR="000C66FC" w:rsidRDefault="000C66FC" w:rsidP="00FD7D42">
      <w:pPr>
        <w:jc w:val="center"/>
      </w:pPr>
    </w:p>
    <w:p w:rsidR="000C66FC" w:rsidRDefault="000C66FC" w:rsidP="00FD7D42">
      <w:pPr>
        <w:jc w:val="center"/>
      </w:pPr>
    </w:p>
    <w:p w:rsidR="000C66FC" w:rsidRDefault="000C66FC" w:rsidP="00FD7D42">
      <w:pPr>
        <w:jc w:val="center"/>
      </w:pPr>
    </w:p>
    <w:p w:rsidR="000C66FC" w:rsidRDefault="000C66FC" w:rsidP="00FD7D42">
      <w:pPr>
        <w:jc w:val="center"/>
      </w:pPr>
    </w:p>
    <w:p w:rsidR="000C66FC" w:rsidRDefault="000C66FC" w:rsidP="00FD7D42">
      <w:pPr>
        <w:jc w:val="center"/>
      </w:pPr>
    </w:p>
    <w:p w:rsidR="000C66FC" w:rsidRDefault="000C66FC" w:rsidP="00FD7D42">
      <w:pPr>
        <w:jc w:val="center"/>
      </w:pPr>
    </w:p>
    <w:p w:rsidR="000C66FC" w:rsidRDefault="000C66FC" w:rsidP="00FD7D42">
      <w:pPr>
        <w:jc w:val="center"/>
      </w:pPr>
    </w:p>
    <w:p w:rsidR="000C66FC" w:rsidRDefault="000C66FC" w:rsidP="00FD7D42">
      <w:pPr>
        <w:jc w:val="center"/>
      </w:pPr>
    </w:p>
    <w:p w:rsidR="000C66FC" w:rsidRDefault="000C66FC" w:rsidP="00FD7D42">
      <w:pPr>
        <w:jc w:val="center"/>
      </w:pPr>
    </w:p>
    <w:p w:rsidR="000C66FC" w:rsidRDefault="000C66FC" w:rsidP="00FD7D42">
      <w:pPr>
        <w:jc w:val="center"/>
      </w:pPr>
    </w:p>
    <w:p w:rsidR="000C66FC" w:rsidRPr="00FD7D42" w:rsidRDefault="000C66FC" w:rsidP="00FD7D42">
      <w:pPr>
        <w:jc w:val="center"/>
        <w:rPr>
          <w:rFonts w:ascii="Times New Roman" w:hAnsi="Times New Roman"/>
          <w:sz w:val="28"/>
          <w:szCs w:val="28"/>
        </w:rPr>
        <w:sectPr w:rsidR="000C66FC" w:rsidRPr="00FD7D42" w:rsidSect="00256E09">
          <w:headerReference w:type="default" r:id="rId8"/>
          <w:footerReference w:type="default" r:id="rId9"/>
          <w:pgSz w:w="12240" w:h="15840"/>
          <w:pgMar w:top="1440" w:right="1440" w:bottom="1440" w:left="1440" w:header="720" w:footer="720" w:gutter="0"/>
          <w:cols w:space="720"/>
          <w:titlePg/>
          <w:docGrid w:linePitch="360"/>
        </w:sectPr>
      </w:pPr>
      <w:r w:rsidRPr="00FD7D42">
        <w:rPr>
          <w:rFonts w:ascii="Times New Roman" w:hAnsi="Times New Roman"/>
          <w:sz w:val="28"/>
          <w:szCs w:val="28"/>
        </w:rPr>
        <w:t>March 22, 2012</w:t>
      </w:r>
    </w:p>
    <w:p w:rsidR="000C66FC" w:rsidRPr="00256E09" w:rsidRDefault="000C66FC" w:rsidP="000C66FC">
      <w:pPr>
        <w:tabs>
          <w:tab w:val="left" w:pos="9360"/>
        </w:tabs>
        <w:spacing w:after="240"/>
        <w:rPr>
          <w:rFonts w:ascii="Times New Roman" w:hAnsi="Times New Roman"/>
          <w:sz w:val="26"/>
          <w:szCs w:val="26"/>
          <w:u w:val="single"/>
        </w:rPr>
      </w:pPr>
      <w:r>
        <w:rPr>
          <w:rFonts w:ascii="Times New Roman" w:hAnsi="Times New Roman"/>
          <w:sz w:val="26"/>
          <w:szCs w:val="26"/>
          <w:u w:val="single"/>
        </w:rPr>
        <w:lastRenderedPageBreak/>
        <w:tab/>
      </w:r>
    </w:p>
    <w:p w:rsidR="001A3E2C" w:rsidRPr="00FD7D42" w:rsidRDefault="00DD777C" w:rsidP="00FD7D42">
      <w:pPr>
        <w:jc w:val="center"/>
        <w:rPr>
          <w:rFonts w:ascii="Times New Roman" w:hAnsi="Times New Roman"/>
          <w:b/>
          <w:sz w:val="28"/>
          <w:szCs w:val="28"/>
        </w:rPr>
      </w:pPr>
      <w:r w:rsidRPr="00FD7D42">
        <w:rPr>
          <w:rFonts w:ascii="Times New Roman" w:hAnsi="Times New Roman"/>
          <w:b/>
          <w:sz w:val="28"/>
          <w:szCs w:val="28"/>
        </w:rPr>
        <w:t>MOTION</w:t>
      </w:r>
      <w:r w:rsidR="000426E3" w:rsidRPr="00FD7D42">
        <w:rPr>
          <w:rFonts w:ascii="Times New Roman" w:hAnsi="Times New Roman"/>
          <w:b/>
          <w:sz w:val="28"/>
          <w:szCs w:val="28"/>
        </w:rPr>
        <w:t xml:space="preserve"> </w:t>
      </w:r>
      <w:r w:rsidR="006D512F" w:rsidRPr="00FD7D42">
        <w:rPr>
          <w:rFonts w:ascii="Times New Roman" w:hAnsi="Times New Roman"/>
          <w:b/>
          <w:sz w:val="28"/>
          <w:szCs w:val="28"/>
        </w:rPr>
        <w:t xml:space="preserve">FOR LEAVE </w:t>
      </w:r>
      <w:r w:rsidR="000426E3" w:rsidRPr="00FD7D42">
        <w:rPr>
          <w:rFonts w:ascii="Times New Roman" w:hAnsi="Times New Roman"/>
          <w:b/>
          <w:sz w:val="28"/>
          <w:szCs w:val="28"/>
        </w:rPr>
        <w:t>TO ANSWER</w:t>
      </w:r>
    </w:p>
    <w:p w:rsidR="000C66FC" w:rsidRPr="00256E09" w:rsidRDefault="000C66FC" w:rsidP="000C66FC">
      <w:pPr>
        <w:tabs>
          <w:tab w:val="left" w:pos="9360"/>
        </w:tabs>
        <w:spacing w:after="240"/>
        <w:rPr>
          <w:rFonts w:ascii="Times New Roman" w:hAnsi="Times New Roman"/>
          <w:sz w:val="26"/>
          <w:szCs w:val="26"/>
          <w:u w:val="single"/>
        </w:rPr>
      </w:pPr>
      <w:r>
        <w:rPr>
          <w:rFonts w:ascii="Times New Roman" w:hAnsi="Times New Roman"/>
          <w:sz w:val="26"/>
          <w:szCs w:val="26"/>
          <w:u w:val="single"/>
        </w:rPr>
        <w:tab/>
      </w:r>
    </w:p>
    <w:p w:rsidR="00DD777C" w:rsidRDefault="00256E09" w:rsidP="00256E09">
      <w:pPr>
        <w:pStyle w:val="TEXTSTYLEl"/>
        <w:ind w:firstLine="0"/>
      </w:pPr>
      <w:r>
        <w:tab/>
      </w:r>
      <w:r w:rsidR="00DD777C" w:rsidRPr="00DD777C">
        <w:t>Pursuant to Rules 212 and 213 of the Rules of Practice and Procedure of the Federal Energy Regulatory Commission (</w:t>
      </w:r>
      <w:r w:rsidR="00463BF7">
        <w:t>“</w:t>
      </w:r>
      <w:r w:rsidR="00DD777C">
        <w:t>FERC</w:t>
      </w:r>
      <w:r w:rsidR="00463BF7">
        <w:t>”</w:t>
      </w:r>
      <w:r w:rsidR="00DD777C" w:rsidRPr="00DD777C">
        <w:t>),  The Public Utilities Commission of Ohio (</w:t>
      </w:r>
      <w:r w:rsidR="00463BF7">
        <w:t>“</w:t>
      </w:r>
      <w:r w:rsidR="00DD777C" w:rsidRPr="00DD777C">
        <w:t>Ohio Commission</w:t>
      </w:r>
      <w:r w:rsidR="00463BF7">
        <w:t>”</w:t>
      </w:r>
      <w:r w:rsidR="00DD777C">
        <w:t xml:space="preserve"> or </w:t>
      </w:r>
      <w:r w:rsidR="00463BF7">
        <w:t>“</w:t>
      </w:r>
      <w:r w:rsidR="00DD777C">
        <w:t>PUCO</w:t>
      </w:r>
      <w:r w:rsidR="00463BF7">
        <w:t>”</w:t>
      </w:r>
      <w:r w:rsidR="00DD777C" w:rsidRPr="00DD777C">
        <w:t>) moves for leave to answer and answers the March 15, 2012 Response of PJM Interconnection, L.L.C. (</w:t>
      </w:r>
      <w:r w:rsidR="00463BF7">
        <w:t>“</w:t>
      </w:r>
      <w:r w:rsidR="00DD777C" w:rsidRPr="00DD777C">
        <w:t>PJM Response</w:t>
      </w:r>
      <w:r w:rsidR="00463BF7">
        <w:t>”</w:t>
      </w:r>
      <w:r w:rsidR="00DD777C" w:rsidRPr="00DD777C">
        <w:t>) in these proceedings</w:t>
      </w:r>
      <w:r w:rsidR="004E3D82" w:rsidRPr="00DD777C">
        <w:t xml:space="preserve">.  </w:t>
      </w:r>
      <w:r w:rsidR="00DD777C" w:rsidRPr="00DD777C">
        <w:t xml:space="preserve">The Ohio Commission respectfully requests that it be permitted to answer the PJM Response, which raises new arguments that PJM has never advanced in these proceedings.  Good cause exists to accept the Limited Answer set forth below as it will assist </w:t>
      </w:r>
      <w:r w:rsidR="00DD777C">
        <w:t xml:space="preserve">FERC’s </w:t>
      </w:r>
      <w:r w:rsidR="00DD777C" w:rsidRPr="00DD777C">
        <w:t>decision making process.</w:t>
      </w:r>
    </w:p>
    <w:p w:rsidR="000C66FC" w:rsidRDefault="000C66FC" w:rsidP="000C66FC">
      <w:pPr>
        <w:pStyle w:val="Textstyle"/>
        <w:ind w:left="4320"/>
        <w:rPr>
          <w:lang w:val="en-US"/>
        </w:rPr>
      </w:pPr>
      <w:r w:rsidRPr="00292490">
        <w:t>Respectfully submitted,</w:t>
      </w:r>
    </w:p>
    <w:p w:rsidR="00FD7D42" w:rsidRPr="00FD7D42" w:rsidRDefault="00FD7D42" w:rsidP="000C66FC">
      <w:pPr>
        <w:pStyle w:val="Textstyle"/>
        <w:ind w:left="4320"/>
        <w:rPr>
          <w:lang w:val="en-US"/>
        </w:rPr>
      </w:pPr>
    </w:p>
    <w:p w:rsidR="000C66FC" w:rsidRPr="00DD0BFC" w:rsidRDefault="000C66FC" w:rsidP="000C66FC">
      <w:pPr>
        <w:pStyle w:val="Textstyle"/>
        <w:tabs>
          <w:tab w:val="left" w:pos="9360"/>
        </w:tabs>
        <w:spacing w:line="240" w:lineRule="auto"/>
        <w:ind w:left="4320"/>
        <w:rPr>
          <w:rFonts w:ascii="Brush Script MT" w:hAnsi="Brush Script MT"/>
          <w:i/>
          <w:sz w:val="36"/>
          <w:szCs w:val="36"/>
          <w:u w:val="single"/>
        </w:rPr>
      </w:pPr>
      <w:r w:rsidRPr="00DD0BFC">
        <w:rPr>
          <w:rFonts w:ascii="Brush Script MT" w:hAnsi="Brush Script MT"/>
          <w:i/>
          <w:sz w:val="36"/>
          <w:szCs w:val="36"/>
          <w:u w:val="single"/>
        </w:rPr>
        <w:t>/s/ Thomas W. McNamee</w:t>
      </w:r>
      <w:r w:rsidRPr="00DD0BFC">
        <w:rPr>
          <w:rFonts w:ascii="Brush Script MT" w:hAnsi="Brush Script MT"/>
          <w:i/>
          <w:sz w:val="36"/>
          <w:szCs w:val="36"/>
          <w:u w:val="single"/>
        </w:rPr>
        <w:tab/>
      </w:r>
    </w:p>
    <w:p w:rsidR="000C66FC" w:rsidRPr="00292490" w:rsidRDefault="000C66FC" w:rsidP="000C66FC">
      <w:pPr>
        <w:pStyle w:val="BodyTextIndent2"/>
        <w:ind w:left="4320" w:firstLine="0"/>
        <w:rPr>
          <w:b/>
          <w:szCs w:val="24"/>
        </w:rPr>
      </w:pPr>
      <w:r w:rsidRPr="00292490">
        <w:rPr>
          <w:b/>
          <w:szCs w:val="24"/>
        </w:rPr>
        <w:t>Thomas W. McNamee</w:t>
      </w:r>
    </w:p>
    <w:p w:rsidR="000C66FC" w:rsidRPr="00292490" w:rsidRDefault="000C66FC" w:rsidP="000C66FC">
      <w:pPr>
        <w:pStyle w:val="BodyTextIndent2"/>
        <w:ind w:left="4320" w:firstLine="0"/>
        <w:rPr>
          <w:szCs w:val="24"/>
        </w:rPr>
      </w:pPr>
      <w:r w:rsidRPr="00292490">
        <w:rPr>
          <w:szCs w:val="24"/>
        </w:rPr>
        <w:t>Public Utilities Section</w:t>
      </w:r>
    </w:p>
    <w:p w:rsidR="000C66FC" w:rsidRPr="00292490" w:rsidRDefault="000C66FC" w:rsidP="000C66FC">
      <w:pPr>
        <w:pStyle w:val="BodyTextIndent2"/>
        <w:ind w:left="4320" w:firstLine="0"/>
        <w:rPr>
          <w:szCs w:val="24"/>
        </w:rPr>
      </w:pPr>
      <w:r w:rsidRPr="00292490">
        <w:rPr>
          <w:szCs w:val="24"/>
        </w:rPr>
        <w:t>180 East Broad Street</w:t>
      </w:r>
    </w:p>
    <w:p w:rsidR="000C66FC" w:rsidRPr="00292490" w:rsidRDefault="000C66FC" w:rsidP="000C66FC">
      <w:pPr>
        <w:pStyle w:val="BodyTextIndent2"/>
        <w:ind w:left="4320" w:firstLine="0"/>
        <w:rPr>
          <w:szCs w:val="24"/>
        </w:rPr>
      </w:pPr>
      <w:r w:rsidRPr="00292490">
        <w:rPr>
          <w:szCs w:val="24"/>
        </w:rPr>
        <w:t>Columbus, OH 43215-3793</w:t>
      </w:r>
    </w:p>
    <w:p w:rsidR="000C66FC" w:rsidRPr="00821C6D" w:rsidRDefault="000C66FC" w:rsidP="000C66FC">
      <w:pPr>
        <w:pStyle w:val="BodyTextIndent2"/>
        <w:ind w:left="4320" w:firstLine="0"/>
        <w:rPr>
          <w:szCs w:val="24"/>
          <w:lang w:val="en-US"/>
        </w:rPr>
      </w:pPr>
      <w:r>
        <w:rPr>
          <w:szCs w:val="24"/>
          <w:lang w:val="en-US"/>
        </w:rPr>
        <w:t>614.</w:t>
      </w:r>
      <w:r w:rsidRPr="00292490">
        <w:rPr>
          <w:szCs w:val="24"/>
        </w:rPr>
        <w:t>466</w:t>
      </w:r>
      <w:r>
        <w:rPr>
          <w:szCs w:val="24"/>
          <w:lang w:val="en-US"/>
        </w:rPr>
        <w:t>.</w:t>
      </w:r>
      <w:r w:rsidRPr="00292490">
        <w:rPr>
          <w:szCs w:val="24"/>
        </w:rPr>
        <w:t>4396</w:t>
      </w:r>
      <w:r>
        <w:rPr>
          <w:szCs w:val="24"/>
          <w:lang w:val="en-US"/>
        </w:rPr>
        <w:t xml:space="preserve"> (telephone)</w:t>
      </w:r>
    </w:p>
    <w:p w:rsidR="000C66FC" w:rsidRDefault="000C66FC" w:rsidP="000C66FC">
      <w:pPr>
        <w:pStyle w:val="BodyTextIndent2"/>
        <w:ind w:left="4320" w:firstLine="0"/>
        <w:rPr>
          <w:szCs w:val="24"/>
          <w:lang w:val="en-US"/>
        </w:rPr>
      </w:pPr>
      <w:r>
        <w:rPr>
          <w:szCs w:val="24"/>
          <w:lang w:val="en-US"/>
        </w:rPr>
        <w:t>614.</w:t>
      </w:r>
      <w:r w:rsidRPr="00292490">
        <w:rPr>
          <w:szCs w:val="24"/>
        </w:rPr>
        <w:t>644</w:t>
      </w:r>
      <w:r>
        <w:rPr>
          <w:szCs w:val="24"/>
          <w:lang w:val="en-US"/>
        </w:rPr>
        <w:t>.</w:t>
      </w:r>
      <w:r w:rsidRPr="00292490">
        <w:rPr>
          <w:szCs w:val="24"/>
        </w:rPr>
        <w:t>8764</w:t>
      </w:r>
      <w:r>
        <w:rPr>
          <w:szCs w:val="24"/>
          <w:lang w:val="en-US"/>
        </w:rPr>
        <w:t xml:space="preserve"> (fax)</w:t>
      </w:r>
    </w:p>
    <w:p w:rsidR="000C66FC" w:rsidRDefault="00A758E3" w:rsidP="000C66FC">
      <w:pPr>
        <w:pStyle w:val="BodyTextIndent2"/>
        <w:ind w:left="4320" w:firstLine="0"/>
        <w:rPr>
          <w:szCs w:val="24"/>
          <w:lang w:val="en-US"/>
        </w:rPr>
      </w:pPr>
      <w:hyperlink r:id="rId10" w:history="1">
        <w:r w:rsidR="000C66FC" w:rsidRPr="00F047E2">
          <w:rPr>
            <w:rStyle w:val="Hyperlink"/>
            <w:szCs w:val="24"/>
            <w:lang w:val="en-US"/>
          </w:rPr>
          <w:t>thomas.mcnamee@puc.state.oh.us</w:t>
        </w:r>
      </w:hyperlink>
    </w:p>
    <w:p w:rsidR="000C66FC" w:rsidRPr="00821C6D" w:rsidRDefault="000C66FC" w:rsidP="000C66FC">
      <w:pPr>
        <w:pStyle w:val="BodyTextIndent2"/>
        <w:ind w:left="4320" w:firstLine="0"/>
        <w:rPr>
          <w:szCs w:val="24"/>
          <w:lang w:val="en-US"/>
        </w:rPr>
      </w:pPr>
    </w:p>
    <w:p w:rsidR="000C66FC" w:rsidRPr="00292490" w:rsidRDefault="000C66FC" w:rsidP="000C66FC">
      <w:pPr>
        <w:pStyle w:val="BodyTextIndent2"/>
        <w:ind w:left="4320" w:firstLine="0"/>
        <w:rPr>
          <w:b/>
          <w:szCs w:val="24"/>
        </w:rPr>
      </w:pPr>
      <w:r w:rsidRPr="00292490">
        <w:rPr>
          <w:b/>
          <w:szCs w:val="24"/>
        </w:rPr>
        <w:t xml:space="preserve">On behalf of </w:t>
      </w:r>
    </w:p>
    <w:p w:rsidR="000C66FC" w:rsidRPr="00292490" w:rsidRDefault="000C66FC" w:rsidP="000C66FC">
      <w:pPr>
        <w:pStyle w:val="BodyTextIndent2"/>
        <w:ind w:left="4320" w:firstLine="0"/>
        <w:rPr>
          <w:sz w:val="26"/>
          <w:szCs w:val="26"/>
        </w:rPr>
      </w:pPr>
      <w:r w:rsidRPr="00292490">
        <w:rPr>
          <w:szCs w:val="24"/>
        </w:rPr>
        <w:t>The Public Utilities Commission of Ohio</w:t>
      </w:r>
    </w:p>
    <w:p w:rsidR="000C66FC" w:rsidRDefault="000C66FC" w:rsidP="00256E09">
      <w:pPr>
        <w:pStyle w:val="TEXTSTYLEl"/>
        <w:ind w:firstLine="0"/>
        <w:sectPr w:rsidR="000C66FC" w:rsidSect="00256E09">
          <w:headerReference w:type="first" r:id="rId11"/>
          <w:footerReference w:type="first" r:id="rId12"/>
          <w:pgSz w:w="12240" w:h="15840"/>
          <w:pgMar w:top="1440" w:right="1440" w:bottom="1440" w:left="1440" w:header="720" w:footer="720" w:gutter="0"/>
          <w:cols w:space="720"/>
          <w:titlePg/>
          <w:docGrid w:linePitch="360"/>
        </w:sectPr>
      </w:pPr>
    </w:p>
    <w:p w:rsidR="000C66FC" w:rsidRPr="00256E09" w:rsidRDefault="000C66FC" w:rsidP="000C66FC">
      <w:pPr>
        <w:tabs>
          <w:tab w:val="left" w:pos="9360"/>
        </w:tabs>
        <w:spacing w:after="240"/>
        <w:rPr>
          <w:rFonts w:ascii="Times New Roman" w:hAnsi="Times New Roman"/>
          <w:sz w:val="26"/>
          <w:szCs w:val="26"/>
          <w:u w:val="single"/>
        </w:rPr>
      </w:pPr>
      <w:r>
        <w:rPr>
          <w:rFonts w:ascii="Times New Roman" w:hAnsi="Times New Roman"/>
          <w:sz w:val="26"/>
          <w:szCs w:val="26"/>
          <w:u w:val="single"/>
        </w:rPr>
        <w:lastRenderedPageBreak/>
        <w:tab/>
      </w:r>
    </w:p>
    <w:p w:rsidR="006D512F" w:rsidRPr="00FD7D42" w:rsidRDefault="000C66FC" w:rsidP="00FD7D42">
      <w:pPr>
        <w:jc w:val="center"/>
        <w:rPr>
          <w:rFonts w:ascii="Times New Roman" w:hAnsi="Times New Roman"/>
          <w:b/>
          <w:sz w:val="28"/>
          <w:szCs w:val="28"/>
        </w:rPr>
      </w:pPr>
      <w:r w:rsidRPr="00FD7D42">
        <w:rPr>
          <w:rFonts w:ascii="Times New Roman" w:hAnsi="Times New Roman"/>
          <w:b/>
          <w:sz w:val="28"/>
          <w:szCs w:val="28"/>
        </w:rPr>
        <w:t>LIMITED ANSWER</w:t>
      </w:r>
    </w:p>
    <w:p w:rsidR="000C66FC" w:rsidRPr="00256E09" w:rsidRDefault="000C66FC" w:rsidP="000C66FC">
      <w:pPr>
        <w:tabs>
          <w:tab w:val="left" w:pos="9360"/>
        </w:tabs>
        <w:spacing w:after="240"/>
        <w:rPr>
          <w:rFonts w:ascii="Times New Roman" w:hAnsi="Times New Roman"/>
          <w:sz w:val="26"/>
          <w:szCs w:val="26"/>
          <w:u w:val="single"/>
        </w:rPr>
      </w:pPr>
      <w:r>
        <w:rPr>
          <w:rFonts w:ascii="Times New Roman" w:hAnsi="Times New Roman"/>
          <w:sz w:val="26"/>
          <w:szCs w:val="26"/>
          <w:u w:val="single"/>
        </w:rPr>
        <w:tab/>
      </w:r>
    </w:p>
    <w:p w:rsidR="00255071" w:rsidRDefault="00255071" w:rsidP="00C50453">
      <w:pPr>
        <w:pStyle w:val="Heading1"/>
      </w:pPr>
      <w:r w:rsidRPr="00292490">
        <w:t>INTRODUCTION AND BACKGROUND</w:t>
      </w:r>
    </w:p>
    <w:p w:rsidR="00501169" w:rsidRDefault="00501169" w:rsidP="00256E09">
      <w:pPr>
        <w:pStyle w:val="Textstyle"/>
      </w:pPr>
      <w:r>
        <w:tab/>
      </w:r>
      <w:r w:rsidRPr="00501169">
        <w:t>On April 4, 2011, American Electric Power Service Corporation (</w:t>
      </w:r>
      <w:r w:rsidR="00F6631D">
        <w:t>“</w:t>
      </w:r>
      <w:r w:rsidRPr="00501169">
        <w:t>AEP</w:t>
      </w:r>
      <w:r w:rsidR="00F6631D">
        <w:t>”</w:t>
      </w:r>
      <w:r w:rsidRPr="00501169">
        <w:t>) filed a com</w:t>
      </w:r>
      <w:r w:rsidRPr="00501169">
        <w:softHyphen/>
        <w:t>plaint pursuant to Section 206 of the Federal Power Act (</w:t>
      </w:r>
      <w:r w:rsidR="00F6631D">
        <w:t>“</w:t>
      </w:r>
      <w:r w:rsidRPr="00501169">
        <w:t>FPA</w:t>
      </w:r>
      <w:r w:rsidR="00F6631D">
        <w:t>”</w:t>
      </w:r>
      <w:r w:rsidRPr="00501169">
        <w:t>), 16 U.S.C. § 824e (2006) and Rule 206 of the FERC</w:t>
      </w:r>
      <w:r w:rsidR="00463BF7">
        <w:t>’s</w:t>
      </w:r>
      <w:r w:rsidRPr="00501169">
        <w:t xml:space="preserve"> Rules of Practice and Procedure, 18 C.F.R. § 385.206 (2010).  </w:t>
      </w:r>
      <w:r w:rsidR="00F6631D">
        <w:t xml:space="preserve">AEP’s complaint, on behalf of Ohio Power Company and the Columbus Southern Power Company (“AEP-Ohio”) </w:t>
      </w:r>
      <w:r w:rsidRPr="00501169">
        <w:t>seeks modifica</w:t>
      </w:r>
      <w:r w:rsidRPr="00501169">
        <w:softHyphen/>
        <w:t>tions to Schedule 8.1, Section D.8 to the PJM Interconnection, L.L.C. (</w:t>
      </w:r>
      <w:r w:rsidR="00F6631D">
        <w:t>“</w:t>
      </w:r>
      <w:r w:rsidRPr="00501169">
        <w:t>PJM</w:t>
      </w:r>
      <w:r w:rsidR="00F6631D">
        <w:t>”</w:t>
      </w:r>
      <w:r w:rsidRPr="00501169">
        <w:t>) Reliability Assurance Agreement (</w:t>
      </w:r>
      <w:r w:rsidR="00F6631D">
        <w:t>“</w:t>
      </w:r>
      <w:r w:rsidRPr="00501169">
        <w:t>RAA</w:t>
      </w:r>
      <w:r w:rsidR="00F6631D">
        <w:t>”</w:t>
      </w:r>
      <w:r w:rsidRPr="00501169">
        <w:t xml:space="preserve">).  AEP’s complaint is in response to FERC’s order issued on January 20, 2011, in Docket No. ER11-2183.  </w:t>
      </w:r>
    </w:p>
    <w:p w:rsidR="003C100B" w:rsidRDefault="00DD777C" w:rsidP="00256E09">
      <w:pPr>
        <w:pStyle w:val="Textstyle"/>
      </w:pPr>
      <w:r>
        <w:tab/>
      </w:r>
      <w:r w:rsidR="00501169">
        <w:t>On February 29, 2012, AEP filed at FERC a Motion for Expedited Ruling alleging</w:t>
      </w:r>
      <w:r w:rsidR="00F6631D">
        <w:t xml:space="preserve"> that, among other things,</w:t>
      </w:r>
      <w:r w:rsidR="00501169">
        <w:t xml:space="preserve"> the Ohio Commission has implemented the FRR provisions in a manner that </w:t>
      </w:r>
      <w:r w:rsidR="001528B5">
        <w:t>is</w:t>
      </w:r>
      <w:r w:rsidR="00501169">
        <w:t xml:space="preserve"> causing the company to incur substantial harm.</w:t>
      </w:r>
    </w:p>
    <w:p w:rsidR="00255071" w:rsidRPr="00292490" w:rsidRDefault="00DD777C" w:rsidP="00256E09">
      <w:pPr>
        <w:pStyle w:val="Textstyle"/>
        <w:rPr>
          <w:bCs/>
          <w:szCs w:val="26"/>
        </w:rPr>
      </w:pPr>
      <w:r>
        <w:tab/>
      </w:r>
      <w:r w:rsidR="00501169">
        <w:t xml:space="preserve">On March 15, 2012, </w:t>
      </w:r>
      <w:r w:rsidR="00F6631D">
        <w:t xml:space="preserve">PJM filed at FERC </w:t>
      </w:r>
      <w:r w:rsidR="00C50453">
        <w:t>its</w:t>
      </w:r>
      <w:r w:rsidR="00F6631D">
        <w:t xml:space="preserve"> Response to AEP’s Motion for Expedited Rulings.  In its </w:t>
      </w:r>
      <w:r>
        <w:t>Response</w:t>
      </w:r>
      <w:r w:rsidR="00F6631D">
        <w:t xml:space="preserve">, PJM requests that FERC </w:t>
      </w:r>
      <w:r w:rsidR="00C50453">
        <w:t>expeditiously</w:t>
      </w:r>
      <w:r w:rsidR="00F6631D">
        <w:t xml:space="preserve"> provide the Ohio Commission</w:t>
      </w:r>
      <w:r w:rsidR="00C50453">
        <w:t xml:space="preserve"> important guidance </w:t>
      </w:r>
      <w:r w:rsidR="00F6631D">
        <w:t xml:space="preserve">to resolve FRR capacity issues that have been in dispute in the State of Ohio for over a year.  </w:t>
      </w:r>
      <w:r w:rsidR="00255071" w:rsidRPr="00292490">
        <w:rPr>
          <w:bCs/>
          <w:szCs w:val="26"/>
        </w:rPr>
        <w:t>The Ohio Commis</w:t>
      </w:r>
      <w:r w:rsidR="00821C6D">
        <w:rPr>
          <w:bCs/>
          <w:szCs w:val="26"/>
        </w:rPr>
        <w:softHyphen/>
      </w:r>
      <w:r w:rsidR="00255071" w:rsidRPr="00292490">
        <w:rPr>
          <w:bCs/>
          <w:szCs w:val="26"/>
        </w:rPr>
        <w:t xml:space="preserve">sion hereby </w:t>
      </w:r>
      <w:r w:rsidR="00F6631D">
        <w:rPr>
          <w:bCs/>
          <w:szCs w:val="26"/>
        </w:rPr>
        <w:t xml:space="preserve">respectfully </w:t>
      </w:r>
      <w:r w:rsidR="00255071" w:rsidRPr="00292490">
        <w:rPr>
          <w:bCs/>
          <w:szCs w:val="26"/>
        </w:rPr>
        <w:t xml:space="preserve">submits its </w:t>
      </w:r>
      <w:r w:rsidR="00F6631D">
        <w:rPr>
          <w:bCs/>
          <w:szCs w:val="26"/>
        </w:rPr>
        <w:t xml:space="preserve">answer to PJM’s </w:t>
      </w:r>
      <w:r>
        <w:rPr>
          <w:bCs/>
          <w:szCs w:val="26"/>
        </w:rPr>
        <w:t>Response</w:t>
      </w:r>
      <w:r w:rsidR="00F6631D">
        <w:rPr>
          <w:bCs/>
          <w:szCs w:val="26"/>
        </w:rPr>
        <w:t xml:space="preserve"> to AEP’s Motion for Expedited Ruling.</w:t>
      </w:r>
    </w:p>
    <w:p w:rsidR="00255071" w:rsidRDefault="00255071" w:rsidP="00C50453">
      <w:pPr>
        <w:pStyle w:val="Heading1"/>
      </w:pPr>
      <w:r w:rsidRPr="00292490">
        <w:lastRenderedPageBreak/>
        <w:t>DISCUSSION</w:t>
      </w:r>
    </w:p>
    <w:p w:rsidR="00DD777C" w:rsidRDefault="00F6631D" w:rsidP="00256E09">
      <w:pPr>
        <w:pStyle w:val="Textstyle"/>
      </w:pPr>
      <w:r>
        <w:tab/>
        <w:t>PJM contends, among other things, there remains significant uncertainty as to when the Ohio Commission will issue a final order to establish the appropriate FRR capacity price applicable to competitive retail electric service (“CRES”) providers and that the Ohio Commission’s actions to date are in conflict with section</w:t>
      </w:r>
      <w:r w:rsidRPr="00F6631D">
        <w:t xml:space="preserve"> </w:t>
      </w:r>
      <w:r w:rsidRPr="00501169">
        <w:t xml:space="preserve">Schedule 8.1, Section D.8 </w:t>
      </w:r>
      <w:r>
        <w:t>of the RAA.</w:t>
      </w:r>
      <w:r>
        <w:rPr>
          <w:rStyle w:val="FootnoteReference"/>
        </w:rPr>
        <w:footnoteReference w:id="1"/>
      </w:r>
      <w:r>
        <w:t xml:space="preserve">  </w:t>
      </w:r>
      <w:r w:rsidR="00DD777C">
        <w:t xml:space="preserve">PJM further contends, there remains significant uncertainty as to when the Ohio Commission will issue a final order to establish the appropriate FRR capacity price applicable to </w:t>
      </w:r>
      <w:r w:rsidR="00C50453">
        <w:t>C</w:t>
      </w:r>
      <w:r w:rsidR="00DD777C">
        <w:t>RES providers</w:t>
      </w:r>
      <w:r w:rsidR="00C50453">
        <w:t xml:space="preserve"> in the State of Ohio</w:t>
      </w:r>
      <w:r w:rsidR="00DD777C">
        <w:t xml:space="preserve">.  </w:t>
      </w:r>
    </w:p>
    <w:p w:rsidR="00C50453" w:rsidRDefault="00C50453" w:rsidP="00F6631D">
      <w:pPr>
        <w:tabs>
          <w:tab w:val="left" w:pos="720"/>
        </w:tabs>
        <w:spacing w:line="480" w:lineRule="auto"/>
        <w:jc w:val="both"/>
        <w:rPr>
          <w:rFonts w:ascii="Times New Roman" w:hAnsi="Times New Roman"/>
          <w:sz w:val="26"/>
          <w:szCs w:val="24"/>
        </w:rPr>
      </w:pPr>
    </w:p>
    <w:p w:rsidR="00C50453" w:rsidRPr="00256E09" w:rsidRDefault="00DD777C" w:rsidP="00256E09">
      <w:pPr>
        <w:pStyle w:val="Textstyle"/>
        <w:rPr>
          <w:lang w:val="en-US"/>
        </w:rPr>
      </w:pPr>
      <w:r>
        <w:lastRenderedPageBreak/>
        <w:tab/>
      </w:r>
      <w:r w:rsidR="00F6631D">
        <w:t xml:space="preserve">Contrary to PJM’s </w:t>
      </w:r>
      <w:r w:rsidR="00C50453">
        <w:t>concerns</w:t>
      </w:r>
      <w:r w:rsidR="00AB2AF8">
        <w:rPr>
          <w:lang w:val="en-US"/>
        </w:rPr>
        <w:t xml:space="preserve"> about uncertainty</w:t>
      </w:r>
      <w:r w:rsidR="00F6631D">
        <w:t xml:space="preserve">, the Ohio Commission </w:t>
      </w:r>
      <w:r w:rsidR="007C57D8">
        <w:t>has established an aggressive hearing schedule to resolve the AEP-Ohio CRES capacity issue since AEP-Ohio’s Standard Service Offer (SSO) plan has been disapproved,</w:t>
      </w:r>
      <w:r w:rsidR="007C57D8">
        <w:rPr>
          <w:rStyle w:val="FootnoteReference"/>
        </w:rPr>
        <w:footnoteReference w:id="2"/>
      </w:r>
      <w:r w:rsidR="007C57D8">
        <w:rPr>
          <w:lang w:val="en-US"/>
        </w:rPr>
        <w:t xml:space="preserve"> and the Ohio Commission </w:t>
      </w:r>
      <w:r>
        <w:t xml:space="preserve">is </w:t>
      </w:r>
      <w:r w:rsidR="00F6631D">
        <w:t xml:space="preserve">committed to aggressively resolving once and for all the issue of AEP’s capacity charges to </w:t>
      </w:r>
      <w:proofErr w:type="spellStart"/>
      <w:r w:rsidR="00F6631D">
        <w:t>CRES</w:t>
      </w:r>
      <w:proofErr w:type="spellEnd"/>
      <w:r w:rsidR="00F6631D">
        <w:t xml:space="preserve"> providers.</w:t>
      </w:r>
      <w:r w:rsidR="001528B5">
        <w:t xml:space="preserve">  O</w:t>
      </w:r>
      <w:r w:rsidR="00F6631D">
        <w:t>n March 14, 2012, the PUCO issued an entry in Docket No. 10-2929-EL-UNC</w:t>
      </w:r>
      <w:r w:rsidR="00F6631D">
        <w:rPr>
          <w:rStyle w:val="FootnoteReference"/>
        </w:rPr>
        <w:footnoteReference w:id="3"/>
      </w:r>
      <w:r w:rsidR="00F6631D">
        <w:t xml:space="preserve"> </w:t>
      </w:r>
      <w:r w:rsidR="00C50453">
        <w:t xml:space="preserve">establishing an abbreviated </w:t>
      </w:r>
      <w:r w:rsidR="00F6631D">
        <w:t>hearing schedule timeline</w:t>
      </w:r>
      <w:r w:rsidR="00C50453">
        <w:t xml:space="preserve">, which </w:t>
      </w:r>
      <w:r w:rsidR="001528B5">
        <w:t>establishes a</w:t>
      </w:r>
      <w:r w:rsidR="00F6631D">
        <w:t xml:space="preserve"> hearing date </w:t>
      </w:r>
      <w:r w:rsidR="001528B5">
        <w:t xml:space="preserve">beginning </w:t>
      </w:r>
      <w:r w:rsidR="00F6631D">
        <w:t xml:space="preserve">on April 17, 2012.  </w:t>
      </w:r>
      <w:r w:rsidR="007C57D8">
        <w:rPr>
          <w:lang w:val="en-US"/>
        </w:rPr>
        <w:t xml:space="preserve">Moreover, </w:t>
      </w:r>
      <w:proofErr w:type="spellStart"/>
      <w:r w:rsidR="007C57D8">
        <w:rPr>
          <w:lang w:val="en-US"/>
        </w:rPr>
        <w:t>i</w:t>
      </w:r>
      <w:proofErr w:type="spellEnd"/>
      <w:r>
        <w:t>n this same proceeding, in an attempt t</w:t>
      </w:r>
      <w:r w:rsidR="00F6631D">
        <w:t xml:space="preserve">o ensure marketplace stability during the pendency of this matter, the Ohio Commission granted, with exceptions, AEP-Ohio’s motion for interim relief to maintain the status quo </w:t>
      </w:r>
      <w:r w:rsidR="001528B5">
        <w:t xml:space="preserve">approved in its disapproved stipulation </w:t>
      </w:r>
      <w:r w:rsidR="00F6631D">
        <w:t xml:space="preserve">to continue to use a two-tier pricing mechanism for CRES capacity pricing.  Tier-one customers are entitled to pricing set by </w:t>
      </w:r>
      <w:r w:rsidR="00C50453">
        <w:t>PJM’s</w:t>
      </w:r>
      <w:r w:rsidR="00F6631D">
        <w:t xml:space="preserve"> Reliability Pricing Model </w:t>
      </w:r>
      <w:r w:rsidR="00C50453">
        <w:t xml:space="preserve">(RPM) </w:t>
      </w:r>
      <w:r w:rsidR="00F6631D">
        <w:t>capacity auction.  The second tier charge for capacity is set equal to $255.00/MW-day.  The interim relief was granted until May 31, 2012</w:t>
      </w:r>
      <w:r w:rsidR="00C50453">
        <w:t>,</w:t>
      </w:r>
      <w:r w:rsidR="00F6631D">
        <w:t xml:space="preserve"> </w:t>
      </w:r>
      <w:r w:rsidR="007C57D8">
        <w:rPr>
          <w:lang w:val="en-US"/>
        </w:rPr>
        <w:t xml:space="preserve">when </w:t>
      </w:r>
      <w:r w:rsidR="00F6631D">
        <w:t xml:space="preserve">the state compensation mechanism shall revert to </w:t>
      </w:r>
      <w:r w:rsidR="007C57D8">
        <w:rPr>
          <w:lang w:val="en-US"/>
        </w:rPr>
        <w:t>its previously Ohio Com</w:t>
      </w:r>
      <w:r w:rsidR="000C66FC">
        <w:rPr>
          <w:lang w:val="en-US"/>
        </w:rPr>
        <w:softHyphen/>
      </w:r>
      <w:r w:rsidR="007C57D8">
        <w:rPr>
          <w:lang w:val="en-US"/>
        </w:rPr>
        <w:t xml:space="preserve">mission-approved level, which was </w:t>
      </w:r>
      <w:r w:rsidR="007C57D8">
        <w:t xml:space="preserve">set equal to the </w:t>
      </w:r>
      <w:r w:rsidR="007C57D8">
        <w:lastRenderedPageBreak/>
        <w:t>then-current RPM capacity charges</w:t>
      </w:r>
      <w:r w:rsidR="007C57D8">
        <w:rPr>
          <w:lang w:val="en-US"/>
        </w:rPr>
        <w:t>,</w:t>
      </w:r>
      <w:r w:rsidR="007C57D8">
        <w:rPr>
          <w:rStyle w:val="FootnoteReference"/>
        </w:rPr>
        <w:footnoteReference w:id="4"/>
      </w:r>
      <w:r w:rsidR="007C57D8">
        <w:rPr>
          <w:lang w:val="en-US"/>
        </w:rPr>
        <w:t xml:space="preserve"> and will be </w:t>
      </w:r>
      <w:r w:rsidR="00F6631D">
        <w:t xml:space="preserve">the current RPM set pursuant to the PJM base residual auction for the 2012/2013 delivery years.  </w:t>
      </w:r>
    </w:p>
    <w:p w:rsidR="008B4A53" w:rsidRDefault="00C50453" w:rsidP="00256E09">
      <w:pPr>
        <w:pStyle w:val="Textstyle"/>
      </w:pPr>
      <w:r>
        <w:tab/>
      </w:r>
      <w:r w:rsidR="00DD777C">
        <w:t xml:space="preserve">It is evident that the Ohio Commission is endeavoring to arrive at a CRES capacity </w:t>
      </w:r>
      <w:r>
        <w:t>rate</w:t>
      </w:r>
      <w:r w:rsidR="00DD777C">
        <w:t xml:space="preserve"> that will promote alternative competitive supply</w:t>
      </w:r>
      <w:r w:rsidR="00F7506A">
        <w:t xml:space="preserve"> and retail competition </w:t>
      </w:r>
      <w:r w:rsidR="00DD777C">
        <w:t xml:space="preserve">while simultaneously ensuring an incumbent </w:t>
      </w:r>
      <w:r>
        <w:t xml:space="preserve">electric utility </w:t>
      </w:r>
      <w:r w:rsidR="00DD777C">
        <w:t>provider’s ability to attract capital investment to meet its FRR obligations.</w:t>
      </w:r>
      <w:r w:rsidR="00F7506A">
        <w:t xml:space="preserve">  </w:t>
      </w:r>
      <w:r w:rsidR="00DD777C">
        <w:t xml:space="preserve">Arriving at this delicate balance is not </w:t>
      </w:r>
      <w:r>
        <w:t xml:space="preserve">a </w:t>
      </w:r>
      <w:r w:rsidR="00DD777C">
        <w:t>perfunctory endeavor.</w:t>
      </w:r>
      <w:r w:rsidR="00F7506A">
        <w:t xml:space="preserve">  C</w:t>
      </w:r>
      <w:r w:rsidR="00F6631D">
        <w:t xml:space="preserve">ontrary to PJM’s allegations, </w:t>
      </w:r>
      <w:r w:rsidR="007C57D8">
        <w:rPr>
          <w:lang w:val="en-US"/>
        </w:rPr>
        <w:t>which intimate tha</w:t>
      </w:r>
      <w:r w:rsidR="00970175">
        <w:rPr>
          <w:lang w:val="en-US"/>
        </w:rPr>
        <w:t xml:space="preserve">t </w:t>
      </w:r>
      <w:r w:rsidR="00970175">
        <w:t>that the state determined capacity charge shall be set pursuant to cost</w:t>
      </w:r>
      <w:r w:rsidR="00970175">
        <w:rPr>
          <w:lang w:val="en-US"/>
        </w:rPr>
        <w:t>,</w:t>
      </w:r>
      <w:r w:rsidR="00970175">
        <w:rPr>
          <w:rStyle w:val="FootnoteReference"/>
        </w:rPr>
        <w:footnoteReference w:id="5"/>
      </w:r>
      <w:r w:rsidR="00970175">
        <w:t xml:space="preserve"> </w:t>
      </w:r>
      <w:r w:rsidR="00F6631D">
        <w:t xml:space="preserve">none of </w:t>
      </w:r>
      <w:r>
        <w:t xml:space="preserve">the </w:t>
      </w:r>
      <w:r w:rsidR="00F6631D">
        <w:t>Ohio</w:t>
      </w:r>
      <w:r>
        <w:t xml:space="preserve"> Commission’s </w:t>
      </w:r>
      <w:r w:rsidR="00DD777C">
        <w:t>actions regard</w:t>
      </w:r>
      <w:r>
        <w:t xml:space="preserve">ing these matters have </w:t>
      </w:r>
      <w:r w:rsidR="00F6631D">
        <w:t xml:space="preserve">been inconsistent with the </w:t>
      </w:r>
      <w:proofErr w:type="spellStart"/>
      <w:r w:rsidR="00F6631D">
        <w:t>RAA</w:t>
      </w:r>
      <w:proofErr w:type="spellEnd"/>
      <w:r w:rsidR="00F6631D">
        <w:t xml:space="preserve"> </w:t>
      </w:r>
      <w:proofErr w:type="spellStart"/>
      <w:r w:rsidR="00F6631D">
        <w:t>FRR</w:t>
      </w:r>
      <w:proofErr w:type="spellEnd"/>
      <w:r w:rsidR="00F6631D">
        <w:t xml:space="preserve"> tariff </w:t>
      </w:r>
      <w:proofErr w:type="spellStart"/>
      <w:r w:rsidR="00DD777C">
        <w:t>provisions.</w:t>
      </w:r>
      <w:r w:rsidR="00970175">
        <w:rPr>
          <w:lang w:val="en-US"/>
        </w:rPr>
        <w:t>Indeed</w:t>
      </w:r>
      <w:proofErr w:type="spellEnd"/>
      <w:r w:rsidR="00970175">
        <w:rPr>
          <w:lang w:val="en-US"/>
        </w:rPr>
        <w:t>, t</w:t>
      </w:r>
      <w:r w:rsidR="00DD777C">
        <w:t xml:space="preserve">he Ohio Commission is unaware as to where in the PJM RAA FRR tariff a </w:t>
      </w:r>
      <w:r w:rsidR="00E522FA">
        <w:t xml:space="preserve">state established </w:t>
      </w:r>
      <w:r w:rsidR="00DD777C">
        <w:t xml:space="preserve">cost based </w:t>
      </w:r>
      <w:r>
        <w:t xml:space="preserve">requirement </w:t>
      </w:r>
      <w:r w:rsidR="00DD777C">
        <w:t xml:space="preserve">is set forth.  </w:t>
      </w:r>
    </w:p>
    <w:p w:rsidR="00DD777C" w:rsidRPr="00BD1E72" w:rsidRDefault="002B629E" w:rsidP="00256E09">
      <w:pPr>
        <w:pStyle w:val="Textstyle"/>
        <w:rPr>
          <w:lang w:val="en-US"/>
        </w:rPr>
      </w:pPr>
      <w:r>
        <w:tab/>
      </w:r>
      <w:r w:rsidR="00DD777C">
        <w:t xml:space="preserve"> PJM </w:t>
      </w:r>
      <w:r w:rsidR="004E4CD4">
        <w:rPr>
          <w:lang w:val="en-US"/>
        </w:rPr>
        <w:t xml:space="preserve">should not have </w:t>
      </w:r>
      <w:r w:rsidR="00DD777C">
        <w:t xml:space="preserve">amended </w:t>
      </w:r>
      <w:r w:rsidR="004E4CD4">
        <w:rPr>
          <w:lang w:val="en-US"/>
        </w:rPr>
        <w:t xml:space="preserve">the interpretation </w:t>
      </w:r>
      <w:r w:rsidR="00DD777C">
        <w:t>of its own tariff</w:t>
      </w:r>
      <w:r w:rsidR="008B4A53">
        <w:t xml:space="preserve"> by suggesting that FERC interject itself into this</w:t>
      </w:r>
      <w:r w:rsidR="004E4CD4">
        <w:rPr>
          <w:lang w:val="en-US"/>
        </w:rPr>
        <w:t xml:space="preserve"> intrastate r</w:t>
      </w:r>
      <w:r w:rsidR="00AC3753">
        <w:rPr>
          <w:lang w:val="en-US"/>
        </w:rPr>
        <w:t>a</w:t>
      </w:r>
      <w:r w:rsidR="004E4CD4">
        <w:rPr>
          <w:lang w:val="en-US"/>
        </w:rPr>
        <w:t>temaking</w:t>
      </w:r>
      <w:r w:rsidR="008B4A53">
        <w:t xml:space="preserve"> matter</w:t>
      </w:r>
      <w:r w:rsidR="00DD777C">
        <w:t xml:space="preserve">.  </w:t>
      </w:r>
      <w:r w:rsidR="008B4A53">
        <w:t xml:space="preserve">Contrary to its current </w:t>
      </w:r>
      <w:r w:rsidR="004E4CD4">
        <w:rPr>
          <w:lang w:val="en-US"/>
        </w:rPr>
        <w:t>position</w:t>
      </w:r>
      <w:r w:rsidR="008B4A53">
        <w:t xml:space="preserve">, the Ohio Commission observes that </w:t>
      </w:r>
      <w:r w:rsidR="00DD777C">
        <w:t>PJM’s</w:t>
      </w:r>
      <w:r w:rsidR="00C50453">
        <w:t xml:space="preserve"> previous </w:t>
      </w:r>
      <w:r w:rsidR="00DD777C">
        <w:t xml:space="preserve">comments in this proceeding affirmed a state’s ability to establish an FRR capacity charge to CRES providers.  Specifically, “PJM urged </w:t>
      </w:r>
      <w:r w:rsidR="00DD777C" w:rsidRPr="00DD777C">
        <w:t>the Commission to deny the complaint and allow its members to rely on the RAA (state compensation mechanism) to set capacity costs for switching</w:t>
      </w:r>
      <w:r w:rsidR="00DD777C">
        <w:t>.”</w:t>
      </w:r>
      <w:r w:rsidR="00DD777C" w:rsidRPr="00DD777C">
        <w:t xml:space="preserve">  PJM further stated that “[</w:t>
      </w:r>
      <w:r w:rsidR="00DD777C">
        <w:t>i</w:t>
      </w:r>
      <w:r w:rsidR="00DD777C" w:rsidRPr="00DD777C">
        <w:t xml:space="preserve">]f AEP is concerned that the Ohio Commission somehow improperly took action beyond its jurisdiction, it should seek relief from state </w:t>
      </w:r>
      <w:r w:rsidR="00DD777C" w:rsidRPr="00DD777C">
        <w:lastRenderedPageBreak/>
        <w:t>or federal courts.  The Commission has no power to reverse a state action.</w:t>
      </w:r>
      <w:r w:rsidR="00DD777C">
        <w:t>”</w:t>
      </w:r>
      <w:r w:rsidR="00DD777C" w:rsidRPr="00DD777C">
        <w:rPr>
          <w:vertAlign w:val="superscript"/>
        </w:rPr>
        <w:footnoteReference w:id="6"/>
      </w:r>
      <w:r w:rsidR="004E4CD4">
        <w:rPr>
          <w:lang w:val="en-US"/>
        </w:rPr>
        <w:t xml:space="preserve">  PJM’s previ</w:t>
      </w:r>
      <w:r w:rsidR="000C66FC">
        <w:rPr>
          <w:lang w:val="en-US"/>
        </w:rPr>
        <w:softHyphen/>
      </w:r>
      <w:r w:rsidR="004E4CD4">
        <w:rPr>
          <w:lang w:val="en-US"/>
        </w:rPr>
        <w:t xml:space="preserve">ous position is </w:t>
      </w:r>
      <w:r w:rsidR="00474EC3">
        <w:rPr>
          <w:lang w:val="en-US"/>
        </w:rPr>
        <w:t>correct</w:t>
      </w:r>
      <w:r w:rsidR="004E4CD4">
        <w:rPr>
          <w:lang w:val="en-US"/>
        </w:rPr>
        <w:t>.  Conseque</w:t>
      </w:r>
      <w:r w:rsidR="00474EC3">
        <w:rPr>
          <w:lang w:val="en-US"/>
        </w:rPr>
        <w:t>ntl</w:t>
      </w:r>
      <w:r w:rsidR="004E4CD4">
        <w:rPr>
          <w:lang w:val="en-US"/>
        </w:rPr>
        <w:t>y, FERC must discount PJM’s Response as an incorrect intrusion in</w:t>
      </w:r>
      <w:r w:rsidR="00474EC3">
        <w:rPr>
          <w:lang w:val="en-US"/>
        </w:rPr>
        <w:t>to</w:t>
      </w:r>
      <w:r w:rsidR="004E4CD4">
        <w:rPr>
          <w:lang w:val="en-US"/>
        </w:rPr>
        <w:t xml:space="preserve"> the state retail ratemaking </w:t>
      </w:r>
      <w:r w:rsidR="00474EC3">
        <w:rPr>
          <w:lang w:val="en-US"/>
        </w:rPr>
        <w:t>process</w:t>
      </w:r>
      <w:r w:rsidR="004E4CD4">
        <w:rPr>
          <w:lang w:val="en-US"/>
        </w:rPr>
        <w:t>.</w:t>
      </w:r>
    </w:p>
    <w:p w:rsidR="00F6631D" w:rsidRDefault="002B629E" w:rsidP="004E3D82">
      <w:pPr>
        <w:pStyle w:val="Textstyle"/>
      </w:pPr>
      <w:r>
        <w:tab/>
      </w:r>
      <w:r w:rsidR="00DD777C">
        <w:t xml:space="preserve">Finally, PJM’s Response indicates that it is </w:t>
      </w:r>
      <w:r w:rsidR="00794432">
        <w:t xml:space="preserve">generally </w:t>
      </w:r>
      <w:r w:rsidR="00DD777C">
        <w:t xml:space="preserve">concerned </w:t>
      </w:r>
      <w:r w:rsidR="00794432">
        <w:t>about</w:t>
      </w:r>
      <w:r w:rsidR="00DD777C">
        <w:t xml:space="preserve"> the </w:t>
      </w:r>
      <w:r w:rsidR="006D512F">
        <w:rPr>
          <w:lang w:val="en-US"/>
        </w:rPr>
        <w:t xml:space="preserve">effect </w:t>
      </w:r>
      <w:r w:rsidR="00DD777C">
        <w:t>prolonged regulatory uncertainty may have on PJM’s markets.  PJM further conten</w:t>
      </w:r>
      <w:r w:rsidR="000F1E85">
        <w:rPr>
          <w:lang w:val="en-US"/>
        </w:rPr>
        <w:t>ds</w:t>
      </w:r>
      <w:r w:rsidR="00DD777C">
        <w:t xml:space="preserve"> that uncertainty as to capacity prices could chill investment in new generation</w:t>
      </w:r>
      <w:r w:rsidR="00794432">
        <w:t>, which could impact reliability.</w:t>
      </w:r>
      <w:r w:rsidR="00794432">
        <w:rPr>
          <w:rStyle w:val="FootnoteReference"/>
        </w:rPr>
        <w:footnoteReference w:id="7"/>
      </w:r>
      <w:r w:rsidR="004E3D82">
        <w:t xml:space="preserve"> </w:t>
      </w:r>
      <w:r w:rsidR="00DD777C">
        <w:t xml:space="preserve"> PJM’s Response falls short of proposing any </w:t>
      </w:r>
      <w:r w:rsidR="00B5795B">
        <w:t>comprehensive</w:t>
      </w:r>
      <w:r w:rsidR="00DD777C">
        <w:t xml:space="preserve"> resolution to address its concerns regarding potential adverse market impact and lack</w:t>
      </w:r>
      <w:r w:rsidR="00AC3753">
        <w:rPr>
          <w:lang w:val="en-US"/>
        </w:rPr>
        <w:t xml:space="preserve"> of</w:t>
      </w:r>
      <w:r w:rsidR="00DD777C">
        <w:t xml:space="preserve"> capital investmen</w:t>
      </w:r>
      <w:r w:rsidR="00794432">
        <w:t>t.</w:t>
      </w:r>
      <w:r w:rsidR="00DD777C">
        <w:t xml:space="preserve"> </w:t>
      </w:r>
      <w:r w:rsidR="00C55148">
        <w:t xml:space="preserve"> </w:t>
      </w:r>
      <w:r w:rsidR="00597F3E">
        <w:t xml:space="preserve">Indeed, the Ohio Commission  </w:t>
      </w:r>
      <w:r w:rsidR="000F1E85">
        <w:rPr>
          <w:lang w:val="en-US"/>
        </w:rPr>
        <w:t xml:space="preserve">maintains that </w:t>
      </w:r>
      <w:r w:rsidR="00597F3E">
        <w:t xml:space="preserve">PJM, as a neutral entity representing its diverse membership, </w:t>
      </w:r>
      <w:r w:rsidR="000F1E85">
        <w:rPr>
          <w:lang w:val="en-US"/>
        </w:rPr>
        <w:t xml:space="preserve"> should not have </w:t>
      </w:r>
      <w:r w:rsidR="00597F3E">
        <w:t>inject</w:t>
      </w:r>
      <w:r w:rsidR="000F1E85">
        <w:rPr>
          <w:lang w:val="en-US"/>
        </w:rPr>
        <w:t>ed</w:t>
      </w:r>
      <w:r w:rsidR="00597F3E">
        <w:t xml:space="preserve"> itself into this </w:t>
      </w:r>
      <w:r w:rsidR="000F1E85">
        <w:rPr>
          <w:lang w:val="en-US"/>
        </w:rPr>
        <w:t>state retail ratemaking process.</w:t>
      </w:r>
      <w:r w:rsidR="00DD777C">
        <w:tab/>
      </w:r>
      <w:r w:rsidR="000C66FC">
        <w:rPr>
          <w:lang w:val="en-US"/>
        </w:rPr>
        <w:softHyphen/>
      </w:r>
      <w:r w:rsidR="00DD777C">
        <w:t>Contrary to PJM</w:t>
      </w:r>
      <w:r w:rsidR="00C50453">
        <w:t>’s</w:t>
      </w:r>
      <w:r w:rsidR="00DD777C">
        <w:t xml:space="preserve"> allegations, as mentioned earlier, the Ohio Commission is </w:t>
      </w:r>
      <w:r w:rsidR="00693173">
        <w:t>endeavoring</w:t>
      </w:r>
      <w:r w:rsidR="00DD777C">
        <w:t xml:space="preserve"> </w:t>
      </w:r>
      <w:r w:rsidR="00693173">
        <w:t xml:space="preserve">to arrive at </w:t>
      </w:r>
      <w:r w:rsidR="00DD777C">
        <w:t>a CRES capacity pricing mechanism that will incent customer choice while simultaneously safeguarding the necessary access</w:t>
      </w:r>
      <w:r w:rsidR="00C55148">
        <w:t xml:space="preserve"> </w:t>
      </w:r>
      <w:r w:rsidR="00DD777C">
        <w:t xml:space="preserve">to capital </w:t>
      </w:r>
      <w:r w:rsidR="00C55148">
        <w:t xml:space="preserve">by the incumbent electric utility </w:t>
      </w:r>
      <w:r w:rsidR="00DD777C">
        <w:t xml:space="preserve">to ensure reliability.  Moreover, the Ohio Commission is </w:t>
      </w:r>
      <w:r w:rsidR="00693173">
        <w:t xml:space="preserve">striving </w:t>
      </w:r>
      <w:r w:rsidR="00DD777C">
        <w:t xml:space="preserve">to </w:t>
      </w:r>
      <w:r w:rsidR="00B5795B">
        <w:t xml:space="preserve">safeguard </w:t>
      </w:r>
      <w:r w:rsidR="00DD777C">
        <w:t>an orderly transition</w:t>
      </w:r>
      <w:r w:rsidR="00693173">
        <w:t xml:space="preserve"> for AEP-Ohio into </w:t>
      </w:r>
      <w:r w:rsidR="00DD777C">
        <w:t>the competitive marketplace</w:t>
      </w:r>
      <w:r w:rsidR="00693173">
        <w:t xml:space="preserve">.  </w:t>
      </w:r>
      <w:r w:rsidR="00DD777C">
        <w:t xml:space="preserve">The Ohio Commission’s dedication to this endeavor is </w:t>
      </w:r>
      <w:r w:rsidR="006D512F">
        <w:rPr>
          <w:lang w:val="en-US"/>
        </w:rPr>
        <w:t>shown</w:t>
      </w:r>
      <w:r w:rsidR="006D512F">
        <w:t xml:space="preserve"> </w:t>
      </w:r>
      <w:r w:rsidR="00DD777C">
        <w:t xml:space="preserve">by its aggressive hearing schedule for its Case No. 10-2929 investigation. Last, the Ohio Commission </w:t>
      </w:r>
      <w:r w:rsidR="00693173">
        <w:t>observes</w:t>
      </w:r>
      <w:r w:rsidR="00DD777C">
        <w:t xml:space="preserve"> that many of its intrastate investigations and electric utility applications</w:t>
      </w:r>
      <w:r w:rsidR="00C50453">
        <w:t>,</w:t>
      </w:r>
      <w:r w:rsidR="00DD777C">
        <w:t xml:space="preserve"> upon which the PUCO must act</w:t>
      </w:r>
      <w:r w:rsidR="00C50453">
        <w:t>,</w:t>
      </w:r>
      <w:r w:rsidR="00DD777C">
        <w:t xml:space="preserve"> are often inextricably</w:t>
      </w:r>
      <w:r w:rsidR="00DD777C" w:rsidRPr="00DD777C">
        <w:t xml:space="preserve"> </w:t>
      </w:r>
      <w:r w:rsidR="00C50453">
        <w:t>intertwined</w:t>
      </w:r>
      <w:r w:rsidR="00DD777C">
        <w:t xml:space="preserve">.  FERC </w:t>
      </w:r>
      <w:r w:rsidR="00DD777C">
        <w:lastRenderedPageBreak/>
        <w:t>must be mindful of the deleterious impact any decision made at the federal level regarding these matters may have on the intrastate jurisdiction</w:t>
      </w:r>
      <w:r w:rsidR="00D722D9">
        <w:t xml:space="preserve"> </w:t>
      </w:r>
      <w:r w:rsidR="00C50453">
        <w:t>and the state of Ohio’s consumers</w:t>
      </w:r>
      <w:r w:rsidR="00DD777C">
        <w:t>.</w:t>
      </w:r>
      <w:r w:rsidR="002F1C2E">
        <w:t xml:space="preserve"> </w:t>
      </w:r>
    </w:p>
    <w:p w:rsidR="00C6290C" w:rsidRDefault="00647CB3" w:rsidP="00C50453">
      <w:pPr>
        <w:pStyle w:val="Heading1"/>
      </w:pPr>
      <w:r w:rsidRPr="00292490">
        <w:t>CONCLUSION</w:t>
      </w:r>
    </w:p>
    <w:p w:rsidR="00EC2F61" w:rsidRPr="00292490" w:rsidRDefault="00EC2F61" w:rsidP="004E3D82">
      <w:pPr>
        <w:pStyle w:val="Textstyle"/>
      </w:pPr>
      <w:r w:rsidRPr="00292490">
        <w:tab/>
      </w:r>
      <w:r w:rsidR="008D00E6">
        <w:rPr>
          <w:lang w:val="en-US"/>
        </w:rPr>
        <w:t xml:space="preserve">PJM should not have injected itself into this intrastate retail ratemaking </w:t>
      </w:r>
      <w:r w:rsidR="00474EC3">
        <w:rPr>
          <w:lang w:val="en-US"/>
        </w:rPr>
        <w:t>process</w:t>
      </w:r>
      <w:r w:rsidR="008D00E6">
        <w:rPr>
          <w:lang w:val="en-US"/>
        </w:rPr>
        <w:t xml:space="preserve">.  </w:t>
      </w:r>
      <w:r w:rsidR="00AC3753">
        <w:rPr>
          <w:lang w:val="en-US"/>
        </w:rPr>
        <w:t xml:space="preserve">The Ohio Commission has the resources </w:t>
      </w:r>
      <w:r w:rsidR="008D00E6">
        <w:rPr>
          <w:lang w:val="en-US"/>
        </w:rPr>
        <w:t xml:space="preserve">to arrive at a reasonable CRES capacity charge that will promote competition while </w:t>
      </w:r>
      <w:r w:rsidR="00AC3753">
        <w:rPr>
          <w:lang w:val="en-US"/>
        </w:rPr>
        <w:t xml:space="preserve">proving the electric utility access to the necessary capital to ensure reliability. </w:t>
      </w:r>
      <w:r w:rsidR="008D00E6">
        <w:rPr>
          <w:lang w:val="en-US"/>
        </w:rPr>
        <w:t xml:space="preserve">For these reasons </w:t>
      </w:r>
      <w:r w:rsidR="00DD777C">
        <w:t xml:space="preserve">FERC </w:t>
      </w:r>
      <w:r w:rsidR="008D00E6">
        <w:rPr>
          <w:lang w:val="en-US"/>
        </w:rPr>
        <w:t xml:space="preserve">must </w:t>
      </w:r>
      <w:r w:rsidR="00DD777C">
        <w:t xml:space="preserve">discount PJM’s Response to AEP’s Motion for Expedited Ruling.  </w:t>
      </w:r>
      <w:r w:rsidRPr="00292490">
        <w:t xml:space="preserve">The Ohio Commission thanks FERC for the opportunity to provide its </w:t>
      </w:r>
      <w:r w:rsidR="00DD777C">
        <w:t>Answer</w:t>
      </w:r>
      <w:r w:rsidRPr="00292490">
        <w:t xml:space="preserve"> in this proceeding.</w:t>
      </w:r>
    </w:p>
    <w:p w:rsidR="00EC2F61" w:rsidRDefault="00EC2F61" w:rsidP="00EC2F61">
      <w:pPr>
        <w:pStyle w:val="Textstyle"/>
        <w:ind w:left="4320"/>
        <w:rPr>
          <w:lang w:val="en-US"/>
        </w:rPr>
      </w:pPr>
      <w:r w:rsidRPr="00292490">
        <w:t>Respectfully submitted,</w:t>
      </w:r>
    </w:p>
    <w:p w:rsidR="00FD7D42" w:rsidRPr="00FD7D42" w:rsidRDefault="00FD7D42" w:rsidP="00EC2F61">
      <w:pPr>
        <w:pStyle w:val="Textstyle"/>
        <w:ind w:left="4320"/>
        <w:rPr>
          <w:lang w:val="en-US"/>
        </w:rPr>
      </w:pPr>
    </w:p>
    <w:p w:rsidR="00EC2F61" w:rsidRPr="00DD0BFC" w:rsidRDefault="00EC2F61" w:rsidP="00EC2F61">
      <w:pPr>
        <w:pStyle w:val="Textstyle"/>
        <w:tabs>
          <w:tab w:val="left" w:pos="9360"/>
        </w:tabs>
        <w:spacing w:line="240" w:lineRule="auto"/>
        <w:ind w:left="4320"/>
        <w:rPr>
          <w:rFonts w:ascii="Brush Script MT" w:hAnsi="Brush Script MT"/>
          <w:i/>
          <w:sz w:val="36"/>
          <w:szCs w:val="36"/>
          <w:u w:val="single"/>
        </w:rPr>
      </w:pPr>
      <w:r w:rsidRPr="00DD0BFC">
        <w:rPr>
          <w:rFonts w:ascii="Brush Script MT" w:hAnsi="Brush Script MT"/>
          <w:i/>
          <w:sz w:val="36"/>
          <w:szCs w:val="36"/>
          <w:u w:val="single"/>
        </w:rPr>
        <w:t>/s/ Thomas W. McNamee</w:t>
      </w:r>
      <w:r w:rsidRPr="00DD0BFC">
        <w:rPr>
          <w:rFonts w:ascii="Brush Script MT" w:hAnsi="Brush Script MT"/>
          <w:i/>
          <w:sz w:val="36"/>
          <w:szCs w:val="36"/>
          <w:u w:val="single"/>
        </w:rPr>
        <w:tab/>
      </w:r>
    </w:p>
    <w:p w:rsidR="00EC2F61" w:rsidRPr="00292490" w:rsidRDefault="00EC2F61" w:rsidP="00EC2F61">
      <w:pPr>
        <w:pStyle w:val="BodyTextIndent2"/>
        <w:ind w:left="4320" w:firstLine="0"/>
        <w:rPr>
          <w:b/>
          <w:szCs w:val="24"/>
        </w:rPr>
      </w:pPr>
      <w:r w:rsidRPr="00292490">
        <w:rPr>
          <w:b/>
          <w:szCs w:val="24"/>
        </w:rPr>
        <w:t>Thomas W. McNamee</w:t>
      </w:r>
    </w:p>
    <w:p w:rsidR="00EC2F61" w:rsidRPr="00292490" w:rsidRDefault="00EC2F61" w:rsidP="00EC2F61">
      <w:pPr>
        <w:pStyle w:val="BodyTextIndent2"/>
        <w:ind w:left="4320" w:firstLine="0"/>
        <w:rPr>
          <w:szCs w:val="24"/>
        </w:rPr>
      </w:pPr>
      <w:r w:rsidRPr="00292490">
        <w:rPr>
          <w:szCs w:val="24"/>
        </w:rPr>
        <w:t>Public Utilities Section</w:t>
      </w:r>
    </w:p>
    <w:p w:rsidR="00EC2F61" w:rsidRPr="00292490" w:rsidRDefault="00EC2F61" w:rsidP="00EC2F61">
      <w:pPr>
        <w:pStyle w:val="BodyTextIndent2"/>
        <w:ind w:left="4320" w:firstLine="0"/>
        <w:rPr>
          <w:szCs w:val="24"/>
        </w:rPr>
      </w:pPr>
      <w:r w:rsidRPr="00292490">
        <w:rPr>
          <w:szCs w:val="24"/>
        </w:rPr>
        <w:t>180 East Broad Street</w:t>
      </w:r>
    </w:p>
    <w:p w:rsidR="00EC2F61" w:rsidRPr="00292490" w:rsidRDefault="00EC2F61" w:rsidP="00EC2F61">
      <w:pPr>
        <w:pStyle w:val="BodyTextIndent2"/>
        <w:ind w:left="4320" w:firstLine="0"/>
        <w:rPr>
          <w:szCs w:val="24"/>
        </w:rPr>
      </w:pPr>
      <w:r w:rsidRPr="00292490">
        <w:rPr>
          <w:szCs w:val="24"/>
        </w:rPr>
        <w:t>Columbus, OH 43215-3793</w:t>
      </w:r>
    </w:p>
    <w:p w:rsidR="00EC2F61" w:rsidRPr="00821C6D" w:rsidRDefault="00821C6D" w:rsidP="00EC2F61">
      <w:pPr>
        <w:pStyle w:val="BodyTextIndent2"/>
        <w:ind w:left="4320" w:firstLine="0"/>
        <w:rPr>
          <w:szCs w:val="24"/>
          <w:lang w:val="en-US"/>
        </w:rPr>
      </w:pPr>
      <w:r>
        <w:rPr>
          <w:szCs w:val="24"/>
          <w:lang w:val="en-US"/>
        </w:rPr>
        <w:t>614.</w:t>
      </w:r>
      <w:r w:rsidR="00EC2F61" w:rsidRPr="00292490">
        <w:rPr>
          <w:szCs w:val="24"/>
        </w:rPr>
        <w:t>466</w:t>
      </w:r>
      <w:r>
        <w:rPr>
          <w:szCs w:val="24"/>
          <w:lang w:val="en-US"/>
        </w:rPr>
        <w:t>.</w:t>
      </w:r>
      <w:r w:rsidR="00EC2F61" w:rsidRPr="00292490">
        <w:rPr>
          <w:szCs w:val="24"/>
        </w:rPr>
        <w:t>4396</w:t>
      </w:r>
      <w:r>
        <w:rPr>
          <w:szCs w:val="24"/>
          <w:lang w:val="en-US"/>
        </w:rPr>
        <w:t xml:space="preserve"> (telephone)</w:t>
      </w:r>
    </w:p>
    <w:p w:rsidR="00EC2F61" w:rsidRDefault="00821C6D" w:rsidP="00EC2F61">
      <w:pPr>
        <w:pStyle w:val="BodyTextIndent2"/>
        <w:ind w:left="4320" w:firstLine="0"/>
        <w:rPr>
          <w:szCs w:val="24"/>
          <w:lang w:val="en-US"/>
        </w:rPr>
      </w:pPr>
      <w:r>
        <w:rPr>
          <w:szCs w:val="24"/>
          <w:lang w:val="en-US"/>
        </w:rPr>
        <w:t>614.</w:t>
      </w:r>
      <w:r w:rsidR="00EC2F61" w:rsidRPr="00292490">
        <w:rPr>
          <w:szCs w:val="24"/>
        </w:rPr>
        <w:t>644</w:t>
      </w:r>
      <w:r>
        <w:rPr>
          <w:szCs w:val="24"/>
          <w:lang w:val="en-US"/>
        </w:rPr>
        <w:t>.</w:t>
      </w:r>
      <w:r w:rsidR="00EC2F61" w:rsidRPr="00292490">
        <w:rPr>
          <w:szCs w:val="24"/>
        </w:rPr>
        <w:t>8764</w:t>
      </w:r>
      <w:r>
        <w:rPr>
          <w:szCs w:val="24"/>
          <w:lang w:val="en-US"/>
        </w:rPr>
        <w:t xml:space="preserve"> (fax)</w:t>
      </w:r>
    </w:p>
    <w:p w:rsidR="00821C6D" w:rsidRDefault="00A758E3" w:rsidP="00EC2F61">
      <w:pPr>
        <w:pStyle w:val="BodyTextIndent2"/>
        <w:ind w:left="4320" w:firstLine="0"/>
        <w:rPr>
          <w:szCs w:val="24"/>
          <w:lang w:val="en-US"/>
        </w:rPr>
      </w:pPr>
      <w:hyperlink r:id="rId13" w:history="1">
        <w:r w:rsidR="00821C6D" w:rsidRPr="00F047E2">
          <w:rPr>
            <w:rStyle w:val="Hyperlink"/>
            <w:szCs w:val="24"/>
            <w:lang w:val="en-US"/>
          </w:rPr>
          <w:t>thomas.mcnamee@puc.state.oh.us</w:t>
        </w:r>
      </w:hyperlink>
    </w:p>
    <w:p w:rsidR="00821C6D" w:rsidRPr="00821C6D" w:rsidRDefault="00821C6D" w:rsidP="00EC2F61">
      <w:pPr>
        <w:pStyle w:val="BodyTextIndent2"/>
        <w:ind w:left="4320" w:firstLine="0"/>
        <w:rPr>
          <w:szCs w:val="24"/>
          <w:lang w:val="en-US"/>
        </w:rPr>
      </w:pPr>
    </w:p>
    <w:p w:rsidR="00EC2F61" w:rsidRPr="00292490" w:rsidRDefault="00EC2F61" w:rsidP="00EC2F61">
      <w:pPr>
        <w:pStyle w:val="BodyTextIndent2"/>
        <w:ind w:left="4320" w:firstLine="0"/>
        <w:rPr>
          <w:b/>
          <w:szCs w:val="24"/>
        </w:rPr>
      </w:pPr>
      <w:r w:rsidRPr="00292490">
        <w:rPr>
          <w:b/>
          <w:szCs w:val="24"/>
        </w:rPr>
        <w:t xml:space="preserve">On behalf of </w:t>
      </w:r>
    </w:p>
    <w:p w:rsidR="00EC2F61" w:rsidRPr="00292490" w:rsidRDefault="00EC2F61" w:rsidP="006775DC">
      <w:pPr>
        <w:pStyle w:val="BodyTextIndent2"/>
        <w:ind w:left="4320" w:firstLine="0"/>
        <w:rPr>
          <w:sz w:val="26"/>
          <w:szCs w:val="26"/>
        </w:rPr>
      </w:pPr>
      <w:r w:rsidRPr="00292490">
        <w:rPr>
          <w:szCs w:val="24"/>
        </w:rPr>
        <w:t>The Public Utilities Commission of Ohio</w:t>
      </w:r>
    </w:p>
    <w:p w:rsidR="000C66FC" w:rsidRDefault="000C66FC" w:rsidP="00EC2F61">
      <w:pPr>
        <w:tabs>
          <w:tab w:val="left" w:pos="9360"/>
        </w:tabs>
        <w:jc w:val="center"/>
        <w:rPr>
          <w:rFonts w:ascii="Times New Roman" w:hAnsi="Times New Roman"/>
          <w:b/>
          <w:sz w:val="26"/>
          <w:szCs w:val="26"/>
        </w:rPr>
      </w:pPr>
      <w:r>
        <w:rPr>
          <w:rFonts w:ascii="Times New Roman" w:hAnsi="Times New Roman"/>
          <w:b/>
          <w:sz w:val="26"/>
          <w:szCs w:val="26"/>
        </w:rPr>
        <w:br w:type="page"/>
      </w:r>
    </w:p>
    <w:p w:rsidR="00EC2F61" w:rsidRPr="00292490" w:rsidRDefault="00EC2F61" w:rsidP="004E3D82">
      <w:pPr>
        <w:pStyle w:val="Heading1"/>
      </w:pPr>
      <w:r w:rsidRPr="00292490">
        <w:lastRenderedPageBreak/>
        <w:t>CERTIFICATE OF SERVICE</w:t>
      </w:r>
    </w:p>
    <w:p w:rsidR="00EC2F61" w:rsidRPr="00292490" w:rsidRDefault="00EC2F61" w:rsidP="00EC2F61">
      <w:pPr>
        <w:pStyle w:val="Textstyle"/>
        <w:rPr>
          <w:szCs w:val="26"/>
        </w:rPr>
      </w:pPr>
      <w:r w:rsidRPr="00292490">
        <w:rPr>
          <w:szCs w:val="26"/>
        </w:rPr>
        <w:tab/>
        <w:t>I hereby certify that the foregoing have been served in accordance with 18 C.F.R. Sec. 385.2010 upon each person designated on the official service list compiled by the Secretary in this proceeding.</w:t>
      </w:r>
    </w:p>
    <w:p w:rsidR="00EC2F61" w:rsidRPr="00DD0BFC" w:rsidRDefault="00EC2F61" w:rsidP="00EC2F61">
      <w:pPr>
        <w:tabs>
          <w:tab w:val="left" w:pos="9360"/>
        </w:tabs>
        <w:ind w:left="4760"/>
        <w:rPr>
          <w:rFonts w:ascii="Brush Script MT" w:hAnsi="Brush Script MT"/>
          <w:i/>
          <w:sz w:val="36"/>
          <w:szCs w:val="36"/>
          <w:u w:val="single"/>
        </w:rPr>
      </w:pPr>
      <w:r w:rsidRPr="00DD0BFC">
        <w:rPr>
          <w:rFonts w:ascii="Brush Script MT" w:hAnsi="Brush Script MT"/>
          <w:i/>
          <w:sz w:val="36"/>
          <w:szCs w:val="36"/>
          <w:u w:val="single"/>
        </w:rPr>
        <w:t>/s/ Thomas W. McNamee</w:t>
      </w:r>
      <w:r w:rsidRPr="00DD0BFC">
        <w:rPr>
          <w:rFonts w:ascii="Brush Script MT" w:hAnsi="Brush Script MT"/>
          <w:i/>
          <w:sz w:val="36"/>
          <w:szCs w:val="36"/>
          <w:u w:val="single"/>
        </w:rPr>
        <w:tab/>
      </w:r>
    </w:p>
    <w:p w:rsidR="00EC2F61" w:rsidRPr="00292490" w:rsidRDefault="00EC2F61" w:rsidP="00EC2F61">
      <w:pPr>
        <w:tabs>
          <w:tab w:val="left" w:pos="9360"/>
        </w:tabs>
        <w:ind w:left="4760"/>
        <w:rPr>
          <w:rFonts w:ascii="Times New Roman" w:hAnsi="Times New Roman"/>
          <w:b/>
          <w:sz w:val="26"/>
          <w:szCs w:val="26"/>
        </w:rPr>
      </w:pPr>
      <w:r w:rsidRPr="00292490">
        <w:rPr>
          <w:rFonts w:ascii="Times New Roman" w:hAnsi="Times New Roman"/>
          <w:b/>
          <w:sz w:val="26"/>
          <w:szCs w:val="26"/>
        </w:rPr>
        <w:t>Thomas W. McNamee</w:t>
      </w:r>
    </w:p>
    <w:p w:rsidR="00EC2F61" w:rsidRPr="00292490" w:rsidRDefault="00EC2F61" w:rsidP="00EC2F61">
      <w:pPr>
        <w:tabs>
          <w:tab w:val="left" w:pos="9360"/>
        </w:tabs>
        <w:ind w:left="4760"/>
        <w:rPr>
          <w:rFonts w:ascii="Times New Roman" w:hAnsi="Times New Roman"/>
          <w:sz w:val="26"/>
          <w:szCs w:val="26"/>
        </w:rPr>
      </w:pPr>
    </w:p>
    <w:p w:rsidR="00EC2F61" w:rsidRPr="00292490" w:rsidRDefault="00EC2F61" w:rsidP="00EC2F61">
      <w:pPr>
        <w:rPr>
          <w:rFonts w:ascii="Times New Roman" w:hAnsi="Times New Roman"/>
          <w:sz w:val="26"/>
          <w:szCs w:val="26"/>
        </w:rPr>
      </w:pPr>
    </w:p>
    <w:p w:rsidR="00EC2F61" w:rsidRPr="00292490" w:rsidRDefault="00EC2F61" w:rsidP="00EC2F61">
      <w:pPr>
        <w:rPr>
          <w:rFonts w:ascii="Times New Roman" w:hAnsi="Times New Roman"/>
          <w:sz w:val="26"/>
          <w:szCs w:val="26"/>
        </w:rPr>
      </w:pPr>
      <w:proofErr w:type="gramStart"/>
      <w:r w:rsidRPr="00292490">
        <w:rPr>
          <w:rFonts w:ascii="Times New Roman" w:hAnsi="Times New Roman"/>
          <w:sz w:val="26"/>
          <w:szCs w:val="26"/>
        </w:rPr>
        <w:t>Dated at</w:t>
      </w:r>
      <w:r w:rsidR="00A52E3B">
        <w:rPr>
          <w:rFonts w:ascii="Times New Roman" w:hAnsi="Times New Roman"/>
          <w:sz w:val="26"/>
          <w:szCs w:val="26"/>
        </w:rPr>
        <w:t xml:space="preserve"> Columbus, Ohio this </w:t>
      </w:r>
      <w:r w:rsidR="00DD777C">
        <w:rPr>
          <w:rFonts w:ascii="Times New Roman" w:hAnsi="Times New Roman"/>
          <w:sz w:val="26"/>
          <w:szCs w:val="26"/>
        </w:rPr>
        <w:t>March 2</w:t>
      </w:r>
      <w:r w:rsidR="00A227C3">
        <w:rPr>
          <w:rFonts w:ascii="Times New Roman" w:hAnsi="Times New Roman"/>
          <w:sz w:val="26"/>
          <w:szCs w:val="26"/>
        </w:rPr>
        <w:t>2</w:t>
      </w:r>
      <w:r w:rsidR="00DD777C">
        <w:rPr>
          <w:rFonts w:ascii="Times New Roman" w:hAnsi="Times New Roman"/>
          <w:sz w:val="26"/>
          <w:szCs w:val="26"/>
        </w:rPr>
        <w:t>, 2012</w:t>
      </w:r>
      <w:r w:rsidRPr="00292490">
        <w:rPr>
          <w:rFonts w:ascii="Times New Roman" w:hAnsi="Times New Roman"/>
          <w:sz w:val="26"/>
          <w:szCs w:val="26"/>
        </w:rPr>
        <w:t>.</w:t>
      </w:r>
      <w:proofErr w:type="gramEnd"/>
    </w:p>
    <w:p w:rsidR="00647CB3" w:rsidRPr="00D07195" w:rsidRDefault="00647CB3" w:rsidP="00EC2F61">
      <w:pPr>
        <w:pStyle w:val="PARA-NORM"/>
        <w:tabs>
          <w:tab w:val="left" w:pos="720"/>
          <w:tab w:val="left" w:pos="4680"/>
        </w:tabs>
        <w:overflowPunct/>
        <w:autoSpaceDE/>
        <w:autoSpaceDN/>
        <w:adjustRightInd/>
        <w:spacing w:before="0"/>
        <w:textAlignment w:val="auto"/>
        <w:rPr>
          <w:rFonts w:ascii="Times New Roman" w:hAnsi="Times New Roman"/>
          <w:bCs/>
          <w:szCs w:val="24"/>
        </w:rPr>
      </w:pPr>
    </w:p>
    <w:sectPr w:rsidR="00647CB3" w:rsidRPr="00D07195" w:rsidSect="00FD7D42">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576" w:rsidRDefault="00F93576" w:rsidP="00597170">
      <w:r>
        <w:separator/>
      </w:r>
    </w:p>
  </w:endnote>
  <w:endnote w:type="continuationSeparator" w:id="0">
    <w:p w:rsidR="00F93576" w:rsidRDefault="00F93576" w:rsidP="0059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576" w:rsidRPr="004E3D82" w:rsidRDefault="00F93576" w:rsidP="004E3D82">
    <w:pPr>
      <w:pStyle w:val="Footer"/>
      <w:jc w:val="center"/>
      <w:rPr>
        <w:rFonts w:ascii="Times New Roman" w:hAnsi="Times New Roman"/>
        <w:sz w:val="24"/>
        <w:szCs w:val="24"/>
        <w:lang w:val="en-US"/>
      </w:rPr>
    </w:pPr>
    <w:r w:rsidRPr="004E3D82">
      <w:rPr>
        <w:rFonts w:ascii="Times New Roman" w:hAnsi="Times New Roman"/>
        <w:sz w:val="24"/>
        <w:szCs w:val="24"/>
      </w:rPr>
      <w:fldChar w:fldCharType="begin"/>
    </w:r>
    <w:r w:rsidRPr="004E3D82">
      <w:rPr>
        <w:rFonts w:ascii="Times New Roman" w:hAnsi="Times New Roman"/>
        <w:sz w:val="24"/>
        <w:szCs w:val="24"/>
      </w:rPr>
      <w:instrText xml:space="preserve"> PAGE   \* MERGEFORMAT </w:instrText>
    </w:r>
    <w:r w:rsidRPr="004E3D82">
      <w:rPr>
        <w:rFonts w:ascii="Times New Roman" w:hAnsi="Times New Roman"/>
        <w:sz w:val="24"/>
        <w:szCs w:val="24"/>
      </w:rPr>
      <w:fldChar w:fldCharType="separate"/>
    </w:r>
    <w:r>
      <w:rPr>
        <w:rFonts w:ascii="Times New Roman" w:hAnsi="Times New Roman"/>
        <w:noProof/>
        <w:sz w:val="24"/>
        <w:szCs w:val="24"/>
      </w:rPr>
      <w:t>4</w:t>
    </w:r>
    <w:r w:rsidRPr="004E3D82">
      <w:rPr>
        <w:rFonts w:ascii="Times New Roman" w:hAnsi="Times New Roman"/>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576" w:rsidRDefault="00F935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576" w:rsidRPr="004E3D82" w:rsidRDefault="00F93576" w:rsidP="004E3D82">
    <w:pPr>
      <w:pStyle w:val="Footer"/>
      <w:jc w:val="center"/>
      <w:rPr>
        <w:rFonts w:ascii="Times New Roman" w:hAnsi="Times New Roman"/>
        <w:sz w:val="24"/>
        <w:szCs w:val="24"/>
        <w:lang w:val="en-US"/>
      </w:rPr>
    </w:pPr>
    <w:r w:rsidRPr="004E3D82">
      <w:rPr>
        <w:rFonts w:ascii="Times New Roman" w:hAnsi="Times New Roman"/>
        <w:sz w:val="24"/>
        <w:szCs w:val="24"/>
      </w:rPr>
      <w:fldChar w:fldCharType="begin"/>
    </w:r>
    <w:r w:rsidRPr="004E3D82">
      <w:rPr>
        <w:rFonts w:ascii="Times New Roman" w:hAnsi="Times New Roman"/>
        <w:sz w:val="24"/>
        <w:szCs w:val="24"/>
      </w:rPr>
      <w:instrText xml:space="preserve"> PAGE   \* MERGEFORMAT </w:instrText>
    </w:r>
    <w:r w:rsidRPr="004E3D82">
      <w:rPr>
        <w:rFonts w:ascii="Times New Roman" w:hAnsi="Times New Roman"/>
        <w:sz w:val="24"/>
        <w:szCs w:val="24"/>
      </w:rPr>
      <w:fldChar w:fldCharType="separate"/>
    </w:r>
    <w:r w:rsidR="00A758E3">
      <w:rPr>
        <w:rFonts w:ascii="Times New Roman" w:hAnsi="Times New Roman"/>
        <w:noProof/>
        <w:sz w:val="24"/>
        <w:szCs w:val="24"/>
      </w:rPr>
      <w:t>7</w:t>
    </w:r>
    <w:r w:rsidRPr="004E3D82">
      <w:rPr>
        <w:rFonts w:ascii="Times New Roman" w:hAnsi="Times New Roman"/>
        <w:noProof/>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576" w:rsidRDefault="00F93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576" w:rsidRDefault="00F93576" w:rsidP="00597170">
      <w:r>
        <w:separator/>
      </w:r>
    </w:p>
  </w:footnote>
  <w:footnote w:type="continuationSeparator" w:id="0">
    <w:p w:rsidR="00F93576" w:rsidRDefault="00F93576" w:rsidP="00597170">
      <w:r>
        <w:continuationSeparator/>
      </w:r>
    </w:p>
  </w:footnote>
  <w:footnote w:id="1">
    <w:p w:rsidR="00F93576" w:rsidRPr="00F6631D" w:rsidRDefault="00F93576" w:rsidP="00FD7D42">
      <w:pPr>
        <w:pStyle w:val="FootnoteText"/>
      </w:pPr>
      <w:r>
        <w:rPr>
          <w:rStyle w:val="FootnoteReference"/>
        </w:rPr>
        <w:footnoteRef/>
      </w:r>
      <w:r>
        <w:t xml:space="preserve"> </w:t>
      </w:r>
      <w:r>
        <w:rPr>
          <w:lang w:val="en-US"/>
        </w:rPr>
        <w:tab/>
      </w:r>
      <w:r>
        <w:rPr>
          <w:lang w:val="en-US"/>
        </w:rPr>
        <w:tab/>
      </w:r>
      <w:r w:rsidRPr="00F6631D">
        <w:t xml:space="preserve">Schedule 8.1 reads as follows: </w:t>
      </w:r>
    </w:p>
    <w:p w:rsidR="00F93576" w:rsidRPr="00F6631D" w:rsidRDefault="00F93576" w:rsidP="00FD7D42">
      <w:pPr>
        <w:tabs>
          <w:tab w:val="left" w:pos="1800"/>
        </w:tabs>
        <w:spacing w:before="240" w:after="240"/>
        <w:ind w:left="1440" w:right="1440"/>
        <w:rPr>
          <w:rFonts w:ascii="Times New Roman" w:hAnsi="Times New Roman"/>
          <w:sz w:val="24"/>
        </w:rPr>
      </w:pPr>
      <w:r>
        <w:rPr>
          <w:rFonts w:ascii="Times New Roman" w:hAnsi="Times New Roman"/>
          <w:sz w:val="24"/>
        </w:rPr>
        <w:tab/>
        <w:t>I</w:t>
      </w:r>
      <w:r w:rsidRPr="00F6631D">
        <w:rPr>
          <w:rFonts w:ascii="Times New Roman" w:hAnsi="Times New Roman"/>
          <w:sz w:val="24"/>
        </w:rPr>
        <w:t>n a state regulatory jurisdiction that has implemented retail choice, the FRR Entity must include in its FRR Capacity Plan all load, including expected load growth, in the FRR Service Area, notwith</w:t>
      </w:r>
      <w:r w:rsidRPr="00F6631D">
        <w:rPr>
          <w:rFonts w:ascii="Times New Roman" w:hAnsi="Times New Roman"/>
          <w:sz w:val="24"/>
        </w:rPr>
        <w:softHyphen/>
        <w:t>standing the loss of any such load to or among alternative retail LSEs.  In the case of load reflected in the FRR Capacity Plan that switches to an alternative retail LSE, where the state regulatory jurisdiction requires switching customers or the LSE to compen</w:t>
      </w:r>
      <w:r w:rsidRPr="00F6631D">
        <w:rPr>
          <w:rFonts w:ascii="Times New Roman" w:hAnsi="Times New Roman"/>
          <w:sz w:val="24"/>
        </w:rPr>
        <w:softHyphen/>
        <w:t>sate the FRR Entity for its FRR capacity obligations, such state compensation mechanism will prevail.  In the absence of a state compensation mechanism, the applicable alternative retail LSE shall compensate the FRR Entity at the capacity price in the unconstrained portions of the PJM Region, as determined in accordance with Attachment DD to the PJM Tariff, provided that the FRR Entity may, at any time, make a filing with FERC under Sections 205 of the Federal Power Act proposing to change the basis for compensation to a method based on the FRR Entity's cost or such other basis shown to be just and reasonable, and a retail LSE may at any time exercise its rights under Section 206 of the FPA.</w:t>
      </w:r>
    </w:p>
    <w:p w:rsidR="00F93576" w:rsidRPr="00F6631D" w:rsidRDefault="00F93576" w:rsidP="00FD7D42">
      <w:pPr>
        <w:pStyle w:val="FootnoteText"/>
      </w:pPr>
    </w:p>
  </w:footnote>
  <w:footnote w:id="2">
    <w:p w:rsidR="00F93576" w:rsidRPr="00256E09" w:rsidRDefault="00F93576" w:rsidP="00FD7D42">
      <w:pPr>
        <w:pStyle w:val="FootnoteText"/>
        <w:rPr>
          <w:b/>
        </w:rPr>
      </w:pPr>
      <w:r>
        <w:rPr>
          <w:rStyle w:val="FootnoteReference"/>
        </w:rPr>
        <w:footnoteRef/>
      </w:r>
      <w:r>
        <w:t xml:space="preserve"> </w:t>
      </w:r>
      <w:r>
        <w:tab/>
      </w:r>
      <w:r>
        <w:tab/>
      </w:r>
      <w:r w:rsidRPr="00256E09">
        <w:t>In the Matter of the Application of Columbus Southern Power Company and Ohio Power Company for Authority to Establish a Standard Service Offer Pursuant to §4928.143, Ohio Rev. Code, in the Form of an Electric Security Plan</w:t>
      </w:r>
      <w:r>
        <w:t xml:space="preserve">, PUC Case Nos. 11-346-EL-SSO, et al., and </w:t>
      </w:r>
      <w:r w:rsidRPr="00256E09">
        <w:t>In the Matter of the Application of the Columbus Southern Power Company and Ohio Power Company for Approval of Certain Accounting Authority</w:t>
      </w:r>
      <w:r>
        <w:t xml:space="preserve">, PUCO Case Nos. 11-349-EL AAM, et al. </w:t>
      </w:r>
    </w:p>
  </w:footnote>
  <w:footnote w:id="3">
    <w:p w:rsidR="00F93576" w:rsidRPr="00FD7D42" w:rsidRDefault="00F93576" w:rsidP="00FD7D42">
      <w:pPr>
        <w:pStyle w:val="FootnoteText"/>
        <w:rPr>
          <w:lang w:val="en-US"/>
        </w:rPr>
      </w:pPr>
      <w:r>
        <w:rPr>
          <w:rStyle w:val="FootnoteReference"/>
        </w:rPr>
        <w:footnoteRef/>
      </w:r>
      <w:r>
        <w:t xml:space="preserve"> </w:t>
      </w:r>
      <w:r>
        <w:rPr>
          <w:lang w:val="en-US"/>
        </w:rPr>
        <w:tab/>
      </w:r>
      <w:r w:rsidR="00FD7D42">
        <w:rPr>
          <w:lang w:val="en-US"/>
        </w:rPr>
        <w:tab/>
      </w:r>
      <w:r w:rsidRPr="00FD7D42">
        <w:t>In the Matter of the Commission Review of the Capacity Charges of Ohio Power Company and Columbus Southern Power Company, Case No. 10-2929-EL-UNC</w:t>
      </w:r>
      <w:r w:rsidR="00FD7D42">
        <w:rPr>
          <w:lang w:val="en-US"/>
        </w:rPr>
        <w:t xml:space="preserve"> (</w:t>
      </w:r>
      <w:r w:rsidRPr="00FD7D42">
        <w:t>Entry</w:t>
      </w:r>
      <w:r w:rsidR="00FD7D42">
        <w:rPr>
          <w:lang w:val="en-US"/>
        </w:rPr>
        <w:t>)</w:t>
      </w:r>
      <w:r w:rsidRPr="00FD7D42">
        <w:t xml:space="preserve"> (March 14, 2012).</w:t>
      </w:r>
    </w:p>
  </w:footnote>
  <w:footnote w:id="4">
    <w:p w:rsidR="00F93576" w:rsidRPr="00DD777C" w:rsidRDefault="00F93576" w:rsidP="00FD7D42">
      <w:pPr>
        <w:pStyle w:val="FootnoteText"/>
      </w:pPr>
      <w:r>
        <w:rPr>
          <w:rStyle w:val="FootnoteReference"/>
        </w:rPr>
        <w:footnoteRef/>
      </w:r>
      <w:r w:rsidRPr="0042772C">
        <w:t xml:space="preserve">  </w:t>
      </w:r>
      <w:r>
        <w:rPr>
          <w:lang w:val="en-US"/>
        </w:rPr>
        <w:tab/>
      </w:r>
      <w:r>
        <w:rPr>
          <w:lang w:val="en-US"/>
        </w:rPr>
        <w:tab/>
      </w:r>
      <w:r w:rsidRPr="0042772C">
        <w:t xml:space="preserve">The 2011/2012 rate, which </w:t>
      </w:r>
      <w:r>
        <w:rPr>
          <w:lang w:val="en-US"/>
        </w:rPr>
        <w:t xml:space="preserve">became </w:t>
      </w:r>
      <w:r w:rsidRPr="0042772C">
        <w:t>effective on June 1, 2011, is equal to $110.0</w:t>
      </w:r>
      <w:r>
        <w:t>0</w:t>
      </w:r>
      <w:r w:rsidRPr="0042772C">
        <w:t xml:space="preserve"> per MW-day </w:t>
      </w:r>
      <w:r>
        <w:rPr>
          <w:lang w:val="en-US"/>
        </w:rPr>
        <w:t xml:space="preserve"> not including </w:t>
      </w:r>
      <w:r w:rsidRPr="0042772C">
        <w:t>adders</w:t>
      </w:r>
      <w:r w:rsidRPr="00DD777C">
        <w:t xml:space="preserve"> </w:t>
      </w:r>
      <w:r w:rsidRPr="0042772C">
        <w:t>for transmission losses the scaling factor).</w:t>
      </w:r>
    </w:p>
  </w:footnote>
  <w:footnote w:id="5">
    <w:p w:rsidR="00F93576" w:rsidRPr="00DD777C" w:rsidRDefault="00F93576" w:rsidP="00FD7D42">
      <w:pPr>
        <w:pStyle w:val="FootnoteText"/>
      </w:pPr>
      <w:r>
        <w:rPr>
          <w:rStyle w:val="FootnoteReference"/>
        </w:rPr>
        <w:footnoteRef/>
      </w:r>
      <w:r>
        <w:t xml:space="preserve"> </w:t>
      </w:r>
      <w:r>
        <w:tab/>
      </w:r>
      <w:r>
        <w:tab/>
        <w:t>Docket Nos. ER11-2183 and EL11-32 (PJM Response at 2, ¶ 2) (March 15, 2012).</w:t>
      </w:r>
    </w:p>
  </w:footnote>
  <w:footnote w:id="6">
    <w:p w:rsidR="00F93576" w:rsidRPr="00DD777C" w:rsidRDefault="00F93576" w:rsidP="00FD7D42">
      <w:pPr>
        <w:pStyle w:val="FootnoteText"/>
      </w:pPr>
      <w:r w:rsidRPr="00DD777C">
        <w:rPr>
          <w:rStyle w:val="FootnoteReference"/>
        </w:rPr>
        <w:footnoteRef/>
      </w:r>
      <w:r w:rsidRPr="00DD777C">
        <w:rPr>
          <w:rStyle w:val="FootnoteReference"/>
        </w:rPr>
        <w:t xml:space="preserve"> </w:t>
      </w:r>
      <w:r>
        <w:tab/>
      </w:r>
      <w:r>
        <w:rPr>
          <w:lang w:val="en-US"/>
        </w:rPr>
        <w:tab/>
      </w:r>
      <w:r w:rsidRPr="00DD777C">
        <w:t xml:space="preserve">Docket No. EL11-32-000 </w:t>
      </w:r>
      <w:r>
        <w:rPr>
          <w:lang w:val="en-US"/>
        </w:rPr>
        <w:t>(</w:t>
      </w:r>
      <w:r w:rsidRPr="00DD777C">
        <w:t>Answer of PJM Interconnection, L.L.C., to Complaint of American Electric Power Service Corporation</w:t>
      </w:r>
      <w:r>
        <w:rPr>
          <w:lang w:val="en-US"/>
        </w:rPr>
        <w:t xml:space="preserve">) </w:t>
      </w:r>
      <w:r w:rsidRPr="00DD777C">
        <w:t>(April 25, 2011).</w:t>
      </w:r>
    </w:p>
  </w:footnote>
  <w:footnote w:id="7">
    <w:p w:rsidR="00F93576" w:rsidRPr="00C50453" w:rsidRDefault="00F93576" w:rsidP="00FD7D42">
      <w:pPr>
        <w:pStyle w:val="FootnoteText"/>
      </w:pPr>
      <w:r>
        <w:rPr>
          <w:rStyle w:val="FootnoteReference"/>
        </w:rPr>
        <w:footnoteRef/>
      </w:r>
      <w:r>
        <w:t xml:space="preserve"> </w:t>
      </w:r>
      <w:r>
        <w:tab/>
      </w:r>
      <w:r>
        <w:tab/>
        <w:t>Docket Nos. ER11-2183 and EL11-32 (PJM Response at 3, ¶ 1) (March 15,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576" w:rsidRPr="004E3D82" w:rsidRDefault="00F93576" w:rsidP="004E3D82">
    <w:pPr>
      <w:pStyle w:val="Header"/>
      <w:jc w:val="center"/>
      <w:rPr>
        <w:b/>
        <w:color w:val="FF0000"/>
        <w:sz w:val="20"/>
        <w:lang w:val="en-US"/>
      </w:rPr>
    </w:pPr>
    <w:r>
      <w:rPr>
        <w:b/>
        <w:color w:val="FF0000"/>
        <w:sz w:val="20"/>
        <w:lang w:val="en-US"/>
      </w:rPr>
      <w:t xml:space="preserve">DRAFT - </w:t>
    </w:r>
    <w:r>
      <w:rPr>
        <w:b/>
        <w:color w:val="FF0000"/>
        <w:sz w:val="20"/>
        <w:lang w:val="en-US"/>
      </w:rPr>
      <w:fldChar w:fldCharType="begin"/>
    </w:r>
    <w:r>
      <w:rPr>
        <w:b/>
        <w:color w:val="FF0000"/>
        <w:sz w:val="20"/>
        <w:lang w:val="en-US"/>
      </w:rPr>
      <w:instrText xml:space="preserve"> DATE \@ "M/d/yyyy h:mm am/pm" </w:instrText>
    </w:r>
    <w:r>
      <w:rPr>
        <w:b/>
        <w:color w:val="FF0000"/>
        <w:sz w:val="20"/>
        <w:lang w:val="en-US"/>
      </w:rPr>
      <w:fldChar w:fldCharType="separate"/>
    </w:r>
    <w:r w:rsidR="00A758E3">
      <w:rPr>
        <w:b/>
        <w:noProof/>
        <w:color w:val="FF0000"/>
        <w:sz w:val="20"/>
        <w:lang w:val="en-US"/>
      </w:rPr>
      <w:t>3/22/2012 12:15 PM</w:t>
    </w:r>
    <w:r>
      <w:rPr>
        <w:b/>
        <w:color w:val="FF0000"/>
        <w:sz w:val="20"/>
        <w:lang w:val="en-US"/>
      </w:rPr>
      <w:fldChar w:fldCharType="end"/>
    </w:r>
  </w:p>
  <w:p w:rsidR="00F93576" w:rsidRPr="004E3D82" w:rsidRDefault="00F93576" w:rsidP="004E3D82">
    <w:pPr>
      <w:pStyle w:val="Header"/>
      <w:tabs>
        <w:tab w:val="clear" w:pos="4680"/>
      </w:tabs>
      <w:ind w:firstLine="6210"/>
      <w:rPr>
        <w:b/>
        <w:sz w:val="24"/>
        <w:szCs w:val="24"/>
        <w:lang w:val="en-US"/>
      </w:rPr>
    </w:pPr>
    <w:r>
      <w:rPr>
        <w:rFonts w:ascii="Times New Roman" w:hAnsi="Times New Roman"/>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D42" w:rsidRPr="00FD7D42" w:rsidRDefault="00FD7D42" w:rsidP="00FD7D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D42" w:rsidRPr="00FD7D42" w:rsidRDefault="00FD7D42" w:rsidP="00FD7D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D42" w:rsidRPr="00FD7D42" w:rsidRDefault="00FD7D42" w:rsidP="00FD7D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5"/>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B3"/>
    <w:rsid w:val="00012A40"/>
    <w:rsid w:val="000426E3"/>
    <w:rsid w:val="00051BD0"/>
    <w:rsid w:val="00066074"/>
    <w:rsid w:val="00086998"/>
    <w:rsid w:val="00087B4E"/>
    <w:rsid w:val="000A35D1"/>
    <w:rsid w:val="000C66FC"/>
    <w:rsid w:val="000D0E61"/>
    <w:rsid w:val="000F1E85"/>
    <w:rsid w:val="00103CAF"/>
    <w:rsid w:val="00134F16"/>
    <w:rsid w:val="001408F3"/>
    <w:rsid w:val="001528B5"/>
    <w:rsid w:val="00166B86"/>
    <w:rsid w:val="001734CC"/>
    <w:rsid w:val="0019393D"/>
    <w:rsid w:val="0019649C"/>
    <w:rsid w:val="001A3E2C"/>
    <w:rsid w:val="001A58CC"/>
    <w:rsid w:val="001C2679"/>
    <w:rsid w:val="00203218"/>
    <w:rsid w:val="00224B58"/>
    <w:rsid w:val="00255071"/>
    <w:rsid w:val="00256E09"/>
    <w:rsid w:val="00260EBE"/>
    <w:rsid w:val="002761B8"/>
    <w:rsid w:val="002774F4"/>
    <w:rsid w:val="00292490"/>
    <w:rsid w:val="002B629E"/>
    <w:rsid w:val="002F0CE5"/>
    <w:rsid w:val="002F1C2E"/>
    <w:rsid w:val="002F46AC"/>
    <w:rsid w:val="003547E1"/>
    <w:rsid w:val="003C100B"/>
    <w:rsid w:val="003C3698"/>
    <w:rsid w:val="003F3B30"/>
    <w:rsid w:val="0041761D"/>
    <w:rsid w:val="0042772C"/>
    <w:rsid w:val="004620AF"/>
    <w:rsid w:val="00463BF7"/>
    <w:rsid w:val="00474EC3"/>
    <w:rsid w:val="00480EA9"/>
    <w:rsid w:val="00494980"/>
    <w:rsid w:val="004A2D04"/>
    <w:rsid w:val="004E3D82"/>
    <w:rsid w:val="004E4CD4"/>
    <w:rsid w:val="00501169"/>
    <w:rsid w:val="005049E2"/>
    <w:rsid w:val="0051462F"/>
    <w:rsid w:val="0052638A"/>
    <w:rsid w:val="00544B2B"/>
    <w:rsid w:val="00555549"/>
    <w:rsid w:val="00556E36"/>
    <w:rsid w:val="00573CDD"/>
    <w:rsid w:val="00582142"/>
    <w:rsid w:val="00593CC2"/>
    <w:rsid w:val="00597170"/>
    <w:rsid w:val="00597F3E"/>
    <w:rsid w:val="005C0505"/>
    <w:rsid w:val="005C178D"/>
    <w:rsid w:val="005D569F"/>
    <w:rsid w:val="005F3F7A"/>
    <w:rsid w:val="00607C17"/>
    <w:rsid w:val="00615C72"/>
    <w:rsid w:val="00636C69"/>
    <w:rsid w:val="006407B6"/>
    <w:rsid w:val="00647CB3"/>
    <w:rsid w:val="0065230A"/>
    <w:rsid w:val="00664785"/>
    <w:rsid w:val="006775DC"/>
    <w:rsid w:val="00693173"/>
    <w:rsid w:val="006A0DE6"/>
    <w:rsid w:val="006D0D0D"/>
    <w:rsid w:val="006D512F"/>
    <w:rsid w:val="006E07C2"/>
    <w:rsid w:val="006E3B1D"/>
    <w:rsid w:val="006F0C0C"/>
    <w:rsid w:val="00735B69"/>
    <w:rsid w:val="007715FB"/>
    <w:rsid w:val="00794432"/>
    <w:rsid w:val="00795C75"/>
    <w:rsid w:val="007A07D4"/>
    <w:rsid w:val="007A6E41"/>
    <w:rsid w:val="007C57D8"/>
    <w:rsid w:val="007D6FA3"/>
    <w:rsid w:val="007F760B"/>
    <w:rsid w:val="008048F0"/>
    <w:rsid w:val="00821C6D"/>
    <w:rsid w:val="00822FB1"/>
    <w:rsid w:val="008652B0"/>
    <w:rsid w:val="008739DD"/>
    <w:rsid w:val="00880BB8"/>
    <w:rsid w:val="00894775"/>
    <w:rsid w:val="008A17F7"/>
    <w:rsid w:val="008B4A53"/>
    <w:rsid w:val="008D00E6"/>
    <w:rsid w:val="008F0C68"/>
    <w:rsid w:val="0090706F"/>
    <w:rsid w:val="009134D4"/>
    <w:rsid w:val="009362BA"/>
    <w:rsid w:val="0094572F"/>
    <w:rsid w:val="0094684B"/>
    <w:rsid w:val="00954D00"/>
    <w:rsid w:val="00970175"/>
    <w:rsid w:val="0099529E"/>
    <w:rsid w:val="009A12C9"/>
    <w:rsid w:val="009D4367"/>
    <w:rsid w:val="009E1873"/>
    <w:rsid w:val="00A14F45"/>
    <w:rsid w:val="00A21E31"/>
    <w:rsid w:val="00A227C3"/>
    <w:rsid w:val="00A35DEA"/>
    <w:rsid w:val="00A3672C"/>
    <w:rsid w:val="00A41D35"/>
    <w:rsid w:val="00A52E3B"/>
    <w:rsid w:val="00A758E3"/>
    <w:rsid w:val="00A75D64"/>
    <w:rsid w:val="00A86EFD"/>
    <w:rsid w:val="00AB2AF8"/>
    <w:rsid w:val="00AC3753"/>
    <w:rsid w:val="00AC4940"/>
    <w:rsid w:val="00AD51F6"/>
    <w:rsid w:val="00AD5C85"/>
    <w:rsid w:val="00B168F8"/>
    <w:rsid w:val="00B40D85"/>
    <w:rsid w:val="00B5795B"/>
    <w:rsid w:val="00B74282"/>
    <w:rsid w:val="00BD1E72"/>
    <w:rsid w:val="00BF32A1"/>
    <w:rsid w:val="00C07E4B"/>
    <w:rsid w:val="00C1330F"/>
    <w:rsid w:val="00C24691"/>
    <w:rsid w:val="00C264E8"/>
    <w:rsid w:val="00C26E6D"/>
    <w:rsid w:val="00C3235E"/>
    <w:rsid w:val="00C3273E"/>
    <w:rsid w:val="00C336F6"/>
    <w:rsid w:val="00C50453"/>
    <w:rsid w:val="00C51DB3"/>
    <w:rsid w:val="00C539CE"/>
    <w:rsid w:val="00C55148"/>
    <w:rsid w:val="00C6290C"/>
    <w:rsid w:val="00C71255"/>
    <w:rsid w:val="00CD26E7"/>
    <w:rsid w:val="00CE06D8"/>
    <w:rsid w:val="00CE2B88"/>
    <w:rsid w:val="00CE3843"/>
    <w:rsid w:val="00CF469B"/>
    <w:rsid w:val="00D07195"/>
    <w:rsid w:val="00D47B31"/>
    <w:rsid w:val="00D54543"/>
    <w:rsid w:val="00D6720B"/>
    <w:rsid w:val="00D70024"/>
    <w:rsid w:val="00D71870"/>
    <w:rsid w:val="00D722D9"/>
    <w:rsid w:val="00D90619"/>
    <w:rsid w:val="00DB2797"/>
    <w:rsid w:val="00DD0BFC"/>
    <w:rsid w:val="00DD1A79"/>
    <w:rsid w:val="00DD462B"/>
    <w:rsid w:val="00DD4716"/>
    <w:rsid w:val="00DD777C"/>
    <w:rsid w:val="00E249CA"/>
    <w:rsid w:val="00E26472"/>
    <w:rsid w:val="00E36DF8"/>
    <w:rsid w:val="00E40E46"/>
    <w:rsid w:val="00E47E37"/>
    <w:rsid w:val="00E522FA"/>
    <w:rsid w:val="00E528C9"/>
    <w:rsid w:val="00E529F0"/>
    <w:rsid w:val="00E608CB"/>
    <w:rsid w:val="00E71E97"/>
    <w:rsid w:val="00E914A7"/>
    <w:rsid w:val="00E9171B"/>
    <w:rsid w:val="00E94759"/>
    <w:rsid w:val="00EA0DB8"/>
    <w:rsid w:val="00EA2FEA"/>
    <w:rsid w:val="00EC2F61"/>
    <w:rsid w:val="00EC3786"/>
    <w:rsid w:val="00EE410D"/>
    <w:rsid w:val="00EF02E5"/>
    <w:rsid w:val="00F55CE7"/>
    <w:rsid w:val="00F6166C"/>
    <w:rsid w:val="00F6631D"/>
    <w:rsid w:val="00F7506A"/>
    <w:rsid w:val="00F81CB7"/>
    <w:rsid w:val="00F83B5B"/>
    <w:rsid w:val="00F92536"/>
    <w:rsid w:val="00F93576"/>
    <w:rsid w:val="00FA39E1"/>
    <w:rsid w:val="00FD7D42"/>
    <w:rsid w:val="00FE21AA"/>
    <w:rsid w:val="00FF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DB3"/>
    <w:rPr>
      <w:rFonts w:ascii="Arial" w:hAnsi="Arial"/>
      <w:sz w:val="23"/>
    </w:rPr>
  </w:style>
  <w:style w:type="paragraph" w:styleId="Heading1">
    <w:name w:val="heading 1"/>
    <w:basedOn w:val="Normal"/>
    <w:next w:val="Normal"/>
    <w:link w:val="Heading1Char"/>
    <w:autoRedefine/>
    <w:uiPriority w:val="9"/>
    <w:qFormat/>
    <w:rsid w:val="00C50453"/>
    <w:pPr>
      <w:keepNext/>
      <w:spacing w:before="360" w:after="240"/>
      <w:jc w:val="center"/>
      <w:outlineLvl w:val="0"/>
    </w:pPr>
    <w:rPr>
      <w:rFonts w:ascii="Times New Roman" w:hAnsi="Times New Roman"/>
      <w:b/>
      <w:bCs/>
      <w:kern w:val="32"/>
      <w:sz w:val="28"/>
      <w:szCs w:val="32"/>
    </w:rPr>
  </w:style>
  <w:style w:type="paragraph" w:styleId="Heading7">
    <w:name w:val="heading 7"/>
    <w:basedOn w:val="Normal"/>
    <w:next w:val="Normal"/>
    <w:link w:val="Heading7Char"/>
    <w:qFormat/>
    <w:rsid w:val="00C51DB3"/>
    <w:pPr>
      <w:keepNext/>
      <w:jc w:val="center"/>
      <w:outlineLvl w:val="6"/>
    </w:pPr>
    <w:rPr>
      <w:b/>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C51DB3"/>
    <w:rPr>
      <w:rFonts w:ascii="Arial" w:eastAsia="Times New Roman" w:hAnsi="Arial" w:cs="Arial"/>
      <w:b/>
      <w:sz w:val="24"/>
      <w:szCs w:val="24"/>
    </w:rPr>
  </w:style>
  <w:style w:type="paragraph" w:customStyle="1" w:styleId="PARA-NORM">
    <w:name w:val="PARA-NORM"/>
    <w:basedOn w:val="Normal"/>
    <w:rsid w:val="00C51DB3"/>
    <w:pPr>
      <w:overflowPunct w:val="0"/>
      <w:autoSpaceDE w:val="0"/>
      <w:autoSpaceDN w:val="0"/>
      <w:adjustRightInd w:val="0"/>
      <w:spacing w:before="240" w:line="480" w:lineRule="auto"/>
      <w:jc w:val="both"/>
      <w:textAlignment w:val="baseline"/>
    </w:pPr>
    <w:rPr>
      <w:rFonts w:ascii="CG Times" w:hAnsi="CG Times"/>
      <w:sz w:val="24"/>
    </w:rPr>
  </w:style>
  <w:style w:type="paragraph" w:styleId="FootnoteText">
    <w:name w:val="footnote text"/>
    <w:basedOn w:val="Normal"/>
    <w:link w:val="FootnoteTextChar"/>
    <w:autoRedefine/>
    <w:uiPriority w:val="99"/>
    <w:unhideWhenUsed/>
    <w:rsid w:val="00FD7D42"/>
    <w:pPr>
      <w:spacing w:before="240" w:after="240"/>
      <w:ind w:left="720" w:hanging="720"/>
    </w:pPr>
    <w:rPr>
      <w:rFonts w:ascii="Times New Roman" w:hAnsi="Times New Roman"/>
      <w:sz w:val="24"/>
      <w:lang w:val="x-none" w:eastAsia="x-none"/>
    </w:rPr>
  </w:style>
  <w:style w:type="character" w:customStyle="1" w:styleId="FootnoteTextChar">
    <w:name w:val="Footnote Text Char"/>
    <w:link w:val="FootnoteText"/>
    <w:uiPriority w:val="99"/>
    <w:rsid w:val="00FD7D42"/>
    <w:rPr>
      <w:rFonts w:ascii="Times New Roman" w:hAnsi="Times New Roman"/>
      <w:sz w:val="24"/>
      <w:lang w:val="x-none" w:eastAsia="x-none"/>
    </w:rPr>
  </w:style>
  <w:style w:type="character" w:styleId="FootnoteReference">
    <w:name w:val="footnote reference"/>
    <w:uiPriority w:val="99"/>
    <w:semiHidden/>
    <w:unhideWhenUsed/>
    <w:rsid w:val="00597170"/>
    <w:rPr>
      <w:vertAlign w:val="superscript"/>
    </w:rPr>
  </w:style>
  <w:style w:type="paragraph" w:styleId="Header">
    <w:name w:val="header"/>
    <w:basedOn w:val="Normal"/>
    <w:link w:val="HeaderChar"/>
    <w:uiPriority w:val="99"/>
    <w:unhideWhenUsed/>
    <w:rsid w:val="00C539CE"/>
    <w:pPr>
      <w:tabs>
        <w:tab w:val="center" w:pos="4680"/>
        <w:tab w:val="right" w:pos="9360"/>
      </w:tabs>
    </w:pPr>
    <w:rPr>
      <w:lang w:val="x-none" w:eastAsia="x-none"/>
    </w:rPr>
  </w:style>
  <w:style w:type="character" w:customStyle="1" w:styleId="HeaderChar">
    <w:name w:val="Header Char"/>
    <w:link w:val="Header"/>
    <w:uiPriority w:val="99"/>
    <w:rsid w:val="00C539CE"/>
    <w:rPr>
      <w:rFonts w:ascii="Arial" w:hAnsi="Arial"/>
      <w:sz w:val="23"/>
    </w:rPr>
  </w:style>
  <w:style w:type="paragraph" w:styleId="Footer">
    <w:name w:val="footer"/>
    <w:basedOn w:val="Normal"/>
    <w:link w:val="FooterChar"/>
    <w:uiPriority w:val="99"/>
    <w:unhideWhenUsed/>
    <w:rsid w:val="00C539CE"/>
    <w:pPr>
      <w:tabs>
        <w:tab w:val="center" w:pos="4680"/>
        <w:tab w:val="right" w:pos="9360"/>
      </w:tabs>
    </w:pPr>
    <w:rPr>
      <w:lang w:val="x-none" w:eastAsia="x-none"/>
    </w:rPr>
  </w:style>
  <w:style w:type="character" w:customStyle="1" w:styleId="FooterChar">
    <w:name w:val="Footer Char"/>
    <w:link w:val="Footer"/>
    <w:uiPriority w:val="99"/>
    <w:rsid w:val="00C539CE"/>
    <w:rPr>
      <w:rFonts w:ascii="Arial" w:hAnsi="Arial"/>
      <w:sz w:val="23"/>
    </w:rPr>
  </w:style>
  <w:style w:type="paragraph" w:styleId="BalloonText">
    <w:name w:val="Balloon Text"/>
    <w:basedOn w:val="Normal"/>
    <w:link w:val="BalloonTextChar"/>
    <w:uiPriority w:val="99"/>
    <w:semiHidden/>
    <w:unhideWhenUsed/>
    <w:rsid w:val="00C539CE"/>
    <w:rPr>
      <w:rFonts w:ascii="Tahoma" w:hAnsi="Tahoma"/>
      <w:sz w:val="16"/>
      <w:szCs w:val="16"/>
      <w:lang w:val="x-none" w:eastAsia="x-none"/>
    </w:rPr>
  </w:style>
  <w:style w:type="character" w:customStyle="1" w:styleId="BalloonTextChar">
    <w:name w:val="Balloon Text Char"/>
    <w:link w:val="BalloonText"/>
    <w:uiPriority w:val="99"/>
    <w:semiHidden/>
    <w:rsid w:val="00C539CE"/>
    <w:rPr>
      <w:rFonts w:ascii="Tahoma" w:hAnsi="Tahoma" w:cs="Tahoma"/>
      <w:sz w:val="16"/>
      <w:szCs w:val="16"/>
    </w:rPr>
  </w:style>
  <w:style w:type="paragraph" w:customStyle="1" w:styleId="Textstyle">
    <w:name w:val="Text style"/>
    <w:basedOn w:val="Normal"/>
    <w:link w:val="TextstyleChar"/>
    <w:rsid w:val="00256E09"/>
    <w:pPr>
      <w:spacing w:line="480" w:lineRule="auto"/>
    </w:pPr>
    <w:rPr>
      <w:rFonts w:ascii="Times New Roman" w:hAnsi="Times New Roman"/>
      <w:sz w:val="26"/>
      <w:szCs w:val="24"/>
      <w:lang w:val="x-none" w:eastAsia="x-none"/>
    </w:rPr>
  </w:style>
  <w:style w:type="character" w:customStyle="1" w:styleId="TextstyleChar">
    <w:name w:val="Text style Char"/>
    <w:link w:val="Textstyle"/>
    <w:rsid w:val="00256E09"/>
    <w:rPr>
      <w:rFonts w:ascii="Times New Roman" w:hAnsi="Times New Roman"/>
      <w:sz w:val="26"/>
      <w:szCs w:val="24"/>
      <w:lang w:val="x-none" w:eastAsia="x-none"/>
    </w:rPr>
  </w:style>
  <w:style w:type="paragraph" w:styleId="BodyTextIndent2">
    <w:name w:val="Body Text Indent 2"/>
    <w:basedOn w:val="Normal"/>
    <w:link w:val="BodyTextIndent2Char"/>
    <w:rsid w:val="00EC2F61"/>
    <w:pPr>
      <w:ind w:left="3600" w:hanging="90"/>
    </w:pPr>
    <w:rPr>
      <w:rFonts w:ascii="Times New Roman" w:hAnsi="Times New Roman"/>
      <w:sz w:val="24"/>
      <w:lang w:val="x-none" w:eastAsia="x-none"/>
    </w:rPr>
  </w:style>
  <w:style w:type="character" w:customStyle="1" w:styleId="BodyTextIndent2Char">
    <w:name w:val="Body Text Indent 2 Char"/>
    <w:link w:val="BodyTextIndent2"/>
    <w:rsid w:val="00EC2F61"/>
    <w:rPr>
      <w:rFonts w:ascii="Times New Roman" w:hAnsi="Times New Roman"/>
      <w:sz w:val="24"/>
      <w:lang w:val="x-none" w:eastAsia="x-none"/>
    </w:rPr>
  </w:style>
  <w:style w:type="character" w:styleId="CommentReference">
    <w:name w:val="annotation reference"/>
    <w:uiPriority w:val="99"/>
    <w:semiHidden/>
    <w:unhideWhenUsed/>
    <w:rsid w:val="00A3672C"/>
    <w:rPr>
      <w:sz w:val="16"/>
      <w:szCs w:val="16"/>
    </w:rPr>
  </w:style>
  <w:style w:type="paragraph" w:styleId="CommentText">
    <w:name w:val="annotation text"/>
    <w:basedOn w:val="Normal"/>
    <w:link w:val="CommentTextChar"/>
    <w:uiPriority w:val="99"/>
    <w:semiHidden/>
    <w:unhideWhenUsed/>
    <w:rsid w:val="00A3672C"/>
    <w:rPr>
      <w:sz w:val="20"/>
    </w:rPr>
  </w:style>
  <w:style w:type="character" w:customStyle="1" w:styleId="CommentTextChar">
    <w:name w:val="Comment Text Char"/>
    <w:link w:val="CommentText"/>
    <w:uiPriority w:val="99"/>
    <w:semiHidden/>
    <w:rsid w:val="00A3672C"/>
    <w:rPr>
      <w:rFonts w:ascii="Arial" w:hAnsi="Arial"/>
    </w:rPr>
  </w:style>
  <w:style w:type="paragraph" w:styleId="CommentSubject">
    <w:name w:val="annotation subject"/>
    <w:basedOn w:val="CommentText"/>
    <w:next w:val="CommentText"/>
    <w:link w:val="CommentSubjectChar"/>
    <w:uiPriority w:val="99"/>
    <w:semiHidden/>
    <w:unhideWhenUsed/>
    <w:rsid w:val="00A3672C"/>
    <w:rPr>
      <w:b/>
      <w:bCs/>
    </w:rPr>
  </w:style>
  <w:style w:type="character" w:customStyle="1" w:styleId="CommentSubjectChar">
    <w:name w:val="Comment Subject Char"/>
    <w:link w:val="CommentSubject"/>
    <w:uiPriority w:val="99"/>
    <w:semiHidden/>
    <w:rsid w:val="00A3672C"/>
    <w:rPr>
      <w:rFonts w:ascii="Arial" w:hAnsi="Arial"/>
      <w:b/>
      <w:bCs/>
    </w:rPr>
  </w:style>
  <w:style w:type="character" w:customStyle="1" w:styleId="Heading1Char">
    <w:name w:val="Heading 1 Char"/>
    <w:link w:val="Heading1"/>
    <w:uiPriority w:val="9"/>
    <w:rsid w:val="00C50453"/>
    <w:rPr>
      <w:rFonts w:ascii="Times New Roman" w:hAnsi="Times New Roman"/>
      <w:b/>
      <w:bCs/>
      <w:kern w:val="32"/>
      <w:sz w:val="28"/>
      <w:szCs w:val="32"/>
    </w:rPr>
  </w:style>
  <w:style w:type="character" w:styleId="Hyperlink">
    <w:name w:val="Hyperlink"/>
    <w:uiPriority w:val="99"/>
    <w:unhideWhenUsed/>
    <w:rsid w:val="00821C6D"/>
    <w:rPr>
      <w:color w:val="0000FF"/>
      <w:u w:val="single"/>
    </w:rPr>
  </w:style>
  <w:style w:type="paragraph" w:customStyle="1" w:styleId="TEXTSTYLEl">
    <w:name w:val="TEXT STYLEl"/>
    <w:basedOn w:val="Normal"/>
    <w:rsid w:val="00256E09"/>
    <w:pPr>
      <w:spacing w:line="480" w:lineRule="auto"/>
      <w:ind w:firstLine="720"/>
    </w:pPr>
    <w:rPr>
      <w:rFonts w:ascii="Times New Roman" w:hAnsi="Times New Roman"/>
      <w:sz w:val="26"/>
      <w:szCs w:val="24"/>
    </w:rPr>
  </w:style>
  <w:style w:type="paragraph" w:customStyle="1" w:styleId="Heading10">
    <w:name w:val="Heading1"/>
    <w:basedOn w:val="TEXTSTYLEl"/>
    <w:rsid w:val="000C66FC"/>
    <w:pPr>
      <w:ind w:firstLine="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DB3"/>
    <w:rPr>
      <w:rFonts w:ascii="Arial" w:hAnsi="Arial"/>
      <w:sz w:val="23"/>
    </w:rPr>
  </w:style>
  <w:style w:type="paragraph" w:styleId="Heading1">
    <w:name w:val="heading 1"/>
    <w:basedOn w:val="Normal"/>
    <w:next w:val="Normal"/>
    <w:link w:val="Heading1Char"/>
    <w:autoRedefine/>
    <w:uiPriority w:val="9"/>
    <w:qFormat/>
    <w:rsid w:val="00C50453"/>
    <w:pPr>
      <w:keepNext/>
      <w:spacing w:before="360" w:after="240"/>
      <w:jc w:val="center"/>
      <w:outlineLvl w:val="0"/>
    </w:pPr>
    <w:rPr>
      <w:rFonts w:ascii="Times New Roman" w:hAnsi="Times New Roman"/>
      <w:b/>
      <w:bCs/>
      <w:kern w:val="32"/>
      <w:sz w:val="28"/>
      <w:szCs w:val="32"/>
    </w:rPr>
  </w:style>
  <w:style w:type="paragraph" w:styleId="Heading7">
    <w:name w:val="heading 7"/>
    <w:basedOn w:val="Normal"/>
    <w:next w:val="Normal"/>
    <w:link w:val="Heading7Char"/>
    <w:qFormat/>
    <w:rsid w:val="00C51DB3"/>
    <w:pPr>
      <w:keepNext/>
      <w:jc w:val="center"/>
      <w:outlineLvl w:val="6"/>
    </w:pPr>
    <w:rPr>
      <w:b/>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C51DB3"/>
    <w:rPr>
      <w:rFonts w:ascii="Arial" w:eastAsia="Times New Roman" w:hAnsi="Arial" w:cs="Arial"/>
      <w:b/>
      <w:sz w:val="24"/>
      <w:szCs w:val="24"/>
    </w:rPr>
  </w:style>
  <w:style w:type="paragraph" w:customStyle="1" w:styleId="PARA-NORM">
    <w:name w:val="PARA-NORM"/>
    <w:basedOn w:val="Normal"/>
    <w:rsid w:val="00C51DB3"/>
    <w:pPr>
      <w:overflowPunct w:val="0"/>
      <w:autoSpaceDE w:val="0"/>
      <w:autoSpaceDN w:val="0"/>
      <w:adjustRightInd w:val="0"/>
      <w:spacing w:before="240" w:line="480" w:lineRule="auto"/>
      <w:jc w:val="both"/>
      <w:textAlignment w:val="baseline"/>
    </w:pPr>
    <w:rPr>
      <w:rFonts w:ascii="CG Times" w:hAnsi="CG Times"/>
      <w:sz w:val="24"/>
    </w:rPr>
  </w:style>
  <w:style w:type="paragraph" w:styleId="FootnoteText">
    <w:name w:val="footnote text"/>
    <w:basedOn w:val="Normal"/>
    <w:link w:val="FootnoteTextChar"/>
    <w:autoRedefine/>
    <w:uiPriority w:val="99"/>
    <w:unhideWhenUsed/>
    <w:rsid w:val="00FD7D42"/>
    <w:pPr>
      <w:spacing w:before="240" w:after="240"/>
      <w:ind w:left="720" w:hanging="720"/>
    </w:pPr>
    <w:rPr>
      <w:rFonts w:ascii="Times New Roman" w:hAnsi="Times New Roman"/>
      <w:sz w:val="24"/>
      <w:lang w:val="x-none" w:eastAsia="x-none"/>
    </w:rPr>
  </w:style>
  <w:style w:type="character" w:customStyle="1" w:styleId="FootnoteTextChar">
    <w:name w:val="Footnote Text Char"/>
    <w:link w:val="FootnoteText"/>
    <w:uiPriority w:val="99"/>
    <w:rsid w:val="00FD7D42"/>
    <w:rPr>
      <w:rFonts w:ascii="Times New Roman" w:hAnsi="Times New Roman"/>
      <w:sz w:val="24"/>
      <w:lang w:val="x-none" w:eastAsia="x-none"/>
    </w:rPr>
  </w:style>
  <w:style w:type="character" w:styleId="FootnoteReference">
    <w:name w:val="footnote reference"/>
    <w:uiPriority w:val="99"/>
    <w:semiHidden/>
    <w:unhideWhenUsed/>
    <w:rsid w:val="00597170"/>
    <w:rPr>
      <w:vertAlign w:val="superscript"/>
    </w:rPr>
  </w:style>
  <w:style w:type="paragraph" w:styleId="Header">
    <w:name w:val="header"/>
    <w:basedOn w:val="Normal"/>
    <w:link w:val="HeaderChar"/>
    <w:uiPriority w:val="99"/>
    <w:unhideWhenUsed/>
    <w:rsid w:val="00C539CE"/>
    <w:pPr>
      <w:tabs>
        <w:tab w:val="center" w:pos="4680"/>
        <w:tab w:val="right" w:pos="9360"/>
      </w:tabs>
    </w:pPr>
    <w:rPr>
      <w:lang w:val="x-none" w:eastAsia="x-none"/>
    </w:rPr>
  </w:style>
  <w:style w:type="character" w:customStyle="1" w:styleId="HeaderChar">
    <w:name w:val="Header Char"/>
    <w:link w:val="Header"/>
    <w:uiPriority w:val="99"/>
    <w:rsid w:val="00C539CE"/>
    <w:rPr>
      <w:rFonts w:ascii="Arial" w:hAnsi="Arial"/>
      <w:sz w:val="23"/>
    </w:rPr>
  </w:style>
  <w:style w:type="paragraph" w:styleId="Footer">
    <w:name w:val="footer"/>
    <w:basedOn w:val="Normal"/>
    <w:link w:val="FooterChar"/>
    <w:uiPriority w:val="99"/>
    <w:unhideWhenUsed/>
    <w:rsid w:val="00C539CE"/>
    <w:pPr>
      <w:tabs>
        <w:tab w:val="center" w:pos="4680"/>
        <w:tab w:val="right" w:pos="9360"/>
      </w:tabs>
    </w:pPr>
    <w:rPr>
      <w:lang w:val="x-none" w:eastAsia="x-none"/>
    </w:rPr>
  </w:style>
  <w:style w:type="character" w:customStyle="1" w:styleId="FooterChar">
    <w:name w:val="Footer Char"/>
    <w:link w:val="Footer"/>
    <w:uiPriority w:val="99"/>
    <w:rsid w:val="00C539CE"/>
    <w:rPr>
      <w:rFonts w:ascii="Arial" w:hAnsi="Arial"/>
      <w:sz w:val="23"/>
    </w:rPr>
  </w:style>
  <w:style w:type="paragraph" w:styleId="BalloonText">
    <w:name w:val="Balloon Text"/>
    <w:basedOn w:val="Normal"/>
    <w:link w:val="BalloonTextChar"/>
    <w:uiPriority w:val="99"/>
    <w:semiHidden/>
    <w:unhideWhenUsed/>
    <w:rsid w:val="00C539CE"/>
    <w:rPr>
      <w:rFonts w:ascii="Tahoma" w:hAnsi="Tahoma"/>
      <w:sz w:val="16"/>
      <w:szCs w:val="16"/>
      <w:lang w:val="x-none" w:eastAsia="x-none"/>
    </w:rPr>
  </w:style>
  <w:style w:type="character" w:customStyle="1" w:styleId="BalloonTextChar">
    <w:name w:val="Balloon Text Char"/>
    <w:link w:val="BalloonText"/>
    <w:uiPriority w:val="99"/>
    <w:semiHidden/>
    <w:rsid w:val="00C539CE"/>
    <w:rPr>
      <w:rFonts w:ascii="Tahoma" w:hAnsi="Tahoma" w:cs="Tahoma"/>
      <w:sz w:val="16"/>
      <w:szCs w:val="16"/>
    </w:rPr>
  </w:style>
  <w:style w:type="paragraph" w:customStyle="1" w:styleId="Textstyle">
    <w:name w:val="Text style"/>
    <w:basedOn w:val="Normal"/>
    <w:link w:val="TextstyleChar"/>
    <w:rsid w:val="00256E09"/>
    <w:pPr>
      <w:spacing w:line="480" w:lineRule="auto"/>
    </w:pPr>
    <w:rPr>
      <w:rFonts w:ascii="Times New Roman" w:hAnsi="Times New Roman"/>
      <w:sz w:val="26"/>
      <w:szCs w:val="24"/>
      <w:lang w:val="x-none" w:eastAsia="x-none"/>
    </w:rPr>
  </w:style>
  <w:style w:type="character" w:customStyle="1" w:styleId="TextstyleChar">
    <w:name w:val="Text style Char"/>
    <w:link w:val="Textstyle"/>
    <w:rsid w:val="00256E09"/>
    <w:rPr>
      <w:rFonts w:ascii="Times New Roman" w:hAnsi="Times New Roman"/>
      <w:sz w:val="26"/>
      <w:szCs w:val="24"/>
      <w:lang w:val="x-none" w:eastAsia="x-none"/>
    </w:rPr>
  </w:style>
  <w:style w:type="paragraph" w:styleId="BodyTextIndent2">
    <w:name w:val="Body Text Indent 2"/>
    <w:basedOn w:val="Normal"/>
    <w:link w:val="BodyTextIndent2Char"/>
    <w:rsid w:val="00EC2F61"/>
    <w:pPr>
      <w:ind w:left="3600" w:hanging="90"/>
    </w:pPr>
    <w:rPr>
      <w:rFonts w:ascii="Times New Roman" w:hAnsi="Times New Roman"/>
      <w:sz w:val="24"/>
      <w:lang w:val="x-none" w:eastAsia="x-none"/>
    </w:rPr>
  </w:style>
  <w:style w:type="character" w:customStyle="1" w:styleId="BodyTextIndent2Char">
    <w:name w:val="Body Text Indent 2 Char"/>
    <w:link w:val="BodyTextIndent2"/>
    <w:rsid w:val="00EC2F61"/>
    <w:rPr>
      <w:rFonts w:ascii="Times New Roman" w:hAnsi="Times New Roman"/>
      <w:sz w:val="24"/>
      <w:lang w:val="x-none" w:eastAsia="x-none"/>
    </w:rPr>
  </w:style>
  <w:style w:type="character" w:styleId="CommentReference">
    <w:name w:val="annotation reference"/>
    <w:uiPriority w:val="99"/>
    <w:semiHidden/>
    <w:unhideWhenUsed/>
    <w:rsid w:val="00A3672C"/>
    <w:rPr>
      <w:sz w:val="16"/>
      <w:szCs w:val="16"/>
    </w:rPr>
  </w:style>
  <w:style w:type="paragraph" w:styleId="CommentText">
    <w:name w:val="annotation text"/>
    <w:basedOn w:val="Normal"/>
    <w:link w:val="CommentTextChar"/>
    <w:uiPriority w:val="99"/>
    <w:semiHidden/>
    <w:unhideWhenUsed/>
    <w:rsid w:val="00A3672C"/>
    <w:rPr>
      <w:sz w:val="20"/>
    </w:rPr>
  </w:style>
  <w:style w:type="character" w:customStyle="1" w:styleId="CommentTextChar">
    <w:name w:val="Comment Text Char"/>
    <w:link w:val="CommentText"/>
    <w:uiPriority w:val="99"/>
    <w:semiHidden/>
    <w:rsid w:val="00A3672C"/>
    <w:rPr>
      <w:rFonts w:ascii="Arial" w:hAnsi="Arial"/>
    </w:rPr>
  </w:style>
  <w:style w:type="paragraph" w:styleId="CommentSubject">
    <w:name w:val="annotation subject"/>
    <w:basedOn w:val="CommentText"/>
    <w:next w:val="CommentText"/>
    <w:link w:val="CommentSubjectChar"/>
    <w:uiPriority w:val="99"/>
    <w:semiHidden/>
    <w:unhideWhenUsed/>
    <w:rsid w:val="00A3672C"/>
    <w:rPr>
      <w:b/>
      <w:bCs/>
    </w:rPr>
  </w:style>
  <w:style w:type="character" w:customStyle="1" w:styleId="CommentSubjectChar">
    <w:name w:val="Comment Subject Char"/>
    <w:link w:val="CommentSubject"/>
    <w:uiPriority w:val="99"/>
    <w:semiHidden/>
    <w:rsid w:val="00A3672C"/>
    <w:rPr>
      <w:rFonts w:ascii="Arial" w:hAnsi="Arial"/>
      <w:b/>
      <w:bCs/>
    </w:rPr>
  </w:style>
  <w:style w:type="character" w:customStyle="1" w:styleId="Heading1Char">
    <w:name w:val="Heading 1 Char"/>
    <w:link w:val="Heading1"/>
    <w:uiPriority w:val="9"/>
    <w:rsid w:val="00C50453"/>
    <w:rPr>
      <w:rFonts w:ascii="Times New Roman" w:hAnsi="Times New Roman"/>
      <w:b/>
      <w:bCs/>
      <w:kern w:val="32"/>
      <w:sz w:val="28"/>
      <w:szCs w:val="32"/>
    </w:rPr>
  </w:style>
  <w:style w:type="character" w:styleId="Hyperlink">
    <w:name w:val="Hyperlink"/>
    <w:uiPriority w:val="99"/>
    <w:unhideWhenUsed/>
    <w:rsid w:val="00821C6D"/>
    <w:rPr>
      <w:color w:val="0000FF"/>
      <w:u w:val="single"/>
    </w:rPr>
  </w:style>
  <w:style w:type="paragraph" w:customStyle="1" w:styleId="TEXTSTYLEl">
    <w:name w:val="TEXT STYLEl"/>
    <w:basedOn w:val="Normal"/>
    <w:rsid w:val="00256E09"/>
    <w:pPr>
      <w:spacing w:line="480" w:lineRule="auto"/>
      <w:ind w:firstLine="720"/>
    </w:pPr>
    <w:rPr>
      <w:rFonts w:ascii="Times New Roman" w:hAnsi="Times New Roman"/>
      <w:sz w:val="26"/>
      <w:szCs w:val="24"/>
    </w:rPr>
  </w:style>
  <w:style w:type="paragraph" w:customStyle="1" w:styleId="Heading10">
    <w:name w:val="Heading1"/>
    <w:basedOn w:val="TEXTSTYLEl"/>
    <w:rsid w:val="000C66FC"/>
    <w:pPr>
      <w:ind w:firstLine="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842730">
      <w:bodyDiv w:val="1"/>
      <w:marLeft w:val="0"/>
      <w:marRight w:val="0"/>
      <w:marTop w:val="0"/>
      <w:marBottom w:val="0"/>
      <w:divBdr>
        <w:top w:val="none" w:sz="0" w:space="0" w:color="auto"/>
        <w:left w:val="none" w:sz="0" w:space="0" w:color="auto"/>
        <w:bottom w:val="none" w:sz="0" w:space="0" w:color="auto"/>
        <w:right w:val="none" w:sz="0" w:space="0" w:color="auto"/>
      </w:divBdr>
    </w:div>
    <w:div w:id="606545334">
      <w:bodyDiv w:val="1"/>
      <w:marLeft w:val="0"/>
      <w:marRight w:val="0"/>
      <w:marTop w:val="0"/>
      <w:marBottom w:val="0"/>
      <w:divBdr>
        <w:top w:val="none" w:sz="0" w:space="0" w:color="auto"/>
        <w:left w:val="none" w:sz="0" w:space="0" w:color="auto"/>
        <w:bottom w:val="none" w:sz="0" w:space="0" w:color="auto"/>
        <w:right w:val="none" w:sz="0" w:space="0" w:color="auto"/>
      </w:divBdr>
    </w:div>
    <w:div w:id="96516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homas.mcnamee@puc.state.oh.u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homas.mcnamee@puc.state.oh.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1A2C2-2E3F-4441-A908-BA1405C84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9090</CharactersWithSpaces>
  <SharedDoc>false</SharedDoc>
  <HLinks>
    <vt:vector size="6" baseType="variant">
      <vt:variant>
        <vt:i4>7929874</vt:i4>
      </vt:variant>
      <vt:variant>
        <vt:i4>0</vt:i4>
      </vt:variant>
      <vt:variant>
        <vt:i4>0</vt:i4>
      </vt:variant>
      <vt:variant>
        <vt:i4>5</vt:i4>
      </vt:variant>
      <vt:variant>
        <vt:lpwstr>mailto:thomas.mcnamee@puc.state.oh.us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2012-03-22T12:26:00Z</dcterms:created>
  <dcterms:modified xsi:type="dcterms:W3CDTF">2012-03-22T16:16:00Z</dcterms:modified>
</cp:coreProperties>
</file>