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841E5F" w:rsidP="00841E5F" w14:paraId="1533D292" w14:textId="77777777">
      <w:pPr>
        <w:pStyle w:val="HTMLPreformatted"/>
        <w:jc w:val="center"/>
        <w:rPr>
          <w:rFonts w:ascii="Times New Roman" w:hAnsi="Times New Roman"/>
          <w:b/>
          <w:bCs/>
          <w:sz w:val="24"/>
        </w:rPr>
      </w:pPr>
      <w:r>
        <w:rPr>
          <w:rFonts w:ascii="Times New Roman" w:hAnsi="Times New Roman"/>
          <w:b/>
          <w:bCs/>
          <w:sz w:val="24"/>
        </w:rPr>
        <w:t>BEFORE</w:t>
      </w:r>
    </w:p>
    <w:p w:rsidR="00841E5F" w:rsidP="00841E5F" w14:paraId="0021F96B" w14:textId="77777777">
      <w:pPr>
        <w:pStyle w:val="HTMLPreformatted"/>
        <w:jc w:val="center"/>
        <w:rPr>
          <w:rFonts w:ascii="Times New Roman" w:hAnsi="Times New Roman"/>
          <w:sz w:val="24"/>
        </w:rPr>
      </w:pPr>
      <w:r>
        <w:rPr>
          <w:rFonts w:ascii="Times New Roman" w:hAnsi="Times New Roman"/>
          <w:b/>
          <w:bCs/>
          <w:sz w:val="24"/>
        </w:rPr>
        <w:t>THE PUBLIC UTILITIES COMMISSION OF OHIO</w:t>
      </w:r>
    </w:p>
    <w:p w:rsidR="00841E5F" w:rsidP="00841E5F" w14:paraId="326A3133" w14:textId="77777777">
      <w:pPr>
        <w:pStyle w:val="HTMLPreformatted"/>
        <w:rPr>
          <w:rFonts w:ascii="Times New Roman" w:hAnsi="Times New Roman"/>
          <w:sz w:val="24"/>
        </w:rPr>
      </w:pPr>
    </w:p>
    <w:tbl>
      <w:tblPr>
        <w:tblW w:w="9468" w:type="dxa"/>
        <w:tblLook w:val="01E0"/>
      </w:tblPr>
      <w:tblGrid>
        <w:gridCol w:w="4590"/>
        <w:gridCol w:w="378"/>
        <w:gridCol w:w="4500"/>
      </w:tblGrid>
      <w:tr w14:paraId="4A3E379B" w14:textId="77777777" w:rsidTr="00C63676">
        <w:tblPrEx>
          <w:tblW w:w="9468" w:type="dxa"/>
          <w:tblLook w:val="01E0"/>
        </w:tblPrEx>
        <w:trPr>
          <w:trHeight w:val="807"/>
        </w:trPr>
        <w:tc>
          <w:tcPr>
            <w:tcW w:w="4590" w:type="dxa"/>
            <w:shd w:val="clear" w:color="auto" w:fill="auto"/>
          </w:tcPr>
          <w:p w:rsidR="00841E5F" w:rsidRPr="00A044B5" w:rsidP="00814BD8" w14:paraId="2EEE3544" w14:textId="1D8D7386">
            <w:pPr>
              <w:pStyle w:val="HTMLPreformatted"/>
              <w:rPr>
                <w:rFonts w:ascii="Times New Roman" w:hAnsi="Times New Roman"/>
                <w:sz w:val="24"/>
                <w:szCs w:val="24"/>
              </w:rPr>
            </w:pPr>
            <w:bookmarkStart w:id="0" w:name="_Hlk79299661"/>
            <w:r w:rsidRPr="00A044B5">
              <w:rPr>
                <w:rFonts w:ascii="Times New Roman" w:hAnsi="Times New Roman" w:cs="Times New Roman"/>
                <w:sz w:val="24"/>
                <w:szCs w:val="24"/>
              </w:rPr>
              <w:t>In the Matter of</w:t>
            </w:r>
            <w:r>
              <w:rPr>
                <w:rFonts w:ascii="Times New Roman" w:hAnsi="Times New Roman" w:cs="Times New Roman"/>
                <w:sz w:val="24"/>
                <w:szCs w:val="24"/>
              </w:rPr>
              <w:t xml:space="preserve"> the Application of the East Ohio Gas Company d/b/a Dominion Energy Ohio for Authority to Adjust Its Capital Expenditure Program Rider Charges.</w:t>
            </w:r>
          </w:p>
        </w:tc>
        <w:tc>
          <w:tcPr>
            <w:tcW w:w="378" w:type="dxa"/>
            <w:shd w:val="clear" w:color="auto" w:fill="auto"/>
          </w:tcPr>
          <w:p w:rsidR="00841E5F" w:rsidRPr="00A044B5" w:rsidP="00814BD8" w14:paraId="037E3B5D" w14:textId="77777777">
            <w:pPr>
              <w:pStyle w:val="HTMLPreformatted"/>
              <w:rPr>
                <w:rFonts w:ascii="Times New Roman" w:hAnsi="Times New Roman"/>
                <w:sz w:val="24"/>
              </w:rPr>
            </w:pPr>
            <w:r w:rsidRPr="00A044B5">
              <w:rPr>
                <w:rFonts w:ascii="Times New Roman" w:hAnsi="Times New Roman"/>
                <w:sz w:val="24"/>
              </w:rPr>
              <w:t>)</w:t>
            </w:r>
          </w:p>
          <w:p w:rsidR="00841E5F" w:rsidRPr="00A044B5" w:rsidP="00814BD8" w14:paraId="1CB8011B" w14:textId="77777777">
            <w:pPr>
              <w:pStyle w:val="HTMLPreformatted"/>
              <w:rPr>
                <w:rFonts w:ascii="Times New Roman" w:hAnsi="Times New Roman"/>
                <w:sz w:val="24"/>
              </w:rPr>
            </w:pPr>
            <w:r w:rsidRPr="00A044B5">
              <w:rPr>
                <w:rFonts w:ascii="Times New Roman" w:hAnsi="Times New Roman"/>
                <w:sz w:val="24"/>
              </w:rPr>
              <w:t>)</w:t>
            </w:r>
          </w:p>
          <w:p w:rsidR="00841E5F" w:rsidP="00814BD8" w14:paraId="0E1BACA3" w14:textId="77777777">
            <w:pPr>
              <w:pStyle w:val="HTMLPreformatted"/>
              <w:rPr>
                <w:rFonts w:ascii="Times New Roman" w:hAnsi="Times New Roman"/>
                <w:sz w:val="24"/>
              </w:rPr>
            </w:pPr>
            <w:r w:rsidRPr="00A044B5">
              <w:rPr>
                <w:rFonts w:ascii="Times New Roman" w:hAnsi="Times New Roman"/>
                <w:sz w:val="24"/>
              </w:rPr>
              <w:t>)</w:t>
            </w:r>
          </w:p>
          <w:p w:rsidR="00FD6E65" w:rsidRPr="00A044B5" w:rsidP="00814BD8" w14:paraId="5A0F23A0" w14:textId="56BAAFDF">
            <w:pPr>
              <w:pStyle w:val="HTMLPreformatted"/>
              <w:rPr>
                <w:rFonts w:ascii="Times New Roman" w:hAnsi="Times New Roman"/>
                <w:sz w:val="24"/>
              </w:rPr>
            </w:pPr>
            <w:r>
              <w:rPr>
                <w:rFonts w:ascii="Times New Roman" w:hAnsi="Times New Roman"/>
                <w:sz w:val="24"/>
              </w:rPr>
              <w:t>)</w:t>
            </w:r>
          </w:p>
        </w:tc>
        <w:tc>
          <w:tcPr>
            <w:tcW w:w="4500" w:type="dxa"/>
            <w:shd w:val="clear" w:color="auto" w:fill="auto"/>
          </w:tcPr>
          <w:p w:rsidR="00841E5F" w:rsidRPr="00A044B5" w:rsidP="00814BD8" w14:paraId="11D6A185" w14:textId="77777777">
            <w:pPr>
              <w:pStyle w:val="HTMLPreformatted"/>
              <w:rPr>
                <w:rFonts w:ascii="Times New Roman" w:hAnsi="Times New Roman"/>
                <w:sz w:val="24"/>
              </w:rPr>
            </w:pPr>
          </w:p>
          <w:p w:rsidR="00841E5F" w:rsidRPr="00A044B5" w:rsidP="00814BD8" w14:paraId="71FF3079" w14:textId="2A742ED5">
            <w:pPr>
              <w:pStyle w:val="HTMLPreformatted"/>
              <w:rPr>
                <w:rFonts w:ascii="Times New Roman" w:hAnsi="Times New Roman"/>
                <w:sz w:val="24"/>
              </w:rPr>
            </w:pPr>
            <w:r w:rsidRPr="00A044B5">
              <w:rPr>
                <w:rFonts w:ascii="Times New Roman" w:hAnsi="Times New Roman"/>
                <w:sz w:val="24"/>
              </w:rPr>
              <w:t xml:space="preserve">Case No. </w:t>
            </w:r>
            <w:r w:rsidR="006A4970">
              <w:rPr>
                <w:rFonts w:ascii="Times New Roman" w:hAnsi="Times New Roman"/>
                <w:sz w:val="24"/>
              </w:rPr>
              <w:t>21</w:t>
            </w:r>
            <w:r>
              <w:rPr>
                <w:rFonts w:ascii="Times New Roman" w:hAnsi="Times New Roman"/>
                <w:sz w:val="24"/>
              </w:rPr>
              <w:t>-</w:t>
            </w:r>
            <w:r w:rsidR="006A4970">
              <w:rPr>
                <w:rFonts w:ascii="Times New Roman" w:hAnsi="Times New Roman"/>
                <w:sz w:val="24"/>
              </w:rPr>
              <w:t>619</w:t>
            </w:r>
            <w:r>
              <w:rPr>
                <w:rFonts w:ascii="Times New Roman" w:hAnsi="Times New Roman"/>
                <w:sz w:val="24"/>
              </w:rPr>
              <w:t>-GA-</w:t>
            </w:r>
            <w:r w:rsidR="006A4970">
              <w:rPr>
                <w:rFonts w:ascii="Times New Roman" w:hAnsi="Times New Roman"/>
                <w:sz w:val="24"/>
              </w:rPr>
              <w:t>RDR</w:t>
            </w:r>
          </w:p>
          <w:p w:rsidR="00841E5F" w:rsidRPr="00A044B5" w:rsidP="00814BD8" w14:paraId="65F384E5" w14:textId="77777777">
            <w:pPr>
              <w:pStyle w:val="HTMLPreformatted"/>
              <w:rPr>
                <w:rFonts w:ascii="Times New Roman" w:hAnsi="Times New Roman"/>
                <w:sz w:val="24"/>
              </w:rPr>
            </w:pPr>
          </w:p>
        </w:tc>
      </w:tr>
      <w:bookmarkEnd w:id="0"/>
    </w:tbl>
    <w:p w:rsidR="00841E5F" w:rsidP="00841E5F" w14:paraId="4FE81D29" w14:textId="77777777">
      <w:pPr>
        <w:pStyle w:val="HTMLPreformatted"/>
        <w:rPr>
          <w:rFonts w:ascii="Times New Roman" w:hAnsi="Times New Roman"/>
          <w:sz w:val="24"/>
        </w:rPr>
      </w:pPr>
    </w:p>
    <w:p w:rsidR="00841E5F" w:rsidP="00841E5F" w14:paraId="16B37E4C" w14:textId="77777777">
      <w:pPr>
        <w:pStyle w:val="HTMLPreformatted"/>
        <w:pBdr>
          <w:top w:val="single" w:sz="12" w:space="1" w:color="auto"/>
        </w:pBdr>
        <w:rPr>
          <w:rFonts w:ascii="Times New Roman" w:hAnsi="Times New Roman"/>
          <w:sz w:val="24"/>
        </w:rPr>
      </w:pPr>
    </w:p>
    <w:p w:rsidR="00841E5F" w:rsidP="00841E5F" w14:paraId="7F00D943" w14:textId="3A972ADA">
      <w:pPr>
        <w:jc w:val="center"/>
        <w:rPr>
          <w:b/>
          <w:bCs/>
        </w:rPr>
      </w:pPr>
      <w:r>
        <w:rPr>
          <w:b/>
          <w:bCs/>
        </w:rPr>
        <w:t xml:space="preserve">CONSUMER PROTECTION </w:t>
      </w:r>
      <w:r w:rsidR="00571ED5">
        <w:rPr>
          <w:b/>
          <w:bCs/>
        </w:rPr>
        <w:t>COMMENTS</w:t>
      </w:r>
    </w:p>
    <w:p w:rsidR="00841E5F" w:rsidP="00841E5F" w14:paraId="5E9BCD42" w14:textId="77777777">
      <w:pPr>
        <w:jc w:val="center"/>
        <w:rPr>
          <w:b/>
          <w:bCs/>
        </w:rPr>
      </w:pPr>
      <w:r>
        <w:rPr>
          <w:b/>
          <w:bCs/>
        </w:rPr>
        <w:t>BY</w:t>
      </w:r>
    </w:p>
    <w:p w:rsidR="00841E5F" w:rsidP="00841E5F" w14:paraId="1A1E48CD" w14:textId="7A3DD101">
      <w:pPr>
        <w:jc w:val="center"/>
        <w:rPr>
          <w:b/>
          <w:bCs/>
        </w:rPr>
      </w:pPr>
      <w:r>
        <w:rPr>
          <w:b/>
          <w:bCs/>
        </w:rPr>
        <w:t>OFFICE OF THE OHIO CONSUMERS’ COUNSEL</w:t>
      </w:r>
    </w:p>
    <w:p w:rsidR="00841E5F" w:rsidP="00841E5F" w14:paraId="16DBA290" w14:textId="77777777">
      <w:pPr>
        <w:pBdr>
          <w:bottom w:val="single" w:sz="12" w:space="1" w:color="auto"/>
        </w:pBdr>
        <w:tabs>
          <w:tab w:val="left" w:pos="4320"/>
        </w:tabs>
      </w:pPr>
    </w:p>
    <w:p w:rsidR="00841E5F" w:rsidP="00841E5F" w14:paraId="02F829BC" w14:textId="77777777">
      <w:pPr>
        <w:tabs>
          <w:tab w:val="left" w:pos="4320"/>
        </w:tabs>
      </w:pPr>
    </w:p>
    <w:p w:rsidR="00841E5F" w:rsidP="00D4185C" w14:paraId="0565C65A" w14:textId="77777777">
      <w:pPr>
        <w:pStyle w:val="HTMLPreformatted"/>
        <w:jc w:val="center"/>
        <w:rPr>
          <w:rFonts w:ascii="Times New Roman" w:hAnsi="Times New Roman"/>
          <w:b/>
          <w:bCs/>
          <w:sz w:val="24"/>
        </w:rPr>
      </w:pPr>
    </w:p>
    <w:p w:rsidR="00841E5F" w:rsidP="00D4185C" w14:paraId="2C770EE4" w14:textId="77777777">
      <w:pPr>
        <w:pStyle w:val="HTMLPreformatted"/>
        <w:jc w:val="center"/>
        <w:rPr>
          <w:rFonts w:ascii="Times New Roman" w:hAnsi="Times New Roman"/>
          <w:b/>
          <w:bCs/>
          <w:sz w:val="24"/>
        </w:rPr>
      </w:pPr>
    </w:p>
    <w:p w:rsidR="00841E5F" w:rsidP="00D4185C" w14:paraId="6E830108" w14:textId="77777777">
      <w:pPr>
        <w:pStyle w:val="HTMLPreformatted"/>
        <w:jc w:val="center"/>
        <w:rPr>
          <w:rFonts w:ascii="Times New Roman" w:hAnsi="Times New Roman"/>
          <w:b/>
          <w:bCs/>
          <w:sz w:val="24"/>
        </w:rPr>
      </w:pPr>
    </w:p>
    <w:p w:rsidR="00DB746D" w:rsidP="00DB746D" w14:paraId="0A9EFFCD" w14:textId="5D6B3A0C">
      <w:pPr>
        <w:pStyle w:val="Footer"/>
        <w:tabs>
          <w:tab w:val="left" w:pos="4320"/>
          <w:tab w:val="clear" w:pos="8640"/>
        </w:tabs>
        <w:spacing w:before="240"/>
        <w:rPr>
          <w:sz w:val="24"/>
          <w:szCs w:val="24"/>
        </w:rPr>
      </w:pPr>
      <w:r>
        <w:rPr>
          <w:sz w:val="24"/>
          <w:szCs w:val="24"/>
        </w:rPr>
        <w:tab/>
        <w:t>Bruce Weston (0016973)</w:t>
      </w:r>
    </w:p>
    <w:p w:rsidR="00DB746D" w:rsidP="00DB746D" w14:paraId="10C819AB" w14:textId="77777777">
      <w:pPr>
        <w:tabs>
          <w:tab w:val="left" w:pos="4320"/>
        </w:tabs>
        <w:rPr>
          <w:szCs w:val="24"/>
        </w:rPr>
      </w:pPr>
      <w:r>
        <w:rPr>
          <w:szCs w:val="24"/>
        </w:rPr>
        <w:tab/>
        <w:t>Ohio Consumers’ Counsel</w:t>
      </w:r>
    </w:p>
    <w:p w:rsidR="00DB746D" w:rsidP="00DB746D" w14:paraId="678D5F74" w14:textId="77777777">
      <w:pPr>
        <w:tabs>
          <w:tab w:val="left" w:pos="4320"/>
        </w:tabs>
        <w:rPr>
          <w:szCs w:val="24"/>
        </w:rPr>
      </w:pPr>
      <w:r>
        <w:rPr>
          <w:szCs w:val="24"/>
        </w:rPr>
        <w:tab/>
      </w:r>
    </w:p>
    <w:p w:rsidR="00DB746D" w:rsidP="00DB746D" w14:paraId="03AD2B59" w14:textId="71E657F5">
      <w:pPr>
        <w:rPr>
          <w:szCs w:val="24"/>
        </w:rPr>
      </w:pPr>
      <w:r>
        <w:rPr>
          <w:szCs w:val="24"/>
        </w:rPr>
        <w:tab/>
      </w:r>
      <w:r>
        <w:rPr>
          <w:szCs w:val="24"/>
        </w:rPr>
        <w:tab/>
      </w:r>
      <w:r>
        <w:rPr>
          <w:szCs w:val="24"/>
        </w:rPr>
        <w:tab/>
      </w:r>
      <w:r>
        <w:rPr>
          <w:szCs w:val="24"/>
        </w:rPr>
        <w:tab/>
      </w:r>
      <w:r>
        <w:rPr>
          <w:szCs w:val="24"/>
        </w:rPr>
        <w:tab/>
      </w:r>
      <w:r>
        <w:rPr>
          <w:szCs w:val="24"/>
        </w:rPr>
        <w:tab/>
        <w:t>William J. Michael (0070921)</w:t>
      </w:r>
    </w:p>
    <w:p w:rsidR="00DB746D" w:rsidP="00DB746D" w14:paraId="256495DA" w14:textId="77777777">
      <w:pPr>
        <w:ind w:firstLine="4320"/>
        <w:rPr>
          <w:szCs w:val="24"/>
        </w:rPr>
      </w:pPr>
      <w:r>
        <w:rPr>
          <w:szCs w:val="24"/>
        </w:rPr>
        <w:t>Counsel of Record</w:t>
      </w:r>
    </w:p>
    <w:p w:rsidR="00DB746D" w:rsidP="00DB746D" w14:paraId="1ED59F98" w14:textId="77777777">
      <w:pPr>
        <w:rPr>
          <w:szCs w:val="24"/>
        </w:rPr>
      </w:pPr>
      <w:r>
        <w:rPr>
          <w:szCs w:val="24"/>
        </w:rPr>
        <w:tab/>
      </w:r>
      <w:r>
        <w:rPr>
          <w:szCs w:val="24"/>
        </w:rPr>
        <w:tab/>
      </w:r>
      <w:r>
        <w:rPr>
          <w:szCs w:val="24"/>
        </w:rPr>
        <w:tab/>
      </w:r>
      <w:r>
        <w:rPr>
          <w:szCs w:val="24"/>
        </w:rPr>
        <w:tab/>
      </w:r>
      <w:r>
        <w:rPr>
          <w:szCs w:val="24"/>
        </w:rPr>
        <w:tab/>
      </w:r>
      <w:r>
        <w:rPr>
          <w:szCs w:val="24"/>
        </w:rPr>
        <w:tab/>
        <w:t>Ambrosia E. Wilson (0096598)</w:t>
      </w:r>
    </w:p>
    <w:p w:rsidR="00DB746D" w:rsidP="00DB746D" w14:paraId="04584411" w14:textId="77777777">
      <w:pPr>
        <w:rPr>
          <w:szCs w:val="24"/>
        </w:rPr>
      </w:pPr>
      <w:r>
        <w:rPr>
          <w:szCs w:val="24"/>
        </w:rPr>
        <w:tab/>
      </w:r>
      <w:r>
        <w:rPr>
          <w:szCs w:val="24"/>
        </w:rPr>
        <w:tab/>
      </w:r>
      <w:r>
        <w:rPr>
          <w:szCs w:val="24"/>
        </w:rPr>
        <w:tab/>
      </w:r>
      <w:r>
        <w:rPr>
          <w:szCs w:val="24"/>
        </w:rPr>
        <w:tab/>
      </w:r>
      <w:r>
        <w:rPr>
          <w:szCs w:val="24"/>
        </w:rPr>
        <w:tab/>
      </w:r>
      <w:r>
        <w:rPr>
          <w:szCs w:val="24"/>
        </w:rPr>
        <w:tab/>
        <w:t>Assistant Consumers’ Counsel</w:t>
      </w:r>
    </w:p>
    <w:p w:rsidR="00DB746D" w:rsidP="00DB746D" w14:paraId="4937FC58" w14:textId="77777777">
      <w:r>
        <w:tab/>
      </w:r>
    </w:p>
    <w:p w:rsidR="00DB746D" w:rsidRPr="00DF6691" w:rsidP="00DB746D" w14:paraId="03D89058" w14:textId="77777777">
      <w:pPr>
        <w:rPr>
          <w:b/>
          <w:bCs/>
        </w:rPr>
      </w:pPr>
      <w:r>
        <w:tab/>
      </w:r>
      <w:r>
        <w:tab/>
      </w:r>
      <w:r>
        <w:tab/>
      </w:r>
      <w:r>
        <w:tab/>
      </w:r>
      <w:r>
        <w:tab/>
      </w:r>
      <w:r>
        <w:tab/>
      </w:r>
      <w:r w:rsidRPr="00DF6691">
        <w:rPr>
          <w:b/>
          <w:bCs/>
        </w:rPr>
        <w:t>Office of the Ohio Consumers’ Counsel</w:t>
      </w:r>
    </w:p>
    <w:p w:rsidR="00DB746D" w:rsidP="00DB746D" w14:paraId="26262150" w14:textId="77777777">
      <w:pPr>
        <w:rPr>
          <w:b/>
        </w:rPr>
      </w:pPr>
      <w:r>
        <w:tab/>
      </w:r>
      <w:r>
        <w:tab/>
      </w:r>
      <w:r>
        <w:tab/>
      </w:r>
      <w:r>
        <w:tab/>
      </w:r>
      <w:r>
        <w:tab/>
      </w:r>
      <w:r>
        <w:tab/>
        <w:t>65 East State Street, 7th Floor</w:t>
      </w:r>
    </w:p>
    <w:p w:rsidR="00DB746D" w:rsidP="00DB746D" w14:paraId="1FD8CD63" w14:textId="77777777">
      <w:pPr>
        <w:rPr>
          <w:b/>
        </w:rPr>
      </w:pPr>
      <w:r>
        <w:tab/>
      </w:r>
      <w:r>
        <w:tab/>
      </w:r>
      <w:r>
        <w:tab/>
      </w:r>
      <w:r>
        <w:tab/>
      </w:r>
      <w:r>
        <w:tab/>
      </w:r>
      <w:r>
        <w:tab/>
        <w:t>Columbus, Ohio 43215-4213</w:t>
      </w:r>
    </w:p>
    <w:p w:rsidR="00DB746D" w:rsidP="00DB746D" w14:paraId="5B4C01D7" w14:textId="77777777">
      <w:pPr>
        <w:autoSpaceDE w:val="0"/>
        <w:autoSpaceDN w:val="0"/>
        <w:adjustRightInd w:val="0"/>
        <w:ind w:left="3600" w:firstLine="720"/>
        <w:rPr>
          <w:szCs w:val="24"/>
        </w:rPr>
      </w:pPr>
      <w:r>
        <w:rPr>
          <w:szCs w:val="24"/>
        </w:rPr>
        <w:t>Telephone [Michael]: (614) 466-1291</w:t>
      </w:r>
      <w:r>
        <w:rPr>
          <w:szCs w:val="24"/>
        </w:rPr>
        <w:br/>
      </w:r>
      <w:r>
        <w:rPr>
          <w:szCs w:val="24"/>
        </w:rPr>
        <w:tab/>
        <w:t>Telephone [Wilson]: (614) 466-1292</w:t>
      </w:r>
    </w:p>
    <w:p w:rsidR="00DB746D" w:rsidP="00DB746D" w14:paraId="0DEF7BC3" w14:textId="77777777">
      <w:pPr>
        <w:rPr>
          <w:szCs w:val="24"/>
        </w:rPr>
      </w:pPr>
      <w:r>
        <w:rPr>
          <w:szCs w:val="24"/>
        </w:rPr>
        <w:tab/>
      </w:r>
      <w:r>
        <w:rPr>
          <w:szCs w:val="24"/>
        </w:rPr>
        <w:tab/>
      </w:r>
      <w:r>
        <w:rPr>
          <w:szCs w:val="24"/>
        </w:rPr>
        <w:tab/>
      </w:r>
      <w:r>
        <w:rPr>
          <w:szCs w:val="24"/>
        </w:rPr>
        <w:tab/>
      </w:r>
      <w:r>
        <w:rPr>
          <w:szCs w:val="24"/>
        </w:rPr>
        <w:tab/>
      </w:r>
      <w:r>
        <w:rPr>
          <w:szCs w:val="24"/>
        </w:rPr>
        <w:tab/>
      </w:r>
      <w:hyperlink r:id="rId6" w:history="1">
        <w:r w:rsidRPr="00A700C4">
          <w:rPr>
            <w:rStyle w:val="Hyperlink"/>
            <w:szCs w:val="24"/>
          </w:rPr>
          <w:t>william.michael@occ.ohio.gov</w:t>
        </w:r>
      </w:hyperlink>
      <w:r>
        <w:rPr>
          <w:szCs w:val="24"/>
        </w:rPr>
        <w:br/>
      </w:r>
      <w:r>
        <w:rPr>
          <w:szCs w:val="24"/>
        </w:rPr>
        <w:tab/>
      </w:r>
      <w:r>
        <w:rPr>
          <w:szCs w:val="24"/>
        </w:rPr>
        <w:tab/>
      </w:r>
      <w:r>
        <w:rPr>
          <w:szCs w:val="24"/>
        </w:rPr>
        <w:tab/>
      </w:r>
      <w:r>
        <w:rPr>
          <w:szCs w:val="24"/>
        </w:rPr>
        <w:tab/>
      </w:r>
      <w:r>
        <w:rPr>
          <w:szCs w:val="24"/>
        </w:rPr>
        <w:tab/>
      </w:r>
      <w:r>
        <w:rPr>
          <w:szCs w:val="24"/>
        </w:rPr>
        <w:tab/>
      </w:r>
      <w:hyperlink r:id="rId7" w:history="1">
        <w:r w:rsidRPr="00A700C4">
          <w:rPr>
            <w:rStyle w:val="Hyperlink"/>
            <w:szCs w:val="24"/>
          </w:rPr>
          <w:t>ambrosia.wilson@occ.ohio.gov</w:t>
        </w:r>
      </w:hyperlink>
    </w:p>
    <w:p w:rsidR="00DB746D" w:rsidP="00DB746D" w14:paraId="0A23C99F" w14:textId="17708F33">
      <w:pPr>
        <w:rPr>
          <w:szCs w:val="24"/>
        </w:rPr>
      </w:pPr>
      <w:r>
        <w:rPr>
          <w:szCs w:val="24"/>
        </w:rPr>
        <w:t>August 16, 2021</w:t>
      </w:r>
      <w:r>
        <w:rPr>
          <w:szCs w:val="24"/>
        </w:rPr>
        <w:tab/>
      </w:r>
      <w:r>
        <w:rPr>
          <w:szCs w:val="24"/>
        </w:rPr>
        <w:tab/>
      </w:r>
      <w:r>
        <w:rPr>
          <w:szCs w:val="24"/>
        </w:rPr>
        <w:tab/>
      </w:r>
      <w:r>
        <w:rPr>
          <w:szCs w:val="24"/>
        </w:rPr>
        <w:tab/>
        <w:t>(willing to accept service by email)</w:t>
      </w:r>
    </w:p>
    <w:p w:rsidR="00DB746D" w:rsidP="00DB746D" w14:paraId="3DA9F250" w14:textId="5432629B">
      <w:pPr>
        <w:rPr>
          <w:szCs w:val="24"/>
        </w:rPr>
        <w:sectPr w:rsidSect="0080038A">
          <w:footerReference w:type="default" r:id="rId8"/>
          <w:footerReference w:type="first" r:id="rId9"/>
          <w:pgSz w:w="12240" w:h="15840"/>
          <w:pgMar w:top="1440" w:right="1440" w:bottom="1440" w:left="1440" w:header="720" w:footer="720" w:gutter="0"/>
          <w:pgNumType w:fmt="lowerRoman" w:start="1"/>
          <w:cols w:space="720"/>
          <w:titlePg/>
          <w:docGrid w:linePitch="326"/>
        </w:sectPr>
      </w:pPr>
    </w:p>
    <w:p w:rsidR="00DB746D" w:rsidP="00DB746D" w14:paraId="376B9579" w14:textId="69A6C394">
      <w:pPr>
        <w:rPr>
          <w:szCs w:val="24"/>
        </w:rPr>
      </w:pPr>
    </w:p>
    <w:p w:rsidR="00841E5F" w:rsidRPr="00841E5F" w:rsidP="00D4185C" w14:paraId="5BDF88DA" w14:textId="77777777">
      <w:pPr>
        <w:pStyle w:val="HTMLPreformatted"/>
        <w:jc w:val="center"/>
        <w:rPr>
          <w:rFonts w:ascii="Times New Roman" w:hAnsi="Times New Roman"/>
          <w:b/>
          <w:bCs/>
          <w:sz w:val="24"/>
          <w:u w:val="single"/>
        </w:rPr>
      </w:pPr>
      <w:r w:rsidRPr="00841E5F">
        <w:rPr>
          <w:rFonts w:ascii="Times New Roman" w:hAnsi="Times New Roman"/>
          <w:b/>
          <w:bCs/>
          <w:sz w:val="24"/>
          <w:u w:val="single"/>
        </w:rPr>
        <w:t>TABLE OF CONTENTS</w:t>
      </w:r>
    </w:p>
    <w:p w:rsidR="00841E5F" w:rsidP="00841E5F" w14:paraId="60BA875C" w14:textId="77777777">
      <w:pPr>
        <w:pStyle w:val="HTMLPreformatted"/>
        <w:jc w:val="right"/>
        <w:rPr>
          <w:rFonts w:ascii="Times New Roman" w:hAnsi="Times New Roman"/>
          <w:b/>
          <w:bCs/>
          <w:sz w:val="24"/>
        </w:rPr>
      </w:pPr>
      <w:r>
        <w:rPr>
          <w:rFonts w:ascii="Times New Roman" w:hAnsi="Times New Roman"/>
          <w:b/>
          <w:bCs/>
          <w:sz w:val="24"/>
        </w:rPr>
        <w:t>PAGE</w:t>
      </w:r>
    </w:p>
    <w:p w:rsidR="00841E5F" w:rsidP="00D4185C" w14:paraId="2BB16B0C" w14:textId="194797A9">
      <w:pPr>
        <w:pStyle w:val="HTMLPreformatted"/>
        <w:jc w:val="center"/>
        <w:rPr>
          <w:rFonts w:ascii="Times New Roman" w:hAnsi="Times New Roman"/>
          <w:b/>
          <w:bCs/>
          <w:sz w:val="24"/>
        </w:rPr>
      </w:pPr>
    </w:p>
    <w:p w:rsidR="00DB746D" w14:paraId="7305A141" w14:textId="78608A90">
      <w:pPr>
        <w:pStyle w:val="TOC1"/>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80026345" w:history="1">
        <w:r w:rsidRPr="007A3A19">
          <w:rPr>
            <w:rStyle w:val="Hyperlink"/>
            <w:noProof/>
          </w:rPr>
          <w:t>I.</w:t>
        </w:r>
        <w:r>
          <w:rPr>
            <w:rFonts w:asciiTheme="minorHAnsi" w:eastAsiaTheme="minorEastAsia" w:hAnsiTheme="minorHAnsi" w:cstheme="minorBidi"/>
            <w:noProof/>
            <w:sz w:val="22"/>
            <w:szCs w:val="22"/>
          </w:rPr>
          <w:tab/>
        </w:r>
        <w:r w:rsidRPr="007A3A19">
          <w:rPr>
            <w:rStyle w:val="Hyperlink"/>
            <w:noProof/>
          </w:rPr>
          <w:t>INTRODUCTION</w:t>
        </w:r>
        <w:r>
          <w:rPr>
            <w:noProof/>
            <w:webHidden/>
          </w:rPr>
          <w:tab/>
        </w:r>
        <w:r>
          <w:rPr>
            <w:noProof/>
            <w:webHidden/>
          </w:rPr>
          <w:fldChar w:fldCharType="begin"/>
        </w:r>
        <w:r>
          <w:rPr>
            <w:noProof/>
            <w:webHidden/>
          </w:rPr>
          <w:instrText xml:space="preserve"> PAGEREF _Toc80026345 \h </w:instrText>
        </w:r>
        <w:r>
          <w:rPr>
            <w:noProof/>
            <w:webHidden/>
          </w:rPr>
          <w:fldChar w:fldCharType="separate"/>
        </w:r>
        <w:r>
          <w:rPr>
            <w:noProof/>
            <w:webHidden/>
          </w:rPr>
          <w:t>1</w:t>
        </w:r>
        <w:r>
          <w:rPr>
            <w:noProof/>
            <w:webHidden/>
          </w:rPr>
          <w:fldChar w:fldCharType="end"/>
        </w:r>
      </w:hyperlink>
    </w:p>
    <w:p w:rsidR="00DB746D" w14:paraId="3A083C64" w14:textId="5F6AEC0A">
      <w:pPr>
        <w:pStyle w:val="TOC1"/>
        <w:rPr>
          <w:rFonts w:asciiTheme="minorHAnsi" w:eastAsiaTheme="minorEastAsia" w:hAnsiTheme="minorHAnsi" w:cstheme="minorBidi"/>
          <w:noProof/>
          <w:sz w:val="22"/>
          <w:szCs w:val="22"/>
        </w:rPr>
      </w:pPr>
      <w:hyperlink w:anchor="_Toc80026346" w:history="1">
        <w:r w:rsidRPr="007A3A19">
          <w:rPr>
            <w:rStyle w:val="Hyperlink"/>
            <w:noProof/>
          </w:rPr>
          <w:t>II.</w:t>
        </w:r>
        <w:r>
          <w:rPr>
            <w:rFonts w:asciiTheme="minorHAnsi" w:eastAsiaTheme="minorEastAsia" w:hAnsiTheme="minorHAnsi" w:cstheme="minorBidi"/>
            <w:noProof/>
            <w:sz w:val="22"/>
            <w:szCs w:val="22"/>
          </w:rPr>
          <w:tab/>
        </w:r>
        <w:r w:rsidRPr="007A3A19">
          <w:rPr>
            <w:rStyle w:val="Hyperlink"/>
            <w:noProof/>
          </w:rPr>
          <w:t>BACKGROUND</w:t>
        </w:r>
        <w:r>
          <w:rPr>
            <w:noProof/>
            <w:webHidden/>
          </w:rPr>
          <w:tab/>
        </w:r>
        <w:r>
          <w:rPr>
            <w:noProof/>
            <w:webHidden/>
          </w:rPr>
          <w:fldChar w:fldCharType="begin"/>
        </w:r>
        <w:r>
          <w:rPr>
            <w:noProof/>
            <w:webHidden/>
          </w:rPr>
          <w:instrText xml:space="preserve"> PAGEREF _Toc80026346 \h </w:instrText>
        </w:r>
        <w:r>
          <w:rPr>
            <w:noProof/>
            <w:webHidden/>
          </w:rPr>
          <w:fldChar w:fldCharType="separate"/>
        </w:r>
        <w:r>
          <w:rPr>
            <w:noProof/>
            <w:webHidden/>
          </w:rPr>
          <w:t>2</w:t>
        </w:r>
        <w:r>
          <w:rPr>
            <w:noProof/>
            <w:webHidden/>
          </w:rPr>
          <w:fldChar w:fldCharType="end"/>
        </w:r>
      </w:hyperlink>
    </w:p>
    <w:p w:rsidR="00DB746D" w14:paraId="690192E1" w14:textId="13DDF8C9">
      <w:pPr>
        <w:pStyle w:val="TOC1"/>
        <w:rPr>
          <w:rFonts w:asciiTheme="minorHAnsi" w:eastAsiaTheme="minorEastAsia" w:hAnsiTheme="minorHAnsi" w:cstheme="minorBidi"/>
          <w:noProof/>
          <w:sz w:val="22"/>
          <w:szCs w:val="22"/>
        </w:rPr>
      </w:pPr>
      <w:hyperlink w:anchor="_Toc80026347" w:history="1">
        <w:r w:rsidRPr="007A3A19">
          <w:rPr>
            <w:rStyle w:val="Hyperlink"/>
            <w:noProof/>
          </w:rPr>
          <w:t>III.</w:t>
        </w:r>
        <w:r>
          <w:rPr>
            <w:rFonts w:asciiTheme="minorHAnsi" w:eastAsiaTheme="minorEastAsia" w:hAnsiTheme="minorHAnsi" w:cstheme="minorBidi"/>
            <w:noProof/>
            <w:sz w:val="22"/>
            <w:szCs w:val="22"/>
          </w:rPr>
          <w:tab/>
        </w:r>
        <w:r w:rsidRPr="007A3A19">
          <w:rPr>
            <w:rStyle w:val="Hyperlink"/>
            <w:noProof/>
          </w:rPr>
          <w:t>COMMENTS</w:t>
        </w:r>
        <w:r>
          <w:rPr>
            <w:noProof/>
            <w:webHidden/>
          </w:rPr>
          <w:tab/>
        </w:r>
        <w:r>
          <w:rPr>
            <w:noProof/>
            <w:webHidden/>
          </w:rPr>
          <w:fldChar w:fldCharType="begin"/>
        </w:r>
        <w:r>
          <w:rPr>
            <w:noProof/>
            <w:webHidden/>
          </w:rPr>
          <w:instrText xml:space="preserve"> PAGEREF _Toc80026347 \h </w:instrText>
        </w:r>
        <w:r>
          <w:rPr>
            <w:noProof/>
            <w:webHidden/>
          </w:rPr>
          <w:fldChar w:fldCharType="separate"/>
        </w:r>
        <w:r>
          <w:rPr>
            <w:noProof/>
            <w:webHidden/>
          </w:rPr>
          <w:t>3</w:t>
        </w:r>
        <w:r>
          <w:rPr>
            <w:noProof/>
            <w:webHidden/>
          </w:rPr>
          <w:fldChar w:fldCharType="end"/>
        </w:r>
      </w:hyperlink>
    </w:p>
    <w:p w:rsidR="00DB746D" w14:paraId="7C6CB7AC" w14:textId="4D7D59E4">
      <w:pPr>
        <w:pStyle w:val="TOC2"/>
        <w:rPr>
          <w:rFonts w:asciiTheme="minorHAnsi" w:eastAsiaTheme="minorEastAsia" w:hAnsiTheme="minorHAnsi" w:cstheme="minorBidi"/>
          <w:noProof/>
          <w:sz w:val="22"/>
          <w:szCs w:val="22"/>
        </w:rPr>
      </w:pPr>
      <w:hyperlink w:anchor="_Toc80026348" w:history="1">
        <w:r w:rsidRPr="007A3A19">
          <w:rPr>
            <w:rStyle w:val="Hyperlink"/>
            <w:noProof/>
          </w:rPr>
          <w:t>A.</w:t>
        </w:r>
        <w:r>
          <w:rPr>
            <w:rFonts w:asciiTheme="minorHAnsi" w:eastAsiaTheme="minorEastAsia" w:hAnsiTheme="minorHAnsi" w:cstheme="minorBidi"/>
            <w:noProof/>
            <w:sz w:val="22"/>
            <w:szCs w:val="22"/>
          </w:rPr>
          <w:tab/>
        </w:r>
        <w:r w:rsidRPr="007A3A19">
          <w:rPr>
            <w:rStyle w:val="Hyperlink"/>
            <w:noProof/>
          </w:rPr>
          <w:t xml:space="preserve">The PUCO Staff, the PUCO’s Auditor Blue Ridge, and Dominion would perpetuate the PUCO’s past injustice of allowing Dominion to overcharge consumers for profits and cost of debt that are outdated and outsized. The </w:t>
        </w:r>
        <w:r>
          <w:rPr>
            <w:rStyle w:val="Hyperlink"/>
            <w:noProof/>
          </w:rPr>
          <w:br/>
        </w:r>
        <w:r w:rsidRPr="007A3A19">
          <w:rPr>
            <w:rStyle w:val="Hyperlink"/>
            <w:noProof/>
          </w:rPr>
          <w:t>PUCO should reject their approach and protect consumers.</w:t>
        </w:r>
        <w:r>
          <w:rPr>
            <w:noProof/>
            <w:webHidden/>
          </w:rPr>
          <w:tab/>
        </w:r>
        <w:r>
          <w:rPr>
            <w:noProof/>
            <w:webHidden/>
          </w:rPr>
          <w:fldChar w:fldCharType="begin"/>
        </w:r>
        <w:r>
          <w:rPr>
            <w:noProof/>
            <w:webHidden/>
          </w:rPr>
          <w:instrText xml:space="preserve"> PAGEREF _Toc80026348 \h </w:instrText>
        </w:r>
        <w:r>
          <w:rPr>
            <w:noProof/>
            <w:webHidden/>
          </w:rPr>
          <w:fldChar w:fldCharType="separate"/>
        </w:r>
        <w:r>
          <w:rPr>
            <w:noProof/>
            <w:webHidden/>
          </w:rPr>
          <w:t>3</w:t>
        </w:r>
        <w:r>
          <w:rPr>
            <w:noProof/>
            <w:webHidden/>
          </w:rPr>
          <w:fldChar w:fldCharType="end"/>
        </w:r>
      </w:hyperlink>
    </w:p>
    <w:p w:rsidR="00DB746D" w14:paraId="71CF3DF0" w14:textId="28A25D1C">
      <w:pPr>
        <w:pStyle w:val="TOC2"/>
        <w:rPr>
          <w:rFonts w:asciiTheme="minorHAnsi" w:eastAsiaTheme="minorEastAsia" w:hAnsiTheme="minorHAnsi" w:cstheme="minorBidi"/>
          <w:noProof/>
          <w:sz w:val="22"/>
          <w:szCs w:val="22"/>
        </w:rPr>
      </w:pPr>
      <w:hyperlink w:anchor="_Toc80026349" w:history="1">
        <w:r w:rsidRPr="007A3A19">
          <w:rPr>
            <w:rStyle w:val="Hyperlink"/>
            <w:noProof/>
          </w:rPr>
          <w:t>B.</w:t>
        </w:r>
        <w:r>
          <w:rPr>
            <w:rFonts w:asciiTheme="minorHAnsi" w:eastAsiaTheme="minorEastAsia" w:hAnsiTheme="minorHAnsi" w:cstheme="minorBidi"/>
            <w:noProof/>
            <w:sz w:val="22"/>
            <w:szCs w:val="22"/>
          </w:rPr>
          <w:tab/>
        </w:r>
        <w:r w:rsidRPr="007A3A19">
          <w:rPr>
            <w:rStyle w:val="Hyperlink"/>
            <w:noProof/>
          </w:rPr>
          <w:t xml:space="preserve">To protect consumers, Blue Ridge and the PUCO Staff correctly recommended that stock incentives should be removed from the CEP Charge. But Dominion’s consumers should not have to pay for cash incentives to employees for </w:t>
        </w:r>
        <w:r>
          <w:rPr>
            <w:rStyle w:val="Hyperlink"/>
            <w:noProof/>
          </w:rPr>
          <w:br/>
        </w:r>
        <w:r w:rsidRPr="007A3A19">
          <w:rPr>
            <w:rStyle w:val="Hyperlink"/>
            <w:noProof/>
          </w:rPr>
          <w:t xml:space="preserve">attainment of stock or earnings goals and they should be identified and </w:t>
        </w:r>
        <w:r>
          <w:rPr>
            <w:rStyle w:val="Hyperlink"/>
            <w:noProof/>
          </w:rPr>
          <w:br/>
        </w:r>
        <w:r w:rsidRPr="007A3A19">
          <w:rPr>
            <w:rStyle w:val="Hyperlink"/>
            <w:noProof/>
          </w:rPr>
          <w:t>removed as well.</w:t>
        </w:r>
        <w:r>
          <w:rPr>
            <w:noProof/>
            <w:webHidden/>
          </w:rPr>
          <w:tab/>
        </w:r>
        <w:r>
          <w:rPr>
            <w:noProof/>
            <w:webHidden/>
          </w:rPr>
          <w:fldChar w:fldCharType="begin"/>
        </w:r>
        <w:r>
          <w:rPr>
            <w:noProof/>
            <w:webHidden/>
          </w:rPr>
          <w:instrText xml:space="preserve"> PAGEREF _Toc80026349 \h </w:instrText>
        </w:r>
        <w:r>
          <w:rPr>
            <w:noProof/>
            <w:webHidden/>
          </w:rPr>
          <w:fldChar w:fldCharType="separate"/>
        </w:r>
        <w:r>
          <w:rPr>
            <w:noProof/>
            <w:webHidden/>
          </w:rPr>
          <w:t>7</w:t>
        </w:r>
        <w:r>
          <w:rPr>
            <w:noProof/>
            <w:webHidden/>
          </w:rPr>
          <w:fldChar w:fldCharType="end"/>
        </w:r>
      </w:hyperlink>
    </w:p>
    <w:p w:rsidR="00DB746D" w14:paraId="36881527" w14:textId="12FE8797">
      <w:pPr>
        <w:pStyle w:val="TOC3"/>
        <w:tabs>
          <w:tab w:val="left" w:pos="2160"/>
        </w:tabs>
        <w:rPr>
          <w:rFonts w:asciiTheme="minorHAnsi" w:eastAsiaTheme="minorEastAsia" w:hAnsiTheme="minorHAnsi" w:cstheme="minorBidi"/>
          <w:noProof/>
          <w:sz w:val="22"/>
          <w:szCs w:val="22"/>
        </w:rPr>
      </w:pPr>
      <w:hyperlink w:anchor="_Toc80026350" w:history="1">
        <w:r w:rsidRPr="007A3A19">
          <w:rPr>
            <w:rStyle w:val="Hyperlink"/>
            <w:noProof/>
          </w:rPr>
          <w:t>1.</w:t>
        </w:r>
        <w:r>
          <w:rPr>
            <w:rFonts w:asciiTheme="minorHAnsi" w:eastAsiaTheme="minorEastAsia" w:hAnsiTheme="minorHAnsi" w:cstheme="minorBidi"/>
            <w:noProof/>
            <w:sz w:val="22"/>
            <w:szCs w:val="22"/>
          </w:rPr>
          <w:tab/>
        </w:r>
        <w:r w:rsidRPr="007A3A19">
          <w:rPr>
            <w:rStyle w:val="Hyperlink"/>
            <w:noProof/>
          </w:rPr>
          <w:t>To protect consumers, all financial incentives including, but not limited to, stock and cash incentives should be removed from the CEP Charge.</w:t>
        </w:r>
        <w:r>
          <w:rPr>
            <w:noProof/>
            <w:webHidden/>
          </w:rPr>
          <w:tab/>
        </w:r>
        <w:r>
          <w:rPr>
            <w:noProof/>
            <w:webHidden/>
          </w:rPr>
          <w:fldChar w:fldCharType="begin"/>
        </w:r>
        <w:r>
          <w:rPr>
            <w:noProof/>
            <w:webHidden/>
          </w:rPr>
          <w:instrText xml:space="preserve"> PAGEREF _Toc80026350 \h </w:instrText>
        </w:r>
        <w:r>
          <w:rPr>
            <w:noProof/>
            <w:webHidden/>
          </w:rPr>
          <w:fldChar w:fldCharType="separate"/>
        </w:r>
        <w:r>
          <w:rPr>
            <w:noProof/>
            <w:webHidden/>
          </w:rPr>
          <w:t>7</w:t>
        </w:r>
        <w:r>
          <w:rPr>
            <w:noProof/>
            <w:webHidden/>
          </w:rPr>
          <w:fldChar w:fldCharType="end"/>
        </w:r>
      </w:hyperlink>
    </w:p>
    <w:p w:rsidR="00DB746D" w14:paraId="1DA0417A" w14:textId="36BC29F7">
      <w:pPr>
        <w:pStyle w:val="TOC3"/>
        <w:tabs>
          <w:tab w:val="left" w:pos="2160"/>
        </w:tabs>
        <w:rPr>
          <w:rFonts w:asciiTheme="minorHAnsi" w:eastAsiaTheme="minorEastAsia" w:hAnsiTheme="minorHAnsi" w:cstheme="minorBidi"/>
          <w:noProof/>
          <w:sz w:val="22"/>
          <w:szCs w:val="22"/>
        </w:rPr>
      </w:pPr>
      <w:hyperlink w:anchor="_Toc80026351" w:history="1">
        <w:r w:rsidRPr="007A3A19">
          <w:rPr>
            <w:rStyle w:val="Hyperlink"/>
            <w:noProof/>
          </w:rPr>
          <w:t>2.</w:t>
        </w:r>
        <w:r>
          <w:rPr>
            <w:rFonts w:asciiTheme="minorHAnsi" w:eastAsiaTheme="minorEastAsia" w:hAnsiTheme="minorHAnsi" w:cstheme="minorBidi"/>
            <w:noProof/>
            <w:sz w:val="22"/>
            <w:szCs w:val="22"/>
          </w:rPr>
          <w:tab/>
        </w:r>
        <w:r w:rsidRPr="007A3A19">
          <w:rPr>
            <w:rStyle w:val="Hyperlink"/>
            <w:noProof/>
          </w:rPr>
          <w:t>To protect consumers, financial incentives should be removed from the CEP Charge in this case, and not relegated to Dominion’s next Rate Case in 2024.</w:t>
        </w:r>
        <w:r>
          <w:rPr>
            <w:noProof/>
            <w:webHidden/>
          </w:rPr>
          <w:tab/>
        </w:r>
        <w:r>
          <w:rPr>
            <w:noProof/>
            <w:webHidden/>
          </w:rPr>
          <w:fldChar w:fldCharType="begin"/>
        </w:r>
        <w:r>
          <w:rPr>
            <w:noProof/>
            <w:webHidden/>
          </w:rPr>
          <w:instrText xml:space="preserve"> PAGEREF _Toc80026351 \h </w:instrText>
        </w:r>
        <w:r>
          <w:rPr>
            <w:noProof/>
            <w:webHidden/>
          </w:rPr>
          <w:fldChar w:fldCharType="separate"/>
        </w:r>
        <w:r>
          <w:rPr>
            <w:noProof/>
            <w:webHidden/>
          </w:rPr>
          <w:t>9</w:t>
        </w:r>
        <w:r>
          <w:rPr>
            <w:noProof/>
            <w:webHidden/>
          </w:rPr>
          <w:fldChar w:fldCharType="end"/>
        </w:r>
      </w:hyperlink>
    </w:p>
    <w:p w:rsidR="00DB746D" w14:paraId="27FCA3AA" w14:textId="2303607B">
      <w:pPr>
        <w:pStyle w:val="TOC1"/>
        <w:rPr>
          <w:rFonts w:asciiTheme="minorHAnsi" w:eastAsiaTheme="minorEastAsia" w:hAnsiTheme="minorHAnsi" w:cstheme="minorBidi"/>
          <w:noProof/>
          <w:sz w:val="22"/>
          <w:szCs w:val="22"/>
        </w:rPr>
      </w:pPr>
      <w:hyperlink w:anchor="_Toc80026352" w:history="1">
        <w:r w:rsidRPr="007A3A19">
          <w:rPr>
            <w:rStyle w:val="Hyperlink"/>
            <w:noProof/>
          </w:rPr>
          <w:t>IV.</w:t>
        </w:r>
        <w:r>
          <w:rPr>
            <w:rFonts w:asciiTheme="minorHAnsi" w:eastAsiaTheme="minorEastAsia" w:hAnsiTheme="minorHAnsi" w:cstheme="minorBidi"/>
            <w:noProof/>
            <w:sz w:val="22"/>
            <w:szCs w:val="22"/>
          </w:rPr>
          <w:tab/>
        </w:r>
        <w:r w:rsidRPr="007A3A19">
          <w:rPr>
            <w:rStyle w:val="Hyperlink"/>
            <w:noProof/>
          </w:rPr>
          <w:t>CONCLUSION</w:t>
        </w:r>
        <w:r>
          <w:rPr>
            <w:noProof/>
            <w:webHidden/>
          </w:rPr>
          <w:tab/>
        </w:r>
        <w:r>
          <w:rPr>
            <w:noProof/>
            <w:webHidden/>
          </w:rPr>
          <w:fldChar w:fldCharType="begin"/>
        </w:r>
        <w:r>
          <w:rPr>
            <w:noProof/>
            <w:webHidden/>
          </w:rPr>
          <w:instrText xml:space="preserve"> PAGEREF _Toc80026352 \h </w:instrText>
        </w:r>
        <w:r>
          <w:rPr>
            <w:noProof/>
            <w:webHidden/>
          </w:rPr>
          <w:fldChar w:fldCharType="separate"/>
        </w:r>
        <w:r>
          <w:rPr>
            <w:noProof/>
            <w:webHidden/>
          </w:rPr>
          <w:t>13</w:t>
        </w:r>
        <w:r>
          <w:rPr>
            <w:noProof/>
            <w:webHidden/>
          </w:rPr>
          <w:fldChar w:fldCharType="end"/>
        </w:r>
      </w:hyperlink>
    </w:p>
    <w:p w:rsidR="00920B1D" w:rsidP="00D4185C" w14:paraId="50646F8B" w14:textId="221F6908">
      <w:pPr>
        <w:pStyle w:val="HTMLPreformatted"/>
        <w:jc w:val="center"/>
        <w:rPr>
          <w:rFonts w:ascii="Times New Roman" w:hAnsi="Times New Roman"/>
          <w:b/>
          <w:bCs/>
          <w:sz w:val="24"/>
        </w:rPr>
      </w:pPr>
      <w:r>
        <w:rPr>
          <w:rFonts w:ascii="Times New Roman" w:eastAsia="Times New Roman" w:hAnsi="Times New Roman" w:cs="Times New Roman"/>
          <w:b/>
          <w:bCs/>
          <w:sz w:val="24"/>
        </w:rPr>
        <w:fldChar w:fldCharType="end"/>
      </w:r>
    </w:p>
    <w:p w:rsidR="00841E5F" w:rsidP="00D4185C" w14:paraId="38180C93" w14:textId="77777777">
      <w:pPr>
        <w:pStyle w:val="HTMLPreformatted"/>
        <w:jc w:val="center"/>
        <w:rPr>
          <w:rFonts w:ascii="Times New Roman" w:hAnsi="Times New Roman"/>
          <w:b/>
          <w:bCs/>
          <w:sz w:val="24"/>
        </w:rPr>
        <w:sectPr w:rsidSect="0080038A">
          <w:footerReference w:type="first" r:id="rId10"/>
          <w:pgSz w:w="12240" w:h="15840"/>
          <w:pgMar w:top="1440" w:right="1440" w:bottom="1440" w:left="1440" w:header="720" w:footer="720" w:gutter="0"/>
          <w:pgNumType w:fmt="lowerRoman" w:start="1"/>
          <w:cols w:space="720"/>
          <w:titlePg/>
          <w:docGrid w:linePitch="326"/>
        </w:sectPr>
      </w:pPr>
    </w:p>
    <w:p w:rsidR="00836BDA" w:rsidP="00D4185C" w14:paraId="0DA73E85" w14:textId="77777777">
      <w:pPr>
        <w:pStyle w:val="HTMLPreformatted"/>
        <w:jc w:val="center"/>
        <w:rPr>
          <w:rFonts w:ascii="Times New Roman" w:hAnsi="Times New Roman"/>
          <w:b/>
          <w:bCs/>
          <w:sz w:val="24"/>
        </w:rPr>
      </w:pPr>
      <w:r>
        <w:rPr>
          <w:rFonts w:ascii="Times New Roman" w:hAnsi="Times New Roman"/>
          <w:b/>
          <w:bCs/>
          <w:sz w:val="24"/>
        </w:rPr>
        <w:t>BEFORE</w:t>
      </w:r>
    </w:p>
    <w:p w:rsidR="00836BDA" w:rsidP="00D4185C" w14:paraId="641622FF" w14:textId="23A84576">
      <w:pPr>
        <w:pStyle w:val="HTMLPreformatted"/>
        <w:jc w:val="center"/>
        <w:rPr>
          <w:rFonts w:ascii="Times New Roman" w:hAnsi="Times New Roman"/>
          <w:b/>
          <w:bCs/>
          <w:sz w:val="24"/>
        </w:rPr>
      </w:pPr>
      <w:r>
        <w:rPr>
          <w:rFonts w:ascii="Times New Roman" w:hAnsi="Times New Roman"/>
          <w:b/>
          <w:bCs/>
          <w:sz w:val="24"/>
        </w:rPr>
        <w:t>THE PUBLIC UTILITIES COMMISSION OF OHIO</w:t>
      </w:r>
    </w:p>
    <w:p w:rsidR="00257338" w:rsidP="00D4185C" w14:paraId="097D77EB" w14:textId="77777777">
      <w:pPr>
        <w:pStyle w:val="HTMLPreformatted"/>
        <w:jc w:val="center"/>
        <w:rPr>
          <w:rFonts w:ascii="Times New Roman" w:hAnsi="Times New Roman"/>
          <w:sz w:val="24"/>
        </w:rPr>
      </w:pPr>
    </w:p>
    <w:tbl>
      <w:tblPr>
        <w:tblW w:w="9468" w:type="dxa"/>
        <w:tblLook w:val="01E0"/>
      </w:tblPr>
      <w:tblGrid>
        <w:gridCol w:w="4578"/>
        <w:gridCol w:w="296"/>
        <w:gridCol w:w="4594"/>
      </w:tblGrid>
      <w:tr w14:paraId="125D62E9" w14:textId="77777777" w:rsidTr="00C63676">
        <w:tblPrEx>
          <w:tblW w:w="9468" w:type="dxa"/>
          <w:tblLook w:val="01E0"/>
        </w:tblPrEx>
        <w:trPr>
          <w:trHeight w:val="807"/>
        </w:trPr>
        <w:tc>
          <w:tcPr>
            <w:tcW w:w="4578" w:type="dxa"/>
            <w:shd w:val="clear" w:color="auto" w:fill="auto"/>
          </w:tcPr>
          <w:p w:rsidR="00257338" w:rsidRPr="00A044B5" w:rsidP="00663698" w14:paraId="5051F909" w14:textId="77777777">
            <w:pPr>
              <w:pStyle w:val="HTMLPreformatted"/>
              <w:rPr>
                <w:rFonts w:ascii="Times New Roman" w:hAnsi="Times New Roman"/>
                <w:sz w:val="24"/>
                <w:szCs w:val="24"/>
              </w:rPr>
            </w:pPr>
            <w:r w:rsidRPr="00A044B5">
              <w:rPr>
                <w:rFonts w:ascii="Times New Roman" w:hAnsi="Times New Roman" w:cs="Times New Roman"/>
                <w:sz w:val="24"/>
                <w:szCs w:val="24"/>
              </w:rPr>
              <w:t>In the Matter of</w:t>
            </w:r>
            <w:r>
              <w:rPr>
                <w:rFonts w:ascii="Times New Roman" w:hAnsi="Times New Roman" w:cs="Times New Roman"/>
                <w:sz w:val="24"/>
                <w:szCs w:val="24"/>
              </w:rPr>
              <w:t xml:space="preserve"> the Annual Application of the East Ohio Gas Company d/b/a Dominion Energy Ohio, for an Adjustment to the CEP Rider Rate. </w:t>
            </w:r>
          </w:p>
        </w:tc>
        <w:tc>
          <w:tcPr>
            <w:tcW w:w="296" w:type="dxa"/>
            <w:shd w:val="clear" w:color="auto" w:fill="auto"/>
          </w:tcPr>
          <w:p w:rsidR="00257338" w:rsidRPr="00A044B5" w:rsidP="00663698" w14:paraId="73CBB405" w14:textId="77777777">
            <w:pPr>
              <w:pStyle w:val="HTMLPreformatted"/>
              <w:rPr>
                <w:rFonts w:ascii="Times New Roman" w:hAnsi="Times New Roman"/>
                <w:sz w:val="24"/>
              </w:rPr>
            </w:pPr>
            <w:r w:rsidRPr="00A044B5">
              <w:rPr>
                <w:rFonts w:ascii="Times New Roman" w:hAnsi="Times New Roman"/>
                <w:sz w:val="24"/>
              </w:rPr>
              <w:t>)</w:t>
            </w:r>
          </w:p>
          <w:p w:rsidR="00257338" w:rsidRPr="00A044B5" w:rsidP="00663698" w14:paraId="68C61747" w14:textId="77777777">
            <w:pPr>
              <w:pStyle w:val="HTMLPreformatted"/>
              <w:rPr>
                <w:rFonts w:ascii="Times New Roman" w:hAnsi="Times New Roman"/>
                <w:sz w:val="24"/>
              </w:rPr>
            </w:pPr>
            <w:r w:rsidRPr="00A044B5">
              <w:rPr>
                <w:rFonts w:ascii="Times New Roman" w:hAnsi="Times New Roman"/>
                <w:sz w:val="24"/>
              </w:rPr>
              <w:t>)</w:t>
            </w:r>
          </w:p>
          <w:p w:rsidR="00257338" w:rsidP="00663698" w14:paraId="4DFA4D7E" w14:textId="77777777">
            <w:pPr>
              <w:pStyle w:val="HTMLPreformatted"/>
              <w:rPr>
                <w:rFonts w:ascii="Times New Roman" w:hAnsi="Times New Roman"/>
                <w:sz w:val="24"/>
              </w:rPr>
            </w:pPr>
            <w:r w:rsidRPr="00A044B5">
              <w:rPr>
                <w:rFonts w:ascii="Times New Roman" w:hAnsi="Times New Roman"/>
                <w:sz w:val="24"/>
              </w:rPr>
              <w:t>)</w:t>
            </w:r>
          </w:p>
          <w:p w:rsidR="00637187" w:rsidRPr="00A044B5" w:rsidP="00663698" w14:paraId="1277FB8D" w14:textId="167BB2E4">
            <w:pPr>
              <w:pStyle w:val="HTMLPreformatted"/>
              <w:rPr>
                <w:rFonts w:ascii="Times New Roman" w:hAnsi="Times New Roman"/>
                <w:sz w:val="24"/>
              </w:rPr>
            </w:pPr>
            <w:r>
              <w:rPr>
                <w:rFonts w:ascii="Times New Roman" w:hAnsi="Times New Roman"/>
                <w:sz w:val="24"/>
              </w:rPr>
              <w:t>)</w:t>
            </w:r>
          </w:p>
        </w:tc>
        <w:tc>
          <w:tcPr>
            <w:tcW w:w="4594" w:type="dxa"/>
            <w:shd w:val="clear" w:color="auto" w:fill="auto"/>
          </w:tcPr>
          <w:p w:rsidR="00257338" w:rsidRPr="00A044B5" w:rsidP="00663698" w14:paraId="1FFA1443" w14:textId="77777777">
            <w:pPr>
              <w:pStyle w:val="HTMLPreformatted"/>
              <w:rPr>
                <w:rFonts w:ascii="Times New Roman" w:hAnsi="Times New Roman"/>
                <w:sz w:val="24"/>
              </w:rPr>
            </w:pPr>
          </w:p>
          <w:p w:rsidR="00257338" w:rsidRPr="00A044B5" w:rsidP="00663698" w14:paraId="57E7FF1E" w14:textId="77777777">
            <w:pPr>
              <w:pStyle w:val="HTMLPreformatted"/>
              <w:rPr>
                <w:rFonts w:ascii="Times New Roman" w:hAnsi="Times New Roman"/>
                <w:sz w:val="24"/>
              </w:rPr>
            </w:pPr>
            <w:r w:rsidRPr="00A044B5">
              <w:rPr>
                <w:rFonts w:ascii="Times New Roman" w:hAnsi="Times New Roman"/>
                <w:sz w:val="24"/>
              </w:rPr>
              <w:t xml:space="preserve">Case No. </w:t>
            </w:r>
            <w:r>
              <w:rPr>
                <w:rFonts w:ascii="Times New Roman" w:hAnsi="Times New Roman"/>
                <w:sz w:val="24"/>
              </w:rPr>
              <w:t>21-619-GA-RDR</w:t>
            </w:r>
          </w:p>
          <w:p w:rsidR="00257338" w:rsidRPr="00A044B5" w:rsidP="00663698" w14:paraId="7A330540" w14:textId="77777777">
            <w:pPr>
              <w:pStyle w:val="HTMLPreformatted"/>
              <w:rPr>
                <w:rFonts w:ascii="Times New Roman" w:hAnsi="Times New Roman"/>
                <w:sz w:val="24"/>
              </w:rPr>
            </w:pPr>
          </w:p>
        </w:tc>
      </w:tr>
    </w:tbl>
    <w:p w:rsidR="00836BDA" w:rsidP="00D4185C" w14:paraId="6F72BC71" w14:textId="77777777">
      <w:pPr>
        <w:pStyle w:val="HTMLPreformatted"/>
        <w:rPr>
          <w:rFonts w:ascii="Times New Roman" w:hAnsi="Times New Roman"/>
          <w:sz w:val="24"/>
        </w:rPr>
      </w:pPr>
    </w:p>
    <w:p w:rsidR="00836BDA" w:rsidP="00D4185C" w14:paraId="1FB42633" w14:textId="77777777">
      <w:pPr>
        <w:pStyle w:val="HTMLPreformatted"/>
        <w:pBdr>
          <w:top w:val="single" w:sz="12" w:space="1" w:color="auto"/>
        </w:pBdr>
        <w:rPr>
          <w:rFonts w:ascii="Times New Roman" w:hAnsi="Times New Roman"/>
          <w:sz w:val="24"/>
        </w:rPr>
      </w:pPr>
    </w:p>
    <w:p w:rsidR="00836BDA" w:rsidP="00D4185C" w14:paraId="5D2A42C6" w14:textId="3899D29E">
      <w:pPr>
        <w:jc w:val="center"/>
        <w:rPr>
          <w:b/>
          <w:bCs/>
        </w:rPr>
      </w:pPr>
      <w:r>
        <w:rPr>
          <w:b/>
          <w:bCs/>
        </w:rPr>
        <w:t xml:space="preserve">CONSUMER PROTECTION </w:t>
      </w:r>
      <w:r w:rsidR="00571ED5">
        <w:rPr>
          <w:b/>
          <w:bCs/>
        </w:rPr>
        <w:t>COMMENTS</w:t>
      </w:r>
    </w:p>
    <w:p w:rsidR="00836BDA" w:rsidP="00D4185C" w14:paraId="39509460" w14:textId="77777777">
      <w:pPr>
        <w:jc w:val="center"/>
        <w:rPr>
          <w:b/>
          <w:bCs/>
        </w:rPr>
      </w:pPr>
      <w:r>
        <w:rPr>
          <w:b/>
          <w:bCs/>
        </w:rPr>
        <w:t>BY</w:t>
      </w:r>
    </w:p>
    <w:p w:rsidR="00836BDA" w:rsidP="00D4185C" w14:paraId="6358F6AC" w14:textId="62C01DDE">
      <w:pPr>
        <w:jc w:val="center"/>
        <w:rPr>
          <w:b/>
          <w:bCs/>
        </w:rPr>
      </w:pPr>
      <w:r>
        <w:rPr>
          <w:b/>
          <w:bCs/>
        </w:rPr>
        <w:t>OFFICE OF THE OHIO CONSUMERS’ COUNSEL</w:t>
      </w:r>
    </w:p>
    <w:p w:rsidR="00836BDA" w:rsidP="00D4185C" w14:paraId="66FC0F7B" w14:textId="77777777">
      <w:pPr>
        <w:pBdr>
          <w:bottom w:val="single" w:sz="12" w:space="1" w:color="auto"/>
        </w:pBdr>
        <w:tabs>
          <w:tab w:val="left" w:pos="4320"/>
        </w:tabs>
      </w:pPr>
    </w:p>
    <w:p w:rsidR="00836BDA" w:rsidP="00D4185C" w14:paraId="6EEACA35" w14:textId="77777777">
      <w:pPr>
        <w:tabs>
          <w:tab w:val="left" w:pos="4320"/>
        </w:tabs>
      </w:pPr>
    </w:p>
    <w:p w:rsidR="00EE7BE6" w:rsidRPr="006C066E" w:rsidP="00915DF4" w14:paraId="130C5140" w14:textId="31A2E2FF">
      <w:pPr>
        <w:pStyle w:val="Heading1"/>
      </w:pPr>
      <w:bookmarkStart w:id="1" w:name="_Toc80026345"/>
      <w:r>
        <w:t>I.</w:t>
      </w:r>
      <w:r>
        <w:tab/>
      </w:r>
      <w:r>
        <w:t>INTRODUCTION</w:t>
      </w:r>
      <w:bookmarkEnd w:id="1"/>
    </w:p>
    <w:p w:rsidR="008F4F1E" w:rsidP="006C066E" w14:paraId="30F33B34" w14:textId="758D7B98">
      <w:pPr>
        <w:pStyle w:val="BodyTextIndent3"/>
        <w:spacing w:line="480" w:lineRule="auto"/>
      </w:pPr>
      <w:r>
        <w:t xml:space="preserve">The PUCO Staff, the PUCO’s auditor Blue Ridge, and Dominion Energy would perpetuate the PUCO’s past injustice of allowing Dominion to overcharge consumers for profits and cost of debt that are outdated and outsized. </w:t>
      </w:r>
    </w:p>
    <w:p w:rsidR="00DC61DF" w:rsidP="00D4185C" w14:paraId="405C3C01" w14:textId="0925DA1B">
      <w:pPr>
        <w:pStyle w:val="BodyTextIndent3"/>
        <w:spacing w:line="480" w:lineRule="auto"/>
      </w:pPr>
      <w:r>
        <w:t xml:space="preserve">Dominion Energy Ohio wants to </w:t>
      </w:r>
      <w:r w:rsidR="00A457B3">
        <w:t xml:space="preserve">increase </w:t>
      </w:r>
      <w:r w:rsidR="006E130A">
        <w:t xml:space="preserve">charges on residential consumers’ </w:t>
      </w:r>
      <w:r>
        <w:t>bills</w:t>
      </w:r>
      <w:r w:rsidR="00B83149">
        <w:t xml:space="preserve"> by</w:t>
      </w:r>
      <w:r w:rsidR="00A457B3">
        <w:t xml:space="preserve"> </w:t>
      </w:r>
      <w:r w:rsidR="00FD1706">
        <w:t xml:space="preserve">nearly </w:t>
      </w:r>
      <w:r w:rsidR="006E130A">
        <w:t>$</w:t>
      </w:r>
      <w:r w:rsidR="00FD1706">
        <w:t xml:space="preserve">22 </w:t>
      </w:r>
      <w:r w:rsidR="006E130A">
        <w:t>million per year</w:t>
      </w:r>
      <w:r>
        <w:rPr>
          <w:rStyle w:val="FootnoteReference"/>
        </w:rPr>
        <w:footnoteReference w:id="2"/>
      </w:r>
      <w:r w:rsidR="006E130A">
        <w:t xml:space="preserve"> under its Capital Expenditure Program (“CEP Charge”)</w:t>
      </w:r>
      <w:r w:rsidR="00B83149">
        <w:t>.</w:t>
      </w:r>
      <w:r w:rsidR="006C066E">
        <w:t xml:space="preserve"> </w:t>
      </w:r>
      <w:r w:rsidR="00B83149">
        <w:t xml:space="preserve">The expenditures are </w:t>
      </w:r>
      <w:r>
        <w:t xml:space="preserve">to pay </w:t>
      </w:r>
      <w:r w:rsidR="00B83149">
        <w:t xml:space="preserve">for Dominion’s </w:t>
      </w:r>
      <w:r>
        <w:t>capital investments</w:t>
      </w:r>
      <w:r w:rsidRPr="004A67EC" w:rsidR="004A67EC">
        <w:t xml:space="preserve"> </w:t>
      </w:r>
      <w:r w:rsidR="004A67EC">
        <w:t>made from January 1, 2019 to December 31, 2020 (“Capital Investments”).</w:t>
      </w:r>
      <w:r w:rsidR="006C066E">
        <w:t xml:space="preserve"> </w:t>
      </w:r>
      <w:r w:rsidR="004A67EC">
        <w:t>Such capital investments would</w:t>
      </w:r>
      <w:r w:rsidR="00AB6A8B">
        <w:t xml:space="preserve"> normally </w:t>
      </w:r>
      <w:r w:rsidR="00B83149">
        <w:t xml:space="preserve">have been collected from consumers </w:t>
      </w:r>
      <w:r w:rsidR="00AB6A8B">
        <w:t>through a base distribution rate proceeding</w:t>
      </w:r>
      <w:r>
        <w:t>.</w:t>
      </w:r>
      <w:r w:rsidR="006C066E">
        <w:t xml:space="preserve"> </w:t>
      </w:r>
      <w:r w:rsidR="00B83149">
        <w:t xml:space="preserve">This application would add </w:t>
      </w:r>
      <w:r w:rsidR="002D5858">
        <w:t xml:space="preserve">$1.66 </w:t>
      </w:r>
      <w:r w:rsidR="00B83149">
        <w:t xml:space="preserve">to the monthly </w:t>
      </w:r>
      <w:r w:rsidR="0083461E">
        <w:t>$</w:t>
      </w:r>
      <w:r w:rsidR="00B43093">
        <w:t>3.86</w:t>
      </w:r>
      <w:r w:rsidR="00D4185C">
        <w:t xml:space="preserve"> </w:t>
      </w:r>
      <w:r w:rsidR="00B43093">
        <w:t>CEP Charge</w:t>
      </w:r>
      <w:r w:rsidR="00B83149">
        <w:t xml:space="preserve"> that Dominion consumers currently pay</w:t>
      </w:r>
      <w:r w:rsidR="00A92FC4">
        <w:t xml:space="preserve"> and is based on Dominion earning </w:t>
      </w:r>
      <w:r w:rsidR="004A2D3F">
        <w:t xml:space="preserve">excessive </w:t>
      </w:r>
      <w:r w:rsidR="00A92FC4">
        <w:t>profits</w:t>
      </w:r>
      <w:r w:rsidR="00025FEC">
        <w:t xml:space="preserve"> and paying employees cash incentives</w:t>
      </w:r>
      <w:r w:rsidR="003A75C7">
        <w:t xml:space="preserve"> and inappropriately trying to charge them to consumers</w:t>
      </w:r>
      <w:r w:rsidR="00326FA5">
        <w:t xml:space="preserve">. </w:t>
      </w:r>
    </w:p>
    <w:p w:rsidR="00C0060E" w:rsidP="00EF4251" w14:paraId="2D76C9CE" w14:textId="17EECBB6">
      <w:pPr>
        <w:pStyle w:val="BodyTextIndent3"/>
        <w:spacing w:line="480" w:lineRule="auto"/>
      </w:pPr>
      <w:r>
        <w:t xml:space="preserve">The Office of the Ohio Consumers’ Counsel (“OCC”) respectfully </w:t>
      </w:r>
      <w:r w:rsidR="004F6AD0">
        <w:t>submits the following comments for the PUCO’s consideration</w:t>
      </w:r>
      <w:r>
        <w:t xml:space="preserve"> to protect Dominion’s residential </w:t>
      </w:r>
      <w:r w:rsidR="00112968">
        <w:t xml:space="preserve">consumers </w:t>
      </w:r>
      <w:r>
        <w:t>from paying unjust and unreasonable rates.</w:t>
      </w:r>
    </w:p>
    <w:p w:rsidR="006C066E" w:rsidP="006C066E" w14:paraId="3F09B140" w14:textId="77777777">
      <w:pPr>
        <w:pStyle w:val="BodyTextIndent3"/>
        <w:spacing w:line="240" w:lineRule="auto"/>
      </w:pPr>
    </w:p>
    <w:p w:rsidR="006E3F2E" w:rsidP="003A75C7" w14:paraId="36DF0558" w14:textId="0877C870">
      <w:pPr>
        <w:pStyle w:val="Heading1"/>
      </w:pPr>
      <w:bookmarkStart w:id="2" w:name="_Toc42694216"/>
      <w:bookmarkStart w:id="3" w:name="_Toc80026346"/>
      <w:r>
        <w:t>I</w:t>
      </w:r>
      <w:r w:rsidR="00EE7BE6">
        <w:t>I</w:t>
      </w:r>
      <w:r>
        <w:t>.</w:t>
      </w:r>
      <w:r>
        <w:tab/>
        <w:t>BACKGROUND</w:t>
      </w:r>
      <w:bookmarkEnd w:id="2"/>
      <w:bookmarkEnd w:id="3"/>
    </w:p>
    <w:p w:rsidR="006B45D4" w:rsidP="00D4185C" w14:paraId="49BD5C22" w14:textId="7CCA342B">
      <w:pPr>
        <w:pStyle w:val="BodyTextIndent3"/>
        <w:spacing w:line="480" w:lineRule="auto"/>
      </w:pPr>
      <w:r>
        <w:t xml:space="preserve">This case is Dominion’s request </w:t>
      </w:r>
      <w:r w:rsidR="006E130A">
        <w:t xml:space="preserve">to </w:t>
      </w:r>
      <w:r w:rsidR="00DE12D5">
        <w:t>increase</w:t>
      </w:r>
      <w:r w:rsidR="006E130A">
        <w:t xml:space="preserve"> its charges </w:t>
      </w:r>
      <w:r w:rsidR="00DE12D5">
        <w:t>to</w:t>
      </w:r>
      <w:r>
        <w:t xml:space="preserve"> </w:t>
      </w:r>
      <w:r w:rsidR="00133BAF">
        <w:t xml:space="preserve">consumers </w:t>
      </w:r>
      <w:r w:rsidR="00890AFE">
        <w:t xml:space="preserve">for </w:t>
      </w:r>
      <w:r w:rsidR="00DB2909">
        <w:t xml:space="preserve">the </w:t>
      </w:r>
      <w:r w:rsidR="00AA31DB">
        <w:t>C</w:t>
      </w:r>
      <w:r w:rsidR="00940067">
        <w:t xml:space="preserve">apital </w:t>
      </w:r>
      <w:r w:rsidR="00AA31DB">
        <w:t>E</w:t>
      </w:r>
      <w:r w:rsidR="00940067">
        <w:t xml:space="preserve">xpenditure </w:t>
      </w:r>
      <w:r w:rsidR="00AA31DB">
        <w:t>P</w:t>
      </w:r>
      <w:r w:rsidR="00940067">
        <w:t>rogram</w:t>
      </w:r>
      <w:r w:rsidR="00DE12D5">
        <w:t xml:space="preserve"> (“CEP”)</w:t>
      </w:r>
      <w:r w:rsidR="00940067">
        <w:t xml:space="preserve"> </w:t>
      </w:r>
      <w:r w:rsidR="00890AFE">
        <w:t>deferrals</w:t>
      </w:r>
      <w:r w:rsidR="00DE12D5">
        <w:t xml:space="preserve">. In addition, Dominion includes a request for </w:t>
      </w:r>
      <w:r w:rsidR="004A67EC">
        <w:t>p</w:t>
      </w:r>
      <w:r w:rsidR="00DE12D5">
        <w:t>rofit</w:t>
      </w:r>
      <w:r w:rsidR="006C187E">
        <w:t xml:space="preserve"> on the CEP</w:t>
      </w:r>
      <w:r>
        <w:t xml:space="preserve"> </w:t>
      </w:r>
      <w:r w:rsidR="006E130A">
        <w:t>I</w:t>
      </w:r>
      <w:r>
        <w:t>nvestments</w:t>
      </w:r>
      <w:r w:rsidR="00DE12D5">
        <w:t>.</w:t>
      </w:r>
      <w:r w:rsidR="006C066E">
        <w:t xml:space="preserve"> </w:t>
      </w:r>
      <w:r w:rsidR="00DE12D5">
        <w:t xml:space="preserve">The CEP investments are </w:t>
      </w:r>
      <w:r w:rsidR="00112968">
        <w:t xml:space="preserve">approximately </w:t>
      </w:r>
      <w:r w:rsidR="000E6B41">
        <w:t>$</w:t>
      </w:r>
      <w:r w:rsidR="00FF086F">
        <w:t xml:space="preserve">957 </w:t>
      </w:r>
      <w:r w:rsidR="000E6B41">
        <w:t xml:space="preserve">million </w:t>
      </w:r>
      <w:r w:rsidR="006C187E">
        <w:t xml:space="preserve">for </w:t>
      </w:r>
      <w:r w:rsidR="00FF086F">
        <w:t xml:space="preserve">total cumulative </w:t>
      </w:r>
      <w:r w:rsidR="006C187E">
        <w:t>CEP Investments</w:t>
      </w:r>
      <w:r w:rsidR="00DB2909">
        <w:t>,</w:t>
      </w:r>
      <w:r>
        <w:rPr>
          <w:rStyle w:val="FootnoteReference"/>
        </w:rPr>
        <w:footnoteReference w:id="3"/>
      </w:r>
      <w:r w:rsidR="006C187E">
        <w:t xml:space="preserve"> plus </w:t>
      </w:r>
      <w:r w:rsidR="00FF086F">
        <w:t xml:space="preserve">approximately </w:t>
      </w:r>
      <w:r w:rsidR="006C187E">
        <w:t>$</w:t>
      </w:r>
      <w:r w:rsidR="00FF086F">
        <w:t xml:space="preserve">346 </w:t>
      </w:r>
      <w:r w:rsidR="006C187E">
        <w:t xml:space="preserve">million for the </w:t>
      </w:r>
      <w:r w:rsidR="00FF086F">
        <w:t xml:space="preserve">total </w:t>
      </w:r>
      <w:r w:rsidR="006C187E">
        <w:t xml:space="preserve">accrued </w:t>
      </w:r>
      <w:r w:rsidR="00AA31DB">
        <w:t>C</w:t>
      </w:r>
      <w:r w:rsidR="00940067">
        <w:t xml:space="preserve">apital </w:t>
      </w:r>
      <w:r w:rsidR="00AA31DB">
        <w:t>E</w:t>
      </w:r>
      <w:r w:rsidR="00940067">
        <w:t xml:space="preserve">xpenditure </w:t>
      </w:r>
      <w:r w:rsidR="00AA31DB">
        <w:t>P</w:t>
      </w:r>
      <w:r w:rsidR="00940067">
        <w:t xml:space="preserve">rogram </w:t>
      </w:r>
      <w:r w:rsidR="006C187E">
        <w:t>deferrals</w:t>
      </w:r>
      <w:r w:rsidR="004F119E">
        <w:t xml:space="preserve"> through December 31, 2020</w:t>
      </w:r>
      <w:r w:rsidR="003D618A">
        <w:t>.</w:t>
      </w:r>
      <w:r>
        <w:rPr>
          <w:rStyle w:val="FootnoteReference"/>
        </w:rPr>
        <w:footnoteReference w:id="4"/>
      </w:r>
      <w:r>
        <w:t xml:space="preserve"> If Dominion’s Application is approved, residential </w:t>
      </w:r>
      <w:r w:rsidR="00133BAF">
        <w:t xml:space="preserve">consumers </w:t>
      </w:r>
      <w:r>
        <w:t xml:space="preserve">will each pay </w:t>
      </w:r>
      <w:r w:rsidR="00BC170B">
        <w:t xml:space="preserve">an additional </w:t>
      </w:r>
      <w:r>
        <w:t>$</w:t>
      </w:r>
      <w:r w:rsidR="00BD2A5A">
        <w:t>1.66</w:t>
      </w:r>
      <w:r>
        <w:t xml:space="preserve"> per month initially</w:t>
      </w:r>
      <w:r w:rsidR="006E5F2B">
        <w:t xml:space="preserve"> </w:t>
      </w:r>
      <w:r w:rsidR="00FF086F">
        <w:t>(on top of the current $3.86 per month</w:t>
      </w:r>
      <w:r w:rsidR="006E5F2B">
        <w:t xml:space="preserve"> for a total of $5.52 per month</w:t>
      </w:r>
      <w:r w:rsidR="00FF086F">
        <w:t>)</w:t>
      </w:r>
      <w:r>
        <w:t xml:space="preserve">, with higher charges in the future. This is </w:t>
      </w:r>
      <w:r w:rsidR="002B2A1B">
        <w:t xml:space="preserve">almost </w:t>
      </w:r>
      <w:r>
        <w:t>$</w:t>
      </w:r>
      <w:r w:rsidR="002B2A1B">
        <w:t xml:space="preserve">22 </w:t>
      </w:r>
      <w:r>
        <w:t xml:space="preserve">million in </w:t>
      </w:r>
      <w:r w:rsidR="00FF086F">
        <w:t xml:space="preserve">additional </w:t>
      </w:r>
      <w:r>
        <w:t xml:space="preserve">charges to residential </w:t>
      </w:r>
      <w:r w:rsidR="00133BAF">
        <w:t xml:space="preserve">consumers </w:t>
      </w:r>
      <w:r>
        <w:t xml:space="preserve">over a one-year period. Residential </w:t>
      </w:r>
      <w:r w:rsidR="00133BAF">
        <w:t xml:space="preserve">consumers </w:t>
      </w:r>
      <w:r>
        <w:t xml:space="preserve">would pay nearly two-thirds of all </w:t>
      </w:r>
      <w:r w:rsidR="00AA31DB">
        <w:t>C</w:t>
      </w:r>
      <w:r>
        <w:t>a</w:t>
      </w:r>
      <w:r w:rsidR="00565FA7">
        <w:t xml:space="preserve">pital </w:t>
      </w:r>
      <w:r w:rsidR="00AA31DB">
        <w:t>E</w:t>
      </w:r>
      <w:r w:rsidR="00565FA7">
        <w:t xml:space="preserve">xpenditure </w:t>
      </w:r>
      <w:r w:rsidR="00AA31DB">
        <w:t>P</w:t>
      </w:r>
      <w:r w:rsidR="00565FA7">
        <w:t>rogram costs.</w:t>
      </w:r>
      <w:r>
        <w:rPr>
          <w:rStyle w:val="FootnoteReference"/>
        </w:rPr>
        <w:footnoteReference w:id="5"/>
      </w:r>
    </w:p>
    <w:p w:rsidR="00385B26" w:rsidP="0040684A" w14:paraId="160E133E" w14:textId="629F579B">
      <w:pPr>
        <w:pStyle w:val="BodyTextIndent3"/>
        <w:spacing w:line="480" w:lineRule="auto"/>
      </w:pPr>
      <w:r>
        <w:t>The auditor</w:t>
      </w:r>
      <w:r w:rsidR="00705795">
        <w:t>, Blue Ridge Consulting Services</w:t>
      </w:r>
      <w:r>
        <w:t>,</w:t>
      </w:r>
      <w:r w:rsidR="00705795">
        <w:t xml:space="preserve"> performed an audit of Dominion’s </w:t>
      </w:r>
      <w:r w:rsidR="00AA31DB">
        <w:t>C</w:t>
      </w:r>
      <w:r w:rsidR="00705795">
        <w:t xml:space="preserve">apital </w:t>
      </w:r>
      <w:r w:rsidR="00AA31DB">
        <w:t>E</w:t>
      </w:r>
      <w:r w:rsidR="00705795">
        <w:t xml:space="preserve">xpenditure </w:t>
      </w:r>
      <w:r w:rsidR="00AA31DB">
        <w:t>P</w:t>
      </w:r>
      <w:r w:rsidR="00705795">
        <w:t>rogram.</w:t>
      </w:r>
      <w:r>
        <w:rPr>
          <w:rStyle w:val="FootnoteReference"/>
        </w:rPr>
        <w:footnoteReference w:id="6"/>
      </w:r>
      <w:r w:rsidR="00BC05C0">
        <w:t xml:space="preserve"> Blue Ridge recommended </w:t>
      </w:r>
      <w:r w:rsidR="00EE75BA">
        <w:t xml:space="preserve">only </w:t>
      </w:r>
      <w:r w:rsidR="00BC05C0">
        <w:t xml:space="preserve">minimal adjustments. In sum, </w:t>
      </w:r>
      <w:r w:rsidR="00CD6851">
        <w:t>the PUCO’s auditor</w:t>
      </w:r>
      <w:r w:rsidR="00BC05C0">
        <w:t xml:space="preserve"> recommended a</w:t>
      </w:r>
      <w:r w:rsidR="00CD6851">
        <w:t xml:space="preserve"> mere $460 thousand</w:t>
      </w:r>
      <w:r w:rsidR="00BC05C0">
        <w:t xml:space="preserve"> </w:t>
      </w:r>
      <w:r w:rsidR="00521C0D">
        <w:t xml:space="preserve">decrease </w:t>
      </w:r>
      <w:r w:rsidR="00BC05C0">
        <w:t xml:space="preserve">in </w:t>
      </w:r>
      <w:r w:rsidR="00521C0D">
        <w:t>Dominion’s propos</w:t>
      </w:r>
      <w:r w:rsidR="004A67EC">
        <w:t>al</w:t>
      </w:r>
      <w:r w:rsidR="00CD6851">
        <w:t xml:space="preserve"> for a $</w:t>
      </w:r>
      <w:r w:rsidR="004A67EC">
        <w:t>22</w:t>
      </w:r>
      <w:r w:rsidR="00CD6851">
        <w:t xml:space="preserve"> million increase from consumers.</w:t>
      </w:r>
      <w:r>
        <w:rPr>
          <w:rStyle w:val="FootnoteReference"/>
        </w:rPr>
        <w:footnoteReference w:id="7"/>
      </w:r>
      <w:r w:rsidR="00BC05C0">
        <w:t xml:space="preserve"> As a result of Blue Ridge’s recommendation, charges to residential </w:t>
      </w:r>
      <w:r w:rsidR="00133BAF">
        <w:t xml:space="preserve">consumers </w:t>
      </w:r>
      <w:r w:rsidR="00BC05C0">
        <w:t>would be</w:t>
      </w:r>
      <w:r w:rsidR="001E7860">
        <w:t xml:space="preserve"> $</w:t>
      </w:r>
      <w:r w:rsidR="006E0740">
        <w:t>5.50</w:t>
      </w:r>
      <w:r w:rsidR="001E7860">
        <w:t xml:space="preserve"> per month, </w:t>
      </w:r>
      <w:r w:rsidR="00BC05C0">
        <w:t>just two cents lower per month as compared to Dominion’s Application.</w:t>
      </w:r>
      <w:r>
        <w:rPr>
          <w:rStyle w:val="FootnoteReference"/>
        </w:rPr>
        <w:footnoteReference w:id="8"/>
      </w:r>
    </w:p>
    <w:p w:rsidR="00C63676" w:rsidP="0040684A" w14:paraId="2138A80F" w14:textId="2BA5E2C6">
      <w:pPr>
        <w:pStyle w:val="BodyTextIndent3"/>
        <w:spacing w:line="480" w:lineRule="auto"/>
      </w:pPr>
      <w:r>
        <w:t xml:space="preserve">In the </w:t>
      </w:r>
      <w:r w:rsidR="00066E65">
        <w:t xml:space="preserve">PUCO </w:t>
      </w:r>
      <w:r>
        <w:t xml:space="preserve">Staff Report, the PUCO Staff </w:t>
      </w:r>
      <w:r w:rsidR="006E0740">
        <w:t>adopted</w:t>
      </w:r>
      <w:r w:rsidR="001E7860">
        <w:t xml:space="preserve"> the recommendations found in the Audit Report.</w:t>
      </w:r>
      <w:r>
        <w:rPr>
          <w:rStyle w:val="FootnoteReference"/>
        </w:rPr>
        <w:footnoteReference w:id="9"/>
      </w:r>
      <w:r>
        <w:t xml:space="preserve"> </w:t>
      </w:r>
      <w:r w:rsidR="006E0740">
        <w:t>This includes the consumer protection of removing</w:t>
      </w:r>
      <w:r w:rsidR="00385B26">
        <w:t xml:space="preserve"> a small amount of </w:t>
      </w:r>
      <w:r w:rsidR="002A7ADE">
        <w:t>stock incentives</w:t>
      </w:r>
      <w:r w:rsidR="00385B26">
        <w:t xml:space="preserve"> paid to employees </w:t>
      </w:r>
      <w:r w:rsidR="002A7ADE">
        <w:t>from the CEP Charge.</w:t>
      </w:r>
      <w:r>
        <w:rPr>
          <w:rStyle w:val="FootnoteReference"/>
        </w:rPr>
        <w:footnoteReference w:id="10"/>
      </w:r>
      <w:r>
        <w:t xml:space="preserve"> </w:t>
      </w:r>
      <w:r w:rsidR="002A7ADE">
        <w:t>But unfortunately for consumers, the PUCO Staff also proposes a return on equity</w:t>
      </w:r>
      <w:r w:rsidR="00F264F2">
        <w:t xml:space="preserve"> (profits)</w:t>
      </w:r>
      <w:r w:rsidR="002A7ADE">
        <w:t xml:space="preserve"> and </w:t>
      </w:r>
      <w:r w:rsidR="00F264F2">
        <w:t>cost of debt</w:t>
      </w:r>
      <w:r w:rsidR="00A57758">
        <w:t xml:space="preserve"> </w:t>
      </w:r>
      <w:r w:rsidR="002A7ADE">
        <w:t xml:space="preserve">that </w:t>
      </w:r>
      <w:r w:rsidR="00DE12D5">
        <w:t>are</w:t>
      </w:r>
      <w:r w:rsidR="002A7ADE">
        <w:t xml:space="preserve"> too high</w:t>
      </w:r>
      <w:r w:rsidR="00A5364A">
        <w:t xml:space="preserve"> and unreasonable</w:t>
      </w:r>
      <w:r w:rsidR="002A7ADE">
        <w:t>.</w:t>
      </w:r>
      <w:r>
        <w:rPr>
          <w:rStyle w:val="FootnoteReference"/>
        </w:rPr>
        <w:footnoteReference w:id="11"/>
      </w:r>
    </w:p>
    <w:p w:rsidR="000769ED" w:rsidP="000769ED" w14:paraId="11FCDCBE" w14:textId="77777777">
      <w:pPr>
        <w:pStyle w:val="BodyTextIndent3"/>
        <w:spacing w:line="240" w:lineRule="auto"/>
      </w:pPr>
    </w:p>
    <w:p w:rsidR="00B652E1" w:rsidP="002A7ADE" w14:paraId="2BE661D9" w14:textId="76511ADF">
      <w:pPr>
        <w:pStyle w:val="Heading1"/>
        <w:tabs>
          <w:tab w:val="left" w:pos="720"/>
          <w:tab w:val="left" w:pos="1730"/>
        </w:tabs>
      </w:pPr>
      <w:bookmarkStart w:id="4" w:name="_Toc42694217"/>
      <w:bookmarkStart w:id="5" w:name="_Toc80026347"/>
      <w:r>
        <w:t>II</w:t>
      </w:r>
      <w:r w:rsidR="00EE7BE6">
        <w:t>I</w:t>
      </w:r>
      <w:r>
        <w:t>.</w:t>
      </w:r>
      <w:r>
        <w:tab/>
      </w:r>
      <w:bookmarkEnd w:id="4"/>
      <w:r w:rsidR="002A7ADE">
        <w:t>COMMENTS</w:t>
      </w:r>
      <w:bookmarkEnd w:id="5"/>
    </w:p>
    <w:p w:rsidR="001E10B2" w:rsidRPr="009649D5" w:rsidP="000769ED" w14:paraId="5E5DC7D5" w14:textId="495DC95C">
      <w:pPr>
        <w:pStyle w:val="Heading2"/>
        <w:numPr>
          <w:ilvl w:val="0"/>
          <w:numId w:val="9"/>
        </w:numPr>
        <w:ind w:left="1440" w:hanging="720"/>
      </w:pPr>
      <w:bookmarkStart w:id="6" w:name="_Toc80026348"/>
      <w:bookmarkStart w:id="7" w:name="_Toc42694218"/>
      <w:r>
        <w:t>T</w:t>
      </w:r>
      <w:r w:rsidRPr="009E06A5">
        <w:t xml:space="preserve">he </w:t>
      </w:r>
      <w:r>
        <w:t xml:space="preserve">PUCO </w:t>
      </w:r>
      <w:r w:rsidRPr="009E06A5">
        <w:t>Staff</w:t>
      </w:r>
      <w:r w:rsidR="00F264F2">
        <w:t xml:space="preserve">, </w:t>
      </w:r>
      <w:r w:rsidR="00DE12D5">
        <w:t xml:space="preserve">the </w:t>
      </w:r>
      <w:r w:rsidR="00F264F2">
        <w:t>PUCO’s Auditor Blue Ridge</w:t>
      </w:r>
      <w:r w:rsidR="003D618A">
        <w:t>,</w:t>
      </w:r>
      <w:r w:rsidR="00F264F2">
        <w:t xml:space="preserve"> and Dominion would perpetuate the PUCO’s past injustice of allowing Dominion to overcharge consumers for profits and cost of debt that are outdated and outsized</w:t>
      </w:r>
      <w:r w:rsidR="003D618A">
        <w:t>.</w:t>
      </w:r>
      <w:r w:rsidR="00835CCD">
        <w:t xml:space="preserve"> </w:t>
      </w:r>
      <w:r w:rsidR="00F264F2">
        <w:t xml:space="preserve">The PUCO should reject their approach and </w:t>
      </w:r>
      <w:r w:rsidR="00835CCD">
        <w:t>protect</w:t>
      </w:r>
      <w:r w:rsidRPr="009E06A5" w:rsidR="00835CCD">
        <w:t xml:space="preserve"> </w:t>
      </w:r>
      <w:r w:rsidR="00835CCD">
        <w:t>consumers</w:t>
      </w:r>
      <w:r w:rsidR="00F264F2">
        <w:t>.</w:t>
      </w:r>
      <w:bookmarkEnd w:id="6"/>
      <w:r w:rsidR="00835CCD">
        <w:t xml:space="preserve"> </w:t>
      </w:r>
    </w:p>
    <w:p w:rsidR="00DE12D5" w:rsidP="001E10B2" w14:paraId="1B5D1823" w14:textId="3C19F7C7">
      <w:pPr>
        <w:pStyle w:val="BodyTextIndent3"/>
        <w:spacing w:line="480" w:lineRule="auto"/>
      </w:pPr>
      <w:r>
        <w:t xml:space="preserve">Once again Dominion is proposing to overcharge consumers for profits and for its cost of debt based on outdated PUCO rulings from 13 years ago. And the PUCO’s consultant is obliging. </w:t>
      </w:r>
    </w:p>
    <w:p w:rsidR="001E10B2" w:rsidP="001E10B2" w14:paraId="4EC81FA7" w14:textId="2E029A1A">
      <w:pPr>
        <w:pStyle w:val="BodyTextIndent3"/>
        <w:spacing w:line="480" w:lineRule="auto"/>
      </w:pPr>
      <w:r>
        <w:t>As directed by the PUCO, the PUCO Staff includes a Financial Earnings Review in the Staff Report.</w:t>
      </w:r>
      <w:r>
        <w:rPr>
          <w:rStyle w:val="FootnoteReference"/>
        </w:rPr>
        <w:footnoteReference w:id="12"/>
      </w:r>
      <w:r>
        <w:t xml:space="preserve"> The Staff Report concludes that “Dominion has not significantly over-earned or under-earned” based on certain financial metrics in comparison to other local and national peers.</w:t>
      </w:r>
      <w:r>
        <w:rPr>
          <w:rStyle w:val="FootnoteReference"/>
        </w:rPr>
        <w:footnoteReference w:id="13"/>
      </w:r>
      <w:r>
        <w:t xml:space="preserve"> </w:t>
      </w:r>
      <w:r w:rsidR="00B84F9F">
        <w:t>The comparisons made</w:t>
      </w:r>
      <w:r>
        <w:t xml:space="preserve"> in the Staff Report clearly do not support the use of the 9.91% pre-tax rate of return proposed by Dominion.</w:t>
      </w:r>
      <w:r>
        <w:rPr>
          <w:rStyle w:val="FootnoteReference"/>
        </w:rPr>
        <w:footnoteReference w:id="14"/>
      </w:r>
      <w:r>
        <w:t xml:space="preserve"> </w:t>
      </w:r>
      <w:r w:rsidR="002072FF">
        <w:t>The PUCO Staff, the PUCO’s auditor Blue Ridge, and Dominion would perpetuate the PUCO’s past injustice of allowing Dominion to overcharge consumers for profits and cost of debt that are outdated and outsized.</w:t>
      </w:r>
      <w:r w:rsidR="006C066E">
        <w:t xml:space="preserve"> </w:t>
      </w:r>
      <w:r w:rsidR="00F264F2">
        <w:t>The PUCO should reject that approach for protecting consumers.</w:t>
      </w:r>
      <w:r w:rsidR="002072FF">
        <w:t xml:space="preserve"> </w:t>
      </w:r>
      <w:r w:rsidR="002A1833">
        <w:t>In a prior Dominion case, Commissioner Conway said during a public meeting announcing the PUCO’s Order: “[W]e have a utility that not unlike some other utilities hasn’t been in for a rate case in quite a while so our policy of referring back to cost of capital values that were established in the most recent prior base rate case means that we refer back quite a distance in time, and during that period, as the record in this case and OCC and NOPEC have pointed out, there have been macro changes with regard to capital costs that have undoubtedly caused the cost of capital to decline in a material way.”</w:t>
      </w:r>
      <w:r>
        <w:rPr>
          <w:rStyle w:val="FootnoteReference"/>
        </w:rPr>
        <w:footnoteReference w:id="15"/>
      </w:r>
      <w:r w:rsidR="006C066E">
        <w:t xml:space="preserve"> </w:t>
      </w:r>
      <w:r w:rsidR="002A1833">
        <w:t>“I think in a perfect world what we would do[,]”Commissioner Conway continued, “is have a rate case which would reconcile costs with revenues for the entire cost of service of the company, including both riders and base rate expenses, but we don’t have that option in this case.”</w:t>
      </w:r>
      <w:r>
        <w:rPr>
          <w:rStyle w:val="FootnoteReference"/>
        </w:rPr>
        <w:footnoteReference w:id="16"/>
      </w:r>
    </w:p>
    <w:p w:rsidR="00FC41E1" w:rsidP="001E10B2" w14:paraId="3E566BA0" w14:textId="77777777">
      <w:pPr>
        <w:pStyle w:val="BodyTextIndent3"/>
        <w:spacing w:line="480" w:lineRule="auto"/>
      </w:pPr>
      <w:r>
        <w:t xml:space="preserve">Dominion’s last rate case was resolved more than 13 years ago (in 2008). </w:t>
      </w:r>
      <w:r w:rsidR="008009E1">
        <w:t xml:space="preserve">Dominion is controlling the process by controlling when it files its </w:t>
      </w:r>
      <w:r>
        <w:t>rate cases. And the PUCO is allowing that utility control to dictate a bad outcome for consumers.</w:t>
      </w:r>
      <w:r w:rsidRPr="00FC41E1">
        <w:t xml:space="preserve"> </w:t>
      </w:r>
      <w:r>
        <w:t xml:space="preserve">This is an abdication of the PUCO’s responsibility for fairness and balance (and justice) in outcomes for consumers. What has evolved (devolved) over the years is that utilities are selecting from an increased menu of ratemaking options that serve their interests to the detriment of consumer interests. </w:t>
      </w:r>
    </w:p>
    <w:p w:rsidR="00FC41E1" w:rsidP="001E10B2" w14:paraId="421C8EA6" w14:textId="2D46F77C">
      <w:pPr>
        <w:pStyle w:val="BodyTextIndent3"/>
        <w:spacing w:line="480" w:lineRule="auto"/>
      </w:pPr>
      <w:r>
        <w:t>For consumers it is heads you win, tails I lose. When the cost of equity or debt decreases, Dominion can avoid rate cases to reap a windfall by refinancing. When the cost of equity or debt increases, Dominion can file a rate case to increase charges to account for the higher costs. Ohioans need the PUCO to step in as the judge and establish fairness. The PUCO’s role as judge should change with the times to provide justice, and the legal standard involving precedent allows for that.</w:t>
      </w:r>
      <w:r>
        <w:rPr>
          <w:rStyle w:val="FootnoteReference"/>
        </w:rPr>
        <w:footnoteReference w:id="17"/>
      </w:r>
      <w:r w:rsidR="006C066E">
        <w:t xml:space="preserve"> </w:t>
      </w:r>
    </w:p>
    <w:p w:rsidR="00017C28" w:rsidP="001E10B2" w14:paraId="135C80F9" w14:textId="598520B2">
      <w:pPr>
        <w:pStyle w:val="BodyTextIndent3"/>
        <w:spacing w:line="480" w:lineRule="auto"/>
      </w:pPr>
      <w:r>
        <w:t>Market conditions have changed significantly since 2008. This 9.91% rate of return is particularly unreasonable because it is based on an alleged 6.50% cost of debt. That outdated debt figure far exceeds Dominion’s current cost of debt of merely 2.29%.</w:t>
      </w:r>
      <w:r>
        <w:rPr>
          <w:rStyle w:val="FootnoteReference"/>
        </w:rPr>
        <w:footnoteReference w:id="18"/>
      </w:r>
      <w:r>
        <w:t xml:space="preserve"> </w:t>
      </w:r>
      <w:r w:rsidRPr="00C37EAC">
        <w:t>The use of this unjustified cost of debt established 13 years ago alone increases the pre-tax rate of return to 9.91% from 7.86%.</w:t>
      </w:r>
      <w:r>
        <w:rPr>
          <w:rStyle w:val="FootnoteReference"/>
        </w:rPr>
        <w:footnoteReference w:id="19"/>
      </w:r>
      <w:r w:rsidR="006C066E">
        <w:t xml:space="preserve"> </w:t>
      </w:r>
      <w:r w:rsidRPr="00C37EAC">
        <w:t>This, in turn, increases the CEP Charge collected from consumers (solely from the unreasonable cost of debt) by approximately $14.1 million</w:t>
      </w:r>
      <w:r>
        <w:rPr>
          <w:rStyle w:val="FootnoteReference"/>
        </w:rPr>
        <w:footnoteReference w:id="20"/>
      </w:r>
      <w:r w:rsidRPr="00C37EAC">
        <w:t xml:space="preserve"> (assuming a rate base of $687,100,619 as recommended by the Auditor).</w:t>
      </w:r>
      <w:r>
        <w:rPr>
          <w:rStyle w:val="FootnoteReference"/>
        </w:rPr>
        <w:footnoteReference w:id="21"/>
      </w:r>
      <w:r>
        <w:t xml:space="preserve"> </w:t>
      </w:r>
    </w:p>
    <w:p w:rsidR="001E10B2" w:rsidP="001E10B2" w14:paraId="6E732B5F" w14:textId="4C03EC50">
      <w:pPr>
        <w:pStyle w:val="BodyTextIndent3"/>
        <w:spacing w:line="480" w:lineRule="auto"/>
      </w:pPr>
      <w:r>
        <w:t>Also</w:t>
      </w:r>
      <w:r>
        <w:t xml:space="preserve">, the Staff Report’s Financial Earnings Review is a review of the </w:t>
      </w:r>
      <w:r w:rsidRPr="00571ED5">
        <w:rPr>
          <w:i/>
          <w:iCs/>
        </w:rPr>
        <w:t xml:space="preserve">overall </w:t>
      </w:r>
      <w:r>
        <w:t>profitability of Dominion and other local distribution companies (locally and nationwide).</w:t>
      </w:r>
      <w:r>
        <w:rPr>
          <w:rStyle w:val="FootnoteReference"/>
        </w:rPr>
        <w:footnoteReference w:id="22"/>
      </w:r>
      <w:r>
        <w:t xml:space="preserve"> The Financial Earnings Review is not a review of the earnings contributed by the Capital Expenditure Program to Dominion’s overall earnings. Even if Dominion did not significantly over-earn or under-earn over the last three years, as PUCO Staff asserts (an assertion with which we do not necessarily agree), this does not mean the pre-tax rate of return of 9.91% used in calculating the CEP Charge is just and reasonable. This is the issue the PUCO should be addressing here based on current market conditions and established regulatory principles.</w:t>
      </w:r>
      <w:r w:rsidR="006C066E">
        <w:t xml:space="preserve"> </w:t>
      </w:r>
    </w:p>
    <w:p w:rsidR="00033303" w:rsidP="001E10B2" w14:paraId="47D5A102" w14:textId="5DB9CA4D">
      <w:pPr>
        <w:pStyle w:val="BodyTextIndent3"/>
        <w:spacing w:line="480" w:lineRule="auto"/>
      </w:pPr>
      <w:r>
        <w:t>Further</w:t>
      </w:r>
      <w:r w:rsidR="001E10B2">
        <w:t>, the 3-year average median return on equity</w:t>
      </w:r>
      <w:r w:rsidR="00741411">
        <w:t xml:space="preserve"> (profit)</w:t>
      </w:r>
      <w:r w:rsidR="001E10B2">
        <w:t xml:space="preserve"> of 7.94% nationwide and the average return on equity</w:t>
      </w:r>
      <w:r w:rsidR="00741411">
        <w:t xml:space="preserve"> (profit)</w:t>
      </w:r>
      <w:r w:rsidR="001E10B2">
        <w:t xml:space="preserve"> earned by Ohio local distribution companies calculated in the Staff Report actually demonstrates that the 10.38% return on equity proposed by Dominion for its CEP Charge is unjust and unreasonable. There is no justification whatsoever for Dominion to have a 244 basis points premium in its return on equity for its CEP Charge.</w:t>
      </w:r>
      <w:r>
        <w:rPr>
          <w:rStyle w:val="FootnoteReference"/>
        </w:rPr>
        <w:footnoteReference w:id="23"/>
      </w:r>
      <w:r w:rsidR="006C066E">
        <w:t xml:space="preserve"> </w:t>
      </w:r>
      <w:bookmarkStart w:id="9" w:name="_Hlk79825004"/>
      <w:r w:rsidRPr="002D5858">
        <w:t xml:space="preserve">This </w:t>
      </w:r>
      <w:r w:rsidRPr="006465AC">
        <w:t xml:space="preserve">unjustified </w:t>
      </w:r>
      <w:r w:rsidR="006C066E">
        <w:t xml:space="preserve">profit </w:t>
      </w:r>
      <w:r w:rsidRPr="002D5858" w:rsidR="006C066E">
        <w:t>of</w:t>
      </w:r>
      <w:r w:rsidRPr="002D5858">
        <w:t xml:space="preserve"> 244 basis points </w:t>
      </w:r>
      <w:r w:rsidRPr="006C066E" w:rsidR="007218FB">
        <w:t xml:space="preserve">alone </w:t>
      </w:r>
      <w:r w:rsidRPr="006C066E" w:rsidR="00B942C8">
        <w:t>increases</w:t>
      </w:r>
      <w:r w:rsidRPr="002D5858">
        <w:t xml:space="preserve"> the pre-tax rate of return to </w:t>
      </w:r>
      <w:r w:rsidRPr="006465AC">
        <w:t xml:space="preserve">9.91% from </w:t>
      </w:r>
      <w:r w:rsidRPr="002D5858">
        <w:t>8.32%.</w:t>
      </w:r>
      <w:r>
        <w:rPr>
          <w:rStyle w:val="FootnoteReference"/>
        </w:rPr>
        <w:footnoteReference w:id="24"/>
      </w:r>
      <w:r w:rsidR="006C066E">
        <w:t xml:space="preserve"> </w:t>
      </w:r>
      <w:r w:rsidRPr="002D5858" w:rsidR="008641FF">
        <w:t>This</w:t>
      </w:r>
      <w:r w:rsidRPr="006C066E" w:rsidR="008641FF">
        <w:t>,</w:t>
      </w:r>
      <w:r w:rsidRPr="002D5858" w:rsidR="008641FF">
        <w:t xml:space="preserve"> in turn</w:t>
      </w:r>
      <w:r w:rsidRPr="006C066E" w:rsidR="008641FF">
        <w:t>,</w:t>
      </w:r>
      <w:r w:rsidRPr="002D5858" w:rsidR="008641FF">
        <w:t xml:space="preserve"> </w:t>
      </w:r>
      <w:r w:rsidRPr="006C066E" w:rsidR="00B942C8">
        <w:t>increases</w:t>
      </w:r>
      <w:r w:rsidRPr="002D5858" w:rsidR="008641FF">
        <w:t xml:space="preserve"> the CEP </w:t>
      </w:r>
      <w:r w:rsidRPr="006465AC" w:rsidR="008641FF">
        <w:t xml:space="preserve">Charge collected from consumers </w:t>
      </w:r>
      <w:r w:rsidRPr="006C066E" w:rsidR="007218FB">
        <w:t xml:space="preserve">(solely from the unreasonable rate on equity) </w:t>
      </w:r>
      <w:r w:rsidRPr="002D5858" w:rsidR="008641FF">
        <w:t>by approximately $10.9 million</w:t>
      </w:r>
      <w:r>
        <w:rPr>
          <w:rStyle w:val="FootnoteReference"/>
        </w:rPr>
        <w:footnoteReference w:id="25"/>
      </w:r>
      <w:r w:rsidRPr="002D5858" w:rsidR="008641FF">
        <w:t xml:space="preserve"> </w:t>
      </w:r>
      <w:r w:rsidRPr="006C066E" w:rsidR="00B942C8">
        <w:t>(</w:t>
      </w:r>
      <w:r w:rsidRPr="002D5858" w:rsidR="008641FF">
        <w:t xml:space="preserve">assuming a rate base of $687,100,619 </w:t>
      </w:r>
      <w:r w:rsidRPr="006465AC" w:rsidR="008641FF">
        <w:t xml:space="preserve">as </w:t>
      </w:r>
      <w:r w:rsidRPr="002D5858" w:rsidR="008641FF">
        <w:t>recommended by the Auditor</w:t>
      </w:r>
      <w:r w:rsidRPr="006C066E" w:rsidR="00B942C8">
        <w:t>)</w:t>
      </w:r>
      <w:r w:rsidRPr="002D5858" w:rsidR="008641FF">
        <w:t>.</w:t>
      </w:r>
      <w:r>
        <w:rPr>
          <w:rStyle w:val="FootnoteReference"/>
        </w:rPr>
        <w:footnoteReference w:id="26"/>
      </w:r>
      <w:r>
        <w:t xml:space="preserve"> </w:t>
      </w:r>
    </w:p>
    <w:bookmarkEnd w:id="9"/>
    <w:p w:rsidR="00242714" w:rsidP="00242714" w14:paraId="57EC6805" w14:textId="531BD831">
      <w:pPr>
        <w:spacing w:line="480" w:lineRule="auto"/>
        <w:ind w:firstLine="720"/>
      </w:pPr>
      <w:r>
        <w:t xml:space="preserve">Dominion is financially strong and has no additional business or financial risks compared to an average local distribution company to justify a </w:t>
      </w:r>
      <w:r w:rsidR="00741411">
        <w:t xml:space="preserve">profit </w:t>
      </w:r>
      <w:r>
        <w:t xml:space="preserve">that is much higher than the national median. The Capital Expenditure Program is one part of Dominion’s overall financial earnings and does not warrant charging consumers a profit at that high level of 10.38%. </w:t>
      </w:r>
      <w:r w:rsidR="00017C28">
        <w:t xml:space="preserve">And </w:t>
      </w:r>
      <w:r>
        <w:t xml:space="preserve">a utility’s </w:t>
      </w:r>
      <w:r w:rsidR="00741411">
        <w:t xml:space="preserve">profit </w:t>
      </w:r>
      <w:r>
        <w:t xml:space="preserve">is intended to reflect the utility’s risk as seen through the eyes of an investor. When a utility can charge consumers for capital investments on an accelerated basis through a rider (such as the CEP Charge), as opposed to through a rate case, its risk is </w:t>
      </w:r>
      <w:r w:rsidR="006C066E">
        <w:t>lower,</w:t>
      </w:r>
      <w:r>
        <w:t xml:space="preserve"> and the authorized </w:t>
      </w:r>
      <w:r w:rsidR="00741411">
        <w:t xml:space="preserve">profit </w:t>
      </w:r>
      <w:r>
        <w:t xml:space="preserve">should be lower. </w:t>
      </w:r>
    </w:p>
    <w:p w:rsidR="00242714" w:rsidP="00242714" w14:paraId="0E07FBBB" w14:textId="0F089943">
      <w:pPr>
        <w:spacing w:line="480" w:lineRule="auto"/>
        <w:ind w:firstLine="720"/>
        <w:rPr>
          <w:szCs w:val="24"/>
        </w:rPr>
      </w:pPr>
      <w:r>
        <w:rPr>
          <w:szCs w:val="24"/>
        </w:rPr>
        <w:t>The PUCO should also be concerned that it is inviting the Averch-Johnson effect, to the detriment of consumers. The Averch-Johnson effect is the tendency of regulated entities to engage in excessive amounts of investment in order to expand their profits.</w:t>
      </w:r>
      <w:r>
        <w:rPr>
          <w:rStyle w:val="FootnoteReference"/>
          <w:szCs w:val="24"/>
        </w:rPr>
        <w:footnoteReference w:id="27"/>
      </w:r>
      <w:r>
        <w:rPr>
          <w:szCs w:val="24"/>
        </w:rPr>
        <w:t xml:space="preserve"> This regulatory principle is well documented and is exacerbated by the PUCO’s decision that authorizes a rate of return substantially above market rates. The ruling can provoke a Dominion response for investing beyond the need for plant (</w:t>
      </w:r>
      <w:r w:rsidRPr="008E2D75">
        <w:rPr>
          <w:i/>
          <w:iCs/>
          <w:szCs w:val="24"/>
        </w:rPr>
        <w:t>i.e.</w:t>
      </w:r>
      <w:r>
        <w:rPr>
          <w:szCs w:val="24"/>
        </w:rPr>
        <w:t>, gold-plating) to reward its shareholders with more profits at its customers’ expense.</w:t>
      </w:r>
    </w:p>
    <w:p w:rsidR="001E10B2" w:rsidP="001E10B2" w14:paraId="28A0424D" w14:textId="28769FAC">
      <w:pPr>
        <w:pStyle w:val="BodyTextIndent3"/>
        <w:spacing w:line="480" w:lineRule="auto"/>
      </w:pPr>
      <w:r>
        <w:t xml:space="preserve">Under the alternative ratemaking and Capital Expenditure Program statutes, Dominion must demonstrate that </w:t>
      </w:r>
      <w:r w:rsidR="00DC3974">
        <w:t xml:space="preserve">its </w:t>
      </w:r>
      <w:r>
        <w:t>Capital Expenditure Program is just and reasonable.</w:t>
      </w:r>
      <w:r>
        <w:rPr>
          <w:rStyle w:val="FootnoteReference"/>
        </w:rPr>
        <w:footnoteReference w:id="28"/>
      </w:r>
      <w:r>
        <w:t xml:space="preserve"> It is neither just nor reasonable for Dominion to gain an undeserved windfall profit </w:t>
      </w:r>
      <w:r w:rsidR="00DC3974">
        <w:t xml:space="preserve">from </w:t>
      </w:r>
      <w:r>
        <w:t>consumers by using an out of date and inflated rate of return to calculate the CEP Charge.</w:t>
      </w:r>
    </w:p>
    <w:p w:rsidR="002A7ADE" w:rsidP="00C63676" w14:paraId="36BE7203" w14:textId="4857F603">
      <w:pPr>
        <w:pStyle w:val="Heading2"/>
        <w:numPr>
          <w:ilvl w:val="0"/>
          <w:numId w:val="9"/>
        </w:numPr>
        <w:spacing w:after="0"/>
        <w:ind w:left="1440" w:hanging="720"/>
      </w:pPr>
      <w:bookmarkStart w:id="10" w:name="_Toc80026349"/>
      <w:bookmarkEnd w:id="7"/>
      <w:r w:rsidRPr="00C63676">
        <w:t xml:space="preserve">To protect consumers, </w:t>
      </w:r>
      <w:r w:rsidRPr="00C63676" w:rsidR="00185D57">
        <w:t xml:space="preserve">Blue Ridge and the PUCO Staff correctly recommended that </w:t>
      </w:r>
      <w:r w:rsidRPr="00C63676">
        <w:t>stock incentives should be removed from the CEP Charge.</w:t>
      </w:r>
      <w:r w:rsidRPr="00C63676" w:rsidR="00C63676">
        <w:t xml:space="preserve"> </w:t>
      </w:r>
      <w:r w:rsidRPr="00C63676" w:rsidR="00401507">
        <w:t xml:space="preserve">But </w:t>
      </w:r>
      <w:r w:rsidR="00BD43E5">
        <w:t xml:space="preserve">Dominion’s consumers should not have to pay for </w:t>
      </w:r>
      <w:r w:rsidRPr="00C63676" w:rsidR="00401507">
        <w:t>cash incentives to employees for attainment of stock or earnings goals</w:t>
      </w:r>
      <w:r w:rsidR="003A75C7">
        <w:t xml:space="preserve"> and they</w:t>
      </w:r>
      <w:r w:rsidRPr="00C63676" w:rsidR="00401507">
        <w:t xml:space="preserve"> should be </w:t>
      </w:r>
      <w:r w:rsidRPr="00C63676" w:rsidR="00054177">
        <w:t xml:space="preserve">identified and </w:t>
      </w:r>
      <w:r w:rsidRPr="00C63676" w:rsidR="00401507">
        <w:t>removed as well.</w:t>
      </w:r>
      <w:bookmarkEnd w:id="10"/>
    </w:p>
    <w:p w:rsidR="003A75C7" w:rsidP="003A75C7" w14:paraId="7185A575" w14:textId="2F296793"/>
    <w:p w:rsidR="003A75C7" w:rsidRPr="003A75C7" w:rsidP="000769ED" w14:paraId="627745CC" w14:textId="51FFF9B8">
      <w:pPr>
        <w:pStyle w:val="Heading3"/>
        <w:numPr>
          <w:ilvl w:val="0"/>
          <w:numId w:val="12"/>
        </w:numPr>
        <w:ind w:left="2160" w:hanging="720"/>
      </w:pPr>
      <w:bookmarkStart w:id="11" w:name="_Toc80026350"/>
      <w:r>
        <w:t xml:space="preserve">To protect consumers, </w:t>
      </w:r>
      <w:r w:rsidR="00385B26">
        <w:t>all financial incentives including</w:t>
      </w:r>
      <w:r w:rsidR="00771014">
        <w:t>, but not limited to,</w:t>
      </w:r>
      <w:r w:rsidR="00385B26">
        <w:t xml:space="preserve"> </w:t>
      </w:r>
      <w:r>
        <w:t>stock and cash incentives should be removed from the CEP Charge.</w:t>
      </w:r>
      <w:bookmarkEnd w:id="11"/>
    </w:p>
    <w:p w:rsidR="00185D57" w:rsidP="00C93B8B" w14:paraId="61161510" w14:textId="3A88272A">
      <w:pPr>
        <w:pStyle w:val="ListParagraph"/>
        <w:spacing w:line="480" w:lineRule="auto"/>
        <w:ind w:left="0" w:firstLine="720"/>
      </w:pPr>
      <w:r>
        <w:t xml:space="preserve">In its Audit Report, Blue Ridge notes that </w:t>
      </w:r>
      <w:r w:rsidR="00401507">
        <w:t xml:space="preserve">Dominion has an employee incentive program that awards employees with 50% restricted stock and 50% cash for </w:t>
      </w:r>
      <w:r w:rsidR="00054177">
        <w:t>attainment of certain goals.</w:t>
      </w:r>
      <w:r>
        <w:rPr>
          <w:rStyle w:val="FootnoteReference"/>
        </w:rPr>
        <w:footnoteReference w:id="29"/>
      </w:r>
      <w:r w:rsidR="00C63676">
        <w:t xml:space="preserve"> </w:t>
      </w:r>
      <w:r w:rsidR="00054177">
        <w:t>Blue Ridge maintains that the</w:t>
      </w:r>
      <w:r w:rsidR="00BC1411">
        <w:t xml:space="preserve"> restricted stock </w:t>
      </w:r>
      <w:r w:rsidR="00C93B8B">
        <w:t xml:space="preserve">incentives </w:t>
      </w:r>
      <w:r w:rsidR="00BC1411">
        <w:t>“rewards behavior that promotes the interest of shareholders” and that “excessive focus on</w:t>
      </w:r>
      <w:r w:rsidR="00054177">
        <w:t xml:space="preserve"> increasing</w:t>
      </w:r>
      <w:r w:rsidR="00BC1411">
        <w:t xml:space="preserve"> profitability and share price growth can harm customers.”</w:t>
      </w:r>
      <w:r>
        <w:rPr>
          <w:rStyle w:val="FootnoteReference"/>
        </w:rPr>
        <w:footnoteReference w:id="30"/>
      </w:r>
      <w:r w:rsidR="00C63676">
        <w:t xml:space="preserve"> </w:t>
      </w:r>
      <w:r w:rsidR="00C93B8B">
        <w:t xml:space="preserve">Therefore, Blue Ridge recommends </w:t>
      </w:r>
      <w:r w:rsidRPr="00E2304E" w:rsidR="00C93B8B">
        <w:t>that</w:t>
      </w:r>
      <w:r w:rsidR="00C93B8B">
        <w:t xml:space="preserve"> </w:t>
      </w:r>
      <w:r w:rsidR="00D439EE">
        <w:t xml:space="preserve">$35,348.95 of restricted stock be removed from the </w:t>
      </w:r>
      <w:r w:rsidR="00112968">
        <w:t>Capital Expenditure Program</w:t>
      </w:r>
      <w:r w:rsidR="00D439EE">
        <w:t xml:space="preserve"> plant in-service balance</w:t>
      </w:r>
      <w:r w:rsidR="00E2304E">
        <w:t>, which lowers the revenue requirement by $5,656</w:t>
      </w:r>
      <w:r w:rsidR="00D439EE">
        <w:t>.</w:t>
      </w:r>
      <w:r>
        <w:rPr>
          <w:rStyle w:val="FootnoteReference"/>
        </w:rPr>
        <w:footnoteReference w:id="31"/>
      </w:r>
      <w:r w:rsidR="00C63676">
        <w:t xml:space="preserve"> </w:t>
      </w:r>
      <w:r w:rsidR="00D439EE">
        <w:t xml:space="preserve">Blue </w:t>
      </w:r>
      <w:r w:rsidR="00E2304E">
        <w:t>Ridge</w:t>
      </w:r>
      <w:r w:rsidR="00D439EE">
        <w:t xml:space="preserve"> </w:t>
      </w:r>
      <w:r w:rsidR="00E2304E">
        <w:t xml:space="preserve">states that </w:t>
      </w:r>
      <w:r w:rsidR="00D14F93">
        <w:t>“</w:t>
      </w:r>
      <w:r w:rsidR="00E2304E">
        <w:t xml:space="preserve">these charges </w:t>
      </w:r>
      <w:r w:rsidR="0047757F">
        <w:t xml:space="preserve">are </w:t>
      </w:r>
      <w:r w:rsidR="00E2304E">
        <w:t xml:space="preserve">neither a direct nor indirect </w:t>
      </w:r>
      <w:r w:rsidR="00D14F93">
        <w:t xml:space="preserve">charge associated with the performance of work” and that </w:t>
      </w:r>
      <w:r w:rsidR="00112968">
        <w:t>“t</w:t>
      </w:r>
      <w:r w:rsidR="00D14F93">
        <w:t>hey represent a benefit to only a select group of employees.”</w:t>
      </w:r>
      <w:r>
        <w:rPr>
          <w:rStyle w:val="FootnoteReference"/>
        </w:rPr>
        <w:footnoteReference w:id="32"/>
      </w:r>
      <w:r w:rsidR="00C63676">
        <w:t xml:space="preserve"> </w:t>
      </w:r>
      <w:r w:rsidR="00D14F93">
        <w:t>The PUCO Staff adopts Blue Ridge’s recommendation in the Staff Report.</w:t>
      </w:r>
      <w:r>
        <w:rPr>
          <w:rStyle w:val="FootnoteReference"/>
        </w:rPr>
        <w:footnoteReference w:id="33"/>
      </w:r>
    </w:p>
    <w:p w:rsidR="001C2EE9" w14:paraId="0DB48604" w14:textId="435244E9">
      <w:pPr>
        <w:pStyle w:val="ListParagraph"/>
        <w:spacing w:line="480" w:lineRule="auto"/>
        <w:ind w:left="0" w:firstLine="720"/>
      </w:pPr>
      <w:r>
        <w:t xml:space="preserve">OCC agrees with the Blue Ridge and PUCO </w:t>
      </w:r>
      <w:r w:rsidR="0047757F">
        <w:t xml:space="preserve">Staff </w:t>
      </w:r>
      <w:r>
        <w:t>recommendation.</w:t>
      </w:r>
      <w:r w:rsidR="00C63676">
        <w:t xml:space="preserve"> </w:t>
      </w:r>
      <w:r w:rsidR="004F7D47">
        <w:t xml:space="preserve">The </w:t>
      </w:r>
      <w:r w:rsidR="00AA31DB">
        <w:t>C</w:t>
      </w:r>
      <w:r w:rsidR="004F7D47">
        <w:t xml:space="preserve">apital </w:t>
      </w:r>
      <w:r w:rsidR="00AA31DB">
        <w:t>E</w:t>
      </w:r>
      <w:r w:rsidR="004F7D47">
        <w:t xml:space="preserve">xpenditure </w:t>
      </w:r>
      <w:r w:rsidR="00AA31DB">
        <w:t>P</w:t>
      </w:r>
      <w:r w:rsidR="004F7D47">
        <w:t>rogram statute, R.C. 4929.111, allows a natural gas company to charge consumers for infrastructure investments, information technology, and programs to comply with government rules or regulations.</w:t>
      </w:r>
      <w:r w:rsidR="006C066E">
        <w:t xml:space="preserve"> </w:t>
      </w:r>
      <w:r w:rsidR="004F7D47">
        <w:t xml:space="preserve">It does not allow a natural gas company to charge consumers for </w:t>
      </w:r>
      <w:r w:rsidR="00385B26">
        <w:t xml:space="preserve">financial </w:t>
      </w:r>
      <w:r w:rsidR="004F7D47">
        <w:t>incentives</w:t>
      </w:r>
      <w:r w:rsidR="00385B26">
        <w:t xml:space="preserve"> paid to employees</w:t>
      </w:r>
      <w:r w:rsidR="004F7D47">
        <w:t xml:space="preserve">. </w:t>
      </w:r>
      <w:r w:rsidR="00385B26">
        <w:t xml:space="preserve">Consumers should not have to pay increased rates to cover </w:t>
      </w:r>
      <w:r w:rsidR="009C1A19">
        <w:t>costs that only reward employees for attainment of financial performance incentive goals</w:t>
      </w:r>
      <w:r w:rsidR="00385B26">
        <w:t>.</w:t>
      </w:r>
      <w:r w:rsidR="006C066E">
        <w:t xml:space="preserve"> </w:t>
      </w:r>
      <w:r w:rsidR="00385B26">
        <w:t xml:space="preserve">Such financial incentives </w:t>
      </w:r>
      <w:r w:rsidR="009C1A19">
        <w:t>only benefit utility shareholders and employees and provide no direct benefit to consumers.</w:t>
      </w:r>
      <w:r w:rsidR="006C066E">
        <w:t xml:space="preserve"> </w:t>
      </w:r>
      <w:r w:rsidR="00385B26">
        <w:t>And under the CEP rider customers are not only charged for the cost of these financial incentives, but also pay a return on and of such incentives, which shouldn’t be included in rates in the first place.</w:t>
      </w:r>
      <w:r w:rsidR="006C066E">
        <w:t xml:space="preserve"> </w:t>
      </w:r>
      <w:r w:rsidR="009C1A19">
        <w:t xml:space="preserve">OCC </w:t>
      </w:r>
      <w:r w:rsidR="00364FC9">
        <w:t>appreciates</w:t>
      </w:r>
      <w:r w:rsidR="009C1A19">
        <w:t xml:space="preserve"> Blue Ridge and</w:t>
      </w:r>
      <w:r>
        <w:t xml:space="preserve"> PUCO</w:t>
      </w:r>
      <w:r w:rsidR="00A92FC4">
        <w:t xml:space="preserve"> </w:t>
      </w:r>
      <w:r w:rsidR="009C1A19">
        <w:t>Staff for recognizing this important consumer protection.</w:t>
      </w:r>
      <w:r w:rsidR="00C63676">
        <w:t xml:space="preserve"> </w:t>
      </w:r>
    </w:p>
    <w:p w:rsidR="001C2EE9" w14:paraId="5FE37095" w14:textId="2C0B4FFF">
      <w:pPr>
        <w:pStyle w:val="ListParagraph"/>
        <w:spacing w:line="480" w:lineRule="auto"/>
        <w:ind w:left="0" w:firstLine="720"/>
      </w:pPr>
      <w:r>
        <w:t>But</w:t>
      </w:r>
      <w:r w:rsidR="009C1A19">
        <w:t xml:space="preserve"> </w:t>
      </w:r>
      <w:r>
        <w:t xml:space="preserve">neither </w:t>
      </w:r>
      <w:r w:rsidR="009C1A19">
        <w:t xml:space="preserve">Blue Ridge’s </w:t>
      </w:r>
      <w:r>
        <w:t>Audit Report</w:t>
      </w:r>
      <w:r w:rsidR="009C1A19">
        <w:t xml:space="preserve"> </w:t>
      </w:r>
      <w:r>
        <w:t>nor the PUCO Staff Report</w:t>
      </w:r>
      <w:r w:rsidR="00C63676">
        <w:t xml:space="preserve"> </w:t>
      </w:r>
      <w:r w:rsidR="009C1A19">
        <w:t>go far enough.</w:t>
      </w:r>
      <w:r w:rsidR="00C63676">
        <w:t xml:space="preserve"> </w:t>
      </w:r>
      <w:r w:rsidR="009C1A19">
        <w:t xml:space="preserve">Blue Ridge </w:t>
      </w:r>
      <w:r w:rsidR="0047757F">
        <w:t xml:space="preserve">is </w:t>
      </w:r>
      <w:r w:rsidR="009C1A19">
        <w:t>only recommending an adjustment to the CEP</w:t>
      </w:r>
      <w:r>
        <w:t xml:space="preserve"> Charge</w:t>
      </w:r>
      <w:r w:rsidR="009C1A19">
        <w:t xml:space="preserve"> revenue requirement (that ultimately lowers the CEP Charge) to recognize the improper restricted stock awards to employees for </w:t>
      </w:r>
      <w:r>
        <w:t>attaining</w:t>
      </w:r>
      <w:r w:rsidR="009C1A19">
        <w:t xml:space="preserve"> earnings or profitability goals.</w:t>
      </w:r>
      <w:r w:rsidR="00C63676">
        <w:t xml:space="preserve"> </w:t>
      </w:r>
      <w:r>
        <w:t>It</w:t>
      </w:r>
      <w:r w:rsidR="0047757F">
        <w:t xml:space="preserve"> is silent regarding </w:t>
      </w:r>
      <w:r w:rsidR="009C1A19">
        <w:t xml:space="preserve">any cash awards to employees for </w:t>
      </w:r>
      <w:r>
        <w:t>attaining</w:t>
      </w:r>
      <w:r w:rsidR="009C1A19">
        <w:t xml:space="preserve"> similar goals that provide no direct benefit to consumers</w:t>
      </w:r>
      <w:r w:rsidR="0047757F">
        <w:t>.</w:t>
      </w:r>
      <w:r w:rsidR="00C63676">
        <w:t xml:space="preserve"> </w:t>
      </w:r>
      <w:r w:rsidR="00385B26">
        <w:t>And the Auditor has not addressed other financial incentives, equally improper, that may be included in the CEP rates charged to customers.</w:t>
      </w:r>
      <w:r w:rsidR="006C066E">
        <w:t xml:space="preserve"> </w:t>
      </w:r>
      <w:r w:rsidR="00385B26">
        <w:t>Financial incentives can take many forms other than restricted stock options and cash such as performance awards, executive incentives, ear</w:t>
      </w:r>
      <w:r w:rsidR="00694E4A">
        <w:t>ni</w:t>
      </w:r>
      <w:r w:rsidR="00385B26">
        <w:t xml:space="preserve">ngs </w:t>
      </w:r>
      <w:r w:rsidR="00694E4A">
        <w:t>p</w:t>
      </w:r>
      <w:r w:rsidR="00385B26">
        <w:t>er share, sha</w:t>
      </w:r>
      <w:r w:rsidR="00694E4A">
        <w:t>r</w:t>
      </w:r>
      <w:r w:rsidR="00385B26">
        <w:t>eholder return</w:t>
      </w:r>
      <w:r w:rsidR="00694E4A">
        <w:t>s</w:t>
      </w:r>
      <w:r w:rsidR="00385B26">
        <w:t xml:space="preserve">, stock purchases, and other financial motivated incentives that are tied to the </w:t>
      </w:r>
      <w:r w:rsidR="00694E4A">
        <w:t>u</w:t>
      </w:r>
      <w:r w:rsidR="00385B26">
        <w:t>tility’s bottom line.</w:t>
      </w:r>
      <w:r w:rsidR="006C066E">
        <w:t xml:space="preserve"> </w:t>
      </w:r>
      <w:r w:rsidR="00694E4A">
        <w:t xml:space="preserve">To the extent that these other financial incentives are included in CEP rates charged to consumers, they should be removed as well along with the cash awards. </w:t>
      </w:r>
    </w:p>
    <w:p w:rsidR="00D14F93" w:rsidP="00C63676" w14:paraId="0B622524" w14:textId="024726AA">
      <w:pPr>
        <w:pStyle w:val="ListParagraph"/>
        <w:spacing w:line="480" w:lineRule="auto"/>
        <w:ind w:left="0" w:firstLine="720"/>
      </w:pPr>
      <w:r>
        <w:t>Financial incentives, including</w:t>
      </w:r>
      <w:r w:rsidR="00771014">
        <w:t>, but not limited to,</w:t>
      </w:r>
      <w:r w:rsidR="00A64CE4">
        <w:t xml:space="preserve"> </w:t>
      </w:r>
      <w:r w:rsidR="0047757F">
        <w:t>cash payments</w:t>
      </w:r>
      <w:r>
        <w:t xml:space="preserve">, </w:t>
      </w:r>
      <w:r w:rsidR="009C1A19">
        <w:t xml:space="preserve">should be identified and removed </w:t>
      </w:r>
      <w:r w:rsidR="0047757F">
        <w:t>from the CEP Charge</w:t>
      </w:r>
      <w:r w:rsidR="00C63676">
        <w:t xml:space="preserve"> </w:t>
      </w:r>
      <w:r w:rsidR="009C1A19">
        <w:t>for the same reasons</w:t>
      </w:r>
      <w:r w:rsidR="0047757F">
        <w:t xml:space="preserve"> that the restricted stock payments should be removed</w:t>
      </w:r>
      <w:r w:rsidR="009C1A19">
        <w:t>.</w:t>
      </w:r>
      <w:r w:rsidR="00C63676">
        <w:t xml:space="preserve"> </w:t>
      </w:r>
      <w:r w:rsidR="009C1A19">
        <w:t xml:space="preserve">OCC recommends that the PUCO direct Dominion to work with </w:t>
      </w:r>
      <w:r w:rsidR="001C2EE9">
        <w:t xml:space="preserve">PUCO </w:t>
      </w:r>
      <w:r w:rsidR="009C1A19">
        <w:t xml:space="preserve">Staff to identify </w:t>
      </w:r>
      <w:r w:rsidR="00265750">
        <w:t xml:space="preserve">and remove </w:t>
      </w:r>
      <w:r>
        <w:t xml:space="preserve">all financial incentives </w:t>
      </w:r>
      <w:r w:rsidR="00265750">
        <w:t xml:space="preserve">from the CEP </w:t>
      </w:r>
      <w:r w:rsidR="001C2EE9">
        <w:t xml:space="preserve">Charge </w:t>
      </w:r>
      <w:r w:rsidR="00265750">
        <w:t>revenue requirement</w:t>
      </w:r>
      <w:r>
        <w:t>, including</w:t>
      </w:r>
      <w:r w:rsidR="00771014">
        <w:t>, but not limited to,</w:t>
      </w:r>
      <w:r w:rsidR="00265750">
        <w:t xml:space="preserve"> </w:t>
      </w:r>
      <w:r w:rsidR="009C1A19">
        <w:t xml:space="preserve">all </w:t>
      </w:r>
      <w:r w:rsidR="00265750">
        <w:t xml:space="preserve">cash awards paid to Dominion employees for </w:t>
      </w:r>
      <w:r w:rsidR="001C2EE9">
        <w:t>attaining</w:t>
      </w:r>
      <w:r w:rsidR="00265750">
        <w:t xml:space="preserve"> stock- or earnings-based goals and further reduce the CEP Charge</w:t>
      </w:r>
      <w:r>
        <w:t xml:space="preserve"> to consumers</w:t>
      </w:r>
      <w:r w:rsidR="00265750">
        <w:t xml:space="preserve"> accordingly.</w:t>
      </w:r>
      <w:r w:rsidR="006C066E">
        <w:t xml:space="preserve"> </w:t>
      </w:r>
      <w:r w:rsidR="00A64CE4">
        <w:t xml:space="preserve">The PUCO should rule that Dominion’s CEP rider should exclude </w:t>
      </w:r>
      <w:r w:rsidR="00D0552F">
        <w:t xml:space="preserve">all </w:t>
      </w:r>
      <w:r w:rsidR="00A64CE4">
        <w:t>financial incentives paid to employees.</w:t>
      </w:r>
      <w:r w:rsidR="006C066E">
        <w:t xml:space="preserve"> </w:t>
      </w:r>
    </w:p>
    <w:p w:rsidR="003A75C7" w:rsidP="00BF6812" w14:paraId="3BFCDC72" w14:textId="1595F438">
      <w:pPr>
        <w:pStyle w:val="Heading3"/>
        <w:numPr>
          <w:ilvl w:val="0"/>
          <w:numId w:val="12"/>
        </w:numPr>
        <w:ind w:left="2160" w:hanging="720"/>
      </w:pPr>
      <w:bookmarkStart w:id="12" w:name="_Toc80026351"/>
      <w:r>
        <w:t xml:space="preserve">To protect consumers, </w:t>
      </w:r>
      <w:r w:rsidR="00694E4A">
        <w:t xml:space="preserve">financial </w:t>
      </w:r>
      <w:r>
        <w:t>incentives should be removed from the CEP Charge in this case, and not</w:t>
      </w:r>
      <w:r w:rsidR="00694E4A">
        <w:t xml:space="preserve"> relegated to </w:t>
      </w:r>
      <w:r>
        <w:t>Dominion</w:t>
      </w:r>
      <w:r w:rsidR="00694E4A">
        <w:t xml:space="preserve">’s next </w:t>
      </w:r>
      <w:r>
        <w:t>Rate Case</w:t>
      </w:r>
      <w:r w:rsidR="00694E4A">
        <w:t xml:space="preserve"> in 2024</w:t>
      </w:r>
      <w:r>
        <w:t>.</w:t>
      </w:r>
      <w:bookmarkEnd w:id="12"/>
    </w:p>
    <w:p w:rsidR="00436051" w:rsidP="00EE0AEA" w14:paraId="2DCB841A" w14:textId="7E2502D3">
      <w:pPr>
        <w:spacing w:line="480" w:lineRule="auto"/>
        <w:ind w:firstLine="720"/>
      </w:pPr>
      <w:r>
        <w:t>The PUCO has previously addressed the issue of incentive compensation in a number of rate cases and rider proceedings.</w:t>
      </w:r>
      <w:r w:rsidR="006C066E">
        <w:t xml:space="preserve"> </w:t>
      </w:r>
      <w:r>
        <w:t>The PUCO’s policy in these cases has been clear.</w:t>
      </w:r>
      <w:r w:rsidR="006C066E">
        <w:t xml:space="preserve"> </w:t>
      </w:r>
      <w:r>
        <w:t>The PUCO “has concluded that, to the extent that a public utility awards financial incentives to its employees for achieving financial goals, shareholders are the primary beneficiary and, therefore, that portion of the incentive compensation should not be recovered from ratepayers</w:t>
      </w:r>
      <w:r w:rsidR="00EE0AEA">
        <w:t>.”</w:t>
      </w:r>
      <w:r>
        <w:rPr>
          <w:rStyle w:val="FootnoteReference"/>
        </w:rPr>
        <w:footnoteReference w:id="34"/>
      </w:r>
      <w:r w:rsidR="006C066E">
        <w:t xml:space="preserve"> </w:t>
      </w:r>
      <w:r>
        <w:t>In consumers’ interest, this</w:t>
      </w:r>
      <w:r w:rsidR="00694E4A">
        <w:t xml:space="preserve"> established PUCO </w:t>
      </w:r>
      <w:r>
        <w:t>policy has been followed in rate cases and rider cases, where the PUCO has prohibited utilities from charging consumers for financial incentives.</w:t>
      </w:r>
      <w:r>
        <w:rPr>
          <w:rStyle w:val="FootnoteReference"/>
        </w:rPr>
        <w:footnoteReference w:id="35"/>
      </w:r>
    </w:p>
    <w:p w:rsidR="00694E4A" w:rsidP="00EE0AEA" w14:paraId="0D4CD6BF" w14:textId="0521780D">
      <w:pPr>
        <w:spacing w:line="480" w:lineRule="auto"/>
        <w:ind w:firstLine="720"/>
      </w:pPr>
      <w:r>
        <w:t xml:space="preserve">Unfortunately for consumers, the PUCO departed from this policy in Duke’s recent capital expenditure </w:t>
      </w:r>
      <w:r w:rsidR="00BB780C">
        <w:t xml:space="preserve">program </w:t>
      </w:r>
      <w:r>
        <w:t>case.</w:t>
      </w:r>
      <w:r>
        <w:rPr>
          <w:rStyle w:val="FootnoteReference"/>
        </w:rPr>
        <w:footnoteReference w:id="36"/>
      </w:r>
      <w:r w:rsidR="006C066E">
        <w:t xml:space="preserve"> </w:t>
      </w:r>
      <w:r>
        <w:t xml:space="preserve">Over OCC’s objection, the PUCO approved a settlement under which </w:t>
      </w:r>
      <w:r w:rsidR="009A50C4">
        <w:t xml:space="preserve">Duke recovered </w:t>
      </w:r>
      <w:r>
        <w:t xml:space="preserve">financial incentives </w:t>
      </w:r>
      <w:r w:rsidR="009A50C4">
        <w:t>through its</w:t>
      </w:r>
      <w:r>
        <w:t xml:space="preserve"> </w:t>
      </w:r>
      <w:r w:rsidR="009A50C4">
        <w:t>capital expenditure charge.</w:t>
      </w:r>
      <w:r>
        <w:rPr>
          <w:rStyle w:val="FootnoteReference"/>
        </w:rPr>
        <w:footnoteReference w:id="37"/>
      </w:r>
      <w:r w:rsidR="006C066E">
        <w:t xml:space="preserve"> </w:t>
      </w:r>
      <w:r w:rsidR="009A50C4">
        <w:t>The PUCO agreed with the settling parties that doing so was consistent with addressing utility recovery of financial incentives in base rate cases.</w:t>
      </w:r>
      <w:r>
        <w:rPr>
          <w:rStyle w:val="FootnoteReference"/>
        </w:rPr>
        <w:footnoteReference w:id="38"/>
      </w:r>
      <w:r w:rsidR="006C066E">
        <w:t xml:space="preserve"> </w:t>
      </w:r>
    </w:p>
    <w:p w:rsidR="003A75C7" w:rsidP="00EE0AEA" w14:paraId="54E711E3" w14:textId="60742180">
      <w:pPr>
        <w:spacing w:line="480" w:lineRule="auto"/>
        <w:ind w:firstLine="720"/>
      </w:pPr>
      <w:r>
        <w:t xml:space="preserve">To protect consumers, the PUCO should </w:t>
      </w:r>
      <w:r w:rsidR="00BB780C">
        <w:t xml:space="preserve">in this case </w:t>
      </w:r>
      <w:r>
        <w:t xml:space="preserve">follow its general policy of prohibiting utilities from charging consumers for financial incentives and depart from its decision in Duke’s recent capital expenditure </w:t>
      </w:r>
      <w:r w:rsidR="00BB780C">
        <w:t xml:space="preserve">program </w:t>
      </w:r>
      <w:r>
        <w:t>case.</w:t>
      </w:r>
      <w:r w:rsidR="006C066E">
        <w:t xml:space="preserve"> </w:t>
      </w:r>
      <w:r>
        <w:t>It should prohibit Dominion from charging consumers for financial incentives now, in this case, and not “punt” to a future rate case.</w:t>
      </w:r>
    </w:p>
    <w:p w:rsidR="00540D08" w:rsidP="00EE0AEA" w14:paraId="294C99AA" w14:textId="1C16F031">
      <w:pPr>
        <w:spacing w:line="480" w:lineRule="auto"/>
        <w:ind w:firstLine="720"/>
      </w:pPr>
      <w:r>
        <w:t>Dominion hasn’t filed a base rate case in fourteen years (since 2007), and it may not file another one until at least 2024—in total a period of 17 years.</w:t>
      </w:r>
      <w:r>
        <w:rPr>
          <w:rStyle w:val="FootnoteReference"/>
        </w:rPr>
        <w:footnoteReference w:id="39"/>
      </w:r>
      <w:r w:rsidR="006C066E">
        <w:t xml:space="preserve"> </w:t>
      </w:r>
      <w:r w:rsidR="0016138C">
        <w:t xml:space="preserve">It has been </w:t>
      </w:r>
      <w:r w:rsidR="00811388">
        <w:t xml:space="preserve">deferring costs </w:t>
      </w:r>
      <w:r w:rsidR="0016138C">
        <w:t>for its capital expenditure program – including financial incentives – since late 2011</w:t>
      </w:r>
      <w:r w:rsidR="00811388">
        <w:t>.</w:t>
      </w:r>
      <w:r w:rsidR="006C066E">
        <w:t xml:space="preserve"> </w:t>
      </w:r>
      <w:r w:rsidR="00811388">
        <w:t xml:space="preserve">It began charging consumers for </w:t>
      </w:r>
      <w:r w:rsidR="00BB780C">
        <w:t>Capital Investments t</w:t>
      </w:r>
      <w:r w:rsidR="00811388">
        <w:t>hrough the CEP Charge in January 2021.</w:t>
      </w:r>
      <w:r w:rsidR="006C066E">
        <w:t xml:space="preserve"> </w:t>
      </w:r>
      <w:r w:rsidR="00811388">
        <w:t xml:space="preserve">And it is authorized to </w:t>
      </w:r>
      <w:r w:rsidR="0016138C">
        <w:t xml:space="preserve">continue </w:t>
      </w:r>
      <w:r>
        <w:t>doing</w:t>
      </w:r>
      <w:r w:rsidR="0016138C">
        <w:t xml:space="preserve"> so </w:t>
      </w:r>
      <w:r w:rsidR="00811388">
        <w:t>through September 30, 2025</w:t>
      </w:r>
      <w:r w:rsidR="0016138C">
        <w:t>.</w:t>
      </w:r>
      <w:r>
        <w:rPr>
          <w:rStyle w:val="FootnoteReference"/>
        </w:rPr>
        <w:footnoteReference w:id="40"/>
      </w:r>
      <w:r w:rsidR="006C066E">
        <w:t xml:space="preserve"> </w:t>
      </w:r>
      <w:r w:rsidR="0016138C">
        <w:t xml:space="preserve">Not only </w:t>
      </w:r>
      <w:r w:rsidR="00692851">
        <w:t xml:space="preserve">is </w:t>
      </w:r>
      <w:r>
        <w:t>Dominion</w:t>
      </w:r>
      <w:r w:rsidR="0016138C">
        <w:t xml:space="preserve"> </w:t>
      </w:r>
      <w:r w:rsidR="00692851">
        <w:t xml:space="preserve">charging </w:t>
      </w:r>
      <w:r w:rsidR="0016138C">
        <w:t>consumers for financial incentives contrary to the PUCO’s general policy</w:t>
      </w:r>
      <w:r>
        <w:t xml:space="preserve"> of prohibiting utilities from charging consumers for financial incentives</w:t>
      </w:r>
      <w:r w:rsidR="0016138C">
        <w:t xml:space="preserve">, it </w:t>
      </w:r>
      <w:r w:rsidR="0047181C">
        <w:t xml:space="preserve">is charging </w:t>
      </w:r>
      <w:r w:rsidR="0016138C">
        <w:t xml:space="preserve">consumers for a return on and of such </w:t>
      </w:r>
      <w:r>
        <w:t>incentives</w:t>
      </w:r>
      <w:r w:rsidR="0016138C">
        <w:t>.</w:t>
      </w:r>
      <w:r>
        <w:rPr>
          <w:rStyle w:val="FootnoteReference"/>
        </w:rPr>
        <w:footnoteReference w:id="41"/>
      </w:r>
      <w:r w:rsidR="006C066E">
        <w:t xml:space="preserve"> </w:t>
      </w:r>
      <w:r>
        <w:t>Consumers get harmed twice.</w:t>
      </w:r>
    </w:p>
    <w:p w:rsidR="00A64CE4" w:rsidP="00EE0AEA" w14:paraId="4496A529" w14:textId="77777777">
      <w:pPr>
        <w:spacing w:line="480" w:lineRule="auto"/>
        <w:ind w:firstLine="720"/>
      </w:pPr>
      <w:r>
        <w:t>Further, addressing Dominion’s (or any other utility’s) payment of financial incentives in a future base rate case provides no meaningful consumer protection.</w:t>
      </w:r>
      <w:r w:rsidR="006E0EAB">
        <w:t xml:space="preserve"> </w:t>
      </w:r>
      <w:r>
        <w:t>It is bad public policy.</w:t>
      </w:r>
    </w:p>
    <w:p w:rsidR="00A64CE4" w:rsidP="00EE0AEA" w14:paraId="7B1EBABD" w14:textId="24C4C8AC">
      <w:pPr>
        <w:spacing w:line="480" w:lineRule="auto"/>
        <w:ind w:firstLine="720"/>
      </w:pPr>
      <w:r>
        <w:t>In the rate case, all of the investment made through the capital distribution riders will be rolled into the rate base.</w:t>
      </w:r>
      <w:r w:rsidR="006C066E">
        <w:t xml:space="preserve"> </w:t>
      </w:r>
      <w:r>
        <w:t xml:space="preserve">And while parties may then challenge the value of the rate base (arguing for exclusion of </w:t>
      </w:r>
      <w:r>
        <w:t xml:space="preserve">incentives) consumers are likely left with only a prospective remedy. But if the PUCO addresses incentives in the annual CEP rider filings, it can immediately rule that rates being paid </w:t>
      </w:r>
      <w:r w:rsidR="008E347F">
        <w:t xml:space="preserve">by consumers </w:t>
      </w:r>
      <w:r>
        <w:t>should not include incentives.</w:t>
      </w:r>
      <w:r w:rsidR="006C066E">
        <w:t xml:space="preserve"> </w:t>
      </w:r>
      <w:r>
        <w:t>The relief to c</w:t>
      </w:r>
      <w:r w:rsidR="008E347F">
        <w:t>onsumers</w:t>
      </w:r>
      <w:r>
        <w:t xml:space="preserve"> from paying unreasonable and unlawful rates would be immediate, not put off into the future, when and if Dominion files its next rate case. </w:t>
      </w:r>
    </w:p>
    <w:p w:rsidR="00546025" w:rsidP="00EE0AEA" w14:paraId="1BDAF7D2" w14:textId="77A60135">
      <w:pPr>
        <w:spacing w:line="480" w:lineRule="auto"/>
        <w:ind w:firstLine="720"/>
      </w:pPr>
      <w:r>
        <w:t>Additionally, y</w:t>
      </w:r>
      <w:r w:rsidR="006E0EAB">
        <w:t xml:space="preserve">ears and years go by between base rate cases (potentially 17, in Dominion’s case), which makes obtaining and analyzing </w:t>
      </w:r>
      <w:r>
        <w:t>relevant</w:t>
      </w:r>
      <w:r w:rsidR="006E0EAB">
        <w:t xml:space="preserve"> data all the more difficult.</w:t>
      </w:r>
      <w:r w:rsidR="006C066E">
        <w:t xml:space="preserve"> </w:t>
      </w:r>
      <w:r w:rsidR="006E0EAB">
        <w:t>Rate cases are large, complex, and involve many issues, which may result in matters being overlooked.</w:t>
      </w:r>
      <w:r w:rsidR="006C066E">
        <w:t xml:space="preserve"> </w:t>
      </w:r>
      <w:r w:rsidR="006E0EAB">
        <w:t xml:space="preserve">For example, in AEP’s recent distribution investment </w:t>
      </w:r>
      <w:r w:rsidR="001C7B62">
        <w:t>charge</w:t>
      </w:r>
      <w:r w:rsidR="006E0EAB">
        <w:t xml:space="preserve"> case, the PUCO approved a settlement </w:t>
      </w:r>
      <w:r w:rsidR="001C7B62">
        <w:t>allowing AEP to charge consumers for financial incentives and deferring</w:t>
      </w:r>
      <w:r w:rsidR="006E0EAB">
        <w:t xml:space="preserve"> dealing with financial incentives to AEP’s base rate case.</w:t>
      </w:r>
      <w:r>
        <w:rPr>
          <w:rStyle w:val="FootnoteReference"/>
        </w:rPr>
        <w:footnoteReference w:id="42"/>
      </w:r>
      <w:r w:rsidR="006C066E">
        <w:t xml:space="preserve"> </w:t>
      </w:r>
      <w:r w:rsidR="006E0EAB">
        <w:t>It directed PUCO Staff to investigate</w:t>
      </w:r>
      <w:r>
        <w:t xml:space="preserve"> and report on AEP’s</w:t>
      </w:r>
      <w:r w:rsidR="006E0EAB">
        <w:t xml:space="preserve"> financial incentives in the rate case</w:t>
      </w:r>
      <w:r>
        <w:t xml:space="preserve"> and said that adjusting AEP’s distribution investment </w:t>
      </w:r>
      <w:r w:rsidR="001C7B62">
        <w:t>charge</w:t>
      </w:r>
      <w:r>
        <w:t xml:space="preserve"> may be necessary as a result.</w:t>
      </w:r>
      <w:r>
        <w:rPr>
          <w:rStyle w:val="FootnoteReference"/>
        </w:rPr>
        <w:footnoteReference w:id="43"/>
      </w:r>
      <w:r w:rsidR="006C066E">
        <w:t xml:space="preserve"> </w:t>
      </w:r>
      <w:r>
        <w:t xml:space="preserve">But </w:t>
      </w:r>
      <w:r w:rsidR="00D0552F">
        <w:t xml:space="preserve">the </w:t>
      </w:r>
      <w:r>
        <w:t>PUCO Staff did not do so.</w:t>
      </w:r>
    </w:p>
    <w:p w:rsidR="00EE0AEA" w:rsidP="00546025" w14:paraId="23714B0A" w14:textId="29C2448F">
      <w:pPr>
        <w:spacing w:line="480" w:lineRule="auto"/>
        <w:ind w:firstLine="720"/>
      </w:pPr>
      <w:r>
        <w:t>The decision in Duke’s capital expenditure program case was wrong and inconsistent with the PUCO’s general policy of prohibiting utilities from charging consumers for financial incentives.</w:t>
      </w:r>
      <w:r w:rsidR="006C066E">
        <w:t xml:space="preserve"> </w:t>
      </w:r>
      <w:r>
        <w:t>It should not be followed.</w:t>
      </w:r>
      <w:r w:rsidR="006C066E">
        <w:t xml:space="preserve"> </w:t>
      </w:r>
      <w:r>
        <w:t>Instead, t</w:t>
      </w:r>
      <w:r w:rsidR="00546025">
        <w:t xml:space="preserve">he PUCO should follow its general policy of protecting consumers by prohibiting utilities </w:t>
      </w:r>
      <w:r w:rsidR="00A64CE4">
        <w:t xml:space="preserve">right now </w:t>
      </w:r>
      <w:r w:rsidR="00546025">
        <w:t>from charging consumers for financial incentives in this case (and all cases).</w:t>
      </w:r>
      <w:r w:rsidR="006C066E">
        <w:t xml:space="preserve"> </w:t>
      </w:r>
      <w:r w:rsidR="00546025">
        <w:t>There is no rational, credible reason not to</w:t>
      </w:r>
      <w:r w:rsidR="00A64CE4">
        <w:t xml:space="preserve"> make the ruling now that customers should not pay for employee incentives.</w:t>
      </w:r>
      <w:r w:rsidR="006C066E">
        <w:t xml:space="preserve"> </w:t>
      </w:r>
      <w:r w:rsidR="00546025">
        <w:t xml:space="preserve"> Whether it is a rate case or a rider case, </w:t>
      </w:r>
      <w:r>
        <w:t xml:space="preserve">a gas case, a water case, or an electric case, </w:t>
      </w:r>
      <w:r w:rsidR="00546025">
        <w:t xml:space="preserve">the rationale for such a prohibition is the same and was well stated by the PUCO: “to the extent that a public utility awards financial incentives to its employees for achieving financial goals, shareholders are the primary beneficiary and, therefore, that portion of the incentive compensation should not be recovered from </w:t>
      </w:r>
      <w:r w:rsidR="00D0552F">
        <w:t>[consumers]</w:t>
      </w:r>
      <w:r w:rsidR="00546025">
        <w:t>.”</w:t>
      </w:r>
      <w:r>
        <w:rPr>
          <w:rStyle w:val="FootnoteReference"/>
        </w:rPr>
        <w:footnoteReference w:id="44"/>
      </w:r>
      <w:r w:rsidR="00546025">
        <w:t xml:space="preserve"> </w:t>
      </w:r>
    </w:p>
    <w:p w:rsidR="00BF6812" w:rsidRPr="003A75C7" w:rsidP="00BF6812" w14:paraId="0B8A9E8E" w14:textId="77777777">
      <w:pPr>
        <w:ind w:firstLine="720"/>
        <w:rPr>
          <w:b/>
          <w:bCs/>
        </w:rPr>
      </w:pPr>
    </w:p>
    <w:p w:rsidR="000520C5" w:rsidRPr="00690416" w:rsidP="008E2499" w14:paraId="66AE0FF0" w14:textId="44D13667">
      <w:pPr>
        <w:pStyle w:val="Heading1"/>
      </w:pPr>
      <w:bookmarkStart w:id="13" w:name="_Toc42694224"/>
      <w:bookmarkStart w:id="14" w:name="_Toc80026352"/>
      <w:r>
        <w:t>I</w:t>
      </w:r>
      <w:r w:rsidR="00EE7BE6">
        <w:t>V</w:t>
      </w:r>
      <w:r>
        <w:t>.</w:t>
      </w:r>
      <w:r>
        <w:tab/>
        <w:t>CONCLUSION</w:t>
      </w:r>
      <w:bookmarkEnd w:id="13"/>
      <w:bookmarkEnd w:id="14"/>
    </w:p>
    <w:p w:rsidR="0069402D" w:rsidP="00D4185C" w14:paraId="3EA64CCB" w14:textId="68CFBF83">
      <w:pPr>
        <w:pStyle w:val="BodyTextIndent3"/>
        <w:spacing w:line="480" w:lineRule="auto"/>
      </w:pPr>
      <w:r>
        <w:t xml:space="preserve">Once again Dominion is proposing to overcharge consumers for </w:t>
      </w:r>
      <w:r w:rsidR="006C066E">
        <w:t>profits,</w:t>
      </w:r>
      <w:r>
        <w:t xml:space="preserve"> and </w:t>
      </w:r>
      <w:r w:rsidR="006C066E">
        <w:t>it’s</w:t>
      </w:r>
      <w:r>
        <w:t xml:space="preserve"> cost of based on outdated PUCO rulings from 13 years ago. And the PUCO’s consultant is obliging. </w:t>
      </w:r>
      <w:r w:rsidR="00705795">
        <w:t xml:space="preserve">To protect consumers from paying unreasonable rates under Dominion’s </w:t>
      </w:r>
      <w:r w:rsidR="007B30C6">
        <w:t>CEP Charge</w:t>
      </w:r>
      <w:r w:rsidR="00705795">
        <w:t xml:space="preserve">, the PUCO should adopt OCC’s consumer-protection </w:t>
      </w:r>
      <w:r w:rsidR="007B30C6">
        <w:t xml:space="preserve">recommendations </w:t>
      </w:r>
      <w:r w:rsidR="002B2A1B">
        <w:t>included in these comments</w:t>
      </w:r>
      <w:r w:rsidR="00705795">
        <w:t>.</w:t>
      </w:r>
    </w:p>
    <w:p w:rsidR="006C066E" w:rsidP="00637187" w14:paraId="265CA02D" w14:textId="77777777">
      <w:pPr>
        <w:pStyle w:val="BodyTextIndent3"/>
        <w:widowControl w:val="0"/>
        <w:spacing w:line="480" w:lineRule="auto"/>
        <w:ind w:left="3600" w:right="-672"/>
        <w:rPr>
          <w:szCs w:val="24"/>
        </w:rPr>
      </w:pPr>
    </w:p>
    <w:p w:rsidR="00FD6E65" w:rsidP="00637187" w14:paraId="22127AA3" w14:textId="4A79A514">
      <w:pPr>
        <w:pStyle w:val="BodyTextIndent3"/>
        <w:widowControl w:val="0"/>
        <w:spacing w:line="480" w:lineRule="auto"/>
        <w:ind w:left="3600" w:right="-672"/>
        <w:rPr>
          <w:szCs w:val="24"/>
        </w:rPr>
      </w:pPr>
      <w:r>
        <w:rPr>
          <w:szCs w:val="24"/>
        </w:rPr>
        <w:t>Respectfully submitted,</w:t>
      </w:r>
    </w:p>
    <w:p w:rsidR="00FD6E65" w:rsidP="00FD6E65" w14:paraId="39F78CFE" w14:textId="77777777">
      <w:pPr>
        <w:pStyle w:val="Footer"/>
        <w:tabs>
          <w:tab w:val="left" w:pos="4320"/>
          <w:tab w:val="clear" w:pos="8640"/>
        </w:tabs>
        <w:spacing w:before="240"/>
        <w:rPr>
          <w:sz w:val="24"/>
          <w:szCs w:val="24"/>
        </w:rPr>
      </w:pPr>
      <w:r>
        <w:rPr>
          <w:sz w:val="24"/>
          <w:szCs w:val="24"/>
        </w:rPr>
        <w:tab/>
        <w:t>Bruce Weston (0016973)</w:t>
      </w:r>
    </w:p>
    <w:p w:rsidR="00FD6E65" w:rsidP="00FD6E65" w14:paraId="68E8B494" w14:textId="77777777">
      <w:pPr>
        <w:tabs>
          <w:tab w:val="left" w:pos="4320"/>
        </w:tabs>
        <w:rPr>
          <w:szCs w:val="24"/>
        </w:rPr>
      </w:pPr>
      <w:r>
        <w:rPr>
          <w:szCs w:val="24"/>
        </w:rPr>
        <w:tab/>
        <w:t>Ohio Consumers’ Counsel</w:t>
      </w:r>
    </w:p>
    <w:p w:rsidR="00FD6E65" w:rsidP="00FD6E65" w14:paraId="42647678" w14:textId="77777777">
      <w:pPr>
        <w:tabs>
          <w:tab w:val="left" w:pos="4320"/>
        </w:tabs>
        <w:rPr>
          <w:szCs w:val="24"/>
        </w:rPr>
      </w:pPr>
      <w:r>
        <w:rPr>
          <w:szCs w:val="24"/>
        </w:rPr>
        <w:tab/>
      </w:r>
    </w:p>
    <w:p w:rsidR="00FD6E65" w:rsidP="00FD6E65" w14:paraId="2321B83B" w14:textId="77777777">
      <w:pPr>
        <w:rPr>
          <w:szCs w:val="24"/>
        </w:rPr>
      </w:pPr>
      <w:r>
        <w:rPr>
          <w:szCs w:val="24"/>
        </w:rPr>
        <w:tab/>
      </w:r>
      <w:r>
        <w:rPr>
          <w:szCs w:val="24"/>
        </w:rPr>
        <w:tab/>
      </w:r>
      <w:r>
        <w:rPr>
          <w:szCs w:val="24"/>
        </w:rPr>
        <w:tab/>
      </w:r>
      <w:r>
        <w:rPr>
          <w:szCs w:val="24"/>
        </w:rPr>
        <w:tab/>
      </w:r>
      <w:r>
        <w:rPr>
          <w:szCs w:val="24"/>
        </w:rPr>
        <w:tab/>
      </w:r>
      <w:r>
        <w:rPr>
          <w:szCs w:val="24"/>
        </w:rPr>
        <w:tab/>
      </w:r>
      <w:r w:rsidRPr="00F4732B">
        <w:rPr>
          <w:i/>
          <w:iCs/>
          <w:szCs w:val="24"/>
          <w:u w:val="single"/>
        </w:rPr>
        <w:t>/s/</w:t>
      </w:r>
      <w:r>
        <w:rPr>
          <w:szCs w:val="24"/>
          <w:u w:val="single"/>
        </w:rPr>
        <w:t xml:space="preserve"> </w:t>
      </w:r>
      <w:r>
        <w:rPr>
          <w:i/>
          <w:szCs w:val="24"/>
          <w:u w:val="single"/>
        </w:rPr>
        <w:t>William J. Michael</w:t>
      </w:r>
      <w:r>
        <w:rPr>
          <w:i/>
          <w:szCs w:val="24"/>
          <w:u w:val="single"/>
        </w:rPr>
        <w:tab/>
      </w:r>
      <w:r>
        <w:rPr>
          <w:szCs w:val="24"/>
          <w:u w:val="single"/>
        </w:rPr>
        <w:tab/>
      </w:r>
      <w:r>
        <w:rPr>
          <w:szCs w:val="24"/>
        </w:rPr>
        <w:tab/>
      </w:r>
    </w:p>
    <w:p w:rsidR="00FD6E65" w:rsidP="00FD6E65" w14:paraId="5FA572B8" w14:textId="77777777">
      <w:pPr>
        <w:ind w:left="3600" w:firstLine="720"/>
        <w:rPr>
          <w:szCs w:val="24"/>
        </w:rPr>
      </w:pPr>
      <w:r>
        <w:rPr>
          <w:szCs w:val="24"/>
        </w:rPr>
        <w:t>William J. Michael (0070921)</w:t>
      </w:r>
    </w:p>
    <w:p w:rsidR="00FD6E65" w:rsidP="00FD6E65" w14:paraId="692EDB07" w14:textId="77777777">
      <w:pPr>
        <w:ind w:firstLine="4320"/>
        <w:rPr>
          <w:szCs w:val="24"/>
        </w:rPr>
      </w:pPr>
      <w:r>
        <w:rPr>
          <w:szCs w:val="24"/>
        </w:rPr>
        <w:t>Counsel of Record</w:t>
      </w:r>
    </w:p>
    <w:p w:rsidR="00FD6E65" w:rsidP="00FD6E65" w14:paraId="459581BF" w14:textId="77777777">
      <w:pPr>
        <w:rPr>
          <w:szCs w:val="24"/>
        </w:rPr>
      </w:pPr>
      <w:r>
        <w:rPr>
          <w:szCs w:val="24"/>
        </w:rPr>
        <w:tab/>
      </w:r>
      <w:r>
        <w:rPr>
          <w:szCs w:val="24"/>
        </w:rPr>
        <w:tab/>
      </w:r>
      <w:r>
        <w:rPr>
          <w:szCs w:val="24"/>
        </w:rPr>
        <w:tab/>
      </w:r>
      <w:r>
        <w:rPr>
          <w:szCs w:val="24"/>
        </w:rPr>
        <w:tab/>
      </w:r>
      <w:r>
        <w:rPr>
          <w:szCs w:val="24"/>
        </w:rPr>
        <w:tab/>
      </w:r>
      <w:r>
        <w:rPr>
          <w:szCs w:val="24"/>
        </w:rPr>
        <w:tab/>
        <w:t>Ambrosia E. Wilson (0096598)</w:t>
      </w:r>
    </w:p>
    <w:p w:rsidR="00FD6E65" w:rsidP="00FD6E65" w14:paraId="139F4CF0" w14:textId="77777777">
      <w:pPr>
        <w:rPr>
          <w:szCs w:val="24"/>
        </w:rPr>
      </w:pPr>
      <w:r>
        <w:rPr>
          <w:szCs w:val="24"/>
        </w:rPr>
        <w:tab/>
      </w:r>
      <w:r>
        <w:rPr>
          <w:szCs w:val="24"/>
        </w:rPr>
        <w:tab/>
      </w:r>
      <w:r>
        <w:rPr>
          <w:szCs w:val="24"/>
        </w:rPr>
        <w:tab/>
      </w:r>
      <w:r>
        <w:rPr>
          <w:szCs w:val="24"/>
        </w:rPr>
        <w:tab/>
      </w:r>
      <w:r>
        <w:rPr>
          <w:szCs w:val="24"/>
        </w:rPr>
        <w:tab/>
      </w:r>
      <w:r>
        <w:rPr>
          <w:szCs w:val="24"/>
        </w:rPr>
        <w:tab/>
        <w:t>Assistant Consumers’ Counsel</w:t>
      </w:r>
    </w:p>
    <w:p w:rsidR="00FD6E65" w:rsidP="00FD6E65" w14:paraId="615750C7" w14:textId="77777777">
      <w:r>
        <w:tab/>
      </w:r>
    </w:p>
    <w:p w:rsidR="00FD6E65" w:rsidRPr="00DF6691" w:rsidP="00FD6E65" w14:paraId="6DC2C7F8" w14:textId="77777777">
      <w:pPr>
        <w:rPr>
          <w:b/>
          <w:bCs/>
        </w:rPr>
      </w:pPr>
      <w:r>
        <w:tab/>
      </w:r>
      <w:r>
        <w:tab/>
      </w:r>
      <w:r>
        <w:tab/>
      </w:r>
      <w:r>
        <w:tab/>
      </w:r>
      <w:r>
        <w:tab/>
      </w:r>
      <w:r>
        <w:tab/>
      </w:r>
      <w:r w:rsidRPr="00DF6691">
        <w:rPr>
          <w:b/>
          <w:bCs/>
        </w:rPr>
        <w:t>Office of the Ohio Consumers’ Counsel</w:t>
      </w:r>
    </w:p>
    <w:p w:rsidR="00FD6E65" w:rsidP="00FD6E65" w14:paraId="647E6197" w14:textId="77777777">
      <w:pPr>
        <w:rPr>
          <w:b/>
        </w:rPr>
      </w:pPr>
      <w:r>
        <w:tab/>
      </w:r>
      <w:r>
        <w:tab/>
      </w:r>
      <w:r>
        <w:tab/>
      </w:r>
      <w:r>
        <w:tab/>
      </w:r>
      <w:r>
        <w:tab/>
      </w:r>
      <w:r>
        <w:tab/>
        <w:t>65 East State Street, 7th Floor</w:t>
      </w:r>
    </w:p>
    <w:p w:rsidR="00FD6E65" w:rsidP="00FD6E65" w14:paraId="5F72B84B" w14:textId="77777777">
      <w:pPr>
        <w:rPr>
          <w:b/>
        </w:rPr>
      </w:pPr>
      <w:r>
        <w:tab/>
      </w:r>
      <w:r>
        <w:tab/>
      </w:r>
      <w:r>
        <w:tab/>
      </w:r>
      <w:r>
        <w:tab/>
      </w:r>
      <w:r>
        <w:tab/>
      </w:r>
      <w:r>
        <w:tab/>
        <w:t>Columbus, Ohio 43215-4213</w:t>
      </w:r>
    </w:p>
    <w:p w:rsidR="00FD6E65" w:rsidP="00FD6E65" w14:paraId="4F14F84D" w14:textId="77777777">
      <w:pPr>
        <w:autoSpaceDE w:val="0"/>
        <w:autoSpaceDN w:val="0"/>
        <w:adjustRightInd w:val="0"/>
        <w:ind w:left="3600" w:firstLine="720"/>
        <w:rPr>
          <w:szCs w:val="24"/>
        </w:rPr>
      </w:pPr>
      <w:r>
        <w:rPr>
          <w:szCs w:val="24"/>
        </w:rPr>
        <w:t>Telephone [Michael]: (614) 466-1291</w:t>
      </w:r>
      <w:r>
        <w:rPr>
          <w:szCs w:val="24"/>
        </w:rPr>
        <w:br/>
      </w:r>
      <w:r>
        <w:rPr>
          <w:szCs w:val="24"/>
        </w:rPr>
        <w:tab/>
        <w:t>Telephone [Wilson]: (614) 466-1292</w:t>
      </w:r>
    </w:p>
    <w:p w:rsidR="00FD6E65" w:rsidP="00FD6E65" w14:paraId="728680C1" w14:textId="77777777">
      <w:pPr>
        <w:rPr>
          <w:szCs w:val="24"/>
        </w:rPr>
      </w:pPr>
      <w:r>
        <w:rPr>
          <w:szCs w:val="24"/>
        </w:rPr>
        <w:tab/>
      </w:r>
      <w:r>
        <w:rPr>
          <w:szCs w:val="24"/>
        </w:rPr>
        <w:tab/>
      </w:r>
      <w:r>
        <w:rPr>
          <w:szCs w:val="24"/>
        </w:rPr>
        <w:tab/>
      </w:r>
      <w:r>
        <w:rPr>
          <w:szCs w:val="24"/>
        </w:rPr>
        <w:tab/>
      </w:r>
      <w:r>
        <w:rPr>
          <w:szCs w:val="24"/>
        </w:rPr>
        <w:tab/>
      </w:r>
      <w:r>
        <w:rPr>
          <w:szCs w:val="24"/>
        </w:rPr>
        <w:tab/>
      </w:r>
      <w:hyperlink r:id="rId6" w:history="1">
        <w:r w:rsidRPr="00A700C4">
          <w:rPr>
            <w:rStyle w:val="Hyperlink"/>
            <w:szCs w:val="24"/>
          </w:rPr>
          <w:t>william.michael@occ.ohio.gov</w:t>
        </w:r>
      </w:hyperlink>
      <w:r>
        <w:rPr>
          <w:szCs w:val="24"/>
        </w:rPr>
        <w:br/>
      </w:r>
      <w:r>
        <w:rPr>
          <w:szCs w:val="24"/>
        </w:rPr>
        <w:tab/>
      </w:r>
      <w:r>
        <w:rPr>
          <w:szCs w:val="24"/>
        </w:rPr>
        <w:tab/>
      </w:r>
      <w:r>
        <w:rPr>
          <w:szCs w:val="24"/>
        </w:rPr>
        <w:tab/>
      </w:r>
      <w:r>
        <w:rPr>
          <w:szCs w:val="24"/>
        </w:rPr>
        <w:tab/>
      </w:r>
      <w:r>
        <w:rPr>
          <w:szCs w:val="24"/>
        </w:rPr>
        <w:tab/>
      </w:r>
      <w:r>
        <w:rPr>
          <w:szCs w:val="24"/>
        </w:rPr>
        <w:tab/>
      </w:r>
      <w:hyperlink r:id="rId7" w:history="1">
        <w:r w:rsidRPr="00A700C4">
          <w:rPr>
            <w:rStyle w:val="Hyperlink"/>
            <w:szCs w:val="24"/>
          </w:rPr>
          <w:t>ambrosia.wilson@occ.ohio.gov</w:t>
        </w:r>
      </w:hyperlink>
    </w:p>
    <w:p w:rsidR="00FD6E65" w:rsidP="00FD6E65" w14:paraId="2D0663B3" w14:textId="77777777">
      <w:pPr>
        <w:rPr>
          <w:szCs w:val="24"/>
        </w:rPr>
      </w:pPr>
      <w:r>
        <w:rPr>
          <w:szCs w:val="24"/>
        </w:rPr>
        <w:tab/>
      </w:r>
      <w:r>
        <w:rPr>
          <w:szCs w:val="24"/>
        </w:rPr>
        <w:tab/>
      </w:r>
      <w:r>
        <w:rPr>
          <w:szCs w:val="24"/>
        </w:rPr>
        <w:tab/>
      </w:r>
      <w:r>
        <w:rPr>
          <w:szCs w:val="24"/>
        </w:rPr>
        <w:tab/>
      </w:r>
      <w:r>
        <w:rPr>
          <w:szCs w:val="24"/>
        </w:rPr>
        <w:tab/>
      </w:r>
      <w:r>
        <w:rPr>
          <w:szCs w:val="24"/>
        </w:rPr>
        <w:tab/>
        <w:t>(willing to accept service by email)</w:t>
      </w:r>
    </w:p>
    <w:p w:rsidR="00836BDA" w:rsidP="00FD6E65" w14:paraId="7C174408" w14:textId="692B9FF8">
      <w:pPr>
        <w:pStyle w:val="BodyTextIndent3"/>
        <w:ind w:left="3600" w:right="-672"/>
      </w:pPr>
    </w:p>
    <w:p w:rsidR="00CB5D16" w:rsidP="00D4185C" w14:paraId="2399EA1C" w14:textId="77777777">
      <w:pPr>
        <w:rPr>
          <w:b/>
          <w:bCs/>
          <w:u w:val="single"/>
        </w:rPr>
      </w:pPr>
      <w:r>
        <w:rPr>
          <w:b/>
          <w:bCs/>
          <w:u w:val="single"/>
        </w:rPr>
        <w:br w:type="page"/>
      </w:r>
    </w:p>
    <w:p w:rsidR="00836BDA" w:rsidP="00D4185C" w14:paraId="62B6E9BE" w14:textId="77777777">
      <w:pPr>
        <w:jc w:val="center"/>
        <w:rPr>
          <w:b/>
          <w:bCs/>
          <w:u w:val="single"/>
        </w:rPr>
      </w:pPr>
      <w:r>
        <w:rPr>
          <w:b/>
          <w:bCs/>
          <w:u w:val="single"/>
        </w:rPr>
        <w:t>CERTIFICATE OF SERVICE</w:t>
      </w:r>
    </w:p>
    <w:p w:rsidR="00836BDA" w:rsidP="00D4185C" w14:paraId="1E32195C" w14:textId="5D58EFFC">
      <w:pPr>
        <w:spacing w:line="480" w:lineRule="atLeast"/>
      </w:pPr>
      <w:r>
        <w:tab/>
        <w:t>I hereby certify that a copy of th</w:t>
      </w:r>
      <w:r w:rsidR="00DC61DF">
        <w:t xml:space="preserve">ese </w:t>
      </w:r>
      <w:r w:rsidR="00637187">
        <w:t>Comments</w:t>
      </w:r>
      <w:r w:rsidR="00DC61DF">
        <w:t xml:space="preserve"> </w:t>
      </w:r>
      <w:r w:rsidR="004B4DFA">
        <w:t>was</w:t>
      </w:r>
      <w:r>
        <w:t xml:space="preserve"> served on the persons stated below </w:t>
      </w:r>
      <w:r w:rsidRPr="009D37EA">
        <w:t xml:space="preserve">via </w:t>
      </w:r>
      <w:r>
        <w:t xml:space="preserve">electronic transmission, this </w:t>
      </w:r>
      <w:r w:rsidR="00C63676">
        <w:t>16</w:t>
      </w:r>
      <w:r w:rsidR="00DC61DF">
        <w:t>th</w:t>
      </w:r>
      <w:r>
        <w:t xml:space="preserve"> day of </w:t>
      </w:r>
      <w:r w:rsidR="00C63676">
        <w:t xml:space="preserve">August </w:t>
      </w:r>
      <w:r w:rsidR="00DC61DF">
        <w:t>202</w:t>
      </w:r>
      <w:r w:rsidR="00C63676">
        <w:t>1</w:t>
      </w:r>
      <w:r>
        <w:t>.</w:t>
      </w:r>
    </w:p>
    <w:p w:rsidR="00836BDA" w:rsidP="00D4185C" w14:paraId="03039127" w14:textId="77777777">
      <w:pPr>
        <w:spacing w:line="480" w:lineRule="atLeast"/>
      </w:pPr>
    </w:p>
    <w:p w:rsidR="00FD6E65" w:rsidRPr="00460D90" w:rsidP="00FD6E65" w14:paraId="41821E87" w14:textId="77777777">
      <w:pPr>
        <w:tabs>
          <w:tab w:val="left" w:pos="4320"/>
        </w:tabs>
        <w:rPr>
          <w:iCs/>
          <w:u w:val="single"/>
        </w:rPr>
      </w:pPr>
      <w:r>
        <w:tab/>
      </w:r>
      <w:r>
        <w:rPr>
          <w:i/>
          <w:iCs/>
          <w:u w:val="single"/>
        </w:rPr>
        <w:t>/s/ William J. Michael</w:t>
      </w:r>
      <w:r>
        <w:rPr>
          <w:iCs/>
          <w:u w:val="single"/>
        </w:rPr>
        <w:tab/>
      </w:r>
      <w:r>
        <w:rPr>
          <w:iCs/>
          <w:u w:val="single"/>
        </w:rPr>
        <w:tab/>
      </w:r>
    </w:p>
    <w:p w:rsidR="00FD6E65" w:rsidP="00FD6E65" w14:paraId="37D9E9A6" w14:textId="77777777">
      <w:pPr>
        <w:tabs>
          <w:tab w:val="left" w:pos="4320"/>
        </w:tabs>
      </w:pPr>
      <w:r>
        <w:tab/>
        <w:t>William J. Michael</w:t>
      </w:r>
    </w:p>
    <w:p w:rsidR="00FD6E65" w:rsidP="00FD6E65" w14:paraId="3DE55F85" w14:textId="77777777">
      <w:pPr>
        <w:tabs>
          <w:tab w:val="left" w:pos="4320"/>
        </w:tabs>
      </w:pPr>
      <w:r>
        <w:tab/>
        <w:t>Assistant Consumers’ Counsel</w:t>
      </w:r>
    </w:p>
    <w:p w:rsidR="00FD6E65" w:rsidP="00FD6E65" w14:paraId="238E3F78" w14:textId="77777777">
      <w:pPr>
        <w:pStyle w:val="CommentSubject"/>
      </w:pPr>
    </w:p>
    <w:p w:rsidR="00FD6E65" w:rsidRPr="00340405" w:rsidP="00FD6E65" w14:paraId="2325A361" w14:textId="77777777">
      <w:r w:rsidRPr="00340405">
        <w:t>The PUCO’s e-filing system will electronically serve notice of the filing of this document on the following parties:</w:t>
      </w:r>
    </w:p>
    <w:p w:rsidR="00FD6E65" w:rsidP="00FD6E65" w14:paraId="75F99055" w14:textId="77777777">
      <w:pPr>
        <w:pStyle w:val="CommentText"/>
      </w:pPr>
    </w:p>
    <w:p w:rsidR="00FD6E65" w:rsidP="00FD6E65" w14:paraId="022313C1" w14:textId="77777777">
      <w:pPr>
        <w:pStyle w:val="CommentText"/>
        <w:jc w:val="center"/>
        <w:rPr>
          <w:b/>
          <w:u w:val="single"/>
        </w:rPr>
      </w:pPr>
      <w:r>
        <w:rPr>
          <w:b/>
          <w:u w:val="single"/>
        </w:rPr>
        <w:t>SERVICE LIST</w:t>
      </w:r>
    </w:p>
    <w:p w:rsidR="00FD6E65" w:rsidP="00FD6E65" w14:paraId="16B984CB" w14:textId="77777777">
      <w:pPr>
        <w:pStyle w:val="CommentText"/>
        <w:jc w:val="center"/>
        <w:rPr>
          <w:b/>
          <w:u w:val="single"/>
        </w:rPr>
      </w:pPr>
    </w:p>
    <w:p w:rsidR="00FD6E65" w:rsidP="00FD6E65" w14:paraId="662823A2" w14:textId="77777777">
      <w:pPr>
        <w:pStyle w:val="BodyText"/>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90"/>
        <w:gridCol w:w="4770"/>
      </w:tblGrid>
      <w:tr w14:paraId="4635B497" w14:textId="77777777" w:rsidTr="0063718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4590" w:type="dxa"/>
          </w:tcPr>
          <w:bookmarkStart w:id="15" w:name="_Hlk72755215"/>
          <w:p w:rsidR="00FD6E65" w:rsidP="001E3153" w14:paraId="2CEBDE10" w14:textId="77777777">
            <w:pPr>
              <w:pStyle w:val="BodyText"/>
            </w:pPr>
            <w:hyperlink r:id="rId11" w:history="1">
              <w:r w:rsidRPr="00C5036A">
                <w:rPr>
                  <w:rStyle w:val="Hyperlink"/>
                </w:rPr>
                <w:t>werner.margard@OhioAGO.gov</w:t>
              </w:r>
            </w:hyperlink>
          </w:p>
          <w:bookmarkStart w:id="16" w:name="_Hlk72755232"/>
          <w:bookmarkEnd w:id="15"/>
          <w:p w:rsidR="00FD6E65" w:rsidP="001E3153" w14:paraId="6FB2C7FA" w14:textId="77777777">
            <w:pPr>
              <w:pStyle w:val="BodyText"/>
            </w:pPr>
            <w:hyperlink r:id="rId12" w:history="1">
              <w:r w:rsidRPr="00C5036A">
                <w:rPr>
                  <w:rStyle w:val="Hyperlink"/>
                </w:rPr>
                <w:t>kyle.kern@OhioAGO.gov</w:t>
              </w:r>
            </w:hyperlink>
            <w:bookmarkEnd w:id="16"/>
          </w:p>
          <w:p w:rsidR="00FD6E65" w:rsidP="001E3153" w14:paraId="38AEBC8E" w14:textId="77777777">
            <w:pPr>
              <w:pStyle w:val="BodyText"/>
            </w:pPr>
          </w:p>
          <w:p w:rsidR="00FD6E65" w:rsidP="001E3153" w14:paraId="22845B72" w14:textId="77777777">
            <w:pPr>
              <w:pStyle w:val="BodyText"/>
              <w:rPr>
                <w:rFonts w:asciiTheme="majorBidi" w:hAnsiTheme="majorBidi" w:cstheme="majorBidi"/>
                <w:szCs w:val="24"/>
              </w:rPr>
            </w:pPr>
            <w:r w:rsidRPr="00FE7F0A">
              <w:rPr>
                <w:rFonts w:asciiTheme="majorBidi" w:hAnsiTheme="majorBidi" w:cstheme="majorBidi"/>
                <w:szCs w:val="24"/>
              </w:rPr>
              <w:t>Attorney Examiner:</w:t>
            </w:r>
          </w:p>
          <w:p w:rsidR="00FD6E65" w:rsidP="001E3153" w14:paraId="4AB4DF4F" w14:textId="77777777">
            <w:pPr>
              <w:pStyle w:val="BodyText"/>
              <w:rPr>
                <w:rFonts w:asciiTheme="majorBidi" w:hAnsiTheme="majorBidi" w:cstheme="majorBidi"/>
                <w:szCs w:val="24"/>
              </w:rPr>
            </w:pPr>
          </w:p>
          <w:p w:rsidR="00FD6E65" w:rsidP="001E3153" w14:paraId="17E7AAB3" w14:textId="77777777">
            <w:pPr>
              <w:pStyle w:val="BodyText"/>
              <w:rPr>
                <w:rFonts w:asciiTheme="majorBidi" w:hAnsiTheme="majorBidi" w:cstheme="majorBidi"/>
                <w:szCs w:val="24"/>
              </w:rPr>
            </w:pPr>
            <w:hyperlink r:id="rId13" w:history="1">
              <w:r w:rsidRPr="00C5036A">
                <w:rPr>
                  <w:rStyle w:val="Hyperlink"/>
                  <w:rFonts w:asciiTheme="majorBidi" w:hAnsiTheme="majorBidi" w:cstheme="majorBidi"/>
                  <w:szCs w:val="24"/>
                </w:rPr>
                <w:t>sarah.parrot@puco.ohio.gov</w:t>
              </w:r>
            </w:hyperlink>
          </w:p>
          <w:p w:rsidR="00FD6E65" w:rsidRPr="00FE7F0A" w:rsidP="001E3153" w14:paraId="2D8C5611" w14:textId="77777777">
            <w:pPr>
              <w:rPr>
                <w:rFonts w:asciiTheme="majorBidi" w:hAnsiTheme="majorBidi" w:cstheme="majorBidi"/>
                <w:szCs w:val="24"/>
              </w:rPr>
            </w:pPr>
            <w:hyperlink r:id="rId14" w:history="1">
              <w:r w:rsidRPr="000002F7">
                <w:rPr>
                  <w:color w:val="0000FF"/>
                  <w:szCs w:val="24"/>
                  <w:u w:val="single"/>
                </w:rPr>
                <w:t>Jacqueline.St.John@puco.ohio.gov</w:t>
              </w:r>
            </w:hyperlink>
          </w:p>
          <w:p w:rsidR="00FD6E65" w:rsidRPr="00FE7F0A" w:rsidP="001E3153" w14:paraId="7BCE9720" w14:textId="77777777">
            <w:pPr>
              <w:pStyle w:val="BodyText"/>
              <w:rPr>
                <w:rFonts w:asciiTheme="majorBidi" w:hAnsiTheme="majorBidi" w:cstheme="majorBidi"/>
                <w:szCs w:val="24"/>
              </w:rPr>
            </w:pPr>
            <w:r w:rsidRPr="00FE7F0A">
              <w:rPr>
                <w:rFonts w:asciiTheme="majorBidi" w:hAnsiTheme="majorBidi" w:cstheme="majorBidi"/>
                <w:szCs w:val="24"/>
              </w:rPr>
              <w:t xml:space="preserve"> </w:t>
            </w:r>
          </w:p>
        </w:tc>
        <w:tc>
          <w:tcPr>
            <w:tcW w:w="4770" w:type="dxa"/>
          </w:tcPr>
          <w:p w:rsidR="00FD6E65" w:rsidP="001E3153" w14:paraId="3F88955F" w14:textId="77777777">
            <w:pPr>
              <w:autoSpaceDE w:val="0"/>
              <w:autoSpaceDN w:val="0"/>
              <w:adjustRightInd w:val="0"/>
              <w:ind w:left="465"/>
              <w:rPr>
                <w:rFonts w:asciiTheme="majorBidi" w:hAnsiTheme="majorBidi" w:cstheme="majorBidi"/>
                <w:szCs w:val="24"/>
                <w:lang w:bidi="he-IL"/>
              </w:rPr>
            </w:pPr>
            <w:hyperlink r:id="rId15" w:history="1">
              <w:r w:rsidRPr="00C5036A">
                <w:rPr>
                  <w:rStyle w:val="Hyperlink"/>
                  <w:rFonts w:asciiTheme="majorBidi" w:hAnsiTheme="majorBidi" w:cstheme="majorBidi"/>
                  <w:szCs w:val="24"/>
                  <w:lang w:bidi="he-IL"/>
                </w:rPr>
                <w:t>kennedy@whitt-sturtevant.com</w:t>
              </w:r>
            </w:hyperlink>
          </w:p>
          <w:p w:rsidR="00FD6E65" w:rsidP="001E3153" w14:paraId="75D722F8" w14:textId="77777777">
            <w:pPr>
              <w:pStyle w:val="BodyText"/>
              <w:ind w:left="465"/>
              <w:rPr>
                <w:rFonts w:asciiTheme="majorBidi" w:hAnsiTheme="majorBidi" w:cstheme="majorBidi"/>
                <w:szCs w:val="24"/>
                <w:lang w:bidi="he-IL"/>
              </w:rPr>
            </w:pPr>
            <w:hyperlink r:id="rId16" w:history="1">
              <w:r w:rsidRPr="00C5036A">
                <w:rPr>
                  <w:rStyle w:val="Hyperlink"/>
                  <w:rFonts w:asciiTheme="majorBidi" w:hAnsiTheme="majorBidi" w:cstheme="majorBidi"/>
                  <w:szCs w:val="24"/>
                  <w:lang w:bidi="he-IL"/>
                </w:rPr>
                <w:t>fykes@whitt-sturtevant.com</w:t>
              </w:r>
            </w:hyperlink>
          </w:p>
          <w:p w:rsidR="00FD6E65" w:rsidP="001E3153" w14:paraId="59656C8B" w14:textId="77777777">
            <w:pPr>
              <w:pStyle w:val="BodyText"/>
              <w:ind w:left="465"/>
              <w:rPr>
                <w:rFonts w:ascii="TimesNewRomanPSMT" w:hAnsi="TimesNewRomanPSMT" w:cs="TimesNewRomanPSMT"/>
                <w:szCs w:val="24"/>
              </w:rPr>
            </w:pPr>
            <w:hyperlink r:id="rId17" w:history="1">
              <w:r w:rsidRPr="00742DDD">
                <w:rPr>
                  <w:rStyle w:val="Hyperlink"/>
                  <w:rFonts w:ascii="TimesNewRomanPSMT" w:hAnsi="TimesNewRomanPSMT" w:cs="TimesNewRomanPSMT"/>
                  <w:szCs w:val="24"/>
                </w:rPr>
                <w:t>andrew.j.campbell@dominionenergy.com</w:t>
              </w:r>
            </w:hyperlink>
          </w:p>
          <w:p w:rsidR="00FD6E65" w:rsidP="001E3153" w14:paraId="2301F26E" w14:textId="77777777">
            <w:pPr>
              <w:pStyle w:val="BodyText"/>
              <w:ind w:left="553"/>
              <w:rPr>
                <w:rFonts w:asciiTheme="majorBidi" w:hAnsiTheme="majorBidi" w:cstheme="majorBidi"/>
                <w:szCs w:val="24"/>
                <w:lang w:bidi="he-IL"/>
              </w:rPr>
            </w:pPr>
          </w:p>
          <w:p w:rsidR="00FD6E65" w:rsidRPr="00FE7F0A" w:rsidP="001E3153" w14:paraId="1CBE28F3" w14:textId="77777777">
            <w:pPr>
              <w:pStyle w:val="BodyText"/>
              <w:ind w:left="707"/>
              <w:rPr>
                <w:rFonts w:asciiTheme="majorBidi" w:hAnsiTheme="majorBidi" w:cstheme="majorBidi"/>
                <w:szCs w:val="24"/>
              </w:rPr>
            </w:pPr>
          </w:p>
        </w:tc>
      </w:tr>
    </w:tbl>
    <w:p w:rsidR="00FD6E65" w:rsidP="00FD6E65" w14:paraId="155DD52E" w14:textId="77777777">
      <w:pPr>
        <w:pStyle w:val="BodyText"/>
        <w:rPr>
          <w:b/>
          <w:bCs/>
        </w:rPr>
      </w:pPr>
    </w:p>
    <w:p w:rsidR="00D4185C" w:rsidP="00FD6E65" w14:paraId="549ADB00" w14:textId="4BC814C3">
      <w:pPr>
        <w:tabs>
          <w:tab w:val="left" w:pos="4320"/>
        </w:tabs>
        <w:rPr>
          <w:b/>
          <w:bCs/>
        </w:rPr>
      </w:pPr>
    </w:p>
    <w:sectPr w:rsidSect="000769ED">
      <w:footerReference w:type="first" r:id="rId18"/>
      <w:pgSz w:w="12240" w:h="15840"/>
      <w:pgMar w:top="1440" w:right="1440" w:bottom="1440" w:left="1440" w:header="720" w:footer="720"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76986288"/>
      <w:docPartObj>
        <w:docPartGallery w:val="Page Numbers (Bottom of Page)"/>
        <w:docPartUnique/>
      </w:docPartObj>
    </w:sdtPr>
    <w:sdtEndPr>
      <w:rPr>
        <w:noProof/>
        <w:sz w:val="24"/>
        <w:szCs w:val="24"/>
      </w:rPr>
    </w:sdtEndPr>
    <w:sdtContent>
      <w:p w:rsidR="00DB746D" w:rsidRPr="00DB746D" w14:paraId="3A545852" w14:textId="668A4E17">
        <w:pPr>
          <w:pStyle w:val="Footer"/>
          <w:jc w:val="center"/>
          <w:rPr>
            <w:sz w:val="24"/>
            <w:szCs w:val="24"/>
          </w:rPr>
        </w:pPr>
        <w:r w:rsidRPr="00DB746D">
          <w:rPr>
            <w:sz w:val="24"/>
            <w:szCs w:val="24"/>
          </w:rPr>
          <w:fldChar w:fldCharType="begin"/>
        </w:r>
        <w:r w:rsidRPr="00DB746D">
          <w:rPr>
            <w:sz w:val="24"/>
            <w:szCs w:val="24"/>
          </w:rPr>
          <w:instrText xml:space="preserve"> PAGE   \* MERGEFORMAT </w:instrText>
        </w:r>
        <w:r w:rsidRPr="00DB746D">
          <w:rPr>
            <w:sz w:val="24"/>
            <w:szCs w:val="24"/>
          </w:rPr>
          <w:fldChar w:fldCharType="separate"/>
        </w:r>
        <w:r w:rsidRPr="00DB746D">
          <w:rPr>
            <w:noProof/>
            <w:sz w:val="24"/>
            <w:szCs w:val="24"/>
          </w:rPr>
          <w:t>2</w:t>
        </w:r>
        <w:r w:rsidRPr="00DB746D">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0B1D" w:rsidRPr="00920B1D" w14:paraId="5AA5CDC0" w14:textId="662C8510">
    <w:pPr>
      <w:pStyle w:val="Footer"/>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98615900"/>
      <w:docPartObj>
        <w:docPartGallery w:val="Page Numbers (Bottom of Page)"/>
        <w:docPartUnique/>
      </w:docPartObj>
    </w:sdtPr>
    <w:sdtEndPr>
      <w:rPr>
        <w:noProof/>
      </w:rPr>
    </w:sdtEndPr>
    <w:sdtContent>
      <w:p w:rsidR="00DB746D" w14:paraId="6EFA17DC" w14:textId="3A78F5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4674960"/>
      <w:docPartObj>
        <w:docPartGallery w:val="Page Numbers (Bottom of Page)"/>
        <w:docPartUnique/>
      </w:docPartObj>
    </w:sdtPr>
    <w:sdtEndPr>
      <w:rPr>
        <w:noProof/>
        <w:sz w:val="24"/>
        <w:szCs w:val="24"/>
      </w:rPr>
    </w:sdtEndPr>
    <w:sdtContent>
      <w:p w:rsidR="000769ED" w:rsidRPr="000769ED" w14:paraId="27E4B14D" w14:textId="47EDA4A4">
        <w:pPr>
          <w:pStyle w:val="Footer"/>
          <w:jc w:val="center"/>
          <w:rPr>
            <w:sz w:val="24"/>
            <w:szCs w:val="24"/>
          </w:rPr>
        </w:pPr>
        <w:r w:rsidRPr="000769ED">
          <w:rPr>
            <w:sz w:val="24"/>
            <w:szCs w:val="24"/>
          </w:rPr>
          <w:fldChar w:fldCharType="begin"/>
        </w:r>
        <w:r w:rsidRPr="000769ED">
          <w:rPr>
            <w:sz w:val="24"/>
            <w:szCs w:val="24"/>
          </w:rPr>
          <w:instrText xml:space="preserve"> PAGE   \* MERGEFORMAT </w:instrText>
        </w:r>
        <w:r w:rsidRPr="000769ED">
          <w:rPr>
            <w:sz w:val="24"/>
            <w:szCs w:val="24"/>
          </w:rPr>
          <w:fldChar w:fldCharType="separate"/>
        </w:r>
        <w:r w:rsidRPr="000769ED">
          <w:rPr>
            <w:noProof/>
            <w:sz w:val="24"/>
            <w:szCs w:val="24"/>
          </w:rPr>
          <w:t>2</w:t>
        </w:r>
        <w:r w:rsidRPr="000769ED">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93B6B" w14:paraId="3B7395F1" w14:textId="77777777">
      <w:r>
        <w:separator/>
      </w:r>
    </w:p>
  </w:footnote>
  <w:footnote w:type="continuationSeparator" w:id="1">
    <w:p w:rsidR="00F93B6B" w14:paraId="6BA464C7" w14:textId="77777777">
      <w:r>
        <w:continuationSeparator/>
      </w:r>
    </w:p>
  </w:footnote>
  <w:footnote w:id="2">
    <w:p w:rsidR="006E130A" w:rsidP="001F37A8" w14:paraId="1527D03B" w14:textId="4BE53047">
      <w:pPr>
        <w:pStyle w:val="FootnoteText"/>
        <w:spacing w:after="120"/>
      </w:pPr>
      <w:r>
        <w:rPr>
          <w:rStyle w:val="FootnoteReference"/>
        </w:rPr>
        <w:footnoteRef/>
      </w:r>
      <w:r>
        <w:t xml:space="preserve"> </w:t>
      </w:r>
      <w:r w:rsidRPr="006E130A">
        <w:rPr>
          <w:i/>
          <w:iCs/>
        </w:rPr>
        <w:t>See</w:t>
      </w:r>
      <w:r>
        <w:t xml:space="preserve"> Application at 4 (proposing to increase charge from $3.86/month to $5.52/month; $1.66 per month increased charge for residential </w:t>
      </w:r>
      <w:r w:rsidR="00AA31DB">
        <w:t xml:space="preserve">consumers </w:t>
      </w:r>
      <w:r>
        <w:t xml:space="preserve">* 12 months * 1.1 million residential </w:t>
      </w:r>
      <w:r w:rsidR="00AA31DB">
        <w:t>consumers</w:t>
      </w:r>
      <w:r>
        <w:t>).</w:t>
      </w:r>
    </w:p>
  </w:footnote>
  <w:footnote w:id="3">
    <w:p w:rsidR="006E3F2E" w:rsidP="001F37A8" w14:paraId="29C7B33B" w14:textId="1FAF407B">
      <w:pPr>
        <w:pStyle w:val="FootnoteText"/>
        <w:spacing w:after="120"/>
      </w:pPr>
      <w:r>
        <w:rPr>
          <w:rStyle w:val="FootnoteReference"/>
        </w:rPr>
        <w:footnoteRef/>
      </w:r>
      <w:r>
        <w:t xml:space="preserve"> Application, </w:t>
      </w:r>
      <w:r w:rsidR="006E5F2B">
        <w:t>Attachment A</w:t>
      </w:r>
      <w:r>
        <w:t>, Schedule 2</w:t>
      </w:r>
      <w:r w:rsidR="004F119E">
        <w:t>,</w:t>
      </w:r>
      <w:r w:rsidR="006E5F2B">
        <w:t xml:space="preserve"> Line 1</w:t>
      </w:r>
      <w:r>
        <w:t>.</w:t>
      </w:r>
    </w:p>
  </w:footnote>
  <w:footnote w:id="4">
    <w:p w:rsidR="006E3F2E" w:rsidP="001F37A8" w14:paraId="6D339E0C" w14:textId="1827C67B">
      <w:pPr>
        <w:pStyle w:val="FootnoteText"/>
        <w:spacing w:after="120"/>
      </w:pPr>
      <w:r>
        <w:rPr>
          <w:rStyle w:val="FootnoteReference"/>
        </w:rPr>
        <w:footnoteRef/>
      </w:r>
      <w:r>
        <w:t xml:space="preserve"> Application, </w:t>
      </w:r>
      <w:r w:rsidR="006E5F2B">
        <w:t>Attachment A</w:t>
      </w:r>
      <w:r>
        <w:t xml:space="preserve">, Schedule </w:t>
      </w:r>
      <w:r w:rsidR="004F119E">
        <w:t>2, Line 15</w:t>
      </w:r>
      <w:r>
        <w:t>.</w:t>
      </w:r>
    </w:p>
  </w:footnote>
  <w:footnote w:id="5">
    <w:p w:rsidR="006E3F2E" w:rsidP="001F37A8" w14:paraId="0782DE14" w14:textId="3279E757">
      <w:pPr>
        <w:pStyle w:val="FootnoteText"/>
        <w:spacing w:after="120"/>
      </w:pPr>
      <w:r>
        <w:rPr>
          <w:rStyle w:val="FootnoteReference"/>
        </w:rPr>
        <w:footnoteRef/>
      </w:r>
      <w:r>
        <w:t xml:space="preserve"> Application, </w:t>
      </w:r>
      <w:r w:rsidR="00BD2A5A">
        <w:t xml:space="preserve">Attachment A, </w:t>
      </w:r>
      <w:r>
        <w:t xml:space="preserve">Schedule 1 (63.34% allocated to residential </w:t>
      </w:r>
      <w:r w:rsidR="00AA31DB">
        <w:t>consumers</w:t>
      </w:r>
      <w:r>
        <w:t>).</w:t>
      </w:r>
    </w:p>
  </w:footnote>
  <w:footnote w:id="6">
    <w:p w:rsidR="006E3F2E" w:rsidP="001F37A8" w14:paraId="428E5692" w14:textId="0EDADCF3">
      <w:pPr>
        <w:pStyle w:val="FootnoteText"/>
        <w:spacing w:after="120"/>
      </w:pPr>
      <w:r>
        <w:rPr>
          <w:rStyle w:val="FootnoteReference"/>
        </w:rPr>
        <w:footnoteRef/>
      </w:r>
      <w:r>
        <w:t xml:space="preserve"> Plant in Service and Capital Spending Audit of the East Ohio Gas Company d/b/a Dominion Energy Ohio (</w:t>
      </w:r>
      <w:r w:rsidR="00BD2A5A">
        <w:t>July 15</w:t>
      </w:r>
      <w:r>
        <w:t>, 202</w:t>
      </w:r>
      <w:r w:rsidR="00BD2A5A">
        <w:t>1</w:t>
      </w:r>
      <w:r>
        <w:t>) (the “Audit” or “Audit Report”).</w:t>
      </w:r>
    </w:p>
  </w:footnote>
  <w:footnote w:id="7">
    <w:p w:rsidR="006E3F2E" w:rsidP="001F37A8" w14:paraId="699BE672" w14:textId="48F62789">
      <w:pPr>
        <w:pStyle w:val="FootnoteText"/>
        <w:spacing w:after="120"/>
      </w:pPr>
      <w:r>
        <w:rPr>
          <w:rStyle w:val="FootnoteReference"/>
        </w:rPr>
        <w:footnoteRef/>
      </w:r>
      <w:r>
        <w:t xml:space="preserve"> Audit Report at </w:t>
      </w:r>
      <w:r w:rsidR="00521C0D">
        <w:t>10</w:t>
      </w:r>
      <w:r>
        <w:t>.</w:t>
      </w:r>
    </w:p>
  </w:footnote>
  <w:footnote w:id="8">
    <w:p w:rsidR="006E3F2E" w:rsidRPr="00BC05C0" w:rsidP="001F37A8" w14:paraId="1CE4813A" w14:textId="17B5199D">
      <w:pPr>
        <w:pStyle w:val="FootnoteText"/>
        <w:spacing w:after="120"/>
      </w:pPr>
      <w:r>
        <w:rPr>
          <w:rStyle w:val="FootnoteReference"/>
        </w:rPr>
        <w:footnoteRef/>
      </w:r>
      <w:r>
        <w:t xml:space="preserve"> Staff Report at </w:t>
      </w:r>
      <w:r w:rsidR="006E0740">
        <w:t>4</w:t>
      </w:r>
      <w:r>
        <w:t xml:space="preserve">. </w:t>
      </w:r>
    </w:p>
  </w:footnote>
  <w:footnote w:id="9">
    <w:p w:rsidR="006E0740" w:rsidRPr="006E0740" w:rsidP="001F37A8" w14:paraId="7CDB9DEE" w14:textId="3CCF99D4">
      <w:pPr>
        <w:pStyle w:val="FootnoteText"/>
        <w:spacing w:after="120"/>
      </w:pPr>
      <w:r>
        <w:rPr>
          <w:rStyle w:val="FootnoteReference"/>
        </w:rPr>
        <w:footnoteRef/>
      </w:r>
      <w:r>
        <w:t xml:space="preserve"> </w:t>
      </w:r>
      <w:r>
        <w:rPr>
          <w:i/>
          <w:iCs/>
        </w:rPr>
        <w:t xml:space="preserve">Id. </w:t>
      </w:r>
    </w:p>
  </w:footnote>
  <w:footnote w:id="10">
    <w:p w:rsidR="002A7ADE" w:rsidRPr="002A7ADE" w:rsidP="001F37A8" w14:paraId="12EDBD2B" w14:textId="79574B98">
      <w:pPr>
        <w:pStyle w:val="FootnoteText"/>
        <w:spacing w:after="120"/>
        <w:rPr>
          <w:i/>
          <w:iCs/>
        </w:rPr>
      </w:pPr>
      <w:r>
        <w:rPr>
          <w:rStyle w:val="FootnoteReference"/>
        </w:rPr>
        <w:footnoteRef/>
      </w:r>
      <w:r>
        <w:t xml:space="preserve"> </w:t>
      </w:r>
      <w:r>
        <w:rPr>
          <w:i/>
          <w:iCs/>
        </w:rPr>
        <w:t>Id.</w:t>
      </w:r>
    </w:p>
  </w:footnote>
  <w:footnote w:id="11">
    <w:p w:rsidR="002A7ADE" w:rsidRPr="002A7ADE" w:rsidP="001F37A8" w14:paraId="0D111920" w14:textId="535C23D5">
      <w:pPr>
        <w:pStyle w:val="FootnoteText"/>
        <w:spacing w:after="120"/>
      </w:pPr>
      <w:r>
        <w:rPr>
          <w:rStyle w:val="FootnoteReference"/>
        </w:rPr>
        <w:footnoteRef/>
      </w:r>
      <w:r>
        <w:t xml:space="preserve"> </w:t>
      </w:r>
      <w:r>
        <w:rPr>
          <w:i/>
          <w:iCs/>
        </w:rPr>
        <w:t xml:space="preserve">Id. </w:t>
      </w:r>
      <w:r>
        <w:t>at 5.</w:t>
      </w:r>
    </w:p>
  </w:footnote>
  <w:footnote w:id="12">
    <w:p w:rsidR="001E10B2" w:rsidP="001F37A8" w14:paraId="13B865FF" w14:textId="77777777">
      <w:pPr>
        <w:pStyle w:val="FootnoteText"/>
        <w:spacing w:after="120"/>
      </w:pPr>
      <w:r>
        <w:rPr>
          <w:rStyle w:val="FootnoteReference"/>
        </w:rPr>
        <w:footnoteRef/>
      </w:r>
      <w:r>
        <w:t xml:space="preserve"> </w:t>
      </w:r>
      <w:r w:rsidRPr="002A7ADE">
        <w:rPr>
          <w:i/>
          <w:iCs/>
        </w:rPr>
        <w:t>See</w:t>
      </w:r>
      <w:r>
        <w:t xml:space="preserve"> </w:t>
      </w:r>
      <w:r w:rsidRPr="00571ED5">
        <w:rPr>
          <w:i/>
          <w:iCs/>
        </w:rPr>
        <w:t>In the Matter of The East Ohio Gas Company d/b/a Dominion Energy Ohio for Approval of an Alternative Form of Regulation</w:t>
      </w:r>
      <w:r>
        <w:t>, Case No. 19-0468-GA-ALT, Opinion and Order at 43 (December 30, 2020).</w:t>
      </w:r>
    </w:p>
  </w:footnote>
  <w:footnote w:id="13">
    <w:p w:rsidR="001E10B2" w:rsidP="001F37A8" w14:paraId="242DA89A" w14:textId="77777777">
      <w:pPr>
        <w:pStyle w:val="FootnoteText"/>
        <w:spacing w:after="120"/>
      </w:pPr>
      <w:r>
        <w:rPr>
          <w:rStyle w:val="FootnoteReference"/>
        </w:rPr>
        <w:footnoteRef/>
      </w:r>
      <w:r>
        <w:t xml:space="preserve"> Staff Report at 5.</w:t>
      </w:r>
    </w:p>
  </w:footnote>
  <w:footnote w:id="14">
    <w:p w:rsidR="001E10B2" w:rsidP="001F37A8" w14:paraId="06A9E1EF" w14:textId="474E40B1">
      <w:pPr>
        <w:pStyle w:val="FootnoteText"/>
        <w:spacing w:after="120"/>
      </w:pPr>
      <w:r>
        <w:rPr>
          <w:rStyle w:val="FootnoteReference"/>
        </w:rPr>
        <w:footnoteRef/>
      </w:r>
      <w:r>
        <w:t xml:space="preserve"> </w:t>
      </w:r>
      <w:bookmarkStart w:id="8" w:name="_Hlk79824023"/>
      <w:r w:rsidRPr="00A5364A">
        <w:t>9.91% = (6.50% * 0.4866) + (10.38% * 0.5134)</w:t>
      </w:r>
      <w:r w:rsidR="008641FF">
        <w:t xml:space="preserve"> </w:t>
      </w:r>
      <w:r w:rsidR="00033303">
        <w:t>*</w:t>
      </w:r>
      <w:r w:rsidR="008641FF">
        <w:t xml:space="preserve"> </w:t>
      </w:r>
      <w:r w:rsidR="00033303">
        <w:t>1.2658</w:t>
      </w:r>
      <w:r w:rsidRPr="00A5364A">
        <w:t xml:space="preserve">. </w:t>
      </w:r>
      <w:bookmarkEnd w:id="8"/>
      <w:r>
        <w:t xml:space="preserve">The pre-tax rate of return is calculated based on those rate of return components set in Dominion’s last rate case. </w:t>
      </w:r>
      <w:r w:rsidRPr="006C066E">
        <w:rPr>
          <w:i/>
          <w:iCs/>
        </w:rPr>
        <w:t>See</w:t>
      </w:r>
      <w:r>
        <w:t xml:space="preserve"> Case No. 07-829-GA-AIR et al., Opinion and Order at 6 and 28 (October 15, 2008) and Entry on Rehearing at 5 (December 19, 2008). In that case, the PUCO approved a stipulated rate of return of 8.49% which was imputed from a capital structure of 48.66% long-term debt and 51.34% equity, a cost of debt of 6.50%, and a return on equity of 10.38% contained in the Staff Report at 20-22 (May 23, 2008).</w:t>
      </w:r>
    </w:p>
  </w:footnote>
  <w:footnote w:id="15">
    <w:p w:rsidR="002A1833" w:rsidRPr="002A1833" w:rsidP="001F37A8" w14:paraId="571D5BC3" w14:textId="77777777">
      <w:pPr>
        <w:pStyle w:val="FootnoteText"/>
        <w:spacing w:after="120"/>
      </w:pPr>
      <w:r>
        <w:rPr>
          <w:rStyle w:val="FootnoteReference"/>
        </w:rPr>
        <w:footnoteRef/>
      </w:r>
      <w:r>
        <w:t xml:space="preserve"> </w:t>
      </w:r>
      <w:r>
        <w:rPr>
          <w:i/>
          <w:iCs/>
        </w:rPr>
        <w:t xml:space="preserve">In the Matter of the East Ohio Gas Company d/b/a Dominion Energy Ohio for Approval of an Alternative Form of Regulation, </w:t>
      </w:r>
      <w:r>
        <w:t xml:space="preserve">Case No. 19-468-GA-ALT, </w:t>
      </w:r>
      <w:r w:rsidRPr="000D2D44">
        <w:rPr>
          <w:i/>
          <w:iCs/>
        </w:rPr>
        <w:t>available at</w:t>
      </w:r>
      <w:r>
        <w:t xml:space="preserve"> https://www.youtube.com/watch?v=d_ozIp9-4tQ (starting at 13:58).</w:t>
      </w:r>
    </w:p>
  </w:footnote>
  <w:footnote w:id="16">
    <w:p w:rsidR="002A1833" w:rsidRPr="000D2D44" w:rsidP="001F37A8" w14:paraId="1C563743" w14:textId="77777777">
      <w:pPr>
        <w:pStyle w:val="FootnoteText"/>
        <w:spacing w:after="120"/>
        <w:rPr>
          <w:i/>
          <w:iCs/>
        </w:rPr>
      </w:pPr>
      <w:r>
        <w:rPr>
          <w:rStyle w:val="FootnoteReference"/>
        </w:rPr>
        <w:footnoteRef/>
      </w:r>
      <w:r>
        <w:t xml:space="preserve"> </w:t>
      </w:r>
      <w:r>
        <w:rPr>
          <w:i/>
          <w:iCs/>
        </w:rPr>
        <w:t>Id.</w:t>
      </w:r>
    </w:p>
  </w:footnote>
  <w:footnote w:id="17">
    <w:p w:rsidR="00FC41E1" w:rsidRPr="003D618A" w:rsidP="003D618A" w14:paraId="51FD523A" w14:textId="6079249E">
      <w:pPr>
        <w:spacing w:after="120"/>
        <w:rPr>
          <w:sz w:val="20"/>
        </w:rPr>
      </w:pPr>
      <w:r w:rsidRPr="003D618A">
        <w:rPr>
          <w:rStyle w:val="FootnoteReference"/>
          <w:sz w:val="20"/>
        </w:rPr>
        <w:footnoteRef/>
      </w:r>
      <w:r w:rsidRPr="003D618A">
        <w:rPr>
          <w:sz w:val="20"/>
        </w:rPr>
        <w:t xml:space="preserve"> </w:t>
      </w:r>
      <w:r w:rsidRPr="003D618A">
        <w:rPr>
          <w:i/>
          <w:iCs/>
          <w:sz w:val="20"/>
        </w:rPr>
        <w:t>See, e.g.,</w:t>
      </w:r>
      <w:r w:rsidRPr="003D618A">
        <w:rPr>
          <w:iCs/>
          <w:sz w:val="20"/>
        </w:rPr>
        <w:t xml:space="preserve"> </w:t>
      </w:r>
      <w:r w:rsidRPr="003D618A" w:rsidR="003D618A">
        <w:rPr>
          <w:i/>
          <w:iCs/>
          <w:sz w:val="20"/>
        </w:rPr>
        <w:t xml:space="preserve">In re Complaint of Suburban Gas Company, </w:t>
      </w:r>
      <w:r w:rsidRPr="003D618A" w:rsidR="003D618A">
        <w:rPr>
          <w:sz w:val="20"/>
        </w:rPr>
        <w:t xml:space="preserve">162 Ohio St. 3d 162, 168-69, 2020-Ohio-5221 ¶ 29, </w:t>
      </w:r>
      <w:r w:rsidRPr="003D618A" w:rsidR="003D618A">
        <w:rPr>
          <w:color w:val="6D6E71"/>
          <w:sz w:val="20"/>
          <w:shd w:val="clear" w:color="auto" w:fill="FFFFFF"/>
        </w:rPr>
        <w:t> </w:t>
      </w:r>
      <w:hyperlink r:id="rId1" w:history="1">
        <w:r w:rsidRPr="003D618A" w:rsidR="003D618A">
          <w:rPr>
            <w:rStyle w:val="Hyperlink"/>
            <w:color w:val="auto"/>
            <w:sz w:val="20"/>
            <w:u w:val="none"/>
            <w:bdr w:val="none" w:sz="0" w:space="0" w:color="auto" w:frame="1"/>
            <w:shd w:val="clear" w:color="auto" w:fill="FFFFFF"/>
          </w:rPr>
          <w:t>164 N.E.3d 425</w:t>
        </w:r>
      </w:hyperlink>
      <w:r w:rsidRPr="003D618A" w:rsidR="003D618A">
        <w:rPr>
          <w:sz w:val="20"/>
        </w:rPr>
        <w:t xml:space="preserve"> </w:t>
      </w:r>
      <w:r w:rsidRPr="003D618A">
        <w:rPr>
          <w:sz w:val="20"/>
        </w:rPr>
        <w:t>(internal citations omitted).</w:t>
      </w:r>
    </w:p>
  </w:footnote>
  <w:footnote w:id="18">
    <w:p w:rsidR="00017C28" w:rsidP="003D618A" w14:paraId="7FB180C7" w14:textId="77777777">
      <w:pPr>
        <w:pStyle w:val="FootnoteText"/>
        <w:spacing w:after="120"/>
      </w:pPr>
      <w:r>
        <w:rPr>
          <w:rStyle w:val="FootnoteReference"/>
        </w:rPr>
        <w:footnoteRef/>
      </w:r>
      <w:r>
        <w:t xml:space="preserve"> This 2.29% cost of debt is calculated by OCC in Case No. 19-468-GA-ALT. Dominion did not dispute this cost of debt of 2.29%. </w:t>
      </w:r>
      <w:r w:rsidRPr="00C63676">
        <w:rPr>
          <w:i/>
          <w:iCs/>
        </w:rPr>
        <w:t>See</w:t>
      </w:r>
      <w:r>
        <w:t xml:space="preserve"> Post-Hearing Brief By The Office of The Ohio Consumers’ Counsel at 9-11 (October 5, 2020). </w:t>
      </w:r>
    </w:p>
  </w:footnote>
  <w:footnote w:id="19">
    <w:p w:rsidR="00017C28" w:rsidRPr="00C37EAC" w:rsidP="001F37A8" w14:paraId="57A64203" w14:textId="77777777">
      <w:pPr>
        <w:pStyle w:val="FootnoteText"/>
        <w:spacing w:after="120"/>
      </w:pPr>
      <w:r w:rsidRPr="00C37EAC">
        <w:rPr>
          <w:rStyle w:val="FootnoteReference"/>
        </w:rPr>
        <w:footnoteRef/>
      </w:r>
      <w:r w:rsidRPr="00C37EAC">
        <w:t xml:space="preserve"> 7.86% = (2.29% * 0.4866) + (10.38% * 0.5134) * 1.2658.</w:t>
      </w:r>
    </w:p>
  </w:footnote>
  <w:footnote w:id="20">
    <w:p w:rsidR="00017C28" w:rsidRPr="00C37EAC" w:rsidP="001F37A8" w14:paraId="203F4056" w14:textId="77777777">
      <w:pPr>
        <w:pStyle w:val="FootnoteText"/>
        <w:spacing w:after="120"/>
      </w:pPr>
      <w:r w:rsidRPr="00C37EAC">
        <w:rPr>
          <w:rStyle w:val="FootnoteReference"/>
        </w:rPr>
        <w:footnoteRef/>
      </w:r>
      <w:r w:rsidRPr="00C37EAC">
        <w:t xml:space="preserve"> The additional CEP Charge of $14.1 million is calculated as follows: $14,085,563 = $687,100,619 * (9.91% - 7.86%). </w:t>
      </w:r>
    </w:p>
  </w:footnote>
  <w:footnote w:id="21">
    <w:p w:rsidR="00017C28" w:rsidP="001F37A8" w14:paraId="3593F584" w14:textId="77777777">
      <w:pPr>
        <w:pStyle w:val="FootnoteText"/>
        <w:spacing w:after="120"/>
      </w:pPr>
      <w:r w:rsidRPr="00C37EAC">
        <w:rPr>
          <w:rStyle w:val="FootnoteReference"/>
        </w:rPr>
        <w:footnoteRef/>
      </w:r>
      <w:r w:rsidRPr="00C37EAC">
        <w:t xml:space="preserve"> Audit Report at 10.</w:t>
      </w:r>
      <w:r>
        <w:t xml:space="preserve"> </w:t>
      </w:r>
    </w:p>
  </w:footnote>
  <w:footnote w:id="22">
    <w:p w:rsidR="001E10B2" w:rsidRPr="002A7ADE" w:rsidP="001F37A8" w14:paraId="3E4D33F7" w14:textId="1364F952">
      <w:pPr>
        <w:pStyle w:val="FootnoteText"/>
        <w:spacing w:after="120"/>
        <w:rPr>
          <w:i/>
          <w:iCs/>
        </w:rPr>
      </w:pPr>
      <w:r>
        <w:rPr>
          <w:rStyle w:val="FootnoteReference"/>
        </w:rPr>
        <w:footnoteRef/>
      </w:r>
      <w:r>
        <w:t xml:space="preserve"> </w:t>
      </w:r>
      <w:r w:rsidR="00C32A65">
        <w:t>Staff Report at 5.</w:t>
      </w:r>
    </w:p>
  </w:footnote>
  <w:footnote w:id="23">
    <w:p w:rsidR="001E10B2" w:rsidRPr="002D5858" w:rsidP="001F37A8" w14:paraId="32CF4FAA" w14:textId="77777777">
      <w:pPr>
        <w:pStyle w:val="FootnoteText"/>
        <w:spacing w:after="120"/>
      </w:pPr>
      <w:r>
        <w:rPr>
          <w:rStyle w:val="FootnoteReference"/>
        </w:rPr>
        <w:footnoteRef/>
      </w:r>
      <w:r>
        <w:t xml:space="preserve"> </w:t>
      </w:r>
      <w:r w:rsidRPr="002D5858">
        <w:t>2.44% = 10.38% - 7.94%.</w:t>
      </w:r>
    </w:p>
  </w:footnote>
  <w:footnote w:id="24">
    <w:p w:rsidR="00033303" w:rsidRPr="002D5858" w:rsidP="001F37A8" w14:paraId="26DE148B" w14:textId="5289D42A">
      <w:pPr>
        <w:pStyle w:val="FootnoteText"/>
        <w:spacing w:after="120"/>
      </w:pPr>
      <w:r w:rsidRPr="002D5858">
        <w:rPr>
          <w:rStyle w:val="FootnoteReference"/>
        </w:rPr>
        <w:footnoteRef/>
      </w:r>
      <w:r w:rsidRPr="002D5858">
        <w:t xml:space="preserve"> 8.32% = (6.50% * 0.4866) + (7.94% * 0.5134)</w:t>
      </w:r>
      <w:r w:rsidRPr="006465AC" w:rsidR="008641FF">
        <w:t xml:space="preserve"> * 1.2658</w:t>
      </w:r>
      <w:r w:rsidRPr="002D5858">
        <w:t>.</w:t>
      </w:r>
    </w:p>
  </w:footnote>
  <w:footnote w:id="25">
    <w:p w:rsidR="008641FF" w:rsidRPr="002D5858" w:rsidP="001F37A8" w14:paraId="05826A41" w14:textId="7B101227">
      <w:pPr>
        <w:pStyle w:val="FootnoteText"/>
        <w:spacing w:after="120"/>
      </w:pPr>
      <w:r w:rsidRPr="002D5858">
        <w:rPr>
          <w:rStyle w:val="FootnoteReference"/>
        </w:rPr>
        <w:footnoteRef/>
      </w:r>
      <w:r w:rsidRPr="002D5858">
        <w:t xml:space="preserve"> The additional CEP charge </w:t>
      </w:r>
      <w:r w:rsidRPr="006465AC">
        <w:t xml:space="preserve">of $10.9 million </w:t>
      </w:r>
      <w:r w:rsidRPr="002D5858">
        <w:t xml:space="preserve">is calculated </w:t>
      </w:r>
      <w:r w:rsidRPr="006C066E" w:rsidR="00B942C8">
        <w:t>as follows</w:t>
      </w:r>
      <w:r w:rsidRPr="006C066E" w:rsidR="00A57758">
        <w:t>:</w:t>
      </w:r>
      <w:r w:rsidR="006C066E">
        <w:t xml:space="preserve"> </w:t>
      </w:r>
      <w:r w:rsidRPr="002D5858">
        <w:t>$10,924,900 = $</w:t>
      </w:r>
      <w:r w:rsidRPr="002D5858" w:rsidR="007218FB">
        <w:t>687.100,619 * (9.91% - 8.32%).</w:t>
      </w:r>
      <w:r w:rsidRPr="002D5858">
        <w:t xml:space="preserve"> </w:t>
      </w:r>
    </w:p>
  </w:footnote>
  <w:footnote w:id="26">
    <w:p w:rsidR="008641FF" w:rsidP="001F37A8" w14:paraId="290E6EE4" w14:textId="74B8F260">
      <w:pPr>
        <w:pStyle w:val="FootnoteText"/>
        <w:spacing w:after="120"/>
      </w:pPr>
      <w:r w:rsidRPr="002D5858">
        <w:rPr>
          <w:rStyle w:val="FootnoteReference"/>
        </w:rPr>
        <w:footnoteRef/>
      </w:r>
      <w:r w:rsidRPr="002D5858">
        <w:t xml:space="preserve"> </w:t>
      </w:r>
      <w:r w:rsidRPr="002D5858" w:rsidR="007218FB">
        <w:t>Audit Report at 10.</w:t>
      </w:r>
      <w:r w:rsidR="007218FB">
        <w:t xml:space="preserve"> </w:t>
      </w:r>
    </w:p>
  </w:footnote>
  <w:footnote w:id="27">
    <w:p w:rsidR="00242714" w:rsidRPr="00FE413D" w:rsidP="001F37A8" w14:paraId="34A2B6C7" w14:textId="77777777">
      <w:pPr>
        <w:pStyle w:val="FootnoteText"/>
        <w:spacing w:after="120"/>
      </w:pPr>
      <w:r>
        <w:rPr>
          <w:rStyle w:val="FootnoteReference"/>
        </w:rPr>
        <w:footnoteRef/>
      </w:r>
      <w:r>
        <w:t xml:space="preserve"> Averch, Harvey and Johnson, Leland L., Behavior of the Firm Under Regulatory Constraint (1962).</w:t>
      </w:r>
    </w:p>
  </w:footnote>
  <w:footnote w:id="28">
    <w:p w:rsidR="001E10B2" w:rsidP="001F37A8" w14:paraId="0C1AE604" w14:textId="77777777">
      <w:pPr>
        <w:pStyle w:val="FootnoteText"/>
        <w:spacing w:after="120"/>
      </w:pPr>
      <w:r>
        <w:rPr>
          <w:rStyle w:val="FootnoteReference"/>
        </w:rPr>
        <w:footnoteRef/>
      </w:r>
      <w:r>
        <w:t xml:space="preserve"> </w:t>
      </w:r>
      <w:r w:rsidRPr="00C63676">
        <w:rPr>
          <w:i/>
          <w:iCs/>
        </w:rPr>
        <w:t>See</w:t>
      </w:r>
      <w:r>
        <w:t xml:space="preserve"> R.C. 4929.05 and 4929.111(C).</w:t>
      </w:r>
    </w:p>
  </w:footnote>
  <w:footnote w:id="29">
    <w:p w:rsidR="00054177" w:rsidP="001F37A8" w14:paraId="6F376820" w14:textId="4C0381F9">
      <w:pPr>
        <w:pStyle w:val="FootnoteText"/>
        <w:spacing w:after="120"/>
      </w:pPr>
      <w:r>
        <w:rPr>
          <w:rStyle w:val="FootnoteReference"/>
        </w:rPr>
        <w:footnoteRef/>
      </w:r>
      <w:r>
        <w:t xml:space="preserve"> Audit Report at 30.</w:t>
      </w:r>
    </w:p>
  </w:footnote>
  <w:footnote w:id="30">
    <w:p w:rsidR="00D439EE" w:rsidP="001F37A8" w14:paraId="4AA27CA5" w14:textId="5477FA68">
      <w:pPr>
        <w:pStyle w:val="FootnoteText"/>
        <w:spacing w:after="120"/>
      </w:pPr>
      <w:r>
        <w:rPr>
          <w:rStyle w:val="FootnoteReference"/>
        </w:rPr>
        <w:footnoteRef/>
      </w:r>
      <w:r>
        <w:t xml:space="preserve"> </w:t>
      </w:r>
      <w:r>
        <w:rPr>
          <w:i/>
          <w:iCs/>
        </w:rPr>
        <w:t>Id.</w:t>
      </w:r>
    </w:p>
  </w:footnote>
  <w:footnote w:id="31">
    <w:p w:rsidR="00D14F93" w:rsidP="001F37A8" w14:paraId="0384323D" w14:textId="752EF036">
      <w:pPr>
        <w:pStyle w:val="FootnoteText"/>
        <w:spacing w:after="120"/>
      </w:pPr>
      <w:r>
        <w:rPr>
          <w:rStyle w:val="FootnoteReference"/>
        </w:rPr>
        <w:footnoteRef/>
      </w:r>
      <w:r>
        <w:t xml:space="preserve"> </w:t>
      </w:r>
      <w:r w:rsidRPr="00C63676">
        <w:rPr>
          <w:i/>
          <w:iCs/>
        </w:rPr>
        <w:t>Id</w:t>
      </w:r>
      <w:r>
        <w:t>.</w:t>
      </w:r>
    </w:p>
  </w:footnote>
  <w:footnote w:id="32">
    <w:p w:rsidR="00D14F93" w:rsidP="001F37A8" w14:paraId="2C9D2EFD" w14:textId="24807148">
      <w:pPr>
        <w:pStyle w:val="FootnoteText"/>
        <w:spacing w:after="120"/>
      </w:pPr>
      <w:r>
        <w:rPr>
          <w:rStyle w:val="FootnoteReference"/>
        </w:rPr>
        <w:footnoteRef/>
      </w:r>
      <w:r>
        <w:t xml:space="preserve"> </w:t>
      </w:r>
      <w:r w:rsidRPr="00C63676">
        <w:rPr>
          <w:i/>
          <w:iCs/>
        </w:rPr>
        <w:t>Id.</w:t>
      </w:r>
    </w:p>
  </w:footnote>
  <w:footnote w:id="33">
    <w:p w:rsidR="00112968" w:rsidP="001F37A8" w14:paraId="749FFE78" w14:textId="20886781">
      <w:pPr>
        <w:pStyle w:val="FootnoteText"/>
        <w:spacing w:after="120"/>
      </w:pPr>
      <w:r>
        <w:rPr>
          <w:rStyle w:val="FootnoteReference"/>
        </w:rPr>
        <w:footnoteRef/>
      </w:r>
      <w:r>
        <w:t xml:space="preserve"> Staff Report at 4.</w:t>
      </w:r>
    </w:p>
  </w:footnote>
  <w:footnote w:id="34">
    <w:p w:rsidR="00EE0AEA" w:rsidRPr="00EE0AEA" w:rsidP="001F37A8" w14:paraId="300B8FC9" w14:textId="2FA3C1F0">
      <w:pPr>
        <w:pStyle w:val="FootnoteText"/>
        <w:spacing w:after="120"/>
      </w:pPr>
      <w:r>
        <w:rPr>
          <w:rStyle w:val="FootnoteReference"/>
        </w:rPr>
        <w:footnoteRef/>
      </w:r>
      <w:r>
        <w:t xml:space="preserve"> </w:t>
      </w:r>
      <w:r>
        <w:rPr>
          <w:i/>
          <w:iCs/>
        </w:rPr>
        <w:t>In the Matter of the 2016 Review of the Distribution Investment Rider Contained in the Tariff of the Ohio Power Company; In the Matter of the 2017 Review of the Distribution Investment Rider Contained in the Tariff of the Ohio Power Company</w:t>
      </w:r>
      <w:r>
        <w:t>, Consolidated Case Nos. 17-38-EL-RDR and 18-230-EL-RDR, Opinion and Order (June 17, 2020) at para. 47.</w:t>
      </w:r>
    </w:p>
  </w:footnote>
  <w:footnote w:id="35">
    <w:p w:rsidR="00436051" w:rsidP="001F37A8" w14:paraId="7B7739E3" w14:textId="496178A0">
      <w:pPr>
        <w:pStyle w:val="FootnoteText"/>
        <w:spacing w:after="120"/>
      </w:pPr>
      <w:r>
        <w:rPr>
          <w:rStyle w:val="FootnoteReference"/>
        </w:rPr>
        <w:footnoteRef/>
      </w:r>
      <w:r>
        <w:t xml:space="preserve"> </w:t>
      </w:r>
      <w:r>
        <w:rPr>
          <w:i/>
          <w:iCs/>
        </w:rPr>
        <w:t xml:space="preserve">See, e.g., </w:t>
      </w:r>
      <w:r w:rsidRPr="00436051">
        <w:rPr>
          <w:i/>
          <w:iCs/>
        </w:rPr>
        <w:t>In re Duke Energy Ohio, Inc.</w:t>
      </w:r>
      <w:r>
        <w:t xml:space="preserve">, Case No. 18-397- EL-RDR, Finding and Order (July 31, 2019) at para. 17; </w:t>
      </w:r>
      <w:r w:rsidRPr="00436051">
        <w:rPr>
          <w:i/>
          <w:iCs/>
        </w:rPr>
        <w:t>In re Duke Energy Ohio, Inc.</w:t>
      </w:r>
      <w:r>
        <w:t xml:space="preserve">, Case No. 16-664- EL-RDR, Finding and Order (May 15, 2019) at para. 16; </w:t>
      </w:r>
      <w:r w:rsidRPr="00436051">
        <w:rPr>
          <w:i/>
          <w:iCs/>
        </w:rPr>
        <w:t>In re Duke Energy Ohio, Inc.</w:t>
      </w:r>
      <w:r>
        <w:t xml:space="preserve">, Case No. 15-534- EL-RDR, Opinion and Order (Oct. 26, 2016) at paras. 20, 44; </w:t>
      </w:r>
      <w:r w:rsidRPr="00436051">
        <w:rPr>
          <w:i/>
          <w:iCs/>
        </w:rPr>
        <w:t>In re Ohio American Water Co.</w:t>
      </w:r>
      <w:r>
        <w:t xml:space="preserve">, Case No. 09-391-WS-AIR, Opinion and Order (May 5, 2010) at 20-22, Entry on Rehearing (June 23, 2010) at 11-12; </w:t>
      </w:r>
      <w:r w:rsidRPr="00436051">
        <w:rPr>
          <w:i/>
          <w:iCs/>
        </w:rPr>
        <w:t>In re Ohio Edison Co., The Cleveland Electric Illuminating Co., and The Toledo Edison Co.</w:t>
      </w:r>
      <w:r>
        <w:t>, Case No. 07-551-EL-AIR, et al., Opinion and Order (Jan. 21, 2009) at 17, Entry on Rehearing (Feb. 2, 2011) at 4-5.</w:t>
      </w:r>
    </w:p>
  </w:footnote>
  <w:footnote w:id="36">
    <w:p w:rsidR="00436051" w:rsidRPr="00436051" w:rsidP="001F37A8" w14:paraId="07770DF3" w14:textId="73B86184">
      <w:pPr>
        <w:pStyle w:val="FootnoteText"/>
        <w:spacing w:after="120"/>
      </w:pPr>
      <w:r>
        <w:rPr>
          <w:rStyle w:val="FootnoteReference"/>
        </w:rPr>
        <w:footnoteRef/>
      </w:r>
      <w:r>
        <w:t xml:space="preserve"> </w:t>
      </w:r>
      <w:r>
        <w:rPr>
          <w:i/>
          <w:iCs/>
        </w:rPr>
        <w:t>In the Matter of the Application of Duke Energy Ohio, Inc. for Approval of an Alternative Form of Regulation to Establish a Capital Expenditure Program Rider Mechanism</w:t>
      </w:r>
      <w:r>
        <w:t>, Case No. 19-791-GA-ALT.</w:t>
      </w:r>
    </w:p>
  </w:footnote>
  <w:footnote w:id="37">
    <w:p w:rsidR="009A50C4" w:rsidRPr="009A50C4" w:rsidP="001F37A8" w14:paraId="1F0AD547" w14:textId="40D7F252">
      <w:pPr>
        <w:pStyle w:val="FootnoteText"/>
        <w:spacing w:after="120"/>
      </w:pPr>
      <w:r>
        <w:rPr>
          <w:rStyle w:val="FootnoteReference"/>
        </w:rPr>
        <w:footnoteRef/>
      </w:r>
      <w:r>
        <w:t xml:space="preserve"> </w:t>
      </w:r>
      <w:r>
        <w:rPr>
          <w:i/>
          <w:iCs/>
        </w:rPr>
        <w:t xml:space="preserve">Id., </w:t>
      </w:r>
      <w:r>
        <w:t>Opinion and Order (April 21, 2021) at 40.</w:t>
      </w:r>
    </w:p>
  </w:footnote>
  <w:footnote w:id="38">
    <w:p w:rsidR="009A50C4" w:rsidRPr="009A50C4" w:rsidP="001F37A8" w14:paraId="10230AD3" w14:textId="46ADFC5A">
      <w:pPr>
        <w:pStyle w:val="FootnoteText"/>
        <w:spacing w:after="120"/>
        <w:rPr>
          <w:i/>
          <w:iCs/>
        </w:rPr>
      </w:pPr>
      <w:r>
        <w:rPr>
          <w:rStyle w:val="FootnoteReference"/>
        </w:rPr>
        <w:footnoteRef/>
      </w:r>
      <w:r>
        <w:t xml:space="preserve"> </w:t>
      </w:r>
      <w:r>
        <w:rPr>
          <w:i/>
          <w:iCs/>
        </w:rPr>
        <w:t>See id.</w:t>
      </w:r>
    </w:p>
  </w:footnote>
  <w:footnote w:id="39">
    <w:p w:rsidR="0016138C" w:rsidRPr="0016138C" w:rsidP="001F37A8" w14:paraId="0A5AC416" w14:textId="7D338720">
      <w:pPr>
        <w:pStyle w:val="FootnoteText"/>
        <w:spacing w:after="120"/>
      </w:pPr>
      <w:r>
        <w:rPr>
          <w:rStyle w:val="FootnoteReference"/>
        </w:rPr>
        <w:footnoteRef/>
      </w:r>
      <w:r>
        <w:t xml:space="preserve"> </w:t>
      </w:r>
      <w:r>
        <w:rPr>
          <w:i/>
          <w:iCs/>
        </w:rPr>
        <w:t xml:space="preserve">See </w:t>
      </w:r>
      <w:r w:rsidR="00F54C4C">
        <w:rPr>
          <w:i/>
          <w:iCs/>
        </w:rPr>
        <w:t xml:space="preserve">In the Matter of the Application of the East Ohio Gas Company D/B/A/ Dominion Energy Ohio for Implementation of the Tax Cuts and Jobs Act, et al., </w:t>
      </w:r>
      <w:r w:rsidR="00F54C4C">
        <w:t>Case Nos. 18-1908-GA-UNC, 19-1909-GA-ATA, and 19-1639-GA-AAM), Finding and Order (December 4, 2019).</w:t>
      </w:r>
      <w:r w:rsidR="00F54C4C">
        <w:rPr>
          <w:i/>
          <w:iCs/>
        </w:rPr>
        <w:t xml:space="preserve"> </w:t>
      </w:r>
    </w:p>
  </w:footnote>
  <w:footnote w:id="40">
    <w:p w:rsidR="00811388" w:rsidP="001F37A8" w14:paraId="581FFF07" w14:textId="6FBA03CE">
      <w:pPr>
        <w:pStyle w:val="FootnoteText"/>
        <w:spacing w:after="120"/>
      </w:pPr>
      <w:r>
        <w:rPr>
          <w:rStyle w:val="FootnoteReference"/>
        </w:rPr>
        <w:footnoteRef/>
      </w:r>
      <w:r>
        <w:t xml:space="preserve"> </w:t>
      </w:r>
      <w:r w:rsidRPr="00F54C4C">
        <w:rPr>
          <w:i/>
          <w:iCs/>
        </w:rPr>
        <w:t>See</w:t>
      </w:r>
      <w:r>
        <w:t xml:space="preserve"> </w:t>
      </w:r>
      <w:r w:rsidRPr="00F54C4C">
        <w:rPr>
          <w:i/>
          <w:iCs/>
        </w:rPr>
        <w:t xml:space="preserve">In the Matter of the Application of the East Ohio Gas Company </w:t>
      </w:r>
      <w:r w:rsidR="0066210B">
        <w:rPr>
          <w:i/>
          <w:iCs/>
        </w:rPr>
        <w:t>d/b/a</w:t>
      </w:r>
      <w:r w:rsidRPr="00F54C4C" w:rsidR="00692851">
        <w:rPr>
          <w:i/>
          <w:iCs/>
        </w:rPr>
        <w:t xml:space="preserve"> Dominion Energy Ohio for Approval of an Alternative Form of Regulation to Establish a Capital Expenditure Program Rider Mechanism</w:t>
      </w:r>
      <w:r w:rsidR="00692851">
        <w:t xml:space="preserve">, </w:t>
      </w:r>
      <w:r w:rsidR="00F476AC">
        <w:t xml:space="preserve">Case No. 19-468-GA-ALT, </w:t>
      </w:r>
      <w:r w:rsidR="00692851">
        <w:t>Opinion and Order (December 30, 2020) at 21</w:t>
      </w:r>
      <w:r w:rsidR="00F54C4C">
        <w:t xml:space="preserve">; </w:t>
      </w:r>
      <w:r w:rsidR="00692851">
        <w:t>56.</w:t>
      </w:r>
    </w:p>
  </w:footnote>
  <w:footnote w:id="41">
    <w:p w:rsidR="0016138C" w:rsidRPr="0016138C" w:rsidP="001F37A8" w14:paraId="6C609859" w14:textId="0C4E3EB9">
      <w:pPr>
        <w:pStyle w:val="FootnoteText"/>
        <w:spacing w:after="120"/>
      </w:pPr>
      <w:r>
        <w:rPr>
          <w:rStyle w:val="FootnoteReference"/>
        </w:rPr>
        <w:footnoteRef/>
      </w:r>
      <w:r>
        <w:t xml:space="preserve"> </w:t>
      </w:r>
      <w:r>
        <w:rPr>
          <w:i/>
          <w:iCs/>
        </w:rPr>
        <w:t xml:space="preserve">See </w:t>
      </w:r>
      <w:r>
        <w:t>Application at paras. 3-5.</w:t>
      </w:r>
    </w:p>
  </w:footnote>
  <w:footnote w:id="42">
    <w:p w:rsidR="006E0EAB" w:rsidRPr="006E0EAB" w:rsidP="001F37A8" w14:paraId="4146C563" w14:textId="488505CD">
      <w:pPr>
        <w:pStyle w:val="FootnoteText"/>
        <w:spacing w:after="120"/>
      </w:pPr>
      <w:r>
        <w:rPr>
          <w:rStyle w:val="FootnoteReference"/>
        </w:rPr>
        <w:footnoteRef/>
      </w:r>
      <w:r>
        <w:t xml:space="preserve"> </w:t>
      </w:r>
      <w:r>
        <w:rPr>
          <w:i/>
          <w:iCs/>
        </w:rPr>
        <w:t xml:space="preserve">See </w:t>
      </w:r>
      <w:r>
        <w:t>Consolidated Case No. 17-38-EL-RDR and 18-230-EL-RDR at para. 47.</w:t>
      </w:r>
    </w:p>
  </w:footnote>
  <w:footnote w:id="43">
    <w:p w:rsidR="00546025" w:rsidRPr="00546025" w:rsidP="001F37A8" w14:paraId="41C32232" w14:textId="700813BD">
      <w:pPr>
        <w:pStyle w:val="FootnoteText"/>
        <w:spacing w:after="120"/>
        <w:rPr>
          <w:i/>
          <w:iCs/>
        </w:rPr>
      </w:pPr>
      <w:r>
        <w:rPr>
          <w:rStyle w:val="FootnoteReference"/>
        </w:rPr>
        <w:footnoteRef/>
      </w:r>
      <w:r>
        <w:t xml:space="preserve"> </w:t>
      </w:r>
      <w:r>
        <w:rPr>
          <w:i/>
          <w:iCs/>
        </w:rPr>
        <w:t>Id.</w:t>
      </w:r>
    </w:p>
  </w:footnote>
  <w:footnote w:id="44">
    <w:p w:rsidR="00546025" w:rsidRPr="00EE0AEA" w:rsidP="001F37A8" w14:paraId="410D2318" w14:textId="77777777">
      <w:pPr>
        <w:pStyle w:val="FootnoteText"/>
        <w:spacing w:after="120"/>
      </w:pPr>
      <w:r>
        <w:rPr>
          <w:rStyle w:val="FootnoteReference"/>
        </w:rPr>
        <w:footnoteRef/>
      </w:r>
      <w:r>
        <w:t xml:space="preserve"> </w:t>
      </w:r>
      <w:r>
        <w:rPr>
          <w:i/>
          <w:iCs/>
        </w:rPr>
        <w:t>In the Matter of the 2016 Review of the Distribution Investment Rider Contained in the Tariff of the Ohio Power Company; In the Matter of the 2017 Review of the Distribution Investment Rider Contained in the Tariff of the Ohio Power Company</w:t>
      </w:r>
      <w:r>
        <w:t>, Consolidated Case Nos. 17-38-EL-RDR and 18-230-EL-RDR, Opinion and Order (June 17, 2020) at para. 47.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7795FAC"/>
    <w:multiLevelType w:val="hybridMultilevel"/>
    <w:tmpl w:val="1C48524A"/>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3DBC148F"/>
    <w:multiLevelType w:val="hybridMultilevel"/>
    <w:tmpl w:val="690C8A36"/>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4AF00AED"/>
    <w:multiLevelType w:val="hybridMultilevel"/>
    <w:tmpl w:val="A1C0AE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4FB17B7B"/>
    <w:multiLevelType w:val="hybridMultilevel"/>
    <w:tmpl w:val="6686AA7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641B1C6B"/>
    <w:multiLevelType w:val="hybridMultilevel"/>
    <w:tmpl w:val="7DEE95F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0">
    <w:nsid w:val="7525620E"/>
    <w:multiLevelType w:val="hybridMultilevel"/>
    <w:tmpl w:val="B9884D3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6"/>
  </w:num>
  <w:num w:numId="2">
    <w:abstractNumId w:val="5"/>
  </w:num>
  <w:num w:numId="3">
    <w:abstractNumId w:val="9"/>
  </w:num>
  <w:num w:numId="4">
    <w:abstractNumId w:val="7"/>
  </w:num>
  <w:num w:numId="5">
    <w:abstractNumId w:val="0"/>
  </w:num>
  <w:num w:numId="6">
    <w:abstractNumId w:val="11"/>
  </w:num>
  <w:num w:numId="7">
    <w:abstractNumId w:val="3"/>
  </w:num>
  <w:num w:numId="8">
    <w:abstractNumId w:val="10"/>
  </w:num>
  <w:num w:numId="9">
    <w:abstractNumId w:val="4"/>
  </w:num>
  <w:num w:numId="10">
    <w:abstractNumId w:val="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DC"/>
    <w:rsid w:val="000002F7"/>
    <w:rsid w:val="00003256"/>
    <w:rsid w:val="00007BE4"/>
    <w:rsid w:val="00011B56"/>
    <w:rsid w:val="00017C28"/>
    <w:rsid w:val="00025FEC"/>
    <w:rsid w:val="00033303"/>
    <w:rsid w:val="000520C5"/>
    <w:rsid w:val="00054177"/>
    <w:rsid w:val="0005488C"/>
    <w:rsid w:val="000623A7"/>
    <w:rsid w:val="00066E65"/>
    <w:rsid w:val="00067662"/>
    <w:rsid w:val="000769ED"/>
    <w:rsid w:val="000773BC"/>
    <w:rsid w:val="00091365"/>
    <w:rsid w:val="000B2FF8"/>
    <w:rsid w:val="000B3316"/>
    <w:rsid w:val="000B3D25"/>
    <w:rsid w:val="000C48AC"/>
    <w:rsid w:val="000D2D44"/>
    <w:rsid w:val="000D3CB7"/>
    <w:rsid w:val="000E1788"/>
    <w:rsid w:val="000E4787"/>
    <w:rsid w:val="000E6B41"/>
    <w:rsid w:val="000F4A3F"/>
    <w:rsid w:val="000F67B5"/>
    <w:rsid w:val="00110AAF"/>
    <w:rsid w:val="00112968"/>
    <w:rsid w:val="0012436D"/>
    <w:rsid w:val="001277C8"/>
    <w:rsid w:val="00130CA2"/>
    <w:rsid w:val="00133BAF"/>
    <w:rsid w:val="00136CA4"/>
    <w:rsid w:val="001450FB"/>
    <w:rsid w:val="001537ED"/>
    <w:rsid w:val="0016138C"/>
    <w:rsid w:val="00166062"/>
    <w:rsid w:val="00185D57"/>
    <w:rsid w:val="0019116F"/>
    <w:rsid w:val="001C2EE9"/>
    <w:rsid w:val="001C7B62"/>
    <w:rsid w:val="001D563C"/>
    <w:rsid w:val="001E10B2"/>
    <w:rsid w:val="001E3153"/>
    <w:rsid w:val="001E7860"/>
    <w:rsid w:val="001F37A8"/>
    <w:rsid w:val="002054C3"/>
    <w:rsid w:val="0020664D"/>
    <w:rsid w:val="002070FB"/>
    <w:rsid w:val="002072FF"/>
    <w:rsid w:val="002346D5"/>
    <w:rsid w:val="00242714"/>
    <w:rsid w:val="00245BB7"/>
    <w:rsid w:val="00257338"/>
    <w:rsid w:val="00265750"/>
    <w:rsid w:val="00280058"/>
    <w:rsid w:val="002812E4"/>
    <w:rsid w:val="00281502"/>
    <w:rsid w:val="002864CE"/>
    <w:rsid w:val="002975CA"/>
    <w:rsid w:val="002A1833"/>
    <w:rsid w:val="002A7ADE"/>
    <w:rsid w:val="002B2A1B"/>
    <w:rsid w:val="002B5102"/>
    <w:rsid w:val="002B54B9"/>
    <w:rsid w:val="002C25A2"/>
    <w:rsid w:val="002C6022"/>
    <w:rsid w:val="002D3B14"/>
    <w:rsid w:val="002D5858"/>
    <w:rsid w:val="002E0F2F"/>
    <w:rsid w:val="002F0CDB"/>
    <w:rsid w:val="0030104A"/>
    <w:rsid w:val="003014FD"/>
    <w:rsid w:val="00304692"/>
    <w:rsid w:val="00310E97"/>
    <w:rsid w:val="00315F53"/>
    <w:rsid w:val="00326FA5"/>
    <w:rsid w:val="00340405"/>
    <w:rsid w:val="00347BCC"/>
    <w:rsid w:val="00351175"/>
    <w:rsid w:val="00364FC9"/>
    <w:rsid w:val="00367582"/>
    <w:rsid w:val="00372DFE"/>
    <w:rsid w:val="00383AE6"/>
    <w:rsid w:val="00385B26"/>
    <w:rsid w:val="003916C0"/>
    <w:rsid w:val="00393F2C"/>
    <w:rsid w:val="003A75C7"/>
    <w:rsid w:val="003B4855"/>
    <w:rsid w:val="003B7DC6"/>
    <w:rsid w:val="003D30A5"/>
    <w:rsid w:val="003D5071"/>
    <w:rsid w:val="003D618A"/>
    <w:rsid w:val="003D6749"/>
    <w:rsid w:val="003F1D60"/>
    <w:rsid w:val="00401507"/>
    <w:rsid w:val="0040684A"/>
    <w:rsid w:val="00411478"/>
    <w:rsid w:val="00436051"/>
    <w:rsid w:val="004515C4"/>
    <w:rsid w:val="004515F8"/>
    <w:rsid w:val="00460D90"/>
    <w:rsid w:val="0047181C"/>
    <w:rsid w:val="00474101"/>
    <w:rsid w:val="0047757F"/>
    <w:rsid w:val="004778AF"/>
    <w:rsid w:val="00481650"/>
    <w:rsid w:val="004A2D3F"/>
    <w:rsid w:val="004A44C0"/>
    <w:rsid w:val="004A67EC"/>
    <w:rsid w:val="004A6D4E"/>
    <w:rsid w:val="004A79A4"/>
    <w:rsid w:val="004B341B"/>
    <w:rsid w:val="004B41CD"/>
    <w:rsid w:val="004B4DFA"/>
    <w:rsid w:val="004C039E"/>
    <w:rsid w:val="004D4C6D"/>
    <w:rsid w:val="004E3A86"/>
    <w:rsid w:val="004E6754"/>
    <w:rsid w:val="004F119E"/>
    <w:rsid w:val="004F5544"/>
    <w:rsid w:val="004F5BDC"/>
    <w:rsid w:val="004F6A26"/>
    <w:rsid w:val="004F6AD0"/>
    <w:rsid w:val="004F7D47"/>
    <w:rsid w:val="005119DA"/>
    <w:rsid w:val="00517420"/>
    <w:rsid w:val="00521C0D"/>
    <w:rsid w:val="00524818"/>
    <w:rsid w:val="00526881"/>
    <w:rsid w:val="00540D08"/>
    <w:rsid w:val="00546025"/>
    <w:rsid w:val="00565FA7"/>
    <w:rsid w:val="00571ED5"/>
    <w:rsid w:val="00583506"/>
    <w:rsid w:val="00590DC3"/>
    <w:rsid w:val="00592F22"/>
    <w:rsid w:val="005A2A37"/>
    <w:rsid w:val="005B7A70"/>
    <w:rsid w:val="005C051A"/>
    <w:rsid w:val="005D455D"/>
    <w:rsid w:val="005E1A52"/>
    <w:rsid w:val="005E23DC"/>
    <w:rsid w:val="006026F9"/>
    <w:rsid w:val="00621A3E"/>
    <w:rsid w:val="00632A00"/>
    <w:rsid w:val="00637187"/>
    <w:rsid w:val="00642606"/>
    <w:rsid w:val="006465AC"/>
    <w:rsid w:val="00652332"/>
    <w:rsid w:val="00654543"/>
    <w:rsid w:val="00661572"/>
    <w:rsid w:val="0066210B"/>
    <w:rsid w:val="00663698"/>
    <w:rsid w:val="00690416"/>
    <w:rsid w:val="00692851"/>
    <w:rsid w:val="00692EB0"/>
    <w:rsid w:val="0069402D"/>
    <w:rsid w:val="00694E4A"/>
    <w:rsid w:val="006A4746"/>
    <w:rsid w:val="006A4970"/>
    <w:rsid w:val="006B45D4"/>
    <w:rsid w:val="006C066E"/>
    <w:rsid w:val="006C187E"/>
    <w:rsid w:val="006C2EF7"/>
    <w:rsid w:val="006D7165"/>
    <w:rsid w:val="006D7569"/>
    <w:rsid w:val="006E0740"/>
    <w:rsid w:val="006E0EAB"/>
    <w:rsid w:val="006E130A"/>
    <w:rsid w:val="006E3F2E"/>
    <w:rsid w:val="006E5F2B"/>
    <w:rsid w:val="00705795"/>
    <w:rsid w:val="0070583E"/>
    <w:rsid w:val="007218FB"/>
    <w:rsid w:val="0073230A"/>
    <w:rsid w:val="007360B0"/>
    <w:rsid w:val="00741411"/>
    <w:rsid w:val="00741C33"/>
    <w:rsid w:val="00742DDD"/>
    <w:rsid w:val="00744C80"/>
    <w:rsid w:val="0074512F"/>
    <w:rsid w:val="0074700C"/>
    <w:rsid w:val="007519C7"/>
    <w:rsid w:val="00760330"/>
    <w:rsid w:val="007644B2"/>
    <w:rsid w:val="00770F28"/>
    <w:rsid w:val="00771014"/>
    <w:rsid w:val="00774340"/>
    <w:rsid w:val="007840A0"/>
    <w:rsid w:val="00786AA5"/>
    <w:rsid w:val="007A3A19"/>
    <w:rsid w:val="007B30C6"/>
    <w:rsid w:val="007C23DB"/>
    <w:rsid w:val="007D7CBD"/>
    <w:rsid w:val="007F0AC4"/>
    <w:rsid w:val="007F72D1"/>
    <w:rsid w:val="0080038A"/>
    <w:rsid w:val="008009E1"/>
    <w:rsid w:val="008065FF"/>
    <w:rsid w:val="00811286"/>
    <w:rsid w:val="00811388"/>
    <w:rsid w:val="00814BD8"/>
    <w:rsid w:val="00821F0E"/>
    <w:rsid w:val="00824D53"/>
    <w:rsid w:val="0083461E"/>
    <w:rsid w:val="00835CCD"/>
    <w:rsid w:val="00836BDA"/>
    <w:rsid w:val="00841E5F"/>
    <w:rsid w:val="008426DF"/>
    <w:rsid w:val="00846631"/>
    <w:rsid w:val="008471C5"/>
    <w:rsid w:val="008539FB"/>
    <w:rsid w:val="008641FF"/>
    <w:rsid w:val="00890AFE"/>
    <w:rsid w:val="008B5447"/>
    <w:rsid w:val="008D4A0F"/>
    <w:rsid w:val="008E0F6B"/>
    <w:rsid w:val="008E2499"/>
    <w:rsid w:val="008E26A5"/>
    <w:rsid w:val="008E2D75"/>
    <w:rsid w:val="008E347F"/>
    <w:rsid w:val="008E4E01"/>
    <w:rsid w:val="008F1B0B"/>
    <w:rsid w:val="008F4F1E"/>
    <w:rsid w:val="00907065"/>
    <w:rsid w:val="00912D89"/>
    <w:rsid w:val="009138DC"/>
    <w:rsid w:val="00915DF4"/>
    <w:rsid w:val="00920B1D"/>
    <w:rsid w:val="00940067"/>
    <w:rsid w:val="009617A4"/>
    <w:rsid w:val="009649D5"/>
    <w:rsid w:val="009910F8"/>
    <w:rsid w:val="009A50C4"/>
    <w:rsid w:val="009C1A19"/>
    <w:rsid w:val="009D37EA"/>
    <w:rsid w:val="009D6275"/>
    <w:rsid w:val="009E06A5"/>
    <w:rsid w:val="009E1326"/>
    <w:rsid w:val="00A00122"/>
    <w:rsid w:val="00A037BF"/>
    <w:rsid w:val="00A044B5"/>
    <w:rsid w:val="00A12CE6"/>
    <w:rsid w:val="00A134F7"/>
    <w:rsid w:val="00A342E4"/>
    <w:rsid w:val="00A457B3"/>
    <w:rsid w:val="00A5364A"/>
    <w:rsid w:val="00A57758"/>
    <w:rsid w:val="00A61AFF"/>
    <w:rsid w:val="00A64CE4"/>
    <w:rsid w:val="00A6642A"/>
    <w:rsid w:val="00A700C4"/>
    <w:rsid w:val="00A721DF"/>
    <w:rsid w:val="00A91671"/>
    <w:rsid w:val="00A92FC4"/>
    <w:rsid w:val="00A93BC9"/>
    <w:rsid w:val="00AA31DB"/>
    <w:rsid w:val="00AB22E0"/>
    <w:rsid w:val="00AB6A8B"/>
    <w:rsid w:val="00AC03B0"/>
    <w:rsid w:val="00AC37FB"/>
    <w:rsid w:val="00B00277"/>
    <w:rsid w:val="00B039BE"/>
    <w:rsid w:val="00B157A9"/>
    <w:rsid w:val="00B1681B"/>
    <w:rsid w:val="00B21D29"/>
    <w:rsid w:val="00B268F6"/>
    <w:rsid w:val="00B43093"/>
    <w:rsid w:val="00B5449A"/>
    <w:rsid w:val="00B652E1"/>
    <w:rsid w:val="00B7455E"/>
    <w:rsid w:val="00B83149"/>
    <w:rsid w:val="00B84853"/>
    <w:rsid w:val="00B84F9F"/>
    <w:rsid w:val="00B9184D"/>
    <w:rsid w:val="00B942C8"/>
    <w:rsid w:val="00BA0756"/>
    <w:rsid w:val="00BB18B2"/>
    <w:rsid w:val="00BB6930"/>
    <w:rsid w:val="00BB780C"/>
    <w:rsid w:val="00BC05C0"/>
    <w:rsid w:val="00BC1411"/>
    <w:rsid w:val="00BC170B"/>
    <w:rsid w:val="00BD2A5A"/>
    <w:rsid w:val="00BD43E5"/>
    <w:rsid w:val="00BE37F0"/>
    <w:rsid w:val="00BF6812"/>
    <w:rsid w:val="00BF6EBE"/>
    <w:rsid w:val="00C0060E"/>
    <w:rsid w:val="00C06536"/>
    <w:rsid w:val="00C231CF"/>
    <w:rsid w:val="00C32A65"/>
    <w:rsid w:val="00C37EAC"/>
    <w:rsid w:val="00C410BE"/>
    <w:rsid w:val="00C5036A"/>
    <w:rsid w:val="00C621CA"/>
    <w:rsid w:val="00C6360D"/>
    <w:rsid w:val="00C63676"/>
    <w:rsid w:val="00C65CC3"/>
    <w:rsid w:val="00C93B8B"/>
    <w:rsid w:val="00CB5D16"/>
    <w:rsid w:val="00CD2819"/>
    <w:rsid w:val="00CD556D"/>
    <w:rsid w:val="00CD6851"/>
    <w:rsid w:val="00CE1E47"/>
    <w:rsid w:val="00CE42CF"/>
    <w:rsid w:val="00CF3990"/>
    <w:rsid w:val="00CF5A7A"/>
    <w:rsid w:val="00D0552F"/>
    <w:rsid w:val="00D06845"/>
    <w:rsid w:val="00D14B90"/>
    <w:rsid w:val="00D14F93"/>
    <w:rsid w:val="00D1700D"/>
    <w:rsid w:val="00D171B9"/>
    <w:rsid w:val="00D4185C"/>
    <w:rsid w:val="00D419ED"/>
    <w:rsid w:val="00D439EE"/>
    <w:rsid w:val="00D47ECF"/>
    <w:rsid w:val="00D542AC"/>
    <w:rsid w:val="00D6741A"/>
    <w:rsid w:val="00D74569"/>
    <w:rsid w:val="00D74612"/>
    <w:rsid w:val="00D7695E"/>
    <w:rsid w:val="00D842F6"/>
    <w:rsid w:val="00D86902"/>
    <w:rsid w:val="00D875C7"/>
    <w:rsid w:val="00D879B3"/>
    <w:rsid w:val="00D961B0"/>
    <w:rsid w:val="00DB1C53"/>
    <w:rsid w:val="00DB2909"/>
    <w:rsid w:val="00DB5164"/>
    <w:rsid w:val="00DB6AED"/>
    <w:rsid w:val="00DB6F1A"/>
    <w:rsid w:val="00DB746D"/>
    <w:rsid w:val="00DC3974"/>
    <w:rsid w:val="00DC61DF"/>
    <w:rsid w:val="00DD5A24"/>
    <w:rsid w:val="00DE0FE3"/>
    <w:rsid w:val="00DE12D5"/>
    <w:rsid w:val="00DE2862"/>
    <w:rsid w:val="00DF6691"/>
    <w:rsid w:val="00DF6B06"/>
    <w:rsid w:val="00E2304E"/>
    <w:rsid w:val="00E361DC"/>
    <w:rsid w:val="00E41E2A"/>
    <w:rsid w:val="00E473A7"/>
    <w:rsid w:val="00E5478E"/>
    <w:rsid w:val="00E66445"/>
    <w:rsid w:val="00E66F25"/>
    <w:rsid w:val="00E705C3"/>
    <w:rsid w:val="00E90A07"/>
    <w:rsid w:val="00E91397"/>
    <w:rsid w:val="00E93580"/>
    <w:rsid w:val="00E951E7"/>
    <w:rsid w:val="00E951E8"/>
    <w:rsid w:val="00EA7207"/>
    <w:rsid w:val="00EB4020"/>
    <w:rsid w:val="00EC69C0"/>
    <w:rsid w:val="00EC7E9F"/>
    <w:rsid w:val="00EE0AEA"/>
    <w:rsid w:val="00EE75BA"/>
    <w:rsid w:val="00EE7BE6"/>
    <w:rsid w:val="00EF4251"/>
    <w:rsid w:val="00F10980"/>
    <w:rsid w:val="00F14BBF"/>
    <w:rsid w:val="00F20CD8"/>
    <w:rsid w:val="00F2534D"/>
    <w:rsid w:val="00F264F2"/>
    <w:rsid w:val="00F40885"/>
    <w:rsid w:val="00F4732B"/>
    <w:rsid w:val="00F476AC"/>
    <w:rsid w:val="00F54C4C"/>
    <w:rsid w:val="00F5627E"/>
    <w:rsid w:val="00F5628F"/>
    <w:rsid w:val="00F72206"/>
    <w:rsid w:val="00F87C07"/>
    <w:rsid w:val="00F93B6B"/>
    <w:rsid w:val="00FA280C"/>
    <w:rsid w:val="00FB00E6"/>
    <w:rsid w:val="00FC0F0B"/>
    <w:rsid w:val="00FC41E1"/>
    <w:rsid w:val="00FC622B"/>
    <w:rsid w:val="00FD0673"/>
    <w:rsid w:val="00FD1706"/>
    <w:rsid w:val="00FD5E41"/>
    <w:rsid w:val="00FD6E65"/>
    <w:rsid w:val="00FE413D"/>
    <w:rsid w:val="00FE7C4E"/>
    <w:rsid w:val="00FE7F0A"/>
    <w:rsid w:val="00FF08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E5F"/>
    <w:rPr>
      <w:sz w:val="24"/>
    </w:rPr>
  </w:style>
  <w:style w:type="paragraph" w:styleId="Heading1">
    <w:name w:val="heading 1"/>
    <w:basedOn w:val="Normal"/>
    <w:next w:val="Normal"/>
    <w:link w:val="Heading1Char"/>
    <w:qFormat/>
    <w:rsid w:val="00EF4251"/>
    <w:pPr>
      <w:keepNext/>
      <w:spacing w:after="240"/>
      <w:ind w:left="720" w:hanging="720"/>
      <w:outlineLvl w:val="0"/>
    </w:pPr>
    <w:rPr>
      <w:b/>
      <w:szCs w:val="24"/>
    </w:rPr>
  </w:style>
  <w:style w:type="paragraph" w:styleId="Heading2">
    <w:name w:val="heading 2"/>
    <w:basedOn w:val="Normal"/>
    <w:next w:val="Normal"/>
    <w:link w:val="Heading2Char"/>
    <w:qFormat/>
    <w:rsid w:val="00C63676"/>
    <w:pPr>
      <w:keepNext/>
      <w:tabs>
        <w:tab w:val="left" w:pos="4320"/>
      </w:tabs>
      <w:spacing w:after="240"/>
      <w:ind w:left="1440" w:hanging="720"/>
      <w:outlineLvl w:val="1"/>
    </w:pPr>
    <w:rPr>
      <w:rFonts w:ascii="Times New Roman Bold" w:hAnsi="Times New Roman Bold"/>
      <w:b/>
    </w:rPr>
  </w:style>
  <w:style w:type="paragraph" w:styleId="Heading3">
    <w:name w:val="heading 3"/>
    <w:basedOn w:val="Normal"/>
    <w:next w:val="Normal"/>
    <w:qFormat/>
    <w:rsid w:val="00BF6812"/>
    <w:pPr>
      <w:keepNext/>
      <w:spacing w:after="240"/>
      <w:ind w:left="2160" w:hanging="720"/>
      <w:outlineLvl w:val="2"/>
    </w:pPr>
    <w:rPr>
      <w:rFonts w:ascii="Times New Roman Bold" w:hAnsi="Times New Roman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913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9138DC"/>
    <w:pPr>
      <w:tabs>
        <w:tab w:val="center" w:pos="4320"/>
        <w:tab w:val="right" w:pos="8640"/>
      </w:tabs>
    </w:pPr>
    <w:rPr>
      <w:sz w:val="20"/>
    </w:rPr>
  </w:style>
  <w:style w:type="character" w:styleId="Hyperlink">
    <w:name w:val="Hyperlink"/>
    <w:uiPriority w:val="99"/>
    <w:rsid w:val="009138DC"/>
    <w:rPr>
      <w:color w:val="0000FF"/>
      <w:u w:val="single"/>
    </w:rPr>
  </w:style>
  <w:style w:type="paragraph" w:styleId="FootnoteText">
    <w:name w:val="footnote text"/>
    <w:aliases w:val="ALTS FOOTNOTE,Footnote Text Cha,Footnote Text Char Char4 Char,Footnote Text Char Char4 Char1 Char Char,Footnote Text Char2,Footnote Text Char4 Char,Footnote Text Char4 Char1 Char Char,Footnote Text Char5 Char1 Char Char Char Char Char,fn"/>
    <w:basedOn w:val="Normal"/>
    <w:link w:val="FootnoteTextChar"/>
    <w:qFormat/>
    <w:rsid w:val="009138DC"/>
    <w:rPr>
      <w:sz w:val="20"/>
    </w:rPr>
  </w:style>
  <w:style w:type="character" w:styleId="FootnoteReference">
    <w:name w:val="footnote reference"/>
    <w:aliases w:val="(NECG) Footnote Reference,Appel note de bas de p,Style 11,Style 12,Style 124,Style 13,Style 15,Style 16,Style 17,Style 18,Style 19,Style 20,Style 21,Style 28,Style 3,Style 4,Style 42,Style 7,Style 8,Style 9,fr,fr1,fr2,fr3,o,o1,o2,o3"/>
    <w:qFormat/>
    <w:rsid w:val="009138DC"/>
    <w:rPr>
      <w:vertAlign w:val="superscript"/>
    </w:rPr>
  </w:style>
  <w:style w:type="paragraph" w:styleId="BodyTextIndent">
    <w:name w:val="Body Text Indent"/>
    <w:basedOn w:val="Normal"/>
    <w:rsid w:val="009138DC"/>
    <w:pPr>
      <w:spacing w:line="480" w:lineRule="auto"/>
      <w:ind w:firstLine="720"/>
    </w:pPr>
  </w:style>
  <w:style w:type="paragraph" w:styleId="BodyTextIndent3">
    <w:name w:val="Body Text Indent 3"/>
    <w:basedOn w:val="Normal"/>
    <w:link w:val="BodyTextIndent3Char"/>
    <w:rsid w:val="009138DC"/>
    <w:pPr>
      <w:spacing w:line="480" w:lineRule="atLeast"/>
      <w:ind w:firstLine="720"/>
    </w:pPr>
  </w:style>
  <w:style w:type="paragraph" w:styleId="BodyTextIndent2">
    <w:name w:val="Body Text Indent 2"/>
    <w:basedOn w:val="Normal"/>
    <w:rsid w:val="009138DC"/>
    <w:pPr>
      <w:tabs>
        <w:tab w:val="left" w:pos="720"/>
      </w:tabs>
      <w:spacing w:before="240" w:after="240"/>
      <w:ind w:left="1464" w:hanging="744"/>
    </w:pPr>
  </w:style>
  <w:style w:type="character" w:styleId="PageNumber">
    <w:name w:val="page number"/>
    <w:basedOn w:val="DefaultParagraphFont"/>
    <w:rsid w:val="009138DC"/>
  </w:style>
  <w:style w:type="paragraph" w:styleId="BodyText">
    <w:name w:val="Body Text"/>
    <w:basedOn w:val="Normal"/>
    <w:link w:val="BodyTextChar"/>
    <w:rsid w:val="009138DC"/>
    <w:pPr>
      <w:jc w:val="both"/>
    </w:pPr>
  </w:style>
  <w:style w:type="paragraph" w:styleId="BlockText">
    <w:name w:val="Block Text"/>
    <w:basedOn w:val="Normal"/>
    <w:rsid w:val="009138DC"/>
    <w:pPr>
      <w:ind w:left="1440" w:right="720"/>
    </w:pPr>
  </w:style>
  <w:style w:type="paragraph" w:styleId="EndnoteText">
    <w:name w:val="endnote text"/>
    <w:basedOn w:val="Normal"/>
    <w:semiHidden/>
    <w:rsid w:val="009138DC"/>
    <w:rPr>
      <w:sz w:val="20"/>
    </w:rPr>
  </w:style>
  <w:style w:type="character" w:styleId="EndnoteReference">
    <w:name w:val="endnote reference"/>
    <w:semiHidden/>
    <w:rsid w:val="009138DC"/>
    <w:rPr>
      <w:vertAlign w:val="superscript"/>
    </w:rPr>
  </w:style>
  <w:style w:type="paragraph" w:styleId="BodyText2">
    <w:name w:val="Body Text 2"/>
    <w:basedOn w:val="Normal"/>
    <w:rsid w:val="009138DC"/>
    <w:pPr>
      <w:spacing w:line="480" w:lineRule="auto"/>
      <w:ind w:right="1440"/>
    </w:pPr>
  </w:style>
  <w:style w:type="paragraph" w:styleId="Header">
    <w:name w:val="header"/>
    <w:basedOn w:val="Normal"/>
    <w:rsid w:val="009138DC"/>
    <w:pPr>
      <w:tabs>
        <w:tab w:val="center" w:pos="4320"/>
        <w:tab w:val="right" w:pos="8640"/>
      </w:tabs>
    </w:pPr>
  </w:style>
  <w:style w:type="paragraph" w:styleId="BalloonText">
    <w:name w:val="Balloon Text"/>
    <w:basedOn w:val="Normal"/>
    <w:semiHidden/>
    <w:rsid w:val="009138DC"/>
    <w:rPr>
      <w:rFonts w:ascii="Lucida Grande" w:hAnsi="Lucida Grande"/>
      <w:sz w:val="18"/>
      <w:szCs w:val="18"/>
    </w:rPr>
  </w:style>
  <w:style w:type="character" w:styleId="CommentReference">
    <w:name w:val="annotation reference"/>
    <w:semiHidden/>
    <w:rsid w:val="009138DC"/>
    <w:rPr>
      <w:sz w:val="18"/>
    </w:rPr>
  </w:style>
  <w:style w:type="paragraph" w:styleId="CommentText">
    <w:name w:val="annotation text"/>
    <w:basedOn w:val="Normal"/>
    <w:link w:val="CommentTextChar"/>
    <w:semiHidden/>
    <w:rsid w:val="009138DC"/>
    <w:rPr>
      <w:szCs w:val="24"/>
    </w:rPr>
  </w:style>
  <w:style w:type="paragraph" w:styleId="CommentSubject">
    <w:name w:val="annotation subject"/>
    <w:basedOn w:val="CommentText"/>
    <w:next w:val="CommentText"/>
    <w:link w:val="CommentSubjectChar"/>
    <w:semiHidden/>
    <w:rsid w:val="009138DC"/>
    <w:rPr>
      <w:szCs w:val="20"/>
    </w:rPr>
  </w:style>
  <w:style w:type="character" w:styleId="FollowedHyperlink">
    <w:name w:val="FollowedHyperlink"/>
    <w:rsid w:val="009138DC"/>
    <w:rPr>
      <w:color w:val="800080"/>
      <w:u w:val="single"/>
    </w:rPr>
  </w:style>
  <w:style w:type="character" w:customStyle="1" w:styleId="term1">
    <w:name w:val="term1"/>
    <w:rsid w:val="009138DC"/>
    <w:rPr>
      <w:b/>
      <w:bCs/>
    </w:rPr>
  </w:style>
  <w:style w:type="table" w:styleId="TableGrid">
    <w:name w:val="Table Grid"/>
    <w:basedOn w:val="TableNormal"/>
    <w:rsid w:val="00913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9138DC"/>
    <w:pPr>
      <w:suppressAutoHyphens/>
      <w:spacing w:line="480" w:lineRule="atLeast"/>
      <w:ind w:firstLine="720"/>
    </w:pPr>
    <w:rPr>
      <w:lang w:eastAsia="ar-SA"/>
    </w:rPr>
  </w:style>
  <w:style w:type="character" w:customStyle="1" w:styleId="UnresolvedMention1">
    <w:name w:val="Unresolved Mention1"/>
    <w:basedOn w:val="DefaultParagraphFont"/>
    <w:uiPriority w:val="99"/>
    <w:semiHidden/>
    <w:unhideWhenUsed/>
    <w:rsid w:val="00FE7F0A"/>
    <w:rPr>
      <w:color w:val="605E5C"/>
      <w:shd w:val="clear" w:color="auto" w:fill="E1DFDD"/>
    </w:rPr>
  </w:style>
  <w:style w:type="character" w:customStyle="1" w:styleId="FooterChar">
    <w:name w:val="Footer Char"/>
    <w:basedOn w:val="DefaultParagraphFont"/>
    <w:link w:val="Footer"/>
    <w:uiPriority w:val="99"/>
    <w:rsid w:val="00FE7F0A"/>
  </w:style>
  <w:style w:type="character" w:customStyle="1" w:styleId="FootnoteTextChar">
    <w:name w:val="Footnote Text Char"/>
    <w:aliases w:val="ALTS FOOTNOTE Char,Footnote Text Cha Char,Footnote Text Char Char4 Char Char,Footnote Text Char Char4 Char1 Char Char Char,Footnote Text Char2 Char,Footnote Text Char4 Char Char,Footnote Text Char4 Char1 Char Char Char,fn Char"/>
    <w:basedOn w:val="DefaultParagraphFont"/>
    <w:link w:val="FootnoteText"/>
    <w:rsid w:val="00E951E8"/>
  </w:style>
  <w:style w:type="character" w:customStyle="1" w:styleId="BodyTextIndent3Char">
    <w:name w:val="Body Text Indent 3 Char"/>
    <w:basedOn w:val="DefaultParagraphFont"/>
    <w:link w:val="BodyTextIndent3"/>
    <w:rsid w:val="00E951E8"/>
    <w:rPr>
      <w:sz w:val="24"/>
    </w:rPr>
  </w:style>
  <w:style w:type="character" w:customStyle="1" w:styleId="UnresolvedMention2">
    <w:name w:val="Unresolved Mention2"/>
    <w:basedOn w:val="DefaultParagraphFont"/>
    <w:uiPriority w:val="99"/>
    <w:semiHidden/>
    <w:unhideWhenUsed/>
    <w:rsid w:val="00D74569"/>
    <w:rPr>
      <w:color w:val="605E5C"/>
      <w:shd w:val="clear" w:color="auto" w:fill="E1DFDD"/>
    </w:rPr>
  </w:style>
  <w:style w:type="character" w:customStyle="1" w:styleId="HTMLPreformattedChar">
    <w:name w:val="HTML Preformatted Char"/>
    <w:basedOn w:val="DefaultParagraphFont"/>
    <w:link w:val="HTMLPreformatted"/>
    <w:rsid w:val="00841E5F"/>
    <w:rPr>
      <w:rFonts w:ascii="Courier New" w:eastAsia="Courier New" w:hAnsi="Courier New" w:cs="Courier New"/>
    </w:rPr>
  </w:style>
  <w:style w:type="character" w:customStyle="1" w:styleId="Heading1Char">
    <w:name w:val="Heading 1 Char"/>
    <w:basedOn w:val="DefaultParagraphFont"/>
    <w:link w:val="Heading1"/>
    <w:rsid w:val="00EF4251"/>
    <w:rPr>
      <w:b/>
      <w:sz w:val="24"/>
      <w:szCs w:val="24"/>
    </w:rPr>
  </w:style>
  <w:style w:type="paragraph" w:styleId="TOC1">
    <w:name w:val="toc 1"/>
    <w:basedOn w:val="Normal"/>
    <w:next w:val="Normal"/>
    <w:autoRedefine/>
    <w:uiPriority w:val="39"/>
    <w:unhideWhenUsed/>
    <w:rsid w:val="00637187"/>
    <w:pPr>
      <w:tabs>
        <w:tab w:val="decimal" w:leader="dot" w:pos="9360"/>
      </w:tabs>
      <w:spacing w:after="240"/>
      <w:ind w:left="720" w:hanging="720"/>
    </w:pPr>
  </w:style>
  <w:style w:type="paragraph" w:styleId="TOC2">
    <w:name w:val="toc 2"/>
    <w:basedOn w:val="Normal"/>
    <w:next w:val="Normal"/>
    <w:autoRedefine/>
    <w:uiPriority w:val="39"/>
    <w:unhideWhenUsed/>
    <w:rsid w:val="00637187"/>
    <w:pPr>
      <w:tabs>
        <w:tab w:val="left" w:pos="2126"/>
        <w:tab w:val="decimal" w:leader="dot" w:pos="9360"/>
      </w:tabs>
      <w:spacing w:after="240"/>
      <w:ind w:left="1440" w:hanging="720"/>
    </w:pPr>
  </w:style>
  <w:style w:type="paragraph" w:styleId="ListParagraph">
    <w:name w:val="List Paragraph"/>
    <w:basedOn w:val="Normal"/>
    <w:uiPriority w:val="34"/>
    <w:qFormat/>
    <w:rsid w:val="002A7ADE"/>
    <w:pPr>
      <w:ind w:left="720"/>
      <w:contextualSpacing/>
    </w:pPr>
  </w:style>
  <w:style w:type="character" w:customStyle="1" w:styleId="BodyTextChar">
    <w:name w:val="Body Text Char"/>
    <w:basedOn w:val="DefaultParagraphFont"/>
    <w:link w:val="BodyText"/>
    <w:rsid w:val="00FD6E65"/>
    <w:rPr>
      <w:sz w:val="24"/>
    </w:rPr>
  </w:style>
  <w:style w:type="character" w:customStyle="1" w:styleId="CommentTextChar">
    <w:name w:val="Comment Text Char"/>
    <w:basedOn w:val="DefaultParagraphFont"/>
    <w:link w:val="CommentText"/>
    <w:semiHidden/>
    <w:rsid w:val="00FD6E65"/>
    <w:rPr>
      <w:sz w:val="24"/>
      <w:szCs w:val="24"/>
    </w:rPr>
  </w:style>
  <w:style w:type="character" w:customStyle="1" w:styleId="CommentSubjectChar">
    <w:name w:val="Comment Subject Char"/>
    <w:basedOn w:val="CommentTextChar"/>
    <w:link w:val="CommentSubject"/>
    <w:semiHidden/>
    <w:rsid w:val="00FD6E65"/>
    <w:rPr>
      <w:sz w:val="24"/>
      <w:szCs w:val="24"/>
    </w:rPr>
  </w:style>
  <w:style w:type="paragraph" w:styleId="Revision">
    <w:name w:val="Revision"/>
    <w:hidden/>
    <w:uiPriority w:val="99"/>
    <w:semiHidden/>
    <w:rsid w:val="00B83149"/>
    <w:rPr>
      <w:sz w:val="24"/>
    </w:rPr>
  </w:style>
  <w:style w:type="character" w:customStyle="1" w:styleId="Heading2Char">
    <w:name w:val="Heading 2 Char"/>
    <w:basedOn w:val="DefaultParagraphFont"/>
    <w:link w:val="Heading2"/>
    <w:rsid w:val="001E10B2"/>
    <w:rPr>
      <w:rFonts w:ascii="Times New Roman Bold" w:hAnsi="Times New Roman Bold"/>
      <w:b/>
      <w:sz w:val="24"/>
    </w:rPr>
  </w:style>
  <w:style w:type="character" w:customStyle="1" w:styleId="UnresolvedMention">
    <w:name w:val="Unresolved Mention"/>
    <w:basedOn w:val="DefaultParagraphFont"/>
    <w:rsid w:val="00F10980"/>
    <w:rPr>
      <w:color w:val="605E5C"/>
      <w:shd w:val="clear" w:color="auto" w:fill="E1DFDD"/>
    </w:rPr>
  </w:style>
  <w:style w:type="paragraph" w:styleId="TOC3">
    <w:name w:val="toc 3"/>
    <w:basedOn w:val="Normal"/>
    <w:next w:val="Normal"/>
    <w:autoRedefine/>
    <w:uiPriority w:val="39"/>
    <w:unhideWhenUsed/>
    <w:rsid w:val="00915DF4"/>
    <w:pPr>
      <w:tabs>
        <w:tab w:val="decimal" w:leader="dot" w:pos="9360"/>
      </w:tabs>
      <w:spacing w:after="240"/>
      <w:ind w:left="216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yperlink" Target="mailto:werner.margard@OhioAGO.gov" TargetMode="External" /><Relationship Id="rId12" Type="http://schemas.openxmlformats.org/officeDocument/2006/relationships/hyperlink" Target="mailto:kyle.kern@OhioAGO.gov" TargetMode="External" /><Relationship Id="rId13" Type="http://schemas.openxmlformats.org/officeDocument/2006/relationships/hyperlink" Target="mailto:sarah.parrot@puco.ohio.gov" TargetMode="External" /><Relationship Id="rId14" Type="http://schemas.openxmlformats.org/officeDocument/2006/relationships/hyperlink" Target="mailto:Jacqueline.St.John@puco.ohio.gov" TargetMode="External" /><Relationship Id="rId15" Type="http://schemas.openxmlformats.org/officeDocument/2006/relationships/hyperlink" Target="mailto:kennedy@whitt-sturtevant.com" TargetMode="External" /><Relationship Id="rId16" Type="http://schemas.openxmlformats.org/officeDocument/2006/relationships/hyperlink" Target="mailto:fykes@whitt-sturtevant.com" TargetMode="External" /><Relationship Id="rId17" Type="http://schemas.openxmlformats.org/officeDocument/2006/relationships/hyperlink" Target="mailto:andrew.j.campbell@dominionenergy.com" TargetMode="External" /><Relationship Id="rId18" Type="http://schemas.openxmlformats.org/officeDocument/2006/relationships/footer" Target="footer4.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william.michael@occ.ohio.gov" TargetMode="External" /><Relationship Id="rId7" Type="http://schemas.openxmlformats.org/officeDocument/2006/relationships/hyperlink" Target="mailto:ambrosia.wilson@occ.ohio.gov" TargetMode="External" /><Relationship Id="rId8" Type="http://schemas.openxmlformats.org/officeDocument/2006/relationships/footer" Target="footer1.xml" /><Relationship Id="rId9" Type="http://schemas.openxmlformats.org/officeDocument/2006/relationships/footer" Target="footer2.xml" /></Relationships>
</file>

<file path=word/_rels/footnotes.xml.rels>&#65279;<?xml version="1.0" encoding="utf-8" standalone="yes"?><Relationships xmlns="http://schemas.openxmlformats.org/package/2006/relationships"><Relationship Id="rId1" Type="http://schemas.openxmlformats.org/officeDocument/2006/relationships/hyperlink" Target="https://advance.lexis.com/document/?pdmfid=1000516&amp;crid=db6ee51f-8ebc-4be9-8475-467c9fe33b85&amp;pddocfullpath=%2Fshared%2Fdocument%2Fcases%2Furn%3AcontentItem%3A618P-PMV1-FG12-62S7-00000-00&amp;pdcontentcomponentid=9249&amp;pdshepid=urn%3AcontentItem%3A618M-CTS3-GXF6-92F9-00000-00&amp;pdteaserkey=sr0&amp;pditab=allpods&amp;ecomp=ydgpk&amp;earg=sr0&amp;prid=293d125f-6dc1-4993-bbc7-6905ef79335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F750D0-8694-4B73-829D-E2579D3A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3421</Words>
  <Characters>19502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2021-08-16T21:13:28Z</dcterms:created>
  <dcterms:modified xsi:type="dcterms:W3CDTF">2021-08-16T21:13:28Z</dcterms:modified>
</cp:coreProperties>
</file>