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F56FC" w:rsidRPr="00A95BB3" w:rsidP="007F56FC" w14:paraId="76893F69" w14:textId="77777777">
      <w:pPr>
        <w:jc w:val="center"/>
        <w:rPr>
          <w:rFonts w:cs="Times New Roman"/>
          <w:b/>
          <w:bCs/>
          <w:szCs w:val="24"/>
        </w:rPr>
      </w:pPr>
      <w:r w:rsidRPr="00A95BB3">
        <w:rPr>
          <w:rFonts w:cs="Times New Roman"/>
          <w:b/>
          <w:bCs/>
          <w:szCs w:val="24"/>
        </w:rPr>
        <w:t>BEFORE THE</w:t>
      </w:r>
    </w:p>
    <w:p w:rsidR="007F56FC" w:rsidRPr="00A95BB3" w:rsidP="007F56FC" w14:paraId="0A529AA1" w14:textId="5EEE3706">
      <w:pPr>
        <w:spacing w:after="240"/>
        <w:jc w:val="center"/>
        <w:rPr>
          <w:rFonts w:cs="Times New Roman"/>
          <w:b/>
          <w:bCs/>
          <w:szCs w:val="24"/>
        </w:rPr>
      </w:pPr>
      <w:r w:rsidRPr="00A95BB3">
        <w:rPr>
          <w:rFonts w:cs="Times New Roman"/>
          <w:b/>
          <w:bCs/>
          <w:szCs w:val="24"/>
        </w:rPr>
        <w:t>PUBLIC UTILITIES COMMISSION OF OHIO</w:t>
      </w:r>
    </w:p>
    <w:tbl>
      <w:tblPr>
        <w:tblW w:w="9092" w:type="dxa"/>
        <w:tblLook w:val="01E0"/>
      </w:tblPr>
      <w:tblGrid>
        <w:gridCol w:w="4332"/>
        <w:gridCol w:w="360"/>
        <w:gridCol w:w="4400"/>
      </w:tblGrid>
      <w:tr w14:paraId="1D945329" w14:textId="77777777" w:rsidTr="009A7FA9">
        <w:tblPrEx>
          <w:tblW w:w="9092" w:type="dxa"/>
          <w:tblLook w:val="01E0"/>
        </w:tblPrEx>
        <w:trPr>
          <w:trHeight w:val="807"/>
        </w:trPr>
        <w:tc>
          <w:tcPr>
            <w:tcW w:w="4332" w:type="dxa"/>
            <w:shd w:val="clear" w:color="auto" w:fill="auto"/>
          </w:tcPr>
          <w:p w:rsidR="000A1D6E" w:rsidRPr="00A95BB3" w:rsidP="009A7FA9" w14:paraId="305E57CA"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In the Matter of the 2014 Review of the Demand Side Management and Energy Efficiency Riders of Ohio Edison Company, The Cleveland Electric Illuminating Company, and The Toledo Edison Company.</w:t>
            </w:r>
          </w:p>
        </w:tc>
        <w:tc>
          <w:tcPr>
            <w:tcW w:w="360" w:type="dxa"/>
            <w:shd w:val="clear" w:color="auto" w:fill="auto"/>
          </w:tcPr>
          <w:p w:rsidR="000A1D6E" w:rsidRPr="00A95BB3" w:rsidP="009A7FA9" w14:paraId="66684AC1"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4A08C686"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4DB4D88C"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2DE452D8"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2B4AF619"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75CFD773"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tc>
        <w:tc>
          <w:tcPr>
            <w:tcW w:w="4400" w:type="dxa"/>
            <w:shd w:val="clear" w:color="auto" w:fill="auto"/>
          </w:tcPr>
          <w:p w:rsidR="000A1D6E" w:rsidRPr="00A95BB3" w:rsidP="009A7FA9" w14:paraId="418943B9" w14:textId="77777777">
            <w:pPr>
              <w:pStyle w:val="HTMLPreformatted"/>
              <w:rPr>
                <w:rFonts w:ascii="Times New Roman" w:hAnsi="Times New Roman" w:cs="Times New Roman"/>
                <w:sz w:val="24"/>
                <w:szCs w:val="24"/>
              </w:rPr>
            </w:pPr>
          </w:p>
          <w:p w:rsidR="000A1D6E" w:rsidRPr="00A95BB3" w:rsidP="009A7FA9" w14:paraId="49F7EE3E" w14:textId="77777777">
            <w:pPr>
              <w:pStyle w:val="HTMLPreformatted"/>
              <w:rPr>
                <w:rFonts w:ascii="Times New Roman" w:hAnsi="Times New Roman" w:cs="Times New Roman"/>
                <w:sz w:val="24"/>
                <w:szCs w:val="24"/>
              </w:rPr>
            </w:pPr>
          </w:p>
          <w:p w:rsidR="000A1D6E" w:rsidRPr="00A95BB3" w:rsidP="009A7FA9" w14:paraId="477B98CA"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Case No. 13-2173-EL-RDR</w:t>
            </w:r>
          </w:p>
          <w:p w:rsidR="000A1D6E" w:rsidRPr="00A95BB3" w:rsidP="009A7FA9" w14:paraId="6BA1562C" w14:textId="77777777">
            <w:pPr>
              <w:pStyle w:val="HTMLPreformatted"/>
              <w:rPr>
                <w:rFonts w:ascii="Times New Roman" w:hAnsi="Times New Roman" w:cs="Times New Roman"/>
                <w:sz w:val="24"/>
                <w:szCs w:val="24"/>
              </w:rPr>
            </w:pPr>
          </w:p>
          <w:p w:rsidR="000A1D6E" w:rsidRPr="00A95BB3" w:rsidP="009A7FA9" w14:paraId="2773B931" w14:textId="77777777">
            <w:pPr>
              <w:pStyle w:val="HTMLPreformatted"/>
              <w:rPr>
                <w:rFonts w:ascii="Times New Roman" w:hAnsi="Times New Roman" w:cs="Times New Roman"/>
                <w:sz w:val="24"/>
                <w:szCs w:val="24"/>
              </w:rPr>
            </w:pPr>
          </w:p>
        </w:tc>
      </w:tr>
      <w:tr w14:paraId="61B58103" w14:textId="77777777" w:rsidTr="009A7FA9">
        <w:tblPrEx>
          <w:tblW w:w="9092" w:type="dxa"/>
          <w:tblLook w:val="01E0"/>
        </w:tblPrEx>
        <w:trPr>
          <w:trHeight w:val="807"/>
        </w:trPr>
        <w:tc>
          <w:tcPr>
            <w:tcW w:w="4332" w:type="dxa"/>
            <w:shd w:val="clear" w:color="auto" w:fill="auto"/>
          </w:tcPr>
          <w:p w:rsidR="000A1D6E" w:rsidRPr="00A95BB3" w:rsidP="009A7FA9" w14:paraId="5E4714E0" w14:textId="77777777">
            <w:pPr>
              <w:pStyle w:val="HTMLPreformatted"/>
              <w:rPr>
                <w:rFonts w:ascii="Times New Roman" w:hAnsi="Times New Roman" w:cs="Times New Roman"/>
                <w:sz w:val="24"/>
                <w:szCs w:val="24"/>
              </w:rPr>
            </w:pPr>
          </w:p>
          <w:p w:rsidR="000A1D6E" w:rsidRPr="00A95BB3" w:rsidP="009A7FA9" w14:paraId="67F8AC11"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In the Matter of the 2015 Review of the Demand Side Management and Energy Efficiency Riders of Ohio Edison Company, The Cleveland Electric Illuminating Company, and The Toledo Edison Company.</w:t>
            </w:r>
          </w:p>
        </w:tc>
        <w:tc>
          <w:tcPr>
            <w:tcW w:w="360" w:type="dxa"/>
            <w:shd w:val="clear" w:color="auto" w:fill="auto"/>
          </w:tcPr>
          <w:p w:rsidR="000A1D6E" w:rsidRPr="00A95BB3" w:rsidP="009A7FA9" w14:paraId="49EDE815" w14:textId="77777777">
            <w:pPr>
              <w:pStyle w:val="HTMLPreformatted"/>
              <w:rPr>
                <w:rFonts w:ascii="Times New Roman" w:hAnsi="Times New Roman" w:cs="Times New Roman"/>
                <w:sz w:val="24"/>
                <w:szCs w:val="24"/>
              </w:rPr>
            </w:pPr>
          </w:p>
          <w:p w:rsidR="000A1D6E" w:rsidRPr="00A95BB3" w:rsidP="009A7FA9" w14:paraId="46ED5AA6"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1ABB7729"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24D7261B"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6CDD94DA"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0BA44E22"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39562739"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tc>
        <w:tc>
          <w:tcPr>
            <w:tcW w:w="4400" w:type="dxa"/>
            <w:shd w:val="clear" w:color="auto" w:fill="auto"/>
          </w:tcPr>
          <w:p w:rsidR="000A1D6E" w:rsidRPr="00A95BB3" w:rsidP="009A7FA9" w14:paraId="392B8A60" w14:textId="77777777">
            <w:pPr>
              <w:pStyle w:val="HTMLPreformatted"/>
              <w:rPr>
                <w:rFonts w:ascii="Times New Roman" w:hAnsi="Times New Roman" w:cs="Times New Roman"/>
                <w:sz w:val="24"/>
                <w:szCs w:val="24"/>
              </w:rPr>
            </w:pPr>
          </w:p>
          <w:p w:rsidR="000A1D6E" w:rsidRPr="00A95BB3" w:rsidP="009A7FA9" w14:paraId="56686874" w14:textId="77777777">
            <w:pPr>
              <w:pStyle w:val="HTMLPreformatted"/>
              <w:rPr>
                <w:rFonts w:ascii="Times New Roman" w:hAnsi="Times New Roman" w:cs="Times New Roman"/>
                <w:sz w:val="24"/>
                <w:szCs w:val="24"/>
              </w:rPr>
            </w:pPr>
          </w:p>
          <w:p w:rsidR="000A1D6E" w:rsidRPr="00A95BB3" w:rsidP="009A7FA9" w14:paraId="56F89253" w14:textId="77777777">
            <w:pPr>
              <w:pStyle w:val="HTMLPreformatted"/>
              <w:rPr>
                <w:rFonts w:ascii="Times New Roman" w:hAnsi="Times New Roman" w:cs="Times New Roman"/>
                <w:sz w:val="24"/>
                <w:szCs w:val="24"/>
              </w:rPr>
            </w:pPr>
          </w:p>
          <w:p w:rsidR="000A1D6E" w:rsidRPr="00A95BB3" w:rsidP="009A7FA9" w14:paraId="7E7C1356" w14:textId="7A52D66A">
            <w:pPr>
              <w:pStyle w:val="HTMLPreformatted"/>
              <w:rPr>
                <w:rFonts w:ascii="Times New Roman" w:hAnsi="Times New Roman" w:cs="Times New Roman"/>
                <w:sz w:val="24"/>
                <w:szCs w:val="24"/>
              </w:rPr>
            </w:pPr>
            <w:r w:rsidRPr="00A95BB3">
              <w:rPr>
                <w:rFonts w:ascii="Times New Roman" w:hAnsi="Times New Roman" w:cs="Times New Roman"/>
                <w:sz w:val="24"/>
                <w:szCs w:val="24"/>
              </w:rPr>
              <w:t>Case No. 14-1947-EL-RDR</w:t>
            </w:r>
          </w:p>
          <w:p w:rsidR="000A1D6E" w:rsidRPr="00A95BB3" w:rsidP="009A7FA9" w14:paraId="78FECB57" w14:textId="77777777">
            <w:pPr>
              <w:pStyle w:val="HTMLPreformatted"/>
              <w:rPr>
                <w:rFonts w:ascii="Times New Roman" w:hAnsi="Times New Roman" w:cs="Times New Roman"/>
                <w:sz w:val="24"/>
                <w:szCs w:val="24"/>
              </w:rPr>
            </w:pPr>
          </w:p>
          <w:p w:rsidR="000A1D6E" w:rsidRPr="00A95BB3" w:rsidP="009A7FA9" w14:paraId="61CBC79B" w14:textId="77777777">
            <w:pPr>
              <w:pStyle w:val="HTMLPreformatted"/>
              <w:rPr>
                <w:rFonts w:ascii="Times New Roman" w:hAnsi="Times New Roman" w:cs="Times New Roman"/>
                <w:sz w:val="24"/>
                <w:szCs w:val="24"/>
              </w:rPr>
            </w:pPr>
          </w:p>
        </w:tc>
      </w:tr>
    </w:tbl>
    <w:p w:rsidR="000A1D6E" w:rsidRPr="00A95BB3" w:rsidP="000A1D6E" w14:paraId="0B234C06" w14:textId="77777777">
      <w:pPr>
        <w:pStyle w:val="HTMLPreformatted"/>
        <w:jc w:val="center"/>
        <w:rPr>
          <w:rFonts w:ascii="Times New Roman" w:hAnsi="Times New Roman" w:cs="Times New Roman"/>
          <w:b/>
          <w:bCs/>
          <w:sz w:val="24"/>
          <w:szCs w:val="24"/>
        </w:rPr>
      </w:pPr>
    </w:p>
    <w:tbl>
      <w:tblPr>
        <w:tblW w:w="9092" w:type="dxa"/>
        <w:tblLook w:val="01E0"/>
      </w:tblPr>
      <w:tblGrid>
        <w:gridCol w:w="4332"/>
        <w:gridCol w:w="360"/>
        <w:gridCol w:w="4400"/>
      </w:tblGrid>
      <w:tr w14:paraId="47389BA5" w14:textId="77777777" w:rsidTr="009A7FA9">
        <w:tblPrEx>
          <w:tblW w:w="9092" w:type="dxa"/>
          <w:tblLook w:val="01E0"/>
        </w:tblPrEx>
        <w:trPr>
          <w:trHeight w:val="807"/>
        </w:trPr>
        <w:tc>
          <w:tcPr>
            <w:tcW w:w="4332" w:type="dxa"/>
            <w:shd w:val="clear" w:color="auto" w:fill="auto"/>
          </w:tcPr>
          <w:p w:rsidR="000A1D6E" w:rsidRPr="00A95BB3" w:rsidP="009A7FA9" w14:paraId="6428464A"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 xml:space="preserve">In the Matter of the 2016 Review of the </w:t>
            </w:r>
          </w:p>
          <w:p w:rsidR="000A1D6E" w:rsidRPr="00A95BB3" w:rsidP="009A7FA9" w14:paraId="781D62FD"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Demand Side Management and Energy Efficiency Rider of Ohio Edison Company, The Cleveland Electric Illuminating Company, and The Toledo Edison Company.</w:t>
            </w:r>
          </w:p>
          <w:p w:rsidR="000A1D6E" w:rsidRPr="00A95BB3" w:rsidP="009A7FA9" w14:paraId="1A6B8983" w14:textId="77777777">
            <w:pPr>
              <w:pStyle w:val="HTMLPreformatted"/>
              <w:rPr>
                <w:rFonts w:ascii="Times New Roman" w:hAnsi="Times New Roman" w:cs="Times New Roman"/>
                <w:sz w:val="24"/>
                <w:szCs w:val="24"/>
              </w:rPr>
            </w:pPr>
          </w:p>
        </w:tc>
        <w:tc>
          <w:tcPr>
            <w:tcW w:w="360" w:type="dxa"/>
            <w:shd w:val="clear" w:color="auto" w:fill="auto"/>
          </w:tcPr>
          <w:p w:rsidR="000A1D6E" w:rsidRPr="00A95BB3" w:rsidP="009A7FA9" w14:paraId="2A8714F9"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1B3C58A5"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752170A7"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1EEBB825"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5404387C"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40F7CD1B"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7D845966" w14:textId="77777777">
            <w:pPr>
              <w:pStyle w:val="HTMLPreformatted"/>
              <w:rPr>
                <w:rFonts w:ascii="Times New Roman" w:hAnsi="Times New Roman" w:cs="Times New Roman"/>
                <w:sz w:val="24"/>
                <w:szCs w:val="24"/>
              </w:rPr>
            </w:pPr>
          </w:p>
        </w:tc>
        <w:tc>
          <w:tcPr>
            <w:tcW w:w="4400" w:type="dxa"/>
            <w:shd w:val="clear" w:color="auto" w:fill="auto"/>
          </w:tcPr>
          <w:p w:rsidR="000A1D6E" w:rsidRPr="00A95BB3" w:rsidP="009A7FA9" w14:paraId="5966A107" w14:textId="77777777">
            <w:pPr>
              <w:pStyle w:val="HTMLPreformatted"/>
              <w:rPr>
                <w:rFonts w:ascii="Times New Roman" w:hAnsi="Times New Roman" w:cs="Times New Roman"/>
                <w:sz w:val="24"/>
                <w:szCs w:val="24"/>
              </w:rPr>
            </w:pPr>
          </w:p>
          <w:p w:rsidR="000A1D6E" w:rsidRPr="00A95BB3" w:rsidP="009A7FA9" w14:paraId="513C76DD" w14:textId="77777777">
            <w:pPr>
              <w:pStyle w:val="HTMLPreformatted"/>
              <w:rPr>
                <w:rFonts w:ascii="Times New Roman" w:hAnsi="Times New Roman" w:cs="Times New Roman"/>
                <w:sz w:val="24"/>
                <w:szCs w:val="24"/>
              </w:rPr>
            </w:pPr>
          </w:p>
          <w:p w:rsidR="000A1D6E" w:rsidRPr="00A95BB3" w:rsidP="009A7FA9" w14:paraId="17A8D6A7"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Case No. 15-1843-EL-RDR</w:t>
            </w:r>
          </w:p>
          <w:p w:rsidR="000A1D6E" w:rsidRPr="00A95BB3" w:rsidP="009A7FA9" w14:paraId="433F7A64" w14:textId="77777777">
            <w:pPr>
              <w:pStyle w:val="HTMLPreformatted"/>
              <w:rPr>
                <w:rFonts w:ascii="Times New Roman" w:hAnsi="Times New Roman" w:cs="Times New Roman"/>
                <w:sz w:val="24"/>
                <w:szCs w:val="24"/>
              </w:rPr>
            </w:pPr>
          </w:p>
          <w:p w:rsidR="000A1D6E" w:rsidRPr="00A95BB3" w:rsidP="009A7FA9" w14:paraId="7547313B" w14:textId="77777777">
            <w:pPr>
              <w:pStyle w:val="HTMLPreformatted"/>
              <w:rPr>
                <w:rFonts w:ascii="Times New Roman" w:hAnsi="Times New Roman" w:cs="Times New Roman"/>
                <w:sz w:val="24"/>
                <w:szCs w:val="24"/>
              </w:rPr>
            </w:pPr>
          </w:p>
        </w:tc>
      </w:tr>
      <w:tr w14:paraId="5C093B8D" w14:textId="77777777" w:rsidTr="009A7FA9">
        <w:tblPrEx>
          <w:tblW w:w="9092" w:type="dxa"/>
          <w:tblLook w:val="01E0"/>
        </w:tblPrEx>
        <w:trPr>
          <w:trHeight w:val="807"/>
        </w:trPr>
        <w:tc>
          <w:tcPr>
            <w:tcW w:w="4332" w:type="dxa"/>
            <w:shd w:val="clear" w:color="auto" w:fill="auto"/>
          </w:tcPr>
          <w:p w:rsidR="000A1D6E" w:rsidRPr="00A95BB3" w:rsidP="009A7FA9" w14:paraId="61B7E27B"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In the Matter of the 2017 Review of the Demand Side Management and Energy Efficiency Riders of Ohio Edison Company, The Cleveland Electric Illuminating Company, and The Toledo Edison Company.</w:t>
            </w:r>
          </w:p>
        </w:tc>
        <w:tc>
          <w:tcPr>
            <w:tcW w:w="360" w:type="dxa"/>
            <w:shd w:val="clear" w:color="auto" w:fill="auto"/>
          </w:tcPr>
          <w:p w:rsidR="000A1D6E" w:rsidRPr="00A95BB3" w:rsidP="009A7FA9" w14:paraId="667864D8"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33C19C58"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2597A8B2"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462F8E81"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297ABC89"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649FAD28"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tc>
        <w:tc>
          <w:tcPr>
            <w:tcW w:w="4400" w:type="dxa"/>
            <w:shd w:val="clear" w:color="auto" w:fill="auto"/>
          </w:tcPr>
          <w:p w:rsidR="000A1D6E" w:rsidRPr="00A95BB3" w:rsidP="009A7FA9" w14:paraId="5CC2CC1E" w14:textId="77777777">
            <w:pPr>
              <w:pStyle w:val="HTMLPreformatted"/>
              <w:rPr>
                <w:rFonts w:ascii="Times New Roman" w:hAnsi="Times New Roman" w:cs="Times New Roman"/>
                <w:sz w:val="24"/>
                <w:szCs w:val="24"/>
              </w:rPr>
            </w:pPr>
          </w:p>
          <w:p w:rsidR="000A1D6E" w:rsidRPr="00A95BB3" w:rsidP="009A7FA9" w14:paraId="381D8D04" w14:textId="77777777">
            <w:pPr>
              <w:pStyle w:val="HTMLPreformatted"/>
              <w:rPr>
                <w:rFonts w:ascii="Times New Roman" w:hAnsi="Times New Roman" w:cs="Times New Roman"/>
                <w:sz w:val="24"/>
                <w:szCs w:val="24"/>
              </w:rPr>
            </w:pPr>
          </w:p>
          <w:p w:rsidR="000A1D6E" w:rsidRPr="00A95BB3" w:rsidP="009A7FA9" w14:paraId="60B79E6E"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Case No. 16-2167-EL-RDR</w:t>
            </w:r>
          </w:p>
          <w:p w:rsidR="000A1D6E" w:rsidRPr="00A95BB3" w:rsidP="009A7FA9" w14:paraId="7F45C2D7" w14:textId="77777777">
            <w:pPr>
              <w:pStyle w:val="HTMLPreformatted"/>
              <w:rPr>
                <w:rFonts w:ascii="Times New Roman" w:hAnsi="Times New Roman" w:cs="Times New Roman"/>
                <w:sz w:val="24"/>
                <w:szCs w:val="24"/>
              </w:rPr>
            </w:pPr>
          </w:p>
          <w:p w:rsidR="000A1D6E" w:rsidRPr="00A95BB3" w:rsidP="009A7FA9" w14:paraId="3250ACFD" w14:textId="77777777">
            <w:pPr>
              <w:pStyle w:val="HTMLPreformatted"/>
              <w:rPr>
                <w:rFonts w:ascii="Times New Roman" w:hAnsi="Times New Roman" w:cs="Times New Roman"/>
                <w:sz w:val="24"/>
                <w:szCs w:val="24"/>
              </w:rPr>
            </w:pPr>
          </w:p>
        </w:tc>
      </w:tr>
    </w:tbl>
    <w:p w:rsidR="000A1D6E" w:rsidRPr="00A95BB3" w:rsidP="000A1D6E" w14:paraId="693E81A9" w14:textId="77777777">
      <w:pPr>
        <w:pStyle w:val="HTMLPreformatted"/>
        <w:jc w:val="center"/>
        <w:rPr>
          <w:rFonts w:ascii="Times New Roman" w:hAnsi="Times New Roman" w:cs="Times New Roman"/>
          <w:b/>
          <w:bCs/>
          <w:sz w:val="24"/>
          <w:szCs w:val="24"/>
        </w:rPr>
      </w:pPr>
    </w:p>
    <w:tbl>
      <w:tblPr>
        <w:tblW w:w="9092" w:type="dxa"/>
        <w:tblLook w:val="01E0"/>
      </w:tblPr>
      <w:tblGrid>
        <w:gridCol w:w="4332"/>
        <w:gridCol w:w="360"/>
        <w:gridCol w:w="4400"/>
      </w:tblGrid>
      <w:tr w14:paraId="5EBC6B4F" w14:textId="77777777" w:rsidTr="009A7FA9">
        <w:tblPrEx>
          <w:tblW w:w="9092" w:type="dxa"/>
          <w:tblLook w:val="01E0"/>
        </w:tblPrEx>
        <w:trPr>
          <w:trHeight w:val="807"/>
        </w:trPr>
        <w:tc>
          <w:tcPr>
            <w:tcW w:w="4332" w:type="dxa"/>
            <w:shd w:val="clear" w:color="auto" w:fill="auto"/>
          </w:tcPr>
          <w:p w:rsidR="000A1D6E" w:rsidRPr="00A95BB3" w:rsidP="009A7FA9" w14:paraId="1E0130C0"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 xml:space="preserve">In the Matter of the 2018 Review of the </w:t>
            </w:r>
          </w:p>
          <w:p w:rsidR="000A1D6E" w:rsidRPr="00A95BB3" w:rsidP="009A7FA9" w14:paraId="2EB7EEFF"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Demand Side Management and Energy Efficiency Rider of Ohio Edison Company, The Cleveland Electric Illuminating Company, and The Toledo Edison Company.</w:t>
            </w:r>
          </w:p>
        </w:tc>
        <w:tc>
          <w:tcPr>
            <w:tcW w:w="360" w:type="dxa"/>
            <w:shd w:val="clear" w:color="auto" w:fill="auto"/>
          </w:tcPr>
          <w:p w:rsidR="000A1D6E" w:rsidRPr="00A95BB3" w:rsidP="009A7FA9" w14:paraId="61587DC8"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1ADE56FF"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5EBC3958"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75F0D476"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9A7FA9" w14:paraId="3313977F"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p w:rsidR="000A1D6E" w:rsidRPr="00A95BB3" w:rsidP="000A1D6E" w14:paraId="59DEEA39" w14:textId="6EAE8EA2">
            <w:pPr>
              <w:pStyle w:val="HTMLPreformatted"/>
              <w:rPr>
                <w:rFonts w:ascii="Times New Roman" w:hAnsi="Times New Roman" w:cs="Times New Roman"/>
                <w:sz w:val="24"/>
                <w:szCs w:val="24"/>
              </w:rPr>
            </w:pPr>
            <w:r w:rsidRPr="00A95BB3">
              <w:rPr>
                <w:rFonts w:ascii="Times New Roman" w:hAnsi="Times New Roman" w:cs="Times New Roman"/>
                <w:sz w:val="24"/>
                <w:szCs w:val="24"/>
              </w:rPr>
              <w:t>)</w:t>
            </w:r>
          </w:p>
        </w:tc>
        <w:tc>
          <w:tcPr>
            <w:tcW w:w="4400" w:type="dxa"/>
            <w:shd w:val="clear" w:color="auto" w:fill="auto"/>
          </w:tcPr>
          <w:p w:rsidR="000A1D6E" w:rsidRPr="00A95BB3" w:rsidP="009A7FA9" w14:paraId="57CC76CE" w14:textId="77777777">
            <w:pPr>
              <w:pStyle w:val="HTMLPreformatted"/>
              <w:rPr>
                <w:rFonts w:ascii="Times New Roman" w:hAnsi="Times New Roman" w:cs="Times New Roman"/>
                <w:sz w:val="24"/>
                <w:szCs w:val="24"/>
              </w:rPr>
            </w:pPr>
          </w:p>
          <w:p w:rsidR="000A1D6E" w:rsidRPr="00A95BB3" w:rsidP="009A7FA9" w14:paraId="59F69E77" w14:textId="77777777">
            <w:pPr>
              <w:pStyle w:val="HTMLPreformatted"/>
              <w:rPr>
                <w:rFonts w:ascii="Times New Roman" w:hAnsi="Times New Roman" w:cs="Times New Roman"/>
                <w:sz w:val="24"/>
                <w:szCs w:val="24"/>
              </w:rPr>
            </w:pPr>
          </w:p>
          <w:p w:rsidR="000A1D6E" w:rsidRPr="00A95BB3" w:rsidP="009A7FA9" w14:paraId="652A2F11" w14:textId="77777777">
            <w:pPr>
              <w:pStyle w:val="HTMLPreformatted"/>
              <w:rPr>
                <w:rFonts w:ascii="Times New Roman" w:hAnsi="Times New Roman" w:cs="Times New Roman"/>
                <w:sz w:val="24"/>
                <w:szCs w:val="24"/>
              </w:rPr>
            </w:pPr>
            <w:r w:rsidRPr="00A95BB3">
              <w:rPr>
                <w:rFonts w:ascii="Times New Roman" w:hAnsi="Times New Roman" w:cs="Times New Roman"/>
                <w:sz w:val="24"/>
                <w:szCs w:val="24"/>
              </w:rPr>
              <w:t>Case No. 17-2277-EL-RDR</w:t>
            </w:r>
          </w:p>
          <w:p w:rsidR="000A1D6E" w:rsidRPr="00A95BB3" w:rsidP="009A7FA9" w14:paraId="1E5C9856" w14:textId="77777777">
            <w:pPr>
              <w:pStyle w:val="HTMLPreformatted"/>
              <w:rPr>
                <w:rFonts w:ascii="Times New Roman" w:hAnsi="Times New Roman" w:cs="Times New Roman"/>
                <w:sz w:val="24"/>
                <w:szCs w:val="24"/>
              </w:rPr>
            </w:pPr>
          </w:p>
          <w:p w:rsidR="000A1D6E" w:rsidRPr="00A95BB3" w:rsidP="009A7FA9" w14:paraId="614CEA11" w14:textId="77777777">
            <w:pPr>
              <w:pStyle w:val="HTMLPreformatted"/>
              <w:rPr>
                <w:rFonts w:ascii="Times New Roman" w:hAnsi="Times New Roman" w:cs="Times New Roman"/>
                <w:sz w:val="24"/>
                <w:szCs w:val="24"/>
              </w:rPr>
            </w:pPr>
          </w:p>
        </w:tc>
      </w:tr>
    </w:tbl>
    <w:p w:rsidR="007F56FC" w:rsidRPr="00A95BB3" w:rsidP="007F56FC" w14:paraId="538FDFA6" w14:textId="3D356D6B">
      <w:pPr>
        <w:jc w:val="center"/>
        <w:rPr>
          <w:rFonts w:cs="Times New Roman"/>
          <w:b/>
          <w:bCs/>
          <w:szCs w:val="24"/>
        </w:rPr>
      </w:pPr>
      <w:r w:rsidRPr="00A95BB3">
        <w:rPr>
          <w:rFonts w:cs="Times New Roman"/>
          <w:b/>
          <w:bCs/>
          <w:szCs w:val="24"/>
        </w:rPr>
        <w:t>_____________________________________________________________________________</w:t>
      </w:r>
    </w:p>
    <w:p w:rsidR="007F56FC" w:rsidRPr="00A95BB3" w:rsidP="007F56FC" w14:paraId="5183C7A2" w14:textId="77777777">
      <w:pPr>
        <w:jc w:val="center"/>
        <w:rPr>
          <w:rFonts w:cs="Times New Roman"/>
          <w:b/>
          <w:bCs/>
          <w:szCs w:val="24"/>
        </w:rPr>
      </w:pPr>
    </w:p>
    <w:p w:rsidR="007F56FC" w:rsidRPr="00A95BB3" w:rsidP="007F56FC" w14:paraId="3F05489E" w14:textId="05B9D0C7">
      <w:pPr>
        <w:jc w:val="center"/>
        <w:rPr>
          <w:rFonts w:cs="Times New Roman"/>
          <w:b/>
          <w:bCs/>
          <w:szCs w:val="24"/>
        </w:rPr>
      </w:pPr>
      <w:r w:rsidRPr="00A95BB3">
        <w:rPr>
          <w:rFonts w:cs="Times New Roman"/>
          <w:b/>
          <w:bCs/>
          <w:szCs w:val="24"/>
        </w:rPr>
        <w:t xml:space="preserve">MEMORANDUM CONTRA FIRSTENERGY’S MOTION </w:t>
      </w:r>
      <w:r w:rsidRPr="00A95BB3" w:rsidR="00794002">
        <w:rPr>
          <w:rFonts w:cs="Times New Roman"/>
          <w:b/>
          <w:bCs/>
          <w:szCs w:val="24"/>
        </w:rPr>
        <w:t>FOR A 90-DAY</w:t>
      </w:r>
      <w:r w:rsidRPr="00A95BB3">
        <w:rPr>
          <w:rFonts w:cs="Times New Roman"/>
          <w:b/>
          <w:bCs/>
          <w:szCs w:val="24"/>
        </w:rPr>
        <w:t xml:space="preserve"> DELAY </w:t>
      </w:r>
      <w:r w:rsidRPr="00A95BB3" w:rsidR="00794002">
        <w:rPr>
          <w:rFonts w:cs="Times New Roman"/>
          <w:b/>
          <w:bCs/>
          <w:szCs w:val="24"/>
        </w:rPr>
        <w:t xml:space="preserve">IN </w:t>
      </w:r>
      <w:r w:rsidRPr="00A95BB3">
        <w:rPr>
          <w:rFonts w:cs="Times New Roman"/>
          <w:b/>
          <w:bCs/>
          <w:szCs w:val="24"/>
        </w:rPr>
        <w:t xml:space="preserve">THESE CASES </w:t>
      </w:r>
      <w:r w:rsidRPr="00A95BB3" w:rsidR="00794002">
        <w:rPr>
          <w:rFonts w:cs="Times New Roman"/>
          <w:b/>
          <w:bCs/>
          <w:szCs w:val="24"/>
        </w:rPr>
        <w:t>INVOLV</w:t>
      </w:r>
      <w:r w:rsidRPr="00A95BB3" w:rsidR="00A46C73">
        <w:rPr>
          <w:rFonts w:cs="Times New Roman"/>
          <w:b/>
          <w:bCs/>
          <w:szCs w:val="24"/>
        </w:rPr>
        <w:t xml:space="preserve">ING </w:t>
      </w:r>
      <w:r w:rsidRPr="00A95BB3" w:rsidR="009805AD">
        <w:rPr>
          <w:rFonts w:cs="Times New Roman"/>
          <w:b/>
          <w:bCs/>
          <w:szCs w:val="24"/>
        </w:rPr>
        <w:t>ENERGY EFFICIENCY</w:t>
      </w:r>
    </w:p>
    <w:p w:rsidR="007F56FC" w:rsidRPr="00A95BB3" w:rsidP="007F56FC" w14:paraId="050A3326" w14:textId="4077E341">
      <w:pPr>
        <w:jc w:val="center"/>
        <w:rPr>
          <w:rFonts w:cs="Times New Roman"/>
          <w:b/>
          <w:bCs/>
          <w:szCs w:val="24"/>
        </w:rPr>
      </w:pPr>
      <w:r w:rsidRPr="00A95BB3">
        <w:rPr>
          <w:rFonts w:cs="Times New Roman"/>
          <w:b/>
          <w:bCs/>
          <w:szCs w:val="24"/>
        </w:rPr>
        <w:t>BY</w:t>
      </w:r>
    </w:p>
    <w:p w:rsidR="007F56FC" w:rsidRPr="00A95BB3" w:rsidP="007F56FC" w14:paraId="52561AAA" w14:textId="27CA9B9E">
      <w:pPr>
        <w:jc w:val="center"/>
        <w:rPr>
          <w:rFonts w:cs="Times New Roman"/>
          <w:b/>
          <w:bCs/>
          <w:szCs w:val="24"/>
        </w:rPr>
      </w:pPr>
      <w:r w:rsidRPr="00A95BB3">
        <w:rPr>
          <w:rFonts w:cs="Times New Roman"/>
          <w:b/>
          <w:bCs/>
          <w:szCs w:val="24"/>
        </w:rPr>
        <w:t>OFFICE OF THE OHIO CONSUMERS’ COUNSEL</w:t>
      </w:r>
    </w:p>
    <w:p w:rsidR="007F56FC" w:rsidRPr="00A95BB3" w:rsidP="007F56FC" w14:paraId="48BFB1B6" w14:textId="77777777">
      <w:pPr>
        <w:jc w:val="center"/>
        <w:rPr>
          <w:rFonts w:cs="Times New Roman"/>
          <w:b/>
          <w:bCs/>
          <w:szCs w:val="24"/>
        </w:rPr>
      </w:pPr>
      <w:r w:rsidRPr="00A95BB3">
        <w:rPr>
          <w:rFonts w:cs="Times New Roman"/>
          <w:b/>
          <w:bCs/>
          <w:szCs w:val="24"/>
        </w:rPr>
        <w:t>_____________________________________________________________________________</w:t>
      </w:r>
    </w:p>
    <w:p w:rsidR="00264E0E" w:rsidRPr="00A95BB3" w:rsidP="00615202" w14:paraId="60AE8E15" w14:textId="77777777">
      <w:pPr>
        <w:spacing w:line="480" w:lineRule="auto"/>
        <w:ind w:firstLine="720"/>
        <w:rPr>
          <w:rFonts w:cs="Times New Roman"/>
          <w:szCs w:val="24"/>
        </w:rPr>
        <w:sectPr w:rsidSect="00BD1B34">
          <w:footerReference w:type="default" r:id="rId6"/>
          <w:pgSz w:w="12240" w:h="15840"/>
          <w:pgMar w:top="1440" w:right="1440" w:bottom="1440" w:left="1440" w:header="720" w:footer="720" w:gutter="0"/>
          <w:cols w:space="720"/>
          <w:docGrid w:linePitch="360"/>
        </w:sectPr>
      </w:pPr>
    </w:p>
    <w:p w:rsidR="00615202" w:rsidRPr="00A95BB3" w:rsidP="00615202" w14:paraId="4CE9A2B6" w14:textId="390966A1">
      <w:pPr>
        <w:spacing w:line="480" w:lineRule="auto"/>
        <w:ind w:firstLine="720"/>
        <w:rPr>
          <w:rFonts w:cs="Times New Roman"/>
          <w:szCs w:val="24"/>
        </w:rPr>
      </w:pPr>
      <w:r w:rsidRPr="00A95BB3">
        <w:rPr>
          <w:rFonts w:cs="Times New Roman"/>
          <w:szCs w:val="24"/>
        </w:rPr>
        <w:t xml:space="preserve">The </w:t>
      </w:r>
      <w:r w:rsidRPr="00A95BB3" w:rsidR="007F56FC">
        <w:rPr>
          <w:rFonts w:cs="Times New Roman"/>
          <w:szCs w:val="24"/>
        </w:rPr>
        <w:t>FirstEnergy</w:t>
      </w:r>
      <w:r w:rsidRPr="00A95BB3">
        <w:rPr>
          <w:rFonts w:cs="Times New Roman"/>
          <w:szCs w:val="24"/>
        </w:rPr>
        <w:t xml:space="preserve"> Utilities</w:t>
      </w:r>
      <w:r w:rsidRPr="00A95BB3" w:rsidR="000A1D6E">
        <w:rPr>
          <w:rFonts w:cs="Times New Roman"/>
          <w:szCs w:val="24"/>
        </w:rPr>
        <w:t xml:space="preserve"> </w:t>
      </w:r>
      <w:r w:rsidRPr="00A95BB3" w:rsidR="007F56FC">
        <w:rPr>
          <w:rFonts w:cs="Times New Roman"/>
          <w:szCs w:val="24"/>
        </w:rPr>
        <w:t>owe consumers at least $</w:t>
      </w:r>
      <w:r w:rsidRPr="00A95BB3" w:rsidR="000A1D6E">
        <w:rPr>
          <w:rFonts w:cs="Times New Roman"/>
          <w:szCs w:val="24"/>
        </w:rPr>
        <w:t>98</w:t>
      </w:r>
      <w:r w:rsidRPr="00A95BB3" w:rsidR="007F56FC">
        <w:rPr>
          <w:rFonts w:cs="Times New Roman"/>
          <w:szCs w:val="24"/>
        </w:rPr>
        <w:t xml:space="preserve"> million</w:t>
      </w:r>
      <w:r w:rsidRPr="00A95BB3" w:rsidR="00BA2B81">
        <w:rPr>
          <w:rFonts w:cs="Times New Roman"/>
          <w:szCs w:val="24"/>
        </w:rPr>
        <w:t xml:space="preserve"> (by our count)</w:t>
      </w:r>
      <w:r w:rsidRPr="00A95BB3" w:rsidR="004F3763">
        <w:rPr>
          <w:rFonts w:cs="Times New Roman"/>
          <w:szCs w:val="24"/>
        </w:rPr>
        <w:t>. The $98 million is owed to consumers</w:t>
      </w:r>
      <w:r w:rsidRPr="00A95BB3" w:rsidR="007F56FC">
        <w:rPr>
          <w:rFonts w:cs="Times New Roman"/>
          <w:szCs w:val="24"/>
        </w:rPr>
        <w:t xml:space="preserve"> for </w:t>
      </w:r>
      <w:r w:rsidRPr="00A95BB3" w:rsidR="000A1D6E">
        <w:rPr>
          <w:rFonts w:cs="Times New Roman"/>
          <w:szCs w:val="24"/>
        </w:rPr>
        <w:t xml:space="preserve">amounts that </w:t>
      </w:r>
      <w:r w:rsidRPr="00A95BB3" w:rsidR="004F3763">
        <w:rPr>
          <w:rFonts w:cs="Times New Roman"/>
          <w:szCs w:val="24"/>
        </w:rPr>
        <w:t>the FirstEnergy Utilities</w:t>
      </w:r>
      <w:r w:rsidRPr="00A95BB3" w:rsidR="000A1D6E">
        <w:rPr>
          <w:rFonts w:cs="Times New Roman"/>
          <w:szCs w:val="24"/>
        </w:rPr>
        <w:t xml:space="preserve"> overcharged</w:t>
      </w:r>
      <w:r w:rsidRPr="00A95BB3" w:rsidR="004F3763">
        <w:rPr>
          <w:rFonts w:cs="Times New Roman"/>
          <w:szCs w:val="24"/>
        </w:rPr>
        <w:t xml:space="preserve"> them</w:t>
      </w:r>
      <w:r w:rsidRPr="00A95BB3" w:rsidR="000A1D6E">
        <w:rPr>
          <w:rFonts w:cs="Times New Roman"/>
          <w:szCs w:val="24"/>
        </w:rPr>
        <w:t xml:space="preserve"> for</w:t>
      </w:r>
      <w:r w:rsidRPr="00A95BB3" w:rsidR="004F3763">
        <w:rPr>
          <w:rFonts w:cs="Times New Roman"/>
          <w:szCs w:val="24"/>
        </w:rPr>
        <w:t xml:space="preserve"> its</w:t>
      </w:r>
      <w:r w:rsidRPr="00A95BB3" w:rsidR="000A1D6E">
        <w:rPr>
          <w:rFonts w:cs="Times New Roman"/>
          <w:szCs w:val="24"/>
        </w:rPr>
        <w:t xml:space="preserve"> so-called “lost revenues” related to energy efficiency from 2014 to 2018</w:t>
      </w:r>
      <w:r w:rsidRPr="00A95BB3">
        <w:rPr>
          <w:rFonts w:cs="Times New Roman"/>
          <w:szCs w:val="24"/>
        </w:rPr>
        <w:t>.</w:t>
      </w:r>
      <w:r w:rsidRPr="00A95BB3" w:rsidR="0098169B">
        <w:rPr>
          <w:rFonts w:cs="Times New Roman"/>
          <w:szCs w:val="24"/>
        </w:rPr>
        <w:t xml:space="preserve"> FirstEnergy’s charge for lost revenues was about as bad as its infamous charge for decoupling/recession-proofing</w:t>
      </w:r>
      <w:r w:rsidRPr="00A95BB3" w:rsidR="004C72A4">
        <w:rPr>
          <w:rFonts w:cs="Times New Roman"/>
          <w:szCs w:val="24"/>
        </w:rPr>
        <w:t xml:space="preserve"> under tainted House Bill 6</w:t>
      </w:r>
      <w:r w:rsidRPr="00A95BB3" w:rsidR="0098169B">
        <w:rPr>
          <w:rFonts w:cs="Times New Roman"/>
          <w:szCs w:val="24"/>
        </w:rPr>
        <w:t>.</w:t>
      </w:r>
      <w:r w:rsidRPr="00A95BB3" w:rsidR="007F56FC">
        <w:rPr>
          <w:rFonts w:cs="Times New Roman"/>
          <w:szCs w:val="24"/>
        </w:rPr>
        <w:t xml:space="preserve"> </w:t>
      </w:r>
      <w:r w:rsidRPr="00A95BB3">
        <w:rPr>
          <w:rFonts w:cs="Times New Roman"/>
          <w:szCs w:val="24"/>
        </w:rPr>
        <w:t xml:space="preserve">The </w:t>
      </w:r>
      <w:r w:rsidRPr="00A95BB3" w:rsidR="007F56FC">
        <w:rPr>
          <w:rFonts w:cs="Times New Roman"/>
          <w:szCs w:val="24"/>
        </w:rPr>
        <w:t>FirstEnergy</w:t>
      </w:r>
      <w:r w:rsidRPr="00A95BB3">
        <w:rPr>
          <w:rFonts w:cs="Times New Roman"/>
          <w:szCs w:val="24"/>
        </w:rPr>
        <w:t xml:space="preserve"> Utilities now</w:t>
      </w:r>
      <w:r w:rsidRPr="00A95BB3" w:rsidR="007F56FC">
        <w:rPr>
          <w:rFonts w:cs="Times New Roman"/>
          <w:szCs w:val="24"/>
        </w:rPr>
        <w:t xml:space="preserve"> seek a 90-day </w:t>
      </w:r>
      <w:r w:rsidRPr="00A95BB3" w:rsidR="00982DEF">
        <w:rPr>
          <w:rFonts w:cs="Times New Roman"/>
          <w:szCs w:val="24"/>
        </w:rPr>
        <w:t>continuance in the case schedule</w:t>
      </w:r>
      <w:r w:rsidRPr="00A95BB3" w:rsidR="007F56FC">
        <w:rPr>
          <w:rFonts w:cs="Times New Roman"/>
          <w:szCs w:val="24"/>
        </w:rPr>
        <w:t>.</w:t>
      </w:r>
      <w:r>
        <w:rPr>
          <w:rStyle w:val="FootnoteReference"/>
          <w:rFonts w:cs="Times New Roman"/>
          <w:szCs w:val="24"/>
        </w:rPr>
        <w:footnoteReference w:id="2"/>
      </w:r>
      <w:r w:rsidRPr="00A95BB3" w:rsidR="00872010">
        <w:rPr>
          <w:rFonts w:cs="Times New Roman"/>
          <w:szCs w:val="24"/>
        </w:rPr>
        <w:t xml:space="preserve"> </w:t>
      </w:r>
      <w:r w:rsidRPr="00A95BB3" w:rsidR="00590B38">
        <w:rPr>
          <w:rFonts w:cs="Times New Roman"/>
          <w:szCs w:val="24"/>
        </w:rPr>
        <w:t>For consumer</w:t>
      </w:r>
      <w:r w:rsidRPr="00A95BB3" w:rsidR="00043CBB">
        <w:rPr>
          <w:rFonts w:cs="Times New Roman"/>
          <w:szCs w:val="24"/>
        </w:rPr>
        <w:t xml:space="preserve"> protection</w:t>
      </w:r>
      <w:r w:rsidRPr="00A95BB3" w:rsidR="00590B38">
        <w:rPr>
          <w:rFonts w:cs="Times New Roman"/>
          <w:szCs w:val="24"/>
        </w:rPr>
        <w:t>, t</w:t>
      </w:r>
      <w:r w:rsidRPr="00A95BB3" w:rsidR="00872010">
        <w:rPr>
          <w:rFonts w:cs="Times New Roman"/>
          <w:szCs w:val="24"/>
        </w:rPr>
        <w:t>he PUCO should say no</w:t>
      </w:r>
      <w:r w:rsidRPr="00A95BB3" w:rsidR="00982DEF">
        <w:rPr>
          <w:rFonts w:cs="Times New Roman"/>
          <w:szCs w:val="24"/>
        </w:rPr>
        <w:t xml:space="preserve"> to this delay</w:t>
      </w:r>
      <w:r w:rsidRPr="00A95BB3" w:rsidR="00872010">
        <w:rPr>
          <w:rFonts w:cs="Times New Roman"/>
          <w:szCs w:val="24"/>
        </w:rPr>
        <w:t>.</w:t>
      </w:r>
      <w:r w:rsidRPr="00A95BB3" w:rsidR="007F56FC">
        <w:rPr>
          <w:rFonts w:cs="Times New Roman"/>
          <w:szCs w:val="24"/>
        </w:rPr>
        <w:t xml:space="preserve"> </w:t>
      </w:r>
    </w:p>
    <w:p w:rsidR="00615202" w:rsidRPr="00A95BB3" w:rsidP="00615202" w14:paraId="0904BA7A" w14:textId="33289A78">
      <w:pPr>
        <w:spacing w:line="480" w:lineRule="auto"/>
        <w:ind w:firstLine="720"/>
        <w:rPr>
          <w:rFonts w:cs="Times New Roman"/>
          <w:szCs w:val="24"/>
        </w:rPr>
      </w:pPr>
      <w:r w:rsidRPr="00A95BB3">
        <w:rPr>
          <w:rFonts w:cs="Times New Roman"/>
          <w:szCs w:val="24"/>
        </w:rPr>
        <w:t xml:space="preserve">At the time of FirstEnergy’s motion, the hearing in these cases was scheduled for September 22, 2021. In response to the motion, the PUCO granted a 14-day extension, pending ruling on FirstEnergy’s request for </w:t>
      </w:r>
      <w:r w:rsidRPr="00A95BB3" w:rsidR="00043CBB">
        <w:rPr>
          <w:rFonts w:cs="Times New Roman"/>
          <w:szCs w:val="24"/>
        </w:rPr>
        <w:t>a</w:t>
      </w:r>
      <w:r w:rsidRPr="00A95BB3">
        <w:rPr>
          <w:rFonts w:cs="Times New Roman"/>
          <w:szCs w:val="24"/>
        </w:rPr>
        <w:t xml:space="preserve"> longer (90-day) extension. </w:t>
      </w:r>
    </w:p>
    <w:p w:rsidR="007F56FC" w:rsidRPr="00A95BB3" w:rsidP="00615202" w14:paraId="6163944B" w14:textId="2C9CB1AE">
      <w:pPr>
        <w:spacing w:line="480" w:lineRule="auto"/>
        <w:ind w:firstLine="720"/>
        <w:rPr>
          <w:rFonts w:cs="Times New Roman"/>
          <w:szCs w:val="24"/>
        </w:rPr>
      </w:pPr>
      <w:r w:rsidRPr="00A95BB3">
        <w:rPr>
          <w:rFonts w:cs="Times New Roman"/>
          <w:szCs w:val="24"/>
        </w:rPr>
        <w:t>FirstEnergy says that a 90-day extension is warranted “to actively pursue settlement discussions.”</w:t>
      </w:r>
      <w:r>
        <w:rPr>
          <w:rStyle w:val="FootnoteReference"/>
          <w:rFonts w:cs="Times New Roman"/>
          <w:szCs w:val="24"/>
        </w:rPr>
        <w:footnoteReference w:id="3"/>
      </w:r>
      <w:r w:rsidRPr="00A95BB3">
        <w:rPr>
          <w:rFonts w:cs="Times New Roman"/>
          <w:szCs w:val="24"/>
        </w:rPr>
        <w:t xml:space="preserve"> </w:t>
      </w:r>
      <w:r w:rsidRPr="00A95BB3" w:rsidR="00F94EC9">
        <w:rPr>
          <w:rFonts w:cs="Times New Roman"/>
          <w:szCs w:val="24"/>
        </w:rPr>
        <w:t>Th</w:t>
      </w:r>
      <w:r w:rsidRPr="00A95BB3" w:rsidR="003F3CE0">
        <w:rPr>
          <w:rFonts w:cs="Times New Roman"/>
          <w:szCs w:val="24"/>
        </w:rPr>
        <w:t xml:space="preserve">e 14-day extension granted </w:t>
      </w:r>
      <w:r w:rsidRPr="00A95BB3" w:rsidR="00F94EC9">
        <w:rPr>
          <w:rFonts w:cs="Times New Roman"/>
          <w:szCs w:val="24"/>
        </w:rPr>
        <w:t>mean</w:t>
      </w:r>
      <w:r w:rsidRPr="00A95BB3" w:rsidR="00C45C24">
        <w:rPr>
          <w:rFonts w:cs="Times New Roman"/>
          <w:szCs w:val="24"/>
        </w:rPr>
        <w:t>s</w:t>
      </w:r>
      <w:r w:rsidRPr="00A95BB3" w:rsidR="00F94EC9">
        <w:rPr>
          <w:rFonts w:cs="Times New Roman"/>
          <w:szCs w:val="24"/>
        </w:rPr>
        <w:t xml:space="preserve"> the</w:t>
      </w:r>
      <w:r w:rsidRPr="00A95BB3" w:rsidR="003F3CE0">
        <w:rPr>
          <w:rFonts w:cs="Times New Roman"/>
          <w:szCs w:val="24"/>
        </w:rPr>
        <w:t xml:space="preserve">re is </w:t>
      </w:r>
      <w:r w:rsidRPr="00A95BB3" w:rsidR="00C45C24">
        <w:rPr>
          <w:rFonts w:cs="Times New Roman"/>
          <w:szCs w:val="24"/>
        </w:rPr>
        <w:t xml:space="preserve">already </w:t>
      </w:r>
      <w:r w:rsidRPr="00A95BB3" w:rsidR="003F3CE0">
        <w:rPr>
          <w:rFonts w:cs="Times New Roman"/>
          <w:szCs w:val="24"/>
        </w:rPr>
        <w:t xml:space="preserve">ten weeks </w:t>
      </w:r>
      <w:r w:rsidRPr="00A95BB3" w:rsidR="00F94EC9">
        <w:rPr>
          <w:rFonts w:cs="Times New Roman"/>
          <w:szCs w:val="24"/>
        </w:rPr>
        <w:t>to discuss settlement</w:t>
      </w:r>
      <w:r w:rsidRPr="00A95BB3" w:rsidR="003F3CE0">
        <w:rPr>
          <w:rFonts w:cs="Times New Roman"/>
          <w:szCs w:val="24"/>
        </w:rPr>
        <w:t xml:space="preserve">, which is more than enough </w:t>
      </w:r>
      <w:r w:rsidRPr="00A95BB3" w:rsidR="00F94EC9">
        <w:rPr>
          <w:rFonts w:cs="Times New Roman"/>
          <w:szCs w:val="24"/>
        </w:rPr>
        <w:t xml:space="preserve">time to determine whether there is a reasonable possibility of settlement. </w:t>
      </w:r>
      <w:r w:rsidRPr="00A95BB3" w:rsidR="003F3CE0">
        <w:rPr>
          <w:rFonts w:cs="Times New Roman"/>
          <w:szCs w:val="24"/>
        </w:rPr>
        <w:t xml:space="preserve">Under FirstEnergy’s request for a 90-day extension, the hearing would not be until late December or </w:t>
      </w:r>
      <w:r w:rsidRPr="00A95BB3" w:rsidR="00C45C24">
        <w:rPr>
          <w:rFonts w:cs="Times New Roman"/>
          <w:szCs w:val="24"/>
        </w:rPr>
        <w:t>possibly</w:t>
      </w:r>
      <w:r w:rsidRPr="00A95BB3" w:rsidR="003F3CE0">
        <w:rPr>
          <w:rFonts w:cs="Times New Roman"/>
          <w:szCs w:val="24"/>
        </w:rPr>
        <w:t xml:space="preserve"> January 2022, thus giving parties nearly half a year to pursue settlement negotiations. This type of lengthy extension is unnecessary and unwarranted. </w:t>
      </w:r>
      <w:r w:rsidRPr="00A95BB3" w:rsidR="004F3763">
        <w:rPr>
          <w:rFonts w:cs="Times New Roman"/>
          <w:szCs w:val="24"/>
        </w:rPr>
        <w:t xml:space="preserve">Accordingly, </w:t>
      </w:r>
      <w:r w:rsidRPr="00A95BB3" w:rsidR="00CE1E08">
        <w:rPr>
          <w:rFonts w:cs="Times New Roman"/>
          <w:szCs w:val="24"/>
        </w:rPr>
        <w:t>FirstEnergy’s motion should be denied</w:t>
      </w:r>
      <w:r w:rsidRPr="00A95BB3" w:rsidR="004F3763">
        <w:rPr>
          <w:rFonts w:cs="Times New Roman"/>
          <w:szCs w:val="24"/>
        </w:rPr>
        <w:t xml:space="preserve"> for lacking good cause</w:t>
      </w:r>
      <w:r w:rsidRPr="00A95BB3" w:rsidR="00CE1E08">
        <w:rPr>
          <w:rFonts w:cs="Times New Roman"/>
          <w:szCs w:val="24"/>
        </w:rPr>
        <w:t xml:space="preserve"> under O.A.C. 4901-1-13(A).</w:t>
      </w:r>
    </w:p>
    <w:p w:rsidR="00264E0E" w:rsidRPr="00A95BB3" w:rsidP="0044788D" w14:paraId="6E32C32B" w14:textId="77777777">
      <w:pPr>
        <w:spacing w:line="480" w:lineRule="auto"/>
        <w:ind w:firstLine="720"/>
        <w:rPr>
          <w:rFonts w:cs="Times New Roman"/>
          <w:szCs w:val="24"/>
        </w:rPr>
        <w:sectPr w:rsidSect="00BD1B34">
          <w:footerReference w:type="default" r:id="rId7"/>
          <w:pgSz w:w="12240" w:h="15840"/>
          <w:pgMar w:top="1440" w:right="1440" w:bottom="1440" w:left="1440" w:header="720" w:footer="720" w:gutter="0"/>
          <w:cols w:space="720"/>
          <w:docGrid w:linePitch="360"/>
        </w:sectPr>
      </w:pPr>
      <w:r w:rsidRPr="00A95BB3">
        <w:rPr>
          <w:rFonts w:cs="Times New Roman"/>
          <w:szCs w:val="24"/>
        </w:rPr>
        <w:t>Here is</w:t>
      </w:r>
      <w:r w:rsidRPr="00A95BB3" w:rsidR="00615202">
        <w:rPr>
          <w:rFonts w:cs="Times New Roman"/>
          <w:szCs w:val="24"/>
        </w:rPr>
        <w:t xml:space="preserve"> context why the FirstEnergy Utilities </w:t>
      </w:r>
      <w:r w:rsidRPr="00A95BB3" w:rsidR="009D316E">
        <w:rPr>
          <w:rFonts w:cs="Times New Roman"/>
          <w:szCs w:val="24"/>
        </w:rPr>
        <w:t xml:space="preserve">would </w:t>
      </w:r>
      <w:r w:rsidRPr="00A95BB3" w:rsidR="00C4208D">
        <w:rPr>
          <w:rFonts w:cs="Times New Roman"/>
          <w:szCs w:val="24"/>
        </w:rPr>
        <w:t>want</w:t>
      </w:r>
      <w:r w:rsidRPr="00A95BB3" w:rsidR="009D316E">
        <w:rPr>
          <w:rFonts w:cs="Times New Roman"/>
          <w:szCs w:val="24"/>
        </w:rPr>
        <w:t xml:space="preserve"> </w:t>
      </w:r>
      <w:r w:rsidRPr="00A95BB3">
        <w:rPr>
          <w:rFonts w:cs="Times New Roman"/>
          <w:szCs w:val="24"/>
        </w:rPr>
        <w:t xml:space="preserve">a </w:t>
      </w:r>
      <w:r w:rsidRPr="00A95BB3" w:rsidR="009D316E">
        <w:rPr>
          <w:rFonts w:cs="Times New Roman"/>
          <w:szCs w:val="24"/>
        </w:rPr>
        <w:t>three</w:t>
      </w:r>
      <w:r w:rsidRPr="00A95BB3">
        <w:rPr>
          <w:rFonts w:cs="Times New Roman"/>
          <w:szCs w:val="24"/>
        </w:rPr>
        <w:t>-</w:t>
      </w:r>
      <w:r w:rsidRPr="00A95BB3" w:rsidR="009D316E">
        <w:rPr>
          <w:rFonts w:cs="Times New Roman"/>
          <w:szCs w:val="24"/>
        </w:rPr>
        <w:t>month</w:t>
      </w:r>
      <w:r w:rsidRPr="00A95BB3">
        <w:rPr>
          <w:rFonts w:cs="Times New Roman"/>
          <w:szCs w:val="24"/>
        </w:rPr>
        <w:t xml:space="preserve"> delay to seek a settlement</w:t>
      </w:r>
      <w:r w:rsidRPr="00A95BB3" w:rsidR="00876EBD">
        <w:rPr>
          <w:rFonts w:cs="Times New Roman"/>
          <w:szCs w:val="24"/>
        </w:rPr>
        <w:t xml:space="preserve">, which </w:t>
      </w:r>
      <w:r w:rsidRPr="00A95BB3" w:rsidR="0045442A">
        <w:rPr>
          <w:rFonts w:cs="Times New Roman"/>
          <w:szCs w:val="24"/>
        </w:rPr>
        <w:t>also highlights the concern for consumers</w:t>
      </w:r>
      <w:r w:rsidRPr="00A95BB3">
        <w:rPr>
          <w:rFonts w:cs="Times New Roman"/>
          <w:szCs w:val="24"/>
        </w:rPr>
        <w:t xml:space="preserve">. </w:t>
      </w:r>
      <w:r w:rsidRPr="00A95BB3" w:rsidR="00CE1E08">
        <w:rPr>
          <w:rFonts w:cs="Times New Roman"/>
          <w:szCs w:val="24"/>
        </w:rPr>
        <w:t>The PUCO’s settlement process favors utilities</w:t>
      </w:r>
      <w:r w:rsidRPr="00A95BB3">
        <w:rPr>
          <w:rFonts w:cs="Times New Roman"/>
          <w:szCs w:val="24"/>
        </w:rPr>
        <w:t xml:space="preserve"> (like FirstEnergy)</w:t>
      </w:r>
      <w:r w:rsidRPr="00A95BB3" w:rsidR="00CE1E08">
        <w:rPr>
          <w:rFonts w:cs="Times New Roman"/>
          <w:szCs w:val="24"/>
        </w:rPr>
        <w:t xml:space="preserve"> over consumers</w:t>
      </w:r>
      <w:r w:rsidRPr="00A95BB3" w:rsidR="00917A77">
        <w:rPr>
          <w:rFonts w:cs="Times New Roman"/>
          <w:szCs w:val="24"/>
        </w:rPr>
        <w:t xml:space="preserve"> by implicitly endowing</w:t>
      </w:r>
      <w:r w:rsidRPr="00A95BB3" w:rsidR="00542FF6">
        <w:rPr>
          <w:rFonts w:cs="Times New Roman"/>
          <w:szCs w:val="24"/>
        </w:rPr>
        <w:t xml:space="preserve"> utilities </w:t>
      </w:r>
      <w:r w:rsidRPr="00A95BB3" w:rsidR="00917A77">
        <w:rPr>
          <w:rFonts w:cs="Times New Roman"/>
          <w:szCs w:val="24"/>
        </w:rPr>
        <w:t>with</w:t>
      </w:r>
      <w:r w:rsidRPr="00A95BB3" w:rsidR="00542FF6">
        <w:rPr>
          <w:rFonts w:cs="Times New Roman"/>
          <w:szCs w:val="24"/>
        </w:rPr>
        <w:t xml:space="preserve"> superior bargaining power</w:t>
      </w:r>
      <w:r w:rsidRPr="00A95BB3" w:rsidR="00CE1E08">
        <w:rPr>
          <w:rFonts w:cs="Times New Roman"/>
          <w:szCs w:val="24"/>
        </w:rPr>
        <w:t>.</w:t>
      </w:r>
      <w:r w:rsidRPr="00A95BB3" w:rsidR="00542FF6">
        <w:rPr>
          <w:rFonts w:cs="Times New Roman"/>
          <w:szCs w:val="24"/>
        </w:rPr>
        <w:t xml:space="preserve"> </w:t>
      </w:r>
      <w:r w:rsidRPr="00A95BB3" w:rsidR="00C11D12">
        <w:rPr>
          <w:rFonts w:cs="Times New Roman"/>
          <w:szCs w:val="24"/>
        </w:rPr>
        <w:t xml:space="preserve">As former </w:t>
      </w:r>
      <w:r w:rsidRPr="00A95BB3">
        <w:rPr>
          <w:rFonts w:cs="Times New Roman"/>
          <w:szCs w:val="24"/>
        </w:rPr>
        <w:t xml:space="preserve">PUCO </w:t>
      </w:r>
      <w:r w:rsidRPr="00A95BB3" w:rsidR="00C11D12">
        <w:rPr>
          <w:rFonts w:cs="Times New Roman"/>
          <w:szCs w:val="24"/>
        </w:rPr>
        <w:t>Commissioner Roberto</w:t>
      </w:r>
      <w:r w:rsidRPr="00A95BB3">
        <w:rPr>
          <w:rFonts w:cs="Times New Roman"/>
          <w:szCs w:val="24"/>
        </w:rPr>
        <w:t xml:space="preserve"> wrote</w:t>
      </w:r>
      <w:r w:rsidRPr="00A95BB3" w:rsidR="00C11D12">
        <w:rPr>
          <w:rFonts w:cs="Times New Roman"/>
          <w:szCs w:val="24"/>
        </w:rPr>
        <w:t xml:space="preserve">, there is a “balance of power” </w:t>
      </w:r>
    </w:p>
    <w:p w:rsidR="00C4208D" w:rsidRPr="00A95BB3" w:rsidP="00264E0E" w14:paraId="1EAB4149" w14:textId="4AA31A3F">
      <w:pPr>
        <w:spacing w:line="480" w:lineRule="auto"/>
        <w:rPr>
          <w:rFonts w:cs="Times New Roman"/>
          <w:szCs w:val="24"/>
        </w:rPr>
      </w:pPr>
      <w:r w:rsidRPr="00A95BB3">
        <w:rPr>
          <w:rFonts w:cs="Times New Roman"/>
          <w:szCs w:val="24"/>
        </w:rPr>
        <w:t xml:space="preserve">favoring utilities </w:t>
      </w:r>
      <w:r w:rsidRPr="00A95BB3" w:rsidR="00514866">
        <w:rPr>
          <w:rFonts w:cs="Times New Roman"/>
          <w:szCs w:val="24"/>
        </w:rPr>
        <w:t xml:space="preserve">in electric security plan cases where </w:t>
      </w:r>
      <w:r w:rsidRPr="00A95BB3">
        <w:rPr>
          <w:rFonts w:cs="Times New Roman"/>
          <w:szCs w:val="24"/>
        </w:rPr>
        <w:t>intervenors “do not possess equal bargaining powe</w:t>
      </w:r>
      <w:r w:rsidRPr="00A95BB3" w:rsidR="00C45C24">
        <w:rPr>
          <w:rFonts w:cs="Times New Roman"/>
          <w:szCs w:val="24"/>
        </w:rPr>
        <w:t>r</w:t>
      </w:r>
      <w:r w:rsidRPr="00A95BB3">
        <w:rPr>
          <w:rFonts w:cs="Times New Roman"/>
          <w:szCs w:val="24"/>
        </w:rPr>
        <w:t>.”</w:t>
      </w:r>
      <w:r>
        <w:rPr>
          <w:rStyle w:val="FootnoteReference"/>
          <w:rFonts w:cs="Times New Roman"/>
          <w:szCs w:val="24"/>
        </w:rPr>
        <w:footnoteReference w:id="4"/>
      </w:r>
    </w:p>
    <w:p w:rsidR="00B50BC9" w:rsidRPr="00A95BB3" w:rsidP="0044788D" w14:paraId="7414016D" w14:textId="00D50319">
      <w:pPr>
        <w:spacing w:line="480" w:lineRule="auto"/>
        <w:ind w:firstLine="720"/>
        <w:rPr>
          <w:rFonts w:cs="Times New Roman"/>
          <w:szCs w:val="24"/>
        </w:rPr>
      </w:pPr>
      <w:r w:rsidRPr="00A95BB3">
        <w:rPr>
          <w:rFonts w:cs="Times New Roman"/>
          <w:szCs w:val="24"/>
        </w:rPr>
        <w:t xml:space="preserve">The utilities’ superior bargaining power is present in most all settlements, beyond the electric security plan cases that Commissioners Roberto wrote about. </w:t>
      </w:r>
      <w:r w:rsidRPr="00A95BB3" w:rsidR="00542FF6">
        <w:rPr>
          <w:rFonts w:cs="Times New Roman"/>
          <w:szCs w:val="24"/>
        </w:rPr>
        <w:t xml:space="preserve">At the PUCO, there essentially is never a settlement unless the utility </w:t>
      </w:r>
      <w:r w:rsidRPr="00A95BB3" w:rsidR="00AE757E">
        <w:rPr>
          <w:rFonts w:cs="Times New Roman"/>
          <w:szCs w:val="24"/>
        </w:rPr>
        <w:t>gives its consent to the settlement</w:t>
      </w:r>
      <w:r w:rsidRPr="00A95BB3" w:rsidR="00542FF6">
        <w:rPr>
          <w:rFonts w:cs="Times New Roman"/>
          <w:szCs w:val="24"/>
        </w:rPr>
        <w:t>.</w:t>
      </w:r>
      <w:r w:rsidRPr="00A95BB3" w:rsidR="00917A77">
        <w:rPr>
          <w:rFonts w:cs="Times New Roman"/>
          <w:szCs w:val="24"/>
        </w:rPr>
        <w:t xml:space="preserve"> It’s like an unwritten rule. Utility c</w:t>
      </w:r>
      <w:r w:rsidRPr="00A95BB3" w:rsidR="00AE757E">
        <w:rPr>
          <w:rFonts w:cs="Times New Roman"/>
          <w:szCs w:val="24"/>
        </w:rPr>
        <w:t xml:space="preserve">onsumers, </w:t>
      </w:r>
      <w:r w:rsidRPr="00A95BB3" w:rsidR="008C3153">
        <w:rPr>
          <w:rFonts w:cs="Times New Roman"/>
          <w:szCs w:val="24"/>
        </w:rPr>
        <w:t xml:space="preserve">represented by </w:t>
      </w:r>
      <w:r w:rsidRPr="00A95BB3" w:rsidR="00AE757E">
        <w:rPr>
          <w:rFonts w:cs="Times New Roman"/>
          <w:szCs w:val="24"/>
        </w:rPr>
        <w:t>OCC, are not given that corresponding power over settlements</w:t>
      </w:r>
      <w:r w:rsidRPr="00A95BB3" w:rsidR="00542FF6">
        <w:rPr>
          <w:rFonts w:cs="Times New Roman"/>
          <w:szCs w:val="24"/>
        </w:rPr>
        <w:t>.</w:t>
      </w:r>
      <w:r w:rsidRPr="00A95BB3" w:rsidR="00C11D12">
        <w:rPr>
          <w:rFonts w:cs="Times New Roman"/>
          <w:szCs w:val="24"/>
        </w:rPr>
        <w:t xml:space="preserve"> </w:t>
      </w:r>
    </w:p>
    <w:p w:rsidR="00A10F80" w:rsidRPr="00A95BB3" w:rsidP="0044788D" w14:paraId="7BB8D864" w14:textId="0973CD4D">
      <w:pPr>
        <w:spacing w:line="480" w:lineRule="auto"/>
        <w:ind w:firstLine="720"/>
        <w:rPr>
          <w:rFonts w:cs="Times New Roman"/>
          <w:szCs w:val="24"/>
        </w:rPr>
      </w:pPr>
      <w:r w:rsidRPr="00A95BB3">
        <w:rPr>
          <w:rFonts w:cs="Times New Roman"/>
          <w:szCs w:val="24"/>
        </w:rPr>
        <w:t xml:space="preserve">Moreover, the PUCO allows the bad practice of utilities offering cash and cash equivalents to parties willing to sign settlements. Of course, OCC does not have cash to counter </w:t>
      </w:r>
      <w:r w:rsidRPr="00A95BB3" w:rsidR="003A62CC">
        <w:rPr>
          <w:rFonts w:cs="Times New Roman"/>
          <w:szCs w:val="24"/>
        </w:rPr>
        <w:t xml:space="preserve">the </w:t>
      </w:r>
      <w:r w:rsidRPr="00A95BB3">
        <w:rPr>
          <w:rFonts w:cs="Times New Roman"/>
          <w:szCs w:val="24"/>
        </w:rPr>
        <w:t>utility cash</w:t>
      </w:r>
      <w:r w:rsidRPr="00A95BB3" w:rsidR="00F15DCC">
        <w:rPr>
          <w:rFonts w:cs="Times New Roman"/>
          <w:szCs w:val="24"/>
        </w:rPr>
        <w:t>—</w:t>
      </w:r>
      <w:r w:rsidRPr="00A95BB3">
        <w:rPr>
          <w:rFonts w:cs="Times New Roman"/>
          <w:szCs w:val="24"/>
        </w:rPr>
        <w:t>nor would OCC want it</w:t>
      </w:r>
      <w:r w:rsidRPr="00A95BB3" w:rsidR="00F15DCC">
        <w:rPr>
          <w:rFonts w:cs="Times New Roman"/>
          <w:szCs w:val="24"/>
        </w:rPr>
        <w:t>,</w:t>
      </w:r>
      <w:r w:rsidRPr="00A95BB3">
        <w:rPr>
          <w:rFonts w:cs="Times New Roman"/>
          <w:szCs w:val="24"/>
        </w:rPr>
        <w:t xml:space="preserve"> for this PUCO settlement practice that should be void as against public policy. </w:t>
      </w:r>
      <w:r w:rsidRPr="00A95BB3" w:rsidR="00EE59CC">
        <w:rPr>
          <w:rFonts w:cs="Times New Roman"/>
          <w:szCs w:val="24"/>
        </w:rPr>
        <w:t>There was a case where the PUCO itself expressed concern about utility payments of cash to special interests in settlements</w:t>
      </w:r>
      <w:r w:rsidRPr="00A95BB3" w:rsidR="00B44F4E">
        <w:rPr>
          <w:rFonts w:cs="Times New Roman"/>
          <w:szCs w:val="24"/>
        </w:rPr>
        <w:t>. The PUCO</w:t>
      </w:r>
      <w:r w:rsidRPr="00A95BB3" w:rsidR="00C11D12">
        <w:rPr>
          <w:rFonts w:cs="Times New Roman"/>
          <w:szCs w:val="24"/>
        </w:rPr>
        <w:t xml:space="preserve"> stat</w:t>
      </w:r>
      <w:r w:rsidRPr="00A95BB3" w:rsidR="00B44F4E">
        <w:rPr>
          <w:rFonts w:cs="Times New Roman"/>
          <w:szCs w:val="24"/>
        </w:rPr>
        <w:t>ed</w:t>
      </w:r>
      <w:r w:rsidRPr="00A95BB3" w:rsidR="00C11D12">
        <w:rPr>
          <w:rFonts w:cs="Times New Roman"/>
          <w:szCs w:val="24"/>
        </w:rPr>
        <w:t xml:space="preserve"> that settlements with cash payments to intervenors are “strongly disfavored by the Commission and are highly likely to be stricken from any future stipulation submitted to the Commission for approval.”</w:t>
      </w:r>
      <w:r>
        <w:rPr>
          <w:rStyle w:val="FootnoteReference"/>
          <w:rFonts w:cs="Times New Roman"/>
          <w:szCs w:val="24"/>
        </w:rPr>
        <w:footnoteReference w:id="5"/>
      </w:r>
      <w:r w:rsidRPr="00A95BB3" w:rsidR="00E516DF">
        <w:rPr>
          <w:rFonts w:cs="Times New Roman"/>
          <w:szCs w:val="24"/>
        </w:rPr>
        <w:t xml:space="preserve"> As it wrote, the PUCO should be striking cash payments from settlements.</w:t>
      </w:r>
    </w:p>
    <w:p w:rsidR="003A62CC" w:rsidRPr="00A95BB3" w:rsidP="0044788D" w14:paraId="3226499C" w14:textId="4259323B">
      <w:pPr>
        <w:spacing w:line="480" w:lineRule="auto"/>
        <w:ind w:firstLine="720"/>
        <w:rPr>
          <w:rFonts w:cs="Times New Roman"/>
          <w:szCs w:val="24"/>
        </w:rPr>
      </w:pPr>
      <w:r w:rsidRPr="00A95BB3">
        <w:rPr>
          <w:rFonts w:cs="Times New Roman"/>
          <w:szCs w:val="24"/>
        </w:rPr>
        <w:t>Further, the PUCO’s review of settlements is limited</w:t>
      </w:r>
      <w:r w:rsidRPr="00A95BB3" w:rsidR="00753867">
        <w:rPr>
          <w:rFonts w:cs="Times New Roman"/>
          <w:szCs w:val="24"/>
        </w:rPr>
        <w:t>,</w:t>
      </w:r>
      <w:r w:rsidRPr="00A95BB3">
        <w:rPr>
          <w:rFonts w:cs="Times New Roman"/>
          <w:szCs w:val="24"/>
        </w:rPr>
        <w:t xml:space="preserve"> where the PUCO </w:t>
      </w:r>
      <w:r w:rsidRPr="00A95BB3" w:rsidR="00917A77">
        <w:rPr>
          <w:rFonts w:cs="Times New Roman"/>
          <w:szCs w:val="24"/>
        </w:rPr>
        <w:t xml:space="preserve">merely </w:t>
      </w:r>
      <w:r w:rsidRPr="00A95BB3">
        <w:rPr>
          <w:rFonts w:cs="Times New Roman"/>
          <w:szCs w:val="24"/>
        </w:rPr>
        <w:t>considers the settlement as a “package” instead of considering the merits of each individual issue. Again, that favors the utilities that are always part of every settlement.</w:t>
      </w:r>
    </w:p>
    <w:p w:rsidR="000A6E29" w:rsidRPr="00A95BB3" w:rsidP="007F56FC" w14:paraId="2D68B88D" w14:textId="3B107E24">
      <w:pPr>
        <w:spacing w:line="480" w:lineRule="auto"/>
        <w:ind w:firstLine="720"/>
        <w:rPr>
          <w:rFonts w:cs="Times New Roman"/>
          <w:szCs w:val="24"/>
        </w:rPr>
      </w:pPr>
      <w:r w:rsidRPr="00A95BB3">
        <w:rPr>
          <w:rFonts w:cs="Times New Roman"/>
          <w:szCs w:val="24"/>
        </w:rPr>
        <w:t>T</w:t>
      </w:r>
      <w:r w:rsidRPr="00A95BB3" w:rsidR="00EC7AF9">
        <w:rPr>
          <w:rFonts w:cs="Times New Roman"/>
          <w:szCs w:val="24"/>
        </w:rPr>
        <w:t>h</w:t>
      </w:r>
      <w:r w:rsidRPr="00A95BB3" w:rsidR="00917A77">
        <w:rPr>
          <w:rFonts w:cs="Times New Roman"/>
          <w:szCs w:val="24"/>
        </w:rPr>
        <w:t>e</w:t>
      </w:r>
      <w:r w:rsidRPr="00A95BB3" w:rsidR="00EC7AF9">
        <w:rPr>
          <w:rFonts w:cs="Times New Roman"/>
          <w:szCs w:val="24"/>
        </w:rPr>
        <w:t xml:space="preserve"> settlement process problem for consumers can be seen in the </w:t>
      </w:r>
      <w:r w:rsidRPr="00A95BB3" w:rsidR="003A62CC">
        <w:rPr>
          <w:rFonts w:cs="Times New Roman"/>
          <w:szCs w:val="24"/>
        </w:rPr>
        <w:t xml:space="preserve">recent experience </w:t>
      </w:r>
      <w:r w:rsidRPr="00A95BB3" w:rsidR="005E3237">
        <w:rPr>
          <w:rFonts w:cs="Times New Roman"/>
          <w:szCs w:val="24"/>
        </w:rPr>
        <w:t xml:space="preserve">for </w:t>
      </w:r>
      <w:r w:rsidRPr="00A95BB3" w:rsidR="00EC7AF9">
        <w:rPr>
          <w:rFonts w:cs="Times New Roman"/>
          <w:szCs w:val="24"/>
        </w:rPr>
        <w:t xml:space="preserve">Dayton-area consumers. </w:t>
      </w:r>
      <w:r w:rsidRPr="00A95BB3" w:rsidR="005E3237">
        <w:rPr>
          <w:rFonts w:cs="Times New Roman"/>
          <w:szCs w:val="24"/>
        </w:rPr>
        <w:t>DP&amp;L</w:t>
      </w:r>
      <w:r w:rsidRPr="00A95BB3" w:rsidR="00917A77">
        <w:rPr>
          <w:rFonts w:cs="Times New Roman"/>
          <w:szCs w:val="24"/>
        </w:rPr>
        <w:t xml:space="preserve"> and</w:t>
      </w:r>
      <w:r w:rsidRPr="00A95BB3" w:rsidR="005E3237">
        <w:rPr>
          <w:rFonts w:cs="Times New Roman"/>
          <w:szCs w:val="24"/>
        </w:rPr>
        <w:t xml:space="preserve"> the PUCO Staff </w:t>
      </w:r>
      <w:r w:rsidRPr="00A95BB3" w:rsidR="00EB0D0F">
        <w:rPr>
          <w:rFonts w:cs="Times New Roman"/>
          <w:szCs w:val="24"/>
        </w:rPr>
        <w:t>(</w:t>
      </w:r>
      <w:r w:rsidRPr="00A95BB3" w:rsidR="005E3237">
        <w:rPr>
          <w:rFonts w:cs="Times New Roman"/>
          <w:szCs w:val="24"/>
        </w:rPr>
        <w:t>and others</w:t>
      </w:r>
      <w:r w:rsidRPr="00A95BB3" w:rsidR="00EB0D0F">
        <w:rPr>
          <w:rFonts w:cs="Times New Roman"/>
          <w:szCs w:val="24"/>
        </w:rPr>
        <w:t>)</w:t>
      </w:r>
      <w:r w:rsidRPr="00A95BB3" w:rsidR="005E3237">
        <w:rPr>
          <w:rFonts w:cs="Times New Roman"/>
          <w:szCs w:val="24"/>
        </w:rPr>
        <w:t xml:space="preserve"> signed a settlement where Dayton-area consumers were denied </w:t>
      </w:r>
      <w:r w:rsidRPr="00A95BB3" w:rsidR="00753867">
        <w:rPr>
          <w:rFonts w:cs="Times New Roman"/>
          <w:szCs w:val="24"/>
        </w:rPr>
        <w:t>tens of millions of dollars</w:t>
      </w:r>
      <w:r w:rsidRPr="00A95BB3" w:rsidR="00F15DCC">
        <w:rPr>
          <w:rFonts w:cs="Times New Roman"/>
          <w:szCs w:val="24"/>
        </w:rPr>
        <w:t xml:space="preserve"> in</w:t>
      </w:r>
      <w:r w:rsidRPr="00A95BB3" w:rsidR="00753867">
        <w:rPr>
          <w:rFonts w:cs="Times New Roman"/>
          <w:szCs w:val="24"/>
        </w:rPr>
        <w:t xml:space="preserve"> direct</w:t>
      </w:r>
      <w:r w:rsidRPr="00A95BB3" w:rsidR="00F15DCC">
        <w:rPr>
          <w:rFonts w:cs="Times New Roman"/>
          <w:szCs w:val="24"/>
        </w:rPr>
        <w:t xml:space="preserve"> </w:t>
      </w:r>
      <w:r w:rsidRPr="00A95BB3" w:rsidR="00EB0D0F">
        <w:rPr>
          <w:rFonts w:cs="Times New Roman"/>
          <w:szCs w:val="24"/>
        </w:rPr>
        <w:t xml:space="preserve">profits </w:t>
      </w:r>
      <w:r w:rsidRPr="00A95BB3" w:rsidR="005E3237">
        <w:rPr>
          <w:rFonts w:cs="Times New Roman"/>
          <w:szCs w:val="24"/>
        </w:rPr>
        <w:t xml:space="preserve">refunds and instead </w:t>
      </w:r>
      <w:r w:rsidRPr="00A95BB3" w:rsidR="00F15DCC">
        <w:rPr>
          <w:rFonts w:cs="Times New Roman"/>
          <w:szCs w:val="24"/>
        </w:rPr>
        <w:t>might</w:t>
      </w:r>
      <w:r w:rsidRPr="00A95BB3" w:rsidR="005E3237">
        <w:rPr>
          <w:rFonts w:cs="Times New Roman"/>
          <w:szCs w:val="24"/>
        </w:rPr>
        <w:t xml:space="preserve"> receive a </w:t>
      </w:r>
      <w:r w:rsidRPr="00A95BB3" w:rsidR="00694418">
        <w:rPr>
          <w:rFonts w:cs="Times New Roman"/>
          <w:szCs w:val="24"/>
        </w:rPr>
        <w:t>nebulous</w:t>
      </w:r>
      <w:r w:rsidRPr="00A95BB3" w:rsidR="005E3237">
        <w:rPr>
          <w:rFonts w:cs="Times New Roman"/>
          <w:szCs w:val="24"/>
        </w:rPr>
        <w:t xml:space="preserve"> future offset to DP&amp;L</w:t>
      </w:r>
      <w:r w:rsidRPr="00A95BB3" w:rsidR="001131A0">
        <w:rPr>
          <w:rFonts w:cs="Times New Roman"/>
          <w:szCs w:val="24"/>
        </w:rPr>
        <w:t xml:space="preserve">’s </w:t>
      </w:r>
      <w:r w:rsidRPr="00A95BB3" w:rsidR="00CC40CB">
        <w:rPr>
          <w:rFonts w:cs="Times New Roman"/>
          <w:szCs w:val="24"/>
        </w:rPr>
        <w:t xml:space="preserve">charges for </w:t>
      </w:r>
      <w:r w:rsidRPr="00A95BB3" w:rsidR="001131A0">
        <w:rPr>
          <w:rFonts w:cs="Times New Roman"/>
          <w:szCs w:val="24"/>
        </w:rPr>
        <w:t>grid</w:t>
      </w:r>
      <w:r w:rsidRPr="00A95BB3" w:rsidR="005E3237">
        <w:rPr>
          <w:rFonts w:cs="Times New Roman"/>
          <w:szCs w:val="24"/>
        </w:rPr>
        <w:t xml:space="preserve"> investment</w:t>
      </w:r>
      <w:r w:rsidRPr="00A95BB3" w:rsidR="00CC40CB">
        <w:rPr>
          <w:rFonts w:cs="Times New Roman"/>
          <w:szCs w:val="24"/>
        </w:rPr>
        <w:t>s</w:t>
      </w:r>
      <w:r w:rsidRPr="00A95BB3" w:rsidR="005E3237">
        <w:rPr>
          <w:rFonts w:cs="Times New Roman"/>
          <w:szCs w:val="24"/>
        </w:rPr>
        <w:t xml:space="preserve">. </w:t>
      </w:r>
      <w:r w:rsidRPr="00A95BB3" w:rsidR="00EC7AF9">
        <w:rPr>
          <w:rFonts w:cs="Times New Roman"/>
          <w:szCs w:val="24"/>
        </w:rPr>
        <w:t>Various of the settling parties were paid cash or cash equivalents by DP&amp;L.</w:t>
      </w:r>
    </w:p>
    <w:p w:rsidR="00B174A1" w:rsidRPr="00A95BB3" w:rsidP="007F56FC" w14:paraId="49BE8056" w14:textId="3C98EB3E">
      <w:pPr>
        <w:spacing w:line="480" w:lineRule="auto"/>
        <w:ind w:firstLine="720"/>
        <w:rPr>
          <w:rFonts w:cs="Times New Roman"/>
          <w:szCs w:val="24"/>
        </w:rPr>
      </w:pPr>
      <w:r w:rsidRPr="00A95BB3">
        <w:rPr>
          <w:rFonts w:cs="Times New Roman"/>
          <w:szCs w:val="24"/>
        </w:rPr>
        <w:t>Further, the settlement process offers the FirstEnergy Utilities the kind of secrecy th</w:t>
      </w:r>
      <w:r w:rsidRPr="00A95BB3" w:rsidR="00CB75B9">
        <w:rPr>
          <w:rFonts w:cs="Times New Roman"/>
          <w:szCs w:val="24"/>
        </w:rPr>
        <w:t>at FirstEnergy</w:t>
      </w:r>
      <w:r w:rsidRPr="00A95BB3">
        <w:rPr>
          <w:rFonts w:cs="Times New Roman"/>
          <w:szCs w:val="24"/>
        </w:rPr>
        <w:t xml:space="preserve"> seem</w:t>
      </w:r>
      <w:r w:rsidRPr="00A95BB3" w:rsidR="00CB75B9">
        <w:rPr>
          <w:rFonts w:cs="Times New Roman"/>
          <w:szCs w:val="24"/>
        </w:rPr>
        <w:t>s</w:t>
      </w:r>
      <w:r w:rsidRPr="00A95BB3">
        <w:rPr>
          <w:rFonts w:cs="Times New Roman"/>
          <w:szCs w:val="24"/>
        </w:rPr>
        <w:t xml:space="preserve"> to prefer, as has been learned</w:t>
      </w:r>
      <w:r w:rsidRPr="00A95BB3" w:rsidR="00D9073E">
        <w:rPr>
          <w:rFonts w:cs="Times New Roman"/>
          <w:szCs w:val="24"/>
        </w:rPr>
        <w:t xml:space="preserve"> from revelations about the secret world of </w:t>
      </w:r>
      <w:r w:rsidRPr="00A95BB3">
        <w:rPr>
          <w:rFonts w:cs="Times New Roman"/>
          <w:szCs w:val="24"/>
        </w:rPr>
        <w:t>the H</w:t>
      </w:r>
      <w:r w:rsidRPr="00A95BB3" w:rsidR="00E05A1E">
        <w:rPr>
          <w:rFonts w:cs="Times New Roman"/>
          <w:szCs w:val="24"/>
        </w:rPr>
        <w:t>ouse Bill</w:t>
      </w:r>
      <w:r w:rsidRPr="00A95BB3">
        <w:rPr>
          <w:rFonts w:cs="Times New Roman"/>
          <w:szCs w:val="24"/>
        </w:rPr>
        <w:t xml:space="preserve"> 6 scandal </w:t>
      </w:r>
      <w:r w:rsidRPr="00A95BB3" w:rsidR="00D9073E">
        <w:rPr>
          <w:rFonts w:cs="Times New Roman"/>
          <w:szCs w:val="24"/>
        </w:rPr>
        <w:t>where</w:t>
      </w:r>
      <w:r w:rsidRPr="00A95BB3">
        <w:rPr>
          <w:rFonts w:cs="Times New Roman"/>
          <w:szCs w:val="24"/>
        </w:rPr>
        <w:t xml:space="preserve"> FirstEnergy has </w:t>
      </w:r>
      <w:r w:rsidRPr="00A95BB3" w:rsidR="00A83554">
        <w:rPr>
          <w:rFonts w:cs="Times New Roman"/>
          <w:szCs w:val="24"/>
        </w:rPr>
        <w:t xml:space="preserve">now </w:t>
      </w:r>
      <w:r w:rsidRPr="00A95BB3">
        <w:rPr>
          <w:rFonts w:cs="Times New Roman"/>
          <w:szCs w:val="24"/>
        </w:rPr>
        <w:t>been charged with a federal crime.</w:t>
      </w:r>
      <w:r>
        <w:rPr>
          <w:rStyle w:val="FootnoteReference"/>
          <w:rFonts w:cs="Times New Roman"/>
          <w:szCs w:val="24"/>
        </w:rPr>
        <w:footnoteReference w:id="6"/>
      </w:r>
      <w:r w:rsidRPr="00A95BB3">
        <w:rPr>
          <w:rFonts w:cs="Times New Roman"/>
          <w:szCs w:val="24"/>
        </w:rPr>
        <w:t xml:space="preserve"> </w:t>
      </w:r>
      <w:r w:rsidRPr="00A95BB3" w:rsidR="004A1735">
        <w:rPr>
          <w:rFonts w:cs="Times New Roman"/>
          <w:szCs w:val="24"/>
        </w:rPr>
        <w:t>Unlike a fully litigated process</w:t>
      </w:r>
      <w:r w:rsidRPr="00A95BB3" w:rsidR="00A242E4">
        <w:rPr>
          <w:rFonts w:cs="Times New Roman"/>
          <w:szCs w:val="24"/>
        </w:rPr>
        <w:t xml:space="preserve"> for ratemaking</w:t>
      </w:r>
      <w:r w:rsidRPr="00A95BB3" w:rsidR="00AD398A">
        <w:rPr>
          <w:rFonts w:cs="Times New Roman"/>
          <w:szCs w:val="24"/>
        </w:rPr>
        <w:t xml:space="preserve"> in the public light, </w:t>
      </w:r>
      <w:r w:rsidRPr="00A95BB3" w:rsidR="00A242E4">
        <w:rPr>
          <w:rFonts w:cs="Times New Roman"/>
          <w:szCs w:val="24"/>
        </w:rPr>
        <w:t xml:space="preserve">the process of negotiating a </w:t>
      </w:r>
      <w:r w:rsidRPr="00A95BB3">
        <w:rPr>
          <w:rFonts w:cs="Times New Roman"/>
          <w:szCs w:val="24"/>
        </w:rPr>
        <w:t xml:space="preserve">settlement </w:t>
      </w:r>
      <w:r w:rsidRPr="00A95BB3" w:rsidR="00A242E4">
        <w:rPr>
          <w:rFonts w:cs="Times New Roman"/>
          <w:szCs w:val="24"/>
        </w:rPr>
        <w:t>is</w:t>
      </w:r>
      <w:r w:rsidRPr="00A95BB3" w:rsidR="00AD398A">
        <w:rPr>
          <w:rFonts w:cs="Times New Roman"/>
          <w:szCs w:val="24"/>
        </w:rPr>
        <w:t xml:space="preserve"> </w:t>
      </w:r>
      <w:r w:rsidRPr="00A95BB3">
        <w:rPr>
          <w:rFonts w:cs="Times New Roman"/>
          <w:szCs w:val="24"/>
        </w:rPr>
        <w:t>considered confidential</w:t>
      </w:r>
      <w:r w:rsidRPr="00A95BB3" w:rsidR="00AD398A">
        <w:rPr>
          <w:rFonts w:cs="Times New Roman"/>
          <w:szCs w:val="24"/>
        </w:rPr>
        <w:t xml:space="preserve"> from the public</w:t>
      </w:r>
      <w:r w:rsidRPr="00A95BB3">
        <w:rPr>
          <w:rFonts w:cs="Times New Roman"/>
          <w:szCs w:val="24"/>
        </w:rPr>
        <w:t>.</w:t>
      </w:r>
      <w:r w:rsidRPr="00A95BB3" w:rsidR="00A83554">
        <w:rPr>
          <w:rFonts w:cs="Times New Roman"/>
          <w:szCs w:val="24"/>
        </w:rPr>
        <w:t xml:space="preserve"> Moreover, settlements give </w:t>
      </w:r>
      <w:r w:rsidRPr="00A95BB3" w:rsidR="00CB75B9">
        <w:rPr>
          <w:rFonts w:cs="Times New Roman"/>
          <w:szCs w:val="24"/>
        </w:rPr>
        <w:t xml:space="preserve">the </w:t>
      </w:r>
      <w:r w:rsidRPr="00A95BB3" w:rsidR="00A83554">
        <w:rPr>
          <w:rFonts w:cs="Times New Roman"/>
          <w:szCs w:val="24"/>
        </w:rPr>
        <w:t>FirstEnergy</w:t>
      </w:r>
      <w:r w:rsidRPr="00A95BB3" w:rsidR="00CB75B9">
        <w:rPr>
          <w:rFonts w:cs="Times New Roman"/>
          <w:szCs w:val="24"/>
        </w:rPr>
        <w:t xml:space="preserve"> Utilities</w:t>
      </w:r>
      <w:r w:rsidRPr="00A95BB3" w:rsidR="00A83554">
        <w:rPr>
          <w:rFonts w:cs="Times New Roman"/>
          <w:szCs w:val="24"/>
        </w:rPr>
        <w:t xml:space="preserve"> the benefit of </w:t>
      </w:r>
      <w:r w:rsidRPr="00A95BB3">
        <w:rPr>
          <w:rFonts w:cs="Times New Roman"/>
          <w:szCs w:val="24"/>
        </w:rPr>
        <w:t xml:space="preserve">the PUCO’s </w:t>
      </w:r>
      <w:r w:rsidRPr="00A95BB3" w:rsidR="00CB75B9">
        <w:rPr>
          <w:rFonts w:cs="Times New Roman"/>
          <w:szCs w:val="24"/>
        </w:rPr>
        <w:t>utility-</w:t>
      </w:r>
      <w:r w:rsidRPr="00A95BB3">
        <w:rPr>
          <w:rFonts w:cs="Times New Roman"/>
          <w:szCs w:val="24"/>
        </w:rPr>
        <w:t>favorable settlement standards</w:t>
      </w:r>
      <w:r w:rsidRPr="00A95BB3" w:rsidR="00A83554">
        <w:rPr>
          <w:rFonts w:cs="Times New Roman"/>
          <w:szCs w:val="24"/>
        </w:rPr>
        <w:t>, as described above</w:t>
      </w:r>
      <w:r w:rsidRPr="00A95BB3">
        <w:rPr>
          <w:rFonts w:cs="Times New Roman"/>
          <w:szCs w:val="24"/>
        </w:rPr>
        <w:t>.</w:t>
      </w:r>
    </w:p>
    <w:p w:rsidR="0098701C" w:rsidRPr="00A95BB3" w:rsidP="0098701C" w14:paraId="49E99E77" w14:textId="6077E4D0">
      <w:pPr>
        <w:spacing w:line="480" w:lineRule="auto"/>
        <w:ind w:firstLine="720"/>
        <w:rPr>
          <w:rFonts w:cs="Times New Roman"/>
          <w:szCs w:val="24"/>
        </w:rPr>
      </w:pPr>
      <w:r w:rsidRPr="00A95BB3">
        <w:rPr>
          <w:rFonts w:cs="Times New Roman"/>
          <w:szCs w:val="24"/>
        </w:rPr>
        <w:t>T</w:t>
      </w:r>
      <w:r w:rsidRPr="00A95BB3" w:rsidR="00A54ED0">
        <w:rPr>
          <w:rFonts w:cs="Times New Roman"/>
          <w:szCs w:val="24"/>
        </w:rPr>
        <w:t xml:space="preserve">he PUCO should deny the </w:t>
      </w:r>
      <w:r w:rsidRPr="00A95BB3" w:rsidR="00E67B1F">
        <w:rPr>
          <w:rFonts w:cs="Times New Roman"/>
          <w:szCs w:val="24"/>
        </w:rPr>
        <w:t xml:space="preserve">three-month </w:t>
      </w:r>
      <w:r w:rsidRPr="00A95BB3" w:rsidR="00A54ED0">
        <w:rPr>
          <w:rFonts w:cs="Times New Roman"/>
          <w:szCs w:val="24"/>
        </w:rPr>
        <w:t xml:space="preserve">delay proposed by the FirstEnergy Utilities for a settlement. </w:t>
      </w:r>
      <w:r w:rsidRPr="00A95BB3" w:rsidR="003661C6">
        <w:rPr>
          <w:rFonts w:cs="Times New Roman"/>
          <w:szCs w:val="24"/>
        </w:rPr>
        <w:t>But regarding any settlement process in these cases</w:t>
      </w:r>
      <w:r w:rsidRPr="00A95BB3" w:rsidR="00A54ED0">
        <w:rPr>
          <w:rFonts w:cs="Times New Roman"/>
          <w:szCs w:val="24"/>
        </w:rPr>
        <w:t xml:space="preserve">, the PUCO should require </w:t>
      </w:r>
      <w:r w:rsidRPr="00A95BB3" w:rsidR="003661C6">
        <w:rPr>
          <w:rFonts w:cs="Times New Roman"/>
          <w:szCs w:val="24"/>
        </w:rPr>
        <w:t xml:space="preserve">the process to </w:t>
      </w:r>
      <w:r w:rsidRPr="00A95BB3" w:rsidR="00A54ED0">
        <w:rPr>
          <w:rFonts w:cs="Times New Roman"/>
          <w:szCs w:val="24"/>
        </w:rPr>
        <w:t>be conducted as follows.</w:t>
      </w:r>
    </w:p>
    <w:p w:rsidR="0098701C" w:rsidRPr="00A95BB3" w:rsidP="0098701C" w14:paraId="6FE95B9A" w14:textId="781E7CE0">
      <w:pPr>
        <w:spacing w:line="480" w:lineRule="auto"/>
        <w:ind w:firstLine="720"/>
        <w:rPr>
          <w:rFonts w:cs="Times New Roman"/>
          <w:szCs w:val="24"/>
        </w:rPr>
      </w:pPr>
      <w:r w:rsidRPr="00A95BB3">
        <w:rPr>
          <w:rFonts w:cs="Times New Roman"/>
          <w:szCs w:val="24"/>
        </w:rPr>
        <w:t xml:space="preserve">The PUCO should bar FirstEnergy from paying cash and cash equivalents to special interests for signing the settlement. </w:t>
      </w:r>
      <w:r w:rsidRPr="00A95BB3" w:rsidR="00E05A1E">
        <w:rPr>
          <w:rFonts w:cs="Times New Roman"/>
          <w:szCs w:val="24"/>
        </w:rPr>
        <w:t>Further, t</w:t>
      </w:r>
      <w:r w:rsidRPr="00A95BB3">
        <w:rPr>
          <w:rFonts w:cs="Times New Roman"/>
          <w:szCs w:val="24"/>
        </w:rPr>
        <w:t>he PUCO should not consider a settlement unless it is signed by a bona fide</w:t>
      </w:r>
      <w:r>
        <w:rPr>
          <w:rStyle w:val="FootnoteReference"/>
          <w:rFonts w:cs="Times New Roman"/>
          <w:szCs w:val="24"/>
        </w:rPr>
        <w:footnoteReference w:id="7"/>
      </w:r>
      <w:r w:rsidRPr="00A95BB3">
        <w:rPr>
          <w:rFonts w:cs="Times New Roman"/>
          <w:szCs w:val="24"/>
        </w:rPr>
        <w:t xml:space="preserve"> consumer representative (such as OCC) </w:t>
      </w:r>
      <w:r w:rsidRPr="00A95BB3" w:rsidR="00E05A1E">
        <w:rPr>
          <w:rFonts w:cs="Times New Roman"/>
          <w:szCs w:val="24"/>
        </w:rPr>
        <w:t xml:space="preserve">that </w:t>
      </w:r>
      <w:r w:rsidRPr="00A95BB3">
        <w:rPr>
          <w:rFonts w:cs="Times New Roman"/>
          <w:szCs w:val="24"/>
        </w:rPr>
        <w:t>broadly represent</w:t>
      </w:r>
      <w:r w:rsidRPr="00A95BB3" w:rsidR="00E05A1E">
        <w:rPr>
          <w:rFonts w:cs="Times New Roman"/>
          <w:szCs w:val="24"/>
        </w:rPr>
        <w:t>s</w:t>
      </w:r>
      <w:r w:rsidRPr="00A95BB3">
        <w:rPr>
          <w:rFonts w:cs="Times New Roman"/>
          <w:szCs w:val="24"/>
        </w:rPr>
        <w:t xml:space="preserve"> the FirstEnergy Utilities’ consumers. </w:t>
      </w:r>
      <w:r w:rsidRPr="00A95BB3" w:rsidR="00CB75B9">
        <w:rPr>
          <w:rFonts w:cs="Times New Roman"/>
          <w:szCs w:val="24"/>
        </w:rPr>
        <w:t>Also, t</w:t>
      </w:r>
      <w:r w:rsidRPr="00A95BB3">
        <w:rPr>
          <w:rFonts w:cs="Times New Roman"/>
          <w:szCs w:val="24"/>
        </w:rPr>
        <w:t>he participation of the PUCO Staff, given they are employees of the very people judging the case (Commissioners), should not be participants in the settlement process. Or, at most, the PUCO Staff’s role should be limited to impartial facilitation.</w:t>
      </w:r>
    </w:p>
    <w:p w:rsidR="00C672A2" w:rsidRPr="00A95BB3" w:rsidP="007F56FC" w14:paraId="4C4699CB" w14:textId="2319D8F5">
      <w:pPr>
        <w:spacing w:line="480" w:lineRule="auto"/>
        <w:ind w:firstLine="720"/>
        <w:rPr>
          <w:rFonts w:cs="Times New Roman"/>
          <w:szCs w:val="24"/>
        </w:rPr>
      </w:pPr>
      <w:r w:rsidRPr="00A95BB3">
        <w:rPr>
          <w:rFonts w:cs="Times New Roman"/>
          <w:szCs w:val="24"/>
        </w:rPr>
        <w:t xml:space="preserve">Therefore, </w:t>
      </w:r>
      <w:r w:rsidRPr="00A95BB3" w:rsidR="00CB75B9">
        <w:rPr>
          <w:rFonts w:cs="Times New Roman"/>
          <w:szCs w:val="24"/>
        </w:rPr>
        <w:t xml:space="preserve">the </w:t>
      </w:r>
      <w:r w:rsidRPr="00A95BB3">
        <w:rPr>
          <w:rFonts w:cs="Times New Roman"/>
          <w:szCs w:val="24"/>
        </w:rPr>
        <w:t>FirstEnergy</w:t>
      </w:r>
      <w:r w:rsidRPr="00A95BB3" w:rsidR="00CB75B9">
        <w:rPr>
          <w:rFonts w:cs="Times New Roman"/>
          <w:szCs w:val="24"/>
        </w:rPr>
        <w:t xml:space="preserve"> Utilities’</w:t>
      </w:r>
      <w:r w:rsidRPr="00A95BB3">
        <w:rPr>
          <w:rFonts w:cs="Times New Roman"/>
          <w:szCs w:val="24"/>
        </w:rPr>
        <w:t xml:space="preserve"> motion to</w:t>
      </w:r>
      <w:r w:rsidRPr="00A95BB3" w:rsidR="00CE1E08">
        <w:rPr>
          <w:rFonts w:cs="Times New Roman"/>
          <w:szCs w:val="24"/>
        </w:rPr>
        <w:t xml:space="preserve"> postpone the hearing date </w:t>
      </w:r>
      <w:r w:rsidRPr="00A95BB3" w:rsidR="00EB0D0F">
        <w:rPr>
          <w:rFonts w:cs="Times New Roman"/>
          <w:szCs w:val="24"/>
        </w:rPr>
        <w:t>for</w:t>
      </w:r>
      <w:r w:rsidRPr="00A95BB3" w:rsidR="00CE1E08">
        <w:rPr>
          <w:rFonts w:cs="Times New Roman"/>
          <w:szCs w:val="24"/>
        </w:rPr>
        <w:t xml:space="preserve"> 90 days</w:t>
      </w:r>
      <w:r w:rsidRPr="00A95BB3" w:rsidR="00FF0EF2">
        <w:rPr>
          <w:rFonts w:cs="Times New Roman"/>
          <w:szCs w:val="24"/>
        </w:rPr>
        <w:t xml:space="preserve"> should be denied. It would </w:t>
      </w:r>
      <w:r w:rsidRPr="00A95BB3">
        <w:rPr>
          <w:rFonts w:cs="Times New Roman"/>
          <w:szCs w:val="24"/>
        </w:rPr>
        <w:t>allow much more time for a settlement</w:t>
      </w:r>
      <w:r w:rsidRPr="00A95BB3" w:rsidR="00EB0D0F">
        <w:rPr>
          <w:rFonts w:cs="Times New Roman"/>
          <w:szCs w:val="24"/>
        </w:rPr>
        <w:t xml:space="preserve"> process</w:t>
      </w:r>
      <w:r w:rsidRPr="00A95BB3">
        <w:rPr>
          <w:rFonts w:cs="Times New Roman"/>
          <w:szCs w:val="24"/>
        </w:rPr>
        <w:t xml:space="preserve"> that is unfair to consumers</w:t>
      </w:r>
      <w:r w:rsidRPr="00A95BB3" w:rsidR="00CE1E08">
        <w:rPr>
          <w:rFonts w:cs="Times New Roman"/>
          <w:szCs w:val="24"/>
        </w:rPr>
        <w:t>,</w:t>
      </w:r>
      <w:r w:rsidRPr="00A95BB3" w:rsidR="00FF0EF2">
        <w:rPr>
          <w:rFonts w:cs="Times New Roman"/>
          <w:szCs w:val="24"/>
        </w:rPr>
        <w:t xml:space="preserve"> while delaying justice for consumers.</w:t>
      </w:r>
      <w:r w:rsidRPr="00A95BB3" w:rsidR="00CE1E08">
        <w:rPr>
          <w:rFonts w:cs="Times New Roman"/>
          <w:szCs w:val="24"/>
        </w:rPr>
        <w:t xml:space="preserve"> </w:t>
      </w:r>
      <w:r w:rsidRPr="00A95BB3" w:rsidR="00CB75B9">
        <w:rPr>
          <w:rFonts w:cs="Times New Roman"/>
          <w:szCs w:val="24"/>
        </w:rPr>
        <w:t>The FirstEnergy Utilities’ motion</w:t>
      </w:r>
      <w:r w:rsidRPr="00A95BB3">
        <w:rPr>
          <w:rFonts w:cs="Times New Roman"/>
          <w:szCs w:val="24"/>
        </w:rPr>
        <w:t xml:space="preserve"> is</w:t>
      </w:r>
      <w:r w:rsidRPr="00A95BB3" w:rsidR="00CE1E08">
        <w:rPr>
          <w:rFonts w:cs="Times New Roman"/>
          <w:szCs w:val="24"/>
        </w:rPr>
        <w:t xml:space="preserve"> </w:t>
      </w:r>
      <w:r w:rsidRPr="00A95BB3" w:rsidR="007F56FC">
        <w:rPr>
          <w:rFonts w:cs="Times New Roman"/>
          <w:szCs w:val="24"/>
        </w:rPr>
        <w:t xml:space="preserve">prejudicial to the </w:t>
      </w:r>
      <w:r w:rsidRPr="00A95BB3" w:rsidR="00B5396F">
        <w:rPr>
          <w:rFonts w:cs="Times New Roman"/>
          <w:szCs w:val="24"/>
        </w:rPr>
        <w:t xml:space="preserve">two million </w:t>
      </w:r>
      <w:r w:rsidRPr="00A95BB3" w:rsidR="00EB0D0F">
        <w:rPr>
          <w:rFonts w:cs="Times New Roman"/>
          <w:szCs w:val="24"/>
        </w:rPr>
        <w:t>utility</w:t>
      </w:r>
      <w:r w:rsidRPr="00A95BB3" w:rsidR="00B5396F">
        <w:rPr>
          <w:rFonts w:cs="Times New Roman"/>
          <w:szCs w:val="24"/>
        </w:rPr>
        <w:t xml:space="preserve"> </w:t>
      </w:r>
      <w:r w:rsidRPr="00A95BB3" w:rsidR="007F56FC">
        <w:rPr>
          <w:rFonts w:cs="Times New Roman"/>
          <w:szCs w:val="24"/>
        </w:rPr>
        <w:t xml:space="preserve">consumers that </w:t>
      </w:r>
      <w:r w:rsidRPr="00A95BB3" w:rsidR="00E516DF">
        <w:rPr>
          <w:rFonts w:cs="Times New Roman"/>
          <w:szCs w:val="24"/>
        </w:rPr>
        <w:t xml:space="preserve">FirstEnergy </w:t>
      </w:r>
      <w:r w:rsidRPr="00A95BB3" w:rsidR="009E53AD">
        <w:rPr>
          <w:rFonts w:cs="Times New Roman"/>
          <w:szCs w:val="24"/>
        </w:rPr>
        <w:t>overcharged</w:t>
      </w:r>
      <w:r w:rsidRPr="00A95BB3" w:rsidR="007F56FC">
        <w:rPr>
          <w:rFonts w:cs="Times New Roman"/>
          <w:szCs w:val="24"/>
        </w:rPr>
        <w:t>.</w:t>
      </w:r>
    </w:p>
    <w:p w:rsidR="007F56FC" w:rsidRPr="00A95BB3" w14:paraId="43AEC2CD" w14:textId="23042F77">
      <w:pPr>
        <w:rPr>
          <w:rFonts w:eastAsia="Times New Roman" w:cs="Times New Roman"/>
          <w:szCs w:val="24"/>
        </w:rPr>
      </w:pPr>
    </w:p>
    <w:p w:rsidR="007F56FC" w:rsidRPr="00A95BB3" w:rsidP="00C536D7" w14:paraId="62AB144B" w14:textId="729DAC1D">
      <w:pPr>
        <w:pStyle w:val="BodyTextIndent3"/>
        <w:widowControl w:val="0"/>
        <w:spacing w:line="480" w:lineRule="auto"/>
        <w:ind w:left="4320" w:firstLine="0"/>
        <w:rPr>
          <w:szCs w:val="24"/>
        </w:rPr>
      </w:pPr>
      <w:r w:rsidRPr="00A95BB3">
        <w:rPr>
          <w:szCs w:val="24"/>
        </w:rPr>
        <w:t>Respectfully submitted,</w:t>
      </w:r>
    </w:p>
    <w:p w:rsidR="007F56FC" w:rsidRPr="00A95BB3" w:rsidP="00C536D7" w14:paraId="583660DA" w14:textId="77777777">
      <w:pPr>
        <w:ind w:left="4320"/>
        <w:rPr>
          <w:rFonts w:cs="Times New Roman"/>
          <w:szCs w:val="24"/>
        </w:rPr>
      </w:pPr>
      <w:r w:rsidRPr="00A95BB3">
        <w:rPr>
          <w:rFonts w:cs="Times New Roman"/>
          <w:szCs w:val="24"/>
        </w:rPr>
        <w:t>Bruce Weston (0016973)</w:t>
      </w:r>
    </w:p>
    <w:p w:rsidR="007F56FC" w:rsidRPr="00A95BB3" w:rsidP="00C536D7" w14:paraId="392E82B5" w14:textId="77777777">
      <w:pPr>
        <w:tabs>
          <w:tab w:val="left" w:pos="4320"/>
        </w:tabs>
        <w:ind w:left="4320"/>
        <w:rPr>
          <w:rFonts w:cs="Times New Roman"/>
          <w:szCs w:val="24"/>
        </w:rPr>
      </w:pPr>
      <w:r w:rsidRPr="00A95BB3">
        <w:rPr>
          <w:rFonts w:cs="Times New Roman"/>
          <w:szCs w:val="24"/>
        </w:rPr>
        <w:t>Ohio Consumers’ Counsel</w:t>
      </w:r>
    </w:p>
    <w:p w:rsidR="00C536D7" w:rsidRPr="00A95BB3" w:rsidP="00C536D7" w14:paraId="338DF57C" w14:textId="77777777">
      <w:pPr>
        <w:tabs>
          <w:tab w:val="left" w:pos="4320"/>
        </w:tabs>
        <w:ind w:left="4320"/>
        <w:rPr>
          <w:rFonts w:cs="Times New Roman"/>
          <w:szCs w:val="24"/>
        </w:rPr>
      </w:pPr>
    </w:p>
    <w:p w:rsidR="00C536D7" w:rsidRPr="00A95BB3" w:rsidP="00C536D7" w14:paraId="680F69D1" w14:textId="77777777">
      <w:pPr>
        <w:autoSpaceDE w:val="0"/>
        <w:autoSpaceDN w:val="0"/>
        <w:adjustRightInd w:val="0"/>
        <w:ind w:left="4320"/>
        <w:rPr>
          <w:rFonts w:cs="Times New Roman"/>
          <w:i/>
          <w:szCs w:val="24"/>
        </w:rPr>
      </w:pPr>
      <w:r w:rsidRPr="00A95BB3">
        <w:rPr>
          <w:rFonts w:cs="Times New Roman"/>
          <w:i/>
          <w:szCs w:val="24"/>
          <w:u w:val="single"/>
        </w:rPr>
        <w:t>/s/ Christopher Healey</w:t>
      </w:r>
      <w:r w:rsidRPr="00A95BB3">
        <w:rPr>
          <w:rFonts w:cs="Times New Roman"/>
          <w:i/>
          <w:szCs w:val="24"/>
          <w:u w:val="single"/>
        </w:rPr>
        <w:tab/>
      </w:r>
      <w:r w:rsidRPr="00A95BB3">
        <w:rPr>
          <w:rFonts w:cs="Times New Roman"/>
          <w:i/>
          <w:szCs w:val="24"/>
          <w:u w:val="single"/>
        </w:rPr>
        <w:tab/>
      </w:r>
    </w:p>
    <w:p w:rsidR="00C536D7" w:rsidRPr="00A95BB3" w:rsidP="00C536D7" w14:paraId="325B539D" w14:textId="77777777">
      <w:pPr>
        <w:tabs>
          <w:tab w:val="left" w:pos="4320"/>
        </w:tabs>
        <w:ind w:left="4320"/>
        <w:rPr>
          <w:rFonts w:cs="Times New Roman"/>
          <w:szCs w:val="24"/>
        </w:rPr>
      </w:pPr>
      <w:r w:rsidRPr="00A95BB3">
        <w:rPr>
          <w:rFonts w:cs="Times New Roman"/>
          <w:szCs w:val="24"/>
        </w:rPr>
        <w:t>Christopher Healey (0086027)</w:t>
      </w:r>
    </w:p>
    <w:p w:rsidR="00C536D7" w:rsidRPr="00A95BB3" w:rsidP="00C536D7" w14:paraId="74A37BF5" w14:textId="77777777">
      <w:pPr>
        <w:tabs>
          <w:tab w:val="left" w:pos="4320"/>
        </w:tabs>
        <w:ind w:left="4320"/>
        <w:rPr>
          <w:rFonts w:cs="Times New Roman"/>
          <w:szCs w:val="24"/>
        </w:rPr>
      </w:pPr>
      <w:r w:rsidRPr="00A95BB3">
        <w:rPr>
          <w:rFonts w:cs="Times New Roman"/>
          <w:szCs w:val="24"/>
        </w:rPr>
        <w:t>Counsel of Record</w:t>
      </w:r>
    </w:p>
    <w:p w:rsidR="00C536D7" w:rsidRPr="00A95BB3" w:rsidP="00C536D7" w14:paraId="3ED7629C" w14:textId="074479C6">
      <w:pPr>
        <w:tabs>
          <w:tab w:val="left" w:pos="4320"/>
        </w:tabs>
        <w:ind w:left="4320"/>
        <w:rPr>
          <w:rFonts w:cs="Times New Roman"/>
          <w:szCs w:val="24"/>
        </w:rPr>
      </w:pPr>
      <w:r w:rsidRPr="00A95BB3">
        <w:rPr>
          <w:rFonts w:cs="Times New Roman"/>
          <w:szCs w:val="24"/>
        </w:rPr>
        <w:t xml:space="preserve">Ambrosia E. </w:t>
      </w:r>
      <w:r>
        <w:rPr>
          <w:rFonts w:cs="Times New Roman"/>
          <w:szCs w:val="24"/>
        </w:rPr>
        <w:t>Wilson</w:t>
      </w:r>
      <w:r w:rsidRPr="00A95BB3">
        <w:rPr>
          <w:rFonts w:cs="Times New Roman"/>
          <w:szCs w:val="24"/>
        </w:rPr>
        <w:t xml:space="preserve"> (0096598)</w:t>
      </w:r>
    </w:p>
    <w:p w:rsidR="00C536D7" w:rsidRPr="00A95BB3" w:rsidP="00C536D7" w14:paraId="67EED735" w14:textId="77777777">
      <w:pPr>
        <w:tabs>
          <w:tab w:val="left" w:pos="4320"/>
        </w:tabs>
        <w:ind w:left="4320"/>
        <w:rPr>
          <w:rFonts w:cs="Times New Roman"/>
          <w:szCs w:val="24"/>
        </w:rPr>
      </w:pPr>
      <w:r w:rsidRPr="00A95BB3">
        <w:rPr>
          <w:rFonts w:cs="Times New Roman"/>
          <w:szCs w:val="24"/>
        </w:rPr>
        <w:t>Assistant Consumers’ Counsel</w:t>
      </w:r>
      <w:r w:rsidRPr="00A95BB3">
        <w:rPr>
          <w:rFonts w:cs="Times New Roman"/>
          <w:szCs w:val="24"/>
        </w:rPr>
        <w:br/>
      </w:r>
    </w:p>
    <w:p w:rsidR="00C536D7" w:rsidRPr="00A95BB3" w:rsidP="00C536D7" w14:paraId="50C2F29B" w14:textId="77777777">
      <w:pPr>
        <w:tabs>
          <w:tab w:val="left" w:pos="4320"/>
        </w:tabs>
        <w:ind w:left="4320"/>
        <w:rPr>
          <w:rFonts w:cs="Times New Roman"/>
          <w:b/>
          <w:szCs w:val="24"/>
        </w:rPr>
      </w:pPr>
      <w:r w:rsidRPr="00A95BB3">
        <w:rPr>
          <w:rFonts w:cs="Times New Roman"/>
          <w:b/>
          <w:szCs w:val="24"/>
        </w:rPr>
        <w:t>Office of the Ohio Consumers' Counsel</w:t>
      </w:r>
    </w:p>
    <w:p w:rsidR="00C536D7" w:rsidRPr="00A95BB3" w:rsidP="00C536D7" w14:paraId="61E202CB" w14:textId="77777777">
      <w:pPr>
        <w:tabs>
          <w:tab w:val="left" w:pos="4320"/>
        </w:tabs>
        <w:ind w:left="4320"/>
        <w:rPr>
          <w:rFonts w:cs="Times New Roman"/>
          <w:szCs w:val="24"/>
        </w:rPr>
      </w:pPr>
      <w:r w:rsidRPr="00A95BB3">
        <w:rPr>
          <w:rFonts w:cs="Times New Roman"/>
          <w:szCs w:val="24"/>
        </w:rPr>
        <w:t>65 East State Street, 7</w:t>
      </w:r>
      <w:r w:rsidRPr="00A95BB3">
        <w:rPr>
          <w:rFonts w:cs="Times New Roman"/>
          <w:szCs w:val="24"/>
          <w:vertAlign w:val="superscript"/>
        </w:rPr>
        <w:t>th</w:t>
      </w:r>
      <w:r w:rsidRPr="00A95BB3">
        <w:rPr>
          <w:rFonts w:cs="Times New Roman"/>
          <w:szCs w:val="24"/>
        </w:rPr>
        <w:t xml:space="preserve"> Floor</w:t>
      </w:r>
    </w:p>
    <w:p w:rsidR="00C536D7" w:rsidRPr="00A95BB3" w:rsidP="00C536D7" w14:paraId="36920176" w14:textId="77777777">
      <w:pPr>
        <w:tabs>
          <w:tab w:val="left" w:pos="4320"/>
        </w:tabs>
        <w:ind w:left="4320"/>
        <w:rPr>
          <w:rFonts w:cs="Times New Roman"/>
          <w:szCs w:val="24"/>
        </w:rPr>
      </w:pPr>
      <w:r w:rsidRPr="00A95BB3">
        <w:rPr>
          <w:rFonts w:cs="Times New Roman"/>
          <w:szCs w:val="24"/>
        </w:rPr>
        <w:t>Columbus, Ohio 43215</w:t>
      </w:r>
    </w:p>
    <w:p w:rsidR="00C536D7" w:rsidRPr="00A95BB3" w:rsidP="00C536D7" w14:paraId="1A4ECBEF" w14:textId="77777777">
      <w:pPr>
        <w:tabs>
          <w:tab w:val="left" w:pos="4320"/>
        </w:tabs>
        <w:ind w:left="4320"/>
        <w:rPr>
          <w:rFonts w:cs="Times New Roman"/>
          <w:szCs w:val="24"/>
        </w:rPr>
      </w:pPr>
      <w:r w:rsidRPr="00A95BB3">
        <w:rPr>
          <w:rFonts w:cs="Times New Roman"/>
          <w:szCs w:val="24"/>
        </w:rPr>
        <w:t>Telephone: [Healey] (614) 466-9571</w:t>
      </w:r>
    </w:p>
    <w:p w:rsidR="00C536D7" w:rsidRPr="00A95BB3" w:rsidP="00C536D7" w14:paraId="5BF24EEA" w14:textId="2054A839">
      <w:pPr>
        <w:tabs>
          <w:tab w:val="left" w:pos="4320"/>
        </w:tabs>
        <w:ind w:left="4320"/>
        <w:rPr>
          <w:rFonts w:cs="Times New Roman"/>
          <w:szCs w:val="24"/>
        </w:rPr>
      </w:pPr>
      <w:r w:rsidRPr="00A95BB3">
        <w:rPr>
          <w:rFonts w:cs="Times New Roman"/>
          <w:szCs w:val="24"/>
        </w:rPr>
        <w:t>Telephone: [</w:t>
      </w:r>
      <w:r>
        <w:rPr>
          <w:rFonts w:cs="Times New Roman"/>
          <w:szCs w:val="24"/>
        </w:rPr>
        <w:t>Wilson</w:t>
      </w:r>
      <w:r w:rsidRPr="00A95BB3">
        <w:rPr>
          <w:rFonts w:cs="Times New Roman"/>
          <w:szCs w:val="24"/>
        </w:rPr>
        <w:t>] (614) 466-1292</w:t>
      </w:r>
    </w:p>
    <w:p w:rsidR="00C536D7" w:rsidRPr="00A95BB3" w:rsidP="00C536D7" w14:paraId="79CA3E99" w14:textId="77777777">
      <w:pPr>
        <w:ind w:left="4320"/>
        <w:rPr>
          <w:rFonts w:cs="Times New Roman"/>
          <w:szCs w:val="24"/>
        </w:rPr>
      </w:pPr>
      <w:hyperlink r:id="rId8" w:history="1">
        <w:r w:rsidRPr="00A95BB3" w:rsidR="002D26BE">
          <w:rPr>
            <w:rStyle w:val="Hyperlink"/>
            <w:rFonts w:cs="Times New Roman"/>
            <w:szCs w:val="24"/>
          </w:rPr>
          <w:t>christopher.healey@occ.ohio.gov</w:t>
        </w:r>
      </w:hyperlink>
    </w:p>
    <w:p w:rsidR="00C536D7" w:rsidRPr="00A95BB3" w:rsidP="00C536D7" w14:paraId="5ED05A62" w14:textId="43AAB6D4">
      <w:pPr>
        <w:ind w:left="4320"/>
        <w:rPr>
          <w:rFonts w:cs="Times New Roman"/>
          <w:szCs w:val="24"/>
        </w:rPr>
      </w:pPr>
      <w:hyperlink r:id="rId9" w:history="1">
        <w:r w:rsidRPr="00306A19" w:rsidR="002D26BE">
          <w:rPr>
            <w:rStyle w:val="Hyperlink"/>
            <w:rFonts w:cs="Times New Roman"/>
            <w:szCs w:val="24"/>
          </w:rPr>
          <w:t>ambrosia.wilson@occ.ohio.gov</w:t>
        </w:r>
      </w:hyperlink>
    </w:p>
    <w:p w:rsidR="00C536D7" w:rsidRPr="00A95BB3" w:rsidP="00C536D7" w14:paraId="7A284388" w14:textId="77777777">
      <w:pPr>
        <w:ind w:left="4320"/>
        <w:rPr>
          <w:rFonts w:cs="Times New Roman"/>
          <w:szCs w:val="24"/>
        </w:rPr>
      </w:pPr>
      <w:r w:rsidRPr="00A95BB3">
        <w:rPr>
          <w:rFonts w:cs="Times New Roman"/>
          <w:szCs w:val="24"/>
        </w:rPr>
        <w:t>(Willing to accept service by e-mail)</w:t>
      </w:r>
    </w:p>
    <w:p w:rsidR="007F56FC" w:rsidRPr="00A95BB3" w:rsidP="007F56FC" w14:paraId="296ADB4C" w14:textId="55C14285">
      <w:pPr>
        <w:autoSpaceDE w:val="0"/>
        <w:autoSpaceDN w:val="0"/>
        <w:adjustRightInd w:val="0"/>
        <w:spacing w:line="480" w:lineRule="auto"/>
        <w:ind w:left="3600"/>
        <w:rPr>
          <w:rFonts w:cs="Times New Roman"/>
          <w:szCs w:val="24"/>
        </w:rPr>
      </w:pPr>
    </w:p>
    <w:p w:rsidR="007F56FC" w:rsidRPr="00A95BB3" w:rsidP="007F56FC" w14:paraId="036BBB25" w14:textId="77777777">
      <w:pPr>
        <w:autoSpaceDE w:val="0"/>
        <w:autoSpaceDN w:val="0"/>
        <w:adjustRightInd w:val="0"/>
        <w:spacing w:line="480" w:lineRule="auto"/>
        <w:ind w:left="3600"/>
        <w:rPr>
          <w:rFonts w:cs="Times New Roman"/>
          <w:szCs w:val="24"/>
        </w:rPr>
      </w:pPr>
    </w:p>
    <w:p w:rsidR="007F56FC" w:rsidRPr="00A95BB3" w:rsidP="007F56FC" w14:paraId="1604E45B" w14:textId="77777777">
      <w:pPr>
        <w:spacing w:line="480" w:lineRule="auto"/>
        <w:ind w:firstLine="720"/>
        <w:rPr>
          <w:rFonts w:cs="Times New Roman"/>
          <w:szCs w:val="24"/>
        </w:rPr>
      </w:pPr>
    </w:p>
    <w:p w:rsidR="00C672A2" w:rsidRPr="00A95BB3" w14:paraId="1C469585" w14:textId="5AE2CACF">
      <w:pPr>
        <w:rPr>
          <w:rFonts w:cs="Times New Roman"/>
          <w:szCs w:val="24"/>
        </w:rPr>
      </w:pPr>
    </w:p>
    <w:p w:rsidR="00C672A2" w:rsidRPr="00A95BB3" w14:paraId="498B4994" w14:textId="77777777">
      <w:pPr>
        <w:rPr>
          <w:rFonts w:cs="Times New Roman"/>
          <w:szCs w:val="24"/>
        </w:rPr>
      </w:pPr>
    </w:p>
    <w:p w:rsidR="00C536D7" w:rsidRPr="00A95BB3" w14:paraId="72E7260E" w14:textId="77777777">
      <w:pPr>
        <w:rPr>
          <w:rFonts w:cs="Times New Roman"/>
          <w:szCs w:val="24"/>
        </w:rPr>
        <w:sectPr w:rsidSect="00BD1B34">
          <w:footerReference w:type="default" r:id="rId10"/>
          <w:pgSz w:w="12240" w:h="15840"/>
          <w:pgMar w:top="1440" w:right="1440" w:bottom="1440" w:left="1440" w:header="720" w:footer="720" w:gutter="0"/>
          <w:cols w:space="720"/>
          <w:docGrid w:linePitch="360"/>
        </w:sectPr>
      </w:pPr>
    </w:p>
    <w:p w:rsidR="000278AB" w:rsidRPr="00A95BB3" w:rsidP="000278AB" w14:paraId="07FC3E18" w14:textId="77777777">
      <w:pPr>
        <w:spacing w:line="480" w:lineRule="auto"/>
        <w:jc w:val="center"/>
        <w:rPr>
          <w:rFonts w:cs="Times New Roman"/>
          <w:b/>
          <w:bCs/>
          <w:color w:val="000000"/>
          <w:szCs w:val="24"/>
          <w:u w:val="single"/>
        </w:rPr>
      </w:pPr>
      <w:r w:rsidRPr="00A95BB3">
        <w:rPr>
          <w:rFonts w:cs="Times New Roman"/>
          <w:b/>
          <w:bCs/>
          <w:color w:val="000000"/>
          <w:szCs w:val="24"/>
          <w:u w:val="single"/>
        </w:rPr>
        <w:t>CERTIFICATE OF SERVICE</w:t>
      </w:r>
    </w:p>
    <w:p w:rsidR="000278AB" w:rsidRPr="00A95BB3" w:rsidP="000278AB" w14:paraId="72E6C0BC" w14:textId="0E08B7B2">
      <w:pPr>
        <w:autoSpaceDE w:val="0"/>
        <w:autoSpaceDN w:val="0"/>
        <w:adjustRightInd w:val="0"/>
        <w:spacing w:line="480" w:lineRule="auto"/>
        <w:ind w:firstLine="720"/>
        <w:contextualSpacing/>
        <w:rPr>
          <w:rFonts w:cs="Times New Roman"/>
          <w:color w:val="000000"/>
          <w:szCs w:val="24"/>
        </w:rPr>
      </w:pPr>
      <w:r w:rsidRPr="00A95BB3">
        <w:rPr>
          <w:rFonts w:cs="Times New Roman"/>
          <w:color w:val="000000"/>
          <w:szCs w:val="24"/>
        </w:rPr>
        <w:t>I hereby certify that a true and accurate copy of the Memo Contra wa</w:t>
      </w:r>
      <w:r w:rsidRPr="00A95BB3">
        <w:rPr>
          <w:rFonts w:cs="Times New Roman"/>
          <w:iCs/>
          <w:color w:val="000000"/>
          <w:szCs w:val="24"/>
        </w:rPr>
        <w:t>s</w:t>
      </w:r>
      <w:r w:rsidRPr="00A95BB3">
        <w:rPr>
          <w:rFonts w:cs="Times New Roman"/>
          <w:color w:val="000000"/>
          <w:szCs w:val="24"/>
        </w:rPr>
        <w:t xml:space="preserve"> served upon the following parties via electronic transmission this 30th day of July 2021.</w:t>
      </w:r>
    </w:p>
    <w:p w:rsidR="000278AB" w:rsidRPr="00A95BB3" w:rsidP="000278AB" w14:paraId="197CD7F9" w14:textId="77777777">
      <w:pPr>
        <w:autoSpaceDE w:val="0"/>
        <w:autoSpaceDN w:val="0"/>
        <w:adjustRightInd w:val="0"/>
        <w:ind w:firstLine="720"/>
        <w:contextualSpacing/>
        <w:rPr>
          <w:rFonts w:cs="Times New Roman"/>
          <w:color w:val="000000"/>
          <w:szCs w:val="24"/>
        </w:rPr>
      </w:pPr>
    </w:p>
    <w:p w:rsidR="000278AB" w:rsidRPr="00A95BB3" w:rsidP="000278AB" w14:paraId="65761FAE" w14:textId="77777777">
      <w:pPr>
        <w:autoSpaceDE w:val="0"/>
        <w:autoSpaceDN w:val="0"/>
        <w:adjustRightInd w:val="0"/>
        <w:rPr>
          <w:rFonts w:cs="Times New Roman"/>
          <w:i/>
          <w:color w:val="000000"/>
          <w:szCs w:val="24"/>
          <w:u w:val="single"/>
        </w:rPr>
      </w:pP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i/>
          <w:color w:val="000000"/>
          <w:szCs w:val="24"/>
          <w:u w:val="single"/>
        </w:rPr>
        <w:t>/s/ Christopher Healey</w:t>
      </w:r>
    </w:p>
    <w:p w:rsidR="000278AB" w:rsidRPr="00A95BB3" w:rsidP="000278AB" w14:paraId="7FAA4733" w14:textId="77777777">
      <w:pPr>
        <w:autoSpaceDE w:val="0"/>
        <w:autoSpaceDN w:val="0"/>
        <w:adjustRightInd w:val="0"/>
        <w:rPr>
          <w:rFonts w:cs="Times New Roman"/>
          <w:color w:val="000000"/>
          <w:szCs w:val="24"/>
        </w:rPr>
      </w:pP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t>Christopher Healey</w:t>
      </w:r>
    </w:p>
    <w:p w:rsidR="000278AB" w:rsidRPr="00A95BB3" w:rsidP="000278AB" w14:paraId="427A6C6F" w14:textId="77777777">
      <w:pPr>
        <w:autoSpaceDE w:val="0"/>
        <w:autoSpaceDN w:val="0"/>
        <w:adjustRightInd w:val="0"/>
        <w:rPr>
          <w:rFonts w:cs="Times New Roman"/>
          <w:color w:val="000000"/>
          <w:szCs w:val="24"/>
        </w:rPr>
      </w:pP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r>
      <w:r w:rsidRPr="00A95BB3">
        <w:rPr>
          <w:rFonts w:cs="Times New Roman"/>
          <w:color w:val="000000"/>
          <w:szCs w:val="24"/>
        </w:rPr>
        <w:tab/>
        <w:t>Assistant Consumers’ Counsel</w:t>
      </w:r>
    </w:p>
    <w:p w:rsidR="000278AB" w:rsidRPr="00A95BB3" w:rsidP="000278AB" w14:paraId="6D9EB05E" w14:textId="77777777">
      <w:pPr>
        <w:autoSpaceDE w:val="0"/>
        <w:autoSpaceDN w:val="0"/>
        <w:adjustRightInd w:val="0"/>
        <w:rPr>
          <w:rFonts w:cs="Times New Roman"/>
          <w:color w:val="000000"/>
          <w:szCs w:val="24"/>
        </w:rPr>
      </w:pPr>
    </w:p>
    <w:p w:rsidR="000278AB" w:rsidRPr="00A95BB3" w:rsidP="000278AB" w14:paraId="7BE10260" w14:textId="77777777">
      <w:pPr>
        <w:pStyle w:val="CommentText"/>
        <w:rPr>
          <w:rFonts w:cs="Times New Roman"/>
          <w:sz w:val="24"/>
          <w:szCs w:val="24"/>
        </w:rPr>
      </w:pPr>
    </w:p>
    <w:p w:rsidR="000278AB" w:rsidRPr="00A95BB3" w:rsidP="000278AB" w14:paraId="02252360" w14:textId="77777777">
      <w:pPr>
        <w:pStyle w:val="CommentText"/>
        <w:rPr>
          <w:rFonts w:cs="Times New Roman"/>
          <w:sz w:val="24"/>
          <w:szCs w:val="24"/>
        </w:rPr>
      </w:pPr>
      <w:r w:rsidRPr="00A95BB3">
        <w:rPr>
          <w:rFonts w:cs="Times New Roman"/>
          <w:sz w:val="24"/>
          <w:szCs w:val="24"/>
        </w:rPr>
        <w:t>The PUCO’s e-filing system will electronically serve notice of the filing of this document on the following parties:</w:t>
      </w:r>
    </w:p>
    <w:p w:rsidR="000278AB" w:rsidRPr="00A95BB3" w:rsidP="000278AB" w14:paraId="65CACF26" w14:textId="77777777">
      <w:pPr>
        <w:autoSpaceDE w:val="0"/>
        <w:autoSpaceDN w:val="0"/>
        <w:adjustRightInd w:val="0"/>
        <w:rPr>
          <w:rFonts w:cs="Times New Roman"/>
          <w:color w:val="000000"/>
          <w:szCs w:val="24"/>
        </w:rPr>
      </w:pPr>
    </w:p>
    <w:p w:rsidR="000278AB" w:rsidRPr="00A95BB3" w:rsidP="000278AB" w14:paraId="3079C444" w14:textId="77777777">
      <w:pPr>
        <w:autoSpaceDE w:val="0"/>
        <w:autoSpaceDN w:val="0"/>
        <w:adjustRightInd w:val="0"/>
        <w:rPr>
          <w:rFonts w:cs="Times New Roman"/>
          <w:color w:val="000000"/>
          <w:szCs w:val="24"/>
        </w:rPr>
      </w:pPr>
    </w:p>
    <w:p w:rsidR="000278AB" w:rsidRPr="00A95BB3" w:rsidP="000278AB" w14:paraId="4A6B3EEB" w14:textId="77777777">
      <w:pPr>
        <w:autoSpaceDE w:val="0"/>
        <w:autoSpaceDN w:val="0"/>
        <w:adjustRightInd w:val="0"/>
        <w:rPr>
          <w:rFonts w:cs="Times New Roman"/>
          <w:color w:val="000000"/>
          <w:szCs w:val="24"/>
        </w:rPr>
      </w:pPr>
    </w:p>
    <w:p w:rsidR="000278AB" w:rsidRPr="00A95BB3" w:rsidP="000278AB" w14:paraId="0F598B86" w14:textId="77777777">
      <w:pPr>
        <w:pStyle w:val="CommentText"/>
        <w:jc w:val="center"/>
        <w:rPr>
          <w:rFonts w:cs="Times New Roman"/>
          <w:b/>
          <w:sz w:val="24"/>
          <w:szCs w:val="24"/>
          <w:u w:val="single"/>
        </w:rPr>
      </w:pPr>
      <w:r w:rsidRPr="00A95BB3">
        <w:rPr>
          <w:rFonts w:cs="Times New Roman"/>
          <w:b/>
          <w:sz w:val="24"/>
          <w:szCs w:val="24"/>
          <w:u w:val="single"/>
        </w:rPr>
        <w:t>SERVICE LIST</w:t>
      </w:r>
    </w:p>
    <w:p w:rsidR="000278AB" w:rsidRPr="00A95BB3" w:rsidP="000278AB" w14:paraId="794A5876" w14:textId="77777777">
      <w:pPr>
        <w:pStyle w:val="BodyText"/>
        <w:spacing w:after="0"/>
        <w:rPr>
          <w:b/>
          <w:bCs/>
        </w:rPr>
      </w:pPr>
    </w:p>
    <w:tbl>
      <w:tblPr>
        <w:tblW w:w="0" w:type="auto"/>
        <w:tblLook w:val="01E0"/>
      </w:tblPr>
      <w:tblGrid>
        <w:gridCol w:w="4428"/>
        <w:gridCol w:w="4428"/>
      </w:tblGrid>
      <w:tr w14:paraId="3D98C52F" w14:textId="77777777" w:rsidTr="00810D71">
        <w:tblPrEx>
          <w:tblW w:w="0" w:type="auto"/>
          <w:tblLook w:val="01E0"/>
        </w:tblPrEx>
        <w:tc>
          <w:tcPr>
            <w:tcW w:w="4428" w:type="dxa"/>
          </w:tcPr>
          <w:p w:rsidR="000278AB" w:rsidRPr="00A95BB3" w:rsidP="00810D71" w14:paraId="34309D54" w14:textId="115309C8">
            <w:pPr>
              <w:autoSpaceDE w:val="0"/>
              <w:autoSpaceDN w:val="0"/>
              <w:adjustRightInd w:val="0"/>
              <w:rPr>
                <w:rStyle w:val="Hyperlink"/>
                <w:rFonts w:cs="Times New Roman"/>
                <w:bCs/>
                <w:szCs w:val="24"/>
              </w:rPr>
            </w:pPr>
            <w:hyperlink r:id="rId11" w:history="1">
              <w:r w:rsidRPr="00A95BB3" w:rsidR="002D26BE">
                <w:rPr>
                  <w:rStyle w:val="Hyperlink"/>
                  <w:rFonts w:cs="Times New Roman"/>
                  <w:szCs w:val="24"/>
                </w:rPr>
                <w:t>robert.eubanks@ohioAGO.gov</w:t>
              </w:r>
            </w:hyperlink>
          </w:p>
          <w:p w:rsidR="000278AB" w:rsidRPr="00A95BB3" w:rsidP="00810D71" w14:paraId="48108019" w14:textId="4732F5B2">
            <w:pPr>
              <w:autoSpaceDE w:val="0"/>
              <w:autoSpaceDN w:val="0"/>
              <w:adjustRightInd w:val="0"/>
              <w:rPr>
                <w:rStyle w:val="Hyperlink"/>
                <w:rFonts w:cs="Times New Roman"/>
                <w:bCs/>
                <w:szCs w:val="24"/>
              </w:rPr>
            </w:pPr>
            <w:hyperlink r:id="rId12" w:history="1">
              <w:r w:rsidRPr="00A95BB3" w:rsidR="002D26BE">
                <w:rPr>
                  <w:rStyle w:val="Hyperlink"/>
                  <w:rFonts w:cs="Times New Roman"/>
                  <w:szCs w:val="24"/>
                </w:rPr>
                <w:t>werner.margard@ohioAGO.gov</w:t>
              </w:r>
            </w:hyperlink>
          </w:p>
          <w:p w:rsidR="000278AB" w:rsidRPr="00A95BB3" w:rsidP="00810D71" w14:paraId="4D5F0814" w14:textId="00E5D9BC">
            <w:pPr>
              <w:autoSpaceDE w:val="0"/>
              <w:autoSpaceDN w:val="0"/>
              <w:adjustRightInd w:val="0"/>
              <w:rPr>
                <w:rFonts w:cs="Times New Roman"/>
                <w:color w:val="0000FF"/>
                <w:szCs w:val="24"/>
              </w:rPr>
            </w:pPr>
            <w:hyperlink r:id="rId13" w:history="1">
              <w:r w:rsidRPr="00A95BB3" w:rsidR="002D26BE">
                <w:rPr>
                  <w:rStyle w:val="Hyperlink"/>
                  <w:rFonts w:cs="Times New Roman"/>
                  <w:szCs w:val="24"/>
                </w:rPr>
                <w:t>Donadio@carpenterlipps.com</w:t>
              </w:r>
            </w:hyperlink>
          </w:p>
          <w:p w:rsidR="000278AB" w:rsidRPr="00A95BB3" w:rsidP="00810D71" w14:paraId="2B023E7C" w14:textId="4E6E5484">
            <w:pPr>
              <w:autoSpaceDE w:val="0"/>
              <w:autoSpaceDN w:val="0"/>
              <w:adjustRightInd w:val="0"/>
              <w:rPr>
                <w:rStyle w:val="Hyperlink"/>
                <w:rFonts w:cs="Times New Roman"/>
                <w:bCs/>
                <w:szCs w:val="24"/>
              </w:rPr>
            </w:pPr>
            <w:hyperlink r:id="rId14" w:history="1">
              <w:r w:rsidRPr="00A95BB3" w:rsidR="00A95BB3">
                <w:rPr>
                  <w:rStyle w:val="Hyperlink"/>
                  <w:rFonts w:cs="Times New Roman"/>
                  <w:szCs w:val="24"/>
                </w:rPr>
                <w:t>bojko@carpenterlipps.com</w:t>
              </w:r>
            </w:hyperlink>
          </w:p>
          <w:p w:rsidR="000278AB" w:rsidRPr="00A95BB3" w:rsidP="00810D71" w14:paraId="4C06B633" w14:textId="77777777">
            <w:pPr>
              <w:autoSpaceDE w:val="0"/>
              <w:autoSpaceDN w:val="0"/>
              <w:adjustRightInd w:val="0"/>
              <w:rPr>
                <w:rStyle w:val="Hyperlink"/>
                <w:rFonts w:cs="Times New Roman"/>
                <w:bCs/>
                <w:szCs w:val="24"/>
              </w:rPr>
            </w:pPr>
          </w:p>
          <w:p w:rsidR="000278AB" w:rsidRPr="00A95BB3" w:rsidP="00810D71" w14:paraId="3888A7D5" w14:textId="77777777">
            <w:pPr>
              <w:pStyle w:val="BodyText"/>
              <w:spacing w:after="0"/>
              <w:jc w:val="both"/>
            </w:pPr>
            <w:r w:rsidRPr="00A95BB3">
              <w:t>Attorney Examiners:</w:t>
            </w:r>
          </w:p>
          <w:p w:rsidR="000278AB" w:rsidRPr="00A95BB3" w:rsidP="00810D71" w14:paraId="6D9B6008" w14:textId="77777777">
            <w:pPr>
              <w:pStyle w:val="BodyText"/>
              <w:spacing w:after="0"/>
              <w:jc w:val="both"/>
              <w:rPr>
                <w:color w:val="0000FF"/>
              </w:rPr>
            </w:pPr>
          </w:p>
          <w:p w:rsidR="000278AB" w:rsidRPr="00A95BB3" w:rsidP="00810D71" w14:paraId="7CC001F2" w14:textId="77777777">
            <w:pPr>
              <w:pStyle w:val="BodyText"/>
              <w:spacing w:after="0"/>
              <w:jc w:val="both"/>
              <w:rPr>
                <w:color w:val="0000FF"/>
              </w:rPr>
            </w:pPr>
            <w:hyperlink r:id="rId15" w:history="1">
              <w:r w:rsidRPr="00A95BB3" w:rsidR="002D26BE">
                <w:rPr>
                  <w:rStyle w:val="Hyperlink"/>
                </w:rPr>
                <w:t>Gregory.price@puco.ohio.gov</w:t>
              </w:r>
            </w:hyperlink>
          </w:p>
          <w:p w:rsidR="000278AB" w:rsidRPr="00A95BB3" w:rsidP="00810D71" w14:paraId="6D17A89B" w14:textId="77777777">
            <w:pPr>
              <w:pStyle w:val="BodyText"/>
              <w:spacing w:after="0"/>
              <w:jc w:val="both"/>
              <w:rPr>
                <w:color w:val="0000FF"/>
              </w:rPr>
            </w:pPr>
            <w:hyperlink r:id="rId16" w:history="1">
              <w:r w:rsidRPr="00A95BB3" w:rsidR="002D26BE">
                <w:rPr>
                  <w:rStyle w:val="Hyperlink"/>
                </w:rPr>
                <w:t>Mandy.willey@puco.ohio.gov</w:t>
              </w:r>
            </w:hyperlink>
            <w:r w:rsidRPr="00A95BB3" w:rsidR="002D26BE">
              <w:rPr>
                <w:color w:val="0000FF"/>
              </w:rPr>
              <w:t xml:space="preserve"> </w:t>
            </w:r>
          </w:p>
          <w:p w:rsidR="000278AB" w:rsidRPr="00A95BB3" w:rsidP="00810D71" w14:paraId="3FAC40B7" w14:textId="77777777">
            <w:pPr>
              <w:autoSpaceDE w:val="0"/>
              <w:autoSpaceDN w:val="0"/>
              <w:adjustRightInd w:val="0"/>
              <w:rPr>
                <w:rFonts w:cs="Times New Roman"/>
                <w:bCs/>
                <w:szCs w:val="24"/>
              </w:rPr>
            </w:pPr>
          </w:p>
        </w:tc>
        <w:tc>
          <w:tcPr>
            <w:tcW w:w="4428" w:type="dxa"/>
          </w:tcPr>
          <w:p w:rsidR="000278AB" w:rsidRPr="00A95BB3" w:rsidP="00810D71" w14:paraId="1CCA4C4F" w14:textId="6EBEE726">
            <w:pPr>
              <w:pStyle w:val="BodyText"/>
              <w:spacing w:after="0"/>
              <w:ind w:left="681"/>
            </w:pPr>
            <w:hyperlink r:id="rId17" w:history="1">
              <w:r w:rsidRPr="00A95BB3" w:rsidR="002D26BE">
                <w:rPr>
                  <w:rStyle w:val="Hyperlink"/>
                </w:rPr>
                <w:t>bknipe@firstenergycorp.com</w:t>
              </w:r>
            </w:hyperlink>
          </w:p>
          <w:p w:rsidR="000278AB" w:rsidRPr="00A95BB3" w:rsidP="000278AB" w14:paraId="50BFEF28" w14:textId="35D986E5">
            <w:pPr>
              <w:autoSpaceDE w:val="0"/>
              <w:autoSpaceDN w:val="0"/>
              <w:adjustRightInd w:val="0"/>
              <w:ind w:left="684"/>
              <w:rPr>
                <w:rFonts w:cs="Times New Roman"/>
                <w:szCs w:val="24"/>
              </w:rPr>
            </w:pPr>
            <w:hyperlink r:id="rId18" w:history="1">
              <w:r w:rsidRPr="00A95BB3" w:rsidR="002D26BE">
                <w:rPr>
                  <w:rStyle w:val="Hyperlink"/>
                  <w:rFonts w:cs="Times New Roman"/>
                  <w:szCs w:val="24"/>
                </w:rPr>
                <w:t>talexander@beneschlaw.com</w:t>
              </w:r>
            </w:hyperlink>
          </w:p>
          <w:p w:rsidR="000278AB" w:rsidRPr="00A95BB3" w:rsidP="000278AB" w14:paraId="6E46C48B" w14:textId="297F6F32">
            <w:pPr>
              <w:autoSpaceDE w:val="0"/>
              <w:autoSpaceDN w:val="0"/>
              <w:adjustRightInd w:val="0"/>
              <w:ind w:left="684"/>
              <w:rPr>
                <w:rFonts w:cs="Times New Roman"/>
                <w:szCs w:val="24"/>
              </w:rPr>
            </w:pPr>
            <w:hyperlink r:id="rId19" w:history="1">
              <w:r w:rsidRPr="00A95BB3" w:rsidR="002D26BE">
                <w:rPr>
                  <w:rStyle w:val="Hyperlink"/>
                  <w:rFonts w:cs="Times New Roman"/>
                  <w:szCs w:val="24"/>
                </w:rPr>
                <w:t>mkeaney@beneschlaw.com</w:t>
              </w:r>
            </w:hyperlink>
          </w:p>
          <w:p w:rsidR="000278AB" w:rsidRPr="00A95BB3" w:rsidP="000278AB" w14:paraId="6E743A36" w14:textId="6E574628">
            <w:pPr>
              <w:pStyle w:val="BodyText"/>
              <w:spacing w:after="0"/>
              <w:ind w:left="681"/>
            </w:pPr>
            <w:hyperlink r:id="rId20" w:history="1">
              <w:r w:rsidRPr="00A95BB3" w:rsidR="002D26BE">
                <w:rPr>
                  <w:rStyle w:val="Hyperlink"/>
                </w:rPr>
                <w:t>khehmeyer@beneschlaw.com</w:t>
              </w:r>
            </w:hyperlink>
          </w:p>
          <w:p w:rsidR="000278AB" w:rsidRPr="00A95BB3" w:rsidP="000278AB" w14:paraId="59556F39" w14:textId="18D996A0">
            <w:pPr>
              <w:pStyle w:val="BodyText"/>
              <w:spacing w:after="0"/>
              <w:ind w:left="681"/>
              <w:rPr>
                <w:i/>
                <w:color w:val="0000FF"/>
              </w:rPr>
            </w:pPr>
          </w:p>
        </w:tc>
      </w:tr>
    </w:tbl>
    <w:p w:rsidR="000278AB" w:rsidRPr="00A95BB3" w:rsidP="000278AB" w14:paraId="28D16FFF" w14:textId="77777777">
      <w:pPr>
        <w:autoSpaceDE w:val="0"/>
        <w:autoSpaceDN w:val="0"/>
        <w:adjustRightInd w:val="0"/>
        <w:rPr>
          <w:rFonts w:cs="Times New Roman"/>
          <w:szCs w:val="24"/>
        </w:rPr>
      </w:pPr>
    </w:p>
    <w:p w:rsidR="00A707C1" w:rsidRPr="00A95BB3" w:rsidP="000278AB" w14:paraId="5ECA794C" w14:textId="2018CFC3">
      <w:pPr>
        <w:rPr>
          <w:rFonts w:cs="Times New Roman"/>
          <w:szCs w:val="24"/>
        </w:rPr>
      </w:pPr>
    </w:p>
    <w:sectPr w:rsidSect="007E781D">
      <w:footerReference w:type="first" r:id="rId21"/>
      <w:pgSz w:w="12240" w:h="15840" w:code="1"/>
      <w:pgMar w:top="1080" w:right="1440" w:bottom="720" w:left="1440" w:header="720" w:footer="720" w:gutter="0"/>
      <w:paperSrc w:first="4" w:other="4"/>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E0E" w14:paraId="10A4B374" w14:textId="3963B312">
    <w:pPr>
      <w:pStyle w:val="Footer"/>
      <w:jc w:val="center"/>
    </w:pPr>
  </w:p>
  <w:p w:rsidR="00264E0E" w14:paraId="7C4C66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2222979"/>
      <w:docPartObj>
        <w:docPartGallery w:val="Page Numbers (Bottom of Page)"/>
        <w:docPartUnique/>
      </w:docPartObj>
    </w:sdtPr>
    <w:sdtEndPr>
      <w:rPr>
        <w:noProof/>
      </w:rPr>
    </w:sdtEndPr>
    <w:sdtContent>
      <w:p w:rsidR="00264E0E" w14:paraId="2AEEA7A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64E0E" w14:paraId="20A38E2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193492"/>
      <w:docPartObj>
        <w:docPartGallery w:val="Page Numbers (Bottom of Page)"/>
        <w:docPartUnique/>
      </w:docPartObj>
    </w:sdtPr>
    <w:sdtEndPr>
      <w:rPr>
        <w:noProof/>
      </w:rPr>
    </w:sdtEndPr>
    <w:sdtContent>
      <w:p w:rsidR="00264E0E" w14:paraId="5738D80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64E0E" w14:paraId="3AC457A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964497"/>
      <w:docPartObj>
        <w:docPartGallery w:val="Page Numbers (Bottom of Page)"/>
        <w:docPartUnique/>
      </w:docPartObj>
    </w:sdtPr>
    <w:sdtEndPr>
      <w:rPr>
        <w:noProof/>
      </w:rPr>
    </w:sdtEndPr>
    <w:sdtContent>
      <w:p w:rsidR="00485A14" w14:paraId="05C24DE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85A14" w14:paraId="0A3336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609CF" w:rsidP="00A707C1" w14:paraId="06562407" w14:textId="77777777">
      <w:r>
        <w:separator/>
      </w:r>
    </w:p>
  </w:footnote>
  <w:footnote w:type="continuationSeparator" w:id="1">
    <w:p w:rsidR="00D609CF" w:rsidP="00A707C1" w14:paraId="673E5B6F" w14:textId="77777777">
      <w:r>
        <w:continuationSeparator/>
      </w:r>
    </w:p>
  </w:footnote>
  <w:footnote w:id="2">
    <w:p w:rsidR="007F56FC" w:rsidRPr="007F56FC" w:rsidP="00352F36" w14:paraId="7BD6BE53" w14:textId="094D094D">
      <w:pPr>
        <w:pStyle w:val="FootnoteText"/>
        <w:spacing w:after="120"/>
      </w:pPr>
      <w:r>
        <w:rPr>
          <w:rStyle w:val="FootnoteReference"/>
        </w:rPr>
        <w:footnoteRef/>
      </w:r>
      <w:r>
        <w:t xml:space="preserve"> </w:t>
      </w:r>
      <w:r>
        <w:rPr>
          <w:i/>
          <w:iCs/>
        </w:rPr>
        <w:t>See</w:t>
      </w:r>
      <w:r w:rsidR="001A1436">
        <w:t xml:space="preserve"> Motion for 90 Day Extension of the Remaining Case Schedule </w:t>
      </w:r>
      <w:r>
        <w:t>(July 23, 2021).</w:t>
      </w:r>
    </w:p>
  </w:footnote>
  <w:footnote w:id="3">
    <w:p w:rsidR="00615202" w:rsidRPr="000A1D6E" w:rsidP="00352F36" w14:paraId="44C65D75" w14:textId="77777777">
      <w:pPr>
        <w:pStyle w:val="FootnoteText"/>
        <w:spacing w:after="120"/>
      </w:pPr>
      <w:r>
        <w:rPr>
          <w:rStyle w:val="FootnoteReference"/>
        </w:rPr>
        <w:footnoteRef/>
      </w:r>
      <w:r>
        <w:t xml:space="preserve"> </w:t>
      </w:r>
      <w:r>
        <w:rPr>
          <w:i/>
          <w:iCs/>
        </w:rPr>
        <w:t>Id.</w:t>
      </w:r>
      <w:r>
        <w:t xml:space="preserve"> at 1.</w:t>
      </w:r>
    </w:p>
  </w:footnote>
  <w:footnote w:id="4">
    <w:p w:rsidR="00C11D12" w:rsidRPr="00F15DCC" w:rsidP="00352F36" w14:paraId="0173373A" w14:textId="28201A88">
      <w:pPr>
        <w:pStyle w:val="FootnoteText"/>
        <w:spacing w:after="120"/>
      </w:pPr>
      <w:r>
        <w:rPr>
          <w:rStyle w:val="FootnoteReference"/>
        </w:rPr>
        <w:footnoteRef/>
      </w:r>
      <w:r>
        <w:t xml:space="preserve"> </w:t>
      </w:r>
      <w:r>
        <w:rPr>
          <w:i/>
          <w:iCs/>
        </w:rPr>
        <w:t>In re Application of [FirstEnergy] for Authority to Establish a Standard Serv. Offer Pursuant to Section 4928.143, Revised Code, in the Form of an Elec. Sec. Plan</w:t>
      </w:r>
      <w:r>
        <w:t>, Case No. 08-935-EL-SSO, Concurring in Part &amp; Dissenting in Part Opinion of Commissioner Cheryl L. Roberto (Mar. 25, 2009).</w:t>
      </w:r>
    </w:p>
  </w:footnote>
  <w:footnote w:id="5">
    <w:p w:rsidR="00EE59CC" w:rsidRPr="00243534" w:rsidP="00352F36" w14:paraId="7402F971" w14:textId="11E7174D">
      <w:pPr>
        <w:pStyle w:val="FootnoteText"/>
        <w:spacing w:after="120"/>
      </w:pPr>
      <w:r>
        <w:rPr>
          <w:rStyle w:val="FootnoteReference"/>
        </w:rPr>
        <w:footnoteRef/>
      </w:r>
      <w:r>
        <w:t xml:space="preserve"> </w:t>
      </w:r>
      <w:r w:rsidR="00243534">
        <w:rPr>
          <w:i/>
          <w:iCs/>
        </w:rPr>
        <w:t>See In re Application of Columbus S. Power Co. &amp; Ohio Power Co. for Authority to Recover Cost Associated with the Ultimate Construction &amp; Operation of an Integrated Gasification Combined Cycle Elec. Gen. Facility</w:t>
      </w:r>
      <w:r w:rsidR="00243534">
        <w:t>, Case No. 05-376-EL-UNC, Order on Remand at 11-12 (Feb. 11, 2015).</w:t>
      </w:r>
    </w:p>
  </w:footnote>
  <w:footnote w:id="6">
    <w:p w:rsidR="00B174A1" w:rsidRPr="00CC40CB" w:rsidP="00352F36" w14:paraId="37D661BD" w14:textId="211EEC65">
      <w:pPr>
        <w:pStyle w:val="FootnoteText"/>
        <w:spacing w:after="120"/>
      </w:pPr>
      <w:r>
        <w:rPr>
          <w:rStyle w:val="FootnoteReference"/>
        </w:rPr>
        <w:footnoteRef/>
      </w:r>
      <w:r>
        <w:t xml:space="preserve"> </w:t>
      </w:r>
      <w:r w:rsidR="00CC40CB">
        <w:rPr>
          <w:i/>
          <w:iCs/>
        </w:rPr>
        <w:t>United States v. FirstEnergy Corp.</w:t>
      </w:r>
      <w:r w:rsidR="00CC40CB">
        <w:t>, Case No. 1:21-cr-86 (S.D. Ohio), Deferred Prosecution Agreement (July 22, 2021).</w:t>
      </w:r>
    </w:p>
  </w:footnote>
  <w:footnote w:id="7">
    <w:p w:rsidR="0098701C" w:rsidP="00352F36" w14:paraId="5D849ADD" w14:textId="77777777">
      <w:pPr>
        <w:pStyle w:val="FootnoteText"/>
        <w:spacing w:after="120"/>
      </w:pPr>
      <w:r>
        <w:rPr>
          <w:rStyle w:val="FootnoteReference"/>
        </w:rPr>
        <w:footnoteRef/>
      </w:r>
      <w:r>
        <w:t xml:space="preserve"> Given the unsavory role of alleged social welfare organizations in the H.B. 6 scandal, utility front groups (were any to enter the case going forward) would not qualify as bona fide consumer advocates.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C1"/>
    <w:rsid w:val="000165AD"/>
    <w:rsid w:val="00026581"/>
    <w:rsid w:val="000278AB"/>
    <w:rsid w:val="00043CBB"/>
    <w:rsid w:val="000A1D6E"/>
    <w:rsid w:val="000A6E29"/>
    <w:rsid w:val="000E134C"/>
    <w:rsid w:val="001131A0"/>
    <w:rsid w:val="001160A2"/>
    <w:rsid w:val="00126392"/>
    <w:rsid w:val="001440D0"/>
    <w:rsid w:val="00183D1F"/>
    <w:rsid w:val="001A1436"/>
    <w:rsid w:val="001B2605"/>
    <w:rsid w:val="001D77CE"/>
    <w:rsid w:val="001F41E0"/>
    <w:rsid w:val="002264A6"/>
    <w:rsid w:val="00226F62"/>
    <w:rsid w:val="00243534"/>
    <w:rsid w:val="0025259F"/>
    <w:rsid w:val="00264E0E"/>
    <w:rsid w:val="00282517"/>
    <w:rsid w:val="00286400"/>
    <w:rsid w:val="002D15CC"/>
    <w:rsid w:val="002D26BE"/>
    <w:rsid w:val="003035B9"/>
    <w:rsid w:val="00306A19"/>
    <w:rsid w:val="00352F36"/>
    <w:rsid w:val="00364081"/>
    <w:rsid w:val="003661C6"/>
    <w:rsid w:val="00385A71"/>
    <w:rsid w:val="003A62CC"/>
    <w:rsid w:val="003A6D1C"/>
    <w:rsid w:val="003D1AC8"/>
    <w:rsid w:val="003F23AB"/>
    <w:rsid w:val="003F3CE0"/>
    <w:rsid w:val="00400308"/>
    <w:rsid w:val="004139BC"/>
    <w:rsid w:val="00422670"/>
    <w:rsid w:val="00427C38"/>
    <w:rsid w:val="0044788D"/>
    <w:rsid w:val="00450D99"/>
    <w:rsid w:val="0045442A"/>
    <w:rsid w:val="00485A14"/>
    <w:rsid w:val="004A1735"/>
    <w:rsid w:val="004C0D1C"/>
    <w:rsid w:val="004C3C16"/>
    <w:rsid w:val="004C72A4"/>
    <w:rsid w:val="004D7D94"/>
    <w:rsid w:val="004F3763"/>
    <w:rsid w:val="004F383C"/>
    <w:rsid w:val="00514866"/>
    <w:rsid w:val="0053454A"/>
    <w:rsid w:val="00537B18"/>
    <w:rsid w:val="00542FF6"/>
    <w:rsid w:val="00547B49"/>
    <w:rsid w:val="00581796"/>
    <w:rsid w:val="00583F5E"/>
    <w:rsid w:val="005870F3"/>
    <w:rsid w:val="00590B38"/>
    <w:rsid w:val="00591CC5"/>
    <w:rsid w:val="005B2902"/>
    <w:rsid w:val="005C52B3"/>
    <w:rsid w:val="005E3237"/>
    <w:rsid w:val="005F6C10"/>
    <w:rsid w:val="00602885"/>
    <w:rsid w:val="00615202"/>
    <w:rsid w:val="00635B1C"/>
    <w:rsid w:val="00684300"/>
    <w:rsid w:val="006934C2"/>
    <w:rsid w:val="00694418"/>
    <w:rsid w:val="007275AD"/>
    <w:rsid w:val="00753867"/>
    <w:rsid w:val="00767378"/>
    <w:rsid w:val="00794002"/>
    <w:rsid w:val="007B5C1C"/>
    <w:rsid w:val="007C12AC"/>
    <w:rsid w:val="007C4A94"/>
    <w:rsid w:val="007E17E3"/>
    <w:rsid w:val="007F56FC"/>
    <w:rsid w:val="007F7503"/>
    <w:rsid w:val="00810D71"/>
    <w:rsid w:val="008405E4"/>
    <w:rsid w:val="00855A86"/>
    <w:rsid w:val="00872010"/>
    <w:rsid w:val="00872081"/>
    <w:rsid w:val="00876EBD"/>
    <w:rsid w:val="00880ADE"/>
    <w:rsid w:val="00881417"/>
    <w:rsid w:val="008B6880"/>
    <w:rsid w:val="008B78F3"/>
    <w:rsid w:val="008C3153"/>
    <w:rsid w:val="008E50B1"/>
    <w:rsid w:val="00917A77"/>
    <w:rsid w:val="00937A5A"/>
    <w:rsid w:val="00942040"/>
    <w:rsid w:val="009631B5"/>
    <w:rsid w:val="009805AD"/>
    <w:rsid w:val="0098169B"/>
    <w:rsid w:val="00982DEF"/>
    <w:rsid w:val="0098701C"/>
    <w:rsid w:val="00997CBA"/>
    <w:rsid w:val="009A1567"/>
    <w:rsid w:val="009A7FA9"/>
    <w:rsid w:val="009C19E3"/>
    <w:rsid w:val="009D316E"/>
    <w:rsid w:val="009E3C68"/>
    <w:rsid w:val="009E53AD"/>
    <w:rsid w:val="00A10A2C"/>
    <w:rsid w:val="00A10F80"/>
    <w:rsid w:val="00A15B4F"/>
    <w:rsid w:val="00A2256C"/>
    <w:rsid w:val="00A242E4"/>
    <w:rsid w:val="00A27B36"/>
    <w:rsid w:val="00A46C73"/>
    <w:rsid w:val="00A54ED0"/>
    <w:rsid w:val="00A707C1"/>
    <w:rsid w:val="00A83554"/>
    <w:rsid w:val="00A95BB3"/>
    <w:rsid w:val="00AB2027"/>
    <w:rsid w:val="00AD398A"/>
    <w:rsid w:val="00AE10CA"/>
    <w:rsid w:val="00AE757E"/>
    <w:rsid w:val="00AF7F52"/>
    <w:rsid w:val="00B174A1"/>
    <w:rsid w:val="00B44F4E"/>
    <w:rsid w:val="00B45169"/>
    <w:rsid w:val="00B50BC9"/>
    <w:rsid w:val="00B5396F"/>
    <w:rsid w:val="00B9514B"/>
    <w:rsid w:val="00BA2B81"/>
    <w:rsid w:val="00BD1B34"/>
    <w:rsid w:val="00BF2CD8"/>
    <w:rsid w:val="00C11D12"/>
    <w:rsid w:val="00C2515B"/>
    <w:rsid w:val="00C4208D"/>
    <w:rsid w:val="00C45C24"/>
    <w:rsid w:val="00C536D7"/>
    <w:rsid w:val="00C62EA4"/>
    <w:rsid w:val="00C672A2"/>
    <w:rsid w:val="00C91821"/>
    <w:rsid w:val="00C9394D"/>
    <w:rsid w:val="00CA2BD5"/>
    <w:rsid w:val="00CB75B9"/>
    <w:rsid w:val="00CC40CB"/>
    <w:rsid w:val="00CE1E08"/>
    <w:rsid w:val="00CF041D"/>
    <w:rsid w:val="00D609CF"/>
    <w:rsid w:val="00D8316F"/>
    <w:rsid w:val="00D9073E"/>
    <w:rsid w:val="00DC1C28"/>
    <w:rsid w:val="00DD333B"/>
    <w:rsid w:val="00E047B0"/>
    <w:rsid w:val="00E05A1E"/>
    <w:rsid w:val="00E16E06"/>
    <w:rsid w:val="00E516DF"/>
    <w:rsid w:val="00E557FB"/>
    <w:rsid w:val="00E67B1F"/>
    <w:rsid w:val="00E7283E"/>
    <w:rsid w:val="00E74C8E"/>
    <w:rsid w:val="00E9040A"/>
    <w:rsid w:val="00E935F4"/>
    <w:rsid w:val="00EB0D0F"/>
    <w:rsid w:val="00EC7AF9"/>
    <w:rsid w:val="00ED4D5F"/>
    <w:rsid w:val="00ED7505"/>
    <w:rsid w:val="00EE47BB"/>
    <w:rsid w:val="00EE59CC"/>
    <w:rsid w:val="00F12F62"/>
    <w:rsid w:val="00F15DCC"/>
    <w:rsid w:val="00F61F98"/>
    <w:rsid w:val="00F94EC9"/>
    <w:rsid w:val="00FB0937"/>
    <w:rsid w:val="00FD5EF9"/>
    <w:rsid w:val="00FE253B"/>
    <w:rsid w:val="00FF0E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07C1"/>
    <w:rPr>
      <w:sz w:val="20"/>
      <w:szCs w:val="20"/>
    </w:rPr>
  </w:style>
  <w:style w:type="character" w:customStyle="1" w:styleId="FootnoteTextChar">
    <w:name w:val="Footnote Text Char"/>
    <w:basedOn w:val="DefaultParagraphFont"/>
    <w:link w:val="FootnoteText"/>
    <w:uiPriority w:val="99"/>
    <w:semiHidden/>
    <w:rsid w:val="00A707C1"/>
    <w:rPr>
      <w:sz w:val="20"/>
      <w:szCs w:val="20"/>
    </w:rPr>
  </w:style>
  <w:style w:type="character" w:styleId="FootnoteReference">
    <w:name w:val="footnote reference"/>
    <w:basedOn w:val="DefaultParagraphFont"/>
    <w:uiPriority w:val="99"/>
    <w:semiHidden/>
    <w:unhideWhenUsed/>
    <w:rsid w:val="00A707C1"/>
    <w:rPr>
      <w:vertAlign w:val="superscript"/>
    </w:rPr>
  </w:style>
  <w:style w:type="table" w:styleId="TableGrid">
    <w:name w:val="Table Grid"/>
    <w:basedOn w:val="TableNormal"/>
    <w:uiPriority w:val="39"/>
    <w:rsid w:val="007F56FC"/>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56FC"/>
    <w:rPr>
      <w:color w:val="0000FF"/>
      <w:u w:val="single"/>
    </w:rPr>
  </w:style>
  <w:style w:type="paragraph" w:styleId="BodyTextIndent3">
    <w:name w:val="Body Text Indent 3"/>
    <w:basedOn w:val="Normal"/>
    <w:link w:val="BodyTextIndent3Char"/>
    <w:rsid w:val="007F56FC"/>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7F56FC"/>
    <w:rPr>
      <w:rFonts w:eastAsia="Times New Roman" w:cs="Times New Roman"/>
      <w:szCs w:val="20"/>
    </w:rPr>
  </w:style>
  <w:style w:type="paragraph" w:styleId="BalloonText">
    <w:name w:val="Balloon Text"/>
    <w:basedOn w:val="Normal"/>
    <w:link w:val="BalloonTextChar"/>
    <w:uiPriority w:val="99"/>
    <w:semiHidden/>
    <w:unhideWhenUsed/>
    <w:rsid w:val="00794002"/>
    <w:rPr>
      <w:rFonts w:cs="Times New Roman"/>
      <w:sz w:val="18"/>
      <w:szCs w:val="18"/>
    </w:rPr>
  </w:style>
  <w:style w:type="character" w:customStyle="1" w:styleId="BalloonTextChar">
    <w:name w:val="Balloon Text Char"/>
    <w:basedOn w:val="DefaultParagraphFont"/>
    <w:link w:val="BalloonText"/>
    <w:uiPriority w:val="99"/>
    <w:semiHidden/>
    <w:rsid w:val="00794002"/>
    <w:rPr>
      <w:rFonts w:cs="Times New Roman"/>
      <w:sz w:val="18"/>
      <w:szCs w:val="18"/>
    </w:rPr>
  </w:style>
  <w:style w:type="character" w:styleId="CommentReference">
    <w:name w:val="annotation reference"/>
    <w:basedOn w:val="DefaultParagraphFont"/>
    <w:uiPriority w:val="99"/>
    <w:semiHidden/>
    <w:unhideWhenUsed/>
    <w:rsid w:val="00BA2B81"/>
    <w:rPr>
      <w:sz w:val="16"/>
      <w:szCs w:val="16"/>
    </w:rPr>
  </w:style>
  <w:style w:type="paragraph" w:styleId="CommentText">
    <w:name w:val="annotation text"/>
    <w:basedOn w:val="Normal"/>
    <w:link w:val="CommentTextChar"/>
    <w:uiPriority w:val="99"/>
    <w:unhideWhenUsed/>
    <w:rsid w:val="00BA2B81"/>
    <w:rPr>
      <w:sz w:val="20"/>
      <w:szCs w:val="20"/>
    </w:rPr>
  </w:style>
  <w:style w:type="character" w:customStyle="1" w:styleId="CommentTextChar">
    <w:name w:val="Comment Text Char"/>
    <w:basedOn w:val="DefaultParagraphFont"/>
    <w:link w:val="CommentText"/>
    <w:uiPriority w:val="99"/>
    <w:rsid w:val="00BA2B81"/>
    <w:rPr>
      <w:sz w:val="20"/>
      <w:szCs w:val="20"/>
    </w:rPr>
  </w:style>
  <w:style w:type="paragraph" w:styleId="CommentSubject">
    <w:name w:val="annotation subject"/>
    <w:basedOn w:val="CommentText"/>
    <w:next w:val="CommentText"/>
    <w:link w:val="CommentSubjectChar"/>
    <w:uiPriority w:val="99"/>
    <w:semiHidden/>
    <w:unhideWhenUsed/>
    <w:rsid w:val="00BA2B81"/>
    <w:rPr>
      <w:b/>
      <w:bCs/>
    </w:rPr>
  </w:style>
  <w:style w:type="character" w:customStyle="1" w:styleId="CommentSubjectChar">
    <w:name w:val="Comment Subject Char"/>
    <w:basedOn w:val="CommentTextChar"/>
    <w:link w:val="CommentSubject"/>
    <w:uiPriority w:val="99"/>
    <w:semiHidden/>
    <w:rsid w:val="00BA2B81"/>
    <w:rPr>
      <w:b/>
      <w:bCs/>
      <w:sz w:val="20"/>
      <w:szCs w:val="20"/>
    </w:rPr>
  </w:style>
  <w:style w:type="paragraph" w:styleId="Header">
    <w:name w:val="header"/>
    <w:basedOn w:val="Normal"/>
    <w:link w:val="HeaderChar"/>
    <w:uiPriority w:val="99"/>
    <w:unhideWhenUsed/>
    <w:rsid w:val="00422670"/>
    <w:pPr>
      <w:tabs>
        <w:tab w:val="center" w:pos="4680"/>
        <w:tab w:val="right" w:pos="9360"/>
      </w:tabs>
    </w:pPr>
  </w:style>
  <w:style w:type="character" w:customStyle="1" w:styleId="HeaderChar">
    <w:name w:val="Header Char"/>
    <w:basedOn w:val="DefaultParagraphFont"/>
    <w:link w:val="Header"/>
    <w:uiPriority w:val="99"/>
    <w:rsid w:val="00422670"/>
  </w:style>
  <w:style w:type="paragraph" w:styleId="Footer">
    <w:name w:val="footer"/>
    <w:basedOn w:val="Normal"/>
    <w:link w:val="FooterChar"/>
    <w:uiPriority w:val="99"/>
    <w:unhideWhenUsed/>
    <w:rsid w:val="00422670"/>
    <w:pPr>
      <w:tabs>
        <w:tab w:val="center" w:pos="4680"/>
        <w:tab w:val="right" w:pos="9360"/>
      </w:tabs>
    </w:pPr>
  </w:style>
  <w:style w:type="character" w:customStyle="1" w:styleId="FooterChar">
    <w:name w:val="Footer Char"/>
    <w:basedOn w:val="DefaultParagraphFont"/>
    <w:link w:val="Footer"/>
    <w:uiPriority w:val="99"/>
    <w:rsid w:val="00422670"/>
  </w:style>
  <w:style w:type="character" w:customStyle="1" w:styleId="UnresolvedMention1">
    <w:name w:val="Unresolved Mention1"/>
    <w:basedOn w:val="DefaultParagraphFont"/>
    <w:uiPriority w:val="99"/>
    <w:semiHidden/>
    <w:unhideWhenUsed/>
    <w:rsid w:val="0053454A"/>
    <w:rPr>
      <w:color w:val="605E5C"/>
      <w:shd w:val="clear" w:color="auto" w:fill="E1DFDD"/>
    </w:rPr>
  </w:style>
  <w:style w:type="character" w:customStyle="1" w:styleId="UnresolvedMention2">
    <w:name w:val="Unresolved Mention2"/>
    <w:basedOn w:val="DefaultParagraphFont"/>
    <w:uiPriority w:val="99"/>
    <w:rsid w:val="005C52B3"/>
    <w:rPr>
      <w:color w:val="605E5C"/>
      <w:shd w:val="clear" w:color="auto" w:fill="E1DFDD"/>
    </w:rPr>
  </w:style>
  <w:style w:type="paragraph" w:styleId="HTMLPreformatted">
    <w:name w:val="HTML Preformatted"/>
    <w:aliases w:val=" Char,Char"/>
    <w:basedOn w:val="Normal"/>
    <w:link w:val="HTMLPreformattedChar"/>
    <w:rsid w:val="000A1D6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bdr w:val="nil"/>
    </w:rPr>
  </w:style>
  <w:style w:type="character" w:customStyle="1" w:styleId="HTMLPreformattedChar">
    <w:name w:val="HTML Preformatted Char"/>
    <w:aliases w:val=" Char Char,Char Char"/>
    <w:basedOn w:val="DefaultParagraphFont"/>
    <w:link w:val="HTMLPreformatted"/>
    <w:rsid w:val="000A1D6E"/>
    <w:rPr>
      <w:rFonts w:ascii="Courier New" w:eastAsia="Courier New" w:hAnsi="Courier New" w:cs="Courier New"/>
      <w:sz w:val="20"/>
      <w:szCs w:val="20"/>
      <w:bdr w:val="nil"/>
    </w:rPr>
  </w:style>
  <w:style w:type="paragraph" w:styleId="BodyText">
    <w:name w:val="Body Text"/>
    <w:basedOn w:val="Normal"/>
    <w:link w:val="BodyTextChar"/>
    <w:uiPriority w:val="99"/>
    <w:semiHidden/>
    <w:unhideWhenUsed/>
    <w:rsid w:val="000278AB"/>
    <w:pPr>
      <w:spacing w:after="120"/>
    </w:pPr>
    <w:rPr>
      <w:rFonts w:eastAsia="Times New Roman" w:cs="Times New Roman"/>
      <w:szCs w:val="24"/>
    </w:rPr>
  </w:style>
  <w:style w:type="character" w:customStyle="1" w:styleId="BodyTextChar">
    <w:name w:val="Body Text Char"/>
    <w:basedOn w:val="DefaultParagraphFont"/>
    <w:link w:val="BodyText"/>
    <w:uiPriority w:val="99"/>
    <w:semiHidden/>
    <w:rsid w:val="000278AB"/>
    <w:rPr>
      <w:rFonts w:eastAsia="Times New Roman" w:cs="Times New Roman"/>
      <w:szCs w:val="24"/>
    </w:rPr>
  </w:style>
  <w:style w:type="character" w:customStyle="1" w:styleId="UnresolvedMention">
    <w:name w:val="Unresolved Mention"/>
    <w:basedOn w:val="DefaultParagraphFont"/>
    <w:uiPriority w:val="99"/>
    <w:rsid w:val="002D2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robert.eubanks@ohioAGO.gov" TargetMode="External" /><Relationship Id="rId12" Type="http://schemas.openxmlformats.org/officeDocument/2006/relationships/hyperlink" Target="mailto:werner.margard@ohioattorneygeneral.gov" TargetMode="External" /><Relationship Id="rId13" Type="http://schemas.openxmlformats.org/officeDocument/2006/relationships/hyperlink" Target="mailto:Donadio@carpenterlipps.com" TargetMode="External" /><Relationship Id="rId14" Type="http://schemas.openxmlformats.org/officeDocument/2006/relationships/hyperlink" Target="mailto:bojko@carpenterlipps.com" TargetMode="External" /><Relationship Id="rId15" Type="http://schemas.openxmlformats.org/officeDocument/2006/relationships/hyperlink" Target="mailto:Gregory.price@puco.ohio.gov" TargetMode="External" /><Relationship Id="rId16" Type="http://schemas.openxmlformats.org/officeDocument/2006/relationships/hyperlink" Target="mailto:Mandy.willey@puco.ohio.gov" TargetMode="External" /><Relationship Id="rId17" Type="http://schemas.openxmlformats.org/officeDocument/2006/relationships/hyperlink" Target="mailto:bknipe@firstenergycorp.com" TargetMode="External" /><Relationship Id="rId18" Type="http://schemas.openxmlformats.org/officeDocument/2006/relationships/hyperlink" Target="mailto:talexander@beneschlaw.com" TargetMode="External" /><Relationship Id="rId19" Type="http://schemas.openxmlformats.org/officeDocument/2006/relationships/hyperlink" Target="mailto:mkeaney@beneschlaw.com" TargetMode="External" /><Relationship Id="rId2" Type="http://schemas.openxmlformats.org/officeDocument/2006/relationships/settings" Target="settings.xml" /><Relationship Id="rId20" Type="http://schemas.openxmlformats.org/officeDocument/2006/relationships/hyperlink" Target="mailto:khehmeyer@beneschlaw.com" TargetMode="Externa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christopher.healey@occ.ohio.gov" TargetMode="External" /><Relationship Id="rId9" Type="http://schemas.openxmlformats.org/officeDocument/2006/relationships/hyperlink" Target="mailto:ambrosia.wilso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A62C-FBC1-40BC-83C3-4121CAD2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 15-1843 - OCC MC Motion for 90-Day Extension_7-30-21__.docx</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2021-07-30T15:28:27Z</dcterms:created>
  <dcterms:modified xsi:type="dcterms:W3CDTF">2021-07-30T15:28:27Z</dcterms:modified>
</cp:coreProperties>
</file>