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8B1879" w:rsidRPr="001758EF" w:rsidP="00DC517F" w14:paraId="2E187335" w14:textId="63CBCFD9">
      <w:pPr>
        <w:pStyle w:val="HTMLPreformatted"/>
        <w:jc w:val="center"/>
        <w:rPr>
          <w:rFonts w:ascii="Times New Roman" w:hAnsi="Times New Roman" w:cs="Times New Roman"/>
          <w:b/>
          <w:bCs/>
          <w:sz w:val="24"/>
          <w:szCs w:val="24"/>
        </w:rPr>
      </w:pPr>
      <w:r w:rsidRPr="001758EF">
        <w:rPr>
          <w:rFonts w:ascii="Times New Roman" w:hAnsi="Times New Roman" w:cs="Times New Roman"/>
          <w:b/>
          <w:bCs/>
          <w:sz w:val="24"/>
          <w:szCs w:val="24"/>
        </w:rPr>
        <w:t>BEFORE</w:t>
      </w:r>
    </w:p>
    <w:p w:rsidR="00A5637F" w:rsidRPr="001758EF" w14:paraId="46FC91B4" w14:textId="2B368155">
      <w:pPr>
        <w:pStyle w:val="HTMLPreformatted"/>
        <w:jc w:val="center"/>
        <w:rPr>
          <w:rFonts w:ascii="Times New Roman" w:hAnsi="Times New Roman" w:cs="Times New Roman"/>
          <w:b/>
          <w:sz w:val="24"/>
          <w:szCs w:val="24"/>
        </w:rPr>
      </w:pPr>
      <w:r w:rsidRPr="001758EF">
        <w:rPr>
          <w:rFonts w:ascii="Times New Roman" w:hAnsi="Times New Roman" w:cs="Times New Roman"/>
          <w:b/>
          <w:bCs/>
          <w:sz w:val="24"/>
          <w:szCs w:val="24"/>
        </w:rPr>
        <w:t>THE PUBLIC UTILITIES COMMISSION OF OHIO</w:t>
      </w:r>
    </w:p>
    <w:p w:rsidR="00A5637F" w:rsidRPr="001758EF" w:rsidP="00DB6639" w14:paraId="626E78F6" w14:textId="77777777">
      <w:pPr>
        <w:pStyle w:val="HTMLPreformatted"/>
        <w:jc w:val="center"/>
        <w:rPr>
          <w:rFonts w:ascii="Times New Roman" w:hAnsi="Times New Roman" w:cs="Times New Roman"/>
          <w:b/>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15B67F5F" w14:textId="77777777" w:rsidTr="00DB6639">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2C7D60" w:rsidRPr="001758EF" w:rsidP="00DB6639" w14:paraId="432355A6" w14:textId="4A299224">
            <w:pPr>
              <w:autoSpaceDE w:val="0"/>
              <w:autoSpaceDN w:val="0"/>
              <w:adjustRightInd w:val="0"/>
              <w:rPr>
                <w:sz w:val="24"/>
                <w:szCs w:val="24"/>
                <w:lang w:val="en-US" w:eastAsia="en-US" w:bidi="ar-SA"/>
              </w:rPr>
            </w:pPr>
            <w:r w:rsidRPr="001758EF">
              <w:rPr>
                <w:sz w:val="24"/>
                <w:szCs w:val="24"/>
                <w:lang w:val="en-US" w:eastAsia="en-US" w:bidi="ar-SA"/>
              </w:rPr>
              <w:t xml:space="preserve">In the Matter of the Application for Establishment of a Reasonable Arrangement between Ohio Edison </w:t>
            </w:r>
            <w:r w:rsidRPr="001758EF" w:rsidR="00E30AA2">
              <w:rPr>
                <w:sz w:val="24"/>
                <w:szCs w:val="24"/>
                <w:lang w:val="en-US" w:eastAsia="en-US" w:bidi="ar-SA"/>
              </w:rPr>
              <w:t xml:space="preserve">Company </w:t>
            </w:r>
            <w:r w:rsidRPr="001758EF">
              <w:rPr>
                <w:sz w:val="24"/>
                <w:szCs w:val="24"/>
                <w:lang w:val="en-US" w:eastAsia="en-US" w:bidi="ar-SA"/>
              </w:rPr>
              <w:t>and Chestnut Commerce Center</w:t>
            </w:r>
            <w:r w:rsidRPr="001758EF" w:rsidR="00E30AA2">
              <w:rPr>
                <w:sz w:val="24"/>
                <w:szCs w:val="24"/>
                <w:lang w:val="en-US" w:eastAsia="en-US" w:bidi="ar-SA"/>
              </w:rPr>
              <w:t xml:space="preserve"> LLC.</w:t>
            </w:r>
          </w:p>
        </w:tc>
        <w:tc>
          <w:tcPr>
            <w:tcW w:w="630" w:type="dxa"/>
            <w:shd w:val="clear" w:color="auto" w:fill="auto"/>
          </w:tcPr>
          <w:p w:rsidR="002C7D60" w:rsidRPr="001758EF" w:rsidP="003F6E1A" w14:paraId="3D99AAC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w:t>
            </w:r>
          </w:p>
          <w:p w:rsidR="002C7D60" w:rsidRPr="001758EF" w:rsidP="003F6E1A" w14:paraId="4B3A711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w:t>
            </w:r>
          </w:p>
          <w:p w:rsidR="002C7D60" w:rsidRPr="001758EF" w:rsidP="003F6E1A" w14:paraId="35B923C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w:t>
            </w:r>
          </w:p>
          <w:p w:rsidR="00B45701" w:rsidRPr="001758EF" w:rsidP="003F6E1A" w14:paraId="7EF0D6D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w:t>
            </w:r>
          </w:p>
          <w:p w:rsidR="00E30AA2" w:rsidRPr="001758EF" w:rsidP="003F6E1A" w14:paraId="1C112113" w14:textId="786FAF4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w:t>
            </w:r>
          </w:p>
        </w:tc>
        <w:tc>
          <w:tcPr>
            <w:tcW w:w="3780" w:type="dxa"/>
            <w:shd w:val="clear" w:color="auto" w:fill="auto"/>
          </w:tcPr>
          <w:p w:rsidR="002C7D60" w:rsidRPr="001758EF" w:rsidP="003F6E1A" w14:paraId="582EA5B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E204C2" w:rsidRPr="001758EF" w:rsidP="003F6E1A" w14:paraId="6330001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2C7D60" w:rsidRPr="001758EF" w:rsidP="003F6E1A" w14:paraId="1097AF07" w14:textId="398CA20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 xml:space="preserve">Case No. </w:t>
            </w:r>
            <w:r w:rsidRPr="001758EF" w:rsidR="00B45701">
              <w:rPr>
                <w:rFonts w:ascii="Times New Roman" w:eastAsia="Courier New" w:hAnsi="Times New Roman" w:cs="Times New Roman"/>
                <w:sz w:val="24"/>
                <w:szCs w:val="24"/>
                <w:lang w:val="en-US" w:eastAsia="en-US" w:bidi="ar-SA"/>
              </w:rPr>
              <w:t>24-388-EL-AEC</w:t>
            </w:r>
          </w:p>
          <w:p w:rsidR="002C7D60" w:rsidRPr="001758EF" w:rsidP="003F6E1A" w14:paraId="100B1F2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A5637F" w:rsidRPr="001758EF" w:rsidP="00DB6639" w14:paraId="15412A71" w14:textId="77777777">
      <w:pPr>
        <w:pStyle w:val="InsideAddress"/>
        <w:pBdr>
          <w:bottom w:val="single" w:sz="12" w:space="1" w:color="auto"/>
        </w:pBdr>
        <w:rPr>
          <w:rFonts w:ascii="Times New Roman" w:hAnsi="Times New Roman"/>
          <w:szCs w:val="24"/>
        </w:rPr>
      </w:pPr>
    </w:p>
    <w:p w:rsidR="00A5637F" w:rsidRPr="001758EF" w:rsidP="00DB6639" w14:paraId="0005FD1B" w14:textId="77777777">
      <w:pPr>
        <w:pStyle w:val="InsideAddress"/>
        <w:rPr>
          <w:rFonts w:ascii="Times New Roman" w:hAnsi="Times New Roman"/>
          <w:szCs w:val="24"/>
        </w:rPr>
      </w:pPr>
    </w:p>
    <w:p w:rsidR="00E372F2" w:rsidRPr="001758EF" w:rsidP="00DB6639" w14:paraId="4E9FFCD0" w14:textId="21A35047">
      <w:pPr>
        <w:pStyle w:val="Footer"/>
        <w:tabs>
          <w:tab w:val="clear" w:pos="4320"/>
          <w:tab w:val="clear" w:pos="8640"/>
        </w:tabs>
        <w:spacing w:line="240" w:lineRule="auto"/>
        <w:jc w:val="center"/>
        <w:rPr>
          <w:b/>
        </w:rPr>
      </w:pPr>
      <w:r w:rsidRPr="001758EF">
        <w:rPr>
          <w:b/>
        </w:rPr>
        <w:t>MOTION TO INTERVENE</w:t>
      </w:r>
    </w:p>
    <w:p w:rsidR="00A5637F" w:rsidRPr="001758EF" w:rsidP="00DB6639" w14:paraId="221D5203" w14:textId="77777777">
      <w:pPr>
        <w:pStyle w:val="Footer"/>
        <w:tabs>
          <w:tab w:val="clear" w:pos="4320"/>
          <w:tab w:val="clear" w:pos="8640"/>
        </w:tabs>
        <w:spacing w:line="240" w:lineRule="auto"/>
        <w:jc w:val="center"/>
        <w:rPr>
          <w:b/>
        </w:rPr>
      </w:pPr>
      <w:r w:rsidRPr="001758EF">
        <w:rPr>
          <w:b/>
        </w:rPr>
        <w:t>BY</w:t>
      </w:r>
    </w:p>
    <w:p w:rsidR="002C7D60" w:rsidRPr="001758EF" w:rsidP="002C7D60" w14:paraId="59DFFA66" w14:textId="22CBAEFA">
      <w:pPr>
        <w:jc w:val="center"/>
        <w:rPr>
          <w:b/>
          <w:bCs/>
        </w:rPr>
      </w:pPr>
      <w:r w:rsidRPr="001758EF">
        <w:rPr>
          <w:b/>
          <w:bCs/>
        </w:rPr>
        <w:t>OFFICE OF THE OHIO CONSUMERS</w:t>
      </w:r>
      <w:r w:rsidR="001758EF">
        <w:rPr>
          <w:b/>
          <w:bCs/>
        </w:rPr>
        <w:t>’</w:t>
      </w:r>
      <w:r w:rsidRPr="001758EF">
        <w:rPr>
          <w:b/>
          <w:bCs/>
        </w:rPr>
        <w:t xml:space="preserve"> COUNSEL</w:t>
      </w:r>
    </w:p>
    <w:p w:rsidR="00A5637F" w:rsidRPr="001758EF" w:rsidP="00DB6639" w14:paraId="0095FDA1" w14:textId="77777777">
      <w:pPr>
        <w:pStyle w:val="Footer"/>
        <w:pBdr>
          <w:bottom w:val="single" w:sz="12" w:space="1" w:color="auto"/>
        </w:pBdr>
        <w:tabs>
          <w:tab w:val="clear" w:pos="4320"/>
          <w:tab w:val="clear" w:pos="8640"/>
        </w:tabs>
        <w:spacing w:line="240" w:lineRule="auto"/>
        <w:rPr>
          <w:b/>
        </w:rPr>
      </w:pPr>
    </w:p>
    <w:p w:rsidR="00A5637F" w:rsidRPr="001758EF" w:rsidP="00DB6639" w14:paraId="152FA7C3" w14:textId="77777777">
      <w:pPr>
        <w:pStyle w:val="Footer"/>
        <w:tabs>
          <w:tab w:val="clear" w:pos="4320"/>
          <w:tab w:val="clear" w:pos="8640"/>
        </w:tabs>
        <w:spacing w:line="240" w:lineRule="auto"/>
        <w:jc w:val="center"/>
        <w:rPr>
          <w:b/>
        </w:rPr>
      </w:pPr>
    </w:p>
    <w:p w:rsidR="00943524" w:rsidRPr="001758EF" w:rsidP="00486440" w14:paraId="78940C50" w14:textId="1C29FC2B">
      <w:pPr>
        <w:widowControl w:val="0"/>
        <w:autoSpaceDE w:val="0"/>
        <w:autoSpaceDN w:val="0"/>
        <w:spacing w:line="480" w:lineRule="auto"/>
        <w:ind w:firstLine="720"/>
      </w:pPr>
      <w:r w:rsidRPr="001758EF">
        <w:t>The Office of the Ohio Consumers</w:t>
      </w:r>
      <w:r w:rsidR="001758EF">
        <w:t>’</w:t>
      </w:r>
      <w:r w:rsidRPr="001758EF">
        <w:t xml:space="preserve"> Counsel (</w:t>
      </w:r>
      <w:r w:rsidR="001758EF">
        <w:t>“</w:t>
      </w:r>
      <w:r w:rsidRPr="001758EF">
        <w:t>OCC</w:t>
      </w:r>
      <w:r w:rsidR="001758EF">
        <w:t>”</w:t>
      </w:r>
      <w:r w:rsidRPr="001758EF">
        <w:t>) moves to intervene</w:t>
      </w:r>
      <w:r>
        <w:rPr>
          <w:rStyle w:val="FootnoteReference"/>
        </w:rPr>
        <w:footnoteReference w:id="3"/>
      </w:r>
      <w:r w:rsidRPr="001758EF">
        <w:t xml:space="preserve"> in this case where </w:t>
      </w:r>
      <w:r w:rsidRPr="001758EF" w:rsidR="00727AF3">
        <w:t>Chestnut Commerce Center</w:t>
      </w:r>
      <w:r w:rsidRPr="001758EF">
        <w:t xml:space="preserve"> LLC (</w:t>
      </w:r>
      <w:r w:rsidR="001758EF">
        <w:t>“</w:t>
      </w:r>
      <w:r w:rsidRPr="001758EF" w:rsidR="00727AF3">
        <w:t>Chestnut</w:t>
      </w:r>
      <w:r w:rsidR="001758EF">
        <w:t>”</w:t>
      </w:r>
      <w:r w:rsidRPr="001758EF">
        <w:t>) has applied for PUCO approval of its Reasonable Arrangement Application (</w:t>
      </w:r>
      <w:r w:rsidR="001758EF">
        <w:t>“</w:t>
      </w:r>
      <w:r w:rsidRPr="001758EF">
        <w:t>Reasonable Arrangement</w:t>
      </w:r>
      <w:r w:rsidR="001758EF">
        <w:t>”</w:t>
      </w:r>
      <w:r w:rsidRPr="001758EF">
        <w:t xml:space="preserve"> or </w:t>
      </w:r>
      <w:r w:rsidR="001758EF">
        <w:t>“</w:t>
      </w:r>
      <w:r w:rsidRPr="001758EF">
        <w:t>Application</w:t>
      </w:r>
      <w:r w:rsidR="001758EF">
        <w:t>”</w:t>
      </w:r>
      <w:r w:rsidRPr="001758EF">
        <w:t>).</w:t>
      </w:r>
      <w:r>
        <w:rPr>
          <w:rStyle w:val="FootnoteReference"/>
        </w:rPr>
        <w:footnoteReference w:id="4"/>
      </w:r>
      <w:r w:rsidRPr="001758EF">
        <w:t xml:space="preserve"> Under its proposed Reasonable Arrangement, </w:t>
      </w:r>
      <w:r w:rsidRPr="001758EF" w:rsidR="00727AF3">
        <w:t>Chestnut</w:t>
      </w:r>
      <w:r w:rsidRPr="001758EF">
        <w:t xml:space="preserve"> seeks to participate in FirstEnergy</w:t>
      </w:r>
      <w:r w:rsidR="001758EF">
        <w:t>’</w:t>
      </w:r>
      <w:r w:rsidRPr="001758EF">
        <w:t>s</w:t>
      </w:r>
      <w:r>
        <w:rPr>
          <w:rStyle w:val="FootnoteReference"/>
        </w:rPr>
        <w:footnoteReference w:id="5"/>
      </w:r>
      <w:r w:rsidRPr="001758EF">
        <w:t xml:space="preserve"> Non-Market Based Services Rider (</w:t>
      </w:r>
      <w:r w:rsidR="001758EF">
        <w:t>“</w:t>
      </w:r>
      <w:r w:rsidRPr="001758EF">
        <w:t>Rider NMB</w:t>
      </w:r>
      <w:r w:rsidR="001758EF">
        <w:t>”</w:t>
      </w:r>
      <w:r w:rsidRPr="001758EF">
        <w:t>) opt-out pilot program.</w:t>
      </w:r>
    </w:p>
    <w:p w:rsidR="007A75D1" w:rsidRPr="001758EF" w:rsidP="00486440" w14:paraId="77791FE7" w14:textId="68498078">
      <w:pPr>
        <w:widowControl w:val="0"/>
        <w:autoSpaceDE w:val="0"/>
        <w:autoSpaceDN w:val="0"/>
        <w:spacing w:line="480" w:lineRule="auto"/>
        <w:ind w:firstLine="720"/>
      </w:pPr>
      <w:r w:rsidRPr="001758EF">
        <w:t>The Rider NMB opt-out pilot program allows some non-residential consumers to avoid paying transmission charges under Rider NMB. But that</w:t>
      </w:r>
      <w:r w:rsidRPr="001758EF" w:rsidR="00CC728D">
        <w:t xml:space="preserve"> </w:t>
      </w:r>
      <w:r w:rsidRPr="001758EF">
        <w:t>means residential utility consumers must pay more. A</w:t>
      </w:r>
      <w:r w:rsidRPr="001758EF" w:rsidR="00CC728D">
        <w:t>n</w:t>
      </w:r>
      <w:r w:rsidR="001758EF">
        <w:t xml:space="preserve"> </w:t>
      </w:r>
      <w:r w:rsidRPr="001758EF">
        <w:t>audit</w:t>
      </w:r>
      <w:r w:rsidRPr="001758EF" w:rsidR="00CC728D">
        <w:t xml:space="preserve"> by the PUCO</w:t>
      </w:r>
      <w:r w:rsidRPr="001758EF">
        <w:t xml:space="preserve"> show</w:t>
      </w:r>
      <w:r w:rsidRPr="001758EF" w:rsidR="00CC728D">
        <w:t>ed</w:t>
      </w:r>
      <w:r w:rsidRPr="001758EF">
        <w:t xml:space="preserve"> that FirstEnergy</w:t>
      </w:r>
      <w:r w:rsidR="001758EF">
        <w:t>’</w:t>
      </w:r>
      <w:r w:rsidRPr="001758EF">
        <w:t xml:space="preserve">s Rider NMB opt-out pilot program shifts </w:t>
      </w:r>
      <w:r w:rsidRPr="001758EF">
        <w:rPr>
          <w:i/>
        </w:rPr>
        <w:t xml:space="preserve">over a million dollars </w:t>
      </w:r>
      <w:r w:rsidRPr="001758EF">
        <w:t xml:space="preserve">per year to residential consumers who have </w:t>
      </w:r>
      <w:r w:rsidRPr="001758EF">
        <w:rPr>
          <w:i/>
        </w:rPr>
        <w:t xml:space="preserve">no choice </w:t>
      </w:r>
      <w:r w:rsidRPr="001758EF">
        <w:t>but to pay Rider NMB rates.</w:t>
      </w:r>
      <w:r>
        <w:rPr>
          <w:rStyle w:val="FootnoteReference"/>
        </w:rPr>
        <w:footnoteReference w:id="6"/>
      </w:r>
    </w:p>
    <w:p w:rsidR="00AB5851" w:rsidRPr="001758EF" w:rsidP="00486440" w14:paraId="7730D6DF" w14:textId="7A9DEE23">
      <w:pPr>
        <w:widowControl w:val="0"/>
        <w:autoSpaceDE w:val="0"/>
        <w:autoSpaceDN w:val="0"/>
        <w:spacing w:line="480" w:lineRule="auto"/>
        <w:ind w:firstLine="720"/>
      </w:pPr>
      <w:r w:rsidRPr="001758EF">
        <w:t xml:space="preserve">The subsidies inherent in the Rider NMB opt-out pilot program are unjust and unreasonable. </w:t>
      </w:r>
      <w:r w:rsidRPr="001758EF" w:rsidR="0052460C">
        <w:t>The subsidies will continue to grow larger, with more cost shifting as the program is expanded to include more participants such as Chestnut.</w:t>
      </w:r>
      <w:r w:rsidR="001758EF">
        <w:t xml:space="preserve"> </w:t>
      </w:r>
      <w:r w:rsidRPr="001758EF">
        <w:t>OCC is filing on behalf of FirstEnergy</w:t>
      </w:r>
      <w:r w:rsidR="001758EF">
        <w:t>’</w:t>
      </w:r>
      <w:r w:rsidRPr="001758EF">
        <w:t>s more than two million residential utility consumers. The reasons why the PUCO should grant OCC</w:t>
      </w:r>
      <w:r w:rsidR="001758EF">
        <w:t>’</w:t>
      </w:r>
      <w:r w:rsidRPr="001758EF">
        <w:t>s Motion are further set forth in the attached Memorandum in Support.</w:t>
      </w:r>
    </w:p>
    <w:p w:rsidR="00582B71" w:rsidRPr="001758EF" w:rsidP="00582B71" w14:paraId="24B066C0"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1758EF">
        <w:rPr>
          <w:rFonts w:eastAsia="Courier New"/>
        </w:rPr>
        <w:t>Respectfully submitted,</w:t>
      </w:r>
    </w:p>
    <w:p w:rsidR="00582B71" w:rsidRPr="001758EF" w:rsidP="00582B71" w14:paraId="1E62AB0B"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rsidR="00582B71" w:rsidRPr="001758EF" w:rsidP="00582B71" w14:paraId="4A488FED"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1758EF">
        <w:rPr>
          <w:rFonts w:eastAsia="Courier New"/>
        </w:rPr>
        <w:t>Maureen R. Willis (0020847)</w:t>
      </w:r>
    </w:p>
    <w:p w:rsidR="00582B71" w:rsidRPr="001758EF" w:rsidP="00582B71" w14:paraId="5CC64326" w14:textId="1F333C13">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1758EF">
        <w:t>Ohio Consumers</w:t>
      </w:r>
      <w:r w:rsidR="001758EF">
        <w:t>’</w:t>
      </w:r>
      <w:r w:rsidRPr="001758EF">
        <w:t xml:space="preserve"> Counsel</w:t>
      </w:r>
    </w:p>
    <w:p w:rsidR="00582B71" w:rsidRPr="001758EF" w:rsidP="00582B71" w14:paraId="3D0AF0A8" w14:textId="77777777">
      <w:pPr>
        <w:tabs>
          <w:tab w:val="left" w:pos="4320"/>
        </w:tabs>
        <w:ind w:left="4320"/>
      </w:pPr>
    </w:p>
    <w:p w:rsidR="00582B71" w:rsidRPr="001758EF" w:rsidP="00582B71" w14:paraId="67BF2D6D" w14:textId="77777777">
      <w:pPr>
        <w:tabs>
          <w:tab w:val="left" w:pos="4320"/>
        </w:tabs>
        <w:ind w:left="4320"/>
        <w:rPr>
          <w:i/>
          <w:iCs/>
          <w:u w:val="single"/>
        </w:rPr>
      </w:pPr>
      <w:r w:rsidRPr="001758EF">
        <w:rPr>
          <w:i/>
          <w:iCs/>
          <w:u w:val="single"/>
        </w:rPr>
        <w:t>/s/ John Finnigan</w:t>
      </w:r>
    </w:p>
    <w:p w:rsidR="00582B71" w:rsidRPr="001758EF" w:rsidP="00582B71" w14:paraId="2C3EAAFB" w14:textId="77777777">
      <w:pPr>
        <w:tabs>
          <w:tab w:val="left" w:pos="4320"/>
        </w:tabs>
        <w:ind w:left="4320"/>
      </w:pPr>
      <w:r w:rsidRPr="001758EF">
        <w:t>John Finnigan (0018689)</w:t>
      </w:r>
    </w:p>
    <w:p w:rsidR="00582B71" w:rsidRPr="001758EF" w:rsidP="00582B71" w14:paraId="7B3226BD" w14:textId="77777777">
      <w:pPr>
        <w:tabs>
          <w:tab w:val="left" w:pos="4320"/>
        </w:tabs>
        <w:ind w:left="4320"/>
      </w:pPr>
      <w:r w:rsidRPr="001758EF">
        <w:t>Counsel of Record</w:t>
      </w:r>
    </w:p>
    <w:p w:rsidR="00582B71" w:rsidRPr="001758EF" w:rsidP="00582B71" w14:paraId="4E050C68" w14:textId="77777777">
      <w:pPr>
        <w:tabs>
          <w:tab w:val="left" w:pos="4320"/>
        </w:tabs>
        <w:ind w:left="4320"/>
      </w:pPr>
      <w:r w:rsidRPr="001758EF">
        <w:t>John R. Varanese (0044176)</w:t>
      </w:r>
    </w:p>
    <w:p w:rsidR="00582B71" w:rsidRPr="001758EF" w:rsidP="00582B71" w14:paraId="1DF056FC" w14:textId="56B5DFE6">
      <w:pPr>
        <w:tabs>
          <w:tab w:val="left" w:pos="4320"/>
        </w:tabs>
        <w:ind w:left="4320"/>
      </w:pPr>
      <w:r w:rsidRPr="001758EF">
        <w:t>Assistant Consumers</w:t>
      </w:r>
      <w:r w:rsidR="001758EF">
        <w:t>’</w:t>
      </w:r>
      <w:r w:rsidRPr="001758EF">
        <w:t xml:space="preserve"> Counsel</w:t>
      </w:r>
    </w:p>
    <w:p w:rsidR="00582B71" w:rsidRPr="001758EF" w:rsidP="00582B71" w14:paraId="2845D458" w14:textId="77777777">
      <w:pPr>
        <w:tabs>
          <w:tab w:val="left" w:pos="4320"/>
        </w:tabs>
        <w:ind w:left="4320"/>
        <w:rPr>
          <w:highlight w:val="cyan"/>
        </w:rPr>
      </w:pPr>
    </w:p>
    <w:p w:rsidR="00582B71" w:rsidRPr="001758EF" w:rsidP="00582B71" w14:paraId="19F002CC" w14:textId="3DE3CB4D">
      <w:pPr>
        <w:keepNext/>
        <w:ind w:left="4320" w:right="-648"/>
        <w:outlineLvl w:val="0"/>
        <w:rPr>
          <w:b/>
        </w:rPr>
      </w:pPr>
      <w:r w:rsidRPr="001758EF">
        <w:rPr>
          <w:b/>
        </w:rPr>
        <w:t>Office of the Ohio Consumers</w:t>
      </w:r>
      <w:r w:rsidR="001758EF">
        <w:rPr>
          <w:b/>
        </w:rPr>
        <w:t>’</w:t>
      </w:r>
      <w:r w:rsidRPr="001758EF">
        <w:rPr>
          <w:b/>
        </w:rPr>
        <w:t xml:space="preserve"> Counsel</w:t>
      </w:r>
    </w:p>
    <w:p w:rsidR="00582B71" w:rsidRPr="001758EF" w:rsidP="00582B71" w14:paraId="27A802E2" w14:textId="77777777">
      <w:pPr>
        <w:keepNext/>
        <w:ind w:left="4320" w:right="-648"/>
        <w:outlineLvl w:val="0"/>
      </w:pPr>
      <w:r w:rsidRPr="001758EF">
        <w:t>65 East State Street, Suite 700</w:t>
      </w:r>
    </w:p>
    <w:p w:rsidR="00582B71" w:rsidRPr="001758EF" w:rsidP="00582B71" w14:paraId="73836979" w14:textId="77777777">
      <w:pPr>
        <w:keepNext/>
        <w:ind w:left="4320" w:right="-648"/>
        <w:outlineLvl w:val="0"/>
      </w:pPr>
      <w:r w:rsidRPr="001758EF">
        <w:t>Columbus, Ohio 43215</w:t>
      </w:r>
    </w:p>
    <w:p w:rsidR="00582B71" w:rsidRPr="001758EF" w:rsidP="00582B71" w14:paraId="13722AD7" w14:textId="77777777">
      <w:pPr>
        <w:autoSpaceDE w:val="0"/>
        <w:autoSpaceDN w:val="0"/>
        <w:adjustRightInd w:val="0"/>
        <w:ind w:left="3600" w:firstLine="720"/>
      </w:pPr>
      <w:r w:rsidRPr="001758EF">
        <w:t>Telephone [Finnigan]: (614) 466-9585</w:t>
      </w:r>
    </w:p>
    <w:p w:rsidR="00582B71" w:rsidRPr="001758EF" w:rsidP="00582B71" w14:paraId="1DE23287" w14:textId="77777777">
      <w:pPr>
        <w:ind w:left="4320"/>
      </w:pPr>
      <w:r w:rsidRPr="001758EF">
        <w:t>Telephone [Varanese]: (614) 387-2965</w:t>
      </w:r>
    </w:p>
    <w:p w:rsidR="00582B71" w:rsidRPr="001758EF" w:rsidP="00582B71" w14:paraId="2163A4A6" w14:textId="77777777">
      <w:pPr>
        <w:ind w:left="4320"/>
        <w:rPr>
          <w:rStyle w:val="Hyperlink"/>
        </w:rPr>
      </w:pPr>
      <w:hyperlink r:id="rId6" w:history="1">
        <w:r w:rsidRPr="001758EF">
          <w:rPr>
            <w:rStyle w:val="Hyperlink"/>
          </w:rPr>
          <w:t>john.finnigan@occ.ohio.gov</w:t>
        </w:r>
      </w:hyperlink>
    </w:p>
    <w:p w:rsidR="00582B71" w:rsidRPr="001758EF" w:rsidP="00582B71" w14:paraId="30E9FEB3" w14:textId="4AF14E2C">
      <w:pPr>
        <w:ind w:left="4320"/>
      </w:pPr>
      <w:r w:rsidRPr="001758EF">
        <w:rPr>
          <w:rStyle w:val="Hyperlink"/>
        </w:rPr>
        <w:t>john.varanese@occ.ohio.gov</w:t>
      </w:r>
    </w:p>
    <w:p w:rsidR="00582B71" w:rsidRPr="001758EF" w:rsidP="00582B71" w14:paraId="1BDCD3C6" w14:textId="77777777">
      <w:pPr>
        <w:ind w:left="4320"/>
      </w:pPr>
      <w:r w:rsidRPr="001758EF">
        <w:t>(willing to accept service by e-mail)</w:t>
      </w:r>
    </w:p>
    <w:p w:rsidR="00667426" w:rsidRPr="001758EF" w:rsidP="00DD090F" w14:paraId="444F8D41" w14:textId="6FF63A00">
      <w:pPr>
        <w:autoSpaceDE w:val="0"/>
        <w:autoSpaceDN w:val="0"/>
        <w:adjustRightInd w:val="0"/>
        <w:ind w:left="4320"/>
        <w:rPr>
          <w:highlight w:val="cyan"/>
        </w:rPr>
      </w:pPr>
    </w:p>
    <w:p w:rsidR="00A044B5" w:rsidRPr="001758EF" w14:paraId="482C58C1" w14:textId="77777777"/>
    <w:p w:rsidR="00A044B5" w:rsidRPr="001758EF" w14:paraId="6855C046" w14:textId="77777777">
      <w:pPr>
        <w:ind w:left="4320" w:firstLine="720"/>
        <w:jc w:val="both"/>
      </w:pPr>
    </w:p>
    <w:p w:rsidR="00600468" w:rsidRPr="001758EF" w:rsidP="00DB6639" w14:paraId="4294F051" w14:textId="3373A130">
      <w:pPr>
        <w:pStyle w:val="BodyTextIndent3"/>
        <w:widowControl w:val="0"/>
        <w:spacing w:line="480" w:lineRule="auto"/>
        <w:rPr>
          <w:b/>
          <w:szCs w:val="24"/>
        </w:rPr>
        <w:sectPr w:rsidSect="0060321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26"/>
        </w:sectPr>
      </w:pPr>
    </w:p>
    <w:p w:rsidR="00A5637F" w:rsidRPr="001758EF" w:rsidP="00DB6639" w14:paraId="675B72E8" w14:textId="3F7A51EB">
      <w:pPr>
        <w:jc w:val="center"/>
        <w:rPr>
          <w:b/>
        </w:rPr>
      </w:pPr>
      <w:r w:rsidRPr="001758EF">
        <w:rPr>
          <w:b/>
        </w:rPr>
        <w:t>BEFORE</w:t>
      </w:r>
    </w:p>
    <w:p w:rsidR="00A5637F" w:rsidRPr="001758EF" w:rsidP="00BB4C86" w14:paraId="3A542CD6" w14:textId="77777777">
      <w:pPr>
        <w:pStyle w:val="HTMLPreformatted"/>
        <w:jc w:val="center"/>
        <w:rPr>
          <w:rFonts w:ascii="Times New Roman" w:hAnsi="Times New Roman" w:cs="Times New Roman"/>
          <w:b/>
          <w:sz w:val="24"/>
          <w:szCs w:val="24"/>
        </w:rPr>
      </w:pPr>
      <w:r w:rsidRPr="001758EF">
        <w:rPr>
          <w:rFonts w:ascii="Times New Roman" w:hAnsi="Times New Roman" w:cs="Times New Roman"/>
          <w:b/>
          <w:bCs/>
          <w:sz w:val="24"/>
          <w:szCs w:val="24"/>
        </w:rPr>
        <w:t>THE PUBLIC UTILITIES COMMISSION OF OHIO</w:t>
      </w:r>
    </w:p>
    <w:p w:rsidR="00A5637F" w:rsidRPr="001758EF" w:rsidP="00DB6639" w14:paraId="4A48DF90" w14:textId="77777777">
      <w:pPr>
        <w:pStyle w:val="HTMLPreformatted"/>
        <w:jc w:val="center"/>
        <w:rPr>
          <w:rFonts w:ascii="Times New Roman" w:hAnsi="Times New Roman" w:cs="Times New Roman"/>
          <w:b/>
          <w:sz w:val="24"/>
          <w:szCs w:val="24"/>
        </w:rPr>
      </w:pPr>
    </w:p>
    <w:tbl>
      <w:tblPr>
        <w:tblW w:w="8640" w:type="dxa"/>
        <w:tblInd w:w="0" w:type="dxa"/>
        <w:tblCellMar>
          <w:top w:w="0" w:type="dxa"/>
          <w:left w:w="108" w:type="dxa"/>
          <w:bottom w:w="0" w:type="dxa"/>
          <w:right w:w="108" w:type="dxa"/>
        </w:tblCellMar>
        <w:tblLook w:val="01E0"/>
      </w:tblPr>
      <w:tblGrid>
        <w:gridCol w:w="4230"/>
        <w:gridCol w:w="630"/>
        <w:gridCol w:w="3780"/>
      </w:tblGrid>
      <w:tr w14:paraId="140ADC21" w14:textId="77777777" w:rsidTr="00F60100">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84090F" w:rsidRPr="001758EF" w:rsidP="00F60100" w14:paraId="593D314E" w14:textId="77777777">
            <w:pPr>
              <w:autoSpaceDE w:val="0"/>
              <w:autoSpaceDN w:val="0"/>
              <w:adjustRightInd w:val="0"/>
              <w:rPr>
                <w:sz w:val="24"/>
                <w:szCs w:val="24"/>
                <w:lang w:val="en-US" w:eastAsia="en-US" w:bidi="ar-SA"/>
              </w:rPr>
            </w:pPr>
            <w:r w:rsidRPr="001758EF">
              <w:rPr>
                <w:sz w:val="24"/>
                <w:szCs w:val="24"/>
                <w:lang w:val="en-US" w:eastAsia="en-US" w:bidi="ar-SA"/>
              </w:rPr>
              <w:t>In the Matter of the Application for Establishment of a Reasonable Arrangement between Ohio Edison Company and Chestnut Commerce Center LLC.</w:t>
            </w:r>
          </w:p>
        </w:tc>
        <w:tc>
          <w:tcPr>
            <w:tcW w:w="630" w:type="dxa"/>
            <w:shd w:val="clear" w:color="auto" w:fill="auto"/>
          </w:tcPr>
          <w:p w:rsidR="0084090F" w:rsidRPr="001758EF" w:rsidP="00F60100" w14:paraId="1B99606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w:t>
            </w:r>
          </w:p>
          <w:p w:rsidR="0084090F" w:rsidRPr="001758EF" w:rsidP="00F60100" w14:paraId="6613BB1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w:t>
            </w:r>
          </w:p>
          <w:p w:rsidR="0084090F" w:rsidRPr="001758EF" w:rsidP="00F60100" w14:paraId="1DFE18C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w:t>
            </w:r>
          </w:p>
          <w:p w:rsidR="0084090F" w:rsidRPr="001758EF" w:rsidP="00F60100" w14:paraId="3808A06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w:t>
            </w:r>
          </w:p>
          <w:p w:rsidR="0084090F" w:rsidRPr="001758EF" w:rsidP="00F60100" w14:paraId="3DFF0FD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w:t>
            </w:r>
          </w:p>
        </w:tc>
        <w:tc>
          <w:tcPr>
            <w:tcW w:w="3780" w:type="dxa"/>
            <w:shd w:val="clear" w:color="auto" w:fill="auto"/>
          </w:tcPr>
          <w:p w:rsidR="0084090F" w:rsidRPr="001758EF" w:rsidP="00F60100" w14:paraId="7D0EDB2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84090F" w:rsidRPr="001758EF" w:rsidP="00F60100" w14:paraId="3DFA6EA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84090F" w:rsidRPr="001758EF" w:rsidP="00F60100" w14:paraId="4B734CA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758EF">
              <w:rPr>
                <w:rFonts w:ascii="Times New Roman" w:eastAsia="Courier New" w:hAnsi="Times New Roman" w:cs="Times New Roman"/>
                <w:sz w:val="24"/>
                <w:szCs w:val="24"/>
                <w:lang w:val="en-US" w:eastAsia="en-US" w:bidi="ar-SA"/>
              </w:rPr>
              <w:t>Case No. 24-388-EL-AEC</w:t>
            </w:r>
          </w:p>
          <w:p w:rsidR="0084090F" w:rsidRPr="001758EF" w:rsidP="00F60100" w14:paraId="214FF8D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A5637F" w:rsidRPr="001758EF" w:rsidP="00DB6639" w14:paraId="295E824B" w14:textId="77777777">
      <w:pPr>
        <w:pStyle w:val="HTMLPreformatted"/>
        <w:rPr>
          <w:rFonts w:ascii="Times New Roman" w:hAnsi="Times New Roman" w:cs="Times New Roman"/>
          <w:b/>
          <w:sz w:val="24"/>
          <w:szCs w:val="24"/>
        </w:rPr>
      </w:pPr>
    </w:p>
    <w:p w:rsidR="00A5637F" w:rsidRPr="001758EF" w:rsidP="00DB6639" w14:paraId="29B94DF1" w14:textId="77777777">
      <w:pPr>
        <w:pStyle w:val="Footer"/>
        <w:pBdr>
          <w:top w:val="single" w:sz="12" w:space="1" w:color="auto"/>
        </w:pBdr>
        <w:tabs>
          <w:tab w:val="left" w:pos="4320"/>
          <w:tab w:val="clear" w:pos="8640"/>
        </w:tabs>
        <w:spacing w:line="240" w:lineRule="auto"/>
      </w:pPr>
    </w:p>
    <w:p w:rsidR="00A5637F" w:rsidRPr="001758EF" w:rsidP="00DB6639" w14:paraId="44EFD019" w14:textId="1598D0B6">
      <w:pPr>
        <w:pStyle w:val="Footer"/>
        <w:tabs>
          <w:tab w:val="left" w:pos="4320"/>
          <w:tab w:val="clear" w:pos="8640"/>
        </w:tabs>
        <w:spacing w:line="240" w:lineRule="auto"/>
        <w:jc w:val="center"/>
      </w:pPr>
      <w:r w:rsidRPr="001758EF">
        <w:rPr>
          <w:b/>
        </w:rPr>
        <w:t>MEMORANDUM IN SUPPORT</w:t>
      </w:r>
    </w:p>
    <w:p w:rsidR="00A5637F" w:rsidRPr="001758EF" w:rsidP="00DB6639" w14:paraId="3F0F15BD" w14:textId="77777777">
      <w:pPr>
        <w:pStyle w:val="Footer"/>
        <w:pBdr>
          <w:bottom w:val="single" w:sz="12" w:space="1" w:color="auto"/>
        </w:pBdr>
        <w:tabs>
          <w:tab w:val="left" w:pos="4320"/>
          <w:tab w:val="clear" w:pos="8640"/>
        </w:tabs>
        <w:spacing w:line="240" w:lineRule="auto"/>
      </w:pPr>
    </w:p>
    <w:p w:rsidR="00BE06F7" w:rsidRPr="001758EF" w:rsidP="00DB1191" w14:paraId="41715C98" w14:textId="77777777">
      <w:pPr>
        <w:pStyle w:val="BodyTextIndent3"/>
        <w:widowControl w:val="0"/>
        <w:spacing w:line="240" w:lineRule="auto"/>
        <w:ind w:right="-24"/>
        <w:rPr>
          <w:szCs w:val="24"/>
        </w:rPr>
      </w:pPr>
    </w:p>
    <w:p w:rsidR="00B402B4" w:rsidRPr="001758EF" w:rsidP="005F11CA" w14:paraId="090B2595" w14:textId="704F89FD">
      <w:pPr>
        <w:pStyle w:val="BodyText"/>
        <w:tabs>
          <w:tab w:val="clear" w:pos="720"/>
        </w:tabs>
        <w:rPr>
          <w:szCs w:val="24"/>
        </w:rPr>
      </w:pPr>
      <w:r w:rsidRPr="001758EF">
        <w:rPr>
          <w:szCs w:val="24"/>
        </w:rPr>
        <w:t>OCC moves to intervene to protect FirstEnergy</w:t>
      </w:r>
      <w:r w:rsidR="001758EF">
        <w:rPr>
          <w:szCs w:val="24"/>
        </w:rPr>
        <w:t>’</w:t>
      </w:r>
      <w:r w:rsidRPr="001758EF">
        <w:rPr>
          <w:szCs w:val="24"/>
        </w:rPr>
        <w:t>s residential consumers from paying unreasonable or unlawful charges that could result from approval of Chestnut</w:t>
      </w:r>
      <w:r w:rsidR="001758EF">
        <w:rPr>
          <w:szCs w:val="24"/>
        </w:rPr>
        <w:t>’</w:t>
      </w:r>
      <w:r w:rsidRPr="001758EF">
        <w:rPr>
          <w:szCs w:val="24"/>
        </w:rPr>
        <w:t>s Application for a reasonable arrangement. Chestnut seeks PUCO approval to participate in FirstEnergy</w:t>
      </w:r>
      <w:r w:rsidR="001758EF">
        <w:rPr>
          <w:szCs w:val="24"/>
        </w:rPr>
        <w:t>’</w:t>
      </w:r>
      <w:r w:rsidRPr="001758EF">
        <w:rPr>
          <w:szCs w:val="24"/>
        </w:rPr>
        <w:t>s Rider NMB opt-out pilot program. Approval of the Application will mean that Chestnut will not have to pay transmission charges under FirstEnergy</w:t>
      </w:r>
      <w:r w:rsidR="001758EF">
        <w:rPr>
          <w:szCs w:val="24"/>
        </w:rPr>
        <w:t>’</w:t>
      </w:r>
      <w:r w:rsidRPr="001758EF">
        <w:rPr>
          <w:szCs w:val="24"/>
        </w:rPr>
        <w:t>s Rider NMB</w:t>
      </w:r>
      <w:r w:rsidRPr="001758EF" w:rsidR="004B7544">
        <w:rPr>
          <w:szCs w:val="24"/>
        </w:rPr>
        <w:t xml:space="preserve">, which could </w:t>
      </w:r>
      <w:r w:rsidRPr="001758EF">
        <w:rPr>
          <w:szCs w:val="24"/>
        </w:rPr>
        <w:t>unjustly and unreasonably shift</w:t>
      </w:r>
      <w:r w:rsidRPr="001758EF" w:rsidR="004B7544">
        <w:rPr>
          <w:szCs w:val="24"/>
        </w:rPr>
        <w:t xml:space="preserve"> costs</w:t>
      </w:r>
      <w:r w:rsidRPr="001758EF">
        <w:rPr>
          <w:szCs w:val="24"/>
        </w:rPr>
        <w:t xml:space="preserve"> to other consumers, including residential consumers.</w:t>
      </w:r>
      <w:r>
        <w:rPr>
          <w:rStyle w:val="FootnoteReference"/>
          <w:szCs w:val="24"/>
        </w:rPr>
        <w:footnoteReference w:id="7"/>
      </w:r>
    </w:p>
    <w:p w:rsidR="0052460C" w:rsidRPr="001758EF" w:rsidP="00AB6706" w14:paraId="292ADF5B" w14:textId="1F1E28CF">
      <w:pPr>
        <w:widowControl w:val="0"/>
        <w:autoSpaceDE w:val="0"/>
        <w:autoSpaceDN w:val="0"/>
        <w:spacing w:line="480" w:lineRule="auto"/>
        <w:ind w:firstLine="720"/>
      </w:pPr>
      <w:r w:rsidRPr="001758EF">
        <w:t>Under Rider NMB, consumers pay for transmission charges such as Network Integration Transmission Service (</w:t>
      </w:r>
      <w:r w:rsidR="001758EF">
        <w:t>“</w:t>
      </w:r>
      <w:r w:rsidRPr="001758EF">
        <w:t>NITS</w:t>
      </w:r>
      <w:r w:rsidR="001758EF">
        <w:t>”</w:t>
      </w:r>
      <w:r w:rsidRPr="001758EF">
        <w:t>) and Regional Transmission Expansion Plan (</w:t>
      </w:r>
      <w:r w:rsidR="001758EF">
        <w:t>“</w:t>
      </w:r>
      <w:r w:rsidRPr="001758EF">
        <w:t>RTEP</w:t>
      </w:r>
      <w:r w:rsidR="001758EF">
        <w:t>”</w:t>
      </w:r>
      <w:r w:rsidRPr="001758EF">
        <w:t>) costs.</w:t>
      </w:r>
      <w:r>
        <w:rPr>
          <w:rStyle w:val="FootnoteReference"/>
        </w:rPr>
        <w:footnoteReference w:id="8"/>
      </w:r>
      <w:r w:rsidRPr="001758EF">
        <w:t xml:space="preserve"> Under the Rider NMB opt-out pilot program, large nonresidential customers can opt-out of Rider NMB and obtain transmission service on their own.</w:t>
      </w:r>
      <w:r>
        <w:rPr>
          <w:rStyle w:val="FootnoteReference"/>
        </w:rPr>
        <w:footnoteReference w:id="9"/>
      </w:r>
      <w:r w:rsidRPr="001758EF">
        <w:t xml:space="preserve"> Residential consumers cannot opt-out of Rider NMB.</w:t>
      </w:r>
      <w:r>
        <w:rPr>
          <w:rStyle w:val="FootnoteReference"/>
        </w:rPr>
        <w:footnoteReference w:id="10"/>
      </w:r>
      <w:r w:rsidRPr="001758EF">
        <w:t xml:space="preserve"> </w:t>
      </w:r>
    </w:p>
    <w:p w:rsidR="0052460C" w:rsidRPr="001758EF" w:rsidP="00823EB2" w14:paraId="7D05FA34" w14:textId="5B84345D">
      <w:pPr>
        <w:widowControl w:val="0"/>
        <w:autoSpaceDE w:val="0"/>
        <w:autoSpaceDN w:val="0"/>
        <w:spacing w:line="480" w:lineRule="auto"/>
        <w:ind w:firstLine="720"/>
      </w:pPr>
      <w:r w:rsidRPr="001758EF">
        <w:t>A PUCO-appointed independent auditor found that the Rider NMB opt-out pilot program shifted over $1 million a yea</w:t>
      </w:r>
      <w:r w:rsidR="0010453F">
        <w:t xml:space="preserve">r </w:t>
      </w:r>
      <w:r w:rsidRPr="001758EF">
        <w:t>and $7.8 million during the six-year audit period to residential consumers.</w:t>
      </w:r>
      <w:r>
        <w:rPr>
          <w:rStyle w:val="FootnoteReference"/>
        </w:rPr>
        <w:footnoteReference w:id="11"/>
      </w:r>
      <w:r w:rsidR="001758EF">
        <w:t xml:space="preserve"> </w:t>
      </w:r>
      <w:r w:rsidRPr="001758EF">
        <w:t>If</w:t>
      </w:r>
      <w:r w:rsidRPr="001758EF" w:rsidR="009F02B9">
        <w:t xml:space="preserve"> </w:t>
      </w:r>
      <w:r w:rsidRPr="001758EF">
        <w:t xml:space="preserve">the pilot program is expanded to allow other participants, such as Chestnut the cost shifting to residential consumers </w:t>
      </w:r>
      <w:r w:rsidRPr="001758EF" w:rsidR="000F24F1">
        <w:t>may</w:t>
      </w:r>
      <w:r w:rsidRPr="001758EF">
        <w:t xml:space="preserve"> increase.</w:t>
      </w:r>
    </w:p>
    <w:p w:rsidR="009F02B9" w:rsidRPr="001758EF" w:rsidP="00823EB2" w14:paraId="563C755F" w14:textId="2243B6FF">
      <w:pPr>
        <w:widowControl w:val="0"/>
        <w:autoSpaceDE w:val="0"/>
        <w:autoSpaceDN w:val="0"/>
        <w:spacing w:line="480" w:lineRule="auto"/>
        <w:ind w:firstLine="720"/>
      </w:pPr>
      <w:r w:rsidRPr="001758EF">
        <w:t xml:space="preserve">When the PUCO approved the Rider NMB opt-out pilot program, the PUCO explained the program as providing an </w:t>
      </w:r>
      <w:r w:rsidR="001758EF">
        <w:t>“</w:t>
      </w:r>
      <w:r w:rsidRPr="001758EF">
        <w:t xml:space="preserve">opportunity to determine if industrial customers can obtain substantial savings by obtaining certain transmission services outside of Rider NMB </w:t>
      </w:r>
      <w:r w:rsidRPr="001758EF">
        <w:rPr>
          <w:i/>
          <w:iCs/>
        </w:rPr>
        <w:t>without imposing significant costs on other customers</w:t>
      </w:r>
      <w:r w:rsidRPr="001758EF">
        <w:t>.</w:t>
      </w:r>
      <w:r w:rsidR="001758EF">
        <w:t>”</w:t>
      </w:r>
      <w:r>
        <w:rPr>
          <w:rStyle w:val="FootnoteReference"/>
        </w:rPr>
        <w:footnoteReference w:id="12"/>
      </w:r>
      <w:r w:rsidRPr="001758EF">
        <w:t xml:space="preserve"> Because the Rider NMB opt-out pilot program was supposed to be a pilot program, it was intended to be studied and used as a learning experience for regulatory policymaking.</w:t>
      </w:r>
      <w:r w:rsidR="001758EF">
        <w:t xml:space="preserve"> </w:t>
      </w:r>
      <w:r w:rsidRPr="001758EF">
        <w:t>The PUCO should end the Rider NMB program (along with the unfair cost-shifting to residential consumers) instead of expanding it by allowing Chestnut to be served under this unfair rate.</w:t>
      </w:r>
    </w:p>
    <w:p w:rsidR="00ED2A29" w:rsidRPr="001758EF" w:rsidP="00FD00D6" w14:paraId="6C451E1D" w14:textId="2A37465F">
      <w:pPr>
        <w:widowControl w:val="0"/>
        <w:autoSpaceDE w:val="0"/>
        <w:autoSpaceDN w:val="0"/>
        <w:spacing w:line="480" w:lineRule="auto"/>
        <w:ind w:firstLine="720"/>
      </w:pPr>
      <w:r w:rsidRPr="001758EF">
        <w:t>In its Application, Chestnut states that its tenants are in the business of cryptocurrency mining.</w:t>
      </w:r>
      <w:r>
        <w:rPr>
          <w:rStyle w:val="FootnoteReference"/>
        </w:rPr>
        <w:footnoteReference w:id="13"/>
      </w:r>
      <w:r w:rsidR="001758EF">
        <w:t xml:space="preserve"> </w:t>
      </w:r>
      <w:r w:rsidRPr="001758EF">
        <w:t>In another recent reasonable arrangement case involving a cryptocurrency mining business, PUCO Staff recommended against approval of a reasonable arrangement on the grounds that the cryptocurrency mining business:</w:t>
      </w:r>
    </w:p>
    <w:p w:rsidR="00ED2A29" w:rsidRPr="001758EF" w:rsidP="00ED2A29" w14:paraId="0474B286" w14:textId="34DDA5DC">
      <w:pPr>
        <w:widowControl w:val="0"/>
        <w:autoSpaceDE w:val="0"/>
        <w:autoSpaceDN w:val="0"/>
        <w:ind w:left="1440" w:right="1440"/>
      </w:pPr>
      <w:r w:rsidRPr="001758EF">
        <w:t>will add material load to the grid (18 MW, nearly continuously) while employing 12 individuals at an average wage of $16.00 per hour. At this time, Staff does not believe that this level of investment justifies the use of a special rate arrangement. Further, subject to the pending outcome of FirstEnergy</w:t>
      </w:r>
      <w:r w:rsidR="001758EF">
        <w:t>’</w:t>
      </w:r>
      <w:r w:rsidRPr="001758EF">
        <w:t>s electric security plan case (Case No. 23- 301-EL-SSO), there may be transmission billing options that are similar to the Applicant</w:t>
      </w:r>
      <w:r w:rsidR="001758EF">
        <w:t>’</w:t>
      </w:r>
      <w:r w:rsidRPr="001758EF">
        <w:t>s reasonable arrangement proposal, which would make a reasonable arrangement unnecessary.</w:t>
      </w:r>
      <w:r>
        <w:rPr>
          <w:rStyle w:val="FootnoteReference"/>
        </w:rPr>
        <w:footnoteReference w:id="14"/>
      </w:r>
    </w:p>
    <w:p w:rsidR="009F02B9" w:rsidRPr="001758EF" w:rsidP="00217A01" w14:paraId="047D33CE" w14:textId="19AFB30D">
      <w:pPr>
        <w:widowControl w:val="0"/>
        <w:autoSpaceDE w:val="0"/>
        <w:autoSpaceDN w:val="0"/>
        <w:ind w:left="1440" w:right="1440"/>
      </w:pPr>
      <w:r w:rsidRPr="001758EF">
        <w:t xml:space="preserve"> </w:t>
      </w:r>
    </w:p>
    <w:p w:rsidR="00ED2A29" w:rsidRPr="001758EF" w:rsidP="00144B23" w14:paraId="4A089D72" w14:textId="2A10965E">
      <w:pPr>
        <w:widowControl w:val="0"/>
        <w:autoSpaceDE w:val="0"/>
        <w:autoSpaceDN w:val="0"/>
        <w:spacing w:line="480" w:lineRule="auto"/>
        <w:ind w:firstLine="720"/>
      </w:pPr>
      <w:r w:rsidRPr="001758EF">
        <w:t xml:space="preserve">The </w:t>
      </w:r>
      <w:r w:rsidRPr="001758EF" w:rsidR="00BF7E54">
        <w:t>PUCO</w:t>
      </w:r>
      <w:r w:rsidRPr="001758EF">
        <w:t xml:space="preserve"> should</w:t>
      </w:r>
      <w:r w:rsidR="00BF7E54">
        <w:t>,</w:t>
      </w:r>
      <w:r w:rsidRPr="001758EF">
        <w:t xml:space="preserve"> consistent with its Staff recommendation, consider the number of employees and the level of investment Chestnut is committing to under its reasonable arrangement.</w:t>
      </w:r>
      <w:r w:rsidR="001758EF">
        <w:t xml:space="preserve"> </w:t>
      </w:r>
      <w:r w:rsidRPr="001758EF">
        <w:t>This should provide additional support for not expanding FirstEnergy</w:t>
      </w:r>
      <w:r w:rsidR="001758EF">
        <w:t>’</w:t>
      </w:r>
      <w:r w:rsidRPr="001758EF">
        <w:t xml:space="preserve">s pilot program to include </w:t>
      </w:r>
      <w:r w:rsidRPr="001758EF">
        <w:t>Chestnut</w:t>
      </w:r>
      <w:r w:rsidRPr="001758EF">
        <w:t xml:space="preserve">. </w:t>
      </w:r>
    </w:p>
    <w:p w:rsidR="00B402B4" w:rsidRPr="001758EF" w:rsidP="00EA4B9E" w14:paraId="3B221B40" w14:textId="00A8BA1E">
      <w:pPr>
        <w:widowControl w:val="0"/>
        <w:autoSpaceDE w:val="0"/>
        <w:autoSpaceDN w:val="0"/>
        <w:spacing w:line="480" w:lineRule="auto"/>
        <w:ind w:firstLine="720"/>
      </w:pPr>
      <w:r w:rsidRPr="001758EF">
        <w:t>OCC has authority under R.C. Chapter 4911 to represent the interests of the more than two million residential utility consumers of FirstEnergy.</w:t>
      </w:r>
    </w:p>
    <w:p w:rsidR="00B402B4" w:rsidRPr="001758EF" w:rsidP="00EA4B9E" w14:paraId="267C49E8" w14:textId="0DCB1874">
      <w:pPr>
        <w:widowControl w:val="0"/>
        <w:autoSpaceDE w:val="0"/>
        <w:autoSpaceDN w:val="0"/>
        <w:spacing w:line="480" w:lineRule="auto"/>
        <w:ind w:firstLine="720"/>
      </w:pPr>
      <w:r w:rsidRPr="001758EF">
        <w:t>R.C. 4903.221 provides the standard for permissive intervention—where the PUCO may exercise discretion in ruling upon a party</w:t>
      </w:r>
      <w:r w:rsidR="001758EF">
        <w:t>’</w:t>
      </w:r>
      <w:r w:rsidRPr="001758EF">
        <w:t xml:space="preserve">s motion to intervene. That law provides, in part, that any person </w:t>
      </w:r>
      <w:r w:rsidR="001758EF">
        <w:t>“</w:t>
      </w:r>
      <w:r w:rsidRPr="001758EF">
        <w:t>who may be adversely affected</w:t>
      </w:r>
      <w:r w:rsidR="001758EF">
        <w:t>”</w:t>
      </w:r>
      <w:r w:rsidRPr="001758EF">
        <w:t xml:space="preserve"> by a PUCO proceeding is entitled to seek intervention in that proceeding.</w:t>
      </w:r>
    </w:p>
    <w:p w:rsidR="00B402B4" w:rsidRPr="001758EF" w:rsidP="00EA4B9E" w14:paraId="092C1317" w14:textId="1A666C2D">
      <w:pPr>
        <w:widowControl w:val="0"/>
        <w:autoSpaceDE w:val="0"/>
        <w:autoSpaceDN w:val="0"/>
        <w:spacing w:line="480" w:lineRule="auto"/>
        <w:ind w:firstLine="720"/>
      </w:pPr>
      <w:r w:rsidRPr="001758EF">
        <w:t>The interests of FirstEnergy</w:t>
      </w:r>
      <w:r w:rsidR="001758EF">
        <w:t>’</w:t>
      </w:r>
      <w:r w:rsidRPr="001758EF">
        <w:t xml:space="preserve">s residential consumers may be </w:t>
      </w:r>
      <w:r w:rsidR="001758EF">
        <w:t>“</w:t>
      </w:r>
      <w:r w:rsidRPr="001758EF">
        <w:t>adversely affected</w:t>
      </w:r>
      <w:r w:rsidR="001758EF">
        <w:t>”</w:t>
      </w:r>
      <w:r w:rsidRPr="001758EF">
        <w:t xml:space="preserve"> by this case where they could end up paying more </w:t>
      </w:r>
      <w:r w:rsidRPr="001758EF" w:rsidR="0052460C">
        <w:t xml:space="preserve">transmission rates </w:t>
      </w:r>
      <w:r w:rsidRPr="001758EF">
        <w:t>under Rider NMB if Chestnut is allowed to opt-out of paying transmission charges. Thus, this element of the permissive intervention standard in R.C. 4903.221 is satisfied.</w:t>
      </w:r>
    </w:p>
    <w:p w:rsidR="00B402B4" w:rsidRPr="001758EF" w:rsidP="00EA4B9E" w14:paraId="7AE5099B" w14:textId="77777777">
      <w:pPr>
        <w:widowControl w:val="0"/>
        <w:autoSpaceDE w:val="0"/>
        <w:autoSpaceDN w:val="0"/>
        <w:spacing w:line="480" w:lineRule="auto"/>
        <w:ind w:firstLine="720"/>
      </w:pPr>
      <w:r w:rsidRPr="001758EF">
        <w:t>R.C. 4903.221(B) requires the PUCO to consider the following criteria in ruling on permissive intervention:</w:t>
      </w:r>
    </w:p>
    <w:p w:rsidR="00B402B4" w:rsidRPr="001758EF" w:rsidP="004A08AA" w14:paraId="3FAE7E9D" w14:textId="40C48257">
      <w:pPr>
        <w:widowControl w:val="0"/>
        <w:numPr>
          <w:ilvl w:val="0"/>
          <w:numId w:val="27"/>
        </w:numPr>
        <w:autoSpaceDE w:val="0"/>
        <w:autoSpaceDN w:val="0"/>
        <w:ind w:left="1440"/>
      </w:pPr>
      <w:r w:rsidRPr="001758EF">
        <w:t>The nature and extent of the prospective intervenor</w:t>
      </w:r>
      <w:r w:rsidR="001758EF">
        <w:t>’</w:t>
      </w:r>
      <w:r w:rsidRPr="001758EF">
        <w:t>s interest;</w:t>
      </w:r>
    </w:p>
    <w:p w:rsidR="00B402B4" w:rsidRPr="001758EF" w:rsidP="004A08AA" w14:paraId="243C17E4" w14:textId="77777777">
      <w:pPr>
        <w:widowControl w:val="0"/>
        <w:numPr>
          <w:ilvl w:val="0"/>
          <w:numId w:val="27"/>
        </w:numPr>
        <w:autoSpaceDE w:val="0"/>
        <w:autoSpaceDN w:val="0"/>
        <w:spacing w:before="240"/>
        <w:ind w:left="1440"/>
      </w:pPr>
      <w:r w:rsidRPr="001758EF">
        <w:t>The legal position advanced by the prospective intervenor and its probable relation to the merits of the case;</w:t>
      </w:r>
    </w:p>
    <w:p w:rsidR="00B402B4" w:rsidRPr="001758EF" w:rsidP="004A08AA" w14:paraId="306D4AEA" w14:textId="77777777">
      <w:pPr>
        <w:widowControl w:val="0"/>
        <w:numPr>
          <w:ilvl w:val="0"/>
          <w:numId w:val="27"/>
        </w:numPr>
        <w:autoSpaceDE w:val="0"/>
        <w:autoSpaceDN w:val="0"/>
        <w:spacing w:before="241"/>
        <w:ind w:left="1440"/>
      </w:pPr>
      <w:r w:rsidRPr="001758EF">
        <w:t>Whether the intervention by the prospective intervenor will unduly prolong or delay the proceeding; and</w:t>
      </w:r>
    </w:p>
    <w:p w:rsidR="00EE2309" w:rsidRPr="001758EF" w:rsidP="00EE2309" w14:paraId="65906258" w14:textId="4519F51D">
      <w:pPr>
        <w:widowControl w:val="0"/>
        <w:numPr>
          <w:ilvl w:val="0"/>
          <w:numId w:val="27"/>
        </w:numPr>
        <w:autoSpaceDE w:val="0"/>
        <w:autoSpaceDN w:val="0"/>
        <w:spacing w:before="240"/>
        <w:ind w:left="1440"/>
      </w:pPr>
      <w:r w:rsidRPr="001758EF">
        <w:t>Whether the prospective intervenor will significantly contribute to the full development and equitable resolution of the factual issues.</w:t>
      </w:r>
    </w:p>
    <w:p w:rsidR="00EE2309" w:rsidRPr="001758EF" w:rsidP="00EE2309" w14:paraId="337EC1C1" w14:textId="77777777">
      <w:pPr>
        <w:widowControl w:val="0"/>
        <w:autoSpaceDE w:val="0"/>
        <w:autoSpaceDN w:val="0"/>
        <w:ind w:left="720"/>
      </w:pPr>
    </w:p>
    <w:p w:rsidR="00A57F6A" w:rsidRPr="001758EF" w:rsidP="00F96DFA" w14:paraId="5BEA8271" w14:textId="29C4B104">
      <w:pPr>
        <w:widowControl w:val="0"/>
        <w:autoSpaceDE w:val="0"/>
        <w:autoSpaceDN w:val="0"/>
        <w:spacing w:line="480" w:lineRule="auto"/>
        <w:ind w:firstLine="719"/>
      </w:pPr>
      <w:r w:rsidRPr="001758EF">
        <w:t>First, the nature and extent of OCC</w:t>
      </w:r>
      <w:r w:rsidR="001758EF">
        <w:t>’</w:t>
      </w:r>
      <w:r w:rsidRPr="001758EF">
        <w:t>s interest is representing the residential consumers of FirstEnergy in this case involving Chestnut</w:t>
      </w:r>
      <w:r w:rsidR="001758EF">
        <w:t>’</w:t>
      </w:r>
      <w:r w:rsidRPr="001758EF">
        <w:t xml:space="preserve">s proposed Reasonable </w:t>
      </w:r>
    </w:p>
    <w:p w:rsidR="00262492" w:rsidRPr="001758EF" w:rsidP="00A57F6A" w14:paraId="149500D8" w14:textId="6C669E5F">
      <w:pPr>
        <w:widowControl w:val="0"/>
        <w:autoSpaceDE w:val="0"/>
        <w:autoSpaceDN w:val="0"/>
        <w:spacing w:line="480" w:lineRule="auto"/>
      </w:pPr>
      <w:r w:rsidRPr="001758EF">
        <w:t>Arrangement</w:t>
      </w:r>
      <w:r w:rsidRPr="001758EF" w:rsidR="00230A7D">
        <w:t xml:space="preserve"> that could cause </w:t>
      </w:r>
      <w:r w:rsidRPr="001758EF" w:rsidR="00842FE9">
        <w:t>residential consumers to pay higher rates</w:t>
      </w:r>
      <w:r w:rsidRPr="001758EF">
        <w:t>. This interest is different from any other party</w:t>
      </w:r>
      <w:r w:rsidR="001758EF">
        <w:t>’</w:t>
      </w:r>
      <w:r w:rsidRPr="001758EF">
        <w:t xml:space="preserve">s and especially different from </w:t>
      </w:r>
      <w:r w:rsidRPr="001758EF" w:rsidR="000109B7">
        <w:t>Chestnut</w:t>
      </w:r>
      <w:r w:rsidR="001758EF">
        <w:t>’</w:t>
      </w:r>
      <w:r w:rsidRPr="001758EF">
        <w:t>s, which represents the interests of its principals.</w:t>
      </w:r>
    </w:p>
    <w:p w:rsidR="00B402B4" w:rsidRPr="001758EF" w:rsidP="005C312E" w14:paraId="33329DE3" w14:textId="5EA6990C">
      <w:pPr>
        <w:widowControl w:val="0"/>
        <w:autoSpaceDE w:val="0"/>
        <w:autoSpaceDN w:val="0"/>
        <w:spacing w:line="480" w:lineRule="auto"/>
        <w:ind w:firstLine="720"/>
      </w:pPr>
      <w:r w:rsidRPr="001758EF">
        <w:t>Second, OCC</w:t>
      </w:r>
      <w:r w:rsidR="001758EF">
        <w:t>’</w:t>
      </w:r>
      <w:r w:rsidRPr="001758EF">
        <w:t xml:space="preserve">s advocacy for residential consumers will include, among other things, advancing concerns </w:t>
      </w:r>
      <w:r w:rsidRPr="001758EF" w:rsidR="00842FE9">
        <w:t xml:space="preserve">that </w:t>
      </w:r>
      <w:r w:rsidRPr="001758EF">
        <w:t xml:space="preserve">residential consumers </w:t>
      </w:r>
      <w:r w:rsidRPr="001758EF" w:rsidR="00600BB6">
        <w:t xml:space="preserve">may </w:t>
      </w:r>
      <w:r w:rsidRPr="001758EF" w:rsidR="00842FE9">
        <w:t>pay more as a result of Chestnut</w:t>
      </w:r>
      <w:r w:rsidR="001758EF">
        <w:t>’</w:t>
      </w:r>
      <w:r w:rsidRPr="001758EF" w:rsidR="00842FE9">
        <w:t xml:space="preserve">s participation in </w:t>
      </w:r>
      <w:r w:rsidRPr="001758EF">
        <w:t>FirstEnergy</w:t>
      </w:r>
      <w:r w:rsidR="001758EF">
        <w:t>’</w:t>
      </w:r>
      <w:r w:rsidRPr="001758EF" w:rsidR="00842FE9">
        <w:t>s</w:t>
      </w:r>
      <w:r w:rsidRPr="001758EF">
        <w:t xml:space="preserve"> Rider NMB opt-out pilot program.</w:t>
      </w:r>
      <w:r w:rsidRPr="001758EF" w:rsidR="00842FE9">
        <w:t xml:space="preserve"> </w:t>
      </w:r>
      <w:r w:rsidRPr="001758EF">
        <w:t>OCC</w:t>
      </w:r>
      <w:r w:rsidR="001758EF">
        <w:t>’</w:t>
      </w:r>
      <w:r w:rsidRPr="001758EF">
        <w:t xml:space="preserve">s position is therefore directly related to the merits of this case before the </w:t>
      </w:r>
      <w:r w:rsidRPr="001758EF" w:rsidR="00EA22EF">
        <w:t>P</w:t>
      </w:r>
      <w:r w:rsidRPr="001758EF">
        <w:t>UCO, the authority with regulatory control of public utilities</w:t>
      </w:r>
      <w:r w:rsidR="001758EF">
        <w:t>’</w:t>
      </w:r>
      <w:r w:rsidRPr="001758EF">
        <w:t xml:space="preserve"> rates and service quality in Ohio.</w:t>
      </w:r>
    </w:p>
    <w:p w:rsidR="00CD17D7" w:rsidRPr="001758EF" w:rsidP="00217A01" w14:paraId="3EC86BA4" w14:textId="14DECD68">
      <w:pPr>
        <w:widowControl w:val="0"/>
        <w:autoSpaceDE w:val="0"/>
        <w:autoSpaceDN w:val="0"/>
        <w:spacing w:line="480" w:lineRule="auto"/>
        <w:ind w:firstLine="720"/>
      </w:pPr>
      <w:r w:rsidRPr="001758EF">
        <w:t>Third, OCC</w:t>
      </w:r>
      <w:r w:rsidR="001758EF">
        <w:t>’</w:t>
      </w:r>
      <w:r w:rsidRPr="001758EF">
        <w:t>s intervention will not unduly prolong or delay the proceedings.</w:t>
      </w:r>
    </w:p>
    <w:p w:rsidR="00B402B4" w:rsidRPr="001758EF" w:rsidP="00217A01" w14:paraId="17E91419" w14:textId="7BC2E0E7">
      <w:pPr>
        <w:widowControl w:val="0"/>
        <w:autoSpaceDE w:val="0"/>
        <w:autoSpaceDN w:val="0"/>
        <w:spacing w:line="480" w:lineRule="auto"/>
      </w:pPr>
      <w:r w:rsidRPr="001758EF">
        <w:t xml:space="preserve">Delay in and of itself does not mean that intervention should be denied. The key consideration is whether the intervention will cause </w:t>
      </w:r>
      <w:r w:rsidR="001758EF">
        <w:t>“</w:t>
      </w:r>
      <w:r w:rsidRPr="001758EF">
        <w:t>undue delay.</w:t>
      </w:r>
      <w:r w:rsidR="001758EF">
        <w:t>”</w:t>
      </w:r>
      <w:r w:rsidRPr="001758EF">
        <w:t xml:space="preserve"> Here OCC</w:t>
      </w:r>
      <w:r w:rsidR="001758EF">
        <w:t>’</w:t>
      </w:r>
      <w:r w:rsidRPr="001758EF">
        <w:t>s intervention will not cause undue delay.</w:t>
      </w:r>
    </w:p>
    <w:p w:rsidR="00B402B4" w:rsidRPr="001758EF" w:rsidP="004A08AA" w14:paraId="63B4C458" w14:textId="06595935">
      <w:pPr>
        <w:widowControl w:val="0"/>
        <w:autoSpaceDE w:val="0"/>
        <w:autoSpaceDN w:val="0"/>
        <w:spacing w:line="480" w:lineRule="auto"/>
        <w:ind w:firstLine="720"/>
      </w:pPr>
      <w:r w:rsidRPr="001758EF">
        <w:t xml:space="preserve">OCC has promptly sought leave to intervene. </w:t>
      </w:r>
      <w:r w:rsidRPr="001758EF" w:rsidR="000109B7">
        <w:t>Chestnut</w:t>
      </w:r>
      <w:r w:rsidR="001758EF">
        <w:t>’</w:t>
      </w:r>
      <w:r w:rsidRPr="001758EF">
        <w:t xml:space="preserve">s Application was filed on </w:t>
      </w:r>
      <w:r w:rsidRPr="001758EF" w:rsidR="000109B7">
        <w:t>April 15</w:t>
      </w:r>
      <w:r w:rsidRPr="001758EF">
        <w:t>, 2024. The case has not progressed beyond the filing of the Application. OCC</w:t>
      </w:r>
      <w:r w:rsidR="001758EF">
        <w:t>’</w:t>
      </w:r>
      <w:r w:rsidRPr="001758EF">
        <w:t>s motion to intervene and comments are due to be filed within 20 days of the filing of the Application.</w:t>
      </w:r>
      <w:r>
        <w:rPr>
          <w:rStyle w:val="FootnoteReference"/>
        </w:rPr>
        <w:footnoteReference w:id="15"/>
      </w:r>
      <w:r w:rsidRPr="001758EF">
        <w:t xml:space="preserve"> No hearing has been scheduled such that granting intervention would delay the hearing. The PUCO Staff has not filed its Review and Recommendation regarding this proposed Reasonable Arrangement. No comments have been filed by any parties and the PUCO has not issued any dispositive rulings.</w:t>
      </w:r>
    </w:p>
    <w:p w:rsidR="00B402B4" w:rsidRPr="001758EF" w:rsidP="00217A01" w14:paraId="020B29B5" w14:textId="59DCA3A0">
      <w:pPr>
        <w:widowControl w:val="0"/>
        <w:autoSpaceDE w:val="0"/>
        <w:autoSpaceDN w:val="0"/>
        <w:spacing w:line="480" w:lineRule="auto"/>
        <w:ind w:firstLine="720"/>
      </w:pPr>
      <w:r w:rsidRPr="001758EF">
        <w:t>OCC will attempt to avoid duplicative discovery in the proceeding. The issues OCC will raise fall clearly within the scope of the proceeding—whether FirstEnergy</w:t>
      </w:r>
      <w:r w:rsidR="001758EF">
        <w:t>’</w:t>
      </w:r>
      <w:r w:rsidRPr="001758EF">
        <w:t>s residential consumers will be subject to increased rates as a result of the Reasonable Arrangement. In addition, OCC will also use its best efforts to comply with any procedural schedule that the PUCO may adopt for this proceeding.</w:t>
      </w:r>
    </w:p>
    <w:p w:rsidR="00B402B4" w:rsidRPr="001758EF" w:rsidP="004A08AA" w14:paraId="714FD0D0" w14:textId="6E76BA36">
      <w:pPr>
        <w:widowControl w:val="0"/>
        <w:autoSpaceDE w:val="0"/>
        <w:autoSpaceDN w:val="0"/>
        <w:spacing w:line="480" w:lineRule="auto"/>
        <w:ind w:firstLine="720"/>
      </w:pPr>
      <w:r w:rsidRPr="001758EF">
        <w:t>Further, OCC, with its longstanding expertise and experience in PUCO proceedings and consumer protection advocacy, will duly allow for the efficient processing of the case with consideration of the public interest. OCC regularly intervenes and participates in cases regarding reasonable arrangements.</w:t>
      </w:r>
      <w:r>
        <w:rPr>
          <w:rStyle w:val="FootnoteReference"/>
        </w:rPr>
        <w:footnoteReference w:id="16"/>
      </w:r>
      <w:r w:rsidRPr="001758EF">
        <w:t xml:space="preserve"> There will be no prejudice to the PUCO Staff or </w:t>
      </w:r>
      <w:r w:rsidRPr="001758EF" w:rsidR="000109B7">
        <w:t>Chestnut</w:t>
      </w:r>
      <w:r w:rsidRPr="001758EF">
        <w:t xml:space="preserve"> in granting OCC intervention.</w:t>
      </w:r>
    </w:p>
    <w:p w:rsidR="004328E6" w:rsidP="004A08AA" w14:paraId="1E0AA6CA" w14:textId="310C9BD5">
      <w:pPr>
        <w:widowControl w:val="0"/>
        <w:autoSpaceDE w:val="0"/>
        <w:autoSpaceDN w:val="0"/>
        <w:spacing w:line="480" w:lineRule="auto"/>
        <w:ind w:firstLine="720"/>
      </w:pPr>
      <w:r w:rsidRPr="001758EF">
        <w:t>Fourth, OCC</w:t>
      </w:r>
      <w:r w:rsidR="001758EF">
        <w:t>’</w:t>
      </w:r>
      <w:r w:rsidRPr="001758EF">
        <w:t>s intervention will significantly contribute to full development and equitable resolution of the factual issues. OCC</w:t>
      </w:r>
      <w:r w:rsidR="001758EF">
        <w:t>’</w:t>
      </w:r>
      <w:r w:rsidRPr="001758EF">
        <w:t>s interest in protecting residential consumers will lead it to examine issues fully and carefully regarding any potential increase in costs to residential consumers as a result of the proposed Reasonable Arrangement. No other party is solely focused on the needs of residential consumers and thus, there can be no equitable resolution of the factual issues in this case absent OCC</w:t>
      </w:r>
      <w:r w:rsidR="001758EF">
        <w:t>’</w:t>
      </w:r>
      <w:r w:rsidRPr="001758EF">
        <w:t>s participation. OCC will obtain and develop information that the PUCO should consider for equitably and lawfully deciding the case in the public interest.</w:t>
      </w:r>
    </w:p>
    <w:p w:rsidR="004328E6" w14:paraId="4BC30D40" w14:textId="77777777">
      <w:r>
        <w:br w:type="page"/>
      </w:r>
    </w:p>
    <w:p w:rsidR="00B402B4" w:rsidRPr="001758EF" w:rsidP="004A08AA" w14:paraId="19AD51F3" w14:textId="77777777">
      <w:pPr>
        <w:widowControl w:val="0"/>
        <w:autoSpaceDE w:val="0"/>
        <w:autoSpaceDN w:val="0"/>
        <w:spacing w:line="480" w:lineRule="auto"/>
        <w:ind w:firstLine="720"/>
      </w:pPr>
      <w:r w:rsidRPr="001758EF">
        <w:t xml:space="preserve">OCC also satisfies the intervention criteria in O.A.C. 4901-1-11(A) which sets the standard for </w:t>
      </w:r>
      <w:r w:rsidRPr="001758EF">
        <w:rPr>
          <w:i/>
        </w:rPr>
        <w:t>intervention as of right</w:t>
      </w:r>
      <w:r w:rsidRPr="001758EF">
        <w:t>, mirroring Ohio Civil Rule 24(A). Under O.A.C.</w:t>
      </w:r>
    </w:p>
    <w:p w:rsidR="002B2F02" w:rsidRPr="001758EF" w:rsidP="00DE5365" w14:paraId="7E72E514" w14:textId="7BC68C21">
      <w:pPr>
        <w:widowControl w:val="0"/>
        <w:autoSpaceDE w:val="0"/>
        <w:autoSpaceDN w:val="0"/>
        <w:spacing w:line="480" w:lineRule="auto"/>
      </w:pPr>
      <w:r w:rsidRPr="001758EF">
        <w:t xml:space="preserve">4901:1-11(A)(2), a person shall be granted intervention as of right if it has a real and substantial interest in a proceeding and is </w:t>
      </w:r>
      <w:r w:rsidR="001758EF">
        <w:t>“</w:t>
      </w:r>
      <w:r w:rsidRPr="001758EF">
        <w:t xml:space="preserve">so situated that disposition of the proceeding </w:t>
      </w:r>
    </w:p>
    <w:p w:rsidR="00B402B4" w:rsidRPr="001758EF" w:rsidP="004A08AA" w14:paraId="292DA475" w14:textId="42F9868E">
      <w:pPr>
        <w:widowControl w:val="0"/>
        <w:autoSpaceDE w:val="0"/>
        <w:autoSpaceDN w:val="0"/>
        <w:spacing w:line="480" w:lineRule="auto"/>
      </w:pPr>
      <w:r w:rsidRPr="001758EF">
        <w:t>may, as a practical matter, impair or impede his or her ability to protect that interest, unless the person</w:t>
      </w:r>
      <w:r w:rsidR="001758EF">
        <w:t>’</w:t>
      </w:r>
      <w:r w:rsidRPr="001758EF">
        <w:t>s interest is adequately represented by existing parties.</w:t>
      </w:r>
      <w:r w:rsidR="001758EF">
        <w:t>”</w:t>
      </w:r>
    </w:p>
    <w:p w:rsidR="00B402B4" w:rsidRPr="001758EF" w:rsidP="004A08AA" w14:paraId="7D14DA12" w14:textId="44DC8A3C">
      <w:pPr>
        <w:widowControl w:val="0"/>
        <w:autoSpaceDE w:val="0"/>
        <w:autoSpaceDN w:val="0"/>
        <w:spacing w:line="480" w:lineRule="auto"/>
        <w:ind w:firstLine="720"/>
      </w:pPr>
      <w:r w:rsidRPr="001758EF">
        <w:t>As the statutory advocate for residential utility consumers, OCC has a very real and substantial interest in this case</w:t>
      </w:r>
      <w:r w:rsidRPr="001758EF" w:rsidR="0052460C">
        <w:t xml:space="preserve">. </w:t>
      </w:r>
      <w:r w:rsidRPr="001758EF" w:rsidR="000109B7">
        <w:t>Chestnut</w:t>
      </w:r>
      <w:r w:rsidRPr="001758EF">
        <w:t xml:space="preserve"> seeks to participate in</w:t>
      </w:r>
      <w:r w:rsidRPr="001758EF" w:rsidR="00CD59BA">
        <w:t xml:space="preserve"> </w:t>
      </w:r>
      <w:r w:rsidRPr="001758EF">
        <w:t>FirstEnergy</w:t>
      </w:r>
      <w:r w:rsidR="001758EF">
        <w:t>’</w:t>
      </w:r>
      <w:r w:rsidRPr="001758EF">
        <w:t>s Rider NMB opt-out pilot program which could unjustly and unreasonably shift costs to residential consumers who have no option but to pay FirstEnergy</w:t>
      </w:r>
      <w:r w:rsidR="001758EF">
        <w:t>’</w:t>
      </w:r>
      <w:r w:rsidRPr="001758EF">
        <w:t>s Rider NMB charges. Disposition of this proceeding may, as a practical matter, impair or impede OCC</w:t>
      </w:r>
      <w:r w:rsidR="001758EF">
        <w:t>’</w:t>
      </w:r>
      <w:r w:rsidRPr="001758EF">
        <w:t xml:space="preserve">s ability to protect that interest where the interest is not adequately represented by existing parties—the PUCO Staff and </w:t>
      </w:r>
      <w:r w:rsidRPr="001758EF" w:rsidR="000109B7">
        <w:t>Chestnut</w:t>
      </w:r>
      <w:r w:rsidRPr="001758EF">
        <w:t>. OCC should be granted intervention as of right under O.A.C. 4901-1-11(A)(2).</w:t>
      </w:r>
    </w:p>
    <w:p w:rsidR="00B402B4" w:rsidRPr="001758EF" w:rsidP="004A08AA" w14:paraId="0152C48A" w14:textId="1E08425D">
      <w:pPr>
        <w:widowControl w:val="0"/>
        <w:autoSpaceDE w:val="0"/>
        <w:autoSpaceDN w:val="0"/>
        <w:spacing w:line="480" w:lineRule="auto"/>
        <w:ind w:firstLine="720"/>
      </w:pPr>
      <w:r w:rsidRPr="001758EF">
        <w:t>In addition, OCC meets the permissive intervention criteria of O.A.C. 4901-1- 11(B)(1)-(4). These criteria mirror the permissive intervention criteria in R.C.</w:t>
      </w:r>
      <w:r w:rsidRPr="001758EF" w:rsidR="00EA22EF">
        <w:t xml:space="preserve"> </w:t>
      </w:r>
      <w:r w:rsidRPr="001758EF">
        <w:t xml:space="preserve">4903.221(B) that OCC already has </w:t>
      </w:r>
      <w:r w:rsidRPr="001758EF" w:rsidR="000109B7">
        <w:t>addressed,</w:t>
      </w:r>
      <w:r w:rsidRPr="001758EF">
        <w:t xml:space="preserve"> and that OCC satisfies.</w:t>
      </w:r>
    </w:p>
    <w:p w:rsidR="00B402B4" w:rsidRPr="001758EF" w:rsidP="004A08AA" w14:paraId="48B111FF" w14:textId="764EF8F2">
      <w:pPr>
        <w:widowControl w:val="0"/>
        <w:autoSpaceDE w:val="0"/>
        <w:autoSpaceDN w:val="0"/>
        <w:spacing w:line="480" w:lineRule="auto"/>
        <w:ind w:firstLine="720"/>
      </w:pPr>
      <w:r w:rsidRPr="001758EF">
        <w:t xml:space="preserve">O.A.C. 4901-1-11(B)(5) states that the PUCO shall consider </w:t>
      </w:r>
      <w:r w:rsidR="001758EF">
        <w:t>“</w:t>
      </w:r>
      <w:r w:rsidRPr="001758EF">
        <w:t>(t)he extent to which the person</w:t>
      </w:r>
      <w:r w:rsidR="001758EF">
        <w:t>’</w:t>
      </w:r>
      <w:r w:rsidRPr="001758EF">
        <w:t>s interest is represented by existing parties.</w:t>
      </w:r>
      <w:r w:rsidR="001758EF">
        <w:t>”</w:t>
      </w:r>
      <w:r w:rsidRPr="001758EF">
        <w:t xml:space="preserve"> While OCC does not concede the lawfulness of this criterion, OCC satisfies this criterion in that it has been uniquely designated as the state representative of the interests of Ohio</w:t>
      </w:r>
      <w:r w:rsidR="001758EF">
        <w:t>’</w:t>
      </w:r>
      <w:r w:rsidRPr="001758EF">
        <w:t>s residential utility consumers. OCC</w:t>
      </w:r>
      <w:r w:rsidR="001758EF">
        <w:t>’</w:t>
      </w:r>
      <w:r w:rsidRPr="001758EF">
        <w:t>s interest is different from, and not represented by, any other entity in Ohio.</w:t>
      </w:r>
    </w:p>
    <w:p w:rsidR="0023096E" w:rsidRPr="001758EF" w:rsidP="009C04AB" w14:paraId="31110D51" w14:textId="5CD29D87">
      <w:pPr>
        <w:widowControl w:val="0"/>
        <w:autoSpaceDE w:val="0"/>
        <w:autoSpaceDN w:val="0"/>
        <w:spacing w:line="480" w:lineRule="auto"/>
        <w:ind w:firstLine="720"/>
      </w:pPr>
      <w:r w:rsidRPr="001758EF">
        <w:t>Moreover, the Supreme Court of Ohio confirmed OCC</w:t>
      </w:r>
      <w:r w:rsidR="001758EF">
        <w:t>’</w:t>
      </w:r>
      <w:r w:rsidRPr="001758EF">
        <w:t xml:space="preserve">s right to intervene in PUCO proceedings, in deciding two appeals in which OCC claimed the PUCO erred by denying its interventions. The Court found that the PUCO abused its discretion in </w:t>
      </w:r>
    </w:p>
    <w:p w:rsidR="00B402B4" w:rsidRPr="001758EF" w:rsidP="0023096E" w14:paraId="4C0C33BC" w14:textId="2982620B">
      <w:pPr>
        <w:widowControl w:val="0"/>
        <w:autoSpaceDE w:val="0"/>
        <w:autoSpaceDN w:val="0"/>
        <w:spacing w:line="480" w:lineRule="auto"/>
      </w:pPr>
      <w:r w:rsidRPr="001758EF">
        <w:t>denying OCC</w:t>
      </w:r>
      <w:r w:rsidR="001758EF">
        <w:t>’</w:t>
      </w:r>
      <w:r w:rsidRPr="001758EF">
        <w:t>s interventions and that OCC should have been granted intervention in both proceedings.</w:t>
      </w:r>
      <w:r>
        <w:rPr>
          <w:rStyle w:val="FootnoteReference"/>
        </w:rPr>
        <w:footnoteReference w:id="17"/>
      </w:r>
    </w:p>
    <w:p w:rsidR="00B402B4" w:rsidRPr="001758EF" w:rsidP="004A08AA" w14:paraId="48B8F371" w14:textId="091BD0EF">
      <w:pPr>
        <w:widowControl w:val="0"/>
        <w:autoSpaceDE w:val="0"/>
        <w:autoSpaceDN w:val="0"/>
        <w:spacing w:line="480" w:lineRule="auto"/>
        <w:ind w:firstLine="719"/>
      </w:pPr>
      <w:r w:rsidRPr="001758EF">
        <w:t>OCC meets the criteria set forth in R.C. 4903.221, O.A.C. 4901-1-11, and the precedent established by the Supreme Court of Ohio for intervention. On behalf of Ohio residential consumers, the PUCO should grant OCC</w:t>
      </w:r>
      <w:r w:rsidR="001758EF">
        <w:t>’</w:t>
      </w:r>
      <w:r w:rsidRPr="001758EF">
        <w:t>s Motion to Intervene.</w:t>
      </w:r>
    </w:p>
    <w:p w:rsidR="0099725E" w:rsidRPr="001758EF" w:rsidP="000109B7" w14:paraId="1F7C09A7" w14:textId="7026649F">
      <w:pPr>
        <w:ind w:left="3600" w:firstLine="720"/>
        <w:rPr>
          <w:rFonts w:eastAsia="Courier New"/>
        </w:rPr>
      </w:pPr>
      <w:r w:rsidRPr="001758EF">
        <w:rPr>
          <w:rFonts w:eastAsia="Courier New"/>
        </w:rPr>
        <w:t>Respectfully submitted,</w:t>
      </w:r>
    </w:p>
    <w:p w:rsidR="0099725E" w:rsidRPr="001758EF" w:rsidP="0099725E" w14:paraId="748B141F"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rsidR="0099725E" w:rsidRPr="001758EF" w:rsidP="0099725E" w14:paraId="168FDBE8"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1758EF">
        <w:rPr>
          <w:rFonts w:eastAsia="Courier New"/>
        </w:rPr>
        <w:t>Maureen R. Willis (0020847)</w:t>
      </w:r>
    </w:p>
    <w:p w:rsidR="0099725E" w:rsidRPr="001758EF" w:rsidP="0099725E" w14:paraId="27F40376" w14:textId="0E52042D">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1758EF">
        <w:t>Ohio Consumers</w:t>
      </w:r>
      <w:r w:rsidR="001758EF">
        <w:t>’</w:t>
      </w:r>
      <w:r w:rsidRPr="001758EF">
        <w:t xml:space="preserve"> Counsel</w:t>
      </w:r>
    </w:p>
    <w:p w:rsidR="0099725E" w:rsidRPr="001758EF" w:rsidP="0099725E" w14:paraId="573597D6" w14:textId="77777777">
      <w:pPr>
        <w:tabs>
          <w:tab w:val="left" w:pos="4320"/>
        </w:tabs>
        <w:ind w:left="4320"/>
      </w:pPr>
    </w:p>
    <w:p w:rsidR="0099725E" w:rsidRPr="001758EF" w:rsidP="0099725E" w14:paraId="3E0EE201" w14:textId="77777777">
      <w:pPr>
        <w:tabs>
          <w:tab w:val="left" w:pos="4320"/>
        </w:tabs>
        <w:ind w:left="4320"/>
        <w:rPr>
          <w:i/>
          <w:iCs/>
          <w:u w:val="single"/>
        </w:rPr>
      </w:pPr>
      <w:r w:rsidRPr="001758EF">
        <w:rPr>
          <w:i/>
          <w:iCs/>
          <w:u w:val="single"/>
        </w:rPr>
        <w:t>/s/ John Finnigan</w:t>
      </w:r>
    </w:p>
    <w:p w:rsidR="0099725E" w:rsidRPr="001758EF" w:rsidP="0099725E" w14:paraId="5C012477" w14:textId="77777777">
      <w:pPr>
        <w:tabs>
          <w:tab w:val="left" w:pos="4320"/>
        </w:tabs>
        <w:ind w:left="4320"/>
      </w:pPr>
      <w:r w:rsidRPr="001758EF">
        <w:t>John Finnigan (0018689)</w:t>
      </w:r>
    </w:p>
    <w:p w:rsidR="0099725E" w:rsidRPr="001758EF" w:rsidP="0099725E" w14:paraId="32E0DCD9" w14:textId="77777777">
      <w:pPr>
        <w:tabs>
          <w:tab w:val="left" w:pos="4320"/>
        </w:tabs>
        <w:ind w:left="4320"/>
      </w:pPr>
      <w:r w:rsidRPr="001758EF">
        <w:t>Counsel of Record</w:t>
      </w:r>
    </w:p>
    <w:p w:rsidR="0099725E" w:rsidRPr="001758EF" w:rsidP="0099725E" w14:paraId="77852EB8" w14:textId="77777777">
      <w:pPr>
        <w:tabs>
          <w:tab w:val="left" w:pos="4320"/>
        </w:tabs>
        <w:ind w:left="4320"/>
      </w:pPr>
      <w:r w:rsidRPr="001758EF">
        <w:t>John R. Varanese (0044176)</w:t>
      </w:r>
    </w:p>
    <w:p w:rsidR="0099725E" w:rsidRPr="001758EF" w:rsidP="0099725E" w14:paraId="4B5E4A65" w14:textId="19E8D203">
      <w:pPr>
        <w:tabs>
          <w:tab w:val="left" w:pos="4320"/>
        </w:tabs>
        <w:ind w:left="4320"/>
      </w:pPr>
      <w:r w:rsidRPr="001758EF">
        <w:t>Assistant Consumers</w:t>
      </w:r>
      <w:r w:rsidR="001758EF">
        <w:t>’</w:t>
      </w:r>
      <w:r w:rsidRPr="001758EF">
        <w:t xml:space="preserve"> Counsel</w:t>
      </w:r>
    </w:p>
    <w:p w:rsidR="0099725E" w:rsidRPr="001758EF" w:rsidP="0099725E" w14:paraId="7B58E0C6" w14:textId="77777777">
      <w:pPr>
        <w:tabs>
          <w:tab w:val="left" w:pos="4320"/>
        </w:tabs>
        <w:ind w:left="4320"/>
        <w:rPr>
          <w:highlight w:val="cyan"/>
        </w:rPr>
      </w:pPr>
    </w:p>
    <w:p w:rsidR="0099725E" w:rsidRPr="001758EF" w:rsidP="0099725E" w14:paraId="1BB41533" w14:textId="4A84066F">
      <w:pPr>
        <w:keepNext/>
        <w:ind w:left="4320" w:right="-648"/>
        <w:outlineLvl w:val="0"/>
        <w:rPr>
          <w:b/>
        </w:rPr>
      </w:pPr>
      <w:r w:rsidRPr="001758EF">
        <w:rPr>
          <w:b/>
        </w:rPr>
        <w:t>Office of the Ohio Consumers</w:t>
      </w:r>
      <w:r w:rsidR="001758EF">
        <w:rPr>
          <w:b/>
        </w:rPr>
        <w:t>’</w:t>
      </w:r>
      <w:r w:rsidRPr="001758EF">
        <w:rPr>
          <w:b/>
        </w:rPr>
        <w:t xml:space="preserve"> Counsel</w:t>
      </w:r>
    </w:p>
    <w:p w:rsidR="0099725E" w:rsidRPr="001758EF" w:rsidP="0099725E" w14:paraId="669E165F" w14:textId="77777777">
      <w:pPr>
        <w:keepNext/>
        <w:ind w:left="4320" w:right="-648"/>
        <w:outlineLvl w:val="0"/>
      </w:pPr>
      <w:r w:rsidRPr="001758EF">
        <w:t>65 East State Street, Suite 700</w:t>
      </w:r>
    </w:p>
    <w:p w:rsidR="0099725E" w:rsidRPr="001758EF" w:rsidP="0099725E" w14:paraId="59CD3A57" w14:textId="77777777">
      <w:pPr>
        <w:keepNext/>
        <w:ind w:left="4320" w:right="-648"/>
        <w:outlineLvl w:val="0"/>
      </w:pPr>
      <w:r w:rsidRPr="001758EF">
        <w:t>Columbus, Ohio 43215</w:t>
      </w:r>
    </w:p>
    <w:p w:rsidR="0099725E" w:rsidRPr="001758EF" w:rsidP="0099725E" w14:paraId="3143F0CD" w14:textId="77777777">
      <w:pPr>
        <w:autoSpaceDE w:val="0"/>
        <w:autoSpaceDN w:val="0"/>
        <w:adjustRightInd w:val="0"/>
        <w:ind w:left="3600" w:firstLine="720"/>
      </w:pPr>
      <w:r w:rsidRPr="001758EF">
        <w:t>Telephone [Finnigan]: (614) 466-9585</w:t>
      </w:r>
    </w:p>
    <w:p w:rsidR="0099725E" w:rsidRPr="001758EF" w:rsidP="0099725E" w14:paraId="1679B01B" w14:textId="77777777">
      <w:pPr>
        <w:ind w:left="4320"/>
      </w:pPr>
      <w:r w:rsidRPr="001758EF">
        <w:t>Telephone [Varanese]: (614) 387-2965</w:t>
      </w:r>
    </w:p>
    <w:p w:rsidR="0099725E" w:rsidRPr="001758EF" w:rsidP="0099725E" w14:paraId="5565C829" w14:textId="77777777">
      <w:pPr>
        <w:ind w:left="4320"/>
        <w:rPr>
          <w:rStyle w:val="Hyperlink"/>
        </w:rPr>
      </w:pPr>
      <w:hyperlink r:id="rId6" w:history="1">
        <w:r w:rsidRPr="001758EF">
          <w:rPr>
            <w:rStyle w:val="Hyperlink"/>
          </w:rPr>
          <w:t>john.finnigan@occ.ohio.gov</w:t>
        </w:r>
      </w:hyperlink>
    </w:p>
    <w:p w:rsidR="0099725E" w:rsidRPr="001758EF" w:rsidP="0099725E" w14:paraId="3CBCAA41" w14:textId="77777777">
      <w:pPr>
        <w:ind w:left="4320"/>
      </w:pPr>
      <w:r w:rsidRPr="001758EF">
        <w:rPr>
          <w:rStyle w:val="Hyperlink"/>
        </w:rPr>
        <w:t>john.varanese@occ.ohio.gov</w:t>
      </w:r>
    </w:p>
    <w:p w:rsidR="0099725E" w:rsidRPr="001758EF" w:rsidP="0099725E" w14:paraId="2CDC65E4" w14:textId="77777777">
      <w:pPr>
        <w:ind w:left="4320"/>
      </w:pPr>
      <w:r w:rsidRPr="001758EF">
        <w:t>(willing to accept service by e-mail)</w:t>
      </w:r>
    </w:p>
    <w:p w:rsidR="00983F12" w:rsidRPr="001758EF" w14:paraId="45BFE1A7" w14:textId="34F9FA07">
      <w:pPr>
        <w:rPr>
          <w:b/>
          <w:u w:val="single"/>
        </w:rPr>
      </w:pPr>
      <w:r w:rsidRPr="001758EF">
        <w:br w:type="page"/>
      </w:r>
    </w:p>
    <w:p w:rsidR="00A5637F" w:rsidRPr="001758EF" w:rsidP="00DB6639" w14:paraId="610DF17B" w14:textId="7C6B91A8">
      <w:pPr>
        <w:pStyle w:val="ANSWER"/>
        <w:ind w:left="720"/>
        <w:jc w:val="center"/>
        <w:rPr>
          <w:b/>
          <w:szCs w:val="24"/>
          <w:u w:val="single"/>
        </w:rPr>
      </w:pPr>
      <w:r w:rsidRPr="001758EF">
        <w:rPr>
          <w:b/>
          <w:szCs w:val="24"/>
          <w:u w:val="single"/>
        </w:rPr>
        <w:t>CERTIFICATE OF SERVICE</w:t>
      </w:r>
    </w:p>
    <w:p w:rsidR="00A044B5" w:rsidRPr="001758EF" w:rsidP="00991D10" w14:paraId="0F322DE7" w14:textId="408DC042">
      <w:pPr>
        <w:spacing w:line="480" w:lineRule="auto"/>
      </w:pPr>
      <w:r w:rsidRPr="001758EF">
        <w:tab/>
        <w:t>I hereby certify that a copy of the foregoing Motion to Intervene</w:t>
      </w:r>
      <w:r w:rsidRPr="001758EF" w:rsidR="00114B63">
        <w:t xml:space="preserve"> </w:t>
      </w:r>
      <w:r w:rsidRPr="001758EF">
        <w:t>has been served electronically upon those persons listed below this</w:t>
      </w:r>
      <w:r w:rsidRPr="001758EF" w:rsidR="00D037AC">
        <w:t xml:space="preserve"> </w:t>
      </w:r>
      <w:r w:rsidR="009C04AB">
        <w:t>26</w:t>
      </w:r>
      <w:r w:rsidRPr="009C04AB" w:rsidR="009C04AB">
        <w:rPr>
          <w:vertAlign w:val="superscript"/>
        </w:rPr>
        <w:t>th</w:t>
      </w:r>
      <w:r w:rsidR="009C04AB">
        <w:t xml:space="preserve"> </w:t>
      </w:r>
      <w:r w:rsidRPr="001758EF">
        <w:t xml:space="preserve">day of </w:t>
      </w:r>
      <w:r w:rsidRPr="001758EF" w:rsidR="00AA6DEB">
        <w:t xml:space="preserve">April </w:t>
      </w:r>
      <w:r w:rsidRPr="001758EF">
        <w:t>20</w:t>
      </w:r>
      <w:r w:rsidRPr="001758EF" w:rsidR="00C9764F">
        <w:t>24</w:t>
      </w:r>
      <w:r w:rsidRPr="001758EF">
        <w:t>.</w:t>
      </w:r>
    </w:p>
    <w:p w:rsidR="003A1CA8" w:rsidRPr="001758EF" w:rsidP="003A1CA8" w14:paraId="4E538F75" w14:textId="77777777">
      <w:pPr>
        <w:tabs>
          <w:tab w:val="left" w:pos="4320"/>
        </w:tabs>
        <w:rPr>
          <w:i/>
          <w:iCs/>
          <w:u w:val="single"/>
        </w:rPr>
      </w:pPr>
      <w:r w:rsidRPr="001758EF">
        <w:tab/>
      </w:r>
      <w:r w:rsidRPr="001758EF">
        <w:rPr>
          <w:i/>
          <w:iCs/>
          <w:u w:val="single"/>
        </w:rPr>
        <w:t>/s/ John Finnigan</w:t>
      </w:r>
    </w:p>
    <w:p w:rsidR="003A1CA8" w:rsidRPr="001758EF" w:rsidP="003A1CA8" w14:paraId="76B366E0" w14:textId="77777777">
      <w:pPr>
        <w:tabs>
          <w:tab w:val="left" w:pos="4320"/>
        </w:tabs>
      </w:pPr>
      <w:r w:rsidRPr="001758EF">
        <w:tab/>
        <w:t>John Finnigan</w:t>
      </w:r>
    </w:p>
    <w:p w:rsidR="00CF2964" w:rsidRPr="001758EF" w:rsidP="003A1CA8" w14:paraId="664D6775" w14:textId="4B64469E">
      <w:pPr>
        <w:tabs>
          <w:tab w:val="left" w:pos="4320"/>
        </w:tabs>
      </w:pPr>
      <w:r w:rsidRPr="001758EF">
        <w:tab/>
        <w:t>Assistant Consumers</w:t>
      </w:r>
      <w:r w:rsidR="001758EF">
        <w:t>’</w:t>
      </w:r>
      <w:r w:rsidRPr="001758EF">
        <w:t xml:space="preserve"> Counsel</w:t>
      </w:r>
    </w:p>
    <w:p w:rsidR="002C7D60" w:rsidRPr="001758EF" w:rsidP="00DB6639" w14:paraId="268A0765" w14:textId="4286E9D1">
      <w:pPr>
        <w:tabs>
          <w:tab w:val="left" w:pos="4320"/>
        </w:tabs>
      </w:pPr>
    </w:p>
    <w:p w:rsidR="002C7D60" w:rsidRPr="001758EF" w:rsidP="002C7D60" w14:paraId="184A87AF" w14:textId="559D448A">
      <w:pPr>
        <w:pStyle w:val="CommentText"/>
      </w:pPr>
      <w:r w:rsidRPr="001758EF">
        <w:t>The PUCO</w:t>
      </w:r>
      <w:r w:rsidR="001758EF">
        <w:t>’</w:t>
      </w:r>
      <w:r w:rsidRPr="001758EF">
        <w:t>s e-filing system will electronically serve notice of the filing of this document on the following parties:</w:t>
      </w:r>
    </w:p>
    <w:p w:rsidR="002C7D60" w:rsidRPr="001758EF" w:rsidP="00DB6639" w14:paraId="7E43FDD1" w14:textId="77777777">
      <w:pPr>
        <w:tabs>
          <w:tab w:val="left" w:pos="4320"/>
        </w:tabs>
      </w:pPr>
    </w:p>
    <w:p w:rsidR="002C7D60" w:rsidRPr="001758EF" w:rsidP="002C7D60" w14:paraId="116D3271" w14:textId="77777777">
      <w:pPr>
        <w:pStyle w:val="CommentText"/>
        <w:jc w:val="center"/>
        <w:rPr>
          <w:b/>
          <w:u w:val="single"/>
        </w:rPr>
      </w:pPr>
      <w:r w:rsidRPr="001758EF">
        <w:rPr>
          <w:b/>
          <w:u w:val="single"/>
        </w:rPr>
        <w:t>SERVICE LIST</w:t>
      </w:r>
    </w:p>
    <w:p w:rsidR="00B65BFA" w:rsidRPr="001758EF" w:rsidP="002C7D60" w14:paraId="157FDDB9" w14:textId="77777777">
      <w:pPr>
        <w:pStyle w:val="CommentText"/>
        <w:jc w:val="center"/>
        <w:rPr>
          <w:b/>
          <w:u w:val="single"/>
        </w:rPr>
      </w:pPr>
    </w:p>
    <w:tbl>
      <w:tblPr>
        <w:tblW w:w="8640" w:type="dxa"/>
        <w:tblInd w:w="0" w:type="dxa"/>
        <w:tblCellMar>
          <w:top w:w="0" w:type="dxa"/>
          <w:left w:w="108" w:type="dxa"/>
          <w:bottom w:w="0" w:type="dxa"/>
          <w:right w:w="108" w:type="dxa"/>
        </w:tblCellMar>
        <w:tblLook w:val="04A0"/>
      </w:tblPr>
      <w:tblGrid>
        <w:gridCol w:w="4320"/>
        <w:gridCol w:w="4320"/>
      </w:tblGrid>
      <w:tr w14:paraId="5C56951D" w14:textId="77777777" w:rsidTr="00DB6639">
        <w:tblPrEx>
          <w:tblW w:w="8640" w:type="dxa"/>
          <w:tblInd w:w="0" w:type="dxa"/>
          <w:tblCellMar>
            <w:top w:w="0" w:type="dxa"/>
            <w:left w:w="108" w:type="dxa"/>
            <w:bottom w:w="0" w:type="dxa"/>
            <w:right w:w="108" w:type="dxa"/>
          </w:tblCellMar>
          <w:tblLook w:val="04A0"/>
        </w:tblPrEx>
        <w:tc>
          <w:tcPr>
            <w:tcW w:w="4320" w:type="dxa"/>
            <w:shd w:val="clear" w:color="auto" w:fill="auto"/>
          </w:tcPr>
          <w:p w:rsidR="002C7D60" w:rsidRPr="001758EF" w:rsidP="00DB6639" w14:paraId="3196C9D9" w14:textId="41B4E3D4">
            <w:pPr>
              <w:rPr>
                <w:bCs/>
                <w:sz w:val="24"/>
                <w:szCs w:val="24"/>
                <w:lang w:val="en-US" w:eastAsia="en-US" w:bidi="ar-SA"/>
              </w:rPr>
            </w:pPr>
            <w:hyperlink r:id="rId13" w:history="1">
              <w:r w:rsidRPr="001758EF" w:rsidR="001F3809">
                <w:rPr>
                  <w:rStyle w:val="Hyperlink"/>
                  <w:bCs/>
                  <w:color w:val="0000FF"/>
                  <w:sz w:val="24"/>
                  <w:szCs w:val="24"/>
                  <w:u w:val="single"/>
                  <w:lang w:val="en-US" w:eastAsia="en-US" w:bidi="ar-SA"/>
                </w:rPr>
                <w:t>john.jones@ohioago.gov</w:t>
              </w:r>
            </w:hyperlink>
          </w:p>
          <w:p w:rsidR="001F3809" w:rsidRPr="001758EF" w:rsidP="00DB6639" w14:paraId="703AD24C" w14:textId="77777777">
            <w:pPr>
              <w:rPr>
                <w:bCs/>
                <w:sz w:val="24"/>
                <w:szCs w:val="24"/>
                <w:lang w:val="en-US" w:eastAsia="en-US" w:bidi="ar-SA"/>
              </w:rPr>
            </w:pPr>
          </w:p>
          <w:p w:rsidR="002E69CC" w:rsidRPr="001758EF" w:rsidP="00DB6639" w14:paraId="1A335E8D" w14:textId="77777777">
            <w:pPr>
              <w:rPr>
                <w:bCs/>
                <w:sz w:val="24"/>
                <w:szCs w:val="24"/>
                <w:lang w:val="en-US" w:eastAsia="en-US" w:bidi="ar-SA"/>
              </w:rPr>
            </w:pPr>
            <w:r w:rsidRPr="001758EF">
              <w:rPr>
                <w:bCs/>
                <w:sz w:val="24"/>
                <w:szCs w:val="24"/>
                <w:lang w:val="en-US" w:eastAsia="en-US" w:bidi="ar-SA"/>
              </w:rPr>
              <w:t>Attorney Examiner:</w:t>
            </w:r>
          </w:p>
          <w:p w:rsidR="002E69CC" w:rsidRPr="001758EF" w:rsidP="00DB6639" w14:paraId="3BA77BDD" w14:textId="32D298A2">
            <w:pPr>
              <w:rPr>
                <w:bCs/>
                <w:sz w:val="24"/>
                <w:szCs w:val="24"/>
                <w:lang w:val="en-US" w:eastAsia="en-US" w:bidi="ar-SA"/>
              </w:rPr>
            </w:pPr>
            <w:hyperlink r:id="rId14" w:history="1">
              <w:r w:rsidRPr="001758EF">
                <w:rPr>
                  <w:rStyle w:val="Hyperlink"/>
                  <w:bCs/>
                  <w:color w:val="0000FF"/>
                  <w:sz w:val="24"/>
                  <w:szCs w:val="24"/>
                  <w:u w:val="single"/>
                  <w:lang w:val="en-US" w:eastAsia="en-US" w:bidi="ar-SA"/>
                </w:rPr>
                <w:t>jason.tonn@puco.ohio.gov</w:t>
              </w:r>
            </w:hyperlink>
          </w:p>
          <w:p w:rsidR="002E69CC" w:rsidRPr="001758EF" w:rsidP="00DB6639" w14:paraId="73F93B56" w14:textId="3DB5C417">
            <w:pPr>
              <w:rPr>
                <w:bCs/>
                <w:sz w:val="24"/>
                <w:szCs w:val="24"/>
                <w:lang w:val="en-US" w:eastAsia="en-US" w:bidi="ar-SA"/>
              </w:rPr>
            </w:pPr>
          </w:p>
        </w:tc>
        <w:tc>
          <w:tcPr>
            <w:tcW w:w="4320" w:type="dxa"/>
            <w:shd w:val="clear" w:color="auto" w:fill="auto"/>
          </w:tcPr>
          <w:p w:rsidR="002C7D60" w:rsidRPr="001758EF" w:rsidP="00EE3761" w14:paraId="32BB0CAB" w14:textId="4B676385">
            <w:pPr>
              <w:ind w:left="521"/>
              <w:rPr>
                <w:bCs/>
                <w:sz w:val="24"/>
                <w:szCs w:val="24"/>
                <w:lang w:val="en-US" w:eastAsia="en-US" w:bidi="ar-SA"/>
              </w:rPr>
            </w:pPr>
            <w:hyperlink r:id="rId15" w:history="1">
              <w:r w:rsidRPr="001758EF" w:rsidR="00EE3761">
                <w:rPr>
                  <w:rStyle w:val="Hyperlink"/>
                  <w:bCs/>
                  <w:color w:val="0000FF"/>
                  <w:sz w:val="24"/>
                  <w:szCs w:val="24"/>
                  <w:u w:val="single"/>
                  <w:lang w:val="en-US" w:eastAsia="en-US" w:bidi="ar-SA"/>
                </w:rPr>
                <w:t>dproano@bakerlaw.com</w:t>
              </w:r>
            </w:hyperlink>
          </w:p>
          <w:p w:rsidR="00B069B9" w:rsidRPr="001758EF" w:rsidP="00EE3761" w14:paraId="6EF1F51F" w14:textId="2C277C55">
            <w:pPr>
              <w:ind w:left="521"/>
              <w:rPr>
                <w:bCs/>
                <w:sz w:val="24"/>
                <w:szCs w:val="24"/>
                <w:lang w:val="en-US" w:eastAsia="en-US" w:bidi="ar-SA"/>
              </w:rPr>
            </w:pPr>
            <w:hyperlink r:id="rId16" w:history="1">
              <w:r w:rsidRPr="001758EF">
                <w:rPr>
                  <w:rStyle w:val="Hyperlink"/>
                  <w:bCs/>
                  <w:color w:val="0000FF"/>
                  <w:sz w:val="24"/>
                  <w:szCs w:val="24"/>
                  <w:u w:val="single"/>
                  <w:lang w:val="en-US" w:eastAsia="en-US" w:bidi="ar-SA"/>
                </w:rPr>
                <w:t>bknipe@firstenergycorp.com</w:t>
              </w:r>
            </w:hyperlink>
          </w:p>
          <w:p w:rsidR="00B069B9" w:rsidRPr="001758EF" w:rsidP="00EE3761" w14:paraId="49A7DD47" w14:textId="0CFB43ED">
            <w:pPr>
              <w:ind w:left="521"/>
              <w:rPr>
                <w:bCs/>
                <w:sz w:val="24"/>
                <w:szCs w:val="24"/>
                <w:lang w:val="en-US" w:eastAsia="en-US" w:bidi="ar-SA"/>
              </w:rPr>
            </w:pPr>
            <w:hyperlink r:id="rId17" w:history="1">
              <w:r w:rsidRPr="001758EF">
                <w:rPr>
                  <w:rStyle w:val="Hyperlink"/>
                  <w:bCs/>
                  <w:color w:val="0000FF"/>
                  <w:sz w:val="24"/>
                  <w:szCs w:val="24"/>
                  <w:u w:val="single"/>
                  <w:lang w:val="en-US" w:eastAsia="en-US" w:bidi="ar-SA"/>
                </w:rPr>
                <w:t>cwatchorn@firstenergycorp.com</w:t>
              </w:r>
            </w:hyperlink>
          </w:p>
          <w:p w:rsidR="00B069B9" w:rsidRPr="001758EF" w:rsidP="00EE3761" w14:paraId="2C498196" w14:textId="77777777">
            <w:pPr>
              <w:ind w:left="521"/>
              <w:rPr>
                <w:bCs/>
                <w:sz w:val="24"/>
                <w:szCs w:val="24"/>
                <w:lang w:val="en-US" w:eastAsia="en-US" w:bidi="ar-SA"/>
              </w:rPr>
            </w:pPr>
          </w:p>
          <w:p w:rsidR="00EE3761" w:rsidRPr="001758EF" w:rsidP="00DB6639" w14:paraId="3B663D9D" w14:textId="79DFE96F">
            <w:pPr>
              <w:rPr>
                <w:bCs/>
                <w:sz w:val="24"/>
                <w:szCs w:val="24"/>
                <w:lang w:val="en-US" w:eastAsia="en-US" w:bidi="ar-SA"/>
              </w:rPr>
            </w:pPr>
          </w:p>
        </w:tc>
      </w:tr>
    </w:tbl>
    <w:p w:rsidR="00A5637F" w:rsidRPr="001758EF" w:rsidP="00DB6639" w14:paraId="00A354A7" w14:textId="77777777">
      <w:pPr>
        <w:tabs>
          <w:tab w:val="left" w:pos="4320"/>
        </w:tabs>
      </w:pPr>
    </w:p>
    <w:sectPr w:rsidSect="00912877">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095" w14:paraId="148AAE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7190339"/>
      <w:docPartObj>
        <w:docPartGallery w:val="Page Numbers (Bottom of Page)"/>
        <w:docPartUnique/>
      </w:docPartObj>
    </w:sdtPr>
    <w:sdtEndPr>
      <w:rPr>
        <w:noProof/>
      </w:rPr>
    </w:sdtEndPr>
    <w:sdtContent>
      <w:p w:rsidR="008936C2" w:rsidRPr="000F0A9C" w:rsidP="000F0A9C" w14:paraId="515FFC7A" w14:textId="18917D07">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87F" w:rsidP="00DB6639" w14:paraId="18E08110" w14:textId="3BB02CFC">
    <w:pPr>
      <w:pStyle w:val="Footer"/>
      <w:spacing w:line="24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7DDC93F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9023565"/>
      <w:docPartObj>
        <w:docPartGallery w:val="Page Numbers (Bottom of Page)"/>
        <w:docPartUnique/>
      </w:docPartObj>
    </w:sdtPr>
    <w:sdtEndPr>
      <w:rPr>
        <w:noProof/>
      </w:rPr>
    </w:sdtEndPr>
    <w:sdtContent>
      <w:p w:rsidR="00983F12" w:rsidP="0021581F" w14:paraId="6D62D1F4" w14:textId="19E2624A">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0248183"/>
      <w:docPartObj>
        <w:docPartGallery w:val="Page Numbers (Bottom of Page)"/>
        <w:docPartUnique/>
      </w:docPartObj>
    </w:sdtPr>
    <w:sdtEndPr>
      <w:rPr>
        <w:noProof/>
      </w:rPr>
    </w:sdtEndPr>
    <w:sdtContent>
      <w:p w:rsidR="00983F12" w:rsidP="0021581F" w14:paraId="12F85826" w14:textId="10663417">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632C7" w14:paraId="2C9BA7EB" w14:textId="77777777">
      <w:r>
        <w:separator/>
      </w:r>
    </w:p>
  </w:footnote>
  <w:footnote w:type="continuationSeparator" w:id="1">
    <w:p w:rsidR="00B632C7" w14:paraId="23DAC019" w14:textId="77777777">
      <w:r>
        <w:continuationSeparator/>
      </w:r>
    </w:p>
  </w:footnote>
  <w:footnote w:type="continuationNotice" w:id="2">
    <w:p w:rsidR="00B632C7" w14:paraId="4AAA658A" w14:textId="77777777"/>
  </w:footnote>
  <w:footnote w:id="3">
    <w:p w:rsidR="002C0078" w:rsidRPr="00AD7C92" w:rsidP="00461212" w14:paraId="282B7536" w14:textId="55ED4C43">
      <w:pPr>
        <w:pStyle w:val="FootnoteText"/>
        <w:spacing w:before="0" w:after="120"/>
      </w:pPr>
      <w:r w:rsidRPr="00AD7C92">
        <w:rPr>
          <w:rStyle w:val="FootnoteReference"/>
        </w:rPr>
        <w:footnoteRef/>
      </w:r>
      <w:r w:rsidRPr="00AD7C92">
        <w:t xml:space="preserve"> </w:t>
      </w:r>
      <w:r w:rsidRPr="00AD7C92">
        <w:rPr>
          <w:i/>
          <w:iCs/>
        </w:rPr>
        <w:t>See</w:t>
      </w:r>
      <w:r w:rsidRPr="00AD7C92">
        <w:t xml:space="preserve"> R.C. Chapter 4911, R.C. 4903.221 and O.A.C. 4901-1-11.</w:t>
      </w:r>
    </w:p>
  </w:footnote>
  <w:footnote w:id="4">
    <w:p w:rsidR="002C0078" w:rsidRPr="00AD7C92" w:rsidP="00461212" w14:paraId="176C2EEC" w14:textId="286E7CEB">
      <w:pPr>
        <w:pStyle w:val="FootnoteText"/>
        <w:spacing w:before="0" w:after="120"/>
      </w:pPr>
      <w:r w:rsidRPr="00AD7C92">
        <w:rPr>
          <w:rStyle w:val="FootnoteReference"/>
        </w:rPr>
        <w:footnoteRef/>
      </w:r>
      <w:r w:rsidRPr="00AD7C92">
        <w:t xml:space="preserve"> </w:t>
      </w:r>
      <w:r w:rsidRPr="00AD7C92">
        <w:rPr>
          <w:i/>
          <w:iCs/>
        </w:rPr>
        <w:t>See</w:t>
      </w:r>
      <w:r w:rsidRPr="00AD7C92">
        <w:t xml:space="preserve"> R.C. 4905.31 and O.A.C. 4901-38-05</w:t>
      </w:r>
      <w:r w:rsidR="000E75D1">
        <w:t>.</w:t>
      </w:r>
    </w:p>
  </w:footnote>
  <w:footnote w:id="5">
    <w:p w:rsidR="002C0078" w:rsidRPr="00AD7C92" w:rsidP="00461212" w14:paraId="0EF3FDFF" w14:textId="7599B00A">
      <w:pPr>
        <w:pStyle w:val="FootnoteText"/>
        <w:spacing w:before="0" w:after="120"/>
      </w:pPr>
      <w:r w:rsidRPr="00AD7C92">
        <w:rPr>
          <w:rStyle w:val="FootnoteReference"/>
        </w:rPr>
        <w:footnoteRef/>
      </w:r>
      <w:r w:rsidRPr="00AD7C92">
        <w:t xml:space="preserve"> </w:t>
      </w:r>
      <w:r w:rsidR="001758EF">
        <w:t>“</w:t>
      </w:r>
      <w:r w:rsidRPr="00AD7C92">
        <w:t>FirstEnergy</w:t>
      </w:r>
      <w:r w:rsidR="001758EF">
        <w:t>”</w:t>
      </w:r>
      <w:r w:rsidRPr="00AD7C92">
        <w:t xml:space="preserve"> collectively refers to Ohio Edison Company, The Cleveland Electric Illuminating Company and The Toledo Edison Company.</w:t>
      </w:r>
    </w:p>
  </w:footnote>
  <w:footnote w:id="6">
    <w:p w:rsidR="002C0078" w:rsidRPr="00AD7C92" w:rsidP="00461212" w14:paraId="3ECA9517" w14:textId="17633882">
      <w:pPr>
        <w:pStyle w:val="FootnoteText"/>
        <w:spacing w:before="0" w:after="120"/>
      </w:pPr>
      <w:r w:rsidRPr="00AD7C92">
        <w:rPr>
          <w:rStyle w:val="FootnoteReference"/>
        </w:rPr>
        <w:footnoteRef/>
      </w:r>
      <w:r w:rsidRPr="00AD7C92">
        <w:t xml:space="preserve"> </w:t>
      </w:r>
      <w:r w:rsidRPr="00AC1641">
        <w:rPr>
          <w:i/>
          <w:iCs/>
        </w:rPr>
        <w:t>See</w:t>
      </w:r>
      <w:r w:rsidRPr="00AD7C92">
        <w:t xml:space="preserve"> </w:t>
      </w:r>
      <w:r w:rsidRPr="00AD7C92">
        <w:rPr>
          <w:i/>
          <w:iCs/>
        </w:rPr>
        <w:t>In the Matter of the Review of the Non-Market-Based Services Rider Pilot Program Established by Ohio Edison Company, The Cleveland Electric Illuminating Company and The Toledo Edison Company</w:t>
      </w:r>
      <w:r w:rsidRPr="00AD7C92">
        <w:t>, Case No. 22-391-EL-RDR, Exeter Associates, Inc., Review of the Non-Market Based Services Riders Established by Ohio Edison Company, The Cleveland Electric Illuminating Company, and The Toledo Edison Company (July 17, 2023) (</w:t>
      </w:r>
      <w:r w:rsidR="001758EF">
        <w:t>“</w:t>
      </w:r>
      <w:r w:rsidRPr="00AD7C92">
        <w:t>Audit Report</w:t>
      </w:r>
      <w:r w:rsidR="001758EF">
        <w:t>”</w:t>
      </w:r>
      <w:r w:rsidRPr="00AD7C92">
        <w:t>) at 20.</w:t>
      </w:r>
    </w:p>
  </w:footnote>
  <w:footnote w:id="7">
    <w:p w:rsidR="002C0078" w:rsidRPr="00AD7C92" w:rsidP="00461212" w14:paraId="1A88F0AA" w14:textId="283E3267">
      <w:pPr>
        <w:pStyle w:val="FootnoteText"/>
        <w:spacing w:before="0" w:after="120"/>
      </w:pPr>
      <w:r w:rsidRPr="00AD7C92">
        <w:rPr>
          <w:rStyle w:val="FootnoteReference"/>
        </w:rPr>
        <w:footnoteRef/>
      </w:r>
      <w:r w:rsidRPr="00AD7C92">
        <w:t xml:space="preserve"> </w:t>
      </w:r>
      <w:r w:rsidRPr="00AD7C92">
        <w:rPr>
          <w:i/>
          <w:iCs/>
        </w:rPr>
        <w:t>See supra</w:t>
      </w:r>
      <w:r w:rsidRPr="00AD7C92">
        <w:t xml:space="preserve"> note 4.</w:t>
      </w:r>
    </w:p>
  </w:footnote>
  <w:footnote w:id="8">
    <w:p w:rsidR="002C0078" w:rsidRPr="00AD7C92" w:rsidP="00461212" w14:paraId="2867DFF8" w14:textId="02432D09">
      <w:pPr>
        <w:pStyle w:val="FootnoteText"/>
        <w:spacing w:before="0" w:after="120"/>
      </w:pPr>
      <w:r w:rsidRPr="00AD7C92">
        <w:rPr>
          <w:rStyle w:val="FootnoteReference"/>
        </w:rPr>
        <w:footnoteRef/>
      </w:r>
      <w:r w:rsidRPr="00AD7C92">
        <w:t xml:space="preserve"> </w:t>
      </w:r>
      <w:r w:rsidRPr="00AD7C92">
        <w:rPr>
          <w:i/>
        </w:rPr>
        <w:t>See In the Matter of the Application of Ohio Edison Company, The Cleveland Electric Illuminating Company and The Toledo Edison Company for Authority to Provide for a Standard Service Offer Pursuant to R.C. 4928.143 in the Form of an Electric Security Plan</w:t>
      </w:r>
      <w:r w:rsidRPr="00AD7C92">
        <w:t>, Case No. 23-301-EL-SSO, Lawless Testimony at 7 (April 5, 2023).</w:t>
      </w:r>
    </w:p>
  </w:footnote>
  <w:footnote w:id="9">
    <w:p w:rsidR="002C0078" w:rsidRPr="00AD7C92" w:rsidP="00461212" w14:paraId="727767FC" w14:textId="508BBE72">
      <w:pPr>
        <w:pStyle w:val="FootnoteText"/>
        <w:spacing w:before="0" w:after="120"/>
      </w:pPr>
      <w:r w:rsidRPr="00AD7C92">
        <w:rPr>
          <w:rStyle w:val="FootnoteReference"/>
        </w:rPr>
        <w:footnoteRef/>
      </w:r>
      <w:r w:rsidRPr="00AD7C92">
        <w:t xml:space="preserve"> </w:t>
      </w:r>
      <w:r w:rsidRPr="00AD7C92" w:rsidR="00B5689C">
        <w:rPr>
          <w:i/>
        </w:rPr>
        <w:t xml:space="preserve">Id. </w:t>
      </w:r>
      <w:r w:rsidRPr="00AD7C92" w:rsidR="00B5689C">
        <w:t>at 8.</w:t>
      </w:r>
    </w:p>
  </w:footnote>
  <w:footnote w:id="10">
    <w:p w:rsidR="00B5689C" w:rsidRPr="00AD7C92" w:rsidP="00461212" w14:paraId="1CD346BD" w14:textId="4E01383D">
      <w:pPr>
        <w:pStyle w:val="FootnoteText"/>
        <w:spacing w:before="0" w:after="120"/>
      </w:pPr>
      <w:r w:rsidRPr="00AD7C92">
        <w:rPr>
          <w:rStyle w:val="FootnoteReference"/>
        </w:rPr>
        <w:footnoteRef/>
      </w:r>
      <w:r w:rsidRPr="00AD7C92">
        <w:t xml:space="preserve"> </w:t>
      </w:r>
      <w:r w:rsidRPr="00AD7C92">
        <w:rPr>
          <w:i/>
        </w:rPr>
        <w:t>Id</w:t>
      </w:r>
      <w:r w:rsidRPr="00AD7C92">
        <w:t>. at 9.</w:t>
      </w:r>
    </w:p>
  </w:footnote>
  <w:footnote w:id="11">
    <w:p w:rsidR="00B5689C" w:rsidRPr="00AD7C92" w:rsidP="00461212" w14:paraId="7AB338C3" w14:textId="33102346">
      <w:pPr>
        <w:spacing w:after="120"/>
        <w:rPr>
          <w:i/>
          <w:sz w:val="20"/>
          <w:szCs w:val="20"/>
        </w:rPr>
      </w:pPr>
      <w:r w:rsidRPr="00AD7C92">
        <w:rPr>
          <w:rStyle w:val="FootnoteReference"/>
          <w:sz w:val="20"/>
          <w:szCs w:val="20"/>
        </w:rPr>
        <w:footnoteRef/>
      </w:r>
      <w:r w:rsidRPr="00AD7C92">
        <w:rPr>
          <w:sz w:val="20"/>
          <w:szCs w:val="20"/>
        </w:rPr>
        <w:t xml:space="preserve"> </w:t>
      </w:r>
      <w:r w:rsidRPr="00AD7C92">
        <w:rPr>
          <w:i/>
          <w:sz w:val="20"/>
          <w:szCs w:val="20"/>
        </w:rPr>
        <w:t xml:space="preserve">See supra </w:t>
      </w:r>
      <w:r w:rsidRPr="00AD7C92">
        <w:rPr>
          <w:sz w:val="20"/>
          <w:szCs w:val="20"/>
        </w:rPr>
        <w:t>note 4</w:t>
      </w:r>
      <w:r w:rsidRPr="00AD7C92">
        <w:rPr>
          <w:i/>
          <w:sz w:val="20"/>
          <w:szCs w:val="20"/>
        </w:rPr>
        <w:t>.</w:t>
      </w:r>
    </w:p>
  </w:footnote>
  <w:footnote w:id="12">
    <w:p w:rsidR="009F02B9" w:rsidP="00461212" w14:paraId="62E3CD7E" w14:textId="14875383">
      <w:pPr>
        <w:pStyle w:val="FootnoteText"/>
        <w:spacing w:before="0" w:after="120"/>
      </w:pPr>
      <w:r>
        <w:rPr>
          <w:rStyle w:val="FootnoteReference"/>
        </w:rPr>
        <w:footnoteRef/>
      </w:r>
      <w:r>
        <w:t xml:space="preserve"> </w:t>
      </w:r>
      <w:r w:rsidRPr="00217A01">
        <w:rPr>
          <w:i/>
          <w:iCs/>
        </w:rPr>
        <w:t>In re Application of [FirstEnergy] for Authority to Provide for a Standard Service Offer Pursuant to R.C. 4928.143 in the Form of an Elec. Sec. Plan</w:t>
      </w:r>
      <w:r>
        <w:t>, Case No. 14-1297-EL-SSO, Opinion &amp; Order at 94 (March 31, 2016).</w:t>
      </w:r>
    </w:p>
  </w:footnote>
  <w:footnote w:id="13">
    <w:p w:rsidR="009F02B9" w:rsidP="00461212" w14:paraId="2A2DEB47" w14:textId="3F9FE867">
      <w:pPr>
        <w:pStyle w:val="FootnoteText"/>
        <w:spacing w:before="0" w:after="120"/>
      </w:pPr>
      <w:r>
        <w:rPr>
          <w:rStyle w:val="FootnoteReference"/>
        </w:rPr>
        <w:footnoteRef/>
      </w:r>
      <w:r>
        <w:t xml:space="preserve"> Application at 1.</w:t>
      </w:r>
    </w:p>
  </w:footnote>
  <w:footnote w:id="14">
    <w:p w:rsidR="00ED2A29" w:rsidP="00461212" w14:paraId="100CC155" w14:textId="540D6DFA">
      <w:pPr>
        <w:pStyle w:val="FootnoteText"/>
        <w:spacing w:before="0" w:after="120"/>
      </w:pPr>
      <w:r>
        <w:rPr>
          <w:rStyle w:val="FootnoteReference"/>
        </w:rPr>
        <w:footnoteRef/>
      </w:r>
      <w:r>
        <w:t xml:space="preserve"> </w:t>
      </w:r>
      <w:r w:rsidRPr="00217A01">
        <w:rPr>
          <w:i/>
          <w:iCs/>
        </w:rPr>
        <w:t>In the Matter of the Application for Establishment of a Reasonable Arrangement for Glorious Sky LLC</w:t>
      </w:r>
      <w:r>
        <w:t>, Case No. 24-143-EL-AEC, Staff Review and Recommendation (April 17, 2024).</w:t>
      </w:r>
    </w:p>
  </w:footnote>
  <w:footnote w:id="15">
    <w:p w:rsidR="00CD59BA" w:rsidRPr="00AD7C92" w:rsidP="00461212" w14:paraId="28E958F1" w14:textId="724816F0">
      <w:pPr>
        <w:pStyle w:val="FootnoteText"/>
        <w:spacing w:before="0" w:after="120"/>
      </w:pPr>
      <w:r w:rsidRPr="00AD7C92">
        <w:rPr>
          <w:rStyle w:val="FootnoteReference"/>
        </w:rPr>
        <w:footnoteRef/>
      </w:r>
      <w:r w:rsidRPr="00AD7C92">
        <w:t xml:space="preserve"> </w:t>
      </w:r>
      <w:bookmarkStart w:id="0" w:name="_Hlk164849694"/>
      <w:r w:rsidRPr="00AD7C92">
        <w:rPr>
          <w:i/>
        </w:rPr>
        <w:t xml:space="preserve">See </w:t>
      </w:r>
      <w:r w:rsidRPr="00AD7C92">
        <w:t>O.A.C. 4901-38-05(F).</w:t>
      </w:r>
      <w:bookmarkEnd w:id="0"/>
    </w:p>
  </w:footnote>
  <w:footnote w:id="16">
    <w:p w:rsidR="00CD59BA" w:rsidRPr="00AD7C92" w:rsidP="00461212" w14:paraId="0E56A75D" w14:textId="78577B0F">
      <w:pPr>
        <w:pStyle w:val="FootnoteText"/>
        <w:spacing w:before="0" w:after="120"/>
      </w:pPr>
      <w:r w:rsidRPr="00AD7C92">
        <w:rPr>
          <w:rStyle w:val="FootnoteReference"/>
        </w:rPr>
        <w:footnoteRef/>
      </w:r>
      <w:r w:rsidRPr="00AD7C92">
        <w:t xml:space="preserve"> </w:t>
      </w:r>
      <w:r w:rsidRPr="00AD7C92">
        <w:rPr>
          <w:i/>
        </w:rPr>
        <w:t>See, e.g., In the Matter of the Joint Application of Amazon Data Services, Inc. and Ohio Power Company</w:t>
      </w:r>
      <w:r w:rsidRPr="00AD7C92">
        <w:t>, Case No. 23-858-EL-AEC.</w:t>
      </w:r>
    </w:p>
  </w:footnote>
  <w:footnote w:id="17">
    <w:p w:rsidR="00CD59BA" w:rsidRPr="00AD7C92" w:rsidP="00461212" w14:paraId="157057EA" w14:textId="0240784D">
      <w:pPr>
        <w:pStyle w:val="FootnoteText"/>
        <w:spacing w:before="0" w:after="120"/>
      </w:pPr>
      <w:r w:rsidRPr="00AD7C92">
        <w:rPr>
          <w:rStyle w:val="FootnoteReference"/>
        </w:rPr>
        <w:footnoteRef/>
      </w:r>
      <w:r w:rsidRPr="00AD7C92">
        <w:t xml:space="preserve"> </w:t>
      </w:r>
      <w:r w:rsidRPr="00AD7C92">
        <w:rPr>
          <w:i/>
        </w:rPr>
        <w:t>See Ohio Consumers</w:t>
      </w:r>
      <w:r w:rsidR="001758EF">
        <w:rPr>
          <w:i/>
        </w:rPr>
        <w:t>’</w:t>
      </w:r>
      <w:r w:rsidRPr="00AD7C92">
        <w:rPr>
          <w:i/>
        </w:rPr>
        <w:t xml:space="preserve"> Counsel v. Pub. Util. Comm</w:t>
      </w:r>
      <w:r w:rsidRPr="00AD7C92">
        <w:t>., 111 Ohio St.3d 384, 2006-Ohio-5853, ¶¶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095" w14:paraId="7763BC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095" w14:paraId="53B71F0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06F7" w:rsidP="00BE06F7" w14:paraId="56387751" w14:textId="7777777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12BEB48A" w14:textId="3DF9FB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3832EFE4" w14:textId="24ED17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37F" w14:paraId="6504398C" w14:textId="702A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853B8"/>
    <w:multiLevelType w:val="hybridMultilevel"/>
    <w:tmpl w:val="CE24F0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5265E"/>
    <w:multiLevelType w:val="hybridMultilevel"/>
    <w:tmpl w:val="F9D04498"/>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2178CF"/>
    <w:multiLevelType w:val="hybridMultilevel"/>
    <w:tmpl w:val="FF04E4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5B4443"/>
    <w:multiLevelType w:val="hybridMultilevel"/>
    <w:tmpl w:val="EBA2656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22F00834"/>
    <w:multiLevelType w:val="hybridMultilevel"/>
    <w:tmpl w:val="48CC0796"/>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47C5BE3"/>
    <w:multiLevelType w:val="hybridMultilevel"/>
    <w:tmpl w:val="C3D2DAD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2BDD7EEB"/>
    <w:multiLevelType w:val="hybridMultilevel"/>
    <w:tmpl w:val="8E5490F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C8055A1"/>
    <w:multiLevelType w:val="hybridMultilevel"/>
    <w:tmpl w:val="FB72E85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37B72D01"/>
    <w:multiLevelType w:val="hybridMultilevel"/>
    <w:tmpl w:val="69DA3EF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88F51B5"/>
    <w:multiLevelType w:val="hybridMultilevel"/>
    <w:tmpl w:val="9892C3C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B32278"/>
    <w:multiLevelType w:val="hybridMultilevel"/>
    <w:tmpl w:val="53CE7B0C"/>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B8616F9"/>
    <w:multiLevelType w:val="hybridMultilevel"/>
    <w:tmpl w:val="C598D7F6"/>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EEA2B4A"/>
    <w:multiLevelType w:val="hybridMultilevel"/>
    <w:tmpl w:val="0868E8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61636F23"/>
    <w:multiLevelType w:val="hybridMultilevel"/>
    <w:tmpl w:val="C2F0022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5077CD2"/>
    <w:multiLevelType w:val="hybridMultilevel"/>
    <w:tmpl w:val="1DFA6CC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66547110"/>
    <w:multiLevelType w:val="hybridMultilevel"/>
    <w:tmpl w:val="872E893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7035615A"/>
    <w:multiLevelType w:val="hybridMultilevel"/>
    <w:tmpl w:val="2B84AE2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Microsoft Sans Serif"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Microsoft Sans Serif"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Microsoft Sans Serif"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23">
    <w:nsid w:val="73217D0A"/>
    <w:multiLevelType w:val="hybridMultilevel"/>
    <w:tmpl w:val="84E81DB6"/>
    <w:lvl w:ilvl="0">
      <w:start w:val="1"/>
      <w:numFmt w:val="decimal"/>
      <w:lvlText w:val="(%1)"/>
      <w:lvlJc w:val="left"/>
      <w:pPr>
        <w:ind w:left="158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start w:val="0"/>
      <w:numFmt w:val="bullet"/>
      <w:lvlText w:val="•"/>
      <w:lvlJc w:val="left"/>
      <w:pPr>
        <w:ind w:left="2314" w:hanging="720"/>
      </w:pPr>
      <w:rPr>
        <w:rFonts w:hint="default"/>
        <w:lang w:val="en-US" w:eastAsia="en-US" w:bidi="ar-SA"/>
      </w:rPr>
    </w:lvl>
    <w:lvl w:ilvl="2">
      <w:start w:val="0"/>
      <w:numFmt w:val="bullet"/>
      <w:lvlText w:val="•"/>
      <w:lvlJc w:val="left"/>
      <w:pPr>
        <w:ind w:left="3048" w:hanging="720"/>
      </w:pPr>
      <w:rPr>
        <w:rFonts w:hint="default"/>
        <w:lang w:val="en-US" w:eastAsia="en-US" w:bidi="ar-SA"/>
      </w:rPr>
    </w:lvl>
    <w:lvl w:ilvl="3">
      <w:start w:val="0"/>
      <w:numFmt w:val="bullet"/>
      <w:lvlText w:val="•"/>
      <w:lvlJc w:val="left"/>
      <w:pPr>
        <w:ind w:left="3782" w:hanging="720"/>
      </w:pPr>
      <w:rPr>
        <w:rFonts w:hint="default"/>
        <w:lang w:val="en-US" w:eastAsia="en-US" w:bidi="ar-SA"/>
      </w:rPr>
    </w:lvl>
    <w:lvl w:ilvl="4">
      <w:start w:val="0"/>
      <w:numFmt w:val="bullet"/>
      <w:lvlText w:val="•"/>
      <w:lvlJc w:val="left"/>
      <w:pPr>
        <w:ind w:left="451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718" w:hanging="720"/>
      </w:pPr>
      <w:rPr>
        <w:rFonts w:hint="default"/>
        <w:lang w:val="en-US" w:eastAsia="en-US" w:bidi="ar-SA"/>
      </w:rPr>
    </w:lvl>
    <w:lvl w:ilvl="8">
      <w:start w:val="0"/>
      <w:numFmt w:val="bullet"/>
      <w:lvlText w:val="•"/>
      <w:lvlJc w:val="left"/>
      <w:pPr>
        <w:ind w:left="7452" w:hanging="720"/>
      </w:pPr>
      <w:rPr>
        <w:rFonts w:hint="default"/>
        <w:lang w:val="en-US" w:eastAsia="en-US" w:bidi="ar-SA"/>
      </w:rPr>
    </w:lvl>
  </w:abstractNum>
  <w:abstractNum w:abstractNumId="24">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5">
    <w:nsid w:val="7A1307C2"/>
    <w:multiLevelType w:val="hybridMultilevel"/>
    <w:tmpl w:val="C0D2AD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7D394F2C"/>
    <w:multiLevelType w:val="hybridMultilevel"/>
    <w:tmpl w:val="7B82BC94"/>
    <w:lvl w:ilvl="0">
      <w:start w:val="3"/>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6"/>
  </w:num>
  <w:num w:numId="4">
    <w:abstractNumId w:val="2"/>
  </w:num>
  <w:num w:numId="5">
    <w:abstractNumId w:val="13"/>
  </w:num>
  <w:num w:numId="6">
    <w:abstractNumId w:val="12"/>
  </w:num>
  <w:num w:numId="7">
    <w:abstractNumId w:val="3"/>
  </w:num>
  <w:num w:numId="8">
    <w:abstractNumId w:val="7"/>
  </w:num>
  <w:num w:numId="9">
    <w:abstractNumId w:val="5"/>
  </w:num>
  <w:num w:numId="10">
    <w:abstractNumId w:val="21"/>
  </w:num>
  <w:num w:numId="11">
    <w:abstractNumId w:val="0"/>
  </w:num>
  <w:num w:numId="12">
    <w:abstractNumId w:val="18"/>
  </w:num>
  <w:num w:numId="13">
    <w:abstractNumId w:val="26"/>
  </w:num>
  <w:num w:numId="14">
    <w:abstractNumId w:val="10"/>
  </w:num>
  <w:num w:numId="15">
    <w:abstractNumId w:val="22"/>
  </w:num>
  <w:num w:numId="16">
    <w:abstractNumId w:val="25"/>
  </w:num>
  <w:num w:numId="17">
    <w:abstractNumId w:val="8"/>
  </w:num>
  <w:num w:numId="18">
    <w:abstractNumId w:val="11"/>
  </w:num>
  <w:num w:numId="19">
    <w:abstractNumId w:val="19"/>
  </w:num>
  <w:num w:numId="20">
    <w:abstractNumId w:val="4"/>
  </w:num>
  <w:num w:numId="21">
    <w:abstractNumId w:val="16"/>
  </w:num>
  <w:num w:numId="22">
    <w:abstractNumId w:val="15"/>
  </w:num>
  <w:num w:numId="23">
    <w:abstractNumId w:val="20"/>
  </w:num>
  <w:num w:numId="24">
    <w:abstractNumId w:val="17"/>
  </w:num>
  <w:num w:numId="25">
    <w:abstractNumId w:val="1"/>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doNotEmbedSmartTag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E"/>
    <w:rsid w:val="0000380B"/>
    <w:rsid w:val="000109B7"/>
    <w:rsid w:val="000277A9"/>
    <w:rsid w:val="000330D3"/>
    <w:rsid w:val="000457B7"/>
    <w:rsid w:val="0005101E"/>
    <w:rsid w:val="000511D6"/>
    <w:rsid w:val="000519DA"/>
    <w:rsid w:val="00054998"/>
    <w:rsid w:val="00067A34"/>
    <w:rsid w:val="00082870"/>
    <w:rsid w:val="00087A0A"/>
    <w:rsid w:val="00090C9A"/>
    <w:rsid w:val="00094959"/>
    <w:rsid w:val="00094DF0"/>
    <w:rsid w:val="000A1059"/>
    <w:rsid w:val="000A35C6"/>
    <w:rsid w:val="000C20F7"/>
    <w:rsid w:val="000C4282"/>
    <w:rsid w:val="000D15A6"/>
    <w:rsid w:val="000D587F"/>
    <w:rsid w:val="000E0D5C"/>
    <w:rsid w:val="000E1935"/>
    <w:rsid w:val="000E75D1"/>
    <w:rsid w:val="000F0A9C"/>
    <w:rsid w:val="000F24F1"/>
    <w:rsid w:val="00102C1D"/>
    <w:rsid w:val="0010453F"/>
    <w:rsid w:val="001075A8"/>
    <w:rsid w:val="001107BE"/>
    <w:rsid w:val="0011134C"/>
    <w:rsid w:val="00112E29"/>
    <w:rsid w:val="00114B63"/>
    <w:rsid w:val="00116361"/>
    <w:rsid w:val="001176DB"/>
    <w:rsid w:val="0012231D"/>
    <w:rsid w:val="00133319"/>
    <w:rsid w:val="00136CD8"/>
    <w:rsid w:val="00136E3A"/>
    <w:rsid w:val="00142EBC"/>
    <w:rsid w:val="00144B23"/>
    <w:rsid w:val="00151D3D"/>
    <w:rsid w:val="00164334"/>
    <w:rsid w:val="00164481"/>
    <w:rsid w:val="00165484"/>
    <w:rsid w:val="001758EF"/>
    <w:rsid w:val="00180197"/>
    <w:rsid w:val="001850AE"/>
    <w:rsid w:val="0019554F"/>
    <w:rsid w:val="001B4F98"/>
    <w:rsid w:val="001C0912"/>
    <w:rsid w:val="001D0897"/>
    <w:rsid w:val="001D6BA8"/>
    <w:rsid w:val="001F3809"/>
    <w:rsid w:val="001F46B8"/>
    <w:rsid w:val="001F5C86"/>
    <w:rsid w:val="002116CE"/>
    <w:rsid w:val="00214924"/>
    <w:rsid w:val="0021581F"/>
    <w:rsid w:val="00217A01"/>
    <w:rsid w:val="00221AF9"/>
    <w:rsid w:val="00222591"/>
    <w:rsid w:val="0023096E"/>
    <w:rsid w:val="00230A7D"/>
    <w:rsid w:val="00236255"/>
    <w:rsid w:val="00240F08"/>
    <w:rsid w:val="002423F2"/>
    <w:rsid w:val="0024284C"/>
    <w:rsid w:val="00251300"/>
    <w:rsid w:val="00254476"/>
    <w:rsid w:val="0025567E"/>
    <w:rsid w:val="00255A79"/>
    <w:rsid w:val="00262492"/>
    <w:rsid w:val="00270856"/>
    <w:rsid w:val="0027171F"/>
    <w:rsid w:val="00273CEA"/>
    <w:rsid w:val="0027466D"/>
    <w:rsid w:val="00282DD0"/>
    <w:rsid w:val="0028384C"/>
    <w:rsid w:val="00292131"/>
    <w:rsid w:val="00292B26"/>
    <w:rsid w:val="002A4912"/>
    <w:rsid w:val="002A605A"/>
    <w:rsid w:val="002B2F02"/>
    <w:rsid w:val="002C0078"/>
    <w:rsid w:val="002C20F3"/>
    <w:rsid w:val="002C48DC"/>
    <w:rsid w:val="002C7D60"/>
    <w:rsid w:val="002D1902"/>
    <w:rsid w:val="002D29C3"/>
    <w:rsid w:val="002D3482"/>
    <w:rsid w:val="002E21B0"/>
    <w:rsid w:val="002E61B7"/>
    <w:rsid w:val="002E69CC"/>
    <w:rsid w:val="002F205E"/>
    <w:rsid w:val="003026A8"/>
    <w:rsid w:val="00302790"/>
    <w:rsid w:val="00311285"/>
    <w:rsid w:val="0031242C"/>
    <w:rsid w:val="00315C60"/>
    <w:rsid w:val="00320F5D"/>
    <w:rsid w:val="003258C2"/>
    <w:rsid w:val="003418A8"/>
    <w:rsid w:val="00343FD2"/>
    <w:rsid w:val="00351422"/>
    <w:rsid w:val="003558EF"/>
    <w:rsid w:val="00371F5D"/>
    <w:rsid w:val="00372776"/>
    <w:rsid w:val="00373ECA"/>
    <w:rsid w:val="0037614B"/>
    <w:rsid w:val="003801D3"/>
    <w:rsid w:val="0038311C"/>
    <w:rsid w:val="0038477A"/>
    <w:rsid w:val="003864B5"/>
    <w:rsid w:val="00387C2C"/>
    <w:rsid w:val="00387F4F"/>
    <w:rsid w:val="00392196"/>
    <w:rsid w:val="003943B4"/>
    <w:rsid w:val="00397C34"/>
    <w:rsid w:val="003A1CA8"/>
    <w:rsid w:val="003A2BCE"/>
    <w:rsid w:val="003B2653"/>
    <w:rsid w:val="003B3BA0"/>
    <w:rsid w:val="003B5A65"/>
    <w:rsid w:val="003B7CA8"/>
    <w:rsid w:val="003C1DCE"/>
    <w:rsid w:val="003C240A"/>
    <w:rsid w:val="003D1A04"/>
    <w:rsid w:val="003D23A5"/>
    <w:rsid w:val="003D4F9A"/>
    <w:rsid w:val="003D7A0C"/>
    <w:rsid w:val="003E41D6"/>
    <w:rsid w:val="003E6509"/>
    <w:rsid w:val="003E6D05"/>
    <w:rsid w:val="003E7261"/>
    <w:rsid w:val="003F0FBF"/>
    <w:rsid w:val="003F1FFD"/>
    <w:rsid w:val="003F52E7"/>
    <w:rsid w:val="003F6E1A"/>
    <w:rsid w:val="004015F8"/>
    <w:rsid w:val="00415A83"/>
    <w:rsid w:val="00422B1D"/>
    <w:rsid w:val="004256EA"/>
    <w:rsid w:val="00425E6D"/>
    <w:rsid w:val="004306B9"/>
    <w:rsid w:val="004328E6"/>
    <w:rsid w:val="00435E44"/>
    <w:rsid w:val="00437A5C"/>
    <w:rsid w:val="004417B3"/>
    <w:rsid w:val="004569A0"/>
    <w:rsid w:val="00461212"/>
    <w:rsid w:val="004624F3"/>
    <w:rsid w:val="00465278"/>
    <w:rsid w:val="0047251D"/>
    <w:rsid w:val="00476981"/>
    <w:rsid w:val="0048571F"/>
    <w:rsid w:val="00486440"/>
    <w:rsid w:val="00492D19"/>
    <w:rsid w:val="00493B5B"/>
    <w:rsid w:val="00496E1F"/>
    <w:rsid w:val="00497B9F"/>
    <w:rsid w:val="004A08AA"/>
    <w:rsid w:val="004A330E"/>
    <w:rsid w:val="004A3C94"/>
    <w:rsid w:val="004A7AF2"/>
    <w:rsid w:val="004B6CBA"/>
    <w:rsid w:val="004B7158"/>
    <w:rsid w:val="004B7544"/>
    <w:rsid w:val="004C3F8D"/>
    <w:rsid w:val="004C5420"/>
    <w:rsid w:val="004C5A66"/>
    <w:rsid w:val="004D14D4"/>
    <w:rsid w:val="004D2020"/>
    <w:rsid w:val="004D2087"/>
    <w:rsid w:val="004D2153"/>
    <w:rsid w:val="004E40A2"/>
    <w:rsid w:val="004E78F9"/>
    <w:rsid w:val="004F20DA"/>
    <w:rsid w:val="004F2E70"/>
    <w:rsid w:val="00502946"/>
    <w:rsid w:val="00502B03"/>
    <w:rsid w:val="00503587"/>
    <w:rsid w:val="00504C2E"/>
    <w:rsid w:val="005075C1"/>
    <w:rsid w:val="00512B71"/>
    <w:rsid w:val="0051520D"/>
    <w:rsid w:val="005234CD"/>
    <w:rsid w:val="0052460C"/>
    <w:rsid w:val="0052487A"/>
    <w:rsid w:val="00526491"/>
    <w:rsid w:val="00526A48"/>
    <w:rsid w:val="005270F0"/>
    <w:rsid w:val="00527999"/>
    <w:rsid w:val="00534756"/>
    <w:rsid w:val="00546956"/>
    <w:rsid w:val="0055107B"/>
    <w:rsid w:val="0055143F"/>
    <w:rsid w:val="00555315"/>
    <w:rsid w:val="00557F89"/>
    <w:rsid w:val="00561894"/>
    <w:rsid w:val="00576439"/>
    <w:rsid w:val="00576D8D"/>
    <w:rsid w:val="00580E1B"/>
    <w:rsid w:val="00582B71"/>
    <w:rsid w:val="00584424"/>
    <w:rsid w:val="0059543B"/>
    <w:rsid w:val="005959CA"/>
    <w:rsid w:val="005A6744"/>
    <w:rsid w:val="005A6D15"/>
    <w:rsid w:val="005B209C"/>
    <w:rsid w:val="005B4B0A"/>
    <w:rsid w:val="005C312E"/>
    <w:rsid w:val="005C33FF"/>
    <w:rsid w:val="005D08D2"/>
    <w:rsid w:val="005E6DAD"/>
    <w:rsid w:val="005E73C3"/>
    <w:rsid w:val="005F11CA"/>
    <w:rsid w:val="005F1D3B"/>
    <w:rsid w:val="005F23BA"/>
    <w:rsid w:val="005F7781"/>
    <w:rsid w:val="00600468"/>
    <w:rsid w:val="00600BB6"/>
    <w:rsid w:val="00601A67"/>
    <w:rsid w:val="0060321D"/>
    <w:rsid w:val="00604F8E"/>
    <w:rsid w:val="0062108F"/>
    <w:rsid w:val="00624184"/>
    <w:rsid w:val="0063027F"/>
    <w:rsid w:val="00631CC7"/>
    <w:rsid w:val="00633A6B"/>
    <w:rsid w:val="00637ED7"/>
    <w:rsid w:val="00641070"/>
    <w:rsid w:val="00641BAF"/>
    <w:rsid w:val="0064211D"/>
    <w:rsid w:val="0064262C"/>
    <w:rsid w:val="00643E9E"/>
    <w:rsid w:val="00644835"/>
    <w:rsid w:val="00650CFA"/>
    <w:rsid w:val="0065217E"/>
    <w:rsid w:val="0066433D"/>
    <w:rsid w:val="00665EE2"/>
    <w:rsid w:val="00667426"/>
    <w:rsid w:val="00673F15"/>
    <w:rsid w:val="006755BB"/>
    <w:rsid w:val="00692036"/>
    <w:rsid w:val="0069241E"/>
    <w:rsid w:val="006A1F80"/>
    <w:rsid w:val="006B3D4D"/>
    <w:rsid w:val="006C522E"/>
    <w:rsid w:val="006C5841"/>
    <w:rsid w:val="006C5A50"/>
    <w:rsid w:val="006D2F15"/>
    <w:rsid w:val="006E1293"/>
    <w:rsid w:val="006E3A5C"/>
    <w:rsid w:val="006E3B64"/>
    <w:rsid w:val="006E5A36"/>
    <w:rsid w:val="006E6967"/>
    <w:rsid w:val="006E7561"/>
    <w:rsid w:val="006F6268"/>
    <w:rsid w:val="006F6C88"/>
    <w:rsid w:val="00700140"/>
    <w:rsid w:val="00705DD2"/>
    <w:rsid w:val="00711444"/>
    <w:rsid w:val="00714F95"/>
    <w:rsid w:val="00716095"/>
    <w:rsid w:val="0072005F"/>
    <w:rsid w:val="0072721B"/>
    <w:rsid w:val="00727AF3"/>
    <w:rsid w:val="00730C0C"/>
    <w:rsid w:val="0075325F"/>
    <w:rsid w:val="00760606"/>
    <w:rsid w:val="00760DE9"/>
    <w:rsid w:val="00764DB5"/>
    <w:rsid w:val="0076652C"/>
    <w:rsid w:val="00774415"/>
    <w:rsid w:val="00783CE2"/>
    <w:rsid w:val="00784859"/>
    <w:rsid w:val="00784D8A"/>
    <w:rsid w:val="0078718F"/>
    <w:rsid w:val="007A408C"/>
    <w:rsid w:val="007A75D1"/>
    <w:rsid w:val="007B6430"/>
    <w:rsid w:val="007B7A8D"/>
    <w:rsid w:val="007C5DF4"/>
    <w:rsid w:val="007D076D"/>
    <w:rsid w:val="007E000E"/>
    <w:rsid w:val="007E0B3F"/>
    <w:rsid w:val="007F18AC"/>
    <w:rsid w:val="00806351"/>
    <w:rsid w:val="00806B12"/>
    <w:rsid w:val="00823EB2"/>
    <w:rsid w:val="00827211"/>
    <w:rsid w:val="00830862"/>
    <w:rsid w:val="008318BD"/>
    <w:rsid w:val="0083578A"/>
    <w:rsid w:val="00837736"/>
    <w:rsid w:val="00837FCB"/>
    <w:rsid w:val="0084090F"/>
    <w:rsid w:val="0084217B"/>
    <w:rsid w:val="00842FE9"/>
    <w:rsid w:val="00843D9A"/>
    <w:rsid w:val="00844294"/>
    <w:rsid w:val="00845A5D"/>
    <w:rsid w:val="008471F8"/>
    <w:rsid w:val="00852654"/>
    <w:rsid w:val="00857EE9"/>
    <w:rsid w:val="00865E16"/>
    <w:rsid w:val="008663A9"/>
    <w:rsid w:val="00882FE8"/>
    <w:rsid w:val="00883415"/>
    <w:rsid w:val="00891076"/>
    <w:rsid w:val="00891DF4"/>
    <w:rsid w:val="008936C2"/>
    <w:rsid w:val="008A1894"/>
    <w:rsid w:val="008A7BF2"/>
    <w:rsid w:val="008B0351"/>
    <w:rsid w:val="008B0AFF"/>
    <w:rsid w:val="008B1879"/>
    <w:rsid w:val="008B1FAA"/>
    <w:rsid w:val="008B571A"/>
    <w:rsid w:val="008B5EEF"/>
    <w:rsid w:val="008C0B71"/>
    <w:rsid w:val="008C3DAE"/>
    <w:rsid w:val="008D33C8"/>
    <w:rsid w:val="008D3A4F"/>
    <w:rsid w:val="008E02E5"/>
    <w:rsid w:val="008E5CF6"/>
    <w:rsid w:val="008F2320"/>
    <w:rsid w:val="008F2C24"/>
    <w:rsid w:val="008F4272"/>
    <w:rsid w:val="0090645F"/>
    <w:rsid w:val="009119FC"/>
    <w:rsid w:val="00912877"/>
    <w:rsid w:val="00920EF7"/>
    <w:rsid w:val="00925488"/>
    <w:rsid w:val="00931325"/>
    <w:rsid w:val="00933D87"/>
    <w:rsid w:val="00934A3F"/>
    <w:rsid w:val="00936A26"/>
    <w:rsid w:val="00943524"/>
    <w:rsid w:val="00943AF2"/>
    <w:rsid w:val="009512E6"/>
    <w:rsid w:val="00953E6A"/>
    <w:rsid w:val="00954D51"/>
    <w:rsid w:val="00956600"/>
    <w:rsid w:val="00961D96"/>
    <w:rsid w:val="00971D8D"/>
    <w:rsid w:val="0097629E"/>
    <w:rsid w:val="00982990"/>
    <w:rsid w:val="00983F12"/>
    <w:rsid w:val="00987B7F"/>
    <w:rsid w:val="0099127C"/>
    <w:rsid w:val="00991D10"/>
    <w:rsid w:val="00992355"/>
    <w:rsid w:val="00992E47"/>
    <w:rsid w:val="0099725E"/>
    <w:rsid w:val="009974EE"/>
    <w:rsid w:val="009A775D"/>
    <w:rsid w:val="009B246C"/>
    <w:rsid w:val="009B6D8B"/>
    <w:rsid w:val="009B79D5"/>
    <w:rsid w:val="009C04AB"/>
    <w:rsid w:val="009C3DA4"/>
    <w:rsid w:val="009C40B1"/>
    <w:rsid w:val="009D31FF"/>
    <w:rsid w:val="009D468C"/>
    <w:rsid w:val="009E655B"/>
    <w:rsid w:val="009E706C"/>
    <w:rsid w:val="009F02B9"/>
    <w:rsid w:val="009F067A"/>
    <w:rsid w:val="009F144B"/>
    <w:rsid w:val="009F553E"/>
    <w:rsid w:val="00A044B5"/>
    <w:rsid w:val="00A0729B"/>
    <w:rsid w:val="00A12ADC"/>
    <w:rsid w:val="00A13D5B"/>
    <w:rsid w:val="00A14281"/>
    <w:rsid w:val="00A367E7"/>
    <w:rsid w:val="00A410DE"/>
    <w:rsid w:val="00A46DBC"/>
    <w:rsid w:val="00A47CD2"/>
    <w:rsid w:val="00A501F7"/>
    <w:rsid w:val="00A51347"/>
    <w:rsid w:val="00A5231A"/>
    <w:rsid w:val="00A5514C"/>
    <w:rsid w:val="00A555B5"/>
    <w:rsid w:val="00A5637F"/>
    <w:rsid w:val="00A57F6A"/>
    <w:rsid w:val="00A62965"/>
    <w:rsid w:val="00A63690"/>
    <w:rsid w:val="00A72885"/>
    <w:rsid w:val="00A858A6"/>
    <w:rsid w:val="00A92D24"/>
    <w:rsid w:val="00A95652"/>
    <w:rsid w:val="00AA6DEB"/>
    <w:rsid w:val="00AA7682"/>
    <w:rsid w:val="00AB2452"/>
    <w:rsid w:val="00AB5851"/>
    <w:rsid w:val="00AB6706"/>
    <w:rsid w:val="00AB76EC"/>
    <w:rsid w:val="00AC05F4"/>
    <w:rsid w:val="00AC0C27"/>
    <w:rsid w:val="00AC102B"/>
    <w:rsid w:val="00AC1641"/>
    <w:rsid w:val="00AC29E2"/>
    <w:rsid w:val="00AD135E"/>
    <w:rsid w:val="00AD39C8"/>
    <w:rsid w:val="00AD7C92"/>
    <w:rsid w:val="00AE0747"/>
    <w:rsid w:val="00AE2BF5"/>
    <w:rsid w:val="00AE437E"/>
    <w:rsid w:val="00B00F18"/>
    <w:rsid w:val="00B02598"/>
    <w:rsid w:val="00B069B9"/>
    <w:rsid w:val="00B1108C"/>
    <w:rsid w:val="00B14974"/>
    <w:rsid w:val="00B178E3"/>
    <w:rsid w:val="00B23736"/>
    <w:rsid w:val="00B402B4"/>
    <w:rsid w:val="00B41BAE"/>
    <w:rsid w:val="00B446B3"/>
    <w:rsid w:val="00B45701"/>
    <w:rsid w:val="00B5044A"/>
    <w:rsid w:val="00B54E4C"/>
    <w:rsid w:val="00B560F2"/>
    <w:rsid w:val="00B5689C"/>
    <w:rsid w:val="00B56EF6"/>
    <w:rsid w:val="00B632C7"/>
    <w:rsid w:val="00B64BA9"/>
    <w:rsid w:val="00B65BFA"/>
    <w:rsid w:val="00B7198D"/>
    <w:rsid w:val="00B7380A"/>
    <w:rsid w:val="00B742C1"/>
    <w:rsid w:val="00B75F55"/>
    <w:rsid w:val="00B773D6"/>
    <w:rsid w:val="00B77B93"/>
    <w:rsid w:val="00B9127F"/>
    <w:rsid w:val="00B96A88"/>
    <w:rsid w:val="00BA335C"/>
    <w:rsid w:val="00BA4B71"/>
    <w:rsid w:val="00BA5213"/>
    <w:rsid w:val="00BB0C01"/>
    <w:rsid w:val="00BB208D"/>
    <w:rsid w:val="00BB4C86"/>
    <w:rsid w:val="00BB77DD"/>
    <w:rsid w:val="00BC08B2"/>
    <w:rsid w:val="00BC0B1E"/>
    <w:rsid w:val="00BC7A39"/>
    <w:rsid w:val="00BC7AB9"/>
    <w:rsid w:val="00BD41FA"/>
    <w:rsid w:val="00BD6C32"/>
    <w:rsid w:val="00BE06F7"/>
    <w:rsid w:val="00BE209C"/>
    <w:rsid w:val="00BF0449"/>
    <w:rsid w:val="00BF71DF"/>
    <w:rsid w:val="00BF7E54"/>
    <w:rsid w:val="00C14D59"/>
    <w:rsid w:val="00C16711"/>
    <w:rsid w:val="00C233E1"/>
    <w:rsid w:val="00C3282B"/>
    <w:rsid w:val="00C371CD"/>
    <w:rsid w:val="00C377D2"/>
    <w:rsid w:val="00C37973"/>
    <w:rsid w:val="00C4142F"/>
    <w:rsid w:val="00C417A5"/>
    <w:rsid w:val="00C46115"/>
    <w:rsid w:val="00C4744B"/>
    <w:rsid w:val="00C52461"/>
    <w:rsid w:val="00C55795"/>
    <w:rsid w:val="00C6286A"/>
    <w:rsid w:val="00C7183B"/>
    <w:rsid w:val="00C80F09"/>
    <w:rsid w:val="00C85D4D"/>
    <w:rsid w:val="00C864EE"/>
    <w:rsid w:val="00C90305"/>
    <w:rsid w:val="00C910AC"/>
    <w:rsid w:val="00C939FE"/>
    <w:rsid w:val="00C9764F"/>
    <w:rsid w:val="00CA16E1"/>
    <w:rsid w:val="00CA3F81"/>
    <w:rsid w:val="00CA5B1F"/>
    <w:rsid w:val="00CB48FC"/>
    <w:rsid w:val="00CB5C31"/>
    <w:rsid w:val="00CB7047"/>
    <w:rsid w:val="00CC728D"/>
    <w:rsid w:val="00CD17D7"/>
    <w:rsid w:val="00CD40A1"/>
    <w:rsid w:val="00CD59BA"/>
    <w:rsid w:val="00CE04EA"/>
    <w:rsid w:val="00CE0EBD"/>
    <w:rsid w:val="00CE2C72"/>
    <w:rsid w:val="00CE3699"/>
    <w:rsid w:val="00CE38C7"/>
    <w:rsid w:val="00CF081A"/>
    <w:rsid w:val="00CF2632"/>
    <w:rsid w:val="00CF2964"/>
    <w:rsid w:val="00CF4480"/>
    <w:rsid w:val="00D0088A"/>
    <w:rsid w:val="00D0222B"/>
    <w:rsid w:val="00D037AC"/>
    <w:rsid w:val="00D1405D"/>
    <w:rsid w:val="00D14189"/>
    <w:rsid w:val="00D14B97"/>
    <w:rsid w:val="00D21CF0"/>
    <w:rsid w:val="00D23A6B"/>
    <w:rsid w:val="00D264A9"/>
    <w:rsid w:val="00D412F3"/>
    <w:rsid w:val="00D417AA"/>
    <w:rsid w:val="00D42952"/>
    <w:rsid w:val="00D55177"/>
    <w:rsid w:val="00D57504"/>
    <w:rsid w:val="00D71790"/>
    <w:rsid w:val="00D71D52"/>
    <w:rsid w:val="00D73160"/>
    <w:rsid w:val="00D74838"/>
    <w:rsid w:val="00D74BAB"/>
    <w:rsid w:val="00D761A4"/>
    <w:rsid w:val="00D867B4"/>
    <w:rsid w:val="00D93D5B"/>
    <w:rsid w:val="00DA489A"/>
    <w:rsid w:val="00DA6AE4"/>
    <w:rsid w:val="00DB1191"/>
    <w:rsid w:val="00DB6639"/>
    <w:rsid w:val="00DC517F"/>
    <w:rsid w:val="00DD090F"/>
    <w:rsid w:val="00DD14C3"/>
    <w:rsid w:val="00DD72A3"/>
    <w:rsid w:val="00DE2B27"/>
    <w:rsid w:val="00DE3BDA"/>
    <w:rsid w:val="00DE5365"/>
    <w:rsid w:val="00DF2D72"/>
    <w:rsid w:val="00E03228"/>
    <w:rsid w:val="00E149D7"/>
    <w:rsid w:val="00E204C2"/>
    <w:rsid w:val="00E2102F"/>
    <w:rsid w:val="00E236BD"/>
    <w:rsid w:val="00E30AA2"/>
    <w:rsid w:val="00E33698"/>
    <w:rsid w:val="00E336D8"/>
    <w:rsid w:val="00E372F2"/>
    <w:rsid w:val="00E444D2"/>
    <w:rsid w:val="00E4538D"/>
    <w:rsid w:val="00E47615"/>
    <w:rsid w:val="00E50AD8"/>
    <w:rsid w:val="00E511B4"/>
    <w:rsid w:val="00E571C5"/>
    <w:rsid w:val="00E668F3"/>
    <w:rsid w:val="00E71EB8"/>
    <w:rsid w:val="00E75D2C"/>
    <w:rsid w:val="00E80601"/>
    <w:rsid w:val="00E80AB7"/>
    <w:rsid w:val="00E81587"/>
    <w:rsid w:val="00E91E1E"/>
    <w:rsid w:val="00E93A2E"/>
    <w:rsid w:val="00E94038"/>
    <w:rsid w:val="00EA22EF"/>
    <w:rsid w:val="00EA4B9E"/>
    <w:rsid w:val="00EA7F2D"/>
    <w:rsid w:val="00EB057F"/>
    <w:rsid w:val="00EB4DEC"/>
    <w:rsid w:val="00EC368A"/>
    <w:rsid w:val="00EC4963"/>
    <w:rsid w:val="00ED2A29"/>
    <w:rsid w:val="00ED4464"/>
    <w:rsid w:val="00ED4A50"/>
    <w:rsid w:val="00ED606A"/>
    <w:rsid w:val="00EE0768"/>
    <w:rsid w:val="00EE2309"/>
    <w:rsid w:val="00EE33A1"/>
    <w:rsid w:val="00EE3761"/>
    <w:rsid w:val="00EE4AB8"/>
    <w:rsid w:val="00EF0215"/>
    <w:rsid w:val="00EF35E6"/>
    <w:rsid w:val="00EF3AD6"/>
    <w:rsid w:val="00F017A2"/>
    <w:rsid w:val="00F02C6C"/>
    <w:rsid w:val="00F036E7"/>
    <w:rsid w:val="00F0404C"/>
    <w:rsid w:val="00F0417E"/>
    <w:rsid w:val="00F04FC3"/>
    <w:rsid w:val="00F1341B"/>
    <w:rsid w:val="00F1450F"/>
    <w:rsid w:val="00F16812"/>
    <w:rsid w:val="00F21D4C"/>
    <w:rsid w:val="00F24D02"/>
    <w:rsid w:val="00F348AA"/>
    <w:rsid w:val="00F46148"/>
    <w:rsid w:val="00F523BB"/>
    <w:rsid w:val="00F56D26"/>
    <w:rsid w:val="00F57904"/>
    <w:rsid w:val="00F60100"/>
    <w:rsid w:val="00F620D7"/>
    <w:rsid w:val="00F661B9"/>
    <w:rsid w:val="00F83B55"/>
    <w:rsid w:val="00F83F48"/>
    <w:rsid w:val="00F8420C"/>
    <w:rsid w:val="00F92877"/>
    <w:rsid w:val="00F9433C"/>
    <w:rsid w:val="00F95917"/>
    <w:rsid w:val="00F96DFA"/>
    <w:rsid w:val="00FA0B06"/>
    <w:rsid w:val="00FA5B9C"/>
    <w:rsid w:val="00FB58DA"/>
    <w:rsid w:val="00FB5C69"/>
    <w:rsid w:val="00FC1A7D"/>
    <w:rsid w:val="00FD00D6"/>
    <w:rsid w:val="00FD12B3"/>
    <w:rsid w:val="00FE05A8"/>
    <w:rsid w:val="00FF2ACA"/>
    <w:rsid w:val="00FF70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08A84B82"/>
  <w15:chartTrackingRefBased/>
  <w15:docId w15:val="{11E462BC-5A0C-4221-9E28-DFE89943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0F"/>
    <w:rPr>
      <w:sz w:val="24"/>
      <w:szCs w:val="24"/>
    </w:rPr>
  </w:style>
  <w:style w:type="paragraph" w:styleId="Heading1">
    <w:name w:val="heading 1"/>
    <w:basedOn w:val="Normal"/>
    <w:next w:val="Normal"/>
    <w:qFormat/>
    <w:rsid w:val="000F0A9C"/>
    <w:pPr>
      <w:keepNext/>
      <w:spacing w:after="240"/>
      <w:outlineLvl w:val="0"/>
    </w:pPr>
    <w:rPr>
      <w:b/>
      <w:bCs/>
    </w:rPr>
  </w:style>
  <w:style w:type="paragraph" w:styleId="Heading2">
    <w:name w:val="heading 2"/>
    <w:basedOn w:val="Normal"/>
    <w:next w:val="Normal"/>
    <w:qFormat/>
    <w:rsid w:val="000F0A9C"/>
    <w:pPr>
      <w:keepNext/>
      <w:tabs>
        <w:tab w:val="left" w:pos="0"/>
        <w:tab w:val="left" w:pos="720"/>
      </w:tabs>
      <w:spacing w:after="240"/>
      <w:ind w:left="1440" w:hanging="720"/>
      <w:outlineLvl w:val="1"/>
    </w:pPr>
    <w:rPr>
      <w:b/>
      <w:bCs/>
    </w:rPr>
  </w:style>
  <w:style w:type="paragraph" w:styleId="Heading3">
    <w:name w:val="heading 3"/>
    <w:basedOn w:val="Normal"/>
    <w:next w:val="Normal"/>
    <w:qFormat/>
    <w:rsid w:val="000F0A9C"/>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rsid w:val="000F0A9C"/>
    <w:pPr>
      <w:tabs>
        <w:tab w:val="left" w:pos="0"/>
        <w:tab w:val="left" w:pos="720"/>
        <w:tab w:val="center" w:pos="4320"/>
        <w:tab w:val="right" w:pos="8640"/>
      </w:tabs>
      <w:spacing w:line="480" w:lineRule="auto"/>
    </w:pPr>
  </w:style>
  <w:style w:type="paragraph" w:styleId="BodyText">
    <w:name w:val="Body Text"/>
    <w:basedOn w:val="Normal"/>
    <w:rsid w:val="000F0A9C"/>
    <w:pPr>
      <w:tabs>
        <w:tab w:val="left" w:pos="0"/>
        <w:tab w:val="left" w:pos="720"/>
      </w:tabs>
      <w:spacing w:line="480" w:lineRule="auto"/>
      <w:ind w:firstLine="720"/>
    </w:pPr>
    <w:rPr>
      <w:szCs w:val="20"/>
    </w:rPr>
  </w:style>
  <w:style w:type="paragraph" w:styleId="FootnoteText">
    <w:name w:val="footnote text"/>
    <w:basedOn w:val="Normal"/>
    <w:link w:val="FootnoteTextChar"/>
    <w:semiHidden/>
    <w:rsid w:val="000F0A9C"/>
    <w:pPr>
      <w:spacing w:before="120"/>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0F0A9C"/>
    <w:pPr>
      <w:spacing w:line="480" w:lineRule="auto"/>
      <w:ind w:firstLine="720"/>
    </w:pPr>
    <w:rPr>
      <w:szCs w:val="20"/>
    </w:rPr>
  </w:style>
  <w:style w:type="paragraph" w:styleId="BodyTextIndent3">
    <w:name w:val="Body Text Indent 3"/>
    <w:basedOn w:val="Normal"/>
    <w:link w:val="BodyTextIndent3Char"/>
    <w:rsid w:val="000F0A9C"/>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rsid w:val="000F0A9C"/>
  </w:style>
  <w:style w:type="paragraph" w:styleId="CommentSubject">
    <w:name w:val="annotation subject"/>
    <w:basedOn w:val="CommentText"/>
    <w:next w:val="CommentText"/>
    <w:semiHidden/>
    <w:rsid w:val="000F0A9C"/>
  </w:style>
  <w:style w:type="paragraph" w:styleId="BodyTextIndent2">
    <w:name w:val="Body Text Indent 2"/>
    <w:basedOn w:val="Normal"/>
    <w:rsid w:val="000F0A9C"/>
    <w:pPr>
      <w:spacing w:after="240"/>
      <w:ind w:left="2160" w:hanging="720"/>
    </w:pPr>
    <w:rPr>
      <w:b/>
      <w:bCs/>
    </w:rPr>
  </w:style>
  <w:style w:type="character" w:styleId="Hyperlink">
    <w:name w:val="Hyperlink"/>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rsid w:val="000F0A9C"/>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locked/>
    <w:rPr>
      <w:sz w:val="24"/>
      <w:szCs w:val="24"/>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locked/>
    <w:rPr>
      <w:rFonts w:ascii="Courier New" w:eastAsia="Courier New" w:hAnsi="Courier New" w:cs="Courier New"/>
      <w:lang w:val="en-US" w:eastAsia="en-US" w:bidi="ar-SA"/>
    </w:rPr>
  </w:style>
  <w:style w:type="character" w:customStyle="1" w:styleId="CharChar0">
    <w:name w:val="Char Char"/>
    <w:semiHidden/>
    <w:locked/>
    <w:rPr>
      <w:rFonts w:ascii="Courier New" w:eastAsia="Courier New" w:hAnsi="Courier New" w:cs="Courier New"/>
      <w:lang w:val="en-US" w:eastAsia="en-US" w:bidi="ar-SA"/>
    </w:rPr>
  </w:style>
  <w:style w:type="character" w:customStyle="1" w:styleId="ssleftalign">
    <w:name w:val="ss_leftalign"/>
    <w:rsid w:val="00424902"/>
  </w:style>
  <w:style w:type="character" w:customStyle="1" w:styleId="sssh">
    <w:name w:val="ss_sh"/>
    <w:rsid w:val="00424902"/>
  </w:style>
  <w:style w:type="character" w:customStyle="1" w:styleId="ssit">
    <w:name w:val="ss_it"/>
    <w:rsid w:val="00424902"/>
  </w:style>
  <w:style w:type="character" w:customStyle="1" w:styleId="CommentTextChar">
    <w:name w:val="Comment Text Char"/>
    <w:link w:val="CommentText"/>
    <w:uiPriority w:val="99"/>
    <w:rsid w:val="002C7D60"/>
    <w:rPr>
      <w:sz w:val="24"/>
      <w:szCs w:val="24"/>
    </w:rPr>
  </w:style>
  <w:style w:type="character" w:customStyle="1" w:styleId="UnresolvedMention1">
    <w:name w:val="Unresolved Mention1"/>
    <w:uiPriority w:val="99"/>
    <w:semiHidden/>
    <w:unhideWhenUsed/>
    <w:rsid w:val="003026A8"/>
    <w:rPr>
      <w:color w:val="605E5C"/>
      <w:shd w:val="clear" w:color="auto" w:fill="E1DFDD"/>
    </w:rPr>
  </w:style>
  <w:style w:type="character" w:customStyle="1" w:styleId="BodyTextIndent3Char">
    <w:name w:val="Body Text Indent 3 Char"/>
    <w:basedOn w:val="DefaultParagraphFont"/>
    <w:link w:val="BodyTextIndent3"/>
    <w:rsid w:val="00600468"/>
    <w:rPr>
      <w:sz w:val="24"/>
    </w:rPr>
  </w:style>
  <w:style w:type="paragraph" w:styleId="ListParagraph">
    <w:name w:val="List Paragraph"/>
    <w:basedOn w:val="Normal"/>
    <w:uiPriority w:val="34"/>
    <w:qFormat/>
    <w:rsid w:val="00600468"/>
    <w:pPr>
      <w:ind w:left="720"/>
      <w:contextualSpacing/>
    </w:pPr>
    <w:rPr>
      <w:rFonts w:eastAsiaTheme="minorHAnsi"/>
      <w:bCs/>
      <w:color w:val="000000"/>
      <w:szCs w:val="19"/>
    </w:rPr>
  </w:style>
  <w:style w:type="character" w:customStyle="1" w:styleId="FootnoteTextChar">
    <w:name w:val="Footnote Text Char"/>
    <w:basedOn w:val="DefaultParagraphFont"/>
    <w:link w:val="FootnoteText"/>
    <w:semiHidden/>
    <w:rsid w:val="00BC7A39"/>
  </w:style>
  <w:style w:type="paragraph" w:customStyle="1" w:styleId="WW-BodyTextIndent3">
    <w:name w:val="WW-Body Text Indent 3"/>
    <w:basedOn w:val="Normal"/>
    <w:rsid w:val="000F0A9C"/>
    <w:pPr>
      <w:suppressAutoHyphens/>
      <w:spacing w:line="480" w:lineRule="atLeast"/>
      <w:ind w:firstLine="720"/>
    </w:pPr>
    <w:rPr>
      <w:szCs w:val="20"/>
      <w:lang w:eastAsia="ar-SA"/>
    </w:rPr>
  </w:style>
  <w:style w:type="character" w:customStyle="1" w:styleId="UnresolvedMention2">
    <w:name w:val="Unresolved Mention2"/>
    <w:basedOn w:val="DefaultParagraphFont"/>
    <w:rsid w:val="002E21B0"/>
    <w:rPr>
      <w:color w:val="605E5C"/>
      <w:shd w:val="clear" w:color="auto" w:fill="E1DFDD"/>
    </w:rPr>
  </w:style>
  <w:style w:type="paragraph" w:styleId="Revision">
    <w:name w:val="Revision"/>
    <w:hidden/>
    <w:uiPriority w:val="99"/>
    <w:rsid w:val="000F0A9C"/>
    <w:rPr>
      <w:sz w:val="24"/>
      <w:szCs w:val="24"/>
    </w:rPr>
  </w:style>
  <w:style w:type="character" w:customStyle="1" w:styleId="UnresolvedMention3">
    <w:name w:val="Unresolved Mention3"/>
    <w:basedOn w:val="DefaultParagraphFont"/>
    <w:rsid w:val="009119FC"/>
    <w:rPr>
      <w:color w:val="605E5C"/>
      <w:shd w:val="clear" w:color="auto" w:fill="E1DFDD"/>
    </w:rPr>
  </w:style>
  <w:style w:type="character" w:customStyle="1" w:styleId="UnresolvedMention4">
    <w:name w:val="Unresolved Mention4"/>
    <w:basedOn w:val="DefaultParagraphFont"/>
    <w:rsid w:val="00B41BAE"/>
    <w:rPr>
      <w:color w:val="605E5C"/>
      <w:shd w:val="clear" w:color="auto" w:fill="E1DFDD"/>
    </w:rPr>
  </w:style>
  <w:style w:type="paragraph" w:styleId="BlockText">
    <w:name w:val="Block Text"/>
    <w:basedOn w:val="Normal"/>
    <w:rsid w:val="000F0A9C"/>
    <w:pPr>
      <w:ind w:left="1440" w:right="720"/>
    </w:pPr>
    <w:rPr>
      <w:szCs w:val="20"/>
    </w:rPr>
  </w:style>
  <w:style w:type="character" w:styleId="EndnoteReference">
    <w:name w:val="endnote reference"/>
    <w:rsid w:val="000F0A9C"/>
    <w:rPr>
      <w:vertAlign w:val="superscript"/>
    </w:rPr>
  </w:style>
  <w:style w:type="paragraph" w:styleId="BodyText2">
    <w:name w:val="Body Text 2"/>
    <w:basedOn w:val="Normal"/>
    <w:link w:val="BodyText2Char"/>
    <w:rsid w:val="000F0A9C"/>
    <w:pPr>
      <w:spacing w:line="480" w:lineRule="auto"/>
      <w:ind w:right="1440"/>
    </w:pPr>
    <w:rPr>
      <w:szCs w:val="20"/>
    </w:rPr>
  </w:style>
  <w:style w:type="character" w:customStyle="1" w:styleId="BodyText2Char">
    <w:name w:val="Body Text 2 Char"/>
    <w:basedOn w:val="DefaultParagraphFont"/>
    <w:link w:val="BodyText2"/>
    <w:rsid w:val="000F0A9C"/>
    <w:rPr>
      <w:sz w:val="24"/>
    </w:rPr>
  </w:style>
  <w:style w:type="character" w:styleId="FollowedHyperlink">
    <w:name w:val="FollowedHyperlink"/>
    <w:rsid w:val="000F0A9C"/>
    <w:rPr>
      <w:color w:val="800080"/>
      <w:u w:val="single"/>
    </w:rPr>
  </w:style>
  <w:style w:type="character" w:customStyle="1" w:styleId="term1">
    <w:name w:val="term1"/>
    <w:rsid w:val="000F0A9C"/>
    <w:rPr>
      <w:b/>
      <w:bCs/>
    </w:rPr>
  </w:style>
  <w:style w:type="character" w:customStyle="1" w:styleId="UnresolvedMention">
    <w:name w:val="Unresolved Mention"/>
    <w:basedOn w:val="DefaultParagraphFont"/>
    <w:rsid w:val="001F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mailto:john.jones@ohioago.gov" TargetMode="External" /><Relationship Id="rId14" Type="http://schemas.openxmlformats.org/officeDocument/2006/relationships/hyperlink" Target="mailto:jason.tonn@puco.ohio.gov" TargetMode="External" /><Relationship Id="rId15" Type="http://schemas.openxmlformats.org/officeDocument/2006/relationships/hyperlink" Target="mailto:dproano@bakerlaw.com" TargetMode="External" /><Relationship Id="rId16" Type="http://schemas.openxmlformats.org/officeDocument/2006/relationships/hyperlink" Target="mailto:bknipe@firstenergycorp.com" TargetMode="External" /><Relationship Id="rId17" Type="http://schemas.openxmlformats.org/officeDocument/2006/relationships/hyperlink" Target="mailto:cwatchorn@firstenergycorp.com" TargetMode="Externa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footer" Target="footer6.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john.finnigan@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5C40-AFBA-4F2A-A6DB-C8C7C71B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2024-04-26T14:14:24Z</dcterms:created>
  <dcterms:modified xsi:type="dcterms:W3CDTF">2024-04-26T14:14:24Z</dcterms:modified>
</cp:coreProperties>
</file>