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D43FE" w:rsidRPr="00104C6A" w14:paraId="4F5F833C" w14:textId="77777777">
      <w:pPr>
        <w:jc w:val="center"/>
        <w:rPr>
          <w:b/>
          <w:szCs w:val="24"/>
        </w:rPr>
      </w:pPr>
      <w:r w:rsidRPr="00104C6A">
        <w:rPr>
          <w:b/>
          <w:szCs w:val="24"/>
        </w:rPr>
        <w:t>BEFORE</w:t>
      </w:r>
    </w:p>
    <w:p w:rsidR="001D43FE" w:rsidRPr="00104C6A" w14:paraId="1E3A68A5" w14:textId="77777777">
      <w:pPr>
        <w:jc w:val="center"/>
        <w:rPr>
          <w:b/>
          <w:bCs/>
          <w:szCs w:val="24"/>
        </w:rPr>
      </w:pPr>
      <w:r w:rsidRPr="00104C6A">
        <w:rPr>
          <w:b/>
          <w:bCs/>
          <w:szCs w:val="24"/>
        </w:rPr>
        <w:t>THE PUBLIC UTILITIES COMMISSION OF OHIO</w:t>
      </w:r>
    </w:p>
    <w:p w:rsidR="001D43FE" w:rsidRPr="00104C6A" w14:paraId="41CD3F3C" w14:textId="77777777">
      <w:pPr>
        <w:pStyle w:val="HTMLPreformatted"/>
        <w:rPr>
          <w:rFonts w:ascii="Times New Roman" w:hAnsi="Times New Roman" w:cs="Times New Roman"/>
          <w:sz w:val="24"/>
          <w:szCs w:val="24"/>
        </w:rPr>
      </w:pPr>
    </w:p>
    <w:tbl>
      <w:tblPr>
        <w:tblW w:w="8730" w:type="dxa"/>
        <w:tblLook w:val="01E0"/>
      </w:tblPr>
      <w:tblGrid>
        <w:gridCol w:w="4122"/>
        <w:gridCol w:w="576"/>
        <w:gridCol w:w="4032"/>
      </w:tblGrid>
      <w:tr w14:paraId="7B938968" w14:textId="77777777" w:rsidTr="00CA57F8">
        <w:tblPrEx>
          <w:tblW w:w="8730" w:type="dxa"/>
          <w:tblLook w:val="01E0"/>
        </w:tblPrEx>
        <w:trPr>
          <w:trHeight w:val="807"/>
        </w:trPr>
        <w:tc>
          <w:tcPr>
            <w:tcW w:w="4122" w:type="dxa"/>
          </w:tcPr>
          <w:p w:rsidR="007815BD" w:rsidRPr="00104C6A" w:rsidP="00CA57F8" w14:paraId="199A1F8B" w14:textId="77777777">
            <w:pPr>
              <w:tabs>
                <w:tab w:val="left" w:pos="8730"/>
              </w:tabs>
              <w:adjustRightInd w:val="0"/>
              <w:rPr>
                <w:rFonts w:eastAsia="Calibri"/>
                <w:szCs w:val="24"/>
              </w:rPr>
            </w:pPr>
            <w:r w:rsidRPr="00104C6A">
              <w:rPr>
                <w:rFonts w:eastAsia="Calibri"/>
                <w:szCs w:val="24"/>
              </w:rPr>
              <w:t xml:space="preserve">In the Matter of the Application of Duke Energy Ohio, Inc., for an Increase in Electric Distribution Rates. </w:t>
            </w:r>
          </w:p>
          <w:p w:rsidR="007815BD" w:rsidRPr="00104C6A" w:rsidP="00CA57F8" w14:paraId="48B8E44C" w14:textId="77777777">
            <w:pPr>
              <w:tabs>
                <w:tab w:val="left" w:pos="8730"/>
              </w:tabs>
              <w:adjustRightInd w:val="0"/>
              <w:rPr>
                <w:rFonts w:eastAsia="Calibri"/>
                <w:szCs w:val="24"/>
              </w:rPr>
            </w:pPr>
          </w:p>
          <w:p w:rsidR="007815BD" w:rsidRPr="00104C6A" w:rsidP="00CA57F8" w14:paraId="781B186A" w14:textId="77777777">
            <w:pPr>
              <w:tabs>
                <w:tab w:val="left" w:pos="8730"/>
              </w:tabs>
              <w:adjustRightInd w:val="0"/>
              <w:rPr>
                <w:rFonts w:eastAsia="Calibri"/>
                <w:szCs w:val="24"/>
              </w:rPr>
            </w:pPr>
            <w:r w:rsidRPr="00104C6A">
              <w:rPr>
                <w:rFonts w:eastAsia="Calibri"/>
                <w:szCs w:val="24"/>
              </w:rPr>
              <w:t>In the Matter of the Application of Duke Energy Ohio, Inc., for Tariff Approval.</w:t>
            </w:r>
          </w:p>
          <w:p w:rsidR="007815BD" w:rsidRPr="00104C6A" w:rsidP="00CA57F8" w14:paraId="42848E6C" w14:textId="77777777">
            <w:pPr>
              <w:tabs>
                <w:tab w:val="left" w:pos="8730"/>
              </w:tabs>
              <w:adjustRightInd w:val="0"/>
              <w:rPr>
                <w:szCs w:val="24"/>
              </w:rPr>
            </w:pPr>
          </w:p>
          <w:p w:rsidR="007815BD" w:rsidRPr="00104C6A" w:rsidP="00CA57F8" w14:paraId="72589F12" w14:textId="77777777">
            <w:pPr>
              <w:tabs>
                <w:tab w:val="left" w:pos="8730"/>
              </w:tabs>
              <w:adjustRightInd w:val="0"/>
              <w:rPr>
                <w:szCs w:val="24"/>
              </w:rPr>
            </w:pPr>
            <w:r w:rsidRPr="00104C6A">
              <w:rPr>
                <w:szCs w:val="24"/>
              </w:rPr>
              <w:t>In the Matter of the Application of Duke Energy Ohio, Inc., for Approval to Change Accounting Methods.</w:t>
            </w:r>
          </w:p>
        </w:tc>
        <w:tc>
          <w:tcPr>
            <w:tcW w:w="576" w:type="dxa"/>
          </w:tcPr>
          <w:p w:rsidR="007815BD" w:rsidRPr="00104C6A" w:rsidP="00CA57F8" w14:paraId="4CDB6D93"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190779F2"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4EDDEEB6"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331BA5FE"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46BBCE00"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2DDAAFD7"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39989CC7"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2EC357AF"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1707A2C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7815BD" w:rsidRPr="00104C6A" w:rsidP="00CA57F8" w14:paraId="1AFD5E3A"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tc>
        <w:tc>
          <w:tcPr>
            <w:tcW w:w="4032" w:type="dxa"/>
          </w:tcPr>
          <w:p w:rsidR="007815BD" w:rsidRPr="00104C6A" w:rsidP="00CA57F8" w14:paraId="0514A30D"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03BFE43F"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21-887-EL-AIR</w:t>
            </w:r>
          </w:p>
          <w:p w:rsidR="007815BD" w:rsidRPr="00104C6A" w:rsidP="00CA57F8" w14:paraId="73A3F30A"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73AFC2A3"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38CAD8BB"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58E95EF7"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21-888-EL-AIR</w:t>
            </w:r>
          </w:p>
          <w:p w:rsidR="007815BD" w:rsidRPr="00104C6A" w:rsidP="00CA57F8" w14:paraId="0BED0C31"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1FF95AD7" w14:textId="77777777">
            <w:pPr>
              <w:pStyle w:val="HTMLPreformatted"/>
              <w:tabs>
                <w:tab w:val="left" w:pos="8730"/>
                <w:tab w:val="clear" w:pos="10076"/>
              </w:tabs>
              <w:rPr>
                <w:rFonts w:ascii="Times New Roman" w:hAnsi="Times New Roman" w:cs="Times New Roman"/>
                <w:sz w:val="24"/>
                <w:szCs w:val="24"/>
              </w:rPr>
            </w:pPr>
          </w:p>
          <w:p w:rsidR="007815BD" w:rsidRPr="00104C6A" w:rsidP="00CA57F8" w14:paraId="3C1EB5EF"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21-889-EL-AIR</w:t>
            </w:r>
          </w:p>
          <w:p w:rsidR="007815BD" w:rsidRPr="00104C6A" w:rsidP="00CA57F8" w14:paraId="1EC4B654" w14:textId="77777777">
            <w:pPr>
              <w:pStyle w:val="HTMLPreformatted"/>
              <w:tabs>
                <w:tab w:val="left" w:pos="8730"/>
                <w:tab w:val="clear" w:pos="10076"/>
              </w:tabs>
              <w:rPr>
                <w:rFonts w:ascii="Times New Roman" w:hAnsi="Times New Roman" w:cs="Times New Roman"/>
                <w:sz w:val="24"/>
                <w:szCs w:val="24"/>
              </w:rPr>
            </w:pPr>
          </w:p>
        </w:tc>
      </w:tr>
    </w:tbl>
    <w:p w:rsidR="001D43FE" w:rsidRPr="00104C6A" w14:paraId="446CA324" w14:textId="77777777">
      <w:pPr>
        <w:pStyle w:val="HTMLPreformatted"/>
        <w:pBdr>
          <w:bottom w:val="single" w:sz="12" w:space="1" w:color="auto"/>
        </w:pBdr>
        <w:rPr>
          <w:rFonts w:ascii="Times New Roman" w:hAnsi="Times New Roman" w:cs="Times New Roman"/>
          <w:sz w:val="24"/>
          <w:szCs w:val="24"/>
        </w:rPr>
      </w:pPr>
    </w:p>
    <w:p w:rsidR="001D43FE" w:rsidRPr="00104C6A" w14:paraId="16BB66DC" w14:textId="77777777">
      <w:pPr>
        <w:pStyle w:val="HTMLPreformatted"/>
        <w:rPr>
          <w:rFonts w:ascii="Times New Roman" w:hAnsi="Times New Roman" w:cs="Times New Roman"/>
          <w:sz w:val="24"/>
          <w:szCs w:val="24"/>
        </w:rPr>
      </w:pPr>
      <w:r w:rsidRPr="00104C6A">
        <w:rPr>
          <w:rFonts w:ascii="Times New Roman" w:hAnsi="Times New Roman" w:cs="Times New Roman"/>
          <w:sz w:val="24"/>
          <w:szCs w:val="24"/>
        </w:rPr>
        <w:tab/>
      </w:r>
    </w:p>
    <w:p w:rsidR="001D43FE" w:rsidRPr="00104C6A" w14:paraId="2E65C40A" w14:textId="77777777">
      <w:pPr>
        <w:jc w:val="center"/>
        <w:rPr>
          <w:b/>
          <w:szCs w:val="24"/>
        </w:rPr>
      </w:pPr>
      <w:r w:rsidRPr="00104C6A">
        <w:rPr>
          <w:b/>
          <w:szCs w:val="24"/>
        </w:rPr>
        <w:t>APPLICATION FOR REHEARING</w:t>
      </w:r>
    </w:p>
    <w:p w:rsidR="001D43FE" w:rsidRPr="00104C6A" w14:paraId="111E7D5E" w14:textId="77777777">
      <w:pPr>
        <w:jc w:val="center"/>
        <w:rPr>
          <w:b/>
          <w:szCs w:val="24"/>
        </w:rPr>
      </w:pPr>
      <w:r w:rsidRPr="00104C6A">
        <w:rPr>
          <w:b/>
          <w:szCs w:val="24"/>
        </w:rPr>
        <w:t>BY</w:t>
      </w:r>
    </w:p>
    <w:p w:rsidR="006C6E16" w:rsidRPr="00104C6A" w:rsidP="006C6E16" w14:paraId="59BC286F" w14:textId="6ED58F4D">
      <w:pPr>
        <w:jc w:val="center"/>
        <w:rPr>
          <w:b/>
          <w:bCs/>
          <w:szCs w:val="24"/>
        </w:rPr>
      </w:pPr>
      <w:r w:rsidRPr="00104C6A">
        <w:rPr>
          <w:b/>
          <w:bCs/>
          <w:szCs w:val="24"/>
        </w:rPr>
        <w:t>OFFICE OF THE OHIO CONSUMERS</w:t>
      </w:r>
      <w:r w:rsidRPr="00104C6A" w:rsidR="00C91673">
        <w:rPr>
          <w:b/>
          <w:bCs/>
          <w:szCs w:val="24"/>
        </w:rPr>
        <w:t>’</w:t>
      </w:r>
      <w:r w:rsidRPr="00104C6A">
        <w:rPr>
          <w:b/>
          <w:bCs/>
          <w:szCs w:val="24"/>
        </w:rPr>
        <w:t xml:space="preserve"> COUNSEL</w:t>
      </w:r>
    </w:p>
    <w:p w:rsidR="001D43FE" w:rsidRPr="00104C6A" w14:paraId="39E59924" w14:textId="77777777">
      <w:pPr>
        <w:pBdr>
          <w:bottom w:val="single" w:sz="12" w:space="1" w:color="auto"/>
        </w:pBdr>
        <w:jc w:val="center"/>
        <w:rPr>
          <w:b/>
          <w:szCs w:val="24"/>
        </w:rPr>
      </w:pPr>
    </w:p>
    <w:p w:rsidR="00910F01" w:rsidRPr="00104C6A" w:rsidP="00910F01" w14:paraId="3830C7DB" w14:textId="77777777">
      <w:pPr>
        <w:tabs>
          <w:tab w:val="left" w:pos="4320"/>
        </w:tabs>
        <w:ind w:firstLine="48"/>
        <w:rPr>
          <w:szCs w:val="24"/>
        </w:rPr>
      </w:pPr>
      <w:r w:rsidRPr="00104C6A">
        <w:rPr>
          <w:szCs w:val="24"/>
        </w:rPr>
        <w:br/>
      </w:r>
      <w:r w:rsidRPr="00104C6A">
        <w:rPr>
          <w:szCs w:val="24"/>
        </w:rPr>
        <w:tab/>
      </w:r>
    </w:p>
    <w:p w:rsidR="007815BD" w:rsidRPr="00104C6A" w:rsidP="007815BD" w14:paraId="5142F50A" w14:textId="77777777">
      <w:pPr>
        <w:tabs>
          <w:tab w:val="left" w:pos="8730"/>
        </w:tabs>
        <w:ind w:left="4320"/>
        <w:rPr>
          <w:szCs w:val="24"/>
        </w:rPr>
      </w:pPr>
      <w:r w:rsidRPr="00104C6A">
        <w:rPr>
          <w:szCs w:val="24"/>
        </w:rPr>
        <w:t xml:space="preserve">Bruce Weston (0016973) </w:t>
      </w:r>
    </w:p>
    <w:p w:rsidR="007815BD" w:rsidRPr="00104C6A" w:rsidP="007815BD" w14:paraId="10BF717A" w14:textId="77777777">
      <w:pPr>
        <w:tabs>
          <w:tab w:val="left" w:pos="8730"/>
        </w:tabs>
        <w:ind w:left="4320"/>
        <w:rPr>
          <w:szCs w:val="24"/>
        </w:rPr>
      </w:pPr>
      <w:r w:rsidRPr="00104C6A">
        <w:rPr>
          <w:szCs w:val="24"/>
        </w:rPr>
        <w:t>Ohio Consumers’ Counsel</w:t>
      </w:r>
    </w:p>
    <w:p w:rsidR="007815BD" w:rsidRPr="00104C6A" w:rsidP="007815BD" w14:paraId="5D95E74F" w14:textId="73766D9A">
      <w:pPr>
        <w:tabs>
          <w:tab w:val="left" w:pos="8730"/>
        </w:tabs>
        <w:ind w:left="4320"/>
        <w:rPr>
          <w:szCs w:val="24"/>
        </w:rPr>
      </w:pPr>
      <w:r w:rsidRPr="00104C6A">
        <w:rPr>
          <w:i/>
          <w:szCs w:val="24"/>
        </w:rPr>
        <w:br/>
      </w:r>
      <w:r w:rsidRPr="00104C6A">
        <w:rPr>
          <w:szCs w:val="24"/>
        </w:rPr>
        <w:t xml:space="preserve">Angela D. O’Brien (0097579) </w:t>
      </w:r>
      <w:r w:rsidRPr="00104C6A">
        <w:rPr>
          <w:szCs w:val="24"/>
        </w:rPr>
        <w:br/>
        <w:t>Counsel of Record</w:t>
      </w:r>
    </w:p>
    <w:p w:rsidR="007815BD" w:rsidRPr="00104C6A" w:rsidP="007815BD" w14:paraId="5AD7B636" w14:textId="77777777">
      <w:pPr>
        <w:tabs>
          <w:tab w:val="left" w:pos="8730"/>
        </w:tabs>
        <w:ind w:left="4320"/>
        <w:rPr>
          <w:szCs w:val="24"/>
        </w:rPr>
      </w:pPr>
      <w:r w:rsidRPr="00104C6A">
        <w:rPr>
          <w:szCs w:val="24"/>
        </w:rPr>
        <w:t>Ambrosia E. Wilson (0096598)</w:t>
      </w:r>
    </w:p>
    <w:p w:rsidR="007815BD" w:rsidRPr="00104C6A" w:rsidP="007815BD" w14:paraId="207620C4" w14:textId="77777777">
      <w:pPr>
        <w:tabs>
          <w:tab w:val="left" w:pos="8730"/>
        </w:tabs>
        <w:ind w:left="4320"/>
        <w:rPr>
          <w:szCs w:val="24"/>
        </w:rPr>
      </w:pPr>
      <w:r w:rsidRPr="00104C6A">
        <w:rPr>
          <w:szCs w:val="24"/>
        </w:rPr>
        <w:t>John Finnigan (0018689)</w:t>
      </w:r>
    </w:p>
    <w:p w:rsidR="007815BD" w:rsidRPr="00104C6A" w:rsidP="007815BD" w14:paraId="6ED3CF4D" w14:textId="77777777">
      <w:pPr>
        <w:tabs>
          <w:tab w:val="left" w:pos="8730"/>
        </w:tabs>
        <w:ind w:left="4320"/>
        <w:rPr>
          <w:szCs w:val="24"/>
        </w:rPr>
      </w:pPr>
      <w:r w:rsidRPr="00104C6A">
        <w:rPr>
          <w:szCs w:val="24"/>
        </w:rPr>
        <w:t>Connor D. Semple (0101102)</w:t>
      </w:r>
      <w:r w:rsidRPr="00104C6A">
        <w:rPr>
          <w:szCs w:val="24"/>
        </w:rPr>
        <w:br/>
        <w:t>Assistant Consumers’ Counsel</w:t>
      </w:r>
    </w:p>
    <w:p w:rsidR="007815BD" w:rsidRPr="00104C6A" w:rsidP="007815BD" w14:paraId="4EC49D7B" w14:textId="77777777">
      <w:pPr>
        <w:tabs>
          <w:tab w:val="left" w:pos="8730"/>
        </w:tabs>
        <w:ind w:left="4320"/>
        <w:rPr>
          <w:szCs w:val="24"/>
        </w:rPr>
      </w:pPr>
    </w:p>
    <w:p w:rsidR="007815BD" w:rsidRPr="00104C6A" w:rsidP="007815BD" w14:paraId="67DA4FB9" w14:textId="77777777">
      <w:pPr>
        <w:tabs>
          <w:tab w:val="left" w:pos="8730"/>
        </w:tabs>
        <w:ind w:left="4320"/>
        <w:rPr>
          <w:b/>
          <w:bCs/>
          <w:szCs w:val="24"/>
        </w:rPr>
      </w:pPr>
      <w:r w:rsidRPr="00104C6A">
        <w:rPr>
          <w:b/>
          <w:bCs/>
          <w:szCs w:val="24"/>
        </w:rPr>
        <w:t>Office of the Ohio Consumers' Counsel</w:t>
      </w:r>
    </w:p>
    <w:p w:rsidR="007815BD" w:rsidRPr="00104C6A" w:rsidP="007815BD" w14:paraId="3D315675" w14:textId="77777777">
      <w:pPr>
        <w:tabs>
          <w:tab w:val="left" w:pos="8730"/>
        </w:tabs>
        <w:ind w:left="4320"/>
        <w:rPr>
          <w:szCs w:val="24"/>
        </w:rPr>
      </w:pPr>
      <w:r w:rsidRPr="00104C6A">
        <w:rPr>
          <w:szCs w:val="24"/>
        </w:rPr>
        <w:t>65 East State Street, Suite 700</w:t>
      </w:r>
    </w:p>
    <w:p w:rsidR="007815BD" w:rsidRPr="00104C6A" w:rsidP="007815BD" w14:paraId="28CE8FB6" w14:textId="77777777">
      <w:pPr>
        <w:tabs>
          <w:tab w:val="left" w:pos="8730"/>
        </w:tabs>
        <w:ind w:left="4320"/>
        <w:rPr>
          <w:szCs w:val="24"/>
        </w:rPr>
      </w:pPr>
      <w:r w:rsidRPr="00104C6A">
        <w:rPr>
          <w:szCs w:val="24"/>
        </w:rPr>
        <w:t>Columbus, Ohio 43215</w:t>
      </w:r>
    </w:p>
    <w:p w:rsidR="007815BD" w:rsidRPr="00104C6A" w:rsidP="007815BD" w14:paraId="176BFE5B" w14:textId="77777777">
      <w:pPr>
        <w:tabs>
          <w:tab w:val="left" w:pos="8730"/>
        </w:tabs>
        <w:ind w:left="4320"/>
        <w:rPr>
          <w:szCs w:val="24"/>
        </w:rPr>
      </w:pPr>
      <w:r w:rsidRPr="00104C6A">
        <w:rPr>
          <w:szCs w:val="24"/>
        </w:rPr>
        <w:t>Telephone: [O’Brien]: (614) 466-9531</w:t>
      </w:r>
    </w:p>
    <w:p w:rsidR="007815BD" w:rsidRPr="00104C6A" w:rsidP="007815BD" w14:paraId="2509963E" w14:textId="77777777">
      <w:pPr>
        <w:tabs>
          <w:tab w:val="left" w:pos="8730"/>
        </w:tabs>
        <w:ind w:left="4320"/>
        <w:rPr>
          <w:szCs w:val="24"/>
        </w:rPr>
      </w:pPr>
      <w:r w:rsidRPr="00104C6A">
        <w:rPr>
          <w:szCs w:val="24"/>
        </w:rPr>
        <w:t>Telephone: [Wilson]: (614) 466-1292</w:t>
      </w:r>
    </w:p>
    <w:p w:rsidR="007815BD" w:rsidRPr="00104C6A" w:rsidP="007815BD" w14:paraId="7BD5904D" w14:textId="77777777">
      <w:pPr>
        <w:tabs>
          <w:tab w:val="left" w:pos="8730"/>
        </w:tabs>
        <w:ind w:left="4320"/>
        <w:rPr>
          <w:szCs w:val="24"/>
        </w:rPr>
      </w:pPr>
      <w:r w:rsidRPr="00104C6A">
        <w:rPr>
          <w:szCs w:val="24"/>
        </w:rPr>
        <w:t>Telephone [Finnigan]: (614) 466-9585</w:t>
      </w:r>
    </w:p>
    <w:p w:rsidR="007815BD" w:rsidRPr="00104C6A" w:rsidP="007815BD" w14:paraId="4B0DDAA0" w14:textId="77777777">
      <w:pPr>
        <w:tabs>
          <w:tab w:val="left" w:pos="8730"/>
        </w:tabs>
        <w:ind w:left="4320"/>
        <w:rPr>
          <w:szCs w:val="24"/>
        </w:rPr>
      </w:pPr>
      <w:r w:rsidRPr="00104C6A">
        <w:rPr>
          <w:szCs w:val="24"/>
        </w:rPr>
        <w:t>Telephone [Semple]: (614) 466-9565</w:t>
      </w:r>
    </w:p>
    <w:p w:rsidR="007815BD" w:rsidRPr="00104C6A" w:rsidP="007815BD" w14:paraId="6D890151" w14:textId="5DEA2149">
      <w:pPr>
        <w:tabs>
          <w:tab w:val="left" w:pos="8730"/>
        </w:tabs>
        <w:ind w:left="4320"/>
        <w:rPr>
          <w:color w:val="0000FF"/>
          <w:szCs w:val="24"/>
        </w:rPr>
      </w:pPr>
      <w:hyperlink r:id="rId6" w:history="1">
        <w:r w:rsidRPr="00104C6A" w:rsidR="008C78AB">
          <w:rPr>
            <w:rStyle w:val="Hyperlink"/>
            <w:szCs w:val="24"/>
          </w:rPr>
          <w:t>angela.obrien@occ.ohio.gov</w:t>
        </w:r>
      </w:hyperlink>
      <w:r w:rsidRPr="00104C6A" w:rsidR="008C78AB">
        <w:rPr>
          <w:color w:val="0000FF"/>
          <w:szCs w:val="24"/>
        </w:rPr>
        <w:t xml:space="preserve"> </w:t>
      </w:r>
    </w:p>
    <w:p w:rsidR="007815BD" w:rsidRPr="00104C6A" w:rsidP="007815BD" w14:paraId="3C046E6C" w14:textId="77777777">
      <w:pPr>
        <w:tabs>
          <w:tab w:val="left" w:pos="8730"/>
        </w:tabs>
        <w:ind w:left="4320"/>
        <w:rPr>
          <w:color w:val="0000FF"/>
          <w:szCs w:val="24"/>
        </w:rPr>
      </w:pPr>
      <w:r w:rsidRPr="00104C6A">
        <w:rPr>
          <w:rStyle w:val="Hyperlink"/>
          <w:szCs w:val="24"/>
        </w:rPr>
        <w:t>ambrosia.wilson@occ.ohio.gov</w:t>
      </w:r>
    </w:p>
    <w:p w:rsidR="007815BD" w:rsidRPr="00104C6A" w:rsidP="007815BD" w14:paraId="110CF197" w14:textId="77777777">
      <w:pPr>
        <w:tabs>
          <w:tab w:val="left" w:pos="8730"/>
        </w:tabs>
        <w:ind w:left="4320"/>
        <w:rPr>
          <w:color w:val="0000FF"/>
          <w:szCs w:val="24"/>
          <w:u w:val="single"/>
        </w:rPr>
      </w:pPr>
      <w:r w:rsidRPr="00104C6A">
        <w:rPr>
          <w:rStyle w:val="Hyperlink"/>
          <w:szCs w:val="24"/>
        </w:rPr>
        <w:t>john.finnigan@occ.ohio.gov</w:t>
      </w:r>
    </w:p>
    <w:p w:rsidR="007815BD" w:rsidRPr="00104C6A" w:rsidP="007815BD" w14:paraId="389CE4DB" w14:textId="715F3C8C">
      <w:pPr>
        <w:tabs>
          <w:tab w:val="left" w:pos="8730"/>
        </w:tabs>
        <w:ind w:left="4320"/>
        <w:rPr>
          <w:rStyle w:val="Hyperlink"/>
          <w:szCs w:val="24"/>
        </w:rPr>
      </w:pPr>
      <w:hyperlink r:id="rId7" w:history="1">
        <w:r w:rsidRPr="00104C6A" w:rsidR="008C78AB">
          <w:rPr>
            <w:rStyle w:val="Hyperlink"/>
            <w:szCs w:val="24"/>
          </w:rPr>
          <w:t>connor.semple@occ.ohio.gov</w:t>
        </w:r>
      </w:hyperlink>
    </w:p>
    <w:p w:rsidR="007815BD" w:rsidRPr="00104C6A" w:rsidP="005A2CC9" w14:paraId="76046578" w14:textId="3D89C78F">
      <w:pPr>
        <w:tabs>
          <w:tab w:val="left" w:pos="8730"/>
        </w:tabs>
        <w:ind w:left="4320" w:hanging="4320"/>
        <w:rPr>
          <w:color w:val="0000FF"/>
          <w:szCs w:val="24"/>
        </w:rPr>
      </w:pPr>
      <w:r w:rsidRPr="00104C6A">
        <w:rPr>
          <w:szCs w:val="24"/>
        </w:rPr>
        <w:t>January 13, 2023</w:t>
      </w:r>
      <w:r w:rsidRPr="00104C6A">
        <w:rPr>
          <w:szCs w:val="24"/>
        </w:rPr>
        <w:tab/>
        <w:t>(willing to accept service by e-mail)</w:t>
      </w:r>
    </w:p>
    <w:p w:rsidR="001D43FE" w:rsidRPr="00104C6A" w14:paraId="5D8CE360" w14:textId="77777777">
      <w:pPr>
        <w:jc w:val="center"/>
        <w:rPr>
          <w:szCs w:val="24"/>
        </w:rPr>
        <w:sectPr w:rsidSect="001C586A">
          <w:footerReference w:type="default" r:id="rId8"/>
          <w:headerReference w:type="first" r:id="rId9"/>
          <w:footerReference w:type="first" r:id="rId10"/>
          <w:pgSz w:w="12240" w:h="15840"/>
          <w:pgMar w:top="1440" w:right="1800" w:bottom="1440" w:left="1800" w:header="720" w:footer="720" w:gutter="0"/>
          <w:pgNumType w:fmt="lowerRoman" w:start="1"/>
          <w:cols w:space="720"/>
          <w:titlePg/>
          <w:docGrid w:linePitch="65"/>
        </w:sectPr>
      </w:pPr>
    </w:p>
    <w:p w:rsidR="001D43FE" w:rsidRPr="00104C6A" w14:paraId="00FBB152" w14:textId="77777777">
      <w:pPr>
        <w:jc w:val="center"/>
        <w:rPr>
          <w:b/>
          <w:szCs w:val="24"/>
        </w:rPr>
      </w:pPr>
      <w:r w:rsidRPr="00104C6A">
        <w:rPr>
          <w:b/>
          <w:szCs w:val="24"/>
        </w:rPr>
        <w:t>BEFORE</w:t>
      </w:r>
    </w:p>
    <w:p w:rsidR="001D43FE" w:rsidRPr="00104C6A" w14:paraId="52CE494A" w14:textId="77777777">
      <w:pPr>
        <w:jc w:val="center"/>
        <w:rPr>
          <w:b/>
          <w:bCs/>
          <w:szCs w:val="24"/>
        </w:rPr>
      </w:pPr>
      <w:r w:rsidRPr="00104C6A">
        <w:rPr>
          <w:b/>
          <w:bCs/>
          <w:szCs w:val="24"/>
        </w:rPr>
        <w:t>THE PUBLIC UTILITIES COMMISSION OF OHIO</w:t>
      </w:r>
    </w:p>
    <w:p w:rsidR="001D43FE" w:rsidRPr="00104C6A" w14:paraId="4EDE860F" w14:textId="77777777">
      <w:pPr>
        <w:pStyle w:val="HTMLPreformatted"/>
        <w:rPr>
          <w:rFonts w:ascii="Times New Roman" w:hAnsi="Times New Roman" w:cs="Times New Roman"/>
          <w:sz w:val="24"/>
          <w:szCs w:val="24"/>
        </w:rPr>
      </w:pPr>
    </w:p>
    <w:tbl>
      <w:tblPr>
        <w:tblW w:w="8730" w:type="dxa"/>
        <w:tblLook w:val="01E0"/>
      </w:tblPr>
      <w:tblGrid>
        <w:gridCol w:w="4122"/>
        <w:gridCol w:w="576"/>
        <w:gridCol w:w="4032"/>
      </w:tblGrid>
      <w:tr w14:paraId="69D8D5F3" w14:textId="77777777" w:rsidTr="00CA57F8">
        <w:tblPrEx>
          <w:tblW w:w="8730" w:type="dxa"/>
          <w:tblLook w:val="01E0"/>
        </w:tblPrEx>
        <w:trPr>
          <w:trHeight w:val="807"/>
        </w:trPr>
        <w:tc>
          <w:tcPr>
            <w:tcW w:w="4122" w:type="dxa"/>
          </w:tcPr>
          <w:p w:rsidR="00944F9C" w:rsidRPr="00104C6A" w:rsidP="00CA57F8" w14:paraId="1D63F6B9" w14:textId="77777777">
            <w:pPr>
              <w:tabs>
                <w:tab w:val="left" w:pos="8730"/>
              </w:tabs>
              <w:adjustRightInd w:val="0"/>
              <w:rPr>
                <w:rFonts w:eastAsia="Calibri"/>
                <w:szCs w:val="24"/>
              </w:rPr>
            </w:pPr>
            <w:r w:rsidRPr="00104C6A">
              <w:rPr>
                <w:rFonts w:eastAsia="Calibri"/>
                <w:szCs w:val="24"/>
              </w:rPr>
              <w:t xml:space="preserve">In the Matter of the Application of Duke Energy Ohio, Inc., for an Increase in Electric Distribution Rates. </w:t>
            </w:r>
          </w:p>
          <w:p w:rsidR="00944F9C" w:rsidRPr="00104C6A" w:rsidP="00CA57F8" w14:paraId="1EFCD82C" w14:textId="77777777">
            <w:pPr>
              <w:tabs>
                <w:tab w:val="left" w:pos="8730"/>
              </w:tabs>
              <w:adjustRightInd w:val="0"/>
              <w:rPr>
                <w:rFonts w:eastAsia="Calibri"/>
                <w:szCs w:val="24"/>
              </w:rPr>
            </w:pPr>
          </w:p>
          <w:p w:rsidR="00944F9C" w:rsidRPr="00104C6A" w:rsidP="00CA57F8" w14:paraId="64FDD5F7" w14:textId="77777777">
            <w:pPr>
              <w:tabs>
                <w:tab w:val="left" w:pos="8730"/>
              </w:tabs>
              <w:adjustRightInd w:val="0"/>
              <w:rPr>
                <w:rFonts w:eastAsia="Calibri"/>
                <w:szCs w:val="24"/>
              </w:rPr>
            </w:pPr>
            <w:r w:rsidRPr="00104C6A">
              <w:rPr>
                <w:rFonts w:eastAsia="Calibri"/>
                <w:szCs w:val="24"/>
              </w:rPr>
              <w:t>In the Matter of the Application of Duke Energy Ohio, Inc., for Tariff Approval.</w:t>
            </w:r>
          </w:p>
          <w:p w:rsidR="00944F9C" w:rsidRPr="00104C6A" w:rsidP="00CA57F8" w14:paraId="79065798" w14:textId="77777777">
            <w:pPr>
              <w:tabs>
                <w:tab w:val="left" w:pos="8730"/>
              </w:tabs>
              <w:adjustRightInd w:val="0"/>
              <w:rPr>
                <w:szCs w:val="24"/>
              </w:rPr>
            </w:pPr>
          </w:p>
          <w:p w:rsidR="00944F9C" w:rsidRPr="00104C6A" w:rsidP="00CA57F8" w14:paraId="035B4D85" w14:textId="77777777">
            <w:pPr>
              <w:tabs>
                <w:tab w:val="left" w:pos="8730"/>
              </w:tabs>
              <w:adjustRightInd w:val="0"/>
              <w:rPr>
                <w:szCs w:val="24"/>
              </w:rPr>
            </w:pPr>
            <w:r w:rsidRPr="00104C6A">
              <w:rPr>
                <w:szCs w:val="24"/>
              </w:rPr>
              <w:t>In the Matter of the Application of Duke Energy Ohio, Inc., for Approval to Change Accounting Methods.</w:t>
            </w:r>
          </w:p>
        </w:tc>
        <w:tc>
          <w:tcPr>
            <w:tcW w:w="576" w:type="dxa"/>
          </w:tcPr>
          <w:p w:rsidR="00944F9C" w:rsidRPr="00104C6A" w:rsidP="00CA57F8" w14:paraId="60B99EF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4C15282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62B31F23"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0CBE64EC"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7F327817"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4E35F9B3"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07B91EDF"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63E2187E"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73D27E8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944F9C" w:rsidRPr="00104C6A" w:rsidP="00CA57F8" w14:paraId="6D4DCCD3"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tc>
        <w:tc>
          <w:tcPr>
            <w:tcW w:w="4032" w:type="dxa"/>
          </w:tcPr>
          <w:p w:rsidR="00944F9C" w:rsidRPr="00104C6A" w:rsidP="00CA57F8" w14:paraId="5CB7A02E"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0B88E359"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21-887-EL-AIR</w:t>
            </w:r>
          </w:p>
          <w:p w:rsidR="00944F9C" w:rsidRPr="00104C6A" w:rsidP="00CA57F8" w14:paraId="1D86909F"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4E66DB95"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5B02C954"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14F2926E"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21-888-EL-AIR</w:t>
            </w:r>
          </w:p>
          <w:p w:rsidR="00944F9C" w:rsidRPr="00104C6A" w:rsidP="00CA57F8" w14:paraId="38E8438E"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41745DE7" w14:textId="77777777">
            <w:pPr>
              <w:pStyle w:val="HTMLPreformatted"/>
              <w:tabs>
                <w:tab w:val="left" w:pos="8730"/>
                <w:tab w:val="clear" w:pos="10076"/>
              </w:tabs>
              <w:rPr>
                <w:rFonts w:ascii="Times New Roman" w:hAnsi="Times New Roman" w:cs="Times New Roman"/>
                <w:sz w:val="24"/>
                <w:szCs w:val="24"/>
              </w:rPr>
            </w:pPr>
          </w:p>
          <w:p w:rsidR="00944F9C" w:rsidRPr="00104C6A" w:rsidP="00CA57F8" w14:paraId="28432D0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21-889-EL-AIR</w:t>
            </w:r>
          </w:p>
          <w:p w:rsidR="00944F9C" w:rsidRPr="00104C6A" w:rsidP="00CA57F8" w14:paraId="3424262A" w14:textId="77777777">
            <w:pPr>
              <w:pStyle w:val="HTMLPreformatted"/>
              <w:tabs>
                <w:tab w:val="left" w:pos="8730"/>
                <w:tab w:val="clear" w:pos="10076"/>
              </w:tabs>
              <w:rPr>
                <w:rFonts w:ascii="Times New Roman" w:hAnsi="Times New Roman" w:cs="Times New Roman"/>
                <w:sz w:val="24"/>
                <w:szCs w:val="24"/>
              </w:rPr>
            </w:pPr>
          </w:p>
        </w:tc>
      </w:tr>
    </w:tbl>
    <w:p w:rsidR="001D43FE" w:rsidRPr="00104C6A" w14:paraId="0E11D4FF" w14:textId="77777777">
      <w:pPr>
        <w:pStyle w:val="HTMLPreformatted"/>
        <w:pBdr>
          <w:bottom w:val="single" w:sz="12" w:space="1" w:color="auto"/>
        </w:pBdr>
        <w:rPr>
          <w:rFonts w:ascii="Times New Roman" w:hAnsi="Times New Roman" w:cs="Times New Roman"/>
          <w:sz w:val="24"/>
          <w:szCs w:val="24"/>
        </w:rPr>
      </w:pPr>
    </w:p>
    <w:p w:rsidR="001D43FE" w:rsidRPr="00104C6A" w14:paraId="5D2505CA" w14:textId="77777777">
      <w:pPr>
        <w:pStyle w:val="HTMLPreformatted"/>
        <w:rPr>
          <w:rFonts w:ascii="Times New Roman" w:hAnsi="Times New Roman" w:cs="Times New Roman"/>
          <w:sz w:val="24"/>
          <w:szCs w:val="24"/>
        </w:rPr>
      </w:pPr>
      <w:r w:rsidRPr="00104C6A">
        <w:rPr>
          <w:rFonts w:ascii="Times New Roman" w:hAnsi="Times New Roman" w:cs="Times New Roman"/>
          <w:sz w:val="24"/>
          <w:szCs w:val="24"/>
        </w:rPr>
        <w:tab/>
      </w:r>
    </w:p>
    <w:p w:rsidR="001D43FE" w:rsidRPr="00104C6A" w14:paraId="705BF756" w14:textId="77777777">
      <w:pPr>
        <w:jc w:val="center"/>
        <w:rPr>
          <w:b/>
          <w:szCs w:val="24"/>
        </w:rPr>
      </w:pPr>
      <w:r w:rsidRPr="00104C6A">
        <w:rPr>
          <w:b/>
          <w:szCs w:val="24"/>
        </w:rPr>
        <w:t>APPLICATION FOR REHEARING</w:t>
      </w:r>
    </w:p>
    <w:p w:rsidR="001D43FE" w:rsidRPr="00104C6A" w14:paraId="132CA019" w14:textId="77777777">
      <w:pPr>
        <w:jc w:val="center"/>
        <w:rPr>
          <w:b/>
          <w:szCs w:val="24"/>
        </w:rPr>
      </w:pPr>
      <w:r w:rsidRPr="00104C6A">
        <w:rPr>
          <w:b/>
          <w:szCs w:val="24"/>
        </w:rPr>
        <w:t>BY</w:t>
      </w:r>
    </w:p>
    <w:p w:rsidR="001D43FE" w:rsidRPr="00104C6A" w14:paraId="32068A51" w14:textId="77777777">
      <w:pPr>
        <w:jc w:val="center"/>
        <w:rPr>
          <w:b/>
          <w:szCs w:val="24"/>
        </w:rPr>
      </w:pPr>
      <w:r w:rsidRPr="00104C6A">
        <w:rPr>
          <w:b/>
          <w:szCs w:val="24"/>
        </w:rPr>
        <w:t>OFFICE OF THE OHIO CONSUMERS</w:t>
      </w:r>
      <w:r w:rsidRPr="00104C6A" w:rsidR="00C91673">
        <w:rPr>
          <w:b/>
          <w:szCs w:val="24"/>
        </w:rPr>
        <w:t>’</w:t>
      </w:r>
      <w:r w:rsidRPr="00104C6A">
        <w:rPr>
          <w:b/>
          <w:szCs w:val="24"/>
        </w:rPr>
        <w:t xml:space="preserve"> COUNSEL</w:t>
      </w:r>
    </w:p>
    <w:p w:rsidR="001D43FE" w:rsidRPr="00104C6A" w:rsidP="00AD1123" w14:paraId="44ECF3DB" w14:textId="77777777">
      <w:pPr>
        <w:pBdr>
          <w:bottom w:val="single" w:sz="12" w:space="1" w:color="auto"/>
        </w:pBdr>
        <w:spacing w:after="240"/>
        <w:jc w:val="center"/>
        <w:rPr>
          <w:b/>
          <w:szCs w:val="24"/>
        </w:rPr>
      </w:pPr>
    </w:p>
    <w:p w:rsidR="009D4FED" w:rsidRPr="00104C6A" w:rsidP="009D4FED" w14:paraId="722C0FBE" w14:textId="5C506E71">
      <w:pPr>
        <w:spacing w:line="480" w:lineRule="auto"/>
        <w:ind w:firstLine="720"/>
        <w:rPr>
          <w:szCs w:val="24"/>
        </w:rPr>
      </w:pPr>
      <w:r w:rsidRPr="00104C6A">
        <w:rPr>
          <w:szCs w:val="24"/>
        </w:rPr>
        <w:t xml:space="preserve">Soaring </w:t>
      </w:r>
      <w:r w:rsidRPr="00104C6A" w:rsidR="00B2352E">
        <w:rPr>
          <w:szCs w:val="24"/>
        </w:rPr>
        <w:t xml:space="preserve">Energy prices, inflation and unemployment are </w:t>
      </w:r>
      <w:r w:rsidRPr="00104C6A">
        <w:rPr>
          <w:szCs w:val="24"/>
        </w:rPr>
        <w:t>impacting consumers</w:t>
      </w:r>
      <w:r w:rsidRPr="00104C6A" w:rsidR="00B2352E">
        <w:rPr>
          <w:szCs w:val="24"/>
        </w:rPr>
        <w:t>.</w:t>
      </w:r>
      <w:r>
        <w:rPr>
          <w:rStyle w:val="FootnoteReference"/>
          <w:szCs w:val="24"/>
        </w:rPr>
        <w:footnoteReference w:id="2"/>
      </w:r>
      <w:r w:rsidRPr="00104C6A" w:rsidR="00E725AF">
        <w:rPr>
          <w:szCs w:val="24"/>
        </w:rPr>
        <w:t xml:space="preserve"> </w:t>
      </w:r>
      <w:r w:rsidRPr="00104C6A" w:rsidR="00C806C8">
        <w:rPr>
          <w:szCs w:val="24"/>
        </w:rPr>
        <w:t>The stock market is crashing.</w:t>
      </w:r>
      <w:r>
        <w:rPr>
          <w:rStyle w:val="FootnoteReference"/>
          <w:szCs w:val="24"/>
        </w:rPr>
        <w:footnoteReference w:id="3"/>
      </w:r>
      <w:r w:rsidRPr="00104C6A" w:rsidR="00E725AF">
        <w:rPr>
          <w:szCs w:val="24"/>
        </w:rPr>
        <w:t xml:space="preserve"> </w:t>
      </w:r>
      <w:r w:rsidRPr="00104C6A" w:rsidR="00E674B0">
        <w:rPr>
          <w:szCs w:val="24"/>
        </w:rPr>
        <w:t>A</w:t>
      </w:r>
      <w:r w:rsidRPr="00104C6A" w:rsidR="00416AF1">
        <w:rPr>
          <w:szCs w:val="24"/>
        </w:rPr>
        <w:t>nd a</w:t>
      </w:r>
      <w:r w:rsidRPr="00104C6A" w:rsidR="00B2352E">
        <w:rPr>
          <w:szCs w:val="24"/>
        </w:rPr>
        <w:t xml:space="preserve"> recession </w:t>
      </w:r>
      <w:r w:rsidRPr="00104C6A" w:rsidR="00E674B0">
        <w:rPr>
          <w:szCs w:val="24"/>
        </w:rPr>
        <w:t>is looming</w:t>
      </w:r>
      <w:r w:rsidRPr="00104C6A" w:rsidR="00B2352E">
        <w:rPr>
          <w:szCs w:val="24"/>
        </w:rPr>
        <w:t>.</w:t>
      </w:r>
      <w:r>
        <w:rPr>
          <w:rStyle w:val="FootnoteReference"/>
          <w:szCs w:val="24"/>
        </w:rPr>
        <w:footnoteReference w:id="4"/>
      </w:r>
      <w:r w:rsidRPr="00104C6A" w:rsidR="00E725AF">
        <w:rPr>
          <w:szCs w:val="24"/>
        </w:rPr>
        <w:t xml:space="preserve"> </w:t>
      </w:r>
      <w:r w:rsidRPr="00104C6A" w:rsidR="00416AF1">
        <w:rPr>
          <w:szCs w:val="24"/>
        </w:rPr>
        <w:t>Yet on December 14, 2022, the</w:t>
      </w:r>
      <w:r w:rsidRPr="00104C6A" w:rsidR="00697667">
        <w:rPr>
          <w:szCs w:val="24"/>
        </w:rPr>
        <w:t xml:space="preserve"> Public Utilities Commission of Ohio (“PUCO”)</w:t>
      </w:r>
      <w:r w:rsidRPr="00104C6A" w:rsidR="00416AF1">
        <w:rPr>
          <w:szCs w:val="24"/>
        </w:rPr>
        <w:t xml:space="preserve"> approved a Settlement</w:t>
      </w:r>
      <w:r w:rsidRPr="00104C6A" w:rsidR="00AC7074">
        <w:rPr>
          <w:szCs w:val="24"/>
        </w:rPr>
        <w:t xml:space="preserve"> among Duke, the PUCO Staff, and others</w:t>
      </w:r>
      <w:r w:rsidRPr="00104C6A" w:rsidR="000F5542">
        <w:rPr>
          <w:szCs w:val="24"/>
        </w:rPr>
        <w:t xml:space="preserve"> that allows Duke to increase its electric distribution rates by $23.1 million annually while providing little protection to Duke’s residential consumers and at-risk populations.</w:t>
      </w:r>
      <w:r>
        <w:rPr>
          <w:rStyle w:val="FootnoteReference"/>
          <w:szCs w:val="24"/>
        </w:rPr>
        <w:footnoteReference w:id="5"/>
      </w:r>
      <w:r w:rsidRPr="00104C6A" w:rsidR="001D7F98">
        <w:rPr>
          <w:szCs w:val="24"/>
        </w:rPr>
        <w:t xml:space="preserve"> </w:t>
      </w:r>
      <w:r w:rsidRPr="00104C6A">
        <w:rPr>
          <w:szCs w:val="24"/>
        </w:rPr>
        <w:t>The PUCO should grant rehearing to abrogate or modify the December 14 Order because it is unreasonable and contrary to Ohio law (R.C. 4929.02(A) &amp; (L) and R.C. 4905.33).</w:t>
      </w:r>
    </w:p>
    <w:p w:rsidR="009F7C0D" w:rsidRPr="00104C6A" w:rsidP="000F5542" w14:paraId="2E059942" w14:textId="407867A7">
      <w:pPr>
        <w:spacing w:line="480" w:lineRule="auto"/>
        <w:ind w:firstLine="720"/>
        <w:rPr>
          <w:szCs w:val="24"/>
        </w:rPr>
      </w:pPr>
      <w:r w:rsidRPr="00104C6A">
        <w:rPr>
          <w:szCs w:val="24"/>
        </w:rPr>
        <w:t>The</w:t>
      </w:r>
      <w:r w:rsidRPr="00104C6A" w:rsidR="00697667">
        <w:rPr>
          <w:szCs w:val="24"/>
        </w:rPr>
        <w:t xml:space="preserve"> </w:t>
      </w:r>
      <w:r w:rsidRPr="00104C6A" w:rsidR="00A2011C">
        <w:rPr>
          <w:szCs w:val="24"/>
        </w:rPr>
        <w:t>$23.1 million</w:t>
      </w:r>
      <w:r w:rsidRPr="00104C6A" w:rsidR="00E674B0">
        <w:rPr>
          <w:szCs w:val="24"/>
        </w:rPr>
        <w:t xml:space="preserve"> </w:t>
      </w:r>
      <w:r w:rsidRPr="00104C6A">
        <w:rPr>
          <w:szCs w:val="24"/>
        </w:rPr>
        <w:t xml:space="preserve">rate increase agreed to in the Settlement and approved by the PUCO </w:t>
      </w:r>
      <w:r w:rsidRPr="00104C6A" w:rsidR="00394910">
        <w:rPr>
          <w:szCs w:val="24"/>
        </w:rPr>
        <w:t xml:space="preserve">is </w:t>
      </w:r>
      <w:r w:rsidRPr="00104C6A" w:rsidR="00394910">
        <w:rPr>
          <w:i/>
          <w:iCs/>
          <w:szCs w:val="24"/>
        </w:rPr>
        <w:t>nearly three times greater</w:t>
      </w:r>
      <w:r w:rsidRPr="00104C6A" w:rsidR="00394910">
        <w:rPr>
          <w:szCs w:val="24"/>
        </w:rPr>
        <w:t xml:space="preserve"> than the mid-point of the revenue increase range ($1.86 million to $15.27 million) initially recommended by the PUCO Staff.</w:t>
      </w:r>
      <w:r>
        <w:rPr>
          <w:rStyle w:val="FootnoteReference"/>
          <w:szCs w:val="24"/>
        </w:rPr>
        <w:footnoteReference w:id="6"/>
      </w:r>
      <w:r w:rsidRPr="00104C6A" w:rsidR="001D7F98">
        <w:rPr>
          <w:szCs w:val="24"/>
        </w:rPr>
        <w:t xml:space="preserve"> </w:t>
      </w:r>
      <w:r w:rsidRPr="00104C6A" w:rsidR="00895D8A">
        <w:rPr>
          <w:szCs w:val="24"/>
        </w:rPr>
        <w:t>The</w:t>
      </w:r>
      <w:r w:rsidRPr="00104C6A" w:rsidR="00394910">
        <w:rPr>
          <w:szCs w:val="24"/>
        </w:rPr>
        <w:t xml:space="preserve"> Settlemen</w:t>
      </w:r>
      <w:r w:rsidRPr="00104C6A">
        <w:rPr>
          <w:szCs w:val="24"/>
        </w:rPr>
        <w:t>t fails to</w:t>
      </w:r>
      <w:r w:rsidRPr="00104C6A" w:rsidR="00F22029">
        <w:rPr>
          <w:szCs w:val="24"/>
        </w:rPr>
        <w:t xml:space="preserve"> protect </w:t>
      </w:r>
      <w:r w:rsidRPr="00104C6A" w:rsidR="00394910">
        <w:rPr>
          <w:szCs w:val="24"/>
        </w:rPr>
        <w:t xml:space="preserve">Duke’s </w:t>
      </w:r>
      <w:r w:rsidRPr="00104C6A" w:rsidR="009D4FED">
        <w:rPr>
          <w:szCs w:val="24"/>
        </w:rPr>
        <w:t xml:space="preserve">residential consumers </w:t>
      </w:r>
      <w:r w:rsidRPr="00104C6A" w:rsidR="00394910">
        <w:rPr>
          <w:szCs w:val="24"/>
        </w:rPr>
        <w:t xml:space="preserve">and </w:t>
      </w:r>
      <w:r w:rsidRPr="00104C6A" w:rsidR="00F22029">
        <w:rPr>
          <w:szCs w:val="24"/>
        </w:rPr>
        <w:t>at-risk populations</w:t>
      </w:r>
      <w:r w:rsidRPr="00104C6A" w:rsidR="00394910">
        <w:rPr>
          <w:szCs w:val="24"/>
        </w:rPr>
        <w:t xml:space="preserve"> who will bear the brunt of Duke’s rate increase.</w:t>
      </w:r>
      <w:r w:rsidRPr="00104C6A" w:rsidR="00F22029">
        <w:rPr>
          <w:szCs w:val="24"/>
        </w:rPr>
        <w:t xml:space="preserve"> </w:t>
      </w:r>
      <w:r w:rsidRPr="00104C6A" w:rsidR="00AB506F">
        <w:rPr>
          <w:szCs w:val="24"/>
        </w:rPr>
        <w:t xml:space="preserve">The </w:t>
      </w:r>
      <w:r w:rsidRPr="00104C6A" w:rsidR="00F22029">
        <w:rPr>
          <w:szCs w:val="24"/>
        </w:rPr>
        <w:t xml:space="preserve">Settlement discriminates against Duke’s residential consumers </w:t>
      </w:r>
      <w:r w:rsidRPr="00104C6A" w:rsidR="00107978">
        <w:rPr>
          <w:szCs w:val="24"/>
        </w:rPr>
        <w:t>and other local governments outside</w:t>
      </w:r>
      <w:r w:rsidRPr="00104C6A" w:rsidR="00F22029">
        <w:rPr>
          <w:szCs w:val="24"/>
        </w:rPr>
        <w:t xml:space="preserve"> the City of Cincinnati who </w:t>
      </w:r>
      <w:r w:rsidRPr="00104C6A">
        <w:rPr>
          <w:szCs w:val="24"/>
        </w:rPr>
        <w:t>are not eligible for</w:t>
      </w:r>
      <w:r w:rsidRPr="00104C6A" w:rsidR="00107978">
        <w:rPr>
          <w:szCs w:val="24"/>
        </w:rPr>
        <w:t xml:space="preserve"> bill payment assistance and other benefits </w:t>
      </w:r>
      <w:r w:rsidRPr="00104C6A" w:rsidR="00F22029">
        <w:rPr>
          <w:szCs w:val="24"/>
        </w:rPr>
        <w:t xml:space="preserve">under the Settlement. </w:t>
      </w:r>
    </w:p>
    <w:p w:rsidR="00706E1F" w:rsidRPr="00104C6A" w:rsidP="007D0CC8" w14:paraId="047416E1" w14:textId="7FDF2709">
      <w:pPr>
        <w:spacing w:line="480" w:lineRule="auto"/>
        <w:ind w:firstLine="720"/>
        <w:rPr>
          <w:szCs w:val="24"/>
        </w:rPr>
      </w:pPr>
      <w:r w:rsidRPr="00104C6A">
        <w:rPr>
          <w:szCs w:val="24"/>
        </w:rPr>
        <w:t>T</w:t>
      </w:r>
      <w:r w:rsidRPr="00104C6A" w:rsidR="000E45A7">
        <w:rPr>
          <w:szCs w:val="24"/>
        </w:rPr>
        <w:t>he Office of the Ohio Consumers’ Counsel (“OCC”)</w:t>
      </w:r>
      <w:r w:rsidRPr="00104C6A" w:rsidR="000F5542">
        <w:rPr>
          <w:szCs w:val="24"/>
        </w:rPr>
        <w:t xml:space="preserve">, the statutory representative of </w:t>
      </w:r>
      <w:r w:rsidRPr="00104C6A" w:rsidR="00D25B34">
        <w:rPr>
          <w:szCs w:val="24"/>
        </w:rPr>
        <w:t>Duke’s 657,000 residential consumers</w:t>
      </w:r>
      <w:r w:rsidRPr="00104C6A" w:rsidR="00AB506F">
        <w:rPr>
          <w:szCs w:val="24"/>
        </w:rPr>
        <w:t>,</w:t>
      </w:r>
      <w:r w:rsidRPr="00104C6A" w:rsidR="000F5542">
        <w:rPr>
          <w:szCs w:val="24"/>
        </w:rPr>
        <w:t xml:space="preserve"> opposes the Settlement because it is unfair and unlawful. T</w:t>
      </w:r>
      <w:r w:rsidRPr="00104C6A" w:rsidR="001D43FE">
        <w:rPr>
          <w:szCs w:val="24"/>
        </w:rPr>
        <w:t xml:space="preserve">he </w:t>
      </w:r>
      <w:r w:rsidRPr="00104C6A" w:rsidR="00945ACB">
        <w:rPr>
          <w:szCs w:val="24"/>
        </w:rPr>
        <w:t>PUCO’s</w:t>
      </w:r>
      <w:r w:rsidRPr="00104C6A" w:rsidR="001D43FE">
        <w:rPr>
          <w:szCs w:val="24"/>
        </w:rPr>
        <w:t xml:space="preserve"> </w:t>
      </w:r>
      <w:r w:rsidRPr="00104C6A" w:rsidR="000F5542">
        <w:rPr>
          <w:szCs w:val="24"/>
        </w:rPr>
        <w:t xml:space="preserve">December 14, 2022 </w:t>
      </w:r>
      <w:r w:rsidRPr="00104C6A" w:rsidR="001D43FE">
        <w:rPr>
          <w:szCs w:val="24"/>
        </w:rPr>
        <w:t>Order</w:t>
      </w:r>
      <w:r w:rsidRPr="00104C6A" w:rsidR="00945ACB">
        <w:rPr>
          <w:szCs w:val="24"/>
        </w:rPr>
        <w:t xml:space="preserve"> </w:t>
      </w:r>
      <w:r w:rsidRPr="00104C6A" w:rsidR="000F5542">
        <w:rPr>
          <w:szCs w:val="24"/>
        </w:rPr>
        <w:t xml:space="preserve">approving the Settlement </w:t>
      </w:r>
      <w:r w:rsidRPr="00104C6A" w:rsidR="001D43FE">
        <w:rPr>
          <w:szCs w:val="24"/>
        </w:rPr>
        <w:t xml:space="preserve">is unreasonable and unlawful in the following </w:t>
      </w:r>
      <w:r w:rsidRPr="00104C6A" w:rsidR="00624129">
        <w:rPr>
          <w:szCs w:val="24"/>
        </w:rPr>
        <w:t>respects</w:t>
      </w:r>
      <w:r w:rsidRPr="00104C6A" w:rsidR="001D43FE">
        <w:rPr>
          <w:szCs w:val="24"/>
        </w:rPr>
        <w:t>:</w:t>
      </w:r>
    </w:p>
    <w:p w:rsidR="00070690" w:rsidRPr="00104C6A" w:rsidP="007E42B2" w14:paraId="6BD3E9D8" w14:textId="14A9BC45">
      <w:pPr>
        <w:ind w:left="720" w:hanging="720"/>
        <w:rPr>
          <w:szCs w:val="24"/>
        </w:rPr>
      </w:pPr>
      <w:r w:rsidRPr="00104C6A">
        <w:rPr>
          <w:szCs w:val="24"/>
        </w:rPr>
        <w:tab/>
      </w:r>
      <w:bookmarkStart w:id="0" w:name="_Hlk124234741"/>
      <w:r w:rsidRPr="00104C6A">
        <w:rPr>
          <w:szCs w:val="24"/>
        </w:rPr>
        <w:t xml:space="preserve">ASSIGNMENT OF ERROR NO. 1: </w:t>
      </w:r>
      <w:r w:rsidRPr="00104C6A" w:rsidR="00E23195">
        <w:rPr>
          <w:szCs w:val="24"/>
        </w:rPr>
        <w:t xml:space="preserve">The PUCO </w:t>
      </w:r>
      <w:r w:rsidRPr="00104C6A" w:rsidR="00662A16">
        <w:rPr>
          <w:szCs w:val="24"/>
        </w:rPr>
        <w:t>erred by</w:t>
      </w:r>
      <w:r w:rsidRPr="00104C6A" w:rsidR="00E23195">
        <w:rPr>
          <w:szCs w:val="24"/>
        </w:rPr>
        <w:t xml:space="preserve"> unreasonably approv</w:t>
      </w:r>
      <w:r w:rsidRPr="00104C6A" w:rsidR="00662A16">
        <w:rPr>
          <w:szCs w:val="24"/>
        </w:rPr>
        <w:t>ing</w:t>
      </w:r>
      <w:r w:rsidRPr="00104C6A" w:rsidR="00E23195">
        <w:rPr>
          <w:szCs w:val="24"/>
        </w:rPr>
        <w:t xml:space="preserve"> a Settlement that was not the result of serious bargaining and does not represent the broad interests of residential consumers.</w:t>
      </w:r>
    </w:p>
    <w:p w:rsidR="006438E2" w:rsidRPr="00104C6A" w:rsidP="007E42B2" w14:paraId="5FBD9881" w14:textId="0790704C">
      <w:pPr>
        <w:ind w:left="720" w:hanging="720"/>
        <w:rPr>
          <w:szCs w:val="24"/>
        </w:rPr>
      </w:pPr>
    </w:p>
    <w:p w:rsidR="006438E2" w:rsidRPr="00104C6A" w:rsidP="007E42B2" w14:paraId="4B30C882" w14:textId="4EA8727D">
      <w:pPr>
        <w:ind w:left="720" w:hanging="720"/>
        <w:rPr>
          <w:szCs w:val="24"/>
        </w:rPr>
      </w:pPr>
      <w:r w:rsidRPr="00104C6A">
        <w:rPr>
          <w:szCs w:val="24"/>
        </w:rPr>
        <w:tab/>
        <w:t xml:space="preserve">ASSIGNMENT OF ERROR NO. 2: </w:t>
      </w:r>
      <w:r w:rsidRPr="00104C6A" w:rsidR="00557A68">
        <w:rPr>
          <w:szCs w:val="24"/>
        </w:rPr>
        <w:t xml:space="preserve">The PUCO </w:t>
      </w:r>
      <w:r w:rsidRPr="00104C6A" w:rsidR="00662A16">
        <w:rPr>
          <w:szCs w:val="24"/>
        </w:rPr>
        <w:t>erred by</w:t>
      </w:r>
      <w:r w:rsidRPr="00104C6A" w:rsidR="00557A68">
        <w:rPr>
          <w:szCs w:val="24"/>
        </w:rPr>
        <w:t xml:space="preserve"> unlawfully approv</w:t>
      </w:r>
      <w:r w:rsidRPr="00104C6A" w:rsidR="00662A16">
        <w:rPr>
          <w:szCs w:val="24"/>
        </w:rPr>
        <w:t>ing</w:t>
      </w:r>
      <w:r w:rsidRPr="00104C6A" w:rsidR="00557A68">
        <w:rPr>
          <w:szCs w:val="24"/>
        </w:rPr>
        <w:t xml:space="preserve"> a Settlement that discriminates against consumers outside the City of Cincinnati in violation of R.C. 4928.02(A) and R.C. </w:t>
      </w:r>
      <w:r w:rsidRPr="00104C6A" w:rsidR="007E42B2">
        <w:rPr>
          <w:szCs w:val="24"/>
        </w:rPr>
        <w:t>4905.33 and</w:t>
      </w:r>
      <w:r w:rsidRPr="00104C6A" w:rsidR="00557A68">
        <w:rPr>
          <w:szCs w:val="24"/>
        </w:rPr>
        <w:t xml:space="preserve"> fails to protect at</w:t>
      </w:r>
      <w:r w:rsidRPr="00104C6A" w:rsidR="00662A16">
        <w:rPr>
          <w:szCs w:val="24"/>
        </w:rPr>
        <w:t>-</w:t>
      </w:r>
      <w:r w:rsidRPr="00104C6A" w:rsidR="00557A68">
        <w:rPr>
          <w:szCs w:val="24"/>
        </w:rPr>
        <w:t>risk populations in violation of R.C. 4928.02(L).</w:t>
      </w:r>
    </w:p>
    <w:p w:rsidR="008A0C56" w:rsidRPr="00104C6A" w:rsidP="007E42B2" w14:paraId="1264EDAD" w14:textId="44FEB880">
      <w:pPr>
        <w:ind w:left="720" w:hanging="720"/>
        <w:rPr>
          <w:szCs w:val="24"/>
        </w:rPr>
      </w:pPr>
    </w:p>
    <w:p w:rsidR="008A0C56" w:rsidRPr="00104C6A" w:rsidP="007E42B2" w14:paraId="7AF8D83E" w14:textId="2F3D13EE">
      <w:pPr>
        <w:ind w:left="720" w:hanging="720"/>
        <w:rPr>
          <w:szCs w:val="24"/>
        </w:rPr>
      </w:pPr>
      <w:r w:rsidRPr="00104C6A">
        <w:rPr>
          <w:szCs w:val="24"/>
        </w:rPr>
        <w:tab/>
        <w:t xml:space="preserve">ASSIGNMENT OF ERROR NO. 3: </w:t>
      </w:r>
      <w:r w:rsidRPr="00104C6A" w:rsidR="00EB4CC4">
        <w:rPr>
          <w:szCs w:val="24"/>
        </w:rPr>
        <w:t xml:space="preserve">The PUCO </w:t>
      </w:r>
      <w:r w:rsidRPr="00104C6A" w:rsidR="00662A16">
        <w:rPr>
          <w:szCs w:val="24"/>
        </w:rPr>
        <w:t>erred by</w:t>
      </w:r>
      <w:r w:rsidRPr="00104C6A" w:rsidR="00EB4CC4">
        <w:rPr>
          <w:szCs w:val="24"/>
        </w:rPr>
        <w:t xml:space="preserve"> unlawfully uph</w:t>
      </w:r>
      <w:r w:rsidRPr="00104C6A" w:rsidR="00662A16">
        <w:rPr>
          <w:szCs w:val="24"/>
        </w:rPr>
        <w:t>o</w:t>
      </w:r>
      <w:r w:rsidRPr="00104C6A" w:rsidR="00EB4CC4">
        <w:rPr>
          <w:szCs w:val="24"/>
        </w:rPr>
        <w:t>ld</w:t>
      </w:r>
      <w:r w:rsidRPr="00104C6A" w:rsidR="00662A16">
        <w:rPr>
          <w:szCs w:val="24"/>
        </w:rPr>
        <w:t>ing</w:t>
      </w:r>
      <w:r w:rsidRPr="00104C6A" w:rsidR="00EB4CC4">
        <w:rPr>
          <w:szCs w:val="24"/>
        </w:rPr>
        <w:t xml:space="preserve"> a procedural schedule that limited OCC’s case preparation and restricted OCC’s “ample rights” of discovery in violation of R.C. 4903.082 and Ohio Supreme Court precedent.</w:t>
      </w:r>
    </w:p>
    <w:bookmarkEnd w:id="0"/>
    <w:p w:rsidR="008532DA" w:rsidRPr="00104C6A" w:rsidP="008532DA" w14:paraId="639AA5D0" w14:textId="3ED80DA1">
      <w:pPr>
        <w:rPr>
          <w:szCs w:val="24"/>
        </w:rPr>
      </w:pPr>
    </w:p>
    <w:p w:rsidR="00C9252A" w:rsidRPr="00104C6A" w:rsidP="0099716B" w14:paraId="788913C3" w14:textId="2C47BAA3">
      <w:pPr>
        <w:pStyle w:val="ColorfulList-Accent11"/>
        <w:spacing w:after="0" w:line="480" w:lineRule="auto"/>
        <w:ind w:left="0" w:firstLine="720"/>
        <w:rPr>
          <w:szCs w:val="24"/>
        </w:rPr>
      </w:pPr>
      <w:r w:rsidRPr="00104C6A">
        <w:rPr>
          <w:szCs w:val="24"/>
        </w:rPr>
        <w:t xml:space="preserve">OCC applies for rehearing of the PUCO’s December 14, 2022 Order in accordance with R.C. 4903.10 and O.A.C. 4901-1-35. </w:t>
      </w:r>
      <w:r w:rsidRPr="00104C6A" w:rsidR="00835C79">
        <w:rPr>
          <w:szCs w:val="24"/>
        </w:rPr>
        <w:t>The reasons in support of this application for rehearing are set forth in the accompanying Memorandum in Support. The PUCO should grant rehearing and abrogate or modify its December 14, 2022 Order as requested by OCC.</w:t>
      </w:r>
    </w:p>
    <w:p w:rsidR="00C9252A" w:rsidRPr="00104C6A" w:rsidP="00C9252A" w14:paraId="0423676A" w14:textId="77777777">
      <w:pPr>
        <w:tabs>
          <w:tab w:val="left" w:pos="8730"/>
        </w:tabs>
        <w:ind w:left="4320"/>
        <w:rPr>
          <w:szCs w:val="24"/>
        </w:rPr>
      </w:pPr>
      <w:r w:rsidRPr="00104C6A">
        <w:rPr>
          <w:szCs w:val="24"/>
        </w:rPr>
        <w:t>Respectfully submitted,</w:t>
      </w:r>
    </w:p>
    <w:p w:rsidR="00C9252A" w:rsidRPr="00104C6A" w:rsidP="00C9252A" w14:paraId="5D42F020" w14:textId="77777777">
      <w:pPr>
        <w:tabs>
          <w:tab w:val="left" w:pos="8730"/>
        </w:tabs>
        <w:ind w:left="4320"/>
        <w:rPr>
          <w:szCs w:val="24"/>
        </w:rPr>
      </w:pPr>
    </w:p>
    <w:p w:rsidR="00C9252A" w:rsidRPr="00104C6A" w:rsidP="00C9252A" w14:paraId="6C02D251" w14:textId="77777777">
      <w:pPr>
        <w:tabs>
          <w:tab w:val="left" w:pos="8730"/>
        </w:tabs>
        <w:ind w:left="4320"/>
        <w:rPr>
          <w:szCs w:val="24"/>
        </w:rPr>
      </w:pPr>
      <w:r w:rsidRPr="00104C6A">
        <w:rPr>
          <w:szCs w:val="24"/>
        </w:rPr>
        <w:t xml:space="preserve">Bruce Weston (0016973) </w:t>
      </w:r>
    </w:p>
    <w:p w:rsidR="00C9252A" w:rsidRPr="00104C6A" w:rsidP="00C9252A" w14:paraId="434B4D56" w14:textId="77777777">
      <w:pPr>
        <w:tabs>
          <w:tab w:val="left" w:pos="8730"/>
        </w:tabs>
        <w:ind w:left="4320"/>
        <w:rPr>
          <w:szCs w:val="24"/>
        </w:rPr>
      </w:pPr>
      <w:r w:rsidRPr="00104C6A">
        <w:rPr>
          <w:szCs w:val="24"/>
        </w:rPr>
        <w:t>Ohio Consumers’ Counsel</w:t>
      </w:r>
    </w:p>
    <w:p w:rsidR="00C9252A" w:rsidRPr="00104C6A" w:rsidP="00C9252A" w14:paraId="3AE2A2E6" w14:textId="77777777">
      <w:pPr>
        <w:tabs>
          <w:tab w:val="left" w:pos="8730"/>
        </w:tabs>
        <w:ind w:left="4320"/>
        <w:rPr>
          <w:szCs w:val="24"/>
        </w:rPr>
      </w:pPr>
    </w:p>
    <w:p w:rsidR="00C9252A" w:rsidRPr="00104C6A" w:rsidP="00C9252A" w14:paraId="23903669" w14:textId="77777777">
      <w:pPr>
        <w:tabs>
          <w:tab w:val="left" w:pos="8730"/>
        </w:tabs>
        <w:ind w:left="4320"/>
        <w:rPr>
          <w:szCs w:val="24"/>
        </w:rPr>
      </w:pPr>
      <w:r w:rsidRPr="00104C6A">
        <w:rPr>
          <w:i/>
          <w:szCs w:val="24"/>
          <w:u w:val="single"/>
        </w:rPr>
        <w:t>/s/ Angela D. O’Brien</w:t>
      </w:r>
      <w:r w:rsidRPr="00104C6A">
        <w:rPr>
          <w:i/>
          <w:szCs w:val="24"/>
        </w:rPr>
        <w:br/>
      </w:r>
      <w:r w:rsidRPr="00104C6A">
        <w:rPr>
          <w:szCs w:val="24"/>
        </w:rPr>
        <w:t xml:space="preserve">Angela D. O’Brien (0097579) </w:t>
      </w:r>
      <w:r w:rsidRPr="00104C6A">
        <w:rPr>
          <w:szCs w:val="24"/>
        </w:rPr>
        <w:br/>
        <w:t>Counsel of Record</w:t>
      </w:r>
    </w:p>
    <w:p w:rsidR="00C9252A" w:rsidRPr="00104C6A" w:rsidP="00C9252A" w14:paraId="6E84205A" w14:textId="77777777">
      <w:pPr>
        <w:tabs>
          <w:tab w:val="left" w:pos="8730"/>
        </w:tabs>
        <w:ind w:left="4320"/>
        <w:rPr>
          <w:szCs w:val="24"/>
        </w:rPr>
      </w:pPr>
      <w:r w:rsidRPr="00104C6A">
        <w:rPr>
          <w:szCs w:val="24"/>
        </w:rPr>
        <w:t>Ambrosia E. Wilson (0096598)</w:t>
      </w:r>
    </w:p>
    <w:p w:rsidR="00C9252A" w:rsidRPr="00104C6A" w:rsidP="00C9252A" w14:paraId="5DD9FE1A" w14:textId="77777777">
      <w:pPr>
        <w:tabs>
          <w:tab w:val="left" w:pos="8730"/>
        </w:tabs>
        <w:ind w:left="4320"/>
        <w:rPr>
          <w:szCs w:val="24"/>
        </w:rPr>
      </w:pPr>
      <w:r w:rsidRPr="00104C6A">
        <w:rPr>
          <w:szCs w:val="24"/>
        </w:rPr>
        <w:t>John Finnigan (0018689)</w:t>
      </w:r>
    </w:p>
    <w:p w:rsidR="00C9252A" w:rsidRPr="00104C6A" w:rsidP="00C9252A" w14:paraId="0EF60A62" w14:textId="77777777">
      <w:pPr>
        <w:tabs>
          <w:tab w:val="left" w:pos="8730"/>
        </w:tabs>
        <w:ind w:left="4320"/>
        <w:rPr>
          <w:szCs w:val="24"/>
        </w:rPr>
      </w:pPr>
      <w:r w:rsidRPr="00104C6A">
        <w:rPr>
          <w:szCs w:val="24"/>
        </w:rPr>
        <w:t>Connor D. Semple (0101102)</w:t>
      </w:r>
      <w:r w:rsidRPr="00104C6A">
        <w:rPr>
          <w:szCs w:val="24"/>
        </w:rPr>
        <w:br/>
        <w:t>Assistant Consumers’ Counsel</w:t>
      </w:r>
    </w:p>
    <w:p w:rsidR="00C9252A" w:rsidRPr="00104C6A" w:rsidP="00C9252A" w14:paraId="0FF90A67" w14:textId="77777777">
      <w:pPr>
        <w:tabs>
          <w:tab w:val="left" w:pos="8730"/>
        </w:tabs>
        <w:ind w:left="4320"/>
        <w:rPr>
          <w:szCs w:val="24"/>
        </w:rPr>
      </w:pPr>
    </w:p>
    <w:p w:rsidR="00C9252A" w:rsidRPr="00104C6A" w:rsidP="00C9252A" w14:paraId="6010B8C1" w14:textId="77777777">
      <w:pPr>
        <w:tabs>
          <w:tab w:val="left" w:pos="8730"/>
        </w:tabs>
        <w:ind w:left="4320"/>
        <w:rPr>
          <w:b/>
          <w:bCs/>
          <w:szCs w:val="24"/>
        </w:rPr>
      </w:pPr>
      <w:r w:rsidRPr="00104C6A">
        <w:rPr>
          <w:b/>
          <w:bCs/>
          <w:szCs w:val="24"/>
        </w:rPr>
        <w:t>Office of the Ohio Consumers' Counsel</w:t>
      </w:r>
    </w:p>
    <w:p w:rsidR="00C9252A" w:rsidRPr="00104C6A" w:rsidP="00C9252A" w14:paraId="7C8CABD0" w14:textId="77777777">
      <w:pPr>
        <w:tabs>
          <w:tab w:val="left" w:pos="8730"/>
        </w:tabs>
        <w:ind w:left="4320"/>
        <w:rPr>
          <w:szCs w:val="24"/>
        </w:rPr>
      </w:pPr>
      <w:r w:rsidRPr="00104C6A">
        <w:rPr>
          <w:szCs w:val="24"/>
        </w:rPr>
        <w:t>65 East State Street, Suite 700</w:t>
      </w:r>
    </w:p>
    <w:p w:rsidR="00C9252A" w:rsidRPr="00104C6A" w:rsidP="00C9252A" w14:paraId="3BA83363" w14:textId="77777777">
      <w:pPr>
        <w:tabs>
          <w:tab w:val="left" w:pos="8730"/>
        </w:tabs>
        <w:ind w:left="4320"/>
        <w:rPr>
          <w:szCs w:val="24"/>
        </w:rPr>
      </w:pPr>
      <w:r w:rsidRPr="00104C6A">
        <w:rPr>
          <w:szCs w:val="24"/>
        </w:rPr>
        <w:t>Columbus, Ohio 43215</w:t>
      </w:r>
    </w:p>
    <w:p w:rsidR="00C9252A" w:rsidRPr="00104C6A" w:rsidP="00C9252A" w14:paraId="3EC83B4D" w14:textId="77777777">
      <w:pPr>
        <w:tabs>
          <w:tab w:val="left" w:pos="8730"/>
        </w:tabs>
        <w:ind w:left="4320"/>
        <w:rPr>
          <w:szCs w:val="24"/>
        </w:rPr>
      </w:pPr>
      <w:r w:rsidRPr="00104C6A">
        <w:rPr>
          <w:szCs w:val="24"/>
        </w:rPr>
        <w:t>Telephone: [O’Brien]: (614) 466-9531</w:t>
      </w:r>
    </w:p>
    <w:p w:rsidR="00C9252A" w:rsidRPr="00104C6A" w:rsidP="00C9252A" w14:paraId="2297C6C0" w14:textId="77777777">
      <w:pPr>
        <w:tabs>
          <w:tab w:val="left" w:pos="8730"/>
        </w:tabs>
        <w:ind w:left="4320"/>
        <w:rPr>
          <w:szCs w:val="24"/>
        </w:rPr>
      </w:pPr>
      <w:r w:rsidRPr="00104C6A">
        <w:rPr>
          <w:szCs w:val="24"/>
        </w:rPr>
        <w:t>Telephone: [Wilson]: (614) 466-1292</w:t>
      </w:r>
    </w:p>
    <w:p w:rsidR="00C9252A" w:rsidRPr="00104C6A" w:rsidP="00C9252A" w14:paraId="33B07C0F" w14:textId="77777777">
      <w:pPr>
        <w:tabs>
          <w:tab w:val="left" w:pos="8730"/>
        </w:tabs>
        <w:ind w:left="4320"/>
        <w:rPr>
          <w:szCs w:val="24"/>
        </w:rPr>
      </w:pPr>
      <w:r w:rsidRPr="00104C6A">
        <w:rPr>
          <w:szCs w:val="24"/>
        </w:rPr>
        <w:t>Telephone [Finnigan]: (614) 466-9585</w:t>
      </w:r>
    </w:p>
    <w:p w:rsidR="00C9252A" w:rsidRPr="00104C6A" w:rsidP="00C9252A" w14:paraId="149409CB" w14:textId="77777777">
      <w:pPr>
        <w:tabs>
          <w:tab w:val="left" w:pos="8730"/>
        </w:tabs>
        <w:ind w:left="4320"/>
        <w:rPr>
          <w:szCs w:val="24"/>
        </w:rPr>
      </w:pPr>
      <w:r w:rsidRPr="00104C6A">
        <w:rPr>
          <w:szCs w:val="24"/>
        </w:rPr>
        <w:t>Telephone [Semple]: (614) 466-9565</w:t>
      </w:r>
    </w:p>
    <w:p w:rsidR="00C9252A" w:rsidRPr="00104C6A" w:rsidP="00C9252A" w14:paraId="0E486905" w14:textId="4BF15417">
      <w:pPr>
        <w:tabs>
          <w:tab w:val="left" w:pos="8730"/>
        </w:tabs>
        <w:ind w:left="4320"/>
        <w:rPr>
          <w:color w:val="0000FF"/>
          <w:szCs w:val="24"/>
        </w:rPr>
      </w:pPr>
      <w:hyperlink r:id="rId6" w:history="1">
        <w:r w:rsidRPr="00104C6A" w:rsidR="008C78AB">
          <w:rPr>
            <w:rStyle w:val="Hyperlink"/>
            <w:szCs w:val="24"/>
          </w:rPr>
          <w:t>angela.obrien@occ.ohio.gov</w:t>
        </w:r>
      </w:hyperlink>
      <w:r w:rsidRPr="00104C6A" w:rsidR="008C78AB">
        <w:rPr>
          <w:color w:val="0000FF"/>
          <w:szCs w:val="24"/>
        </w:rPr>
        <w:t xml:space="preserve"> </w:t>
      </w:r>
    </w:p>
    <w:p w:rsidR="00C9252A" w:rsidRPr="00104C6A" w:rsidP="00C9252A" w14:paraId="0AF1A81B" w14:textId="77777777">
      <w:pPr>
        <w:tabs>
          <w:tab w:val="left" w:pos="8730"/>
        </w:tabs>
        <w:ind w:left="4320"/>
        <w:rPr>
          <w:color w:val="0000FF"/>
          <w:szCs w:val="24"/>
        </w:rPr>
      </w:pPr>
      <w:r w:rsidRPr="00104C6A">
        <w:rPr>
          <w:rStyle w:val="Hyperlink"/>
          <w:szCs w:val="24"/>
        </w:rPr>
        <w:t>ambrosia.wilson@occ.ohio.gov</w:t>
      </w:r>
    </w:p>
    <w:p w:rsidR="00C9252A" w:rsidRPr="00104C6A" w:rsidP="00C9252A" w14:paraId="73CACBA1" w14:textId="77777777">
      <w:pPr>
        <w:tabs>
          <w:tab w:val="left" w:pos="8730"/>
        </w:tabs>
        <w:ind w:left="4320"/>
        <w:rPr>
          <w:color w:val="0000FF"/>
          <w:szCs w:val="24"/>
          <w:u w:val="single"/>
        </w:rPr>
      </w:pPr>
      <w:r w:rsidRPr="00104C6A">
        <w:rPr>
          <w:rStyle w:val="Hyperlink"/>
          <w:szCs w:val="24"/>
        </w:rPr>
        <w:t>john.finnigan@occ.ohio.gov</w:t>
      </w:r>
    </w:p>
    <w:p w:rsidR="00C9252A" w:rsidRPr="00104C6A" w:rsidP="00C9252A" w14:paraId="45F2C5B1" w14:textId="3BD9CFF9">
      <w:pPr>
        <w:tabs>
          <w:tab w:val="left" w:pos="8730"/>
        </w:tabs>
        <w:ind w:left="4320"/>
        <w:rPr>
          <w:rStyle w:val="Hyperlink"/>
          <w:szCs w:val="24"/>
        </w:rPr>
      </w:pPr>
      <w:hyperlink r:id="rId7" w:history="1">
        <w:r w:rsidRPr="00104C6A" w:rsidR="008C78AB">
          <w:rPr>
            <w:rStyle w:val="Hyperlink"/>
            <w:szCs w:val="24"/>
          </w:rPr>
          <w:t>connor.semple@occ.ohio.gov</w:t>
        </w:r>
      </w:hyperlink>
    </w:p>
    <w:p w:rsidR="00C9252A" w:rsidRPr="00104C6A" w:rsidP="00C9252A" w14:paraId="0D96E7DA" w14:textId="77777777">
      <w:pPr>
        <w:tabs>
          <w:tab w:val="left" w:pos="8730"/>
        </w:tabs>
        <w:ind w:left="4320"/>
        <w:rPr>
          <w:color w:val="0000FF"/>
          <w:szCs w:val="24"/>
        </w:rPr>
      </w:pPr>
      <w:r w:rsidRPr="00104C6A">
        <w:rPr>
          <w:szCs w:val="24"/>
        </w:rPr>
        <w:t>(willing to accept service by e-mail)</w:t>
      </w:r>
    </w:p>
    <w:p w:rsidR="006C6E16" w:rsidRPr="00104C6A" w:rsidP="00C9252A" w14:paraId="5F1D5A70" w14:textId="77777777">
      <w:pPr>
        <w:pStyle w:val="BodyTextIndent3"/>
        <w:widowControl w:val="0"/>
        <w:spacing w:line="240" w:lineRule="auto"/>
        <w:ind w:left="3600" w:right="-672"/>
        <w:rPr>
          <w:szCs w:val="24"/>
        </w:rPr>
      </w:pPr>
    </w:p>
    <w:p w:rsidR="001D43FE" w:rsidRPr="00104C6A" w14:paraId="3DC80EF5" w14:textId="77777777">
      <w:pPr>
        <w:rPr>
          <w:b/>
          <w:szCs w:val="24"/>
        </w:rPr>
      </w:pPr>
    </w:p>
    <w:p w:rsidR="001D43FE" w:rsidRPr="00104C6A" w14:paraId="3EF2B53B" w14:textId="77777777">
      <w:pPr>
        <w:rPr>
          <w:b/>
          <w:szCs w:val="24"/>
        </w:rPr>
      </w:pPr>
    </w:p>
    <w:p w:rsidR="001D43FE" w:rsidRPr="00104C6A" w14:paraId="001F6550" w14:textId="77777777">
      <w:pPr>
        <w:rPr>
          <w:b/>
          <w:szCs w:val="24"/>
        </w:rPr>
        <w:sectPr w:rsidSect="001C586A">
          <w:headerReference w:type="even" r:id="rId11"/>
          <w:headerReference w:type="default" r:id="rId12"/>
          <w:footerReference w:type="default" r:id="rId13"/>
          <w:headerReference w:type="first" r:id="rId14"/>
          <w:footerReference w:type="first" r:id="rId15"/>
          <w:pgSz w:w="12240" w:h="15840"/>
          <w:pgMar w:top="1440" w:right="1800" w:bottom="1440" w:left="1800" w:header="720" w:footer="720" w:gutter="0"/>
          <w:pgNumType w:start="1"/>
          <w:cols w:space="720"/>
          <w:titlePg/>
          <w:docGrid w:linePitch="65"/>
        </w:sectPr>
      </w:pPr>
    </w:p>
    <w:p w:rsidR="001D43FE" w:rsidRPr="00104C6A" w14:paraId="4F7E6F79" w14:textId="3180D847">
      <w:pPr>
        <w:jc w:val="center"/>
        <w:rPr>
          <w:b/>
          <w:szCs w:val="24"/>
          <w:u w:val="single"/>
        </w:rPr>
      </w:pPr>
      <w:r w:rsidRPr="00104C6A">
        <w:rPr>
          <w:b/>
          <w:szCs w:val="24"/>
          <w:u w:val="single"/>
        </w:rPr>
        <w:t>TABLE OF CONTENTS</w:t>
      </w:r>
    </w:p>
    <w:p w:rsidR="00357750" w:rsidRPr="00104C6A" w14:paraId="36F5ECF1" w14:textId="77777777">
      <w:pPr>
        <w:jc w:val="center"/>
        <w:rPr>
          <w:b/>
          <w:szCs w:val="24"/>
        </w:rPr>
      </w:pPr>
    </w:p>
    <w:p w:rsidR="008A3612" w:rsidRPr="001C586A" w:rsidP="008A3612" w14:paraId="3408F665" w14:textId="77777777">
      <w:pPr>
        <w:jc w:val="right"/>
        <w:rPr>
          <w:b/>
          <w:szCs w:val="24"/>
        </w:rPr>
      </w:pPr>
      <w:r w:rsidRPr="001C586A">
        <w:rPr>
          <w:b/>
          <w:szCs w:val="24"/>
        </w:rPr>
        <w:t>PAGE</w:t>
      </w:r>
    </w:p>
    <w:p w:rsidR="008A3612" w:rsidRPr="001C586A" w:rsidP="008A3612" w14:paraId="56E147B9" w14:textId="77777777">
      <w:pPr>
        <w:jc w:val="center"/>
        <w:rPr>
          <w:b/>
          <w:szCs w:val="24"/>
        </w:rPr>
      </w:pPr>
    </w:p>
    <w:p w:rsidR="00790433" w14:paraId="19CC22FB" w14:textId="00909729">
      <w:pPr>
        <w:pStyle w:val="TOC1"/>
        <w:rPr>
          <w:rFonts w:asciiTheme="minorHAnsi" w:eastAsiaTheme="minorEastAsia" w:hAnsiTheme="minorHAnsi" w:cstheme="minorBidi"/>
          <w:noProof/>
          <w:sz w:val="22"/>
          <w:szCs w:val="22"/>
        </w:rPr>
      </w:pPr>
      <w:r w:rsidRPr="001C586A">
        <w:fldChar w:fldCharType="begin"/>
      </w:r>
      <w:r w:rsidRPr="001C586A">
        <w:instrText xml:space="preserve"> TOC \o "1-3" \h \z \u </w:instrText>
      </w:r>
      <w:r w:rsidRPr="001C586A">
        <w:fldChar w:fldCharType="separate"/>
      </w:r>
      <w:hyperlink w:anchor="_Toc124425002" w:history="1">
        <w:r w:rsidRPr="007217D3">
          <w:rPr>
            <w:rStyle w:val="Hyperlink"/>
            <w:noProof/>
          </w:rPr>
          <w:t>I.</w:t>
        </w:r>
        <w:r>
          <w:rPr>
            <w:rFonts w:asciiTheme="minorHAnsi" w:eastAsiaTheme="minorEastAsia" w:hAnsiTheme="minorHAnsi" w:cstheme="minorBidi"/>
            <w:noProof/>
            <w:sz w:val="22"/>
            <w:szCs w:val="22"/>
          </w:rPr>
          <w:tab/>
        </w:r>
        <w:r w:rsidRPr="007217D3">
          <w:rPr>
            <w:rStyle w:val="Hyperlink"/>
            <w:noProof/>
          </w:rPr>
          <w:t>INTRODUCTION</w:t>
        </w:r>
        <w:r>
          <w:rPr>
            <w:noProof/>
            <w:webHidden/>
          </w:rPr>
          <w:tab/>
        </w:r>
        <w:r>
          <w:rPr>
            <w:noProof/>
            <w:webHidden/>
          </w:rPr>
          <w:fldChar w:fldCharType="begin"/>
        </w:r>
        <w:r>
          <w:rPr>
            <w:noProof/>
            <w:webHidden/>
          </w:rPr>
          <w:instrText xml:space="preserve"> PAGEREF _Toc124425002 \h </w:instrText>
        </w:r>
        <w:r>
          <w:rPr>
            <w:noProof/>
            <w:webHidden/>
          </w:rPr>
          <w:fldChar w:fldCharType="separate"/>
        </w:r>
        <w:r>
          <w:rPr>
            <w:noProof/>
            <w:webHidden/>
          </w:rPr>
          <w:t>1</w:t>
        </w:r>
        <w:r>
          <w:rPr>
            <w:noProof/>
            <w:webHidden/>
          </w:rPr>
          <w:fldChar w:fldCharType="end"/>
        </w:r>
      </w:hyperlink>
    </w:p>
    <w:p w:rsidR="00790433" w14:paraId="4766B2C0" w14:textId="38CC56B7">
      <w:pPr>
        <w:pStyle w:val="TOC1"/>
        <w:rPr>
          <w:rFonts w:asciiTheme="minorHAnsi" w:eastAsiaTheme="minorEastAsia" w:hAnsiTheme="minorHAnsi" w:cstheme="minorBidi"/>
          <w:noProof/>
          <w:sz w:val="22"/>
          <w:szCs w:val="22"/>
        </w:rPr>
      </w:pPr>
      <w:hyperlink w:anchor="_Toc124425003" w:history="1">
        <w:r w:rsidRPr="007217D3" w:rsidR="008C78AB">
          <w:rPr>
            <w:rStyle w:val="Hyperlink"/>
            <w:noProof/>
          </w:rPr>
          <w:t xml:space="preserve">II. </w:t>
        </w:r>
        <w:r w:rsidR="008C78AB">
          <w:rPr>
            <w:rFonts w:asciiTheme="minorHAnsi" w:eastAsiaTheme="minorEastAsia" w:hAnsiTheme="minorHAnsi" w:cstheme="minorBidi"/>
            <w:noProof/>
            <w:sz w:val="22"/>
            <w:szCs w:val="22"/>
          </w:rPr>
          <w:tab/>
        </w:r>
        <w:r w:rsidRPr="007217D3" w:rsidR="008C78AB">
          <w:rPr>
            <w:rStyle w:val="Hyperlink"/>
            <w:noProof/>
          </w:rPr>
          <w:t>ASSIGNMENTS OF ERROR</w:t>
        </w:r>
        <w:r w:rsidR="008C78AB">
          <w:rPr>
            <w:noProof/>
            <w:webHidden/>
          </w:rPr>
          <w:tab/>
        </w:r>
        <w:r w:rsidR="008C78AB">
          <w:rPr>
            <w:noProof/>
            <w:webHidden/>
          </w:rPr>
          <w:fldChar w:fldCharType="begin"/>
        </w:r>
        <w:r w:rsidR="008C78AB">
          <w:rPr>
            <w:noProof/>
            <w:webHidden/>
          </w:rPr>
          <w:instrText xml:space="preserve"> PAGEREF _Toc124425003 \h </w:instrText>
        </w:r>
        <w:r w:rsidR="008C78AB">
          <w:rPr>
            <w:noProof/>
            <w:webHidden/>
          </w:rPr>
          <w:fldChar w:fldCharType="separate"/>
        </w:r>
        <w:r w:rsidR="008C78AB">
          <w:rPr>
            <w:noProof/>
            <w:webHidden/>
          </w:rPr>
          <w:t>3</w:t>
        </w:r>
        <w:r w:rsidR="008C78AB">
          <w:rPr>
            <w:noProof/>
            <w:webHidden/>
          </w:rPr>
          <w:fldChar w:fldCharType="end"/>
        </w:r>
      </w:hyperlink>
    </w:p>
    <w:p w:rsidR="00790433" w14:paraId="49E45919" w14:textId="7E9E8149">
      <w:pPr>
        <w:pStyle w:val="TOC2"/>
        <w:rPr>
          <w:rFonts w:asciiTheme="minorHAnsi" w:eastAsiaTheme="minorEastAsia" w:hAnsiTheme="minorHAnsi" w:cstheme="minorBidi"/>
          <w:noProof/>
          <w:sz w:val="22"/>
          <w:szCs w:val="22"/>
        </w:rPr>
      </w:pPr>
      <w:hyperlink w:anchor="_Toc124425004" w:history="1">
        <w:r w:rsidRPr="007217D3" w:rsidR="008C78AB">
          <w:rPr>
            <w:rStyle w:val="Hyperlink"/>
            <w:noProof/>
          </w:rPr>
          <w:t xml:space="preserve">ASSIGNMENT OF ERROR NO. 1: The PUCO erred by unreasonably </w:t>
        </w:r>
        <w:r w:rsidR="008C78AB">
          <w:rPr>
            <w:rStyle w:val="Hyperlink"/>
            <w:noProof/>
          </w:rPr>
          <w:br/>
        </w:r>
        <w:r w:rsidRPr="007217D3" w:rsidR="008C78AB">
          <w:rPr>
            <w:rStyle w:val="Hyperlink"/>
            <w:noProof/>
          </w:rPr>
          <w:t xml:space="preserve">approving a Settlement that was not the result of serious bargaining </w:t>
        </w:r>
        <w:r w:rsidR="008C78AB">
          <w:rPr>
            <w:rStyle w:val="Hyperlink"/>
            <w:noProof/>
          </w:rPr>
          <w:br/>
        </w:r>
        <w:r w:rsidRPr="007217D3" w:rsidR="008C78AB">
          <w:rPr>
            <w:rStyle w:val="Hyperlink"/>
            <w:noProof/>
          </w:rPr>
          <w:t>and does not represent the broad interests of residential consumers.</w:t>
        </w:r>
        <w:r w:rsidR="008C78AB">
          <w:rPr>
            <w:noProof/>
            <w:webHidden/>
          </w:rPr>
          <w:tab/>
        </w:r>
        <w:r w:rsidR="008C78AB">
          <w:rPr>
            <w:noProof/>
            <w:webHidden/>
          </w:rPr>
          <w:fldChar w:fldCharType="begin"/>
        </w:r>
        <w:r w:rsidR="008C78AB">
          <w:rPr>
            <w:noProof/>
            <w:webHidden/>
          </w:rPr>
          <w:instrText xml:space="preserve"> PAGEREF _Toc124425004 \h </w:instrText>
        </w:r>
        <w:r w:rsidR="008C78AB">
          <w:rPr>
            <w:noProof/>
            <w:webHidden/>
          </w:rPr>
          <w:fldChar w:fldCharType="separate"/>
        </w:r>
        <w:r w:rsidR="008C78AB">
          <w:rPr>
            <w:noProof/>
            <w:webHidden/>
          </w:rPr>
          <w:t>3</w:t>
        </w:r>
        <w:r w:rsidR="008C78AB">
          <w:rPr>
            <w:noProof/>
            <w:webHidden/>
          </w:rPr>
          <w:fldChar w:fldCharType="end"/>
        </w:r>
      </w:hyperlink>
    </w:p>
    <w:p w:rsidR="00790433" w14:paraId="583AFCC1" w14:textId="455F5E11">
      <w:pPr>
        <w:pStyle w:val="TOC2"/>
        <w:rPr>
          <w:rFonts w:asciiTheme="minorHAnsi" w:eastAsiaTheme="minorEastAsia" w:hAnsiTheme="minorHAnsi" w:cstheme="minorBidi"/>
          <w:noProof/>
          <w:sz w:val="22"/>
          <w:szCs w:val="22"/>
        </w:rPr>
      </w:pPr>
      <w:hyperlink w:anchor="_Toc124425005" w:history="1">
        <w:r w:rsidRPr="007217D3" w:rsidR="008C78AB">
          <w:rPr>
            <w:rStyle w:val="Hyperlink"/>
            <w:noProof/>
          </w:rPr>
          <w:t xml:space="preserve">ASSIGNMENT OF ERROR NO. 2: The PUCO erred by unlawfully </w:t>
        </w:r>
        <w:r w:rsidR="008C78AB">
          <w:rPr>
            <w:rStyle w:val="Hyperlink"/>
            <w:noProof/>
          </w:rPr>
          <w:br/>
        </w:r>
        <w:r w:rsidRPr="007217D3" w:rsidR="008C78AB">
          <w:rPr>
            <w:rStyle w:val="Hyperlink"/>
            <w:noProof/>
          </w:rPr>
          <w:t xml:space="preserve">approving a Settlement that discriminates against consumers outside </w:t>
        </w:r>
        <w:r w:rsidR="008C78AB">
          <w:rPr>
            <w:rStyle w:val="Hyperlink"/>
            <w:noProof/>
          </w:rPr>
          <w:br/>
        </w:r>
        <w:r w:rsidRPr="007217D3" w:rsidR="008C78AB">
          <w:rPr>
            <w:rStyle w:val="Hyperlink"/>
            <w:noProof/>
          </w:rPr>
          <w:t xml:space="preserve">the City of Cincinnati in violation of R.C. 4928.02(A) and R.C. 4905.33 </w:t>
        </w:r>
        <w:r w:rsidR="008C78AB">
          <w:rPr>
            <w:rStyle w:val="Hyperlink"/>
            <w:noProof/>
          </w:rPr>
          <w:br/>
        </w:r>
        <w:r w:rsidRPr="007217D3" w:rsidR="008C78AB">
          <w:rPr>
            <w:rStyle w:val="Hyperlink"/>
            <w:noProof/>
          </w:rPr>
          <w:t>and fails to protect at-risk populations in violation of R.C. 4928.02(L).</w:t>
        </w:r>
        <w:r w:rsidR="008C78AB">
          <w:rPr>
            <w:noProof/>
            <w:webHidden/>
          </w:rPr>
          <w:tab/>
        </w:r>
        <w:r w:rsidR="008C78AB">
          <w:rPr>
            <w:noProof/>
            <w:webHidden/>
          </w:rPr>
          <w:fldChar w:fldCharType="begin"/>
        </w:r>
        <w:r w:rsidR="008C78AB">
          <w:rPr>
            <w:noProof/>
            <w:webHidden/>
          </w:rPr>
          <w:instrText xml:space="preserve"> PAGEREF _Toc124425005 \h </w:instrText>
        </w:r>
        <w:r w:rsidR="008C78AB">
          <w:rPr>
            <w:noProof/>
            <w:webHidden/>
          </w:rPr>
          <w:fldChar w:fldCharType="separate"/>
        </w:r>
        <w:r w:rsidR="008C78AB">
          <w:rPr>
            <w:noProof/>
            <w:webHidden/>
          </w:rPr>
          <w:t>9</w:t>
        </w:r>
        <w:r w:rsidR="008C78AB">
          <w:rPr>
            <w:noProof/>
            <w:webHidden/>
          </w:rPr>
          <w:fldChar w:fldCharType="end"/>
        </w:r>
      </w:hyperlink>
    </w:p>
    <w:p w:rsidR="00790433" w14:paraId="69FF6ECC" w14:textId="3179F94D">
      <w:pPr>
        <w:pStyle w:val="TOC2"/>
        <w:rPr>
          <w:rFonts w:asciiTheme="minorHAnsi" w:eastAsiaTheme="minorEastAsia" w:hAnsiTheme="minorHAnsi" w:cstheme="minorBidi"/>
          <w:noProof/>
          <w:sz w:val="22"/>
          <w:szCs w:val="22"/>
        </w:rPr>
      </w:pPr>
      <w:hyperlink w:anchor="_Toc124425006" w:history="1">
        <w:r w:rsidRPr="007217D3" w:rsidR="008C78AB">
          <w:rPr>
            <w:rStyle w:val="Hyperlink"/>
            <w:noProof/>
          </w:rPr>
          <w:t xml:space="preserve">ASSIGNMENT OF ERROR NO. 3: The PUCO erred by unlawfully </w:t>
        </w:r>
        <w:r w:rsidR="008C78AB">
          <w:rPr>
            <w:rStyle w:val="Hyperlink"/>
            <w:noProof/>
          </w:rPr>
          <w:br/>
        </w:r>
        <w:r w:rsidRPr="007217D3" w:rsidR="008C78AB">
          <w:rPr>
            <w:rStyle w:val="Hyperlink"/>
            <w:noProof/>
          </w:rPr>
          <w:t xml:space="preserve">upholding a procedural schedule that limited OCC’s case preparation </w:t>
        </w:r>
        <w:r w:rsidR="008C78AB">
          <w:rPr>
            <w:rStyle w:val="Hyperlink"/>
            <w:noProof/>
          </w:rPr>
          <w:br/>
        </w:r>
        <w:r w:rsidRPr="007217D3" w:rsidR="008C78AB">
          <w:rPr>
            <w:rStyle w:val="Hyperlink"/>
            <w:noProof/>
          </w:rPr>
          <w:t xml:space="preserve">and restricted OCC’s “ample rights” of discovery in violation of R.C. </w:t>
        </w:r>
        <w:r w:rsidR="008C78AB">
          <w:rPr>
            <w:rStyle w:val="Hyperlink"/>
            <w:noProof/>
          </w:rPr>
          <w:br/>
        </w:r>
        <w:r w:rsidRPr="007217D3" w:rsidR="008C78AB">
          <w:rPr>
            <w:rStyle w:val="Hyperlink"/>
            <w:noProof/>
          </w:rPr>
          <w:t>4903.082 and Ohio Supreme Court precedent.</w:t>
        </w:r>
        <w:r w:rsidR="008C78AB">
          <w:rPr>
            <w:noProof/>
            <w:webHidden/>
          </w:rPr>
          <w:tab/>
        </w:r>
        <w:r w:rsidR="008C78AB">
          <w:rPr>
            <w:noProof/>
            <w:webHidden/>
          </w:rPr>
          <w:fldChar w:fldCharType="begin"/>
        </w:r>
        <w:r w:rsidR="008C78AB">
          <w:rPr>
            <w:noProof/>
            <w:webHidden/>
          </w:rPr>
          <w:instrText xml:space="preserve"> PAGEREF _Toc124425006 \h </w:instrText>
        </w:r>
        <w:r w:rsidR="008C78AB">
          <w:rPr>
            <w:noProof/>
            <w:webHidden/>
          </w:rPr>
          <w:fldChar w:fldCharType="separate"/>
        </w:r>
        <w:r w:rsidR="008C78AB">
          <w:rPr>
            <w:noProof/>
            <w:webHidden/>
          </w:rPr>
          <w:t>11</w:t>
        </w:r>
        <w:r w:rsidR="008C78AB">
          <w:rPr>
            <w:noProof/>
            <w:webHidden/>
          </w:rPr>
          <w:fldChar w:fldCharType="end"/>
        </w:r>
      </w:hyperlink>
    </w:p>
    <w:p w:rsidR="00790433" w14:paraId="074A7D87" w14:textId="35B5EFC1">
      <w:pPr>
        <w:pStyle w:val="TOC1"/>
        <w:rPr>
          <w:rFonts w:asciiTheme="minorHAnsi" w:eastAsiaTheme="minorEastAsia" w:hAnsiTheme="minorHAnsi" w:cstheme="minorBidi"/>
          <w:noProof/>
          <w:sz w:val="22"/>
          <w:szCs w:val="22"/>
        </w:rPr>
      </w:pPr>
      <w:hyperlink w:anchor="_Toc124425007" w:history="1">
        <w:r w:rsidRPr="007217D3" w:rsidR="008C78AB">
          <w:rPr>
            <w:rStyle w:val="Hyperlink"/>
            <w:noProof/>
          </w:rPr>
          <w:t>III.</w:t>
        </w:r>
        <w:r w:rsidR="008C78AB">
          <w:rPr>
            <w:rFonts w:asciiTheme="minorHAnsi" w:eastAsiaTheme="minorEastAsia" w:hAnsiTheme="minorHAnsi" w:cstheme="minorBidi"/>
            <w:noProof/>
            <w:sz w:val="22"/>
            <w:szCs w:val="22"/>
          </w:rPr>
          <w:tab/>
        </w:r>
        <w:r w:rsidRPr="007217D3" w:rsidR="008C78AB">
          <w:rPr>
            <w:rStyle w:val="Hyperlink"/>
            <w:noProof/>
          </w:rPr>
          <w:t>CONCLUSION</w:t>
        </w:r>
        <w:r w:rsidR="008C78AB">
          <w:rPr>
            <w:noProof/>
            <w:webHidden/>
          </w:rPr>
          <w:tab/>
        </w:r>
        <w:r w:rsidR="008C78AB">
          <w:rPr>
            <w:noProof/>
            <w:webHidden/>
          </w:rPr>
          <w:fldChar w:fldCharType="begin"/>
        </w:r>
        <w:r w:rsidR="008C78AB">
          <w:rPr>
            <w:noProof/>
            <w:webHidden/>
          </w:rPr>
          <w:instrText xml:space="preserve"> PAGEREF _Toc124425007 \h </w:instrText>
        </w:r>
        <w:r w:rsidR="008C78AB">
          <w:rPr>
            <w:noProof/>
            <w:webHidden/>
          </w:rPr>
          <w:fldChar w:fldCharType="separate"/>
        </w:r>
        <w:r w:rsidR="008C78AB">
          <w:rPr>
            <w:noProof/>
            <w:webHidden/>
          </w:rPr>
          <w:t>14</w:t>
        </w:r>
        <w:r w:rsidR="008C78AB">
          <w:rPr>
            <w:noProof/>
            <w:webHidden/>
          </w:rPr>
          <w:fldChar w:fldCharType="end"/>
        </w:r>
      </w:hyperlink>
    </w:p>
    <w:p w:rsidR="00554C9A" w:rsidRPr="00104C6A" w:rsidP="008A3612" w14:paraId="64A86021" w14:textId="4FBE495B">
      <w:pPr>
        <w:rPr>
          <w:b/>
          <w:szCs w:val="24"/>
        </w:rPr>
      </w:pPr>
      <w:r w:rsidRPr="001C586A">
        <w:rPr>
          <w:b/>
          <w:bCs/>
          <w:noProof/>
          <w:szCs w:val="24"/>
        </w:rPr>
        <w:fldChar w:fldCharType="end"/>
      </w:r>
    </w:p>
    <w:p w:rsidR="001D43FE" w:rsidRPr="00104C6A" w:rsidP="000B4EC8" w14:paraId="2A7CBA84" w14:textId="77777777">
      <w:pPr>
        <w:jc w:val="center"/>
        <w:rPr>
          <w:b/>
          <w:szCs w:val="24"/>
        </w:rPr>
        <w:sectPr w:rsidSect="001C586A">
          <w:headerReference w:type="even" r:id="rId16"/>
          <w:headerReference w:type="default" r:id="rId17"/>
          <w:footerReference w:type="default" r:id="rId18"/>
          <w:headerReference w:type="first" r:id="rId19"/>
          <w:footerReference w:type="first" r:id="rId20"/>
          <w:pgSz w:w="12240" w:h="15840"/>
          <w:pgMar w:top="1440" w:right="1800" w:bottom="1440" w:left="1800" w:header="720" w:footer="720" w:gutter="0"/>
          <w:pgNumType w:fmt="lowerRoman" w:start="1"/>
          <w:cols w:space="720"/>
          <w:titlePg/>
          <w:docGrid w:linePitch="65"/>
        </w:sectPr>
      </w:pPr>
      <w:r w:rsidRPr="00104C6A">
        <w:rPr>
          <w:b/>
          <w:szCs w:val="24"/>
        </w:rPr>
        <w:tab/>
      </w:r>
    </w:p>
    <w:p w:rsidR="001D43FE" w:rsidRPr="00104C6A" w14:paraId="0E0C1C58" w14:textId="77777777">
      <w:pPr>
        <w:jc w:val="center"/>
        <w:rPr>
          <w:b/>
          <w:szCs w:val="24"/>
        </w:rPr>
      </w:pPr>
      <w:r w:rsidRPr="00104C6A">
        <w:rPr>
          <w:b/>
          <w:szCs w:val="24"/>
        </w:rPr>
        <w:t>BEFORE</w:t>
      </w:r>
    </w:p>
    <w:p w:rsidR="001D43FE" w:rsidRPr="00104C6A" w14:paraId="01A80CE7" w14:textId="77777777">
      <w:pPr>
        <w:jc w:val="center"/>
        <w:rPr>
          <w:b/>
          <w:bCs/>
          <w:szCs w:val="24"/>
        </w:rPr>
      </w:pPr>
      <w:r w:rsidRPr="00104C6A">
        <w:rPr>
          <w:b/>
          <w:bCs/>
          <w:szCs w:val="24"/>
        </w:rPr>
        <w:t>THE PUBLIC UTILITIES COMMISSION OF OHIO</w:t>
      </w:r>
    </w:p>
    <w:p w:rsidR="001D43FE" w:rsidRPr="00104C6A" w14:paraId="27039E7C" w14:textId="77777777">
      <w:pPr>
        <w:pStyle w:val="HTMLPreformatted"/>
        <w:rPr>
          <w:rFonts w:ascii="Times New Roman" w:hAnsi="Times New Roman" w:cs="Times New Roman"/>
          <w:sz w:val="24"/>
          <w:szCs w:val="24"/>
        </w:rPr>
      </w:pPr>
    </w:p>
    <w:tbl>
      <w:tblPr>
        <w:tblW w:w="8730" w:type="dxa"/>
        <w:tblLook w:val="01E0"/>
      </w:tblPr>
      <w:tblGrid>
        <w:gridCol w:w="4122"/>
        <w:gridCol w:w="576"/>
        <w:gridCol w:w="4032"/>
      </w:tblGrid>
      <w:tr w14:paraId="388999CC" w14:textId="77777777" w:rsidTr="00CA57F8">
        <w:tblPrEx>
          <w:tblW w:w="8730" w:type="dxa"/>
          <w:tblLook w:val="01E0"/>
        </w:tblPrEx>
        <w:trPr>
          <w:trHeight w:val="807"/>
        </w:trPr>
        <w:tc>
          <w:tcPr>
            <w:tcW w:w="4122" w:type="dxa"/>
          </w:tcPr>
          <w:p w:rsidR="00DA53CB" w:rsidRPr="00104C6A" w:rsidP="00CA57F8" w14:paraId="0423A509" w14:textId="77777777">
            <w:pPr>
              <w:tabs>
                <w:tab w:val="left" w:pos="8730"/>
              </w:tabs>
              <w:adjustRightInd w:val="0"/>
              <w:rPr>
                <w:rFonts w:eastAsia="Calibri"/>
                <w:szCs w:val="24"/>
              </w:rPr>
            </w:pPr>
            <w:r w:rsidRPr="00104C6A">
              <w:rPr>
                <w:rFonts w:eastAsia="Calibri"/>
                <w:szCs w:val="24"/>
              </w:rPr>
              <w:t xml:space="preserve">In the Matter of the Application of Duke Energy Ohio, Inc., for an Increase in Electric Distribution Rates. </w:t>
            </w:r>
          </w:p>
          <w:p w:rsidR="00DA53CB" w:rsidRPr="00104C6A" w:rsidP="00CA57F8" w14:paraId="667EF2CE" w14:textId="77777777">
            <w:pPr>
              <w:tabs>
                <w:tab w:val="left" w:pos="8730"/>
              </w:tabs>
              <w:adjustRightInd w:val="0"/>
              <w:rPr>
                <w:rFonts w:eastAsia="Calibri"/>
                <w:szCs w:val="24"/>
              </w:rPr>
            </w:pPr>
          </w:p>
          <w:p w:rsidR="00DA53CB" w:rsidRPr="00104C6A" w:rsidP="00CA57F8" w14:paraId="2F35ACF1" w14:textId="77777777">
            <w:pPr>
              <w:tabs>
                <w:tab w:val="left" w:pos="8730"/>
              </w:tabs>
              <w:adjustRightInd w:val="0"/>
              <w:rPr>
                <w:rFonts w:eastAsia="Calibri"/>
                <w:szCs w:val="24"/>
              </w:rPr>
            </w:pPr>
            <w:r w:rsidRPr="00104C6A">
              <w:rPr>
                <w:rFonts w:eastAsia="Calibri"/>
                <w:szCs w:val="24"/>
              </w:rPr>
              <w:t>In the Matter of the Application of Duke Energy Ohio, Inc., for Tariff Approval.</w:t>
            </w:r>
          </w:p>
          <w:p w:rsidR="00DA53CB" w:rsidRPr="00104C6A" w:rsidP="00CA57F8" w14:paraId="393866CD" w14:textId="77777777">
            <w:pPr>
              <w:tabs>
                <w:tab w:val="left" w:pos="8730"/>
              </w:tabs>
              <w:adjustRightInd w:val="0"/>
              <w:rPr>
                <w:szCs w:val="24"/>
              </w:rPr>
            </w:pPr>
          </w:p>
          <w:p w:rsidR="00DA53CB" w:rsidRPr="00104C6A" w:rsidP="00CA57F8" w14:paraId="43CCAABA" w14:textId="77777777">
            <w:pPr>
              <w:tabs>
                <w:tab w:val="left" w:pos="8730"/>
              </w:tabs>
              <w:adjustRightInd w:val="0"/>
              <w:rPr>
                <w:szCs w:val="24"/>
              </w:rPr>
            </w:pPr>
            <w:r w:rsidRPr="00104C6A">
              <w:rPr>
                <w:szCs w:val="24"/>
              </w:rPr>
              <w:t>In the Matter of the Application of Duke Energy Ohio, Inc., for Approval to Change Accounting Methods.</w:t>
            </w:r>
          </w:p>
        </w:tc>
        <w:tc>
          <w:tcPr>
            <w:tcW w:w="576" w:type="dxa"/>
          </w:tcPr>
          <w:p w:rsidR="00DA53CB" w:rsidRPr="00104C6A" w:rsidP="00CA57F8" w14:paraId="1DBE7CC3"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2FC4FA7D"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32CA6959"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1A38504E"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7D6D730F"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6AE40586"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48B4E848"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5F3FDCB5"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300301B1"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p w:rsidR="00DA53CB" w:rsidRPr="00104C6A" w:rsidP="00CA57F8" w14:paraId="7E64B964"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w:t>
            </w:r>
          </w:p>
        </w:tc>
        <w:tc>
          <w:tcPr>
            <w:tcW w:w="4032" w:type="dxa"/>
          </w:tcPr>
          <w:p w:rsidR="00DA53CB" w:rsidRPr="00104C6A" w:rsidP="00CA57F8" w14:paraId="79292637"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3AABF39B"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21-887-EL-AIR</w:t>
            </w:r>
          </w:p>
          <w:p w:rsidR="00DA53CB" w:rsidRPr="00104C6A" w:rsidP="00CA57F8" w14:paraId="71AD633D"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23C50483"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584AD80D"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4A4F48FB"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21-888-EL-AIR</w:t>
            </w:r>
          </w:p>
          <w:p w:rsidR="00DA53CB" w:rsidRPr="00104C6A" w:rsidP="00CA57F8" w14:paraId="5EAFB25A"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155A197D" w14:textId="77777777">
            <w:pPr>
              <w:pStyle w:val="HTMLPreformatted"/>
              <w:tabs>
                <w:tab w:val="left" w:pos="8730"/>
                <w:tab w:val="clear" w:pos="10076"/>
              </w:tabs>
              <w:rPr>
                <w:rFonts w:ascii="Times New Roman" w:hAnsi="Times New Roman" w:cs="Times New Roman"/>
                <w:sz w:val="24"/>
                <w:szCs w:val="24"/>
              </w:rPr>
            </w:pPr>
          </w:p>
          <w:p w:rsidR="00DA53CB" w:rsidRPr="00104C6A" w:rsidP="00CA57F8" w14:paraId="3C908E60" w14:textId="77777777">
            <w:pPr>
              <w:pStyle w:val="HTMLPreformatted"/>
              <w:tabs>
                <w:tab w:val="left" w:pos="8730"/>
                <w:tab w:val="clear" w:pos="10076"/>
              </w:tabs>
              <w:rPr>
                <w:rFonts w:ascii="Times New Roman" w:hAnsi="Times New Roman" w:cs="Times New Roman"/>
                <w:sz w:val="24"/>
                <w:szCs w:val="24"/>
              </w:rPr>
            </w:pPr>
            <w:r w:rsidRPr="00104C6A">
              <w:rPr>
                <w:rFonts w:ascii="Times New Roman" w:hAnsi="Times New Roman" w:cs="Times New Roman"/>
                <w:sz w:val="24"/>
                <w:szCs w:val="24"/>
              </w:rPr>
              <w:t>Case No. 21-889-EL-AIR</w:t>
            </w:r>
          </w:p>
          <w:p w:rsidR="00DA53CB" w:rsidRPr="00104C6A" w:rsidP="00CA57F8" w14:paraId="10B2DB09" w14:textId="77777777">
            <w:pPr>
              <w:pStyle w:val="HTMLPreformatted"/>
              <w:tabs>
                <w:tab w:val="left" w:pos="8730"/>
                <w:tab w:val="clear" w:pos="10076"/>
              </w:tabs>
              <w:rPr>
                <w:rFonts w:ascii="Times New Roman" w:hAnsi="Times New Roman" w:cs="Times New Roman"/>
                <w:sz w:val="24"/>
                <w:szCs w:val="24"/>
              </w:rPr>
            </w:pPr>
          </w:p>
        </w:tc>
      </w:tr>
    </w:tbl>
    <w:p w:rsidR="001D43FE" w:rsidRPr="00104C6A" w14:paraId="1D27B037" w14:textId="77777777">
      <w:pPr>
        <w:pStyle w:val="HTMLPreformatted"/>
        <w:pBdr>
          <w:bottom w:val="single" w:sz="12" w:space="1" w:color="auto"/>
        </w:pBdr>
        <w:rPr>
          <w:rFonts w:ascii="Times New Roman" w:hAnsi="Times New Roman" w:cs="Times New Roman"/>
          <w:sz w:val="24"/>
          <w:szCs w:val="24"/>
        </w:rPr>
      </w:pPr>
    </w:p>
    <w:p w:rsidR="001D43FE" w:rsidRPr="00104C6A" w14:paraId="169FF551" w14:textId="77777777">
      <w:pPr>
        <w:pStyle w:val="HTMLPreformatted"/>
        <w:rPr>
          <w:rFonts w:ascii="Times New Roman" w:hAnsi="Times New Roman" w:cs="Times New Roman"/>
          <w:sz w:val="24"/>
          <w:szCs w:val="24"/>
        </w:rPr>
      </w:pPr>
      <w:r w:rsidRPr="00104C6A">
        <w:rPr>
          <w:rFonts w:ascii="Times New Roman" w:hAnsi="Times New Roman" w:cs="Times New Roman"/>
          <w:sz w:val="24"/>
          <w:szCs w:val="24"/>
        </w:rPr>
        <w:tab/>
      </w:r>
    </w:p>
    <w:p w:rsidR="001D43FE" w:rsidRPr="00104C6A" w14:paraId="1192D4E8" w14:textId="77777777">
      <w:pPr>
        <w:jc w:val="center"/>
        <w:rPr>
          <w:b/>
          <w:szCs w:val="24"/>
        </w:rPr>
      </w:pPr>
      <w:r w:rsidRPr="00104C6A">
        <w:rPr>
          <w:b/>
          <w:szCs w:val="24"/>
        </w:rPr>
        <w:t>MEMORANDUM IN SUPPORT</w:t>
      </w:r>
    </w:p>
    <w:p w:rsidR="001D43FE" w:rsidRPr="00104C6A" w:rsidP="00483D91" w14:paraId="48FE8FC3" w14:textId="77777777">
      <w:pPr>
        <w:pBdr>
          <w:bottom w:val="single" w:sz="12" w:space="1" w:color="auto"/>
        </w:pBdr>
        <w:spacing w:after="240"/>
        <w:jc w:val="center"/>
        <w:rPr>
          <w:b/>
          <w:szCs w:val="24"/>
        </w:rPr>
      </w:pPr>
    </w:p>
    <w:p w:rsidR="001D43FE" w:rsidRPr="00104C6A" w:rsidP="003F7B14" w14:paraId="2A306301" w14:textId="0E759D1C">
      <w:pPr>
        <w:pStyle w:val="Heading1"/>
        <w:rPr>
          <w:rFonts w:ascii="Times New Roman" w:hAnsi="Times New Roman"/>
        </w:rPr>
      </w:pPr>
      <w:bookmarkStart w:id="1" w:name="_Toc332365646"/>
      <w:bookmarkStart w:id="2" w:name="_Toc374366158"/>
      <w:bookmarkStart w:id="3" w:name="_Toc374707411"/>
      <w:bookmarkStart w:id="4" w:name="_Toc374707564"/>
      <w:bookmarkStart w:id="5" w:name="_Toc123045778"/>
      <w:bookmarkStart w:id="6" w:name="_Toc124235572"/>
      <w:bookmarkStart w:id="7" w:name="_Toc124425002"/>
      <w:bookmarkStart w:id="8" w:name="_Toc260397336"/>
      <w:bookmarkStart w:id="9" w:name="_Toc273102568"/>
      <w:r w:rsidRPr="00104C6A">
        <w:rPr>
          <w:rFonts w:ascii="Times New Roman" w:hAnsi="Times New Roman"/>
        </w:rPr>
        <w:t>I.</w:t>
      </w:r>
      <w:r w:rsidRPr="00104C6A">
        <w:rPr>
          <w:rFonts w:ascii="Times New Roman" w:hAnsi="Times New Roman"/>
        </w:rPr>
        <w:tab/>
        <w:t>INTRODUCTION</w:t>
      </w:r>
      <w:bookmarkEnd w:id="1"/>
      <w:bookmarkEnd w:id="2"/>
      <w:bookmarkEnd w:id="3"/>
      <w:bookmarkEnd w:id="4"/>
      <w:bookmarkEnd w:id="5"/>
      <w:bookmarkEnd w:id="6"/>
      <w:bookmarkEnd w:id="7"/>
    </w:p>
    <w:p w:rsidR="00E812AF" w:rsidRPr="00104C6A" w:rsidP="008B6201" w14:paraId="25AC78DE" w14:textId="77777777">
      <w:pPr>
        <w:spacing w:line="480" w:lineRule="auto"/>
        <w:rPr>
          <w:szCs w:val="24"/>
        </w:rPr>
      </w:pPr>
      <w:r w:rsidRPr="00104C6A">
        <w:rPr>
          <w:szCs w:val="24"/>
        </w:rPr>
        <w:tab/>
      </w:r>
      <w:r w:rsidRPr="00104C6A" w:rsidR="00BF2183">
        <w:rPr>
          <w:szCs w:val="24"/>
        </w:rPr>
        <w:t xml:space="preserve">At this time of soaring energy prices, inflation and a potential recession, Duke, the PUCO Staff, and others signed a </w:t>
      </w:r>
      <w:r w:rsidRPr="00104C6A" w:rsidR="00895D8A">
        <w:rPr>
          <w:szCs w:val="24"/>
        </w:rPr>
        <w:t>S</w:t>
      </w:r>
      <w:r w:rsidRPr="00104C6A" w:rsidR="00BF2183">
        <w:rPr>
          <w:szCs w:val="24"/>
        </w:rPr>
        <w:t>ettlement</w:t>
      </w:r>
      <w:r>
        <w:rPr>
          <w:rStyle w:val="FootnoteReference"/>
          <w:szCs w:val="24"/>
        </w:rPr>
        <w:footnoteReference w:id="7"/>
      </w:r>
      <w:r w:rsidRPr="00104C6A" w:rsidR="00BF2183">
        <w:rPr>
          <w:szCs w:val="24"/>
        </w:rPr>
        <w:t xml:space="preserve"> to increase consumers’ electric rates by $23.1 million annually.</w:t>
      </w:r>
      <w:r>
        <w:rPr>
          <w:rStyle w:val="FootnoteReference"/>
          <w:szCs w:val="24"/>
        </w:rPr>
        <w:footnoteReference w:id="8"/>
      </w:r>
      <w:r w:rsidRPr="00104C6A" w:rsidR="00BF2183">
        <w:rPr>
          <w:szCs w:val="24"/>
        </w:rPr>
        <w:t xml:space="preserve"> OCC, </w:t>
      </w:r>
      <w:r w:rsidRPr="00104C6A" w:rsidR="002075ED">
        <w:rPr>
          <w:szCs w:val="24"/>
        </w:rPr>
        <w:t>the statutory representative of Duke’s</w:t>
      </w:r>
      <w:r w:rsidRPr="00104C6A" w:rsidR="00BF2183">
        <w:rPr>
          <w:szCs w:val="24"/>
        </w:rPr>
        <w:t xml:space="preserve"> residential consumers, </w:t>
      </w:r>
      <w:r w:rsidRPr="00104C6A" w:rsidR="00602443">
        <w:rPr>
          <w:szCs w:val="24"/>
        </w:rPr>
        <w:t xml:space="preserve">did not sign </w:t>
      </w:r>
      <w:r w:rsidRPr="00104C6A" w:rsidR="00BF2183">
        <w:rPr>
          <w:szCs w:val="24"/>
        </w:rPr>
        <w:t xml:space="preserve">the settlement because it is a bad deal, discriminatory, and fails to adequately protect at-risk populations. </w:t>
      </w:r>
    </w:p>
    <w:p w:rsidR="00D85F55" w:rsidRPr="00104C6A" w:rsidP="00BF0B68" w14:paraId="286DC034" w14:textId="340101BD">
      <w:pPr>
        <w:spacing w:line="480" w:lineRule="auto"/>
        <w:ind w:firstLine="720"/>
        <w:rPr>
          <w:szCs w:val="24"/>
        </w:rPr>
      </w:pPr>
      <w:r w:rsidRPr="00104C6A">
        <w:rPr>
          <w:szCs w:val="24"/>
        </w:rPr>
        <w:t>The</w:t>
      </w:r>
      <w:r w:rsidRPr="00104C6A" w:rsidR="00BF2183">
        <w:rPr>
          <w:szCs w:val="24"/>
        </w:rPr>
        <w:t xml:space="preserve"> PUCO </w:t>
      </w:r>
      <w:r w:rsidRPr="00104C6A" w:rsidR="005A5CFC">
        <w:rPr>
          <w:szCs w:val="24"/>
        </w:rPr>
        <w:t>approved the settlement in its December 14, 2022 Order, summarily rejecting OCC’s evidence that the settlement fails the PUCO’s three-part settlement test</w:t>
      </w:r>
      <w:r w:rsidRPr="00104C6A">
        <w:rPr>
          <w:szCs w:val="24"/>
        </w:rPr>
        <w:t xml:space="preserve">. For the reasons explained below, the PUCO should grant rehearing and abrogate or modify the Order. </w:t>
      </w:r>
    </w:p>
    <w:p w:rsidR="006D5519" w:rsidRPr="00104C6A" w:rsidP="002D4A05" w14:paraId="6EA26A00" w14:textId="0C08FC48">
      <w:pPr>
        <w:spacing w:line="480" w:lineRule="auto"/>
        <w:ind w:firstLine="720"/>
        <w:rPr>
          <w:szCs w:val="24"/>
        </w:rPr>
      </w:pPr>
      <w:r w:rsidRPr="00104C6A">
        <w:rPr>
          <w:szCs w:val="24"/>
        </w:rPr>
        <w:t>T</w:t>
      </w:r>
      <w:r w:rsidRPr="00104C6A" w:rsidR="006B5017">
        <w:rPr>
          <w:szCs w:val="24"/>
        </w:rPr>
        <w:t xml:space="preserve">he </w:t>
      </w:r>
      <w:r w:rsidRPr="00104C6A" w:rsidR="002D4A05">
        <w:rPr>
          <w:szCs w:val="24"/>
        </w:rPr>
        <w:t>Settlement</w:t>
      </w:r>
      <w:r w:rsidRPr="00104C6A" w:rsidR="006B5017">
        <w:rPr>
          <w:szCs w:val="24"/>
        </w:rPr>
        <w:t xml:space="preserve"> approved by the PUCO</w:t>
      </w:r>
      <w:r w:rsidRPr="00104C6A" w:rsidR="00D85F55">
        <w:rPr>
          <w:szCs w:val="24"/>
        </w:rPr>
        <w:t xml:space="preserve"> </w:t>
      </w:r>
      <w:r w:rsidRPr="00104C6A" w:rsidR="00892AF8">
        <w:rPr>
          <w:szCs w:val="24"/>
        </w:rPr>
        <w:t>is not the product of serious bargaining, as required by the PUCO’s three-part test to evaluate settlements</w:t>
      </w:r>
      <w:r w:rsidRPr="00104C6A" w:rsidR="002D4A05">
        <w:rPr>
          <w:szCs w:val="24"/>
        </w:rPr>
        <w:t xml:space="preserve">. </w:t>
      </w:r>
      <w:r w:rsidRPr="00104C6A" w:rsidR="00892AF8">
        <w:rPr>
          <w:szCs w:val="24"/>
        </w:rPr>
        <w:t>T</w:t>
      </w:r>
      <w:r w:rsidRPr="00104C6A" w:rsidR="009871AF">
        <w:rPr>
          <w:szCs w:val="24"/>
        </w:rPr>
        <w:t>he s</w:t>
      </w:r>
      <w:r w:rsidRPr="00104C6A" w:rsidR="005D23D1">
        <w:rPr>
          <w:szCs w:val="24"/>
        </w:rPr>
        <w:t>ettling parties</w:t>
      </w:r>
      <w:r w:rsidRPr="00104C6A" w:rsidR="002D4A05">
        <w:rPr>
          <w:szCs w:val="24"/>
        </w:rPr>
        <w:t xml:space="preserve"> </w:t>
      </w:r>
      <w:r w:rsidRPr="00104C6A" w:rsidR="008B6201">
        <w:rPr>
          <w:szCs w:val="24"/>
        </w:rPr>
        <w:t xml:space="preserve">do not fully represent </w:t>
      </w:r>
      <w:r w:rsidRPr="00104C6A" w:rsidR="002D4A05">
        <w:rPr>
          <w:szCs w:val="24"/>
        </w:rPr>
        <w:t xml:space="preserve">residential </w:t>
      </w:r>
      <w:r w:rsidRPr="00104C6A" w:rsidR="008B6201">
        <w:rPr>
          <w:szCs w:val="24"/>
        </w:rPr>
        <w:t>consumers’ interests</w:t>
      </w:r>
      <w:r w:rsidRPr="00104C6A" w:rsidR="009871AF">
        <w:rPr>
          <w:szCs w:val="24"/>
        </w:rPr>
        <w:t>.</w:t>
      </w:r>
      <w:r w:rsidRPr="00104C6A" w:rsidR="002D4A05">
        <w:rPr>
          <w:szCs w:val="24"/>
        </w:rPr>
        <w:t xml:space="preserve"> </w:t>
      </w:r>
      <w:r w:rsidRPr="00104C6A" w:rsidR="009871AF">
        <w:rPr>
          <w:szCs w:val="24"/>
        </w:rPr>
        <w:t>Y</w:t>
      </w:r>
      <w:r w:rsidRPr="00104C6A" w:rsidR="002D4A05">
        <w:rPr>
          <w:szCs w:val="24"/>
        </w:rPr>
        <w:t>et they</w:t>
      </w:r>
      <w:r w:rsidRPr="00104C6A" w:rsidR="009871AF">
        <w:rPr>
          <w:szCs w:val="24"/>
        </w:rPr>
        <w:t xml:space="preserve"> </w:t>
      </w:r>
      <w:r w:rsidRPr="00104C6A" w:rsidR="008B6201">
        <w:rPr>
          <w:szCs w:val="24"/>
        </w:rPr>
        <w:t>agreed to make residential consumers pay the bulk of</w:t>
      </w:r>
      <w:r w:rsidRPr="00104C6A" w:rsidR="00602443">
        <w:rPr>
          <w:szCs w:val="24"/>
        </w:rPr>
        <w:t xml:space="preserve"> </w:t>
      </w:r>
      <w:r w:rsidRPr="00104C6A" w:rsidR="00726796">
        <w:rPr>
          <w:szCs w:val="24"/>
        </w:rPr>
        <w:t xml:space="preserve">Duke’s </w:t>
      </w:r>
      <w:r w:rsidRPr="00104C6A" w:rsidR="00694D9F">
        <w:rPr>
          <w:szCs w:val="24"/>
        </w:rPr>
        <w:t>$23.1 million rate increase</w:t>
      </w:r>
      <w:r w:rsidRPr="00104C6A" w:rsidR="00892AF8">
        <w:rPr>
          <w:szCs w:val="24"/>
        </w:rPr>
        <w:t>, which</w:t>
      </w:r>
      <w:r w:rsidRPr="00104C6A" w:rsidR="002D4A05">
        <w:rPr>
          <w:szCs w:val="24"/>
        </w:rPr>
        <w:t xml:space="preserve"> is</w:t>
      </w:r>
      <w:r w:rsidRPr="00104C6A" w:rsidR="00D01C2F">
        <w:rPr>
          <w:szCs w:val="24"/>
        </w:rPr>
        <w:t xml:space="preserve"> nearly three times greater than the mid-point ($1.86 million to $15.27 million) the PUCO Staff</w:t>
      </w:r>
      <w:r w:rsidRPr="00104C6A" w:rsidR="00AD71CC">
        <w:rPr>
          <w:szCs w:val="24"/>
        </w:rPr>
        <w:t xml:space="preserve"> initially</w:t>
      </w:r>
      <w:r w:rsidRPr="00104C6A" w:rsidR="00D01C2F">
        <w:rPr>
          <w:szCs w:val="24"/>
        </w:rPr>
        <w:t xml:space="preserve"> recommended</w:t>
      </w:r>
      <w:r w:rsidRPr="00104C6A" w:rsidR="00AD71CC">
        <w:rPr>
          <w:szCs w:val="24"/>
        </w:rPr>
        <w:t>.</w:t>
      </w:r>
      <w:r>
        <w:rPr>
          <w:rStyle w:val="FootnoteReference"/>
          <w:szCs w:val="24"/>
        </w:rPr>
        <w:footnoteReference w:id="9"/>
      </w:r>
      <w:r w:rsidRPr="00104C6A" w:rsidR="00694D9F">
        <w:rPr>
          <w:szCs w:val="24"/>
        </w:rPr>
        <w:t xml:space="preserve"> </w:t>
      </w:r>
      <w:r w:rsidRPr="00104C6A" w:rsidR="009871AF">
        <w:rPr>
          <w:szCs w:val="24"/>
        </w:rPr>
        <w:t>T</w:t>
      </w:r>
      <w:r w:rsidRPr="00104C6A" w:rsidR="00AD71CC">
        <w:rPr>
          <w:szCs w:val="24"/>
        </w:rPr>
        <w:t>he settling parties</w:t>
      </w:r>
      <w:r w:rsidRPr="00104C6A" w:rsidR="009871AF">
        <w:rPr>
          <w:szCs w:val="24"/>
        </w:rPr>
        <w:t xml:space="preserve"> further</w:t>
      </w:r>
      <w:r w:rsidRPr="00104C6A" w:rsidR="00AD71CC">
        <w:rPr>
          <w:szCs w:val="24"/>
        </w:rPr>
        <w:t xml:space="preserve"> refused to include </w:t>
      </w:r>
      <w:r w:rsidRPr="00104C6A" w:rsidR="002D4A05">
        <w:rPr>
          <w:szCs w:val="24"/>
        </w:rPr>
        <w:t>in the</w:t>
      </w:r>
      <w:r w:rsidRPr="00104C6A" w:rsidR="00AD71CC">
        <w:rPr>
          <w:szCs w:val="24"/>
        </w:rPr>
        <w:t xml:space="preserve"> </w:t>
      </w:r>
      <w:r w:rsidRPr="00104C6A" w:rsidR="00AB506F">
        <w:rPr>
          <w:szCs w:val="24"/>
        </w:rPr>
        <w:t>S</w:t>
      </w:r>
      <w:r w:rsidRPr="00104C6A" w:rsidR="00AD71CC">
        <w:rPr>
          <w:szCs w:val="24"/>
        </w:rPr>
        <w:t xml:space="preserve">ettlement </w:t>
      </w:r>
      <w:r w:rsidRPr="00104C6A" w:rsidR="002D4A05">
        <w:rPr>
          <w:szCs w:val="24"/>
        </w:rPr>
        <w:t xml:space="preserve">important </w:t>
      </w:r>
      <w:r w:rsidRPr="00104C6A" w:rsidR="00AD71CC">
        <w:rPr>
          <w:szCs w:val="24"/>
        </w:rPr>
        <w:t xml:space="preserve">protections to help </w:t>
      </w:r>
      <w:r w:rsidRPr="00104C6A" w:rsidR="00694D9F">
        <w:rPr>
          <w:szCs w:val="24"/>
        </w:rPr>
        <w:t xml:space="preserve">residential consumers </w:t>
      </w:r>
      <w:r w:rsidRPr="00104C6A" w:rsidR="00AD71CC">
        <w:rPr>
          <w:szCs w:val="24"/>
        </w:rPr>
        <w:t>pay for the</w:t>
      </w:r>
      <w:r w:rsidRPr="00104C6A" w:rsidR="009871AF">
        <w:rPr>
          <w:szCs w:val="24"/>
        </w:rPr>
        <w:t xml:space="preserve"> agreed-to</w:t>
      </w:r>
      <w:r w:rsidRPr="00104C6A" w:rsidR="00AD71CC">
        <w:rPr>
          <w:szCs w:val="24"/>
        </w:rPr>
        <w:t xml:space="preserve"> rate increase</w:t>
      </w:r>
      <w:r w:rsidRPr="00104C6A" w:rsidR="009871AF">
        <w:rPr>
          <w:szCs w:val="24"/>
        </w:rPr>
        <w:t>.</w:t>
      </w:r>
    </w:p>
    <w:p w:rsidR="002D4A05" w:rsidRPr="00104C6A" w:rsidP="002D4A05" w14:paraId="45A240AD" w14:textId="29A0A643">
      <w:pPr>
        <w:spacing w:line="480" w:lineRule="auto"/>
        <w:ind w:firstLine="720"/>
        <w:rPr>
          <w:szCs w:val="24"/>
        </w:rPr>
      </w:pPr>
      <w:r w:rsidRPr="00104C6A">
        <w:rPr>
          <w:szCs w:val="24"/>
        </w:rPr>
        <w:t>OCC participated in settlement negotiations</w:t>
      </w:r>
      <w:r w:rsidRPr="00104C6A" w:rsidR="00DF59D7">
        <w:rPr>
          <w:szCs w:val="24"/>
        </w:rPr>
        <w:t xml:space="preserve"> to advocate for all of Duke’s 657,000 residential consumers. B</w:t>
      </w:r>
      <w:r w:rsidRPr="00104C6A">
        <w:rPr>
          <w:szCs w:val="24"/>
        </w:rPr>
        <w:t xml:space="preserve">ut Duke, the PUCO Staff and other parties did not seriously consider OCC’s </w:t>
      </w:r>
      <w:r w:rsidRPr="00104C6A" w:rsidR="00DF59D7">
        <w:rPr>
          <w:szCs w:val="24"/>
        </w:rPr>
        <w:t xml:space="preserve">consumer protection </w:t>
      </w:r>
      <w:r w:rsidRPr="00104C6A">
        <w:rPr>
          <w:szCs w:val="24"/>
        </w:rPr>
        <w:t>proposals. OCC opposed the Settlement, but the Attorney Examiners adopted a procedural schedule that further harmed consumers by severely limiting OCC’s case preparation and rights to “ample discovery”.</w:t>
      </w:r>
      <w:r>
        <w:rPr>
          <w:rStyle w:val="FootnoteReference"/>
          <w:szCs w:val="24"/>
        </w:rPr>
        <w:footnoteReference w:id="10"/>
      </w:r>
      <w:r w:rsidRPr="00104C6A" w:rsidR="001D7F98">
        <w:rPr>
          <w:szCs w:val="24"/>
        </w:rPr>
        <w:t xml:space="preserve"> </w:t>
      </w:r>
    </w:p>
    <w:p w:rsidR="00532A8B" w:rsidRPr="00104C6A" w:rsidP="008B643A" w14:paraId="2E4E9C68" w14:textId="04075DE5">
      <w:pPr>
        <w:spacing w:line="480" w:lineRule="auto"/>
        <w:ind w:firstLine="720"/>
        <w:rPr>
          <w:szCs w:val="24"/>
        </w:rPr>
      </w:pPr>
      <w:r w:rsidRPr="00104C6A">
        <w:rPr>
          <w:szCs w:val="24"/>
        </w:rPr>
        <w:t xml:space="preserve">The Settlement </w:t>
      </w:r>
      <w:r w:rsidRPr="00104C6A" w:rsidR="006D5519">
        <w:rPr>
          <w:szCs w:val="24"/>
        </w:rPr>
        <w:t xml:space="preserve">also </w:t>
      </w:r>
      <w:r w:rsidRPr="00104C6A">
        <w:rPr>
          <w:szCs w:val="24"/>
        </w:rPr>
        <w:t>discriminates</w:t>
      </w:r>
      <w:r w:rsidRPr="00104C6A" w:rsidR="006D5519">
        <w:rPr>
          <w:szCs w:val="24"/>
        </w:rPr>
        <w:t xml:space="preserve"> </w:t>
      </w:r>
      <w:r w:rsidRPr="00104C6A">
        <w:rPr>
          <w:szCs w:val="24"/>
        </w:rPr>
        <w:t>against residential consumers and local governments outside the City of Cincinn</w:t>
      </w:r>
      <w:r w:rsidRPr="00104C6A" w:rsidR="006D5519">
        <w:rPr>
          <w:szCs w:val="24"/>
        </w:rPr>
        <w:t>a</w:t>
      </w:r>
      <w:r w:rsidRPr="00104C6A">
        <w:rPr>
          <w:szCs w:val="24"/>
        </w:rPr>
        <w:t>ti</w:t>
      </w:r>
      <w:r w:rsidRPr="00104C6A" w:rsidR="006D5519">
        <w:rPr>
          <w:szCs w:val="24"/>
        </w:rPr>
        <w:t>, in violation of Ohio law (R.C. 4905.33, R.C. 4929.02(A)) and regulatory principles</w:t>
      </w:r>
      <w:r w:rsidRPr="00104C6A">
        <w:rPr>
          <w:szCs w:val="24"/>
        </w:rPr>
        <w:t>. Duke made</w:t>
      </w:r>
      <w:r w:rsidRPr="00104C6A" w:rsidR="009871AF">
        <w:rPr>
          <w:szCs w:val="24"/>
        </w:rPr>
        <w:t xml:space="preserve"> several </w:t>
      </w:r>
      <w:r w:rsidRPr="00104C6A">
        <w:rPr>
          <w:szCs w:val="24"/>
        </w:rPr>
        <w:t xml:space="preserve">commitments in the Settlement to benefit the City of Cincinnati that </w:t>
      </w:r>
      <w:r w:rsidRPr="00104C6A" w:rsidR="009871AF">
        <w:rPr>
          <w:szCs w:val="24"/>
        </w:rPr>
        <w:t xml:space="preserve">non-Cincinnati </w:t>
      </w:r>
      <w:r w:rsidRPr="00104C6A">
        <w:rPr>
          <w:szCs w:val="24"/>
        </w:rPr>
        <w:t xml:space="preserve">residential consumers and local governments </w:t>
      </w:r>
      <w:r w:rsidRPr="00104C6A" w:rsidR="00DF59D7">
        <w:rPr>
          <w:szCs w:val="24"/>
        </w:rPr>
        <w:t>won’t</w:t>
      </w:r>
      <w:r w:rsidRPr="00104C6A">
        <w:rPr>
          <w:szCs w:val="24"/>
        </w:rPr>
        <w:t xml:space="preserve"> receive. </w:t>
      </w:r>
      <w:r w:rsidRPr="00104C6A" w:rsidR="001F2EB9">
        <w:rPr>
          <w:szCs w:val="24"/>
        </w:rPr>
        <w:t>The PUCO</w:t>
      </w:r>
      <w:r w:rsidRPr="00104C6A" w:rsidR="00DF59D7">
        <w:rPr>
          <w:szCs w:val="24"/>
        </w:rPr>
        <w:t xml:space="preserve">’s Order </w:t>
      </w:r>
      <w:r w:rsidRPr="00104C6A" w:rsidR="001F2EB9">
        <w:rPr>
          <w:szCs w:val="24"/>
        </w:rPr>
        <w:t>justifie</w:t>
      </w:r>
      <w:r w:rsidRPr="00104C6A" w:rsidR="002D4A05">
        <w:rPr>
          <w:szCs w:val="24"/>
        </w:rPr>
        <w:t>d</w:t>
      </w:r>
      <w:r w:rsidRPr="00104C6A" w:rsidR="001F2EB9">
        <w:rPr>
          <w:szCs w:val="24"/>
        </w:rPr>
        <w:t xml:space="preserve"> Duke’s preferential treatment of Cincinnati</w:t>
      </w:r>
      <w:r w:rsidRPr="00104C6A" w:rsidR="006D5519">
        <w:rPr>
          <w:szCs w:val="24"/>
        </w:rPr>
        <w:t xml:space="preserve"> consumers</w:t>
      </w:r>
      <w:r w:rsidRPr="00104C6A" w:rsidR="00DF59D7">
        <w:rPr>
          <w:szCs w:val="24"/>
        </w:rPr>
        <w:t xml:space="preserve"> by stating</w:t>
      </w:r>
      <w:r w:rsidRPr="00104C6A" w:rsidR="001F2EB9">
        <w:rPr>
          <w:szCs w:val="24"/>
        </w:rPr>
        <w:t xml:space="preserve"> “[o]ther localities within Duke’s service territory had the opportunity to intervene, yet they chose not to.”</w:t>
      </w:r>
      <w:r>
        <w:rPr>
          <w:rStyle w:val="FootnoteReference"/>
          <w:szCs w:val="24"/>
        </w:rPr>
        <w:footnoteReference w:id="11"/>
      </w:r>
      <w:r w:rsidRPr="00104C6A" w:rsidR="00125144">
        <w:rPr>
          <w:szCs w:val="24"/>
        </w:rPr>
        <w:t xml:space="preserve"> </w:t>
      </w:r>
      <w:r w:rsidRPr="00104C6A" w:rsidR="002D4A05">
        <w:rPr>
          <w:szCs w:val="24"/>
        </w:rPr>
        <w:t>But</w:t>
      </w:r>
      <w:r w:rsidRPr="00104C6A" w:rsidR="006D5519">
        <w:rPr>
          <w:szCs w:val="24"/>
        </w:rPr>
        <w:t xml:space="preserve"> the onus is on</w:t>
      </w:r>
      <w:r w:rsidRPr="00104C6A" w:rsidR="00125144">
        <w:rPr>
          <w:szCs w:val="24"/>
        </w:rPr>
        <w:t xml:space="preserve"> </w:t>
      </w:r>
      <w:r w:rsidRPr="00104C6A" w:rsidR="00125144">
        <w:rPr>
          <w:i/>
          <w:iCs/>
          <w:szCs w:val="24"/>
        </w:rPr>
        <w:t>Duke</w:t>
      </w:r>
      <w:r w:rsidRPr="00104C6A" w:rsidR="00125144">
        <w:rPr>
          <w:szCs w:val="24"/>
        </w:rPr>
        <w:t xml:space="preserve"> </w:t>
      </w:r>
      <w:r w:rsidRPr="00104C6A" w:rsidR="002D4A05">
        <w:rPr>
          <w:szCs w:val="24"/>
        </w:rPr>
        <w:t>– as</w:t>
      </w:r>
      <w:r w:rsidRPr="00104C6A" w:rsidR="00125144">
        <w:rPr>
          <w:szCs w:val="24"/>
        </w:rPr>
        <w:t xml:space="preserve"> the PUCO-regulated utility </w:t>
      </w:r>
      <w:r w:rsidRPr="00104C6A" w:rsidR="002D4A05">
        <w:rPr>
          <w:szCs w:val="24"/>
        </w:rPr>
        <w:t xml:space="preserve">– </w:t>
      </w:r>
      <w:r w:rsidRPr="00104C6A" w:rsidR="006D5519">
        <w:rPr>
          <w:szCs w:val="24"/>
        </w:rPr>
        <w:t>to provide</w:t>
      </w:r>
      <w:r w:rsidRPr="00104C6A" w:rsidR="00125144">
        <w:rPr>
          <w:szCs w:val="24"/>
        </w:rPr>
        <w:t xml:space="preserve"> nondiscriminatory service</w:t>
      </w:r>
      <w:r w:rsidRPr="00104C6A" w:rsidR="009871AF">
        <w:rPr>
          <w:szCs w:val="24"/>
        </w:rPr>
        <w:t xml:space="preserve"> to </w:t>
      </w:r>
      <w:r w:rsidRPr="00104C6A" w:rsidR="009871AF">
        <w:rPr>
          <w:i/>
          <w:iCs/>
          <w:szCs w:val="24"/>
        </w:rPr>
        <w:t>all</w:t>
      </w:r>
      <w:r w:rsidRPr="00104C6A" w:rsidR="009871AF">
        <w:rPr>
          <w:szCs w:val="24"/>
        </w:rPr>
        <w:t xml:space="preserve"> consumers throughout its service </w:t>
      </w:r>
      <w:r w:rsidRPr="00104C6A" w:rsidR="006D5519">
        <w:rPr>
          <w:szCs w:val="24"/>
        </w:rPr>
        <w:t>territory</w:t>
      </w:r>
      <w:r w:rsidRPr="00104C6A" w:rsidR="00DF59D7">
        <w:rPr>
          <w:szCs w:val="24"/>
        </w:rPr>
        <w:t xml:space="preserve"> regardless of who intervenes</w:t>
      </w:r>
      <w:r w:rsidRPr="00104C6A" w:rsidR="00125144">
        <w:rPr>
          <w:szCs w:val="24"/>
        </w:rPr>
        <w:t>.</w:t>
      </w:r>
      <w:r>
        <w:rPr>
          <w:rStyle w:val="FootnoteReference"/>
          <w:szCs w:val="24"/>
        </w:rPr>
        <w:footnoteReference w:id="12"/>
      </w:r>
      <w:r w:rsidRPr="00104C6A" w:rsidR="00125144">
        <w:rPr>
          <w:szCs w:val="24"/>
        </w:rPr>
        <w:t xml:space="preserve"> </w:t>
      </w:r>
    </w:p>
    <w:p w:rsidR="00925CFB" w:rsidRPr="00104C6A" w:rsidP="00B079B4" w14:paraId="33D09E7E" w14:textId="1502DD22">
      <w:pPr>
        <w:spacing w:line="480" w:lineRule="auto"/>
        <w:ind w:firstLine="720"/>
        <w:rPr>
          <w:szCs w:val="24"/>
        </w:rPr>
      </w:pPr>
      <w:r w:rsidRPr="00104C6A">
        <w:rPr>
          <w:szCs w:val="24"/>
        </w:rPr>
        <w:t>T</w:t>
      </w:r>
      <w:r w:rsidRPr="00104C6A" w:rsidR="00FA5759">
        <w:rPr>
          <w:szCs w:val="24"/>
        </w:rPr>
        <w:t xml:space="preserve">he </w:t>
      </w:r>
      <w:r w:rsidRPr="00104C6A">
        <w:rPr>
          <w:szCs w:val="24"/>
        </w:rPr>
        <w:t xml:space="preserve">Settlement is patently unfair </w:t>
      </w:r>
      <w:r w:rsidRPr="00104C6A" w:rsidR="00DF59D7">
        <w:rPr>
          <w:szCs w:val="24"/>
        </w:rPr>
        <w:t>and unlawful</w:t>
      </w:r>
      <w:r w:rsidRPr="00104C6A">
        <w:rPr>
          <w:szCs w:val="24"/>
        </w:rPr>
        <w:t xml:space="preserve">. </w:t>
      </w:r>
      <w:r w:rsidRPr="00104C6A" w:rsidR="00FA5759">
        <w:rPr>
          <w:szCs w:val="24"/>
        </w:rPr>
        <w:t>PUCO should grant rehearing to abrogate or modify the Order consistent with OCC’s recommendations.</w:t>
      </w:r>
      <w:r w:rsidRPr="00104C6A" w:rsidR="001D7F98">
        <w:rPr>
          <w:szCs w:val="24"/>
        </w:rPr>
        <w:t xml:space="preserve"> </w:t>
      </w:r>
      <w:bookmarkStart w:id="10" w:name="_Toc332365648"/>
      <w:bookmarkEnd w:id="8"/>
      <w:bookmarkEnd w:id="9"/>
    </w:p>
    <w:bookmarkEnd w:id="10"/>
    <w:p w:rsidR="00AC44A1" w:rsidRPr="00104C6A" w14:paraId="768587BB" w14:textId="77777777">
      <w:pPr>
        <w:pStyle w:val="BodyTextIndent3"/>
        <w:widowControl w:val="0"/>
        <w:spacing w:line="240" w:lineRule="auto"/>
        <w:ind w:right="-24" w:firstLine="0"/>
        <w:rPr>
          <w:szCs w:val="24"/>
        </w:rPr>
      </w:pPr>
    </w:p>
    <w:p w:rsidR="001D43FE" w:rsidRPr="00104C6A" w:rsidP="003F7B14" w14:paraId="7BB4F57C" w14:textId="7AAFB4B2">
      <w:pPr>
        <w:pStyle w:val="Heading1"/>
        <w:rPr>
          <w:rFonts w:ascii="Times New Roman" w:hAnsi="Times New Roman"/>
        </w:rPr>
      </w:pPr>
      <w:bookmarkStart w:id="11" w:name="_Toc260397337"/>
      <w:bookmarkStart w:id="12" w:name="_Toc273102569"/>
      <w:bookmarkStart w:id="13" w:name="_Toc332365649"/>
      <w:bookmarkStart w:id="14" w:name="_Toc374366161"/>
      <w:bookmarkStart w:id="15" w:name="_Toc374707414"/>
      <w:bookmarkStart w:id="16" w:name="_Toc374707567"/>
      <w:bookmarkStart w:id="17" w:name="_Toc123045781"/>
      <w:bookmarkStart w:id="18" w:name="_Toc124235573"/>
      <w:bookmarkStart w:id="19" w:name="_Toc124425003"/>
      <w:r w:rsidRPr="00104C6A">
        <w:rPr>
          <w:rFonts w:ascii="Times New Roman" w:hAnsi="Times New Roman"/>
        </w:rPr>
        <w:t>I</w:t>
      </w:r>
      <w:r w:rsidRPr="00104C6A" w:rsidR="00BF2183">
        <w:rPr>
          <w:rFonts w:ascii="Times New Roman" w:hAnsi="Times New Roman"/>
        </w:rPr>
        <w:t>I</w:t>
      </w:r>
      <w:r w:rsidRPr="00104C6A">
        <w:rPr>
          <w:rFonts w:ascii="Times New Roman" w:hAnsi="Times New Roman"/>
        </w:rPr>
        <w:t>.</w:t>
      </w:r>
      <w:r w:rsidRPr="00104C6A" w:rsidR="001C586A">
        <w:rPr>
          <w:rFonts w:ascii="Times New Roman" w:hAnsi="Times New Roman"/>
        </w:rPr>
        <w:t xml:space="preserve"> </w:t>
      </w:r>
      <w:r w:rsidRPr="00104C6A">
        <w:rPr>
          <w:rFonts w:ascii="Times New Roman" w:hAnsi="Times New Roman"/>
        </w:rPr>
        <w:tab/>
        <w:t>ASSIGNMENTS OF ERROR</w:t>
      </w:r>
      <w:bookmarkEnd w:id="11"/>
      <w:bookmarkEnd w:id="12"/>
      <w:bookmarkEnd w:id="13"/>
      <w:bookmarkEnd w:id="14"/>
      <w:bookmarkEnd w:id="15"/>
      <w:bookmarkEnd w:id="16"/>
      <w:bookmarkEnd w:id="17"/>
      <w:bookmarkEnd w:id="18"/>
      <w:bookmarkEnd w:id="19"/>
    </w:p>
    <w:p w:rsidR="00D05F67" w:rsidRPr="00104C6A" w:rsidP="00A512C6" w14:paraId="35AC1FF8" w14:textId="2B38C531">
      <w:pPr>
        <w:pStyle w:val="Heading2"/>
        <w:rPr>
          <w:rFonts w:ascii="Times New Roman" w:hAnsi="Times New Roman"/>
        </w:rPr>
      </w:pPr>
      <w:bookmarkStart w:id="20" w:name="_Toc124235574"/>
      <w:bookmarkStart w:id="21" w:name="_Toc124425004"/>
      <w:bookmarkStart w:id="22" w:name="_Toc374366166"/>
      <w:bookmarkStart w:id="23" w:name="_Toc332365650"/>
      <w:r w:rsidRPr="00104C6A">
        <w:rPr>
          <w:rFonts w:ascii="Times New Roman" w:hAnsi="Times New Roman"/>
        </w:rPr>
        <w:t xml:space="preserve">ASSIGNMENT OF ERROR NO. 1: </w:t>
      </w:r>
      <w:bookmarkEnd w:id="20"/>
      <w:r w:rsidRPr="00104C6A" w:rsidR="007B4AD1">
        <w:rPr>
          <w:rFonts w:ascii="Times New Roman" w:hAnsi="Times New Roman"/>
        </w:rPr>
        <w:t>The PUCO erred by unreasonably approving a Settlement that was not the result of serious bargaining and does not represent the broad interests of residential consumers.</w:t>
      </w:r>
      <w:bookmarkEnd w:id="21"/>
    </w:p>
    <w:p w:rsidR="00F75698" w:rsidRPr="00104C6A" w:rsidP="00EC52CB" w14:paraId="48B82324" w14:textId="5ACEAB30">
      <w:pPr>
        <w:spacing w:line="480" w:lineRule="auto"/>
        <w:ind w:firstLine="720"/>
        <w:rPr>
          <w:color w:val="000000" w:themeColor="text1"/>
          <w:szCs w:val="24"/>
        </w:rPr>
      </w:pPr>
      <w:r w:rsidRPr="00104C6A">
        <w:rPr>
          <w:color w:val="000000" w:themeColor="text1"/>
          <w:szCs w:val="24"/>
        </w:rPr>
        <w:t>T</w:t>
      </w:r>
      <w:r w:rsidRPr="00104C6A" w:rsidR="00D05F67">
        <w:rPr>
          <w:color w:val="000000" w:themeColor="text1"/>
          <w:szCs w:val="24"/>
        </w:rPr>
        <w:t>he</w:t>
      </w:r>
      <w:r w:rsidRPr="00104C6A">
        <w:rPr>
          <w:color w:val="000000" w:themeColor="text1"/>
          <w:szCs w:val="24"/>
        </w:rPr>
        <w:t xml:space="preserve"> first prong of the PUCO’s </w:t>
      </w:r>
      <w:r w:rsidRPr="00104C6A" w:rsidR="00DF59D7">
        <w:rPr>
          <w:color w:val="000000" w:themeColor="text1"/>
          <w:szCs w:val="24"/>
        </w:rPr>
        <w:t>three-part settlement test</w:t>
      </w:r>
      <w:r w:rsidRPr="00104C6A">
        <w:rPr>
          <w:color w:val="000000" w:themeColor="text1"/>
          <w:szCs w:val="24"/>
        </w:rPr>
        <w:t xml:space="preserve"> </w:t>
      </w:r>
      <w:r w:rsidRPr="00104C6A" w:rsidR="00D05F67">
        <w:rPr>
          <w:color w:val="000000" w:themeColor="text1"/>
          <w:szCs w:val="24"/>
        </w:rPr>
        <w:t xml:space="preserve">requires a determination of whether the settlement is the </w:t>
      </w:r>
      <w:r w:rsidRPr="00104C6A" w:rsidR="00D05F67">
        <w:rPr>
          <w:szCs w:val="24"/>
        </w:rPr>
        <w:t>product of serious bargaining among capable, knowledgeable parties</w:t>
      </w:r>
      <w:r w:rsidRPr="00104C6A">
        <w:rPr>
          <w:color w:val="000000" w:themeColor="text1"/>
          <w:szCs w:val="24"/>
        </w:rPr>
        <w:t>.</w:t>
      </w:r>
      <w:r>
        <w:rPr>
          <w:rStyle w:val="FootnoteReference"/>
          <w:color w:val="000000" w:themeColor="text1"/>
          <w:szCs w:val="24"/>
        </w:rPr>
        <w:footnoteReference w:id="13"/>
      </w:r>
      <w:r w:rsidRPr="00104C6A">
        <w:rPr>
          <w:color w:val="000000" w:themeColor="text1"/>
          <w:szCs w:val="24"/>
        </w:rPr>
        <w:t xml:space="preserve"> The PUCO </w:t>
      </w:r>
      <w:r w:rsidRPr="00104C6A" w:rsidR="00D05F67">
        <w:rPr>
          <w:color w:val="000000" w:themeColor="text1"/>
          <w:szCs w:val="24"/>
        </w:rPr>
        <w:t xml:space="preserve">found that the Settlement satisfies this test, rejecting OCC’s </w:t>
      </w:r>
      <w:r w:rsidRPr="00104C6A" w:rsidR="003679FC">
        <w:rPr>
          <w:color w:val="000000" w:themeColor="text1"/>
          <w:szCs w:val="24"/>
        </w:rPr>
        <w:t>evidence</w:t>
      </w:r>
      <w:r w:rsidRPr="00104C6A" w:rsidR="00D05F67">
        <w:rPr>
          <w:color w:val="000000" w:themeColor="text1"/>
          <w:szCs w:val="24"/>
        </w:rPr>
        <w:t xml:space="preserve"> </w:t>
      </w:r>
      <w:r w:rsidRPr="00104C6A">
        <w:rPr>
          <w:color w:val="000000" w:themeColor="text1"/>
          <w:szCs w:val="24"/>
        </w:rPr>
        <w:t>that serious bargaining did not occur.</w:t>
      </w:r>
      <w:r>
        <w:rPr>
          <w:rStyle w:val="FootnoteReference"/>
          <w:color w:val="000000" w:themeColor="text1"/>
          <w:szCs w:val="24"/>
        </w:rPr>
        <w:footnoteReference w:id="14"/>
      </w:r>
      <w:r w:rsidRPr="00104C6A">
        <w:rPr>
          <w:color w:val="000000" w:themeColor="text1"/>
          <w:szCs w:val="24"/>
        </w:rPr>
        <w:t xml:space="preserve"> The PUCO’s</w:t>
      </w:r>
      <w:r w:rsidRPr="00104C6A" w:rsidR="00D05F67">
        <w:rPr>
          <w:color w:val="000000" w:themeColor="text1"/>
          <w:szCs w:val="24"/>
        </w:rPr>
        <w:t xml:space="preserve"> decision</w:t>
      </w:r>
      <w:r w:rsidRPr="00104C6A" w:rsidR="003679FC">
        <w:rPr>
          <w:color w:val="000000" w:themeColor="text1"/>
          <w:szCs w:val="24"/>
        </w:rPr>
        <w:t xml:space="preserve"> is unreasonable</w:t>
      </w:r>
      <w:r w:rsidRPr="00104C6A" w:rsidR="00412C67">
        <w:rPr>
          <w:color w:val="000000" w:themeColor="text1"/>
          <w:szCs w:val="24"/>
        </w:rPr>
        <w:t xml:space="preserve"> and </w:t>
      </w:r>
      <w:r w:rsidRPr="00104C6A">
        <w:rPr>
          <w:color w:val="000000" w:themeColor="text1"/>
          <w:szCs w:val="24"/>
        </w:rPr>
        <w:t>flawed</w:t>
      </w:r>
      <w:r w:rsidRPr="00104C6A" w:rsidR="003679FC">
        <w:rPr>
          <w:color w:val="000000" w:themeColor="text1"/>
          <w:szCs w:val="24"/>
        </w:rPr>
        <w:t xml:space="preserve">. The PUCO should grant </w:t>
      </w:r>
      <w:r w:rsidRPr="00104C6A">
        <w:rPr>
          <w:color w:val="000000" w:themeColor="text1"/>
          <w:szCs w:val="24"/>
        </w:rPr>
        <w:t>rehearing.</w:t>
      </w:r>
    </w:p>
    <w:p w:rsidR="00454E5E" w:rsidRPr="00104C6A" w:rsidP="00EC52CB" w14:paraId="170BC50E" w14:textId="1C052F98">
      <w:pPr>
        <w:spacing w:line="480" w:lineRule="auto"/>
        <w:ind w:firstLine="720"/>
        <w:rPr>
          <w:color w:val="000000" w:themeColor="text1"/>
          <w:szCs w:val="24"/>
        </w:rPr>
      </w:pPr>
      <w:r w:rsidRPr="00104C6A">
        <w:rPr>
          <w:color w:val="000000" w:themeColor="text1"/>
          <w:szCs w:val="24"/>
        </w:rPr>
        <w:t>T</w:t>
      </w:r>
      <w:r w:rsidRPr="00104C6A" w:rsidR="00F75698">
        <w:rPr>
          <w:color w:val="000000" w:themeColor="text1"/>
          <w:szCs w:val="24"/>
        </w:rPr>
        <w:t xml:space="preserve">he PUCO </w:t>
      </w:r>
      <w:r w:rsidRPr="00104C6A">
        <w:rPr>
          <w:color w:val="000000" w:themeColor="text1"/>
          <w:szCs w:val="24"/>
        </w:rPr>
        <w:t>determined</w:t>
      </w:r>
      <w:r w:rsidRPr="00104C6A" w:rsidR="008B643A">
        <w:rPr>
          <w:color w:val="000000" w:themeColor="text1"/>
          <w:szCs w:val="24"/>
        </w:rPr>
        <w:t xml:space="preserve"> that </w:t>
      </w:r>
      <w:r w:rsidRPr="00104C6A">
        <w:rPr>
          <w:color w:val="000000" w:themeColor="text1"/>
          <w:szCs w:val="24"/>
        </w:rPr>
        <w:t xml:space="preserve">serious bargaining occurred </w:t>
      </w:r>
      <w:r w:rsidRPr="00104C6A" w:rsidR="00F75698">
        <w:rPr>
          <w:color w:val="000000" w:themeColor="text1"/>
          <w:szCs w:val="24"/>
        </w:rPr>
        <w:t xml:space="preserve">because Duke held settlement meetings </w:t>
      </w:r>
      <w:r w:rsidRPr="00104C6A" w:rsidR="008B643A">
        <w:rPr>
          <w:color w:val="000000" w:themeColor="text1"/>
          <w:szCs w:val="24"/>
        </w:rPr>
        <w:t>that</w:t>
      </w:r>
      <w:r w:rsidRPr="00104C6A">
        <w:rPr>
          <w:color w:val="000000" w:themeColor="text1"/>
          <w:szCs w:val="24"/>
        </w:rPr>
        <w:t xml:space="preserve"> parties, including</w:t>
      </w:r>
      <w:r w:rsidRPr="00104C6A" w:rsidR="008B643A">
        <w:rPr>
          <w:color w:val="000000" w:themeColor="text1"/>
          <w:szCs w:val="24"/>
        </w:rPr>
        <w:t xml:space="preserve"> </w:t>
      </w:r>
      <w:r w:rsidRPr="00104C6A" w:rsidR="00F75698">
        <w:rPr>
          <w:color w:val="000000" w:themeColor="text1"/>
          <w:szCs w:val="24"/>
        </w:rPr>
        <w:t>OCC</w:t>
      </w:r>
      <w:r w:rsidRPr="00104C6A">
        <w:rPr>
          <w:color w:val="000000" w:themeColor="text1"/>
          <w:szCs w:val="24"/>
        </w:rPr>
        <w:t>,</w:t>
      </w:r>
      <w:r w:rsidRPr="00104C6A" w:rsidR="00F75698">
        <w:rPr>
          <w:color w:val="000000" w:themeColor="text1"/>
          <w:szCs w:val="24"/>
        </w:rPr>
        <w:t xml:space="preserve"> </w:t>
      </w:r>
      <w:r w:rsidRPr="00104C6A" w:rsidR="008B643A">
        <w:rPr>
          <w:color w:val="000000" w:themeColor="text1"/>
          <w:szCs w:val="24"/>
        </w:rPr>
        <w:t>attended</w:t>
      </w:r>
      <w:r w:rsidRPr="00104C6A" w:rsidR="00F75698">
        <w:rPr>
          <w:color w:val="000000" w:themeColor="text1"/>
          <w:szCs w:val="24"/>
        </w:rPr>
        <w:t>.</w:t>
      </w:r>
      <w:r>
        <w:rPr>
          <w:rStyle w:val="FootnoteReference"/>
          <w:color w:val="000000" w:themeColor="text1"/>
          <w:szCs w:val="24"/>
        </w:rPr>
        <w:footnoteReference w:id="15"/>
      </w:r>
      <w:r w:rsidRPr="00104C6A">
        <w:rPr>
          <w:color w:val="000000" w:themeColor="text1"/>
          <w:szCs w:val="24"/>
        </w:rPr>
        <w:t xml:space="preserve"> The PUCO also found that parties were capable and knowledgeable about PUCO matters.</w:t>
      </w:r>
      <w:r w:rsidRPr="00104C6A" w:rsidR="001D7F98">
        <w:rPr>
          <w:color w:val="000000" w:themeColor="text1"/>
          <w:szCs w:val="24"/>
        </w:rPr>
        <w:t xml:space="preserve"> </w:t>
      </w:r>
      <w:r w:rsidRPr="00104C6A" w:rsidR="00F75698">
        <w:rPr>
          <w:color w:val="000000" w:themeColor="text1"/>
          <w:szCs w:val="24"/>
        </w:rPr>
        <w:t xml:space="preserve">But </w:t>
      </w:r>
      <w:r w:rsidRPr="00104C6A">
        <w:rPr>
          <w:color w:val="000000" w:themeColor="text1"/>
          <w:szCs w:val="24"/>
        </w:rPr>
        <w:t xml:space="preserve">these factors alone </w:t>
      </w:r>
      <w:r w:rsidRPr="00104C6A" w:rsidR="00F75698">
        <w:rPr>
          <w:color w:val="000000" w:themeColor="text1"/>
          <w:szCs w:val="24"/>
        </w:rPr>
        <w:t>do</w:t>
      </w:r>
      <w:r w:rsidRPr="00104C6A" w:rsidR="00412C67">
        <w:rPr>
          <w:color w:val="000000" w:themeColor="text1"/>
          <w:szCs w:val="24"/>
        </w:rPr>
        <w:t xml:space="preserve"> not necessarily</w:t>
      </w:r>
      <w:r w:rsidRPr="00104C6A">
        <w:rPr>
          <w:color w:val="000000" w:themeColor="text1"/>
          <w:szCs w:val="24"/>
        </w:rPr>
        <w:t xml:space="preserve"> demonstrate that</w:t>
      </w:r>
      <w:r w:rsidRPr="00104C6A" w:rsidR="00F75698">
        <w:rPr>
          <w:color w:val="000000" w:themeColor="text1"/>
          <w:szCs w:val="24"/>
        </w:rPr>
        <w:t xml:space="preserve"> serious bargaining occurred</w:t>
      </w:r>
      <w:r w:rsidRPr="00104C6A">
        <w:rPr>
          <w:color w:val="000000" w:themeColor="text1"/>
          <w:szCs w:val="24"/>
        </w:rPr>
        <w:t>. In this case</w:t>
      </w:r>
      <w:r w:rsidRPr="00104C6A" w:rsidR="008B643A">
        <w:rPr>
          <w:color w:val="000000" w:themeColor="text1"/>
          <w:szCs w:val="24"/>
        </w:rPr>
        <w:t xml:space="preserve">, Duke </w:t>
      </w:r>
      <w:r w:rsidRPr="00104C6A">
        <w:rPr>
          <w:color w:val="000000" w:themeColor="text1"/>
          <w:szCs w:val="24"/>
        </w:rPr>
        <w:t>leveraged its</w:t>
      </w:r>
      <w:r w:rsidRPr="00104C6A" w:rsidR="00412C67">
        <w:rPr>
          <w:color w:val="000000" w:themeColor="text1"/>
          <w:szCs w:val="24"/>
        </w:rPr>
        <w:t xml:space="preserve"> </w:t>
      </w:r>
      <w:r w:rsidRPr="00104C6A" w:rsidR="00E6693A">
        <w:rPr>
          <w:color w:val="000000" w:themeColor="text1"/>
          <w:szCs w:val="24"/>
        </w:rPr>
        <w:t>unequal bargaining power</w:t>
      </w:r>
      <w:r w:rsidRPr="00104C6A" w:rsidR="00FE5954">
        <w:rPr>
          <w:color w:val="000000" w:themeColor="text1"/>
          <w:szCs w:val="24"/>
        </w:rPr>
        <w:t xml:space="preserve"> in settlement negot</w:t>
      </w:r>
      <w:r w:rsidRPr="00104C6A" w:rsidR="00C201A4">
        <w:rPr>
          <w:color w:val="000000" w:themeColor="text1"/>
          <w:szCs w:val="24"/>
        </w:rPr>
        <w:t>i</w:t>
      </w:r>
      <w:r w:rsidRPr="00104C6A" w:rsidR="00FE5954">
        <w:rPr>
          <w:color w:val="000000" w:themeColor="text1"/>
          <w:szCs w:val="24"/>
        </w:rPr>
        <w:t>ations</w:t>
      </w:r>
      <w:r w:rsidRPr="00104C6A" w:rsidR="008B643A">
        <w:rPr>
          <w:color w:val="000000" w:themeColor="text1"/>
          <w:szCs w:val="24"/>
        </w:rPr>
        <w:t xml:space="preserve"> to its advantage</w:t>
      </w:r>
      <w:r w:rsidRPr="00104C6A">
        <w:rPr>
          <w:color w:val="000000" w:themeColor="text1"/>
          <w:szCs w:val="24"/>
        </w:rPr>
        <w:t xml:space="preserve"> and to the detriment of residential consumers</w:t>
      </w:r>
      <w:r w:rsidRPr="00104C6A" w:rsidR="00F75698">
        <w:rPr>
          <w:color w:val="000000" w:themeColor="text1"/>
          <w:szCs w:val="24"/>
        </w:rPr>
        <w:t>.</w:t>
      </w:r>
      <w:r w:rsidRPr="00104C6A" w:rsidR="000547FE">
        <w:rPr>
          <w:color w:val="000000" w:themeColor="text1"/>
          <w:szCs w:val="24"/>
        </w:rPr>
        <w:t xml:space="preserve"> </w:t>
      </w:r>
    </w:p>
    <w:p w:rsidR="00412C67" w:rsidRPr="00104C6A" w:rsidP="00522AEB" w14:paraId="0C82663C" w14:textId="51E9C863">
      <w:pPr>
        <w:spacing w:line="480" w:lineRule="auto"/>
        <w:ind w:firstLine="720"/>
        <w:rPr>
          <w:szCs w:val="24"/>
        </w:rPr>
      </w:pPr>
      <w:r w:rsidRPr="00104C6A">
        <w:rPr>
          <w:color w:val="000000" w:themeColor="text1"/>
          <w:szCs w:val="24"/>
        </w:rPr>
        <w:t>As the</w:t>
      </w:r>
      <w:r w:rsidRPr="00104C6A" w:rsidR="000547FE">
        <w:rPr>
          <w:color w:val="000000" w:themeColor="text1"/>
          <w:szCs w:val="24"/>
        </w:rPr>
        <w:t xml:space="preserve"> PUCO</w:t>
      </w:r>
      <w:r w:rsidRPr="00104C6A" w:rsidR="00454E5E">
        <w:rPr>
          <w:color w:val="000000" w:themeColor="text1"/>
          <w:szCs w:val="24"/>
        </w:rPr>
        <w:t xml:space="preserve"> </w:t>
      </w:r>
      <w:r w:rsidRPr="00104C6A" w:rsidR="008B643A">
        <w:rPr>
          <w:color w:val="000000" w:themeColor="text1"/>
          <w:szCs w:val="24"/>
        </w:rPr>
        <w:t>noted</w:t>
      </w:r>
      <w:r w:rsidRPr="00104C6A" w:rsidR="00BF65DF">
        <w:rPr>
          <w:color w:val="000000" w:themeColor="text1"/>
          <w:szCs w:val="24"/>
        </w:rPr>
        <w:t>,</w:t>
      </w:r>
      <w:r w:rsidRPr="00104C6A" w:rsidR="008B643A">
        <w:rPr>
          <w:color w:val="000000" w:themeColor="text1"/>
          <w:szCs w:val="24"/>
        </w:rPr>
        <w:t xml:space="preserve"> </w:t>
      </w:r>
      <w:r w:rsidRPr="00104C6A" w:rsidR="00E6693A">
        <w:rPr>
          <w:color w:val="000000" w:themeColor="text1"/>
          <w:szCs w:val="24"/>
        </w:rPr>
        <w:t>Duke</w:t>
      </w:r>
      <w:r w:rsidRPr="00104C6A" w:rsidR="00BF65DF">
        <w:rPr>
          <w:color w:val="000000" w:themeColor="text1"/>
          <w:szCs w:val="24"/>
        </w:rPr>
        <w:t xml:space="preserve"> argued that</w:t>
      </w:r>
      <w:r w:rsidRPr="00104C6A" w:rsidR="000547FE">
        <w:rPr>
          <w:color w:val="000000" w:themeColor="text1"/>
          <w:szCs w:val="24"/>
        </w:rPr>
        <w:t xml:space="preserve"> “</w:t>
      </w:r>
      <w:r w:rsidRPr="00104C6A" w:rsidR="000547FE">
        <w:rPr>
          <w:szCs w:val="24"/>
        </w:rPr>
        <w:t>it is hard to imagine a universe where the party seeking governmental approval to increase rates would not be a party to a settlement agreement; it would be nonsensical for all of the other parties to reach an agreement on the utility’s rates without approval of the utility.”</w:t>
      </w:r>
      <w:r>
        <w:rPr>
          <w:rStyle w:val="FootnoteReference"/>
          <w:szCs w:val="24"/>
        </w:rPr>
        <w:footnoteReference w:id="16"/>
      </w:r>
      <w:r w:rsidRPr="00104C6A" w:rsidR="008B643A">
        <w:rPr>
          <w:szCs w:val="24"/>
        </w:rPr>
        <w:t xml:space="preserve"> </w:t>
      </w:r>
      <w:r w:rsidRPr="00104C6A" w:rsidR="00BF65DF">
        <w:rPr>
          <w:szCs w:val="24"/>
        </w:rPr>
        <w:t>Duke’s argument sums up why</w:t>
      </w:r>
      <w:r w:rsidRPr="00104C6A" w:rsidR="008B643A">
        <w:rPr>
          <w:szCs w:val="24"/>
        </w:rPr>
        <w:t xml:space="preserve"> </w:t>
      </w:r>
      <w:r w:rsidRPr="00104C6A" w:rsidR="00BF65DF">
        <w:rPr>
          <w:szCs w:val="24"/>
        </w:rPr>
        <w:t>it</w:t>
      </w:r>
      <w:r w:rsidRPr="00104C6A" w:rsidR="008B643A">
        <w:rPr>
          <w:szCs w:val="24"/>
        </w:rPr>
        <w:t xml:space="preserve"> had unequal bargaining power in the settlement negotiations</w:t>
      </w:r>
      <w:r w:rsidRPr="00104C6A" w:rsidR="00522AEB">
        <w:rPr>
          <w:szCs w:val="24"/>
        </w:rPr>
        <w:t xml:space="preserve">. </w:t>
      </w:r>
      <w:r w:rsidRPr="00104C6A" w:rsidR="00BF65DF">
        <w:rPr>
          <w:szCs w:val="24"/>
        </w:rPr>
        <w:t>In PUCO settlements, the utility (Duke) is treated as</w:t>
      </w:r>
      <w:r w:rsidRPr="00104C6A" w:rsidR="00522AEB">
        <w:rPr>
          <w:color w:val="000000" w:themeColor="text1"/>
          <w:szCs w:val="24"/>
        </w:rPr>
        <w:t xml:space="preserve"> an indispensable party</w:t>
      </w:r>
      <w:r w:rsidRPr="00104C6A" w:rsidR="00BF65DF">
        <w:rPr>
          <w:color w:val="000000" w:themeColor="text1"/>
          <w:szCs w:val="24"/>
        </w:rPr>
        <w:t>. This</w:t>
      </w:r>
      <w:r w:rsidRPr="00104C6A" w:rsidR="00522AEB">
        <w:rPr>
          <w:color w:val="000000" w:themeColor="text1"/>
          <w:szCs w:val="24"/>
        </w:rPr>
        <w:t xml:space="preserve"> create</w:t>
      </w:r>
      <w:r w:rsidRPr="00104C6A" w:rsidR="00BF65DF">
        <w:rPr>
          <w:color w:val="000000" w:themeColor="text1"/>
          <w:szCs w:val="24"/>
        </w:rPr>
        <w:t>d</w:t>
      </w:r>
      <w:r w:rsidRPr="00104C6A" w:rsidR="00522AEB">
        <w:rPr>
          <w:color w:val="000000" w:themeColor="text1"/>
          <w:szCs w:val="24"/>
        </w:rPr>
        <w:t xml:space="preserve"> a dynamic where</w:t>
      </w:r>
      <w:r w:rsidRPr="00104C6A" w:rsidR="00BF65DF">
        <w:rPr>
          <w:color w:val="000000" w:themeColor="text1"/>
          <w:szCs w:val="24"/>
        </w:rPr>
        <w:t xml:space="preserve"> Duke could</w:t>
      </w:r>
      <w:r w:rsidRPr="00104C6A" w:rsidR="008B643A">
        <w:rPr>
          <w:color w:val="000000" w:themeColor="text1"/>
          <w:szCs w:val="24"/>
        </w:rPr>
        <w:t xml:space="preserve"> </w:t>
      </w:r>
      <w:r w:rsidRPr="00104C6A" w:rsidR="00522AEB">
        <w:rPr>
          <w:color w:val="000000" w:themeColor="text1"/>
          <w:szCs w:val="24"/>
        </w:rPr>
        <w:t xml:space="preserve">ignore OCC’s settlement proposals to protect residential consumers who will </w:t>
      </w:r>
      <w:r w:rsidRPr="00104C6A" w:rsidR="008B643A">
        <w:rPr>
          <w:color w:val="000000" w:themeColor="text1"/>
          <w:szCs w:val="24"/>
        </w:rPr>
        <w:t>be forced</w:t>
      </w:r>
      <w:r w:rsidRPr="00104C6A" w:rsidR="00522AEB">
        <w:rPr>
          <w:color w:val="000000" w:themeColor="text1"/>
          <w:szCs w:val="24"/>
        </w:rPr>
        <w:t xml:space="preserve"> </w:t>
      </w:r>
      <w:r w:rsidRPr="00104C6A" w:rsidR="008B643A">
        <w:rPr>
          <w:color w:val="000000" w:themeColor="text1"/>
          <w:szCs w:val="24"/>
        </w:rPr>
        <w:t xml:space="preserve">to pay the </w:t>
      </w:r>
      <w:r w:rsidRPr="00104C6A" w:rsidR="00522AEB">
        <w:rPr>
          <w:color w:val="000000" w:themeColor="text1"/>
          <w:szCs w:val="24"/>
        </w:rPr>
        <w:t>rate increase</w:t>
      </w:r>
      <w:r w:rsidRPr="00104C6A" w:rsidR="008B643A">
        <w:rPr>
          <w:color w:val="000000" w:themeColor="text1"/>
          <w:szCs w:val="24"/>
        </w:rPr>
        <w:t xml:space="preserve"> settling parties agreed to</w:t>
      </w:r>
      <w:r w:rsidRPr="00104C6A" w:rsidR="00522AEB">
        <w:rPr>
          <w:color w:val="000000" w:themeColor="text1"/>
          <w:szCs w:val="24"/>
        </w:rPr>
        <w:t>.</w:t>
      </w:r>
      <w:r w:rsidRPr="00104C6A" w:rsidR="00522AEB">
        <w:rPr>
          <w:szCs w:val="24"/>
        </w:rPr>
        <w:t xml:space="preserve"> </w:t>
      </w:r>
      <w:r w:rsidRPr="00104C6A" w:rsidR="00ED5C04">
        <w:rPr>
          <w:szCs w:val="24"/>
        </w:rPr>
        <w:t xml:space="preserve">Duke’s unequal </w:t>
      </w:r>
      <w:r w:rsidRPr="00104C6A">
        <w:rPr>
          <w:szCs w:val="24"/>
        </w:rPr>
        <w:t xml:space="preserve">bargaining </w:t>
      </w:r>
      <w:r w:rsidRPr="00104C6A" w:rsidR="00ED5C04">
        <w:rPr>
          <w:szCs w:val="24"/>
        </w:rPr>
        <w:t xml:space="preserve">power was an obstacle to serious bargaining </w:t>
      </w:r>
      <w:r w:rsidRPr="00104C6A">
        <w:rPr>
          <w:szCs w:val="24"/>
        </w:rPr>
        <w:t>of the Settlement</w:t>
      </w:r>
      <w:r w:rsidRPr="00104C6A" w:rsidR="00ED5C04">
        <w:rPr>
          <w:szCs w:val="24"/>
        </w:rPr>
        <w:t>.</w:t>
      </w:r>
      <w:r w:rsidRPr="00104C6A" w:rsidR="00E6693A">
        <w:rPr>
          <w:szCs w:val="24"/>
        </w:rPr>
        <w:t xml:space="preserve"> </w:t>
      </w:r>
    </w:p>
    <w:p w:rsidR="008718B4" w:rsidRPr="00104C6A" w:rsidP="008718B4" w14:paraId="5EE43A91" w14:textId="2740B18A">
      <w:pPr>
        <w:spacing w:line="480" w:lineRule="auto"/>
        <w:ind w:firstLine="720"/>
        <w:rPr>
          <w:szCs w:val="24"/>
        </w:rPr>
      </w:pPr>
      <w:r w:rsidRPr="00104C6A">
        <w:rPr>
          <w:color w:val="000000" w:themeColor="text1"/>
          <w:szCs w:val="24"/>
        </w:rPr>
        <w:t>A</w:t>
      </w:r>
      <w:r w:rsidRPr="00104C6A" w:rsidR="008B643A">
        <w:rPr>
          <w:color w:val="000000" w:themeColor="text1"/>
          <w:szCs w:val="24"/>
        </w:rPr>
        <w:t xml:space="preserve">s OCC has argued, </w:t>
      </w:r>
      <w:r w:rsidRPr="00104C6A">
        <w:rPr>
          <w:color w:val="000000" w:themeColor="text1"/>
          <w:szCs w:val="24"/>
        </w:rPr>
        <w:t>former PUCO</w:t>
      </w:r>
      <w:r w:rsidRPr="00104C6A">
        <w:rPr>
          <w:szCs w:val="24"/>
        </w:rPr>
        <w:t xml:space="preserve"> Commissioner Cheryl Roberto</w:t>
      </w:r>
      <w:r w:rsidRPr="00104C6A" w:rsidR="0001474B">
        <w:rPr>
          <w:szCs w:val="24"/>
        </w:rPr>
        <w:t xml:space="preserve"> recognized a similar unfair dynamic </w:t>
      </w:r>
      <w:r w:rsidRPr="00104C6A">
        <w:rPr>
          <w:szCs w:val="24"/>
        </w:rPr>
        <w:t>in the context of the settlement of a FirstEnergy electric security plan (“ESP”). Commissioner Roberto wrote:</w:t>
      </w:r>
    </w:p>
    <w:p w:rsidR="002400EC" w:rsidRPr="00104C6A" w:rsidP="002400EC" w14:paraId="52A00D5D" w14:textId="15AA9DAD">
      <w:pPr>
        <w:pStyle w:val="NormalWeb"/>
        <w:spacing w:before="0" w:beforeAutospacing="0" w:after="0" w:afterAutospacing="0"/>
        <w:ind w:left="1440" w:right="1440"/>
      </w:pPr>
      <w:r w:rsidRPr="00104C6A">
        <w:t>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w:t>
      </w:r>
      <w:r>
        <w:rPr>
          <w:rStyle w:val="FootnoteReference"/>
        </w:rPr>
        <w:footnoteReference w:id="17"/>
      </w:r>
    </w:p>
    <w:p w:rsidR="002400EC" w:rsidRPr="00104C6A" w:rsidP="002400EC" w14:paraId="4D6FB22A" w14:textId="77777777">
      <w:pPr>
        <w:pStyle w:val="NormalWeb"/>
        <w:spacing w:before="0" w:beforeAutospacing="0" w:after="0" w:afterAutospacing="0"/>
        <w:ind w:left="1440" w:right="1440"/>
      </w:pPr>
    </w:p>
    <w:p w:rsidR="00522AEB" w:rsidRPr="00104C6A" w:rsidP="00522AEB" w14:paraId="59AA64B3" w14:textId="62CE63F5">
      <w:pPr>
        <w:spacing w:line="480" w:lineRule="auto"/>
        <w:rPr>
          <w:color w:val="000000" w:themeColor="text1"/>
          <w:szCs w:val="24"/>
        </w:rPr>
      </w:pPr>
      <w:r w:rsidRPr="00104C6A">
        <w:rPr>
          <w:szCs w:val="24"/>
        </w:rPr>
        <w:t>The PUCO should have, through its Order, protected consumers from Duke’s superior bargaining power in this case by equalizing the power among parties or improving the results in such a settlement.</w:t>
      </w:r>
      <w:r w:rsidRPr="00104C6A" w:rsidR="009F3571">
        <w:rPr>
          <w:szCs w:val="24"/>
        </w:rPr>
        <w:t xml:space="preserve"> </w:t>
      </w:r>
      <w:r w:rsidRPr="00104C6A" w:rsidR="00DF1350">
        <w:rPr>
          <w:szCs w:val="24"/>
        </w:rPr>
        <w:t>It should have modified the Settlement to address concerns that OCC raised.</w:t>
      </w:r>
      <w:r w:rsidR="00104C6A">
        <w:rPr>
          <w:szCs w:val="24"/>
        </w:rPr>
        <w:t xml:space="preserve"> </w:t>
      </w:r>
    </w:p>
    <w:p w:rsidR="00407A8E" w:rsidRPr="00104C6A" w:rsidP="00F5031D" w14:paraId="535D3614" w14:textId="0BD07D44">
      <w:pPr>
        <w:spacing w:line="480" w:lineRule="auto"/>
        <w:ind w:firstLine="720"/>
        <w:rPr>
          <w:szCs w:val="24"/>
        </w:rPr>
      </w:pPr>
      <w:r w:rsidRPr="00104C6A">
        <w:rPr>
          <w:color w:val="000000" w:themeColor="text1"/>
          <w:szCs w:val="24"/>
        </w:rPr>
        <w:t>The</w:t>
      </w:r>
      <w:r w:rsidRPr="00104C6A" w:rsidR="002400EC">
        <w:rPr>
          <w:color w:val="000000" w:themeColor="text1"/>
          <w:szCs w:val="24"/>
        </w:rPr>
        <w:t xml:space="preserve"> PUCO’s Order </w:t>
      </w:r>
      <w:r w:rsidRPr="00104C6A" w:rsidR="00BF65DF">
        <w:rPr>
          <w:color w:val="000000" w:themeColor="text1"/>
          <w:szCs w:val="24"/>
        </w:rPr>
        <w:t>fails to</w:t>
      </w:r>
      <w:r w:rsidRPr="00104C6A" w:rsidR="002400EC">
        <w:rPr>
          <w:color w:val="000000" w:themeColor="text1"/>
          <w:szCs w:val="24"/>
        </w:rPr>
        <w:t xml:space="preserve"> address Duke’s unequal bargaining power</w:t>
      </w:r>
      <w:r w:rsidRPr="00104C6A">
        <w:rPr>
          <w:color w:val="000000" w:themeColor="text1"/>
          <w:szCs w:val="24"/>
        </w:rPr>
        <w:t xml:space="preserve"> in settlement negotiations</w:t>
      </w:r>
      <w:r w:rsidRPr="00104C6A" w:rsidR="002400EC">
        <w:rPr>
          <w:color w:val="000000" w:themeColor="text1"/>
          <w:szCs w:val="24"/>
        </w:rPr>
        <w:t xml:space="preserve">. Instead, the PUCO </w:t>
      </w:r>
      <w:r w:rsidRPr="00104C6A" w:rsidR="00BF65DF">
        <w:rPr>
          <w:color w:val="000000" w:themeColor="text1"/>
          <w:szCs w:val="24"/>
        </w:rPr>
        <w:t>criticizes</w:t>
      </w:r>
      <w:r w:rsidRPr="00104C6A" w:rsidR="002400EC">
        <w:rPr>
          <w:color w:val="000000" w:themeColor="text1"/>
          <w:szCs w:val="24"/>
        </w:rPr>
        <w:t xml:space="preserve"> OCC’s opposition</w:t>
      </w:r>
      <w:r w:rsidRPr="00104C6A" w:rsidR="002B29DE">
        <w:rPr>
          <w:color w:val="000000" w:themeColor="text1"/>
          <w:szCs w:val="24"/>
        </w:rPr>
        <w:t xml:space="preserve"> to the Settlement as nothing more than </w:t>
      </w:r>
      <w:r w:rsidRPr="00104C6A">
        <w:rPr>
          <w:color w:val="000000" w:themeColor="text1"/>
          <w:szCs w:val="24"/>
        </w:rPr>
        <w:t>an attempt to</w:t>
      </w:r>
      <w:r w:rsidRPr="00104C6A" w:rsidR="002400EC">
        <w:rPr>
          <w:color w:val="000000" w:themeColor="text1"/>
          <w:szCs w:val="24"/>
        </w:rPr>
        <w:t xml:space="preserve"> “veto” </w:t>
      </w:r>
      <w:r w:rsidRPr="00104C6A" w:rsidR="002B29DE">
        <w:rPr>
          <w:color w:val="000000" w:themeColor="text1"/>
          <w:szCs w:val="24"/>
        </w:rPr>
        <w:t>it</w:t>
      </w:r>
      <w:r w:rsidRPr="00104C6A" w:rsidR="00500DCE">
        <w:rPr>
          <w:color w:val="000000" w:themeColor="text1"/>
          <w:szCs w:val="24"/>
        </w:rPr>
        <w:t xml:space="preserve"> and</w:t>
      </w:r>
      <w:r w:rsidRPr="00104C6A">
        <w:rPr>
          <w:color w:val="000000" w:themeColor="text1"/>
          <w:szCs w:val="24"/>
        </w:rPr>
        <w:t xml:space="preserve"> </w:t>
      </w:r>
      <w:r w:rsidRPr="00104C6A" w:rsidR="002400EC">
        <w:rPr>
          <w:color w:val="000000" w:themeColor="text1"/>
          <w:szCs w:val="24"/>
        </w:rPr>
        <w:t>“</w:t>
      </w:r>
      <w:r w:rsidRPr="00104C6A" w:rsidR="002400EC">
        <w:rPr>
          <w:szCs w:val="24"/>
        </w:rPr>
        <w:t>thwart</w:t>
      </w:r>
      <w:r w:rsidRPr="00104C6A">
        <w:rPr>
          <w:szCs w:val="24"/>
        </w:rPr>
        <w:t xml:space="preserve"> </w:t>
      </w:r>
      <w:r w:rsidRPr="00104C6A" w:rsidR="002B29DE">
        <w:rPr>
          <w:szCs w:val="24"/>
        </w:rPr>
        <w:t>a</w:t>
      </w:r>
      <w:r w:rsidRPr="00104C6A">
        <w:rPr>
          <w:szCs w:val="24"/>
        </w:rPr>
        <w:t xml:space="preserve"> settlement agreement mer</w:t>
      </w:r>
      <w:r w:rsidRPr="00104C6A" w:rsidR="002400EC">
        <w:rPr>
          <w:szCs w:val="24"/>
        </w:rPr>
        <w:t>ely by withholding its signature.”</w:t>
      </w:r>
      <w:r>
        <w:rPr>
          <w:rStyle w:val="FootnoteReference"/>
          <w:szCs w:val="24"/>
        </w:rPr>
        <w:footnoteReference w:id="18"/>
      </w:r>
      <w:r w:rsidRPr="00104C6A" w:rsidR="002400EC">
        <w:rPr>
          <w:szCs w:val="24"/>
        </w:rPr>
        <w:t xml:space="preserve"> That is </w:t>
      </w:r>
      <w:r w:rsidRPr="00104C6A" w:rsidR="00500DCE">
        <w:rPr>
          <w:szCs w:val="24"/>
        </w:rPr>
        <w:t>incorrect</w:t>
      </w:r>
      <w:r w:rsidRPr="00104C6A" w:rsidR="002400EC">
        <w:rPr>
          <w:szCs w:val="24"/>
        </w:rPr>
        <w:t>. Duke’s unequal bargaining power</w:t>
      </w:r>
      <w:r w:rsidRPr="00104C6A" w:rsidR="005F04AF">
        <w:rPr>
          <w:szCs w:val="24"/>
        </w:rPr>
        <w:t xml:space="preserve"> </w:t>
      </w:r>
      <w:r w:rsidRPr="00104C6A" w:rsidR="00500DCE">
        <w:rPr>
          <w:szCs w:val="24"/>
        </w:rPr>
        <w:t>unfairly allowed</w:t>
      </w:r>
      <w:r w:rsidRPr="00104C6A" w:rsidR="002400EC">
        <w:rPr>
          <w:szCs w:val="24"/>
        </w:rPr>
        <w:t xml:space="preserve"> Duke </w:t>
      </w:r>
      <w:r w:rsidRPr="00104C6A" w:rsidR="002B29DE">
        <w:rPr>
          <w:szCs w:val="24"/>
        </w:rPr>
        <w:t>to present settlement terms to OCC</w:t>
      </w:r>
      <w:r w:rsidRPr="00104C6A" w:rsidR="005F04AF">
        <w:rPr>
          <w:szCs w:val="24"/>
        </w:rPr>
        <w:t xml:space="preserve"> </w:t>
      </w:r>
      <w:r w:rsidRPr="00104C6A" w:rsidR="002400EC">
        <w:rPr>
          <w:szCs w:val="24"/>
        </w:rPr>
        <w:t xml:space="preserve">on a take it or leave it basis. </w:t>
      </w:r>
      <w:r w:rsidRPr="00104C6A" w:rsidR="00BF65DF">
        <w:rPr>
          <w:szCs w:val="24"/>
        </w:rPr>
        <w:t>And t</w:t>
      </w:r>
      <w:r w:rsidRPr="00104C6A" w:rsidR="002B29DE">
        <w:rPr>
          <w:szCs w:val="24"/>
        </w:rPr>
        <w:t xml:space="preserve">hat is not </w:t>
      </w:r>
      <w:r w:rsidRPr="00104C6A" w:rsidR="002B29DE">
        <w:rPr>
          <w:i/>
          <w:iCs/>
          <w:szCs w:val="24"/>
        </w:rPr>
        <w:t>serious</w:t>
      </w:r>
      <w:r w:rsidRPr="00104C6A" w:rsidR="002B29DE">
        <w:rPr>
          <w:szCs w:val="24"/>
        </w:rPr>
        <w:t xml:space="preserve"> bargaining.</w:t>
      </w:r>
      <w:r w:rsidRPr="00104C6A" w:rsidR="009F3571">
        <w:rPr>
          <w:szCs w:val="24"/>
        </w:rPr>
        <w:t xml:space="preserve"> </w:t>
      </w:r>
      <w:r w:rsidRPr="00104C6A" w:rsidR="00BF65DF">
        <w:rPr>
          <w:szCs w:val="24"/>
        </w:rPr>
        <w:t>As such, the</w:t>
      </w:r>
      <w:r w:rsidRPr="00104C6A" w:rsidR="009F3571">
        <w:rPr>
          <w:szCs w:val="24"/>
        </w:rPr>
        <w:t xml:space="preserve"> PUCO should grant rehearing and abrogate or modify the Order.</w:t>
      </w:r>
      <w:r w:rsidRPr="00104C6A" w:rsidR="002B29DE">
        <w:rPr>
          <w:szCs w:val="24"/>
        </w:rPr>
        <w:t xml:space="preserve"> </w:t>
      </w:r>
    </w:p>
    <w:p w:rsidR="00121521" w:rsidRPr="00104C6A" w:rsidP="00F5031D" w14:paraId="2BEF39EB" w14:textId="2466A3BD">
      <w:pPr>
        <w:spacing w:line="480" w:lineRule="auto"/>
        <w:ind w:firstLine="720"/>
        <w:rPr>
          <w:szCs w:val="24"/>
        </w:rPr>
      </w:pPr>
      <w:r w:rsidRPr="00104C6A">
        <w:rPr>
          <w:szCs w:val="24"/>
        </w:rPr>
        <w:t xml:space="preserve">OCC </w:t>
      </w:r>
      <w:r w:rsidRPr="00104C6A" w:rsidR="00BF65DF">
        <w:rPr>
          <w:szCs w:val="24"/>
        </w:rPr>
        <w:t xml:space="preserve">presented extensive evidence to show how </w:t>
      </w:r>
      <w:r w:rsidRPr="00104C6A">
        <w:rPr>
          <w:szCs w:val="24"/>
        </w:rPr>
        <w:t xml:space="preserve">the Settlement </w:t>
      </w:r>
      <w:r w:rsidRPr="00104C6A" w:rsidR="00BF65DF">
        <w:rPr>
          <w:szCs w:val="24"/>
        </w:rPr>
        <w:t>harms consumers and violates Ohio law</w:t>
      </w:r>
      <w:r w:rsidRPr="00104C6A">
        <w:rPr>
          <w:szCs w:val="24"/>
        </w:rPr>
        <w:t>. OC</w:t>
      </w:r>
      <w:r w:rsidRPr="00104C6A" w:rsidR="008A4731">
        <w:rPr>
          <w:szCs w:val="24"/>
        </w:rPr>
        <w:t xml:space="preserve">C </w:t>
      </w:r>
      <w:r w:rsidRPr="00104C6A" w:rsidR="009B1091">
        <w:rPr>
          <w:szCs w:val="24"/>
        </w:rPr>
        <w:t>opposed the</w:t>
      </w:r>
      <w:r w:rsidRPr="00104C6A">
        <w:rPr>
          <w:szCs w:val="24"/>
        </w:rPr>
        <w:t xml:space="preserve"> Settlement as OCC has the right to do</w:t>
      </w:r>
      <w:r w:rsidRPr="00104C6A" w:rsidR="009B1091">
        <w:rPr>
          <w:szCs w:val="24"/>
        </w:rPr>
        <w:t xml:space="preserve"> under the PUCO’s rules</w:t>
      </w:r>
      <w:r w:rsidRPr="00104C6A">
        <w:rPr>
          <w:szCs w:val="24"/>
        </w:rPr>
        <w:t>.</w:t>
      </w:r>
      <w:r>
        <w:rPr>
          <w:rStyle w:val="FootnoteReference"/>
          <w:szCs w:val="24"/>
        </w:rPr>
        <w:footnoteReference w:id="19"/>
      </w:r>
      <w:r w:rsidRPr="00104C6A">
        <w:rPr>
          <w:szCs w:val="24"/>
        </w:rPr>
        <w:t xml:space="preserve"> OCC </w:t>
      </w:r>
      <w:r w:rsidRPr="00104C6A" w:rsidR="009B1091">
        <w:rPr>
          <w:szCs w:val="24"/>
        </w:rPr>
        <w:t>did not</w:t>
      </w:r>
      <w:r w:rsidRPr="00104C6A" w:rsidR="00BF65DF">
        <w:rPr>
          <w:szCs w:val="24"/>
        </w:rPr>
        <w:t>, as the PUCO states,</w:t>
      </w:r>
      <w:r w:rsidRPr="00104C6A">
        <w:rPr>
          <w:szCs w:val="24"/>
        </w:rPr>
        <w:t xml:space="preserve"> “unreasonably withhold</w:t>
      </w:r>
      <w:r w:rsidRPr="00104C6A" w:rsidR="009B1091">
        <w:rPr>
          <w:szCs w:val="24"/>
        </w:rPr>
        <w:t>[]</w:t>
      </w:r>
      <w:r w:rsidRPr="00104C6A">
        <w:rPr>
          <w:szCs w:val="24"/>
        </w:rPr>
        <w:t xml:space="preserve"> its signature”</w:t>
      </w:r>
      <w:r w:rsidRPr="00104C6A" w:rsidR="009B1091">
        <w:rPr>
          <w:szCs w:val="24"/>
        </w:rPr>
        <w:t xml:space="preserve"> in order to “veto”</w:t>
      </w:r>
      <w:r w:rsidRPr="00104C6A" w:rsidR="00BF65DF">
        <w:rPr>
          <w:szCs w:val="24"/>
        </w:rPr>
        <w:t xml:space="preserve"> the Settlement</w:t>
      </w:r>
      <w:r w:rsidRPr="00104C6A">
        <w:rPr>
          <w:szCs w:val="24"/>
        </w:rPr>
        <w:t xml:space="preserve">. </w:t>
      </w:r>
      <w:r w:rsidRPr="00104C6A" w:rsidR="00BF65DF">
        <w:rPr>
          <w:szCs w:val="24"/>
        </w:rPr>
        <w:t xml:space="preserve">The PUCO and settling parties appear to focus on the fact that OCC was the only party to oppose the Settlement, as if that somehow demonstrates that serious bargaining occurred. </w:t>
      </w:r>
      <w:r w:rsidRPr="00104C6A" w:rsidR="00482681">
        <w:rPr>
          <w:szCs w:val="24"/>
        </w:rPr>
        <w:t>But as OCC has argued, the number of settling parties does not show serious bargaining if the Settlement fails to reflect the broad interests of all consumers.</w:t>
      </w:r>
      <w:r w:rsidRPr="00104C6A" w:rsidR="001D7F98">
        <w:rPr>
          <w:szCs w:val="24"/>
        </w:rPr>
        <w:t xml:space="preserve"> </w:t>
      </w:r>
    </w:p>
    <w:p w:rsidR="00F5031D" w:rsidRPr="00104C6A" w:rsidP="00407A8E" w14:paraId="61A03054" w14:textId="38B5609B">
      <w:pPr>
        <w:spacing w:line="480" w:lineRule="auto"/>
        <w:ind w:firstLine="720"/>
        <w:rPr>
          <w:szCs w:val="24"/>
        </w:rPr>
      </w:pPr>
      <w:r w:rsidRPr="00104C6A">
        <w:rPr>
          <w:color w:val="000000" w:themeColor="text1"/>
          <w:szCs w:val="24"/>
        </w:rPr>
        <w:t xml:space="preserve">Duke could have worked toward a result beneficial to all consumers throughout its service territory by </w:t>
      </w:r>
      <w:r w:rsidRPr="00104C6A">
        <w:rPr>
          <w:szCs w:val="24"/>
        </w:rPr>
        <w:t xml:space="preserve">moderating rate increases and agreeing to other consumer protections not </w:t>
      </w:r>
      <w:r w:rsidRPr="00104C6A" w:rsidR="00DF1350">
        <w:rPr>
          <w:szCs w:val="24"/>
        </w:rPr>
        <w:t xml:space="preserve">found </w:t>
      </w:r>
      <w:r w:rsidRPr="00104C6A">
        <w:rPr>
          <w:szCs w:val="24"/>
        </w:rPr>
        <w:t xml:space="preserve">in the </w:t>
      </w:r>
      <w:r w:rsidRPr="00104C6A" w:rsidR="00081ECA">
        <w:rPr>
          <w:szCs w:val="24"/>
        </w:rPr>
        <w:t>S</w:t>
      </w:r>
      <w:r w:rsidRPr="00104C6A">
        <w:rPr>
          <w:szCs w:val="24"/>
        </w:rPr>
        <w:t xml:space="preserve">ettlement. But it chose not to. Instead, Duke used its unequal bargaining power to assemble a coalition of settling parties to craft the Settlement </w:t>
      </w:r>
      <w:r w:rsidRPr="00104C6A" w:rsidR="004C2385">
        <w:rPr>
          <w:szCs w:val="24"/>
        </w:rPr>
        <w:t>that does not serve the broad interests o</w:t>
      </w:r>
      <w:r w:rsidRPr="00104C6A" w:rsidR="00407A8E">
        <w:rPr>
          <w:szCs w:val="24"/>
        </w:rPr>
        <w:t>f</w:t>
      </w:r>
      <w:r w:rsidRPr="00104C6A" w:rsidR="004C2385">
        <w:rPr>
          <w:szCs w:val="24"/>
        </w:rPr>
        <w:t xml:space="preserve"> consumers</w:t>
      </w:r>
      <w:r w:rsidRPr="00104C6A">
        <w:rPr>
          <w:szCs w:val="24"/>
        </w:rPr>
        <w:t>.</w:t>
      </w:r>
      <w:r>
        <w:rPr>
          <w:rStyle w:val="FootnoteReference"/>
          <w:szCs w:val="24"/>
        </w:rPr>
        <w:footnoteReference w:id="20"/>
      </w:r>
      <w:r w:rsidRPr="00104C6A">
        <w:rPr>
          <w:szCs w:val="24"/>
        </w:rPr>
        <w:t xml:space="preserve"> Doing this benefits Duke in two ways. </w:t>
      </w:r>
      <w:r w:rsidRPr="00104C6A" w:rsidR="00081ECA">
        <w:rPr>
          <w:szCs w:val="24"/>
        </w:rPr>
        <w:t>First</w:t>
      </w:r>
      <w:r w:rsidRPr="00104C6A">
        <w:rPr>
          <w:szCs w:val="24"/>
        </w:rPr>
        <w:t xml:space="preserve">, </w:t>
      </w:r>
      <w:r w:rsidRPr="00104C6A" w:rsidR="00081ECA">
        <w:rPr>
          <w:szCs w:val="24"/>
        </w:rPr>
        <w:t xml:space="preserve">a settlement that </w:t>
      </w:r>
      <w:r w:rsidRPr="00104C6A">
        <w:rPr>
          <w:szCs w:val="24"/>
        </w:rPr>
        <w:t>serv</w:t>
      </w:r>
      <w:r w:rsidRPr="00104C6A" w:rsidR="00081ECA">
        <w:rPr>
          <w:szCs w:val="24"/>
        </w:rPr>
        <w:t>es</w:t>
      </w:r>
      <w:r w:rsidRPr="00104C6A">
        <w:rPr>
          <w:szCs w:val="24"/>
        </w:rPr>
        <w:t xml:space="preserve"> narrow interests costs Duke less money. </w:t>
      </w:r>
      <w:r w:rsidRPr="00104C6A" w:rsidR="00081ECA">
        <w:rPr>
          <w:szCs w:val="24"/>
        </w:rPr>
        <w:t>Second</w:t>
      </w:r>
      <w:r w:rsidRPr="00104C6A">
        <w:rPr>
          <w:szCs w:val="24"/>
        </w:rPr>
        <w:t xml:space="preserve">, </w:t>
      </w:r>
      <w:r w:rsidRPr="00104C6A" w:rsidR="00081ECA">
        <w:rPr>
          <w:szCs w:val="24"/>
        </w:rPr>
        <w:t xml:space="preserve">the more </w:t>
      </w:r>
      <w:r w:rsidRPr="00104C6A" w:rsidR="00482681">
        <w:rPr>
          <w:szCs w:val="24"/>
        </w:rPr>
        <w:t>settling</w:t>
      </w:r>
      <w:r w:rsidRPr="00104C6A" w:rsidR="00081ECA">
        <w:rPr>
          <w:szCs w:val="24"/>
        </w:rPr>
        <w:t xml:space="preserve"> parties Duke has, the more the Settlement appears to</w:t>
      </w:r>
      <w:r w:rsidRPr="00104C6A" w:rsidR="00482681">
        <w:rPr>
          <w:szCs w:val="24"/>
        </w:rPr>
        <w:t xml:space="preserve"> </w:t>
      </w:r>
      <w:r w:rsidRPr="00104C6A">
        <w:rPr>
          <w:szCs w:val="24"/>
        </w:rPr>
        <w:t>serv</w:t>
      </w:r>
      <w:r w:rsidRPr="00104C6A" w:rsidR="00482681">
        <w:rPr>
          <w:szCs w:val="24"/>
        </w:rPr>
        <w:t>e</w:t>
      </w:r>
      <w:r w:rsidRPr="00104C6A">
        <w:rPr>
          <w:szCs w:val="24"/>
        </w:rPr>
        <w:t xml:space="preserve"> the broad interests of all consumers</w:t>
      </w:r>
      <w:r w:rsidRPr="00104C6A" w:rsidR="005B364C">
        <w:rPr>
          <w:szCs w:val="24"/>
        </w:rPr>
        <w:t xml:space="preserve">, when it really </w:t>
      </w:r>
      <w:r w:rsidRPr="00104C6A" w:rsidR="00482681">
        <w:rPr>
          <w:szCs w:val="24"/>
        </w:rPr>
        <w:t>doesn’t</w:t>
      </w:r>
      <w:r w:rsidRPr="00104C6A">
        <w:rPr>
          <w:szCs w:val="24"/>
        </w:rPr>
        <w:t>.</w:t>
      </w:r>
    </w:p>
    <w:p w:rsidR="0091290A" w:rsidRPr="00104C6A" w:rsidP="00CB32C7" w14:paraId="15EE74C9" w14:textId="088510FC">
      <w:pPr>
        <w:spacing w:line="480" w:lineRule="auto"/>
        <w:ind w:firstLine="720"/>
        <w:rPr>
          <w:color w:val="000000" w:themeColor="text1"/>
          <w:szCs w:val="24"/>
        </w:rPr>
      </w:pPr>
      <w:r w:rsidRPr="00104C6A">
        <w:rPr>
          <w:color w:val="000000" w:themeColor="text1"/>
          <w:szCs w:val="24"/>
        </w:rPr>
        <w:t xml:space="preserve">The </w:t>
      </w:r>
      <w:r w:rsidRPr="00104C6A" w:rsidR="00512606">
        <w:rPr>
          <w:color w:val="000000" w:themeColor="text1"/>
          <w:szCs w:val="24"/>
        </w:rPr>
        <w:t>Settlement provides a</w:t>
      </w:r>
      <w:r w:rsidRPr="00104C6A" w:rsidR="00EB218F">
        <w:rPr>
          <w:color w:val="000000" w:themeColor="text1"/>
          <w:szCs w:val="24"/>
        </w:rPr>
        <w:t xml:space="preserve"> </w:t>
      </w:r>
      <w:r w:rsidRPr="00104C6A" w:rsidR="00C86F5B">
        <w:rPr>
          <w:color w:val="000000" w:themeColor="text1"/>
          <w:szCs w:val="24"/>
        </w:rPr>
        <w:t>$23.1 million</w:t>
      </w:r>
      <w:r w:rsidRPr="00104C6A" w:rsidR="00651FCB">
        <w:rPr>
          <w:color w:val="000000" w:themeColor="text1"/>
          <w:szCs w:val="24"/>
        </w:rPr>
        <w:t xml:space="preserve"> rate increase</w:t>
      </w:r>
      <w:r w:rsidRPr="00104C6A" w:rsidR="00A144CB">
        <w:rPr>
          <w:color w:val="000000" w:themeColor="text1"/>
          <w:szCs w:val="24"/>
        </w:rPr>
        <w:t xml:space="preserve"> for Duke</w:t>
      </w:r>
      <w:r w:rsidRPr="00104C6A" w:rsidR="005A7127">
        <w:rPr>
          <w:color w:val="000000" w:themeColor="text1"/>
          <w:szCs w:val="24"/>
        </w:rPr>
        <w:t xml:space="preserve">. </w:t>
      </w:r>
      <w:r w:rsidRPr="00104C6A">
        <w:rPr>
          <w:color w:val="000000" w:themeColor="text1"/>
          <w:szCs w:val="24"/>
        </w:rPr>
        <w:t>The agreed-to</w:t>
      </w:r>
      <w:r w:rsidRPr="00104C6A" w:rsidR="005A7127">
        <w:rPr>
          <w:color w:val="000000" w:themeColor="text1"/>
          <w:szCs w:val="24"/>
        </w:rPr>
        <w:t xml:space="preserve"> increase </w:t>
      </w:r>
      <w:r w:rsidRPr="00104C6A" w:rsidR="003679FC">
        <w:rPr>
          <w:color w:val="000000" w:themeColor="text1"/>
          <w:szCs w:val="24"/>
        </w:rPr>
        <w:t xml:space="preserve">significantly </w:t>
      </w:r>
      <w:r w:rsidRPr="00104C6A" w:rsidR="009A4C62">
        <w:rPr>
          <w:color w:val="000000" w:themeColor="text1"/>
          <w:szCs w:val="24"/>
        </w:rPr>
        <w:t>exceeds the</w:t>
      </w:r>
      <w:r w:rsidRPr="00104C6A" w:rsidR="005977FD">
        <w:rPr>
          <w:color w:val="000000" w:themeColor="text1"/>
          <w:szCs w:val="24"/>
        </w:rPr>
        <w:t xml:space="preserve"> </w:t>
      </w:r>
      <w:r w:rsidRPr="00104C6A" w:rsidR="005977FD">
        <w:rPr>
          <w:szCs w:val="24"/>
        </w:rPr>
        <w:t xml:space="preserve">mid-point of the </w:t>
      </w:r>
      <w:r w:rsidRPr="00104C6A" w:rsidR="005977FD">
        <w:rPr>
          <w:color w:val="000000" w:themeColor="text1"/>
          <w:szCs w:val="24"/>
        </w:rPr>
        <w:t xml:space="preserve">range </w:t>
      </w:r>
      <w:r w:rsidRPr="00104C6A" w:rsidR="005977FD">
        <w:rPr>
          <w:szCs w:val="24"/>
        </w:rPr>
        <w:t>($1.86 million to $15.27 million) the PUCO Staff</w:t>
      </w:r>
      <w:r w:rsidRPr="00104C6A" w:rsidR="009A4C62">
        <w:rPr>
          <w:color w:val="000000" w:themeColor="text1"/>
          <w:szCs w:val="24"/>
        </w:rPr>
        <w:t xml:space="preserve"> </w:t>
      </w:r>
      <w:r w:rsidRPr="00104C6A" w:rsidR="00C3324D">
        <w:rPr>
          <w:color w:val="000000" w:themeColor="text1"/>
          <w:szCs w:val="24"/>
        </w:rPr>
        <w:t>initially recommended</w:t>
      </w:r>
      <w:r w:rsidRPr="00104C6A" w:rsidR="005977FD">
        <w:rPr>
          <w:color w:val="000000" w:themeColor="text1"/>
          <w:szCs w:val="24"/>
        </w:rPr>
        <w:t xml:space="preserve"> in the Staff Report</w:t>
      </w:r>
      <w:r w:rsidRPr="00104C6A" w:rsidR="00EB218F">
        <w:rPr>
          <w:color w:val="000000" w:themeColor="text1"/>
          <w:szCs w:val="24"/>
        </w:rPr>
        <w:t>.</w:t>
      </w:r>
      <w:r>
        <w:rPr>
          <w:rStyle w:val="FootnoteReference"/>
          <w:color w:val="000000" w:themeColor="text1"/>
          <w:szCs w:val="24"/>
        </w:rPr>
        <w:footnoteReference w:id="21"/>
      </w:r>
      <w:r w:rsidRPr="00104C6A" w:rsidR="00EB218F">
        <w:rPr>
          <w:color w:val="000000" w:themeColor="text1"/>
          <w:szCs w:val="24"/>
        </w:rPr>
        <w:t xml:space="preserve"> </w:t>
      </w:r>
      <w:r w:rsidRPr="00104C6A" w:rsidR="00512606">
        <w:rPr>
          <w:color w:val="000000" w:themeColor="text1"/>
          <w:szCs w:val="24"/>
        </w:rPr>
        <w:t>All of Duke’s r</w:t>
      </w:r>
      <w:r w:rsidRPr="00104C6A">
        <w:rPr>
          <w:color w:val="000000" w:themeColor="text1"/>
          <w:szCs w:val="24"/>
        </w:rPr>
        <w:t>esidential consumers will pay</w:t>
      </w:r>
      <w:r w:rsidRPr="00104C6A" w:rsidR="00512606">
        <w:rPr>
          <w:color w:val="000000" w:themeColor="text1"/>
          <w:szCs w:val="24"/>
        </w:rPr>
        <w:t xml:space="preserve"> for</w:t>
      </w:r>
      <w:r w:rsidRPr="00104C6A">
        <w:rPr>
          <w:color w:val="000000" w:themeColor="text1"/>
          <w:szCs w:val="24"/>
        </w:rPr>
        <w:t xml:space="preserve"> most of the rate increase. </w:t>
      </w:r>
      <w:r w:rsidRPr="00104C6A" w:rsidR="00482681">
        <w:rPr>
          <w:color w:val="000000" w:themeColor="text1"/>
          <w:szCs w:val="24"/>
        </w:rPr>
        <w:t>T</w:t>
      </w:r>
      <w:r w:rsidRPr="00104C6A" w:rsidR="005977FD">
        <w:rPr>
          <w:color w:val="000000" w:themeColor="text1"/>
          <w:szCs w:val="24"/>
        </w:rPr>
        <w:t>he PUCO claims</w:t>
      </w:r>
      <w:r w:rsidRPr="00104C6A" w:rsidR="002E3C76">
        <w:rPr>
          <w:color w:val="000000" w:themeColor="text1"/>
          <w:szCs w:val="24"/>
        </w:rPr>
        <w:t xml:space="preserve"> (erroneous</w:t>
      </w:r>
      <w:r w:rsidRPr="00104C6A">
        <w:rPr>
          <w:color w:val="000000" w:themeColor="text1"/>
          <w:szCs w:val="24"/>
        </w:rPr>
        <w:t>ly)</w:t>
      </w:r>
      <w:r w:rsidRPr="00104C6A" w:rsidR="005977FD">
        <w:rPr>
          <w:color w:val="000000" w:themeColor="text1"/>
          <w:szCs w:val="24"/>
        </w:rPr>
        <w:t xml:space="preserve"> that OCC “mischaracterizes” the allocations of the rate increase to residential consumers</w:t>
      </w:r>
      <w:r w:rsidRPr="00104C6A" w:rsidR="00482681">
        <w:rPr>
          <w:color w:val="000000" w:themeColor="text1"/>
          <w:szCs w:val="24"/>
        </w:rPr>
        <w:t>.</w:t>
      </w:r>
      <w:r>
        <w:rPr>
          <w:rStyle w:val="FootnoteReference"/>
          <w:color w:val="000000" w:themeColor="text1"/>
          <w:szCs w:val="24"/>
        </w:rPr>
        <w:footnoteReference w:id="22"/>
      </w:r>
      <w:r w:rsidRPr="00104C6A" w:rsidR="00A144CB">
        <w:rPr>
          <w:color w:val="000000" w:themeColor="text1"/>
          <w:szCs w:val="24"/>
        </w:rPr>
        <w:t xml:space="preserve"> </w:t>
      </w:r>
      <w:r w:rsidRPr="00104C6A" w:rsidR="00482681">
        <w:rPr>
          <w:color w:val="000000" w:themeColor="text1"/>
          <w:szCs w:val="24"/>
        </w:rPr>
        <w:t>Nevertheless, the</w:t>
      </w:r>
      <w:r w:rsidRPr="00104C6A" w:rsidR="005977FD">
        <w:rPr>
          <w:color w:val="000000" w:themeColor="text1"/>
          <w:szCs w:val="24"/>
        </w:rPr>
        <w:t xml:space="preserve"> PUCO </w:t>
      </w:r>
      <w:r w:rsidRPr="00104C6A" w:rsidR="00A144CB">
        <w:rPr>
          <w:color w:val="000000" w:themeColor="text1"/>
          <w:szCs w:val="24"/>
        </w:rPr>
        <w:t>acknowledges</w:t>
      </w:r>
      <w:r w:rsidRPr="00104C6A" w:rsidR="005977FD">
        <w:rPr>
          <w:color w:val="000000" w:themeColor="text1"/>
          <w:szCs w:val="24"/>
        </w:rPr>
        <w:t xml:space="preserve"> (as it must) that </w:t>
      </w:r>
      <w:r w:rsidRPr="00104C6A" w:rsidR="00E96AA4">
        <w:rPr>
          <w:color w:val="000000" w:themeColor="text1"/>
          <w:szCs w:val="24"/>
        </w:rPr>
        <w:t xml:space="preserve">the Settlement allocates to </w:t>
      </w:r>
      <w:r w:rsidRPr="00104C6A" w:rsidR="00EB218F">
        <w:rPr>
          <w:color w:val="000000" w:themeColor="text1"/>
          <w:szCs w:val="24"/>
        </w:rPr>
        <w:t>residential consumers 92.4% of the $23.1 million increase,</w:t>
      </w:r>
      <w:r w:rsidRPr="00104C6A" w:rsidR="00A144CB">
        <w:rPr>
          <w:color w:val="000000" w:themeColor="text1"/>
          <w:szCs w:val="24"/>
        </w:rPr>
        <w:t xml:space="preserve"> and 64% of the total revenue requirement.</w:t>
      </w:r>
      <w:r>
        <w:rPr>
          <w:rStyle w:val="FootnoteReference"/>
          <w:color w:val="000000" w:themeColor="text1"/>
          <w:szCs w:val="24"/>
        </w:rPr>
        <w:footnoteReference w:id="23"/>
      </w:r>
      <w:r w:rsidRPr="00104C6A" w:rsidR="00A144CB">
        <w:rPr>
          <w:color w:val="000000" w:themeColor="text1"/>
          <w:szCs w:val="24"/>
        </w:rPr>
        <w:t xml:space="preserve"> </w:t>
      </w:r>
      <w:r w:rsidRPr="00104C6A" w:rsidR="00512606">
        <w:rPr>
          <w:color w:val="000000" w:themeColor="text1"/>
          <w:szCs w:val="24"/>
        </w:rPr>
        <w:t xml:space="preserve">Thus, </w:t>
      </w:r>
      <w:r w:rsidRPr="00104C6A" w:rsidR="00407A8E">
        <w:rPr>
          <w:color w:val="000000" w:themeColor="text1"/>
          <w:szCs w:val="24"/>
        </w:rPr>
        <w:t>no matter how the allocations are</w:t>
      </w:r>
      <w:r w:rsidRPr="00104C6A" w:rsidR="003F6A07">
        <w:rPr>
          <w:color w:val="000000" w:themeColor="text1"/>
          <w:szCs w:val="24"/>
        </w:rPr>
        <w:t xml:space="preserve"> characterized</w:t>
      </w:r>
      <w:r w:rsidRPr="00104C6A" w:rsidR="00512606">
        <w:rPr>
          <w:color w:val="000000" w:themeColor="text1"/>
          <w:szCs w:val="24"/>
        </w:rPr>
        <w:t xml:space="preserve">, </w:t>
      </w:r>
      <w:r w:rsidRPr="00104C6A" w:rsidR="00482681">
        <w:rPr>
          <w:color w:val="000000" w:themeColor="text1"/>
          <w:szCs w:val="24"/>
        </w:rPr>
        <w:t xml:space="preserve">it is undisputed that </w:t>
      </w:r>
      <w:r w:rsidRPr="00104C6A" w:rsidR="003F6A07">
        <w:rPr>
          <w:color w:val="000000" w:themeColor="text1"/>
          <w:szCs w:val="24"/>
        </w:rPr>
        <w:t xml:space="preserve">residential consumers </w:t>
      </w:r>
      <w:r w:rsidRPr="00104C6A" w:rsidR="002E3C76">
        <w:rPr>
          <w:color w:val="000000" w:themeColor="text1"/>
          <w:szCs w:val="24"/>
        </w:rPr>
        <w:t xml:space="preserve">will </w:t>
      </w:r>
      <w:r w:rsidRPr="00104C6A" w:rsidR="003F6A07">
        <w:rPr>
          <w:color w:val="000000" w:themeColor="text1"/>
          <w:szCs w:val="24"/>
        </w:rPr>
        <w:t>pay</w:t>
      </w:r>
      <w:r w:rsidRPr="00104C6A" w:rsidR="00512606">
        <w:rPr>
          <w:color w:val="000000" w:themeColor="text1"/>
          <w:szCs w:val="24"/>
        </w:rPr>
        <w:t xml:space="preserve"> for</w:t>
      </w:r>
      <w:r w:rsidRPr="00104C6A" w:rsidR="003F6A07">
        <w:rPr>
          <w:color w:val="000000" w:themeColor="text1"/>
          <w:szCs w:val="24"/>
        </w:rPr>
        <w:t xml:space="preserve"> most of the rate increase.</w:t>
      </w:r>
      <w:r w:rsidRPr="00104C6A" w:rsidR="001D7F98">
        <w:rPr>
          <w:color w:val="000000" w:themeColor="text1"/>
          <w:szCs w:val="24"/>
        </w:rPr>
        <w:t xml:space="preserve"> </w:t>
      </w:r>
    </w:p>
    <w:p w:rsidR="00512606" w:rsidRPr="00104C6A" w:rsidP="008970F2" w14:paraId="04C59ED6" w14:textId="18A21C5F">
      <w:pPr>
        <w:spacing w:line="480" w:lineRule="auto"/>
        <w:ind w:firstLine="720"/>
        <w:rPr>
          <w:color w:val="000000" w:themeColor="text1"/>
          <w:szCs w:val="24"/>
        </w:rPr>
      </w:pPr>
      <w:r w:rsidRPr="00104C6A">
        <w:rPr>
          <w:color w:val="000000" w:themeColor="text1"/>
          <w:szCs w:val="24"/>
        </w:rPr>
        <w:t>Plainly, non-residential settling parties</w:t>
      </w:r>
      <w:r w:rsidRPr="00104C6A" w:rsidR="00F75698">
        <w:rPr>
          <w:color w:val="000000" w:themeColor="text1"/>
          <w:szCs w:val="24"/>
        </w:rPr>
        <w:t xml:space="preserve"> like</w:t>
      </w:r>
      <w:r w:rsidRPr="00104C6A" w:rsidR="00FF292F">
        <w:rPr>
          <w:color w:val="000000" w:themeColor="text1"/>
          <w:szCs w:val="24"/>
        </w:rPr>
        <w:t xml:space="preserve"> Walmart</w:t>
      </w:r>
      <w:r w:rsidRPr="00104C6A">
        <w:rPr>
          <w:color w:val="000000" w:themeColor="text1"/>
          <w:szCs w:val="24"/>
        </w:rPr>
        <w:t xml:space="preserve"> and</w:t>
      </w:r>
      <w:r w:rsidRPr="00104C6A" w:rsidR="00FF292F">
        <w:rPr>
          <w:color w:val="000000" w:themeColor="text1"/>
          <w:szCs w:val="24"/>
        </w:rPr>
        <w:t xml:space="preserve"> O</w:t>
      </w:r>
      <w:r w:rsidRPr="00104C6A" w:rsidR="00A667F8">
        <w:rPr>
          <w:color w:val="000000" w:themeColor="text1"/>
          <w:szCs w:val="24"/>
        </w:rPr>
        <w:t>EG</w:t>
      </w:r>
      <w:r>
        <w:rPr>
          <w:rStyle w:val="FootnoteReference"/>
          <w:color w:val="000000" w:themeColor="text1"/>
          <w:szCs w:val="24"/>
        </w:rPr>
        <w:footnoteReference w:id="24"/>
      </w:r>
      <w:r w:rsidRPr="00104C6A">
        <w:rPr>
          <w:color w:val="000000" w:themeColor="text1"/>
          <w:szCs w:val="24"/>
        </w:rPr>
        <w:t xml:space="preserve"> </w:t>
      </w:r>
      <w:r w:rsidRPr="00104C6A" w:rsidR="00FC5713">
        <w:rPr>
          <w:color w:val="000000" w:themeColor="text1"/>
          <w:szCs w:val="24"/>
        </w:rPr>
        <w:t>(</w:t>
      </w:r>
      <w:r w:rsidRPr="00104C6A">
        <w:rPr>
          <w:color w:val="000000" w:themeColor="text1"/>
          <w:szCs w:val="24"/>
        </w:rPr>
        <w:t>and non-opposing parties</w:t>
      </w:r>
      <w:r w:rsidRPr="00104C6A" w:rsidR="00FF292F">
        <w:rPr>
          <w:color w:val="000000" w:themeColor="text1"/>
          <w:szCs w:val="24"/>
        </w:rPr>
        <w:t xml:space="preserve"> Kroger and OMAEG</w:t>
      </w:r>
      <w:r>
        <w:rPr>
          <w:rStyle w:val="FootnoteReference"/>
          <w:color w:val="000000" w:themeColor="text1"/>
          <w:szCs w:val="24"/>
        </w:rPr>
        <w:footnoteReference w:id="25"/>
      </w:r>
      <w:r w:rsidRPr="00104C6A" w:rsidR="00FC5713">
        <w:rPr>
          <w:color w:val="000000" w:themeColor="text1"/>
          <w:szCs w:val="24"/>
        </w:rPr>
        <w:t>)</w:t>
      </w:r>
      <w:r w:rsidRPr="00104C6A">
        <w:rPr>
          <w:color w:val="000000" w:themeColor="text1"/>
          <w:szCs w:val="24"/>
        </w:rPr>
        <w:t xml:space="preserve"> will</w:t>
      </w:r>
      <w:r w:rsidRPr="00104C6A" w:rsidR="00FF292F">
        <w:rPr>
          <w:color w:val="000000" w:themeColor="text1"/>
          <w:szCs w:val="24"/>
        </w:rPr>
        <w:t xml:space="preserve"> benefit </w:t>
      </w:r>
      <w:r w:rsidRPr="00104C6A" w:rsidR="00D20007">
        <w:rPr>
          <w:color w:val="000000" w:themeColor="text1"/>
          <w:szCs w:val="24"/>
        </w:rPr>
        <w:t xml:space="preserve">from the </w:t>
      </w:r>
      <w:r w:rsidRPr="00104C6A">
        <w:rPr>
          <w:color w:val="000000" w:themeColor="text1"/>
          <w:szCs w:val="24"/>
        </w:rPr>
        <w:t xml:space="preserve">Settlement’s </w:t>
      </w:r>
      <w:r w:rsidRPr="00104C6A" w:rsidR="00D20007">
        <w:rPr>
          <w:color w:val="000000" w:themeColor="text1"/>
          <w:szCs w:val="24"/>
        </w:rPr>
        <w:t xml:space="preserve">allocations </w:t>
      </w:r>
      <w:r w:rsidRPr="00104C6A" w:rsidR="00F75698">
        <w:rPr>
          <w:color w:val="000000" w:themeColor="text1"/>
          <w:szCs w:val="24"/>
        </w:rPr>
        <w:t>because they</w:t>
      </w:r>
      <w:r w:rsidRPr="00104C6A" w:rsidR="00D20007">
        <w:rPr>
          <w:color w:val="000000" w:themeColor="text1"/>
          <w:szCs w:val="24"/>
        </w:rPr>
        <w:t xml:space="preserve"> will pay less </w:t>
      </w:r>
      <w:r w:rsidRPr="00104C6A" w:rsidR="00FC5713">
        <w:rPr>
          <w:color w:val="000000" w:themeColor="text1"/>
          <w:szCs w:val="24"/>
        </w:rPr>
        <w:t>than 8% of the</w:t>
      </w:r>
      <w:r w:rsidRPr="00104C6A" w:rsidR="00D20007">
        <w:rPr>
          <w:color w:val="000000" w:themeColor="text1"/>
          <w:szCs w:val="24"/>
        </w:rPr>
        <w:t xml:space="preserve"> agreed-to</w:t>
      </w:r>
      <w:r w:rsidRPr="00104C6A" w:rsidR="00A57D2E">
        <w:rPr>
          <w:color w:val="000000" w:themeColor="text1"/>
          <w:szCs w:val="24"/>
        </w:rPr>
        <w:t xml:space="preserve"> $23.1 million</w:t>
      </w:r>
      <w:r w:rsidRPr="00104C6A" w:rsidR="00D20007">
        <w:rPr>
          <w:color w:val="000000" w:themeColor="text1"/>
          <w:szCs w:val="24"/>
        </w:rPr>
        <w:t xml:space="preserve"> rate increase. </w:t>
      </w:r>
      <w:r w:rsidRPr="00104C6A" w:rsidR="00FC5713">
        <w:rPr>
          <w:color w:val="000000" w:themeColor="text1"/>
          <w:szCs w:val="24"/>
        </w:rPr>
        <w:t>Whereas other s</w:t>
      </w:r>
      <w:r w:rsidRPr="00104C6A" w:rsidR="00FF292F">
        <w:rPr>
          <w:color w:val="000000" w:themeColor="text1"/>
          <w:szCs w:val="24"/>
        </w:rPr>
        <w:t>ettling parties</w:t>
      </w:r>
      <w:r w:rsidRPr="00104C6A" w:rsidR="00FC5713">
        <w:rPr>
          <w:color w:val="000000" w:themeColor="text1"/>
          <w:szCs w:val="24"/>
        </w:rPr>
        <w:t>,</w:t>
      </w:r>
      <w:r w:rsidRPr="00104C6A" w:rsidR="00FF292F">
        <w:rPr>
          <w:color w:val="000000" w:themeColor="text1"/>
          <w:szCs w:val="24"/>
        </w:rPr>
        <w:t xml:space="preserve"> like Na</w:t>
      </w:r>
      <w:r w:rsidRPr="00104C6A" w:rsidR="00CB32C7">
        <w:rPr>
          <w:color w:val="000000" w:themeColor="text1"/>
          <w:szCs w:val="24"/>
        </w:rPr>
        <w:t>ti</w:t>
      </w:r>
      <w:r w:rsidRPr="00104C6A" w:rsidR="00FF292F">
        <w:rPr>
          <w:color w:val="000000" w:themeColor="text1"/>
          <w:szCs w:val="24"/>
        </w:rPr>
        <w:t>onwide Energy Partners</w:t>
      </w:r>
      <w:r w:rsidRPr="00104C6A" w:rsidR="00081936">
        <w:rPr>
          <w:color w:val="000000" w:themeColor="text1"/>
          <w:szCs w:val="24"/>
        </w:rPr>
        <w:t>, ChargePoint, Inc., and OneEnergy Enterprises, LLC</w:t>
      </w:r>
      <w:r>
        <w:rPr>
          <w:rStyle w:val="FootnoteReference"/>
          <w:color w:val="000000" w:themeColor="text1"/>
          <w:szCs w:val="24"/>
        </w:rPr>
        <w:footnoteReference w:id="26"/>
      </w:r>
      <w:r w:rsidRPr="00104C6A" w:rsidR="00F75698">
        <w:rPr>
          <w:color w:val="000000" w:themeColor="text1"/>
          <w:szCs w:val="24"/>
        </w:rPr>
        <w:t xml:space="preserve"> have little interest</w:t>
      </w:r>
      <w:r w:rsidRPr="00104C6A" w:rsidR="00FF292F">
        <w:rPr>
          <w:color w:val="000000" w:themeColor="text1"/>
          <w:szCs w:val="24"/>
        </w:rPr>
        <w:t xml:space="preserve"> in what residential consumers pay</w:t>
      </w:r>
      <w:r w:rsidRPr="00104C6A" w:rsidR="00F75698">
        <w:rPr>
          <w:color w:val="000000" w:themeColor="text1"/>
          <w:szCs w:val="24"/>
        </w:rPr>
        <w:t xml:space="preserve"> for electric distribution service</w:t>
      </w:r>
      <w:r w:rsidRPr="00104C6A" w:rsidR="00081936">
        <w:rPr>
          <w:color w:val="000000" w:themeColor="text1"/>
          <w:szCs w:val="24"/>
        </w:rPr>
        <w:t xml:space="preserve"> because they have narrow interests specific to their business</w:t>
      </w:r>
      <w:r w:rsidRPr="00104C6A" w:rsidR="00E5625F">
        <w:rPr>
          <w:color w:val="000000" w:themeColor="text1"/>
          <w:szCs w:val="24"/>
        </w:rPr>
        <w:t>es</w:t>
      </w:r>
      <w:r w:rsidRPr="00104C6A" w:rsidR="008A506F">
        <w:rPr>
          <w:color w:val="000000" w:themeColor="text1"/>
          <w:szCs w:val="24"/>
        </w:rPr>
        <w:t xml:space="preserve"> and industries</w:t>
      </w:r>
      <w:r w:rsidRPr="00104C6A" w:rsidR="00FF292F">
        <w:rPr>
          <w:color w:val="000000" w:themeColor="text1"/>
          <w:szCs w:val="24"/>
        </w:rPr>
        <w:t>.</w:t>
      </w:r>
    </w:p>
    <w:p w:rsidR="002659AB" w:rsidRPr="00104C6A" w:rsidP="007B4AD1" w14:paraId="49913E37" w14:textId="41F652B8">
      <w:pPr>
        <w:spacing w:line="480" w:lineRule="auto"/>
        <w:ind w:firstLine="720"/>
        <w:rPr>
          <w:bCs/>
          <w:szCs w:val="24"/>
        </w:rPr>
      </w:pPr>
      <w:r w:rsidRPr="00104C6A">
        <w:rPr>
          <w:color w:val="000000" w:themeColor="text1"/>
          <w:szCs w:val="24"/>
        </w:rPr>
        <w:t xml:space="preserve">The PUCO </w:t>
      </w:r>
      <w:r w:rsidRPr="00104C6A" w:rsidR="008A506F">
        <w:rPr>
          <w:color w:val="000000" w:themeColor="text1"/>
          <w:szCs w:val="24"/>
        </w:rPr>
        <w:t>concluded</w:t>
      </w:r>
      <w:r w:rsidRPr="00104C6A">
        <w:rPr>
          <w:color w:val="000000" w:themeColor="text1"/>
          <w:szCs w:val="24"/>
        </w:rPr>
        <w:t xml:space="preserve"> that other settling parties represent residential consumer interests.</w:t>
      </w:r>
      <w:r>
        <w:rPr>
          <w:rStyle w:val="FootnoteReference"/>
          <w:color w:val="000000" w:themeColor="text1"/>
          <w:szCs w:val="24"/>
        </w:rPr>
        <w:footnoteReference w:id="27"/>
      </w:r>
      <w:r w:rsidRPr="00104C6A">
        <w:rPr>
          <w:color w:val="000000" w:themeColor="text1"/>
          <w:szCs w:val="24"/>
        </w:rPr>
        <w:t xml:space="preserve"> </w:t>
      </w:r>
      <w:r w:rsidRPr="00104C6A" w:rsidR="00A76D54">
        <w:rPr>
          <w:color w:val="000000" w:themeColor="text1"/>
          <w:szCs w:val="24"/>
        </w:rPr>
        <w:t xml:space="preserve">However, evidence presented by OCC demonstrates that these parties do not represent </w:t>
      </w:r>
      <w:r w:rsidRPr="00104C6A" w:rsidR="008A506F">
        <w:rPr>
          <w:color w:val="000000" w:themeColor="text1"/>
          <w:szCs w:val="24"/>
        </w:rPr>
        <w:t xml:space="preserve">the broad interests of all Duke’s </w:t>
      </w:r>
      <w:r w:rsidRPr="00104C6A" w:rsidR="00A76D54">
        <w:rPr>
          <w:color w:val="000000" w:themeColor="text1"/>
          <w:szCs w:val="24"/>
        </w:rPr>
        <w:t xml:space="preserve">residential </w:t>
      </w:r>
      <w:r w:rsidRPr="00104C6A" w:rsidR="00A667F8">
        <w:rPr>
          <w:color w:val="000000" w:themeColor="text1"/>
          <w:szCs w:val="24"/>
        </w:rPr>
        <w:t>consumer</w:t>
      </w:r>
      <w:r w:rsidRPr="00104C6A" w:rsidR="008A506F">
        <w:rPr>
          <w:color w:val="000000" w:themeColor="text1"/>
          <w:szCs w:val="24"/>
        </w:rPr>
        <w:t>s</w:t>
      </w:r>
      <w:r w:rsidRPr="00104C6A" w:rsidR="00A667F8">
        <w:rPr>
          <w:color w:val="000000" w:themeColor="text1"/>
          <w:szCs w:val="24"/>
        </w:rPr>
        <w:t>.</w:t>
      </w:r>
      <w:r>
        <w:rPr>
          <w:rStyle w:val="FootnoteReference"/>
          <w:color w:val="000000" w:themeColor="text1"/>
          <w:szCs w:val="24"/>
        </w:rPr>
        <w:footnoteReference w:id="28"/>
      </w:r>
      <w:r w:rsidRPr="00104C6A">
        <w:rPr>
          <w:bCs/>
          <w:szCs w:val="24"/>
        </w:rPr>
        <w:t xml:space="preserve"> Instead</w:t>
      </w:r>
      <w:r w:rsidRPr="00104C6A" w:rsidR="007B4AD1">
        <w:rPr>
          <w:bCs/>
          <w:szCs w:val="24"/>
        </w:rPr>
        <w:t>,</w:t>
      </w:r>
      <w:r w:rsidRPr="00104C6A">
        <w:rPr>
          <w:bCs/>
          <w:szCs w:val="24"/>
        </w:rPr>
        <w:t xml:space="preserve"> the parties who purport to be representatives of residential consumers actually have a more parochial or narrow interest that is not reflective of the residential customer class as a whole.</w:t>
      </w:r>
    </w:p>
    <w:p w:rsidR="00C4412B" w:rsidRPr="00104C6A" w:rsidP="008970F2" w14:paraId="34B0912C" w14:textId="4CA3E73E">
      <w:pPr>
        <w:spacing w:line="480" w:lineRule="auto"/>
        <w:ind w:firstLine="720"/>
        <w:rPr>
          <w:color w:val="000000" w:themeColor="text1"/>
          <w:szCs w:val="24"/>
        </w:rPr>
      </w:pPr>
      <w:r w:rsidRPr="00104C6A">
        <w:rPr>
          <w:color w:val="000000" w:themeColor="text1"/>
          <w:szCs w:val="24"/>
        </w:rPr>
        <w:t xml:space="preserve"> For example, </w:t>
      </w:r>
      <w:r w:rsidRPr="00104C6A" w:rsidR="00FF292F">
        <w:rPr>
          <w:color w:val="000000" w:themeColor="text1"/>
          <w:szCs w:val="24"/>
        </w:rPr>
        <w:t xml:space="preserve">OPAE, CUB Ohio, and PWC </w:t>
      </w:r>
      <w:r w:rsidRPr="00104C6A" w:rsidR="00E5625F">
        <w:rPr>
          <w:color w:val="000000" w:themeColor="text1"/>
          <w:szCs w:val="24"/>
        </w:rPr>
        <w:t xml:space="preserve">have a limited </w:t>
      </w:r>
      <w:r w:rsidRPr="00104C6A" w:rsidR="00307673">
        <w:rPr>
          <w:color w:val="000000" w:themeColor="text1"/>
          <w:szCs w:val="24"/>
        </w:rPr>
        <w:t>focus on providing weatherization and energy efficiency services that</w:t>
      </w:r>
      <w:r w:rsidRPr="00104C6A" w:rsidR="008A506F">
        <w:rPr>
          <w:color w:val="000000" w:themeColor="text1"/>
          <w:szCs w:val="24"/>
        </w:rPr>
        <w:t xml:space="preserve"> often</w:t>
      </w:r>
      <w:r w:rsidRPr="00104C6A" w:rsidR="00307673">
        <w:rPr>
          <w:color w:val="000000" w:themeColor="text1"/>
          <w:szCs w:val="24"/>
        </w:rPr>
        <w:t xml:space="preserve"> </w:t>
      </w:r>
      <w:r w:rsidRPr="00104C6A" w:rsidR="00307673">
        <w:rPr>
          <w:i/>
          <w:iCs/>
          <w:color w:val="000000" w:themeColor="text1"/>
          <w:szCs w:val="24"/>
        </w:rPr>
        <w:t>increase</w:t>
      </w:r>
      <w:r w:rsidRPr="00104C6A" w:rsidR="00307673">
        <w:rPr>
          <w:color w:val="000000" w:themeColor="text1"/>
          <w:szCs w:val="24"/>
        </w:rPr>
        <w:t xml:space="preserve"> the rates residential consumers pay</w:t>
      </w:r>
      <w:r w:rsidRPr="00104C6A" w:rsidR="005B279E">
        <w:rPr>
          <w:color w:val="000000" w:themeColor="text1"/>
          <w:szCs w:val="24"/>
        </w:rPr>
        <w:t xml:space="preserve"> because such programs are charged to consumers through distribution rates</w:t>
      </w:r>
      <w:r w:rsidRPr="00104C6A" w:rsidR="009A4C62">
        <w:rPr>
          <w:color w:val="000000" w:themeColor="text1"/>
          <w:szCs w:val="24"/>
        </w:rPr>
        <w:t xml:space="preserve">. </w:t>
      </w:r>
      <w:r w:rsidRPr="00104C6A">
        <w:rPr>
          <w:color w:val="000000" w:themeColor="text1"/>
          <w:szCs w:val="24"/>
        </w:rPr>
        <w:t>The City of Cincinnati and the PUCO Staff represent</w:t>
      </w:r>
      <w:r w:rsidRPr="00104C6A" w:rsidR="008A506F">
        <w:rPr>
          <w:color w:val="000000" w:themeColor="text1"/>
          <w:szCs w:val="24"/>
        </w:rPr>
        <w:t xml:space="preserve"> the interests of </w:t>
      </w:r>
      <w:r w:rsidRPr="00104C6A">
        <w:rPr>
          <w:color w:val="000000" w:themeColor="text1"/>
          <w:szCs w:val="24"/>
        </w:rPr>
        <w:t>non-residential consumers</w:t>
      </w:r>
      <w:r w:rsidRPr="00104C6A" w:rsidR="008A506F">
        <w:rPr>
          <w:color w:val="000000" w:themeColor="text1"/>
          <w:szCs w:val="24"/>
        </w:rPr>
        <w:t xml:space="preserve"> in addition to residential consumers. </w:t>
      </w:r>
    </w:p>
    <w:p w:rsidR="00C4412B" w:rsidRPr="00104C6A" w:rsidP="008970F2" w14:paraId="7FD06693" w14:textId="1C14DE51">
      <w:pPr>
        <w:spacing w:line="480" w:lineRule="auto"/>
        <w:ind w:firstLine="720"/>
        <w:rPr>
          <w:color w:val="000000" w:themeColor="text1"/>
          <w:szCs w:val="24"/>
        </w:rPr>
      </w:pPr>
      <w:r w:rsidRPr="00104C6A">
        <w:rPr>
          <w:color w:val="000000" w:themeColor="text1"/>
          <w:szCs w:val="24"/>
        </w:rPr>
        <w:t>Despite their limited and</w:t>
      </w:r>
      <w:r w:rsidRPr="00104C6A" w:rsidR="0009648A">
        <w:rPr>
          <w:color w:val="000000" w:themeColor="text1"/>
          <w:szCs w:val="24"/>
        </w:rPr>
        <w:t>/or</w:t>
      </w:r>
      <w:r w:rsidRPr="00104C6A">
        <w:rPr>
          <w:color w:val="000000" w:themeColor="text1"/>
          <w:szCs w:val="24"/>
        </w:rPr>
        <w:t xml:space="preserve"> conflicting residential consumer interests, these</w:t>
      </w:r>
      <w:r w:rsidRPr="00104C6A" w:rsidR="00FF292F">
        <w:rPr>
          <w:color w:val="000000" w:themeColor="text1"/>
          <w:szCs w:val="24"/>
        </w:rPr>
        <w:t xml:space="preserve"> parties</w:t>
      </w:r>
      <w:r w:rsidRPr="00104C6A">
        <w:rPr>
          <w:color w:val="000000" w:themeColor="text1"/>
          <w:szCs w:val="24"/>
        </w:rPr>
        <w:t xml:space="preserve"> joined the Settlement </w:t>
      </w:r>
      <w:r w:rsidRPr="00104C6A" w:rsidR="0009648A">
        <w:rPr>
          <w:color w:val="000000" w:themeColor="text1"/>
          <w:szCs w:val="24"/>
        </w:rPr>
        <w:t>that determined</w:t>
      </w:r>
      <w:r w:rsidRPr="00104C6A" w:rsidR="0091290A">
        <w:rPr>
          <w:color w:val="000000" w:themeColor="text1"/>
          <w:szCs w:val="24"/>
        </w:rPr>
        <w:t xml:space="preserve"> </w:t>
      </w:r>
      <w:r w:rsidRPr="00104C6A">
        <w:rPr>
          <w:color w:val="000000" w:themeColor="text1"/>
          <w:szCs w:val="24"/>
        </w:rPr>
        <w:t>how much</w:t>
      </w:r>
      <w:r w:rsidRPr="00104C6A" w:rsidR="00FF292F">
        <w:rPr>
          <w:color w:val="000000" w:themeColor="text1"/>
          <w:szCs w:val="24"/>
        </w:rPr>
        <w:t xml:space="preserve"> </w:t>
      </w:r>
      <w:r w:rsidRPr="00104C6A">
        <w:rPr>
          <w:color w:val="000000" w:themeColor="text1"/>
          <w:szCs w:val="24"/>
        </w:rPr>
        <w:t xml:space="preserve">all </w:t>
      </w:r>
      <w:r w:rsidRPr="00104C6A" w:rsidR="00FF292F">
        <w:rPr>
          <w:color w:val="000000" w:themeColor="text1"/>
          <w:szCs w:val="24"/>
        </w:rPr>
        <w:t>residential consumers should pay</w:t>
      </w:r>
      <w:r w:rsidRPr="00104C6A">
        <w:rPr>
          <w:color w:val="000000" w:themeColor="text1"/>
          <w:szCs w:val="24"/>
        </w:rPr>
        <w:t>. A</w:t>
      </w:r>
      <w:r w:rsidRPr="00104C6A" w:rsidR="0091290A">
        <w:rPr>
          <w:color w:val="000000" w:themeColor="text1"/>
          <w:szCs w:val="24"/>
        </w:rPr>
        <w:t>t the same time</w:t>
      </w:r>
      <w:r w:rsidRPr="00104C6A">
        <w:rPr>
          <w:color w:val="000000" w:themeColor="text1"/>
          <w:szCs w:val="24"/>
        </w:rPr>
        <w:t>, these parties</w:t>
      </w:r>
      <w:r w:rsidRPr="00104C6A" w:rsidR="0009648A">
        <w:rPr>
          <w:color w:val="000000" w:themeColor="text1"/>
          <w:szCs w:val="24"/>
        </w:rPr>
        <w:t xml:space="preserve"> also</w:t>
      </w:r>
      <w:r w:rsidRPr="00104C6A" w:rsidR="0091290A">
        <w:rPr>
          <w:color w:val="000000" w:themeColor="text1"/>
          <w:szCs w:val="24"/>
        </w:rPr>
        <w:t xml:space="preserve"> </w:t>
      </w:r>
      <w:r w:rsidRPr="00104C6A">
        <w:rPr>
          <w:i/>
          <w:iCs/>
          <w:color w:val="000000" w:themeColor="text1"/>
          <w:szCs w:val="24"/>
        </w:rPr>
        <w:t>refused</w:t>
      </w:r>
      <w:r w:rsidRPr="00104C6A" w:rsidR="00C3324D">
        <w:rPr>
          <w:color w:val="000000" w:themeColor="text1"/>
          <w:szCs w:val="24"/>
        </w:rPr>
        <w:t xml:space="preserve"> OCC</w:t>
      </w:r>
      <w:r w:rsidRPr="00104C6A" w:rsidR="00C86F5B">
        <w:rPr>
          <w:color w:val="000000" w:themeColor="text1"/>
          <w:szCs w:val="24"/>
        </w:rPr>
        <w:t xml:space="preserve"> </w:t>
      </w:r>
      <w:r w:rsidRPr="00104C6A" w:rsidR="00C3324D">
        <w:rPr>
          <w:color w:val="000000" w:themeColor="text1"/>
          <w:szCs w:val="24"/>
        </w:rPr>
        <w:t>proposals</w:t>
      </w:r>
      <w:r w:rsidRPr="00104C6A" w:rsidR="00C86F5B">
        <w:rPr>
          <w:color w:val="000000" w:themeColor="text1"/>
          <w:szCs w:val="24"/>
        </w:rPr>
        <w:t xml:space="preserve"> to </w:t>
      </w:r>
      <w:r w:rsidRPr="00104C6A" w:rsidR="009A4C62">
        <w:rPr>
          <w:color w:val="000000" w:themeColor="text1"/>
          <w:szCs w:val="24"/>
        </w:rPr>
        <w:t xml:space="preserve">help </w:t>
      </w:r>
      <w:r w:rsidRPr="00104C6A" w:rsidR="00C86F5B">
        <w:rPr>
          <w:color w:val="000000" w:themeColor="text1"/>
          <w:szCs w:val="24"/>
        </w:rPr>
        <w:t xml:space="preserve">residential consumers </w:t>
      </w:r>
      <w:r w:rsidRPr="00104C6A" w:rsidR="002659AB">
        <w:rPr>
          <w:color w:val="000000" w:themeColor="text1"/>
          <w:szCs w:val="24"/>
        </w:rPr>
        <w:t xml:space="preserve">mitigate </w:t>
      </w:r>
      <w:r w:rsidRPr="00104C6A" w:rsidR="0091290A">
        <w:rPr>
          <w:color w:val="000000" w:themeColor="text1"/>
          <w:szCs w:val="24"/>
        </w:rPr>
        <w:t>the</w:t>
      </w:r>
      <w:r w:rsidRPr="00104C6A" w:rsidR="009A4C62">
        <w:rPr>
          <w:color w:val="000000" w:themeColor="text1"/>
          <w:szCs w:val="24"/>
        </w:rPr>
        <w:t xml:space="preserve"> </w:t>
      </w:r>
      <w:r w:rsidRPr="00104C6A" w:rsidR="00C86F5B">
        <w:rPr>
          <w:color w:val="000000" w:themeColor="text1"/>
          <w:szCs w:val="24"/>
        </w:rPr>
        <w:t xml:space="preserve">impact of </w:t>
      </w:r>
      <w:r w:rsidRPr="00104C6A">
        <w:rPr>
          <w:color w:val="000000" w:themeColor="text1"/>
          <w:szCs w:val="24"/>
        </w:rPr>
        <w:t xml:space="preserve">the agreed-to </w:t>
      </w:r>
      <w:r w:rsidRPr="00104C6A" w:rsidR="00C86F5B">
        <w:rPr>
          <w:color w:val="000000" w:themeColor="text1"/>
          <w:szCs w:val="24"/>
        </w:rPr>
        <w:t>rate increase.</w:t>
      </w:r>
      <w:r w:rsidRPr="00104C6A">
        <w:rPr>
          <w:color w:val="000000" w:themeColor="text1"/>
          <w:szCs w:val="24"/>
        </w:rPr>
        <w:t xml:space="preserve"> That is not fair, and it is not serious bargaining.</w:t>
      </w:r>
      <w:r w:rsidRPr="00104C6A" w:rsidR="0009648A">
        <w:rPr>
          <w:color w:val="000000" w:themeColor="text1"/>
          <w:szCs w:val="24"/>
        </w:rPr>
        <w:t xml:space="preserve"> Rather than comparing the number of parties signing the Settlement to the number of parties opposing, the PUCO should consider the diversity of interests represented in the Settlement</w:t>
      </w:r>
      <w:r w:rsidRPr="00104C6A" w:rsidR="002659AB">
        <w:rPr>
          <w:color w:val="000000" w:themeColor="text1"/>
          <w:szCs w:val="24"/>
        </w:rPr>
        <w:t xml:space="preserve"> and the fact that OCC, a knowledgeable, statutory representative of residential consumers did not sign the settlement</w:t>
      </w:r>
      <w:r w:rsidRPr="00104C6A" w:rsidR="0009648A">
        <w:rPr>
          <w:color w:val="000000" w:themeColor="text1"/>
          <w:szCs w:val="24"/>
        </w:rPr>
        <w:t>.</w:t>
      </w:r>
    </w:p>
    <w:p w:rsidR="00F816DE" w:rsidRPr="00104C6A" w:rsidP="008970F2" w14:paraId="3FDDEB75" w14:textId="1B9B4323">
      <w:pPr>
        <w:spacing w:line="480" w:lineRule="auto"/>
        <w:ind w:firstLine="720"/>
        <w:rPr>
          <w:color w:val="000000" w:themeColor="text1"/>
          <w:szCs w:val="24"/>
        </w:rPr>
      </w:pPr>
      <w:r w:rsidRPr="00104C6A">
        <w:rPr>
          <w:color w:val="000000" w:themeColor="text1"/>
          <w:szCs w:val="24"/>
        </w:rPr>
        <w:t>T</w:t>
      </w:r>
      <w:r w:rsidRPr="00104C6A" w:rsidR="00A57D2E">
        <w:rPr>
          <w:color w:val="000000" w:themeColor="text1"/>
          <w:szCs w:val="24"/>
        </w:rPr>
        <w:t xml:space="preserve">he PUCO </w:t>
      </w:r>
      <w:r w:rsidRPr="00104C6A">
        <w:rPr>
          <w:color w:val="000000" w:themeColor="text1"/>
          <w:szCs w:val="24"/>
        </w:rPr>
        <w:t xml:space="preserve">also </w:t>
      </w:r>
      <w:r w:rsidRPr="00104C6A" w:rsidR="00714C74">
        <w:rPr>
          <w:color w:val="000000" w:themeColor="text1"/>
          <w:szCs w:val="24"/>
        </w:rPr>
        <w:t>criticizes OCC</w:t>
      </w:r>
      <w:r w:rsidRPr="00104C6A">
        <w:rPr>
          <w:color w:val="000000" w:themeColor="text1"/>
          <w:szCs w:val="24"/>
        </w:rPr>
        <w:t xml:space="preserve">’s argument that </w:t>
      </w:r>
      <w:r w:rsidRPr="00104C6A" w:rsidR="00B30964">
        <w:rPr>
          <w:color w:val="000000" w:themeColor="text1"/>
          <w:szCs w:val="24"/>
        </w:rPr>
        <w:t xml:space="preserve">there was no serious bargaining because </w:t>
      </w:r>
      <w:r w:rsidRPr="00104C6A" w:rsidR="00A57D2E">
        <w:rPr>
          <w:color w:val="000000" w:themeColor="text1"/>
          <w:szCs w:val="24"/>
        </w:rPr>
        <w:t xml:space="preserve">Duke </w:t>
      </w:r>
      <w:r w:rsidRPr="00104C6A" w:rsidR="00B30964">
        <w:rPr>
          <w:color w:val="000000" w:themeColor="text1"/>
          <w:szCs w:val="24"/>
        </w:rPr>
        <w:t>provides</w:t>
      </w:r>
      <w:r w:rsidRPr="00104C6A" w:rsidR="00A57D2E">
        <w:rPr>
          <w:color w:val="000000" w:themeColor="text1"/>
          <w:szCs w:val="24"/>
        </w:rPr>
        <w:t xml:space="preserve"> benefits </w:t>
      </w:r>
      <w:r w:rsidRPr="00104C6A" w:rsidR="00A657CF">
        <w:rPr>
          <w:color w:val="000000" w:themeColor="text1"/>
          <w:szCs w:val="24"/>
        </w:rPr>
        <w:t xml:space="preserve">(“dangles money”) </w:t>
      </w:r>
      <w:r w:rsidRPr="00104C6A" w:rsidR="00714C74">
        <w:rPr>
          <w:color w:val="000000" w:themeColor="text1"/>
          <w:szCs w:val="24"/>
        </w:rPr>
        <w:t>in return for those parties’ settlement signatures</w:t>
      </w:r>
      <w:r w:rsidRPr="00104C6A" w:rsidR="00A57D2E">
        <w:rPr>
          <w:color w:val="000000" w:themeColor="text1"/>
          <w:szCs w:val="24"/>
        </w:rPr>
        <w:t>.</w:t>
      </w:r>
      <w:r>
        <w:rPr>
          <w:rStyle w:val="FootnoteReference"/>
          <w:color w:val="000000" w:themeColor="text1"/>
          <w:szCs w:val="24"/>
        </w:rPr>
        <w:footnoteReference w:id="29"/>
      </w:r>
      <w:r w:rsidRPr="00104C6A" w:rsidR="00714C74">
        <w:rPr>
          <w:color w:val="000000" w:themeColor="text1"/>
          <w:szCs w:val="24"/>
        </w:rPr>
        <w:t xml:space="preserve"> According to the PUCO, OCC’s arguments are “meaningless”</w:t>
      </w:r>
      <w:r w:rsidRPr="00104C6A" w:rsidR="00EB2C20">
        <w:rPr>
          <w:color w:val="000000" w:themeColor="text1"/>
          <w:szCs w:val="24"/>
        </w:rPr>
        <w:t xml:space="preserve"> and “disingenuous”</w:t>
      </w:r>
      <w:r w:rsidRPr="00104C6A" w:rsidR="00A657CF">
        <w:rPr>
          <w:color w:val="000000" w:themeColor="text1"/>
          <w:szCs w:val="24"/>
        </w:rPr>
        <w:t>.</w:t>
      </w:r>
      <w:r w:rsidRPr="00104C6A" w:rsidR="00A657CF">
        <w:rPr>
          <w:rStyle w:val="FootnoteReference"/>
          <w:color w:val="000000" w:themeColor="text1"/>
          <w:szCs w:val="24"/>
        </w:rPr>
        <w:t xml:space="preserve"> </w:t>
      </w:r>
      <w:r>
        <w:rPr>
          <w:rStyle w:val="FootnoteReference"/>
          <w:color w:val="000000" w:themeColor="text1"/>
          <w:szCs w:val="24"/>
        </w:rPr>
        <w:footnoteReference w:id="30"/>
      </w:r>
      <w:r w:rsidRPr="00104C6A" w:rsidR="00714C74">
        <w:rPr>
          <w:color w:val="000000" w:themeColor="text1"/>
          <w:szCs w:val="24"/>
        </w:rPr>
        <w:t xml:space="preserve"> </w:t>
      </w:r>
      <w:r w:rsidRPr="00104C6A">
        <w:rPr>
          <w:color w:val="000000" w:themeColor="text1"/>
          <w:szCs w:val="24"/>
        </w:rPr>
        <w:t xml:space="preserve">They are not. </w:t>
      </w:r>
      <w:r w:rsidRPr="00104C6A" w:rsidR="004C7DA2">
        <w:rPr>
          <w:color w:val="000000" w:themeColor="text1"/>
          <w:szCs w:val="24"/>
        </w:rPr>
        <w:t xml:space="preserve">OCC’s arguments are </w:t>
      </w:r>
      <w:r w:rsidRPr="00104C6A">
        <w:rPr>
          <w:color w:val="000000" w:themeColor="text1"/>
          <w:szCs w:val="24"/>
        </w:rPr>
        <w:t>correct</w:t>
      </w:r>
      <w:r w:rsidRPr="00104C6A" w:rsidR="004C7DA2">
        <w:rPr>
          <w:color w:val="000000" w:themeColor="text1"/>
          <w:szCs w:val="24"/>
        </w:rPr>
        <w:t>, and they were unreasonably rejected by the PUCO.</w:t>
      </w:r>
      <w:r w:rsidRPr="00104C6A">
        <w:rPr>
          <w:color w:val="000000" w:themeColor="text1"/>
          <w:szCs w:val="24"/>
        </w:rPr>
        <w:t xml:space="preserve"> </w:t>
      </w:r>
    </w:p>
    <w:p w:rsidR="008115AF" w:rsidRPr="00104C6A" w:rsidP="00F816DE" w14:paraId="08BDAFE9" w14:textId="6016E8A7">
      <w:pPr>
        <w:spacing w:line="480" w:lineRule="auto"/>
        <w:ind w:firstLine="720"/>
        <w:rPr>
          <w:color w:val="000000" w:themeColor="text1"/>
          <w:szCs w:val="24"/>
        </w:rPr>
      </w:pPr>
      <w:r w:rsidRPr="00104C6A">
        <w:rPr>
          <w:color w:val="000000" w:themeColor="text1"/>
          <w:szCs w:val="24"/>
        </w:rPr>
        <w:t xml:space="preserve">The PUCO </w:t>
      </w:r>
      <w:r w:rsidRPr="00104C6A" w:rsidR="004E3AC7">
        <w:rPr>
          <w:color w:val="000000" w:themeColor="text1"/>
          <w:szCs w:val="24"/>
        </w:rPr>
        <w:t>references</w:t>
      </w:r>
      <w:r w:rsidRPr="00104C6A" w:rsidR="00714C74">
        <w:rPr>
          <w:color w:val="000000" w:themeColor="text1"/>
          <w:szCs w:val="24"/>
        </w:rPr>
        <w:t xml:space="preserve"> OCC witness Williams</w:t>
      </w:r>
      <w:r w:rsidRPr="00104C6A">
        <w:rPr>
          <w:color w:val="000000" w:themeColor="text1"/>
          <w:szCs w:val="24"/>
        </w:rPr>
        <w:t>’</w:t>
      </w:r>
      <w:r w:rsidRPr="00104C6A" w:rsidR="00714C74">
        <w:rPr>
          <w:color w:val="000000" w:themeColor="text1"/>
          <w:szCs w:val="24"/>
        </w:rPr>
        <w:t xml:space="preserve"> te</w:t>
      </w:r>
      <w:r w:rsidRPr="00104C6A">
        <w:rPr>
          <w:color w:val="000000" w:themeColor="text1"/>
          <w:szCs w:val="24"/>
        </w:rPr>
        <w:t xml:space="preserve">stimony </w:t>
      </w:r>
      <w:r w:rsidRPr="00104C6A" w:rsidR="00714C74">
        <w:rPr>
          <w:color w:val="000000" w:themeColor="text1"/>
          <w:szCs w:val="24"/>
        </w:rPr>
        <w:t>on cross-examination that he had not communicated with other settling parties</w:t>
      </w:r>
      <w:r w:rsidRPr="00104C6A">
        <w:rPr>
          <w:color w:val="000000" w:themeColor="text1"/>
          <w:szCs w:val="24"/>
        </w:rPr>
        <w:t xml:space="preserve"> and </w:t>
      </w:r>
      <w:r w:rsidRPr="00104C6A" w:rsidR="00714C74">
        <w:rPr>
          <w:color w:val="000000" w:themeColor="text1"/>
          <w:szCs w:val="24"/>
        </w:rPr>
        <w:t>that Duke did not offer</w:t>
      </w:r>
      <w:r w:rsidRPr="00104C6A">
        <w:rPr>
          <w:color w:val="000000" w:themeColor="text1"/>
          <w:szCs w:val="24"/>
        </w:rPr>
        <w:t xml:space="preserve"> specific</w:t>
      </w:r>
      <w:r w:rsidRPr="00104C6A" w:rsidR="00714C74">
        <w:rPr>
          <w:color w:val="000000" w:themeColor="text1"/>
          <w:szCs w:val="24"/>
        </w:rPr>
        <w:t xml:space="preserve"> </w:t>
      </w:r>
      <w:r w:rsidRPr="00104C6A" w:rsidR="001D0D2A">
        <w:rPr>
          <w:color w:val="000000" w:themeColor="text1"/>
          <w:szCs w:val="24"/>
        </w:rPr>
        <w:t>“</w:t>
      </w:r>
      <w:r w:rsidRPr="00104C6A" w:rsidR="00714C74">
        <w:rPr>
          <w:color w:val="000000" w:themeColor="text1"/>
          <w:szCs w:val="24"/>
        </w:rPr>
        <w:t xml:space="preserve">monetary </w:t>
      </w:r>
      <w:r w:rsidRPr="00104C6A" w:rsidR="001D0D2A">
        <w:rPr>
          <w:color w:val="000000" w:themeColor="text1"/>
          <w:szCs w:val="24"/>
        </w:rPr>
        <w:t>payments”</w:t>
      </w:r>
      <w:r w:rsidRPr="00104C6A" w:rsidR="00714C74">
        <w:rPr>
          <w:color w:val="000000" w:themeColor="text1"/>
          <w:szCs w:val="24"/>
        </w:rPr>
        <w:t xml:space="preserve"> to the PUCO Staff or </w:t>
      </w:r>
      <w:r w:rsidRPr="00104C6A">
        <w:rPr>
          <w:color w:val="000000" w:themeColor="text1"/>
          <w:szCs w:val="24"/>
        </w:rPr>
        <w:t>other parties.</w:t>
      </w:r>
      <w:r>
        <w:rPr>
          <w:rStyle w:val="FootnoteReference"/>
          <w:color w:val="000000" w:themeColor="text1"/>
          <w:szCs w:val="24"/>
        </w:rPr>
        <w:footnoteReference w:id="31"/>
      </w:r>
      <w:r w:rsidRPr="00104C6A">
        <w:rPr>
          <w:color w:val="000000" w:themeColor="text1"/>
          <w:szCs w:val="24"/>
        </w:rPr>
        <w:t xml:space="preserve"> The PUCO also found that the Settlement</w:t>
      </w:r>
      <w:r w:rsidRPr="00104C6A" w:rsidR="004E3AC7">
        <w:rPr>
          <w:color w:val="000000" w:themeColor="text1"/>
          <w:szCs w:val="24"/>
        </w:rPr>
        <w:t xml:space="preserve"> merely</w:t>
      </w:r>
      <w:r w:rsidRPr="00104C6A">
        <w:rPr>
          <w:color w:val="000000" w:themeColor="text1"/>
          <w:szCs w:val="24"/>
        </w:rPr>
        <w:t xml:space="preserve"> continues</w:t>
      </w:r>
      <w:r w:rsidRPr="00104C6A" w:rsidR="004E3AC7">
        <w:rPr>
          <w:color w:val="000000" w:themeColor="text1"/>
          <w:szCs w:val="24"/>
        </w:rPr>
        <w:t xml:space="preserve"> Duke’s</w:t>
      </w:r>
      <w:r w:rsidRPr="00104C6A">
        <w:rPr>
          <w:color w:val="000000" w:themeColor="text1"/>
          <w:szCs w:val="24"/>
        </w:rPr>
        <w:t xml:space="preserve"> existing funding for PWC</w:t>
      </w:r>
      <w:r w:rsidRPr="00104C6A" w:rsidR="00714C74">
        <w:rPr>
          <w:color w:val="000000" w:themeColor="text1"/>
          <w:szCs w:val="24"/>
        </w:rPr>
        <w:t>.</w:t>
      </w:r>
      <w:r>
        <w:rPr>
          <w:rStyle w:val="FootnoteReference"/>
          <w:color w:val="000000" w:themeColor="text1"/>
          <w:szCs w:val="24"/>
        </w:rPr>
        <w:footnoteReference w:id="32"/>
      </w:r>
      <w:r w:rsidRPr="00104C6A" w:rsidR="00EB2C20">
        <w:rPr>
          <w:color w:val="000000" w:themeColor="text1"/>
          <w:szCs w:val="24"/>
        </w:rPr>
        <w:t xml:space="preserve"> </w:t>
      </w:r>
      <w:r w:rsidRPr="00104C6A" w:rsidR="004E3AC7">
        <w:rPr>
          <w:color w:val="000000" w:themeColor="text1"/>
          <w:szCs w:val="24"/>
        </w:rPr>
        <w:t xml:space="preserve">However, </w:t>
      </w:r>
      <w:r w:rsidRPr="00104C6A" w:rsidR="004C7DA2">
        <w:rPr>
          <w:color w:val="000000" w:themeColor="text1"/>
          <w:szCs w:val="24"/>
        </w:rPr>
        <w:t>the</w:t>
      </w:r>
      <w:r w:rsidRPr="00104C6A" w:rsidR="00EB2C20">
        <w:rPr>
          <w:color w:val="000000" w:themeColor="text1"/>
          <w:szCs w:val="24"/>
        </w:rPr>
        <w:t xml:space="preserve"> Settlement does not </w:t>
      </w:r>
      <w:r w:rsidRPr="00104C6A" w:rsidR="001D0D2A">
        <w:rPr>
          <w:color w:val="000000" w:themeColor="text1"/>
          <w:szCs w:val="24"/>
        </w:rPr>
        <w:t xml:space="preserve">have to </w:t>
      </w:r>
      <w:r w:rsidRPr="00104C6A" w:rsidR="00EB2C20">
        <w:rPr>
          <w:color w:val="000000" w:themeColor="text1"/>
          <w:szCs w:val="24"/>
        </w:rPr>
        <w:t xml:space="preserve">state </w:t>
      </w:r>
      <w:r w:rsidRPr="00104C6A" w:rsidR="001D0D2A">
        <w:rPr>
          <w:color w:val="000000" w:themeColor="text1"/>
          <w:szCs w:val="24"/>
        </w:rPr>
        <w:t>a</w:t>
      </w:r>
      <w:r w:rsidRPr="00104C6A" w:rsidR="004E3AC7">
        <w:rPr>
          <w:color w:val="000000" w:themeColor="text1"/>
          <w:szCs w:val="24"/>
        </w:rPr>
        <w:t>ny</w:t>
      </w:r>
      <w:r w:rsidRPr="00104C6A" w:rsidR="001D0D2A">
        <w:rPr>
          <w:color w:val="000000" w:themeColor="text1"/>
          <w:szCs w:val="24"/>
        </w:rPr>
        <w:t xml:space="preserve"> </w:t>
      </w:r>
      <w:r w:rsidRPr="00104C6A" w:rsidR="00EB2C20">
        <w:rPr>
          <w:color w:val="000000" w:themeColor="text1"/>
          <w:szCs w:val="24"/>
        </w:rPr>
        <w:t>specific</w:t>
      </w:r>
      <w:r w:rsidRPr="00104C6A" w:rsidR="001D0D2A">
        <w:rPr>
          <w:color w:val="000000" w:themeColor="text1"/>
          <w:szCs w:val="24"/>
        </w:rPr>
        <w:t xml:space="preserve"> “monetary payment” in order </w:t>
      </w:r>
      <w:r w:rsidRPr="00104C6A" w:rsidR="004E3AC7">
        <w:rPr>
          <w:color w:val="000000" w:themeColor="text1"/>
          <w:szCs w:val="24"/>
        </w:rPr>
        <w:t xml:space="preserve">for there to be </w:t>
      </w:r>
      <w:r w:rsidRPr="00104C6A" w:rsidR="001D0D2A">
        <w:rPr>
          <w:color w:val="000000" w:themeColor="text1"/>
          <w:szCs w:val="24"/>
        </w:rPr>
        <w:t xml:space="preserve">a </w:t>
      </w:r>
      <w:r w:rsidRPr="00104C6A" w:rsidR="00EB2C20">
        <w:rPr>
          <w:color w:val="000000" w:themeColor="text1"/>
          <w:szCs w:val="24"/>
        </w:rPr>
        <w:t>benefit</w:t>
      </w:r>
      <w:r w:rsidRPr="00104C6A" w:rsidR="001D0D2A">
        <w:rPr>
          <w:color w:val="000000" w:themeColor="text1"/>
          <w:szCs w:val="24"/>
        </w:rPr>
        <w:t xml:space="preserve"> (financial or otherwise) </w:t>
      </w:r>
      <w:r w:rsidRPr="00104C6A" w:rsidR="004E3AC7">
        <w:rPr>
          <w:color w:val="000000" w:themeColor="text1"/>
          <w:szCs w:val="24"/>
        </w:rPr>
        <w:t>to a settling party</w:t>
      </w:r>
      <w:r w:rsidRPr="00104C6A" w:rsidR="001D0D2A">
        <w:rPr>
          <w:color w:val="000000" w:themeColor="text1"/>
          <w:szCs w:val="24"/>
        </w:rPr>
        <w:t xml:space="preserve">. </w:t>
      </w:r>
    </w:p>
    <w:p w:rsidR="008115AF" w:rsidRPr="00104C6A" w:rsidP="00F816DE" w14:paraId="55C674BA" w14:textId="2FD0DFC4">
      <w:pPr>
        <w:spacing w:line="480" w:lineRule="auto"/>
        <w:ind w:firstLine="720"/>
        <w:rPr>
          <w:color w:val="000000" w:themeColor="text1"/>
          <w:szCs w:val="24"/>
        </w:rPr>
      </w:pPr>
      <w:r w:rsidRPr="00104C6A">
        <w:rPr>
          <w:color w:val="000000" w:themeColor="text1"/>
          <w:szCs w:val="24"/>
        </w:rPr>
        <w:t>For example,</w:t>
      </w:r>
      <w:r w:rsidRPr="00104C6A" w:rsidR="00FC2226">
        <w:rPr>
          <w:color w:val="000000" w:themeColor="text1"/>
          <w:szCs w:val="24"/>
        </w:rPr>
        <w:t xml:space="preserve"> the</w:t>
      </w:r>
      <w:r w:rsidRPr="00104C6A" w:rsidR="001D0D2A">
        <w:rPr>
          <w:color w:val="000000" w:themeColor="text1"/>
          <w:szCs w:val="24"/>
        </w:rPr>
        <w:t xml:space="preserve"> non-residential settling</w:t>
      </w:r>
      <w:r w:rsidRPr="00104C6A" w:rsidR="00FC2226">
        <w:rPr>
          <w:color w:val="000000" w:themeColor="text1"/>
          <w:szCs w:val="24"/>
        </w:rPr>
        <w:t xml:space="preserve"> </w:t>
      </w:r>
      <w:r w:rsidRPr="00104C6A" w:rsidR="004C7DA2">
        <w:rPr>
          <w:color w:val="000000" w:themeColor="text1"/>
          <w:szCs w:val="24"/>
        </w:rPr>
        <w:t xml:space="preserve">and non-opposing </w:t>
      </w:r>
      <w:r w:rsidRPr="00104C6A" w:rsidR="001D0D2A">
        <w:rPr>
          <w:color w:val="000000" w:themeColor="text1"/>
          <w:szCs w:val="24"/>
        </w:rPr>
        <w:t xml:space="preserve">parties receive a favorable allocation under the settlement. That is </w:t>
      </w:r>
      <w:r w:rsidRPr="00104C6A" w:rsidR="004C7DA2">
        <w:rPr>
          <w:color w:val="000000" w:themeColor="text1"/>
          <w:szCs w:val="24"/>
        </w:rPr>
        <w:t>obviously</w:t>
      </w:r>
      <w:r w:rsidRPr="00104C6A" w:rsidR="001D0D2A">
        <w:rPr>
          <w:color w:val="000000" w:themeColor="text1"/>
          <w:szCs w:val="24"/>
        </w:rPr>
        <w:t xml:space="preserve"> a financial benefit</w:t>
      </w:r>
      <w:r w:rsidRPr="00104C6A">
        <w:rPr>
          <w:color w:val="000000" w:themeColor="text1"/>
          <w:szCs w:val="24"/>
        </w:rPr>
        <w:t xml:space="preserve"> </w:t>
      </w:r>
      <w:r w:rsidRPr="00104C6A" w:rsidR="002659AB">
        <w:rPr>
          <w:color w:val="000000" w:themeColor="text1"/>
          <w:szCs w:val="24"/>
        </w:rPr>
        <w:t xml:space="preserve">(a non-cash benefit) </w:t>
      </w:r>
      <w:r w:rsidRPr="00104C6A">
        <w:rPr>
          <w:color w:val="000000" w:themeColor="text1"/>
          <w:szCs w:val="24"/>
        </w:rPr>
        <w:t>because they will pay less of Duke’s rate increase</w:t>
      </w:r>
      <w:r w:rsidRPr="00104C6A" w:rsidR="001D0D2A">
        <w:rPr>
          <w:color w:val="000000" w:themeColor="text1"/>
          <w:szCs w:val="24"/>
        </w:rPr>
        <w:t xml:space="preserve">. PWC’s continuance of funding under the Settlement is </w:t>
      </w:r>
      <w:r w:rsidRPr="00104C6A" w:rsidR="00FC2226">
        <w:rPr>
          <w:color w:val="000000" w:themeColor="text1"/>
          <w:szCs w:val="24"/>
        </w:rPr>
        <w:t>a</w:t>
      </w:r>
      <w:r w:rsidRPr="00104C6A" w:rsidR="001D0D2A">
        <w:rPr>
          <w:color w:val="000000" w:themeColor="text1"/>
          <w:szCs w:val="24"/>
        </w:rPr>
        <w:t xml:space="preserve"> financial benefit</w:t>
      </w:r>
      <w:r w:rsidRPr="00104C6A" w:rsidR="002659AB">
        <w:rPr>
          <w:color w:val="000000" w:themeColor="text1"/>
          <w:szCs w:val="24"/>
        </w:rPr>
        <w:t xml:space="preserve"> (a non-cash benefit)</w:t>
      </w:r>
      <w:r w:rsidRPr="00104C6A" w:rsidR="00FC2226">
        <w:rPr>
          <w:color w:val="000000" w:themeColor="text1"/>
          <w:szCs w:val="24"/>
        </w:rPr>
        <w:t xml:space="preserve">, because if the </w:t>
      </w:r>
      <w:r w:rsidRPr="00104C6A" w:rsidR="004C7DA2">
        <w:rPr>
          <w:color w:val="000000" w:themeColor="text1"/>
          <w:szCs w:val="24"/>
        </w:rPr>
        <w:t xml:space="preserve">funding from Duke </w:t>
      </w:r>
      <w:r w:rsidRPr="00104C6A" w:rsidR="00FC2226">
        <w:rPr>
          <w:color w:val="000000" w:themeColor="text1"/>
          <w:szCs w:val="24"/>
        </w:rPr>
        <w:t>is</w:t>
      </w:r>
      <w:r w:rsidRPr="00104C6A" w:rsidR="004C7DA2">
        <w:rPr>
          <w:color w:val="000000" w:themeColor="text1"/>
          <w:szCs w:val="24"/>
        </w:rPr>
        <w:t xml:space="preserve"> not continued, that would</w:t>
      </w:r>
      <w:r w:rsidRPr="00104C6A" w:rsidR="00FC2226">
        <w:rPr>
          <w:color w:val="000000" w:themeColor="text1"/>
          <w:szCs w:val="24"/>
        </w:rPr>
        <w:t xml:space="preserve"> be a </w:t>
      </w:r>
      <w:r w:rsidRPr="00104C6A" w:rsidR="004C7DA2">
        <w:rPr>
          <w:color w:val="000000" w:themeColor="text1"/>
          <w:szCs w:val="24"/>
        </w:rPr>
        <w:t>financial loss to PWC.</w:t>
      </w:r>
      <w:r w:rsidRPr="00104C6A" w:rsidR="001D7F98">
        <w:rPr>
          <w:color w:val="000000" w:themeColor="text1"/>
          <w:szCs w:val="24"/>
        </w:rPr>
        <w:t xml:space="preserve"> </w:t>
      </w:r>
      <w:r w:rsidRPr="00104C6A" w:rsidR="00FC2226">
        <w:rPr>
          <w:color w:val="000000" w:themeColor="text1"/>
          <w:szCs w:val="24"/>
        </w:rPr>
        <w:t xml:space="preserve">Similarly, </w:t>
      </w:r>
      <w:r w:rsidRPr="00104C6A" w:rsidR="00595512">
        <w:rPr>
          <w:color w:val="000000" w:themeColor="text1"/>
          <w:szCs w:val="24"/>
        </w:rPr>
        <w:t>Duke’s commitments to the City of Cincinnati</w:t>
      </w:r>
      <w:r w:rsidRPr="00104C6A" w:rsidR="00FC2226">
        <w:rPr>
          <w:color w:val="000000" w:themeColor="text1"/>
          <w:szCs w:val="24"/>
        </w:rPr>
        <w:t xml:space="preserve">, though not quantified, </w:t>
      </w:r>
      <w:r w:rsidRPr="00104C6A" w:rsidR="00595512">
        <w:rPr>
          <w:color w:val="000000" w:themeColor="text1"/>
          <w:szCs w:val="24"/>
        </w:rPr>
        <w:t>are</w:t>
      </w:r>
      <w:r w:rsidRPr="00104C6A">
        <w:rPr>
          <w:color w:val="000000" w:themeColor="text1"/>
          <w:szCs w:val="24"/>
        </w:rPr>
        <w:t xml:space="preserve"> also</w:t>
      </w:r>
      <w:r w:rsidRPr="00104C6A" w:rsidR="00595512">
        <w:rPr>
          <w:color w:val="000000" w:themeColor="text1"/>
          <w:szCs w:val="24"/>
        </w:rPr>
        <w:t xml:space="preserve"> benefits </w:t>
      </w:r>
      <w:r w:rsidRPr="00104C6A" w:rsidR="00FC2226">
        <w:rPr>
          <w:color w:val="000000" w:themeColor="text1"/>
          <w:szCs w:val="24"/>
        </w:rPr>
        <w:t>(</w:t>
      </w:r>
      <w:r w:rsidRPr="00104C6A" w:rsidR="00595512">
        <w:rPr>
          <w:color w:val="000000" w:themeColor="text1"/>
          <w:szCs w:val="24"/>
        </w:rPr>
        <w:t>that other non-Cincinnati Duke consumers will not receive</w:t>
      </w:r>
      <w:r w:rsidRPr="00104C6A" w:rsidR="00FC2226">
        <w:rPr>
          <w:color w:val="000000" w:themeColor="text1"/>
          <w:szCs w:val="24"/>
        </w:rPr>
        <w:t>)</w:t>
      </w:r>
      <w:r w:rsidRPr="00104C6A" w:rsidR="00595512">
        <w:rPr>
          <w:color w:val="000000" w:themeColor="text1"/>
          <w:szCs w:val="24"/>
        </w:rPr>
        <w:t xml:space="preserve">. </w:t>
      </w:r>
    </w:p>
    <w:p w:rsidR="00A57D2E" w:rsidRPr="00104C6A" w:rsidP="00F816DE" w14:paraId="6E836605" w14:textId="5DA758C5">
      <w:pPr>
        <w:spacing w:line="480" w:lineRule="auto"/>
        <w:ind w:firstLine="720"/>
        <w:rPr>
          <w:color w:val="000000" w:themeColor="text1"/>
          <w:szCs w:val="24"/>
        </w:rPr>
      </w:pPr>
      <w:r w:rsidRPr="00104C6A">
        <w:rPr>
          <w:color w:val="000000" w:themeColor="text1"/>
          <w:szCs w:val="24"/>
        </w:rPr>
        <w:t>Just because the</w:t>
      </w:r>
      <w:r w:rsidRPr="00104C6A" w:rsidR="00595512">
        <w:rPr>
          <w:color w:val="000000" w:themeColor="text1"/>
          <w:szCs w:val="24"/>
        </w:rPr>
        <w:t xml:space="preserve"> Settlement does not </w:t>
      </w:r>
      <w:r w:rsidRPr="00104C6A">
        <w:rPr>
          <w:color w:val="000000" w:themeColor="text1"/>
          <w:szCs w:val="24"/>
        </w:rPr>
        <w:t xml:space="preserve">state </w:t>
      </w:r>
      <w:r w:rsidRPr="00104C6A" w:rsidR="00F816DE">
        <w:rPr>
          <w:color w:val="000000" w:themeColor="text1"/>
          <w:szCs w:val="24"/>
        </w:rPr>
        <w:t>the financial value of benefits provided to settling parties does not mean the</w:t>
      </w:r>
      <w:r w:rsidRPr="00104C6A">
        <w:rPr>
          <w:color w:val="000000" w:themeColor="text1"/>
          <w:szCs w:val="24"/>
        </w:rPr>
        <w:t>re are none</w:t>
      </w:r>
      <w:r w:rsidRPr="00104C6A" w:rsidR="00F816DE">
        <w:rPr>
          <w:color w:val="000000" w:themeColor="text1"/>
          <w:szCs w:val="24"/>
        </w:rPr>
        <w:t xml:space="preserve">. Nor does it mean that Duke did not use benefits to </w:t>
      </w:r>
      <w:r w:rsidRPr="00104C6A">
        <w:rPr>
          <w:color w:val="000000" w:themeColor="text1"/>
          <w:szCs w:val="24"/>
        </w:rPr>
        <w:t>entice</w:t>
      </w:r>
      <w:r w:rsidRPr="00104C6A" w:rsidR="00F816DE">
        <w:rPr>
          <w:color w:val="000000" w:themeColor="text1"/>
          <w:szCs w:val="24"/>
        </w:rPr>
        <w:t xml:space="preserve"> a coalition of parties</w:t>
      </w:r>
      <w:r w:rsidRPr="00104C6A">
        <w:rPr>
          <w:color w:val="000000" w:themeColor="text1"/>
          <w:szCs w:val="24"/>
        </w:rPr>
        <w:t>,</w:t>
      </w:r>
      <w:r w:rsidRPr="00104C6A" w:rsidR="00F816DE">
        <w:rPr>
          <w:color w:val="000000" w:themeColor="text1"/>
          <w:szCs w:val="24"/>
        </w:rPr>
        <w:t xml:space="preserve"> who </w:t>
      </w:r>
      <w:r w:rsidRPr="00104C6A" w:rsidR="000D2F2C">
        <w:rPr>
          <w:color w:val="000000" w:themeColor="text1"/>
          <w:szCs w:val="24"/>
        </w:rPr>
        <w:t>serve their own narrow, parochial interest</w:t>
      </w:r>
      <w:r w:rsidR="00682EBA">
        <w:rPr>
          <w:color w:val="000000" w:themeColor="text1"/>
          <w:szCs w:val="24"/>
        </w:rPr>
        <w:t>s</w:t>
      </w:r>
      <w:r w:rsidRPr="00104C6A" w:rsidR="000D2F2C">
        <w:rPr>
          <w:color w:val="000000" w:themeColor="text1"/>
          <w:szCs w:val="24"/>
        </w:rPr>
        <w:t xml:space="preserve"> instead of the </w:t>
      </w:r>
      <w:r w:rsidRPr="00104C6A" w:rsidR="00F816DE">
        <w:rPr>
          <w:color w:val="000000" w:themeColor="text1"/>
          <w:szCs w:val="24"/>
        </w:rPr>
        <w:t>broad interests of all of Duke’s residential consumers</w:t>
      </w:r>
      <w:r w:rsidRPr="00104C6A">
        <w:rPr>
          <w:color w:val="000000" w:themeColor="text1"/>
          <w:szCs w:val="24"/>
        </w:rPr>
        <w:t>, to sign the Settlement</w:t>
      </w:r>
      <w:r w:rsidRPr="00104C6A" w:rsidR="00F816DE">
        <w:rPr>
          <w:color w:val="000000" w:themeColor="text1"/>
          <w:szCs w:val="24"/>
        </w:rPr>
        <w:t>.</w:t>
      </w:r>
      <w:r w:rsidRPr="00104C6A" w:rsidR="001D7F98">
        <w:rPr>
          <w:color w:val="000000" w:themeColor="text1"/>
          <w:szCs w:val="24"/>
        </w:rPr>
        <w:t xml:space="preserve"> </w:t>
      </w:r>
    </w:p>
    <w:p w:rsidR="00D97A05" w:rsidRPr="00104C6A" w:rsidP="00573156" w14:paraId="6B15A209" w14:textId="7616748D">
      <w:pPr>
        <w:spacing w:line="480" w:lineRule="auto"/>
        <w:ind w:firstLine="720"/>
        <w:rPr>
          <w:szCs w:val="24"/>
          <w:shd w:val="clear" w:color="auto" w:fill="FFFFFF"/>
        </w:rPr>
      </w:pPr>
      <w:r w:rsidRPr="00104C6A">
        <w:rPr>
          <w:color w:val="000000" w:themeColor="text1"/>
          <w:szCs w:val="24"/>
        </w:rPr>
        <w:t>In short, t</w:t>
      </w:r>
      <w:r w:rsidRPr="00104C6A" w:rsidR="00F816DE">
        <w:rPr>
          <w:color w:val="000000" w:themeColor="text1"/>
          <w:szCs w:val="24"/>
        </w:rPr>
        <w:t xml:space="preserve">he Settlement </w:t>
      </w:r>
      <w:r w:rsidRPr="00104C6A" w:rsidR="004C7DA2">
        <w:rPr>
          <w:color w:val="000000" w:themeColor="text1"/>
          <w:szCs w:val="24"/>
        </w:rPr>
        <w:t>is not the product of serious bargaining.</w:t>
      </w:r>
      <w:r w:rsidRPr="00104C6A" w:rsidR="000B5005">
        <w:rPr>
          <w:color w:val="000000" w:themeColor="text1"/>
          <w:szCs w:val="24"/>
        </w:rPr>
        <w:t xml:space="preserve"> </w:t>
      </w:r>
      <w:r w:rsidRPr="00104C6A" w:rsidR="004C7DA2">
        <w:rPr>
          <w:color w:val="000000" w:themeColor="text1"/>
          <w:szCs w:val="24"/>
        </w:rPr>
        <w:t>T</w:t>
      </w:r>
      <w:r w:rsidRPr="00104C6A" w:rsidR="000B5005">
        <w:rPr>
          <w:color w:val="000000" w:themeColor="text1"/>
          <w:szCs w:val="24"/>
        </w:rPr>
        <w:t>he PUCO should grant rehearing and abrogate or modify the Order approving the Settlement.</w:t>
      </w:r>
      <w:bookmarkStart w:id="24" w:name="_Toc123045783"/>
      <w:bookmarkStart w:id="25" w:name="_Toc374707416"/>
      <w:bookmarkStart w:id="26" w:name="_Toc374707569"/>
    </w:p>
    <w:p w:rsidR="006910D8" w:rsidRPr="00104C6A" w:rsidP="00A512C6" w14:paraId="63E7D8D9" w14:textId="34B485CD">
      <w:pPr>
        <w:pStyle w:val="Heading2"/>
        <w:rPr>
          <w:rFonts w:ascii="Times New Roman" w:hAnsi="Times New Roman"/>
        </w:rPr>
      </w:pPr>
      <w:bookmarkStart w:id="27" w:name="_Toc124235575"/>
      <w:bookmarkStart w:id="28" w:name="_Toc124425005"/>
      <w:r w:rsidRPr="00104C6A">
        <w:rPr>
          <w:rFonts w:ascii="Times New Roman" w:hAnsi="Times New Roman"/>
        </w:rPr>
        <w:t xml:space="preserve">ASSIGNMENT OF ERROR NO. 2: </w:t>
      </w:r>
      <w:bookmarkEnd w:id="27"/>
      <w:r w:rsidRPr="00104C6A" w:rsidR="00573156">
        <w:rPr>
          <w:rFonts w:ascii="Times New Roman" w:hAnsi="Times New Roman"/>
        </w:rPr>
        <w:t>The PUCO erred by unlawfully approving a Settlement that discriminates against consumers outside the City of Cincinnati in violation of R.C. 4928.02(A) and R.C. 4905.33 and fails to protect at-risk populations in violation of R.C. 4928.02(L).</w:t>
      </w:r>
      <w:bookmarkEnd w:id="28"/>
    </w:p>
    <w:bookmarkEnd w:id="24"/>
    <w:p w:rsidR="000B5005" w:rsidRPr="00104C6A" w:rsidP="00575AA5" w14:paraId="26FFD1CA" w14:textId="5DABA943">
      <w:pPr>
        <w:spacing w:line="480" w:lineRule="auto"/>
        <w:ind w:firstLine="720"/>
        <w:rPr>
          <w:color w:val="000000" w:themeColor="text1"/>
          <w:szCs w:val="24"/>
        </w:rPr>
      </w:pPr>
      <w:r w:rsidRPr="00104C6A">
        <w:rPr>
          <w:color w:val="000000" w:themeColor="text1"/>
          <w:szCs w:val="24"/>
        </w:rPr>
        <w:t xml:space="preserve">The PUCO erred in approving the </w:t>
      </w:r>
      <w:r w:rsidRPr="00104C6A" w:rsidR="003221AA">
        <w:rPr>
          <w:color w:val="000000" w:themeColor="text1"/>
          <w:szCs w:val="24"/>
        </w:rPr>
        <w:t>S</w:t>
      </w:r>
      <w:r w:rsidRPr="00104C6A">
        <w:rPr>
          <w:color w:val="000000" w:themeColor="text1"/>
          <w:szCs w:val="24"/>
        </w:rPr>
        <w:t xml:space="preserve">ettlement </w:t>
      </w:r>
      <w:r w:rsidRPr="00104C6A" w:rsidR="00EE4C98">
        <w:rPr>
          <w:color w:val="000000" w:themeColor="text1"/>
          <w:szCs w:val="24"/>
        </w:rPr>
        <w:t>that</w:t>
      </w:r>
      <w:r w:rsidRPr="00104C6A">
        <w:rPr>
          <w:color w:val="000000" w:themeColor="text1"/>
          <w:szCs w:val="24"/>
        </w:rPr>
        <w:t xml:space="preserve"> unreasonably</w:t>
      </w:r>
      <w:r w:rsidRPr="00104C6A" w:rsidR="00EE4C98">
        <w:rPr>
          <w:color w:val="000000" w:themeColor="text1"/>
          <w:szCs w:val="24"/>
        </w:rPr>
        <w:t xml:space="preserve"> discriminates among </w:t>
      </w:r>
      <w:r w:rsidRPr="00104C6A" w:rsidR="000725BF">
        <w:rPr>
          <w:color w:val="000000" w:themeColor="text1"/>
          <w:szCs w:val="24"/>
        </w:rPr>
        <w:t>similarly situated</w:t>
      </w:r>
      <w:r w:rsidRPr="00104C6A" w:rsidR="00EE4C98">
        <w:rPr>
          <w:color w:val="000000" w:themeColor="text1"/>
          <w:szCs w:val="24"/>
        </w:rPr>
        <w:t xml:space="preserve"> residential consumers</w:t>
      </w:r>
      <w:r w:rsidRPr="00104C6A">
        <w:rPr>
          <w:color w:val="000000" w:themeColor="text1"/>
          <w:szCs w:val="24"/>
        </w:rPr>
        <w:t>. R.C. 4928.02(A) and R.C. 4905.33 require that electric service be nondiscriminatory. But the Settlement provides benefits to Cincinnati and its residents that other consumers throughout Duke’s service territory will not receive. Accordingly, the PUCO should grant rehearing and abrogate or modify the Order.</w:t>
      </w:r>
    </w:p>
    <w:p w:rsidR="008578C1" w:rsidRPr="00104C6A" w:rsidP="00575AA5" w14:paraId="37B5206F" w14:textId="17D7E919">
      <w:pPr>
        <w:spacing w:line="480" w:lineRule="auto"/>
        <w:ind w:firstLine="720"/>
        <w:rPr>
          <w:color w:val="000000" w:themeColor="text1"/>
          <w:szCs w:val="24"/>
        </w:rPr>
      </w:pPr>
      <w:r w:rsidRPr="00104C6A">
        <w:rPr>
          <w:color w:val="000000" w:themeColor="text1"/>
          <w:szCs w:val="24"/>
        </w:rPr>
        <w:t>In particular, t</w:t>
      </w:r>
      <w:r w:rsidRPr="00104C6A" w:rsidR="00575AA5">
        <w:rPr>
          <w:color w:val="000000" w:themeColor="text1"/>
          <w:szCs w:val="24"/>
        </w:rPr>
        <w:t xml:space="preserve">he </w:t>
      </w:r>
      <w:r w:rsidRPr="00104C6A">
        <w:rPr>
          <w:color w:val="000000" w:themeColor="text1"/>
          <w:szCs w:val="24"/>
        </w:rPr>
        <w:t>S</w:t>
      </w:r>
      <w:r w:rsidRPr="00104C6A" w:rsidR="00575AA5">
        <w:rPr>
          <w:color w:val="000000" w:themeColor="text1"/>
          <w:szCs w:val="24"/>
        </w:rPr>
        <w:t>ettlement provides for</w:t>
      </w:r>
      <w:r w:rsidRPr="00104C6A">
        <w:rPr>
          <w:color w:val="000000" w:themeColor="text1"/>
          <w:szCs w:val="24"/>
        </w:rPr>
        <w:t xml:space="preserve"> </w:t>
      </w:r>
      <w:r w:rsidRPr="00104C6A" w:rsidR="00575AA5">
        <w:rPr>
          <w:color w:val="000000" w:themeColor="text1"/>
          <w:szCs w:val="24"/>
        </w:rPr>
        <w:t>$</w:t>
      </w:r>
      <w:r w:rsidRPr="00104C6A" w:rsidR="00F5688B">
        <w:rPr>
          <w:color w:val="000000" w:themeColor="text1"/>
          <w:szCs w:val="24"/>
        </w:rPr>
        <w:t>350,000 in annual funding for weatherization, energy efficiency and</w:t>
      </w:r>
      <w:r w:rsidRPr="00104C6A" w:rsidR="00575AA5">
        <w:rPr>
          <w:color w:val="000000" w:themeColor="text1"/>
          <w:szCs w:val="24"/>
        </w:rPr>
        <w:t xml:space="preserve"> bill-payment assistance </w:t>
      </w:r>
      <w:r w:rsidRPr="00104C6A" w:rsidR="00F5688B">
        <w:rPr>
          <w:color w:val="000000" w:themeColor="text1"/>
          <w:szCs w:val="24"/>
        </w:rPr>
        <w:t>programs</w:t>
      </w:r>
      <w:r w:rsidRPr="00104C6A">
        <w:rPr>
          <w:color w:val="000000" w:themeColor="text1"/>
          <w:szCs w:val="24"/>
        </w:rPr>
        <w:t xml:space="preserve"> for qualifying low-income residents in Cincinnati</w:t>
      </w:r>
      <w:r w:rsidRPr="00104C6A" w:rsidR="00EE4C98">
        <w:rPr>
          <w:color w:val="000000" w:themeColor="text1"/>
          <w:szCs w:val="24"/>
        </w:rPr>
        <w:t>.</w:t>
      </w:r>
      <w:r>
        <w:rPr>
          <w:rStyle w:val="FootnoteReference"/>
          <w:color w:val="000000" w:themeColor="text1"/>
          <w:szCs w:val="24"/>
        </w:rPr>
        <w:footnoteReference w:id="33"/>
      </w:r>
      <w:r w:rsidRPr="00104C6A" w:rsidR="00E725AF">
        <w:rPr>
          <w:color w:val="000000" w:themeColor="text1"/>
          <w:szCs w:val="24"/>
        </w:rPr>
        <w:t xml:space="preserve"> </w:t>
      </w:r>
      <w:r w:rsidRPr="00104C6A" w:rsidR="00E95EB6">
        <w:rPr>
          <w:color w:val="000000" w:themeColor="text1"/>
          <w:szCs w:val="24"/>
        </w:rPr>
        <w:t>The Settlement does not provide for similar assistance to non-Cincinnati residents throughout Duke’s service territory.</w:t>
      </w:r>
      <w:r w:rsidRPr="00104C6A">
        <w:rPr>
          <w:color w:val="000000" w:themeColor="text1"/>
          <w:szCs w:val="24"/>
        </w:rPr>
        <w:t xml:space="preserve"> The PUCO states that the “</w:t>
      </w:r>
      <w:r w:rsidRPr="00104C6A">
        <w:rPr>
          <w:szCs w:val="24"/>
        </w:rPr>
        <w:t>funding to Cincinnati for weatherization comes from the franchise fee Duke is obligated to pay any city within its service territory.”</w:t>
      </w:r>
      <w:r>
        <w:rPr>
          <w:rStyle w:val="FootnoteReference"/>
          <w:szCs w:val="24"/>
        </w:rPr>
        <w:footnoteReference w:id="34"/>
      </w:r>
      <w:r w:rsidRPr="00104C6A">
        <w:rPr>
          <w:szCs w:val="24"/>
        </w:rPr>
        <w:t xml:space="preserve"> But that is beside the point and in no way justifies Duke’s failure to provide similar assistance to non-Cincinnati residents.</w:t>
      </w:r>
      <w:r w:rsidRPr="00104C6A" w:rsidR="001D7F98">
        <w:rPr>
          <w:szCs w:val="24"/>
        </w:rPr>
        <w:t xml:space="preserve"> </w:t>
      </w:r>
    </w:p>
    <w:p w:rsidR="00575AA5" w:rsidRPr="00104C6A" w:rsidP="00575AA5" w14:paraId="7E28EF9A" w14:textId="6C323FB7">
      <w:pPr>
        <w:spacing w:line="480" w:lineRule="auto"/>
        <w:ind w:firstLine="720"/>
        <w:rPr>
          <w:color w:val="000000" w:themeColor="text1"/>
          <w:szCs w:val="24"/>
        </w:rPr>
      </w:pPr>
      <w:r w:rsidRPr="00104C6A">
        <w:rPr>
          <w:color w:val="000000" w:themeColor="text1"/>
          <w:szCs w:val="24"/>
        </w:rPr>
        <w:t xml:space="preserve">In addition, </w:t>
      </w:r>
      <w:r w:rsidRPr="00104C6A" w:rsidR="0097430B">
        <w:rPr>
          <w:color w:val="000000" w:themeColor="text1"/>
          <w:szCs w:val="24"/>
        </w:rPr>
        <w:t>the</w:t>
      </w:r>
      <w:r w:rsidRPr="00104C6A" w:rsidR="0097430B">
        <w:rPr>
          <w:szCs w:val="24"/>
        </w:rPr>
        <w:t xml:space="preserve"> Settlement contains commitments b</w:t>
      </w:r>
      <w:r w:rsidRPr="00104C6A" w:rsidR="0030347E">
        <w:rPr>
          <w:szCs w:val="24"/>
        </w:rPr>
        <w:t>y</w:t>
      </w:r>
      <w:r w:rsidRPr="00104C6A" w:rsidR="0097430B">
        <w:rPr>
          <w:szCs w:val="24"/>
        </w:rPr>
        <w:t xml:space="preserve"> Duke </w:t>
      </w:r>
      <w:r w:rsidRPr="00104C6A" w:rsidR="0030347E">
        <w:rPr>
          <w:szCs w:val="24"/>
        </w:rPr>
        <w:t>to the</w:t>
      </w:r>
      <w:r w:rsidRPr="00104C6A" w:rsidR="0097430B">
        <w:rPr>
          <w:szCs w:val="24"/>
        </w:rPr>
        <w:t xml:space="preserve"> City of Cincinnati regarding </w:t>
      </w:r>
      <w:r w:rsidRPr="00104C6A" w:rsidR="0030347E">
        <w:rPr>
          <w:szCs w:val="24"/>
        </w:rPr>
        <w:t>a</w:t>
      </w:r>
      <w:r w:rsidRPr="00104C6A" w:rsidR="0097430B">
        <w:rPr>
          <w:szCs w:val="24"/>
        </w:rPr>
        <w:t xml:space="preserve"> streetlight </w:t>
      </w:r>
      <w:r w:rsidRPr="00104C6A" w:rsidR="0030347E">
        <w:rPr>
          <w:szCs w:val="24"/>
        </w:rPr>
        <w:t xml:space="preserve">improvement </w:t>
      </w:r>
      <w:r w:rsidRPr="00104C6A" w:rsidR="0097430B">
        <w:rPr>
          <w:szCs w:val="24"/>
        </w:rPr>
        <w:t>project,</w:t>
      </w:r>
      <w:r>
        <w:rPr>
          <w:rStyle w:val="FootnoteReference"/>
          <w:szCs w:val="24"/>
        </w:rPr>
        <w:footnoteReference w:id="35"/>
      </w:r>
      <w:r w:rsidRPr="00104C6A" w:rsidR="0097430B">
        <w:rPr>
          <w:szCs w:val="24"/>
        </w:rPr>
        <w:t xml:space="preserve"> </w:t>
      </w:r>
      <w:r w:rsidRPr="00104C6A" w:rsidR="0030347E">
        <w:rPr>
          <w:szCs w:val="24"/>
        </w:rPr>
        <w:t xml:space="preserve">establishing </w:t>
      </w:r>
      <w:r w:rsidRPr="00104C6A" w:rsidR="0097430B">
        <w:rPr>
          <w:szCs w:val="24"/>
        </w:rPr>
        <w:t>“Smart City” technology,</w:t>
      </w:r>
      <w:r>
        <w:rPr>
          <w:rStyle w:val="FootnoteReference"/>
          <w:szCs w:val="24"/>
        </w:rPr>
        <w:footnoteReference w:id="36"/>
      </w:r>
      <w:r w:rsidRPr="00104C6A" w:rsidR="0097430B">
        <w:rPr>
          <w:szCs w:val="24"/>
        </w:rPr>
        <w:t xml:space="preserve"> improving reliability of electric service to water treatment plants,</w:t>
      </w:r>
      <w:r>
        <w:rPr>
          <w:rStyle w:val="FootnoteReference"/>
          <w:szCs w:val="24"/>
        </w:rPr>
        <w:footnoteReference w:id="37"/>
      </w:r>
      <w:r w:rsidRPr="00104C6A" w:rsidR="0097430B">
        <w:rPr>
          <w:szCs w:val="24"/>
        </w:rPr>
        <w:t xml:space="preserve"> </w:t>
      </w:r>
      <w:r w:rsidRPr="00104C6A" w:rsidR="00C54161">
        <w:rPr>
          <w:szCs w:val="24"/>
        </w:rPr>
        <w:t xml:space="preserve">and </w:t>
      </w:r>
      <w:r w:rsidRPr="00104C6A" w:rsidR="0097430B">
        <w:rPr>
          <w:szCs w:val="24"/>
        </w:rPr>
        <w:t>asset relocation</w:t>
      </w:r>
      <w:r w:rsidRPr="00104C6A" w:rsidR="00C54161">
        <w:rPr>
          <w:szCs w:val="24"/>
        </w:rPr>
        <w:t>.</w:t>
      </w:r>
      <w:r>
        <w:rPr>
          <w:rStyle w:val="FootnoteReference"/>
          <w:szCs w:val="24"/>
        </w:rPr>
        <w:footnoteReference w:id="38"/>
      </w:r>
      <w:r w:rsidRPr="00104C6A">
        <w:rPr>
          <w:color w:val="000000" w:themeColor="text1"/>
          <w:szCs w:val="24"/>
        </w:rPr>
        <w:t xml:space="preserve"> </w:t>
      </w:r>
      <w:r w:rsidRPr="00104C6A" w:rsidR="00C54161">
        <w:rPr>
          <w:color w:val="000000" w:themeColor="text1"/>
          <w:szCs w:val="24"/>
        </w:rPr>
        <w:t>Duke does not make similar commitments to other local governments throughout its service territory. That is discriminatory.</w:t>
      </w:r>
    </w:p>
    <w:p w:rsidR="009324F8" w:rsidRPr="00104C6A" w:rsidP="00575AA5" w14:paraId="17D4872E" w14:textId="7E66600F">
      <w:pPr>
        <w:spacing w:line="480" w:lineRule="auto"/>
        <w:ind w:firstLine="720"/>
        <w:rPr>
          <w:color w:val="000000" w:themeColor="text1"/>
          <w:szCs w:val="24"/>
        </w:rPr>
      </w:pPr>
      <w:r w:rsidRPr="00104C6A">
        <w:rPr>
          <w:color w:val="000000" w:themeColor="text1"/>
          <w:szCs w:val="24"/>
        </w:rPr>
        <w:t xml:space="preserve">The PUCO </w:t>
      </w:r>
      <w:r w:rsidRPr="00104C6A" w:rsidR="0030347E">
        <w:rPr>
          <w:color w:val="000000" w:themeColor="text1"/>
          <w:szCs w:val="24"/>
        </w:rPr>
        <w:t xml:space="preserve">attempts to </w:t>
      </w:r>
      <w:r w:rsidRPr="00104C6A">
        <w:rPr>
          <w:color w:val="000000" w:themeColor="text1"/>
          <w:szCs w:val="24"/>
        </w:rPr>
        <w:t>justif</w:t>
      </w:r>
      <w:r w:rsidRPr="00104C6A" w:rsidR="0030347E">
        <w:rPr>
          <w:color w:val="000000" w:themeColor="text1"/>
          <w:szCs w:val="24"/>
        </w:rPr>
        <w:t>y</w:t>
      </w:r>
      <w:r w:rsidRPr="00104C6A">
        <w:rPr>
          <w:color w:val="000000" w:themeColor="text1"/>
          <w:szCs w:val="24"/>
        </w:rPr>
        <w:t xml:space="preserve"> the Settlement’s Cincinnati-only provisions by stating:</w:t>
      </w:r>
    </w:p>
    <w:p w:rsidR="00C54161" w:rsidRPr="00104C6A" w:rsidP="002A636C" w14:paraId="4B63A348" w14:textId="6AEE1389">
      <w:pPr>
        <w:ind w:left="1440" w:right="1440"/>
        <w:rPr>
          <w:color w:val="000000" w:themeColor="text1"/>
          <w:szCs w:val="24"/>
        </w:rPr>
      </w:pPr>
      <w:r w:rsidRPr="00104C6A">
        <w:rPr>
          <w:szCs w:val="24"/>
        </w:rPr>
        <w:t xml:space="preserve">We agree with Duke that, considering the first part of the three-part test pertains only to negotiations between </w:t>
      </w:r>
      <w:r w:rsidRPr="00104C6A">
        <w:rPr>
          <w:i/>
          <w:iCs/>
          <w:szCs w:val="24"/>
        </w:rPr>
        <w:t>parties</w:t>
      </w:r>
      <w:r w:rsidRPr="00104C6A">
        <w:rPr>
          <w:szCs w:val="24"/>
        </w:rPr>
        <w:t>, it is under no obligation to negotiate with a non-party to this proceeding. Other localities within Duke’s service territory had the opportunity to intervene, yet they chose not to.</w:t>
      </w:r>
      <w:r>
        <w:rPr>
          <w:rStyle w:val="FootnoteReference"/>
          <w:szCs w:val="24"/>
        </w:rPr>
        <w:footnoteReference w:id="39"/>
      </w:r>
      <w:r w:rsidRPr="00104C6A" w:rsidR="001D7F98">
        <w:rPr>
          <w:szCs w:val="24"/>
        </w:rPr>
        <w:t xml:space="preserve"> </w:t>
      </w:r>
    </w:p>
    <w:p w:rsidR="009324F8" w:rsidRPr="00104C6A" w:rsidP="009324F8" w14:paraId="17536EDC" w14:textId="76D0B2EE">
      <w:pPr>
        <w:ind w:left="720" w:right="720"/>
        <w:rPr>
          <w:color w:val="000000" w:themeColor="text1"/>
          <w:szCs w:val="24"/>
        </w:rPr>
      </w:pPr>
    </w:p>
    <w:p w:rsidR="009324F8" w:rsidRPr="00104C6A" w:rsidP="008115AF" w14:paraId="3F6D3977" w14:textId="6D90902C">
      <w:pPr>
        <w:spacing w:line="480" w:lineRule="auto"/>
        <w:ind w:firstLine="720"/>
        <w:rPr>
          <w:color w:val="000000" w:themeColor="text1"/>
          <w:szCs w:val="24"/>
        </w:rPr>
      </w:pPr>
      <w:r w:rsidRPr="00104C6A">
        <w:rPr>
          <w:color w:val="000000" w:themeColor="text1"/>
          <w:szCs w:val="24"/>
        </w:rPr>
        <w:t>The PUCO</w:t>
      </w:r>
      <w:r w:rsidRPr="00104C6A" w:rsidR="0030347E">
        <w:rPr>
          <w:color w:val="000000" w:themeColor="text1"/>
          <w:szCs w:val="24"/>
        </w:rPr>
        <w:t xml:space="preserve"> should grant rehearing to reconsider its reasoning</w:t>
      </w:r>
      <w:r w:rsidRPr="00104C6A">
        <w:rPr>
          <w:color w:val="000000" w:themeColor="text1"/>
          <w:szCs w:val="24"/>
        </w:rPr>
        <w:t xml:space="preserve">. </w:t>
      </w:r>
      <w:r w:rsidRPr="00104C6A" w:rsidR="00B951BA">
        <w:rPr>
          <w:color w:val="000000" w:themeColor="text1"/>
          <w:szCs w:val="24"/>
        </w:rPr>
        <w:t>Indeed, even if</w:t>
      </w:r>
      <w:r w:rsidRPr="00104C6A">
        <w:rPr>
          <w:color w:val="000000" w:themeColor="text1"/>
          <w:szCs w:val="24"/>
        </w:rPr>
        <w:t xml:space="preserve"> Duke is not obligated to negotiate with a non-party to this proceeding, Duke </w:t>
      </w:r>
      <w:r w:rsidRPr="00104C6A">
        <w:rPr>
          <w:i/>
          <w:iCs/>
          <w:color w:val="000000" w:themeColor="text1"/>
          <w:szCs w:val="24"/>
        </w:rPr>
        <w:t xml:space="preserve">is </w:t>
      </w:r>
      <w:r w:rsidRPr="00104C6A">
        <w:rPr>
          <w:color w:val="000000" w:themeColor="text1"/>
          <w:szCs w:val="24"/>
        </w:rPr>
        <w:t xml:space="preserve">obligated – under R.C. 4905.33 and R.C. 4928.02(A) – to provide nondiscriminatory service to </w:t>
      </w:r>
      <w:r w:rsidRPr="00104C6A">
        <w:rPr>
          <w:i/>
          <w:iCs/>
          <w:color w:val="000000" w:themeColor="text1"/>
          <w:szCs w:val="24"/>
        </w:rPr>
        <w:t>all consumers</w:t>
      </w:r>
      <w:r w:rsidRPr="00104C6A">
        <w:rPr>
          <w:color w:val="000000" w:themeColor="text1"/>
          <w:szCs w:val="24"/>
        </w:rPr>
        <w:t xml:space="preserve"> within its service territory. </w:t>
      </w:r>
      <w:r w:rsidRPr="00104C6A" w:rsidR="0030347E">
        <w:rPr>
          <w:color w:val="000000" w:themeColor="text1"/>
          <w:szCs w:val="24"/>
        </w:rPr>
        <w:t xml:space="preserve">Thus, </w:t>
      </w:r>
      <w:r w:rsidRPr="00104C6A">
        <w:rPr>
          <w:color w:val="000000" w:themeColor="text1"/>
          <w:szCs w:val="24"/>
        </w:rPr>
        <w:t xml:space="preserve">Duke </w:t>
      </w:r>
      <w:r w:rsidRPr="00104C6A" w:rsidR="0030347E">
        <w:rPr>
          <w:color w:val="000000" w:themeColor="text1"/>
          <w:szCs w:val="24"/>
        </w:rPr>
        <w:t>must</w:t>
      </w:r>
      <w:r w:rsidRPr="00104C6A">
        <w:rPr>
          <w:color w:val="000000" w:themeColor="text1"/>
          <w:szCs w:val="24"/>
        </w:rPr>
        <w:t xml:space="preserve"> provide nondiscriminatory service</w:t>
      </w:r>
      <w:r w:rsidRPr="00104C6A" w:rsidR="0030347E">
        <w:rPr>
          <w:color w:val="000000" w:themeColor="text1"/>
          <w:szCs w:val="24"/>
        </w:rPr>
        <w:t xml:space="preserve"> throughout its service territory</w:t>
      </w:r>
      <w:r w:rsidRPr="00104C6A">
        <w:rPr>
          <w:color w:val="000000" w:themeColor="text1"/>
          <w:szCs w:val="24"/>
        </w:rPr>
        <w:t xml:space="preserve"> regardless of whether any locality intervenes in this case.</w:t>
      </w:r>
    </w:p>
    <w:p w:rsidR="00E91A2B" w:rsidRPr="00104C6A" w:rsidP="008115AF" w14:paraId="5DF7E32A" w14:textId="2E0BED03">
      <w:pPr>
        <w:spacing w:line="480" w:lineRule="auto"/>
        <w:ind w:firstLine="720"/>
        <w:rPr>
          <w:color w:val="000000" w:themeColor="text1"/>
          <w:szCs w:val="24"/>
        </w:rPr>
      </w:pPr>
      <w:r w:rsidRPr="00104C6A">
        <w:rPr>
          <w:color w:val="000000" w:themeColor="text1"/>
          <w:szCs w:val="24"/>
        </w:rPr>
        <w:t xml:space="preserve">In addition, R.C. 4928.02(L) requires the PUCO to “[p]rotect at-risk populations”. However, the Order fails to do that by ignoring at-risk populations outside the City of Cincinnati. Certainly, there are non-Cincinnati residential consumers within Duke’s service territory that are low-income and at-risk. These consumers should receive bill-payment assistance as well. </w:t>
      </w:r>
    </w:p>
    <w:p w:rsidR="002A636C" w:rsidRPr="00104C6A" w:rsidP="003221AA" w14:paraId="38063E2A" w14:textId="3BBCE25A">
      <w:pPr>
        <w:spacing w:line="480" w:lineRule="auto"/>
        <w:rPr>
          <w:b/>
          <w:bCs/>
          <w:szCs w:val="24"/>
        </w:rPr>
      </w:pPr>
      <w:r w:rsidRPr="00104C6A">
        <w:rPr>
          <w:color w:val="000000" w:themeColor="text1"/>
          <w:szCs w:val="24"/>
        </w:rPr>
        <w:tab/>
      </w:r>
      <w:r w:rsidRPr="00104C6A" w:rsidR="008115AF">
        <w:rPr>
          <w:color w:val="000000" w:themeColor="text1"/>
          <w:szCs w:val="24"/>
        </w:rPr>
        <w:t>The Settlement violates Ohio law.</w:t>
      </w:r>
      <w:r w:rsidRPr="00104C6A" w:rsidR="00B951BA">
        <w:rPr>
          <w:color w:val="000000" w:themeColor="text1"/>
          <w:szCs w:val="24"/>
        </w:rPr>
        <w:t xml:space="preserve"> </w:t>
      </w:r>
      <w:r w:rsidRPr="00104C6A" w:rsidR="008115AF">
        <w:rPr>
          <w:color w:val="000000" w:themeColor="text1"/>
          <w:szCs w:val="24"/>
        </w:rPr>
        <w:t>T</w:t>
      </w:r>
      <w:r w:rsidRPr="00104C6A" w:rsidR="00F5688B">
        <w:rPr>
          <w:szCs w:val="24"/>
        </w:rPr>
        <w:t xml:space="preserve">he PUCO should grant rehearing </w:t>
      </w:r>
      <w:r w:rsidRPr="00104C6A" w:rsidR="00B951BA">
        <w:rPr>
          <w:szCs w:val="24"/>
        </w:rPr>
        <w:t>and abrogate or modify the Order</w:t>
      </w:r>
      <w:r w:rsidRPr="00104C6A" w:rsidR="008115AF">
        <w:rPr>
          <w:szCs w:val="24"/>
        </w:rPr>
        <w:t xml:space="preserve"> approving the Settlement</w:t>
      </w:r>
      <w:r w:rsidRPr="00104C6A" w:rsidR="00F5688B">
        <w:rPr>
          <w:szCs w:val="24"/>
        </w:rPr>
        <w:t>.</w:t>
      </w:r>
    </w:p>
    <w:p w:rsidR="000E6A97" w:rsidRPr="00104C6A" w:rsidP="00A512C6" w14:paraId="07941A00" w14:textId="2C03EDFF">
      <w:pPr>
        <w:pStyle w:val="Heading2"/>
        <w:rPr>
          <w:rFonts w:ascii="Times New Roman" w:hAnsi="Times New Roman"/>
        </w:rPr>
      </w:pPr>
      <w:bookmarkStart w:id="29" w:name="_Toc124235576"/>
      <w:bookmarkStart w:id="30" w:name="_Toc124425006"/>
      <w:r w:rsidRPr="00104C6A">
        <w:rPr>
          <w:rFonts w:ascii="Times New Roman" w:hAnsi="Times New Roman"/>
        </w:rPr>
        <w:t xml:space="preserve">ASSIGNMENT OF ERROR NO. 3: </w:t>
      </w:r>
      <w:bookmarkEnd w:id="29"/>
      <w:r w:rsidRPr="00104C6A" w:rsidR="00AC2A9F">
        <w:rPr>
          <w:rFonts w:ascii="Times New Roman" w:hAnsi="Times New Roman"/>
        </w:rPr>
        <w:t>The PUCO erred by unlawfully upholding a procedural schedule that limited OCC’s case preparation and restricted OCC’s “ample rights” of discovery in violation of R.C. 4903.082 and Ohio Supreme Court precedent.</w:t>
      </w:r>
      <w:bookmarkEnd w:id="30"/>
    </w:p>
    <w:p w:rsidR="00AF4A54" w:rsidRPr="00104C6A" w:rsidP="00E17B21" w14:paraId="72932F98" w14:textId="79AF5267">
      <w:pPr>
        <w:spacing w:line="480" w:lineRule="auto"/>
        <w:ind w:firstLine="720"/>
        <w:rPr>
          <w:szCs w:val="24"/>
        </w:rPr>
      </w:pPr>
      <w:r w:rsidRPr="00104C6A">
        <w:rPr>
          <w:szCs w:val="24"/>
        </w:rPr>
        <w:t xml:space="preserve">The PUCO’s Order </w:t>
      </w:r>
      <w:r w:rsidRPr="00104C6A" w:rsidR="00953E73">
        <w:rPr>
          <w:szCs w:val="24"/>
        </w:rPr>
        <w:t>unreasonably and unlawfully</w:t>
      </w:r>
      <w:r w:rsidRPr="00104C6A">
        <w:rPr>
          <w:szCs w:val="24"/>
        </w:rPr>
        <w:t xml:space="preserve"> upheld the fast-track procedural schedule the Attorney Examiners set after the Settlement was filed</w:t>
      </w:r>
      <w:r w:rsidRPr="00104C6A" w:rsidR="00FC2226">
        <w:rPr>
          <w:szCs w:val="24"/>
        </w:rPr>
        <w:t>.</w:t>
      </w:r>
      <w:r>
        <w:rPr>
          <w:rStyle w:val="FootnoteReference"/>
          <w:szCs w:val="24"/>
        </w:rPr>
        <w:footnoteReference w:id="40"/>
      </w:r>
      <w:r w:rsidRPr="00104C6A">
        <w:rPr>
          <w:szCs w:val="24"/>
        </w:rPr>
        <w:t xml:space="preserve"> </w:t>
      </w:r>
      <w:r w:rsidRPr="00104C6A" w:rsidR="00FC2226">
        <w:rPr>
          <w:szCs w:val="24"/>
        </w:rPr>
        <w:t>The procedural schedule</w:t>
      </w:r>
      <w:r w:rsidRPr="00104C6A" w:rsidR="00953E73">
        <w:rPr>
          <w:szCs w:val="24"/>
        </w:rPr>
        <w:t xml:space="preserve"> prejudiced residential consumers by</w:t>
      </w:r>
      <w:r w:rsidRPr="00104C6A">
        <w:rPr>
          <w:szCs w:val="24"/>
        </w:rPr>
        <w:t xml:space="preserve"> imp</w:t>
      </w:r>
      <w:r w:rsidRPr="00104C6A" w:rsidR="00953E73">
        <w:rPr>
          <w:szCs w:val="24"/>
        </w:rPr>
        <w:t xml:space="preserve">eding </w:t>
      </w:r>
      <w:r w:rsidRPr="00104C6A">
        <w:rPr>
          <w:szCs w:val="24"/>
        </w:rPr>
        <w:t xml:space="preserve">OCC’s ability to prepare a case for consumer protection. </w:t>
      </w:r>
      <w:r w:rsidRPr="00104C6A" w:rsidR="00FC2226">
        <w:rPr>
          <w:szCs w:val="24"/>
        </w:rPr>
        <w:t>The PUCO’s Order determined that OCC’s objections to the procedural schedule were “meritless</w:t>
      </w:r>
      <w:r w:rsidRPr="00104C6A" w:rsidR="00580742">
        <w:rPr>
          <w:szCs w:val="24"/>
        </w:rPr>
        <w:t>.</w:t>
      </w:r>
      <w:r w:rsidRPr="00104C6A" w:rsidR="00FC2226">
        <w:rPr>
          <w:szCs w:val="24"/>
        </w:rPr>
        <w:t>”</w:t>
      </w:r>
      <w:r>
        <w:rPr>
          <w:rStyle w:val="FootnoteReference"/>
          <w:szCs w:val="24"/>
        </w:rPr>
        <w:footnoteReference w:id="41"/>
      </w:r>
      <w:r w:rsidRPr="00104C6A" w:rsidR="00FC2226">
        <w:rPr>
          <w:szCs w:val="24"/>
        </w:rPr>
        <w:t xml:space="preserve"> But it is the </w:t>
      </w:r>
      <w:r w:rsidRPr="00104C6A">
        <w:rPr>
          <w:szCs w:val="24"/>
        </w:rPr>
        <w:t>PUCO’s Orde</w:t>
      </w:r>
      <w:r w:rsidRPr="00104C6A" w:rsidR="002F3BAE">
        <w:rPr>
          <w:szCs w:val="24"/>
        </w:rPr>
        <w:t>r</w:t>
      </w:r>
      <w:r w:rsidRPr="00104C6A">
        <w:rPr>
          <w:szCs w:val="24"/>
        </w:rPr>
        <w:t xml:space="preserve"> </w:t>
      </w:r>
      <w:r w:rsidRPr="00104C6A" w:rsidR="00FC2226">
        <w:rPr>
          <w:szCs w:val="24"/>
        </w:rPr>
        <w:t xml:space="preserve">that </w:t>
      </w:r>
      <w:r w:rsidRPr="00104C6A" w:rsidR="00953E73">
        <w:rPr>
          <w:szCs w:val="24"/>
        </w:rPr>
        <w:t>ignores</w:t>
      </w:r>
      <w:r w:rsidRPr="00104C6A">
        <w:rPr>
          <w:szCs w:val="24"/>
        </w:rPr>
        <w:t xml:space="preserve"> R.C. 4903.082, which protects OCC’s “ample rights” to discovery</w:t>
      </w:r>
      <w:r w:rsidRPr="00104C6A" w:rsidR="00FC2226">
        <w:rPr>
          <w:szCs w:val="24"/>
        </w:rPr>
        <w:t>, and Ohio Supreme Court precedent</w:t>
      </w:r>
      <w:r w:rsidRPr="00104C6A">
        <w:rPr>
          <w:szCs w:val="24"/>
        </w:rPr>
        <w:t>.</w:t>
      </w:r>
      <w:r w:rsidRPr="00104C6A" w:rsidR="00953E73">
        <w:rPr>
          <w:szCs w:val="24"/>
        </w:rPr>
        <w:t xml:space="preserve"> </w:t>
      </w:r>
      <w:r w:rsidRPr="00104C6A" w:rsidR="00FC2226">
        <w:rPr>
          <w:szCs w:val="24"/>
        </w:rPr>
        <w:t xml:space="preserve">The PUCO should </w:t>
      </w:r>
      <w:r w:rsidRPr="00104C6A" w:rsidR="0080535E">
        <w:rPr>
          <w:szCs w:val="24"/>
        </w:rPr>
        <w:t xml:space="preserve">therefore </w:t>
      </w:r>
      <w:r w:rsidRPr="00104C6A" w:rsidR="00FC2226">
        <w:rPr>
          <w:szCs w:val="24"/>
        </w:rPr>
        <w:t xml:space="preserve">grant rehearing </w:t>
      </w:r>
      <w:r w:rsidRPr="00104C6A" w:rsidR="0080535E">
        <w:rPr>
          <w:szCs w:val="24"/>
        </w:rPr>
        <w:t>to</w:t>
      </w:r>
      <w:r w:rsidRPr="00104C6A" w:rsidR="00FC2226">
        <w:rPr>
          <w:szCs w:val="24"/>
        </w:rPr>
        <w:t xml:space="preserve"> abrogate or modify the Order.</w:t>
      </w:r>
    </w:p>
    <w:p w:rsidR="00AF4A54" w:rsidRPr="00104C6A" w:rsidP="000E6A97" w14:paraId="765C5964" w14:textId="738C5FDD">
      <w:pPr>
        <w:spacing w:line="480" w:lineRule="auto"/>
        <w:ind w:firstLine="720"/>
        <w:rPr>
          <w:szCs w:val="24"/>
        </w:rPr>
      </w:pPr>
      <w:r w:rsidRPr="00104C6A">
        <w:rPr>
          <w:szCs w:val="24"/>
        </w:rPr>
        <w:t xml:space="preserve">The </w:t>
      </w:r>
      <w:r w:rsidRPr="00104C6A" w:rsidR="007B1E0A">
        <w:rPr>
          <w:szCs w:val="24"/>
        </w:rPr>
        <w:t>S</w:t>
      </w:r>
      <w:r w:rsidRPr="00104C6A">
        <w:rPr>
          <w:szCs w:val="24"/>
        </w:rPr>
        <w:t>ettlement was filed with the PUCO on September 19, 2022. A pre-hearing conference was held remotely on September 20, 2022.</w:t>
      </w:r>
      <w:r>
        <w:rPr>
          <w:rStyle w:val="FootnoteReference"/>
          <w:szCs w:val="24"/>
        </w:rPr>
        <w:footnoteReference w:id="42"/>
      </w:r>
      <w:r w:rsidRPr="00104C6A">
        <w:rPr>
          <w:szCs w:val="24"/>
        </w:rPr>
        <w:t xml:space="preserve"> At the pre-hearing conference, over OCC’s objections, </w:t>
      </w:r>
      <w:r w:rsidRPr="00104C6A" w:rsidR="0036133E">
        <w:rPr>
          <w:szCs w:val="24"/>
        </w:rPr>
        <w:t xml:space="preserve">the </w:t>
      </w:r>
      <w:r w:rsidRPr="00104C6A">
        <w:rPr>
          <w:szCs w:val="24"/>
        </w:rPr>
        <w:t>Attorney Examiner announced a procedural schedule that required testimony in support of the proposed settlement to be filed by September 22,</w:t>
      </w:r>
      <w:r w:rsidRPr="00104C6A" w:rsidR="0080535E">
        <w:rPr>
          <w:szCs w:val="24"/>
        </w:rPr>
        <w:t xml:space="preserve"> 2022,</w:t>
      </w:r>
      <w:r w:rsidRPr="00104C6A">
        <w:rPr>
          <w:szCs w:val="24"/>
        </w:rPr>
        <w:t xml:space="preserve"> testimony in opposition to the proposed settlement to be filed on September 29</w:t>
      </w:r>
      <w:r w:rsidRPr="00104C6A" w:rsidR="0080535E">
        <w:rPr>
          <w:szCs w:val="24"/>
        </w:rPr>
        <w:t>, 2022</w:t>
      </w:r>
      <w:r w:rsidRPr="00104C6A">
        <w:rPr>
          <w:szCs w:val="24"/>
        </w:rPr>
        <w:t xml:space="preserve"> and set the evidentiary hearing for October 4, 2022.</w:t>
      </w:r>
    </w:p>
    <w:p w:rsidR="00383C1E" w:rsidRPr="00104C6A" w:rsidP="00383C1E" w14:paraId="460F63AA" w14:textId="530FFC8F">
      <w:pPr>
        <w:spacing w:line="480" w:lineRule="auto"/>
        <w:ind w:firstLine="720"/>
        <w:rPr>
          <w:szCs w:val="24"/>
        </w:rPr>
      </w:pPr>
      <w:r w:rsidRPr="00104C6A">
        <w:rPr>
          <w:szCs w:val="24"/>
        </w:rPr>
        <w:t>The pre-hearing conference was not transcribed by a court reporter</w:t>
      </w:r>
      <w:r w:rsidRPr="00104C6A" w:rsidR="00AF4A54">
        <w:rPr>
          <w:szCs w:val="24"/>
        </w:rPr>
        <w:t>, but the procedural</w:t>
      </w:r>
      <w:r w:rsidRPr="00104C6A" w:rsidR="000E6A97">
        <w:rPr>
          <w:szCs w:val="24"/>
        </w:rPr>
        <w:t xml:space="preserve"> schedule was</w:t>
      </w:r>
      <w:r w:rsidRPr="00104C6A">
        <w:rPr>
          <w:szCs w:val="24"/>
        </w:rPr>
        <w:t xml:space="preserve"> </w:t>
      </w:r>
      <w:r w:rsidRPr="00104C6A" w:rsidR="000E6A97">
        <w:rPr>
          <w:szCs w:val="24"/>
        </w:rPr>
        <w:t>memorialized in the Attorney Examiners’ September 20, 2022 Entry.</w:t>
      </w:r>
      <w:r w:rsidRPr="00104C6A" w:rsidR="00AF4A54">
        <w:rPr>
          <w:szCs w:val="24"/>
        </w:rPr>
        <w:t xml:space="preserve"> </w:t>
      </w:r>
      <w:r w:rsidRPr="00104C6A">
        <w:rPr>
          <w:szCs w:val="24"/>
        </w:rPr>
        <w:t xml:space="preserve">OCC subsequently filed a </w:t>
      </w:r>
      <w:r w:rsidRPr="00104C6A" w:rsidR="000E6A97">
        <w:rPr>
          <w:szCs w:val="24"/>
        </w:rPr>
        <w:t xml:space="preserve">request for an interlocutory appeal of the Attorney Examiners’ September 20, 2022 Entry. OCC’s interlocutory appeal </w:t>
      </w:r>
      <w:r w:rsidRPr="00104C6A" w:rsidR="0036133E">
        <w:rPr>
          <w:szCs w:val="24"/>
        </w:rPr>
        <w:t xml:space="preserve">was denied </w:t>
      </w:r>
      <w:r w:rsidRPr="00104C6A" w:rsidR="000E6A97">
        <w:rPr>
          <w:szCs w:val="24"/>
        </w:rPr>
        <w:t>in an Entry on October 3, 2022, just one day before the evidentiary hearing commenced.</w:t>
      </w:r>
    </w:p>
    <w:p w:rsidR="00383C1E" w:rsidRPr="00104C6A" w:rsidP="00383C1E" w14:paraId="647A08BC" w14:textId="41F896D4">
      <w:pPr>
        <w:spacing w:line="480" w:lineRule="auto"/>
        <w:ind w:firstLine="720"/>
        <w:rPr>
          <w:szCs w:val="24"/>
        </w:rPr>
      </w:pPr>
      <w:r w:rsidRPr="00104C6A">
        <w:rPr>
          <w:szCs w:val="24"/>
        </w:rPr>
        <w:t>OCC again raised t</w:t>
      </w:r>
      <w:r w:rsidRPr="00104C6A" w:rsidR="0036133E">
        <w:rPr>
          <w:szCs w:val="24"/>
        </w:rPr>
        <w:t>he unfairness of the procedural schedule</w:t>
      </w:r>
      <w:r w:rsidRPr="00104C6A">
        <w:rPr>
          <w:szCs w:val="24"/>
        </w:rPr>
        <w:t xml:space="preserve"> in post-hearing briefs</w:t>
      </w:r>
      <w:r w:rsidRPr="00104C6A" w:rsidR="0036133E">
        <w:rPr>
          <w:szCs w:val="24"/>
        </w:rPr>
        <w:t xml:space="preserve">. However, </w:t>
      </w:r>
      <w:r w:rsidR="00682EBA">
        <w:rPr>
          <w:szCs w:val="24"/>
        </w:rPr>
        <w:t xml:space="preserve">the </w:t>
      </w:r>
      <w:r w:rsidRPr="00104C6A">
        <w:rPr>
          <w:szCs w:val="24"/>
        </w:rPr>
        <w:t>PUCO’s Order</w:t>
      </w:r>
      <w:r w:rsidRPr="00104C6A" w:rsidR="0036133E">
        <w:rPr>
          <w:szCs w:val="24"/>
        </w:rPr>
        <w:t xml:space="preserve"> </w:t>
      </w:r>
      <w:r w:rsidRPr="00104C6A" w:rsidR="00984E16">
        <w:rPr>
          <w:szCs w:val="24"/>
        </w:rPr>
        <w:t>rejected</w:t>
      </w:r>
      <w:r w:rsidRPr="00104C6A" w:rsidR="0036133E">
        <w:rPr>
          <w:szCs w:val="24"/>
        </w:rPr>
        <w:t xml:space="preserve"> OCC’s arguments </w:t>
      </w:r>
      <w:r w:rsidRPr="00104C6A">
        <w:rPr>
          <w:szCs w:val="24"/>
        </w:rPr>
        <w:t>stating:</w:t>
      </w:r>
    </w:p>
    <w:p w:rsidR="000E6A97" w:rsidRPr="00104C6A" w:rsidP="00336BDD" w14:paraId="5882AD11" w14:textId="517BB063">
      <w:pPr>
        <w:ind w:left="1440" w:right="1440"/>
        <w:rPr>
          <w:szCs w:val="24"/>
        </w:rPr>
      </w:pPr>
      <w:r w:rsidRPr="00104C6A">
        <w:rPr>
          <w:szCs w:val="24"/>
        </w:rPr>
        <w:t>The Commission notes that, even in the cases cited by OCC, the procedural schedules vary, likely based on a number of factors, including, but not limited to, statutory requirements; schedules of the parties, witnesses, Staff, and the attorney examiners; and the availability of Commission resources. OCC has had ample time to conduct discovery and prepare for hearing and, in short, has not shown that the procedural schedule is unduly prejudicial or unreasonable under the circumstances of these proceedings. Also, under Ohio Adm.Code 4901-1-27, attorney examiners have broad discretion in regulating the hearing process. The Commission must also be mindful of the timing requirements in R.C. 4909.42. The statute provides that, where the Commission fails to issue an order within 275 days of the filing of an application under R.C. 4909.18, a public utility requesting an increase on any rate, joint rate, toll, classification, charge, or rental or requesting a change in a regulation or practice affecting the same, the increase shall go into effect upon the filing of a bond or a letter of credit by the public utility, subject to refund. Therefore, we find OCC’s objections to the attorney examiners’ procedural schedule meritless.</w:t>
      </w:r>
      <w:r>
        <w:rPr>
          <w:rStyle w:val="FootnoteReference"/>
          <w:szCs w:val="24"/>
        </w:rPr>
        <w:footnoteReference w:id="43"/>
      </w:r>
      <w:r w:rsidRPr="00104C6A" w:rsidR="001D7F98">
        <w:rPr>
          <w:szCs w:val="24"/>
        </w:rPr>
        <w:t xml:space="preserve"> </w:t>
      </w:r>
    </w:p>
    <w:p w:rsidR="00693EAE" w:rsidRPr="00104C6A" w:rsidP="00693EAE" w14:paraId="1A06B1B7" w14:textId="77777777">
      <w:pPr>
        <w:ind w:left="720" w:right="720"/>
        <w:rPr>
          <w:szCs w:val="24"/>
        </w:rPr>
      </w:pPr>
    </w:p>
    <w:p w:rsidR="00872349" w:rsidRPr="00104C6A" w:rsidP="00A94AA2" w14:paraId="730C7069" w14:textId="5A7E0124">
      <w:pPr>
        <w:spacing w:line="480" w:lineRule="auto"/>
        <w:ind w:firstLine="720"/>
        <w:rPr>
          <w:szCs w:val="24"/>
        </w:rPr>
      </w:pPr>
      <w:r w:rsidRPr="00104C6A">
        <w:rPr>
          <w:szCs w:val="24"/>
        </w:rPr>
        <w:t xml:space="preserve">The PUCO should grant rehearing to </w:t>
      </w:r>
      <w:r w:rsidRPr="00104C6A" w:rsidR="0036133E">
        <w:rPr>
          <w:szCs w:val="24"/>
        </w:rPr>
        <w:t>abrogate</w:t>
      </w:r>
      <w:r w:rsidRPr="00104C6A">
        <w:rPr>
          <w:szCs w:val="24"/>
        </w:rPr>
        <w:t xml:space="preserve"> this ruling. R.C. 4903.082 </w:t>
      </w:r>
      <w:r w:rsidRPr="00104C6A" w:rsidR="0036133E">
        <w:rPr>
          <w:szCs w:val="24"/>
        </w:rPr>
        <w:t>expressly</w:t>
      </w:r>
      <w:r w:rsidRPr="00104C6A">
        <w:rPr>
          <w:szCs w:val="24"/>
        </w:rPr>
        <w:t xml:space="preserve"> states that “[a]ll parties and intervenors shall be granted ample rights of discovery.” </w:t>
      </w:r>
      <w:r w:rsidRPr="00104C6A" w:rsidR="0036133E">
        <w:rPr>
          <w:szCs w:val="24"/>
        </w:rPr>
        <w:t xml:space="preserve">These </w:t>
      </w:r>
      <w:r w:rsidRPr="00104C6A" w:rsidR="00953E73">
        <w:rPr>
          <w:szCs w:val="24"/>
        </w:rPr>
        <w:t xml:space="preserve">“ample rights of discovery” </w:t>
      </w:r>
      <w:r w:rsidRPr="00104C6A" w:rsidR="007B1E0A">
        <w:rPr>
          <w:szCs w:val="24"/>
        </w:rPr>
        <w:t xml:space="preserve">exist notwithstanding the PUCO’s discretion </w:t>
      </w:r>
      <w:r w:rsidRPr="00104C6A" w:rsidR="003F47BB">
        <w:rPr>
          <w:szCs w:val="24"/>
        </w:rPr>
        <w:t>in regulating the</w:t>
      </w:r>
      <w:r w:rsidRPr="00104C6A" w:rsidR="007B1E0A">
        <w:rPr>
          <w:szCs w:val="24"/>
        </w:rPr>
        <w:t xml:space="preserve"> hearing process and </w:t>
      </w:r>
      <w:r w:rsidRPr="00104C6A" w:rsidR="003F47BB">
        <w:rPr>
          <w:szCs w:val="24"/>
        </w:rPr>
        <w:t>statutory timeframes.</w:t>
      </w:r>
      <w:r w:rsidRPr="00104C6A" w:rsidR="00953E73">
        <w:rPr>
          <w:szCs w:val="24"/>
        </w:rPr>
        <w:t xml:space="preserve"> </w:t>
      </w:r>
    </w:p>
    <w:p w:rsidR="000E6A97" w:rsidRPr="00104C6A" w:rsidP="001A4CBB" w14:paraId="28365173" w14:textId="6B3DFF68">
      <w:pPr>
        <w:spacing w:line="480" w:lineRule="auto"/>
        <w:ind w:firstLine="720"/>
        <w:rPr>
          <w:i/>
          <w:iCs/>
          <w:szCs w:val="24"/>
        </w:rPr>
      </w:pPr>
      <w:r w:rsidRPr="00104C6A">
        <w:rPr>
          <w:szCs w:val="24"/>
        </w:rPr>
        <w:t xml:space="preserve">In </w:t>
      </w:r>
      <w:r w:rsidRPr="00104C6A">
        <w:rPr>
          <w:i/>
          <w:iCs/>
          <w:szCs w:val="24"/>
        </w:rPr>
        <w:t>In re Suvon, LLC</w:t>
      </w:r>
      <w:r w:rsidRPr="00104C6A">
        <w:rPr>
          <w:szCs w:val="24"/>
        </w:rPr>
        <w:t>, the Ohio Supreme Court held that while the PUCO has discretion to manage its proceedings and regulate its docket, it cannot do so at the expense of a party’s statutory rights of discovery under R.C. 4903.082.</w:t>
      </w:r>
      <w:r>
        <w:rPr>
          <w:rStyle w:val="FootnoteReference"/>
          <w:szCs w:val="24"/>
        </w:rPr>
        <w:footnoteReference w:id="44"/>
      </w:r>
      <w:r w:rsidRPr="00104C6A">
        <w:rPr>
          <w:szCs w:val="24"/>
        </w:rPr>
        <w:t xml:space="preserve"> In that case, the</w:t>
      </w:r>
      <w:r w:rsidRPr="00104C6A" w:rsidR="00C97C43">
        <w:rPr>
          <w:szCs w:val="24"/>
        </w:rPr>
        <w:t xml:space="preserve"> Court held that the</w:t>
      </w:r>
      <w:r w:rsidRPr="00104C6A">
        <w:rPr>
          <w:szCs w:val="24"/>
        </w:rPr>
        <w:t xml:space="preserve"> </w:t>
      </w:r>
      <w:r w:rsidRPr="00104C6A" w:rsidR="00C97C43">
        <w:rPr>
          <w:szCs w:val="24"/>
        </w:rPr>
        <w:t>PUCO erred in</w:t>
      </w:r>
      <w:r w:rsidRPr="00104C6A">
        <w:rPr>
          <w:szCs w:val="24"/>
        </w:rPr>
        <w:t xml:space="preserve"> den</w:t>
      </w:r>
      <w:r w:rsidRPr="00104C6A" w:rsidR="00C97C43">
        <w:rPr>
          <w:szCs w:val="24"/>
        </w:rPr>
        <w:t>ying</w:t>
      </w:r>
      <w:r w:rsidRPr="00104C6A">
        <w:rPr>
          <w:szCs w:val="24"/>
        </w:rPr>
        <w:t xml:space="preserve"> discovery by Northeast Ohio Public Energy Council (“NOPEC”) and OCC</w:t>
      </w:r>
      <w:r w:rsidRPr="00104C6A" w:rsidR="001A4CBB">
        <w:rPr>
          <w:szCs w:val="24"/>
        </w:rPr>
        <w:t xml:space="preserve"> regarding FirstEnergy Advisors’ application for a certificate to </w:t>
      </w:r>
      <w:r w:rsidRPr="00104C6A" w:rsidR="00A13C16">
        <w:rPr>
          <w:szCs w:val="24"/>
        </w:rPr>
        <w:t xml:space="preserve">aggregate and broker electric services. The PUCO had denied automatic approval of </w:t>
      </w:r>
      <w:r w:rsidRPr="00104C6A" w:rsidR="003F47BB">
        <w:rPr>
          <w:szCs w:val="24"/>
        </w:rPr>
        <w:t>FirstEnergy Advisors’</w:t>
      </w:r>
      <w:r w:rsidRPr="00104C6A" w:rsidR="00A13C16">
        <w:rPr>
          <w:szCs w:val="24"/>
        </w:rPr>
        <w:t xml:space="preserve"> certificate</w:t>
      </w:r>
      <w:r w:rsidRPr="00104C6A" w:rsidR="003F47BB">
        <w:rPr>
          <w:szCs w:val="24"/>
        </w:rPr>
        <w:t xml:space="preserve"> application</w:t>
      </w:r>
      <w:r w:rsidRPr="00104C6A" w:rsidR="00A13C16">
        <w:rPr>
          <w:szCs w:val="24"/>
        </w:rPr>
        <w:t xml:space="preserve">, which triggered </w:t>
      </w:r>
      <w:r w:rsidRPr="00104C6A" w:rsidR="0036133E">
        <w:rPr>
          <w:szCs w:val="24"/>
        </w:rPr>
        <w:t>a</w:t>
      </w:r>
      <w:r w:rsidRPr="00104C6A">
        <w:rPr>
          <w:szCs w:val="24"/>
        </w:rPr>
        <w:t xml:space="preserve"> 90</w:t>
      </w:r>
      <w:r w:rsidRPr="00104C6A" w:rsidR="001A4CBB">
        <w:rPr>
          <w:szCs w:val="24"/>
        </w:rPr>
        <w:t>-</w:t>
      </w:r>
      <w:r w:rsidRPr="00104C6A">
        <w:rPr>
          <w:szCs w:val="24"/>
        </w:rPr>
        <w:t xml:space="preserve">day statutory timeframe for the PUCO to approve or deny </w:t>
      </w:r>
      <w:r w:rsidRPr="00104C6A" w:rsidR="003F47BB">
        <w:rPr>
          <w:szCs w:val="24"/>
        </w:rPr>
        <w:t>the</w:t>
      </w:r>
      <w:r w:rsidRPr="00104C6A">
        <w:rPr>
          <w:szCs w:val="24"/>
        </w:rPr>
        <w:t xml:space="preserve"> application.</w:t>
      </w:r>
      <w:r>
        <w:rPr>
          <w:rStyle w:val="FootnoteReference"/>
          <w:szCs w:val="24"/>
        </w:rPr>
        <w:footnoteReference w:id="45"/>
      </w:r>
      <w:r w:rsidRPr="00104C6A">
        <w:rPr>
          <w:szCs w:val="24"/>
        </w:rPr>
        <w:t xml:space="preserve"> </w:t>
      </w:r>
      <w:r w:rsidRPr="00104C6A" w:rsidR="001A4CBB">
        <w:rPr>
          <w:szCs w:val="24"/>
        </w:rPr>
        <w:t xml:space="preserve">The </w:t>
      </w:r>
      <w:r w:rsidRPr="00104C6A" w:rsidR="00A13C16">
        <w:rPr>
          <w:szCs w:val="24"/>
        </w:rPr>
        <w:t xml:space="preserve">Court </w:t>
      </w:r>
      <w:r w:rsidRPr="00104C6A" w:rsidR="001A4CBB">
        <w:rPr>
          <w:szCs w:val="24"/>
        </w:rPr>
        <w:t>held that</w:t>
      </w:r>
      <w:r w:rsidRPr="00104C6A" w:rsidR="0036133E">
        <w:rPr>
          <w:szCs w:val="24"/>
        </w:rPr>
        <w:t xml:space="preserve"> even</w:t>
      </w:r>
      <w:r w:rsidRPr="00104C6A" w:rsidR="001A4CBB">
        <w:rPr>
          <w:szCs w:val="24"/>
        </w:rPr>
        <w:t xml:space="preserve"> </w:t>
      </w:r>
      <w:r w:rsidRPr="00104C6A">
        <w:rPr>
          <w:szCs w:val="24"/>
        </w:rPr>
        <w:t xml:space="preserve">where the PUCO is bound by </w:t>
      </w:r>
      <w:r w:rsidRPr="00104C6A" w:rsidR="00A13C16">
        <w:rPr>
          <w:szCs w:val="24"/>
        </w:rPr>
        <w:t xml:space="preserve">a </w:t>
      </w:r>
      <w:r w:rsidRPr="00104C6A">
        <w:rPr>
          <w:szCs w:val="24"/>
        </w:rPr>
        <w:t xml:space="preserve">statutory timeframe, </w:t>
      </w:r>
      <w:r w:rsidRPr="00104C6A" w:rsidR="00A94AA2">
        <w:rPr>
          <w:szCs w:val="24"/>
        </w:rPr>
        <w:t>the</w:t>
      </w:r>
      <w:r w:rsidRPr="00104C6A">
        <w:rPr>
          <w:szCs w:val="24"/>
        </w:rPr>
        <w:t xml:space="preserve"> PUCO “will need to balance the statutory right to discovery and the constraints imposed by the statutory timeframe” of the proceeding.</w:t>
      </w:r>
      <w:r>
        <w:rPr>
          <w:rStyle w:val="FootnoteReference"/>
          <w:szCs w:val="24"/>
        </w:rPr>
        <w:footnoteReference w:id="46"/>
      </w:r>
      <w:r w:rsidRPr="00104C6A" w:rsidR="003F47BB">
        <w:rPr>
          <w:szCs w:val="24"/>
        </w:rPr>
        <w:t xml:space="preserve"> The PUCO’s Order wholly ignores R.C. 4903.082 and the Court’s decision in </w:t>
      </w:r>
      <w:r w:rsidRPr="00104C6A" w:rsidR="003F47BB">
        <w:rPr>
          <w:i/>
          <w:iCs/>
          <w:szCs w:val="24"/>
        </w:rPr>
        <w:t>In re Suvon</w:t>
      </w:r>
      <w:r w:rsidRPr="00104C6A" w:rsidR="003F47BB">
        <w:rPr>
          <w:szCs w:val="24"/>
        </w:rPr>
        <w:t xml:space="preserve">. </w:t>
      </w:r>
    </w:p>
    <w:p w:rsidR="00BA773C" w:rsidRPr="00104C6A" w:rsidP="00BA773C" w14:paraId="0517B38D" w14:textId="5C36A724">
      <w:pPr>
        <w:spacing w:line="480" w:lineRule="auto"/>
        <w:ind w:firstLine="720"/>
        <w:rPr>
          <w:szCs w:val="24"/>
        </w:rPr>
      </w:pPr>
      <w:r w:rsidRPr="00104C6A">
        <w:rPr>
          <w:szCs w:val="24"/>
        </w:rPr>
        <w:t>In this case, the PUCO</w:t>
      </w:r>
      <w:r w:rsidRPr="00104C6A" w:rsidR="000E6A97">
        <w:rPr>
          <w:szCs w:val="24"/>
        </w:rPr>
        <w:t xml:space="preserve"> </w:t>
      </w:r>
      <w:r w:rsidRPr="00104C6A" w:rsidR="00C97C43">
        <w:rPr>
          <w:szCs w:val="24"/>
        </w:rPr>
        <w:t xml:space="preserve">unlawfully </w:t>
      </w:r>
      <w:r w:rsidRPr="00104C6A" w:rsidR="000E6A97">
        <w:rPr>
          <w:szCs w:val="24"/>
        </w:rPr>
        <w:t>disregarded OCC’s ample rights to discovery</w:t>
      </w:r>
      <w:r w:rsidRPr="00104C6A" w:rsidR="00C97C43">
        <w:rPr>
          <w:szCs w:val="24"/>
        </w:rPr>
        <w:t>, regardless of the 275</w:t>
      </w:r>
      <w:r w:rsidRPr="00104C6A" w:rsidR="001A5083">
        <w:rPr>
          <w:szCs w:val="24"/>
        </w:rPr>
        <w:t>-</w:t>
      </w:r>
      <w:r w:rsidRPr="00104C6A" w:rsidR="00C97C43">
        <w:rPr>
          <w:szCs w:val="24"/>
        </w:rPr>
        <w:t>day statutory timeframe under R.C. 4909.</w:t>
      </w:r>
      <w:r w:rsidRPr="00104C6A" w:rsidR="0088258C">
        <w:rPr>
          <w:szCs w:val="24"/>
        </w:rPr>
        <w:t>42</w:t>
      </w:r>
      <w:r w:rsidRPr="00104C6A" w:rsidR="00C97C43">
        <w:rPr>
          <w:szCs w:val="24"/>
        </w:rPr>
        <w:t xml:space="preserve"> cited in the PUCO’s Order</w:t>
      </w:r>
      <w:r w:rsidRPr="00104C6A" w:rsidR="000E6A97">
        <w:rPr>
          <w:szCs w:val="24"/>
        </w:rPr>
        <w:t xml:space="preserve">. </w:t>
      </w:r>
      <w:r w:rsidRPr="00104C6A" w:rsidR="009817C2">
        <w:rPr>
          <w:szCs w:val="24"/>
        </w:rPr>
        <w:t xml:space="preserve">As the PUCO </w:t>
      </w:r>
      <w:r w:rsidRPr="00104C6A" w:rsidR="00E72E89">
        <w:rPr>
          <w:szCs w:val="24"/>
        </w:rPr>
        <w:t xml:space="preserve">itself notes, its failure to </w:t>
      </w:r>
      <w:r w:rsidRPr="00104C6A" w:rsidR="00B75A50">
        <w:rPr>
          <w:szCs w:val="24"/>
        </w:rPr>
        <w:t>enter an order within 275 days of a rate increase application</w:t>
      </w:r>
      <w:r w:rsidRPr="00104C6A" w:rsidR="00E72E89">
        <w:rPr>
          <w:szCs w:val="24"/>
        </w:rPr>
        <w:t xml:space="preserve"> results in</w:t>
      </w:r>
      <w:r w:rsidRPr="00104C6A" w:rsidR="00B75A50">
        <w:rPr>
          <w:szCs w:val="24"/>
        </w:rPr>
        <w:t xml:space="preserve"> “</w:t>
      </w:r>
      <w:r w:rsidRPr="00104C6A" w:rsidR="00EA75A0">
        <w:rPr>
          <w:color w:val="333333"/>
          <w:szCs w:val="24"/>
          <w:shd w:val="clear" w:color="auto" w:fill="FFFFFF"/>
        </w:rPr>
        <w:t xml:space="preserve">an increase not to exceed the proposed increase </w:t>
      </w:r>
      <w:r w:rsidRPr="00104C6A" w:rsidR="00703881">
        <w:rPr>
          <w:color w:val="333333"/>
          <w:szCs w:val="24"/>
          <w:shd w:val="clear" w:color="auto" w:fill="FFFFFF"/>
        </w:rPr>
        <w:t>[to]</w:t>
      </w:r>
      <w:r w:rsidRPr="00104C6A" w:rsidR="00EA75A0">
        <w:rPr>
          <w:color w:val="333333"/>
          <w:szCs w:val="24"/>
          <w:shd w:val="clear" w:color="auto" w:fill="FFFFFF"/>
        </w:rPr>
        <w:t xml:space="preserve"> go into effect upon the filing of a bond or a letter of credit by the public utility.</w:t>
      </w:r>
      <w:r w:rsidRPr="00104C6A" w:rsidR="00B75A50">
        <w:rPr>
          <w:color w:val="333333"/>
          <w:szCs w:val="24"/>
          <w:shd w:val="clear" w:color="auto" w:fill="FFFFFF"/>
        </w:rPr>
        <w:t>”</w:t>
      </w:r>
      <w:r>
        <w:rPr>
          <w:rStyle w:val="FootnoteReference"/>
          <w:color w:val="333333"/>
          <w:szCs w:val="24"/>
          <w:shd w:val="clear" w:color="auto" w:fill="FFFFFF"/>
        </w:rPr>
        <w:footnoteReference w:id="47"/>
      </w:r>
      <w:r w:rsidRPr="00104C6A" w:rsidR="00E72E89">
        <w:rPr>
          <w:color w:val="333333"/>
          <w:szCs w:val="24"/>
          <w:shd w:val="clear" w:color="auto" w:fill="FFFFFF"/>
        </w:rPr>
        <w:t xml:space="preserve"> That increase is subject to refund.</w:t>
      </w:r>
      <w:r>
        <w:rPr>
          <w:rStyle w:val="FootnoteReference"/>
          <w:color w:val="333333"/>
          <w:szCs w:val="24"/>
          <w:shd w:val="clear" w:color="auto" w:fill="FFFFFF"/>
        </w:rPr>
        <w:footnoteReference w:id="48"/>
      </w:r>
      <w:r w:rsidRPr="00104C6A" w:rsidR="00B75A50">
        <w:rPr>
          <w:color w:val="333333"/>
          <w:szCs w:val="24"/>
          <w:shd w:val="clear" w:color="auto" w:fill="FFFFFF"/>
        </w:rPr>
        <w:t xml:space="preserve"> Th</w:t>
      </w:r>
      <w:r w:rsidRPr="00104C6A" w:rsidR="00703881">
        <w:rPr>
          <w:color w:val="333333"/>
          <w:szCs w:val="24"/>
          <w:shd w:val="clear" w:color="auto" w:fill="FFFFFF"/>
        </w:rPr>
        <w:t>us, th</w:t>
      </w:r>
      <w:r w:rsidRPr="00104C6A" w:rsidR="00E72E89">
        <w:rPr>
          <w:color w:val="333333"/>
          <w:szCs w:val="24"/>
          <w:shd w:val="clear" w:color="auto" w:fill="FFFFFF"/>
        </w:rPr>
        <w:t xml:space="preserve">e timeframe in </w:t>
      </w:r>
      <w:r w:rsidRPr="00104C6A" w:rsidR="00E72E89">
        <w:rPr>
          <w:szCs w:val="24"/>
        </w:rPr>
        <w:t xml:space="preserve">R.C. 4909.42 relied on by the PUCO </w:t>
      </w:r>
      <w:r w:rsidRPr="00104C6A" w:rsidR="00B75A50">
        <w:rPr>
          <w:color w:val="333333"/>
          <w:szCs w:val="24"/>
          <w:shd w:val="clear" w:color="auto" w:fill="FFFFFF"/>
        </w:rPr>
        <w:t>is no justification for restricting OCC’s rights to discovery under R.C. 4903.082.</w:t>
      </w:r>
    </w:p>
    <w:p w:rsidR="000E6A97" w:rsidRPr="00104C6A" w:rsidP="00BA773C" w14:paraId="0497BC1F" w14:textId="12E75EAA">
      <w:pPr>
        <w:spacing w:line="480" w:lineRule="auto"/>
        <w:ind w:firstLine="720"/>
        <w:rPr>
          <w:szCs w:val="24"/>
        </w:rPr>
      </w:pPr>
      <w:r w:rsidRPr="00104C6A">
        <w:rPr>
          <w:szCs w:val="24"/>
        </w:rPr>
        <w:t>Moreover, Settlement negotiations between Duke, the PUCO Staff and other parties did not begin until after the Staff Report was filed and initial discovery ended</w:t>
      </w:r>
      <w:r w:rsidRPr="00104C6A" w:rsidR="00F72511">
        <w:rPr>
          <w:szCs w:val="24"/>
        </w:rPr>
        <w:t xml:space="preserve"> (June 2, 2022)</w:t>
      </w:r>
      <w:r w:rsidRPr="00104C6A">
        <w:rPr>
          <w:szCs w:val="24"/>
        </w:rPr>
        <w:t xml:space="preserve"> under </w:t>
      </w:r>
      <w:r w:rsidRPr="00104C6A" w:rsidR="00094910">
        <w:rPr>
          <w:szCs w:val="24"/>
        </w:rPr>
        <w:t>O.A.C. 4901-1-17(B)</w:t>
      </w:r>
      <w:r w:rsidRPr="00104C6A">
        <w:rPr>
          <w:szCs w:val="24"/>
        </w:rPr>
        <w:t xml:space="preserve">. Therefore, </w:t>
      </w:r>
      <w:r w:rsidRPr="00104C6A" w:rsidR="003F47BB">
        <w:rPr>
          <w:szCs w:val="24"/>
        </w:rPr>
        <w:t>the PUCO’s finding that “OCC has had ample time to conduct discovery and prepare for hearing”</w:t>
      </w:r>
      <w:r>
        <w:rPr>
          <w:rStyle w:val="FootnoteReference"/>
          <w:szCs w:val="24"/>
        </w:rPr>
        <w:footnoteReference w:id="49"/>
      </w:r>
      <w:r w:rsidRPr="00104C6A" w:rsidR="003F47BB">
        <w:rPr>
          <w:szCs w:val="24"/>
        </w:rPr>
        <w:t xml:space="preserve"> is incorrect. </w:t>
      </w:r>
      <w:r w:rsidRPr="00104C6A">
        <w:rPr>
          <w:szCs w:val="24"/>
        </w:rPr>
        <w:t xml:space="preserve">The </w:t>
      </w:r>
      <w:r w:rsidRPr="00104C6A" w:rsidR="003F47BB">
        <w:rPr>
          <w:szCs w:val="24"/>
        </w:rPr>
        <w:t>S</w:t>
      </w:r>
      <w:r w:rsidRPr="00104C6A">
        <w:rPr>
          <w:szCs w:val="24"/>
        </w:rPr>
        <w:t>ettlement</w:t>
      </w:r>
      <w:r w:rsidRPr="00104C6A" w:rsidR="003F47BB">
        <w:rPr>
          <w:szCs w:val="24"/>
        </w:rPr>
        <w:t xml:space="preserve">, </w:t>
      </w:r>
      <w:r w:rsidRPr="00104C6A" w:rsidR="00E72E89">
        <w:rPr>
          <w:szCs w:val="24"/>
        </w:rPr>
        <w:t>not filed until</w:t>
      </w:r>
      <w:r w:rsidRPr="00104C6A" w:rsidR="003F47BB">
        <w:rPr>
          <w:szCs w:val="24"/>
        </w:rPr>
        <w:t xml:space="preserve"> September 19, 2022,</w:t>
      </w:r>
      <w:r w:rsidRPr="00104C6A">
        <w:rPr>
          <w:szCs w:val="24"/>
        </w:rPr>
        <w:t xml:space="preserve"> gave rise to the need for new and additional discovery</w:t>
      </w:r>
      <w:r w:rsidRPr="00104C6A" w:rsidR="005234B0">
        <w:rPr>
          <w:szCs w:val="24"/>
        </w:rPr>
        <w:t xml:space="preserve"> because not all Settlement language was circulated among the parties until </w:t>
      </w:r>
      <w:r w:rsidRPr="00104C6A" w:rsidR="0088258C">
        <w:rPr>
          <w:szCs w:val="24"/>
        </w:rPr>
        <w:t>just</w:t>
      </w:r>
      <w:r w:rsidRPr="00104C6A" w:rsidR="005234B0">
        <w:rPr>
          <w:szCs w:val="24"/>
        </w:rPr>
        <w:t xml:space="preserve"> before the Settlement was filed.</w:t>
      </w:r>
      <w:r w:rsidRPr="00104C6A" w:rsidR="003F47BB">
        <w:rPr>
          <w:szCs w:val="24"/>
        </w:rPr>
        <w:t xml:space="preserve"> </w:t>
      </w:r>
      <w:r w:rsidRPr="00104C6A" w:rsidR="005234B0">
        <w:rPr>
          <w:szCs w:val="24"/>
        </w:rPr>
        <w:t>A</w:t>
      </w:r>
      <w:r w:rsidRPr="00104C6A" w:rsidR="00E72E89">
        <w:rPr>
          <w:szCs w:val="24"/>
        </w:rPr>
        <w:t>nd e</w:t>
      </w:r>
      <w:r w:rsidRPr="00104C6A" w:rsidR="005234B0">
        <w:rPr>
          <w:szCs w:val="24"/>
        </w:rPr>
        <w:t xml:space="preserve">ven with an expedited discovery response time, </w:t>
      </w:r>
      <w:r w:rsidRPr="00104C6A" w:rsidR="00E72E89">
        <w:rPr>
          <w:szCs w:val="24"/>
        </w:rPr>
        <w:t>OCC was forced to</w:t>
      </w:r>
      <w:r w:rsidRPr="00104C6A" w:rsidR="003F47BB">
        <w:rPr>
          <w:szCs w:val="24"/>
        </w:rPr>
        <w:t xml:space="preserve"> complete </w:t>
      </w:r>
      <w:r w:rsidRPr="00104C6A" w:rsidR="005234B0">
        <w:rPr>
          <w:szCs w:val="24"/>
        </w:rPr>
        <w:t xml:space="preserve">its Settlement discovery </w:t>
      </w:r>
      <w:r w:rsidRPr="00104C6A" w:rsidR="003F47BB">
        <w:rPr>
          <w:szCs w:val="24"/>
        </w:rPr>
        <w:t>before September 29, 2022 whe</w:t>
      </w:r>
      <w:r w:rsidRPr="00104C6A" w:rsidR="005234B0">
        <w:rPr>
          <w:szCs w:val="24"/>
        </w:rPr>
        <w:t xml:space="preserve">n the Attorney Examiners required OCC to </w:t>
      </w:r>
      <w:r w:rsidRPr="00104C6A" w:rsidR="003F47BB">
        <w:rPr>
          <w:szCs w:val="24"/>
        </w:rPr>
        <w:t>fil</w:t>
      </w:r>
      <w:r w:rsidRPr="00104C6A" w:rsidR="005234B0">
        <w:rPr>
          <w:szCs w:val="24"/>
        </w:rPr>
        <w:t>e</w:t>
      </w:r>
      <w:r w:rsidRPr="00104C6A" w:rsidR="003F47BB">
        <w:rPr>
          <w:szCs w:val="24"/>
        </w:rPr>
        <w:t xml:space="preserve"> testimony in opposition to the Settlement</w:t>
      </w:r>
      <w:r w:rsidRPr="00104C6A">
        <w:rPr>
          <w:szCs w:val="24"/>
        </w:rPr>
        <w:t>.</w:t>
      </w:r>
    </w:p>
    <w:p w:rsidR="006548DB" w:rsidRPr="00104C6A" w:rsidP="006548DB" w14:paraId="6E90D349" w14:textId="02AC0175">
      <w:pPr>
        <w:spacing w:line="480" w:lineRule="auto"/>
        <w:ind w:firstLine="720"/>
        <w:rPr>
          <w:szCs w:val="24"/>
        </w:rPr>
      </w:pPr>
      <w:r w:rsidRPr="00104C6A">
        <w:rPr>
          <w:szCs w:val="24"/>
        </w:rPr>
        <w:t xml:space="preserve">The PUCO’s Order unreasonably and unlawfully upheld the procedural schedule set by the Attorney Examiners. The PUCO disregarded OCC’s “ample rights” to discovery under R.C. 4903.082 and ignored Ohio Supreme Court precedent in </w:t>
      </w:r>
      <w:r w:rsidRPr="00104C6A">
        <w:rPr>
          <w:i/>
          <w:iCs/>
          <w:szCs w:val="24"/>
        </w:rPr>
        <w:t>In re Suvon</w:t>
      </w:r>
      <w:r w:rsidRPr="00104C6A">
        <w:rPr>
          <w:szCs w:val="24"/>
        </w:rPr>
        <w:t xml:space="preserve">. </w:t>
      </w:r>
      <w:r w:rsidRPr="00104C6A" w:rsidR="00953E73">
        <w:rPr>
          <w:szCs w:val="24"/>
        </w:rPr>
        <w:t>The PUCO should grant rehearing to abrogate or modify its Order.</w:t>
      </w:r>
    </w:p>
    <w:p w:rsidR="00DE6F76" w:rsidRPr="00104C6A" w:rsidP="00DE6F76" w14:paraId="3B56BD99" w14:textId="77777777">
      <w:pPr>
        <w:ind w:firstLine="720"/>
        <w:rPr>
          <w:szCs w:val="24"/>
        </w:rPr>
      </w:pPr>
    </w:p>
    <w:p w:rsidR="001D43FE" w:rsidRPr="00104C6A" w:rsidP="003F7B14" w14:paraId="44A7FB90" w14:textId="6AB26C15">
      <w:pPr>
        <w:pStyle w:val="Heading1"/>
        <w:rPr>
          <w:rFonts w:ascii="Times New Roman" w:hAnsi="Times New Roman"/>
        </w:rPr>
      </w:pPr>
      <w:bookmarkStart w:id="31" w:name="_Toc260397374"/>
      <w:bookmarkStart w:id="32" w:name="_Toc273102593"/>
      <w:bookmarkStart w:id="33" w:name="_Toc332365679"/>
      <w:bookmarkStart w:id="34" w:name="_Toc374366183"/>
      <w:bookmarkStart w:id="35" w:name="_Toc374707440"/>
      <w:bookmarkStart w:id="36" w:name="_Toc374707593"/>
      <w:bookmarkStart w:id="37" w:name="_Toc123045810"/>
      <w:bookmarkStart w:id="38" w:name="_Toc124235577"/>
      <w:bookmarkStart w:id="39" w:name="_Toc124425007"/>
      <w:bookmarkEnd w:id="22"/>
      <w:bookmarkEnd w:id="23"/>
      <w:bookmarkEnd w:id="25"/>
      <w:bookmarkEnd w:id="26"/>
      <w:r w:rsidRPr="00104C6A">
        <w:rPr>
          <w:rFonts w:ascii="Times New Roman" w:hAnsi="Times New Roman"/>
        </w:rPr>
        <w:t>III.</w:t>
      </w:r>
      <w:r w:rsidRPr="00104C6A">
        <w:rPr>
          <w:rFonts w:ascii="Times New Roman" w:hAnsi="Times New Roman"/>
        </w:rPr>
        <w:tab/>
        <w:t>CONCLUSION</w:t>
      </w:r>
      <w:bookmarkEnd w:id="31"/>
      <w:bookmarkEnd w:id="32"/>
      <w:bookmarkEnd w:id="33"/>
      <w:bookmarkEnd w:id="34"/>
      <w:bookmarkEnd w:id="35"/>
      <w:bookmarkEnd w:id="36"/>
      <w:bookmarkEnd w:id="37"/>
      <w:bookmarkEnd w:id="38"/>
      <w:bookmarkEnd w:id="39"/>
    </w:p>
    <w:p w:rsidR="00714610" w:rsidRPr="00104C6A" w:rsidP="008D6ED9" w14:paraId="6ECB3D47" w14:textId="53904303">
      <w:pPr>
        <w:tabs>
          <w:tab w:val="left" w:pos="-720"/>
        </w:tabs>
        <w:suppressAutoHyphens/>
        <w:spacing w:line="480" w:lineRule="auto"/>
        <w:rPr>
          <w:szCs w:val="24"/>
        </w:rPr>
      </w:pPr>
      <w:r w:rsidRPr="00104C6A">
        <w:rPr>
          <w:szCs w:val="24"/>
        </w:rPr>
        <w:tab/>
      </w:r>
      <w:r w:rsidRPr="00104C6A" w:rsidR="008B30FB">
        <w:rPr>
          <w:szCs w:val="24"/>
        </w:rPr>
        <w:t>The Settlement approved by the PUCO was not the product of serious bargaining and it discriminates against non-Cincinnati consumers in Duke’s service territory. The Settlement fails the PUCO’s three-part test for evaluating settlements. In addition, the PUCO violated Ohio law (R.C. 4903.082) and Ohio Supreme Court precedent by upholding a procedural schedule that denied OCC’s “ample rights” to discovery. Accordingly, the PUCO</w:t>
      </w:r>
      <w:r w:rsidRPr="00104C6A">
        <w:rPr>
          <w:szCs w:val="24"/>
        </w:rPr>
        <w:t xml:space="preserve"> should grant rehearing in this case</w:t>
      </w:r>
      <w:r w:rsidRPr="00104C6A" w:rsidR="008B30FB">
        <w:rPr>
          <w:szCs w:val="24"/>
        </w:rPr>
        <w:t xml:space="preserve"> and abrogate or modify the Order approving the Settlement</w:t>
      </w:r>
      <w:r w:rsidRPr="00104C6A">
        <w:rPr>
          <w:szCs w:val="24"/>
        </w:rPr>
        <w:t>.</w:t>
      </w:r>
      <w:r w:rsidRPr="00104C6A">
        <w:rPr>
          <w:szCs w:val="24"/>
        </w:rPr>
        <w:br w:type="page"/>
      </w:r>
    </w:p>
    <w:p w:rsidR="00714610" w:rsidRPr="00104C6A" w:rsidP="00714610" w14:paraId="523C6DBE" w14:textId="77777777">
      <w:pPr>
        <w:tabs>
          <w:tab w:val="left" w:pos="8730"/>
        </w:tabs>
        <w:ind w:left="4320"/>
        <w:rPr>
          <w:szCs w:val="24"/>
        </w:rPr>
      </w:pPr>
      <w:r w:rsidRPr="00104C6A">
        <w:rPr>
          <w:szCs w:val="24"/>
        </w:rPr>
        <w:t>Respectfully submitted,</w:t>
      </w:r>
    </w:p>
    <w:p w:rsidR="00714610" w:rsidRPr="00104C6A" w:rsidP="00714610" w14:paraId="734AEEDB" w14:textId="77777777">
      <w:pPr>
        <w:tabs>
          <w:tab w:val="left" w:pos="8730"/>
        </w:tabs>
        <w:ind w:left="4320"/>
        <w:rPr>
          <w:szCs w:val="24"/>
        </w:rPr>
      </w:pPr>
    </w:p>
    <w:p w:rsidR="00714610" w:rsidRPr="00104C6A" w:rsidP="00714610" w14:paraId="1CBA49C9" w14:textId="77777777">
      <w:pPr>
        <w:tabs>
          <w:tab w:val="left" w:pos="8730"/>
        </w:tabs>
        <w:ind w:left="4320"/>
        <w:rPr>
          <w:szCs w:val="24"/>
        </w:rPr>
      </w:pPr>
      <w:r w:rsidRPr="00104C6A">
        <w:rPr>
          <w:szCs w:val="24"/>
        </w:rPr>
        <w:t xml:space="preserve">Bruce Weston (0016973) </w:t>
      </w:r>
    </w:p>
    <w:p w:rsidR="00714610" w:rsidRPr="00104C6A" w:rsidP="00714610" w14:paraId="31AD722C" w14:textId="77777777">
      <w:pPr>
        <w:tabs>
          <w:tab w:val="left" w:pos="8730"/>
        </w:tabs>
        <w:ind w:left="4320"/>
        <w:rPr>
          <w:szCs w:val="24"/>
        </w:rPr>
      </w:pPr>
      <w:r w:rsidRPr="00104C6A">
        <w:rPr>
          <w:szCs w:val="24"/>
        </w:rPr>
        <w:t>Ohio Consumers’ Counsel</w:t>
      </w:r>
    </w:p>
    <w:p w:rsidR="00714610" w:rsidRPr="00104C6A" w:rsidP="00714610" w14:paraId="6601C6C4" w14:textId="77777777">
      <w:pPr>
        <w:tabs>
          <w:tab w:val="left" w:pos="8730"/>
        </w:tabs>
        <w:ind w:left="4320"/>
        <w:rPr>
          <w:szCs w:val="24"/>
        </w:rPr>
      </w:pPr>
    </w:p>
    <w:p w:rsidR="00714610" w:rsidRPr="00104C6A" w:rsidP="00714610" w14:paraId="6D3343AA" w14:textId="77777777">
      <w:pPr>
        <w:tabs>
          <w:tab w:val="left" w:pos="8730"/>
        </w:tabs>
        <w:ind w:left="4320"/>
        <w:rPr>
          <w:szCs w:val="24"/>
        </w:rPr>
      </w:pPr>
      <w:r w:rsidRPr="00104C6A">
        <w:rPr>
          <w:i/>
          <w:szCs w:val="24"/>
          <w:u w:val="single"/>
        </w:rPr>
        <w:t>/s/ Angela D. O’Brien</w:t>
      </w:r>
      <w:r w:rsidRPr="00104C6A">
        <w:rPr>
          <w:i/>
          <w:szCs w:val="24"/>
        </w:rPr>
        <w:br/>
      </w:r>
      <w:r w:rsidRPr="00104C6A">
        <w:rPr>
          <w:szCs w:val="24"/>
        </w:rPr>
        <w:t xml:space="preserve">Angela D. O’Brien (0097579) </w:t>
      </w:r>
      <w:r w:rsidRPr="00104C6A">
        <w:rPr>
          <w:szCs w:val="24"/>
        </w:rPr>
        <w:br/>
        <w:t>Counsel of Record</w:t>
      </w:r>
    </w:p>
    <w:p w:rsidR="00714610" w:rsidRPr="00104C6A" w:rsidP="00714610" w14:paraId="62B7B143" w14:textId="77777777">
      <w:pPr>
        <w:tabs>
          <w:tab w:val="left" w:pos="8730"/>
        </w:tabs>
        <w:ind w:left="4320"/>
        <w:rPr>
          <w:szCs w:val="24"/>
        </w:rPr>
      </w:pPr>
      <w:r w:rsidRPr="00104C6A">
        <w:rPr>
          <w:szCs w:val="24"/>
        </w:rPr>
        <w:t>Ambrosia E. Wilson (0096598)</w:t>
      </w:r>
    </w:p>
    <w:p w:rsidR="00714610" w:rsidRPr="00104C6A" w:rsidP="00714610" w14:paraId="3C1855BF" w14:textId="77777777">
      <w:pPr>
        <w:tabs>
          <w:tab w:val="left" w:pos="8730"/>
        </w:tabs>
        <w:ind w:left="4320"/>
        <w:rPr>
          <w:szCs w:val="24"/>
        </w:rPr>
      </w:pPr>
      <w:r w:rsidRPr="00104C6A">
        <w:rPr>
          <w:szCs w:val="24"/>
        </w:rPr>
        <w:t>John Finnigan (0018689)</w:t>
      </w:r>
    </w:p>
    <w:p w:rsidR="00714610" w:rsidRPr="00104C6A" w:rsidP="00714610" w14:paraId="0C9E4446" w14:textId="77777777">
      <w:pPr>
        <w:tabs>
          <w:tab w:val="left" w:pos="8730"/>
        </w:tabs>
        <w:ind w:left="4320"/>
        <w:rPr>
          <w:szCs w:val="24"/>
        </w:rPr>
      </w:pPr>
      <w:r w:rsidRPr="00104C6A">
        <w:rPr>
          <w:szCs w:val="24"/>
        </w:rPr>
        <w:t>Connor D. Semple (0101102)</w:t>
      </w:r>
      <w:r w:rsidRPr="00104C6A">
        <w:rPr>
          <w:szCs w:val="24"/>
        </w:rPr>
        <w:br/>
        <w:t>Assistant Consumers’ Counsel</w:t>
      </w:r>
    </w:p>
    <w:p w:rsidR="00714610" w:rsidRPr="00104C6A" w:rsidP="00714610" w14:paraId="2EADFAA3" w14:textId="77777777">
      <w:pPr>
        <w:tabs>
          <w:tab w:val="left" w:pos="8730"/>
        </w:tabs>
        <w:ind w:left="4320"/>
        <w:rPr>
          <w:szCs w:val="24"/>
        </w:rPr>
      </w:pPr>
    </w:p>
    <w:p w:rsidR="00714610" w:rsidRPr="00104C6A" w:rsidP="00714610" w14:paraId="63750472" w14:textId="77777777">
      <w:pPr>
        <w:tabs>
          <w:tab w:val="left" w:pos="8730"/>
        </w:tabs>
        <w:ind w:left="4320"/>
        <w:rPr>
          <w:b/>
          <w:bCs/>
          <w:szCs w:val="24"/>
        </w:rPr>
      </w:pPr>
      <w:r w:rsidRPr="00104C6A">
        <w:rPr>
          <w:b/>
          <w:bCs/>
          <w:szCs w:val="24"/>
        </w:rPr>
        <w:t>Office of the Ohio Consumers' Counsel</w:t>
      </w:r>
    </w:p>
    <w:p w:rsidR="00714610" w:rsidRPr="00104C6A" w:rsidP="00714610" w14:paraId="1B388353" w14:textId="77777777">
      <w:pPr>
        <w:tabs>
          <w:tab w:val="left" w:pos="8730"/>
        </w:tabs>
        <w:ind w:left="4320"/>
        <w:rPr>
          <w:szCs w:val="24"/>
        </w:rPr>
      </w:pPr>
      <w:r w:rsidRPr="00104C6A">
        <w:rPr>
          <w:szCs w:val="24"/>
        </w:rPr>
        <w:t>65 East State Street, Suite 700</w:t>
      </w:r>
    </w:p>
    <w:p w:rsidR="00714610" w:rsidRPr="00104C6A" w:rsidP="00714610" w14:paraId="6212CEEF" w14:textId="77777777">
      <w:pPr>
        <w:tabs>
          <w:tab w:val="left" w:pos="8730"/>
        </w:tabs>
        <w:ind w:left="4320"/>
        <w:rPr>
          <w:szCs w:val="24"/>
        </w:rPr>
      </w:pPr>
      <w:r w:rsidRPr="00104C6A">
        <w:rPr>
          <w:szCs w:val="24"/>
        </w:rPr>
        <w:t>Columbus, Ohio 43215</w:t>
      </w:r>
    </w:p>
    <w:p w:rsidR="00714610" w:rsidRPr="00104C6A" w:rsidP="00714610" w14:paraId="0699811E" w14:textId="77777777">
      <w:pPr>
        <w:tabs>
          <w:tab w:val="left" w:pos="8730"/>
        </w:tabs>
        <w:ind w:left="4320"/>
        <w:rPr>
          <w:szCs w:val="24"/>
        </w:rPr>
      </w:pPr>
      <w:r w:rsidRPr="00104C6A">
        <w:rPr>
          <w:szCs w:val="24"/>
        </w:rPr>
        <w:t>Telephone: [O’Brien]: (614) 466-9531</w:t>
      </w:r>
    </w:p>
    <w:p w:rsidR="00714610" w:rsidRPr="00104C6A" w:rsidP="00714610" w14:paraId="49FB0AA7" w14:textId="77777777">
      <w:pPr>
        <w:tabs>
          <w:tab w:val="left" w:pos="8730"/>
        </w:tabs>
        <w:ind w:left="4320"/>
        <w:rPr>
          <w:szCs w:val="24"/>
        </w:rPr>
      </w:pPr>
      <w:r w:rsidRPr="00104C6A">
        <w:rPr>
          <w:szCs w:val="24"/>
        </w:rPr>
        <w:t>Telephone: [Wilson]: (614) 466-1292</w:t>
      </w:r>
    </w:p>
    <w:p w:rsidR="00714610" w:rsidRPr="00104C6A" w:rsidP="00714610" w14:paraId="3ED48FB2" w14:textId="77777777">
      <w:pPr>
        <w:tabs>
          <w:tab w:val="left" w:pos="8730"/>
        </w:tabs>
        <w:ind w:left="4320"/>
        <w:rPr>
          <w:szCs w:val="24"/>
        </w:rPr>
      </w:pPr>
      <w:r w:rsidRPr="00104C6A">
        <w:rPr>
          <w:szCs w:val="24"/>
        </w:rPr>
        <w:t>Telephone [Finnigan]: (614) 466-9585</w:t>
      </w:r>
    </w:p>
    <w:p w:rsidR="00714610" w:rsidRPr="00104C6A" w:rsidP="00714610" w14:paraId="7B997022" w14:textId="77777777">
      <w:pPr>
        <w:tabs>
          <w:tab w:val="left" w:pos="8730"/>
        </w:tabs>
        <w:ind w:left="4320"/>
        <w:rPr>
          <w:szCs w:val="24"/>
        </w:rPr>
      </w:pPr>
      <w:r w:rsidRPr="00104C6A">
        <w:rPr>
          <w:szCs w:val="24"/>
        </w:rPr>
        <w:t>Telephone [Semple]: (614) 466-9565</w:t>
      </w:r>
    </w:p>
    <w:p w:rsidR="00714610" w:rsidRPr="00104C6A" w:rsidP="00714610" w14:paraId="486FCBB3" w14:textId="1AC24340">
      <w:pPr>
        <w:tabs>
          <w:tab w:val="left" w:pos="8730"/>
        </w:tabs>
        <w:ind w:left="4320"/>
        <w:rPr>
          <w:color w:val="0000FF"/>
          <w:szCs w:val="24"/>
        </w:rPr>
      </w:pPr>
      <w:hyperlink r:id="rId6" w:history="1">
        <w:r w:rsidRPr="00104C6A" w:rsidR="008C78AB">
          <w:rPr>
            <w:rStyle w:val="Hyperlink"/>
            <w:szCs w:val="24"/>
          </w:rPr>
          <w:t>angela.obrien@occ.ohio.gov</w:t>
        </w:r>
      </w:hyperlink>
      <w:r w:rsidRPr="00104C6A" w:rsidR="008C78AB">
        <w:rPr>
          <w:color w:val="0000FF"/>
          <w:szCs w:val="24"/>
        </w:rPr>
        <w:t xml:space="preserve"> </w:t>
      </w:r>
    </w:p>
    <w:p w:rsidR="00714610" w:rsidRPr="00104C6A" w:rsidP="00714610" w14:paraId="03E67BE8" w14:textId="77777777">
      <w:pPr>
        <w:tabs>
          <w:tab w:val="left" w:pos="8730"/>
        </w:tabs>
        <w:ind w:left="4320"/>
        <w:rPr>
          <w:color w:val="0000FF"/>
          <w:szCs w:val="24"/>
        </w:rPr>
      </w:pPr>
      <w:r w:rsidRPr="00104C6A">
        <w:rPr>
          <w:rStyle w:val="Hyperlink"/>
          <w:szCs w:val="24"/>
        </w:rPr>
        <w:t>ambrosia.wilson@occ.ohio.gov</w:t>
      </w:r>
    </w:p>
    <w:p w:rsidR="00714610" w:rsidRPr="00104C6A" w:rsidP="00714610" w14:paraId="3C2C19A5" w14:textId="77777777">
      <w:pPr>
        <w:tabs>
          <w:tab w:val="left" w:pos="8730"/>
        </w:tabs>
        <w:ind w:left="4320"/>
        <w:rPr>
          <w:color w:val="0000FF"/>
          <w:szCs w:val="24"/>
          <w:u w:val="single"/>
        </w:rPr>
      </w:pPr>
      <w:r w:rsidRPr="00104C6A">
        <w:rPr>
          <w:rStyle w:val="Hyperlink"/>
          <w:szCs w:val="24"/>
        </w:rPr>
        <w:t>john.finnigan@occ.ohio.gov</w:t>
      </w:r>
    </w:p>
    <w:p w:rsidR="00714610" w:rsidRPr="00104C6A" w:rsidP="00714610" w14:paraId="02E0A8C9" w14:textId="47937582">
      <w:pPr>
        <w:tabs>
          <w:tab w:val="left" w:pos="8730"/>
        </w:tabs>
        <w:ind w:left="4320"/>
        <w:rPr>
          <w:rStyle w:val="Hyperlink"/>
          <w:szCs w:val="24"/>
        </w:rPr>
      </w:pPr>
      <w:hyperlink r:id="rId7" w:history="1">
        <w:r w:rsidRPr="00104C6A" w:rsidR="008C78AB">
          <w:rPr>
            <w:rStyle w:val="Hyperlink"/>
            <w:szCs w:val="24"/>
          </w:rPr>
          <w:t>connor.semple@occ.ohio.gov</w:t>
        </w:r>
      </w:hyperlink>
    </w:p>
    <w:p w:rsidR="00714610" w:rsidRPr="00104C6A" w:rsidP="00714610" w14:paraId="7FB7D253" w14:textId="77777777">
      <w:pPr>
        <w:tabs>
          <w:tab w:val="left" w:pos="8730"/>
        </w:tabs>
        <w:ind w:left="4320"/>
        <w:rPr>
          <w:color w:val="0000FF"/>
          <w:szCs w:val="24"/>
        </w:rPr>
      </w:pPr>
      <w:r w:rsidRPr="00104C6A">
        <w:rPr>
          <w:szCs w:val="24"/>
        </w:rPr>
        <w:t>(willing to accept service by e-mail)</w:t>
      </w:r>
    </w:p>
    <w:p w:rsidR="006C6E16" w:rsidRPr="00104C6A" w:rsidP="00714610" w14:paraId="25BC1DB5" w14:textId="77777777">
      <w:pPr>
        <w:pStyle w:val="BodyTextIndent3"/>
        <w:widowControl w:val="0"/>
        <w:spacing w:line="240" w:lineRule="auto"/>
        <w:ind w:left="3600" w:right="-672"/>
        <w:rPr>
          <w:szCs w:val="24"/>
        </w:rPr>
      </w:pPr>
    </w:p>
    <w:p w:rsidR="006C6E16" w:rsidRPr="00104C6A" w:rsidP="006C6E16" w14:paraId="05FAB6BF" w14:textId="77777777">
      <w:pPr>
        <w:jc w:val="center"/>
        <w:rPr>
          <w:b/>
          <w:iCs/>
          <w:szCs w:val="24"/>
        </w:rPr>
      </w:pPr>
    </w:p>
    <w:p w:rsidR="006C6E16" w:rsidRPr="00104C6A" w14:paraId="7E416ADD" w14:textId="77777777">
      <w:pPr>
        <w:jc w:val="center"/>
        <w:rPr>
          <w:b/>
          <w:bCs/>
          <w:szCs w:val="24"/>
          <w:u w:val="single"/>
        </w:rPr>
      </w:pPr>
    </w:p>
    <w:p w:rsidR="006C6E16" w:rsidRPr="00104C6A" w14:paraId="2EADAA4E" w14:textId="77777777">
      <w:pPr>
        <w:jc w:val="center"/>
        <w:rPr>
          <w:b/>
          <w:bCs/>
          <w:szCs w:val="24"/>
          <w:u w:val="single"/>
        </w:rPr>
      </w:pPr>
    </w:p>
    <w:p w:rsidR="006C6E16" w:rsidRPr="00104C6A" w14:paraId="576B3C4A" w14:textId="77777777">
      <w:pPr>
        <w:jc w:val="center"/>
        <w:rPr>
          <w:b/>
          <w:bCs/>
          <w:szCs w:val="24"/>
          <w:u w:val="single"/>
        </w:rPr>
      </w:pPr>
    </w:p>
    <w:p w:rsidR="006C6E16" w:rsidRPr="00104C6A" w14:paraId="47F4C770" w14:textId="77777777">
      <w:pPr>
        <w:jc w:val="center"/>
        <w:rPr>
          <w:b/>
          <w:bCs/>
          <w:szCs w:val="24"/>
          <w:u w:val="single"/>
        </w:rPr>
      </w:pPr>
    </w:p>
    <w:p w:rsidR="006C6E16" w:rsidRPr="00104C6A" w14:paraId="1493E463" w14:textId="77777777">
      <w:pPr>
        <w:jc w:val="center"/>
        <w:rPr>
          <w:b/>
          <w:bCs/>
          <w:szCs w:val="24"/>
          <w:u w:val="single"/>
        </w:rPr>
      </w:pPr>
    </w:p>
    <w:p w:rsidR="001D43FE" w:rsidRPr="00104C6A" w14:paraId="08AD757F" w14:textId="77777777">
      <w:pPr>
        <w:jc w:val="center"/>
        <w:rPr>
          <w:b/>
          <w:bCs/>
          <w:szCs w:val="24"/>
          <w:u w:val="single"/>
        </w:rPr>
      </w:pPr>
      <w:r w:rsidRPr="00104C6A">
        <w:rPr>
          <w:b/>
          <w:bCs/>
          <w:szCs w:val="24"/>
          <w:u w:val="single"/>
        </w:rPr>
        <w:br w:type="page"/>
        <w:t>CERTIFICATE OF SERVICE</w:t>
      </w:r>
    </w:p>
    <w:p w:rsidR="001D43FE" w:rsidRPr="00104C6A" w14:paraId="01814037" w14:textId="4E682CC0">
      <w:pPr>
        <w:spacing w:line="480" w:lineRule="atLeast"/>
        <w:rPr>
          <w:szCs w:val="24"/>
        </w:rPr>
      </w:pPr>
      <w:r w:rsidRPr="00104C6A">
        <w:rPr>
          <w:szCs w:val="24"/>
        </w:rPr>
        <w:tab/>
        <w:t xml:space="preserve">I hereby certify that a copy of this Application for Rehearing was served on the persons stated below, </w:t>
      </w:r>
      <w:r w:rsidRPr="00104C6A" w:rsidR="00714610">
        <w:rPr>
          <w:szCs w:val="24"/>
        </w:rPr>
        <w:t xml:space="preserve">via </w:t>
      </w:r>
      <w:r w:rsidRPr="00104C6A">
        <w:rPr>
          <w:szCs w:val="24"/>
        </w:rPr>
        <w:t>electronic</w:t>
      </w:r>
      <w:r w:rsidRPr="00104C6A" w:rsidR="00714610">
        <w:rPr>
          <w:szCs w:val="24"/>
        </w:rPr>
        <w:t xml:space="preserve"> transmission,</w:t>
      </w:r>
      <w:r w:rsidRPr="00104C6A">
        <w:rPr>
          <w:szCs w:val="24"/>
        </w:rPr>
        <w:t xml:space="preserve"> this </w:t>
      </w:r>
      <w:r w:rsidRPr="00104C6A" w:rsidR="00A424EF">
        <w:rPr>
          <w:szCs w:val="24"/>
        </w:rPr>
        <w:t>13</w:t>
      </w:r>
      <w:r w:rsidRPr="00104C6A">
        <w:rPr>
          <w:szCs w:val="24"/>
          <w:vertAlign w:val="superscript"/>
        </w:rPr>
        <w:t>th</w:t>
      </w:r>
      <w:r w:rsidRPr="00104C6A">
        <w:rPr>
          <w:szCs w:val="24"/>
        </w:rPr>
        <w:t xml:space="preserve"> day of </w:t>
      </w:r>
      <w:r w:rsidRPr="00104C6A" w:rsidR="00714610">
        <w:rPr>
          <w:szCs w:val="24"/>
        </w:rPr>
        <w:t>January</w:t>
      </w:r>
      <w:r w:rsidRPr="00104C6A">
        <w:rPr>
          <w:szCs w:val="24"/>
        </w:rPr>
        <w:t xml:space="preserve"> 20</w:t>
      </w:r>
      <w:r w:rsidRPr="00104C6A" w:rsidR="00714610">
        <w:rPr>
          <w:szCs w:val="24"/>
        </w:rPr>
        <w:t>23</w:t>
      </w:r>
      <w:r w:rsidRPr="00104C6A">
        <w:rPr>
          <w:szCs w:val="24"/>
        </w:rPr>
        <w:t>.</w:t>
      </w:r>
    </w:p>
    <w:p w:rsidR="001D43FE" w:rsidRPr="00104C6A" w14:paraId="56891E80" w14:textId="77777777">
      <w:pPr>
        <w:tabs>
          <w:tab w:val="left" w:pos="4320"/>
        </w:tabs>
        <w:rPr>
          <w:szCs w:val="24"/>
        </w:rPr>
      </w:pPr>
    </w:p>
    <w:p w:rsidR="00714610" w:rsidRPr="00104C6A" w:rsidP="00714610" w14:paraId="37A32401" w14:textId="77777777">
      <w:pPr>
        <w:tabs>
          <w:tab w:val="left" w:pos="4320"/>
        </w:tabs>
        <w:rPr>
          <w:i/>
          <w:iCs/>
          <w:szCs w:val="24"/>
          <w:u w:val="single"/>
        </w:rPr>
      </w:pPr>
      <w:r w:rsidRPr="00104C6A">
        <w:rPr>
          <w:szCs w:val="24"/>
        </w:rPr>
        <w:tab/>
      </w:r>
      <w:r w:rsidRPr="00104C6A">
        <w:rPr>
          <w:i/>
          <w:iCs/>
          <w:szCs w:val="24"/>
          <w:u w:val="single"/>
        </w:rPr>
        <w:t>/s/ Angela D. O’Brien</w:t>
      </w:r>
      <w:r w:rsidRPr="00104C6A">
        <w:rPr>
          <w:i/>
          <w:iCs/>
          <w:szCs w:val="24"/>
          <w:u w:val="single"/>
        </w:rPr>
        <w:tab/>
      </w:r>
    </w:p>
    <w:p w:rsidR="00714610" w:rsidRPr="00104C6A" w:rsidP="00714610" w14:paraId="08A90C90" w14:textId="77777777">
      <w:pPr>
        <w:tabs>
          <w:tab w:val="left" w:pos="4320"/>
        </w:tabs>
        <w:rPr>
          <w:szCs w:val="24"/>
        </w:rPr>
      </w:pPr>
      <w:r w:rsidRPr="00104C6A">
        <w:rPr>
          <w:szCs w:val="24"/>
        </w:rPr>
        <w:tab/>
        <w:t>Angela D. O’Brien</w:t>
      </w:r>
    </w:p>
    <w:p w:rsidR="00714610" w:rsidRPr="00104C6A" w:rsidP="00714610" w14:paraId="5853ADC1" w14:textId="77777777">
      <w:pPr>
        <w:tabs>
          <w:tab w:val="left" w:pos="4320"/>
        </w:tabs>
        <w:rPr>
          <w:szCs w:val="24"/>
        </w:rPr>
      </w:pPr>
      <w:r w:rsidRPr="00104C6A">
        <w:rPr>
          <w:szCs w:val="24"/>
        </w:rPr>
        <w:tab/>
        <w:t>Assistant Consumers’ Counsel</w:t>
      </w:r>
    </w:p>
    <w:p w:rsidR="001D43FE" w:rsidRPr="00104C6A" w:rsidP="00714610" w14:paraId="357C3322" w14:textId="709B7956">
      <w:pPr>
        <w:tabs>
          <w:tab w:val="left" w:pos="4320"/>
        </w:tabs>
        <w:rPr>
          <w:b/>
          <w:szCs w:val="24"/>
          <w:u w:val="single"/>
        </w:rPr>
      </w:pPr>
    </w:p>
    <w:p w:rsidR="00714610" w:rsidRPr="00104C6A" w:rsidP="00714610" w14:paraId="453C781F" w14:textId="77777777">
      <w:pPr>
        <w:pStyle w:val="CommentText"/>
      </w:pPr>
      <w:r w:rsidRPr="00104C6A">
        <w:t>The PUCO’s e-filing system will electronically serve notice of the filing of this document on the following parties:</w:t>
      </w:r>
    </w:p>
    <w:p w:rsidR="00714610" w:rsidRPr="00104C6A" w:rsidP="00714610" w14:paraId="178ADC91" w14:textId="77777777">
      <w:pPr>
        <w:tabs>
          <w:tab w:val="left" w:pos="4320"/>
        </w:tabs>
        <w:rPr>
          <w:b/>
          <w:szCs w:val="24"/>
          <w:u w:val="single"/>
        </w:rPr>
      </w:pPr>
    </w:p>
    <w:p w:rsidR="001D43FE" w:rsidRPr="00104C6A" w14:paraId="78C27A03" w14:textId="77777777">
      <w:pPr>
        <w:pStyle w:val="CommentText"/>
        <w:jc w:val="center"/>
        <w:rPr>
          <w:b/>
          <w:u w:val="single"/>
        </w:rPr>
      </w:pPr>
      <w:r w:rsidRPr="00104C6A">
        <w:rPr>
          <w:b/>
          <w:u w:val="single"/>
        </w:rPr>
        <w:t>SERVICE LIST</w:t>
      </w:r>
    </w:p>
    <w:p w:rsidR="001D43FE" w:rsidRPr="00104C6A" w14:paraId="57CFBD0D" w14:textId="77777777">
      <w:pPr>
        <w:pStyle w:val="BodyText"/>
        <w:rPr>
          <w:b/>
          <w:bCs/>
          <w:szCs w:val="24"/>
        </w:rPr>
      </w:pPr>
    </w:p>
    <w:tbl>
      <w:tblPr>
        <w:tblW w:w="0" w:type="auto"/>
        <w:tblCellMar>
          <w:left w:w="0" w:type="dxa"/>
          <w:right w:w="0" w:type="dxa"/>
        </w:tblCellMar>
        <w:tblLook w:val="04A0"/>
      </w:tblPr>
      <w:tblGrid>
        <w:gridCol w:w="4251"/>
        <w:gridCol w:w="4389"/>
      </w:tblGrid>
      <w:tr w14:paraId="36E2710F" w14:textId="77777777" w:rsidTr="00933C1E">
        <w:tblPrEx>
          <w:tblW w:w="0" w:type="auto"/>
          <w:tblCellMar>
            <w:left w:w="0" w:type="dxa"/>
            <w:right w:w="0" w:type="dxa"/>
          </w:tblCellMar>
          <w:tblLook w:val="04A0"/>
        </w:tblPrEx>
        <w:tc>
          <w:tcPr>
            <w:tcW w:w="4428" w:type="dxa"/>
            <w:tcMar>
              <w:top w:w="0" w:type="dxa"/>
              <w:left w:w="108" w:type="dxa"/>
              <w:bottom w:w="0" w:type="dxa"/>
              <w:right w:w="108" w:type="dxa"/>
            </w:tcMar>
          </w:tcPr>
          <w:p w:rsidR="00A41976" w:rsidRPr="00104C6A" w:rsidP="00933C1E" w14:paraId="02D0ABEE" w14:textId="7DB86E9B">
            <w:pPr>
              <w:autoSpaceDE w:val="0"/>
              <w:autoSpaceDN w:val="0"/>
              <w:snapToGrid w:val="0"/>
              <w:jc w:val="both"/>
              <w:rPr>
                <w:rFonts w:eastAsia="Calibri"/>
                <w:color w:val="0000FF"/>
                <w:szCs w:val="24"/>
                <w:u w:val="single"/>
              </w:rPr>
            </w:pPr>
            <w:hyperlink r:id="rId21" w:history="1">
              <w:r w:rsidRPr="00104C6A" w:rsidR="008C78AB">
                <w:rPr>
                  <w:rFonts w:eastAsia="Calibri"/>
                  <w:color w:val="0000FF"/>
                  <w:szCs w:val="24"/>
                  <w:u w:val="single"/>
                </w:rPr>
                <w:t>robert.eubanks@ohioAGO.gov</w:t>
              </w:r>
            </w:hyperlink>
          </w:p>
          <w:p w:rsidR="00A41976" w:rsidRPr="00104C6A" w:rsidP="00933C1E" w14:paraId="1A607333" w14:textId="176B1301">
            <w:pPr>
              <w:autoSpaceDE w:val="0"/>
              <w:autoSpaceDN w:val="0"/>
              <w:snapToGrid w:val="0"/>
              <w:jc w:val="both"/>
              <w:rPr>
                <w:rFonts w:eastAsia="Calibri"/>
                <w:szCs w:val="24"/>
              </w:rPr>
            </w:pPr>
            <w:hyperlink r:id="rId22" w:history="1">
              <w:r w:rsidRPr="00104C6A" w:rsidR="008C78AB">
                <w:rPr>
                  <w:rFonts w:eastAsia="Calibri"/>
                  <w:color w:val="0000FF"/>
                  <w:szCs w:val="24"/>
                  <w:u w:val="single"/>
                </w:rPr>
                <w:t>shaun.lyons@ohioAGO.gov</w:t>
              </w:r>
            </w:hyperlink>
          </w:p>
          <w:p w:rsidR="00A41976" w:rsidRPr="00104C6A" w:rsidP="00933C1E" w14:paraId="013025AE" w14:textId="194D3F5C">
            <w:pPr>
              <w:autoSpaceDE w:val="0"/>
              <w:autoSpaceDN w:val="0"/>
              <w:snapToGrid w:val="0"/>
              <w:jc w:val="both"/>
              <w:rPr>
                <w:rFonts w:eastAsia="Calibri"/>
                <w:szCs w:val="24"/>
              </w:rPr>
            </w:pPr>
            <w:hyperlink r:id="rId23" w:history="1">
              <w:r w:rsidRPr="00104C6A" w:rsidR="008C78AB">
                <w:rPr>
                  <w:rFonts w:eastAsia="Calibri"/>
                  <w:color w:val="0000FF"/>
                  <w:szCs w:val="24"/>
                  <w:u w:val="single"/>
                </w:rPr>
                <w:t>werner.margard@ohioAGO.gov</w:t>
              </w:r>
            </w:hyperlink>
          </w:p>
          <w:p w:rsidR="00A41976" w:rsidRPr="00104C6A" w:rsidP="00933C1E" w14:paraId="2F222688" w14:textId="2CE4B080">
            <w:pPr>
              <w:autoSpaceDE w:val="0"/>
              <w:autoSpaceDN w:val="0"/>
              <w:snapToGrid w:val="0"/>
              <w:jc w:val="both"/>
              <w:rPr>
                <w:rFonts w:eastAsia="Calibri"/>
                <w:color w:val="0000FF"/>
                <w:szCs w:val="24"/>
              </w:rPr>
            </w:pPr>
            <w:hyperlink r:id="rId24" w:history="1">
              <w:r w:rsidRPr="00104C6A" w:rsidR="008C78AB">
                <w:rPr>
                  <w:rFonts w:eastAsia="Calibri"/>
                  <w:color w:val="0000FF"/>
                  <w:szCs w:val="24"/>
                  <w:u w:val="single"/>
                </w:rPr>
                <w:t>mkurtz@BKLlawfirm.com</w:t>
              </w:r>
            </w:hyperlink>
          </w:p>
          <w:p w:rsidR="00A41976" w:rsidRPr="00104C6A" w:rsidP="00933C1E" w14:paraId="4C2CEA3A" w14:textId="5339C4F4">
            <w:pPr>
              <w:autoSpaceDE w:val="0"/>
              <w:autoSpaceDN w:val="0"/>
              <w:snapToGrid w:val="0"/>
              <w:jc w:val="both"/>
              <w:rPr>
                <w:rFonts w:eastAsia="Calibri"/>
                <w:color w:val="0000FF"/>
                <w:szCs w:val="24"/>
              </w:rPr>
            </w:pPr>
            <w:hyperlink r:id="rId25" w:history="1">
              <w:r w:rsidRPr="00104C6A" w:rsidR="008C78AB">
                <w:rPr>
                  <w:rFonts w:eastAsia="Calibri"/>
                  <w:color w:val="0000FF"/>
                  <w:szCs w:val="24"/>
                  <w:u w:val="single"/>
                </w:rPr>
                <w:t>kboehm@BKLlawfirm.com</w:t>
              </w:r>
            </w:hyperlink>
          </w:p>
          <w:p w:rsidR="00A41976" w:rsidRPr="00104C6A" w:rsidP="00933C1E" w14:paraId="72228899" w14:textId="60A3A742">
            <w:pPr>
              <w:autoSpaceDE w:val="0"/>
              <w:autoSpaceDN w:val="0"/>
              <w:snapToGrid w:val="0"/>
              <w:jc w:val="both"/>
              <w:rPr>
                <w:rFonts w:eastAsia="Calibri"/>
                <w:color w:val="0000FF"/>
                <w:szCs w:val="24"/>
              </w:rPr>
            </w:pPr>
            <w:hyperlink r:id="rId26" w:history="1">
              <w:r w:rsidRPr="00104C6A" w:rsidR="008C78AB">
                <w:rPr>
                  <w:rFonts w:eastAsia="Calibri"/>
                  <w:color w:val="0000FF"/>
                  <w:szCs w:val="24"/>
                  <w:u w:val="single"/>
                </w:rPr>
                <w:t>jkylercohn@BKLlawfirm.com</w:t>
              </w:r>
            </w:hyperlink>
          </w:p>
          <w:p w:rsidR="00A41976" w:rsidRPr="00104C6A" w:rsidP="00933C1E" w14:paraId="31DF4FB7" w14:textId="32B09B1C">
            <w:pPr>
              <w:autoSpaceDE w:val="0"/>
              <w:autoSpaceDN w:val="0"/>
              <w:snapToGrid w:val="0"/>
              <w:jc w:val="both"/>
              <w:rPr>
                <w:rFonts w:eastAsia="Calibri"/>
                <w:color w:val="0000FF"/>
                <w:szCs w:val="24"/>
                <w:u w:val="single"/>
              </w:rPr>
            </w:pPr>
            <w:hyperlink r:id="rId27" w:history="1">
              <w:r w:rsidRPr="00104C6A" w:rsidR="008C78AB">
                <w:rPr>
                  <w:rFonts w:eastAsia="Calibri"/>
                  <w:color w:val="0000FF"/>
                  <w:szCs w:val="24"/>
                  <w:u w:val="single"/>
                </w:rPr>
                <w:t>mwarnock@bricker.com</w:t>
              </w:r>
            </w:hyperlink>
          </w:p>
          <w:p w:rsidR="00A41976" w:rsidRPr="00104C6A" w:rsidP="00933C1E" w14:paraId="5F01FC51" w14:textId="0BA33A43">
            <w:pPr>
              <w:autoSpaceDE w:val="0"/>
              <w:autoSpaceDN w:val="0"/>
              <w:snapToGrid w:val="0"/>
              <w:jc w:val="both"/>
              <w:rPr>
                <w:rFonts w:eastAsia="Calibri"/>
                <w:color w:val="0000FF"/>
                <w:szCs w:val="24"/>
              </w:rPr>
            </w:pPr>
            <w:hyperlink r:id="rId28" w:history="1">
              <w:r w:rsidRPr="00104C6A" w:rsidR="008C78AB">
                <w:rPr>
                  <w:rFonts w:eastAsia="Calibri"/>
                  <w:color w:val="0000FF"/>
                  <w:szCs w:val="24"/>
                  <w:u w:val="single"/>
                </w:rPr>
                <w:t>kherrnstein@bricker.com</w:t>
              </w:r>
            </w:hyperlink>
          </w:p>
          <w:p w:rsidR="00A41976" w:rsidRPr="00104C6A" w:rsidP="00933C1E" w14:paraId="6A398B49" w14:textId="3E5D4C41">
            <w:pPr>
              <w:autoSpaceDE w:val="0"/>
              <w:autoSpaceDN w:val="0"/>
              <w:snapToGrid w:val="0"/>
              <w:jc w:val="both"/>
              <w:rPr>
                <w:rFonts w:eastAsia="Calibri"/>
                <w:color w:val="0000FF"/>
                <w:szCs w:val="24"/>
              </w:rPr>
            </w:pPr>
            <w:hyperlink r:id="rId29" w:history="1">
              <w:r w:rsidRPr="00104C6A" w:rsidR="008C78AB">
                <w:rPr>
                  <w:rFonts w:eastAsia="Calibri"/>
                  <w:color w:val="0000FF"/>
                  <w:szCs w:val="24"/>
                  <w:u w:val="single"/>
                </w:rPr>
                <w:t>ktreadway@oneenergyllc.com</w:t>
              </w:r>
            </w:hyperlink>
          </w:p>
          <w:p w:rsidR="00A41976" w:rsidRPr="00104C6A" w:rsidP="00933C1E" w14:paraId="3CA163E2" w14:textId="647B6E50">
            <w:pPr>
              <w:autoSpaceDE w:val="0"/>
              <w:autoSpaceDN w:val="0"/>
              <w:snapToGrid w:val="0"/>
              <w:jc w:val="both"/>
              <w:rPr>
                <w:rFonts w:eastAsia="Calibri"/>
                <w:color w:val="0000FF"/>
                <w:szCs w:val="24"/>
                <w:u w:val="single"/>
              </w:rPr>
            </w:pPr>
            <w:hyperlink r:id="rId30" w:history="1">
              <w:r w:rsidRPr="00104C6A" w:rsidR="008C78AB">
                <w:rPr>
                  <w:rFonts w:eastAsia="Calibri"/>
                  <w:color w:val="0000FF"/>
                  <w:szCs w:val="24"/>
                  <w:u w:val="single"/>
                </w:rPr>
                <w:t>jdunn@oneenergyllc.com</w:t>
              </w:r>
            </w:hyperlink>
          </w:p>
          <w:p w:rsidR="00A41976" w:rsidRPr="00104C6A" w:rsidP="00933C1E" w14:paraId="1681B251" w14:textId="6E43ED58">
            <w:pPr>
              <w:autoSpaceDE w:val="0"/>
              <w:autoSpaceDN w:val="0"/>
              <w:snapToGrid w:val="0"/>
              <w:jc w:val="both"/>
              <w:rPr>
                <w:rFonts w:eastAsia="Calibri"/>
                <w:color w:val="0000FF"/>
                <w:szCs w:val="24"/>
                <w:u w:val="single"/>
              </w:rPr>
            </w:pPr>
            <w:hyperlink r:id="rId31" w:history="1">
              <w:r w:rsidRPr="00104C6A" w:rsidR="008C78AB">
                <w:rPr>
                  <w:rFonts w:eastAsia="Calibri"/>
                  <w:color w:val="0000FF"/>
                  <w:szCs w:val="24"/>
                  <w:u w:val="single"/>
                </w:rPr>
                <w:t>dborchers@bricker.com</w:t>
              </w:r>
            </w:hyperlink>
          </w:p>
          <w:p w:rsidR="00A41976" w:rsidRPr="00104C6A" w:rsidP="00933C1E" w14:paraId="08A27F68" w14:textId="4403D7BD">
            <w:pPr>
              <w:autoSpaceDE w:val="0"/>
              <w:autoSpaceDN w:val="0"/>
              <w:snapToGrid w:val="0"/>
              <w:jc w:val="both"/>
              <w:rPr>
                <w:rFonts w:eastAsia="Calibri"/>
                <w:color w:val="0000FF"/>
                <w:szCs w:val="24"/>
                <w:u w:val="single"/>
              </w:rPr>
            </w:pPr>
            <w:hyperlink r:id="rId28" w:history="1">
              <w:r w:rsidRPr="00104C6A" w:rsidR="008C78AB">
                <w:rPr>
                  <w:rFonts w:eastAsia="Calibri"/>
                  <w:color w:val="0000FF"/>
                  <w:szCs w:val="24"/>
                  <w:u w:val="single"/>
                </w:rPr>
                <w:t>kherrnstein@bricker.com</w:t>
              </w:r>
            </w:hyperlink>
          </w:p>
          <w:p w:rsidR="00FF3ED9" w:rsidRPr="00104C6A" w:rsidP="00933C1E" w14:paraId="24B338CA" w14:textId="62785882">
            <w:pPr>
              <w:autoSpaceDE w:val="0"/>
              <w:autoSpaceDN w:val="0"/>
              <w:snapToGrid w:val="0"/>
              <w:jc w:val="both"/>
              <w:rPr>
                <w:szCs w:val="24"/>
              </w:rPr>
            </w:pPr>
            <w:hyperlink r:id="rId32" w:history="1">
              <w:r w:rsidRPr="00104C6A" w:rsidR="008C78AB">
                <w:rPr>
                  <w:rStyle w:val="Hyperlink"/>
                  <w:szCs w:val="24"/>
                </w:rPr>
                <w:t>mpritchard@mcneeslaw.com</w:t>
              </w:r>
            </w:hyperlink>
          </w:p>
          <w:p w:rsidR="00FF3ED9" w:rsidRPr="00104C6A" w:rsidP="00933C1E" w14:paraId="124E3B70" w14:textId="3DE84DD1">
            <w:pPr>
              <w:autoSpaceDE w:val="0"/>
              <w:autoSpaceDN w:val="0"/>
              <w:snapToGrid w:val="0"/>
              <w:jc w:val="both"/>
              <w:rPr>
                <w:szCs w:val="24"/>
              </w:rPr>
            </w:pPr>
            <w:hyperlink r:id="rId33" w:history="1">
              <w:r w:rsidRPr="00104C6A" w:rsidR="008C78AB">
                <w:rPr>
                  <w:rStyle w:val="Hyperlink"/>
                  <w:szCs w:val="24"/>
                </w:rPr>
                <w:t>bmckenney@mcneeslaw.com</w:t>
              </w:r>
            </w:hyperlink>
          </w:p>
          <w:p w:rsidR="00FF3ED9" w:rsidRPr="00104C6A" w:rsidP="00933C1E" w14:paraId="63AA16A5" w14:textId="3C29E9EC">
            <w:pPr>
              <w:autoSpaceDE w:val="0"/>
              <w:autoSpaceDN w:val="0"/>
              <w:snapToGrid w:val="0"/>
              <w:jc w:val="both"/>
              <w:rPr>
                <w:szCs w:val="24"/>
              </w:rPr>
            </w:pPr>
            <w:hyperlink r:id="rId34" w:history="1">
              <w:r w:rsidRPr="00104C6A" w:rsidR="008C78AB">
                <w:rPr>
                  <w:rStyle w:val="Hyperlink"/>
                  <w:szCs w:val="24"/>
                </w:rPr>
                <w:t>awalke@mcneeslaw.com</w:t>
              </w:r>
            </w:hyperlink>
          </w:p>
          <w:p w:rsidR="00A41976" w:rsidRPr="00104C6A" w:rsidP="00933C1E" w14:paraId="286F076F" w14:textId="28FFE21A">
            <w:pPr>
              <w:autoSpaceDE w:val="0"/>
              <w:autoSpaceDN w:val="0"/>
              <w:snapToGrid w:val="0"/>
              <w:jc w:val="both"/>
              <w:rPr>
                <w:rFonts w:eastAsia="Calibri"/>
                <w:color w:val="0000FF"/>
                <w:szCs w:val="24"/>
                <w:u w:val="single"/>
              </w:rPr>
            </w:pPr>
            <w:hyperlink r:id="rId35" w:history="1">
              <w:r w:rsidRPr="00104C6A" w:rsidR="008C78AB">
                <w:rPr>
                  <w:rFonts w:eastAsia="Calibri"/>
                  <w:color w:val="0000FF"/>
                  <w:szCs w:val="24"/>
                  <w:u w:val="single"/>
                </w:rPr>
                <w:t>paul@carpenterlipps.com</w:t>
              </w:r>
            </w:hyperlink>
          </w:p>
          <w:p w:rsidR="00A41976" w:rsidRPr="00104C6A" w:rsidP="00933C1E" w14:paraId="467CF40E" w14:textId="5E311A04">
            <w:pPr>
              <w:autoSpaceDE w:val="0"/>
              <w:autoSpaceDN w:val="0"/>
              <w:snapToGrid w:val="0"/>
              <w:jc w:val="both"/>
              <w:rPr>
                <w:rFonts w:eastAsia="Calibri"/>
                <w:color w:val="0000FF"/>
                <w:szCs w:val="24"/>
                <w:u w:val="single"/>
              </w:rPr>
            </w:pPr>
            <w:hyperlink r:id="rId36" w:history="1">
              <w:r w:rsidRPr="00104C6A" w:rsidR="008C78AB">
                <w:rPr>
                  <w:rFonts w:eastAsia="Calibri"/>
                  <w:color w:val="0000FF"/>
                  <w:szCs w:val="24"/>
                  <w:u w:val="single"/>
                </w:rPr>
                <w:t>rdove@keglerbrown.com</w:t>
              </w:r>
            </w:hyperlink>
          </w:p>
          <w:p w:rsidR="00A41976" w:rsidRPr="00104C6A" w:rsidP="00933C1E" w14:paraId="42ABA8E8" w14:textId="11E41381">
            <w:pPr>
              <w:autoSpaceDE w:val="0"/>
              <w:autoSpaceDN w:val="0"/>
              <w:snapToGrid w:val="0"/>
              <w:jc w:val="both"/>
              <w:rPr>
                <w:rFonts w:eastAsia="Calibri"/>
                <w:color w:val="0000FF"/>
                <w:szCs w:val="24"/>
              </w:rPr>
            </w:pPr>
            <w:hyperlink r:id="rId37" w:history="1">
              <w:r w:rsidRPr="00104C6A" w:rsidR="008C78AB">
                <w:rPr>
                  <w:rFonts w:eastAsia="Calibri"/>
                  <w:color w:val="0000FF"/>
                  <w:szCs w:val="24"/>
                  <w:u w:val="single"/>
                </w:rPr>
                <w:t>nbobb@keglerbrown.com</w:t>
              </w:r>
            </w:hyperlink>
          </w:p>
          <w:p w:rsidR="00A41976" w:rsidRPr="00104C6A" w:rsidP="00933C1E" w14:paraId="4E7BB4BB" w14:textId="11E7AE75">
            <w:pPr>
              <w:autoSpaceDE w:val="0"/>
              <w:autoSpaceDN w:val="0"/>
              <w:snapToGrid w:val="0"/>
              <w:jc w:val="both"/>
              <w:rPr>
                <w:rFonts w:eastAsia="Calibri"/>
                <w:color w:val="0000FF"/>
                <w:szCs w:val="24"/>
                <w:u w:val="single"/>
              </w:rPr>
            </w:pPr>
            <w:hyperlink r:id="rId38" w:history="1">
              <w:r w:rsidRPr="00104C6A" w:rsidR="008C78AB">
                <w:rPr>
                  <w:rFonts w:eastAsia="Calibri"/>
                  <w:color w:val="0000FF"/>
                  <w:szCs w:val="24"/>
                  <w:u w:val="single"/>
                </w:rPr>
                <w:t>trent@hubaydougherty.com</w:t>
              </w:r>
            </w:hyperlink>
            <w:r w:rsidRPr="00104C6A" w:rsidR="008C78AB">
              <w:rPr>
                <w:rFonts w:eastAsia="Calibri"/>
                <w:color w:val="0000FF"/>
                <w:szCs w:val="24"/>
              </w:rPr>
              <w:t xml:space="preserve"> </w:t>
            </w:r>
          </w:p>
          <w:p w:rsidR="00A41976" w:rsidRPr="00104C6A" w:rsidP="00933C1E" w14:paraId="7AD14BB6" w14:textId="77777777">
            <w:pPr>
              <w:autoSpaceDE w:val="0"/>
              <w:autoSpaceDN w:val="0"/>
              <w:snapToGrid w:val="0"/>
              <w:jc w:val="both"/>
              <w:rPr>
                <w:rFonts w:eastAsia="Calibri"/>
                <w:color w:val="0000FF"/>
                <w:szCs w:val="24"/>
              </w:rPr>
            </w:pPr>
          </w:p>
          <w:p w:rsidR="00A41976" w:rsidRPr="00104C6A" w:rsidP="00933C1E" w14:paraId="4A5286E5" w14:textId="77777777">
            <w:pPr>
              <w:autoSpaceDE w:val="0"/>
              <w:autoSpaceDN w:val="0"/>
              <w:snapToGrid w:val="0"/>
              <w:jc w:val="both"/>
              <w:rPr>
                <w:rFonts w:eastAsia="Calibri"/>
                <w:szCs w:val="24"/>
              </w:rPr>
            </w:pPr>
            <w:r w:rsidRPr="00104C6A">
              <w:rPr>
                <w:rFonts w:eastAsia="Calibri"/>
                <w:szCs w:val="24"/>
              </w:rPr>
              <w:t>Attorney Examiners:</w:t>
            </w:r>
          </w:p>
          <w:p w:rsidR="00A41976" w:rsidRPr="00104C6A" w:rsidP="00933C1E" w14:paraId="5B0DC9BE" w14:textId="200C0105">
            <w:pPr>
              <w:autoSpaceDE w:val="0"/>
              <w:autoSpaceDN w:val="0"/>
              <w:snapToGrid w:val="0"/>
              <w:jc w:val="both"/>
              <w:rPr>
                <w:rFonts w:eastAsia="Calibri"/>
                <w:szCs w:val="24"/>
              </w:rPr>
            </w:pPr>
            <w:hyperlink r:id="rId39" w:history="1">
              <w:r w:rsidRPr="00104C6A" w:rsidR="008C78AB">
                <w:rPr>
                  <w:rFonts w:eastAsia="Calibri"/>
                  <w:color w:val="0000FF"/>
                  <w:szCs w:val="24"/>
                  <w:u w:val="single"/>
                </w:rPr>
                <w:t>matthew.sandor@puco.ohio.gov</w:t>
              </w:r>
            </w:hyperlink>
          </w:p>
          <w:p w:rsidR="00A41976" w:rsidRPr="00104C6A" w:rsidP="00933C1E" w14:paraId="3B0173F6" w14:textId="129F1392">
            <w:pPr>
              <w:autoSpaceDE w:val="0"/>
              <w:autoSpaceDN w:val="0"/>
              <w:snapToGrid w:val="0"/>
              <w:jc w:val="both"/>
              <w:rPr>
                <w:rFonts w:eastAsia="Calibri"/>
                <w:szCs w:val="24"/>
              </w:rPr>
            </w:pPr>
            <w:hyperlink r:id="rId40" w:history="1">
              <w:r w:rsidRPr="00104C6A" w:rsidR="008C78AB">
                <w:rPr>
                  <w:rFonts w:eastAsia="Calibri"/>
                  <w:color w:val="0000FF"/>
                  <w:szCs w:val="24"/>
                  <w:u w:val="single"/>
                </w:rPr>
                <w:t>nicholas.walstra@puco.ohio.gov</w:t>
              </w:r>
            </w:hyperlink>
          </w:p>
          <w:p w:rsidR="00A41976" w:rsidRPr="00104C6A" w:rsidP="00933C1E" w14:paraId="41CA7A76" w14:textId="77777777">
            <w:pPr>
              <w:autoSpaceDE w:val="0"/>
              <w:autoSpaceDN w:val="0"/>
              <w:snapToGrid w:val="0"/>
              <w:jc w:val="both"/>
              <w:rPr>
                <w:rFonts w:eastAsia="Calibri"/>
                <w:szCs w:val="24"/>
              </w:rPr>
            </w:pPr>
          </w:p>
        </w:tc>
        <w:tc>
          <w:tcPr>
            <w:tcW w:w="4428" w:type="dxa"/>
            <w:tcMar>
              <w:top w:w="0" w:type="dxa"/>
              <w:left w:w="108" w:type="dxa"/>
              <w:bottom w:w="0" w:type="dxa"/>
              <w:right w:w="108" w:type="dxa"/>
            </w:tcMar>
            <w:hideMark/>
          </w:tcPr>
          <w:p w:rsidR="00A41976" w:rsidRPr="00104C6A" w:rsidP="00933C1E" w14:paraId="0FC8CF65" w14:textId="2AD9E8D2">
            <w:pPr>
              <w:snapToGrid w:val="0"/>
              <w:ind w:left="100"/>
              <w:jc w:val="both"/>
              <w:rPr>
                <w:rFonts w:eastAsia="Calibri"/>
                <w:szCs w:val="24"/>
              </w:rPr>
            </w:pPr>
            <w:hyperlink r:id="rId41" w:history="1">
              <w:r w:rsidRPr="00104C6A" w:rsidR="008C78AB">
                <w:rPr>
                  <w:rFonts w:eastAsia="Calibri"/>
                  <w:color w:val="0000FF"/>
                  <w:szCs w:val="24"/>
                  <w:u w:val="single"/>
                </w:rPr>
                <w:t>Rocco.dascenzo@duke-energy.com</w:t>
              </w:r>
            </w:hyperlink>
          </w:p>
          <w:p w:rsidR="00A41976" w:rsidRPr="00104C6A" w:rsidP="00933C1E" w14:paraId="25C916F5" w14:textId="0E7F5E65">
            <w:pPr>
              <w:snapToGrid w:val="0"/>
              <w:ind w:left="100"/>
              <w:jc w:val="both"/>
              <w:rPr>
                <w:rFonts w:eastAsia="Calibri"/>
                <w:szCs w:val="24"/>
              </w:rPr>
            </w:pPr>
            <w:hyperlink r:id="rId42" w:history="1">
              <w:r w:rsidRPr="00104C6A" w:rsidR="008C78AB">
                <w:rPr>
                  <w:rFonts w:eastAsia="Calibri"/>
                  <w:color w:val="0000FF"/>
                  <w:szCs w:val="24"/>
                  <w:u w:val="single"/>
                </w:rPr>
                <w:t>Jeanne.kingery@duke-energy.com</w:t>
              </w:r>
            </w:hyperlink>
          </w:p>
          <w:p w:rsidR="00A41976" w:rsidRPr="00104C6A" w:rsidP="00933C1E" w14:paraId="2E827080" w14:textId="6550B3F6">
            <w:pPr>
              <w:snapToGrid w:val="0"/>
              <w:ind w:left="100"/>
              <w:jc w:val="both"/>
              <w:rPr>
                <w:rFonts w:eastAsia="Calibri"/>
                <w:color w:val="0000FF"/>
                <w:szCs w:val="24"/>
                <w:u w:val="single"/>
              </w:rPr>
            </w:pPr>
            <w:hyperlink r:id="rId43" w:history="1">
              <w:r w:rsidRPr="00104C6A" w:rsidR="008C78AB">
                <w:rPr>
                  <w:rFonts w:eastAsia="Calibri"/>
                  <w:color w:val="0000FF"/>
                  <w:szCs w:val="24"/>
                  <w:u w:val="single"/>
                </w:rPr>
                <w:t>Larisa.vaysman@duke-energy.com</w:t>
              </w:r>
            </w:hyperlink>
          </w:p>
          <w:p w:rsidR="00A41976" w:rsidRPr="00104C6A" w:rsidP="00933C1E" w14:paraId="5D229A84" w14:textId="5F46EE7E">
            <w:pPr>
              <w:snapToGrid w:val="0"/>
              <w:ind w:left="100"/>
              <w:jc w:val="both"/>
              <w:rPr>
                <w:rFonts w:eastAsia="Calibri"/>
                <w:szCs w:val="24"/>
              </w:rPr>
            </w:pPr>
            <w:hyperlink r:id="rId44" w:history="1">
              <w:r w:rsidRPr="00104C6A" w:rsidR="008C78AB">
                <w:rPr>
                  <w:rFonts w:eastAsia="Calibri"/>
                  <w:color w:val="0000FF"/>
                  <w:szCs w:val="24"/>
                  <w:u w:val="single"/>
                </w:rPr>
                <w:t>elyse.akhbari@duke-energy.com</w:t>
              </w:r>
            </w:hyperlink>
          </w:p>
          <w:p w:rsidR="00A41976" w:rsidRPr="00104C6A" w:rsidP="00933C1E" w14:paraId="138EA6C1" w14:textId="1EE4F31C">
            <w:pPr>
              <w:snapToGrid w:val="0"/>
              <w:ind w:left="100"/>
              <w:jc w:val="both"/>
              <w:rPr>
                <w:rFonts w:eastAsia="Calibri"/>
                <w:color w:val="0000FF"/>
                <w:szCs w:val="24"/>
                <w:u w:val="single"/>
              </w:rPr>
            </w:pPr>
            <w:hyperlink r:id="rId45" w:history="1">
              <w:r w:rsidRPr="00104C6A" w:rsidR="008C78AB">
                <w:rPr>
                  <w:rFonts w:eastAsia="Calibri"/>
                  <w:color w:val="0000FF"/>
                  <w:szCs w:val="24"/>
                  <w:u w:val="single"/>
                </w:rPr>
                <w:t>ebrama@taftlaw.com</w:t>
              </w:r>
            </w:hyperlink>
          </w:p>
          <w:p w:rsidR="00A41976" w:rsidRPr="00104C6A" w:rsidP="00933C1E" w14:paraId="629FE3B2" w14:textId="1BDF1ABB">
            <w:pPr>
              <w:snapToGrid w:val="0"/>
              <w:ind w:left="100"/>
              <w:jc w:val="both"/>
              <w:rPr>
                <w:rFonts w:eastAsia="Calibri"/>
                <w:szCs w:val="24"/>
              </w:rPr>
            </w:pPr>
            <w:hyperlink r:id="rId46" w:history="1">
              <w:r w:rsidRPr="00104C6A" w:rsidR="008C78AB">
                <w:rPr>
                  <w:rFonts w:eastAsia="Calibri"/>
                  <w:color w:val="0000FF"/>
                  <w:szCs w:val="24"/>
                  <w:u w:val="single"/>
                </w:rPr>
                <w:t>kverhalen@taftlaw.com</w:t>
              </w:r>
            </w:hyperlink>
          </w:p>
          <w:p w:rsidR="00A41976" w:rsidRPr="00104C6A" w:rsidP="00933C1E" w14:paraId="2AEF1C9A" w14:textId="1004C979">
            <w:pPr>
              <w:snapToGrid w:val="0"/>
              <w:ind w:left="100"/>
              <w:jc w:val="both"/>
              <w:rPr>
                <w:rFonts w:eastAsia="Calibri"/>
                <w:szCs w:val="24"/>
              </w:rPr>
            </w:pPr>
            <w:hyperlink r:id="rId47" w:history="1">
              <w:r w:rsidRPr="00104C6A" w:rsidR="008C78AB">
                <w:rPr>
                  <w:rFonts w:eastAsia="Calibri"/>
                  <w:color w:val="0000FF"/>
                  <w:szCs w:val="24"/>
                  <w:u w:val="single"/>
                </w:rPr>
                <w:t>Bethany.allen@igs.com</w:t>
              </w:r>
            </w:hyperlink>
          </w:p>
          <w:p w:rsidR="00A41976" w:rsidRPr="00104C6A" w:rsidP="00933C1E" w14:paraId="3228F9DE" w14:textId="44A350B7">
            <w:pPr>
              <w:snapToGrid w:val="0"/>
              <w:ind w:left="100"/>
              <w:jc w:val="both"/>
              <w:rPr>
                <w:rFonts w:eastAsia="Calibri"/>
                <w:szCs w:val="24"/>
              </w:rPr>
            </w:pPr>
            <w:hyperlink r:id="rId48" w:history="1">
              <w:r w:rsidRPr="00104C6A" w:rsidR="008C78AB">
                <w:rPr>
                  <w:rFonts w:eastAsia="Calibri"/>
                  <w:color w:val="0000FF"/>
                  <w:szCs w:val="24"/>
                  <w:u w:val="single"/>
                </w:rPr>
                <w:t>Joe.oliker@igs.com</w:t>
              </w:r>
            </w:hyperlink>
          </w:p>
          <w:p w:rsidR="00A41976" w:rsidRPr="00104C6A" w:rsidP="00933C1E" w14:paraId="69067CC8" w14:textId="268DFCED">
            <w:pPr>
              <w:snapToGrid w:val="0"/>
              <w:ind w:left="100"/>
              <w:jc w:val="both"/>
              <w:rPr>
                <w:rFonts w:eastAsia="Calibri"/>
                <w:color w:val="0000FF"/>
                <w:szCs w:val="24"/>
                <w:u w:val="single"/>
              </w:rPr>
            </w:pPr>
            <w:hyperlink r:id="rId49" w:history="1">
              <w:r w:rsidRPr="00104C6A" w:rsidR="008C78AB">
                <w:rPr>
                  <w:rFonts w:eastAsia="Calibri"/>
                  <w:color w:val="0000FF"/>
                  <w:szCs w:val="24"/>
                  <w:u w:val="single"/>
                </w:rPr>
                <w:t>Evan.betterton@igs.com</w:t>
              </w:r>
            </w:hyperlink>
          </w:p>
          <w:p w:rsidR="00A41976" w:rsidRPr="00104C6A" w:rsidP="00933C1E" w14:paraId="38EDFB45" w14:textId="6EB0F762">
            <w:pPr>
              <w:snapToGrid w:val="0"/>
              <w:ind w:left="100"/>
              <w:jc w:val="both"/>
              <w:rPr>
                <w:rFonts w:eastAsia="Calibri"/>
                <w:color w:val="0000FF"/>
                <w:szCs w:val="24"/>
                <w:u w:val="single"/>
              </w:rPr>
            </w:pPr>
            <w:hyperlink r:id="rId50" w:history="1">
              <w:r w:rsidRPr="00104C6A" w:rsidR="008C78AB">
                <w:rPr>
                  <w:rFonts w:eastAsia="Calibri"/>
                  <w:color w:val="0000FF"/>
                  <w:szCs w:val="24"/>
                  <w:u w:val="single"/>
                </w:rPr>
                <w:t>Stacie.cathcart@igs.com</w:t>
              </w:r>
            </w:hyperlink>
          </w:p>
          <w:p w:rsidR="00A41976" w:rsidRPr="00104C6A" w:rsidP="00933C1E" w14:paraId="1CCD4E26" w14:textId="21CB90DD">
            <w:pPr>
              <w:snapToGrid w:val="0"/>
              <w:ind w:left="100"/>
              <w:jc w:val="both"/>
              <w:rPr>
                <w:rFonts w:eastAsia="Calibri"/>
                <w:color w:val="0000FF"/>
                <w:szCs w:val="24"/>
                <w:u w:val="single"/>
              </w:rPr>
            </w:pPr>
            <w:hyperlink r:id="rId51" w:history="1">
              <w:r w:rsidRPr="00104C6A" w:rsidR="008C78AB">
                <w:rPr>
                  <w:rFonts w:eastAsia="Calibri"/>
                  <w:color w:val="0000FF"/>
                  <w:szCs w:val="24"/>
                  <w:u w:val="single"/>
                </w:rPr>
                <w:t>michael.nugent@igs.com</w:t>
              </w:r>
            </w:hyperlink>
          </w:p>
          <w:p w:rsidR="00A41976" w:rsidRPr="00104C6A" w:rsidP="00933C1E" w14:paraId="0B3BD79B" w14:textId="136D221A">
            <w:pPr>
              <w:snapToGrid w:val="0"/>
              <w:ind w:left="100"/>
              <w:jc w:val="both"/>
              <w:rPr>
                <w:rFonts w:eastAsia="Calibri"/>
                <w:color w:val="0000FF"/>
                <w:szCs w:val="24"/>
                <w:u w:val="single"/>
              </w:rPr>
            </w:pPr>
            <w:hyperlink r:id="rId52" w:history="1">
              <w:r w:rsidRPr="00104C6A" w:rsidR="008C78AB">
                <w:rPr>
                  <w:rFonts w:eastAsia="Calibri"/>
                  <w:color w:val="0000FF"/>
                  <w:szCs w:val="24"/>
                  <w:u w:val="single"/>
                </w:rPr>
                <w:t>jlang@calfee.com</w:t>
              </w:r>
            </w:hyperlink>
          </w:p>
          <w:p w:rsidR="00A41976" w:rsidRPr="00104C6A" w:rsidP="00933C1E" w14:paraId="11CB19F2" w14:textId="22A9408A">
            <w:pPr>
              <w:snapToGrid w:val="0"/>
              <w:ind w:left="100"/>
              <w:jc w:val="both"/>
              <w:rPr>
                <w:rFonts w:eastAsia="Calibri"/>
                <w:color w:val="0000FF"/>
                <w:szCs w:val="24"/>
                <w:u w:val="single"/>
              </w:rPr>
            </w:pPr>
            <w:hyperlink r:id="rId53" w:history="1">
              <w:r w:rsidRPr="00104C6A" w:rsidR="008C78AB">
                <w:rPr>
                  <w:rFonts w:eastAsia="Calibri"/>
                  <w:color w:val="0000FF"/>
                  <w:szCs w:val="24"/>
                  <w:u w:val="single"/>
                </w:rPr>
                <w:t>gjewell@calfee.com</w:t>
              </w:r>
            </w:hyperlink>
          </w:p>
          <w:p w:rsidR="00A41976" w:rsidRPr="00104C6A" w:rsidP="00933C1E" w14:paraId="37AF1B14" w14:textId="7C02625D">
            <w:pPr>
              <w:snapToGrid w:val="0"/>
              <w:ind w:left="100"/>
              <w:jc w:val="both"/>
              <w:rPr>
                <w:rFonts w:eastAsia="Calibri"/>
                <w:color w:val="0000FF"/>
                <w:szCs w:val="24"/>
                <w:u w:val="single"/>
              </w:rPr>
            </w:pPr>
            <w:hyperlink r:id="rId54" w:history="1">
              <w:r w:rsidRPr="00104C6A" w:rsidR="008C78AB">
                <w:rPr>
                  <w:rFonts w:eastAsia="Calibri"/>
                  <w:color w:val="0000FF"/>
                  <w:szCs w:val="24"/>
                  <w:u w:val="single"/>
                </w:rPr>
                <w:t>gwhaling@calfee.com</w:t>
              </w:r>
            </w:hyperlink>
          </w:p>
          <w:p w:rsidR="00A41976" w:rsidRPr="00104C6A" w:rsidP="00933C1E" w14:paraId="53AE90A7" w14:textId="67A355AC">
            <w:pPr>
              <w:snapToGrid w:val="0"/>
              <w:ind w:left="100"/>
              <w:jc w:val="both"/>
              <w:rPr>
                <w:rFonts w:eastAsia="Calibri"/>
                <w:color w:val="0000FF"/>
                <w:szCs w:val="24"/>
                <w:u w:val="single"/>
              </w:rPr>
            </w:pPr>
            <w:hyperlink r:id="rId55" w:history="1">
              <w:r w:rsidRPr="00104C6A" w:rsidR="008C78AB">
                <w:rPr>
                  <w:rFonts w:eastAsia="Calibri"/>
                  <w:color w:val="0000FF"/>
                  <w:szCs w:val="24"/>
                  <w:u w:val="single"/>
                </w:rPr>
                <w:t>sfranson@calfee.com</w:t>
              </w:r>
            </w:hyperlink>
          </w:p>
          <w:p w:rsidR="00A41976" w:rsidRPr="00104C6A" w:rsidP="00933C1E" w14:paraId="6AF02DF5" w14:textId="35916DD9">
            <w:pPr>
              <w:snapToGrid w:val="0"/>
              <w:ind w:left="100"/>
              <w:jc w:val="both"/>
              <w:rPr>
                <w:rFonts w:eastAsia="Calibri"/>
                <w:szCs w:val="24"/>
              </w:rPr>
            </w:pPr>
            <w:hyperlink r:id="rId56" w:history="1">
              <w:r w:rsidRPr="00104C6A" w:rsidR="008C78AB">
                <w:rPr>
                  <w:rFonts w:eastAsia="Calibri"/>
                  <w:color w:val="0000FF"/>
                  <w:szCs w:val="24"/>
                  <w:u w:val="single"/>
                </w:rPr>
                <w:t>dromig@nationwideenergypartners.com</w:t>
              </w:r>
            </w:hyperlink>
          </w:p>
          <w:p w:rsidR="00A41976" w:rsidRPr="00104C6A" w:rsidP="00933C1E" w14:paraId="1B20014C" w14:textId="79F7DE56">
            <w:pPr>
              <w:snapToGrid w:val="0"/>
              <w:ind w:left="100"/>
              <w:jc w:val="both"/>
              <w:rPr>
                <w:rFonts w:eastAsia="Calibri"/>
                <w:color w:val="0000FF"/>
                <w:szCs w:val="24"/>
                <w:u w:val="single"/>
              </w:rPr>
            </w:pPr>
            <w:hyperlink r:id="rId57" w:history="1">
              <w:r w:rsidRPr="00104C6A" w:rsidR="008C78AB">
                <w:rPr>
                  <w:rFonts w:eastAsia="Calibri"/>
                  <w:color w:val="0000FF"/>
                  <w:szCs w:val="24"/>
                  <w:u w:val="single"/>
                </w:rPr>
                <w:t>Bojko@carpenterlipps.com</w:t>
              </w:r>
            </w:hyperlink>
          </w:p>
          <w:p w:rsidR="00A41976" w:rsidRPr="00104C6A" w:rsidP="00933C1E" w14:paraId="35DE8CAA" w14:textId="15A61352">
            <w:pPr>
              <w:snapToGrid w:val="0"/>
              <w:ind w:left="100"/>
              <w:jc w:val="both"/>
              <w:rPr>
                <w:rFonts w:eastAsia="Calibri"/>
                <w:szCs w:val="24"/>
              </w:rPr>
            </w:pPr>
            <w:hyperlink r:id="rId58" w:history="1">
              <w:r w:rsidRPr="00104C6A" w:rsidR="008C78AB">
                <w:rPr>
                  <w:rFonts w:eastAsia="Calibri"/>
                  <w:color w:val="0000FF"/>
                  <w:szCs w:val="24"/>
                  <w:u w:val="single"/>
                </w:rPr>
                <w:t>Wygonski@carpenterlipps.com</w:t>
              </w:r>
            </w:hyperlink>
          </w:p>
          <w:p w:rsidR="00A41976" w:rsidRPr="00104C6A" w:rsidP="00933C1E" w14:paraId="35C7173F" w14:textId="64772BCC">
            <w:pPr>
              <w:snapToGrid w:val="0"/>
              <w:ind w:left="100"/>
              <w:jc w:val="both"/>
              <w:rPr>
                <w:rFonts w:eastAsia="Calibri"/>
                <w:szCs w:val="24"/>
              </w:rPr>
            </w:pPr>
            <w:hyperlink r:id="rId59" w:history="1">
              <w:r w:rsidRPr="00104C6A" w:rsidR="008C78AB">
                <w:rPr>
                  <w:rFonts w:eastAsia="Calibri"/>
                  <w:color w:val="0000FF"/>
                  <w:szCs w:val="24"/>
                  <w:u w:val="single"/>
                </w:rPr>
                <w:t>cgrundmann@spilmanlaw.com</w:t>
              </w:r>
            </w:hyperlink>
          </w:p>
          <w:p w:rsidR="00A41976" w:rsidRPr="00104C6A" w:rsidP="00933C1E" w14:paraId="31D39C49" w14:textId="1CFFE9E5">
            <w:pPr>
              <w:snapToGrid w:val="0"/>
              <w:ind w:left="100"/>
              <w:jc w:val="both"/>
              <w:rPr>
                <w:rFonts w:eastAsia="Calibri"/>
                <w:color w:val="0000FF"/>
                <w:szCs w:val="24"/>
                <w:u w:val="single"/>
              </w:rPr>
            </w:pPr>
            <w:hyperlink r:id="rId60" w:history="1">
              <w:r w:rsidRPr="00104C6A" w:rsidR="008C78AB">
                <w:rPr>
                  <w:rFonts w:eastAsia="Calibri"/>
                  <w:color w:val="0000FF"/>
                  <w:szCs w:val="24"/>
                  <w:u w:val="single"/>
                </w:rPr>
                <w:t>dwilliamson@spilmanlaw.com</w:t>
              </w:r>
            </w:hyperlink>
          </w:p>
          <w:p w:rsidR="00A41976" w:rsidRPr="00104C6A" w:rsidP="00933C1E" w14:paraId="1E1F728A" w14:textId="0FC7CEED">
            <w:pPr>
              <w:autoSpaceDE w:val="0"/>
              <w:autoSpaceDN w:val="0"/>
              <w:snapToGrid w:val="0"/>
              <w:ind w:left="100"/>
              <w:jc w:val="both"/>
              <w:rPr>
                <w:rFonts w:eastAsia="Calibri"/>
                <w:color w:val="0000FF"/>
                <w:szCs w:val="24"/>
              </w:rPr>
            </w:pPr>
            <w:hyperlink r:id="rId61" w:history="1">
              <w:r w:rsidRPr="00104C6A" w:rsidR="008C78AB">
                <w:rPr>
                  <w:rFonts w:eastAsia="Calibri"/>
                  <w:color w:val="0000FF"/>
                  <w:szCs w:val="24"/>
                  <w:u w:val="single"/>
                </w:rPr>
                <w:t>cpirik@dickinsonwright.com</w:t>
              </w:r>
            </w:hyperlink>
          </w:p>
          <w:p w:rsidR="00A41976" w:rsidRPr="00104C6A" w:rsidP="00933C1E" w14:paraId="3779DFB1" w14:textId="24D6BC73">
            <w:pPr>
              <w:autoSpaceDE w:val="0"/>
              <w:autoSpaceDN w:val="0"/>
              <w:snapToGrid w:val="0"/>
              <w:ind w:left="100"/>
              <w:jc w:val="both"/>
              <w:rPr>
                <w:rFonts w:eastAsia="Calibri"/>
                <w:color w:val="0000FF"/>
                <w:szCs w:val="24"/>
              </w:rPr>
            </w:pPr>
            <w:hyperlink r:id="rId62" w:history="1">
              <w:r w:rsidRPr="00104C6A" w:rsidR="008C78AB">
                <w:rPr>
                  <w:rFonts w:eastAsia="Calibri"/>
                  <w:color w:val="0000FF"/>
                  <w:szCs w:val="24"/>
                  <w:u w:val="single"/>
                </w:rPr>
                <w:t>todonnell@dickinsonwright.com</w:t>
              </w:r>
            </w:hyperlink>
          </w:p>
          <w:p w:rsidR="00787FB0" w:rsidRPr="00787FB0" w:rsidP="00787FB0" w14:paraId="59874EAF" w14:textId="30E979E8">
            <w:pPr>
              <w:autoSpaceDE w:val="0"/>
              <w:autoSpaceDN w:val="0"/>
              <w:snapToGrid w:val="0"/>
              <w:ind w:left="100"/>
              <w:jc w:val="both"/>
              <w:rPr>
                <w:rFonts w:eastAsia="Calibri"/>
                <w:color w:val="0000FF"/>
                <w:szCs w:val="24"/>
                <w:u w:val="single"/>
              </w:rPr>
            </w:pPr>
            <w:r w:rsidRPr="00104C6A">
              <w:rPr>
                <w:rFonts w:eastAsia="Calibri"/>
                <w:color w:val="0000FF"/>
                <w:szCs w:val="24"/>
                <w:u w:val="single"/>
              </w:rPr>
              <w:t>mmcdonnell@dickinsonwright.com</w:t>
            </w:r>
          </w:p>
        </w:tc>
      </w:tr>
    </w:tbl>
    <w:p w:rsidR="001D43FE" w:rsidRPr="00104C6A" w:rsidP="00CA13C0" w14:paraId="6AAC5B45" w14:textId="167D2035">
      <w:pPr>
        <w:rPr>
          <w:bCs/>
          <w:szCs w:val="24"/>
        </w:rPr>
      </w:pPr>
    </w:p>
    <w:sectPr w:rsidSect="001C586A">
      <w:headerReference w:type="even" r:id="rId63"/>
      <w:headerReference w:type="default" r:id="rId64"/>
      <w:footerReference w:type="default" r:id="rId65"/>
      <w:headerReference w:type="first" r:id="rId66"/>
      <w:footerReference w:type="first" r:id="rId67"/>
      <w:pgSz w:w="12240" w:h="15840"/>
      <w:pgMar w:top="1440" w:right="1800" w:bottom="1440" w:left="1800" w:header="720" w:footer="720" w:gutter="0"/>
      <w:pgNumType w:start="1"/>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34C87E4E" w14:textId="77777777">
    <w:pPr>
      <w:pStyle w:val="Footer"/>
      <w:framePr w:wrap="around" w:vAnchor="text" w:hAnchor="margin" w:xAlign="center" w:y="1"/>
      <w:rPr>
        <w:rStyle w:val="PageNumber"/>
      </w:rPr>
    </w:pPr>
  </w:p>
  <w:p w:rsidR="00423A4C" w14:paraId="0AA24A56"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267A56C8"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4105450"/>
      <w:docPartObj>
        <w:docPartGallery w:val="Page Numbers (Bottom of Page)"/>
        <w:docPartUnique/>
      </w:docPartObj>
    </w:sdtPr>
    <w:sdtEndPr>
      <w:rPr>
        <w:noProof/>
        <w:sz w:val="24"/>
        <w:szCs w:val="24"/>
      </w:rPr>
    </w:sdtEndPr>
    <w:sdtContent>
      <w:p w:rsidR="006E5F66" w:rsidRPr="006E5F66" w14:paraId="0C42D6ED" w14:textId="5C01B660">
        <w:pPr>
          <w:pStyle w:val="Footer"/>
          <w:jc w:val="center"/>
          <w:rPr>
            <w:sz w:val="24"/>
            <w:szCs w:val="24"/>
          </w:rPr>
        </w:pPr>
        <w:r w:rsidRPr="006E5F66">
          <w:rPr>
            <w:sz w:val="24"/>
            <w:szCs w:val="24"/>
          </w:rPr>
          <w:fldChar w:fldCharType="begin"/>
        </w:r>
        <w:r w:rsidRPr="006E5F66">
          <w:rPr>
            <w:sz w:val="24"/>
            <w:szCs w:val="24"/>
          </w:rPr>
          <w:instrText xml:space="preserve"> PAGE   \* MERGEFORMAT </w:instrText>
        </w:r>
        <w:r w:rsidRPr="006E5F66">
          <w:rPr>
            <w:sz w:val="24"/>
            <w:szCs w:val="24"/>
          </w:rPr>
          <w:fldChar w:fldCharType="separate"/>
        </w:r>
        <w:r w:rsidRPr="006E5F66">
          <w:rPr>
            <w:noProof/>
            <w:sz w:val="24"/>
            <w:szCs w:val="24"/>
          </w:rPr>
          <w:t>2</w:t>
        </w:r>
        <w:r w:rsidRPr="006E5F66">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3345729"/>
      <w:docPartObj>
        <w:docPartGallery w:val="Page Numbers (Bottom of Page)"/>
        <w:docPartUnique/>
      </w:docPartObj>
    </w:sdtPr>
    <w:sdtEndPr>
      <w:rPr>
        <w:noProof/>
        <w:sz w:val="24"/>
        <w:szCs w:val="24"/>
      </w:rPr>
    </w:sdtEndPr>
    <w:sdtContent>
      <w:p w:rsidR="00E236B8" w:rsidRPr="00E236B8" w14:paraId="51417437" w14:textId="5E7F5451">
        <w:pPr>
          <w:pStyle w:val="Footer"/>
          <w:jc w:val="center"/>
          <w:rPr>
            <w:sz w:val="24"/>
            <w:szCs w:val="24"/>
          </w:rPr>
        </w:pPr>
        <w:r w:rsidRPr="00E236B8">
          <w:rPr>
            <w:sz w:val="24"/>
            <w:szCs w:val="24"/>
          </w:rPr>
          <w:fldChar w:fldCharType="begin"/>
        </w:r>
        <w:r w:rsidRPr="00E236B8">
          <w:rPr>
            <w:sz w:val="24"/>
            <w:szCs w:val="24"/>
          </w:rPr>
          <w:instrText xml:space="preserve"> PAGE   \* MERGEFORMAT </w:instrText>
        </w:r>
        <w:r w:rsidRPr="00E236B8">
          <w:rPr>
            <w:sz w:val="24"/>
            <w:szCs w:val="24"/>
          </w:rPr>
          <w:fldChar w:fldCharType="separate"/>
        </w:r>
        <w:r w:rsidRPr="00E236B8">
          <w:rPr>
            <w:noProof/>
            <w:sz w:val="24"/>
            <w:szCs w:val="24"/>
          </w:rPr>
          <w:t>2</w:t>
        </w:r>
        <w:r w:rsidRPr="00E236B8">
          <w:rPr>
            <w:noProof/>
            <w:sz w:val="24"/>
            <w:szCs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62408603"/>
      <w:docPartObj>
        <w:docPartGallery w:val="Page Numbers (Bottom of Page)"/>
        <w:docPartUnique/>
      </w:docPartObj>
    </w:sdtPr>
    <w:sdtEndPr>
      <w:rPr>
        <w:noProof/>
        <w:sz w:val="24"/>
        <w:szCs w:val="24"/>
      </w:rPr>
    </w:sdtEndPr>
    <w:sdtContent>
      <w:p w:rsidR="00483D91" w:rsidRPr="00483D91" w14:paraId="1252BBC8" w14:textId="7AC48607">
        <w:pPr>
          <w:pStyle w:val="Footer"/>
          <w:jc w:val="center"/>
          <w:rPr>
            <w:sz w:val="24"/>
            <w:szCs w:val="24"/>
          </w:rPr>
        </w:pPr>
        <w:r w:rsidRPr="00483D91">
          <w:rPr>
            <w:sz w:val="24"/>
            <w:szCs w:val="24"/>
          </w:rPr>
          <w:fldChar w:fldCharType="begin"/>
        </w:r>
        <w:r w:rsidRPr="00483D91">
          <w:rPr>
            <w:sz w:val="24"/>
            <w:szCs w:val="24"/>
          </w:rPr>
          <w:instrText xml:space="preserve"> PAGE   \* MERGEFORMAT </w:instrText>
        </w:r>
        <w:r w:rsidRPr="00483D91">
          <w:rPr>
            <w:sz w:val="24"/>
            <w:szCs w:val="24"/>
          </w:rPr>
          <w:fldChar w:fldCharType="separate"/>
        </w:r>
        <w:r w:rsidRPr="00483D91">
          <w:rPr>
            <w:noProof/>
            <w:sz w:val="24"/>
            <w:szCs w:val="24"/>
          </w:rPr>
          <w:t>2</w:t>
        </w:r>
        <w:r w:rsidRPr="00483D91">
          <w:rPr>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730660"/>
      <w:docPartObj>
        <w:docPartGallery w:val="Page Numbers (Bottom of Page)"/>
        <w:docPartUnique/>
      </w:docPartObj>
    </w:sdtPr>
    <w:sdtEndPr>
      <w:rPr>
        <w:noProof/>
        <w:sz w:val="24"/>
        <w:szCs w:val="24"/>
      </w:rPr>
    </w:sdtEndPr>
    <w:sdtContent>
      <w:p w:rsidR="003327EC" w:rsidRPr="003327EC" w14:paraId="5CE52B5B" w14:textId="0E4E543C">
        <w:pPr>
          <w:pStyle w:val="Footer"/>
          <w:jc w:val="center"/>
          <w:rPr>
            <w:sz w:val="24"/>
            <w:szCs w:val="24"/>
          </w:rPr>
        </w:pPr>
        <w:r w:rsidRPr="003327EC">
          <w:rPr>
            <w:sz w:val="24"/>
            <w:szCs w:val="24"/>
          </w:rPr>
          <w:fldChar w:fldCharType="begin"/>
        </w:r>
        <w:r w:rsidRPr="003327EC">
          <w:rPr>
            <w:sz w:val="24"/>
            <w:szCs w:val="24"/>
          </w:rPr>
          <w:instrText xml:space="preserve"> PAGE   \* MERGEFORMAT </w:instrText>
        </w:r>
        <w:r w:rsidRPr="003327EC">
          <w:rPr>
            <w:sz w:val="24"/>
            <w:szCs w:val="24"/>
          </w:rPr>
          <w:fldChar w:fldCharType="separate"/>
        </w:r>
        <w:r w:rsidRPr="003327EC">
          <w:rPr>
            <w:noProof/>
            <w:sz w:val="24"/>
            <w:szCs w:val="24"/>
          </w:rPr>
          <w:t>2</w:t>
        </w:r>
        <w:r w:rsidRPr="003327EC">
          <w:rPr>
            <w:noProof/>
            <w:sz w:val="24"/>
            <w:szCs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rsidRPr="006749A8" w14:paraId="13CFF25B" w14:textId="77777777">
    <w:pPr>
      <w:pStyle w:val="Footer"/>
      <w:jc w:val="center"/>
      <w:rPr>
        <w:sz w:val="24"/>
        <w:szCs w:val="24"/>
      </w:rPr>
    </w:pPr>
    <w:r w:rsidRPr="006749A8">
      <w:rPr>
        <w:rStyle w:val="PageNumber"/>
        <w:sz w:val="24"/>
        <w:szCs w:val="24"/>
      </w:rPr>
      <w:fldChar w:fldCharType="begin"/>
    </w:r>
    <w:r w:rsidRPr="006749A8">
      <w:rPr>
        <w:rStyle w:val="PageNumber"/>
        <w:sz w:val="24"/>
        <w:szCs w:val="24"/>
      </w:rPr>
      <w:instrText xml:space="preserve"> PAGE </w:instrText>
    </w:r>
    <w:r w:rsidRPr="006749A8">
      <w:rPr>
        <w:rStyle w:val="PageNumber"/>
        <w:sz w:val="24"/>
        <w:szCs w:val="24"/>
      </w:rPr>
      <w:fldChar w:fldCharType="separate"/>
    </w:r>
    <w:r w:rsidRPr="006749A8" w:rsidR="00C94AB1">
      <w:rPr>
        <w:rStyle w:val="PageNumber"/>
        <w:noProof/>
        <w:sz w:val="24"/>
        <w:szCs w:val="24"/>
      </w:rPr>
      <w:t>65</w:t>
    </w:r>
    <w:r w:rsidRPr="006749A8">
      <w:rPr>
        <w:rStyle w:val="PageNumber"/>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367494"/>
      <w:docPartObj>
        <w:docPartGallery w:val="Page Numbers (Bottom of Page)"/>
        <w:docPartUnique/>
      </w:docPartObj>
    </w:sdtPr>
    <w:sdtEndPr>
      <w:rPr>
        <w:noProof/>
        <w:sz w:val="24"/>
        <w:szCs w:val="24"/>
      </w:rPr>
    </w:sdtEndPr>
    <w:sdtContent>
      <w:p w:rsidR="006749A8" w:rsidRPr="006749A8" w14:paraId="44F95616" w14:textId="3E9219E8">
        <w:pPr>
          <w:pStyle w:val="Footer"/>
          <w:jc w:val="center"/>
          <w:rPr>
            <w:sz w:val="24"/>
            <w:szCs w:val="24"/>
          </w:rPr>
        </w:pPr>
        <w:r w:rsidRPr="006749A8">
          <w:rPr>
            <w:sz w:val="24"/>
            <w:szCs w:val="24"/>
          </w:rPr>
          <w:fldChar w:fldCharType="begin"/>
        </w:r>
        <w:r w:rsidRPr="006749A8">
          <w:rPr>
            <w:sz w:val="24"/>
            <w:szCs w:val="24"/>
          </w:rPr>
          <w:instrText xml:space="preserve"> PAGE   \* MERGEFORMAT </w:instrText>
        </w:r>
        <w:r w:rsidRPr="006749A8">
          <w:rPr>
            <w:sz w:val="24"/>
            <w:szCs w:val="24"/>
          </w:rPr>
          <w:fldChar w:fldCharType="separate"/>
        </w:r>
        <w:r w:rsidRPr="006749A8">
          <w:rPr>
            <w:noProof/>
            <w:sz w:val="24"/>
            <w:szCs w:val="24"/>
          </w:rPr>
          <w:t>2</w:t>
        </w:r>
        <w:r w:rsidRPr="006749A8">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44D2D" w14:paraId="69D2B7F3" w14:textId="77777777">
      <w:r>
        <w:separator/>
      </w:r>
    </w:p>
  </w:footnote>
  <w:footnote w:type="continuationSeparator" w:id="1">
    <w:p w:rsidR="00444D2D" w14:paraId="7ED7B9D5" w14:textId="77777777">
      <w:r>
        <w:continuationSeparator/>
      </w:r>
    </w:p>
  </w:footnote>
  <w:footnote w:id="2">
    <w:p w:rsidR="00B2352E" w:rsidRPr="00E725AF" w:rsidP="001D7F98" w14:paraId="39FAD741" w14:textId="37971D7C">
      <w:pPr>
        <w:pStyle w:val="FootnoteText"/>
        <w:spacing w:after="120"/>
      </w:pPr>
      <w:r w:rsidRPr="00E725AF">
        <w:rPr>
          <w:rStyle w:val="FootnoteReference"/>
        </w:rPr>
        <w:footnoteRef/>
      </w:r>
      <w:r w:rsidRPr="00E725AF">
        <w:t xml:space="preserve"> J. Zuckerman, </w:t>
      </w:r>
      <w:r w:rsidRPr="00E725AF" w:rsidR="00C806C8">
        <w:rPr>
          <w:i/>
          <w:iCs/>
        </w:rPr>
        <w:t>Millions of Ohioans face home gas and electric rate hikes</w:t>
      </w:r>
      <w:r w:rsidRPr="00E725AF" w:rsidR="00C806C8">
        <w:t>, Ohio Capital Journal</w:t>
      </w:r>
      <w:r w:rsidRPr="00E725AF" w:rsidR="00C806C8">
        <w:rPr>
          <w:i/>
          <w:iCs/>
        </w:rPr>
        <w:t xml:space="preserve"> </w:t>
      </w:r>
      <w:r w:rsidRPr="00E725AF" w:rsidR="00C806C8">
        <w:t xml:space="preserve">(June 28, 2022); </w:t>
      </w:r>
      <w:r w:rsidRPr="00E725AF" w:rsidR="00A2011C">
        <w:rPr>
          <w:i/>
          <w:iCs/>
        </w:rPr>
        <w:t xml:space="preserve">Consumer Price Index – November 2022, </w:t>
      </w:r>
      <w:r w:rsidRPr="00E725AF" w:rsidR="00A2011C">
        <w:t xml:space="preserve">U.S. Bureau of Labor Statistics (Dec. 13, 2022) (reporting a 7.1% annual increase in inflation before seasonal adjustment); </w:t>
      </w:r>
      <w:r w:rsidRPr="00E725AF" w:rsidR="00A2011C">
        <w:rPr>
          <w:i/>
          <w:iCs/>
        </w:rPr>
        <w:t xml:space="preserve">Ohio’s unemployment rate increased to 4.2% in October, </w:t>
      </w:r>
      <w:r w:rsidRPr="00E725AF" w:rsidR="00A2011C">
        <w:t>Ohio Department of Jobs and Family Services (Nov. 18, 2022).</w:t>
      </w:r>
    </w:p>
  </w:footnote>
  <w:footnote w:id="3">
    <w:p w:rsidR="00C806C8" w:rsidRPr="00E725AF" w:rsidP="001D7F98" w14:paraId="6D011D44" w14:textId="67799DD3">
      <w:pPr>
        <w:pStyle w:val="FootnoteText"/>
        <w:spacing w:after="120"/>
      </w:pPr>
      <w:r w:rsidRPr="00E725AF">
        <w:rPr>
          <w:rStyle w:val="FootnoteReference"/>
        </w:rPr>
        <w:footnoteRef/>
      </w:r>
      <w:r w:rsidRPr="00E725AF">
        <w:t xml:space="preserve"> S. Min, </w:t>
      </w:r>
      <w:r w:rsidRPr="00E725AF">
        <w:rPr>
          <w:i/>
          <w:iCs/>
        </w:rPr>
        <w:t>Dow closes out its worst day in three months, falls more than 700 points as recession fears</w:t>
      </w:r>
      <w:r w:rsidR="000E23EF">
        <w:rPr>
          <w:i/>
          <w:iCs/>
        </w:rPr>
        <w:t xml:space="preserve"> </w:t>
      </w:r>
      <w:r w:rsidRPr="00E725AF">
        <w:rPr>
          <w:i/>
          <w:iCs/>
        </w:rPr>
        <w:t xml:space="preserve">grow, </w:t>
      </w:r>
      <w:r w:rsidRPr="00E725AF">
        <w:t>CNBC.co</w:t>
      </w:r>
      <w:r w:rsidR="000E23EF">
        <w:t>m</w:t>
      </w:r>
      <w:r w:rsidRPr="00E725AF">
        <w:t xml:space="preserve"> (Dec. 15, 2022).</w:t>
      </w:r>
    </w:p>
  </w:footnote>
  <w:footnote w:id="4">
    <w:p w:rsidR="00C806C8" w:rsidRPr="00E725AF" w:rsidP="001D7F98" w14:paraId="29E41C74" w14:textId="177DFC25">
      <w:pPr>
        <w:pStyle w:val="FootnoteText"/>
        <w:spacing w:after="120"/>
        <w:rPr>
          <w:i/>
        </w:rPr>
      </w:pPr>
      <w:r w:rsidRPr="00E725AF">
        <w:rPr>
          <w:rStyle w:val="FootnoteReference"/>
        </w:rPr>
        <w:footnoteRef/>
      </w:r>
      <w:r w:rsidRPr="00E725AF" w:rsidR="00A2011C">
        <w:t xml:space="preserve"> </w:t>
      </w:r>
      <w:r w:rsidRPr="00E725AF" w:rsidR="00A2011C">
        <w:rPr>
          <w:i/>
        </w:rPr>
        <w:t>Id.</w:t>
      </w:r>
    </w:p>
  </w:footnote>
  <w:footnote w:id="5">
    <w:p w:rsidR="000F5542" w:rsidRPr="00E725AF" w:rsidP="001D7F98" w14:paraId="16BD71B8" w14:textId="77777777">
      <w:pPr>
        <w:pStyle w:val="FootnoteText"/>
        <w:spacing w:after="120"/>
      </w:pPr>
      <w:r w:rsidRPr="00E725AF">
        <w:rPr>
          <w:rStyle w:val="FootnoteReference"/>
        </w:rPr>
        <w:footnoteRef/>
      </w:r>
      <w:r w:rsidRPr="00E725AF">
        <w:t xml:space="preserve"> Opinion and Order (Dec. 14, 2022).</w:t>
      </w:r>
    </w:p>
  </w:footnote>
  <w:footnote w:id="6">
    <w:p w:rsidR="00394910" w:rsidRPr="00E725AF" w:rsidP="001D7F98" w14:paraId="0BE1D2AB" w14:textId="77777777">
      <w:pPr>
        <w:pStyle w:val="FootnoteText"/>
        <w:spacing w:after="120"/>
      </w:pPr>
      <w:r w:rsidRPr="00E725AF">
        <w:rPr>
          <w:rStyle w:val="FootnoteReference"/>
        </w:rPr>
        <w:footnoteRef/>
      </w:r>
      <w:r w:rsidRPr="00E725AF">
        <w:t xml:space="preserve"> PUCO Staff Ex. 1 (Staff Report) at 6.</w:t>
      </w:r>
    </w:p>
  </w:footnote>
  <w:footnote w:id="7">
    <w:p w:rsidR="00BF2183" w:rsidRPr="00B52D65" w:rsidP="001D7F98" w14:paraId="15F80104" w14:textId="77777777">
      <w:pPr>
        <w:pStyle w:val="FootnoteText"/>
        <w:spacing w:after="120"/>
      </w:pPr>
      <w:r w:rsidRPr="00B52D65">
        <w:rPr>
          <w:rStyle w:val="FootnoteReference"/>
        </w:rPr>
        <w:footnoteRef/>
      </w:r>
      <w:r w:rsidRPr="00B52D65">
        <w:t xml:space="preserve"> Joint Exhibit 1 (Stipulation and Recommendations). On September 19, 2022, Duke filed a Stipulation and Recommendation and a Corrected Stipulation and Recommendation collectively admitted into evidence as Joint Exhibit 1 and referred to in OCC’s Initial Brief as the “Settlement.”</w:t>
      </w:r>
    </w:p>
  </w:footnote>
  <w:footnote w:id="8">
    <w:p w:rsidR="00BF2183" w:rsidRPr="00E725AF" w:rsidP="001D7F98" w14:paraId="69A8C63E" w14:textId="77777777">
      <w:pPr>
        <w:pStyle w:val="FootnoteText"/>
        <w:spacing w:after="120"/>
      </w:pPr>
      <w:r w:rsidRPr="00E725AF">
        <w:rPr>
          <w:rStyle w:val="FootnoteReference"/>
        </w:rPr>
        <w:footnoteRef/>
      </w:r>
      <w:r w:rsidRPr="00E725AF">
        <w:t xml:space="preserve"> Opinion and Order (Dec. 14, 2022).</w:t>
      </w:r>
    </w:p>
  </w:footnote>
  <w:footnote w:id="9">
    <w:p w:rsidR="00D01C2F" w:rsidRPr="00E725AF" w:rsidP="001D7F98" w14:paraId="097E2A0C" w14:textId="77777777">
      <w:pPr>
        <w:pStyle w:val="FootnoteText"/>
        <w:spacing w:after="120"/>
      </w:pPr>
      <w:r w:rsidRPr="00E725AF">
        <w:rPr>
          <w:rStyle w:val="FootnoteReference"/>
        </w:rPr>
        <w:footnoteRef/>
      </w:r>
      <w:r w:rsidRPr="00E725AF">
        <w:t xml:space="preserve"> PUCO Staff Ex. 1 (Staff Report) at 6.</w:t>
      </w:r>
    </w:p>
  </w:footnote>
  <w:footnote w:id="10">
    <w:p w:rsidR="006D5519" w:rsidP="001D7F98" w14:paraId="3613D367" w14:textId="77777777">
      <w:pPr>
        <w:pStyle w:val="FootnoteText"/>
        <w:spacing w:after="120"/>
      </w:pPr>
      <w:r>
        <w:rPr>
          <w:rStyle w:val="FootnoteReference"/>
        </w:rPr>
        <w:footnoteRef/>
      </w:r>
      <w:r>
        <w:t xml:space="preserve"> R.C. 4903.082.</w:t>
      </w:r>
    </w:p>
  </w:footnote>
  <w:footnote w:id="11">
    <w:p w:rsidR="009D5596" w:rsidP="001D7F98" w14:paraId="225F1E9F" w14:textId="08DBF4A5">
      <w:pPr>
        <w:pStyle w:val="FootnoteText"/>
        <w:spacing w:after="120"/>
      </w:pPr>
      <w:r>
        <w:rPr>
          <w:rStyle w:val="FootnoteReference"/>
        </w:rPr>
        <w:footnoteRef/>
      </w:r>
      <w:r>
        <w:t xml:space="preserve"> Order at ¶ 103.</w:t>
      </w:r>
    </w:p>
  </w:footnote>
  <w:footnote w:id="12">
    <w:p w:rsidR="00125144" w:rsidP="001D7F98" w14:paraId="2183188F" w14:textId="7F69FA50">
      <w:pPr>
        <w:pStyle w:val="FootnoteText"/>
        <w:spacing w:after="120"/>
      </w:pPr>
      <w:r>
        <w:rPr>
          <w:rStyle w:val="FootnoteReference"/>
        </w:rPr>
        <w:footnoteRef/>
      </w:r>
      <w:r>
        <w:t xml:space="preserve"> </w:t>
      </w:r>
      <w:r>
        <w:rPr>
          <w:i/>
          <w:iCs/>
        </w:rPr>
        <w:t>See</w:t>
      </w:r>
      <w:r>
        <w:t xml:space="preserve"> </w:t>
      </w:r>
      <w:r w:rsidRPr="00E725AF">
        <w:rPr>
          <w:color w:val="000000" w:themeColor="text1"/>
          <w:szCs w:val="24"/>
        </w:rPr>
        <w:t>R.C. 4928.02(A)</w:t>
      </w:r>
      <w:r>
        <w:rPr>
          <w:color w:val="000000" w:themeColor="text1"/>
          <w:szCs w:val="24"/>
        </w:rPr>
        <w:t xml:space="preserve">; </w:t>
      </w:r>
      <w:r w:rsidRPr="00E725AF">
        <w:rPr>
          <w:color w:val="000000" w:themeColor="text1"/>
          <w:szCs w:val="24"/>
        </w:rPr>
        <w:t>R.C. 4905.33</w:t>
      </w:r>
      <w:r w:rsidR="001F2AF4">
        <w:rPr>
          <w:color w:val="000000" w:themeColor="text1"/>
          <w:szCs w:val="24"/>
        </w:rPr>
        <w:t>.</w:t>
      </w:r>
    </w:p>
  </w:footnote>
  <w:footnote w:id="13">
    <w:p w:rsidR="00D05F67" w:rsidP="001D7F98" w14:paraId="44A31B97" w14:textId="1D9B47AE">
      <w:pPr>
        <w:pStyle w:val="FootnoteText"/>
        <w:spacing w:after="120"/>
      </w:pPr>
      <w:r>
        <w:rPr>
          <w:rStyle w:val="FootnoteReference"/>
        </w:rPr>
        <w:footnoteRef/>
      </w:r>
      <w:r>
        <w:t xml:space="preserve"> Order at ¶ 90. </w:t>
      </w:r>
    </w:p>
  </w:footnote>
  <w:footnote w:id="14">
    <w:p w:rsidR="00822F39" w:rsidP="001D7F98" w14:paraId="6C5C9E57" w14:textId="78B5FB76">
      <w:pPr>
        <w:pStyle w:val="FootnoteText"/>
        <w:spacing w:after="120"/>
      </w:pPr>
      <w:r>
        <w:rPr>
          <w:rStyle w:val="FootnoteReference"/>
        </w:rPr>
        <w:footnoteRef/>
      </w:r>
      <w:r>
        <w:t xml:space="preserve"> Order at</w:t>
      </w:r>
      <w:r w:rsidR="003679FC">
        <w:t xml:space="preserve"> ¶¶ 100-104. </w:t>
      </w:r>
    </w:p>
  </w:footnote>
  <w:footnote w:id="15">
    <w:p w:rsidR="00F75698" w:rsidP="001D7F98" w14:paraId="4C72156C" w14:textId="77777777">
      <w:pPr>
        <w:pStyle w:val="FootnoteText"/>
        <w:spacing w:after="120"/>
      </w:pPr>
      <w:r>
        <w:rPr>
          <w:rStyle w:val="FootnoteReference"/>
        </w:rPr>
        <w:footnoteRef/>
      </w:r>
      <w:r>
        <w:t xml:space="preserve"> Order at ¶ 100.</w:t>
      </w:r>
    </w:p>
  </w:footnote>
  <w:footnote w:id="16">
    <w:p w:rsidR="00594F5C" w:rsidP="001D7F98" w14:paraId="22DF1397" w14:textId="3802DFAE">
      <w:pPr>
        <w:pStyle w:val="FootnoteText"/>
        <w:spacing w:after="120"/>
      </w:pPr>
      <w:r>
        <w:rPr>
          <w:rStyle w:val="FootnoteReference"/>
        </w:rPr>
        <w:footnoteRef/>
      </w:r>
      <w:r>
        <w:t xml:space="preserve"> Order at ¶ 99.</w:t>
      </w:r>
    </w:p>
  </w:footnote>
  <w:footnote w:id="17">
    <w:p w:rsidR="008718B4" w:rsidRPr="007D4C6F" w:rsidP="001D7F98" w14:paraId="7BE8D703" w14:textId="5E2C0304">
      <w:pPr>
        <w:pStyle w:val="FootnoteText"/>
        <w:spacing w:after="120"/>
      </w:pPr>
      <w:r w:rsidRPr="007D4C6F">
        <w:rPr>
          <w:rStyle w:val="FootnoteReference"/>
        </w:rPr>
        <w:footnoteRef/>
      </w:r>
      <w:r w:rsidRPr="007D4C6F">
        <w:t xml:space="preserve"> </w:t>
      </w:r>
      <w:r w:rsidRPr="007D4C6F">
        <w:rPr>
          <w:i/>
          <w:iCs/>
        </w:rPr>
        <w:t>In the Matter of the Application of Ohio Edison Company, et al</w:t>
      </w:r>
      <w:r w:rsidRPr="007D4C6F">
        <w:t>., Case No. 08-935-EL-SS0, et al., Concurring and Dissenting Opinion of Cheryl Roberto, at 2</w:t>
      </w:r>
      <w:r w:rsidR="00DF1350">
        <w:t xml:space="preserve"> (Mar. 25, 2009)</w:t>
      </w:r>
      <w:r w:rsidRPr="007D4C6F">
        <w:t>.</w:t>
      </w:r>
    </w:p>
  </w:footnote>
  <w:footnote w:id="18">
    <w:p w:rsidR="002400EC" w:rsidP="001D7F98" w14:paraId="0899A8DF" w14:textId="77777777">
      <w:pPr>
        <w:pStyle w:val="FootnoteText"/>
        <w:spacing w:after="120"/>
      </w:pPr>
      <w:r>
        <w:rPr>
          <w:rStyle w:val="FootnoteReference"/>
        </w:rPr>
        <w:footnoteRef/>
      </w:r>
      <w:r>
        <w:t xml:space="preserve"> Order at ¶ 101.</w:t>
      </w:r>
    </w:p>
  </w:footnote>
  <w:footnote w:id="19">
    <w:p w:rsidR="002400EC" w:rsidP="001D7F98" w14:paraId="09F03507" w14:textId="77777777">
      <w:pPr>
        <w:pStyle w:val="FootnoteText"/>
        <w:spacing w:after="120"/>
      </w:pPr>
      <w:r>
        <w:rPr>
          <w:rStyle w:val="FootnoteReference"/>
        </w:rPr>
        <w:footnoteRef/>
      </w:r>
      <w:r>
        <w:t xml:space="preserve"> O.A.C. 4901-1-30(D).</w:t>
      </w:r>
    </w:p>
  </w:footnote>
  <w:footnote w:id="20">
    <w:p w:rsidR="009F3571" w:rsidP="001D7F98" w14:paraId="4F828CA6" w14:textId="4AE6866D">
      <w:pPr>
        <w:pStyle w:val="FootnoteText"/>
        <w:spacing w:after="120"/>
      </w:pPr>
      <w:r>
        <w:rPr>
          <w:rStyle w:val="FootnoteReference"/>
        </w:rPr>
        <w:footnoteRef/>
      </w:r>
      <w:r>
        <w:t xml:space="preserve"> OCC Ex. 3 (Williams Supplemental) at 7-8.</w:t>
      </w:r>
    </w:p>
  </w:footnote>
  <w:footnote w:id="21">
    <w:p w:rsidR="00D20007" w:rsidP="001D7F98" w14:paraId="4FBACDBF" w14:textId="4E25830E">
      <w:pPr>
        <w:pStyle w:val="FootnoteText"/>
        <w:spacing w:after="120"/>
      </w:pPr>
      <w:r>
        <w:rPr>
          <w:rStyle w:val="FootnoteReference"/>
        </w:rPr>
        <w:footnoteRef/>
      </w:r>
      <w:r>
        <w:t xml:space="preserve"> Order at ¶ 24.</w:t>
      </w:r>
    </w:p>
  </w:footnote>
  <w:footnote w:id="22">
    <w:p w:rsidR="005977FD" w:rsidP="001D7F98" w14:paraId="08C13ECD" w14:textId="534074D2">
      <w:pPr>
        <w:pStyle w:val="FootnoteText"/>
        <w:spacing w:after="120"/>
      </w:pPr>
      <w:r>
        <w:rPr>
          <w:rStyle w:val="FootnoteReference"/>
        </w:rPr>
        <w:footnoteRef/>
      </w:r>
      <w:r>
        <w:t xml:space="preserve"> Order at ¶ 101.</w:t>
      </w:r>
    </w:p>
  </w:footnote>
  <w:footnote w:id="23">
    <w:p w:rsidR="00A144CB" w:rsidP="001D7F98" w14:paraId="78323ADD" w14:textId="6D672B55">
      <w:pPr>
        <w:pStyle w:val="FootnoteText"/>
        <w:spacing w:after="120"/>
      </w:pPr>
      <w:r>
        <w:rPr>
          <w:rStyle w:val="FootnoteReference"/>
        </w:rPr>
        <w:footnoteRef/>
      </w:r>
      <w:r>
        <w:t xml:space="preserve"> Ord</w:t>
      </w:r>
      <w:r w:rsidR="00E96AA4">
        <w:t xml:space="preserve">er at ¶ 136. </w:t>
      </w:r>
    </w:p>
  </w:footnote>
  <w:footnote w:id="24">
    <w:p w:rsidR="00A667F8" w:rsidP="001D7F98" w14:paraId="420A07C1" w14:textId="1FB4C274">
      <w:pPr>
        <w:pStyle w:val="FootnoteText"/>
        <w:spacing w:after="120"/>
      </w:pPr>
      <w:r>
        <w:rPr>
          <w:rStyle w:val="FootnoteReference"/>
        </w:rPr>
        <w:footnoteRef/>
      </w:r>
      <w:r>
        <w:t xml:space="preserve"> Ohio Energy Group (“OEG”)</w:t>
      </w:r>
      <w:r w:rsidR="001F2AF4">
        <w:t>.</w:t>
      </w:r>
    </w:p>
  </w:footnote>
  <w:footnote w:id="25">
    <w:p w:rsidR="002E3C76" w:rsidP="001D7F98" w14:paraId="7C6E5BF2" w14:textId="3C533F11">
      <w:pPr>
        <w:pStyle w:val="FootnoteText"/>
        <w:spacing w:after="120"/>
      </w:pPr>
      <w:r>
        <w:rPr>
          <w:rStyle w:val="FootnoteReference"/>
        </w:rPr>
        <w:footnoteRef/>
      </w:r>
      <w:r>
        <w:t xml:space="preserve"> Kroger and</w:t>
      </w:r>
      <w:r w:rsidR="00A667F8">
        <w:t xml:space="preserve"> Ohio Manufacturers’ Association Energy Group</w:t>
      </w:r>
      <w:r>
        <w:t xml:space="preserve"> </w:t>
      </w:r>
      <w:r w:rsidR="00A667F8">
        <w:t>(“</w:t>
      </w:r>
      <w:r>
        <w:t>OMAEG</w:t>
      </w:r>
      <w:r w:rsidR="00A667F8">
        <w:t>”)</w:t>
      </w:r>
      <w:r>
        <w:t xml:space="preserve"> </w:t>
      </w:r>
      <w:r w:rsidR="00081936">
        <w:t>signed the</w:t>
      </w:r>
      <w:r w:rsidR="001870D9">
        <w:t xml:space="preserve"> Settlement</w:t>
      </w:r>
      <w:r w:rsidR="00081936">
        <w:t xml:space="preserve"> as non-opposing parties</w:t>
      </w:r>
      <w:r w:rsidR="001870D9">
        <w:t>.</w:t>
      </w:r>
    </w:p>
  </w:footnote>
  <w:footnote w:id="26">
    <w:p w:rsidR="00081936" w:rsidP="001D7F98" w14:paraId="1F346EAE" w14:textId="0C61E4D7">
      <w:pPr>
        <w:pStyle w:val="FootnoteText"/>
        <w:spacing w:after="120"/>
      </w:pPr>
      <w:r>
        <w:rPr>
          <w:rStyle w:val="FootnoteReference"/>
        </w:rPr>
        <w:footnoteRef/>
      </w:r>
      <w:r>
        <w:t xml:space="preserve"> OneEnergy signed the Settlement as a non-opposing party</w:t>
      </w:r>
      <w:r w:rsidR="00A76D54">
        <w:t>.</w:t>
      </w:r>
      <w:r>
        <w:t xml:space="preserve"> </w:t>
      </w:r>
    </w:p>
  </w:footnote>
  <w:footnote w:id="27">
    <w:p w:rsidR="00FC5713" w:rsidP="001D7F98" w14:paraId="3EC6B599" w14:textId="6C499C42">
      <w:pPr>
        <w:pStyle w:val="FootnoteText"/>
        <w:spacing w:after="120"/>
      </w:pPr>
      <w:r>
        <w:rPr>
          <w:rStyle w:val="FootnoteReference"/>
        </w:rPr>
        <w:footnoteRef/>
      </w:r>
      <w:r>
        <w:t xml:space="preserve"> Order at</w:t>
      </w:r>
      <w:r w:rsidR="00E42CC7">
        <w:t xml:space="preserve"> ¶ 101</w:t>
      </w:r>
      <w:r w:rsidR="001D7F98">
        <w:t>.</w:t>
      </w:r>
    </w:p>
  </w:footnote>
  <w:footnote w:id="28">
    <w:p w:rsidR="00A667F8" w:rsidP="001D7F98" w14:paraId="54974789" w14:textId="2470AFFB">
      <w:pPr>
        <w:pStyle w:val="FootnoteText"/>
        <w:spacing w:after="120"/>
      </w:pPr>
      <w:r>
        <w:rPr>
          <w:rStyle w:val="FootnoteReference"/>
        </w:rPr>
        <w:footnoteRef/>
      </w:r>
      <w:r>
        <w:t xml:space="preserve"> OCC Ex. 3 (Williams Supplemental) at 7-8.</w:t>
      </w:r>
    </w:p>
  </w:footnote>
  <w:footnote w:id="29">
    <w:p w:rsidR="00A57D2E" w:rsidP="001D7F98" w14:paraId="51DD8FB1" w14:textId="44FE07D9">
      <w:pPr>
        <w:pStyle w:val="FootnoteText"/>
        <w:spacing w:after="120"/>
      </w:pPr>
      <w:r>
        <w:rPr>
          <w:rStyle w:val="FootnoteReference"/>
        </w:rPr>
        <w:footnoteRef/>
      </w:r>
      <w:r>
        <w:t xml:space="preserve"> Order at ¶ 102.</w:t>
      </w:r>
    </w:p>
  </w:footnote>
  <w:footnote w:id="30">
    <w:p w:rsidR="00A657CF" w:rsidRPr="00714C74" w:rsidP="001D7F98" w14:paraId="31BD949B" w14:textId="77777777">
      <w:pPr>
        <w:pStyle w:val="FootnoteText"/>
        <w:spacing w:after="120"/>
        <w:rPr>
          <w:i/>
          <w:iCs/>
        </w:rPr>
      </w:pPr>
      <w:r>
        <w:rPr>
          <w:rStyle w:val="FootnoteReference"/>
        </w:rPr>
        <w:footnoteRef/>
      </w:r>
      <w:r>
        <w:t xml:space="preserve"> </w:t>
      </w:r>
      <w:r>
        <w:rPr>
          <w:i/>
          <w:iCs/>
        </w:rPr>
        <w:t>Id.</w:t>
      </w:r>
    </w:p>
  </w:footnote>
  <w:footnote w:id="31">
    <w:p w:rsidR="00A657CF" w:rsidRPr="00A657CF" w:rsidP="001D7F98" w14:paraId="0C3003BA" w14:textId="709C4F4B">
      <w:pPr>
        <w:pStyle w:val="FootnoteText"/>
        <w:spacing w:after="120"/>
        <w:rPr>
          <w:i/>
          <w:iCs/>
        </w:rPr>
      </w:pPr>
      <w:r>
        <w:rPr>
          <w:rStyle w:val="FootnoteReference"/>
        </w:rPr>
        <w:footnoteRef/>
      </w:r>
      <w:r>
        <w:t xml:space="preserve"> </w:t>
      </w:r>
      <w:r>
        <w:rPr>
          <w:i/>
          <w:iCs/>
        </w:rPr>
        <w:t xml:space="preserve">Id. </w:t>
      </w:r>
    </w:p>
  </w:footnote>
  <w:footnote w:id="32">
    <w:p w:rsidR="00A657CF" w:rsidRPr="00A657CF" w:rsidP="001D7F98" w14:paraId="5B5396F5" w14:textId="2D35824E">
      <w:pPr>
        <w:pStyle w:val="FootnoteText"/>
        <w:spacing w:after="120"/>
        <w:rPr>
          <w:i/>
          <w:iCs/>
        </w:rPr>
      </w:pPr>
      <w:r>
        <w:rPr>
          <w:rStyle w:val="FootnoteReference"/>
        </w:rPr>
        <w:footnoteRef/>
      </w:r>
      <w:r>
        <w:t xml:space="preserve"> </w:t>
      </w:r>
      <w:r>
        <w:rPr>
          <w:i/>
          <w:iCs/>
        </w:rPr>
        <w:t>Id.</w:t>
      </w:r>
    </w:p>
  </w:footnote>
  <w:footnote w:id="33">
    <w:p w:rsidR="000B5005" w:rsidP="001D7F98" w14:paraId="77855815" w14:textId="080426FD">
      <w:pPr>
        <w:pStyle w:val="FootnoteText"/>
        <w:spacing w:after="120"/>
      </w:pPr>
      <w:r>
        <w:rPr>
          <w:rStyle w:val="FootnoteReference"/>
        </w:rPr>
        <w:footnoteRef/>
      </w:r>
      <w:r>
        <w:t xml:space="preserve"> Order at ¶ 85.</w:t>
      </w:r>
    </w:p>
  </w:footnote>
  <w:footnote w:id="34">
    <w:p w:rsidR="008578C1" w:rsidP="001D7F98" w14:paraId="4953F9DE" w14:textId="043FC628">
      <w:pPr>
        <w:pStyle w:val="FootnoteText"/>
        <w:spacing w:after="120"/>
      </w:pPr>
      <w:r>
        <w:rPr>
          <w:rStyle w:val="FootnoteReference"/>
        </w:rPr>
        <w:footnoteRef/>
      </w:r>
      <w:r>
        <w:t xml:space="preserve"> Order at ¶ 102.</w:t>
      </w:r>
    </w:p>
  </w:footnote>
  <w:footnote w:id="35">
    <w:p w:rsidR="0097430B" w:rsidRPr="00B52D65" w:rsidP="001D7F98" w14:paraId="0D93A466" w14:textId="34735171">
      <w:pPr>
        <w:pStyle w:val="FootnoteText"/>
        <w:spacing w:after="120"/>
      </w:pPr>
      <w:r w:rsidRPr="00B52D65">
        <w:rPr>
          <w:rStyle w:val="FootnoteReference"/>
        </w:rPr>
        <w:footnoteRef/>
      </w:r>
      <w:r w:rsidRPr="00B52D65">
        <w:t xml:space="preserve"> </w:t>
      </w:r>
      <w:r w:rsidRPr="00B52D65">
        <w:rPr>
          <w:i/>
          <w:iCs/>
        </w:rPr>
        <w:t xml:space="preserve">Id. </w:t>
      </w:r>
      <w:r w:rsidRPr="00B52D65">
        <w:t xml:space="preserve">at </w:t>
      </w:r>
      <w:r>
        <w:t>¶ 81.</w:t>
      </w:r>
    </w:p>
  </w:footnote>
  <w:footnote w:id="36">
    <w:p w:rsidR="0097430B" w:rsidRPr="00B52D65" w:rsidP="001D7F98" w14:paraId="74169A1E" w14:textId="5F4959E7">
      <w:pPr>
        <w:pStyle w:val="FootnoteText"/>
        <w:spacing w:after="120"/>
      </w:pPr>
      <w:r w:rsidRPr="00B52D65">
        <w:rPr>
          <w:rStyle w:val="FootnoteReference"/>
        </w:rPr>
        <w:footnoteRef/>
      </w:r>
      <w:r w:rsidRPr="00B52D65">
        <w:t xml:space="preserve"> </w:t>
      </w:r>
      <w:r w:rsidRPr="00B52D65">
        <w:rPr>
          <w:i/>
          <w:iCs/>
        </w:rPr>
        <w:t>Id.</w:t>
      </w:r>
      <w:r w:rsidRPr="00B52D65">
        <w:t xml:space="preserve"> at </w:t>
      </w:r>
      <w:r>
        <w:t>¶ 82</w:t>
      </w:r>
      <w:r w:rsidRPr="00B52D65">
        <w:t>.</w:t>
      </w:r>
    </w:p>
  </w:footnote>
  <w:footnote w:id="37">
    <w:p w:rsidR="0097430B" w:rsidRPr="00B52D65" w:rsidP="001D7F98" w14:paraId="22237287" w14:textId="3741609E">
      <w:pPr>
        <w:pStyle w:val="FootnoteText"/>
        <w:spacing w:after="120"/>
      </w:pPr>
      <w:r w:rsidRPr="00B52D65">
        <w:rPr>
          <w:rStyle w:val="FootnoteReference"/>
        </w:rPr>
        <w:footnoteRef/>
      </w:r>
      <w:r w:rsidRPr="00B52D65">
        <w:t xml:space="preserve"> </w:t>
      </w:r>
      <w:r w:rsidRPr="00B52D65">
        <w:rPr>
          <w:i/>
          <w:iCs/>
        </w:rPr>
        <w:t xml:space="preserve">Id. </w:t>
      </w:r>
      <w:r w:rsidRPr="00B52D65">
        <w:t xml:space="preserve">at </w:t>
      </w:r>
      <w:r>
        <w:t>¶ 83</w:t>
      </w:r>
      <w:r w:rsidRPr="00B52D65">
        <w:t>.</w:t>
      </w:r>
    </w:p>
  </w:footnote>
  <w:footnote w:id="38">
    <w:p w:rsidR="0097430B" w:rsidRPr="00B52D65" w:rsidP="001D7F98" w14:paraId="44ED61CF" w14:textId="205D5691">
      <w:pPr>
        <w:pStyle w:val="FootnoteText"/>
        <w:spacing w:after="120"/>
      </w:pPr>
      <w:r w:rsidRPr="00B52D65">
        <w:rPr>
          <w:rStyle w:val="FootnoteReference"/>
        </w:rPr>
        <w:footnoteRef/>
      </w:r>
      <w:r w:rsidRPr="00B52D65">
        <w:t xml:space="preserve"> </w:t>
      </w:r>
      <w:r w:rsidRPr="00B52D65">
        <w:rPr>
          <w:i/>
          <w:iCs/>
        </w:rPr>
        <w:t>Id.</w:t>
      </w:r>
      <w:r w:rsidRPr="00B52D65">
        <w:t xml:space="preserve"> at </w:t>
      </w:r>
      <w:r>
        <w:t>¶ 84.</w:t>
      </w:r>
    </w:p>
  </w:footnote>
  <w:footnote w:id="39">
    <w:p w:rsidR="009324F8" w:rsidRPr="00922BFD" w:rsidP="001D7F98" w14:paraId="792B6209" w14:textId="0F8E5DF9">
      <w:pPr>
        <w:pStyle w:val="FootnoteText"/>
        <w:spacing w:after="120"/>
      </w:pPr>
      <w:r>
        <w:rPr>
          <w:rStyle w:val="FootnoteReference"/>
        </w:rPr>
        <w:footnoteRef/>
      </w:r>
      <w:r>
        <w:t xml:space="preserve"> Order at ¶ 103</w:t>
      </w:r>
      <w:r w:rsidR="008A55D4">
        <w:t xml:space="preserve"> (emphasis original).</w:t>
      </w:r>
      <w:r w:rsidR="00922BFD">
        <w:t xml:space="preserve"> </w:t>
      </w:r>
      <w:r w:rsidR="00922BFD">
        <w:rPr>
          <w:i/>
          <w:iCs/>
        </w:rPr>
        <w:t xml:space="preserve">See also </w:t>
      </w:r>
      <w:r w:rsidR="00922BFD">
        <w:t>Order at ¶ 146.</w:t>
      </w:r>
    </w:p>
  </w:footnote>
  <w:footnote w:id="40">
    <w:p w:rsidR="000E6A97" w:rsidP="001D7F98" w14:paraId="6DAFBFBD" w14:textId="09A93A70">
      <w:pPr>
        <w:pStyle w:val="FootnoteText"/>
        <w:spacing w:after="120"/>
      </w:pPr>
      <w:r>
        <w:rPr>
          <w:rStyle w:val="FootnoteReference"/>
        </w:rPr>
        <w:footnoteRef/>
      </w:r>
      <w:r>
        <w:t xml:space="preserve"> Order at ¶ 28. </w:t>
      </w:r>
    </w:p>
  </w:footnote>
  <w:footnote w:id="41">
    <w:p w:rsidR="00FC2226" w:rsidRPr="002F3BAE" w:rsidP="001D7F98" w14:paraId="76253782" w14:textId="77777777">
      <w:pPr>
        <w:pStyle w:val="FootnoteText"/>
        <w:spacing w:after="120"/>
        <w:rPr>
          <w:i/>
          <w:iCs/>
        </w:rPr>
      </w:pPr>
      <w:r>
        <w:rPr>
          <w:rStyle w:val="FootnoteReference"/>
        </w:rPr>
        <w:footnoteRef/>
      </w:r>
      <w:r>
        <w:t xml:space="preserve"> </w:t>
      </w:r>
      <w:r>
        <w:rPr>
          <w:i/>
          <w:iCs/>
        </w:rPr>
        <w:t>Id.</w:t>
      </w:r>
    </w:p>
  </w:footnote>
  <w:footnote w:id="42">
    <w:p w:rsidR="00E17B21" w:rsidRPr="00B52D65" w:rsidP="001D7F98" w14:paraId="087D9D18" w14:textId="11BCBF87">
      <w:pPr>
        <w:pStyle w:val="FootnoteText"/>
        <w:spacing w:after="120"/>
      </w:pPr>
      <w:r w:rsidRPr="00B52D65">
        <w:rPr>
          <w:rStyle w:val="FootnoteReference"/>
        </w:rPr>
        <w:footnoteRef/>
      </w:r>
      <w:r w:rsidRPr="00B52D65">
        <w:t xml:space="preserve"> </w:t>
      </w:r>
      <w:r w:rsidRPr="00B52D65">
        <w:rPr>
          <w:i/>
          <w:iCs/>
        </w:rPr>
        <w:t>See</w:t>
      </w:r>
      <w:r w:rsidRPr="00B52D65">
        <w:t xml:space="preserve"> Entry (Sept</w:t>
      </w:r>
      <w:r w:rsidR="00B43F6B">
        <w:t>.</w:t>
      </w:r>
      <w:r w:rsidRPr="00B52D65">
        <w:t xml:space="preserve"> 19, 2022).</w:t>
      </w:r>
    </w:p>
  </w:footnote>
  <w:footnote w:id="43">
    <w:p w:rsidR="00984E16" w:rsidP="001D7F98" w14:paraId="70913707" w14:textId="2E547DE2">
      <w:pPr>
        <w:pStyle w:val="FootnoteText"/>
        <w:spacing w:after="120"/>
      </w:pPr>
      <w:r>
        <w:rPr>
          <w:rStyle w:val="FootnoteReference"/>
        </w:rPr>
        <w:footnoteRef/>
      </w:r>
      <w:r>
        <w:t xml:space="preserve"> Order at ¶ 28.</w:t>
      </w:r>
    </w:p>
  </w:footnote>
  <w:footnote w:id="44">
    <w:p w:rsidR="000E6A97" w:rsidRPr="00B52D65" w:rsidP="001D7F98" w14:paraId="4AFC9835" w14:textId="77777777">
      <w:pPr>
        <w:pStyle w:val="FootnoteText"/>
        <w:spacing w:after="120"/>
      </w:pPr>
      <w:r w:rsidRPr="00B52D65">
        <w:rPr>
          <w:rStyle w:val="FootnoteReference"/>
        </w:rPr>
        <w:footnoteRef/>
      </w:r>
      <w:r w:rsidRPr="00B52D65">
        <w:t xml:space="preserve"> </w:t>
      </w:r>
      <w:r w:rsidRPr="00B52D65">
        <w:rPr>
          <w:i/>
          <w:iCs/>
        </w:rPr>
        <w:t>In re Suvon, LLC</w:t>
      </w:r>
      <w:r w:rsidRPr="00B52D65">
        <w:t xml:space="preserve">, 2021-Ohio-3630, ¶ 42. </w:t>
      </w:r>
    </w:p>
  </w:footnote>
  <w:footnote w:id="45">
    <w:p w:rsidR="00872349" w:rsidRPr="00527026" w:rsidP="001D7F98" w14:paraId="70F9B5CA" w14:textId="498BF165">
      <w:pPr>
        <w:pStyle w:val="FootnoteText"/>
        <w:spacing w:after="120"/>
      </w:pPr>
      <w:r>
        <w:rPr>
          <w:rStyle w:val="FootnoteReference"/>
        </w:rPr>
        <w:footnoteRef/>
      </w:r>
      <w:r>
        <w:t xml:space="preserve"> </w:t>
      </w:r>
      <w:r w:rsidR="00527026">
        <w:rPr>
          <w:i/>
          <w:iCs/>
        </w:rPr>
        <w:t xml:space="preserve">Id. </w:t>
      </w:r>
      <w:r w:rsidR="00527026">
        <w:t>at ¶ 41.</w:t>
      </w:r>
    </w:p>
  </w:footnote>
  <w:footnote w:id="46">
    <w:p w:rsidR="000E6A97" w:rsidRPr="00B52D65" w:rsidP="001D7F98" w14:paraId="5767F694" w14:textId="77777777">
      <w:pPr>
        <w:pStyle w:val="FootnoteText"/>
        <w:spacing w:after="120"/>
        <w:rPr>
          <w:i/>
          <w:iCs/>
        </w:rPr>
      </w:pPr>
      <w:r w:rsidRPr="00B52D65">
        <w:rPr>
          <w:rStyle w:val="FootnoteReference"/>
        </w:rPr>
        <w:footnoteRef/>
      </w:r>
      <w:r w:rsidRPr="00B52D65">
        <w:t xml:space="preserve"> </w:t>
      </w:r>
      <w:r w:rsidRPr="00B52D65">
        <w:rPr>
          <w:i/>
          <w:iCs/>
        </w:rPr>
        <w:t>Id.</w:t>
      </w:r>
    </w:p>
  </w:footnote>
  <w:footnote w:id="47">
    <w:p w:rsidR="00B75A50" w:rsidP="001D7F98" w14:paraId="07FE074D" w14:textId="68281C38">
      <w:pPr>
        <w:pStyle w:val="FootnoteText"/>
        <w:spacing w:after="120"/>
      </w:pPr>
      <w:r>
        <w:rPr>
          <w:rStyle w:val="FootnoteReference"/>
        </w:rPr>
        <w:footnoteRef/>
      </w:r>
      <w:r>
        <w:t xml:space="preserve"> R.C. 4909.42.</w:t>
      </w:r>
    </w:p>
  </w:footnote>
  <w:footnote w:id="48">
    <w:p w:rsidR="00E72E89" w:rsidRPr="00E72E89" w:rsidP="001D7F98" w14:paraId="2D0BE66F" w14:textId="132C853A">
      <w:pPr>
        <w:pStyle w:val="FootnoteText"/>
        <w:spacing w:after="120"/>
        <w:rPr>
          <w:i/>
          <w:iCs/>
        </w:rPr>
      </w:pPr>
      <w:r>
        <w:rPr>
          <w:rStyle w:val="FootnoteReference"/>
        </w:rPr>
        <w:footnoteRef/>
      </w:r>
      <w:r>
        <w:t xml:space="preserve"> </w:t>
      </w:r>
      <w:r>
        <w:rPr>
          <w:i/>
          <w:iCs/>
        </w:rPr>
        <w:t>Id.</w:t>
      </w:r>
    </w:p>
  </w:footnote>
  <w:footnote w:id="49">
    <w:p w:rsidR="003F47BB" w:rsidP="001D7F98" w14:paraId="2F1D6102" w14:textId="3C6210DA">
      <w:pPr>
        <w:pStyle w:val="FootnoteText"/>
        <w:spacing w:after="120"/>
      </w:pPr>
      <w:r>
        <w:rPr>
          <w:rStyle w:val="FootnoteReference"/>
        </w:rPr>
        <w:footnoteRef/>
      </w:r>
      <w:r>
        <w:t xml:space="preserve"> Order at ¶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850" w:rsidP="00765850" w14:paraId="41147C4C" w14:textId="33DEF11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7DA502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0330FEB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3A03C42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0648F26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59DEC9E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68E3FAE8"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397D65F1"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3A4C" w14:paraId="5D71E273"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5850" w14:paraId="49F156C9" w14:textId="32EF8F34">
    <w:pPr>
      <w:pStyle w:val="Header"/>
    </w:pPr>
  </w:p>
  <w:p w:rsidR="00423A4C" w14:paraId="007C83A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0C76EE"/>
    <w:multiLevelType w:val="hybridMultilevel"/>
    <w:tmpl w:val="72F20EB2"/>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9A0729A"/>
    <w:multiLevelType w:val="hybridMultilevel"/>
    <w:tmpl w:val="5B426C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A7144BD"/>
    <w:multiLevelType w:val="multilevel"/>
    <w:tmpl w:val="8544F392"/>
    <w:lvl w:ilvl="0">
      <w:start w:val="0"/>
      <w:numFmt w:val="decimal"/>
      <w:lvlText w:val="%1"/>
      <w:lvlJc w:val="left"/>
      <w:pPr>
        <w:ind w:left="420" w:hanging="420"/>
      </w:pPr>
      <w:rPr>
        <w:rFonts w:hint="default"/>
      </w:rPr>
    </w:lvl>
    <w:lvl w:ilvl="1">
      <w:start w:val="7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763B8E"/>
    <w:multiLevelType w:val="hybridMultilevel"/>
    <w:tmpl w:val="3E8E614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87B6178"/>
    <w:multiLevelType w:val="hybridMultilevel"/>
    <w:tmpl w:val="823EE59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353C7781"/>
    <w:multiLevelType w:val="hybridMultilevel"/>
    <w:tmpl w:val="AFCCD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630610"/>
    <w:multiLevelType w:val="hybridMultilevel"/>
    <w:tmpl w:val="328204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B463325"/>
    <w:multiLevelType w:val="hybridMultilevel"/>
    <w:tmpl w:val="ECAACB0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5657940"/>
    <w:multiLevelType w:val="hybridMultilevel"/>
    <w:tmpl w:val="695C5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2B3FED"/>
    <w:multiLevelType w:val="hybridMultilevel"/>
    <w:tmpl w:val="569C1966"/>
    <w:lvl w:ilvl="0">
      <w:start w:val="1"/>
      <w:numFmt w:val="lowerRoman"/>
      <w:lvlText w:val="%1."/>
      <w:lvlJc w:val="left"/>
      <w:pPr>
        <w:ind w:left="2340" w:hanging="720"/>
      </w:pPr>
      <w:rPr>
        <w:rFonts w:hint="default"/>
        <w:b/>
        <w:bCs/>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F2E62D5"/>
    <w:multiLevelType w:val="hybridMultilevel"/>
    <w:tmpl w:val="6152F5BA"/>
    <w:lvl w:ilvl="0">
      <w:start w:val="1"/>
      <w:numFmt w:val="upperLetter"/>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F774EF7"/>
    <w:multiLevelType w:val="hybridMultilevel"/>
    <w:tmpl w:val="3F16B25E"/>
    <w:lvl w:ilvl="0">
      <w:start w:val="0"/>
      <w:numFmt w:val="bullet"/>
      <w:lvlText w:val="-"/>
      <w:lvlJc w:val="left"/>
      <w:pPr>
        <w:ind w:left="660" w:hanging="360"/>
      </w:pPr>
      <w:rPr>
        <w:rFonts w:ascii="Times New Roman" w:eastAsia="Times New Roman" w:hAnsi="Times New Roman" w:cs="Times New Roman" w:hint="default"/>
      </w:rPr>
    </w:lvl>
    <w:lvl w:ilvl="1" w:tentative="1">
      <w:start w:val="1"/>
      <w:numFmt w:val="bullet"/>
      <w:lvlText w:val="o"/>
      <w:lvlJc w:val="left"/>
      <w:pPr>
        <w:ind w:left="1380" w:hanging="360"/>
      </w:pPr>
      <w:rPr>
        <w:rFonts w:ascii="Courier New" w:hAnsi="Courier New" w:cs="Courier New" w:hint="default"/>
      </w:rPr>
    </w:lvl>
    <w:lvl w:ilvl="2" w:tentative="1">
      <w:start w:val="1"/>
      <w:numFmt w:val="bullet"/>
      <w:lvlText w:val=""/>
      <w:lvlJc w:val="left"/>
      <w:pPr>
        <w:ind w:left="2100" w:hanging="360"/>
      </w:pPr>
      <w:rPr>
        <w:rFonts w:ascii="Wingdings" w:hAnsi="Wingdings" w:hint="default"/>
      </w:rPr>
    </w:lvl>
    <w:lvl w:ilvl="3" w:tentative="1">
      <w:start w:val="1"/>
      <w:numFmt w:val="bullet"/>
      <w:lvlText w:val=""/>
      <w:lvlJc w:val="left"/>
      <w:pPr>
        <w:ind w:left="2820" w:hanging="360"/>
      </w:pPr>
      <w:rPr>
        <w:rFonts w:ascii="Symbol" w:hAnsi="Symbol" w:hint="default"/>
      </w:rPr>
    </w:lvl>
    <w:lvl w:ilvl="4" w:tentative="1">
      <w:start w:val="1"/>
      <w:numFmt w:val="bullet"/>
      <w:lvlText w:val="o"/>
      <w:lvlJc w:val="left"/>
      <w:pPr>
        <w:ind w:left="3540" w:hanging="360"/>
      </w:pPr>
      <w:rPr>
        <w:rFonts w:ascii="Courier New" w:hAnsi="Courier New" w:cs="Courier New" w:hint="default"/>
      </w:rPr>
    </w:lvl>
    <w:lvl w:ilvl="5" w:tentative="1">
      <w:start w:val="1"/>
      <w:numFmt w:val="bullet"/>
      <w:lvlText w:val=""/>
      <w:lvlJc w:val="left"/>
      <w:pPr>
        <w:ind w:left="4260" w:hanging="360"/>
      </w:pPr>
      <w:rPr>
        <w:rFonts w:ascii="Wingdings" w:hAnsi="Wingdings" w:hint="default"/>
      </w:rPr>
    </w:lvl>
    <w:lvl w:ilvl="6" w:tentative="1">
      <w:start w:val="1"/>
      <w:numFmt w:val="bullet"/>
      <w:lvlText w:val=""/>
      <w:lvlJc w:val="left"/>
      <w:pPr>
        <w:ind w:left="4980" w:hanging="360"/>
      </w:pPr>
      <w:rPr>
        <w:rFonts w:ascii="Symbol" w:hAnsi="Symbol" w:hint="default"/>
      </w:rPr>
    </w:lvl>
    <w:lvl w:ilvl="7" w:tentative="1">
      <w:start w:val="1"/>
      <w:numFmt w:val="bullet"/>
      <w:lvlText w:val="o"/>
      <w:lvlJc w:val="left"/>
      <w:pPr>
        <w:ind w:left="5700" w:hanging="360"/>
      </w:pPr>
      <w:rPr>
        <w:rFonts w:ascii="Courier New" w:hAnsi="Courier New" w:cs="Courier New" w:hint="default"/>
      </w:rPr>
    </w:lvl>
    <w:lvl w:ilvl="8" w:tentative="1">
      <w:start w:val="1"/>
      <w:numFmt w:val="bullet"/>
      <w:lvlText w:val=""/>
      <w:lvlJc w:val="left"/>
      <w:pPr>
        <w:ind w:left="6420" w:hanging="360"/>
      </w:pPr>
      <w:rPr>
        <w:rFonts w:ascii="Wingdings" w:hAnsi="Wingdings" w:hint="default"/>
      </w:rPr>
    </w:lvl>
  </w:abstractNum>
  <w:abstractNum w:abstractNumId="12">
    <w:nsid w:val="65D727EC"/>
    <w:multiLevelType w:val="hybridMultilevel"/>
    <w:tmpl w:val="EDEE4C54"/>
    <w:lvl w:ilvl="0">
      <w:start w:val="1"/>
      <w:numFmt w:val="lowerLetter"/>
      <w:lvlText w:val="%1."/>
      <w:lvlJc w:val="left"/>
      <w:pPr>
        <w:ind w:left="1080" w:hanging="360"/>
      </w:pPr>
      <w:rPr>
        <w:rFonts w:hint="default"/>
        <w:b/>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F7046ED"/>
    <w:multiLevelType w:val="hybridMultilevel"/>
    <w:tmpl w:val="D5A236D4"/>
    <w:lvl w:ilvl="0">
      <w:start w:val="0"/>
      <w:numFmt w:val="bullet"/>
      <w:lvlText w:val="-"/>
      <w:lvlJc w:val="left"/>
      <w:pPr>
        <w:ind w:left="66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8"/>
  </w:num>
  <w:num w:numId="6">
    <w:abstractNumId w:val="12"/>
  </w:num>
  <w:num w:numId="7">
    <w:abstractNumId w:val="11"/>
  </w:num>
  <w:num w:numId="8">
    <w:abstractNumId w:val="13"/>
  </w:num>
  <w:num w:numId="9">
    <w:abstractNumId w:val="2"/>
  </w:num>
  <w:num w:numId="10">
    <w:abstractNumId w:val="6"/>
  </w:num>
  <w:num w:numId="11">
    <w:abstractNumId w:val="1"/>
  </w:num>
  <w:num w:numId="12">
    <w:abstractNumId w:val="9"/>
  </w:num>
  <w:num w:numId="13">
    <w:abstractNumId w:val="4"/>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0004"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F4"/>
    <w:rsid w:val="00004285"/>
    <w:rsid w:val="000047E2"/>
    <w:rsid w:val="0000675E"/>
    <w:rsid w:val="00006821"/>
    <w:rsid w:val="0001474B"/>
    <w:rsid w:val="0002297C"/>
    <w:rsid w:val="00022F80"/>
    <w:rsid w:val="000230FC"/>
    <w:rsid w:val="0002470E"/>
    <w:rsid w:val="00026548"/>
    <w:rsid w:val="00033000"/>
    <w:rsid w:val="0003590D"/>
    <w:rsid w:val="00035C1A"/>
    <w:rsid w:val="000377F6"/>
    <w:rsid w:val="0004270E"/>
    <w:rsid w:val="00044610"/>
    <w:rsid w:val="00045770"/>
    <w:rsid w:val="000465BB"/>
    <w:rsid w:val="00050D96"/>
    <w:rsid w:val="000515B0"/>
    <w:rsid w:val="000547FE"/>
    <w:rsid w:val="00054B52"/>
    <w:rsid w:val="000556C7"/>
    <w:rsid w:val="00056342"/>
    <w:rsid w:val="00056B03"/>
    <w:rsid w:val="00061051"/>
    <w:rsid w:val="000639CF"/>
    <w:rsid w:val="000676C0"/>
    <w:rsid w:val="00070274"/>
    <w:rsid w:val="00070690"/>
    <w:rsid w:val="000725BF"/>
    <w:rsid w:val="0007332B"/>
    <w:rsid w:val="0007759C"/>
    <w:rsid w:val="00077A85"/>
    <w:rsid w:val="00081936"/>
    <w:rsid w:val="00081ECA"/>
    <w:rsid w:val="00083065"/>
    <w:rsid w:val="0008367F"/>
    <w:rsid w:val="000836D4"/>
    <w:rsid w:val="00090D7D"/>
    <w:rsid w:val="0009352F"/>
    <w:rsid w:val="00094910"/>
    <w:rsid w:val="000951E4"/>
    <w:rsid w:val="0009648A"/>
    <w:rsid w:val="00097DC9"/>
    <w:rsid w:val="000A2DA2"/>
    <w:rsid w:val="000A4566"/>
    <w:rsid w:val="000A5B84"/>
    <w:rsid w:val="000A6E24"/>
    <w:rsid w:val="000B1362"/>
    <w:rsid w:val="000B47A8"/>
    <w:rsid w:val="000B4EC8"/>
    <w:rsid w:val="000B5005"/>
    <w:rsid w:val="000B53A4"/>
    <w:rsid w:val="000B75B4"/>
    <w:rsid w:val="000B7B11"/>
    <w:rsid w:val="000C12FE"/>
    <w:rsid w:val="000C3338"/>
    <w:rsid w:val="000C4CAB"/>
    <w:rsid w:val="000C571D"/>
    <w:rsid w:val="000C79F8"/>
    <w:rsid w:val="000D2F2C"/>
    <w:rsid w:val="000D305C"/>
    <w:rsid w:val="000D31B7"/>
    <w:rsid w:val="000E083F"/>
    <w:rsid w:val="000E23EF"/>
    <w:rsid w:val="000E3B10"/>
    <w:rsid w:val="000E3CC6"/>
    <w:rsid w:val="000E45A7"/>
    <w:rsid w:val="000E6A97"/>
    <w:rsid w:val="000E6E17"/>
    <w:rsid w:val="000F0C71"/>
    <w:rsid w:val="000F14DA"/>
    <w:rsid w:val="000F32ED"/>
    <w:rsid w:val="000F3D54"/>
    <w:rsid w:val="000F5542"/>
    <w:rsid w:val="000F64EF"/>
    <w:rsid w:val="00100F37"/>
    <w:rsid w:val="00104C6A"/>
    <w:rsid w:val="00105E30"/>
    <w:rsid w:val="00106CFF"/>
    <w:rsid w:val="001074DF"/>
    <w:rsid w:val="00107978"/>
    <w:rsid w:val="001104A3"/>
    <w:rsid w:val="00113E38"/>
    <w:rsid w:val="0011735F"/>
    <w:rsid w:val="00121521"/>
    <w:rsid w:val="00121E5B"/>
    <w:rsid w:val="00122861"/>
    <w:rsid w:val="00125144"/>
    <w:rsid w:val="0012611A"/>
    <w:rsid w:val="0012616D"/>
    <w:rsid w:val="00127064"/>
    <w:rsid w:val="0013547F"/>
    <w:rsid w:val="00135678"/>
    <w:rsid w:val="00136EE7"/>
    <w:rsid w:val="00136F43"/>
    <w:rsid w:val="00141AB2"/>
    <w:rsid w:val="00142454"/>
    <w:rsid w:val="00143B62"/>
    <w:rsid w:val="0014457B"/>
    <w:rsid w:val="001501A4"/>
    <w:rsid w:val="00150647"/>
    <w:rsid w:val="00152D83"/>
    <w:rsid w:val="00155579"/>
    <w:rsid w:val="00155CC6"/>
    <w:rsid w:val="00160928"/>
    <w:rsid w:val="001611D4"/>
    <w:rsid w:val="00162680"/>
    <w:rsid w:val="001642B4"/>
    <w:rsid w:val="00164863"/>
    <w:rsid w:val="00165267"/>
    <w:rsid w:val="001679D8"/>
    <w:rsid w:val="00172E64"/>
    <w:rsid w:val="001807FB"/>
    <w:rsid w:val="001815D0"/>
    <w:rsid w:val="001844C6"/>
    <w:rsid w:val="001870D9"/>
    <w:rsid w:val="00187A1F"/>
    <w:rsid w:val="001909CD"/>
    <w:rsid w:val="00195717"/>
    <w:rsid w:val="00195923"/>
    <w:rsid w:val="001A0D4B"/>
    <w:rsid w:val="001A1679"/>
    <w:rsid w:val="001A18AD"/>
    <w:rsid w:val="001A1B2D"/>
    <w:rsid w:val="001A2A51"/>
    <w:rsid w:val="001A4088"/>
    <w:rsid w:val="001A4CBB"/>
    <w:rsid w:val="001A5083"/>
    <w:rsid w:val="001A74AD"/>
    <w:rsid w:val="001B3177"/>
    <w:rsid w:val="001B55A9"/>
    <w:rsid w:val="001B7349"/>
    <w:rsid w:val="001C339E"/>
    <w:rsid w:val="001C586A"/>
    <w:rsid w:val="001C5AF9"/>
    <w:rsid w:val="001C6F3F"/>
    <w:rsid w:val="001D05E3"/>
    <w:rsid w:val="001D0623"/>
    <w:rsid w:val="001D0D2A"/>
    <w:rsid w:val="001D358C"/>
    <w:rsid w:val="001D43FE"/>
    <w:rsid w:val="001D4AD6"/>
    <w:rsid w:val="001D5663"/>
    <w:rsid w:val="001D7F98"/>
    <w:rsid w:val="001E56C2"/>
    <w:rsid w:val="001F07C0"/>
    <w:rsid w:val="001F1E9E"/>
    <w:rsid w:val="001F2AF4"/>
    <w:rsid w:val="001F2EB9"/>
    <w:rsid w:val="001F32E7"/>
    <w:rsid w:val="00200FD0"/>
    <w:rsid w:val="00204B24"/>
    <w:rsid w:val="002074B2"/>
    <w:rsid w:val="002075ED"/>
    <w:rsid w:val="00211026"/>
    <w:rsid w:val="0021467F"/>
    <w:rsid w:val="00214D53"/>
    <w:rsid w:val="0021786B"/>
    <w:rsid w:val="00217967"/>
    <w:rsid w:val="00220946"/>
    <w:rsid w:val="002214F8"/>
    <w:rsid w:val="00225153"/>
    <w:rsid w:val="00225188"/>
    <w:rsid w:val="0022778C"/>
    <w:rsid w:val="00234EC2"/>
    <w:rsid w:val="002400EC"/>
    <w:rsid w:val="002445AD"/>
    <w:rsid w:val="00251DAC"/>
    <w:rsid w:val="00253A37"/>
    <w:rsid w:val="00253B89"/>
    <w:rsid w:val="00260E22"/>
    <w:rsid w:val="00261690"/>
    <w:rsid w:val="00262DA7"/>
    <w:rsid w:val="002648C6"/>
    <w:rsid w:val="00264C6E"/>
    <w:rsid w:val="002659AB"/>
    <w:rsid w:val="002667AC"/>
    <w:rsid w:val="002677F8"/>
    <w:rsid w:val="00267A69"/>
    <w:rsid w:val="00270236"/>
    <w:rsid w:val="002703FC"/>
    <w:rsid w:val="00274612"/>
    <w:rsid w:val="00276097"/>
    <w:rsid w:val="00282C10"/>
    <w:rsid w:val="00287C0F"/>
    <w:rsid w:val="0029008D"/>
    <w:rsid w:val="00292EEA"/>
    <w:rsid w:val="0029342B"/>
    <w:rsid w:val="002954B5"/>
    <w:rsid w:val="002A26CD"/>
    <w:rsid w:val="002A636C"/>
    <w:rsid w:val="002A7765"/>
    <w:rsid w:val="002B054C"/>
    <w:rsid w:val="002B0F1B"/>
    <w:rsid w:val="002B29DE"/>
    <w:rsid w:val="002C00C5"/>
    <w:rsid w:val="002C0B96"/>
    <w:rsid w:val="002C1F4C"/>
    <w:rsid w:val="002C289B"/>
    <w:rsid w:val="002C3933"/>
    <w:rsid w:val="002C3A3B"/>
    <w:rsid w:val="002C534D"/>
    <w:rsid w:val="002C5596"/>
    <w:rsid w:val="002C7724"/>
    <w:rsid w:val="002D052C"/>
    <w:rsid w:val="002D142C"/>
    <w:rsid w:val="002D4A05"/>
    <w:rsid w:val="002E3C76"/>
    <w:rsid w:val="002E7BA4"/>
    <w:rsid w:val="002F01A2"/>
    <w:rsid w:val="002F149B"/>
    <w:rsid w:val="002F3BAE"/>
    <w:rsid w:val="002F3D0E"/>
    <w:rsid w:val="002F447E"/>
    <w:rsid w:val="002F606C"/>
    <w:rsid w:val="002F6ED0"/>
    <w:rsid w:val="002F7934"/>
    <w:rsid w:val="00300C3E"/>
    <w:rsid w:val="003015CA"/>
    <w:rsid w:val="0030347E"/>
    <w:rsid w:val="00306AF1"/>
    <w:rsid w:val="00306D5B"/>
    <w:rsid w:val="00307673"/>
    <w:rsid w:val="00307E6A"/>
    <w:rsid w:val="00310DD1"/>
    <w:rsid w:val="0031496D"/>
    <w:rsid w:val="003164E6"/>
    <w:rsid w:val="00317279"/>
    <w:rsid w:val="003173AA"/>
    <w:rsid w:val="003173C8"/>
    <w:rsid w:val="003221AA"/>
    <w:rsid w:val="00323EE1"/>
    <w:rsid w:val="00326A8C"/>
    <w:rsid w:val="003318CC"/>
    <w:rsid w:val="003327EC"/>
    <w:rsid w:val="003338AE"/>
    <w:rsid w:val="00336BDD"/>
    <w:rsid w:val="00346A50"/>
    <w:rsid w:val="003517E9"/>
    <w:rsid w:val="003523EC"/>
    <w:rsid w:val="00352B1C"/>
    <w:rsid w:val="003555C8"/>
    <w:rsid w:val="00357750"/>
    <w:rsid w:val="00357D84"/>
    <w:rsid w:val="0036133E"/>
    <w:rsid w:val="00362157"/>
    <w:rsid w:val="003656FA"/>
    <w:rsid w:val="00365DBB"/>
    <w:rsid w:val="003679FC"/>
    <w:rsid w:val="00367A1E"/>
    <w:rsid w:val="00374D9C"/>
    <w:rsid w:val="0037533E"/>
    <w:rsid w:val="00376BDA"/>
    <w:rsid w:val="003831AB"/>
    <w:rsid w:val="00383208"/>
    <w:rsid w:val="00383C1E"/>
    <w:rsid w:val="003861C1"/>
    <w:rsid w:val="003914BA"/>
    <w:rsid w:val="00391A22"/>
    <w:rsid w:val="00392859"/>
    <w:rsid w:val="00394910"/>
    <w:rsid w:val="00394E7F"/>
    <w:rsid w:val="00395D14"/>
    <w:rsid w:val="003A3722"/>
    <w:rsid w:val="003A72A3"/>
    <w:rsid w:val="003B07B4"/>
    <w:rsid w:val="003B098B"/>
    <w:rsid w:val="003B3389"/>
    <w:rsid w:val="003B4B80"/>
    <w:rsid w:val="003B546C"/>
    <w:rsid w:val="003C1B3E"/>
    <w:rsid w:val="003C4673"/>
    <w:rsid w:val="003C4982"/>
    <w:rsid w:val="003C49F8"/>
    <w:rsid w:val="003D249A"/>
    <w:rsid w:val="003D4E16"/>
    <w:rsid w:val="003D500B"/>
    <w:rsid w:val="003D50D2"/>
    <w:rsid w:val="003D665F"/>
    <w:rsid w:val="003E123D"/>
    <w:rsid w:val="003E1896"/>
    <w:rsid w:val="003E3510"/>
    <w:rsid w:val="003E368A"/>
    <w:rsid w:val="003E4A5A"/>
    <w:rsid w:val="003E6FAC"/>
    <w:rsid w:val="003E70AA"/>
    <w:rsid w:val="003F05B7"/>
    <w:rsid w:val="003F47BB"/>
    <w:rsid w:val="003F6A07"/>
    <w:rsid w:val="003F703F"/>
    <w:rsid w:val="003F77D2"/>
    <w:rsid w:val="003F7B14"/>
    <w:rsid w:val="00406B85"/>
    <w:rsid w:val="00407A8E"/>
    <w:rsid w:val="00411491"/>
    <w:rsid w:val="00412C67"/>
    <w:rsid w:val="00412D01"/>
    <w:rsid w:val="004137FC"/>
    <w:rsid w:val="00416AF1"/>
    <w:rsid w:val="00423A4C"/>
    <w:rsid w:val="00424C0C"/>
    <w:rsid w:val="00424C2D"/>
    <w:rsid w:val="00427861"/>
    <w:rsid w:val="00427AA3"/>
    <w:rsid w:val="00433A59"/>
    <w:rsid w:val="004376AB"/>
    <w:rsid w:val="004378FD"/>
    <w:rsid w:val="0044197E"/>
    <w:rsid w:val="00444D2D"/>
    <w:rsid w:val="0044644B"/>
    <w:rsid w:val="00446CEB"/>
    <w:rsid w:val="00450B87"/>
    <w:rsid w:val="00450E2F"/>
    <w:rsid w:val="004533EF"/>
    <w:rsid w:val="00454377"/>
    <w:rsid w:val="00454E5E"/>
    <w:rsid w:val="004620F5"/>
    <w:rsid w:val="004622B6"/>
    <w:rsid w:val="0046345B"/>
    <w:rsid w:val="00464D5E"/>
    <w:rsid w:val="00466F86"/>
    <w:rsid w:val="004679FF"/>
    <w:rsid w:val="004723A5"/>
    <w:rsid w:val="00475FFB"/>
    <w:rsid w:val="00476EFA"/>
    <w:rsid w:val="00482681"/>
    <w:rsid w:val="00483D91"/>
    <w:rsid w:val="004867E5"/>
    <w:rsid w:val="00487E88"/>
    <w:rsid w:val="00492D95"/>
    <w:rsid w:val="00493863"/>
    <w:rsid w:val="00493E31"/>
    <w:rsid w:val="00494B3C"/>
    <w:rsid w:val="0049641E"/>
    <w:rsid w:val="00497311"/>
    <w:rsid w:val="004A1EB4"/>
    <w:rsid w:val="004A3442"/>
    <w:rsid w:val="004A4677"/>
    <w:rsid w:val="004A4E83"/>
    <w:rsid w:val="004A5744"/>
    <w:rsid w:val="004B06CC"/>
    <w:rsid w:val="004B0B60"/>
    <w:rsid w:val="004B3299"/>
    <w:rsid w:val="004B41B3"/>
    <w:rsid w:val="004C19CE"/>
    <w:rsid w:val="004C2385"/>
    <w:rsid w:val="004C6FE9"/>
    <w:rsid w:val="004C7DA2"/>
    <w:rsid w:val="004D0BDD"/>
    <w:rsid w:val="004D1D76"/>
    <w:rsid w:val="004D2177"/>
    <w:rsid w:val="004D2834"/>
    <w:rsid w:val="004D60E7"/>
    <w:rsid w:val="004D78A2"/>
    <w:rsid w:val="004D7C20"/>
    <w:rsid w:val="004E2F54"/>
    <w:rsid w:val="004E3AB8"/>
    <w:rsid w:val="004E3AC7"/>
    <w:rsid w:val="004E3E99"/>
    <w:rsid w:val="004E3F0A"/>
    <w:rsid w:val="004E43CF"/>
    <w:rsid w:val="004E5C29"/>
    <w:rsid w:val="004F04EF"/>
    <w:rsid w:val="004F3C57"/>
    <w:rsid w:val="004F45D4"/>
    <w:rsid w:val="004F56A0"/>
    <w:rsid w:val="00500DCE"/>
    <w:rsid w:val="005010DB"/>
    <w:rsid w:val="00501E49"/>
    <w:rsid w:val="005063A7"/>
    <w:rsid w:val="00512606"/>
    <w:rsid w:val="00512BBE"/>
    <w:rsid w:val="00512D1C"/>
    <w:rsid w:val="00512E55"/>
    <w:rsid w:val="005145BE"/>
    <w:rsid w:val="0051611D"/>
    <w:rsid w:val="00521D48"/>
    <w:rsid w:val="005225E4"/>
    <w:rsid w:val="00522AEB"/>
    <w:rsid w:val="00523248"/>
    <w:rsid w:val="005234B0"/>
    <w:rsid w:val="005249AC"/>
    <w:rsid w:val="00525D7F"/>
    <w:rsid w:val="00526DEE"/>
    <w:rsid w:val="00527026"/>
    <w:rsid w:val="005325D3"/>
    <w:rsid w:val="00532A8B"/>
    <w:rsid w:val="00533025"/>
    <w:rsid w:val="0053644F"/>
    <w:rsid w:val="005410B5"/>
    <w:rsid w:val="00541BB8"/>
    <w:rsid w:val="00542872"/>
    <w:rsid w:val="00542AD2"/>
    <w:rsid w:val="00543E5B"/>
    <w:rsid w:val="00544455"/>
    <w:rsid w:val="0054796E"/>
    <w:rsid w:val="005509FA"/>
    <w:rsid w:val="00552530"/>
    <w:rsid w:val="00554210"/>
    <w:rsid w:val="00554C9A"/>
    <w:rsid w:val="00557A68"/>
    <w:rsid w:val="00557C8A"/>
    <w:rsid w:val="00561924"/>
    <w:rsid w:val="00562575"/>
    <w:rsid w:val="00562D14"/>
    <w:rsid w:val="00564032"/>
    <w:rsid w:val="005646FA"/>
    <w:rsid w:val="0057058E"/>
    <w:rsid w:val="00573156"/>
    <w:rsid w:val="005732DF"/>
    <w:rsid w:val="005735B6"/>
    <w:rsid w:val="00575AA5"/>
    <w:rsid w:val="00580742"/>
    <w:rsid w:val="005812B9"/>
    <w:rsid w:val="0058368A"/>
    <w:rsid w:val="005845DF"/>
    <w:rsid w:val="00587B9E"/>
    <w:rsid w:val="00590411"/>
    <w:rsid w:val="005904F7"/>
    <w:rsid w:val="005912E3"/>
    <w:rsid w:val="00592EC2"/>
    <w:rsid w:val="005939DD"/>
    <w:rsid w:val="00593DE2"/>
    <w:rsid w:val="00594F5C"/>
    <w:rsid w:val="00595512"/>
    <w:rsid w:val="00595D1F"/>
    <w:rsid w:val="00596CEE"/>
    <w:rsid w:val="005977FD"/>
    <w:rsid w:val="005A2CC9"/>
    <w:rsid w:val="005A5233"/>
    <w:rsid w:val="005A5617"/>
    <w:rsid w:val="005A59F4"/>
    <w:rsid w:val="005A5CFC"/>
    <w:rsid w:val="005A6323"/>
    <w:rsid w:val="005A699F"/>
    <w:rsid w:val="005A7127"/>
    <w:rsid w:val="005A7D9A"/>
    <w:rsid w:val="005B0022"/>
    <w:rsid w:val="005B1532"/>
    <w:rsid w:val="005B165A"/>
    <w:rsid w:val="005B1B81"/>
    <w:rsid w:val="005B279E"/>
    <w:rsid w:val="005B364C"/>
    <w:rsid w:val="005B40DA"/>
    <w:rsid w:val="005B5566"/>
    <w:rsid w:val="005C0EF3"/>
    <w:rsid w:val="005C2D26"/>
    <w:rsid w:val="005C6C6D"/>
    <w:rsid w:val="005D23D1"/>
    <w:rsid w:val="005D3AB7"/>
    <w:rsid w:val="005E1022"/>
    <w:rsid w:val="005E27AE"/>
    <w:rsid w:val="005E3836"/>
    <w:rsid w:val="005F04AF"/>
    <w:rsid w:val="005F2E80"/>
    <w:rsid w:val="005F53BF"/>
    <w:rsid w:val="005F5500"/>
    <w:rsid w:val="005F5DE1"/>
    <w:rsid w:val="005F79AA"/>
    <w:rsid w:val="00600407"/>
    <w:rsid w:val="006004DF"/>
    <w:rsid w:val="00600FF4"/>
    <w:rsid w:val="00602443"/>
    <w:rsid w:val="00602DED"/>
    <w:rsid w:val="00604400"/>
    <w:rsid w:val="00605F78"/>
    <w:rsid w:val="00610DB6"/>
    <w:rsid w:val="00612996"/>
    <w:rsid w:val="006130AE"/>
    <w:rsid w:val="00613D51"/>
    <w:rsid w:val="00613D61"/>
    <w:rsid w:val="00623253"/>
    <w:rsid w:val="00624129"/>
    <w:rsid w:val="00625FFF"/>
    <w:rsid w:val="006268B1"/>
    <w:rsid w:val="0062765E"/>
    <w:rsid w:val="00630F7F"/>
    <w:rsid w:val="00636515"/>
    <w:rsid w:val="00641ACE"/>
    <w:rsid w:val="006438E2"/>
    <w:rsid w:val="006500A1"/>
    <w:rsid w:val="006504FC"/>
    <w:rsid w:val="00651FCB"/>
    <w:rsid w:val="006538A9"/>
    <w:rsid w:val="006548DB"/>
    <w:rsid w:val="00654FC5"/>
    <w:rsid w:val="00656CD1"/>
    <w:rsid w:val="00660C53"/>
    <w:rsid w:val="00662A16"/>
    <w:rsid w:val="006633E7"/>
    <w:rsid w:val="00663E7C"/>
    <w:rsid w:val="0066644B"/>
    <w:rsid w:val="00670C27"/>
    <w:rsid w:val="006712B5"/>
    <w:rsid w:val="006749A8"/>
    <w:rsid w:val="00675D5C"/>
    <w:rsid w:val="00677B83"/>
    <w:rsid w:val="006807F8"/>
    <w:rsid w:val="00680E1C"/>
    <w:rsid w:val="006815D5"/>
    <w:rsid w:val="00681AC9"/>
    <w:rsid w:val="00681DEB"/>
    <w:rsid w:val="00682EBA"/>
    <w:rsid w:val="00686461"/>
    <w:rsid w:val="00687ABB"/>
    <w:rsid w:val="00687E8F"/>
    <w:rsid w:val="00690715"/>
    <w:rsid w:val="006910D8"/>
    <w:rsid w:val="006920E4"/>
    <w:rsid w:val="00692116"/>
    <w:rsid w:val="006927BA"/>
    <w:rsid w:val="00692BAA"/>
    <w:rsid w:val="006931AB"/>
    <w:rsid w:val="00693EAE"/>
    <w:rsid w:val="00694D9F"/>
    <w:rsid w:val="00695047"/>
    <w:rsid w:val="00697667"/>
    <w:rsid w:val="006A1540"/>
    <w:rsid w:val="006A3315"/>
    <w:rsid w:val="006A6AB7"/>
    <w:rsid w:val="006B29FE"/>
    <w:rsid w:val="006B5017"/>
    <w:rsid w:val="006C0B82"/>
    <w:rsid w:val="006C34BF"/>
    <w:rsid w:val="006C6E16"/>
    <w:rsid w:val="006C7435"/>
    <w:rsid w:val="006D2B32"/>
    <w:rsid w:val="006D5519"/>
    <w:rsid w:val="006D5F20"/>
    <w:rsid w:val="006D6B3C"/>
    <w:rsid w:val="006D74EA"/>
    <w:rsid w:val="006E2DEA"/>
    <w:rsid w:val="006E5F66"/>
    <w:rsid w:val="006E6FC8"/>
    <w:rsid w:val="006E6FF6"/>
    <w:rsid w:val="006F0689"/>
    <w:rsid w:val="006F1100"/>
    <w:rsid w:val="006F2BE6"/>
    <w:rsid w:val="006F3E55"/>
    <w:rsid w:val="006F447C"/>
    <w:rsid w:val="006F7495"/>
    <w:rsid w:val="006F7B86"/>
    <w:rsid w:val="007034F6"/>
    <w:rsid w:val="00703881"/>
    <w:rsid w:val="00706E1F"/>
    <w:rsid w:val="0070779E"/>
    <w:rsid w:val="007110BD"/>
    <w:rsid w:val="00712DB7"/>
    <w:rsid w:val="00714610"/>
    <w:rsid w:val="00714C74"/>
    <w:rsid w:val="00716BDB"/>
    <w:rsid w:val="007217D3"/>
    <w:rsid w:val="00722EDF"/>
    <w:rsid w:val="00723702"/>
    <w:rsid w:val="0072403C"/>
    <w:rsid w:val="007252C2"/>
    <w:rsid w:val="00726770"/>
    <w:rsid w:val="00726796"/>
    <w:rsid w:val="00726B55"/>
    <w:rsid w:val="00730B7C"/>
    <w:rsid w:val="00730EC3"/>
    <w:rsid w:val="007316FA"/>
    <w:rsid w:val="00733F88"/>
    <w:rsid w:val="00735AFC"/>
    <w:rsid w:val="00747D66"/>
    <w:rsid w:val="00750BAB"/>
    <w:rsid w:val="00750C40"/>
    <w:rsid w:val="007513BA"/>
    <w:rsid w:val="00753789"/>
    <w:rsid w:val="00754D0A"/>
    <w:rsid w:val="00754F52"/>
    <w:rsid w:val="00765850"/>
    <w:rsid w:val="00765FD7"/>
    <w:rsid w:val="0076635E"/>
    <w:rsid w:val="007672D1"/>
    <w:rsid w:val="007717D4"/>
    <w:rsid w:val="0077250C"/>
    <w:rsid w:val="00773FFC"/>
    <w:rsid w:val="00774985"/>
    <w:rsid w:val="00776827"/>
    <w:rsid w:val="00777B14"/>
    <w:rsid w:val="00777D86"/>
    <w:rsid w:val="007815BD"/>
    <w:rsid w:val="00781E35"/>
    <w:rsid w:val="00782946"/>
    <w:rsid w:val="00784E7E"/>
    <w:rsid w:val="007854B0"/>
    <w:rsid w:val="00787FB0"/>
    <w:rsid w:val="00790433"/>
    <w:rsid w:val="007937F4"/>
    <w:rsid w:val="00793F27"/>
    <w:rsid w:val="0079447A"/>
    <w:rsid w:val="007952A2"/>
    <w:rsid w:val="007A1A8C"/>
    <w:rsid w:val="007A1FC5"/>
    <w:rsid w:val="007A4DE0"/>
    <w:rsid w:val="007A6F6B"/>
    <w:rsid w:val="007B1E0A"/>
    <w:rsid w:val="007B2356"/>
    <w:rsid w:val="007B418A"/>
    <w:rsid w:val="007B4AD1"/>
    <w:rsid w:val="007B6870"/>
    <w:rsid w:val="007C02AE"/>
    <w:rsid w:val="007C0ECB"/>
    <w:rsid w:val="007C1EA1"/>
    <w:rsid w:val="007C37EA"/>
    <w:rsid w:val="007D0CC8"/>
    <w:rsid w:val="007D357B"/>
    <w:rsid w:val="007D4C6F"/>
    <w:rsid w:val="007D5631"/>
    <w:rsid w:val="007D75F6"/>
    <w:rsid w:val="007E0A12"/>
    <w:rsid w:val="007E1F52"/>
    <w:rsid w:val="007E42B2"/>
    <w:rsid w:val="007E56B7"/>
    <w:rsid w:val="007E7EA9"/>
    <w:rsid w:val="007F43B3"/>
    <w:rsid w:val="008026DE"/>
    <w:rsid w:val="00805011"/>
    <w:rsid w:val="0080535E"/>
    <w:rsid w:val="00806216"/>
    <w:rsid w:val="0080623B"/>
    <w:rsid w:val="0080726F"/>
    <w:rsid w:val="0081051D"/>
    <w:rsid w:val="00810FE7"/>
    <w:rsid w:val="008115AF"/>
    <w:rsid w:val="00812EFC"/>
    <w:rsid w:val="008145C7"/>
    <w:rsid w:val="008153D8"/>
    <w:rsid w:val="00815FDB"/>
    <w:rsid w:val="0082030A"/>
    <w:rsid w:val="00822E11"/>
    <w:rsid w:val="00822F39"/>
    <w:rsid w:val="0082547E"/>
    <w:rsid w:val="0082621F"/>
    <w:rsid w:val="0083302B"/>
    <w:rsid w:val="00833AAD"/>
    <w:rsid w:val="00834E20"/>
    <w:rsid w:val="00835361"/>
    <w:rsid w:val="00835971"/>
    <w:rsid w:val="00835C79"/>
    <w:rsid w:val="008368A2"/>
    <w:rsid w:val="00844F87"/>
    <w:rsid w:val="00845B52"/>
    <w:rsid w:val="00850EAD"/>
    <w:rsid w:val="00851B7D"/>
    <w:rsid w:val="008532DA"/>
    <w:rsid w:val="0085381A"/>
    <w:rsid w:val="00855389"/>
    <w:rsid w:val="00855DD2"/>
    <w:rsid w:val="008578C1"/>
    <w:rsid w:val="00857986"/>
    <w:rsid w:val="00861CD5"/>
    <w:rsid w:val="0086760B"/>
    <w:rsid w:val="008718B4"/>
    <w:rsid w:val="00872349"/>
    <w:rsid w:val="0087327B"/>
    <w:rsid w:val="00874E42"/>
    <w:rsid w:val="00875918"/>
    <w:rsid w:val="00877071"/>
    <w:rsid w:val="00877DB3"/>
    <w:rsid w:val="008815EB"/>
    <w:rsid w:val="0088258C"/>
    <w:rsid w:val="008879C0"/>
    <w:rsid w:val="00887E42"/>
    <w:rsid w:val="00890F0F"/>
    <w:rsid w:val="00891D41"/>
    <w:rsid w:val="00892AE5"/>
    <w:rsid w:val="00892AF8"/>
    <w:rsid w:val="0089322A"/>
    <w:rsid w:val="00895B60"/>
    <w:rsid w:val="00895D8A"/>
    <w:rsid w:val="00895E1A"/>
    <w:rsid w:val="008969BC"/>
    <w:rsid w:val="008970F2"/>
    <w:rsid w:val="00897D31"/>
    <w:rsid w:val="008A0C56"/>
    <w:rsid w:val="008A33C4"/>
    <w:rsid w:val="008A3612"/>
    <w:rsid w:val="008A374A"/>
    <w:rsid w:val="008A3C55"/>
    <w:rsid w:val="008A4731"/>
    <w:rsid w:val="008A506F"/>
    <w:rsid w:val="008A5401"/>
    <w:rsid w:val="008A55D4"/>
    <w:rsid w:val="008A5A5A"/>
    <w:rsid w:val="008A7A65"/>
    <w:rsid w:val="008B2177"/>
    <w:rsid w:val="008B2888"/>
    <w:rsid w:val="008B2A22"/>
    <w:rsid w:val="008B30FB"/>
    <w:rsid w:val="008B4A85"/>
    <w:rsid w:val="008B6201"/>
    <w:rsid w:val="008B627B"/>
    <w:rsid w:val="008B6363"/>
    <w:rsid w:val="008B643A"/>
    <w:rsid w:val="008B6BD4"/>
    <w:rsid w:val="008C018C"/>
    <w:rsid w:val="008C28DC"/>
    <w:rsid w:val="008C7381"/>
    <w:rsid w:val="008C78AB"/>
    <w:rsid w:val="008C7E09"/>
    <w:rsid w:val="008D3735"/>
    <w:rsid w:val="008D3BCA"/>
    <w:rsid w:val="008D5182"/>
    <w:rsid w:val="008D615F"/>
    <w:rsid w:val="008D6320"/>
    <w:rsid w:val="008D6ED9"/>
    <w:rsid w:val="008E1FAB"/>
    <w:rsid w:val="008E2985"/>
    <w:rsid w:val="008E3CD4"/>
    <w:rsid w:val="008E498D"/>
    <w:rsid w:val="008E5097"/>
    <w:rsid w:val="008F027D"/>
    <w:rsid w:val="008F34E5"/>
    <w:rsid w:val="008F4EF2"/>
    <w:rsid w:val="008F52F4"/>
    <w:rsid w:val="008F564B"/>
    <w:rsid w:val="008F7D1B"/>
    <w:rsid w:val="00901489"/>
    <w:rsid w:val="009045E2"/>
    <w:rsid w:val="00904C8A"/>
    <w:rsid w:val="00904EC8"/>
    <w:rsid w:val="0091039E"/>
    <w:rsid w:val="00910F01"/>
    <w:rsid w:val="00912527"/>
    <w:rsid w:val="0091290A"/>
    <w:rsid w:val="00913A17"/>
    <w:rsid w:val="00915B45"/>
    <w:rsid w:val="00917798"/>
    <w:rsid w:val="00917E29"/>
    <w:rsid w:val="00920DF6"/>
    <w:rsid w:val="00921259"/>
    <w:rsid w:val="009219AB"/>
    <w:rsid w:val="00921C2A"/>
    <w:rsid w:val="00922BFD"/>
    <w:rsid w:val="0092563C"/>
    <w:rsid w:val="009257B3"/>
    <w:rsid w:val="00925CFB"/>
    <w:rsid w:val="00926443"/>
    <w:rsid w:val="009265AF"/>
    <w:rsid w:val="00926E95"/>
    <w:rsid w:val="0093144A"/>
    <w:rsid w:val="00931526"/>
    <w:rsid w:val="009324F8"/>
    <w:rsid w:val="00933C1E"/>
    <w:rsid w:val="00933C2E"/>
    <w:rsid w:val="00934115"/>
    <w:rsid w:val="00936145"/>
    <w:rsid w:val="00944A4D"/>
    <w:rsid w:val="00944F9C"/>
    <w:rsid w:val="00945ACB"/>
    <w:rsid w:val="00946385"/>
    <w:rsid w:val="00953E73"/>
    <w:rsid w:val="009578B5"/>
    <w:rsid w:val="00960F22"/>
    <w:rsid w:val="00961FD7"/>
    <w:rsid w:val="0096225B"/>
    <w:rsid w:val="0097430B"/>
    <w:rsid w:val="009745FD"/>
    <w:rsid w:val="00975086"/>
    <w:rsid w:val="00976B5D"/>
    <w:rsid w:val="009817C2"/>
    <w:rsid w:val="00984E16"/>
    <w:rsid w:val="00986439"/>
    <w:rsid w:val="009871AF"/>
    <w:rsid w:val="00990429"/>
    <w:rsid w:val="00992C0D"/>
    <w:rsid w:val="00995D99"/>
    <w:rsid w:val="00996011"/>
    <w:rsid w:val="0099716B"/>
    <w:rsid w:val="009A1199"/>
    <w:rsid w:val="009A1F52"/>
    <w:rsid w:val="009A4C62"/>
    <w:rsid w:val="009B00ED"/>
    <w:rsid w:val="009B1091"/>
    <w:rsid w:val="009B699A"/>
    <w:rsid w:val="009B72EC"/>
    <w:rsid w:val="009B7F3C"/>
    <w:rsid w:val="009C11F0"/>
    <w:rsid w:val="009C2626"/>
    <w:rsid w:val="009C2819"/>
    <w:rsid w:val="009C58D3"/>
    <w:rsid w:val="009C6685"/>
    <w:rsid w:val="009D0C3F"/>
    <w:rsid w:val="009D15F3"/>
    <w:rsid w:val="009D1C6C"/>
    <w:rsid w:val="009D4FED"/>
    <w:rsid w:val="009D5596"/>
    <w:rsid w:val="009D6163"/>
    <w:rsid w:val="009D69EC"/>
    <w:rsid w:val="009E2290"/>
    <w:rsid w:val="009E6D63"/>
    <w:rsid w:val="009F0A85"/>
    <w:rsid w:val="009F0C0B"/>
    <w:rsid w:val="009F1D24"/>
    <w:rsid w:val="009F3571"/>
    <w:rsid w:val="009F38B2"/>
    <w:rsid w:val="009F4CB1"/>
    <w:rsid w:val="009F7C0D"/>
    <w:rsid w:val="009F7ED8"/>
    <w:rsid w:val="00A0275B"/>
    <w:rsid w:val="00A12A90"/>
    <w:rsid w:val="00A13C16"/>
    <w:rsid w:val="00A144CB"/>
    <w:rsid w:val="00A168A1"/>
    <w:rsid w:val="00A2011C"/>
    <w:rsid w:val="00A2050E"/>
    <w:rsid w:val="00A2068E"/>
    <w:rsid w:val="00A20D39"/>
    <w:rsid w:val="00A2276F"/>
    <w:rsid w:val="00A236CA"/>
    <w:rsid w:val="00A23AB0"/>
    <w:rsid w:val="00A23F52"/>
    <w:rsid w:val="00A25319"/>
    <w:rsid w:val="00A25E60"/>
    <w:rsid w:val="00A322D3"/>
    <w:rsid w:val="00A3554C"/>
    <w:rsid w:val="00A40D16"/>
    <w:rsid w:val="00A40F08"/>
    <w:rsid w:val="00A41976"/>
    <w:rsid w:val="00A41A61"/>
    <w:rsid w:val="00A424EF"/>
    <w:rsid w:val="00A42DB8"/>
    <w:rsid w:val="00A43597"/>
    <w:rsid w:val="00A4452D"/>
    <w:rsid w:val="00A476E8"/>
    <w:rsid w:val="00A50814"/>
    <w:rsid w:val="00A51236"/>
    <w:rsid w:val="00A512C6"/>
    <w:rsid w:val="00A53F0F"/>
    <w:rsid w:val="00A53FD1"/>
    <w:rsid w:val="00A57D2E"/>
    <w:rsid w:val="00A612AB"/>
    <w:rsid w:val="00A61F28"/>
    <w:rsid w:val="00A626AE"/>
    <w:rsid w:val="00A62C6C"/>
    <w:rsid w:val="00A657CF"/>
    <w:rsid w:val="00A65F90"/>
    <w:rsid w:val="00A667F8"/>
    <w:rsid w:val="00A66C3C"/>
    <w:rsid w:val="00A66EF1"/>
    <w:rsid w:val="00A71604"/>
    <w:rsid w:val="00A762BA"/>
    <w:rsid w:val="00A76D54"/>
    <w:rsid w:val="00A77DD7"/>
    <w:rsid w:val="00A81F1E"/>
    <w:rsid w:val="00A825F9"/>
    <w:rsid w:val="00A830A0"/>
    <w:rsid w:val="00A83D5B"/>
    <w:rsid w:val="00A86B7A"/>
    <w:rsid w:val="00A90273"/>
    <w:rsid w:val="00A91CBE"/>
    <w:rsid w:val="00A92288"/>
    <w:rsid w:val="00A92D30"/>
    <w:rsid w:val="00A94AA2"/>
    <w:rsid w:val="00A9502B"/>
    <w:rsid w:val="00A96393"/>
    <w:rsid w:val="00AA1993"/>
    <w:rsid w:val="00AA24FA"/>
    <w:rsid w:val="00AA3F74"/>
    <w:rsid w:val="00AA4006"/>
    <w:rsid w:val="00AA4C7C"/>
    <w:rsid w:val="00AB05B8"/>
    <w:rsid w:val="00AB2B52"/>
    <w:rsid w:val="00AB3492"/>
    <w:rsid w:val="00AB506F"/>
    <w:rsid w:val="00AB7B30"/>
    <w:rsid w:val="00AC0A43"/>
    <w:rsid w:val="00AC2A9F"/>
    <w:rsid w:val="00AC30DD"/>
    <w:rsid w:val="00AC44A1"/>
    <w:rsid w:val="00AC7074"/>
    <w:rsid w:val="00AD06C1"/>
    <w:rsid w:val="00AD1123"/>
    <w:rsid w:val="00AD15DC"/>
    <w:rsid w:val="00AD1E5A"/>
    <w:rsid w:val="00AD525F"/>
    <w:rsid w:val="00AD56FA"/>
    <w:rsid w:val="00AD628A"/>
    <w:rsid w:val="00AD71CC"/>
    <w:rsid w:val="00AE23B8"/>
    <w:rsid w:val="00AE5F73"/>
    <w:rsid w:val="00AE647C"/>
    <w:rsid w:val="00AE722C"/>
    <w:rsid w:val="00AE79BB"/>
    <w:rsid w:val="00AF0F45"/>
    <w:rsid w:val="00AF4A54"/>
    <w:rsid w:val="00B012DB"/>
    <w:rsid w:val="00B02E2B"/>
    <w:rsid w:val="00B05727"/>
    <w:rsid w:val="00B079B4"/>
    <w:rsid w:val="00B07E20"/>
    <w:rsid w:val="00B07FD7"/>
    <w:rsid w:val="00B10416"/>
    <w:rsid w:val="00B10AEA"/>
    <w:rsid w:val="00B10C17"/>
    <w:rsid w:val="00B15066"/>
    <w:rsid w:val="00B21BA0"/>
    <w:rsid w:val="00B2352E"/>
    <w:rsid w:val="00B25B50"/>
    <w:rsid w:val="00B277BA"/>
    <w:rsid w:val="00B308BB"/>
    <w:rsid w:val="00B3094F"/>
    <w:rsid w:val="00B30964"/>
    <w:rsid w:val="00B322E1"/>
    <w:rsid w:val="00B3266E"/>
    <w:rsid w:val="00B35A9F"/>
    <w:rsid w:val="00B36ACB"/>
    <w:rsid w:val="00B37125"/>
    <w:rsid w:val="00B37C2D"/>
    <w:rsid w:val="00B401B3"/>
    <w:rsid w:val="00B40C88"/>
    <w:rsid w:val="00B42C90"/>
    <w:rsid w:val="00B43CE3"/>
    <w:rsid w:val="00B43F6B"/>
    <w:rsid w:val="00B526E3"/>
    <w:rsid w:val="00B52D65"/>
    <w:rsid w:val="00B53997"/>
    <w:rsid w:val="00B54223"/>
    <w:rsid w:val="00B544F9"/>
    <w:rsid w:val="00B549A5"/>
    <w:rsid w:val="00B568E9"/>
    <w:rsid w:val="00B605AC"/>
    <w:rsid w:val="00B65D9E"/>
    <w:rsid w:val="00B7065D"/>
    <w:rsid w:val="00B706D8"/>
    <w:rsid w:val="00B7286C"/>
    <w:rsid w:val="00B745A9"/>
    <w:rsid w:val="00B74C15"/>
    <w:rsid w:val="00B75A50"/>
    <w:rsid w:val="00B76A1D"/>
    <w:rsid w:val="00B7788A"/>
    <w:rsid w:val="00B801A8"/>
    <w:rsid w:val="00B81187"/>
    <w:rsid w:val="00B827E6"/>
    <w:rsid w:val="00B829A1"/>
    <w:rsid w:val="00B85601"/>
    <w:rsid w:val="00B86EDE"/>
    <w:rsid w:val="00B90337"/>
    <w:rsid w:val="00B9286A"/>
    <w:rsid w:val="00B951BA"/>
    <w:rsid w:val="00B957B9"/>
    <w:rsid w:val="00BA25BF"/>
    <w:rsid w:val="00BA28E4"/>
    <w:rsid w:val="00BA2B69"/>
    <w:rsid w:val="00BA5627"/>
    <w:rsid w:val="00BA5877"/>
    <w:rsid w:val="00BA5913"/>
    <w:rsid w:val="00BA6C05"/>
    <w:rsid w:val="00BA773C"/>
    <w:rsid w:val="00BB0692"/>
    <w:rsid w:val="00BB0A0B"/>
    <w:rsid w:val="00BB2D37"/>
    <w:rsid w:val="00BB4587"/>
    <w:rsid w:val="00BB47EC"/>
    <w:rsid w:val="00BB798D"/>
    <w:rsid w:val="00BC250A"/>
    <w:rsid w:val="00BC4722"/>
    <w:rsid w:val="00BC57F5"/>
    <w:rsid w:val="00BC62A9"/>
    <w:rsid w:val="00BC63D3"/>
    <w:rsid w:val="00BC75CB"/>
    <w:rsid w:val="00BD1645"/>
    <w:rsid w:val="00BD2DA2"/>
    <w:rsid w:val="00BD4B77"/>
    <w:rsid w:val="00BD5A67"/>
    <w:rsid w:val="00BD5CD9"/>
    <w:rsid w:val="00BE0221"/>
    <w:rsid w:val="00BE02F9"/>
    <w:rsid w:val="00BE064C"/>
    <w:rsid w:val="00BE4148"/>
    <w:rsid w:val="00BF0B68"/>
    <w:rsid w:val="00BF1B38"/>
    <w:rsid w:val="00BF2183"/>
    <w:rsid w:val="00BF48B0"/>
    <w:rsid w:val="00BF4C1B"/>
    <w:rsid w:val="00BF65DF"/>
    <w:rsid w:val="00C00345"/>
    <w:rsid w:val="00C00A2E"/>
    <w:rsid w:val="00C012BB"/>
    <w:rsid w:val="00C01362"/>
    <w:rsid w:val="00C02BB7"/>
    <w:rsid w:val="00C05533"/>
    <w:rsid w:val="00C13783"/>
    <w:rsid w:val="00C201A4"/>
    <w:rsid w:val="00C21051"/>
    <w:rsid w:val="00C22C8E"/>
    <w:rsid w:val="00C23E17"/>
    <w:rsid w:val="00C23E2F"/>
    <w:rsid w:val="00C30372"/>
    <w:rsid w:val="00C306E4"/>
    <w:rsid w:val="00C30A63"/>
    <w:rsid w:val="00C30F6F"/>
    <w:rsid w:val="00C3324D"/>
    <w:rsid w:val="00C33A62"/>
    <w:rsid w:val="00C34B5C"/>
    <w:rsid w:val="00C40B52"/>
    <w:rsid w:val="00C40EE8"/>
    <w:rsid w:val="00C41DA8"/>
    <w:rsid w:val="00C425C3"/>
    <w:rsid w:val="00C4412B"/>
    <w:rsid w:val="00C54161"/>
    <w:rsid w:val="00C54529"/>
    <w:rsid w:val="00C550F7"/>
    <w:rsid w:val="00C56E5D"/>
    <w:rsid w:val="00C61336"/>
    <w:rsid w:val="00C64CE1"/>
    <w:rsid w:val="00C70F7F"/>
    <w:rsid w:val="00C7132E"/>
    <w:rsid w:val="00C724B5"/>
    <w:rsid w:val="00C7287A"/>
    <w:rsid w:val="00C72984"/>
    <w:rsid w:val="00C75B97"/>
    <w:rsid w:val="00C75DAB"/>
    <w:rsid w:val="00C76B83"/>
    <w:rsid w:val="00C806C8"/>
    <w:rsid w:val="00C86F5B"/>
    <w:rsid w:val="00C8732E"/>
    <w:rsid w:val="00C91673"/>
    <w:rsid w:val="00C917C9"/>
    <w:rsid w:val="00C9252A"/>
    <w:rsid w:val="00C94AB1"/>
    <w:rsid w:val="00C9573C"/>
    <w:rsid w:val="00C97C43"/>
    <w:rsid w:val="00CA05E8"/>
    <w:rsid w:val="00CA13C0"/>
    <w:rsid w:val="00CA38E5"/>
    <w:rsid w:val="00CA43C2"/>
    <w:rsid w:val="00CA57F8"/>
    <w:rsid w:val="00CA74D2"/>
    <w:rsid w:val="00CA798A"/>
    <w:rsid w:val="00CB3077"/>
    <w:rsid w:val="00CB32C7"/>
    <w:rsid w:val="00CB5615"/>
    <w:rsid w:val="00CC02EF"/>
    <w:rsid w:val="00CC186E"/>
    <w:rsid w:val="00CC4298"/>
    <w:rsid w:val="00CC44CE"/>
    <w:rsid w:val="00CC70AC"/>
    <w:rsid w:val="00CD0E96"/>
    <w:rsid w:val="00CD29BE"/>
    <w:rsid w:val="00CD32C1"/>
    <w:rsid w:val="00CD7A64"/>
    <w:rsid w:val="00CD7BA1"/>
    <w:rsid w:val="00CE14A9"/>
    <w:rsid w:val="00CF1163"/>
    <w:rsid w:val="00CF37D4"/>
    <w:rsid w:val="00CF4F7B"/>
    <w:rsid w:val="00CF67E0"/>
    <w:rsid w:val="00D0056F"/>
    <w:rsid w:val="00D00DAD"/>
    <w:rsid w:val="00D01C2F"/>
    <w:rsid w:val="00D05F67"/>
    <w:rsid w:val="00D05FDA"/>
    <w:rsid w:val="00D07D96"/>
    <w:rsid w:val="00D10DBF"/>
    <w:rsid w:val="00D11B02"/>
    <w:rsid w:val="00D141CF"/>
    <w:rsid w:val="00D1425F"/>
    <w:rsid w:val="00D16A76"/>
    <w:rsid w:val="00D17360"/>
    <w:rsid w:val="00D20007"/>
    <w:rsid w:val="00D203D5"/>
    <w:rsid w:val="00D214A5"/>
    <w:rsid w:val="00D243E1"/>
    <w:rsid w:val="00D25076"/>
    <w:rsid w:val="00D25414"/>
    <w:rsid w:val="00D25B34"/>
    <w:rsid w:val="00D25C50"/>
    <w:rsid w:val="00D32326"/>
    <w:rsid w:val="00D37E39"/>
    <w:rsid w:val="00D419A1"/>
    <w:rsid w:val="00D436A5"/>
    <w:rsid w:val="00D43CA6"/>
    <w:rsid w:val="00D458EF"/>
    <w:rsid w:val="00D46493"/>
    <w:rsid w:val="00D5366C"/>
    <w:rsid w:val="00D53BB5"/>
    <w:rsid w:val="00D54087"/>
    <w:rsid w:val="00D54B2F"/>
    <w:rsid w:val="00D616A7"/>
    <w:rsid w:val="00D61ACE"/>
    <w:rsid w:val="00D63D87"/>
    <w:rsid w:val="00D66BB2"/>
    <w:rsid w:val="00D70826"/>
    <w:rsid w:val="00D7082E"/>
    <w:rsid w:val="00D716A1"/>
    <w:rsid w:val="00D725BB"/>
    <w:rsid w:val="00D74C26"/>
    <w:rsid w:val="00D7751B"/>
    <w:rsid w:val="00D81ADF"/>
    <w:rsid w:val="00D8455F"/>
    <w:rsid w:val="00D849C1"/>
    <w:rsid w:val="00D85F55"/>
    <w:rsid w:val="00D86D50"/>
    <w:rsid w:val="00D90A92"/>
    <w:rsid w:val="00D94ED4"/>
    <w:rsid w:val="00D95118"/>
    <w:rsid w:val="00D96F49"/>
    <w:rsid w:val="00D97A05"/>
    <w:rsid w:val="00DA53CB"/>
    <w:rsid w:val="00DA70B4"/>
    <w:rsid w:val="00DB4091"/>
    <w:rsid w:val="00DB5012"/>
    <w:rsid w:val="00DB5139"/>
    <w:rsid w:val="00DB56B6"/>
    <w:rsid w:val="00DB6743"/>
    <w:rsid w:val="00DB699A"/>
    <w:rsid w:val="00DC0F31"/>
    <w:rsid w:val="00DC14B2"/>
    <w:rsid w:val="00DC3E38"/>
    <w:rsid w:val="00DC44A0"/>
    <w:rsid w:val="00DC47F5"/>
    <w:rsid w:val="00DC5B09"/>
    <w:rsid w:val="00DC6095"/>
    <w:rsid w:val="00DD1055"/>
    <w:rsid w:val="00DD1FE6"/>
    <w:rsid w:val="00DD2A1B"/>
    <w:rsid w:val="00DD4103"/>
    <w:rsid w:val="00DD57D8"/>
    <w:rsid w:val="00DD6B14"/>
    <w:rsid w:val="00DD71E5"/>
    <w:rsid w:val="00DE4747"/>
    <w:rsid w:val="00DE6F76"/>
    <w:rsid w:val="00DE7E5A"/>
    <w:rsid w:val="00DF0CA6"/>
    <w:rsid w:val="00DF1350"/>
    <w:rsid w:val="00DF2356"/>
    <w:rsid w:val="00DF413F"/>
    <w:rsid w:val="00DF59D7"/>
    <w:rsid w:val="00DF788B"/>
    <w:rsid w:val="00E022FD"/>
    <w:rsid w:val="00E0464A"/>
    <w:rsid w:val="00E05283"/>
    <w:rsid w:val="00E057CC"/>
    <w:rsid w:val="00E0587A"/>
    <w:rsid w:val="00E06FAD"/>
    <w:rsid w:val="00E07142"/>
    <w:rsid w:val="00E1284B"/>
    <w:rsid w:val="00E130BD"/>
    <w:rsid w:val="00E1409B"/>
    <w:rsid w:val="00E14519"/>
    <w:rsid w:val="00E157D0"/>
    <w:rsid w:val="00E17B21"/>
    <w:rsid w:val="00E17FA7"/>
    <w:rsid w:val="00E21B45"/>
    <w:rsid w:val="00E21BF3"/>
    <w:rsid w:val="00E221AF"/>
    <w:rsid w:val="00E23195"/>
    <w:rsid w:val="00E236B8"/>
    <w:rsid w:val="00E236F3"/>
    <w:rsid w:val="00E247BE"/>
    <w:rsid w:val="00E24BD6"/>
    <w:rsid w:val="00E25BE2"/>
    <w:rsid w:val="00E266F9"/>
    <w:rsid w:val="00E2759B"/>
    <w:rsid w:val="00E307F2"/>
    <w:rsid w:val="00E33525"/>
    <w:rsid w:val="00E34AF6"/>
    <w:rsid w:val="00E34DA5"/>
    <w:rsid w:val="00E35262"/>
    <w:rsid w:val="00E37399"/>
    <w:rsid w:val="00E4003A"/>
    <w:rsid w:val="00E4052A"/>
    <w:rsid w:val="00E41C59"/>
    <w:rsid w:val="00E42CC7"/>
    <w:rsid w:val="00E44E27"/>
    <w:rsid w:val="00E44E4D"/>
    <w:rsid w:val="00E45CC2"/>
    <w:rsid w:val="00E50374"/>
    <w:rsid w:val="00E528DD"/>
    <w:rsid w:val="00E5347B"/>
    <w:rsid w:val="00E549C0"/>
    <w:rsid w:val="00E556B2"/>
    <w:rsid w:val="00E55D3C"/>
    <w:rsid w:val="00E5625F"/>
    <w:rsid w:val="00E57D5F"/>
    <w:rsid w:val="00E622E5"/>
    <w:rsid w:val="00E627FA"/>
    <w:rsid w:val="00E643D7"/>
    <w:rsid w:val="00E64F93"/>
    <w:rsid w:val="00E6693A"/>
    <w:rsid w:val="00E674B0"/>
    <w:rsid w:val="00E70DFC"/>
    <w:rsid w:val="00E713B7"/>
    <w:rsid w:val="00E725AF"/>
    <w:rsid w:val="00E728CC"/>
    <w:rsid w:val="00E7299E"/>
    <w:rsid w:val="00E72E89"/>
    <w:rsid w:val="00E733C1"/>
    <w:rsid w:val="00E7667B"/>
    <w:rsid w:val="00E77545"/>
    <w:rsid w:val="00E77F10"/>
    <w:rsid w:val="00E812AF"/>
    <w:rsid w:val="00E82CC7"/>
    <w:rsid w:val="00E84433"/>
    <w:rsid w:val="00E84BA5"/>
    <w:rsid w:val="00E84CDF"/>
    <w:rsid w:val="00E84EFD"/>
    <w:rsid w:val="00E856F5"/>
    <w:rsid w:val="00E86A66"/>
    <w:rsid w:val="00E9099A"/>
    <w:rsid w:val="00E91A2B"/>
    <w:rsid w:val="00E92D41"/>
    <w:rsid w:val="00E95EB6"/>
    <w:rsid w:val="00E96AA4"/>
    <w:rsid w:val="00E9796B"/>
    <w:rsid w:val="00EA2D76"/>
    <w:rsid w:val="00EA3080"/>
    <w:rsid w:val="00EA3F45"/>
    <w:rsid w:val="00EA44BB"/>
    <w:rsid w:val="00EA5354"/>
    <w:rsid w:val="00EA75A0"/>
    <w:rsid w:val="00EB069C"/>
    <w:rsid w:val="00EB218F"/>
    <w:rsid w:val="00EB2C20"/>
    <w:rsid w:val="00EB4CC4"/>
    <w:rsid w:val="00EB58A8"/>
    <w:rsid w:val="00EC07AF"/>
    <w:rsid w:val="00EC1130"/>
    <w:rsid w:val="00EC11DB"/>
    <w:rsid w:val="00EC14C9"/>
    <w:rsid w:val="00EC17D6"/>
    <w:rsid w:val="00EC3C6A"/>
    <w:rsid w:val="00EC510A"/>
    <w:rsid w:val="00EC52CB"/>
    <w:rsid w:val="00EC5AD5"/>
    <w:rsid w:val="00EC5B77"/>
    <w:rsid w:val="00EC5F57"/>
    <w:rsid w:val="00EC7E29"/>
    <w:rsid w:val="00ED5C04"/>
    <w:rsid w:val="00EE08E5"/>
    <w:rsid w:val="00EE2214"/>
    <w:rsid w:val="00EE3600"/>
    <w:rsid w:val="00EE3773"/>
    <w:rsid w:val="00EE3CA3"/>
    <w:rsid w:val="00EE48A1"/>
    <w:rsid w:val="00EE4C98"/>
    <w:rsid w:val="00EE6703"/>
    <w:rsid w:val="00F0207C"/>
    <w:rsid w:val="00F03AD2"/>
    <w:rsid w:val="00F045DF"/>
    <w:rsid w:val="00F04FD0"/>
    <w:rsid w:val="00F06ED4"/>
    <w:rsid w:val="00F10066"/>
    <w:rsid w:val="00F10604"/>
    <w:rsid w:val="00F14EAF"/>
    <w:rsid w:val="00F174D7"/>
    <w:rsid w:val="00F178C2"/>
    <w:rsid w:val="00F22029"/>
    <w:rsid w:val="00F23F28"/>
    <w:rsid w:val="00F24AF3"/>
    <w:rsid w:val="00F2760C"/>
    <w:rsid w:val="00F31D62"/>
    <w:rsid w:val="00F3357A"/>
    <w:rsid w:val="00F34F85"/>
    <w:rsid w:val="00F40C94"/>
    <w:rsid w:val="00F40CDC"/>
    <w:rsid w:val="00F45A3F"/>
    <w:rsid w:val="00F47334"/>
    <w:rsid w:val="00F5031D"/>
    <w:rsid w:val="00F50E79"/>
    <w:rsid w:val="00F512C9"/>
    <w:rsid w:val="00F5397A"/>
    <w:rsid w:val="00F54545"/>
    <w:rsid w:val="00F545D3"/>
    <w:rsid w:val="00F5688B"/>
    <w:rsid w:val="00F569A0"/>
    <w:rsid w:val="00F5756A"/>
    <w:rsid w:val="00F57EAA"/>
    <w:rsid w:val="00F628B8"/>
    <w:rsid w:val="00F664A6"/>
    <w:rsid w:val="00F70EC0"/>
    <w:rsid w:val="00F71563"/>
    <w:rsid w:val="00F72511"/>
    <w:rsid w:val="00F75698"/>
    <w:rsid w:val="00F80142"/>
    <w:rsid w:val="00F816DE"/>
    <w:rsid w:val="00F81962"/>
    <w:rsid w:val="00F828BC"/>
    <w:rsid w:val="00F83AF7"/>
    <w:rsid w:val="00F86403"/>
    <w:rsid w:val="00F864E8"/>
    <w:rsid w:val="00F91315"/>
    <w:rsid w:val="00F93BE0"/>
    <w:rsid w:val="00F96B83"/>
    <w:rsid w:val="00FA1041"/>
    <w:rsid w:val="00FA3861"/>
    <w:rsid w:val="00FA4506"/>
    <w:rsid w:val="00FA4DCA"/>
    <w:rsid w:val="00FA5759"/>
    <w:rsid w:val="00FA6F70"/>
    <w:rsid w:val="00FA7837"/>
    <w:rsid w:val="00FB74A7"/>
    <w:rsid w:val="00FB7FDD"/>
    <w:rsid w:val="00FC0937"/>
    <w:rsid w:val="00FC2226"/>
    <w:rsid w:val="00FC4A8E"/>
    <w:rsid w:val="00FC51E1"/>
    <w:rsid w:val="00FC5713"/>
    <w:rsid w:val="00FC6F1A"/>
    <w:rsid w:val="00FD4A48"/>
    <w:rsid w:val="00FE1FFC"/>
    <w:rsid w:val="00FE2779"/>
    <w:rsid w:val="00FE2E8A"/>
    <w:rsid w:val="00FE43F5"/>
    <w:rsid w:val="00FE5954"/>
    <w:rsid w:val="00FE6EC5"/>
    <w:rsid w:val="00FF08CD"/>
    <w:rsid w:val="00FF284C"/>
    <w:rsid w:val="00FF292F"/>
    <w:rsid w:val="00FF3B74"/>
    <w:rsid w:val="00FF3E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CB"/>
    <w:rPr>
      <w:sz w:val="24"/>
    </w:rPr>
  </w:style>
  <w:style w:type="paragraph" w:styleId="Heading1">
    <w:name w:val="heading 1"/>
    <w:basedOn w:val="Normal"/>
    <w:next w:val="Normal"/>
    <w:link w:val="Heading1Char"/>
    <w:autoRedefine/>
    <w:qFormat/>
    <w:rsid w:val="00D7082E"/>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A512C6"/>
    <w:pPr>
      <w:keepNext/>
      <w:spacing w:after="240"/>
      <w:ind w:left="720"/>
      <w:outlineLvl w:val="1"/>
    </w:pPr>
    <w:rPr>
      <w:rFonts w:ascii="Times New Roman Bold" w:hAnsi="Times New Roman Bold"/>
      <w:szCs w:val="24"/>
      <w:shd w:val="clear" w:color="auto" w:fill="FFFFFF"/>
    </w:rPr>
  </w:style>
  <w:style w:type="paragraph" w:styleId="Heading3">
    <w:name w:val="heading 3"/>
    <w:basedOn w:val="Normal"/>
    <w:next w:val="Normal"/>
    <w:autoRedefine/>
    <w:qFormat/>
    <w:rsid w:val="002C3933"/>
    <w:pPr>
      <w:keepNext/>
      <w:spacing w:after="240"/>
      <w:ind w:left="2160" w:right="720" w:hanging="720"/>
      <w:outlineLvl w:val="2"/>
    </w:pPr>
    <w:rPr>
      <w:rFonts w:ascii="Times New Roman Bold" w:hAnsi="Times New Roman Bold" w:cs="Arial"/>
      <w:b/>
      <w:bCs/>
      <w:szCs w:val="24"/>
    </w:rPr>
  </w:style>
  <w:style w:type="paragraph" w:styleId="Heading4">
    <w:name w:val="heading 4"/>
    <w:basedOn w:val="Normal"/>
    <w:next w:val="Normal"/>
    <w:autoRedefine/>
    <w:qFormat/>
    <w:rsid w:val="00BA5913"/>
    <w:pPr>
      <w:keepNext/>
      <w:tabs>
        <w:tab w:val="decimal" w:leader="dot" w:pos="7920"/>
      </w:tabs>
      <w:spacing w:after="240"/>
      <w:ind w:left="2880" w:hanging="720"/>
      <w:outlineLvl w:val="3"/>
    </w:pPr>
    <w:rPr>
      <w:rFonts w:ascii="Times New Roman Bold" w:hAnsi="Times New Roman Bold"/>
      <w:bCs/>
      <w:szCs w:val="24"/>
    </w:rPr>
  </w:style>
  <w:style w:type="paragraph" w:styleId="Heading5">
    <w:name w:val="heading 5"/>
    <w:basedOn w:val="Normal"/>
    <w:next w:val="Normal"/>
    <w:autoRedefine/>
    <w:qFormat/>
    <w:rsid w:val="00BA5913"/>
    <w:pPr>
      <w:spacing w:after="240"/>
      <w:ind w:left="3600" w:hanging="720"/>
      <w:outlineLvl w:val="4"/>
    </w:pPr>
    <w:rPr>
      <w:rFonts w:ascii="Times New Roman Bold" w:hAnsi="Times New Roman Bold"/>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paragraph" w:styleId="FootnoteText">
    <w:name w:val="footnote text"/>
    <w:aliases w:val="ALTS FOOTNOTE,Footnote Text Char,Footnote Text Char Char,Footnote Text Char Char Char Char,Footnote Text Char1,Footnote Text Char1 Char Char1,Footnote Text Char1 Char Char1 Char Char Char,Footnote Text Char2 Char Char Char Char1,fn"/>
    <w:basedOn w:val="Normal"/>
    <w:link w:val="FootnoteTextChar2"/>
    <w:uiPriority w:val="99"/>
    <w:qFormat/>
    <w:rPr>
      <w:sz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qFormat/>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8"/>
    </w:rPr>
  </w:style>
  <w:style w:type="character" w:styleId="Hyperlink">
    <w:name w:val="Hyperlink"/>
    <w:uiPriority w:val="99"/>
    <w:rPr>
      <w:color w:val="0000FF"/>
      <w:u w:val="single"/>
    </w:rPr>
  </w:style>
  <w:style w:type="character" w:customStyle="1" w:styleId="FootnoteTextChar2">
    <w:name w:val="Footnote Text Char2"/>
    <w:aliases w:val="ALTS FOOTNOTE Char2,Footnote Text Char Char Char,Footnote Text Char Char Char Char Char,Footnote Text Char Char2,Footnote Text Char1 Char,Footnote Text Char1 Char Char1 Char,Footnote Text Char1 Char Char1 Char Char Char Char,fn Char"/>
    <w:link w:val="FootnoteText"/>
    <w:locked/>
    <w:rPr>
      <w:lang w:val="en-US" w:eastAsia="en-US" w:bidi="ar-SA"/>
    </w:rPr>
  </w:style>
  <w:style w:type="character" w:customStyle="1" w:styleId="FootnoteTextChar4CharChar">
    <w:name w:val="Footnote Text Char4 Char Char"/>
    <w:aliases w:val="ALTS FOOTNOTE Char,Footnote Text Char Char4 Char Char,Footnote Text Char Char4 Char1 Char Char Char,Footnote Text Char2 Char,Footnote Text Char4 Char1 Char Char Char,Footnote Text Char5 Char1 Char Char Char Char Char Char"/>
    <w:uiPriority w:val="99"/>
    <w:locked/>
    <w:rPr>
      <w:lang w:val="en-US" w:eastAsia="en-US" w:bidi="ar-SA"/>
    </w:rPr>
  </w:style>
  <w:style w:type="character" w:customStyle="1" w:styleId="Heading1Char">
    <w:name w:val="Heading 1 Char"/>
    <w:link w:val="Heading1"/>
    <w:rsid w:val="00D7082E"/>
    <w:rPr>
      <w:rFonts w:ascii="Times New Roman Bold" w:hAnsi="Times New Roman Bold"/>
      <w:b/>
      <w:caps/>
      <w:sz w:val="24"/>
      <w:szCs w:val="24"/>
    </w:rPr>
  </w:style>
  <w:style w:type="paragraph" w:styleId="Header">
    <w:name w:val="header"/>
    <w:basedOn w:val="Normal"/>
    <w:link w:val="HeaderChar"/>
    <w:uiPriority w:val="99"/>
    <w:pPr>
      <w:tabs>
        <w:tab w:val="center" w:pos="4320"/>
        <w:tab w:val="right" w:pos="8640"/>
      </w:tabs>
    </w:pPr>
  </w:style>
  <w:style w:type="paragraph" w:customStyle="1" w:styleId="Testimony">
    <w:name w:val="Testimony"/>
    <w:basedOn w:val="A"/>
    <w:pPr>
      <w:ind w:firstLine="547"/>
    </w:pPr>
  </w:style>
  <w:style w:type="paragraph" w:styleId="TOC1">
    <w:name w:val="toc 1"/>
    <w:basedOn w:val="Normal"/>
    <w:next w:val="Normal"/>
    <w:autoRedefine/>
    <w:uiPriority w:val="39"/>
    <w:rsid w:val="00FF08CD"/>
    <w:pPr>
      <w:tabs>
        <w:tab w:val="left" w:pos="720"/>
        <w:tab w:val="left" w:pos="1440"/>
        <w:tab w:val="decimal" w:leader="dot" w:pos="8640"/>
      </w:tabs>
      <w:spacing w:after="240"/>
      <w:ind w:left="720" w:right="720" w:hanging="720"/>
    </w:pPr>
    <w:rPr>
      <w:szCs w:val="24"/>
    </w:rPr>
  </w:style>
  <w:style w:type="paragraph" w:styleId="TOC2">
    <w:name w:val="toc 2"/>
    <w:basedOn w:val="Normal"/>
    <w:next w:val="Normal"/>
    <w:autoRedefine/>
    <w:uiPriority w:val="39"/>
    <w:rsid w:val="00A0275B"/>
    <w:pPr>
      <w:tabs>
        <w:tab w:val="decimal" w:leader="dot" w:pos="8640"/>
      </w:tabs>
      <w:spacing w:after="240"/>
      <w:ind w:left="720"/>
    </w:pPr>
    <w:rPr>
      <w:szCs w:val="24"/>
    </w:rPr>
  </w:style>
  <w:style w:type="paragraph" w:styleId="TOC3">
    <w:name w:val="toc 3"/>
    <w:basedOn w:val="Normal"/>
    <w:next w:val="Normal"/>
    <w:autoRedefine/>
    <w:uiPriority w:val="39"/>
    <w:rsid w:val="00FF08CD"/>
    <w:pPr>
      <w:tabs>
        <w:tab w:val="left" w:pos="720"/>
        <w:tab w:val="left" w:pos="1440"/>
        <w:tab w:val="decimal" w:leader="dot" w:pos="8640"/>
      </w:tabs>
      <w:spacing w:after="240"/>
      <w:ind w:left="2160" w:hanging="720"/>
    </w:pPr>
    <w:rPr>
      <w:szCs w:val="24"/>
    </w:rPr>
  </w:style>
  <w:style w:type="paragraph" w:customStyle="1" w:styleId="A">
    <w:name w:val="A:"/>
    <w:basedOn w:val="Normal"/>
    <w:next w:val="Testimony"/>
    <w:link w:val="AChar"/>
    <w:pPr>
      <w:spacing w:line="480" w:lineRule="exact"/>
      <w:ind w:left="547" w:hanging="547"/>
      <w:jc w:val="both"/>
    </w:pPr>
    <w:rPr>
      <w:kern w:val="22"/>
      <w:sz w:val="26"/>
    </w:rPr>
  </w:style>
  <w:style w:type="character" w:customStyle="1" w:styleId="AChar">
    <w:name w:val="A: Char"/>
    <w:link w:val="A"/>
    <w:rPr>
      <w:kern w:val="22"/>
      <w:sz w:val="26"/>
      <w:lang w:val="en-US" w:eastAsia="en-US" w:bidi="ar-SA"/>
    </w:rPr>
  </w:style>
  <w:style w:type="paragraph" w:customStyle="1" w:styleId="Q">
    <w:name w:val="Q:"/>
    <w:basedOn w:val="A"/>
    <w:next w:val="A"/>
    <w:pPr>
      <w:spacing w:before="120"/>
    </w:pPr>
    <w:rPr>
      <w:b/>
    </w:rPr>
  </w:style>
  <w:style w:type="paragraph" w:styleId="BlockText">
    <w:name w:val="Block Text"/>
    <w:basedOn w:val="Normal"/>
    <w:pPr>
      <w:tabs>
        <w:tab w:val="left" w:pos="864"/>
        <w:tab w:val="left" w:pos="1584"/>
        <w:tab w:val="left" w:pos="6768"/>
      </w:tabs>
      <w:spacing w:line="480" w:lineRule="atLeast"/>
      <w:ind w:left="864" w:right="-720" w:hanging="864"/>
    </w:pPr>
    <w:rPr>
      <w:b/>
      <w:i/>
    </w:rPr>
  </w:style>
  <w:style w:type="paragraph" w:styleId="TOC4">
    <w:name w:val="toc 4"/>
    <w:basedOn w:val="Normal"/>
    <w:next w:val="Normal"/>
    <w:autoRedefine/>
    <w:uiPriority w:val="39"/>
    <w:pPr>
      <w:tabs>
        <w:tab w:val="left" w:pos="720"/>
        <w:tab w:val="left" w:pos="1440"/>
        <w:tab w:val="left" w:pos="2160"/>
        <w:tab w:val="decimal" w:leader="dot" w:pos="8640"/>
      </w:tabs>
      <w:spacing w:after="240"/>
      <w:ind w:left="2880" w:hanging="720"/>
    </w:pPr>
    <w:rPr>
      <w:szCs w:val="24"/>
    </w:rPr>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sz w:val="24"/>
      <w:szCs w:val="24"/>
    </w:rPr>
  </w:style>
  <w:style w:type="paragraph" w:styleId="PlainText">
    <w:name w:val="Plain Text"/>
    <w:basedOn w:val="Normal"/>
    <w:link w:val="PlainTextChar"/>
    <w:unhideWhenUsed/>
    <w:rPr>
      <w:rFonts w:ascii="Consolas" w:eastAsia="Calibri" w:hAnsi="Consolas"/>
      <w:sz w:val="21"/>
      <w:szCs w:val="21"/>
    </w:rPr>
  </w:style>
  <w:style w:type="character" w:customStyle="1" w:styleId="PlainTextChar">
    <w:name w:val="Plain Text Char"/>
    <w:link w:val="PlainText"/>
    <w:rPr>
      <w:rFonts w:ascii="Consolas" w:eastAsia="Calibri" w:hAnsi="Consolas"/>
      <w:sz w:val="21"/>
      <w:szCs w:val="21"/>
      <w:lang w:val="en-US" w:eastAsia="en-US" w:bidi="ar-SA"/>
    </w:rPr>
  </w:style>
  <w:style w:type="character" w:customStyle="1" w:styleId="FootnoteTextChar1Char1">
    <w:name w:val="Footnote Text Char1 Char1"/>
    <w:aliases w:val="ALTS FOOTNOTE Char1,Footnote Text Char Char Char Char Char1,Footnote Text Char Char Char1,Footnote Text Char1 Char Char1 Char Char Char Char1,Footnote Text Char1 Char Char1 Char1,Footnote Text Char2 Char Char Char Char1 Char1"/>
    <w:semiHidden/>
    <w:locked/>
    <w:rPr>
      <w:lang w:val="en-US" w:eastAsia="en-US"/>
    </w:rPr>
  </w:style>
  <w:style w:type="character" w:customStyle="1" w:styleId="FootnoteTextCharChar1">
    <w:name w:val="Footnote Text Char Char1"/>
    <w:aliases w:val="Footnote Text Char Char4 Char Char1,Footnote Text Char Char4 Char1 Char Char Char1,Footnote Text Char4 Char Char1,Footnote Text Char4 Char1 Char Char Char1,Footnote Text Char5 Char1 Char Char Char Char Char Char1"/>
    <w:uiPriority w:val="99"/>
    <w:locked/>
    <w:rPr>
      <w:lang w:val="en-US" w:eastAsia="en-US" w:bidi="ar-SA"/>
    </w:rPr>
  </w:style>
  <w:style w:type="paragraph" w:customStyle="1" w:styleId="Level2">
    <w:name w:val="Level 2"/>
    <w:basedOn w:val="Normal"/>
    <w:rPr>
      <w:rFonts w:eastAsia="SimSun"/>
      <w:szCs w:val="24"/>
      <w:lang w:eastAsia="zh-CN"/>
    </w:rPr>
  </w:style>
  <w:style w:type="character" w:customStyle="1" w:styleId="HTMLPreformattedChar">
    <w:name w:val="HTML Preformatted Char"/>
    <w:link w:val="HTMLPreformatted"/>
    <w:rsid w:val="00910F01"/>
    <w:rPr>
      <w:rFonts w:ascii="Courier New" w:eastAsia="Courier New" w:hAnsi="Courier New" w:cs="Courier New"/>
    </w:rPr>
  </w:style>
  <w:style w:type="paragraph" w:styleId="TOC5">
    <w:name w:val="toc 5"/>
    <w:basedOn w:val="Normal"/>
    <w:next w:val="Normal"/>
    <w:autoRedefine/>
    <w:uiPriority w:val="39"/>
    <w:pPr>
      <w:tabs>
        <w:tab w:val="left" w:pos="720"/>
        <w:tab w:val="left" w:pos="1440"/>
        <w:tab w:val="left" w:pos="2160"/>
        <w:tab w:val="left" w:pos="2880"/>
        <w:tab w:val="decimal" w:leader="dot" w:pos="8640"/>
      </w:tabs>
      <w:spacing w:after="240"/>
      <w:ind w:left="3600" w:hanging="720"/>
    </w:pPr>
    <w:rPr>
      <w:szCs w:val="24"/>
    </w:rPr>
  </w:style>
  <w:style w:type="paragraph" w:customStyle="1" w:styleId="ColorfulList-Accent11">
    <w:name w:val="Colorful List - Accent 11"/>
    <w:basedOn w:val="Normal"/>
    <w:uiPriority w:val="34"/>
    <w:qFormat/>
    <w:rsid w:val="000B4EC8"/>
    <w:pPr>
      <w:spacing w:after="200" w:line="276" w:lineRule="auto"/>
      <w:ind w:left="720"/>
      <w:contextualSpacing/>
    </w:pPr>
    <w:rPr>
      <w:rFonts w:eastAsia="Calibri"/>
      <w:szCs w:val="22"/>
    </w:rPr>
  </w:style>
  <w:style w:type="character" w:customStyle="1" w:styleId="FooterChar">
    <w:name w:val="Footer Char"/>
    <w:aliases w:val=" Char1 Char"/>
    <w:link w:val="Footer"/>
    <w:uiPriority w:val="99"/>
    <w:locked/>
    <w:rsid w:val="00006821"/>
  </w:style>
  <w:style w:type="character" w:customStyle="1" w:styleId="pnote">
    <w:name w:val="pnote"/>
    <w:rsid w:val="003173C8"/>
  </w:style>
  <w:style w:type="character" w:customStyle="1" w:styleId="ssrfcpassagedeactivated">
    <w:name w:val="ss_rfcpassage_deactivated"/>
    <w:rsid w:val="003173C8"/>
  </w:style>
  <w:style w:type="character" w:customStyle="1" w:styleId="sh161715753">
    <w:name w:val="sh_161715753"/>
    <w:rsid w:val="003173C8"/>
  </w:style>
  <w:style w:type="character" w:customStyle="1" w:styleId="ssit2">
    <w:name w:val="ss_it2"/>
    <w:rsid w:val="003173C8"/>
    <w:rPr>
      <w:i/>
      <w:iCs/>
    </w:rPr>
  </w:style>
  <w:style w:type="character" w:customStyle="1" w:styleId="sspaghide1">
    <w:name w:val="ss_pag_hide1"/>
    <w:rsid w:val="003173C8"/>
    <w:rPr>
      <w:vanish/>
      <w:webHidden w:val="0"/>
      <w:specVanish w:val="0"/>
    </w:rPr>
  </w:style>
  <w:style w:type="character" w:customStyle="1" w:styleId="sspagshow4">
    <w:name w:val="ss_pag_show4"/>
    <w:rsid w:val="003173C8"/>
    <w:rPr>
      <w:b/>
      <w:bCs/>
    </w:rPr>
  </w:style>
  <w:style w:type="paragraph" w:customStyle="1" w:styleId="ColorfulList-Accent12">
    <w:name w:val="Colorful List - Accent 12"/>
    <w:basedOn w:val="Normal"/>
    <w:qFormat/>
    <w:rsid w:val="00915B45"/>
    <w:pPr>
      <w:ind w:left="720"/>
    </w:pPr>
  </w:style>
  <w:style w:type="character" w:customStyle="1" w:styleId="HeaderChar">
    <w:name w:val="Header Char"/>
    <w:link w:val="Header"/>
    <w:uiPriority w:val="99"/>
    <w:rsid w:val="00BA5627"/>
    <w:rPr>
      <w:sz w:val="24"/>
    </w:rPr>
  </w:style>
  <w:style w:type="character" w:customStyle="1" w:styleId="CommentTextChar">
    <w:name w:val="Comment Text Char"/>
    <w:link w:val="CommentText"/>
    <w:uiPriority w:val="99"/>
    <w:rsid w:val="00BA5627"/>
    <w:rPr>
      <w:sz w:val="24"/>
      <w:szCs w:val="24"/>
    </w:rPr>
  </w:style>
  <w:style w:type="paragraph" w:customStyle="1" w:styleId="ColorfulShading-Accent11">
    <w:name w:val="Colorful Shading - Accent 11"/>
    <w:hidden/>
    <w:uiPriority w:val="71"/>
    <w:rsid w:val="008A3C55"/>
    <w:rPr>
      <w:sz w:val="24"/>
    </w:rPr>
  </w:style>
  <w:style w:type="character" w:customStyle="1" w:styleId="BodyTextChar">
    <w:name w:val="Body Text Char"/>
    <w:link w:val="BodyText"/>
    <w:rsid w:val="003338AE"/>
    <w:rPr>
      <w:sz w:val="24"/>
    </w:rPr>
  </w:style>
  <w:style w:type="character" w:customStyle="1" w:styleId="BodyTextIndentChar">
    <w:name w:val="Body Text Indent Char"/>
    <w:link w:val="BodyTextIndent"/>
    <w:rsid w:val="003338AE"/>
    <w:rPr>
      <w:sz w:val="24"/>
    </w:rPr>
  </w:style>
  <w:style w:type="paragraph" w:styleId="TOCHeading">
    <w:name w:val="TOC Heading"/>
    <w:basedOn w:val="Heading1"/>
    <w:next w:val="Normal"/>
    <w:uiPriority w:val="39"/>
    <w:semiHidden/>
    <w:unhideWhenUsed/>
    <w:qFormat/>
    <w:rsid w:val="00FF08CD"/>
    <w:pPr>
      <w:keepLines/>
      <w:spacing w:before="480" w:after="0" w:line="276" w:lineRule="auto"/>
      <w:ind w:left="0" w:firstLine="0"/>
      <w:outlineLvl w:val="9"/>
    </w:pPr>
    <w:rPr>
      <w:rFonts w:ascii="Cambria" w:eastAsia="MS Gothic" w:hAnsi="Cambria"/>
      <w:bCs/>
      <w:caps w:val="0"/>
      <w:color w:val="365F91"/>
      <w:sz w:val="28"/>
      <w:szCs w:val="28"/>
      <w:lang w:eastAsia="ja-JP"/>
    </w:rPr>
  </w:style>
  <w:style w:type="character" w:customStyle="1" w:styleId="UnresolvedMention1">
    <w:name w:val="Unresolved Mention1"/>
    <w:basedOn w:val="DefaultParagraphFont"/>
    <w:uiPriority w:val="99"/>
    <w:semiHidden/>
    <w:unhideWhenUsed/>
    <w:rsid w:val="00CA13C0"/>
    <w:rPr>
      <w:color w:val="605E5C"/>
      <w:shd w:val="clear" w:color="auto" w:fill="E1DFDD"/>
    </w:rPr>
  </w:style>
  <w:style w:type="paragraph" w:styleId="ListParagraph">
    <w:name w:val="List Paragraph"/>
    <w:basedOn w:val="Normal"/>
    <w:uiPriority w:val="34"/>
    <w:qFormat/>
    <w:rsid w:val="007A1FC5"/>
    <w:pPr>
      <w:ind w:left="720"/>
      <w:contextualSpacing/>
    </w:pPr>
  </w:style>
  <w:style w:type="character" w:customStyle="1" w:styleId="ssit">
    <w:name w:val="ss_it"/>
    <w:basedOn w:val="DefaultParagraphFont"/>
    <w:rsid w:val="004C19CE"/>
  </w:style>
  <w:style w:type="paragraph" w:styleId="Revision">
    <w:name w:val="Revision"/>
    <w:hidden/>
    <w:uiPriority w:val="99"/>
    <w:semiHidden/>
    <w:rsid w:val="004C6FE9"/>
    <w:rPr>
      <w:sz w:val="24"/>
    </w:rPr>
  </w:style>
  <w:style w:type="paragraph" w:styleId="NormalWeb">
    <w:name w:val="Normal (Web)"/>
    <w:basedOn w:val="Normal"/>
    <w:uiPriority w:val="99"/>
    <w:unhideWhenUsed/>
    <w:rsid w:val="008718B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header" Target="header6.xml" /><Relationship Id="rId18" Type="http://schemas.openxmlformats.org/officeDocument/2006/relationships/footer" Target="footer5.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footer" Target="footer6.xml" /><Relationship Id="rId21" Type="http://schemas.openxmlformats.org/officeDocument/2006/relationships/hyperlink" Target="mailto:robert.eubanks@ohioAGO.gov" TargetMode="External" /><Relationship Id="rId22" Type="http://schemas.openxmlformats.org/officeDocument/2006/relationships/hyperlink" Target="mailto:shaun.lyons@ohioAGO.gov" TargetMode="External" /><Relationship Id="rId23" Type="http://schemas.openxmlformats.org/officeDocument/2006/relationships/hyperlink" Target="mailto:werner.margard@ohioAGO.gov" TargetMode="External" /><Relationship Id="rId24" Type="http://schemas.openxmlformats.org/officeDocument/2006/relationships/hyperlink" Target="mailto:mkurtz@BKLlawfirm.com" TargetMode="External" /><Relationship Id="rId25" Type="http://schemas.openxmlformats.org/officeDocument/2006/relationships/hyperlink" Target="mailto:kboehm@BKLlawfirm.com" TargetMode="External" /><Relationship Id="rId26" Type="http://schemas.openxmlformats.org/officeDocument/2006/relationships/hyperlink" Target="mailto:jkylercohn@BKLlawfirm.com" TargetMode="External" /><Relationship Id="rId27" Type="http://schemas.openxmlformats.org/officeDocument/2006/relationships/hyperlink" Target="mailto:mwarnock@bricker.com" TargetMode="External" /><Relationship Id="rId28" Type="http://schemas.openxmlformats.org/officeDocument/2006/relationships/hyperlink" Target="mailto:kherrnstein@bricker.com" TargetMode="External" /><Relationship Id="rId29" Type="http://schemas.openxmlformats.org/officeDocument/2006/relationships/hyperlink" Target="mailto:ktreadway@oneenergyllc.com" TargetMode="External" /><Relationship Id="rId3" Type="http://schemas.openxmlformats.org/officeDocument/2006/relationships/webSettings" Target="webSettings.xml" /><Relationship Id="rId30" Type="http://schemas.openxmlformats.org/officeDocument/2006/relationships/hyperlink" Target="mailto:jdunn@oneenergyllc.com" TargetMode="External" /><Relationship Id="rId31" Type="http://schemas.openxmlformats.org/officeDocument/2006/relationships/hyperlink" Target="mailto:dborchers@bricker.com" TargetMode="External" /><Relationship Id="rId32" Type="http://schemas.openxmlformats.org/officeDocument/2006/relationships/hyperlink" Target="mailto:mpritchard@mcneeslaw.com" TargetMode="External" /><Relationship Id="rId33" Type="http://schemas.openxmlformats.org/officeDocument/2006/relationships/hyperlink" Target="mailto:bmckenney@mcneeslaw.com" TargetMode="External" /><Relationship Id="rId34" Type="http://schemas.openxmlformats.org/officeDocument/2006/relationships/hyperlink" Target="mailto:awalke@mcneeslaw.com" TargetMode="External" /><Relationship Id="rId35" Type="http://schemas.openxmlformats.org/officeDocument/2006/relationships/hyperlink" Target="mailto:paul@carpenterlipps.com" TargetMode="External" /><Relationship Id="rId36" Type="http://schemas.openxmlformats.org/officeDocument/2006/relationships/hyperlink" Target="mailto:rdove@keglerbrown.com" TargetMode="External" /><Relationship Id="rId37" Type="http://schemas.openxmlformats.org/officeDocument/2006/relationships/hyperlink" Target="mailto:nbobb@keglerbrown.com" TargetMode="External" /><Relationship Id="rId38" Type="http://schemas.openxmlformats.org/officeDocument/2006/relationships/hyperlink" Target="mailto:trent@hubaydougherty.com" TargetMode="External" /><Relationship Id="rId39" Type="http://schemas.openxmlformats.org/officeDocument/2006/relationships/hyperlink" Target="mailto:matthew.sandor@puco.ohio.gov" TargetMode="External" /><Relationship Id="rId4" Type="http://schemas.openxmlformats.org/officeDocument/2006/relationships/fontTable" Target="fontTable.xml" /><Relationship Id="rId40" Type="http://schemas.openxmlformats.org/officeDocument/2006/relationships/hyperlink" Target="mailto:nicholas.walstra@puco.ohio.gov" TargetMode="External" /><Relationship Id="rId41" Type="http://schemas.openxmlformats.org/officeDocument/2006/relationships/hyperlink" Target="mailto:Rocco.dascenzo@duke-energy.com" TargetMode="External" /><Relationship Id="rId42" Type="http://schemas.openxmlformats.org/officeDocument/2006/relationships/hyperlink" Target="mailto:Jeanne.kingery@duke-energy.com" TargetMode="External" /><Relationship Id="rId43" Type="http://schemas.openxmlformats.org/officeDocument/2006/relationships/hyperlink" Target="mailto:Larisa.vaysman@duke-energy.com" TargetMode="External" /><Relationship Id="rId44" Type="http://schemas.openxmlformats.org/officeDocument/2006/relationships/hyperlink" Target="mailto:elyse.akhbari@duke-energy.com" TargetMode="External" /><Relationship Id="rId45" Type="http://schemas.openxmlformats.org/officeDocument/2006/relationships/hyperlink" Target="mailto:ebrama@taftlaw.com" TargetMode="External" /><Relationship Id="rId46" Type="http://schemas.openxmlformats.org/officeDocument/2006/relationships/hyperlink" Target="mailto:kverhalen@taftlaw.com" TargetMode="External" /><Relationship Id="rId47" Type="http://schemas.openxmlformats.org/officeDocument/2006/relationships/hyperlink" Target="mailto:Bethany.allen@igs.com" TargetMode="External" /><Relationship Id="rId48" Type="http://schemas.openxmlformats.org/officeDocument/2006/relationships/hyperlink" Target="mailto:Joe.oliker@igs.com" TargetMode="External" /><Relationship Id="rId49" Type="http://schemas.openxmlformats.org/officeDocument/2006/relationships/hyperlink" Target="mailto:Evan.betterton@igs.com" TargetMode="External" /><Relationship Id="rId5" Type="http://schemas.openxmlformats.org/officeDocument/2006/relationships/customXml" Target="../customXml/item1.xml" /><Relationship Id="rId50" Type="http://schemas.openxmlformats.org/officeDocument/2006/relationships/hyperlink" Target="mailto:Stacie.cathcart@igs.com" TargetMode="External" /><Relationship Id="rId51" Type="http://schemas.openxmlformats.org/officeDocument/2006/relationships/hyperlink" Target="mailto:michael.nugent@igs.com" TargetMode="External" /><Relationship Id="rId52" Type="http://schemas.openxmlformats.org/officeDocument/2006/relationships/hyperlink" Target="mailto:jlang@calfee.com" TargetMode="External" /><Relationship Id="rId53" Type="http://schemas.openxmlformats.org/officeDocument/2006/relationships/hyperlink" Target="mailto:gjewell@calfee.com" TargetMode="External" /><Relationship Id="rId54" Type="http://schemas.openxmlformats.org/officeDocument/2006/relationships/hyperlink" Target="mailto:gwhaling@calfee.com" TargetMode="External" /><Relationship Id="rId55" Type="http://schemas.openxmlformats.org/officeDocument/2006/relationships/hyperlink" Target="mailto:sfranson@calfee.com" TargetMode="External" /><Relationship Id="rId56" Type="http://schemas.openxmlformats.org/officeDocument/2006/relationships/hyperlink" Target="mailto:dromig@nationwideenergypartners.com" TargetMode="External" /><Relationship Id="rId57" Type="http://schemas.openxmlformats.org/officeDocument/2006/relationships/hyperlink" Target="mailto:Bojko@carpenterlipps.com" TargetMode="External" /><Relationship Id="rId58" Type="http://schemas.openxmlformats.org/officeDocument/2006/relationships/hyperlink" Target="mailto:Wygonski@carpenterlipps.com" TargetMode="External" /><Relationship Id="rId59" Type="http://schemas.openxmlformats.org/officeDocument/2006/relationships/hyperlink" Target="mailto:cgrundmann@spilmanlaw.com" TargetMode="External" /><Relationship Id="rId6" Type="http://schemas.openxmlformats.org/officeDocument/2006/relationships/hyperlink" Target="mailto:william.michael@occ.ohio.gov" TargetMode="External" /><Relationship Id="rId60" Type="http://schemas.openxmlformats.org/officeDocument/2006/relationships/hyperlink" Target="mailto:dwilliamson@spilmanlaw.com" TargetMode="External" /><Relationship Id="rId61" Type="http://schemas.openxmlformats.org/officeDocument/2006/relationships/hyperlink" Target="mailto:cpirik@dickinsonwright.com" TargetMode="External" /><Relationship Id="rId62" Type="http://schemas.openxmlformats.org/officeDocument/2006/relationships/hyperlink" Target="mailto:todonnell@dickinsonwright.com" TargetMode="External" /><Relationship Id="rId63" Type="http://schemas.openxmlformats.org/officeDocument/2006/relationships/header" Target="header8.xml" /><Relationship Id="rId64" Type="http://schemas.openxmlformats.org/officeDocument/2006/relationships/header" Target="header9.xml" /><Relationship Id="rId65" Type="http://schemas.openxmlformats.org/officeDocument/2006/relationships/footer" Target="footer7.xml" /><Relationship Id="rId66" Type="http://schemas.openxmlformats.org/officeDocument/2006/relationships/header" Target="header10.xml" /><Relationship Id="rId67" Type="http://schemas.openxmlformats.org/officeDocument/2006/relationships/footer" Target="footer8.xml" /><Relationship Id="rId68" Type="http://schemas.openxmlformats.org/officeDocument/2006/relationships/theme" Target="theme/theme1.xml" /><Relationship Id="rId69" Type="http://schemas.openxmlformats.org/officeDocument/2006/relationships/numbering" Target="numbering.xml" /><Relationship Id="rId7" Type="http://schemas.openxmlformats.org/officeDocument/2006/relationships/hyperlink" Target="mailto:connor.semple@occ.ohio.gov" TargetMode="External" /><Relationship Id="rId70" Type="http://schemas.openxmlformats.org/officeDocument/2006/relationships/styles" Target="styles.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3CAC-B202-4257-A5D6-C0E3535A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2023-01-13T18:29:44Z</dcterms:created>
  <dcterms:modified xsi:type="dcterms:W3CDTF">2023-01-13T18:29:44Z</dcterms:modified>
</cp:coreProperties>
</file>