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4CA5D" w14:textId="77777777" w:rsidR="00F67FC6" w:rsidRDefault="00F67FC6">
      <w:pPr>
        <w:pStyle w:val="BodyTextIndent"/>
        <w:ind w:left="0" w:firstLine="0"/>
        <w:jc w:val="center"/>
        <w:rPr>
          <w:rFonts w:ascii="Times New Roman" w:hAnsi="Times New Roman"/>
          <w:b/>
        </w:rPr>
      </w:pPr>
      <w:r>
        <w:rPr>
          <w:rFonts w:ascii="Times New Roman" w:hAnsi="Times New Roman"/>
          <w:b/>
        </w:rPr>
        <w:t>SECTION VII</w:t>
      </w:r>
    </w:p>
    <w:p w14:paraId="310410E0" w14:textId="77777777" w:rsidR="00F67FC6" w:rsidRDefault="00F67FC6">
      <w:pPr>
        <w:pStyle w:val="BodyTextIndent"/>
        <w:ind w:left="0" w:firstLine="0"/>
        <w:jc w:val="center"/>
      </w:pPr>
      <w:r>
        <w:rPr>
          <w:rFonts w:ascii="Times New Roman" w:hAnsi="Times New Roman"/>
          <w:b/>
        </w:rPr>
        <w:t>PART 12 - CUSTOMER BILLING AND PAYMENTS</w:t>
      </w:r>
    </w:p>
    <w:p w14:paraId="4A7E4288" w14:textId="77777777" w:rsidR="00F67FC6" w:rsidRPr="00955A78" w:rsidRDefault="00F67FC6">
      <w:pPr>
        <w:rPr>
          <w:sz w:val="18"/>
          <w:szCs w:val="18"/>
        </w:rPr>
      </w:pPr>
    </w:p>
    <w:p w14:paraId="376328DA" w14:textId="77777777" w:rsidR="00DE1685" w:rsidRDefault="00F67FC6" w:rsidP="006E5F2C">
      <w:pPr>
        <w:suppressAutoHyphens/>
        <w:ind w:left="1008"/>
        <w:rPr>
          <w:sz w:val="18"/>
          <w:szCs w:val="18"/>
        </w:rPr>
      </w:pPr>
      <w:r w:rsidRPr="00955A78">
        <w:rPr>
          <w:sz w:val="18"/>
          <w:szCs w:val="18"/>
        </w:rPr>
        <w:t xml:space="preserve">A Retail Natural Gas Supplier or Governmental Aggregator </w:t>
      </w:r>
      <w:r w:rsidR="00112D16">
        <w:rPr>
          <w:sz w:val="18"/>
          <w:szCs w:val="18"/>
        </w:rPr>
        <w:t>which elects the Company’s consolidated billing options 12.3(a) and/or 12.3(b) will provide the Company with the details of any new rate design at least forty-five (45) days prior to the date the first bill must be rendered using this rate design. Subsequent to the receipt of such rate design the Company will indicate to the Retail Natural Gas Supplier or Governmental Aggregator if additional time is required</w:t>
      </w:r>
      <w:r w:rsidR="00175264">
        <w:rPr>
          <w:sz w:val="18"/>
          <w:szCs w:val="18"/>
        </w:rPr>
        <w:t xml:space="preserve"> to accommodate such rate design.  The Retail Natural Gas Supplier or Governmental </w:t>
      </w:r>
    </w:p>
    <w:p w14:paraId="466FDBAA" w14:textId="77777777" w:rsidR="00DE1685" w:rsidRDefault="00175264" w:rsidP="006E5F2C">
      <w:pPr>
        <w:suppressAutoHyphens/>
        <w:ind w:left="1008"/>
        <w:rPr>
          <w:sz w:val="18"/>
          <w:szCs w:val="18"/>
        </w:rPr>
      </w:pPr>
      <w:r>
        <w:rPr>
          <w:sz w:val="18"/>
          <w:szCs w:val="18"/>
        </w:rPr>
        <w:t>Aggregator will notify the Company of its rate(s) each month, by the 20</w:t>
      </w:r>
      <w:r w:rsidRPr="00175264">
        <w:rPr>
          <w:sz w:val="18"/>
          <w:szCs w:val="18"/>
          <w:vertAlign w:val="superscript"/>
        </w:rPr>
        <w:t>th</w:t>
      </w:r>
      <w:r>
        <w:rPr>
          <w:sz w:val="18"/>
          <w:szCs w:val="18"/>
        </w:rPr>
        <w:t xml:space="preserve"> of each month, or first business day </w:t>
      </w:r>
    </w:p>
    <w:p w14:paraId="7090517E" w14:textId="77777777" w:rsidR="00DE1685" w:rsidRDefault="00175264" w:rsidP="006E5F2C">
      <w:pPr>
        <w:suppressAutoHyphens/>
        <w:ind w:left="1008"/>
        <w:rPr>
          <w:sz w:val="18"/>
          <w:szCs w:val="18"/>
        </w:rPr>
      </w:pPr>
      <w:proofErr w:type="gramStart"/>
      <w:r>
        <w:rPr>
          <w:sz w:val="18"/>
          <w:szCs w:val="18"/>
        </w:rPr>
        <w:t>prior</w:t>
      </w:r>
      <w:proofErr w:type="gramEnd"/>
      <w:r>
        <w:rPr>
          <w:sz w:val="18"/>
          <w:szCs w:val="18"/>
        </w:rPr>
        <w:t xml:space="preserve"> to the 20</w:t>
      </w:r>
      <w:r w:rsidRPr="00175264">
        <w:rPr>
          <w:sz w:val="18"/>
          <w:szCs w:val="18"/>
          <w:vertAlign w:val="superscript"/>
        </w:rPr>
        <w:t>th</w:t>
      </w:r>
      <w:r>
        <w:rPr>
          <w:sz w:val="18"/>
          <w:szCs w:val="18"/>
        </w:rPr>
        <w:t xml:space="preserve"> if the 20</w:t>
      </w:r>
      <w:r w:rsidRPr="00175264">
        <w:rPr>
          <w:sz w:val="18"/>
          <w:szCs w:val="18"/>
          <w:vertAlign w:val="superscript"/>
        </w:rPr>
        <w:t>th</w:t>
      </w:r>
      <w:r>
        <w:rPr>
          <w:sz w:val="18"/>
          <w:szCs w:val="18"/>
        </w:rPr>
        <w:t xml:space="preserve"> is weekend day or legal holiday, prior to the billing cycle during which the rate is to</w:t>
      </w:r>
    </w:p>
    <w:p w14:paraId="0FF836B2" w14:textId="77777777" w:rsidR="00DE1685" w:rsidRDefault="00175264" w:rsidP="006E5F2C">
      <w:pPr>
        <w:suppressAutoHyphens/>
        <w:ind w:left="1008"/>
        <w:rPr>
          <w:sz w:val="18"/>
          <w:szCs w:val="18"/>
        </w:rPr>
      </w:pPr>
      <w:proofErr w:type="gramStart"/>
      <w:r>
        <w:rPr>
          <w:sz w:val="18"/>
          <w:szCs w:val="18"/>
        </w:rPr>
        <w:t>be</w:t>
      </w:r>
      <w:proofErr w:type="gramEnd"/>
      <w:r>
        <w:rPr>
          <w:sz w:val="18"/>
          <w:szCs w:val="18"/>
        </w:rPr>
        <w:t xml:space="preserve"> effective. The Company shall use the last rate provided under such option if the Retail Natural Gas Supplier</w:t>
      </w:r>
    </w:p>
    <w:p w14:paraId="46E7603A" w14:textId="672C3C8C" w:rsidR="00EB32C2" w:rsidRDefault="00175264" w:rsidP="006E5F2C">
      <w:pPr>
        <w:suppressAutoHyphens/>
        <w:ind w:left="1008"/>
        <w:rPr>
          <w:sz w:val="18"/>
          <w:szCs w:val="18"/>
        </w:rPr>
      </w:pPr>
      <w:proofErr w:type="gramStart"/>
      <w:r>
        <w:rPr>
          <w:sz w:val="18"/>
          <w:szCs w:val="18"/>
        </w:rPr>
        <w:t>or</w:t>
      </w:r>
      <w:proofErr w:type="gramEnd"/>
      <w:r>
        <w:rPr>
          <w:sz w:val="18"/>
          <w:szCs w:val="18"/>
        </w:rPr>
        <w:t xml:space="preserve"> Governmental Aggregator does not provide necessary rate information by the timeline set out herein. All rate information received by the Company from</w:t>
      </w:r>
      <w:r w:rsidR="00EB32C2">
        <w:rPr>
          <w:sz w:val="18"/>
          <w:szCs w:val="18"/>
        </w:rPr>
        <w:t xml:space="preserve"> the Retail Natural Gas Supplier or Governmental Aggregator is confidential. Company shall provide the Retail Natural Gas Supplier or Governmental Aggregator an electronic pre-bill for each rate change or addition prior to the commencement of the Company’s Cycle 21 billings.</w:t>
      </w:r>
    </w:p>
    <w:p w14:paraId="4356AF51" w14:textId="77777777" w:rsidR="00EB32C2" w:rsidRDefault="00EB32C2" w:rsidP="006E5F2C">
      <w:pPr>
        <w:suppressAutoHyphens/>
        <w:ind w:left="1008"/>
        <w:rPr>
          <w:sz w:val="18"/>
          <w:szCs w:val="18"/>
        </w:rPr>
      </w:pPr>
    </w:p>
    <w:p w14:paraId="271BA9EB" w14:textId="77777777" w:rsidR="00DE1685" w:rsidRDefault="00EB32C2" w:rsidP="006E5F2C">
      <w:pPr>
        <w:suppressAutoHyphens/>
        <w:ind w:left="1008"/>
        <w:rPr>
          <w:sz w:val="18"/>
          <w:szCs w:val="18"/>
        </w:rPr>
      </w:pPr>
      <w:r>
        <w:rPr>
          <w:sz w:val="18"/>
          <w:szCs w:val="18"/>
        </w:rPr>
        <w:t>The Retail Natural Gas Supplier or Governmental Aggregator which elects the Rate Ready billing option is responsible for making the customer whole if it submits</w:t>
      </w:r>
      <w:r w:rsidR="00175264">
        <w:rPr>
          <w:sz w:val="18"/>
          <w:szCs w:val="18"/>
        </w:rPr>
        <w:t xml:space="preserve"> </w:t>
      </w:r>
      <w:r>
        <w:rPr>
          <w:sz w:val="18"/>
          <w:szCs w:val="18"/>
        </w:rPr>
        <w:t xml:space="preserve">an account on the wrong rate or Aggregation Pool, </w:t>
      </w:r>
    </w:p>
    <w:p w14:paraId="508BC0F8" w14:textId="77777777" w:rsidR="00DE1685" w:rsidRDefault="00EB32C2" w:rsidP="006E5F2C">
      <w:pPr>
        <w:suppressAutoHyphens/>
        <w:ind w:left="1008"/>
        <w:rPr>
          <w:sz w:val="18"/>
          <w:szCs w:val="18"/>
        </w:rPr>
      </w:pPr>
      <w:proofErr w:type="gramStart"/>
      <w:r>
        <w:rPr>
          <w:sz w:val="18"/>
          <w:szCs w:val="18"/>
        </w:rPr>
        <w:t>or</w:t>
      </w:r>
      <w:proofErr w:type="gramEnd"/>
      <w:r>
        <w:rPr>
          <w:sz w:val="18"/>
          <w:szCs w:val="18"/>
        </w:rPr>
        <w:t xml:space="preserve"> fails to provide timely rate information to the Company. The Company may, at its option, make the </w:t>
      </w:r>
    </w:p>
    <w:p w14:paraId="68CB3D56" w14:textId="1C76C00A" w:rsidR="00F67FC6" w:rsidRPr="00955A78" w:rsidRDefault="00EB32C2" w:rsidP="006E5F2C">
      <w:pPr>
        <w:suppressAutoHyphens/>
        <w:ind w:left="1008"/>
        <w:rPr>
          <w:sz w:val="18"/>
          <w:szCs w:val="18"/>
        </w:rPr>
      </w:pPr>
      <w:proofErr w:type="gramStart"/>
      <w:r>
        <w:rPr>
          <w:sz w:val="18"/>
          <w:szCs w:val="18"/>
        </w:rPr>
        <w:t>adjustment</w:t>
      </w:r>
      <w:proofErr w:type="gramEnd"/>
      <w:r>
        <w:rPr>
          <w:sz w:val="18"/>
          <w:szCs w:val="18"/>
        </w:rPr>
        <w:t xml:space="preserve"> for the Retail Natural Gas Supplier or Governmental Aggregator, at an agreed-upon fee.</w:t>
      </w:r>
    </w:p>
    <w:p w14:paraId="57FCF597" w14:textId="77777777" w:rsidR="007B31FA" w:rsidRPr="00955A78" w:rsidRDefault="007B31FA" w:rsidP="006E5F2C">
      <w:pPr>
        <w:suppressAutoHyphens/>
        <w:ind w:left="720"/>
        <w:rPr>
          <w:sz w:val="18"/>
          <w:szCs w:val="18"/>
        </w:rPr>
      </w:pPr>
    </w:p>
    <w:p w14:paraId="1E668A88" w14:textId="4ADFBE21" w:rsidR="00F67FC6" w:rsidRPr="00955A78" w:rsidRDefault="006E5F2C" w:rsidP="006E5F2C">
      <w:pPr>
        <w:numPr>
          <w:ilvl w:val="1"/>
          <w:numId w:val="2"/>
        </w:numPr>
        <w:tabs>
          <w:tab w:val="clear" w:pos="360"/>
          <w:tab w:val="num" w:pos="1080"/>
        </w:tabs>
        <w:ind w:left="648"/>
        <w:rPr>
          <w:sz w:val="18"/>
          <w:szCs w:val="18"/>
        </w:rPr>
      </w:pPr>
      <w:r>
        <w:rPr>
          <w:sz w:val="18"/>
          <w:szCs w:val="18"/>
        </w:rPr>
        <w:t xml:space="preserve">       </w:t>
      </w:r>
      <w:r w:rsidR="00112D16">
        <w:rPr>
          <w:sz w:val="18"/>
          <w:szCs w:val="18"/>
        </w:rPr>
        <w:t>Consolidated Billing Taxes</w:t>
      </w:r>
    </w:p>
    <w:p w14:paraId="5EDD53BA" w14:textId="77777777" w:rsidR="00F67FC6" w:rsidRPr="00955A78" w:rsidRDefault="00F67FC6" w:rsidP="006E5F2C">
      <w:pPr>
        <w:ind w:left="864"/>
        <w:rPr>
          <w:sz w:val="18"/>
          <w:szCs w:val="18"/>
        </w:rPr>
      </w:pPr>
    </w:p>
    <w:p w14:paraId="42E305BA" w14:textId="77777777" w:rsidR="00EB32C2" w:rsidRDefault="00EB32C2" w:rsidP="006E5F2C">
      <w:pPr>
        <w:pStyle w:val="BodyTextIndent2"/>
        <w:suppressAutoHyphens w:val="0"/>
        <w:ind w:left="1008" w:firstLine="0"/>
        <w:rPr>
          <w:szCs w:val="18"/>
        </w:rPr>
      </w:pPr>
      <w:r>
        <w:rPr>
          <w:szCs w:val="18"/>
        </w:rPr>
        <w:t xml:space="preserve">Retail Natural Gas Suppliers’ or Governmental Aggregators’ rates shall exclude all sales taxes. The </w:t>
      </w:r>
    </w:p>
    <w:p w14:paraId="6BE1FBFB" w14:textId="5F09F762" w:rsidR="00F67FC6" w:rsidRDefault="00EB32C2" w:rsidP="006E5F2C">
      <w:pPr>
        <w:pStyle w:val="BodyTextIndent2"/>
        <w:suppressAutoHyphens w:val="0"/>
        <w:ind w:left="1008" w:firstLine="0"/>
        <w:rPr>
          <w:szCs w:val="18"/>
        </w:rPr>
      </w:pPr>
      <w:r>
        <w:rPr>
          <w:szCs w:val="18"/>
        </w:rPr>
        <w:t>Company will calculate state and local taxes and add the amount to the gas supply charges.</w:t>
      </w:r>
    </w:p>
    <w:p w14:paraId="43F7062E" w14:textId="77777777" w:rsidR="006E5F2C" w:rsidRDefault="006E5F2C" w:rsidP="006E5F2C">
      <w:pPr>
        <w:pStyle w:val="BodyTextIndent2"/>
        <w:suppressAutoHyphens w:val="0"/>
        <w:ind w:left="1008" w:firstLine="0"/>
        <w:rPr>
          <w:szCs w:val="18"/>
        </w:rPr>
      </w:pPr>
    </w:p>
    <w:p w14:paraId="2DD76140" w14:textId="77777777" w:rsidR="00DE1685" w:rsidRDefault="006E5F2C" w:rsidP="006E5F2C">
      <w:pPr>
        <w:pStyle w:val="BodyTextIndent2"/>
        <w:suppressAutoHyphens w:val="0"/>
        <w:ind w:left="1008" w:firstLine="0"/>
        <w:rPr>
          <w:szCs w:val="18"/>
        </w:rPr>
      </w:pPr>
      <w:r>
        <w:rPr>
          <w:szCs w:val="18"/>
        </w:rPr>
        <w:t xml:space="preserve">If the Customer claims to be tax exempt, the Customer has the sole and complete responsibility for the </w:t>
      </w:r>
    </w:p>
    <w:p w14:paraId="76B4EE58" w14:textId="2A3766F9" w:rsidR="006E5F2C" w:rsidRDefault="006E5F2C" w:rsidP="006E5F2C">
      <w:pPr>
        <w:pStyle w:val="BodyTextIndent2"/>
        <w:suppressAutoHyphens w:val="0"/>
        <w:ind w:left="1008" w:firstLine="0"/>
        <w:rPr>
          <w:szCs w:val="18"/>
        </w:rPr>
      </w:pPr>
      <w:proofErr w:type="gramStart"/>
      <w:r>
        <w:rPr>
          <w:szCs w:val="18"/>
        </w:rPr>
        <w:t>provision</w:t>
      </w:r>
      <w:proofErr w:type="gramEnd"/>
      <w:r>
        <w:rPr>
          <w:szCs w:val="18"/>
        </w:rPr>
        <w:t xml:space="preserve"> to Retail Natural Gas </w:t>
      </w:r>
      <w:r w:rsidR="00DE1685">
        <w:rPr>
          <w:szCs w:val="18"/>
        </w:rPr>
        <w:t>Supplier or Governmental Aggregator of all necessary documentation</w:t>
      </w:r>
    </w:p>
    <w:p w14:paraId="1581A8DA" w14:textId="0D055D86" w:rsidR="00DE1685" w:rsidRDefault="00DE1685" w:rsidP="006E5F2C">
      <w:pPr>
        <w:pStyle w:val="BodyTextIndent2"/>
        <w:suppressAutoHyphens w:val="0"/>
        <w:ind w:left="1008" w:firstLine="0"/>
        <w:rPr>
          <w:szCs w:val="18"/>
        </w:rPr>
      </w:pPr>
      <w:proofErr w:type="gramStart"/>
      <w:r>
        <w:rPr>
          <w:szCs w:val="18"/>
        </w:rPr>
        <w:t>regarding</w:t>
      </w:r>
      <w:proofErr w:type="gramEnd"/>
      <w:r>
        <w:rPr>
          <w:szCs w:val="18"/>
        </w:rPr>
        <w:t xml:space="preserve"> the Customer’s tax-exempt status. The Company assumes no responsibility or risk for any</w:t>
      </w:r>
    </w:p>
    <w:p w14:paraId="65B59B43" w14:textId="77777777" w:rsidR="00DE1685" w:rsidRDefault="00DE1685" w:rsidP="006E5F2C">
      <w:pPr>
        <w:pStyle w:val="BodyTextIndent2"/>
        <w:suppressAutoHyphens w:val="0"/>
        <w:ind w:left="1008" w:firstLine="0"/>
        <w:rPr>
          <w:szCs w:val="18"/>
        </w:rPr>
      </w:pPr>
      <w:proofErr w:type="gramStart"/>
      <w:r>
        <w:rPr>
          <w:szCs w:val="18"/>
        </w:rPr>
        <w:t>misapplication</w:t>
      </w:r>
      <w:proofErr w:type="gramEnd"/>
      <w:r>
        <w:rPr>
          <w:szCs w:val="18"/>
        </w:rPr>
        <w:t xml:space="preserve"> of tax-exempt status to any Customer. The Retail Natural Gas Supplier, Governmental </w:t>
      </w:r>
    </w:p>
    <w:p w14:paraId="674F86E4" w14:textId="77777777" w:rsidR="00DE1685" w:rsidRDefault="00DE1685" w:rsidP="006E5F2C">
      <w:pPr>
        <w:pStyle w:val="BodyTextIndent2"/>
        <w:suppressAutoHyphens w:val="0"/>
        <w:ind w:left="1008" w:firstLine="0"/>
        <w:rPr>
          <w:szCs w:val="18"/>
        </w:rPr>
      </w:pPr>
      <w:r>
        <w:rPr>
          <w:szCs w:val="18"/>
        </w:rPr>
        <w:t>Aggregator or Customer shall hold Company harmless for any assessments, interest, penalties, or risk of</w:t>
      </w:r>
    </w:p>
    <w:p w14:paraId="4AC1EF47" w14:textId="443F4FA3" w:rsidR="00DE1685" w:rsidRPr="00955A78" w:rsidRDefault="00DE1685" w:rsidP="006E5F2C">
      <w:pPr>
        <w:pStyle w:val="BodyTextIndent2"/>
        <w:suppressAutoHyphens w:val="0"/>
        <w:ind w:left="1008" w:firstLine="0"/>
        <w:rPr>
          <w:szCs w:val="18"/>
        </w:rPr>
      </w:pPr>
      <w:proofErr w:type="gramStart"/>
      <w:r>
        <w:rPr>
          <w:szCs w:val="18"/>
        </w:rPr>
        <w:t>any</w:t>
      </w:r>
      <w:proofErr w:type="gramEnd"/>
      <w:r>
        <w:rPr>
          <w:szCs w:val="18"/>
        </w:rPr>
        <w:t xml:space="preserve"> kind whatsoever, related to any misapplication of tax-exempt status to any Customer.</w:t>
      </w:r>
    </w:p>
    <w:p w14:paraId="578CBE39" w14:textId="77777777" w:rsidR="00F67FC6" w:rsidRPr="00955A78" w:rsidRDefault="00F67FC6" w:rsidP="00EB32C2">
      <w:pPr>
        <w:ind w:left="1440"/>
        <w:rPr>
          <w:sz w:val="18"/>
          <w:szCs w:val="18"/>
        </w:rPr>
      </w:pPr>
    </w:p>
    <w:p w14:paraId="4D6A7C3B" w14:textId="162C2813" w:rsidR="00F67FC6" w:rsidRPr="00955A78" w:rsidRDefault="00EB32C2" w:rsidP="006E5F2C">
      <w:pPr>
        <w:numPr>
          <w:ilvl w:val="1"/>
          <w:numId w:val="2"/>
        </w:numPr>
        <w:tabs>
          <w:tab w:val="clear" w:pos="360"/>
        </w:tabs>
        <w:ind w:left="1008" w:hanging="720"/>
        <w:rPr>
          <w:sz w:val="18"/>
          <w:szCs w:val="18"/>
        </w:rPr>
      </w:pPr>
      <w:r>
        <w:rPr>
          <w:sz w:val="18"/>
          <w:szCs w:val="18"/>
        </w:rPr>
        <w:t>Budget Payment Plan</w:t>
      </w:r>
    </w:p>
    <w:p w14:paraId="092CB004" w14:textId="77777777" w:rsidR="00F67FC6" w:rsidRDefault="00F67FC6" w:rsidP="006E5F2C">
      <w:pPr>
        <w:ind w:left="1008"/>
        <w:rPr>
          <w:sz w:val="18"/>
          <w:szCs w:val="18"/>
        </w:rPr>
      </w:pPr>
    </w:p>
    <w:p w14:paraId="1C644617" w14:textId="76494387" w:rsidR="00EB32C2" w:rsidRDefault="00EB32C2" w:rsidP="006E5F2C">
      <w:pPr>
        <w:ind w:left="1008"/>
        <w:rPr>
          <w:sz w:val="18"/>
          <w:szCs w:val="18"/>
        </w:rPr>
      </w:pPr>
      <w:r>
        <w:rPr>
          <w:sz w:val="18"/>
          <w:szCs w:val="18"/>
        </w:rPr>
        <w:t>The Company will make its Budget Payment Plan available to customers that elect to participate in Columbia’s Customer CHOICE</w:t>
      </w:r>
      <w:r w:rsidRPr="00955A78">
        <w:rPr>
          <w:sz w:val="18"/>
          <w:szCs w:val="18"/>
          <w:vertAlign w:val="superscript"/>
        </w:rPr>
        <w:t>SM</w:t>
      </w:r>
      <w:r>
        <w:rPr>
          <w:sz w:val="18"/>
          <w:szCs w:val="18"/>
        </w:rPr>
        <w:t xml:space="preserve"> Program. For the purposes of this rule, full payment of a budget amount due shall not be construed as a partial payment.</w:t>
      </w:r>
    </w:p>
    <w:p w14:paraId="2EA11FAF" w14:textId="77777777" w:rsidR="00EB32C2" w:rsidRDefault="00EB32C2" w:rsidP="006E5F2C">
      <w:pPr>
        <w:ind w:left="1008"/>
        <w:rPr>
          <w:sz w:val="18"/>
          <w:szCs w:val="18"/>
        </w:rPr>
      </w:pPr>
    </w:p>
    <w:p w14:paraId="73B092C4" w14:textId="636D98D5" w:rsidR="00EB32C2" w:rsidRDefault="00EB32C2" w:rsidP="006E5F2C">
      <w:pPr>
        <w:ind w:left="1008"/>
        <w:rPr>
          <w:sz w:val="18"/>
          <w:szCs w:val="18"/>
        </w:rPr>
      </w:pPr>
      <w:r>
        <w:rPr>
          <w:sz w:val="18"/>
          <w:szCs w:val="18"/>
        </w:rPr>
        <w:t>For consolidated billing purposes, Budget Payment Plan estimates will be calculated based on the Retail Natural Gas Supplier’s or Governmental Aggregators elected consolidated billing option(s):</w:t>
      </w:r>
    </w:p>
    <w:p w14:paraId="45518524" w14:textId="77777777" w:rsidR="00EB32C2" w:rsidRDefault="00EB32C2" w:rsidP="006E5F2C">
      <w:pPr>
        <w:ind w:left="1008"/>
        <w:rPr>
          <w:sz w:val="18"/>
          <w:szCs w:val="18"/>
        </w:rPr>
      </w:pPr>
    </w:p>
    <w:p w14:paraId="7E8D0CA6" w14:textId="0AEAEB53" w:rsidR="00EB32C2" w:rsidRDefault="00EB32C2" w:rsidP="006E5F2C">
      <w:pPr>
        <w:ind w:left="1008"/>
        <w:rPr>
          <w:sz w:val="18"/>
          <w:szCs w:val="18"/>
        </w:rPr>
      </w:pPr>
      <w:r>
        <w:rPr>
          <w:sz w:val="18"/>
          <w:szCs w:val="18"/>
        </w:rPr>
        <w:t>Rate Ready</w:t>
      </w:r>
    </w:p>
    <w:p w14:paraId="042B4461" w14:textId="77777777" w:rsidR="00EB32C2" w:rsidRDefault="00EB32C2" w:rsidP="00EB32C2">
      <w:pPr>
        <w:ind w:left="1440"/>
        <w:rPr>
          <w:sz w:val="18"/>
          <w:szCs w:val="18"/>
        </w:rPr>
      </w:pPr>
    </w:p>
    <w:p w14:paraId="71527776" w14:textId="550D5628" w:rsidR="00EB32C2" w:rsidRPr="00955A78" w:rsidRDefault="00EB32C2" w:rsidP="00EB32C2">
      <w:pPr>
        <w:ind w:left="1440"/>
        <w:rPr>
          <w:sz w:val="18"/>
          <w:szCs w:val="18"/>
        </w:rPr>
      </w:pPr>
      <w:r>
        <w:rPr>
          <w:sz w:val="18"/>
          <w:szCs w:val="18"/>
        </w:rPr>
        <w:t xml:space="preserve">Budget Payment Plan </w:t>
      </w:r>
      <w:r w:rsidR="006E5F2C">
        <w:rPr>
          <w:sz w:val="18"/>
          <w:szCs w:val="18"/>
        </w:rPr>
        <w:t>estimates for customers billed under the Rate Ready option are comprised of (1) an estimate of costs to be paid by the customer for gas supplied by the Retail Natural Gas Suppliers or Governmental Aggregators during the budget period; and (2) all non-gas cost charges to be billed by Columbia during that same period.</w:t>
      </w:r>
    </w:p>
    <w:p w14:paraId="6810057E" w14:textId="77777777" w:rsidR="00071CA7" w:rsidRPr="00955A78" w:rsidRDefault="00071CA7">
      <w:pPr>
        <w:pStyle w:val="BodyTextIndent2"/>
        <w:ind w:left="720" w:firstLine="0"/>
        <w:rPr>
          <w:szCs w:val="18"/>
        </w:rPr>
      </w:pPr>
    </w:p>
    <w:p w14:paraId="49AF9980" w14:textId="793FB81E" w:rsidR="00F67FC6" w:rsidRPr="00955A78" w:rsidRDefault="00F67FC6" w:rsidP="00E417DE">
      <w:pPr>
        <w:pStyle w:val="BodyTextIndent2"/>
        <w:rPr>
          <w:szCs w:val="18"/>
        </w:rPr>
      </w:pPr>
      <w:bookmarkStart w:id="0" w:name="_GoBack"/>
      <w:bookmarkEnd w:id="0"/>
    </w:p>
    <w:sectPr w:rsidR="00F67FC6" w:rsidRPr="00955A7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D6D66" w14:textId="77777777" w:rsidR="00DF3191" w:rsidRDefault="00DF3191">
      <w:r>
        <w:separator/>
      </w:r>
    </w:p>
  </w:endnote>
  <w:endnote w:type="continuationSeparator" w:id="0">
    <w:p w14:paraId="2AFC406C" w14:textId="77777777" w:rsidR="00DF3191" w:rsidRDefault="00DF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00EB" w14:textId="047DFFE4" w:rsidR="00DE1685" w:rsidRDefault="00DE1685" w:rsidP="00DE1685">
    <w:pPr>
      <w:pStyle w:val="Footer"/>
      <w:jc w:val="center"/>
      <w:rPr>
        <w:sz w:val="16"/>
      </w:rPr>
    </w:pPr>
    <w:r>
      <w:rPr>
        <w:sz w:val="16"/>
      </w:rPr>
      <w:t>Filed in accordance with Public Ut</w:t>
    </w:r>
    <w:r w:rsidR="00435057">
      <w:rPr>
        <w:sz w:val="16"/>
      </w:rPr>
      <w:t>ilities Commission of Ohio Entry</w:t>
    </w:r>
    <w:r>
      <w:rPr>
        <w:sz w:val="16"/>
      </w:rPr>
      <w:t xml:space="preserve"> </w:t>
    </w:r>
    <w:r w:rsidR="00435057">
      <w:rPr>
        <w:sz w:val="16"/>
      </w:rPr>
      <w:t>dated May 24, 2017 in Case No. 16-2430-GA-ATA.</w:t>
    </w:r>
  </w:p>
  <w:p w14:paraId="1AA7011A" w14:textId="77777777" w:rsidR="00DE1685" w:rsidRDefault="00DE1685" w:rsidP="00DE1685">
    <w:pPr>
      <w:pStyle w:val="Footer"/>
      <w:rPr>
        <w:sz w:val="16"/>
      </w:rPr>
    </w:pPr>
  </w:p>
  <w:tbl>
    <w:tblPr>
      <w:tblW w:w="0" w:type="auto"/>
      <w:tblInd w:w="108" w:type="dxa"/>
      <w:tblLayout w:type="fixed"/>
      <w:tblLook w:val="0000" w:firstRow="0" w:lastRow="0" w:firstColumn="0" w:lastColumn="0" w:noHBand="0" w:noVBand="0"/>
    </w:tblPr>
    <w:tblGrid>
      <w:gridCol w:w="4320"/>
      <w:gridCol w:w="5040"/>
    </w:tblGrid>
    <w:tr w:rsidR="00DE1685" w14:paraId="534D660F" w14:textId="77777777" w:rsidTr="00B5303B">
      <w:tc>
        <w:tcPr>
          <w:tcW w:w="4320" w:type="dxa"/>
        </w:tcPr>
        <w:p w14:paraId="13E21219" w14:textId="35E7759B" w:rsidR="00DE1685" w:rsidRDefault="00DE1685" w:rsidP="00DE1685">
          <w:pPr>
            <w:pStyle w:val="Footer"/>
            <w:rPr>
              <w:sz w:val="16"/>
            </w:rPr>
          </w:pPr>
          <w:r>
            <w:rPr>
              <w:sz w:val="16"/>
            </w:rPr>
            <w:t>Issued:</w:t>
          </w:r>
          <w:r w:rsidR="00435057">
            <w:rPr>
              <w:sz w:val="16"/>
            </w:rPr>
            <w:t xml:space="preserve">  May 30, 2017</w:t>
          </w:r>
          <w:r>
            <w:rPr>
              <w:sz w:val="16"/>
            </w:rPr>
            <w:t xml:space="preserve">  </w:t>
          </w:r>
        </w:p>
      </w:tc>
      <w:tc>
        <w:tcPr>
          <w:tcW w:w="5040" w:type="dxa"/>
        </w:tcPr>
        <w:p w14:paraId="62DCFFC7" w14:textId="0B979E4B" w:rsidR="00DE1685" w:rsidRDefault="00DE1685" w:rsidP="00DE1685">
          <w:pPr>
            <w:pStyle w:val="Footer"/>
            <w:ind w:left="1602" w:right="-90"/>
            <w:jc w:val="right"/>
            <w:rPr>
              <w:sz w:val="16"/>
            </w:rPr>
          </w:pPr>
          <w:r>
            <w:rPr>
              <w:sz w:val="16"/>
            </w:rPr>
            <w:t>Effective:</w:t>
          </w:r>
          <w:r w:rsidR="00435057">
            <w:rPr>
              <w:sz w:val="16"/>
            </w:rPr>
            <w:t xml:space="preserve">  May 31, 2017</w:t>
          </w:r>
          <w:r>
            <w:rPr>
              <w:sz w:val="16"/>
            </w:rPr>
            <w:t xml:space="preserve">  </w:t>
          </w:r>
        </w:p>
      </w:tc>
    </w:tr>
  </w:tbl>
  <w:p w14:paraId="5B513573" w14:textId="77777777" w:rsidR="00DE1685" w:rsidRDefault="00DE1685" w:rsidP="00DE1685">
    <w:pPr>
      <w:pStyle w:val="Footer"/>
      <w:rPr>
        <w:sz w:val="16"/>
      </w:rPr>
    </w:pPr>
  </w:p>
  <w:p w14:paraId="557C5B1C" w14:textId="77777777" w:rsidR="00DE1685" w:rsidRDefault="00DE1685" w:rsidP="00DE1685">
    <w:pPr>
      <w:pStyle w:val="Footer"/>
      <w:jc w:val="center"/>
      <w:rPr>
        <w:sz w:val="16"/>
      </w:rPr>
    </w:pPr>
    <w:r>
      <w:rPr>
        <w:sz w:val="16"/>
      </w:rPr>
      <w:t>Issued By</w:t>
    </w:r>
  </w:p>
  <w:p w14:paraId="1EC03550" w14:textId="77777777" w:rsidR="00DE1685" w:rsidRPr="00053BE1" w:rsidRDefault="00DE1685" w:rsidP="00DE1685">
    <w:pPr>
      <w:pStyle w:val="Footer"/>
      <w:jc w:val="center"/>
      <w:rPr>
        <w:szCs w:val="16"/>
      </w:rPr>
    </w:pPr>
    <w:r>
      <w:rPr>
        <w:sz w:val="16"/>
      </w:rPr>
      <w:t>Daniel A. Creekmur., President</w:t>
    </w:r>
  </w:p>
  <w:p w14:paraId="4ECA065E" w14:textId="77777777" w:rsidR="00DE1685" w:rsidRPr="00A1518F" w:rsidRDefault="00DE1685" w:rsidP="00DE1685">
    <w:pPr>
      <w:pStyle w:val="Footer"/>
      <w:rPr>
        <w:szCs w:val="16"/>
      </w:rPr>
    </w:pPr>
  </w:p>
  <w:p w14:paraId="18BA5B48" w14:textId="77777777" w:rsidR="00DE1685" w:rsidRDefault="00DE1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5E102" w14:textId="77777777" w:rsidR="00DF3191" w:rsidRDefault="00DF3191">
      <w:r>
        <w:separator/>
      </w:r>
    </w:p>
  </w:footnote>
  <w:footnote w:type="continuationSeparator" w:id="0">
    <w:p w14:paraId="65515FA7" w14:textId="77777777" w:rsidR="00DF3191" w:rsidRDefault="00DF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F5E0" w14:textId="77777777" w:rsidR="009822D2" w:rsidRDefault="009822D2">
    <w:pPr>
      <w:pStyle w:val="Header"/>
      <w:jc w:val="right"/>
      <w:rPr>
        <w:b/>
        <w:sz w:val="22"/>
      </w:rPr>
    </w:pPr>
    <w:r>
      <w:rPr>
        <w:b/>
        <w:sz w:val="22"/>
      </w:rPr>
      <w:t>Section VII</w:t>
    </w:r>
  </w:p>
  <w:p w14:paraId="6BE232BE" w14:textId="77777777" w:rsidR="009822D2" w:rsidRDefault="009822D2">
    <w:pPr>
      <w:pStyle w:val="Header"/>
      <w:jc w:val="right"/>
      <w:rPr>
        <w:b/>
        <w:sz w:val="22"/>
      </w:rPr>
    </w:pPr>
    <w:r>
      <w:rPr>
        <w:b/>
        <w:sz w:val="22"/>
      </w:rPr>
      <w:t>Fourth Revised Sheet No. 12</w:t>
    </w:r>
  </w:p>
  <w:p w14:paraId="5FC18ED9" w14:textId="77777777" w:rsidR="009822D2" w:rsidRDefault="009822D2">
    <w:pPr>
      <w:pStyle w:val="Header"/>
      <w:jc w:val="right"/>
      <w:rPr>
        <w:b/>
        <w:sz w:val="22"/>
      </w:rPr>
    </w:pPr>
    <w:r>
      <w:rPr>
        <w:b/>
        <w:sz w:val="22"/>
      </w:rPr>
      <w:t>Cancels</w:t>
    </w:r>
  </w:p>
  <w:p w14:paraId="1F91F3ED" w14:textId="77777777" w:rsidR="009822D2" w:rsidRDefault="009822D2">
    <w:pPr>
      <w:pStyle w:val="Header"/>
      <w:jc w:val="right"/>
      <w:rPr>
        <w:b/>
        <w:sz w:val="22"/>
      </w:rPr>
    </w:pPr>
    <w:r>
      <w:rPr>
        <w:b/>
        <w:sz w:val="22"/>
      </w:rPr>
      <w:t>Third Revised Sheet No. 12</w:t>
    </w:r>
  </w:p>
  <w:tbl>
    <w:tblPr>
      <w:tblW w:w="0" w:type="auto"/>
      <w:tblBorders>
        <w:bottom w:val="single" w:sz="4" w:space="0" w:color="auto"/>
      </w:tblBorders>
      <w:tblLayout w:type="fixed"/>
      <w:tblLook w:val="0000" w:firstRow="0" w:lastRow="0" w:firstColumn="0" w:lastColumn="0" w:noHBand="0" w:noVBand="0"/>
    </w:tblPr>
    <w:tblGrid>
      <w:gridCol w:w="5148"/>
      <w:gridCol w:w="4410"/>
    </w:tblGrid>
    <w:tr w:rsidR="009822D2" w14:paraId="13F640EF" w14:textId="77777777">
      <w:tc>
        <w:tcPr>
          <w:tcW w:w="5148" w:type="dxa"/>
        </w:tcPr>
        <w:p w14:paraId="3D477D73" w14:textId="77777777" w:rsidR="009822D2" w:rsidRDefault="009822D2">
          <w:pPr>
            <w:pStyle w:val="Header"/>
            <w:rPr>
              <w:b/>
              <w:sz w:val="22"/>
            </w:rPr>
          </w:pPr>
          <w:r>
            <w:rPr>
              <w:b/>
              <w:sz w:val="22"/>
            </w:rPr>
            <w:t>Columbia Gas of Ohio, Inc.</w:t>
          </w:r>
        </w:p>
      </w:tc>
      <w:tc>
        <w:tcPr>
          <w:tcW w:w="4410" w:type="dxa"/>
        </w:tcPr>
        <w:p w14:paraId="7AA48103" w14:textId="6E4CA44E" w:rsidR="009822D2" w:rsidRDefault="009822D2" w:rsidP="00175264">
          <w:pPr>
            <w:pStyle w:val="Header"/>
            <w:jc w:val="right"/>
            <w:rPr>
              <w:b/>
              <w:sz w:val="22"/>
            </w:rPr>
          </w:pPr>
          <w:r>
            <w:rPr>
              <w:b/>
              <w:sz w:val="22"/>
            </w:rPr>
            <w:t xml:space="preserve">Page </w:t>
          </w:r>
          <w:r w:rsidR="00175264">
            <w:rPr>
              <w:b/>
              <w:sz w:val="22"/>
            </w:rPr>
            <w:t>2</w:t>
          </w:r>
          <w:r>
            <w:rPr>
              <w:b/>
              <w:sz w:val="22"/>
            </w:rPr>
            <w:t xml:space="preserve"> of 4</w:t>
          </w:r>
        </w:p>
      </w:tc>
    </w:tr>
  </w:tbl>
  <w:p w14:paraId="6925D994" w14:textId="77777777" w:rsidR="009822D2" w:rsidRDefault="00982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60627"/>
    <w:multiLevelType w:val="hybridMultilevel"/>
    <w:tmpl w:val="25B85BE6"/>
    <w:lvl w:ilvl="0" w:tplc="FAC4BB9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2577273"/>
    <w:multiLevelType w:val="hybridMultilevel"/>
    <w:tmpl w:val="B2D2ABA4"/>
    <w:lvl w:ilvl="0" w:tplc="33B4C9F8">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468103A3"/>
    <w:multiLevelType w:val="singleLevel"/>
    <w:tmpl w:val="F5766F82"/>
    <w:lvl w:ilvl="0">
      <w:start w:val="1"/>
      <w:numFmt w:val="lowerLetter"/>
      <w:lvlText w:val="%1)"/>
      <w:lvlJc w:val="left"/>
      <w:pPr>
        <w:tabs>
          <w:tab w:val="num" w:pos="1440"/>
        </w:tabs>
        <w:ind w:left="1440" w:hanging="360"/>
      </w:pPr>
      <w:rPr>
        <w:rFonts w:hint="default"/>
        <w:b w:val="0"/>
      </w:rPr>
    </w:lvl>
  </w:abstractNum>
  <w:abstractNum w:abstractNumId="3" w15:restartNumberingAfterBreak="0">
    <w:nsid w:val="5C905B46"/>
    <w:multiLevelType w:val="multilevel"/>
    <w:tmpl w:val="713435D8"/>
    <w:lvl w:ilvl="0">
      <w:start w:val="1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F7"/>
    <w:rsid w:val="00071CA7"/>
    <w:rsid w:val="000C6010"/>
    <w:rsid w:val="0010248B"/>
    <w:rsid w:val="00112D16"/>
    <w:rsid w:val="00113849"/>
    <w:rsid w:val="001315DE"/>
    <w:rsid w:val="001518E8"/>
    <w:rsid w:val="00175264"/>
    <w:rsid w:val="00176C9C"/>
    <w:rsid w:val="001827A7"/>
    <w:rsid w:val="001B00C2"/>
    <w:rsid w:val="001B6DA7"/>
    <w:rsid w:val="00207174"/>
    <w:rsid w:val="00211E94"/>
    <w:rsid w:val="00264B80"/>
    <w:rsid w:val="00270DD1"/>
    <w:rsid w:val="00287CDC"/>
    <w:rsid w:val="00296083"/>
    <w:rsid w:val="002C23DB"/>
    <w:rsid w:val="002C76FA"/>
    <w:rsid w:val="003557C0"/>
    <w:rsid w:val="003606DD"/>
    <w:rsid w:val="00363BA5"/>
    <w:rsid w:val="003A26A4"/>
    <w:rsid w:val="003F6AC6"/>
    <w:rsid w:val="00435057"/>
    <w:rsid w:val="00460866"/>
    <w:rsid w:val="004817C3"/>
    <w:rsid w:val="00494077"/>
    <w:rsid w:val="005577AE"/>
    <w:rsid w:val="00565D2D"/>
    <w:rsid w:val="005D5458"/>
    <w:rsid w:val="005E5BA4"/>
    <w:rsid w:val="0062286B"/>
    <w:rsid w:val="00677033"/>
    <w:rsid w:val="006B6FC7"/>
    <w:rsid w:val="006D4054"/>
    <w:rsid w:val="006E5F2C"/>
    <w:rsid w:val="007556F4"/>
    <w:rsid w:val="00767CF5"/>
    <w:rsid w:val="00797121"/>
    <w:rsid w:val="007B31FA"/>
    <w:rsid w:val="00804B24"/>
    <w:rsid w:val="00811E33"/>
    <w:rsid w:val="00875CD3"/>
    <w:rsid w:val="00896F22"/>
    <w:rsid w:val="008A1081"/>
    <w:rsid w:val="008A377A"/>
    <w:rsid w:val="008A6D76"/>
    <w:rsid w:val="008D098F"/>
    <w:rsid w:val="008E0C50"/>
    <w:rsid w:val="00912A6F"/>
    <w:rsid w:val="0091713B"/>
    <w:rsid w:val="00955A78"/>
    <w:rsid w:val="009578FF"/>
    <w:rsid w:val="00975BF7"/>
    <w:rsid w:val="009822D2"/>
    <w:rsid w:val="009A6525"/>
    <w:rsid w:val="009F5F9C"/>
    <w:rsid w:val="00A674D2"/>
    <w:rsid w:val="00A84E30"/>
    <w:rsid w:val="00AB159B"/>
    <w:rsid w:val="00AD6343"/>
    <w:rsid w:val="00AE6488"/>
    <w:rsid w:val="00B34F12"/>
    <w:rsid w:val="00B3722D"/>
    <w:rsid w:val="00CE2A2A"/>
    <w:rsid w:val="00CE79F2"/>
    <w:rsid w:val="00D209CD"/>
    <w:rsid w:val="00D440BA"/>
    <w:rsid w:val="00D47D3F"/>
    <w:rsid w:val="00D80D0D"/>
    <w:rsid w:val="00D87079"/>
    <w:rsid w:val="00DE1685"/>
    <w:rsid w:val="00DE4D16"/>
    <w:rsid w:val="00DF3191"/>
    <w:rsid w:val="00E417DE"/>
    <w:rsid w:val="00E41AA7"/>
    <w:rsid w:val="00EB32C2"/>
    <w:rsid w:val="00ED65C5"/>
    <w:rsid w:val="00EF77ED"/>
    <w:rsid w:val="00F0274B"/>
    <w:rsid w:val="00F36299"/>
    <w:rsid w:val="00F51A6C"/>
    <w:rsid w:val="00F662DD"/>
    <w:rsid w:val="00F67FC6"/>
    <w:rsid w:val="00FD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9E1683"/>
  <w15:chartTrackingRefBased/>
  <w15:docId w15:val="{F0AE33D1-28AF-4374-99F5-69C1DD6B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
    <w:name w:val="Body Text"/>
    <w:basedOn w:val="Normal"/>
    <w:rPr>
      <w:sz w:val="24"/>
    </w:rPr>
  </w:style>
  <w:style w:type="paragraph" w:styleId="BodyTextIndent2">
    <w:name w:val="Body Text Indent 2"/>
    <w:basedOn w:val="Normal"/>
    <w:pPr>
      <w:suppressAutoHyphens/>
      <w:ind w:left="1050" w:hanging="330"/>
      <w:jc w:val="both"/>
    </w:pPr>
    <w:rPr>
      <w:spacing w:val="-3"/>
      <w:sz w:val="18"/>
    </w:rPr>
  </w:style>
  <w:style w:type="paragraph" w:customStyle="1" w:styleId="A">
    <w:name w:val="(A)"/>
    <w:basedOn w:val="Normal"/>
    <w:pPr>
      <w:ind w:left="1440" w:hanging="720"/>
      <w:jc w:val="both"/>
    </w:pPr>
    <w:rPr>
      <w:rFonts w:ascii="Palatino" w:hAnsi="Palatino"/>
      <w:sz w:val="24"/>
    </w:rPr>
  </w:style>
  <w:style w:type="paragraph" w:customStyle="1" w:styleId="a0">
    <w:name w:val="(a)"/>
    <w:basedOn w:val="Normal"/>
    <w:pPr>
      <w:ind w:left="1800" w:hanging="540"/>
      <w:jc w:val="both"/>
    </w:pPr>
    <w:rPr>
      <w:rFonts w:ascii="Palatino" w:hAnsi="Palatino"/>
      <w:sz w:val="24"/>
    </w:rPr>
  </w:style>
  <w:style w:type="paragraph" w:customStyle="1" w:styleId="noindent">
    <w:name w:val="no indent"/>
    <w:basedOn w:val="Normal"/>
    <w:pPr>
      <w:jc w:val="both"/>
    </w:pPr>
    <w:rPr>
      <w:rFonts w:ascii="Palatino" w:hAnsi="Palatino"/>
      <w:sz w:val="24"/>
    </w:rPr>
  </w:style>
  <w:style w:type="paragraph" w:styleId="TOC1">
    <w:name w:val="toc 1"/>
    <w:basedOn w:val="Normal"/>
    <w:next w:val="Normal"/>
    <w:autoRedefine/>
    <w:semiHidden/>
    <w:pPr>
      <w:ind w:left="720" w:hanging="720"/>
    </w:pPr>
  </w:style>
  <w:style w:type="paragraph" w:styleId="BlockText">
    <w:name w:val="Block Text"/>
    <w:basedOn w:val="Normal"/>
    <w:pPr>
      <w:ind w:left="720" w:right="-450" w:hanging="720"/>
      <w:jc w:val="both"/>
    </w:pPr>
    <w:rPr>
      <w:rFonts w:ascii="Palatino" w:hAnsi="Palatino"/>
      <w:sz w:val="24"/>
    </w:rPr>
  </w:style>
  <w:style w:type="paragraph" w:customStyle="1" w:styleId="1">
    <w:name w:val="(1)"/>
    <w:basedOn w:val="Normal"/>
    <w:pPr>
      <w:ind w:left="1260" w:hanging="540"/>
      <w:jc w:val="both"/>
    </w:pPr>
    <w:rPr>
      <w:rFonts w:ascii="Palatino" w:hAnsi="Palatino"/>
      <w:sz w:val="24"/>
    </w:rPr>
  </w:style>
  <w:style w:type="paragraph" w:customStyle="1" w:styleId="AParg">
    <w:name w:val="(A) Parg."/>
    <w:basedOn w:val="Normal"/>
    <w:pPr>
      <w:ind w:left="540" w:hanging="540"/>
      <w:jc w:val="both"/>
    </w:pPr>
    <w:rPr>
      <w:rFonts w:ascii="Palatino" w:hAnsi="Palatino"/>
    </w:rPr>
  </w:style>
  <w:style w:type="paragraph" w:styleId="BodyText2">
    <w:name w:val="Body Text 2"/>
    <w:basedOn w:val="Normal"/>
    <w:pPr>
      <w:spacing w:after="120" w:line="480" w:lineRule="auto"/>
    </w:pPr>
  </w:style>
  <w:style w:type="paragraph" w:styleId="Title">
    <w:name w:val="Title"/>
    <w:basedOn w:val="Normal"/>
    <w:qFormat/>
    <w:pPr>
      <w:suppressAutoHyphens/>
      <w:jc w:val="center"/>
    </w:pPr>
    <w:rPr>
      <w:b/>
      <w:spacing w:val="-3"/>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E2A2A"/>
    <w:pPr>
      <w:ind w:left="720"/>
    </w:pPr>
  </w:style>
  <w:style w:type="paragraph" w:styleId="Revision">
    <w:name w:val="Revision"/>
    <w:hidden/>
    <w:uiPriority w:val="99"/>
    <w:semiHidden/>
    <w:rsid w:val="008A1081"/>
  </w:style>
  <w:style w:type="character" w:styleId="CommentReference">
    <w:name w:val="annotation reference"/>
    <w:basedOn w:val="DefaultParagraphFont"/>
    <w:rsid w:val="009822D2"/>
    <w:rPr>
      <w:sz w:val="16"/>
      <w:szCs w:val="16"/>
    </w:rPr>
  </w:style>
  <w:style w:type="paragraph" w:styleId="CommentText">
    <w:name w:val="annotation text"/>
    <w:basedOn w:val="Normal"/>
    <w:link w:val="CommentTextChar"/>
    <w:rsid w:val="009822D2"/>
  </w:style>
  <w:style w:type="character" w:customStyle="1" w:styleId="CommentTextChar">
    <w:name w:val="Comment Text Char"/>
    <w:basedOn w:val="DefaultParagraphFont"/>
    <w:link w:val="CommentText"/>
    <w:rsid w:val="009822D2"/>
  </w:style>
  <w:style w:type="paragraph" w:styleId="CommentSubject">
    <w:name w:val="annotation subject"/>
    <w:basedOn w:val="CommentText"/>
    <w:next w:val="CommentText"/>
    <w:link w:val="CommentSubjectChar"/>
    <w:rsid w:val="009822D2"/>
    <w:rPr>
      <w:b/>
      <w:bCs/>
    </w:rPr>
  </w:style>
  <w:style w:type="character" w:customStyle="1" w:styleId="CommentSubjectChar">
    <w:name w:val="Comment Subject Char"/>
    <w:basedOn w:val="CommentTextChar"/>
    <w:link w:val="CommentSubject"/>
    <w:rsid w:val="00982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262333">
      <w:bodyDiv w:val="1"/>
      <w:marLeft w:val="0"/>
      <w:marRight w:val="0"/>
      <w:marTop w:val="0"/>
      <w:marBottom w:val="0"/>
      <w:divBdr>
        <w:top w:val="none" w:sz="0" w:space="0" w:color="auto"/>
        <w:left w:val="none" w:sz="0" w:space="0" w:color="auto"/>
        <w:bottom w:val="none" w:sz="0" w:space="0" w:color="auto"/>
        <w:right w:val="none" w:sz="0" w:space="0" w:color="auto"/>
      </w:divBdr>
    </w:div>
    <w:div w:id="190109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12C8-4394-40E8-B854-CCD84E19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537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Martin \ Larry \ W</dc:creator>
  <cp:keywords> </cp:keywords>
  <dc:description> </dc:description>
  <cp:lastModifiedBy>Bell \ Melissa \ J</cp:lastModifiedBy>
  <cp:revision>4</cp:revision>
  <cp:lastPrinted>2016-12-20T03:28:00Z</cp:lastPrinted>
  <dcterms:created xsi:type="dcterms:W3CDTF">2017-05-26T19:02:00Z</dcterms:created>
  <dcterms:modified xsi:type="dcterms:W3CDTF">2017-05-30T13:43:00Z</dcterms:modified>
  <cp:category> </cp:category>
</cp:coreProperties>
</file>