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CA5D" w14:textId="77777777" w:rsidR="00F67FC6" w:rsidRDefault="00F67FC6">
      <w:pPr>
        <w:pStyle w:val="BodyTextIndent"/>
        <w:ind w:left="0" w:firstLine="0"/>
        <w:jc w:val="center"/>
        <w:rPr>
          <w:rFonts w:ascii="Times New Roman" w:hAnsi="Times New Roman"/>
          <w:b/>
        </w:rPr>
      </w:pPr>
      <w:r>
        <w:rPr>
          <w:rFonts w:ascii="Times New Roman" w:hAnsi="Times New Roman"/>
          <w:b/>
        </w:rPr>
        <w:t>SECTION VII</w:t>
      </w:r>
    </w:p>
    <w:p w14:paraId="310410E0" w14:textId="77777777" w:rsidR="00F67FC6" w:rsidRDefault="00F67FC6">
      <w:pPr>
        <w:pStyle w:val="BodyTextIndent"/>
        <w:ind w:left="0" w:firstLine="0"/>
        <w:jc w:val="center"/>
      </w:pPr>
      <w:r>
        <w:rPr>
          <w:rFonts w:ascii="Times New Roman" w:hAnsi="Times New Roman"/>
          <w:b/>
        </w:rPr>
        <w:t>PART 12 - CUSTOMER BILLING AND PAYMENTS</w:t>
      </w:r>
    </w:p>
    <w:p w14:paraId="040838F8" w14:textId="77777777" w:rsidR="00F67FC6" w:rsidRPr="00955A78" w:rsidRDefault="00F67FC6">
      <w:pPr>
        <w:pStyle w:val="Heading2"/>
        <w:numPr>
          <w:ilvl w:val="1"/>
          <w:numId w:val="2"/>
        </w:numPr>
        <w:tabs>
          <w:tab w:val="clear" w:pos="360"/>
        </w:tabs>
        <w:suppressAutoHyphens/>
        <w:spacing w:before="0" w:after="0"/>
        <w:ind w:left="0" w:firstLine="0"/>
        <w:jc w:val="both"/>
        <w:rPr>
          <w:rFonts w:ascii="Times New Roman" w:hAnsi="Times New Roman"/>
          <w:b w:val="0"/>
          <w:i w:val="0"/>
          <w:sz w:val="18"/>
          <w:szCs w:val="18"/>
        </w:rPr>
      </w:pPr>
      <w:r w:rsidRPr="00955A78">
        <w:rPr>
          <w:rFonts w:ascii="Times New Roman" w:hAnsi="Times New Roman"/>
          <w:b w:val="0"/>
          <w:i w:val="0"/>
          <w:sz w:val="18"/>
          <w:szCs w:val="18"/>
        </w:rPr>
        <w:t>Billing Options</w:t>
      </w:r>
    </w:p>
    <w:p w14:paraId="4A7E4288" w14:textId="77777777" w:rsidR="00F67FC6" w:rsidRPr="00955A78" w:rsidRDefault="00F67FC6">
      <w:pPr>
        <w:rPr>
          <w:sz w:val="18"/>
          <w:szCs w:val="18"/>
        </w:rPr>
      </w:pPr>
    </w:p>
    <w:p w14:paraId="68CB3D56" w14:textId="77777777" w:rsidR="00F67FC6" w:rsidRPr="00955A78" w:rsidRDefault="00F67FC6">
      <w:pPr>
        <w:suppressAutoHyphens/>
        <w:ind w:left="720"/>
        <w:rPr>
          <w:sz w:val="18"/>
          <w:szCs w:val="18"/>
        </w:rPr>
      </w:pPr>
      <w:r w:rsidRPr="00955A78">
        <w:rPr>
          <w:sz w:val="18"/>
          <w:szCs w:val="18"/>
        </w:rPr>
        <w:t>A Retail Natural Gas Supplier or Governmental Aggregator participating in Columbia’s Customer CHOICE</w:t>
      </w:r>
      <w:r w:rsidRPr="00955A78">
        <w:rPr>
          <w:sz w:val="18"/>
          <w:szCs w:val="18"/>
          <w:vertAlign w:val="superscript"/>
        </w:rPr>
        <w:t>SM</w:t>
      </w:r>
      <w:r w:rsidRPr="00955A78">
        <w:rPr>
          <w:sz w:val="18"/>
          <w:szCs w:val="18"/>
        </w:rPr>
        <w:t xml:space="preserve"> Program may choose from two billing options in rendering a bill to a participating customer through the execution of a “Billing Option Agreement”. The Retail Natural Gas Supplier or Governmental Aggregator may opt to use:</w:t>
      </w:r>
      <w:r w:rsidR="007B31FA" w:rsidRPr="00955A78">
        <w:rPr>
          <w:sz w:val="18"/>
          <w:szCs w:val="18"/>
        </w:rPr>
        <w:t xml:space="preserve"> </w:t>
      </w:r>
      <w:r w:rsidRPr="00955A78">
        <w:rPr>
          <w:sz w:val="18"/>
          <w:szCs w:val="18"/>
        </w:rPr>
        <w:t>(1) Company consolidated billing option through which the Company issues the total bill; or (2) the Retail Natural Gas Supplier or Governmental Aggregator may bill its portion of the bill with the Company continuing to bill the non-gas cost portion of the bill</w:t>
      </w:r>
      <w:r w:rsidRPr="00955A78">
        <w:rPr>
          <w:b/>
          <w:sz w:val="18"/>
          <w:szCs w:val="18"/>
        </w:rPr>
        <w:t>.</w:t>
      </w:r>
      <w:r w:rsidR="007B31FA" w:rsidRPr="00955A78">
        <w:rPr>
          <w:b/>
          <w:sz w:val="18"/>
          <w:szCs w:val="18"/>
        </w:rPr>
        <w:t xml:space="preserve"> </w:t>
      </w:r>
      <w:r w:rsidRPr="00955A78">
        <w:rPr>
          <w:sz w:val="18"/>
          <w:szCs w:val="18"/>
        </w:rPr>
        <w:t>Retail Natural Gas Suppliers or Governmental Aggregators that elect the consolidated billing option must provide all information needed by the Company, for preparation of bills in a form and format acceptable to the Company.</w:t>
      </w:r>
    </w:p>
    <w:p w14:paraId="57FCF597" w14:textId="77777777" w:rsidR="007B31FA" w:rsidRPr="00955A78" w:rsidRDefault="007B31FA">
      <w:pPr>
        <w:suppressAutoHyphens/>
        <w:ind w:left="720"/>
        <w:rPr>
          <w:sz w:val="18"/>
          <w:szCs w:val="18"/>
        </w:rPr>
      </w:pPr>
    </w:p>
    <w:p w14:paraId="1E668A88" w14:textId="77777777" w:rsidR="00F67FC6" w:rsidRPr="00955A78" w:rsidRDefault="00F67FC6">
      <w:pPr>
        <w:numPr>
          <w:ilvl w:val="1"/>
          <w:numId w:val="2"/>
        </w:numPr>
        <w:tabs>
          <w:tab w:val="clear" w:pos="360"/>
        </w:tabs>
        <w:ind w:left="720" w:hanging="720"/>
        <w:rPr>
          <w:sz w:val="18"/>
          <w:szCs w:val="18"/>
        </w:rPr>
      </w:pPr>
      <w:r w:rsidRPr="00955A78">
        <w:rPr>
          <w:sz w:val="18"/>
          <w:szCs w:val="18"/>
        </w:rPr>
        <w:t>Columbia’s Billing Rates</w:t>
      </w:r>
    </w:p>
    <w:p w14:paraId="5EDD53BA" w14:textId="77777777" w:rsidR="00F67FC6" w:rsidRPr="00955A78" w:rsidRDefault="00F67FC6">
      <w:pPr>
        <w:rPr>
          <w:sz w:val="18"/>
          <w:szCs w:val="18"/>
        </w:rPr>
      </w:pPr>
    </w:p>
    <w:p w14:paraId="6BE1FBFB" w14:textId="77777777" w:rsidR="00F67FC6" w:rsidRPr="00955A78" w:rsidRDefault="00F67FC6">
      <w:pPr>
        <w:pStyle w:val="BodyTextIndent2"/>
        <w:suppressAutoHyphens w:val="0"/>
        <w:ind w:left="720" w:firstLine="0"/>
        <w:rPr>
          <w:szCs w:val="18"/>
        </w:rPr>
      </w:pPr>
      <w:r w:rsidRPr="00955A78">
        <w:rPr>
          <w:szCs w:val="18"/>
        </w:rPr>
        <w:t>Customers that elect to participate in Columbia’s Customer CHOICE</w:t>
      </w:r>
      <w:r w:rsidRPr="00955A78">
        <w:rPr>
          <w:szCs w:val="18"/>
          <w:vertAlign w:val="superscript"/>
        </w:rPr>
        <w:t>SM</w:t>
      </w:r>
      <w:r w:rsidRPr="00955A78">
        <w:rPr>
          <w:szCs w:val="18"/>
        </w:rPr>
        <w:t xml:space="preserve"> Program will be billed all applicable transportation service base rates, including all applicable riders as identified in Section VII, Part 25, Part 26 and Part 27 of this tariff.</w:t>
      </w:r>
    </w:p>
    <w:p w14:paraId="578CBE39" w14:textId="77777777" w:rsidR="00F67FC6" w:rsidRPr="00955A78" w:rsidRDefault="00F67FC6">
      <w:pPr>
        <w:ind w:left="720"/>
        <w:rPr>
          <w:sz w:val="18"/>
          <w:szCs w:val="18"/>
        </w:rPr>
      </w:pPr>
    </w:p>
    <w:p w14:paraId="4D6A7C3B" w14:textId="77777777" w:rsidR="00F67FC6" w:rsidRPr="00955A78" w:rsidRDefault="00F67FC6">
      <w:pPr>
        <w:numPr>
          <w:ilvl w:val="1"/>
          <w:numId w:val="2"/>
        </w:numPr>
        <w:tabs>
          <w:tab w:val="clear" w:pos="360"/>
        </w:tabs>
        <w:ind w:left="720" w:hanging="720"/>
        <w:rPr>
          <w:sz w:val="18"/>
          <w:szCs w:val="18"/>
        </w:rPr>
      </w:pPr>
      <w:r w:rsidRPr="00955A78">
        <w:rPr>
          <w:sz w:val="18"/>
          <w:szCs w:val="18"/>
        </w:rPr>
        <w:t>A Retail Natural Gas Supplier or Governmental Aggregator which elects the Company’s consolidated billing option shall have the following billing options:</w:t>
      </w:r>
    </w:p>
    <w:p w14:paraId="092CB004" w14:textId="77777777" w:rsidR="00F67FC6" w:rsidRPr="00955A78" w:rsidRDefault="00F67FC6">
      <w:pPr>
        <w:rPr>
          <w:sz w:val="18"/>
          <w:szCs w:val="18"/>
        </w:rPr>
      </w:pPr>
    </w:p>
    <w:p w14:paraId="12692EFF" w14:textId="77777777" w:rsidR="00071CA7" w:rsidRPr="00955A78" w:rsidRDefault="00071CA7" w:rsidP="00071CA7">
      <w:pPr>
        <w:ind w:left="720"/>
        <w:rPr>
          <w:sz w:val="18"/>
          <w:szCs w:val="18"/>
        </w:rPr>
      </w:pPr>
      <w:r w:rsidRPr="00955A78">
        <w:rPr>
          <w:sz w:val="18"/>
          <w:szCs w:val="18"/>
        </w:rPr>
        <w:t>Rate Ready</w:t>
      </w:r>
    </w:p>
    <w:p w14:paraId="683CA02F" w14:textId="77777777" w:rsidR="00071CA7" w:rsidRPr="00955A78" w:rsidRDefault="00071CA7" w:rsidP="00071CA7">
      <w:pPr>
        <w:ind w:left="720"/>
        <w:rPr>
          <w:sz w:val="18"/>
          <w:szCs w:val="18"/>
        </w:rPr>
      </w:pPr>
    </w:p>
    <w:p w14:paraId="78DA2A13" w14:textId="77777777" w:rsidR="00F67FC6" w:rsidRPr="00955A78" w:rsidRDefault="00F67FC6">
      <w:pPr>
        <w:numPr>
          <w:ilvl w:val="0"/>
          <w:numId w:val="1"/>
        </w:numPr>
        <w:rPr>
          <w:sz w:val="18"/>
          <w:szCs w:val="18"/>
        </w:rPr>
      </w:pPr>
      <w:r w:rsidRPr="00955A78">
        <w:rPr>
          <w:sz w:val="18"/>
          <w:szCs w:val="18"/>
        </w:rPr>
        <w:t xml:space="preserve">Fixed rate per </w:t>
      </w:r>
      <w:proofErr w:type="spellStart"/>
      <w:r w:rsidRPr="00955A78">
        <w:rPr>
          <w:sz w:val="18"/>
          <w:szCs w:val="18"/>
        </w:rPr>
        <w:t>Mcf</w:t>
      </w:r>
      <w:proofErr w:type="spellEnd"/>
      <w:r w:rsidRPr="00955A78">
        <w:rPr>
          <w:sz w:val="18"/>
          <w:szCs w:val="18"/>
        </w:rPr>
        <w:t xml:space="preserve"> to be applied to the Customer’s consumption to determine the applicable billing charges. This fixed rate per </w:t>
      </w:r>
      <w:proofErr w:type="spellStart"/>
      <w:r w:rsidRPr="00955A78">
        <w:rPr>
          <w:sz w:val="18"/>
          <w:szCs w:val="18"/>
        </w:rPr>
        <w:t>Mcf</w:t>
      </w:r>
      <w:proofErr w:type="spellEnd"/>
      <w:r w:rsidRPr="00955A78">
        <w:rPr>
          <w:sz w:val="18"/>
          <w:szCs w:val="18"/>
        </w:rPr>
        <w:t xml:space="preserve"> shall be provided by the Retail Natural Gas Supplier or Governmental Aggregator.</w:t>
      </w:r>
    </w:p>
    <w:p w14:paraId="648D1688" w14:textId="77777777" w:rsidR="00F67FC6" w:rsidRPr="00955A78" w:rsidRDefault="00F67FC6">
      <w:pPr>
        <w:ind w:left="1080"/>
        <w:rPr>
          <w:sz w:val="18"/>
          <w:szCs w:val="18"/>
        </w:rPr>
      </w:pPr>
    </w:p>
    <w:p w14:paraId="13A65486" w14:textId="78F5FAA2" w:rsidR="00F67FC6" w:rsidRPr="009822D2" w:rsidRDefault="00CE2A2A" w:rsidP="005577AE">
      <w:pPr>
        <w:numPr>
          <w:ilvl w:val="0"/>
          <w:numId w:val="1"/>
        </w:numPr>
        <w:autoSpaceDE w:val="0"/>
        <w:autoSpaceDN w:val="0"/>
        <w:adjustRightInd w:val="0"/>
        <w:rPr>
          <w:b/>
          <w:sz w:val="18"/>
          <w:szCs w:val="18"/>
        </w:rPr>
      </w:pPr>
      <w:r w:rsidRPr="009822D2">
        <w:rPr>
          <w:sz w:val="18"/>
          <w:szCs w:val="18"/>
        </w:rPr>
        <w:t>N</w:t>
      </w:r>
      <w:r w:rsidR="00264B80" w:rsidRPr="009822D2">
        <w:rPr>
          <w:sz w:val="18"/>
          <w:szCs w:val="18"/>
        </w:rPr>
        <w:t>YMEX</w:t>
      </w:r>
      <w:r w:rsidRPr="009822D2">
        <w:rPr>
          <w:sz w:val="18"/>
          <w:szCs w:val="18"/>
        </w:rPr>
        <w:t xml:space="preserve"> Monthly Rate plus or minus a value</w:t>
      </w:r>
      <w:r w:rsidR="006B6FC7" w:rsidRPr="009822D2">
        <w:rPr>
          <w:sz w:val="18"/>
          <w:szCs w:val="18"/>
        </w:rPr>
        <w:t xml:space="preserve"> </w:t>
      </w:r>
      <w:r w:rsidR="006B6FC7" w:rsidRPr="009822D2">
        <w:rPr>
          <w:color w:val="000000"/>
          <w:sz w:val="18"/>
          <w:szCs w:val="18"/>
        </w:rPr>
        <w:t xml:space="preserve">per </w:t>
      </w:r>
      <w:proofErr w:type="spellStart"/>
      <w:r w:rsidR="006B6FC7" w:rsidRPr="009822D2">
        <w:rPr>
          <w:color w:val="000000"/>
          <w:sz w:val="18"/>
          <w:szCs w:val="18"/>
        </w:rPr>
        <w:t>Mcf</w:t>
      </w:r>
      <w:proofErr w:type="spellEnd"/>
      <w:r w:rsidR="006B6FC7" w:rsidRPr="009822D2">
        <w:rPr>
          <w:color w:val="000000"/>
          <w:sz w:val="18"/>
          <w:szCs w:val="18"/>
        </w:rPr>
        <w:t xml:space="preserve"> to be applied to the Customer's consumption to </w:t>
      </w:r>
      <w:proofErr w:type="gramStart"/>
      <w:r w:rsidR="006B6FC7" w:rsidRPr="009822D2">
        <w:rPr>
          <w:color w:val="000000"/>
          <w:sz w:val="18"/>
          <w:szCs w:val="18"/>
        </w:rPr>
        <w:t>determine</w:t>
      </w:r>
      <w:proofErr w:type="gramEnd"/>
      <w:r w:rsidR="006B6FC7" w:rsidRPr="009822D2">
        <w:rPr>
          <w:color w:val="000000"/>
          <w:sz w:val="18"/>
          <w:szCs w:val="18"/>
        </w:rPr>
        <w:t xml:space="preserve"> the applicable billing charge.  The plus or minus </w:t>
      </w:r>
      <w:proofErr w:type="spellStart"/>
      <w:r w:rsidR="006B6FC7" w:rsidRPr="009822D2">
        <w:rPr>
          <w:color w:val="000000"/>
          <w:sz w:val="18"/>
          <w:szCs w:val="18"/>
        </w:rPr>
        <w:t>Mcf</w:t>
      </w:r>
      <w:proofErr w:type="spellEnd"/>
      <w:r w:rsidR="006B6FC7" w:rsidRPr="009822D2">
        <w:rPr>
          <w:color w:val="000000"/>
          <w:sz w:val="18"/>
          <w:szCs w:val="18"/>
        </w:rPr>
        <w:t xml:space="preserve"> value shall be provided by the Retail Natural Gas Supp</w:t>
      </w:r>
      <w:r w:rsidR="00264B80" w:rsidRPr="009822D2">
        <w:rPr>
          <w:color w:val="000000"/>
          <w:sz w:val="18"/>
          <w:szCs w:val="18"/>
        </w:rPr>
        <w:t>lier or Governmental Aggregator</w:t>
      </w:r>
      <w:r w:rsidR="009822D2">
        <w:rPr>
          <w:sz w:val="18"/>
          <w:szCs w:val="18"/>
        </w:rPr>
        <w:t>.</w:t>
      </w:r>
    </w:p>
    <w:p w14:paraId="6F05487B" w14:textId="77777777" w:rsidR="00CE2A2A" w:rsidRPr="00955A78" w:rsidRDefault="00CE2A2A" w:rsidP="005577AE">
      <w:pPr>
        <w:pStyle w:val="ListParagraph"/>
        <w:rPr>
          <w:sz w:val="18"/>
          <w:szCs w:val="18"/>
        </w:rPr>
      </w:pPr>
    </w:p>
    <w:p w14:paraId="38BA928A" w14:textId="77777777" w:rsidR="00CE2A2A" w:rsidRPr="00955A78" w:rsidRDefault="00071CA7" w:rsidP="00875CD3">
      <w:pPr>
        <w:autoSpaceDE w:val="0"/>
        <w:autoSpaceDN w:val="0"/>
        <w:adjustRightInd w:val="0"/>
        <w:ind w:left="720"/>
        <w:rPr>
          <w:sz w:val="18"/>
          <w:szCs w:val="18"/>
        </w:rPr>
      </w:pPr>
      <w:r w:rsidRPr="00955A78">
        <w:rPr>
          <w:sz w:val="18"/>
          <w:szCs w:val="18"/>
        </w:rPr>
        <w:t>Bill Ready</w:t>
      </w:r>
      <w:r w:rsidR="009822D2">
        <w:rPr>
          <w:sz w:val="18"/>
          <w:szCs w:val="18"/>
        </w:rPr>
        <w:t xml:space="preserve"> –</w:t>
      </w:r>
      <w:r w:rsidR="009F5F9C">
        <w:rPr>
          <w:sz w:val="18"/>
          <w:szCs w:val="18"/>
        </w:rPr>
        <w:t xml:space="preserve"> Specific Charge</w:t>
      </w:r>
    </w:p>
    <w:p w14:paraId="68949BB6" w14:textId="77777777" w:rsidR="00071CA7" w:rsidRPr="00955A78" w:rsidRDefault="00071CA7" w:rsidP="005577AE">
      <w:pPr>
        <w:pStyle w:val="ListParagraph"/>
        <w:rPr>
          <w:sz w:val="18"/>
          <w:szCs w:val="18"/>
        </w:rPr>
      </w:pPr>
    </w:p>
    <w:p w14:paraId="28267E51" w14:textId="77777777" w:rsidR="009F5F9C" w:rsidRPr="009F5F9C" w:rsidRDefault="005E5BA4" w:rsidP="009822D2">
      <w:pPr>
        <w:numPr>
          <w:ilvl w:val="0"/>
          <w:numId w:val="1"/>
        </w:numPr>
        <w:tabs>
          <w:tab w:val="clear" w:pos="1440"/>
        </w:tabs>
        <w:rPr>
          <w:sz w:val="18"/>
          <w:szCs w:val="18"/>
        </w:rPr>
      </w:pPr>
      <w:r w:rsidRPr="00955A78">
        <w:rPr>
          <w:sz w:val="18"/>
          <w:szCs w:val="18"/>
        </w:rPr>
        <w:t>Columbia transmits to Supplier the customer-specific metered consumption data. Supplier transmits to Columbia within three business days a customer-specific charge exclusive of all non-gas cost service charges</w:t>
      </w:r>
      <w:r w:rsidR="00CE2A2A" w:rsidRPr="00955A78">
        <w:rPr>
          <w:sz w:val="18"/>
          <w:szCs w:val="18"/>
        </w:rPr>
        <w:t>.</w:t>
      </w:r>
    </w:p>
    <w:p w14:paraId="67C8C429" w14:textId="77777777" w:rsidR="00F51A6C" w:rsidRDefault="00F51A6C" w:rsidP="00F51A6C">
      <w:pPr>
        <w:ind w:left="1080"/>
        <w:rPr>
          <w:sz w:val="18"/>
          <w:szCs w:val="18"/>
        </w:rPr>
      </w:pPr>
    </w:p>
    <w:p w14:paraId="1C1A57D3" w14:textId="77777777" w:rsidR="009F5F9C" w:rsidRDefault="009F5F9C" w:rsidP="009822D2">
      <w:pPr>
        <w:ind w:left="720"/>
        <w:rPr>
          <w:sz w:val="18"/>
          <w:szCs w:val="18"/>
        </w:rPr>
      </w:pPr>
      <w:r>
        <w:rPr>
          <w:sz w:val="18"/>
          <w:szCs w:val="18"/>
        </w:rPr>
        <w:t xml:space="preserve">Bill Ready – Pre-Pay </w:t>
      </w:r>
    </w:p>
    <w:p w14:paraId="39A807F4" w14:textId="77777777" w:rsidR="009F5F9C" w:rsidRDefault="009F5F9C" w:rsidP="009822D2">
      <w:pPr>
        <w:ind w:left="720"/>
        <w:rPr>
          <w:sz w:val="18"/>
          <w:szCs w:val="18"/>
        </w:rPr>
      </w:pPr>
    </w:p>
    <w:p w14:paraId="7E45EE5C" w14:textId="77777777" w:rsidR="009F5F9C" w:rsidRDefault="009F5F9C" w:rsidP="009822D2">
      <w:pPr>
        <w:numPr>
          <w:ilvl w:val="0"/>
          <w:numId w:val="1"/>
        </w:numPr>
        <w:rPr>
          <w:sz w:val="18"/>
          <w:szCs w:val="18"/>
        </w:rPr>
      </w:pPr>
      <w:r w:rsidRPr="00113849">
        <w:rPr>
          <w:sz w:val="18"/>
          <w:szCs w:val="18"/>
        </w:rPr>
        <w:t>Service is limited to customers that participate in Columbia’s Bill Ready program</w:t>
      </w:r>
      <w:r w:rsidR="00B3722D">
        <w:rPr>
          <w:sz w:val="18"/>
          <w:szCs w:val="18"/>
        </w:rPr>
        <w:t xml:space="preserve"> </w:t>
      </w:r>
      <w:r w:rsidR="0062286B">
        <w:rPr>
          <w:sz w:val="18"/>
          <w:szCs w:val="18"/>
        </w:rPr>
        <w:t>that are b</w:t>
      </w:r>
      <w:r w:rsidR="00B3722D">
        <w:rPr>
          <w:sz w:val="18"/>
          <w:szCs w:val="18"/>
        </w:rPr>
        <w:t xml:space="preserve">illed through Columbia’s </w:t>
      </w:r>
      <w:r w:rsidR="0062286B">
        <w:rPr>
          <w:sz w:val="18"/>
          <w:szCs w:val="18"/>
        </w:rPr>
        <w:t>Distributive Information Billing System</w:t>
      </w:r>
      <w:r w:rsidRPr="00113849">
        <w:rPr>
          <w:sz w:val="18"/>
          <w:szCs w:val="18"/>
        </w:rPr>
        <w:t xml:space="preserve">. </w:t>
      </w:r>
      <w:r w:rsidR="00F51A6C" w:rsidRPr="00113849">
        <w:rPr>
          <w:sz w:val="18"/>
          <w:szCs w:val="18"/>
        </w:rPr>
        <w:t xml:space="preserve">Columbia transmits to Supplier customer-specific metered consumption data. Supplier transmits to Columbia </w:t>
      </w:r>
      <w:r w:rsidRPr="00B3722D">
        <w:rPr>
          <w:sz w:val="18"/>
          <w:szCs w:val="18"/>
        </w:rPr>
        <w:t xml:space="preserve">within three business days </w:t>
      </w:r>
      <w:r w:rsidR="00F51A6C" w:rsidRPr="00B3722D">
        <w:rPr>
          <w:sz w:val="18"/>
          <w:szCs w:val="18"/>
        </w:rPr>
        <w:t>the commodity charge to be billed and prepaid balance.</w:t>
      </w:r>
      <w:r w:rsidR="00113849" w:rsidRPr="00B3722D">
        <w:rPr>
          <w:sz w:val="18"/>
          <w:szCs w:val="18"/>
        </w:rPr>
        <w:t xml:space="preserve"> </w:t>
      </w:r>
      <w:r w:rsidR="00113849">
        <w:rPr>
          <w:sz w:val="18"/>
          <w:szCs w:val="18"/>
        </w:rPr>
        <w:t>The display of the any prepai</w:t>
      </w:r>
      <w:bookmarkStart w:id="0" w:name="_GoBack"/>
      <w:bookmarkEnd w:id="0"/>
      <w:r w:rsidR="00113849">
        <w:rPr>
          <w:sz w:val="18"/>
          <w:szCs w:val="18"/>
        </w:rPr>
        <w:t>d balance on the bill will be limited to the current Supplier.</w:t>
      </w:r>
    </w:p>
    <w:p w14:paraId="5BD62DA4" w14:textId="77777777" w:rsidR="00113849" w:rsidRPr="00113849" w:rsidRDefault="00113849" w:rsidP="009822D2">
      <w:pPr>
        <w:ind w:left="1440"/>
        <w:rPr>
          <w:sz w:val="18"/>
          <w:szCs w:val="18"/>
        </w:rPr>
      </w:pPr>
    </w:p>
    <w:p w14:paraId="42A1CDE9" w14:textId="77777777" w:rsidR="009822D2" w:rsidRDefault="009F5F9C" w:rsidP="009822D2">
      <w:pPr>
        <w:ind w:left="1440"/>
        <w:rPr>
          <w:sz w:val="18"/>
          <w:szCs w:val="18"/>
        </w:rPr>
        <w:sectPr w:rsidR="009822D2">
          <w:headerReference w:type="even" r:id="rId8"/>
          <w:headerReference w:type="default" r:id="rId9"/>
          <w:footerReference w:type="default" r:id="rId10"/>
          <w:pgSz w:w="12240" w:h="15840"/>
          <w:pgMar w:top="1440" w:right="1440" w:bottom="1440" w:left="1440" w:header="720" w:footer="720" w:gutter="0"/>
          <w:cols w:space="720"/>
        </w:sectPr>
      </w:pPr>
      <w:r>
        <w:rPr>
          <w:sz w:val="18"/>
          <w:szCs w:val="18"/>
        </w:rPr>
        <w:t>Columbia is not a party to the Supplier’s prepayment program or customer agreement nor has any responsibility to oversee, monitor</w:t>
      </w:r>
      <w:r w:rsidR="00E41AA7">
        <w:rPr>
          <w:sz w:val="18"/>
          <w:szCs w:val="18"/>
        </w:rPr>
        <w:t xml:space="preserve">; account for </w:t>
      </w:r>
      <w:r w:rsidR="00D440BA">
        <w:rPr>
          <w:sz w:val="18"/>
          <w:szCs w:val="18"/>
        </w:rPr>
        <w:t>or be aware of the specific contract terms.</w:t>
      </w:r>
      <w:r w:rsidR="00D87079">
        <w:rPr>
          <w:sz w:val="18"/>
          <w:szCs w:val="18"/>
        </w:rPr>
        <w:t xml:space="preserve"> </w:t>
      </w:r>
      <w:r w:rsidR="00D440BA">
        <w:rPr>
          <w:sz w:val="18"/>
          <w:szCs w:val="18"/>
        </w:rPr>
        <w:t xml:space="preserve"> </w:t>
      </w:r>
      <w:r w:rsidR="00113849">
        <w:rPr>
          <w:sz w:val="18"/>
          <w:szCs w:val="18"/>
        </w:rPr>
        <w:t xml:space="preserve">The Supplier is responsible for </w:t>
      </w:r>
      <w:r w:rsidR="00811E33">
        <w:rPr>
          <w:sz w:val="18"/>
          <w:szCs w:val="18"/>
        </w:rPr>
        <w:t xml:space="preserve">all commodity related activities, including but not limited to, collection of the prepayment; </w:t>
      </w:r>
      <w:r w:rsidR="001B6DA7">
        <w:rPr>
          <w:sz w:val="18"/>
          <w:szCs w:val="18"/>
        </w:rPr>
        <w:t xml:space="preserve">accounting for all billings, payments and balance of the prepayment account; </w:t>
      </w:r>
      <w:r w:rsidR="00811E33">
        <w:rPr>
          <w:sz w:val="18"/>
          <w:szCs w:val="18"/>
        </w:rPr>
        <w:t>provision of</w:t>
      </w:r>
      <w:r w:rsidR="00B3722D">
        <w:rPr>
          <w:sz w:val="18"/>
          <w:szCs w:val="18"/>
        </w:rPr>
        <w:t xml:space="preserve"> </w:t>
      </w:r>
      <w:r w:rsidR="00811E33">
        <w:rPr>
          <w:sz w:val="18"/>
          <w:szCs w:val="18"/>
        </w:rPr>
        <w:t>commodity charge and prepayment balance to Columbia</w:t>
      </w:r>
      <w:r w:rsidR="0091713B">
        <w:rPr>
          <w:sz w:val="18"/>
          <w:szCs w:val="18"/>
        </w:rPr>
        <w:t xml:space="preserve"> each month</w:t>
      </w:r>
      <w:r w:rsidR="00811E33">
        <w:rPr>
          <w:sz w:val="18"/>
          <w:szCs w:val="18"/>
        </w:rPr>
        <w:t xml:space="preserve">, </w:t>
      </w:r>
      <w:r w:rsidR="00113849">
        <w:rPr>
          <w:sz w:val="18"/>
          <w:szCs w:val="18"/>
        </w:rPr>
        <w:t>refund</w:t>
      </w:r>
      <w:r w:rsidR="0091713B">
        <w:rPr>
          <w:sz w:val="18"/>
          <w:szCs w:val="18"/>
        </w:rPr>
        <w:t>ing</w:t>
      </w:r>
      <w:r w:rsidR="00811E33">
        <w:rPr>
          <w:sz w:val="18"/>
          <w:szCs w:val="18"/>
        </w:rPr>
        <w:t xml:space="preserve"> of </w:t>
      </w:r>
      <w:r w:rsidR="0091713B">
        <w:rPr>
          <w:sz w:val="18"/>
          <w:szCs w:val="18"/>
        </w:rPr>
        <w:t xml:space="preserve">any unused </w:t>
      </w:r>
      <w:r w:rsidR="00811E33">
        <w:rPr>
          <w:sz w:val="18"/>
          <w:szCs w:val="18"/>
        </w:rPr>
        <w:t>prepayment</w:t>
      </w:r>
      <w:r w:rsidR="00113849">
        <w:rPr>
          <w:sz w:val="18"/>
          <w:szCs w:val="18"/>
        </w:rPr>
        <w:t xml:space="preserve"> </w:t>
      </w:r>
      <w:r w:rsidR="00E41AA7">
        <w:rPr>
          <w:sz w:val="18"/>
          <w:szCs w:val="18"/>
        </w:rPr>
        <w:t xml:space="preserve">where applicable; </w:t>
      </w:r>
      <w:r w:rsidR="00113849">
        <w:rPr>
          <w:sz w:val="18"/>
          <w:szCs w:val="18"/>
        </w:rPr>
        <w:t xml:space="preserve">and </w:t>
      </w:r>
      <w:r w:rsidR="00E41AA7">
        <w:rPr>
          <w:sz w:val="18"/>
          <w:szCs w:val="18"/>
        </w:rPr>
        <w:t>payment of applicable sales taxes</w:t>
      </w:r>
      <w:r w:rsidR="00811E33">
        <w:rPr>
          <w:sz w:val="18"/>
          <w:szCs w:val="18"/>
        </w:rPr>
        <w:t>.</w:t>
      </w:r>
      <w:r w:rsidR="00113849">
        <w:rPr>
          <w:sz w:val="18"/>
          <w:szCs w:val="18"/>
        </w:rPr>
        <w:t xml:space="preserve"> </w:t>
      </w:r>
      <w:r w:rsidR="00D87079">
        <w:rPr>
          <w:sz w:val="18"/>
          <w:szCs w:val="18"/>
        </w:rPr>
        <w:t xml:space="preserve">Columbia’s provision of this service is </w:t>
      </w:r>
      <w:r w:rsidR="00D440BA">
        <w:rPr>
          <w:sz w:val="18"/>
          <w:szCs w:val="18"/>
        </w:rPr>
        <w:t xml:space="preserve">limited to the </w:t>
      </w:r>
      <w:r w:rsidR="00B3722D">
        <w:rPr>
          <w:sz w:val="18"/>
          <w:szCs w:val="18"/>
        </w:rPr>
        <w:t xml:space="preserve">provision of the customer-specific metered consumption data each month and </w:t>
      </w:r>
      <w:r w:rsidR="00E41AA7">
        <w:rPr>
          <w:sz w:val="18"/>
          <w:szCs w:val="18"/>
        </w:rPr>
        <w:t>display of commodity charge</w:t>
      </w:r>
      <w:r w:rsidR="0062286B">
        <w:rPr>
          <w:sz w:val="18"/>
          <w:szCs w:val="18"/>
        </w:rPr>
        <w:t>, billing rate</w:t>
      </w:r>
      <w:r w:rsidR="00E41AA7">
        <w:rPr>
          <w:sz w:val="18"/>
          <w:szCs w:val="18"/>
        </w:rPr>
        <w:t xml:space="preserve"> and prepayment balance on bill</w:t>
      </w:r>
      <w:r w:rsidR="008A6D76">
        <w:rPr>
          <w:sz w:val="18"/>
          <w:szCs w:val="18"/>
        </w:rPr>
        <w:t>; and billing of and accounting for distribution related charges</w:t>
      </w:r>
      <w:r w:rsidR="00D87079">
        <w:rPr>
          <w:sz w:val="18"/>
          <w:szCs w:val="18"/>
        </w:rPr>
        <w:t>.</w:t>
      </w:r>
      <w:r w:rsidR="00D440BA">
        <w:rPr>
          <w:sz w:val="18"/>
          <w:szCs w:val="18"/>
        </w:rPr>
        <w:t xml:space="preserve"> Prepaid funds can only be credited to </w:t>
      </w:r>
      <w:r w:rsidR="00B3722D">
        <w:rPr>
          <w:sz w:val="18"/>
          <w:szCs w:val="18"/>
        </w:rPr>
        <w:t xml:space="preserve">the </w:t>
      </w:r>
      <w:r w:rsidR="00D440BA">
        <w:rPr>
          <w:sz w:val="18"/>
          <w:szCs w:val="18"/>
        </w:rPr>
        <w:t>Supplier’s commodity charges. Prepaid amount</w:t>
      </w:r>
      <w:r w:rsidR="0091713B">
        <w:rPr>
          <w:sz w:val="18"/>
          <w:szCs w:val="18"/>
        </w:rPr>
        <w:t>s</w:t>
      </w:r>
      <w:r w:rsidR="00D440BA">
        <w:rPr>
          <w:sz w:val="18"/>
          <w:szCs w:val="18"/>
        </w:rPr>
        <w:t xml:space="preserve"> cannot be used to </w:t>
      </w:r>
      <w:r w:rsidR="00D87079">
        <w:rPr>
          <w:sz w:val="18"/>
          <w:szCs w:val="18"/>
        </w:rPr>
        <w:t>pay distribution</w:t>
      </w:r>
    </w:p>
    <w:p w14:paraId="54653B9C" w14:textId="77777777" w:rsidR="009822D2" w:rsidRDefault="009822D2" w:rsidP="009822D2">
      <w:pPr>
        <w:ind w:left="1440"/>
        <w:rPr>
          <w:sz w:val="18"/>
          <w:szCs w:val="18"/>
        </w:rPr>
      </w:pPr>
    </w:p>
    <w:p w14:paraId="4AACB2F4" w14:textId="77777777" w:rsidR="00E41AA7" w:rsidRDefault="00D87079" w:rsidP="009822D2">
      <w:pPr>
        <w:ind w:left="1440"/>
        <w:rPr>
          <w:sz w:val="18"/>
          <w:szCs w:val="18"/>
        </w:rPr>
      </w:pPr>
      <w:proofErr w:type="gramStart"/>
      <w:r>
        <w:rPr>
          <w:sz w:val="18"/>
          <w:szCs w:val="18"/>
        </w:rPr>
        <w:t>charges</w:t>
      </w:r>
      <w:proofErr w:type="gramEnd"/>
      <w:r>
        <w:rPr>
          <w:sz w:val="18"/>
          <w:szCs w:val="18"/>
        </w:rPr>
        <w:t xml:space="preserve"> or any unpaid</w:t>
      </w:r>
      <w:r w:rsidR="0091713B">
        <w:rPr>
          <w:sz w:val="18"/>
          <w:szCs w:val="18"/>
        </w:rPr>
        <w:t xml:space="preserve"> </w:t>
      </w:r>
      <w:r>
        <w:rPr>
          <w:sz w:val="18"/>
          <w:szCs w:val="18"/>
        </w:rPr>
        <w:t xml:space="preserve">balance </w:t>
      </w:r>
      <w:r w:rsidR="0091713B">
        <w:rPr>
          <w:sz w:val="18"/>
          <w:szCs w:val="18"/>
        </w:rPr>
        <w:t>due</w:t>
      </w:r>
      <w:r>
        <w:rPr>
          <w:sz w:val="18"/>
          <w:szCs w:val="18"/>
        </w:rPr>
        <w:t xml:space="preserve">. </w:t>
      </w:r>
      <w:r w:rsidR="00E41AA7">
        <w:rPr>
          <w:sz w:val="18"/>
          <w:szCs w:val="18"/>
        </w:rPr>
        <w:t xml:space="preserve">Columbia will send a separate notification to the customer upon the initial use of the </w:t>
      </w:r>
      <w:r w:rsidR="0062286B">
        <w:rPr>
          <w:sz w:val="18"/>
          <w:szCs w:val="18"/>
        </w:rPr>
        <w:t>p</w:t>
      </w:r>
      <w:r w:rsidR="00E41AA7">
        <w:rPr>
          <w:sz w:val="18"/>
          <w:szCs w:val="18"/>
        </w:rPr>
        <w:t>re</w:t>
      </w:r>
      <w:r w:rsidR="0062286B">
        <w:rPr>
          <w:sz w:val="18"/>
          <w:szCs w:val="18"/>
        </w:rPr>
        <w:t>p</w:t>
      </w:r>
      <w:r w:rsidR="00E41AA7">
        <w:rPr>
          <w:sz w:val="18"/>
          <w:szCs w:val="18"/>
        </w:rPr>
        <w:t>ay</w:t>
      </w:r>
      <w:r w:rsidR="0062286B">
        <w:rPr>
          <w:sz w:val="18"/>
          <w:szCs w:val="18"/>
        </w:rPr>
        <w:t>ment s</w:t>
      </w:r>
      <w:r w:rsidR="00E41AA7">
        <w:rPr>
          <w:sz w:val="18"/>
          <w:szCs w:val="18"/>
        </w:rPr>
        <w:t xml:space="preserve">ervice designed to explain the Customer </w:t>
      </w:r>
      <w:r w:rsidR="0091713B">
        <w:rPr>
          <w:sz w:val="18"/>
          <w:szCs w:val="18"/>
        </w:rPr>
        <w:t xml:space="preserve">will be subject to disconnection for failure to pay timely </w:t>
      </w:r>
      <w:r w:rsidR="00E41AA7">
        <w:rPr>
          <w:sz w:val="18"/>
          <w:szCs w:val="18"/>
        </w:rPr>
        <w:t xml:space="preserve">the Distribution Charges portion of the bill </w:t>
      </w:r>
      <w:r w:rsidR="0091713B">
        <w:rPr>
          <w:sz w:val="18"/>
          <w:szCs w:val="18"/>
        </w:rPr>
        <w:t>and a</w:t>
      </w:r>
      <w:r w:rsidR="00B3722D">
        <w:rPr>
          <w:sz w:val="18"/>
          <w:szCs w:val="18"/>
        </w:rPr>
        <w:t>ny</w:t>
      </w:r>
      <w:r w:rsidR="0091713B">
        <w:rPr>
          <w:sz w:val="18"/>
          <w:szCs w:val="18"/>
        </w:rPr>
        <w:t xml:space="preserve"> unpaid commodity charges. </w:t>
      </w:r>
    </w:p>
    <w:p w14:paraId="5E5A07F7" w14:textId="77777777" w:rsidR="00B3722D" w:rsidRDefault="00B3722D" w:rsidP="009822D2">
      <w:pPr>
        <w:ind w:left="1440"/>
        <w:rPr>
          <w:sz w:val="18"/>
          <w:szCs w:val="18"/>
        </w:rPr>
      </w:pPr>
    </w:p>
    <w:p w14:paraId="3EF079F4" w14:textId="77777777" w:rsidR="00B3722D" w:rsidRPr="00955A78" w:rsidRDefault="00B3722D" w:rsidP="009822D2">
      <w:pPr>
        <w:ind w:left="1440"/>
        <w:rPr>
          <w:sz w:val="18"/>
          <w:szCs w:val="18"/>
        </w:rPr>
      </w:pPr>
      <w:r>
        <w:rPr>
          <w:sz w:val="18"/>
          <w:szCs w:val="18"/>
        </w:rPr>
        <w:t xml:space="preserve">Current Retail Natural Gas Suppliers participating in this program may initiate a gas cost adjustment </w:t>
      </w:r>
      <w:r w:rsidR="00D47D3F">
        <w:rPr>
          <w:sz w:val="18"/>
          <w:szCs w:val="18"/>
        </w:rPr>
        <w:t>for</w:t>
      </w:r>
      <w:r>
        <w:rPr>
          <w:sz w:val="18"/>
          <w:szCs w:val="18"/>
        </w:rPr>
        <w:t xml:space="preserve"> any previously billed period within twelve months during which they were the Supplier with the exception of a bill for the pending period. Previous suppliers have two billing cycles from the time they become inactive to initiate a gas cost adjustment for the previous twelve months.</w:t>
      </w:r>
    </w:p>
    <w:p w14:paraId="2A835CB5" w14:textId="77777777" w:rsidR="00F67FC6" w:rsidRPr="00955A78" w:rsidRDefault="00F67FC6">
      <w:pPr>
        <w:suppressAutoHyphens/>
        <w:ind w:left="720"/>
        <w:rPr>
          <w:sz w:val="18"/>
          <w:szCs w:val="18"/>
        </w:rPr>
      </w:pPr>
    </w:p>
    <w:p w14:paraId="0C886825" w14:textId="77777777" w:rsidR="00071CA7" w:rsidRPr="00955A78" w:rsidRDefault="00F67FC6">
      <w:pPr>
        <w:pStyle w:val="BodyTextIndent2"/>
        <w:ind w:left="720" w:firstLine="0"/>
        <w:rPr>
          <w:szCs w:val="18"/>
        </w:rPr>
      </w:pPr>
      <w:r w:rsidRPr="00955A78">
        <w:rPr>
          <w:szCs w:val="18"/>
        </w:rPr>
        <w:t>In the event the Retail Natural Gas Suppliers or Governmental Aggregators pricing arrangements require system billing changes, and the Company is willing to enhance its system, Company will perform these bill enhancements at an agreed upon cost based fee.</w:t>
      </w:r>
      <w:r w:rsidR="007B31FA" w:rsidRPr="00955A78">
        <w:rPr>
          <w:szCs w:val="18"/>
        </w:rPr>
        <w:t xml:space="preserve"> </w:t>
      </w:r>
      <w:r w:rsidRPr="00955A78">
        <w:rPr>
          <w:szCs w:val="18"/>
        </w:rPr>
        <w:t>Nothing in this tariff shall obligate the Company to bill for penalty or termination fees the Retail Natural Gas Supplier or Governmental Aggregator desires to assess against CHOICE</w:t>
      </w:r>
      <w:r w:rsidRPr="00955A78">
        <w:rPr>
          <w:szCs w:val="18"/>
          <w:vertAlign w:val="superscript"/>
        </w:rPr>
        <w:t>®</w:t>
      </w:r>
      <w:r w:rsidRPr="00955A78">
        <w:rPr>
          <w:szCs w:val="18"/>
        </w:rPr>
        <w:t xml:space="preserve"> Program customers. </w:t>
      </w:r>
    </w:p>
    <w:p w14:paraId="6810057E" w14:textId="77777777" w:rsidR="00071CA7" w:rsidRPr="00955A78" w:rsidRDefault="00071CA7">
      <w:pPr>
        <w:pStyle w:val="BodyTextIndent2"/>
        <w:ind w:left="720" w:firstLine="0"/>
        <w:rPr>
          <w:szCs w:val="18"/>
        </w:rPr>
      </w:pPr>
    </w:p>
    <w:p w14:paraId="49AF9980" w14:textId="793FB81E" w:rsidR="00F67FC6" w:rsidRPr="00955A78" w:rsidRDefault="00F67FC6" w:rsidP="00E417DE">
      <w:pPr>
        <w:pStyle w:val="BodyTextIndent2"/>
        <w:rPr>
          <w:szCs w:val="18"/>
        </w:rPr>
      </w:pPr>
    </w:p>
    <w:sectPr w:rsidR="00F67FC6" w:rsidRPr="00955A78">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4964A" w14:textId="77777777" w:rsidR="008956C4" w:rsidRDefault="008956C4">
      <w:r>
        <w:separator/>
      </w:r>
    </w:p>
  </w:endnote>
  <w:endnote w:type="continuationSeparator" w:id="0">
    <w:p w14:paraId="1E3BCCB5" w14:textId="77777777" w:rsidR="008956C4" w:rsidRDefault="0089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BFA2" w14:textId="56CFCB13" w:rsidR="00CE79F2" w:rsidRDefault="00F67FC6">
    <w:pPr>
      <w:pStyle w:val="Footer"/>
      <w:jc w:val="center"/>
      <w:rPr>
        <w:sz w:val="16"/>
      </w:rPr>
    </w:pPr>
    <w:r>
      <w:rPr>
        <w:sz w:val="16"/>
      </w:rPr>
      <w:t xml:space="preserve">Filed in accordance with Public Utilities Commission of Ohio </w:t>
    </w:r>
    <w:r w:rsidR="00CE79F2">
      <w:rPr>
        <w:sz w:val="16"/>
      </w:rPr>
      <w:t xml:space="preserve">Entry </w:t>
    </w:r>
    <w:r>
      <w:rPr>
        <w:sz w:val="16"/>
      </w:rPr>
      <w:t>dated</w:t>
    </w:r>
    <w:r w:rsidR="00EF77ED">
      <w:rPr>
        <w:sz w:val="16"/>
      </w:rPr>
      <w:t xml:space="preserve"> </w:t>
    </w:r>
    <w:r w:rsidR="00EF4170">
      <w:rPr>
        <w:sz w:val="16"/>
      </w:rPr>
      <w:t>May 24, 2017 in Case No. 16-2430-GA-ATA.</w:t>
    </w:r>
  </w:p>
  <w:p w14:paraId="010E6294" w14:textId="77777777" w:rsidR="00F67FC6" w:rsidRDefault="00CE79F2">
    <w:pPr>
      <w:pStyle w:val="Footer"/>
      <w:jc w:val="center"/>
      <w:rPr>
        <w:sz w:val="16"/>
      </w:rPr>
    </w:pPr>
    <w:r>
      <w:rPr>
        <w:sz w:val="16"/>
      </w:rPr>
      <w:t xml:space="preserve"> </w:t>
    </w:r>
  </w:p>
  <w:p w14:paraId="1FE86823" w14:textId="77777777" w:rsidR="00F67FC6" w:rsidRDefault="00F67FC6">
    <w:pPr>
      <w:pStyle w:val="Footer"/>
      <w:rPr>
        <w:sz w:val="16"/>
      </w:rPr>
    </w:pPr>
  </w:p>
  <w:tbl>
    <w:tblPr>
      <w:tblW w:w="0" w:type="auto"/>
      <w:tblInd w:w="108" w:type="dxa"/>
      <w:tblLayout w:type="fixed"/>
      <w:tblLook w:val="0000" w:firstRow="0" w:lastRow="0" w:firstColumn="0" w:lastColumn="0" w:noHBand="0" w:noVBand="0"/>
    </w:tblPr>
    <w:tblGrid>
      <w:gridCol w:w="4320"/>
      <w:gridCol w:w="5040"/>
    </w:tblGrid>
    <w:tr w:rsidR="00F67FC6" w14:paraId="1278D57A" w14:textId="77777777">
      <w:tc>
        <w:tcPr>
          <w:tcW w:w="4320" w:type="dxa"/>
        </w:tcPr>
        <w:p w14:paraId="31EFCC2D" w14:textId="7CAE76C2" w:rsidR="00F67FC6" w:rsidRDefault="00F67FC6" w:rsidP="008A377A">
          <w:pPr>
            <w:pStyle w:val="Footer"/>
            <w:rPr>
              <w:sz w:val="16"/>
            </w:rPr>
          </w:pPr>
          <w:r>
            <w:rPr>
              <w:sz w:val="16"/>
            </w:rPr>
            <w:t xml:space="preserve">Issued: </w:t>
          </w:r>
          <w:r w:rsidR="00CE79F2">
            <w:rPr>
              <w:sz w:val="16"/>
            </w:rPr>
            <w:t xml:space="preserve"> </w:t>
          </w:r>
          <w:r w:rsidR="00EF4170">
            <w:rPr>
              <w:sz w:val="16"/>
            </w:rPr>
            <w:t>May 30, 2017</w:t>
          </w:r>
        </w:p>
        <w:p w14:paraId="5778A7EF" w14:textId="77777777" w:rsidR="00EF77ED" w:rsidRDefault="00EF77ED" w:rsidP="008A377A">
          <w:pPr>
            <w:pStyle w:val="Footer"/>
            <w:rPr>
              <w:sz w:val="16"/>
            </w:rPr>
          </w:pPr>
        </w:p>
      </w:tc>
      <w:tc>
        <w:tcPr>
          <w:tcW w:w="5040" w:type="dxa"/>
        </w:tcPr>
        <w:p w14:paraId="4ACF6C41" w14:textId="4C0EEF08" w:rsidR="00F67FC6" w:rsidRDefault="00F67FC6" w:rsidP="009822D2">
          <w:pPr>
            <w:pStyle w:val="Footer"/>
            <w:ind w:left="1602" w:right="-90"/>
            <w:jc w:val="right"/>
            <w:rPr>
              <w:sz w:val="16"/>
            </w:rPr>
          </w:pPr>
          <w:r>
            <w:rPr>
              <w:sz w:val="16"/>
            </w:rPr>
            <w:t>Effective:</w:t>
          </w:r>
          <w:r w:rsidR="00EF4170">
            <w:rPr>
              <w:sz w:val="16"/>
            </w:rPr>
            <w:t xml:space="preserve">  May 31, 2017</w:t>
          </w:r>
          <w:r w:rsidR="007B31FA">
            <w:rPr>
              <w:sz w:val="16"/>
            </w:rPr>
            <w:t xml:space="preserve"> </w:t>
          </w:r>
          <w:r w:rsidR="00F0274B">
            <w:rPr>
              <w:sz w:val="16"/>
            </w:rPr>
            <w:t xml:space="preserve"> </w:t>
          </w:r>
        </w:p>
      </w:tc>
    </w:tr>
  </w:tbl>
  <w:p w14:paraId="40A27752" w14:textId="77777777" w:rsidR="00F67FC6" w:rsidRDefault="00F67FC6">
    <w:pPr>
      <w:pStyle w:val="Footer"/>
      <w:rPr>
        <w:sz w:val="16"/>
      </w:rPr>
    </w:pPr>
  </w:p>
  <w:p w14:paraId="33C86200" w14:textId="77777777" w:rsidR="00F67FC6" w:rsidRDefault="00F67FC6">
    <w:pPr>
      <w:pStyle w:val="Footer"/>
      <w:jc w:val="center"/>
      <w:rPr>
        <w:sz w:val="16"/>
      </w:rPr>
    </w:pPr>
    <w:r>
      <w:rPr>
        <w:sz w:val="16"/>
      </w:rPr>
      <w:t>Issued By</w:t>
    </w:r>
  </w:p>
  <w:p w14:paraId="29647258" w14:textId="77777777" w:rsidR="00F67FC6" w:rsidRDefault="00EF77ED">
    <w:pPr>
      <w:pStyle w:val="Footer"/>
      <w:jc w:val="center"/>
      <w:rPr>
        <w:szCs w:val="16"/>
      </w:rPr>
    </w:pPr>
    <w:r>
      <w:rPr>
        <w:sz w:val="16"/>
      </w:rPr>
      <w:t>Daniel A. Creekmur</w:t>
    </w:r>
    <w:r w:rsidR="00F67FC6">
      <w:rPr>
        <w:sz w:val="16"/>
      </w:rPr>
      <w:t>,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3CBCD" w14:textId="77777777" w:rsidR="008956C4" w:rsidRDefault="008956C4">
      <w:r>
        <w:separator/>
      </w:r>
    </w:p>
  </w:footnote>
  <w:footnote w:type="continuationSeparator" w:id="0">
    <w:p w14:paraId="28681048" w14:textId="77777777" w:rsidR="008956C4" w:rsidRDefault="00895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F67FC6" w14:paraId="406E4FF3" w14:textId="77777777">
      <w:tc>
        <w:tcPr>
          <w:tcW w:w="4428" w:type="dxa"/>
        </w:tcPr>
        <w:p w14:paraId="7D394F7E" w14:textId="77777777" w:rsidR="00F67FC6" w:rsidRDefault="00F67FC6">
          <w:pPr>
            <w:pStyle w:val="Header"/>
          </w:pPr>
        </w:p>
      </w:tc>
      <w:tc>
        <w:tcPr>
          <w:tcW w:w="4428" w:type="dxa"/>
        </w:tcPr>
        <w:p w14:paraId="1AAB8086" w14:textId="77777777" w:rsidR="00F67FC6" w:rsidRDefault="00F67FC6">
          <w:pPr>
            <w:pStyle w:val="Header"/>
          </w:pPr>
        </w:p>
      </w:tc>
    </w:tr>
  </w:tbl>
  <w:p w14:paraId="62FDEAC0" w14:textId="77777777" w:rsidR="00F67FC6" w:rsidRDefault="00F67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7977" w14:textId="77777777" w:rsidR="00F67FC6" w:rsidRDefault="00F67FC6">
    <w:pPr>
      <w:pStyle w:val="Header"/>
      <w:jc w:val="right"/>
      <w:rPr>
        <w:b/>
        <w:sz w:val="22"/>
      </w:rPr>
    </w:pPr>
    <w:r>
      <w:rPr>
        <w:b/>
        <w:sz w:val="22"/>
      </w:rPr>
      <w:t>Section VII</w:t>
    </w:r>
  </w:p>
  <w:p w14:paraId="23BCCDBB" w14:textId="46603494" w:rsidR="00F67FC6" w:rsidRDefault="009A6525">
    <w:pPr>
      <w:pStyle w:val="Header"/>
      <w:jc w:val="right"/>
      <w:rPr>
        <w:b/>
        <w:sz w:val="22"/>
      </w:rPr>
    </w:pPr>
    <w:r>
      <w:rPr>
        <w:b/>
        <w:sz w:val="22"/>
      </w:rPr>
      <w:t>F</w:t>
    </w:r>
    <w:r w:rsidR="009822D2">
      <w:rPr>
        <w:b/>
        <w:sz w:val="22"/>
      </w:rPr>
      <w:t>ifth</w:t>
    </w:r>
    <w:r w:rsidR="00CE2A2A">
      <w:rPr>
        <w:b/>
        <w:sz w:val="22"/>
      </w:rPr>
      <w:t xml:space="preserve"> </w:t>
    </w:r>
    <w:r w:rsidR="00F67FC6">
      <w:rPr>
        <w:b/>
        <w:sz w:val="22"/>
      </w:rPr>
      <w:t>Revised Sheet No. 12</w:t>
    </w:r>
  </w:p>
  <w:p w14:paraId="1D2D5062" w14:textId="77777777" w:rsidR="00F67FC6" w:rsidRDefault="00F67FC6">
    <w:pPr>
      <w:pStyle w:val="Header"/>
      <w:jc w:val="right"/>
      <w:rPr>
        <w:b/>
        <w:sz w:val="22"/>
      </w:rPr>
    </w:pPr>
    <w:r>
      <w:rPr>
        <w:b/>
        <w:sz w:val="22"/>
      </w:rPr>
      <w:t>Cancels</w:t>
    </w:r>
  </w:p>
  <w:p w14:paraId="6E718415" w14:textId="73CDE083" w:rsidR="00F67FC6" w:rsidRDefault="009822D2">
    <w:pPr>
      <w:pStyle w:val="Header"/>
      <w:jc w:val="right"/>
      <w:rPr>
        <w:b/>
        <w:sz w:val="22"/>
      </w:rPr>
    </w:pPr>
    <w:r>
      <w:rPr>
        <w:b/>
        <w:sz w:val="22"/>
      </w:rPr>
      <w:t>Fourth</w:t>
    </w:r>
    <w:r w:rsidR="00F67FC6">
      <w:rPr>
        <w:b/>
        <w:sz w:val="22"/>
      </w:rPr>
      <w:t xml:space="preserve"> Revised Sheet No. 12</w:t>
    </w:r>
  </w:p>
  <w:tbl>
    <w:tblPr>
      <w:tblW w:w="0" w:type="auto"/>
      <w:tblBorders>
        <w:bottom w:val="single" w:sz="4" w:space="0" w:color="auto"/>
      </w:tblBorders>
      <w:tblLayout w:type="fixed"/>
      <w:tblLook w:val="0000" w:firstRow="0" w:lastRow="0" w:firstColumn="0" w:lastColumn="0" w:noHBand="0" w:noVBand="0"/>
    </w:tblPr>
    <w:tblGrid>
      <w:gridCol w:w="5148"/>
      <w:gridCol w:w="4410"/>
    </w:tblGrid>
    <w:tr w:rsidR="00F67FC6" w14:paraId="567618E3" w14:textId="77777777">
      <w:tc>
        <w:tcPr>
          <w:tcW w:w="5148" w:type="dxa"/>
        </w:tcPr>
        <w:p w14:paraId="13E51A95" w14:textId="77777777" w:rsidR="00F67FC6" w:rsidRDefault="00F67FC6">
          <w:pPr>
            <w:pStyle w:val="Header"/>
            <w:rPr>
              <w:b/>
              <w:sz w:val="22"/>
            </w:rPr>
          </w:pPr>
          <w:r>
            <w:rPr>
              <w:b/>
              <w:sz w:val="22"/>
            </w:rPr>
            <w:t>Columbia Gas of Ohio, Inc.</w:t>
          </w:r>
        </w:p>
      </w:tc>
      <w:tc>
        <w:tcPr>
          <w:tcW w:w="4410" w:type="dxa"/>
        </w:tcPr>
        <w:p w14:paraId="573990D5" w14:textId="77777777" w:rsidR="00F67FC6" w:rsidRDefault="00F67FC6">
          <w:pPr>
            <w:pStyle w:val="Header"/>
            <w:jc w:val="right"/>
            <w:rPr>
              <w:b/>
              <w:sz w:val="22"/>
            </w:rPr>
          </w:pPr>
          <w:r>
            <w:rPr>
              <w:b/>
              <w:sz w:val="22"/>
            </w:rPr>
            <w:t>Page 1</w:t>
          </w:r>
          <w:r w:rsidR="009822D2">
            <w:rPr>
              <w:b/>
              <w:sz w:val="22"/>
            </w:rPr>
            <w:t>a</w:t>
          </w:r>
          <w:r>
            <w:rPr>
              <w:b/>
              <w:sz w:val="22"/>
            </w:rPr>
            <w:t xml:space="preserve"> of 4</w:t>
          </w:r>
        </w:p>
      </w:tc>
    </w:tr>
  </w:tbl>
  <w:p w14:paraId="0BA5B0AF" w14:textId="77777777" w:rsidR="00F67FC6" w:rsidRDefault="00F67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F5E0" w14:textId="77777777" w:rsidR="009822D2" w:rsidRDefault="009822D2">
    <w:pPr>
      <w:pStyle w:val="Header"/>
      <w:jc w:val="right"/>
      <w:rPr>
        <w:b/>
        <w:sz w:val="22"/>
      </w:rPr>
    </w:pPr>
    <w:r>
      <w:rPr>
        <w:b/>
        <w:sz w:val="22"/>
      </w:rPr>
      <w:t>Section VII</w:t>
    </w:r>
  </w:p>
  <w:p w14:paraId="6BE232BE" w14:textId="77777777" w:rsidR="009822D2" w:rsidRDefault="009822D2">
    <w:pPr>
      <w:pStyle w:val="Header"/>
      <w:jc w:val="right"/>
      <w:rPr>
        <w:b/>
        <w:sz w:val="22"/>
      </w:rPr>
    </w:pPr>
    <w:r>
      <w:rPr>
        <w:b/>
        <w:sz w:val="22"/>
      </w:rPr>
      <w:t>Fourth Revised Sheet No. 12</w:t>
    </w:r>
  </w:p>
  <w:p w14:paraId="5FC18ED9" w14:textId="77777777" w:rsidR="009822D2" w:rsidRDefault="009822D2">
    <w:pPr>
      <w:pStyle w:val="Header"/>
      <w:jc w:val="right"/>
      <w:rPr>
        <w:b/>
        <w:sz w:val="22"/>
      </w:rPr>
    </w:pPr>
    <w:r>
      <w:rPr>
        <w:b/>
        <w:sz w:val="22"/>
      </w:rPr>
      <w:t>Cancels</w:t>
    </w:r>
  </w:p>
  <w:p w14:paraId="1F91F3ED" w14:textId="77777777" w:rsidR="009822D2" w:rsidRDefault="009822D2">
    <w:pPr>
      <w:pStyle w:val="Header"/>
      <w:jc w:val="right"/>
      <w:rPr>
        <w:b/>
        <w:sz w:val="22"/>
      </w:rPr>
    </w:pPr>
    <w:r>
      <w:rPr>
        <w:b/>
        <w:sz w:val="22"/>
      </w:rPr>
      <w:t>Third Revised Sheet No. 12</w:t>
    </w:r>
  </w:p>
  <w:tbl>
    <w:tblPr>
      <w:tblW w:w="0" w:type="auto"/>
      <w:tblBorders>
        <w:bottom w:val="single" w:sz="4" w:space="0" w:color="auto"/>
      </w:tblBorders>
      <w:tblLayout w:type="fixed"/>
      <w:tblLook w:val="0000" w:firstRow="0" w:lastRow="0" w:firstColumn="0" w:lastColumn="0" w:noHBand="0" w:noVBand="0"/>
    </w:tblPr>
    <w:tblGrid>
      <w:gridCol w:w="5148"/>
      <w:gridCol w:w="4410"/>
    </w:tblGrid>
    <w:tr w:rsidR="009822D2" w14:paraId="13F640EF" w14:textId="77777777">
      <w:tc>
        <w:tcPr>
          <w:tcW w:w="5148" w:type="dxa"/>
        </w:tcPr>
        <w:p w14:paraId="3D477D73" w14:textId="77777777" w:rsidR="009822D2" w:rsidRDefault="009822D2">
          <w:pPr>
            <w:pStyle w:val="Header"/>
            <w:rPr>
              <w:b/>
              <w:sz w:val="22"/>
            </w:rPr>
          </w:pPr>
          <w:r>
            <w:rPr>
              <w:b/>
              <w:sz w:val="22"/>
            </w:rPr>
            <w:t>Columbia Gas of Ohio, Inc.</w:t>
          </w:r>
        </w:p>
      </w:tc>
      <w:tc>
        <w:tcPr>
          <w:tcW w:w="4410" w:type="dxa"/>
        </w:tcPr>
        <w:p w14:paraId="7AA48103" w14:textId="77777777" w:rsidR="009822D2" w:rsidRDefault="009822D2">
          <w:pPr>
            <w:pStyle w:val="Header"/>
            <w:jc w:val="right"/>
            <w:rPr>
              <w:b/>
              <w:sz w:val="22"/>
            </w:rPr>
          </w:pPr>
          <w:r>
            <w:rPr>
              <w:b/>
              <w:sz w:val="22"/>
            </w:rPr>
            <w:t>Page 1b of 4</w:t>
          </w:r>
        </w:p>
      </w:tc>
    </w:tr>
  </w:tbl>
  <w:p w14:paraId="6925D994" w14:textId="77777777" w:rsidR="009822D2" w:rsidRDefault="00982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60627"/>
    <w:multiLevelType w:val="hybridMultilevel"/>
    <w:tmpl w:val="25B85BE6"/>
    <w:lvl w:ilvl="0" w:tplc="FAC4BB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2577273"/>
    <w:multiLevelType w:val="hybridMultilevel"/>
    <w:tmpl w:val="B2D2ABA4"/>
    <w:lvl w:ilvl="0" w:tplc="33B4C9F8">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468103A3"/>
    <w:multiLevelType w:val="singleLevel"/>
    <w:tmpl w:val="F5766F82"/>
    <w:lvl w:ilvl="0">
      <w:start w:val="1"/>
      <w:numFmt w:val="lowerLetter"/>
      <w:lvlText w:val="%1)"/>
      <w:lvlJc w:val="left"/>
      <w:pPr>
        <w:tabs>
          <w:tab w:val="num" w:pos="1440"/>
        </w:tabs>
        <w:ind w:left="1440" w:hanging="360"/>
      </w:pPr>
      <w:rPr>
        <w:rFonts w:hint="default"/>
        <w:b w:val="0"/>
      </w:rPr>
    </w:lvl>
  </w:abstractNum>
  <w:abstractNum w:abstractNumId="3" w15:restartNumberingAfterBreak="0">
    <w:nsid w:val="5C905B46"/>
    <w:multiLevelType w:val="multilevel"/>
    <w:tmpl w:val="C5165B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F7"/>
    <w:rsid w:val="00071CA7"/>
    <w:rsid w:val="000C6010"/>
    <w:rsid w:val="0010248B"/>
    <w:rsid w:val="00113849"/>
    <w:rsid w:val="001315DE"/>
    <w:rsid w:val="001518E8"/>
    <w:rsid w:val="00176C9C"/>
    <w:rsid w:val="001827A7"/>
    <w:rsid w:val="001B00C2"/>
    <w:rsid w:val="001B6DA7"/>
    <w:rsid w:val="00207174"/>
    <w:rsid w:val="00211E94"/>
    <w:rsid w:val="00264B80"/>
    <w:rsid w:val="00270DD1"/>
    <w:rsid w:val="00296083"/>
    <w:rsid w:val="002C23DB"/>
    <w:rsid w:val="002C76FA"/>
    <w:rsid w:val="003557C0"/>
    <w:rsid w:val="003606DD"/>
    <w:rsid w:val="00363BA5"/>
    <w:rsid w:val="003A26A4"/>
    <w:rsid w:val="003F6AC6"/>
    <w:rsid w:val="00460866"/>
    <w:rsid w:val="004817C3"/>
    <w:rsid w:val="00494077"/>
    <w:rsid w:val="005577AE"/>
    <w:rsid w:val="00565D2D"/>
    <w:rsid w:val="005D5458"/>
    <w:rsid w:val="005E5BA4"/>
    <w:rsid w:val="0062286B"/>
    <w:rsid w:val="00677033"/>
    <w:rsid w:val="006B6FC7"/>
    <w:rsid w:val="006D4054"/>
    <w:rsid w:val="007556F4"/>
    <w:rsid w:val="00767CF5"/>
    <w:rsid w:val="00797121"/>
    <w:rsid w:val="007B31FA"/>
    <w:rsid w:val="00804B24"/>
    <w:rsid w:val="00811E33"/>
    <w:rsid w:val="00875CD3"/>
    <w:rsid w:val="008956C4"/>
    <w:rsid w:val="00896F22"/>
    <w:rsid w:val="008A1081"/>
    <w:rsid w:val="008A377A"/>
    <w:rsid w:val="008A6D76"/>
    <w:rsid w:val="008D098F"/>
    <w:rsid w:val="008E0C50"/>
    <w:rsid w:val="00912A6F"/>
    <w:rsid w:val="0091713B"/>
    <w:rsid w:val="00955A78"/>
    <w:rsid w:val="009578FF"/>
    <w:rsid w:val="00975BF7"/>
    <w:rsid w:val="009822D2"/>
    <w:rsid w:val="009A6525"/>
    <w:rsid w:val="009F5F9C"/>
    <w:rsid w:val="00A674D2"/>
    <w:rsid w:val="00A84E30"/>
    <w:rsid w:val="00AB159B"/>
    <w:rsid w:val="00AD6343"/>
    <w:rsid w:val="00AE6488"/>
    <w:rsid w:val="00B34F12"/>
    <w:rsid w:val="00B3722D"/>
    <w:rsid w:val="00CE2A2A"/>
    <w:rsid w:val="00CE79F2"/>
    <w:rsid w:val="00D209CD"/>
    <w:rsid w:val="00D440BA"/>
    <w:rsid w:val="00D47D3F"/>
    <w:rsid w:val="00D80D0D"/>
    <w:rsid w:val="00D87079"/>
    <w:rsid w:val="00DE4D16"/>
    <w:rsid w:val="00E417DE"/>
    <w:rsid w:val="00E41AA7"/>
    <w:rsid w:val="00ED65C5"/>
    <w:rsid w:val="00EF4170"/>
    <w:rsid w:val="00EF77ED"/>
    <w:rsid w:val="00F0274B"/>
    <w:rsid w:val="00F36299"/>
    <w:rsid w:val="00F51A6C"/>
    <w:rsid w:val="00F662DD"/>
    <w:rsid w:val="00F67FC6"/>
    <w:rsid w:val="00FD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E1683"/>
  <w15:chartTrackingRefBased/>
  <w15:docId w15:val="{F0AE33D1-28AF-4374-99F5-69C1DD6B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
    <w:name w:val="Body Text"/>
    <w:basedOn w:val="Normal"/>
    <w:rPr>
      <w:sz w:val="24"/>
    </w:rPr>
  </w:style>
  <w:style w:type="paragraph" w:styleId="BodyTextIndent2">
    <w:name w:val="Body Text Indent 2"/>
    <w:basedOn w:val="Normal"/>
    <w:pPr>
      <w:suppressAutoHyphens/>
      <w:ind w:left="1050" w:hanging="330"/>
      <w:jc w:val="both"/>
    </w:pPr>
    <w:rPr>
      <w:spacing w:val="-3"/>
      <w:sz w:val="18"/>
    </w:rPr>
  </w:style>
  <w:style w:type="paragraph" w:customStyle="1" w:styleId="A">
    <w:name w:val="(A)"/>
    <w:basedOn w:val="Normal"/>
    <w:pPr>
      <w:ind w:left="1440" w:hanging="720"/>
      <w:jc w:val="both"/>
    </w:pPr>
    <w:rPr>
      <w:rFonts w:ascii="Palatino" w:hAnsi="Palatino"/>
      <w:sz w:val="24"/>
    </w:rPr>
  </w:style>
  <w:style w:type="paragraph" w:customStyle="1" w:styleId="a0">
    <w:name w:val="(a)"/>
    <w:basedOn w:val="Normal"/>
    <w:pPr>
      <w:ind w:left="1800" w:hanging="540"/>
      <w:jc w:val="both"/>
    </w:pPr>
    <w:rPr>
      <w:rFonts w:ascii="Palatino" w:hAnsi="Palatino"/>
      <w:sz w:val="24"/>
    </w:rPr>
  </w:style>
  <w:style w:type="paragraph" w:customStyle="1" w:styleId="noindent">
    <w:name w:val="no indent"/>
    <w:basedOn w:val="Normal"/>
    <w:pPr>
      <w:jc w:val="both"/>
    </w:pPr>
    <w:rPr>
      <w:rFonts w:ascii="Palatino" w:hAnsi="Palatino"/>
      <w:sz w:val="24"/>
    </w:rPr>
  </w:style>
  <w:style w:type="paragraph" w:styleId="TOC1">
    <w:name w:val="toc 1"/>
    <w:basedOn w:val="Normal"/>
    <w:next w:val="Normal"/>
    <w:autoRedefine/>
    <w:semiHidden/>
    <w:pPr>
      <w:ind w:left="720" w:hanging="720"/>
    </w:pPr>
  </w:style>
  <w:style w:type="paragraph" w:styleId="BlockText">
    <w:name w:val="Block Text"/>
    <w:basedOn w:val="Normal"/>
    <w:pPr>
      <w:ind w:left="720" w:right="-450" w:hanging="720"/>
      <w:jc w:val="both"/>
    </w:pPr>
    <w:rPr>
      <w:rFonts w:ascii="Palatino" w:hAnsi="Palatino"/>
      <w:sz w:val="24"/>
    </w:rPr>
  </w:style>
  <w:style w:type="paragraph" w:customStyle="1" w:styleId="1">
    <w:name w:val="(1)"/>
    <w:basedOn w:val="Normal"/>
    <w:pPr>
      <w:ind w:left="1260" w:hanging="540"/>
      <w:jc w:val="both"/>
    </w:pPr>
    <w:rPr>
      <w:rFonts w:ascii="Palatino" w:hAnsi="Palatino"/>
      <w:sz w:val="24"/>
    </w:rPr>
  </w:style>
  <w:style w:type="paragraph" w:customStyle="1" w:styleId="AParg">
    <w:name w:val="(A) Parg."/>
    <w:basedOn w:val="Normal"/>
    <w:pPr>
      <w:ind w:left="540" w:hanging="540"/>
      <w:jc w:val="both"/>
    </w:pPr>
    <w:rPr>
      <w:rFonts w:ascii="Palatino" w:hAnsi="Palatino"/>
    </w:rPr>
  </w:style>
  <w:style w:type="paragraph" w:styleId="BodyText2">
    <w:name w:val="Body Text 2"/>
    <w:basedOn w:val="Normal"/>
    <w:pPr>
      <w:spacing w:after="120" w:line="480" w:lineRule="auto"/>
    </w:pPr>
  </w:style>
  <w:style w:type="paragraph" w:styleId="Title">
    <w:name w:val="Title"/>
    <w:basedOn w:val="Normal"/>
    <w:qFormat/>
    <w:pPr>
      <w:suppressAutoHyphens/>
      <w:jc w:val="center"/>
    </w:pPr>
    <w:rPr>
      <w:b/>
      <w:spacing w:val="-3"/>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E2A2A"/>
    <w:pPr>
      <w:ind w:left="720"/>
    </w:pPr>
  </w:style>
  <w:style w:type="paragraph" w:styleId="Revision">
    <w:name w:val="Revision"/>
    <w:hidden/>
    <w:uiPriority w:val="99"/>
    <w:semiHidden/>
    <w:rsid w:val="008A1081"/>
  </w:style>
  <w:style w:type="character" w:styleId="CommentReference">
    <w:name w:val="annotation reference"/>
    <w:basedOn w:val="DefaultParagraphFont"/>
    <w:rsid w:val="009822D2"/>
    <w:rPr>
      <w:sz w:val="16"/>
      <w:szCs w:val="16"/>
    </w:rPr>
  </w:style>
  <w:style w:type="paragraph" w:styleId="CommentText">
    <w:name w:val="annotation text"/>
    <w:basedOn w:val="Normal"/>
    <w:link w:val="CommentTextChar"/>
    <w:rsid w:val="009822D2"/>
  </w:style>
  <w:style w:type="character" w:customStyle="1" w:styleId="CommentTextChar">
    <w:name w:val="Comment Text Char"/>
    <w:basedOn w:val="DefaultParagraphFont"/>
    <w:link w:val="CommentText"/>
    <w:rsid w:val="009822D2"/>
  </w:style>
  <w:style w:type="paragraph" w:styleId="CommentSubject">
    <w:name w:val="annotation subject"/>
    <w:basedOn w:val="CommentText"/>
    <w:next w:val="CommentText"/>
    <w:link w:val="CommentSubjectChar"/>
    <w:rsid w:val="009822D2"/>
    <w:rPr>
      <w:b/>
      <w:bCs/>
    </w:rPr>
  </w:style>
  <w:style w:type="character" w:customStyle="1" w:styleId="CommentSubjectChar">
    <w:name w:val="Comment Subject Char"/>
    <w:basedOn w:val="CommentTextChar"/>
    <w:link w:val="CommentSubject"/>
    <w:rsid w:val="00982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262333">
      <w:bodyDiv w:val="1"/>
      <w:marLeft w:val="0"/>
      <w:marRight w:val="0"/>
      <w:marTop w:val="0"/>
      <w:marBottom w:val="0"/>
      <w:divBdr>
        <w:top w:val="none" w:sz="0" w:space="0" w:color="auto"/>
        <w:left w:val="none" w:sz="0" w:space="0" w:color="auto"/>
        <w:bottom w:val="none" w:sz="0" w:space="0" w:color="auto"/>
        <w:right w:val="none" w:sz="0" w:space="0" w:color="auto"/>
      </w:divBdr>
    </w:div>
    <w:div w:id="19010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E7B6-7633-4843-875F-B0313B6C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Martin \ Larry \ W</dc:creator>
  <cp:keywords> </cp:keywords>
  <dc:description> </dc:description>
  <cp:lastModifiedBy>Bell \ Melissa \ J</cp:lastModifiedBy>
  <cp:revision>3</cp:revision>
  <cp:lastPrinted>2016-12-20T03:28:00Z</cp:lastPrinted>
  <dcterms:created xsi:type="dcterms:W3CDTF">2017-05-26T19:02:00Z</dcterms:created>
  <dcterms:modified xsi:type="dcterms:W3CDTF">2017-05-30T13:41:00Z</dcterms:modified>
  <cp:category> </cp:category>
</cp:coreProperties>
</file>