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40" w:rsidRPr="00A02A9C" w:rsidRDefault="00047E40" w:rsidP="00047E40">
      <w:pPr>
        <w:spacing w:after="0" w:line="240" w:lineRule="auto"/>
        <w:jc w:val="center"/>
        <w:rPr>
          <w:rFonts w:cs="Times New Roman"/>
          <w:b/>
          <w:sz w:val="26"/>
          <w:szCs w:val="26"/>
        </w:rPr>
      </w:pPr>
      <w:bookmarkStart w:id="0" w:name="_GoBack"/>
      <w:bookmarkEnd w:id="0"/>
      <w:r w:rsidRPr="00A02A9C">
        <w:rPr>
          <w:rFonts w:cs="Times New Roman"/>
          <w:b/>
          <w:sz w:val="26"/>
          <w:szCs w:val="26"/>
        </w:rPr>
        <w:t>BEFORE</w:t>
      </w:r>
    </w:p>
    <w:p w:rsidR="00047E40" w:rsidRPr="00A02A9C" w:rsidRDefault="00047E40" w:rsidP="00047E40">
      <w:pPr>
        <w:spacing w:after="0" w:line="240" w:lineRule="auto"/>
        <w:jc w:val="center"/>
        <w:rPr>
          <w:rFonts w:cs="Times New Roman"/>
          <w:b/>
          <w:sz w:val="26"/>
          <w:szCs w:val="26"/>
        </w:rPr>
      </w:pPr>
      <w:r w:rsidRPr="00A02A9C">
        <w:rPr>
          <w:rFonts w:cs="Times New Roman"/>
          <w:b/>
          <w:sz w:val="26"/>
          <w:szCs w:val="26"/>
        </w:rPr>
        <w:t>THE PUBLIC UTILITIES COMMISSION OF OHIO</w:t>
      </w:r>
    </w:p>
    <w:p w:rsidR="00047E40" w:rsidRPr="00A02A9C" w:rsidRDefault="00047E40" w:rsidP="00047E40">
      <w:pPr>
        <w:rPr>
          <w:rFonts w:cs="Times New Roman"/>
          <w:sz w:val="26"/>
          <w:szCs w:val="26"/>
        </w:rPr>
      </w:pPr>
    </w:p>
    <w:tbl>
      <w:tblPr>
        <w:tblW w:w="8762" w:type="dxa"/>
        <w:tblLook w:val="04A0" w:firstRow="1" w:lastRow="0" w:firstColumn="1" w:lastColumn="0" w:noHBand="0" w:noVBand="1"/>
      </w:tblPr>
      <w:tblGrid>
        <w:gridCol w:w="4518"/>
        <w:gridCol w:w="360"/>
        <w:gridCol w:w="3884"/>
      </w:tblGrid>
      <w:tr w:rsidR="00047E40" w:rsidRPr="00A02A9C" w:rsidTr="002F3B98">
        <w:tc>
          <w:tcPr>
            <w:tcW w:w="4518" w:type="dxa"/>
            <w:shd w:val="clear" w:color="auto" w:fill="auto"/>
          </w:tcPr>
          <w:p w:rsidR="00047E40" w:rsidRPr="00A02A9C" w:rsidRDefault="00047E40" w:rsidP="002F3B98">
            <w:pPr>
              <w:spacing w:after="0" w:line="240" w:lineRule="auto"/>
              <w:rPr>
                <w:rFonts w:cs="Times New Roman"/>
                <w:sz w:val="26"/>
                <w:szCs w:val="26"/>
              </w:rPr>
            </w:pPr>
            <w:r w:rsidRPr="00F93284">
              <w:rPr>
                <w:rFonts w:cs="Times New Roman"/>
                <w:sz w:val="26"/>
                <w:szCs w:val="26"/>
              </w:rPr>
              <w:t xml:space="preserve">In the </w:t>
            </w:r>
            <w:r w:rsidRPr="00A02A9C">
              <w:rPr>
                <w:rFonts w:cs="Times New Roman"/>
                <w:sz w:val="26"/>
                <w:szCs w:val="26"/>
              </w:rPr>
              <w:t>Matter of the Application of Duke Energy Ohio, Inc. for Approval to Implement a Capital Expenditure Program.</w:t>
            </w:r>
          </w:p>
        </w:tc>
        <w:tc>
          <w:tcPr>
            <w:tcW w:w="360" w:type="dxa"/>
          </w:tcPr>
          <w:p w:rsidR="00047E40" w:rsidRPr="00A02A9C" w:rsidRDefault="00047E40" w:rsidP="002F3B98">
            <w:pPr>
              <w:rPr>
                <w:rFonts w:cs="Times New Roman"/>
                <w:sz w:val="26"/>
                <w:szCs w:val="26"/>
              </w:rPr>
            </w:pPr>
            <w:r w:rsidRPr="00A02A9C">
              <w:rPr>
                <w:rFonts w:cs="Times New Roman"/>
                <w:sz w:val="26"/>
                <w:szCs w:val="26"/>
              </w:rPr>
              <w:t>:</w:t>
            </w:r>
            <w:r w:rsidRPr="00A02A9C">
              <w:rPr>
                <w:rFonts w:cs="Times New Roman"/>
                <w:sz w:val="26"/>
                <w:szCs w:val="26"/>
              </w:rPr>
              <w:br/>
              <w:t>:</w:t>
            </w:r>
            <w:r w:rsidRPr="00A02A9C">
              <w:rPr>
                <w:rFonts w:cs="Times New Roman"/>
                <w:sz w:val="26"/>
                <w:szCs w:val="26"/>
              </w:rPr>
              <w:br/>
              <w:t>:</w:t>
            </w:r>
            <w:r w:rsidRPr="00A02A9C">
              <w:rPr>
                <w:rFonts w:cs="Times New Roman"/>
                <w:sz w:val="26"/>
                <w:szCs w:val="26"/>
              </w:rPr>
              <w:br/>
              <w:t>:</w:t>
            </w:r>
          </w:p>
        </w:tc>
        <w:tc>
          <w:tcPr>
            <w:tcW w:w="3884" w:type="dxa"/>
            <w:shd w:val="clear" w:color="auto" w:fill="auto"/>
          </w:tcPr>
          <w:p w:rsidR="00047E40" w:rsidRPr="00A02A9C" w:rsidRDefault="00047E40" w:rsidP="002F3B98">
            <w:pPr>
              <w:spacing w:after="0" w:line="240" w:lineRule="auto"/>
              <w:ind w:left="-288"/>
              <w:rPr>
                <w:rFonts w:cs="Times New Roman"/>
                <w:sz w:val="26"/>
                <w:szCs w:val="26"/>
              </w:rPr>
            </w:pPr>
          </w:p>
          <w:p w:rsidR="00047E40" w:rsidRPr="00A02A9C" w:rsidRDefault="00047E40" w:rsidP="002F3B98">
            <w:pPr>
              <w:spacing w:after="0" w:line="240" w:lineRule="auto"/>
              <w:ind w:left="72"/>
              <w:rPr>
                <w:rFonts w:cs="Times New Roman"/>
                <w:sz w:val="26"/>
                <w:szCs w:val="26"/>
              </w:rPr>
            </w:pPr>
            <w:r w:rsidRPr="00A02A9C">
              <w:rPr>
                <w:rFonts w:cs="Times New Roman"/>
                <w:sz w:val="26"/>
                <w:szCs w:val="26"/>
              </w:rPr>
              <w:t>Case No. 13-2417-GA-UNC</w:t>
            </w:r>
          </w:p>
        </w:tc>
      </w:tr>
      <w:tr w:rsidR="00047E40" w:rsidRPr="00A02A9C" w:rsidTr="002F3B98">
        <w:tc>
          <w:tcPr>
            <w:tcW w:w="4518" w:type="dxa"/>
            <w:shd w:val="clear" w:color="auto" w:fill="auto"/>
          </w:tcPr>
          <w:p w:rsidR="00047E40" w:rsidRPr="00D52E2A" w:rsidRDefault="00047E40" w:rsidP="002F3B98">
            <w:pPr>
              <w:spacing w:after="0" w:line="240" w:lineRule="auto"/>
              <w:rPr>
                <w:rFonts w:cs="Times New Roman"/>
                <w:sz w:val="26"/>
                <w:szCs w:val="26"/>
              </w:rPr>
            </w:pPr>
            <w:r w:rsidRPr="00A02A9C">
              <w:rPr>
                <w:rFonts w:cs="Times New Roman"/>
                <w:sz w:val="26"/>
                <w:szCs w:val="26"/>
              </w:rPr>
              <w:t xml:space="preserve">In the Matter of the Application of Duke Energy Ohio, Inc. </w:t>
            </w:r>
            <w:r w:rsidRPr="00D52E2A">
              <w:rPr>
                <w:rFonts w:cs="Times New Roman"/>
                <w:sz w:val="26"/>
                <w:szCs w:val="26"/>
              </w:rPr>
              <w:t>for Approval to Change Accounting Methods.</w:t>
            </w:r>
          </w:p>
        </w:tc>
        <w:tc>
          <w:tcPr>
            <w:tcW w:w="360" w:type="dxa"/>
          </w:tcPr>
          <w:p w:rsidR="00047E40" w:rsidRPr="00D52E2A" w:rsidRDefault="00047E40" w:rsidP="002F3B98">
            <w:pPr>
              <w:spacing w:after="0" w:line="240" w:lineRule="auto"/>
              <w:rPr>
                <w:rFonts w:cs="Times New Roman"/>
                <w:sz w:val="26"/>
                <w:szCs w:val="26"/>
              </w:rPr>
            </w:pPr>
            <w:r w:rsidRPr="00D52E2A">
              <w:rPr>
                <w:rFonts w:cs="Times New Roman"/>
                <w:sz w:val="26"/>
                <w:szCs w:val="26"/>
              </w:rPr>
              <w:t>:</w:t>
            </w:r>
            <w:r w:rsidRPr="00D52E2A">
              <w:rPr>
                <w:rFonts w:cs="Times New Roman"/>
                <w:sz w:val="26"/>
                <w:szCs w:val="26"/>
              </w:rPr>
              <w:br/>
              <w:t>:</w:t>
            </w:r>
            <w:r w:rsidRPr="00D52E2A">
              <w:rPr>
                <w:rFonts w:cs="Times New Roman"/>
                <w:sz w:val="26"/>
                <w:szCs w:val="26"/>
              </w:rPr>
              <w:br/>
              <w:t>:</w:t>
            </w:r>
            <w:r w:rsidRPr="00D52E2A">
              <w:rPr>
                <w:rFonts w:cs="Times New Roman"/>
                <w:sz w:val="26"/>
                <w:szCs w:val="26"/>
              </w:rPr>
              <w:br/>
              <w:t>:</w:t>
            </w:r>
          </w:p>
        </w:tc>
        <w:tc>
          <w:tcPr>
            <w:tcW w:w="3884" w:type="dxa"/>
            <w:shd w:val="clear" w:color="auto" w:fill="auto"/>
          </w:tcPr>
          <w:p w:rsidR="00047E40" w:rsidRPr="00D52E2A" w:rsidRDefault="00047E40" w:rsidP="002F3B98">
            <w:pPr>
              <w:spacing w:after="0" w:line="240" w:lineRule="auto"/>
              <w:ind w:left="-288"/>
              <w:rPr>
                <w:rFonts w:cs="Times New Roman"/>
                <w:sz w:val="26"/>
                <w:szCs w:val="26"/>
              </w:rPr>
            </w:pPr>
          </w:p>
          <w:p w:rsidR="00047E40" w:rsidRPr="00D52E2A" w:rsidRDefault="00047E40" w:rsidP="002F3B98">
            <w:pPr>
              <w:spacing w:after="0" w:line="240" w:lineRule="auto"/>
              <w:ind w:left="72"/>
              <w:rPr>
                <w:rFonts w:cs="Times New Roman"/>
                <w:sz w:val="26"/>
                <w:szCs w:val="26"/>
              </w:rPr>
            </w:pPr>
            <w:r w:rsidRPr="00D52E2A">
              <w:rPr>
                <w:rFonts w:cs="Times New Roman"/>
                <w:sz w:val="26"/>
                <w:szCs w:val="26"/>
              </w:rPr>
              <w:t>Case No. 13-2418-GA-AAM</w:t>
            </w:r>
          </w:p>
        </w:tc>
      </w:tr>
    </w:tbl>
    <w:p w:rsidR="00047E40" w:rsidRPr="00B4498C" w:rsidRDefault="00047E40" w:rsidP="00047E40">
      <w:pPr>
        <w:rPr>
          <w:sz w:val="26"/>
          <w:szCs w:val="26"/>
        </w:rPr>
      </w:pPr>
    </w:p>
    <w:p w:rsidR="00047E40" w:rsidRPr="00A02A9C" w:rsidRDefault="00047E40" w:rsidP="00047E40">
      <w:pPr>
        <w:tabs>
          <w:tab w:val="left" w:pos="9360"/>
        </w:tabs>
        <w:jc w:val="both"/>
        <w:rPr>
          <w:rFonts w:cs="Times New Roman"/>
          <w:sz w:val="26"/>
          <w:szCs w:val="26"/>
          <w:u w:val="single"/>
        </w:rPr>
      </w:pPr>
      <w:r w:rsidRPr="00A02A9C">
        <w:rPr>
          <w:rFonts w:cs="Times New Roman"/>
          <w:sz w:val="26"/>
          <w:szCs w:val="26"/>
          <w:u w:val="single"/>
        </w:rPr>
        <w:tab/>
      </w:r>
    </w:p>
    <w:p w:rsidR="00047E40" w:rsidRPr="00B4498C" w:rsidRDefault="00047E40" w:rsidP="00047E40">
      <w:pPr>
        <w:spacing w:after="0" w:line="240" w:lineRule="auto"/>
        <w:jc w:val="center"/>
        <w:rPr>
          <w:rFonts w:cs="Times New Roman"/>
          <w:b/>
          <w:sz w:val="26"/>
          <w:szCs w:val="26"/>
        </w:rPr>
      </w:pPr>
      <w:r w:rsidRPr="00B4498C">
        <w:rPr>
          <w:rFonts w:cs="Times New Roman"/>
          <w:b/>
          <w:sz w:val="26"/>
          <w:szCs w:val="26"/>
        </w:rPr>
        <w:t xml:space="preserve">SUR-REPLY COMMENTS </w:t>
      </w:r>
    </w:p>
    <w:p w:rsidR="00047E40" w:rsidRPr="00B76D4F" w:rsidRDefault="00047E40" w:rsidP="00047E40">
      <w:pPr>
        <w:spacing w:after="0" w:line="240" w:lineRule="auto"/>
        <w:jc w:val="center"/>
        <w:rPr>
          <w:rFonts w:cs="Times New Roman"/>
          <w:b/>
          <w:sz w:val="26"/>
          <w:szCs w:val="26"/>
        </w:rPr>
      </w:pPr>
      <w:r w:rsidRPr="00A02A9C">
        <w:rPr>
          <w:rFonts w:cs="Times New Roman"/>
          <w:b/>
          <w:sz w:val="26"/>
          <w:szCs w:val="26"/>
        </w:rPr>
        <w:t>SUBMITTED ON BEHALF OF THE STAFF OF</w:t>
      </w:r>
    </w:p>
    <w:p w:rsidR="00047E40" w:rsidRPr="00D52E2A" w:rsidRDefault="00047E40" w:rsidP="00047E40">
      <w:pPr>
        <w:spacing w:after="0" w:line="240" w:lineRule="auto"/>
        <w:jc w:val="center"/>
        <w:rPr>
          <w:rFonts w:cs="Times New Roman"/>
          <w:sz w:val="26"/>
          <w:szCs w:val="26"/>
        </w:rPr>
      </w:pPr>
      <w:r w:rsidRPr="00D52E2A">
        <w:rPr>
          <w:rFonts w:cs="Times New Roman"/>
          <w:b/>
          <w:sz w:val="26"/>
          <w:szCs w:val="26"/>
        </w:rPr>
        <w:t>THE PUBLIC UTILITIES COMMISSION OF OHIO</w:t>
      </w:r>
    </w:p>
    <w:p w:rsidR="00047E40" w:rsidRPr="00D52E2A" w:rsidRDefault="00047E40" w:rsidP="00047E40">
      <w:pPr>
        <w:tabs>
          <w:tab w:val="left" w:pos="9360"/>
        </w:tabs>
        <w:jc w:val="both"/>
        <w:rPr>
          <w:rFonts w:cs="Times New Roman"/>
          <w:sz w:val="26"/>
          <w:szCs w:val="26"/>
          <w:u w:val="single"/>
        </w:rPr>
      </w:pPr>
      <w:r w:rsidRPr="00D52E2A">
        <w:rPr>
          <w:rFonts w:cs="Times New Roman"/>
          <w:sz w:val="26"/>
          <w:szCs w:val="26"/>
          <w:u w:val="single"/>
        </w:rPr>
        <w:tab/>
      </w:r>
    </w:p>
    <w:p w:rsidR="00047E40" w:rsidRPr="00D52E2A" w:rsidRDefault="00047E40" w:rsidP="00047E40">
      <w:pPr>
        <w:tabs>
          <w:tab w:val="left" w:pos="9360"/>
        </w:tabs>
        <w:jc w:val="both"/>
        <w:rPr>
          <w:rFonts w:cs="Times New Roman"/>
          <w:sz w:val="26"/>
          <w:szCs w:val="26"/>
          <w:u w:val="single"/>
        </w:rPr>
      </w:pPr>
    </w:p>
    <w:p w:rsidR="00047E40" w:rsidRPr="00D52E2A" w:rsidRDefault="00047E40" w:rsidP="00047E40">
      <w:pPr>
        <w:spacing w:after="0" w:line="240" w:lineRule="auto"/>
        <w:ind w:left="4320"/>
        <w:rPr>
          <w:b/>
          <w:sz w:val="26"/>
          <w:szCs w:val="26"/>
        </w:rPr>
      </w:pPr>
      <w:r w:rsidRPr="00D52E2A">
        <w:rPr>
          <w:b/>
          <w:sz w:val="26"/>
          <w:szCs w:val="26"/>
        </w:rPr>
        <w:t xml:space="preserve">Michael DeWine </w:t>
      </w:r>
    </w:p>
    <w:p w:rsidR="00047E40" w:rsidRPr="00D52E2A" w:rsidRDefault="00047E40" w:rsidP="00047E40">
      <w:pPr>
        <w:spacing w:after="0" w:line="240" w:lineRule="auto"/>
        <w:ind w:left="4320"/>
        <w:rPr>
          <w:sz w:val="26"/>
          <w:szCs w:val="26"/>
        </w:rPr>
      </w:pPr>
      <w:r w:rsidRPr="00D52E2A">
        <w:rPr>
          <w:sz w:val="26"/>
          <w:szCs w:val="26"/>
        </w:rPr>
        <w:t>Ohio Attorney General</w:t>
      </w:r>
    </w:p>
    <w:p w:rsidR="00047E40" w:rsidRPr="00D52E2A" w:rsidRDefault="00047E40" w:rsidP="00047E40">
      <w:pPr>
        <w:spacing w:after="0" w:line="240" w:lineRule="auto"/>
        <w:ind w:left="4320"/>
        <w:rPr>
          <w:sz w:val="26"/>
          <w:szCs w:val="26"/>
        </w:rPr>
      </w:pPr>
    </w:p>
    <w:p w:rsidR="00047E40" w:rsidRPr="00D52E2A" w:rsidRDefault="00047E40" w:rsidP="00047E40">
      <w:pPr>
        <w:spacing w:after="0" w:line="240" w:lineRule="auto"/>
        <w:ind w:left="4320"/>
        <w:rPr>
          <w:sz w:val="26"/>
          <w:szCs w:val="26"/>
        </w:rPr>
      </w:pPr>
      <w:r w:rsidRPr="00D52E2A">
        <w:rPr>
          <w:b/>
          <w:sz w:val="26"/>
          <w:szCs w:val="26"/>
        </w:rPr>
        <w:t>William L. Wright</w:t>
      </w:r>
    </w:p>
    <w:p w:rsidR="00047E40" w:rsidRPr="00D52E2A" w:rsidRDefault="00047E40" w:rsidP="00047E40">
      <w:pPr>
        <w:spacing w:after="0" w:line="240" w:lineRule="auto"/>
        <w:ind w:left="4320"/>
        <w:rPr>
          <w:b/>
          <w:sz w:val="26"/>
          <w:szCs w:val="26"/>
        </w:rPr>
      </w:pPr>
      <w:r w:rsidRPr="00D52E2A">
        <w:rPr>
          <w:sz w:val="26"/>
          <w:szCs w:val="26"/>
        </w:rPr>
        <w:t>Section Chief</w:t>
      </w:r>
    </w:p>
    <w:p w:rsidR="00047E40" w:rsidRPr="00D52E2A" w:rsidRDefault="00047E40" w:rsidP="00047E40">
      <w:pPr>
        <w:spacing w:after="0" w:line="240" w:lineRule="auto"/>
        <w:ind w:left="4320"/>
        <w:rPr>
          <w:sz w:val="26"/>
          <w:szCs w:val="26"/>
        </w:rPr>
      </w:pPr>
    </w:p>
    <w:p w:rsidR="00047E40" w:rsidRPr="00A02A9C" w:rsidRDefault="00047E40" w:rsidP="00047E40">
      <w:pPr>
        <w:spacing w:after="0" w:line="240" w:lineRule="auto"/>
        <w:ind w:left="4320"/>
        <w:rPr>
          <w:rFonts w:cs="Times New Roman"/>
          <w:b/>
          <w:sz w:val="26"/>
          <w:szCs w:val="26"/>
        </w:rPr>
      </w:pPr>
      <w:r w:rsidRPr="00A02A9C">
        <w:rPr>
          <w:rFonts w:cs="Times New Roman"/>
          <w:b/>
          <w:sz w:val="26"/>
          <w:szCs w:val="26"/>
        </w:rPr>
        <w:t>Katie L. Johnson</w:t>
      </w:r>
    </w:p>
    <w:p w:rsidR="00047E40" w:rsidRPr="00D52E2A" w:rsidRDefault="00047E40" w:rsidP="00047E40">
      <w:pPr>
        <w:spacing w:after="0" w:line="240" w:lineRule="auto"/>
        <w:ind w:left="4320"/>
        <w:rPr>
          <w:rFonts w:cs="Times New Roman"/>
          <w:sz w:val="26"/>
          <w:szCs w:val="26"/>
        </w:rPr>
      </w:pPr>
      <w:r w:rsidRPr="00D52E2A">
        <w:rPr>
          <w:rFonts w:cs="Times New Roman"/>
          <w:sz w:val="26"/>
          <w:szCs w:val="26"/>
        </w:rPr>
        <w:t>Assistant Attorney General</w:t>
      </w:r>
    </w:p>
    <w:p w:rsidR="00047E40" w:rsidRPr="00D52E2A" w:rsidRDefault="00047E40" w:rsidP="00047E40">
      <w:pPr>
        <w:spacing w:after="0" w:line="240" w:lineRule="auto"/>
        <w:ind w:left="4320"/>
        <w:rPr>
          <w:rFonts w:cs="Times New Roman"/>
          <w:sz w:val="26"/>
          <w:szCs w:val="26"/>
        </w:rPr>
      </w:pPr>
      <w:r w:rsidRPr="00D52E2A">
        <w:rPr>
          <w:rFonts w:cs="Times New Roman"/>
          <w:sz w:val="26"/>
          <w:szCs w:val="26"/>
        </w:rPr>
        <w:t>Public Utilities Section</w:t>
      </w:r>
    </w:p>
    <w:p w:rsidR="00047E40" w:rsidRPr="00D52E2A" w:rsidRDefault="00047E40" w:rsidP="00047E40">
      <w:pPr>
        <w:spacing w:after="0" w:line="240" w:lineRule="auto"/>
        <w:ind w:left="4320"/>
        <w:rPr>
          <w:rFonts w:cs="Times New Roman"/>
          <w:sz w:val="26"/>
          <w:szCs w:val="26"/>
        </w:rPr>
      </w:pPr>
      <w:r w:rsidRPr="00D52E2A">
        <w:rPr>
          <w:rFonts w:cs="Times New Roman"/>
          <w:sz w:val="26"/>
          <w:szCs w:val="26"/>
        </w:rPr>
        <w:t>180 East Broad Street, 6</w:t>
      </w:r>
      <w:r w:rsidRPr="00D52E2A">
        <w:rPr>
          <w:rFonts w:cs="Times New Roman"/>
          <w:sz w:val="26"/>
          <w:szCs w:val="26"/>
          <w:vertAlign w:val="superscript"/>
        </w:rPr>
        <w:t>th</w:t>
      </w:r>
      <w:r w:rsidRPr="00D52E2A">
        <w:rPr>
          <w:rFonts w:cs="Times New Roman"/>
          <w:sz w:val="26"/>
          <w:szCs w:val="26"/>
        </w:rPr>
        <w:t xml:space="preserve"> Floor</w:t>
      </w:r>
    </w:p>
    <w:p w:rsidR="00047E40" w:rsidRPr="00D52E2A" w:rsidRDefault="00047E40" w:rsidP="00047E40">
      <w:pPr>
        <w:spacing w:after="0" w:line="240" w:lineRule="auto"/>
        <w:ind w:left="4320"/>
        <w:rPr>
          <w:rFonts w:cs="Times New Roman"/>
          <w:sz w:val="26"/>
          <w:szCs w:val="26"/>
        </w:rPr>
      </w:pPr>
      <w:r w:rsidRPr="00D52E2A">
        <w:rPr>
          <w:rFonts w:cs="Times New Roman"/>
          <w:sz w:val="26"/>
          <w:szCs w:val="26"/>
        </w:rPr>
        <w:t>Columbus, Ohio  43215</w:t>
      </w:r>
    </w:p>
    <w:p w:rsidR="00047E40" w:rsidRPr="00CA1424" w:rsidRDefault="00047E40" w:rsidP="00047E40">
      <w:pPr>
        <w:spacing w:after="0" w:line="240" w:lineRule="auto"/>
        <w:ind w:left="4320"/>
        <w:rPr>
          <w:rFonts w:cs="Times New Roman"/>
          <w:sz w:val="26"/>
          <w:szCs w:val="26"/>
        </w:rPr>
      </w:pPr>
      <w:r>
        <w:rPr>
          <w:rFonts w:cs="Times New Roman"/>
          <w:sz w:val="26"/>
          <w:szCs w:val="26"/>
        </w:rPr>
        <w:t>614-</w:t>
      </w:r>
      <w:r w:rsidRPr="00CA1424">
        <w:rPr>
          <w:rFonts w:cs="Times New Roman"/>
          <w:sz w:val="26"/>
          <w:szCs w:val="26"/>
        </w:rPr>
        <w:t>644-85</w:t>
      </w:r>
      <w:r>
        <w:rPr>
          <w:rFonts w:cs="Times New Roman"/>
          <w:sz w:val="26"/>
          <w:szCs w:val="26"/>
        </w:rPr>
        <w:t>88 (telephone)</w:t>
      </w:r>
    </w:p>
    <w:p w:rsidR="00047E40" w:rsidRPr="0059760E" w:rsidRDefault="00047E40" w:rsidP="0059760E">
      <w:pPr>
        <w:spacing w:after="0" w:line="240" w:lineRule="auto"/>
        <w:ind w:left="4320"/>
        <w:rPr>
          <w:rFonts w:cs="Times New Roman"/>
          <w:sz w:val="26"/>
          <w:szCs w:val="26"/>
        </w:rPr>
      </w:pPr>
      <w:r>
        <w:rPr>
          <w:rFonts w:cs="Times New Roman"/>
          <w:sz w:val="26"/>
          <w:szCs w:val="26"/>
        </w:rPr>
        <w:t>614-</w:t>
      </w:r>
      <w:r w:rsidRPr="00CA1424">
        <w:rPr>
          <w:rFonts w:cs="Times New Roman"/>
          <w:sz w:val="26"/>
          <w:szCs w:val="26"/>
        </w:rPr>
        <w:t>644-8764</w:t>
      </w:r>
      <w:r>
        <w:rPr>
          <w:rFonts w:cs="Times New Roman"/>
          <w:sz w:val="26"/>
          <w:szCs w:val="26"/>
        </w:rPr>
        <w:t xml:space="preserve"> (facsimile)</w:t>
      </w:r>
    </w:p>
    <w:p w:rsidR="00047E40" w:rsidRDefault="00047E40" w:rsidP="00047E40">
      <w:pPr>
        <w:spacing w:after="0" w:line="240" w:lineRule="auto"/>
        <w:ind w:left="4320"/>
        <w:jc w:val="both"/>
        <w:rPr>
          <w:rStyle w:val="Hyperlink"/>
          <w:sz w:val="26"/>
          <w:szCs w:val="26"/>
        </w:rPr>
      </w:pPr>
      <w:r w:rsidRPr="0059760E">
        <w:rPr>
          <w:rStyle w:val="Hyperlink"/>
          <w:sz w:val="26"/>
          <w:szCs w:val="26"/>
        </w:rPr>
        <w:t xml:space="preserve">katie.johnson@puc.state.oh.us </w:t>
      </w:r>
    </w:p>
    <w:p w:rsidR="0059760E" w:rsidRDefault="0059760E" w:rsidP="0059760E">
      <w:pPr>
        <w:pStyle w:val="NoSpacing"/>
      </w:pPr>
    </w:p>
    <w:p w:rsidR="0059760E" w:rsidRDefault="0059760E" w:rsidP="0059760E">
      <w:pPr>
        <w:pStyle w:val="NoSpacing"/>
      </w:pPr>
    </w:p>
    <w:p w:rsidR="0059760E" w:rsidRPr="0059760E" w:rsidRDefault="0059760E" w:rsidP="0059760E">
      <w:pPr>
        <w:pStyle w:val="NoSpacing"/>
      </w:pPr>
    </w:p>
    <w:p w:rsidR="00047E40" w:rsidRPr="00D52E2A" w:rsidRDefault="00047E40" w:rsidP="00047E40">
      <w:pPr>
        <w:spacing w:after="0" w:line="240" w:lineRule="auto"/>
        <w:ind w:left="4320"/>
        <w:jc w:val="both"/>
        <w:rPr>
          <w:rStyle w:val="Hyperlink"/>
          <w:sz w:val="26"/>
          <w:szCs w:val="26"/>
        </w:rPr>
      </w:pPr>
    </w:p>
    <w:p w:rsidR="00047E40" w:rsidRPr="00D52E2A" w:rsidRDefault="00047E40" w:rsidP="00047E40">
      <w:pPr>
        <w:spacing w:after="0" w:line="240" w:lineRule="auto"/>
        <w:ind w:left="4320"/>
        <w:jc w:val="both"/>
        <w:rPr>
          <w:rStyle w:val="Hyperlink"/>
          <w:sz w:val="26"/>
          <w:szCs w:val="26"/>
        </w:rPr>
      </w:pPr>
    </w:p>
    <w:p w:rsidR="00047E40" w:rsidRPr="00D52E2A" w:rsidRDefault="00047E40" w:rsidP="00047E40">
      <w:pPr>
        <w:jc w:val="both"/>
        <w:rPr>
          <w:rFonts w:cs="Times New Roman"/>
          <w:sz w:val="26"/>
          <w:szCs w:val="26"/>
        </w:rPr>
      </w:pPr>
      <w:r>
        <w:rPr>
          <w:rFonts w:cs="Times New Roman"/>
          <w:sz w:val="26"/>
          <w:szCs w:val="26"/>
        </w:rPr>
        <w:t>Date Submitted: June 26</w:t>
      </w:r>
      <w:r w:rsidRPr="00D52E2A">
        <w:rPr>
          <w:rFonts w:cs="Times New Roman"/>
          <w:sz w:val="26"/>
          <w:szCs w:val="26"/>
        </w:rPr>
        <w:t>, 2014</w:t>
      </w:r>
    </w:p>
    <w:p w:rsidR="00047E40" w:rsidRPr="00A02A9C" w:rsidRDefault="00047E40" w:rsidP="00047E40">
      <w:pPr>
        <w:rPr>
          <w:rFonts w:cs="Times New Roman"/>
          <w:sz w:val="26"/>
          <w:szCs w:val="26"/>
        </w:rPr>
        <w:sectPr w:rsidR="00047E40" w:rsidRPr="00A02A9C" w:rsidSect="00823345">
          <w:pgSz w:w="12240" w:h="15840"/>
          <w:pgMar w:top="1440" w:right="1440" w:bottom="1440" w:left="1440" w:header="720" w:footer="720" w:gutter="0"/>
          <w:cols w:space="720"/>
          <w:titlePg/>
          <w:docGrid w:linePitch="360"/>
        </w:sectPr>
      </w:pPr>
    </w:p>
    <w:p w:rsidR="00047E40" w:rsidRPr="00D52E2A" w:rsidRDefault="00047E40" w:rsidP="00047E40"/>
    <w:p w:rsidR="00047E40" w:rsidRPr="00D52E2A" w:rsidRDefault="00047E40" w:rsidP="00047E40">
      <w:pPr>
        <w:pStyle w:val="TOC1"/>
        <w:rPr>
          <w:rFonts w:asciiTheme="minorHAnsi" w:eastAsiaTheme="minorEastAsia" w:hAnsiTheme="minorHAnsi"/>
          <w:b w:val="0"/>
          <w:noProof/>
          <w:sz w:val="22"/>
        </w:rPr>
      </w:pPr>
      <w:r w:rsidRPr="00D52E2A">
        <w:rPr>
          <w:rFonts w:cs="Times New Roman"/>
          <w:b w:val="0"/>
        </w:rPr>
        <w:fldChar w:fldCharType="begin"/>
      </w:r>
      <w:r w:rsidRPr="00D52E2A">
        <w:rPr>
          <w:rFonts w:cs="Times New Roman"/>
          <w:b w:val="0"/>
        </w:rPr>
        <w:instrText xml:space="preserve"> TOC \o "1-5" \u </w:instrText>
      </w:r>
      <w:r w:rsidRPr="00D52E2A">
        <w:rPr>
          <w:rFonts w:cs="Times New Roman"/>
          <w:b w:val="0"/>
        </w:rPr>
        <w:fldChar w:fldCharType="separate"/>
      </w:r>
      <w:r w:rsidRPr="00D52E2A">
        <w:rPr>
          <w:b w:val="0"/>
          <w:noProof/>
        </w:rPr>
        <w:t>I.</w:t>
      </w:r>
      <w:r w:rsidRPr="00D52E2A">
        <w:rPr>
          <w:rFonts w:asciiTheme="minorHAnsi" w:eastAsiaTheme="minorEastAsia" w:hAnsiTheme="minorHAnsi"/>
          <w:b w:val="0"/>
          <w:noProof/>
          <w:sz w:val="22"/>
        </w:rPr>
        <w:tab/>
      </w:r>
      <w:r w:rsidRPr="00D52E2A">
        <w:rPr>
          <w:b w:val="0"/>
          <w:noProof/>
        </w:rPr>
        <w:t>INTRODUCTION</w:t>
      </w:r>
      <w:r w:rsidRPr="00D52E2A">
        <w:rPr>
          <w:b w:val="0"/>
          <w:noProof/>
        </w:rPr>
        <w:tab/>
      </w:r>
      <w:r w:rsidRPr="00D52E2A">
        <w:rPr>
          <w:b w:val="0"/>
          <w:noProof/>
        </w:rPr>
        <w:fldChar w:fldCharType="begin"/>
      </w:r>
      <w:r w:rsidRPr="00D52E2A">
        <w:rPr>
          <w:b w:val="0"/>
          <w:noProof/>
        </w:rPr>
        <w:instrText xml:space="preserve"> PAGEREF _Toc391017644 \h </w:instrText>
      </w:r>
      <w:r w:rsidRPr="00D52E2A">
        <w:rPr>
          <w:b w:val="0"/>
          <w:noProof/>
        </w:rPr>
      </w:r>
      <w:r w:rsidRPr="00D52E2A">
        <w:rPr>
          <w:b w:val="0"/>
          <w:noProof/>
        </w:rPr>
        <w:fldChar w:fldCharType="separate"/>
      </w:r>
      <w:r w:rsidR="002B177F">
        <w:rPr>
          <w:b w:val="0"/>
          <w:noProof/>
        </w:rPr>
        <w:t>1</w:t>
      </w:r>
      <w:r w:rsidRPr="00D52E2A">
        <w:rPr>
          <w:b w:val="0"/>
          <w:noProof/>
        </w:rPr>
        <w:fldChar w:fldCharType="end"/>
      </w:r>
    </w:p>
    <w:p w:rsidR="00047E40" w:rsidRPr="00D52E2A" w:rsidRDefault="00047E40" w:rsidP="00047E40">
      <w:pPr>
        <w:pStyle w:val="TOC1"/>
        <w:rPr>
          <w:rFonts w:asciiTheme="minorHAnsi" w:eastAsiaTheme="minorEastAsia" w:hAnsiTheme="minorHAnsi"/>
          <w:b w:val="0"/>
          <w:noProof/>
          <w:sz w:val="22"/>
        </w:rPr>
      </w:pPr>
      <w:r w:rsidRPr="00D52E2A">
        <w:rPr>
          <w:b w:val="0"/>
          <w:noProof/>
        </w:rPr>
        <w:t>II.</w:t>
      </w:r>
      <w:r w:rsidRPr="00D52E2A">
        <w:rPr>
          <w:rFonts w:asciiTheme="minorHAnsi" w:eastAsiaTheme="minorEastAsia" w:hAnsiTheme="minorHAnsi"/>
          <w:b w:val="0"/>
          <w:noProof/>
          <w:sz w:val="22"/>
        </w:rPr>
        <w:tab/>
      </w:r>
      <w:r w:rsidRPr="00D52E2A">
        <w:rPr>
          <w:b w:val="0"/>
          <w:noProof/>
        </w:rPr>
        <w:t>STAFF’S SUR-REPLY COMMENTS</w:t>
      </w:r>
      <w:r w:rsidRPr="00D52E2A">
        <w:rPr>
          <w:b w:val="0"/>
          <w:noProof/>
        </w:rPr>
        <w:tab/>
      </w:r>
      <w:r w:rsidRPr="00D52E2A">
        <w:rPr>
          <w:b w:val="0"/>
          <w:noProof/>
        </w:rPr>
        <w:fldChar w:fldCharType="begin"/>
      </w:r>
      <w:r w:rsidRPr="00D52E2A">
        <w:rPr>
          <w:b w:val="0"/>
          <w:noProof/>
        </w:rPr>
        <w:instrText xml:space="preserve"> PAGEREF _Toc391017645 \h </w:instrText>
      </w:r>
      <w:r w:rsidRPr="00D52E2A">
        <w:rPr>
          <w:b w:val="0"/>
          <w:noProof/>
        </w:rPr>
      </w:r>
      <w:r w:rsidRPr="00D52E2A">
        <w:rPr>
          <w:b w:val="0"/>
          <w:noProof/>
        </w:rPr>
        <w:fldChar w:fldCharType="separate"/>
      </w:r>
      <w:r w:rsidR="002B177F">
        <w:rPr>
          <w:b w:val="0"/>
          <w:noProof/>
        </w:rPr>
        <w:t>3</w:t>
      </w:r>
      <w:r w:rsidRPr="00D52E2A">
        <w:rPr>
          <w:b w:val="0"/>
          <w:noProof/>
        </w:rPr>
        <w:fldChar w:fldCharType="end"/>
      </w:r>
    </w:p>
    <w:p w:rsidR="00047E40" w:rsidRPr="00D52E2A" w:rsidRDefault="00047E40" w:rsidP="00047E40">
      <w:pPr>
        <w:pStyle w:val="TOC2"/>
        <w:tabs>
          <w:tab w:val="left" w:pos="1440"/>
        </w:tabs>
        <w:rPr>
          <w:rFonts w:asciiTheme="minorHAnsi" w:eastAsiaTheme="minorEastAsia" w:hAnsiTheme="minorHAnsi"/>
          <w:noProof/>
          <w:sz w:val="22"/>
        </w:rPr>
      </w:pPr>
      <w:r w:rsidRPr="00D52E2A">
        <w:rPr>
          <w:noProof/>
        </w:rPr>
        <w:t>A.</w:t>
      </w:r>
      <w:r w:rsidRPr="00D52E2A">
        <w:rPr>
          <w:rFonts w:asciiTheme="minorHAnsi" w:eastAsiaTheme="minorEastAsia" w:hAnsiTheme="minorHAnsi"/>
          <w:noProof/>
          <w:sz w:val="22"/>
        </w:rPr>
        <w:tab/>
      </w:r>
      <w:r>
        <w:rPr>
          <w:noProof/>
        </w:rPr>
        <w:t>T</w:t>
      </w:r>
      <w:r w:rsidRPr="00D52E2A">
        <w:rPr>
          <w:noProof/>
        </w:rPr>
        <w:t>he $1.50 per month rate cap that the Commission adopted for Columbia, Dominion, and Vectren applies to the cumulative deferrals.</w:t>
      </w:r>
      <w:r w:rsidRPr="00D52E2A">
        <w:rPr>
          <w:noProof/>
        </w:rPr>
        <w:tab/>
      </w:r>
      <w:r w:rsidRPr="00D52E2A">
        <w:rPr>
          <w:noProof/>
        </w:rPr>
        <w:fldChar w:fldCharType="begin"/>
      </w:r>
      <w:r w:rsidRPr="00D52E2A">
        <w:rPr>
          <w:noProof/>
        </w:rPr>
        <w:instrText xml:space="preserve"> PAGEREF _Toc391017646 \h </w:instrText>
      </w:r>
      <w:r w:rsidRPr="00D52E2A">
        <w:rPr>
          <w:noProof/>
        </w:rPr>
      </w:r>
      <w:r w:rsidRPr="00D52E2A">
        <w:rPr>
          <w:noProof/>
        </w:rPr>
        <w:fldChar w:fldCharType="separate"/>
      </w:r>
      <w:r w:rsidR="002B177F">
        <w:rPr>
          <w:noProof/>
        </w:rPr>
        <w:t>3</w:t>
      </w:r>
      <w:r w:rsidRPr="00D52E2A">
        <w:rPr>
          <w:noProof/>
        </w:rPr>
        <w:fldChar w:fldCharType="end"/>
      </w:r>
    </w:p>
    <w:p w:rsidR="00047E40" w:rsidRPr="00D52E2A" w:rsidRDefault="00047E40" w:rsidP="00047E40">
      <w:pPr>
        <w:pStyle w:val="TOC2"/>
        <w:tabs>
          <w:tab w:val="left" w:pos="1440"/>
        </w:tabs>
        <w:rPr>
          <w:rFonts w:asciiTheme="minorHAnsi" w:eastAsiaTheme="minorEastAsia" w:hAnsiTheme="minorHAnsi"/>
          <w:noProof/>
          <w:sz w:val="22"/>
        </w:rPr>
      </w:pPr>
      <w:r w:rsidRPr="00D52E2A">
        <w:rPr>
          <w:noProof/>
        </w:rPr>
        <w:t>B.</w:t>
      </w:r>
      <w:r w:rsidRPr="00D52E2A">
        <w:rPr>
          <w:rFonts w:asciiTheme="minorHAnsi" w:eastAsiaTheme="minorEastAsia" w:hAnsiTheme="minorHAnsi"/>
          <w:noProof/>
          <w:sz w:val="22"/>
        </w:rPr>
        <w:tab/>
      </w:r>
      <w:r w:rsidRPr="00D52E2A">
        <w:rPr>
          <w:noProof/>
        </w:rPr>
        <w:t>Duke’s suggestion that it would be inconsistent for the Commission to institute the same $1.50 per month rate cap that it adopted for the other gas utilities because its IT-CEP involves capital expenditures on IT assets with relatively short depreciation lives compared to the assets of the other utilities is misplaced. Two of the other utilities expressly include annual IT expenditures in their CEP that are greater than the annual amounts proposed in Duke’s IT-CEP.</w:t>
      </w:r>
      <w:r w:rsidRPr="00D52E2A">
        <w:rPr>
          <w:noProof/>
        </w:rPr>
        <w:tab/>
      </w:r>
      <w:r>
        <w:rPr>
          <w:noProof/>
        </w:rPr>
        <w:t>5</w:t>
      </w:r>
    </w:p>
    <w:p w:rsidR="00047E40" w:rsidRPr="00D52E2A" w:rsidRDefault="00047E40" w:rsidP="00047E40">
      <w:pPr>
        <w:pStyle w:val="TOC1"/>
        <w:rPr>
          <w:rFonts w:asciiTheme="minorHAnsi" w:eastAsiaTheme="minorEastAsia" w:hAnsiTheme="minorHAnsi"/>
          <w:b w:val="0"/>
          <w:noProof/>
          <w:sz w:val="22"/>
        </w:rPr>
      </w:pPr>
      <w:r w:rsidRPr="00D52E2A">
        <w:rPr>
          <w:b w:val="0"/>
          <w:noProof/>
        </w:rPr>
        <w:t>III.</w:t>
      </w:r>
      <w:r w:rsidRPr="00D52E2A">
        <w:rPr>
          <w:rFonts w:asciiTheme="minorHAnsi" w:eastAsiaTheme="minorEastAsia" w:hAnsiTheme="minorHAnsi"/>
          <w:b w:val="0"/>
          <w:noProof/>
          <w:sz w:val="22"/>
        </w:rPr>
        <w:tab/>
      </w:r>
      <w:r w:rsidRPr="00D52E2A">
        <w:rPr>
          <w:b w:val="0"/>
          <w:noProof/>
        </w:rPr>
        <w:t>CONCLUSION</w:t>
      </w:r>
      <w:r w:rsidRPr="00D52E2A">
        <w:rPr>
          <w:b w:val="0"/>
          <w:noProof/>
        </w:rPr>
        <w:tab/>
      </w:r>
      <w:r>
        <w:rPr>
          <w:b w:val="0"/>
          <w:noProof/>
        </w:rPr>
        <w:t>7</w:t>
      </w:r>
    </w:p>
    <w:p w:rsidR="00047E40" w:rsidRPr="00D52E2A" w:rsidRDefault="00047E40" w:rsidP="00047E40">
      <w:pPr>
        <w:pStyle w:val="TOC1"/>
        <w:rPr>
          <w:rFonts w:asciiTheme="minorHAnsi" w:eastAsiaTheme="minorEastAsia" w:hAnsiTheme="minorHAnsi"/>
          <w:b w:val="0"/>
          <w:noProof/>
          <w:sz w:val="22"/>
        </w:rPr>
      </w:pPr>
      <w:r w:rsidRPr="00D52E2A">
        <w:rPr>
          <w:b w:val="0"/>
          <w:noProof/>
        </w:rPr>
        <w:t>IV.</w:t>
      </w:r>
      <w:r w:rsidRPr="00D52E2A">
        <w:rPr>
          <w:rFonts w:asciiTheme="minorHAnsi" w:eastAsiaTheme="minorEastAsia" w:hAnsiTheme="minorHAnsi"/>
          <w:b w:val="0"/>
          <w:noProof/>
          <w:sz w:val="22"/>
        </w:rPr>
        <w:tab/>
      </w:r>
      <w:r w:rsidRPr="00D52E2A">
        <w:rPr>
          <w:b w:val="0"/>
          <w:noProof/>
        </w:rPr>
        <w:t>CERTIFICATE OF SERVICE</w:t>
      </w:r>
      <w:r w:rsidRPr="00D52E2A">
        <w:rPr>
          <w:b w:val="0"/>
          <w:noProof/>
        </w:rPr>
        <w:tab/>
      </w:r>
      <w:r>
        <w:rPr>
          <w:b w:val="0"/>
          <w:noProof/>
        </w:rPr>
        <w:t>9</w:t>
      </w:r>
    </w:p>
    <w:p w:rsidR="00047E40" w:rsidRPr="00A02A9C" w:rsidRDefault="00047E40" w:rsidP="00047E40">
      <w:pPr>
        <w:rPr>
          <w:rFonts w:cs="Times New Roman"/>
          <w:b/>
          <w:sz w:val="26"/>
          <w:szCs w:val="26"/>
        </w:rPr>
        <w:sectPr w:rsidR="00047E40" w:rsidRPr="00A02A9C" w:rsidSect="00823345">
          <w:headerReference w:type="default" r:id="rId8"/>
          <w:footerReference w:type="default" r:id="rId9"/>
          <w:pgSz w:w="12240" w:h="15840"/>
          <w:pgMar w:top="1440" w:right="1440" w:bottom="1440" w:left="1440" w:header="720" w:footer="720" w:gutter="0"/>
          <w:pgNumType w:fmt="lowerRoman" w:start="1"/>
          <w:cols w:space="720"/>
          <w:docGrid w:linePitch="360"/>
        </w:sectPr>
      </w:pPr>
      <w:r w:rsidRPr="00D52E2A">
        <w:rPr>
          <w:rFonts w:cs="Times New Roman"/>
          <w:sz w:val="26"/>
          <w:szCs w:val="26"/>
        </w:rPr>
        <w:fldChar w:fldCharType="end"/>
      </w:r>
    </w:p>
    <w:p w:rsidR="00047E40" w:rsidRPr="00A02A9C" w:rsidRDefault="00047E40" w:rsidP="00047E40">
      <w:pPr>
        <w:spacing w:after="0" w:line="240" w:lineRule="auto"/>
        <w:jc w:val="center"/>
        <w:rPr>
          <w:rFonts w:cs="Times New Roman"/>
          <w:b/>
          <w:sz w:val="26"/>
          <w:szCs w:val="26"/>
        </w:rPr>
      </w:pPr>
      <w:r w:rsidRPr="00A02A9C">
        <w:rPr>
          <w:rFonts w:cs="Times New Roman"/>
          <w:b/>
          <w:sz w:val="26"/>
          <w:szCs w:val="26"/>
        </w:rPr>
        <w:lastRenderedPageBreak/>
        <w:t>BEFORE</w:t>
      </w:r>
    </w:p>
    <w:p w:rsidR="00047E40" w:rsidRPr="00D52E2A" w:rsidRDefault="00047E40" w:rsidP="00047E40">
      <w:pPr>
        <w:spacing w:after="0" w:line="240" w:lineRule="auto"/>
        <w:jc w:val="center"/>
        <w:rPr>
          <w:rFonts w:cs="Times New Roman"/>
          <w:b/>
          <w:sz w:val="26"/>
          <w:szCs w:val="26"/>
        </w:rPr>
      </w:pPr>
      <w:r w:rsidRPr="00D52E2A">
        <w:rPr>
          <w:rFonts w:cs="Times New Roman"/>
          <w:b/>
          <w:sz w:val="26"/>
          <w:szCs w:val="26"/>
        </w:rPr>
        <w:t>THE PUBLIC UTILITIES COMMISSION OF OHIO</w:t>
      </w:r>
    </w:p>
    <w:p w:rsidR="00047E40" w:rsidRPr="00D52E2A" w:rsidRDefault="00047E40" w:rsidP="00047E40">
      <w:pPr>
        <w:rPr>
          <w:rFonts w:cs="Times New Roman"/>
          <w:sz w:val="26"/>
          <w:szCs w:val="26"/>
        </w:rPr>
      </w:pPr>
    </w:p>
    <w:tbl>
      <w:tblPr>
        <w:tblW w:w="8762" w:type="dxa"/>
        <w:tblLook w:val="04A0" w:firstRow="1" w:lastRow="0" w:firstColumn="1" w:lastColumn="0" w:noHBand="0" w:noVBand="1"/>
      </w:tblPr>
      <w:tblGrid>
        <w:gridCol w:w="4518"/>
        <w:gridCol w:w="360"/>
        <w:gridCol w:w="3884"/>
      </w:tblGrid>
      <w:tr w:rsidR="00047E40" w:rsidRPr="00A02A9C" w:rsidTr="002F3B98">
        <w:tc>
          <w:tcPr>
            <w:tcW w:w="4518" w:type="dxa"/>
            <w:shd w:val="clear" w:color="auto" w:fill="auto"/>
          </w:tcPr>
          <w:p w:rsidR="00047E40" w:rsidRPr="00D52E2A" w:rsidRDefault="00047E40" w:rsidP="002F3B98">
            <w:pPr>
              <w:spacing w:after="0" w:line="240" w:lineRule="auto"/>
              <w:rPr>
                <w:rFonts w:cs="Times New Roman"/>
                <w:sz w:val="26"/>
                <w:szCs w:val="26"/>
              </w:rPr>
            </w:pPr>
            <w:r w:rsidRPr="00D52E2A">
              <w:rPr>
                <w:rFonts w:cs="Times New Roman"/>
                <w:sz w:val="26"/>
                <w:szCs w:val="26"/>
              </w:rPr>
              <w:t>In the Matter of the Application of Duke Energy Ohio, Inc. for Approval to Implement a Capital Expenditure Program.</w:t>
            </w:r>
          </w:p>
        </w:tc>
        <w:tc>
          <w:tcPr>
            <w:tcW w:w="360" w:type="dxa"/>
          </w:tcPr>
          <w:p w:rsidR="00047E40" w:rsidRPr="00D52E2A" w:rsidRDefault="00047E40" w:rsidP="002F3B98">
            <w:pPr>
              <w:rPr>
                <w:rFonts w:cs="Times New Roman"/>
                <w:sz w:val="26"/>
                <w:szCs w:val="26"/>
              </w:rPr>
            </w:pPr>
            <w:r w:rsidRPr="00D52E2A">
              <w:rPr>
                <w:rFonts w:cs="Times New Roman"/>
                <w:sz w:val="26"/>
                <w:szCs w:val="26"/>
              </w:rPr>
              <w:t>:</w:t>
            </w:r>
            <w:r w:rsidRPr="00D52E2A">
              <w:rPr>
                <w:rFonts w:cs="Times New Roman"/>
                <w:sz w:val="26"/>
                <w:szCs w:val="26"/>
              </w:rPr>
              <w:br/>
              <w:t>:</w:t>
            </w:r>
            <w:r w:rsidRPr="00D52E2A">
              <w:rPr>
                <w:rFonts w:cs="Times New Roman"/>
                <w:sz w:val="26"/>
                <w:szCs w:val="26"/>
              </w:rPr>
              <w:br/>
              <w:t>:</w:t>
            </w:r>
            <w:r w:rsidRPr="00D52E2A">
              <w:rPr>
                <w:rFonts w:cs="Times New Roman"/>
                <w:sz w:val="26"/>
                <w:szCs w:val="26"/>
              </w:rPr>
              <w:br/>
              <w:t>:</w:t>
            </w:r>
          </w:p>
        </w:tc>
        <w:tc>
          <w:tcPr>
            <w:tcW w:w="3884" w:type="dxa"/>
            <w:shd w:val="clear" w:color="auto" w:fill="auto"/>
          </w:tcPr>
          <w:p w:rsidR="00047E40" w:rsidRPr="00D52E2A" w:rsidRDefault="00047E40" w:rsidP="002F3B98">
            <w:pPr>
              <w:spacing w:after="0" w:line="240" w:lineRule="auto"/>
              <w:ind w:left="-288"/>
              <w:rPr>
                <w:rFonts w:cs="Times New Roman"/>
                <w:sz w:val="26"/>
                <w:szCs w:val="26"/>
              </w:rPr>
            </w:pPr>
          </w:p>
          <w:p w:rsidR="00047E40" w:rsidRPr="00086785" w:rsidRDefault="00047E40" w:rsidP="002F3B98">
            <w:pPr>
              <w:spacing w:after="0" w:line="240" w:lineRule="auto"/>
              <w:ind w:left="72"/>
              <w:rPr>
                <w:rFonts w:cs="Times New Roman"/>
                <w:sz w:val="26"/>
                <w:szCs w:val="26"/>
              </w:rPr>
            </w:pPr>
            <w:r w:rsidRPr="00086785">
              <w:rPr>
                <w:rFonts w:cs="Times New Roman"/>
                <w:sz w:val="26"/>
                <w:szCs w:val="26"/>
              </w:rPr>
              <w:t>Case No. 13-2417-GA-UNC</w:t>
            </w:r>
          </w:p>
        </w:tc>
      </w:tr>
      <w:tr w:rsidR="00047E40" w:rsidRPr="00A02A9C" w:rsidTr="002F3B98">
        <w:tc>
          <w:tcPr>
            <w:tcW w:w="4518" w:type="dxa"/>
            <w:shd w:val="clear" w:color="auto" w:fill="auto"/>
          </w:tcPr>
          <w:p w:rsidR="00047E40" w:rsidRPr="00D52E2A" w:rsidRDefault="00047E40" w:rsidP="002F3B98">
            <w:pPr>
              <w:spacing w:after="0" w:line="240" w:lineRule="auto"/>
              <w:rPr>
                <w:rFonts w:cs="Times New Roman"/>
                <w:sz w:val="26"/>
                <w:szCs w:val="26"/>
              </w:rPr>
            </w:pPr>
            <w:r w:rsidRPr="00A02A9C">
              <w:rPr>
                <w:rFonts w:cs="Times New Roman"/>
                <w:sz w:val="26"/>
                <w:szCs w:val="26"/>
              </w:rPr>
              <w:t xml:space="preserve">In the Matter of the Application of Duke Energy Ohio, Inc. </w:t>
            </w:r>
            <w:r w:rsidRPr="00D52E2A">
              <w:rPr>
                <w:rFonts w:cs="Times New Roman"/>
                <w:sz w:val="26"/>
                <w:szCs w:val="26"/>
              </w:rPr>
              <w:t>for Approval to Change Accounting Methods.</w:t>
            </w:r>
          </w:p>
        </w:tc>
        <w:tc>
          <w:tcPr>
            <w:tcW w:w="360" w:type="dxa"/>
          </w:tcPr>
          <w:p w:rsidR="00047E40" w:rsidRPr="00D52E2A" w:rsidRDefault="00047E40" w:rsidP="002F3B98">
            <w:pPr>
              <w:spacing w:after="0" w:line="240" w:lineRule="auto"/>
              <w:rPr>
                <w:rFonts w:cs="Times New Roman"/>
                <w:sz w:val="26"/>
                <w:szCs w:val="26"/>
              </w:rPr>
            </w:pPr>
            <w:r w:rsidRPr="00D52E2A">
              <w:rPr>
                <w:rFonts w:cs="Times New Roman"/>
                <w:sz w:val="26"/>
                <w:szCs w:val="26"/>
              </w:rPr>
              <w:t>:</w:t>
            </w:r>
            <w:r w:rsidRPr="00D52E2A">
              <w:rPr>
                <w:rFonts w:cs="Times New Roman"/>
                <w:sz w:val="26"/>
                <w:szCs w:val="26"/>
              </w:rPr>
              <w:br/>
              <w:t>:</w:t>
            </w:r>
            <w:r w:rsidRPr="00D52E2A">
              <w:rPr>
                <w:rFonts w:cs="Times New Roman"/>
                <w:sz w:val="26"/>
                <w:szCs w:val="26"/>
              </w:rPr>
              <w:br/>
              <w:t>:</w:t>
            </w:r>
            <w:r w:rsidRPr="00D52E2A">
              <w:rPr>
                <w:rFonts w:cs="Times New Roman"/>
                <w:sz w:val="26"/>
                <w:szCs w:val="26"/>
              </w:rPr>
              <w:br/>
              <w:t>:</w:t>
            </w:r>
          </w:p>
        </w:tc>
        <w:tc>
          <w:tcPr>
            <w:tcW w:w="3884" w:type="dxa"/>
            <w:shd w:val="clear" w:color="auto" w:fill="auto"/>
          </w:tcPr>
          <w:p w:rsidR="00047E40" w:rsidRPr="00D52E2A" w:rsidRDefault="00047E40" w:rsidP="002F3B98">
            <w:pPr>
              <w:spacing w:after="0" w:line="240" w:lineRule="auto"/>
              <w:ind w:left="-288"/>
              <w:rPr>
                <w:rFonts w:cs="Times New Roman"/>
                <w:sz w:val="26"/>
                <w:szCs w:val="26"/>
              </w:rPr>
            </w:pPr>
          </w:p>
          <w:p w:rsidR="00047E40" w:rsidRPr="00D52E2A" w:rsidRDefault="00047E40" w:rsidP="002F3B98">
            <w:pPr>
              <w:spacing w:after="0" w:line="240" w:lineRule="auto"/>
              <w:ind w:left="72"/>
              <w:rPr>
                <w:rFonts w:cs="Times New Roman"/>
                <w:sz w:val="26"/>
                <w:szCs w:val="26"/>
              </w:rPr>
            </w:pPr>
            <w:r w:rsidRPr="00D52E2A">
              <w:rPr>
                <w:rFonts w:cs="Times New Roman"/>
                <w:sz w:val="26"/>
                <w:szCs w:val="26"/>
              </w:rPr>
              <w:t>Case No. 13-2418-GA-AAM</w:t>
            </w:r>
          </w:p>
        </w:tc>
      </w:tr>
    </w:tbl>
    <w:p w:rsidR="00047E40" w:rsidRPr="00A02A9C" w:rsidRDefault="00047E40" w:rsidP="00047E40">
      <w:pPr>
        <w:tabs>
          <w:tab w:val="left" w:pos="9360"/>
        </w:tabs>
        <w:jc w:val="both"/>
        <w:rPr>
          <w:rFonts w:cs="Times New Roman"/>
          <w:sz w:val="26"/>
          <w:szCs w:val="26"/>
          <w:u w:val="single"/>
        </w:rPr>
      </w:pPr>
      <w:r w:rsidRPr="00A02A9C">
        <w:rPr>
          <w:rFonts w:cs="Times New Roman"/>
          <w:sz w:val="26"/>
          <w:szCs w:val="26"/>
          <w:u w:val="single"/>
        </w:rPr>
        <w:tab/>
      </w:r>
    </w:p>
    <w:p w:rsidR="00047E40" w:rsidRPr="00B4498C" w:rsidRDefault="00047E40" w:rsidP="00047E40">
      <w:pPr>
        <w:spacing w:after="0" w:line="240" w:lineRule="auto"/>
        <w:jc w:val="center"/>
        <w:rPr>
          <w:rFonts w:cs="Times New Roman"/>
          <w:b/>
          <w:sz w:val="26"/>
          <w:szCs w:val="26"/>
        </w:rPr>
      </w:pPr>
      <w:r w:rsidRPr="00B4498C">
        <w:rPr>
          <w:rFonts w:cs="Times New Roman"/>
          <w:b/>
          <w:sz w:val="26"/>
          <w:szCs w:val="26"/>
        </w:rPr>
        <w:t xml:space="preserve">SUR-REPLY COMMENTS </w:t>
      </w:r>
    </w:p>
    <w:p w:rsidR="00047E40" w:rsidRPr="007A56F9" w:rsidRDefault="00047E40" w:rsidP="00047E40">
      <w:pPr>
        <w:spacing w:after="0" w:line="240" w:lineRule="auto"/>
        <w:jc w:val="center"/>
        <w:rPr>
          <w:rFonts w:cs="Times New Roman"/>
          <w:b/>
          <w:sz w:val="26"/>
          <w:szCs w:val="26"/>
        </w:rPr>
      </w:pPr>
      <w:r w:rsidRPr="00A02A9C">
        <w:rPr>
          <w:rFonts w:cs="Times New Roman"/>
          <w:b/>
          <w:sz w:val="26"/>
          <w:szCs w:val="26"/>
        </w:rPr>
        <w:t>SUBMITTED ON BEHALF OF</w:t>
      </w:r>
      <w:r w:rsidRPr="00B76D4F">
        <w:rPr>
          <w:rFonts w:cs="Times New Roman"/>
          <w:b/>
          <w:sz w:val="26"/>
          <w:szCs w:val="26"/>
        </w:rPr>
        <w:t xml:space="preserve"> THE STAFF OF</w:t>
      </w:r>
    </w:p>
    <w:p w:rsidR="00047E40" w:rsidRPr="00D52E2A" w:rsidRDefault="00047E40" w:rsidP="00047E40">
      <w:pPr>
        <w:spacing w:after="0" w:line="240" w:lineRule="auto"/>
        <w:jc w:val="center"/>
        <w:rPr>
          <w:rFonts w:cs="Times New Roman"/>
          <w:sz w:val="26"/>
          <w:szCs w:val="26"/>
        </w:rPr>
      </w:pPr>
      <w:r w:rsidRPr="00D52E2A">
        <w:rPr>
          <w:rFonts w:cs="Times New Roman"/>
          <w:b/>
          <w:sz w:val="26"/>
          <w:szCs w:val="26"/>
        </w:rPr>
        <w:t>THE PUBLIC UTILITIES COMMISSION OF OHIO</w:t>
      </w:r>
    </w:p>
    <w:p w:rsidR="00047E40" w:rsidRPr="00D52E2A" w:rsidRDefault="00047E40" w:rsidP="00047E40">
      <w:pPr>
        <w:tabs>
          <w:tab w:val="left" w:pos="9360"/>
        </w:tabs>
        <w:jc w:val="both"/>
        <w:rPr>
          <w:rFonts w:cs="Times New Roman"/>
          <w:sz w:val="26"/>
          <w:szCs w:val="26"/>
          <w:u w:val="single"/>
        </w:rPr>
      </w:pPr>
      <w:r w:rsidRPr="00D52E2A">
        <w:rPr>
          <w:rFonts w:cs="Times New Roman"/>
          <w:sz w:val="26"/>
          <w:szCs w:val="26"/>
          <w:u w:val="single"/>
        </w:rPr>
        <w:tab/>
      </w:r>
    </w:p>
    <w:p w:rsidR="00047E40" w:rsidRPr="00B4498C" w:rsidRDefault="00047E40" w:rsidP="00047E40">
      <w:pPr>
        <w:pStyle w:val="Heading1"/>
        <w:rPr>
          <w:sz w:val="26"/>
          <w:szCs w:val="26"/>
        </w:rPr>
      </w:pPr>
      <w:bookmarkStart w:id="1" w:name="_Toc391017644"/>
      <w:r w:rsidRPr="00B4498C">
        <w:rPr>
          <w:sz w:val="26"/>
          <w:szCs w:val="26"/>
        </w:rPr>
        <w:t>INTRODUCTION</w:t>
      </w:r>
      <w:bookmarkEnd w:id="1"/>
      <w:r w:rsidRPr="00B4498C">
        <w:rPr>
          <w:sz w:val="26"/>
          <w:szCs w:val="26"/>
        </w:rPr>
        <w:t xml:space="preserve"> </w:t>
      </w:r>
    </w:p>
    <w:p w:rsidR="00047E40" w:rsidRPr="00086785" w:rsidRDefault="00047E40" w:rsidP="005C407B">
      <w:pPr>
        <w:pStyle w:val="textstyle"/>
      </w:pPr>
      <w:r w:rsidRPr="00A02A9C">
        <w:tab/>
        <w:t xml:space="preserve">On </w:t>
      </w:r>
      <w:r w:rsidRPr="00B76D4F">
        <w:t>December</w:t>
      </w:r>
      <w:r w:rsidRPr="007A56F9">
        <w:t xml:space="preserve"> 2</w:t>
      </w:r>
      <w:r w:rsidRPr="00CA1424">
        <w:t>0, 2013</w:t>
      </w:r>
      <w:r w:rsidRPr="00A74FF5">
        <w:t xml:space="preserve">, </w:t>
      </w:r>
      <w:r w:rsidRPr="00D52E2A">
        <w:t>Duke Energy Ohio, Inc. (Duke or Company) filed an application for authority to implement an information and technology capital expendi</w:t>
      </w:r>
      <w:r w:rsidRPr="00D52E2A">
        <w:softHyphen/>
        <w:t>ture program (IT-CEP) and for approval to change accounting methods</w:t>
      </w:r>
      <w:r w:rsidRPr="008F0510">
        <w:t xml:space="preserve"> in the dockets listed above</w:t>
      </w:r>
      <w:r w:rsidRPr="00086785">
        <w:t>.  Duke is seeking the Commission’s approval to create and maintain the IT-CEP</w:t>
      </w:r>
      <w:r w:rsidRPr="008B7899">
        <w:t xml:space="preserve"> for a five year period beginning in 2013 and ending in approximately 2018.  Pursuant to the Attorney Examiner’s March 1</w:t>
      </w:r>
      <w:r w:rsidRPr="00A02A9C">
        <w:t>4, 2014 Entry in th</w:t>
      </w:r>
      <w:r>
        <w:t>is case</w:t>
      </w:r>
      <w:r w:rsidRPr="00823345">
        <w:t xml:space="preserve">, </w:t>
      </w:r>
      <w:r w:rsidRPr="00CB6C65">
        <w:t xml:space="preserve">the Staff filed comments on Duke’s Application (Staff Comments) </w:t>
      </w:r>
      <w:r w:rsidRPr="00086785">
        <w:t xml:space="preserve">on May 2, 2014 and </w:t>
      </w:r>
      <w:r w:rsidRPr="00CB6C65">
        <w:t xml:space="preserve">Duke filed </w:t>
      </w:r>
      <w:r>
        <w:t xml:space="preserve">reply comments (Duke Reply Comments) </w:t>
      </w:r>
      <w:r w:rsidRPr="00086785">
        <w:t>on May 16, 2014</w:t>
      </w:r>
      <w:r>
        <w:t>.</w:t>
      </w:r>
      <w:r w:rsidRPr="00086785">
        <w:t xml:space="preserve"> </w:t>
      </w:r>
    </w:p>
    <w:p w:rsidR="00047E40" w:rsidRPr="00157006" w:rsidRDefault="00047E40" w:rsidP="005C407B">
      <w:pPr>
        <w:pStyle w:val="textstyle"/>
      </w:pPr>
      <w:r w:rsidRPr="008B7899">
        <w:tab/>
        <w:t>With some clarifications, Duke’s Reply Comments agree with the points raised in the Staff Comments with one notable exception.  Duke takes issue with the Staff’s recommendation th</w:t>
      </w:r>
      <w:r w:rsidRPr="00A02A9C">
        <w:t xml:space="preserve">at the Commission should impose a $1.50 per month rate cap on the </w:t>
      </w:r>
      <w:r w:rsidRPr="00A02A9C">
        <w:lastRenderedPageBreak/>
        <w:t xml:space="preserve">total deferrals created under the IT-CEP </w:t>
      </w:r>
      <w:r>
        <w:t>and</w:t>
      </w:r>
      <w:r w:rsidRPr="00A02A9C">
        <w:t xml:space="preserve"> other CEPs Duke ma</w:t>
      </w:r>
      <w:r>
        <w:t>y</w:t>
      </w:r>
      <w:r w:rsidRPr="00823345">
        <w:t xml:space="preserve"> seek in the future, if the deferred amounts are included in residential rates.  </w:t>
      </w:r>
      <w:r w:rsidRPr="008B7899">
        <w:t>The Staff maintains that the recommended $1.50 per month rate cap for the IT-CEP and potential future CEPs is con</w:t>
      </w:r>
      <w:r w:rsidR="00F21857">
        <w:softHyphen/>
      </w:r>
      <w:r w:rsidRPr="008B7899">
        <w:t>sistent with the caps established in the cases establishing and authorizing continuation of CEPs for Columbia Gas of Ohio Inc. (Columbia),</w:t>
      </w:r>
      <w:r w:rsidRPr="007A56F9">
        <w:rPr>
          <w:rStyle w:val="FootnoteReference"/>
        </w:rPr>
        <w:footnoteReference w:id="1"/>
      </w:r>
      <w:r w:rsidRPr="007A56F9">
        <w:t xml:space="preserve"> Dominion East Ohio Gas (Dominion),</w:t>
      </w:r>
      <w:r w:rsidRPr="007A56F9">
        <w:rPr>
          <w:rStyle w:val="FootnoteReference"/>
        </w:rPr>
        <w:footnoteReference w:id="2"/>
      </w:r>
      <w:r w:rsidRPr="007A56F9">
        <w:t xml:space="preserve"> </w:t>
      </w:r>
      <w:r w:rsidRPr="00157006">
        <w:t>and Vectren Energy Delivery of Ohio (Vectren).</w:t>
      </w:r>
      <w:r w:rsidRPr="007A56F9">
        <w:rPr>
          <w:rStyle w:val="FootnoteReference"/>
        </w:rPr>
        <w:footnoteReference w:id="3"/>
      </w:r>
      <w:r w:rsidRPr="007A56F9">
        <w:t xml:space="preserve"> </w:t>
      </w:r>
    </w:p>
    <w:p w:rsidR="00047E40" w:rsidRPr="00A02A9C" w:rsidRDefault="005C407B" w:rsidP="005C407B">
      <w:pPr>
        <w:pStyle w:val="textstyle"/>
      </w:pPr>
      <w:r>
        <w:tab/>
      </w:r>
      <w:r w:rsidR="00047E40" w:rsidRPr="00A74FF5">
        <w:t>In its Reply Comme</w:t>
      </w:r>
      <w:r w:rsidR="00047E40" w:rsidRPr="00D52E2A">
        <w:t>nts, Duke mis</w:t>
      </w:r>
      <w:r w:rsidR="00047E40">
        <w:t>construes</w:t>
      </w:r>
      <w:r w:rsidR="00047E40" w:rsidRPr="00D52E2A">
        <w:t xml:space="preserve"> the case histories surrounding the adoption of the $1.50 per month rate cap in the other utilities’ CEP cases and misunder</w:t>
      </w:r>
      <w:r w:rsidR="00F21857">
        <w:softHyphen/>
      </w:r>
      <w:r w:rsidR="00047E40" w:rsidRPr="00D52E2A">
        <w:t>stands the Staff position taken in those cases</w:t>
      </w:r>
      <w:r w:rsidR="00047E40">
        <w:t xml:space="preserve"> </w:t>
      </w:r>
      <w:r w:rsidR="00047E40" w:rsidRPr="00D52E2A">
        <w:t>to conclude that the Commission allows companies to establish multiple CEPs with $1.50 per month caps</w:t>
      </w:r>
      <w:r w:rsidR="00047E40">
        <w:t xml:space="preserve"> for each CEP</w:t>
      </w:r>
      <w:r w:rsidR="00047E40" w:rsidRPr="00D52E2A">
        <w:t>.</w:t>
      </w:r>
      <w:r w:rsidR="00047E40" w:rsidRPr="00A02A9C">
        <w:t xml:space="preserve">  This </w:t>
      </w:r>
      <w:r w:rsidR="00047E40" w:rsidRPr="00A02A9C">
        <w:lastRenderedPageBreak/>
        <w:t xml:space="preserve">conclusion is incorrect.  </w:t>
      </w:r>
      <w:r w:rsidR="00047E40">
        <w:t>Therefore, the Staff offers these s</w:t>
      </w:r>
      <w:r w:rsidR="00047E40" w:rsidRPr="00A02A9C">
        <w:t>u</w:t>
      </w:r>
      <w:r w:rsidR="00047E40" w:rsidRPr="00B76D4F">
        <w:t>r-r</w:t>
      </w:r>
      <w:r w:rsidR="00047E40" w:rsidRPr="00D52E2A">
        <w:t xml:space="preserve">eply comments to ensure that the Commission has a complete record on which to reach a decision in this case.  </w:t>
      </w:r>
    </w:p>
    <w:p w:rsidR="00047E40" w:rsidRPr="00B4498C" w:rsidRDefault="00047E40" w:rsidP="00047E40">
      <w:pPr>
        <w:pStyle w:val="Heading1"/>
        <w:rPr>
          <w:sz w:val="26"/>
          <w:szCs w:val="26"/>
        </w:rPr>
      </w:pPr>
      <w:bookmarkStart w:id="2" w:name="_Toc391017645"/>
      <w:r w:rsidRPr="00B4498C">
        <w:rPr>
          <w:sz w:val="26"/>
          <w:szCs w:val="26"/>
        </w:rPr>
        <w:t>STAFF’S SUR-REPLY COMMENTS</w:t>
      </w:r>
      <w:bookmarkEnd w:id="2"/>
      <w:r w:rsidRPr="00B4498C">
        <w:rPr>
          <w:sz w:val="26"/>
          <w:szCs w:val="26"/>
        </w:rPr>
        <w:t xml:space="preserve"> </w:t>
      </w:r>
    </w:p>
    <w:p w:rsidR="00047E40" w:rsidRPr="00B4498C" w:rsidRDefault="00047E40" w:rsidP="00047E40">
      <w:pPr>
        <w:pStyle w:val="Heading2"/>
        <w:rPr>
          <w:sz w:val="26"/>
          <w:szCs w:val="26"/>
        </w:rPr>
      </w:pPr>
      <w:bookmarkStart w:id="3" w:name="_Toc391017646"/>
      <w:r>
        <w:rPr>
          <w:sz w:val="26"/>
          <w:szCs w:val="26"/>
        </w:rPr>
        <w:t>T</w:t>
      </w:r>
      <w:r w:rsidRPr="00B4498C">
        <w:rPr>
          <w:sz w:val="26"/>
          <w:szCs w:val="26"/>
        </w:rPr>
        <w:t>he $1.50 per month rate cap that the Commission adopted for Columbia, Dominion, and Vectren applies to cumulative deferrals</w:t>
      </w:r>
      <w:r>
        <w:rPr>
          <w:sz w:val="26"/>
          <w:szCs w:val="26"/>
        </w:rPr>
        <w:t>.</w:t>
      </w:r>
      <w:bookmarkEnd w:id="3"/>
    </w:p>
    <w:p w:rsidR="00047E40" w:rsidRPr="00D52E2A" w:rsidRDefault="00047E40" w:rsidP="005C407B">
      <w:pPr>
        <w:pStyle w:val="textstyle"/>
      </w:pPr>
      <w:bookmarkStart w:id="4" w:name="_Toc317248250"/>
      <w:r w:rsidRPr="00A02A9C">
        <w:tab/>
        <w:t>In its Comments, Duke summarizes the case histories surrounding the Commis</w:t>
      </w:r>
      <w:r w:rsidR="00F21857">
        <w:softHyphen/>
      </w:r>
      <w:r w:rsidRPr="00A02A9C">
        <w:t xml:space="preserve">sion’s initial approval of CEPs for the other </w:t>
      </w:r>
      <w:r w:rsidRPr="00D52E2A">
        <w:t xml:space="preserve">gas utilities in the State. </w:t>
      </w:r>
      <w:r w:rsidR="005C407B">
        <w:t xml:space="preserve"> </w:t>
      </w:r>
      <w:r w:rsidRPr="00D52E2A">
        <w:t>Duke provides these summaries to advance a claim that the Commission authorized multiple CEPs, each with its own $1.50 per month rate cap.  This is not accurate</w:t>
      </w:r>
      <w:r w:rsidRPr="00A02A9C">
        <w:t xml:space="preserve">.  The $1.50 per month cap that the Commission established in each of the other gas utilities CEP cases apply </w:t>
      </w:r>
      <w:r w:rsidRPr="00D52E2A">
        <w:t>to the cumula</w:t>
      </w:r>
      <w:r w:rsidR="00F21857">
        <w:softHyphen/>
      </w:r>
      <w:r w:rsidRPr="00D52E2A">
        <w:t xml:space="preserve">tive total of all CEP deferrals, regardless whether the deferrals are considered to have been created under one ongoing CEP or multiple CEPs.  </w:t>
      </w:r>
      <w:r>
        <w:t>T</w:t>
      </w:r>
      <w:r w:rsidRPr="00D52E2A">
        <w:t>he Staff intended and advo</w:t>
      </w:r>
      <w:r w:rsidR="00F21857">
        <w:softHyphen/>
      </w:r>
      <w:r w:rsidRPr="00D52E2A">
        <w:t>cated</w:t>
      </w:r>
      <w:r>
        <w:t xml:space="preserve"> this position</w:t>
      </w:r>
      <w:r w:rsidRPr="00D52E2A">
        <w:t xml:space="preserve"> in comments filed in the </w:t>
      </w:r>
      <w:r>
        <w:t xml:space="preserve">other utilities’ CEP cases and </w:t>
      </w:r>
      <w:r w:rsidRPr="00D52E2A">
        <w:t xml:space="preserve">other utilities </w:t>
      </w:r>
      <w:r>
        <w:t xml:space="preserve">have </w:t>
      </w:r>
      <w:r w:rsidRPr="00D52E2A">
        <w:t>underst</w:t>
      </w:r>
      <w:r>
        <w:t>oo</w:t>
      </w:r>
      <w:r w:rsidRPr="00D52E2A">
        <w:t xml:space="preserve">d and implemented their tracking mechanisms </w:t>
      </w:r>
      <w:r>
        <w:t xml:space="preserve">to ensure that </w:t>
      </w:r>
      <w:r w:rsidRPr="00D52E2A">
        <w:t>accrued deferrals do not exceed the cumulative $1.50 per month rate cap</w:t>
      </w:r>
      <w:r>
        <w:t xml:space="preserve"> for the cumulative total of all CEP deferrals</w:t>
      </w:r>
      <w:r w:rsidRPr="00D52E2A">
        <w:t>.  For example, in their most recent annual update filings, Columbia, Dominion, and Vectren each include a schedule that estimates the rate impact of the cumulative amount of deferrals under their respective CEPs.  This estimated rate cap impact is derived using the cumulative amount deferred since the inception of each com</w:t>
      </w:r>
      <w:r w:rsidR="00F21857">
        <w:softHyphen/>
      </w:r>
      <w:r w:rsidRPr="00D52E2A">
        <w:t xml:space="preserve">pany’s CEP (October 2011 for </w:t>
      </w:r>
      <w:r>
        <w:t>all three companies</w:t>
      </w:r>
      <w:r w:rsidRPr="00D52E2A">
        <w:t xml:space="preserve">) through 2013.  Columbia goes one step further by showing the estimated rate impact for deferrals associated with projected </w:t>
      </w:r>
      <w:r w:rsidRPr="00D52E2A">
        <w:lastRenderedPageBreak/>
        <w:t xml:space="preserve">CEP expenditures in 2014.  These schedules clearly show </w:t>
      </w:r>
      <w:r w:rsidRPr="00A02A9C">
        <w:t xml:space="preserve">that the other gas utilities understand that the $1.50 per month </w:t>
      </w:r>
      <w:r w:rsidRPr="00D52E2A">
        <w:t xml:space="preserve">rate cap on CEP deferrals applies to the cumulative total of all CEP deferrals regardless whether the deferrals were created as part of one ongoing CEP or CEPs arising from multiple cases. </w:t>
      </w:r>
    </w:p>
    <w:p w:rsidR="00047E40" w:rsidRPr="00B4498C" w:rsidRDefault="00047E40" w:rsidP="00047E40">
      <w:pPr>
        <w:pStyle w:val="Heading2"/>
        <w:rPr>
          <w:sz w:val="26"/>
          <w:szCs w:val="26"/>
        </w:rPr>
      </w:pPr>
      <w:bookmarkStart w:id="5" w:name="_Toc391017647"/>
      <w:bookmarkEnd w:id="4"/>
      <w:r w:rsidRPr="00B4498C">
        <w:rPr>
          <w:sz w:val="26"/>
          <w:szCs w:val="26"/>
        </w:rPr>
        <w:t xml:space="preserve">Duke’s suggestion that it would be inconsistent for the Commission to institute the same $1.50 per month rate cap that it adopted for the other gas utilities because its IT-CEP involves capital expenditures on IT assets with relatively short depreciation lives compared to the assets of the other utilities is misplaced. </w:t>
      </w:r>
      <w:r w:rsidR="00F21857">
        <w:rPr>
          <w:sz w:val="26"/>
          <w:szCs w:val="26"/>
        </w:rPr>
        <w:t xml:space="preserve"> </w:t>
      </w:r>
      <w:r w:rsidRPr="00B4498C">
        <w:rPr>
          <w:sz w:val="26"/>
          <w:szCs w:val="26"/>
        </w:rPr>
        <w:t>Two of the other utili</w:t>
      </w:r>
      <w:r w:rsidR="00F21857">
        <w:rPr>
          <w:sz w:val="26"/>
          <w:szCs w:val="26"/>
        </w:rPr>
        <w:softHyphen/>
      </w:r>
      <w:r w:rsidRPr="00B4498C">
        <w:rPr>
          <w:sz w:val="26"/>
          <w:szCs w:val="26"/>
        </w:rPr>
        <w:t>ties expressly include annual IT expenditures in their CEP that are greater than the annual amounts proposed in Duke’s IT-CEP.</w:t>
      </w:r>
      <w:bookmarkEnd w:id="5"/>
    </w:p>
    <w:p w:rsidR="00047E40" w:rsidRDefault="00047E40" w:rsidP="005C407B">
      <w:pPr>
        <w:pStyle w:val="textstyle"/>
      </w:pPr>
      <w:bookmarkStart w:id="6" w:name="_Toc317248251"/>
      <w:r w:rsidRPr="00A02A9C">
        <w:tab/>
        <w:t xml:space="preserve">Duke </w:t>
      </w:r>
      <w:r w:rsidRPr="007A56F9">
        <w:t xml:space="preserve">argues in its Reply Comments that the capital expenditures under its IT-CEP are for IT assets with relatively short depreciation lives compared to expenditures for longer-lived </w:t>
      </w:r>
      <w:r w:rsidRPr="00D52E2A">
        <w:t>assets (such as regulating stations, meters, and meter sets), therefore its depreciation expense will be relatively higher than for the other companies.</w:t>
      </w:r>
      <w:r w:rsidRPr="00A02A9C">
        <w:rPr>
          <w:rStyle w:val="FootnoteReference"/>
        </w:rPr>
        <w:footnoteReference w:id="4"/>
      </w:r>
      <w:r w:rsidRPr="00A02A9C">
        <w:t xml:space="preserve">  To rectify this imbalance, Duke </w:t>
      </w:r>
      <w:r w:rsidRPr="00D52E2A">
        <w:t>recommends that any rate cap on its CEP deferrals should apply only to the IT-CEP and not the IT-CEP in combination with any future CEPs.</w:t>
      </w:r>
      <w:r w:rsidRPr="00A02A9C">
        <w:rPr>
          <w:rStyle w:val="FootnoteReference"/>
        </w:rPr>
        <w:footnoteReference w:id="5"/>
      </w:r>
      <w:r w:rsidRPr="00A02A9C">
        <w:t xml:space="preserve">  The Com</w:t>
      </w:r>
      <w:r w:rsidR="00F21857">
        <w:softHyphen/>
      </w:r>
      <w:r w:rsidRPr="00A02A9C">
        <w:t>pany’s argument, however, fails to note that the capital expenditures for the other utilities effectively includes all of their capital spending that is not covered by their resp</w:t>
      </w:r>
      <w:r w:rsidRPr="00D52E2A">
        <w:t xml:space="preserve">ective </w:t>
      </w:r>
      <w:r w:rsidRPr="00D52E2A">
        <w:lastRenderedPageBreak/>
        <w:t>infrastructure replacement programs, including expenditures for IT improvements and replacements.  As discussed above, the other large gas utilities treat their capital spending and associated deferrals under their CEPs as one comprehensive program covering past and future years.  For compliance with the $1.50 per month rate cap, they track the poten</w:t>
      </w:r>
      <w:r w:rsidR="00F21857">
        <w:softHyphen/>
      </w:r>
      <w:r w:rsidRPr="00D52E2A">
        <w:t>tial impact on residential rates of their CEP deferrals on a cumulative basis.  In applica</w:t>
      </w:r>
      <w:r w:rsidR="00F21857">
        <w:softHyphen/>
      </w:r>
      <w:r w:rsidRPr="00D52E2A">
        <w:t>tions and annual update filings for their CEPs, Columbia and Dominion expressly deline</w:t>
      </w:r>
      <w:r w:rsidR="00F21857">
        <w:softHyphen/>
      </w:r>
      <w:r w:rsidRPr="00D52E2A">
        <w:t xml:space="preserve">ate estimated IT expenditures in their total projected capital spending covered by their CEP.  As can be seen in the chart below, assuming that Duke’s total estimated IT-CEP expenditures of $20.0 million to $25.0 million </w:t>
      </w:r>
      <w:r w:rsidRPr="00086785">
        <w:t>is spread out evenly over the approximate five years that the Company is requesting,</w:t>
      </w:r>
      <w:r w:rsidRPr="008B7899">
        <w:t xml:space="preserve"> then</w:t>
      </w:r>
      <w:r w:rsidRPr="009D09D7">
        <w:t xml:space="preserve"> the resulting $4.0</w:t>
      </w:r>
      <w:r w:rsidRPr="00A02A9C">
        <w:t xml:space="preserve"> million – $5.0 million per year is considerably less than the average IT expenditures projected by Columbia and Dominion. </w:t>
      </w:r>
    </w:p>
    <w:p w:rsidR="00047E40" w:rsidRDefault="00047E40" w:rsidP="005C407B">
      <w:pPr>
        <w:pStyle w:val="textstyle"/>
      </w:pPr>
    </w:p>
    <w:p w:rsidR="00047E40" w:rsidRPr="005C407B" w:rsidRDefault="00047E40" w:rsidP="005C407B">
      <w:pPr>
        <w:jc w:val="center"/>
        <w:rPr>
          <w:b/>
          <w:sz w:val="26"/>
          <w:szCs w:val="26"/>
        </w:rPr>
      </w:pPr>
      <w:r w:rsidRPr="005C407B">
        <w:rPr>
          <w:b/>
          <w:sz w:val="26"/>
          <w:szCs w:val="26"/>
        </w:rPr>
        <w:t>Avg. Annual IT and Total CEP Expenditures for Duke, Columbia, and Dominion</w:t>
      </w:r>
    </w:p>
    <w:tbl>
      <w:tblPr>
        <w:tblStyle w:val="TableGrid1"/>
        <w:tblW w:w="9625" w:type="dxa"/>
        <w:tblLayout w:type="fixed"/>
        <w:tblLook w:val="04A0" w:firstRow="1" w:lastRow="0" w:firstColumn="1" w:lastColumn="0" w:noHBand="0" w:noVBand="1"/>
      </w:tblPr>
      <w:tblGrid>
        <w:gridCol w:w="3168"/>
        <w:gridCol w:w="1890"/>
        <w:gridCol w:w="2250"/>
        <w:gridCol w:w="2317"/>
      </w:tblGrid>
      <w:tr w:rsidR="00047E40" w:rsidRPr="00A02A9C" w:rsidTr="002F3B98">
        <w:tc>
          <w:tcPr>
            <w:tcW w:w="3168" w:type="dxa"/>
            <w:tcBorders>
              <w:top w:val="single" w:sz="18" w:space="0" w:color="auto"/>
              <w:left w:val="single" w:sz="18" w:space="0" w:color="auto"/>
              <w:bottom w:val="single" w:sz="18" w:space="0" w:color="auto"/>
              <w:right w:val="single" w:sz="18" w:space="0" w:color="auto"/>
            </w:tcBorders>
            <w:vAlign w:val="center"/>
          </w:tcPr>
          <w:p w:rsidR="00047E40" w:rsidRPr="00B4498C" w:rsidRDefault="00047E40" w:rsidP="009F243D">
            <w:pPr>
              <w:spacing w:after="0" w:line="240" w:lineRule="auto"/>
              <w:jc w:val="center"/>
              <w:rPr>
                <w:b/>
                <w:sz w:val="26"/>
                <w:szCs w:val="26"/>
              </w:rPr>
            </w:pPr>
            <w:r w:rsidRPr="00B4498C">
              <w:rPr>
                <w:b/>
                <w:sz w:val="26"/>
                <w:szCs w:val="26"/>
              </w:rPr>
              <w:t>Projected Expenditures/Company</w:t>
            </w:r>
          </w:p>
        </w:tc>
        <w:tc>
          <w:tcPr>
            <w:tcW w:w="1890" w:type="dxa"/>
            <w:tcBorders>
              <w:top w:val="single" w:sz="18" w:space="0" w:color="auto"/>
              <w:left w:val="single" w:sz="18" w:space="0" w:color="auto"/>
              <w:bottom w:val="single" w:sz="18" w:space="0" w:color="auto"/>
              <w:right w:val="single" w:sz="18" w:space="0" w:color="auto"/>
            </w:tcBorders>
          </w:tcPr>
          <w:p w:rsidR="00047E40" w:rsidRPr="00B4498C" w:rsidRDefault="00047E40" w:rsidP="009F243D">
            <w:pPr>
              <w:spacing w:after="0" w:line="240" w:lineRule="auto"/>
              <w:jc w:val="center"/>
              <w:rPr>
                <w:b/>
                <w:sz w:val="26"/>
                <w:szCs w:val="26"/>
              </w:rPr>
            </w:pPr>
            <w:r w:rsidRPr="00B4498C">
              <w:rPr>
                <w:b/>
                <w:sz w:val="26"/>
                <w:szCs w:val="26"/>
              </w:rPr>
              <w:t>Duke</w:t>
            </w:r>
          </w:p>
          <w:p w:rsidR="00047E40" w:rsidRPr="00B4498C" w:rsidRDefault="00047E40" w:rsidP="009F243D">
            <w:pPr>
              <w:spacing w:after="0" w:line="240" w:lineRule="auto"/>
              <w:jc w:val="center"/>
              <w:rPr>
                <w:b/>
                <w:sz w:val="26"/>
                <w:szCs w:val="26"/>
              </w:rPr>
            </w:pPr>
            <w:r w:rsidRPr="00B4498C">
              <w:rPr>
                <w:b/>
                <w:sz w:val="26"/>
                <w:szCs w:val="26"/>
              </w:rPr>
              <w:t>(2013 – 2018)</w:t>
            </w:r>
          </w:p>
          <w:p w:rsidR="00047E40" w:rsidRPr="00B4498C" w:rsidRDefault="00047E40" w:rsidP="009F243D">
            <w:pPr>
              <w:spacing w:after="0" w:line="240" w:lineRule="auto"/>
              <w:jc w:val="center"/>
              <w:rPr>
                <w:sz w:val="26"/>
                <w:szCs w:val="26"/>
              </w:rPr>
            </w:pPr>
            <w:r w:rsidRPr="00B4498C">
              <w:rPr>
                <w:b/>
                <w:sz w:val="26"/>
                <w:szCs w:val="26"/>
              </w:rPr>
              <w:t>(millions)</w:t>
            </w:r>
          </w:p>
        </w:tc>
        <w:tc>
          <w:tcPr>
            <w:tcW w:w="2250" w:type="dxa"/>
            <w:tcBorders>
              <w:top w:val="single" w:sz="18" w:space="0" w:color="auto"/>
              <w:left w:val="single" w:sz="18" w:space="0" w:color="auto"/>
              <w:bottom w:val="single" w:sz="18" w:space="0" w:color="auto"/>
              <w:right w:val="single" w:sz="18" w:space="0" w:color="auto"/>
            </w:tcBorders>
          </w:tcPr>
          <w:p w:rsidR="00047E40" w:rsidRPr="00B4498C" w:rsidRDefault="00047E40" w:rsidP="009F243D">
            <w:pPr>
              <w:spacing w:after="0" w:line="240" w:lineRule="auto"/>
              <w:jc w:val="center"/>
              <w:rPr>
                <w:b/>
                <w:sz w:val="26"/>
                <w:szCs w:val="26"/>
              </w:rPr>
            </w:pPr>
            <w:r w:rsidRPr="00B4498C">
              <w:rPr>
                <w:b/>
                <w:sz w:val="26"/>
                <w:szCs w:val="26"/>
              </w:rPr>
              <w:t>Columbia</w:t>
            </w:r>
          </w:p>
          <w:p w:rsidR="00047E40" w:rsidRPr="00B4498C" w:rsidRDefault="00047E40" w:rsidP="009F243D">
            <w:pPr>
              <w:spacing w:after="0" w:line="240" w:lineRule="auto"/>
              <w:jc w:val="center"/>
              <w:rPr>
                <w:b/>
                <w:sz w:val="26"/>
                <w:szCs w:val="26"/>
              </w:rPr>
            </w:pPr>
            <w:r w:rsidRPr="00B4498C">
              <w:rPr>
                <w:b/>
                <w:sz w:val="26"/>
                <w:szCs w:val="26"/>
              </w:rPr>
              <w:t>(10/11 thru 12/14)</w:t>
            </w:r>
          </w:p>
          <w:p w:rsidR="00047E40" w:rsidRPr="00B4498C" w:rsidRDefault="00047E40" w:rsidP="009F243D">
            <w:pPr>
              <w:spacing w:after="0" w:line="240" w:lineRule="auto"/>
              <w:jc w:val="center"/>
              <w:rPr>
                <w:b/>
                <w:sz w:val="26"/>
                <w:szCs w:val="26"/>
              </w:rPr>
            </w:pPr>
            <w:r w:rsidRPr="00B4498C">
              <w:rPr>
                <w:b/>
                <w:sz w:val="26"/>
                <w:szCs w:val="26"/>
              </w:rPr>
              <w:t>(millions)</w:t>
            </w:r>
          </w:p>
        </w:tc>
        <w:tc>
          <w:tcPr>
            <w:tcW w:w="2317" w:type="dxa"/>
            <w:tcBorders>
              <w:top w:val="single" w:sz="18" w:space="0" w:color="auto"/>
              <w:left w:val="single" w:sz="18" w:space="0" w:color="auto"/>
              <w:bottom w:val="single" w:sz="18" w:space="0" w:color="auto"/>
              <w:right w:val="single" w:sz="18" w:space="0" w:color="auto"/>
            </w:tcBorders>
          </w:tcPr>
          <w:p w:rsidR="00047E40" w:rsidRPr="00B4498C" w:rsidRDefault="00047E40" w:rsidP="009F243D">
            <w:pPr>
              <w:spacing w:after="0" w:line="240" w:lineRule="auto"/>
              <w:jc w:val="center"/>
              <w:rPr>
                <w:b/>
                <w:sz w:val="26"/>
                <w:szCs w:val="26"/>
              </w:rPr>
            </w:pPr>
            <w:r w:rsidRPr="00B4498C">
              <w:rPr>
                <w:b/>
                <w:sz w:val="26"/>
                <w:szCs w:val="26"/>
              </w:rPr>
              <w:t>Dominion</w:t>
            </w:r>
          </w:p>
          <w:p w:rsidR="00047E40" w:rsidRPr="00B4498C" w:rsidRDefault="00047E40" w:rsidP="009F243D">
            <w:pPr>
              <w:spacing w:after="0" w:line="240" w:lineRule="auto"/>
              <w:jc w:val="center"/>
              <w:rPr>
                <w:b/>
                <w:sz w:val="26"/>
                <w:szCs w:val="26"/>
              </w:rPr>
            </w:pPr>
            <w:r w:rsidRPr="00B4498C">
              <w:rPr>
                <w:b/>
                <w:sz w:val="26"/>
                <w:szCs w:val="26"/>
              </w:rPr>
              <w:t>(10/11 thru 12/14)</w:t>
            </w:r>
          </w:p>
          <w:p w:rsidR="00047E40" w:rsidRPr="00B4498C" w:rsidRDefault="00047E40" w:rsidP="009F243D">
            <w:pPr>
              <w:spacing w:after="0" w:line="240" w:lineRule="auto"/>
              <w:jc w:val="center"/>
              <w:rPr>
                <w:sz w:val="26"/>
                <w:szCs w:val="26"/>
              </w:rPr>
            </w:pPr>
            <w:r w:rsidRPr="00B4498C">
              <w:rPr>
                <w:b/>
                <w:sz w:val="26"/>
                <w:szCs w:val="26"/>
              </w:rPr>
              <w:t>(millions)</w:t>
            </w:r>
          </w:p>
        </w:tc>
      </w:tr>
      <w:tr w:rsidR="00047E40" w:rsidRPr="00A02A9C" w:rsidTr="002F3B98">
        <w:tc>
          <w:tcPr>
            <w:tcW w:w="3168" w:type="dxa"/>
            <w:tcBorders>
              <w:top w:val="single" w:sz="18" w:space="0" w:color="auto"/>
            </w:tcBorders>
          </w:tcPr>
          <w:p w:rsidR="00047E40" w:rsidRPr="00B4498C" w:rsidRDefault="00047E40" w:rsidP="002F3B98">
            <w:pPr>
              <w:rPr>
                <w:sz w:val="26"/>
                <w:szCs w:val="26"/>
              </w:rPr>
            </w:pPr>
            <w:r w:rsidRPr="00B4498C">
              <w:rPr>
                <w:sz w:val="26"/>
                <w:szCs w:val="26"/>
              </w:rPr>
              <w:t xml:space="preserve">Average Annual IT </w:t>
            </w:r>
          </w:p>
          <w:p w:rsidR="00047E40" w:rsidRPr="00B4498C" w:rsidRDefault="00047E40" w:rsidP="002F3B98">
            <w:pPr>
              <w:rPr>
                <w:b/>
                <w:sz w:val="26"/>
                <w:szCs w:val="26"/>
              </w:rPr>
            </w:pPr>
            <w:r w:rsidRPr="00B4498C">
              <w:rPr>
                <w:sz w:val="26"/>
                <w:szCs w:val="26"/>
              </w:rPr>
              <w:t>Capital Expenditures</w:t>
            </w:r>
            <w:r w:rsidRPr="00B4498C">
              <w:rPr>
                <w:b/>
                <w:sz w:val="26"/>
                <w:szCs w:val="26"/>
              </w:rPr>
              <w:t xml:space="preserve"> </w:t>
            </w:r>
          </w:p>
        </w:tc>
        <w:tc>
          <w:tcPr>
            <w:tcW w:w="1890" w:type="dxa"/>
            <w:tcBorders>
              <w:top w:val="single" w:sz="18" w:space="0" w:color="auto"/>
            </w:tcBorders>
            <w:vAlign w:val="center"/>
          </w:tcPr>
          <w:p w:rsidR="00047E40" w:rsidRPr="00B4498C" w:rsidRDefault="00047E40" w:rsidP="002F3B98">
            <w:pPr>
              <w:jc w:val="center"/>
              <w:rPr>
                <w:sz w:val="26"/>
                <w:szCs w:val="26"/>
              </w:rPr>
            </w:pPr>
            <w:r w:rsidRPr="00B4498C">
              <w:rPr>
                <w:sz w:val="26"/>
                <w:szCs w:val="26"/>
              </w:rPr>
              <w:t>$4.0 – $5.0</w:t>
            </w:r>
          </w:p>
        </w:tc>
        <w:tc>
          <w:tcPr>
            <w:tcW w:w="2250" w:type="dxa"/>
            <w:tcBorders>
              <w:top w:val="single" w:sz="18" w:space="0" w:color="auto"/>
            </w:tcBorders>
            <w:vAlign w:val="center"/>
          </w:tcPr>
          <w:p w:rsidR="00047E40" w:rsidRPr="00B4498C" w:rsidRDefault="00047E40" w:rsidP="002F3B98">
            <w:pPr>
              <w:jc w:val="center"/>
              <w:rPr>
                <w:sz w:val="26"/>
                <w:szCs w:val="26"/>
              </w:rPr>
            </w:pPr>
            <w:r w:rsidRPr="00B4498C">
              <w:rPr>
                <w:sz w:val="26"/>
                <w:szCs w:val="26"/>
              </w:rPr>
              <w:t>$9.23</w:t>
            </w:r>
          </w:p>
        </w:tc>
        <w:tc>
          <w:tcPr>
            <w:tcW w:w="2317" w:type="dxa"/>
            <w:tcBorders>
              <w:top w:val="single" w:sz="18" w:space="0" w:color="auto"/>
            </w:tcBorders>
            <w:vAlign w:val="center"/>
          </w:tcPr>
          <w:p w:rsidR="00047E40" w:rsidRPr="00B4498C" w:rsidRDefault="00047E40" w:rsidP="002F3B98">
            <w:pPr>
              <w:jc w:val="center"/>
              <w:rPr>
                <w:sz w:val="26"/>
                <w:szCs w:val="26"/>
              </w:rPr>
            </w:pPr>
            <w:r w:rsidRPr="00B4498C">
              <w:rPr>
                <w:sz w:val="26"/>
                <w:szCs w:val="26"/>
              </w:rPr>
              <w:t>$12.0</w:t>
            </w:r>
          </w:p>
        </w:tc>
      </w:tr>
      <w:tr w:rsidR="00047E40" w:rsidRPr="00A02A9C" w:rsidTr="002F3B98">
        <w:tc>
          <w:tcPr>
            <w:tcW w:w="3168" w:type="dxa"/>
          </w:tcPr>
          <w:p w:rsidR="00047E40" w:rsidRPr="00B4498C" w:rsidRDefault="00047E40" w:rsidP="002F3B98">
            <w:pPr>
              <w:rPr>
                <w:sz w:val="26"/>
                <w:szCs w:val="26"/>
              </w:rPr>
            </w:pPr>
            <w:r w:rsidRPr="00B4498C">
              <w:rPr>
                <w:sz w:val="26"/>
                <w:szCs w:val="26"/>
              </w:rPr>
              <w:t xml:space="preserve">Average Annual Total CEP </w:t>
            </w:r>
          </w:p>
          <w:p w:rsidR="00047E40" w:rsidRPr="00B4498C" w:rsidRDefault="00047E40" w:rsidP="002F3B98">
            <w:pPr>
              <w:rPr>
                <w:b/>
                <w:sz w:val="26"/>
                <w:szCs w:val="26"/>
              </w:rPr>
            </w:pPr>
            <w:r w:rsidRPr="00B4498C">
              <w:rPr>
                <w:sz w:val="26"/>
                <w:szCs w:val="26"/>
              </w:rPr>
              <w:t>Capital Expenditures</w:t>
            </w:r>
          </w:p>
        </w:tc>
        <w:tc>
          <w:tcPr>
            <w:tcW w:w="1890" w:type="dxa"/>
            <w:vAlign w:val="center"/>
          </w:tcPr>
          <w:p w:rsidR="00047E40" w:rsidRPr="00B4498C" w:rsidRDefault="00047E40" w:rsidP="002F3B98">
            <w:pPr>
              <w:jc w:val="center"/>
              <w:rPr>
                <w:sz w:val="26"/>
                <w:szCs w:val="26"/>
              </w:rPr>
            </w:pPr>
            <w:r w:rsidRPr="00B4498C">
              <w:rPr>
                <w:sz w:val="26"/>
                <w:szCs w:val="26"/>
              </w:rPr>
              <w:t>$4.0 – $5.0</w:t>
            </w:r>
          </w:p>
        </w:tc>
        <w:tc>
          <w:tcPr>
            <w:tcW w:w="2250" w:type="dxa"/>
            <w:vAlign w:val="center"/>
          </w:tcPr>
          <w:p w:rsidR="00047E40" w:rsidRPr="00B4498C" w:rsidRDefault="00047E40" w:rsidP="002F3B98">
            <w:pPr>
              <w:jc w:val="center"/>
              <w:rPr>
                <w:sz w:val="26"/>
                <w:szCs w:val="26"/>
              </w:rPr>
            </w:pPr>
            <w:r w:rsidRPr="00B4498C">
              <w:rPr>
                <w:sz w:val="26"/>
                <w:szCs w:val="26"/>
              </w:rPr>
              <w:t>$83.38</w:t>
            </w:r>
          </w:p>
        </w:tc>
        <w:tc>
          <w:tcPr>
            <w:tcW w:w="2317" w:type="dxa"/>
            <w:vAlign w:val="center"/>
          </w:tcPr>
          <w:p w:rsidR="00047E40" w:rsidRPr="00B4498C" w:rsidRDefault="00047E40" w:rsidP="002F3B98">
            <w:pPr>
              <w:jc w:val="center"/>
              <w:rPr>
                <w:sz w:val="26"/>
                <w:szCs w:val="26"/>
              </w:rPr>
            </w:pPr>
            <w:r w:rsidRPr="00B4498C">
              <w:rPr>
                <w:sz w:val="26"/>
                <w:szCs w:val="26"/>
              </w:rPr>
              <w:t>$91.69</w:t>
            </w:r>
          </w:p>
        </w:tc>
      </w:tr>
    </w:tbl>
    <w:p w:rsidR="00047E40" w:rsidRPr="00A02A9C" w:rsidRDefault="00047E40" w:rsidP="005C407B">
      <w:pPr>
        <w:pStyle w:val="textstyle"/>
      </w:pPr>
    </w:p>
    <w:p w:rsidR="00047E40" w:rsidRPr="00A02A9C" w:rsidRDefault="00047E40" w:rsidP="005C407B">
      <w:pPr>
        <w:pStyle w:val="textstyle"/>
      </w:pPr>
      <w:r w:rsidRPr="00D52E2A">
        <w:lastRenderedPageBreak/>
        <w:t xml:space="preserve">Columbia and Dominion’s IT expenditures are for assets with similar depreciable lives as those proposed by Duke and comprise only a small part of their average total projected CEP annual expenditures, yet both companies agreed with the cumulative $1.50 per month rate </w:t>
      </w:r>
      <w:r w:rsidRPr="00086785">
        <w:t>cap.  In addition, the proposed cap is consistent with the rate cap adopted in the other ut</w:t>
      </w:r>
      <w:r w:rsidRPr="008B7899">
        <w:t>ilities cases</w:t>
      </w:r>
      <w:r w:rsidRPr="009D09D7">
        <w:t>.</w:t>
      </w:r>
      <w:r w:rsidR="009F243D">
        <w:t xml:space="preserve"> </w:t>
      </w:r>
      <w:r w:rsidRPr="009D09D7">
        <w:t xml:space="preserve"> The other utilities’ cap</w:t>
      </w:r>
      <w:r w:rsidRPr="00DD1E1D">
        <w:t xml:space="preserve"> applies to all of their</w:t>
      </w:r>
      <w:r w:rsidRPr="00CF1379">
        <w:t xml:space="preserve"> capital expenditures that are not covered by an infrastructure replacement program. </w:t>
      </w:r>
      <w:r w:rsidR="009F243D">
        <w:t xml:space="preserve"> </w:t>
      </w:r>
      <w:r w:rsidRPr="00CF1379">
        <w:t>This would be simi</w:t>
      </w:r>
      <w:r w:rsidRPr="00A02A9C">
        <w:t xml:space="preserve">lar to a cap on any of Duke’s multiple CEPs for capital expenditures in addition to the IT-CEP.  This cap has been applied in all CEP cases and the cap should be adopted for Duke as well.  </w:t>
      </w:r>
    </w:p>
    <w:p w:rsidR="00047E40" w:rsidRPr="00B4498C" w:rsidRDefault="00047E40" w:rsidP="00047E40">
      <w:pPr>
        <w:pStyle w:val="Heading1"/>
        <w:rPr>
          <w:sz w:val="26"/>
          <w:szCs w:val="26"/>
        </w:rPr>
      </w:pPr>
      <w:bookmarkStart w:id="7" w:name="_Toc317248254"/>
      <w:bookmarkStart w:id="8" w:name="_Toc332788838"/>
      <w:bookmarkStart w:id="9" w:name="_Toc335806091"/>
      <w:bookmarkStart w:id="10" w:name="_Toc391017648"/>
      <w:bookmarkEnd w:id="6"/>
      <w:r w:rsidRPr="00B4498C">
        <w:rPr>
          <w:sz w:val="26"/>
          <w:szCs w:val="26"/>
        </w:rPr>
        <w:t>CONCLUSION</w:t>
      </w:r>
      <w:bookmarkEnd w:id="7"/>
      <w:bookmarkEnd w:id="8"/>
      <w:bookmarkEnd w:id="9"/>
      <w:bookmarkEnd w:id="10"/>
    </w:p>
    <w:p w:rsidR="00047E40" w:rsidRPr="00D52E2A" w:rsidRDefault="009F243D" w:rsidP="005C407B">
      <w:pPr>
        <w:pStyle w:val="textstyle"/>
      </w:pPr>
      <w:r>
        <w:tab/>
      </w:r>
      <w:r w:rsidR="00047E40">
        <w:t xml:space="preserve">The Commission adopted a $1.50 per month cap on the other gas utilities’ total CEP deferrals. </w:t>
      </w:r>
      <w:r>
        <w:t xml:space="preserve"> </w:t>
      </w:r>
      <w:r w:rsidR="00047E40">
        <w:t>Therefore, a</w:t>
      </w:r>
      <w:r w:rsidR="00047E40" w:rsidRPr="00157006">
        <w:t>s recommended in the Staff’s initial Comments, the Commis</w:t>
      </w:r>
      <w:r w:rsidR="00F21857">
        <w:softHyphen/>
      </w:r>
      <w:r w:rsidR="00047E40" w:rsidRPr="00157006">
        <w:t>sion should establ</w:t>
      </w:r>
      <w:r w:rsidR="00047E40" w:rsidRPr="00D52E2A">
        <w:t>ish the same $1.50 per month cap on Duke’s total accrued CEP defer</w:t>
      </w:r>
      <w:r w:rsidR="00F21857">
        <w:softHyphen/>
      </w:r>
      <w:r w:rsidR="00047E40" w:rsidRPr="00D52E2A">
        <w:t>rals for</w:t>
      </w:r>
      <w:r w:rsidR="00047E40">
        <w:t xml:space="preserve"> both</w:t>
      </w:r>
      <w:r w:rsidR="00047E40" w:rsidRPr="00D52E2A">
        <w:t xml:space="preserve"> the IT-CEP </w:t>
      </w:r>
      <w:r w:rsidR="00047E40">
        <w:t>and</w:t>
      </w:r>
      <w:r w:rsidR="00047E40" w:rsidRPr="00D52E2A">
        <w:t xml:space="preserve"> for the IT-CEP in combination with any future CEP</w:t>
      </w:r>
      <w:r w:rsidR="00047E40">
        <w:t>s.</w:t>
      </w:r>
    </w:p>
    <w:p w:rsidR="0059760E" w:rsidRDefault="0059760E" w:rsidP="00047E40">
      <w:pPr>
        <w:tabs>
          <w:tab w:val="center" w:pos="9360"/>
        </w:tabs>
        <w:spacing w:after="0" w:line="240" w:lineRule="auto"/>
        <w:ind w:left="4320"/>
        <w:rPr>
          <w:rFonts w:cs="Times New Roman"/>
          <w:sz w:val="26"/>
          <w:szCs w:val="26"/>
        </w:rPr>
      </w:pPr>
      <w:r>
        <w:rPr>
          <w:rFonts w:cs="Times New Roman"/>
          <w:sz w:val="26"/>
          <w:szCs w:val="26"/>
        </w:rPr>
        <w:br w:type="page"/>
      </w:r>
    </w:p>
    <w:p w:rsidR="00047E40" w:rsidRPr="00D52E2A" w:rsidRDefault="00047E40" w:rsidP="00047E40">
      <w:pPr>
        <w:tabs>
          <w:tab w:val="center" w:pos="9360"/>
        </w:tabs>
        <w:spacing w:after="0" w:line="240" w:lineRule="auto"/>
        <w:ind w:left="4320"/>
        <w:rPr>
          <w:rFonts w:cs="Times New Roman"/>
          <w:sz w:val="26"/>
          <w:szCs w:val="26"/>
        </w:rPr>
      </w:pPr>
      <w:r w:rsidRPr="00D52E2A">
        <w:rPr>
          <w:rFonts w:cs="Times New Roman"/>
          <w:sz w:val="26"/>
          <w:szCs w:val="26"/>
        </w:rPr>
        <w:lastRenderedPageBreak/>
        <w:t>Respectfully Submitted,</w:t>
      </w:r>
    </w:p>
    <w:p w:rsidR="00047E40" w:rsidRPr="00D52E2A" w:rsidRDefault="00047E40" w:rsidP="00047E40">
      <w:pPr>
        <w:spacing w:after="0" w:line="240" w:lineRule="auto"/>
        <w:ind w:left="4320"/>
        <w:rPr>
          <w:rFonts w:cs="Times New Roman"/>
          <w:sz w:val="26"/>
          <w:szCs w:val="26"/>
        </w:rPr>
      </w:pPr>
    </w:p>
    <w:p w:rsidR="00047E40" w:rsidRPr="00D52E2A" w:rsidRDefault="00047E40" w:rsidP="00047E40">
      <w:pPr>
        <w:spacing w:after="0" w:line="240" w:lineRule="auto"/>
        <w:ind w:left="4320"/>
        <w:rPr>
          <w:b/>
          <w:sz w:val="26"/>
          <w:szCs w:val="26"/>
        </w:rPr>
      </w:pPr>
      <w:r w:rsidRPr="00D52E2A">
        <w:rPr>
          <w:b/>
          <w:sz w:val="26"/>
          <w:szCs w:val="26"/>
        </w:rPr>
        <w:t xml:space="preserve">Michael DeWine </w:t>
      </w:r>
    </w:p>
    <w:p w:rsidR="00047E40" w:rsidRPr="00D52E2A" w:rsidRDefault="00047E40" w:rsidP="00047E40">
      <w:pPr>
        <w:spacing w:after="0" w:line="240" w:lineRule="auto"/>
        <w:ind w:left="4320"/>
        <w:rPr>
          <w:sz w:val="26"/>
          <w:szCs w:val="26"/>
        </w:rPr>
      </w:pPr>
      <w:r w:rsidRPr="00D52E2A">
        <w:rPr>
          <w:sz w:val="26"/>
          <w:szCs w:val="26"/>
        </w:rPr>
        <w:t>Ohio Attorney General</w:t>
      </w:r>
    </w:p>
    <w:p w:rsidR="00047E40" w:rsidRPr="00D52E2A" w:rsidRDefault="00047E40" w:rsidP="00047E40">
      <w:pPr>
        <w:spacing w:after="0" w:line="240" w:lineRule="auto"/>
        <w:ind w:left="4320"/>
        <w:rPr>
          <w:sz w:val="26"/>
          <w:szCs w:val="26"/>
        </w:rPr>
      </w:pPr>
    </w:p>
    <w:p w:rsidR="00047E40" w:rsidRPr="00D52E2A" w:rsidRDefault="00047E40" w:rsidP="00047E40">
      <w:pPr>
        <w:spacing w:after="0" w:line="240" w:lineRule="auto"/>
        <w:ind w:left="4320"/>
        <w:rPr>
          <w:sz w:val="26"/>
          <w:szCs w:val="26"/>
        </w:rPr>
      </w:pPr>
      <w:r w:rsidRPr="00D52E2A">
        <w:rPr>
          <w:b/>
          <w:sz w:val="26"/>
          <w:szCs w:val="26"/>
        </w:rPr>
        <w:t>William L. Wright</w:t>
      </w:r>
    </w:p>
    <w:p w:rsidR="00047E40" w:rsidRPr="00D52E2A" w:rsidRDefault="00047E40" w:rsidP="00047E40">
      <w:pPr>
        <w:spacing w:after="0" w:line="240" w:lineRule="auto"/>
        <w:ind w:left="4320"/>
        <w:rPr>
          <w:b/>
          <w:sz w:val="26"/>
          <w:szCs w:val="26"/>
        </w:rPr>
      </w:pPr>
      <w:r w:rsidRPr="00D52E2A">
        <w:rPr>
          <w:sz w:val="26"/>
          <w:szCs w:val="26"/>
        </w:rPr>
        <w:t>Section Chief</w:t>
      </w:r>
    </w:p>
    <w:p w:rsidR="00047E40" w:rsidRPr="00D52E2A" w:rsidRDefault="00047E40" w:rsidP="00047E40">
      <w:pPr>
        <w:spacing w:after="0" w:line="240" w:lineRule="auto"/>
        <w:ind w:left="4320"/>
        <w:rPr>
          <w:sz w:val="26"/>
          <w:szCs w:val="26"/>
        </w:rPr>
      </w:pPr>
    </w:p>
    <w:p w:rsidR="00047E40" w:rsidRPr="00157006" w:rsidRDefault="00047E40" w:rsidP="00047E40">
      <w:pPr>
        <w:tabs>
          <w:tab w:val="left" w:pos="9360"/>
        </w:tabs>
        <w:spacing w:after="0" w:line="240" w:lineRule="auto"/>
        <w:ind w:left="4320"/>
        <w:jc w:val="both"/>
        <w:rPr>
          <w:rFonts w:ascii="Viner Hand ITC" w:eastAsia="Times New Roman" w:hAnsi="Viner Hand ITC" w:cs="Times New Roman"/>
          <w:i/>
          <w:sz w:val="26"/>
          <w:szCs w:val="26"/>
          <w:u w:val="single"/>
        </w:rPr>
      </w:pPr>
      <w:r w:rsidRPr="00157006">
        <w:rPr>
          <w:rFonts w:ascii="Viner Hand ITC" w:eastAsia="Times New Roman" w:hAnsi="Viner Hand ITC" w:cs="Times New Roman"/>
          <w:i/>
          <w:sz w:val="26"/>
          <w:szCs w:val="26"/>
          <w:u w:val="single"/>
        </w:rPr>
        <w:t>/s/Katie L. Johnson</w:t>
      </w:r>
      <w:r w:rsidRPr="00157006">
        <w:rPr>
          <w:rFonts w:ascii="Viner Hand ITC" w:eastAsia="Times New Roman" w:hAnsi="Viner Hand ITC" w:cs="Times New Roman"/>
          <w:i/>
          <w:sz w:val="26"/>
          <w:szCs w:val="26"/>
          <w:u w:val="single"/>
        </w:rPr>
        <w:tab/>
      </w:r>
    </w:p>
    <w:p w:rsidR="00047E40" w:rsidRPr="00A02A9C" w:rsidRDefault="00047E40" w:rsidP="00047E40">
      <w:pPr>
        <w:spacing w:after="0" w:line="240" w:lineRule="auto"/>
        <w:ind w:left="4320"/>
        <w:rPr>
          <w:rFonts w:cs="Times New Roman"/>
          <w:b/>
          <w:sz w:val="26"/>
          <w:szCs w:val="26"/>
        </w:rPr>
      </w:pPr>
      <w:r w:rsidRPr="00A02A9C">
        <w:rPr>
          <w:rFonts w:cs="Times New Roman"/>
          <w:b/>
          <w:sz w:val="26"/>
          <w:szCs w:val="26"/>
        </w:rPr>
        <w:t>Katie L. Johnson</w:t>
      </w:r>
    </w:p>
    <w:p w:rsidR="00047E40" w:rsidRPr="00D52E2A" w:rsidRDefault="00047E40" w:rsidP="00047E40">
      <w:pPr>
        <w:spacing w:after="0" w:line="240" w:lineRule="auto"/>
        <w:ind w:left="4320"/>
        <w:rPr>
          <w:rFonts w:cs="Times New Roman"/>
          <w:sz w:val="26"/>
          <w:szCs w:val="26"/>
        </w:rPr>
      </w:pPr>
      <w:r w:rsidRPr="00D52E2A">
        <w:rPr>
          <w:rFonts w:cs="Times New Roman"/>
          <w:sz w:val="26"/>
          <w:szCs w:val="26"/>
        </w:rPr>
        <w:t>Assistant Attorney General</w:t>
      </w:r>
    </w:p>
    <w:p w:rsidR="00047E40" w:rsidRPr="00D52E2A" w:rsidRDefault="00047E40" w:rsidP="00047E40">
      <w:pPr>
        <w:spacing w:after="0" w:line="240" w:lineRule="auto"/>
        <w:ind w:left="4320"/>
        <w:rPr>
          <w:rFonts w:cs="Times New Roman"/>
          <w:sz w:val="26"/>
          <w:szCs w:val="26"/>
        </w:rPr>
      </w:pPr>
      <w:r w:rsidRPr="00D52E2A">
        <w:rPr>
          <w:rFonts w:cs="Times New Roman"/>
          <w:sz w:val="26"/>
          <w:szCs w:val="26"/>
        </w:rPr>
        <w:t>Public Utilities Section</w:t>
      </w:r>
    </w:p>
    <w:p w:rsidR="00047E40" w:rsidRPr="00D52E2A" w:rsidRDefault="00047E40" w:rsidP="00047E40">
      <w:pPr>
        <w:spacing w:after="0" w:line="240" w:lineRule="auto"/>
        <w:ind w:left="4320"/>
        <w:rPr>
          <w:rFonts w:cs="Times New Roman"/>
          <w:sz w:val="26"/>
          <w:szCs w:val="26"/>
        </w:rPr>
      </w:pPr>
      <w:r w:rsidRPr="00D52E2A">
        <w:rPr>
          <w:rFonts w:cs="Times New Roman"/>
          <w:sz w:val="26"/>
          <w:szCs w:val="26"/>
        </w:rPr>
        <w:t>180 East Broad Street, 6</w:t>
      </w:r>
      <w:r w:rsidRPr="00D52E2A">
        <w:rPr>
          <w:rFonts w:cs="Times New Roman"/>
          <w:sz w:val="26"/>
          <w:szCs w:val="26"/>
          <w:vertAlign w:val="superscript"/>
        </w:rPr>
        <w:t>th</w:t>
      </w:r>
      <w:r w:rsidRPr="00D52E2A">
        <w:rPr>
          <w:rFonts w:cs="Times New Roman"/>
          <w:sz w:val="26"/>
          <w:szCs w:val="26"/>
        </w:rPr>
        <w:t xml:space="preserve"> Floor</w:t>
      </w:r>
    </w:p>
    <w:p w:rsidR="00047E40" w:rsidRPr="00D52E2A" w:rsidRDefault="00047E40" w:rsidP="00047E40">
      <w:pPr>
        <w:spacing w:after="0" w:line="240" w:lineRule="auto"/>
        <w:ind w:left="4320"/>
        <w:rPr>
          <w:rFonts w:cs="Times New Roman"/>
          <w:sz w:val="26"/>
          <w:szCs w:val="26"/>
        </w:rPr>
      </w:pPr>
      <w:r w:rsidRPr="00D52E2A">
        <w:rPr>
          <w:rFonts w:cs="Times New Roman"/>
          <w:sz w:val="26"/>
          <w:szCs w:val="26"/>
        </w:rPr>
        <w:t>Columbus, Ohio  43215</w:t>
      </w:r>
    </w:p>
    <w:p w:rsidR="00047E40" w:rsidRPr="00157006" w:rsidRDefault="00047E40" w:rsidP="00047E40">
      <w:pPr>
        <w:spacing w:after="0" w:line="240" w:lineRule="auto"/>
        <w:ind w:left="4320"/>
        <w:rPr>
          <w:rFonts w:cs="Times New Roman"/>
          <w:sz w:val="26"/>
          <w:szCs w:val="26"/>
        </w:rPr>
      </w:pPr>
      <w:r>
        <w:rPr>
          <w:rFonts w:cs="Times New Roman"/>
          <w:sz w:val="26"/>
          <w:szCs w:val="26"/>
        </w:rPr>
        <w:t>614-</w:t>
      </w:r>
      <w:r w:rsidRPr="00157006">
        <w:rPr>
          <w:rFonts w:cs="Times New Roman"/>
          <w:sz w:val="26"/>
          <w:szCs w:val="26"/>
        </w:rPr>
        <w:t>644-85</w:t>
      </w:r>
      <w:r>
        <w:rPr>
          <w:rFonts w:cs="Times New Roman"/>
          <w:sz w:val="26"/>
          <w:szCs w:val="26"/>
        </w:rPr>
        <w:t>88 (telephone)</w:t>
      </w:r>
    </w:p>
    <w:p w:rsidR="00047E40" w:rsidRPr="00157006" w:rsidRDefault="00047E40" w:rsidP="00047E40">
      <w:pPr>
        <w:spacing w:after="0" w:line="240" w:lineRule="auto"/>
        <w:ind w:left="4320"/>
        <w:rPr>
          <w:rFonts w:cs="Times New Roman"/>
          <w:sz w:val="26"/>
          <w:szCs w:val="26"/>
        </w:rPr>
      </w:pPr>
      <w:r>
        <w:rPr>
          <w:rFonts w:cs="Times New Roman"/>
          <w:sz w:val="26"/>
          <w:szCs w:val="26"/>
        </w:rPr>
        <w:t>614-</w:t>
      </w:r>
      <w:r w:rsidRPr="00157006">
        <w:rPr>
          <w:rFonts w:cs="Times New Roman"/>
          <w:sz w:val="26"/>
          <w:szCs w:val="26"/>
        </w:rPr>
        <w:t>644-8764</w:t>
      </w:r>
      <w:r>
        <w:rPr>
          <w:rFonts w:cs="Times New Roman"/>
          <w:sz w:val="26"/>
          <w:szCs w:val="26"/>
        </w:rPr>
        <w:t xml:space="preserve"> (facsimile)</w:t>
      </w:r>
    </w:p>
    <w:p w:rsidR="00047E40" w:rsidRPr="009F243D" w:rsidRDefault="00047E40" w:rsidP="00047E40">
      <w:pPr>
        <w:spacing w:after="0" w:line="240" w:lineRule="auto"/>
        <w:ind w:left="4320"/>
        <w:jc w:val="both"/>
        <w:rPr>
          <w:rStyle w:val="Hyperlink"/>
          <w:sz w:val="26"/>
          <w:szCs w:val="26"/>
        </w:rPr>
      </w:pPr>
      <w:r w:rsidRPr="009F243D">
        <w:rPr>
          <w:rStyle w:val="Hyperlink"/>
          <w:sz w:val="26"/>
          <w:szCs w:val="26"/>
        </w:rPr>
        <w:t xml:space="preserve">katie.johnson@puc.state.oh.us </w:t>
      </w:r>
    </w:p>
    <w:p w:rsidR="00047E40" w:rsidRPr="007A56F9" w:rsidRDefault="00047E40" w:rsidP="00047E40">
      <w:pPr>
        <w:jc w:val="center"/>
        <w:rPr>
          <w:rFonts w:cs="Times New Roman"/>
          <w:b/>
          <w:sz w:val="26"/>
          <w:szCs w:val="26"/>
        </w:rPr>
      </w:pPr>
      <w:r w:rsidRPr="00A02A9C">
        <w:rPr>
          <w:rFonts w:cs="Times New Roman"/>
          <w:b/>
          <w:sz w:val="26"/>
          <w:szCs w:val="26"/>
        </w:rPr>
        <w:br w:type="page"/>
      </w:r>
    </w:p>
    <w:p w:rsidR="00047E40" w:rsidRPr="00157006" w:rsidRDefault="00047E40" w:rsidP="00047E40">
      <w:pPr>
        <w:pStyle w:val="Heading1"/>
        <w:rPr>
          <w:sz w:val="26"/>
          <w:szCs w:val="26"/>
        </w:rPr>
      </w:pPr>
      <w:bookmarkStart w:id="11" w:name="_Toc317248255"/>
      <w:bookmarkStart w:id="12" w:name="_Toc335806092"/>
      <w:bookmarkStart w:id="13" w:name="_Toc391017649"/>
      <w:r w:rsidRPr="00157006">
        <w:rPr>
          <w:sz w:val="26"/>
          <w:szCs w:val="26"/>
        </w:rPr>
        <w:lastRenderedPageBreak/>
        <w:t>CERTIFICATE OF SERVICE</w:t>
      </w:r>
      <w:bookmarkEnd w:id="11"/>
      <w:bookmarkEnd w:id="12"/>
      <w:bookmarkEnd w:id="13"/>
    </w:p>
    <w:p w:rsidR="00047E40" w:rsidRPr="00834448" w:rsidRDefault="00047E40" w:rsidP="009F243D">
      <w:pPr>
        <w:pStyle w:val="textstyle"/>
      </w:pPr>
      <w:r w:rsidRPr="00A02A9C">
        <w:tab/>
        <w:t xml:space="preserve">I hereby certify that a true copy of the foregoing </w:t>
      </w:r>
      <w:r w:rsidRPr="00A02A9C">
        <w:rPr>
          <w:b/>
        </w:rPr>
        <w:t>Sur-Reply</w:t>
      </w:r>
      <w:r w:rsidRPr="00A02A9C">
        <w:t xml:space="preserve"> </w:t>
      </w:r>
      <w:r w:rsidRPr="00A02A9C">
        <w:rPr>
          <w:b/>
        </w:rPr>
        <w:t xml:space="preserve">Comments </w:t>
      </w:r>
      <w:r w:rsidRPr="00A02A9C">
        <w:t>submitted on behalf of the Staff of the Public</w:t>
      </w:r>
      <w:r w:rsidRPr="00D52E2A">
        <w:t xml:space="preserve"> Utilities Commission of Ohio was served by elec</w:t>
      </w:r>
      <w:r w:rsidRPr="00D52E2A">
        <w:softHyphen/>
        <w:t>tronic mail upon the foll</w:t>
      </w:r>
      <w:r>
        <w:t>owing parties of record, this 26</w:t>
      </w:r>
      <w:r w:rsidR="009F243D" w:rsidRPr="009F243D">
        <w:rPr>
          <w:vertAlign w:val="superscript"/>
        </w:rPr>
        <w:t>th</w:t>
      </w:r>
      <w:r w:rsidR="009F243D">
        <w:t xml:space="preserve"> d</w:t>
      </w:r>
      <w:r w:rsidRPr="00D52E2A">
        <w:t>ay of Ju</w:t>
      </w:r>
      <w:r w:rsidRPr="00834448">
        <w:t>ne, 201</w:t>
      </w:r>
      <w:r>
        <w:t>4</w:t>
      </w:r>
      <w:r w:rsidRPr="00834448">
        <w:t>.</w:t>
      </w:r>
    </w:p>
    <w:p w:rsidR="00047E40" w:rsidRPr="00157006" w:rsidRDefault="00047E40" w:rsidP="00047E40">
      <w:pPr>
        <w:pStyle w:val="SignatureStyle"/>
        <w:rPr>
          <w:sz w:val="26"/>
          <w:szCs w:val="26"/>
        </w:rPr>
      </w:pPr>
      <w:r w:rsidRPr="00D52E2A">
        <w:rPr>
          <w:rFonts w:eastAsia="Times New Roman" w:cs="Times New Roman"/>
          <w:i/>
          <w:sz w:val="26"/>
          <w:szCs w:val="26"/>
        </w:rPr>
        <w:t>/s/Katie L. Jo</w:t>
      </w:r>
      <w:r w:rsidRPr="00157006">
        <w:rPr>
          <w:rFonts w:eastAsia="Times New Roman" w:cs="Times New Roman"/>
          <w:i/>
          <w:sz w:val="26"/>
          <w:szCs w:val="26"/>
        </w:rPr>
        <w:t xml:space="preserve">hnson </w:t>
      </w:r>
      <w:r w:rsidRPr="00157006">
        <w:rPr>
          <w:sz w:val="26"/>
          <w:szCs w:val="26"/>
        </w:rPr>
        <w:tab/>
      </w:r>
    </w:p>
    <w:p w:rsidR="00047E40" w:rsidRPr="00A02A9C" w:rsidRDefault="00047E40" w:rsidP="00047E40">
      <w:pPr>
        <w:spacing w:after="0" w:line="240" w:lineRule="auto"/>
        <w:ind w:left="4320"/>
        <w:rPr>
          <w:b/>
          <w:sz w:val="26"/>
          <w:szCs w:val="26"/>
        </w:rPr>
      </w:pPr>
      <w:r>
        <w:rPr>
          <w:b/>
          <w:sz w:val="26"/>
          <w:szCs w:val="26"/>
        </w:rPr>
        <w:t>Katie L. Johnson</w:t>
      </w:r>
    </w:p>
    <w:p w:rsidR="00047E40" w:rsidRPr="00D52E2A" w:rsidRDefault="00047E40" w:rsidP="00047E40">
      <w:pPr>
        <w:spacing w:after="0" w:line="240" w:lineRule="auto"/>
        <w:ind w:left="4320"/>
        <w:jc w:val="both"/>
        <w:rPr>
          <w:rFonts w:cs="Times New Roman"/>
          <w:sz w:val="26"/>
          <w:szCs w:val="26"/>
        </w:rPr>
      </w:pPr>
      <w:r w:rsidRPr="00D52E2A">
        <w:rPr>
          <w:rFonts w:cs="Times New Roman"/>
          <w:sz w:val="26"/>
          <w:szCs w:val="26"/>
        </w:rPr>
        <w:t>Assistant Attorney General</w:t>
      </w:r>
    </w:p>
    <w:p w:rsidR="00047E40" w:rsidRPr="00D52E2A" w:rsidRDefault="00047E40" w:rsidP="00047E40">
      <w:pPr>
        <w:spacing w:after="0" w:line="240" w:lineRule="auto"/>
        <w:jc w:val="both"/>
        <w:rPr>
          <w:rFonts w:cs="Times New Roman"/>
          <w:b/>
          <w:sz w:val="26"/>
          <w:szCs w:val="26"/>
        </w:rPr>
      </w:pPr>
      <w:r w:rsidRPr="00D52E2A">
        <w:rPr>
          <w:rFonts w:cs="Times New Roman"/>
          <w:b/>
          <w:sz w:val="26"/>
          <w:szCs w:val="26"/>
        </w:rPr>
        <w:t>PARTIES OF RECORD:</w:t>
      </w:r>
    </w:p>
    <w:p w:rsidR="00047E40" w:rsidRPr="00D52E2A" w:rsidRDefault="00047E40" w:rsidP="00047E40">
      <w:pPr>
        <w:spacing w:after="0" w:line="240" w:lineRule="auto"/>
        <w:jc w:val="both"/>
        <w:rPr>
          <w:rFonts w:cs="Times New Roman"/>
          <w:b/>
          <w:sz w:val="26"/>
          <w:szCs w:val="26"/>
        </w:rPr>
      </w:pPr>
    </w:p>
    <w:p w:rsidR="00047E40" w:rsidRPr="002638CB" w:rsidRDefault="00047E40" w:rsidP="00047E40">
      <w:pPr>
        <w:spacing w:after="0" w:line="240" w:lineRule="auto"/>
        <w:rPr>
          <w:rFonts w:cs="Times New Roman"/>
          <w:sz w:val="26"/>
          <w:szCs w:val="26"/>
        </w:rPr>
      </w:pPr>
      <w:r w:rsidRPr="002638CB">
        <w:rPr>
          <w:rFonts w:cs="Times New Roman"/>
          <w:sz w:val="26"/>
          <w:szCs w:val="26"/>
        </w:rPr>
        <w:t>Amy B. Spiller</w:t>
      </w:r>
    </w:p>
    <w:p w:rsidR="00047E40" w:rsidRPr="002638CB" w:rsidRDefault="00047E40" w:rsidP="00047E40">
      <w:pPr>
        <w:spacing w:after="0" w:line="240" w:lineRule="auto"/>
        <w:rPr>
          <w:rFonts w:cs="Times New Roman"/>
          <w:sz w:val="26"/>
          <w:szCs w:val="26"/>
        </w:rPr>
      </w:pPr>
      <w:r w:rsidRPr="002638CB">
        <w:rPr>
          <w:rFonts w:cs="Times New Roman"/>
          <w:sz w:val="26"/>
          <w:szCs w:val="26"/>
        </w:rPr>
        <w:t>Elizabeth H. Watts</w:t>
      </w:r>
    </w:p>
    <w:p w:rsidR="00047E40" w:rsidRPr="002638CB" w:rsidRDefault="00047E40" w:rsidP="00047E40">
      <w:pPr>
        <w:spacing w:after="0" w:line="240" w:lineRule="auto"/>
        <w:rPr>
          <w:rFonts w:cs="Times New Roman"/>
          <w:sz w:val="26"/>
          <w:szCs w:val="26"/>
        </w:rPr>
      </w:pPr>
      <w:r w:rsidRPr="002638CB">
        <w:rPr>
          <w:rFonts w:cs="Times New Roman"/>
          <w:sz w:val="26"/>
          <w:szCs w:val="26"/>
        </w:rPr>
        <w:t xml:space="preserve">139 E. Fourth St. </w:t>
      </w:r>
    </w:p>
    <w:p w:rsidR="00047E40" w:rsidRPr="002638CB" w:rsidRDefault="00047E40" w:rsidP="00047E40">
      <w:pPr>
        <w:pStyle w:val="NoSpacing"/>
        <w:rPr>
          <w:sz w:val="26"/>
          <w:szCs w:val="26"/>
        </w:rPr>
      </w:pPr>
      <w:r w:rsidRPr="002638CB">
        <w:rPr>
          <w:sz w:val="26"/>
          <w:szCs w:val="26"/>
        </w:rPr>
        <w:t>1303-Main</w:t>
      </w:r>
    </w:p>
    <w:p w:rsidR="00047E40" w:rsidRPr="002638CB" w:rsidRDefault="00047E40" w:rsidP="00047E40">
      <w:pPr>
        <w:pStyle w:val="NoSpacing"/>
        <w:rPr>
          <w:sz w:val="26"/>
          <w:szCs w:val="26"/>
        </w:rPr>
      </w:pPr>
      <w:r w:rsidRPr="002638CB">
        <w:rPr>
          <w:sz w:val="26"/>
          <w:szCs w:val="26"/>
        </w:rPr>
        <w:t>Cincinnati, OH 45202</w:t>
      </w:r>
    </w:p>
    <w:p w:rsidR="00047E40" w:rsidRPr="002638CB" w:rsidRDefault="00047E40" w:rsidP="00047E40">
      <w:pPr>
        <w:pStyle w:val="NoSpacing"/>
        <w:rPr>
          <w:sz w:val="26"/>
          <w:szCs w:val="26"/>
        </w:rPr>
      </w:pPr>
      <w:r w:rsidRPr="002638CB">
        <w:rPr>
          <w:sz w:val="26"/>
          <w:szCs w:val="26"/>
        </w:rPr>
        <w:t>(513) 287-4359 (telephone)</w:t>
      </w:r>
    </w:p>
    <w:p w:rsidR="00047E40" w:rsidRPr="002638CB" w:rsidRDefault="00047E40" w:rsidP="00047E40">
      <w:pPr>
        <w:pStyle w:val="NoSpacing"/>
        <w:rPr>
          <w:sz w:val="26"/>
          <w:szCs w:val="26"/>
        </w:rPr>
      </w:pPr>
      <w:r w:rsidRPr="002638CB">
        <w:rPr>
          <w:sz w:val="26"/>
          <w:szCs w:val="26"/>
        </w:rPr>
        <w:t>(513) 287-4385 (facsimile)</w:t>
      </w:r>
    </w:p>
    <w:p w:rsidR="00047E40" w:rsidRDefault="00047E40" w:rsidP="00047E40">
      <w:pPr>
        <w:pStyle w:val="NoSpacing"/>
        <w:rPr>
          <w:sz w:val="26"/>
          <w:szCs w:val="26"/>
        </w:rPr>
      </w:pPr>
      <w:hyperlink r:id="rId10" w:history="1">
        <w:r w:rsidRPr="002638CB">
          <w:rPr>
            <w:rStyle w:val="Hyperlink"/>
            <w:sz w:val="26"/>
            <w:szCs w:val="26"/>
          </w:rPr>
          <w:t>Amy.Spiller@duke-energy.com</w:t>
        </w:r>
      </w:hyperlink>
    </w:p>
    <w:p w:rsidR="00047E40" w:rsidRPr="002638CB" w:rsidRDefault="00047E40" w:rsidP="00047E40">
      <w:pPr>
        <w:pStyle w:val="NoSpacing"/>
        <w:rPr>
          <w:sz w:val="26"/>
          <w:szCs w:val="26"/>
        </w:rPr>
      </w:pPr>
      <w:hyperlink r:id="rId11" w:history="1">
        <w:r w:rsidRPr="00A334EA">
          <w:rPr>
            <w:rStyle w:val="Hyperlink"/>
            <w:sz w:val="26"/>
            <w:szCs w:val="26"/>
          </w:rPr>
          <w:t>Elizabeth.Watts@duke-energy.com</w:t>
        </w:r>
      </w:hyperlink>
      <w:r>
        <w:rPr>
          <w:sz w:val="26"/>
          <w:szCs w:val="26"/>
        </w:rPr>
        <w:t xml:space="preserve"> </w:t>
      </w:r>
    </w:p>
    <w:p w:rsidR="00047E40" w:rsidRPr="002638CB" w:rsidRDefault="00047E40" w:rsidP="00047E40">
      <w:pPr>
        <w:pStyle w:val="NoSpacing"/>
      </w:pPr>
    </w:p>
    <w:p w:rsidR="00047E40" w:rsidRPr="002638CB" w:rsidRDefault="00047E40" w:rsidP="00047E40">
      <w:pPr>
        <w:spacing w:after="0" w:line="240" w:lineRule="auto"/>
        <w:rPr>
          <w:rFonts w:cs="Times New Roman"/>
          <w:sz w:val="26"/>
          <w:szCs w:val="26"/>
        </w:rPr>
      </w:pPr>
    </w:p>
    <w:p w:rsidR="00047E40" w:rsidRPr="00CD42AF" w:rsidRDefault="00047E40" w:rsidP="00047E40">
      <w:pPr>
        <w:spacing w:after="0" w:line="240" w:lineRule="auto"/>
        <w:rPr>
          <w:rFonts w:cs="Times New Roman"/>
          <w:sz w:val="26"/>
          <w:szCs w:val="26"/>
        </w:rPr>
      </w:pPr>
    </w:p>
    <w:p w:rsidR="00047E40" w:rsidRPr="002C1AE7" w:rsidRDefault="00047E40" w:rsidP="00047E40">
      <w:pPr>
        <w:pStyle w:val="NoSpacing"/>
      </w:pPr>
    </w:p>
    <w:p w:rsidR="00FD5F24" w:rsidRDefault="00FD5F24"/>
    <w:sectPr w:rsidR="00FD5F24" w:rsidSect="0059760E">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40" w:rsidRDefault="00047E40" w:rsidP="00047E40">
      <w:pPr>
        <w:spacing w:after="0" w:line="240" w:lineRule="auto"/>
      </w:pPr>
      <w:r>
        <w:separator/>
      </w:r>
    </w:p>
  </w:endnote>
  <w:endnote w:type="continuationSeparator" w:id="0">
    <w:p w:rsidR="00047E40" w:rsidRDefault="00047E40" w:rsidP="0004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056011"/>
      <w:docPartObj>
        <w:docPartGallery w:val="Page Numbers (Bottom of Page)"/>
        <w:docPartUnique/>
      </w:docPartObj>
    </w:sdtPr>
    <w:sdtEndPr>
      <w:rPr>
        <w:noProof/>
      </w:rPr>
    </w:sdtEndPr>
    <w:sdtContent>
      <w:p w:rsidR="00047E40" w:rsidRDefault="00047E40" w:rsidP="00823345">
        <w:pPr>
          <w:pStyle w:val="Footer"/>
          <w:jc w:val="center"/>
        </w:pPr>
        <w:r>
          <w:fldChar w:fldCharType="begin"/>
        </w:r>
        <w:r>
          <w:instrText xml:space="preserve"> PAGE   \* MERGEFORMAT </w:instrText>
        </w:r>
        <w:r>
          <w:fldChar w:fldCharType="separate"/>
        </w:r>
        <w:r w:rsidR="002B177F">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86518"/>
      <w:docPartObj>
        <w:docPartGallery w:val="Page Numbers (Bottom of Page)"/>
        <w:docPartUnique/>
      </w:docPartObj>
    </w:sdtPr>
    <w:sdtEndPr>
      <w:rPr>
        <w:noProof/>
      </w:rPr>
    </w:sdtEndPr>
    <w:sdtContent>
      <w:p w:rsidR="0059760E" w:rsidRDefault="0059760E" w:rsidP="00823345">
        <w:pPr>
          <w:pStyle w:val="Footer"/>
          <w:jc w:val="center"/>
        </w:pPr>
        <w:r>
          <w:fldChar w:fldCharType="begin"/>
        </w:r>
        <w:r>
          <w:instrText xml:space="preserve"> PAGE   \* MERGEFORMAT </w:instrText>
        </w:r>
        <w:r>
          <w:fldChar w:fldCharType="separate"/>
        </w:r>
        <w:r w:rsidR="002B177F">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E" w:rsidRDefault="00597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40" w:rsidRDefault="00047E40" w:rsidP="00047E40">
      <w:pPr>
        <w:spacing w:after="0" w:line="240" w:lineRule="auto"/>
      </w:pPr>
      <w:r>
        <w:separator/>
      </w:r>
    </w:p>
  </w:footnote>
  <w:footnote w:type="continuationSeparator" w:id="0">
    <w:p w:rsidR="00047E40" w:rsidRDefault="00047E40" w:rsidP="00047E40">
      <w:pPr>
        <w:spacing w:after="0" w:line="240" w:lineRule="auto"/>
      </w:pPr>
      <w:r>
        <w:continuationSeparator/>
      </w:r>
    </w:p>
  </w:footnote>
  <w:footnote w:id="1">
    <w:p w:rsidR="00047E40" w:rsidRPr="00D52E2A" w:rsidRDefault="00047E40" w:rsidP="00047E40">
      <w:pPr>
        <w:pStyle w:val="FootnoteText"/>
      </w:pPr>
      <w:r>
        <w:rPr>
          <w:rStyle w:val="FootnoteReference"/>
        </w:rPr>
        <w:footnoteRef/>
      </w:r>
      <w:r>
        <w:t xml:space="preserve"> </w:t>
      </w:r>
      <w:r>
        <w:tab/>
      </w:r>
      <w:r>
        <w:tab/>
      </w:r>
      <w:r w:rsidRPr="005C407B">
        <w:rPr>
          <w:i/>
        </w:rPr>
        <w:t>See In the Matter of the Application of Columbia Gas of Ohio, Inc. for Approval of a Capital Expenditure Program and for Approval to Change Accounting Methods</w:t>
      </w:r>
      <w:r w:rsidR="005C407B">
        <w:t>, Case No. 11-5351-GA-UNC</w:t>
      </w:r>
      <w:r w:rsidRPr="00D52E2A">
        <w:t xml:space="preserve"> (Finding and Order) (Au</w:t>
      </w:r>
      <w:r w:rsidR="005C407B">
        <w:t>g.</w:t>
      </w:r>
      <w:r w:rsidRPr="00D52E2A">
        <w:t xml:space="preserve"> 29, 2012)</w:t>
      </w:r>
      <w:r>
        <w:t xml:space="preserve">; </w:t>
      </w:r>
      <w:r w:rsidRPr="005C407B">
        <w:rPr>
          <w:i/>
        </w:rPr>
        <w:t>In the Matter of the Application of Columbia Gas of Ohio, Inc. for Approval of a Capital Expenditure Pro</w:t>
      </w:r>
      <w:r w:rsidR="00F21857">
        <w:rPr>
          <w:i/>
        </w:rPr>
        <w:softHyphen/>
      </w:r>
      <w:r w:rsidRPr="005C407B">
        <w:rPr>
          <w:i/>
        </w:rPr>
        <w:t>gram and for Approval to Change Accounting Methods</w:t>
      </w:r>
      <w:r w:rsidRPr="00D52E2A">
        <w:t xml:space="preserve">, Case No. 12-3221-GA-UNC, </w:t>
      </w:r>
      <w:r w:rsidRPr="005C407B">
        <w:rPr>
          <w:i/>
        </w:rPr>
        <w:t>et al.</w:t>
      </w:r>
      <w:r w:rsidRPr="00D52E2A">
        <w:t xml:space="preserve"> (Finding and Order) (Oct</w:t>
      </w:r>
      <w:r w:rsidR="005C407B">
        <w:t>.</w:t>
      </w:r>
      <w:r w:rsidRPr="00D52E2A">
        <w:t xml:space="preserve"> 9, 2013).</w:t>
      </w:r>
    </w:p>
  </w:footnote>
  <w:footnote w:id="2">
    <w:p w:rsidR="00047E40" w:rsidRPr="00D52E2A" w:rsidRDefault="00047E40" w:rsidP="00047E40">
      <w:pPr>
        <w:pStyle w:val="FootnoteText"/>
      </w:pPr>
      <w:r w:rsidRPr="00D52E2A">
        <w:rPr>
          <w:rStyle w:val="FootnoteReference"/>
          <w:sz w:val="26"/>
          <w:szCs w:val="26"/>
        </w:rPr>
        <w:footnoteRef/>
      </w:r>
      <w:r w:rsidRPr="00D52E2A">
        <w:t xml:space="preserve"> </w:t>
      </w:r>
      <w:r w:rsidRPr="00D52E2A">
        <w:tab/>
      </w:r>
      <w:r w:rsidRPr="00D52E2A">
        <w:tab/>
      </w:r>
      <w:r w:rsidRPr="005C407B">
        <w:rPr>
          <w:i/>
        </w:rPr>
        <w:t>See In the Matter of the Application of The East Ohio Gas Company d/b/a/ Dominion East Ohio to Implement a Capital Expenditure Program and for Authority to Change Accounting Methods</w:t>
      </w:r>
      <w:r w:rsidRPr="00D52E2A">
        <w:t xml:space="preserve">, </w:t>
      </w:r>
      <w:r w:rsidRPr="00113A78">
        <w:t>Case No. 11-6024-GA-UNC</w:t>
      </w:r>
      <w:r w:rsidRPr="00D52E2A">
        <w:t xml:space="preserve"> (Finding and Order) (Dec</w:t>
      </w:r>
      <w:r w:rsidR="005C407B">
        <w:t>.</w:t>
      </w:r>
      <w:r w:rsidRPr="00D52E2A">
        <w:t xml:space="preserve"> 12, 2012)</w:t>
      </w:r>
      <w:r>
        <w:t>;</w:t>
      </w:r>
      <w:r w:rsidRPr="00D52E2A">
        <w:t xml:space="preserve"> </w:t>
      </w:r>
      <w:r w:rsidRPr="005C407B">
        <w:rPr>
          <w:i/>
        </w:rPr>
        <w:t>In the Matter of the Application of The East Ohio Gas Company d/b/a/ Dominion East Ohio to Implement a Capital Expenditure Program and for Authority to Change Accounting Methods</w:t>
      </w:r>
      <w:r w:rsidR="005C407B">
        <w:t>, Case No. 12-3279-GA-UNC</w:t>
      </w:r>
      <w:r w:rsidRPr="00D52E2A">
        <w:t xml:space="preserve"> (Finding and Order) (Oct</w:t>
      </w:r>
      <w:r w:rsidR="005C407B">
        <w:t>. 9, 2013).</w:t>
      </w:r>
    </w:p>
  </w:footnote>
  <w:footnote w:id="3">
    <w:p w:rsidR="00047E40" w:rsidRPr="00D52E2A" w:rsidRDefault="00047E40" w:rsidP="00047E40">
      <w:pPr>
        <w:pStyle w:val="FootnoteText"/>
      </w:pPr>
      <w:r w:rsidRPr="00D52E2A">
        <w:rPr>
          <w:rStyle w:val="FootnoteReference"/>
          <w:sz w:val="26"/>
          <w:szCs w:val="26"/>
        </w:rPr>
        <w:footnoteRef/>
      </w:r>
      <w:r w:rsidRPr="00D52E2A">
        <w:t xml:space="preserve"> </w:t>
      </w:r>
      <w:r w:rsidRPr="00D52E2A">
        <w:tab/>
      </w:r>
      <w:r w:rsidRPr="00D52E2A">
        <w:tab/>
      </w:r>
      <w:r w:rsidRPr="005C407B">
        <w:rPr>
          <w:i/>
        </w:rPr>
        <w:t>See In the Matter of the Application of Vectren Energy Delivery of Ohio, Inc. for Approval to Implement a Capital Expenditure Program</w:t>
      </w:r>
      <w:r w:rsidRPr="00D52E2A">
        <w:t xml:space="preserve">, </w:t>
      </w:r>
      <w:r w:rsidRPr="00113A78">
        <w:t>Case Nos. 12-530-GA-UNC,</w:t>
      </w:r>
      <w:r w:rsidRPr="005C407B">
        <w:rPr>
          <w:i/>
        </w:rPr>
        <w:t xml:space="preserve"> et al.</w:t>
      </w:r>
      <w:r w:rsidRPr="00113A78">
        <w:t xml:space="preserve"> </w:t>
      </w:r>
      <w:r w:rsidRPr="00D52E2A">
        <w:t>(Finding and Order) (Dec</w:t>
      </w:r>
      <w:r w:rsidR="005C407B">
        <w:t>.</w:t>
      </w:r>
      <w:r w:rsidRPr="00D52E2A">
        <w:t xml:space="preserve"> 12, 2012)</w:t>
      </w:r>
      <w:r>
        <w:t xml:space="preserve">; </w:t>
      </w:r>
      <w:r w:rsidRPr="005C407B">
        <w:rPr>
          <w:i/>
        </w:rPr>
        <w:t>In the Matter of the Application of Vectren Energy Delivery of Ohio, Inc. to Implement a Capital Expenditure Program and for Authority to Change Accounting Methods</w:t>
      </w:r>
      <w:r w:rsidRPr="00D52E2A">
        <w:t xml:space="preserve">, </w:t>
      </w:r>
      <w:r w:rsidR="005C407B">
        <w:t>Case No. 13-1890-GA-UNC</w:t>
      </w:r>
      <w:r w:rsidRPr="00113A78">
        <w:t xml:space="preserve"> </w:t>
      </w:r>
      <w:r w:rsidRPr="00D52E2A">
        <w:t>(Finding and Order) (Dec</w:t>
      </w:r>
      <w:r w:rsidR="005C407B">
        <w:t>.</w:t>
      </w:r>
      <w:r w:rsidRPr="00D52E2A">
        <w:t xml:space="preserve"> 4, 2013).</w:t>
      </w:r>
    </w:p>
  </w:footnote>
  <w:footnote w:id="4">
    <w:p w:rsidR="00047E40" w:rsidRPr="00B4498C" w:rsidRDefault="00047E40" w:rsidP="00047E40">
      <w:pPr>
        <w:pStyle w:val="FootnoteText"/>
      </w:pPr>
      <w:r w:rsidRPr="00D52E2A">
        <w:rPr>
          <w:rStyle w:val="FootnoteReference"/>
          <w:sz w:val="26"/>
          <w:szCs w:val="26"/>
        </w:rPr>
        <w:footnoteRef/>
      </w:r>
      <w:r w:rsidRPr="00D52E2A">
        <w:t xml:space="preserve"> </w:t>
      </w:r>
      <w:r w:rsidRPr="00D52E2A">
        <w:tab/>
      </w:r>
      <w:r w:rsidRPr="00D52E2A">
        <w:tab/>
      </w:r>
      <w:r w:rsidRPr="005C407B">
        <w:rPr>
          <w:i/>
        </w:rPr>
        <w:t>In the Matter of the Application of Duke Energy Ohio, Inc. to Implement a Capital Expenditure Program and for Authority to Change Accounting Methods</w:t>
      </w:r>
      <w:r w:rsidRPr="00D52E2A">
        <w:t xml:space="preserve">, Case No. 13-2417-GA-UNC, </w:t>
      </w:r>
      <w:r w:rsidRPr="005C407B">
        <w:rPr>
          <w:i/>
        </w:rPr>
        <w:t>et al.</w:t>
      </w:r>
      <w:r w:rsidRPr="00D52E2A">
        <w:t xml:space="preserve"> </w:t>
      </w:r>
      <w:r w:rsidRPr="00CB6C65">
        <w:t>(Duke Reply Comments</w:t>
      </w:r>
      <w:r>
        <w:t xml:space="preserve"> at 9</w:t>
      </w:r>
      <w:r w:rsidRPr="00CB6C65">
        <w:t>)</w:t>
      </w:r>
      <w:r w:rsidRPr="00FD4545" w:rsidDel="00FD4545">
        <w:t xml:space="preserve"> </w:t>
      </w:r>
      <w:r w:rsidRPr="00B4498C">
        <w:t>(May 16, 201</w:t>
      </w:r>
      <w:r w:rsidR="005C407B">
        <w:t>4</w:t>
      </w:r>
      <w:r w:rsidRPr="00B4498C">
        <w:t>)</w:t>
      </w:r>
      <w:r>
        <w:t>.</w:t>
      </w:r>
    </w:p>
  </w:footnote>
  <w:footnote w:id="5">
    <w:p w:rsidR="00047E40" w:rsidRPr="00B4498C" w:rsidRDefault="00047E40" w:rsidP="00047E40">
      <w:pPr>
        <w:pStyle w:val="FootnoteText"/>
      </w:pPr>
      <w:r w:rsidRPr="00B4498C">
        <w:rPr>
          <w:rStyle w:val="FootnoteReference"/>
          <w:sz w:val="26"/>
          <w:szCs w:val="26"/>
        </w:rPr>
        <w:footnoteRef/>
      </w:r>
      <w:r w:rsidRPr="00B4498C">
        <w:t xml:space="preserve"> </w:t>
      </w:r>
      <w:r w:rsidRPr="00B4498C">
        <w:tab/>
      </w:r>
      <w:r w:rsidRPr="00B4498C">
        <w:tab/>
      </w:r>
      <w:r w:rsidRPr="00B4498C">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40" w:rsidRDefault="0059760E" w:rsidP="0059760E">
    <w:pPr>
      <w:pStyle w:val="Header"/>
      <w:jc w:val="center"/>
      <w:rPr>
        <w:b/>
        <w:sz w:val="28"/>
        <w:szCs w:val="28"/>
      </w:rPr>
    </w:pPr>
    <w:r>
      <w:rPr>
        <w:b/>
        <w:sz w:val="28"/>
        <w:szCs w:val="28"/>
      </w:rPr>
      <w:t>TABLE OF CONTENTS</w:t>
    </w:r>
  </w:p>
  <w:p w:rsidR="0059760E" w:rsidRDefault="0059760E" w:rsidP="0059760E">
    <w:pPr>
      <w:pStyle w:val="Header"/>
      <w:jc w:val="right"/>
      <w:rPr>
        <w:b/>
        <w:sz w:val="28"/>
        <w:szCs w:val="28"/>
      </w:rPr>
    </w:pPr>
    <w:r>
      <w:rPr>
        <w:b/>
        <w:sz w:val="28"/>
        <w:szCs w:val="28"/>
      </w:rPr>
      <w:t>Page</w:t>
    </w:r>
  </w:p>
  <w:p w:rsidR="00047E40" w:rsidRPr="002B0FA8" w:rsidRDefault="00047E40" w:rsidP="00823345">
    <w:pPr>
      <w:pStyle w:val="Header"/>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E" w:rsidRPr="0059760E" w:rsidRDefault="0059760E" w:rsidP="00597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E" w:rsidRDefault="00597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F2E181E"/>
    <w:lvl w:ilvl="0">
      <w:start w:val="1"/>
      <w:numFmt w:val="decimal"/>
      <w:lvlText w:val="%1."/>
      <w:lvlJc w:val="left"/>
      <w:pPr>
        <w:tabs>
          <w:tab w:val="num" w:pos="1800"/>
        </w:tabs>
        <w:ind w:left="1800" w:hanging="360"/>
      </w:pPr>
    </w:lvl>
  </w:abstractNum>
  <w:abstractNum w:abstractNumId="1">
    <w:nsid w:val="FFFFFF7D"/>
    <w:multiLevelType w:val="singleLevel"/>
    <w:tmpl w:val="FE103968"/>
    <w:lvl w:ilvl="0">
      <w:start w:val="1"/>
      <w:numFmt w:val="decimal"/>
      <w:lvlText w:val="%1."/>
      <w:lvlJc w:val="left"/>
      <w:pPr>
        <w:tabs>
          <w:tab w:val="num" w:pos="1440"/>
        </w:tabs>
        <w:ind w:left="1440" w:hanging="360"/>
      </w:pPr>
    </w:lvl>
  </w:abstractNum>
  <w:abstractNum w:abstractNumId="2">
    <w:nsid w:val="FFFFFF7E"/>
    <w:multiLevelType w:val="singleLevel"/>
    <w:tmpl w:val="379A5BCC"/>
    <w:lvl w:ilvl="0">
      <w:start w:val="1"/>
      <w:numFmt w:val="decimal"/>
      <w:lvlText w:val="%1."/>
      <w:lvlJc w:val="left"/>
      <w:pPr>
        <w:tabs>
          <w:tab w:val="num" w:pos="1080"/>
        </w:tabs>
        <w:ind w:left="1080" w:hanging="360"/>
      </w:pPr>
    </w:lvl>
  </w:abstractNum>
  <w:abstractNum w:abstractNumId="3">
    <w:nsid w:val="FFFFFF7F"/>
    <w:multiLevelType w:val="singleLevel"/>
    <w:tmpl w:val="95ECE9C8"/>
    <w:lvl w:ilvl="0">
      <w:start w:val="1"/>
      <w:numFmt w:val="decimal"/>
      <w:lvlText w:val="%1."/>
      <w:lvlJc w:val="left"/>
      <w:pPr>
        <w:tabs>
          <w:tab w:val="num" w:pos="720"/>
        </w:tabs>
        <w:ind w:left="720" w:hanging="360"/>
      </w:pPr>
    </w:lvl>
  </w:abstractNum>
  <w:abstractNum w:abstractNumId="4">
    <w:nsid w:val="FFFFFF80"/>
    <w:multiLevelType w:val="singleLevel"/>
    <w:tmpl w:val="D640E0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4CC9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1E54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4E4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8A4E1AE"/>
    <w:lvl w:ilvl="0">
      <w:start w:val="1"/>
      <w:numFmt w:val="decimal"/>
      <w:lvlText w:val="%1."/>
      <w:lvlJc w:val="left"/>
      <w:pPr>
        <w:tabs>
          <w:tab w:val="num" w:pos="360"/>
        </w:tabs>
        <w:ind w:left="360" w:hanging="360"/>
      </w:pPr>
    </w:lvl>
  </w:abstractNum>
  <w:abstractNum w:abstractNumId="9">
    <w:nsid w:val="FFFFFF89"/>
    <w:multiLevelType w:val="singleLevel"/>
    <w:tmpl w:val="290060D2"/>
    <w:lvl w:ilvl="0">
      <w:start w:val="1"/>
      <w:numFmt w:val="bullet"/>
      <w:lvlText w:val=""/>
      <w:lvlJc w:val="left"/>
      <w:pPr>
        <w:tabs>
          <w:tab w:val="num" w:pos="360"/>
        </w:tabs>
        <w:ind w:left="360" w:hanging="360"/>
      </w:pPr>
      <w:rPr>
        <w:rFonts w:ascii="Symbol" w:hAnsi="Symbol" w:hint="default"/>
      </w:rPr>
    </w:lvl>
  </w:abstractNum>
  <w:abstractNum w:abstractNumId="10">
    <w:nsid w:val="2D3D4511"/>
    <w:multiLevelType w:val="hybridMultilevel"/>
    <w:tmpl w:val="D2CEA59A"/>
    <w:lvl w:ilvl="0" w:tplc="ED38288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DC598E"/>
    <w:multiLevelType w:val="hybridMultilevel"/>
    <w:tmpl w:val="3E406B6C"/>
    <w:lvl w:ilvl="0" w:tplc="71EAADEE">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40"/>
    <w:rsid w:val="00047E40"/>
    <w:rsid w:val="002B177F"/>
    <w:rsid w:val="0059760E"/>
    <w:rsid w:val="005C407B"/>
    <w:rsid w:val="009F243D"/>
    <w:rsid w:val="00C32E5B"/>
    <w:rsid w:val="00F21857"/>
    <w:rsid w:val="00FD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1EF9A-1CFC-4E6C-8BA1-BCA0818D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ferred"/>
    <w:next w:val="NoSpacing"/>
    <w:qFormat/>
    <w:rsid w:val="00047E40"/>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047E40"/>
    <w:pPr>
      <w:keepNext/>
      <w:keepLines/>
      <w:numPr>
        <w:numId w:val="2"/>
      </w:numPr>
      <w:spacing w:before="360" w:after="240" w:line="240" w:lineRule="auto"/>
      <w:ind w:hanging="7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047E40"/>
    <w:pPr>
      <w:keepNext/>
      <w:keepLines/>
      <w:numPr>
        <w:numId w:val="1"/>
      </w:numPr>
      <w:spacing w:before="360" w:after="240" w:line="240" w:lineRule="auto"/>
      <w:ind w:right="1440" w:hanging="720"/>
      <w:outlineLvl w:val="1"/>
    </w:pPr>
    <w:rPr>
      <w:rFonts w:eastAsiaTheme="maj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4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47E40"/>
    <w:rPr>
      <w:rFonts w:ascii="Times New Roman" w:eastAsiaTheme="majorEastAsia" w:hAnsi="Times New Roman" w:cs="Times New Roman"/>
      <w:b/>
      <w:bCs/>
      <w:sz w:val="28"/>
      <w:szCs w:val="28"/>
    </w:rPr>
  </w:style>
  <w:style w:type="paragraph" w:styleId="NoSpacing">
    <w:name w:val="No Spacing"/>
    <w:uiPriority w:val="1"/>
    <w:qFormat/>
    <w:rsid w:val="00047E40"/>
    <w:pPr>
      <w:spacing w:after="0" w:line="240" w:lineRule="auto"/>
    </w:pPr>
    <w:rPr>
      <w:rFonts w:ascii="Times New Roman" w:hAnsi="Times New Roman"/>
      <w:sz w:val="24"/>
    </w:rPr>
  </w:style>
  <w:style w:type="character" w:styleId="Hyperlink">
    <w:name w:val="Hyperlink"/>
    <w:basedOn w:val="DefaultParagraphFont"/>
    <w:uiPriority w:val="99"/>
    <w:unhideWhenUsed/>
    <w:rsid w:val="00047E40"/>
    <w:rPr>
      <w:color w:val="0000FF"/>
      <w:u w:val="single"/>
    </w:rPr>
  </w:style>
  <w:style w:type="paragraph" w:styleId="FootnoteText">
    <w:name w:val="footnote text"/>
    <w:basedOn w:val="Normal"/>
    <w:link w:val="FootnoteTextChar"/>
    <w:autoRedefine/>
    <w:uiPriority w:val="99"/>
    <w:unhideWhenUsed/>
    <w:rsid w:val="00047E40"/>
    <w:pPr>
      <w:spacing w:before="240" w:after="240" w:line="240" w:lineRule="auto"/>
      <w:ind w:left="720" w:hanging="720"/>
    </w:pPr>
    <w:rPr>
      <w:szCs w:val="20"/>
    </w:rPr>
  </w:style>
  <w:style w:type="character" w:customStyle="1" w:styleId="FootnoteTextChar">
    <w:name w:val="Footnote Text Char"/>
    <w:basedOn w:val="DefaultParagraphFont"/>
    <w:link w:val="FootnoteText"/>
    <w:uiPriority w:val="99"/>
    <w:rsid w:val="00047E40"/>
    <w:rPr>
      <w:rFonts w:ascii="Times New Roman" w:hAnsi="Times New Roman"/>
      <w:sz w:val="24"/>
      <w:szCs w:val="20"/>
    </w:rPr>
  </w:style>
  <w:style w:type="character" w:styleId="FootnoteReference">
    <w:name w:val="footnote reference"/>
    <w:basedOn w:val="DefaultParagraphFont"/>
    <w:uiPriority w:val="99"/>
    <w:semiHidden/>
    <w:unhideWhenUsed/>
    <w:rsid w:val="00047E40"/>
    <w:rPr>
      <w:vertAlign w:val="superscript"/>
    </w:rPr>
  </w:style>
  <w:style w:type="paragraph" w:customStyle="1" w:styleId="SignatureStyle">
    <w:name w:val="Signature Style"/>
    <w:basedOn w:val="Normal"/>
    <w:qFormat/>
    <w:rsid w:val="00047E40"/>
    <w:pPr>
      <w:tabs>
        <w:tab w:val="left" w:pos="9360"/>
      </w:tabs>
      <w:spacing w:after="0" w:line="240" w:lineRule="auto"/>
      <w:ind w:left="4320"/>
    </w:pPr>
    <w:rPr>
      <w:rFonts w:ascii="Viner Hand ITC" w:hAnsi="Viner Hand ITC" w:cs="Arial"/>
      <w:sz w:val="32"/>
      <w:szCs w:val="32"/>
      <w:u w:val="single"/>
    </w:rPr>
  </w:style>
  <w:style w:type="paragraph" w:styleId="Header">
    <w:name w:val="header"/>
    <w:basedOn w:val="Normal"/>
    <w:link w:val="HeaderChar"/>
    <w:uiPriority w:val="99"/>
    <w:unhideWhenUsed/>
    <w:rsid w:val="0004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40"/>
    <w:rPr>
      <w:rFonts w:ascii="Times New Roman" w:hAnsi="Times New Roman"/>
      <w:sz w:val="24"/>
    </w:rPr>
  </w:style>
  <w:style w:type="paragraph" w:styleId="Footer">
    <w:name w:val="footer"/>
    <w:basedOn w:val="Normal"/>
    <w:link w:val="FooterChar"/>
    <w:uiPriority w:val="99"/>
    <w:unhideWhenUsed/>
    <w:rsid w:val="0004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40"/>
    <w:rPr>
      <w:rFonts w:ascii="Times New Roman" w:hAnsi="Times New Roman"/>
      <w:sz w:val="24"/>
    </w:rPr>
  </w:style>
  <w:style w:type="paragraph" w:customStyle="1" w:styleId="textstyle">
    <w:name w:val="text style"/>
    <w:basedOn w:val="Normal"/>
    <w:autoRedefine/>
    <w:rsid w:val="005C407B"/>
    <w:pPr>
      <w:spacing w:after="0" w:line="480" w:lineRule="auto"/>
    </w:pPr>
    <w:rPr>
      <w:rFonts w:cs="Times New Roman"/>
      <w:sz w:val="26"/>
      <w:szCs w:val="26"/>
    </w:rPr>
  </w:style>
  <w:style w:type="paragraph" w:styleId="TOC1">
    <w:name w:val="toc 1"/>
    <w:basedOn w:val="Normal"/>
    <w:next w:val="Normal"/>
    <w:autoRedefine/>
    <w:uiPriority w:val="39"/>
    <w:unhideWhenUsed/>
    <w:rsid w:val="00047E40"/>
    <w:pPr>
      <w:tabs>
        <w:tab w:val="right" w:leader="dot" w:pos="9350"/>
      </w:tabs>
      <w:spacing w:before="240" w:after="240" w:line="240" w:lineRule="auto"/>
      <w:ind w:left="720" w:right="1440" w:hanging="720"/>
      <w:jc w:val="center"/>
    </w:pPr>
    <w:rPr>
      <w:b/>
      <w:sz w:val="26"/>
    </w:rPr>
  </w:style>
  <w:style w:type="paragraph" w:styleId="TOC2">
    <w:name w:val="toc 2"/>
    <w:basedOn w:val="Normal"/>
    <w:next w:val="Normal"/>
    <w:autoRedefine/>
    <w:uiPriority w:val="39"/>
    <w:unhideWhenUsed/>
    <w:rsid w:val="00047E40"/>
    <w:pPr>
      <w:tabs>
        <w:tab w:val="right" w:leader="dot" w:pos="9350"/>
      </w:tabs>
      <w:spacing w:before="240" w:after="240" w:line="240" w:lineRule="auto"/>
      <w:ind w:left="1440" w:right="1440" w:hanging="720"/>
    </w:pPr>
    <w:rPr>
      <w:sz w:val="26"/>
    </w:rPr>
  </w:style>
  <w:style w:type="table" w:customStyle="1" w:styleId="TableGrid1">
    <w:name w:val="Table Grid1"/>
    <w:basedOn w:val="TableNormal"/>
    <w:next w:val="TableGrid"/>
    <w:uiPriority w:val="59"/>
    <w:rsid w:val="00047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47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Watts@duke-energy.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my.Spiller@duke-energ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FA97-8059-48DF-9AC6-707D9F4F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Kim</dc:creator>
  <cp:keywords/>
  <dc:description/>
  <cp:lastModifiedBy>Keeton, Kim</cp:lastModifiedBy>
  <cp:revision>5</cp:revision>
  <cp:lastPrinted>2014-06-26T12:52:00Z</cp:lastPrinted>
  <dcterms:created xsi:type="dcterms:W3CDTF">2014-06-26T12:33:00Z</dcterms:created>
  <dcterms:modified xsi:type="dcterms:W3CDTF">2014-06-26T12:52:00Z</dcterms:modified>
</cp:coreProperties>
</file>