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64EB">
        <w:rPr>
          <w:rFonts w:ascii="Times New Roman" w:hAnsi="Times New Roman"/>
        </w:rPr>
        <w:t>$0.0632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B264EB">
            <w:rPr>
              <w:rFonts w:ascii="Times New Roman" w:hAnsi="Times New Roman"/>
              <w:sz w:val="16"/>
            </w:rPr>
            <w:t>December 29</w:t>
          </w:r>
          <w:r w:rsidR="00586A1C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B264EB">
            <w:rPr>
              <w:rFonts w:ascii="Times New Roman" w:hAnsi="Times New Roman"/>
              <w:sz w:val="16"/>
            </w:rPr>
            <w:t>December 30</w:t>
          </w:r>
          <w:r w:rsidR="00221479">
            <w:rPr>
              <w:rFonts w:ascii="Times New Roman" w:hAnsi="Times New Roman"/>
              <w:sz w:val="16"/>
            </w:rPr>
            <w:t>, 2020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EE073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64319D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5760C1">
      <w:rPr>
        <w:rFonts w:ascii="Times New Roman" w:hAnsi="Times New Roman"/>
        <w:sz w:val="16"/>
      </w:rPr>
      <w:t>,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B264EB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Forty-Nin</w:t>
    </w:r>
    <w:r w:rsidR="00AB15D1">
      <w:rPr>
        <w:rFonts w:ascii="Times New Roman" w:hAnsi="Times New Roman"/>
        <w:b/>
        <w:sz w:val="22"/>
        <w:szCs w:val="22"/>
      </w:rPr>
      <w:t>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</w:t>
    </w:r>
    <w:r w:rsidR="00211929">
      <w:rPr>
        <w:rFonts w:ascii="Times New Roman" w:hAnsi="Times New Roman"/>
        <w:b/>
        <w:sz w:val="22"/>
        <w:szCs w:val="22"/>
      </w:rPr>
      <w:t xml:space="preserve">          </w:t>
    </w:r>
    <w:r w:rsidR="00B264EB">
      <w:rPr>
        <w:rFonts w:ascii="Times New Roman" w:hAnsi="Times New Roman"/>
        <w:b/>
        <w:sz w:val="22"/>
        <w:szCs w:val="22"/>
      </w:rPr>
      <w:t xml:space="preserve">                     Forty-Eigh</w:t>
    </w:r>
    <w:r w:rsidR="00014EE2">
      <w:rPr>
        <w:rFonts w:ascii="Times New Roman" w:hAnsi="Times New Roman"/>
        <w:b/>
        <w:sz w:val="22"/>
        <w:szCs w:val="22"/>
      </w:rPr>
      <w:t>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14EE2"/>
    <w:rsid w:val="00034776"/>
    <w:rsid w:val="000C32DE"/>
    <w:rsid w:val="00105325"/>
    <w:rsid w:val="00132F90"/>
    <w:rsid w:val="00152E80"/>
    <w:rsid w:val="001A0137"/>
    <w:rsid w:val="00211929"/>
    <w:rsid w:val="00221479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575451"/>
    <w:rsid w:val="005760C1"/>
    <w:rsid w:val="00583271"/>
    <w:rsid w:val="00586A1C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B15D1"/>
    <w:rsid w:val="00AD5B8B"/>
    <w:rsid w:val="00AE42FD"/>
    <w:rsid w:val="00AF48DD"/>
    <w:rsid w:val="00B1544B"/>
    <w:rsid w:val="00B264E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E0739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1137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12</cp:revision>
  <cp:lastPrinted>2012-06-27T19:54:00Z</cp:lastPrinted>
  <dcterms:created xsi:type="dcterms:W3CDTF">2019-03-26T13:44:00Z</dcterms:created>
  <dcterms:modified xsi:type="dcterms:W3CDTF">2020-12-28T14:07:00Z</dcterms:modified>
</cp:coreProperties>
</file>