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AB5130" w:rsidRPr="001C4D15" w:rsidP="00AB5130" w14:paraId="5BC4C4C2" w14:textId="77777777">
      <w:pPr>
        <w:pStyle w:val="HTMLPreformatted"/>
        <w:jc w:val="center"/>
        <w:rPr>
          <w:rFonts w:ascii="Times New Roman" w:hAnsi="Times New Roman" w:cs="Times New Roman"/>
          <w:b/>
          <w:bCs/>
          <w:sz w:val="24"/>
          <w:szCs w:val="24"/>
        </w:rPr>
      </w:pPr>
      <w:r w:rsidRPr="001C4D15">
        <w:rPr>
          <w:rFonts w:ascii="Times New Roman" w:hAnsi="Times New Roman" w:cs="Times New Roman"/>
          <w:b/>
          <w:bCs/>
          <w:sz w:val="24"/>
          <w:szCs w:val="24"/>
        </w:rPr>
        <w:t>BEFORE</w:t>
      </w:r>
    </w:p>
    <w:p w:rsidR="00AB5130" w:rsidRPr="001C4D15" w:rsidP="00AB5130" w14:paraId="26BD3B71" w14:textId="1D31F4B1">
      <w:pPr>
        <w:pStyle w:val="HTMLPreformatted"/>
        <w:jc w:val="center"/>
        <w:rPr>
          <w:rFonts w:ascii="Times New Roman" w:hAnsi="Times New Roman" w:cs="Times New Roman"/>
          <w:b/>
          <w:bCs/>
          <w:sz w:val="24"/>
          <w:szCs w:val="24"/>
        </w:rPr>
      </w:pPr>
      <w:r w:rsidRPr="001C4D15">
        <w:rPr>
          <w:rFonts w:ascii="Times New Roman" w:hAnsi="Times New Roman" w:cs="Times New Roman"/>
          <w:b/>
          <w:bCs/>
          <w:sz w:val="24"/>
          <w:szCs w:val="24"/>
        </w:rPr>
        <w:t>THE PUBLIC UTILITIES COMMISSION OF OHIO</w:t>
      </w:r>
    </w:p>
    <w:p w:rsidR="00A53BF1" w:rsidRPr="001C4D15" w:rsidP="00AB5130" w14:paraId="2084E798" w14:textId="77777777">
      <w:pPr>
        <w:pStyle w:val="HTMLPreformatted"/>
        <w:jc w:val="center"/>
        <w:rPr>
          <w:rFonts w:ascii="Times New Roman" w:hAnsi="Times New Roman" w:cs="Times New Roman"/>
          <w:sz w:val="24"/>
          <w:szCs w:val="24"/>
        </w:rPr>
      </w:pPr>
    </w:p>
    <w:tbl>
      <w:tblPr>
        <w:tblW w:w="8730" w:type="dxa"/>
        <w:tblLook w:val="01E0"/>
      </w:tblPr>
      <w:tblGrid>
        <w:gridCol w:w="4230"/>
        <w:gridCol w:w="468"/>
        <w:gridCol w:w="4032"/>
      </w:tblGrid>
      <w:tr w14:paraId="22B161E9" w14:textId="77777777" w:rsidTr="009B5E1A">
        <w:tblPrEx>
          <w:tblW w:w="8730" w:type="dxa"/>
          <w:tblLook w:val="01E0"/>
        </w:tblPrEx>
        <w:trPr>
          <w:trHeight w:val="807"/>
        </w:trPr>
        <w:tc>
          <w:tcPr>
            <w:tcW w:w="4230" w:type="dxa"/>
            <w:shd w:val="clear" w:color="auto" w:fill="auto"/>
          </w:tcPr>
          <w:p w:rsidR="00114506" w:rsidRPr="001C4D15" w:rsidP="00114506" w14:paraId="351CA92C" w14:textId="77777777">
            <w:pPr>
              <w:pStyle w:val="HTMLPreformatted"/>
              <w:rPr>
                <w:rFonts w:ascii="Times New Roman" w:eastAsia="Times New Roman" w:hAnsi="Times New Roman" w:cs="Times New Roman"/>
                <w:color w:val="000000" w:themeColor="text1"/>
                <w:sz w:val="24"/>
                <w:szCs w:val="24"/>
              </w:rPr>
            </w:pPr>
            <w:r w:rsidRPr="001C4D15">
              <w:rPr>
                <w:rFonts w:ascii="Times New Roman" w:eastAsia="Times New Roman" w:hAnsi="Times New Roman" w:cs="Times New Roman"/>
                <w:color w:val="000000" w:themeColor="text1"/>
                <w:sz w:val="24"/>
                <w:szCs w:val="24"/>
              </w:rPr>
              <w:t>In the Matter of the Application of the Dayton Power and Light Company d/b/a AES Ohio for Approval of Its Electric Security Plan.</w:t>
            </w:r>
          </w:p>
          <w:p w:rsidR="00114506" w:rsidRPr="001C4D15" w:rsidP="00114506" w14:paraId="2792BAF4" w14:textId="77777777">
            <w:pPr>
              <w:pStyle w:val="HTMLPreformatted"/>
              <w:rPr>
                <w:rFonts w:ascii="Times New Roman" w:hAnsi="Times New Roman" w:cs="Times New Roman"/>
                <w:color w:val="000000" w:themeColor="text1"/>
                <w:sz w:val="24"/>
                <w:szCs w:val="24"/>
              </w:rPr>
            </w:pPr>
          </w:p>
          <w:p w:rsidR="00114506" w:rsidRPr="001C4D15" w:rsidP="00114506" w14:paraId="431ADE6F" w14:textId="77777777">
            <w:pPr>
              <w:pStyle w:val="HTMLPreformatted"/>
              <w:rPr>
                <w:rFonts w:ascii="Times New Roman" w:hAnsi="Times New Roman" w:cs="Times New Roman"/>
                <w:color w:val="000000" w:themeColor="text1"/>
                <w:sz w:val="24"/>
                <w:szCs w:val="24"/>
              </w:rPr>
            </w:pPr>
            <w:r w:rsidRPr="001C4D15">
              <w:rPr>
                <w:rFonts w:ascii="Times New Roman" w:hAnsi="Times New Roman" w:cs="Times New Roman"/>
                <w:color w:val="000000" w:themeColor="text1"/>
                <w:sz w:val="24"/>
                <w:szCs w:val="24"/>
              </w:rPr>
              <w:t>In the Matter of the Application of The Dayton Power and Light Company d/b/a AES Ohio for Approval of Revised Tariffs.</w:t>
            </w:r>
          </w:p>
          <w:p w:rsidR="00114506" w:rsidRPr="001C4D15" w:rsidP="00114506" w14:paraId="78D42036" w14:textId="77777777">
            <w:pPr>
              <w:pStyle w:val="HTMLPreformatted"/>
              <w:rPr>
                <w:rFonts w:ascii="Times New Roman" w:hAnsi="Times New Roman" w:cs="Times New Roman"/>
                <w:color w:val="000000" w:themeColor="text1"/>
                <w:sz w:val="24"/>
                <w:szCs w:val="24"/>
              </w:rPr>
            </w:pPr>
          </w:p>
          <w:p w:rsidR="00114506" w:rsidRPr="001C4D15" w:rsidP="00114506" w14:paraId="73CFFCDA" w14:textId="7CE4BA4A">
            <w:pPr>
              <w:pStyle w:val="HTMLPreformatted"/>
              <w:rPr>
                <w:rFonts w:ascii="Times New Roman" w:hAnsi="Times New Roman" w:cs="Times New Roman"/>
                <w:sz w:val="24"/>
                <w:szCs w:val="24"/>
              </w:rPr>
            </w:pPr>
            <w:r w:rsidRPr="001C4D15">
              <w:rPr>
                <w:rFonts w:ascii="Times New Roman" w:hAnsi="Times New Roman" w:cs="Times New Roman"/>
                <w:color w:val="000000" w:themeColor="text1"/>
                <w:sz w:val="24"/>
                <w:szCs w:val="24"/>
              </w:rPr>
              <w:t xml:space="preserve">In the Matter of the Application of The Dayton Power and Light Company d/b/a AES Ohio for Approval of Accounting Authority Pursuant to Ohio Rev. Code </w:t>
            </w:r>
            <w:r w:rsidRPr="001C4D15">
              <w:rPr>
                <w:rFonts w:ascii="Times New Roman" w:hAnsi="Times New Roman" w:cs="Times New Roman"/>
                <w:sz w:val="24"/>
                <w:szCs w:val="24"/>
              </w:rPr>
              <w:t xml:space="preserve">§ </w:t>
            </w:r>
            <w:r w:rsidRPr="001C4D15">
              <w:rPr>
                <w:rFonts w:ascii="Times New Roman" w:hAnsi="Times New Roman" w:cs="Times New Roman"/>
                <w:color w:val="000000" w:themeColor="text1"/>
                <w:sz w:val="24"/>
                <w:szCs w:val="24"/>
              </w:rPr>
              <w:t>4905.13.</w:t>
            </w:r>
          </w:p>
        </w:tc>
        <w:tc>
          <w:tcPr>
            <w:tcW w:w="468" w:type="dxa"/>
            <w:shd w:val="clear" w:color="auto" w:fill="auto"/>
          </w:tcPr>
          <w:p w:rsidR="00114506" w:rsidRPr="001C4D15" w:rsidP="00114506" w14:paraId="37E09139" w14:textId="77777777">
            <w:pPr>
              <w:rPr>
                <w:color w:val="000000" w:themeColor="text1"/>
              </w:rPr>
            </w:pPr>
            <w:r w:rsidRPr="001C4D15">
              <w:rPr>
                <w:color w:val="000000" w:themeColor="text1"/>
              </w:rPr>
              <w:t>)</w:t>
            </w:r>
          </w:p>
          <w:p w:rsidR="00114506" w:rsidRPr="001C4D15" w:rsidP="00114506" w14:paraId="3D301957" w14:textId="77777777">
            <w:pPr>
              <w:rPr>
                <w:color w:val="000000" w:themeColor="text1"/>
              </w:rPr>
            </w:pPr>
            <w:r w:rsidRPr="001C4D15">
              <w:rPr>
                <w:color w:val="000000" w:themeColor="text1"/>
              </w:rPr>
              <w:t>)</w:t>
            </w:r>
          </w:p>
          <w:p w:rsidR="00114506" w:rsidRPr="001C4D15" w:rsidP="00114506" w14:paraId="7948EC14" w14:textId="77777777">
            <w:pPr>
              <w:rPr>
                <w:color w:val="000000" w:themeColor="text1"/>
              </w:rPr>
            </w:pPr>
            <w:r w:rsidRPr="001C4D15">
              <w:rPr>
                <w:color w:val="000000" w:themeColor="text1"/>
              </w:rPr>
              <w:t>)</w:t>
            </w:r>
          </w:p>
          <w:p w:rsidR="00114506" w:rsidRPr="001C4D15" w:rsidP="00114506" w14:paraId="7D95B46C" w14:textId="77777777">
            <w:pPr>
              <w:pStyle w:val="HTMLPreformatted"/>
              <w:rPr>
                <w:rFonts w:ascii="Times New Roman" w:hAnsi="Times New Roman" w:cs="Times New Roman"/>
                <w:color w:val="000000" w:themeColor="text1"/>
                <w:sz w:val="24"/>
                <w:szCs w:val="24"/>
              </w:rPr>
            </w:pPr>
            <w:r w:rsidRPr="001C4D15">
              <w:rPr>
                <w:rFonts w:ascii="Times New Roman" w:hAnsi="Times New Roman" w:cs="Times New Roman"/>
                <w:color w:val="000000" w:themeColor="text1"/>
                <w:sz w:val="24"/>
                <w:szCs w:val="24"/>
              </w:rPr>
              <w:t>)</w:t>
            </w:r>
          </w:p>
          <w:p w:rsidR="00114506" w:rsidRPr="001C4D15" w:rsidP="00114506" w14:paraId="7337887F" w14:textId="77777777">
            <w:pPr>
              <w:pStyle w:val="HTMLPreformatted"/>
              <w:rPr>
                <w:rFonts w:ascii="Times New Roman" w:hAnsi="Times New Roman" w:cs="Times New Roman"/>
                <w:color w:val="000000" w:themeColor="text1"/>
                <w:sz w:val="24"/>
                <w:szCs w:val="24"/>
              </w:rPr>
            </w:pPr>
          </w:p>
          <w:p w:rsidR="00114506" w:rsidRPr="001C4D15" w:rsidP="00114506" w14:paraId="347C5451" w14:textId="77777777">
            <w:pPr>
              <w:pStyle w:val="HTMLPreformatted"/>
              <w:rPr>
                <w:rFonts w:ascii="Times New Roman" w:hAnsi="Times New Roman" w:cs="Times New Roman"/>
                <w:color w:val="000000" w:themeColor="text1"/>
                <w:sz w:val="24"/>
                <w:szCs w:val="24"/>
              </w:rPr>
            </w:pPr>
            <w:r w:rsidRPr="001C4D15">
              <w:rPr>
                <w:rFonts w:ascii="Times New Roman" w:hAnsi="Times New Roman" w:cs="Times New Roman"/>
                <w:color w:val="000000" w:themeColor="text1"/>
                <w:sz w:val="24"/>
                <w:szCs w:val="24"/>
              </w:rPr>
              <w:t>)</w:t>
            </w:r>
          </w:p>
          <w:p w:rsidR="00114506" w:rsidRPr="001C4D15" w:rsidP="00114506" w14:paraId="20BB7BB9" w14:textId="77777777">
            <w:pPr>
              <w:pStyle w:val="HTMLPreformatted"/>
              <w:rPr>
                <w:rFonts w:ascii="Times New Roman" w:hAnsi="Times New Roman" w:cs="Times New Roman"/>
                <w:color w:val="000000" w:themeColor="text1"/>
                <w:sz w:val="24"/>
                <w:szCs w:val="24"/>
              </w:rPr>
            </w:pPr>
            <w:r w:rsidRPr="001C4D15">
              <w:rPr>
                <w:rFonts w:ascii="Times New Roman" w:hAnsi="Times New Roman" w:cs="Times New Roman"/>
                <w:color w:val="000000" w:themeColor="text1"/>
                <w:sz w:val="24"/>
                <w:szCs w:val="24"/>
              </w:rPr>
              <w:t>)</w:t>
            </w:r>
          </w:p>
          <w:p w:rsidR="00114506" w:rsidRPr="001C4D15" w:rsidP="00114506" w14:paraId="538628F2" w14:textId="77777777">
            <w:pPr>
              <w:pStyle w:val="HTMLPreformatted"/>
              <w:rPr>
                <w:rFonts w:ascii="Times New Roman" w:hAnsi="Times New Roman" w:cs="Times New Roman"/>
                <w:color w:val="000000" w:themeColor="text1"/>
                <w:sz w:val="24"/>
                <w:szCs w:val="24"/>
              </w:rPr>
            </w:pPr>
            <w:r w:rsidRPr="001C4D15">
              <w:rPr>
                <w:rFonts w:ascii="Times New Roman" w:hAnsi="Times New Roman" w:cs="Times New Roman"/>
                <w:color w:val="000000" w:themeColor="text1"/>
                <w:sz w:val="24"/>
                <w:szCs w:val="24"/>
              </w:rPr>
              <w:t>)</w:t>
            </w:r>
          </w:p>
          <w:p w:rsidR="00114506" w:rsidRPr="001C4D15" w:rsidP="00114506" w14:paraId="5CDDA35B" w14:textId="77777777">
            <w:pPr>
              <w:pStyle w:val="HTMLPreformatted"/>
              <w:rPr>
                <w:rFonts w:ascii="Times New Roman" w:hAnsi="Times New Roman" w:cs="Times New Roman"/>
                <w:color w:val="000000" w:themeColor="text1"/>
                <w:sz w:val="24"/>
                <w:szCs w:val="24"/>
              </w:rPr>
            </w:pPr>
            <w:r w:rsidRPr="001C4D15">
              <w:rPr>
                <w:rFonts w:ascii="Times New Roman" w:hAnsi="Times New Roman" w:cs="Times New Roman"/>
                <w:color w:val="000000" w:themeColor="text1"/>
                <w:sz w:val="24"/>
                <w:szCs w:val="24"/>
              </w:rPr>
              <w:t>)</w:t>
            </w:r>
          </w:p>
          <w:p w:rsidR="00114506" w:rsidRPr="001C4D15" w:rsidP="00114506" w14:paraId="3DD0B2ED" w14:textId="77777777">
            <w:pPr>
              <w:pStyle w:val="HTMLPreformatted"/>
              <w:rPr>
                <w:rFonts w:ascii="Times New Roman" w:hAnsi="Times New Roman" w:cs="Times New Roman"/>
                <w:color w:val="000000" w:themeColor="text1"/>
                <w:sz w:val="24"/>
                <w:szCs w:val="24"/>
              </w:rPr>
            </w:pPr>
          </w:p>
          <w:p w:rsidR="00114506" w:rsidRPr="001C4D15" w:rsidP="00114506" w14:paraId="0A6CF1E9" w14:textId="77777777">
            <w:pPr>
              <w:pStyle w:val="HTMLPreformatted"/>
              <w:rPr>
                <w:rFonts w:ascii="Times New Roman" w:hAnsi="Times New Roman" w:cs="Times New Roman"/>
                <w:color w:val="000000" w:themeColor="text1"/>
                <w:sz w:val="24"/>
                <w:szCs w:val="24"/>
              </w:rPr>
            </w:pPr>
            <w:r w:rsidRPr="001C4D15">
              <w:rPr>
                <w:rFonts w:ascii="Times New Roman" w:hAnsi="Times New Roman" w:cs="Times New Roman"/>
                <w:color w:val="000000" w:themeColor="text1"/>
                <w:sz w:val="24"/>
                <w:szCs w:val="24"/>
              </w:rPr>
              <w:t>)</w:t>
            </w:r>
          </w:p>
          <w:p w:rsidR="00114506" w:rsidRPr="001C4D15" w:rsidP="00114506" w14:paraId="108939E2" w14:textId="77777777">
            <w:pPr>
              <w:pStyle w:val="HTMLPreformatted"/>
              <w:rPr>
                <w:rFonts w:ascii="Times New Roman" w:hAnsi="Times New Roman" w:cs="Times New Roman"/>
                <w:color w:val="000000" w:themeColor="text1"/>
                <w:sz w:val="24"/>
                <w:szCs w:val="24"/>
              </w:rPr>
            </w:pPr>
            <w:r w:rsidRPr="001C4D15">
              <w:rPr>
                <w:rFonts w:ascii="Times New Roman" w:hAnsi="Times New Roman" w:cs="Times New Roman"/>
                <w:color w:val="000000" w:themeColor="text1"/>
                <w:sz w:val="24"/>
                <w:szCs w:val="24"/>
              </w:rPr>
              <w:t>)</w:t>
            </w:r>
          </w:p>
          <w:p w:rsidR="00114506" w:rsidRPr="001C4D15" w:rsidP="00114506" w14:paraId="7B7E5C74" w14:textId="77777777">
            <w:pPr>
              <w:pStyle w:val="HTMLPreformatted"/>
              <w:rPr>
                <w:rFonts w:ascii="Times New Roman" w:hAnsi="Times New Roman" w:cs="Times New Roman"/>
                <w:color w:val="000000" w:themeColor="text1"/>
                <w:sz w:val="24"/>
                <w:szCs w:val="24"/>
              </w:rPr>
            </w:pPr>
            <w:r w:rsidRPr="001C4D15">
              <w:rPr>
                <w:rFonts w:ascii="Times New Roman" w:hAnsi="Times New Roman" w:cs="Times New Roman"/>
                <w:color w:val="000000" w:themeColor="text1"/>
                <w:sz w:val="24"/>
                <w:szCs w:val="24"/>
              </w:rPr>
              <w:t>)</w:t>
            </w:r>
          </w:p>
          <w:p w:rsidR="00114506" w:rsidRPr="001C4D15" w:rsidP="00114506" w14:paraId="39ADC7AD" w14:textId="77777777">
            <w:pPr>
              <w:pStyle w:val="HTMLPreformatted"/>
              <w:rPr>
                <w:rFonts w:ascii="Times New Roman" w:hAnsi="Times New Roman" w:cs="Times New Roman"/>
                <w:color w:val="000000" w:themeColor="text1"/>
                <w:sz w:val="24"/>
                <w:szCs w:val="24"/>
              </w:rPr>
            </w:pPr>
            <w:r w:rsidRPr="001C4D15">
              <w:rPr>
                <w:rFonts w:ascii="Times New Roman" w:hAnsi="Times New Roman" w:cs="Times New Roman"/>
                <w:color w:val="000000" w:themeColor="text1"/>
                <w:sz w:val="24"/>
                <w:szCs w:val="24"/>
              </w:rPr>
              <w:t>)</w:t>
            </w:r>
          </w:p>
          <w:p w:rsidR="00114506" w:rsidRPr="001C4D15" w:rsidP="00114506" w14:paraId="772474C0" w14:textId="0A936D00">
            <w:pPr>
              <w:pStyle w:val="HTMLPreformatted"/>
              <w:rPr>
                <w:rFonts w:ascii="Times New Roman" w:hAnsi="Times New Roman" w:cs="Times New Roman"/>
                <w:color w:val="000000" w:themeColor="text1"/>
                <w:sz w:val="24"/>
                <w:szCs w:val="24"/>
              </w:rPr>
            </w:pPr>
            <w:r w:rsidRPr="001C4D15">
              <w:rPr>
                <w:rFonts w:ascii="Times New Roman" w:hAnsi="Times New Roman" w:cs="Times New Roman"/>
                <w:color w:val="000000" w:themeColor="text1"/>
                <w:sz w:val="24"/>
                <w:szCs w:val="24"/>
              </w:rPr>
              <w:t>)</w:t>
            </w:r>
          </w:p>
        </w:tc>
        <w:tc>
          <w:tcPr>
            <w:tcW w:w="4032" w:type="dxa"/>
            <w:shd w:val="clear" w:color="auto" w:fill="auto"/>
          </w:tcPr>
          <w:p w:rsidR="00114506" w:rsidRPr="001C4D15" w:rsidP="00114506" w14:paraId="14ECED1C" w14:textId="77777777">
            <w:pPr>
              <w:rPr>
                <w:color w:val="000000" w:themeColor="text1"/>
              </w:rPr>
            </w:pPr>
          </w:p>
          <w:p w:rsidR="00114506" w:rsidRPr="001C4D15" w:rsidP="00114506" w14:paraId="60510889" w14:textId="77777777">
            <w:pPr>
              <w:pStyle w:val="HTMLPreformatted"/>
              <w:rPr>
                <w:rFonts w:ascii="Times New Roman" w:eastAsia="Times New Roman" w:hAnsi="Times New Roman" w:cs="Times New Roman"/>
                <w:color w:val="000000" w:themeColor="text1"/>
                <w:sz w:val="24"/>
                <w:szCs w:val="24"/>
              </w:rPr>
            </w:pPr>
            <w:r w:rsidRPr="001C4D15">
              <w:rPr>
                <w:rFonts w:ascii="Times New Roman" w:eastAsia="Times New Roman" w:hAnsi="Times New Roman" w:cs="Times New Roman"/>
                <w:color w:val="000000" w:themeColor="text1"/>
                <w:sz w:val="24"/>
                <w:szCs w:val="24"/>
              </w:rPr>
              <w:t>Case No. 22-900-EL-SSO</w:t>
            </w:r>
          </w:p>
          <w:p w:rsidR="00114506" w:rsidRPr="001C4D15" w:rsidP="00114506" w14:paraId="1FC166E8" w14:textId="77777777">
            <w:pPr>
              <w:pStyle w:val="HTMLPreformatted"/>
              <w:rPr>
                <w:rFonts w:ascii="Times New Roman" w:eastAsia="Times New Roman" w:hAnsi="Times New Roman" w:cs="Times New Roman"/>
                <w:color w:val="000000" w:themeColor="text1"/>
                <w:sz w:val="24"/>
                <w:szCs w:val="24"/>
              </w:rPr>
            </w:pPr>
          </w:p>
          <w:p w:rsidR="00114506" w:rsidRPr="001C4D15" w:rsidP="00114506" w14:paraId="5995A4C7" w14:textId="77777777">
            <w:pPr>
              <w:pStyle w:val="HTMLPreformatted"/>
              <w:rPr>
                <w:rFonts w:ascii="Times New Roman" w:eastAsia="Times New Roman" w:hAnsi="Times New Roman" w:cs="Times New Roman"/>
                <w:color w:val="000000" w:themeColor="text1"/>
                <w:sz w:val="24"/>
                <w:szCs w:val="24"/>
              </w:rPr>
            </w:pPr>
          </w:p>
          <w:p w:rsidR="00114506" w:rsidRPr="001C4D15" w:rsidP="00114506" w14:paraId="5CDF3F9B" w14:textId="77777777">
            <w:pPr>
              <w:pStyle w:val="HTMLPreformatted"/>
              <w:rPr>
                <w:rFonts w:ascii="Times New Roman" w:eastAsia="Times New Roman" w:hAnsi="Times New Roman" w:cs="Times New Roman"/>
                <w:color w:val="000000" w:themeColor="text1"/>
                <w:sz w:val="24"/>
                <w:szCs w:val="24"/>
              </w:rPr>
            </w:pPr>
          </w:p>
          <w:p w:rsidR="00114506" w:rsidRPr="001C4D15" w:rsidP="00114506" w14:paraId="7B980AED" w14:textId="77777777">
            <w:pPr>
              <w:pStyle w:val="HTMLPreformatted"/>
              <w:rPr>
                <w:rFonts w:ascii="Times New Roman" w:eastAsia="Times New Roman" w:hAnsi="Times New Roman" w:cs="Times New Roman"/>
                <w:color w:val="000000" w:themeColor="text1"/>
                <w:sz w:val="24"/>
                <w:szCs w:val="24"/>
              </w:rPr>
            </w:pPr>
          </w:p>
          <w:p w:rsidR="00114506" w:rsidRPr="001C4D15" w:rsidP="00114506" w14:paraId="12E81C56" w14:textId="77777777">
            <w:pPr>
              <w:pStyle w:val="HTMLPreformatted"/>
              <w:rPr>
                <w:rFonts w:ascii="Times New Roman" w:eastAsia="Times New Roman" w:hAnsi="Times New Roman" w:cs="Times New Roman"/>
                <w:color w:val="000000" w:themeColor="text1"/>
                <w:sz w:val="24"/>
                <w:szCs w:val="24"/>
              </w:rPr>
            </w:pPr>
            <w:r w:rsidRPr="001C4D15">
              <w:rPr>
                <w:rFonts w:ascii="Times New Roman" w:eastAsia="Times New Roman" w:hAnsi="Times New Roman" w:cs="Times New Roman"/>
                <w:color w:val="000000" w:themeColor="text1"/>
                <w:sz w:val="24"/>
                <w:szCs w:val="24"/>
              </w:rPr>
              <w:t>Case No. 22-0901-EL-ATA</w:t>
            </w:r>
          </w:p>
          <w:p w:rsidR="00114506" w:rsidRPr="001C4D15" w:rsidP="00114506" w14:paraId="6D93DAFE" w14:textId="77777777">
            <w:pPr>
              <w:pStyle w:val="HTMLPreformatted"/>
              <w:rPr>
                <w:rFonts w:ascii="Times New Roman" w:eastAsia="Times New Roman" w:hAnsi="Times New Roman" w:cs="Times New Roman"/>
                <w:color w:val="000000" w:themeColor="text1"/>
                <w:sz w:val="24"/>
                <w:szCs w:val="24"/>
              </w:rPr>
            </w:pPr>
          </w:p>
          <w:p w:rsidR="00114506" w:rsidRPr="001C4D15" w:rsidP="00114506" w14:paraId="5C45349D" w14:textId="77777777">
            <w:pPr>
              <w:pStyle w:val="HTMLPreformatted"/>
              <w:rPr>
                <w:rFonts w:ascii="Times New Roman" w:eastAsia="Times New Roman" w:hAnsi="Times New Roman" w:cs="Times New Roman"/>
                <w:color w:val="000000" w:themeColor="text1"/>
                <w:sz w:val="24"/>
                <w:szCs w:val="24"/>
              </w:rPr>
            </w:pPr>
          </w:p>
          <w:p w:rsidR="00114506" w:rsidRPr="001C4D15" w:rsidP="00114506" w14:paraId="66004C11" w14:textId="77777777">
            <w:pPr>
              <w:pStyle w:val="HTMLPreformatted"/>
              <w:rPr>
                <w:rFonts w:ascii="Times New Roman" w:eastAsia="Times New Roman" w:hAnsi="Times New Roman" w:cs="Times New Roman"/>
                <w:color w:val="000000" w:themeColor="text1"/>
                <w:sz w:val="24"/>
                <w:szCs w:val="24"/>
              </w:rPr>
            </w:pPr>
          </w:p>
          <w:p w:rsidR="00114506" w:rsidRPr="001C4D15" w:rsidP="00114506" w14:paraId="34730AA2" w14:textId="77777777">
            <w:pPr>
              <w:pStyle w:val="HTMLPreformatted"/>
              <w:rPr>
                <w:rFonts w:ascii="Times New Roman" w:eastAsia="Times New Roman" w:hAnsi="Times New Roman" w:cs="Times New Roman"/>
                <w:color w:val="000000" w:themeColor="text1"/>
                <w:sz w:val="24"/>
                <w:szCs w:val="24"/>
              </w:rPr>
            </w:pPr>
          </w:p>
          <w:p w:rsidR="00114506" w:rsidRPr="001C4D15" w:rsidP="00114506" w14:paraId="3C6BB641" w14:textId="77777777">
            <w:pPr>
              <w:pStyle w:val="HTMLPreformatted"/>
              <w:rPr>
                <w:rFonts w:ascii="Times New Roman" w:eastAsia="Times New Roman" w:hAnsi="Times New Roman" w:cs="Times New Roman"/>
                <w:color w:val="000000" w:themeColor="text1"/>
                <w:sz w:val="24"/>
                <w:szCs w:val="24"/>
              </w:rPr>
            </w:pPr>
          </w:p>
          <w:p w:rsidR="00114506" w:rsidRPr="001C4D15" w:rsidP="00114506" w14:paraId="750A2EC6" w14:textId="0B3BA772">
            <w:pPr>
              <w:pStyle w:val="HTMLPreformatted"/>
              <w:rPr>
                <w:rFonts w:ascii="Times New Roman" w:hAnsi="Times New Roman" w:cs="Times New Roman"/>
                <w:sz w:val="24"/>
                <w:szCs w:val="24"/>
              </w:rPr>
            </w:pPr>
            <w:r w:rsidRPr="001C4D15">
              <w:rPr>
                <w:rFonts w:ascii="Times New Roman" w:eastAsia="Times New Roman" w:hAnsi="Times New Roman" w:cs="Times New Roman"/>
                <w:color w:val="000000" w:themeColor="text1"/>
                <w:sz w:val="24"/>
                <w:szCs w:val="24"/>
              </w:rPr>
              <w:t>Case No. 22-0902-EL-AAM</w:t>
            </w:r>
          </w:p>
        </w:tc>
      </w:tr>
    </w:tbl>
    <w:p w:rsidR="00AB5130" w:rsidRPr="001C4D15" w:rsidP="00AB5130" w14:paraId="449E2648" w14:textId="244AF7E6">
      <w:pPr>
        <w:pStyle w:val="HTMLPreformatted"/>
        <w:rPr>
          <w:rFonts w:ascii="Times New Roman" w:hAnsi="Times New Roman" w:cs="Times New Roman"/>
          <w:sz w:val="24"/>
          <w:szCs w:val="24"/>
        </w:rPr>
      </w:pPr>
    </w:p>
    <w:p w:rsidR="00AB5130" w:rsidRPr="001C4D15" w:rsidP="00AB5130" w14:paraId="67F2C43E" w14:textId="77777777">
      <w:pPr>
        <w:pStyle w:val="HTMLPreformatted"/>
        <w:pBdr>
          <w:top w:val="single" w:sz="12" w:space="1" w:color="auto"/>
        </w:pBdr>
        <w:rPr>
          <w:rFonts w:ascii="Times New Roman" w:hAnsi="Times New Roman" w:cs="Times New Roman"/>
          <w:sz w:val="24"/>
          <w:szCs w:val="24"/>
        </w:rPr>
      </w:pPr>
    </w:p>
    <w:p w:rsidR="006C6868" w:rsidRPr="001C4D15" w:rsidP="006C6868" w14:paraId="4025DA86" w14:textId="3F0113C2">
      <w:pPr>
        <w:jc w:val="center"/>
        <w:rPr>
          <w:b/>
          <w:bCs/>
        </w:rPr>
      </w:pPr>
      <w:r w:rsidRPr="001C4D15">
        <w:rPr>
          <w:b/>
          <w:bCs/>
        </w:rPr>
        <w:t>REPLY TO MEMORANDUM CONTRA OCC’S MOTION TO TAKE ADMINISTRATIVE NOTICE</w:t>
      </w:r>
    </w:p>
    <w:p w:rsidR="006C6868" w:rsidRPr="001C4D15" w:rsidP="006C6868" w14:paraId="073D22B2" w14:textId="77777777">
      <w:pPr>
        <w:jc w:val="center"/>
        <w:rPr>
          <w:b/>
          <w:bCs/>
        </w:rPr>
      </w:pPr>
      <w:r w:rsidRPr="001C4D15">
        <w:rPr>
          <w:b/>
          <w:bCs/>
        </w:rPr>
        <w:t>BY</w:t>
      </w:r>
    </w:p>
    <w:p w:rsidR="006C6868" w:rsidRPr="001C4D15" w:rsidP="006C6868" w14:paraId="4F68BC3D" w14:textId="77777777">
      <w:pPr>
        <w:jc w:val="center"/>
        <w:rPr>
          <w:b/>
          <w:bCs/>
        </w:rPr>
      </w:pPr>
      <w:r w:rsidRPr="001C4D15">
        <w:rPr>
          <w:b/>
          <w:bCs/>
        </w:rPr>
        <w:t>OFFICE OF THE OHIO CONSUMERS’ COUNSEL</w:t>
      </w:r>
    </w:p>
    <w:p w:rsidR="00AB5130" w:rsidRPr="001C4D15" w:rsidP="00AB5130" w14:paraId="676E8D59" w14:textId="77777777">
      <w:pPr>
        <w:pBdr>
          <w:bottom w:val="single" w:sz="12" w:space="1" w:color="auto"/>
        </w:pBdr>
        <w:tabs>
          <w:tab w:val="left" w:pos="4320"/>
        </w:tabs>
      </w:pPr>
    </w:p>
    <w:p w:rsidR="00AB5130" w:rsidRPr="001C4D15" w:rsidP="00AB5130" w14:paraId="17317157" w14:textId="77777777">
      <w:pPr>
        <w:pStyle w:val="BodyTextIndent3"/>
        <w:widowControl w:val="0"/>
        <w:spacing w:line="240" w:lineRule="auto"/>
        <w:ind w:right="-312" w:firstLine="0"/>
        <w:rPr>
          <w:szCs w:val="24"/>
        </w:rPr>
      </w:pPr>
    </w:p>
    <w:p w:rsidR="00AB5130" w:rsidRPr="001C4D15" w:rsidP="003731C1" w14:paraId="5ED5E08F" w14:textId="53D04B7E">
      <w:pPr>
        <w:pStyle w:val="Heading1"/>
      </w:pPr>
      <w:bookmarkStart w:id="0" w:name="_Toc30075653"/>
      <w:bookmarkStart w:id="1" w:name="_Toc108105740"/>
      <w:bookmarkStart w:id="2" w:name="_Toc136504219"/>
      <w:r w:rsidRPr="001C4D15">
        <w:t>I.</w:t>
      </w:r>
      <w:r w:rsidRPr="001C4D15">
        <w:tab/>
        <w:t>INTRODUCTION</w:t>
      </w:r>
      <w:bookmarkEnd w:id="0"/>
      <w:bookmarkEnd w:id="1"/>
      <w:bookmarkEnd w:id="2"/>
    </w:p>
    <w:p w:rsidR="00671BC7" w:rsidRPr="001C4D15" w:rsidP="00671BC7" w14:paraId="3BD75C0D" w14:textId="62A00C0F">
      <w:pPr>
        <w:pStyle w:val="NormalWeb"/>
        <w:spacing w:before="0" w:beforeAutospacing="0" w:after="0" w:afterAutospacing="0" w:line="480" w:lineRule="auto"/>
        <w:ind w:firstLine="720"/>
      </w:pPr>
      <w:r w:rsidRPr="001C4D15">
        <w:t>Thirteen</w:t>
      </w:r>
      <w:r w:rsidRPr="001C4D15" w:rsidR="006F4FD3">
        <w:t xml:space="preserve"> years too late, AES Ohio seeks to collect from consumers $2.3 million</w:t>
      </w:r>
      <w:r>
        <w:rPr>
          <w:rStyle w:val="FootnoteReference"/>
        </w:rPr>
        <w:footnoteReference w:id="2"/>
      </w:r>
      <w:r w:rsidRPr="001C4D15" w:rsidR="006F4FD3">
        <w:t xml:space="preserve"> in </w:t>
      </w:r>
      <w:r w:rsidRPr="001C4D15" w:rsidR="00C3497E">
        <w:t xml:space="preserve">deferred </w:t>
      </w:r>
      <w:r w:rsidRPr="001C4D15" w:rsidR="006F4FD3">
        <w:t>costs related to consumer education and a retail settlement system. But the PUCO found these costs to be transition costs in its Opinion &amp; Order approving AES Ohio’s electric transition plan in Case No. 99-1687-EL-ETP.</w:t>
      </w:r>
      <w:r>
        <w:rPr>
          <w:rStyle w:val="FootnoteReference"/>
        </w:rPr>
        <w:footnoteReference w:id="3"/>
      </w:r>
      <w:r w:rsidRPr="001C4D15" w:rsidR="006F4FD3">
        <w:t xml:space="preserve"> And R.C. 4928.40(A) </w:t>
      </w:r>
      <w:r w:rsidRPr="001C4D15">
        <w:t xml:space="preserve">requires </w:t>
      </w:r>
      <w:r w:rsidRPr="001C4D15" w:rsidR="006F4FD3">
        <w:t>deferred expenses that are authorized by the PUCO as transition costs</w:t>
      </w:r>
      <w:r w:rsidRPr="001C4D15">
        <w:t xml:space="preserve"> to be</w:t>
      </w:r>
      <w:r w:rsidRPr="001C4D15" w:rsidR="006F4FD3">
        <w:t xml:space="preserve"> collected from consumers no later than December 31, 2010. Further, R.C. 4928.141</w:t>
      </w:r>
      <w:r w:rsidRPr="001C4D15">
        <w:t>(A)</w:t>
      </w:r>
      <w:r w:rsidRPr="001C4D15" w:rsidR="006F4FD3">
        <w:t xml:space="preserve"> precludes a utility from including in its standard service offer “any previously authorized </w:t>
      </w:r>
      <w:r w:rsidRPr="001C4D15" w:rsidR="006F4FD3">
        <w:t xml:space="preserve">allowances for transition costs, with such exclusion being effective on and after the date that the allowance is scheduled to end under the utility’s rate plan.” Because the PUCO already </w:t>
      </w:r>
      <w:r w:rsidRPr="001C4D15" w:rsidR="00531F79">
        <w:t xml:space="preserve">ruled that AES Ohio’s </w:t>
      </w:r>
      <w:r w:rsidRPr="001C4D15">
        <w:t xml:space="preserve">consumer education and retail settlement system costs </w:t>
      </w:r>
      <w:r w:rsidRPr="001C4D15" w:rsidR="00531F79">
        <w:t>are</w:t>
      </w:r>
      <w:r w:rsidR="001C4D15">
        <w:t xml:space="preserve"> </w:t>
      </w:r>
      <w:r w:rsidRPr="001C4D15">
        <w:t>transition costs</w:t>
      </w:r>
      <w:r w:rsidRPr="001C4D15" w:rsidR="006F4FD3">
        <w:t>, AES</w:t>
      </w:r>
      <w:r w:rsidRPr="001C4D15" w:rsidR="00531F79">
        <w:t xml:space="preserve"> by law cannot collect those costs from its consumers.</w:t>
      </w:r>
      <w:r w:rsidRPr="001C4D15" w:rsidR="002B7E49">
        <w:t xml:space="preserve"> </w:t>
      </w:r>
      <w:r w:rsidRPr="001C4D15" w:rsidR="00531F79">
        <w:t>Yet the Settlement signed in this proceeding would make consumers pay those costs.</w:t>
      </w:r>
      <w:r w:rsidRPr="001C4D15" w:rsidR="002B7E49">
        <w:t xml:space="preserve"> </w:t>
      </w:r>
      <w:r w:rsidRPr="001C4D15" w:rsidR="00531F79">
        <w:t>Not right.</w:t>
      </w:r>
      <w:r w:rsidRPr="001C4D15" w:rsidR="002B7E49">
        <w:t xml:space="preserve"> </w:t>
      </w:r>
    </w:p>
    <w:p w:rsidR="006F4FD3" w:rsidRPr="001C4D15" w:rsidP="00671BC7" w14:paraId="64C462E5" w14:textId="0A408F19">
      <w:pPr>
        <w:pStyle w:val="NormalWeb"/>
        <w:spacing w:before="0" w:beforeAutospacing="0" w:after="0" w:afterAutospacing="0" w:line="480" w:lineRule="auto"/>
        <w:ind w:firstLine="720"/>
      </w:pPr>
      <w:r w:rsidRPr="001C4D15">
        <w:t>The Office of the Ohio Consumers’ Counsel (“OCC”)</w:t>
      </w:r>
      <w:r w:rsidRPr="001C4D15" w:rsidR="002E13D7">
        <w:t xml:space="preserve"> </w:t>
      </w:r>
      <w:r w:rsidRPr="001C4D15">
        <w:t>ask</w:t>
      </w:r>
      <w:r w:rsidRPr="001C4D15" w:rsidR="00531F79">
        <w:t>ed</w:t>
      </w:r>
      <w:r w:rsidRPr="001C4D15">
        <w:t xml:space="preserve"> the PUCO to take administrative notice of </w:t>
      </w:r>
      <w:r w:rsidRPr="001C4D15" w:rsidR="00C3497E">
        <w:t>AES Ohio</w:t>
      </w:r>
      <w:r w:rsidRPr="001C4D15">
        <w:t>’s Amended Application, Part F, to receive transition revenues</w:t>
      </w:r>
      <w:r w:rsidRPr="001C4D15" w:rsidR="00C3497E">
        <w:t xml:space="preserve">, filed on April 20, 2000 </w:t>
      </w:r>
      <w:r w:rsidRPr="001C4D15">
        <w:t xml:space="preserve">in Case No. 99-1687-EL-ETP. </w:t>
      </w:r>
      <w:r w:rsidRPr="001C4D15" w:rsidR="00671BC7">
        <w:t xml:space="preserve">Under AES Ohio’s PUCO-approved transition plan, </w:t>
      </w:r>
      <w:r w:rsidRPr="001C4D15" w:rsidR="002E13D7">
        <w:t>AES Ohio</w:t>
      </w:r>
      <w:r w:rsidRPr="001C4D15" w:rsidR="00671BC7">
        <w:t xml:space="preserve"> was allowed to charge its consumers </w:t>
      </w:r>
      <w:r w:rsidRPr="001C4D15" w:rsidR="002E13D7">
        <w:t xml:space="preserve">for transition costs that included </w:t>
      </w:r>
      <w:r w:rsidRPr="001C4D15" w:rsidR="00671BC7">
        <w:t>$28.6 million in “accounting related expenses.”</w:t>
      </w:r>
      <w:r>
        <w:rPr>
          <w:rStyle w:val="FootnoteReference"/>
        </w:rPr>
        <w:footnoteReference w:id="4"/>
      </w:r>
      <w:r w:rsidRPr="001C4D15" w:rsidR="00671BC7">
        <w:t xml:space="preserve"> </w:t>
      </w:r>
      <w:r w:rsidRPr="001C4D15" w:rsidR="004A130A">
        <w:t xml:space="preserve">AES Ohio’s </w:t>
      </w:r>
      <w:r w:rsidRPr="001C4D15" w:rsidR="00671BC7">
        <w:t>Part F, Schedule TC-2</w:t>
      </w:r>
      <w:r w:rsidRPr="001C4D15" w:rsidR="004A130A">
        <w:t xml:space="preserve"> lists these accounting related expenses, including</w:t>
      </w:r>
      <w:r w:rsidRPr="001C4D15" w:rsidR="00671BC7">
        <w:t xml:space="preserve"> “Consumer Education Costs” and “Settlement System Implementation Costs.”</w:t>
      </w:r>
      <w:r>
        <w:rPr>
          <w:rStyle w:val="FootnoteReference"/>
        </w:rPr>
        <w:footnoteReference w:id="5"/>
      </w:r>
      <w:r w:rsidRPr="001C4D15" w:rsidR="00671BC7">
        <w:t xml:space="preserve"> </w:t>
      </w:r>
      <w:r w:rsidRPr="001C4D15" w:rsidR="002E13D7">
        <w:t>Taken in conjunction with the PUCO Order in Case No. 99-1687-EL-ETP</w:t>
      </w:r>
      <w:r w:rsidRPr="001C4D15" w:rsidR="00671BC7">
        <w:t xml:space="preserve">, Part F, Schedule TC-2, specifically identifies as transition costs the deferrals DP&amp;L now seeks to collect from consumers in this case. This </w:t>
      </w:r>
      <w:r w:rsidRPr="001C4D15" w:rsidR="00131842">
        <w:t xml:space="preserve">renders it an “adjudicative fact” “not </w:t>
      </w:r>
      <w:r w:rsidRPr="001C4D15" w:rsidR="00671BC7">
        <w:t xml:space="preserve">subject to reasonable dispute,” making administrative notice </w:t>
      </w:r>
      <w:r w:rsidRPr="001C4D15" w:rsidR="00C3497E">
        <w:t xml:space="preserve">of Part F in this proceeding </w:t>
      </w:r>
      <w:r w:rsidRPr="001C4D15" w:rsidR="00131842">
        <w:t>appropriate</w:t>
      </w:r>
      <w:r w:rsidRPr="001C4D15" w:rsidR="00C3497E">
        <w:t xml:space="preserve"> under Ev</w:t>
      </w:r>
      <w:r w:rsidRPr="001C4D15" w:rsidR="004D32E5">
        <w:t>id</w:t>
      </w:r>
      <w:r w:rsidRPr="001C4D15" w:rsidR="00C3497E">
        <w:t>.R. 201</w:t>
      </w:r>
      <w:r w:rsidRPr="001C4D15" w:rsidR="00131842">
        <w:t xml:space="preserve">. </w:t>
      </w:r>
    </w:p>
    <w:p w:rsidR="00531F79" w:rsidRPr="001C4D15" w:rsidP="00BC4C6D" w14:paraId="77EAC2DF" w14:textId="69BE5F1D">
      <w:pPr>
        <w:spacing w:line="480" w:lineRule="auto"/>
        <w:ind w:firstLine="720"/>
      </w:pPr>
      <w:r w:rsidRPr="001C4D15">
        <w:t>AES Ohio and PUCO Staff raise</w:t>
      </w:r>
      <w:r w:rsidRPr="001C4D15" w:rsidR="00E06C5D">
        <w:t xml:space="preserve"> no rightful basis for denying OCC’s motion </w:t>
      </w:r>
      <w:r w:rsidRPr="001C4D15">
        <w:t>for administrative notice</w:t>
      </w:r>
      <w:r w:rsidRPr="001C4D15" w:rsidR="00E06C5D">
        <w:t xml:space="preserve">. </w:t>
      </w:r>
      <w:r w:rsidRPr="001C4D15">
        <w:t xml:space="preserve">Both parties incorrectly assert </w:t>
      </w:r>
      <w:r w:rsidRPr="001C4D15" w:rsidR="00BC4C6D">
        <w:t>that</w:t>
      </w:r>
      <w:r w:rsidRPr="001C4D15" w:rsidR="006F4FD3">
        <w:t xml:space="preserve"> the PUCO cannot take administrative notice of Part F because the record in this case is closed</w:t>
      </w:r>
      <w:r w:rsidRPr="001C4D15" w:rsidR="00BC4C6D">
        <w:t>.</w:t>
      </w:r>
      <w:r>
        <w:rPr>
          <w:rStyle w:val="FootnoteReference"/>
        </w:rPr>
        <w:footnoteReference w:id="6"/>
      </w:r>
      <w:r w:rsidRPr="001C4D15" w:rsidR="00BC4C6D">
        <w:t xml:space="preserve"> But</w:t>
      </w:r>
      <w:r w:rsidRPr="001C4D15" w:rsidR="006F4FD3">
        <w:t xml:space="preserve">, </w:t>
      </w:r>
      <w:r w:rsidRPr="001C4D15" w:rsidR="00BC4C6D">
        <w:t xml:space="preserve">OCC </w:t>
      </w:r>
      <w:r w:rsidRPr="001C4D15" w:rsidR="004A130A">
        <w:t xml:space="preserve">established that consumer education and retail settlement system costs were transition costs </w:t>
      </w:r>
      <w:r w:rsidRPr="001C4D15" w:rsidR="006F4FD3">
        <w:t>during its cross</w:t>
      </w:r>
      <w:r w:rsidRPr="001C4D15" w:rsidR="004D32E5">
        <w:t>-</w:t>
      </w:r>
      <w:r w:rsidRPr="001C4D15" w:rsidR="006F4FD3">
        <w:t>examination of AES Ohio witness</w:t>
      </w:r>
      <w:r w:rsidRPr="001C4D15" w:rsidR="00BC4C6D">
        <w:t xml:space="preserve"> Sharon Schroder</w:t>
      </w:r>
      <w:r w:rsidRPr="001C4D15" w:rsidR="004A130A">
        <w:t>.</w:t>
      </w:r>
      <w:r>
        <w:rPr>
          <w:rStyle w:val="FootnoteReference"/>
        </w:rPr>
        <w:footnoteReference w:id="7"/>
      </w:r>
      <w:r w:rsidRPr="001C4D15" w:rsidR="004A130A">
        <w:t xml:space="preserve"> This gave </w:t>
      </w:r>
      <w:r w:rsidRPr="001C4D15" w:rsidR="006F4FD3">
        <w:t>parties adequate notice and opportunity to respond</w:t>
      </w:r>
      <w:r w:rsidRPr="001C4D15" w:rsidR="00BC4C6D">
        <w:t xml:space="preserve">. </w:t>
      </w:r>
      <w:r w:rsidRPr="001C4D15">
        <w:t>But they chose not to.</w:t>
      </w:r>
    </w:p>
    <w:p w:rsidR="00C777BB" w:rsidRPr="001C4D15" w:rsidP="00BC4C6D" w14:paraId="7997C16B" w14:textId="72564A8D">
      <w:pPr>
        <w:spacing w:line="480" w:lineRule="auto"/>
        <w:ind w:firstLine="720"/>
      </w:pPr>
      <w:r w:rsidRPr="001C4D15">
        <w:t>Further, PUCO Staff and AES Ohio argue Part F is inappropriate for judicial notice because it is in dispute that the costs in question are transition costs.</w:t>
      </w:r>
      <w:r>
        <w:rPr>
          <w:rStyle w:val="FootnoteReference"/>
        </w:rPr>
        <w:footnoteReference w:id="8"/>
      </w:r>
      <w:r w:rsidRPr="001C4D15">
        <w:t xml:space="preserve"> </w:t>
      </w:r>
      <w:r w:rsidRPr="001C4D15" w:rsidR="00671BC7">
        <w:t>Res judicata and collateral estoppel preclude these arguments</w:t>
      </w:r>
      <w:r w:rsidRPr="001C4D15" w:rsidR="00EB24D5">
        <w:t>.</w:t>
      </w:r>
      <w:r w:rsidRPr="001C4D15" w:rsidR="002B7E49">
        <w:t xml:space="preserve"> </w:t>
      </w:r>
      <w:r w:rsidRPr="001C4D15" w:rsidR="00EB24D5">
        <w:t>The</w:t>
      </w:r>
      <w:r w:rsidRPr="001C4D15" w:rsidR="002B7E49">
        <w:t xml:space="preserve"> </w:t>
      </w:r>
      <w:r w:rsidRPr="001C4D15" w:rsidR="00671BC7">
        <w:t>PUCO explicitly found otherwise</w:t>
      </w:r>
      <w:r w:rsidRPr="001C4D15">
        <w:t xml:space="preserve"> in its Opinion </w:t>
      </w:r>
      <w:r w:rsidRPr="001C4D15" w:rsidR="004D32E5">
        <w:t>and</w:t>
      </w:r>
      <w:r w:rsidRPr="001C4D15">
        <w:t xml:space="preserve"> Order approving AES Ohio’s electric transition plan in Case No. 99-1687-EL-ETP. For these reasons, the PUCO should take administrative notice of </w:t>
      </w:r>
      <w:r w:rsidRPr="001C4D15" w:rsidR="006F4FD3">
        <w:t xml:space="preserve">Part F. </w:t>
      </w:r>
    </w:p>
    <w:p w:rsidR="002A4820" w:rsidRPr="001C4D15" w:rsidP="002A4820" w14:paraId="6EDA53C6" w14:textId="77777777">
      <w:pPr>
        <w:ind w:firstLine="720"/>
      </w:pPr>
    </w:p>
    <w:p w:rsidR="0091042E" w:rsidRPr="001C4D15" w:rsidP="002E770A" w14:paraId="6AA1BB3A" w14:textId="29EE4602">
      <w:pPr>
        <w:pStyle w:val="Heading1"/>
      </w:pPr>
      <w:bookmarkStart w:id="3" w:name="_Toc108105741"/>
      <w:bookmarkStart w:id="4" w:name="_Toc136504220"/>
      <w:r w:rsidRPr="001C4D15">
        <w:t>II.</w:t>
      </w:r>
      <w:r w:rsidRPr="001C4D15">
        <w:tab/>
        <w:t>ARGUMENT</w:t>
      </w:r>
      <w:bookmarkEnd w:id="3"/>
      <w:bookmarkEnd w:id="4"/>
    </w:p>
    <w:p w:rsidR="0091042E" w:rsidRPr="001C4D15" w:rsidP="006C4625" w14:paraId="25CFB67D" w14:textId="19124442">
      <w:pPr>
        <w:pStyle w:val="Heading2"/>
        <w:rPr>
          <w:rFonts w:ascii="Times New Roman" w:hAnsi="Times New Roman"/>
        </w:rPr>
      </w:pPr>
      <w:bookmarkStart w:id="5" w:name="_Toc108105742"/>
      <w:bookmarkStart w:id="6" w:name="_Toc136504221"/>
      <w:r w:rsidRPr="001C4D15">
        <w:rPr>
          <w:rFonts w:ascii="Times New Roman" w:hAnsi="Times New Roman"/>
        </w:rPr>
        <w:t xml:space="preserve">AES Ohio and PUCO Staff’s claim that </w:t>
      </w:r>
      <w:r w:rsidRPr="001C4D15" w:rsidR="00E21082">
        <w:rPr>
          <w:rFonts w:ascii="Times New Roman" w:hAnsi="Times New Roman"/>
        </w:rPr>
        <w:t xml:space="preserve">the PUCO cannot take administrative notice </w:t>
      </w:r>
      <w:r w:rsidRPr="001C4D15" w:rsidR="004A130A">
        <w:rPr>
          <w:rFonts w:ascii="Times New Roman" w:hAnsi="Times New Roman"/>
        </w:rPr>
        <w:t xml:space="preserve">of </w:t>
      </w:r>
      <w:r w:rsidRPr="001C4D15" w:rsidR="00E21082">
        <w:rPr>
          <w:rFonts w:ascii="Times New Roman" w:hAnsi="Times New Roman"/>
        </w:rPr>
        <w:t>Part F</w:t>
      </w:r>
      <w:r w:rsidRPr="001C4D15" w:rsidR="004A130A">
        <w:rPr>
          <w:rFonts w:ascii="Times New Roman" w:hAnsi="Times New Roman"/>
        </w:rPr>
        <w:t xml:space="preserve"> </w:t>
      </w:r>
      <w:r w:rsidRPr="001C4D15" w:rsidR="00E21082">
        <w:rPr>
          <w:rFonts w:ascii="Times New Roman" w:hAnsi="Times New Roman"/>
        </w:rPr>
        <w:t>because the record in this case is closed</w:t>
      </w:r>
      <w:r w:rsidRPr="001C4D15">
        <w:rPr>
          <w:rFonts w:ascii="Times New Roman" w:hAnsi="Times New Roman"/>
        </w:rPr>
        <w:t xml:space="preserve"> </w:t>
      </w:r>
      <w:r w:rsidRPr="001C4D15" w:rsidR="00F9674D">
        <w:rPr>
          <w:rFonts w:ascii="Times New Roman" w:hAnsi="Times New Roman"/>
        </w:rPr>
        <w:t>has</w:t>
      </w:r>
      <w:r w:rsidRPr="001C4D15">
        <w:rPr>
          <w:rFonts w:ascii="Times New Roman" w:hAnsi="Times New Roman"/>
        </w:rPr>
        <w:t xml:space="preserve"> no merit. </w:t>
      </w:r>
      <w:bookmarkEnd w:id="5"/>
      <w:r w:rsidRPr="001C4D15" w:rsidR="00382776">
        <w:rPr>
          <w:rFonts w:ascii="Times New Roman" w:hAnsi="Times New Roman"/>
        </w:rPr>
        <w:t>OCC timely raised this issue during its cross</w:t>
      </w:r>
      <w:r w:rsidRPr="001C4D15" w:rsidR="004D32E5">
        <w:rPr>
          <w:rFonts w:ascii="Times New Roman" w:hAnsi="Times New Roman"/>
        </w:rPr>
        <w:t>-</w:t>
      </w:r>
      <w:r w:rsidRPr="001C4D15" w:rsidR="00382776">
        <w:rPr>
          <w:rFonts w:ascii="Times New Roman" w:hAnsi="Times New Roman"/>
        </w:rPr>
        <w:t xml:space="preserve"> examination of Sharon Schroder, providing AES Ohio adequate opportunity to respond at hearing</w:t>
      </w:r>
      <w:r w:rsidRPr="001C4D15" w:rsidR="00EB24D5">
        <w:rPr>
          <w:rFonts w:ascii="Times New Roman" w:hAnsi="Times New Roman"/>
        </w:rPr>
        <w:t>.</w:t>
      </w:r>
      <w:r w:rsidRPr="001C4D15" w:rsidR="002B7E49">
        <w:rPr>
          <w:rFonts w:ascii="Times New Roman" w:hAnsi="Times New Roman"/>
        </w:rPr>
        <w:t xml:space="preserve"> </w:t>
      </w:r>
      <w:r w:rsidRPr="001C4D15" w:rsidR="00EB24D5">
        <w:rPr>
          <w:rFonts w:ascii="Times New Roman" w:hAnsi="Times New Roman"/>
        </w:rPr>
        <w:t>Moreover,</w:t>
      </w:r>
      <w:r w:rsidRPr="001C4D15" w:rsidR="002B7E49">
        <w:rPr>
          <w:rFonts w:ascii="Times New Roman" w:hAnsi="Times New Roman"/>
        </w:rPr>
        <w:t xml:space="preserve"> </w:t>
      </w:r>
      <w:r w:rsidRPr="001C4D15" w:rsidR="00F9674D">
        <w:rPr>
          <w:rFonts w:ascii="Times New Roman" w:hAnsi="Times New Roman"/>
        </w:rPr>
        <w:t>in</w:t>
      </w:r>
      <w:r w:rsidRPr="001C4D15" w:rsidR="00382776">
        <w:rPr>
          <w:rFonts w:ascii="Times New Roman" w:hAnsi="Times New Roman"/>
        </w:rPr>
        <w:t xml:space="preserve"> its reply </w:t>
      </w:r>
      <w:r w:rsidRPr="001C4D15" w:rsidR="004A130A">
        <w:rPr>
          <w:rFonts w:ascii="Times New Roman" w:hAnsi="Times New Roman"/>
        </w:rPr>
        <w:t>to OCC’s pending motion</w:t>
      </w:r>
      <w:r w:rsidRPr="001C4D15" w:rsidR="00EB24D5">
        <w:rPr>
          <w:rFonts w:ascii="Times New Roman" w:hAnsi="Times New Roman"/>
        </w:rPr>
        <w:t>, as well as in its briefs, it has the opportunity to respond.</w:t>
      </w:r>
      <w:r w:rsidRPr="001C4D15" w:rsidR="002B7E49">
        <w:rPr>
          <w:rFonts w:ascii="Times New Roman" w:hAnsi="Times New Roman"/>
        </w:rPr>
        <w:t xml:space="preserve"> </w:t>
      </w:r>
      <w:bookmarkEnd w:id="6"/>
    </w:p>
    <w:p w:rsidR="004E28A8" w:rsidRPr="001C4D15" w:rsidP="004E28A8" w14:paraId="2CE3DD06" w14:textId="5AA4BFB6">
      <w:pPr>
        <w:spacing w:line="480" w:lineRule="auto"/>
        <w:ind w:firstLine="720"/>
        <w:rPr>
          <w:color w:val="000000" w:themeColor="text1"/>
        </w:rPr>
      </w:pPr>
      <w:r w:rsidRPr="001C4D15">
        <w:rPr>
          <w:color w:val="000000" w:themeColor="text1"/>
        </w:rPr>
        <w:t>AES Ohio and PUCO Staff oppose OCC’s request for administrative notice because the evidentiary hearing in this case has concluded.</w:t>
      </w:r>
      <w:r>
        <w:rPr>
          <w:rStyle w:val="FootnoteReference"/>
          <w:color w:val="000000" w:themeColor="text1"/>
        </w:rPr>
        <w:footnoteReference w:id="9"/>
      </w:r>
      <w:r w:rsidRPr="001C4D15">
        <w:rPr>
          <w:color w:val="000000" w:themeColor="text1"/>
        </w:rPr>
        <w:t xml:space="preserve"> This position contradicts Ohio Supreme Court precedent.</w:t>
      </w:r>
      <w:r>
        <w:rPr>
          <w:rStyle w:val="FootnoteReference"/>
          <w:color w:val="000000" w:themeColor="text1"/>
        </w:rPr>
        <w:footnoteReference w:id="10"/>
      </w:r>
      <w:r w:rsidRPr="001C4D15">
        <w:rPr>
          <w:color w:val="000000" w:themeColor="text1"/>
        </w:rPr>
        <w:t xml:space="preserve"> To qualify for </w:t>
      </w:r>
      <w:r w:rsidRPr="001C4D15" w:rsidR="00131842">
        <w:rPr>
          <w:color w:val="000000" w:themeColor="text1"/>
        </w:rPr>
        <w:t>administrative</w:t>
      </w:r>
      <w:r w:rsidRPr="001C4D15">
        <w:rPr>
          <w:color w:val="000000" w:themeColor="text1"/>
        </w:rPr>
        <w:t xml:space="preserve"> notice, evidence must be introduced at hearing </w:t>
      </w:r>
      <w:r w:rsidRPr="001C4D15">
        <w:rPr>
          <w:b/>
          <w:bCs/>
          <w:color w:val="000000" w:themeColor="text1"/>
        </w:rPr>
        <w:t>or otherwise brought to the knowledge of the interested parties prior to decision with an opportunity to explain and rebut.</w:t>
      </w:r>
      <w:r>
        <w:rPr>
          <w:rStyle w:val="FootnoteReference"/>
          <w:color w:val="000000" w:themeColor="text1"/>
        </w:rPr>
        <w:footnoteReference w:id="11"/>
      </w:r>
      <w:r w:rsidRPr="001C4D15" w:rsidR="005E1BA2">
        <w:rPr>
          <w:color w:val="000000" w:themeColor="text1"/>
        </w:rPr>
        <w:t xml:space="preserve"> OCC meets this standard</w:t>
      </w:r>
      <w:r w:rsidRPr="001C4D15">
        <w:rPr>
          <w:color w:val="000000" w:themeColor="text1"/>
        </w:rPr>
        <w:t xml:space="preserve"> for two reasons</w:t>
      </w:r>
      <w:r w:rsidRPr="001C4D15" w:rsidR="005E1BA2">
        <w:rPr>
          <w:color w:val="000000" w:themeColor="text1"/>
        </w:rPr>
        <w:t>.</w:t>
      </w:r>
    </w:p>
    <w:p w:rsidR="004E28A8" w:rsidRPr="001C4D15" w:rsidP="004E28A8" w14:paraId="3929205A" w14:textId="648BEA05">
      <w:pPr>
        <w:spacing w:line="480" w:lineRule="auto"/>
        <w:ind w:firstLine="720"/>
        <w:rPr>
          <w:color w:val="000000" w:themeColor="text1"/>
        </w:rPr>
      </w:pPr>
      <w:r w:rsidRPr="001C4D15">
        <w:rPr>
          <w:color w:val="000000" w:themeColor="text1"/>
        </w:rPr>
        <w:t xml:space="preserve">First, </w:t>
      </w:r>
      <w:r w:rsidRPr="001C4D15" w:rsidR="005E1BA2">
        <w:rPr>
          <w:color w:val="000000" w:themeColor="text1"/>
        </w:rPr>
        <w:t xml:space="preserve">OCC </w:t>
      </w:r>
      <w:r w:rsidRPr="001C4D15">
        <w:rPr>
          <w:i/>
          <w:iCs/>
          <w:color w:val="000000" w:themeColor="text1"/>
        </w:rPr>
        <w:t xml:space="preserve">did </w:t>
      </w:r>
      <w:r w:rsidRPr="001C4D15">
        <w:rPr>
          <w:color w:val="000000" w:themeColor="text1"/>
        </w:rPr>
        <w:t>raise at hearing</w:t>
      </w:r>
      <w:r w:rsidRPr="001C4D15" w:rsidR="005E1BA2">
        <w:rPr>
          <w:color w:val="000000" w:themeColor="text1"/>
        </w:rPr>
        <w:t xml:space="preserve"> that </w:t>
      </w:r>
      <w:r w:rsidRPr="001C4D15">
        <w:rPr>
          <w:color w:val="000000" w:themeColor="text1"/>
        </w:rPr>
        <w:t xml:space="preserve">deferrals AES Ohio seeks to </w:t>
      </w:r>
      <w:r w:rsidRPr="001C4D15" w:rsidR="00EB24D5">
        <w:rPr>
          <w:color w:val="000000" w:themeColor="text1"/>
        </w:rPr>
        <w:t xml:space="preserve">collect from consumers </w:t>
      </w:r>
      <w:r w:rsidRPr="001C4D15">
        <w:rPr>
          <w:color w:val="000000" w:themeColor="text1"/>
        </w:rPr>
        <w:t>in this case</w:t>
      </w:r>
      <w:r w:rsidRPr="001C4D15" w:rsidR="005E1BA2">
        <w:rPr>
          <w:color w:val="000000" w:themeColor="text1"/>
        </w:rPr>
        <w:t xml:space="preserve"> constitute transition costs</w:t>
      </w:r>
      <w:r w:rsidR="00745830">
        <w:rPr>
          <w:color w:val="000000" w:themeColor="text1"/>
        </w:rPr>
        <w:t>.</w:t>
      </w:r>
      <w:r w:rsidRPr="001C4D15" w:rsidR="005E1BA2">
        <w:rPr>
          <w:color w:val="000000" w:themeColor="text1"/>
        </w:rPr>
        <w:t xml:space="preserve"> </w:t>
      </w:r>
      <w:r w:rsidRPr="001C4D15" w:rsidR="00131842">
        <w:rPr>
          <w:color w:val="000000" w:themeColor="text1"/>
        </w:rPr>
        <w:t>On cross</w:t>
      </w:r>
      <w:r w:rsidRPr="001C4D15" w:rsidR="004D32E5">
        <w:rPr>
          <w:color w:val="000000" w:themeColor="text1"/>
        </w:rPr>
        <w:t>-</w:t>
      </w:r>
      <w:r w:rsidRPr="001C4D15" w:rsidR="00131842">
        <w:rPr>
          <w:color w:val="000000" w:themeColor="text1"/>
        </w:rPr>
        <w:t xml:space="preserve">examination, </w:t>
      </w:r>
      <w:r w:rsidRPr="001C4D15">
        <w:rPr>
          <w:color w:val="000000" w:themeColor="text1"/>
        </w:rPr>
        <w:t>AES Ohio witness Sharon Schroder confirmed that deferrals it now seeks to collect were created in DP&amp;L’s electric transition plan filing in Case No. 99-1687-EL-ETP</w:t>
      </w:r>
      <w:r>
        <w:rPr>
          <w:rStyle w:val="FootnoteReference"/>
          <w:color w:val="000000" w:themeColor="text1"/>
        </w:rPr>
        <w:footnoteReference w:id="12"/>
      </w:r>
      <w:r w:rsidRPr="001C4D15" w:rsidR="00223C21">
        <w:rPr>
          <w:color w:val="000000" w:themeColor="text1"/>
        </w:rPr>
        <w:t>:</w:t>
      </w:r>
    </w:p>
    <w:p w:rsidR="00705B2D" w:rsidRPr="001C4D15" w:rsidP="00BD4318" w14:paraId="49B96191" w14:textId="13AFF425">
      <w:pPr>
        <w:ind w:left="720" w:right="720"/>
        <w:rPr>
          <w:color w:val="000000" w:themeColor="text1"/>
        </w:rPr>
      </w:pPr>
      <w:r w:rsidRPr="001C4D15">
        <w:rPr>
          <w:color w:val="000000" w:themeColor="text1"/>
        </w:rPr>
        <w:t>Q. (Ms. Willis) “And you reference in your response” (to OCC Exhibit 9) “the Consumer Education Campaign regulatory asset. Do you see that?</w:t>
      </w:r>
    </w:p>
    <w:p w:rsidR="00705B2D" w:rsidRPr="001C4D15" w:rsidP="00BD4318" w14:paraId="7CDD1875" w14:textId="77777777">
      <w:pPr>
        <w:ind w:right="720" w:firstLine="720"/>
        <w:rPr>
          <w:color w:val="000000" w:themeColor="text1"/>
        </w:rPr>
      </w:pPr>
    </w:p>
    <w:p w:rsidR="00705B2D" w:rsidRPr="001C4D15" w:rsidP="002A4820" w14:paraId="2A6AA8E1" w14:textId="3F9E67D7">
      <w:pPr>
        <w:ind w:right="720" w:firstLine="720"/>
        <w:rPr>
          <w:color w:val="000000" w:themeColor="text1"/>
        </w:rPr>
      </w:pPr>
      <w:r w:rsidRPr="001C4D15">
        <w:rPr>
          <w:color w:val="000000" w:themeColor="text1"/>
        </w:rPr>
        <w:t>A. (Ms. Schroder) I see that one.”</w:t>
      </w:r>
    </w:p>
    <w:p w:rsidR="004D32E5" w:rsidRPr="001C4D15" w:rsidP="00BD4318" w14:paraId="024A8B03" w14:textId="77777777">
      <w:pPr>
        <w:ind w:right="720" w:firstLine="720"/>
        <w:rPr>
          <w:color w:val="000000" w:themeColor="text1"/>
        </w:rPr>
      </w:pPr>
    </w:p>
    <w:p w:rsidR="00705B2D" w:rsidRPr="001C4D15" w:rsidP="00BD4318" w14:paraId="0F291F98" w14:textId="3F2A6544">
      <w:pPr>
        <w:ind w:left="720" w:right="720"/>
        <w:rPr>
          <w:color w:val="000000" w:themeColor="text1"/>
        </w:rPr>
      </w:pPr>
      <w:r w:rsidRPr="001C4D15">
        <w:rPr>
          <w:color w:val="000000" w:themeColor="text1"/>
        </w:rPr>
        <w:t xml:space="preserve">Q. “Was that the regulatory asset created under DP&amp;L’s Electric Transition Plan Settlement Agreement under Case No. 99-1687-EL-ETP?” </w:t>
      </w:r>
    </w:p>
    <w:p w:rsidR="00223C21" w:rsidRPr="001C4D15" w:rsidP="00BD4318" w14:paraId="0E9F9F6D" w14:textId="77777777">
      <w:pPr>
        <w:ind w:left="720" w:right="720"/>
        <w:rPr>
          <w:color w:val="000000" w:themeColor="text1"/>
        </w:rPr>
      </w:pPr>
    </w:p>
    <w:p w:rsidR="00223C21" w:rsidRPr="001C4D15" w:rsidP="00BD4318" w14:paraId="388C07DE" w14:textId="77D125AB">
      <w:pPr>
        <w:ind w:left="720" w:right="720"/>
        <w:rPr>
          <w:color w:val="000000" w:themeColor="text1"/>
        </w:rPr>
      </w:pPr>
      <w:r w:rsidRPr="001C4D15">
        <w:rPr>
          <w:color w:val="000000" w:themeColor="text1"/>
        </w:rPr>
        <w:t>***</w:t>
      </w:r>
    </w:p>
    <w:p w:rsidR="00705B2D" w:rsidRPr="001C4D15" w:rsidP="00BD4318" w14:paraId="26D5E81A" w14:textId="77777777">
      <w:pPr>
        <w:ind w:left="720" w:right="720"/>
        <w:rPr>
          <w:color w:val="000000" w:themeColor="text1"/>
        </w:rPr>
      </w:pPr>
    </w:p>
    <w:p w:rsidR="00705B2D" w:rsidRPr="001C4D15" w:rsidP="002A4820" w14:paraId="171D79AB" w14:textId="422C7B48">
      <w:pPr>
        <w:ind w:right="720" w:firstLine="720"/>
        <w:rPr>
          <w:color w:val="000000" w:themeColor="text1"/>
        </w:rPr>
      </w:pPr>
      <w:r w:rsidRPr="001C4D15">
        <w:rPr>
          <w:color w:val="000000" w:themeColor="text1"/>
        </w:rPr>
        <w:t>A.</w:t>
      </w:r>
      <w:r w:rsidRPr="001C4D15" w:rsidR="002B7E49">
        <w:rPr>
          <w:color w:val="000000" w:themeColor="text1"/>
        </w:rPr>
        <w:t xml:space="preserve"> </w:t>
      </w:r>
      <w:r w:rsidRPr="001C4D15" w:rsidR="00223C21">
        <w:rPr>
          <w:color w:val="000000" w:themeColor="text1"/>
        </w:rPr>
        <w:t>“</w:t>
      </w:r>
      <w:r w:rsidRPr="001C4D15">
        <w:rPr>
          <w:color w:val="000000" w:themeColor="text1"/>
        </w:rPr>
        <w:t>Yes.</w:t>
      </w:r>
      <w:r w:rsidRPr="001C4D15" w:rsidR="00223C21">
        <w:rPr>
          <w:color w:val="000000" w:themeColor="text1"/>
        </w:rPr>
        <w:t>”</w:t>
      </w:r>
      <w:r w:rsidRPr="001C4D15">
        <w:rPr>
          <w:color w:val="000000" w:themeColor="text1"/>
        </w:rPr>
        <w:t xml:space="preserve"> </w:t>
      </w:r>
    </w:p>
    <w:p w:rsidR="004D32E5" w:rsidRPr="001C4D15" w:rsidP="00BD4318" w14:paraId="0150BE18" w14:textId="77777777">
      <w:pPr>
        <w:ind w:right="720" w:firstLine="720"/>
        <w:rPr>
          <w:color w:val="000000" w:themeColor="text1"/>
        </w:rPr>
      </w:pPr>
    </w:p>
    <w:p w:rsidR="00705B2D" w:rsidRPr="001C4D15" w:rsidP="002A4820" w14:paraId="11975ABF" w14:textId="6DD97403">
      <w:pPr>
        <w:ind w:left="720" w:right="720"/>
        <w:rPr>
          <w:color w:val="000000" w:themeColor="text1"/>
        </w:rPr>
      </w:pPr>
      <w:r w:rsidRPr="001C4D15">
        <w:rPr>
          <w:color w:val="000000" w:themeColor="text1"/>
        </w:rPr>
        <w:t>Q.</w:t>
      </w:r>
      <w:r w:rsidRPr="001C4D15" w:rsidR="002B7E49">
        <w:rPr>
          <w:color w:val="000000" w:themeColor="text1"/>
        </w:rPr>
        <w:t xml:space="preserve"> </w:t>
      </w:r>
      <w:r w:rsidRPr="001C4D15" w:rsidR="00223C21">
        <w:rPr>
          <w:color w:val="000000" w:themeColor="text1"/>
        </w:rPr>
        <w:t>“</w:t>
      </w:r>
      <w:r w:rsidRPr="001C4D15">
        <w:rPr>
          <w:color w:val="000000" w:themeColor="text1"/>
        </w:rPr>
        <w:t>Now, there's also a Retail Settlement System regulatory asset created in Case No. 99-1687-EL-ETP, correct?</w:t>
      </w:r>
    </w:p>
    <w:p w:rsidR="004D32E5" w:rsidRPr="001C4D15" w:rsidP="00BD4318" w14:paraId="246A581E" w14:textId="77777777">
      <w:pPr>
        <w:ind w:left="720" w:right="720"/>
        <w:rPr>
          <w:rFonts w:eastAsiaTheme="minorHAnsi"/>
          <w:color w:val="000000" w:themeColor="text1"/>
        </w:rPr>
      </w:pPr>
    </w:p>
    <w:p w:rsidR="00705B2D" w:rsidRPr="001C4D15" w:rsidP="002A4820" w14:paraId="76811D5C" w14:textId="133F1B9C">
      <w:pPr>
        <w:ind w:right="720" w:firstLine="720"/>
        <w:rPr>
          <w:color w:val="000000" w:themeColor="text1"/>
        </w:rPr>
      </w:pPr>
      <w:r w:rsidRPr="001C4D15">
        <w:rPr>
          <w:color w:val="000000" w:themeColor="text1"/>
        </w:rPr>
        <w:t>A. Yes.</w:t>
      </w:r>
    </w:p>
    <w:p w:rsidR="004D32E5" w:rsidRPr="001C4D15" w:rsidP="00BD4318" w14:paraId="0C136794" w14:textId="77777777">
      <w:pPr>
        <w:ind w:right="720" w:firstLine="720"/>
        <w:rPr>
          <w:color w:val="000000" w:themeColor="text1"/>
        </w:rPr>
      </w:pPr>
    </w:p>
    <w:p w:rsidR="00705B2D" w:rsidRPr="001C4D15" w:rsidP="002A4820" w14:paraId="39CD3EEC" w14:textId="77777777">
      <w:pPr>
        <w:ind w:left="720" w:right="720"/>
        <w:rPr>
          <w:color w:val="000000" w:themeColor="text1"/>
        </w:rPr>
      </w:pPr>
      <w:r w:rsidRPr="001C4D15">
        <w:rPr>
          <w:color w:val="000000" w:themeColor="text1"/>
        </w:rPr>
        <w:t>Q. And that was also created under DP&amp;L's Electric Transition Plan Settlement Agreement under that case, correct?</w:t>
      </w:r>
    </w:p>
    <w:p w:rsidR="004D32E5" w:rsidRPr="001C4D15" w:rsidP="00BD4318" w14:paraId="1A24321C" w14:textId="77777777">
      <w:pPr>
        <w:ind w:left="720" w:right="720"/>
        <w:rPr>
          <w:color w:val="000000" w:themeColor="text1"/>
        </w:rPr>
      </w:pPr>
    </w:p>
    <w:p w:rsidR="004E28A8" w:rsidRPr="001C4D15" w:rsidP="002A4820" w14:paraId="612CDF46" w14:textId="43983390">
      <w:pPr>
        <w:ind w:left="720" w:right="720"/>
        <w:rPr>
          <w:color w:val="000000" w:themeColor="text1"/>
        </w:rPr>
      </w:pPr>
      <w:r w:rsidRPr="001C4D15">
        <w:rPr>
          <w:color w:val="000000" w:themeColor="text1"/>
        </w:rPr>
        <w:t>A.</w:t>
      </w:r>
      <w:r w:rsidRPr="001C4D15" w:rsidR="002B7E49">
        <w:rPr>
          <w:color w:val="000000" w:themeColor="text1"/>
        </w:rPr>
        <w:t xml:space="preserve"> </w:t>
      </w:r>
      <w:r w:rsidRPr="001C4D15">
        <w:rPr>
          <w:color w:val="000000" w:themeColor="text1"/>
        </w:rPr>
        <w:t>I don't recall if it was a Settlement Agreement in that case, but it was created in that case.</w:t>
      </w:r>
      <w:r w:rsidRPr="001C4D15" w:rsidR="00223C21">
        <w:rPr>
          <w:color w:val="000000" w:themeColor="text1"/>
        </w:rPr>
        <w:t>”</w:t>
      </w:r>
    </w:p>
    <w:p w:rsidR="004D32E5" w:rsidRPr="001C4D15" w:rsidP="00BD4318" w14:paraId="14D75C67" w14:textId="77777777">
      <w:pPr>
        <w:ind w:left="720" w:right="1354"/>
        <w:rPr>
          <w:color w:val="000000" w:themeColor="text1"/>
        </w:rPr>
      </w:pPr>
    </w:p>
    <w:p w:rsidR="004E28A8" w:rsidRPr="001C4D15" w:rsidP="00223C21" w14:paraId="7E81A91D" w14:textId="55CBDB3E">
      <w:pPr>
        <w:spacing w:line="480" w:lineRule="auto"/>
        <w:rPr>
          <w:color w:val="000000" w:themeColor="text1"/>
        </w:rPr>
      </w:pPr>
      <w:r w:rsidRPr="001C4D15">
        <w:rPr>
          <w:color w:val="000000" w:themeColor="text1"/>
        </w:rPr>
        <w:tab/>
        <w:t>OCC’s cross</w:t>
      </w:r>
      <w:r w:rsidRPr="001C4D15" w:rsidR="004D32E5">
        <w:rPr>
          <w:color w:val="000000" w:themeColor="text1"/>
        </w:rPr>
        <w:t>-</w:t>
      </w:r>
      <w:r w:rsidRPr="001C4D15">
        <w:rPr>
          <w:color w:val="000000" w:themeColor="text1"/>
        </w:rPr>
        <w:t xml:space="preserve">examination of Sharon Schroder provided AES Ohio an opportunity to explain and rebut OCC’s contention that deferrals AES Ohio seeks to collect in this case are transition costs. AES Ohio instead confirmed OCC’s position: deferred costs associated with consumer education and a retail settlement system </w:t>
      </w:r>
      <w:r w:rsidRPr="001C4D15" w:rsidR="005219B4">
        <w:rPr>
          <w:color w:val="000000" w:themeColor="text1"/>
        </w:rPr>
        <w:t>were created under DP&amp;L’s Electric Transition Plan in Case No. 99-1687-EL-ETP</w:t>
      </w:r>
      <w:r w:rsidRPr="001C4D15">
        <w:rPr>
          <w:color w:val="000000" w:themeColor="text1"/>
        </w:rPr>
        <w:t xml:space="preserve">. And R.C. 4928.40(A) and R.C. 4928.141 provide AES Ohio notice that it can no longer charge consumers for transition costs. </w:t>
      </w:r>
      <w:r w:rsidRPr="001C4D15" w:rsidR="005219B4">
        <w:rPr>
          <w:color w:val="000000" w:themeColor="text1"/>
        </w:rPr>
        <w:t xml:space="preserve">AES </w:t>
      </w:r>
      <w:r w:rsidRPr="001C4D15" w:rsidR="00C3497E">
        <w:rPr>
          <w:color w:val="000000" w:themeColor="text1"/>
        </w:rPr>
        <w:t xml:space="preserve">Ohio (and every other party) </w:t>
      </w:r>
      <w:r w:rsidRPr="001C4D15" w:rsidR="005219B4">
        <w:rPr>
          <w:color w:val="000000" w:themeColor="text1"/>
        </w:rPr>
        <w:t xml:space="preserve">had adequate notice and opportunity to rebut OCC’s opposition to </w:t>
      </w:r>
      <w:r w:rsidRPr="001C4D15" w:rsidR="000C590F">
        <w:rPr>
          <w:color w:val="000000" w:themeColor="text1"/>
        </w:rPr>
        <w:t xml:space="preserve">AES Ohio’s collection of </w:t>
      </w:r>
      <w:r w:rsidRPr="001C4D15" w:rsidR="005219B4">
        <w:rPr>
          <w:color w:val="000000" w:themeColor="text1"/>
        </w:rPr>
        <w:t>consumer education and retail settlement system costs.</w:t>
      </w:r>
    </w:p>
    <w:p w:rsidR="00297E76" w:rsidRPr="001C4D15" w:rsidP="00FF1D7D" w14:paraId="6E950F60" w14:textId="34E0BD1A">
      <w:pPr>
        <w:spacing w:line="480" w:lineRule="auto"/>
        <w:ind w:firstLine="720"/>
        <w:rPr>
          <w:color w:val="000000" w:themeColor="text1"/>
        </w:rPr>
      </w:pPr>
      <w:r w:rsidRPr="001C4D15">
        <w:rPr>
          <w:color w:val="000000" w:themeColor="text1"/>
        </w:rPr>
        <w:t xml:space="preserve">Moreover, </w:t>
      </w:r>
      <w:r w:rsidRPr="001C4D15" w:rsidR="005219B4">
        <w:rPr>
          <w:color w:val="000000" w:themeColor="text1"/>
        </w:rPr>
        <w:t xml:space="preserve">OCC filed </w:t>
      </w:r>
      <w:r w:rsidRPr="001C4D15">
        <w:rPr>
          <w:color w:val="000000" w:themeColor="text1"/>
        </w:rPr>
        <w:t xml:space="preserve">its motion to take administrative notice </w:t>
      </w:r>
      <w:r w:rsidRPr="001C4D15" w:rsidR="005219B4">
        <w:rPr>
          <w:color w:val="000000" w:themeColor="text1"/>
        </w:rPr>
        <w:t>before</w:t>
      </w:r>
      <w:r w:rsidRPr="001C4D15" w:rsidR="005E1BA2">
        <w:rPr>
          <w:color w:val="000000" w:themeColor="text1"/>
        </w:rPr>
        <w:t xml:space="preserve"> the PUCO decided this case</w:t>
      </w:r>
      <w:r w:rsidRPr="001C4D15" w:rsidR="005219B4">
        <w:rPr>
          <w:color w:val="000000" w:themeColor="text1"/>
        </w:rPr>
        <w:t xml:space="preserve">. </w:t>
      </w:r>
      <w:r w:rsidRPr="001C4D15" w:rsidR="00AC65CE">
        <w:rPr>
          <w:color w:val="000000" w:themeColor="text1"/>
        </w:rPr>
        <w:t>Parties including</w:t>
      </w:r>
      <w:r w:rsidRPr="001C4D15" w:rsidR="002B7E49">
        <w:rPr>
          <w:color w:val="000000" w:themeColor="text1"/>
        </w:rPr>
        <w:t xml:space="preserve"> </w:t>
      </w:r>
      <w:r w:rsidRPr="001C4D15" w:rsidR="005E1BA2">
        <w:rPr>
          <w:color w:val="000000" w:themeColor="text1"/>
        </w:rPr>
        <w:t>AES Ohio</w:t>
      </w:r>
      <w:r w:rsidRPr="001C4D15" w:rsidR="00AC65CE">
        <w:rPr>
          <w:color w:val="000000" w:themeColor="text1"/>
        </w:rPr>
        <w:t xml:space="preserve"> and the </w:t>
      </w:r>
      <w:r w:rsidRPr="001C4D15" w:rsidR="00F9674D">
        <w:rPr>
          <w:color w:val="000000" w:themeColor="text1"/>
        </w:rPr>
        <w:t>PUCO</w:t>
      </w:r>
      <w:r w:rsidRPr="001C4D15" w:rsidR="00AC65CE">
        <w:rPr>
          <w:color w:val="000000" w:themeColor="text1"/>
        </w:rPr>
        <w:t xml:space="preserve"> Staff had</w:t>
      </w:r>
      <w:r w:rsidRPr="001C4D15" w:rsidR="002B7E49">
        <w:rPr>
          <w:color w:val="000000" w:themeColor="text1"/>
        </w:rPr>
        <w:t xml:space="preserve"> </w:t>
      </w:r>
      <w:r w:rsidRPr="001C4D15" w:rsidR="005E1BA2">
        <w:rPr>
          <w:color w:val="000000" w:themeColor="text1"/>
        </w:rPr>
        <w:t xml:space="preserve">ample notice </w:t>
      </w:r>
      <w:r w:rsidRPr="001C4D15" w:rsidR="005219B4">
        <w:rPr>
          <w:color w:val="000000" w:themeColor="text1"/>
        </w:rPr>
        <w:t xml:space="preserve">of </w:t>
      </w:r>
      <w:r w:rsidRPr="001C4D15" w:rsidR="00AC65CE">
        <w:rPr>
          <w:color w:val="000000" w:themeColor="text1"/>
        </w:rPr>
        <w:t>the issue.</w:t>
      </w:r>
      <w:r w:rsidRPr="001C4D15" w:rsidR="002B7E49">
        <w:rPr>
          <w:color w:val="000000" w:themeColor="text1"/>
        </w:rPr>
        <w:t xml:space="preserve"> </w:t>
      </w:r>
      <w:r w:rsidRPr="001C4D15" w:rsidR="00AC65CE">
        <w:rPr>
          <w:color w:val="000000" w:themeColor="text1"/>
        </w:rPr>
        <w:t>Parties</w:t>
      </w:r>
      <w:r w:rsidRPr="001C4D15" w:rsidR="002B7E49">
        <w:rPr>
          <w:color w:val="000000" w:themeColor="text1"/>
        </w:rPr>
        <w:t xml:space="preserve"> </w:t>
      </w:r>
      <w:r w:rsidRPr="001C4D15" w:rsidR="005219B4">
        <w:rPr>
          <w:color w:val="000000" w:themeColor="text1"/>
        </w:rPr>
        <w:t xml:space="preserve">had </w:t>
      </w:r>
      <w:r w:rsidR="00D15B47">
        <w:rPr>
          <w:color w:val="000000" w:themeColor="text1"/>
        </w:rPr>
        <w:t xml:space="preserve">the </w:t>
      </w:r>
      <w:r w:rsidRPr="001C4D15" w:rsidR="005219B4">
        <w:rPr>
          <w:color w:val="000000" w:themeColor="text1"/>
        </w:rPr>
        <w:t xml:space="preserve">opportunity </w:t>
      </w:r>
      <w:r w:rsidRPr="001C4D15" w:rsidR="00AC65CE">
        <w:rPr>
          <w:color w:val="000000" w:themeColor="text1"/>
        </w:rPr>
        <w:t>to</w:t>
      </w:r>
      <w:r w:rsidRPr="001C4D15" w:rsidR="002B7E49">
        <w:rPr>
          <w:color w:val="000000" w:themeColor="text1"/>
        </w:rPr>
        <w:t xml:space="preserve"> </w:t>
      </w:r>
      <w:r w:rsidRPr="001C4D15" w:rsidR="005219B4">
        <w:rPr>
          <w:color w:val="000000" w:themeColor="text1"/>
        </w:rPr>
        <w:t xml:space="preserve">rebut OCC’s position </w:t>
      </w:r>
      <w:r w:rsidRPr="001C4D15" w:rsidR="00AC65CE">
        <w:rPr>
          <w:color w:val="000000" w:themeColor="text1"/>
        </w:rPr>
        <w:t>in response to this motion and will have further opportunities in their reply brief.</w:t>
      </w:r>
      <w:r w:rsidRPr="001C4D15" w:rsidR="005219B4">
        <w:rPr>
          <w:color w:val="000000" w:themeColor="text1"/>
        </w:rPr>
        <w:t xml:space="preserve"> OCC timely raised this issue. </w:t>
      </w:r>
    </w:p>
    <w:p w:rsidR="000136E8" w:rsidRPr="001C4D15" w:rsidP="00966CDF" w14:paraId="7ACD1F5A" w14:textId="0F2252F6">
      <w:pPr>
        <w:pStyle w:val="Heading2"/>
        <w:rPr>
          <w:rFonts w:ascii="Times New Roman" w:hAnsi="Times New Roman"/>
        </w:rPr>
      </w:pPr>
      <w:bookmarkStart w:id="7" w:name="_Toc136504222"/>
      <w:r w:rsidRPr="001C4D15">
        <w:rPr>
          <w:rFonts w:ascii="Times New Roman" w:hAnsi="Times New Roman"/>
        </w:rPr>
        <w:t>Because the</w:t>
      </w:r>
      <w:r w:rsidRPr="001C4D15">
        <w:rPr>
          <w:rFonts w:ascii="Times New Roman" w:hAnsi="Times New Roman"/>
        </w:rPr>
        <w:t xml:space="preserve"> PUCO explicitly </w:t>
      </w:r>
      <w:r w:rsidRPr="001C4D15">
        <w:rPr>
          <w:rFonts w:ascii="Times New Roman" w:hAnsi="Times New Roman"/>
        </w:rPr>
        <w:t xml:space="preserve">stated in its Case No. 99-1687-EL-ETP Opinion &amp; Order </w:t>
      </w:r>
      <w:r w:rsidRPr="001C4D15">
        <w:rPr>
          <w:rFonts w:ascii="Times New Roman" w:hAnsi="Times New Roman"/>
        </w:rPr>
        <w:t>that costs related to consumer education and the retail settlement system are transition costs</w:t>
      </w:r>
      <w:r w:rsidRPr="001C4D15">
        <w:rPr>
          <w:rFonts w:ascii="Times New Roman" w:hAnsi="Times New Roman"/>
        </w:rPr>
        <w:t>, c</w:t>
      </w:r>
      <w:r w:rsidRPr="001C4D15">
        <w:rPr>
          <w:rFonts w:ascii="Times New Roman" w:hAnsi="Times New Roman"/>
        </w:rPr>
        <w:t>ollateral estoppel and res judicata bar AES Ohio and PUCO Staff’s arguments to the contrary.</w:t>
      </w:r>
      <w:bookmarkEnd w:id="7"/>
      <w:r w:rsidRPr="001C4D15">
        <w:rPr>
          <w:rFonts w:ascii="Times New Roman" w:hAnsi="Times New Roman"/>
        </w:rPr>
        <w:t xml:space="preserve"> </w:t>
      </w:r>
    </w:p>
    <w:p w:rsidR="00966CDF" w:rsidRPr="001C4D15" w:rsidP="00C777BB" w14:paraId="48524CB5" w14:textId="39E66885">
      <w:pPr>
        <w:spacing w:line="480" w:lineRule="auto"/>
        <w:ind w:firstLine="720"/>
        <w:rPr>
          <w:color w:val="000000" w:themeColor="text1"/>
        </w:rPr>
      </w:pPr>
      <w:r w:rsidRPr="001C4D15">
        <w:rPr>
          <w:color w:val="000000" w:themeColor="text1"/>
        </w:rPr>
        <w:t>PUCO Staff argues AES Ohio’s Amended Application, Part F, to receive transition revenues does not make clear the costs in questions were transition costs under Ohio law.</w:t>
      </w:r>
      <w:r>
        <w:rPr>
          <w:rStyle w:val="FootnoteReference"/>
          <w:color w:val="000000" w:themeColor="text1"/>
        </w:rPr>
        <w:footnoteReference w:id="13"/>
      </w:r>
      <w:r w:rsidRPr="001C4D15">
        <w:rPr>
          <w:color w:val="000000" w:themeColor="text1"/>
        </w:rPr>
        <w:t xml:space="preserve"> Per PUCO Staff, this means the document does not qualify for judicial notice </w:t>
      </w:r>
      <w:r w:rsidRPr="001C4D15" w:rsidR="00C777BB">
        <w:rPr>
          <w:color w:val="000000" w:themeColor="text1"/>
        </w:rPr>
        <w:t>under</w:t>
      </w:r>
      <w:r w:rsidR="001C4D15">
        <w:rPr>
          <w:color w:val="000000" w:themeColor="text1"/>
        </w:rPr>
        <w:t xml:space="preserve"> </w:t>
      </w:r>
      <w:r w:rsidRPr="001C4D15" w:rsidR="00C777BB">
        <w:rPr>
          <w:color w:val="000000" w:themeColor="text1"/>
        </w:rPr>
        <w:t>Ev</w:t>
      </w:r>
      <w:r w:rsidRPr="001C4D15" w:rsidR="000C590F">
        <w:rPr>
          <w:color w:val="000000" w:themeColor="text1"/>
        </w:rPr>
        <w:t>id</w:t>
      </w:r>
      <w:r w:rsidRPr="001C4D15" w:rsidR="00C777BB">
        <w:rPr>
          <w:color w:val="000000" w:themeColor="text1"/>
        </w:rPr>
        <w:t>.R. 201 because there is “reasonable dispute” as to the “adjudicative facts” for which OCC offers it.</w:t>
      </w:r>
      <w:r>
        <w:rPr>
          <w:rStyle w:val="FootnoteReference"/>
          <w:color w:val="000000" w:themeColor="text1"/>
        </w:rPr>
        <w:footnoteReference w:id="14"/>
      </w:r>
      <w:r w:rsidRPr="001C4D15" w:rsidR="00C777BB">
        <w:rPr>
          <w:color w:val="000000" w:themeColor="text1"/>
        </w:rPr>
        <w:t xml:space="preserve"> </w:t>
      </w:r>
      <w:r w:rsidRPr="001C4D15">
        <w:rPr>
          <w:color w:val="000000" w:themeColor="text1"/>
        </w:rPr>
        <w:t>Similarly, AES Ohio argues that the costs it seeks to collect are not transition costs because they are not “directly assignable” to “retail electric generation service,” as R.C. 4928.39(B) requires, or specifically enumerated in R.C. 4928.39, as other collectable costs are.</w:t>
      </w:r>
      <w:r>
        <w:rPr>
          <w:rStyle w:val="FootnoteReference"/>
          <w:color w:val="000000" w:themeColor="text1"/>
        </w:rPr>
        <w:footnoteReference w:id="15"/>
      </w:r>
      <w:r w:rsidRPr="001C4D15">
        <w:rPr>
          <w:color w:val="000000" w:themeColor="text1"/>
        </w:rPr>
        <w:t xml:space="preserve"> AES Ohio argues further that “notwithstanding clauses” in R.C. 4928.143(B) and R.C. 4928.143(B)(2)(h) establish that </w:t>
      </w:r>
      <w:r w:rsidRPr="001C4D15" w:rsidR="00270FFA">
        <w:rPr>
          <w:color w:val="000000" w:themeColor="text1"/>
        </w:rPr>
        <w:t>a utility can collect costs that would otherwise be transition costs if they qualify under the ESP statute.</w:t>
      </w:r>
      <w:r>
        <w:rPr>
          <w:rStyle w:val="FootnoteReference"/>
          <w:color w:val="000000" w:themeColor="text1"/>
        </w:rPr>
        <w:footnoteReference w:id="16"/>
      </w:r>
      <w:r w:rsidRPr="001C4D15" w:rsidR="00270FFA">
        <w:rPr>
          <w:color w:val="000000" w:themeColor="text1"/>
        </w:rPr>
        <w:t xml:space="preserve"> </w:t>
      </w:r>
    </w:p>
    <w:p w:rsidR="004E4DF3" w:rsidRPr="001C4D15" w:rsidP="004E4DF3" w14:paraId="4DF92E83" w14:textId="5FD2E6BB">
      <w:pPr>
        <w:spacing w:line="480" w:lineRule="auto"/>
        <w:ind w:firstLine="720"/>
        <w:rPr>
          <w:color w:val="000000" w:themeColor="text1"/>
        </w:rPr>
      </w:pPr>
      <w:r w:rsidRPr="001C4D15">
        <w:rPr>
          <w:color w:val="000000" w:themeColor="text1"/>
        </w:rPr>
        <w:t>PUCO Staff and AES Ohio are wrong</w:t>
      </w:r>
      <w:r w:rsidRPr="001C4D15" w:rsidR="00AC65CE">
        <w:rPr>
          <w:color w:val="000000" w:themeColor="text1"/>
        </w:rPr>
        <w:t>.</w:t>
      </w:r>
      <w:r w:rsidRPr="001C4D15" w:rsidR="002B7E49">
        <w:rPr>
          <w:color w:val="000000" w:themeColor="text1"/>
        </w:rPr>
        <w:t xml:space="preserve"> </w:t>
      </w:r>
      <w:r w:rsidRPr="001C4D15" w:rsidR="00AC65CE">
        <w:rPr>
          <w:color w:val="000000" w:themeColor="text1"/>
        </w:rPr>
        <w:t>The</w:t>
      </w:r>
      <w:r w:rsidRPr="001C4D15" w:rsidR="002B7E49">
        <w:rPr>
          <w:color w:val="000000" w:themeColor="text1"/>
        </w:rPr>
        <w:t xml:space="preserve"> </w:t>
      </w:r>
      <w:r w:rsidRPr="001C4D15">
        <w:rPr>
          <w:color w:val="000000" w:themeColor="text1"/>
        </w:rPr>
        <w:t xml:space="preserve">consumer education and retail settlement system costs it seeks to collect </w:t>
      </w:r>
      <w:r w:rsidRPr="001C4D15" w:rsidR="00AC65CE">
        <w:rPr>
          <w:color w:val="000000" w:themeColor="text1"/>
        </w:rPr>
        <w:t xml:space="preserve">from consumers </w:t>
      </w:r>
      <w:r w:rsidRPr="001C4D15">
        <w:rPr>
          <w:color w:val="000000" w:themeColor="text1"/>
        </w:rPr>
        <w:t>in this case are transition costs. The September 21, 2000 Order in Case No. 99-1687-EL-ETP</w:t>
      </w:r>
      <w:r w:rsidRPr="001C4D15" w:rsidR="00B724F9">
        <w:rPr>
          <w:color w:val="000000" w:themeColor="text1"/>
        </w:rPr>
        <w:t>, approving AES Ohio’s Electric Transition Plan,</w:t>
      </w:r>
      <w:r w:rsidRPr="001C4D15">
        <w:rPr>
          <w:color w:val="000000" w:themeColor="text1"/>
        </w:rPr>
        <w:t xml:space="preserve"> explicitly states</w:t>
      </w:r>
      <w:r w:rsidRPr="001C4D15">
        <w:rPr>
          <w:color w:val="000000" w:themeColor="text1"/>
        </w:rPr>
        <w:t xml:space="preserve">: </w:t>
      </w:r>
    </w:p>
    <w:p w:rsidR="004E4DF3" w:rsidRPr="001C4D15" w:rsidP="00BD4318" w14:paraId="3520F581" w14:textId="18450B48">
      <w:pPr>
        <w:tabs>
          <w:tab w:val="left" w:pos="7200"/>
        </w:tabs>
        <w:ind w:left="1440" w:right="1440"/>
        <w:rPr>
          <w:color w:val="000000" w:themeColor="text1"/>
        </w:rPr>
      </w:pPr>
      <w:r w:rsidRPr="001C4D15">
        <w:rPr>
          <w:color w:val="000000" w:themeColor="text1"/>
        </w:rPr>
        <w:t xml:space="preserve">Pursuant to Section 4928.39, Revised Code, the </w:t>
      </w:r>
      <w:r w:rsidRPr="001C4D15">
        <w:rPr>
          <w:color w:val="000000" w:themeColor="text1"/>
          <w:u w:val="single"/>
        </w:rPr>
        <w:t>total allowable transition costs</w:t>
      </w:r>
      <w:r w:rsidRPr="001C4D15">
        <w:rPr>
          <w:color w:val="000000" w:themeColor="text1"/>
        </w:rPr>
        <w:t xml:space="preserve"> for DP&amp;L, as agreed to and referenced in the Stipulation, are reasonable and </w:t>
      </w:r>
      <w:r w:rsidRPr="001C4D15">
        <w:rPr>
          <w:color w:val="000000" w:themeColor="text1"/>
          <w:u w:val="single"/>
        </w:rPr>
        <w:t xml:space="preserve">include </w:t>
      </w:r>
      <w:r w:rsidRPr="001C4D15">
        <w:rPr>
          <w:color w:val="000000" w:themeColor="text1"/>
        </w:rPr>
        <w:t>the recovery of $699.2 million of CTC and RTC costs and</w:t>
      </w:r>
      <w:r w:rsidRPr="001C4D15">
        <w:rPr>
          <w:color w:val="000000" w:themeColor="text1"/>
          <w:u w:val="single"/>
        </w:rPr>
        <w:t xml:space="preserve"> an additional $28.6 million in accounting related expenses</w:t>
      </w:r>
      <w:r w:rsidRPr="001C4D15">
        <w:rPr>
          <w:color w:val="000000" w:themeColor="text1"/>
        </w:rPr>
        <w:t>.</w:t>
      </w:r>
      <w:r>
        <w:rPr>
          <w:rStyle w:val="FootnoteReference"/>
          <w:color w:val="000000" w:themeColor="text1"/>
        </w:rPr>
        <w:footnoteReference w:id="17"/>
      </w:r>
      <w:r w:rsidRPr="001C4D15">
        <w:rPr>
          <w:color w:val="000000" w:themeColor="text1"/>
        </w:rPr>
        <w:t xml:space="preserve"> </w:t>
      </w:r>
    </w:p>
    <w:p w:rsidR="004E4DF3" w:rsidRPr="001C4D15" w:rsidP="004E4DF3" w14:paraId="163E68DD" w14:textId="77777777">
      <w:pPr>
        <w:ind w:left="720"/>
        <w:rPr>
          <w:color w:val="000000" w:themeColor="text1"/>
        </w:rPr>
      </w:pPr>
    </w:p>
    <w:p w:rsidR="003810E0" w:rsidRPr="001C4D15" w:rsidP="00131842" w14:paraId="4E503F8A" w14:textId="57668AF7">
      <w:pPr>
        <w:spacing w:line="480" w:lineRule="auto"/>
        <w:ind w:firstLine="720"/>
        <w:rPr>
          <w:color w:val="000000" w:themeColor="text1"/>
        </w:rPr>
      </w:pPr>
      <w:r w:rsidRPr="001C4D15">
        <w:rPr>
          <w:color w:val="000000" w:themeColor="text1"/>
        </w:rPr>
        <w:t xml:space="preserve">The </w:t>
      </w:r>
      <w:r w:rsidRPr="001C4D15" w:rsidR="004E4DF3">
        <w:rPr>
          <w:color w:val="000000" w:themeColor="text1"/>
        </w:rPr>
        <w:t>“$28.6 million in accounting related expenses”</w:t>
      </w:r>
      <w:r w:rsidRPr="001C4D15">
        <w:rPr>
          <w:color w:val="000000" w:themeColor="text1"/>
        </w:rPr>
        <w:t xml:space="preserve"> referenced in the 99-1687-EL-ETP Order are </w:t>
      </w:r>
      <w:r w:rsidRPr="001C4D15" w:rsidR="00C777BB">
        <w:rPr>
          <w:color w:val="000000" w:themeColor="text1"/>
        </w:rPr>
        <w:t>described</w:t>
      </w:r>
      <w:r w:rsidRPr="001C4D15">
        <w:rPr>
          <w:color w:val="000000" w:themeColor="text1"/>
        </w:rPr>
        <w:t xml:space="preserve"> in Part F</w:t>
      </w:r>
      <w:r w:rsidRPr="001C4D15" w:rsidR="006F4FD3">
        <w:rPr>
          <w:color w:val="000000" w:themeColor="text1"/>
        </w:rPr>
        <w:t>, File TC-2</w:t>
      </w:r>
      <w:r w:rsidRPr="001C4D15">
        <w:rPr>
          <w:color w:val="000000" w:themeColor="text1"/>
        </w:rPr>
        <w:t xml:space="preserve"> </w:t>
      </w:r>
      <w:r w:rsidRPr="001C4D15" w:rsidR="00CB044B">
        <w:rPr>
          <w:color w:val="000000" w:themeColor="text1"/>
        </w:rPr>
        <w:t xml:space="preserve">of AES Ohio’s application to receive transition revenues. </w:t>
      </w:r>
      <w:r w:rsidRPr="001C4D15" w:rsidR="00131842">
        <w:t xml:space="preserve">Under the heading “Accounting Order Recovery,” DP&amp;L lists “Consumer Education Costs” and “Settlement System Implementation Costs.” </w:t>
      </w:r>
      <w:r w:rsidRPr="001C4D15" w:rsidR="00CB044B">
        <w:rPr>
          <w:color w:val="000000" w:themeColor="text1"/>
        </w:rPr>
        <w:t xml:space="preserve">These are the deferred costs AES Ohio seeks to collect in this case. </w:t>
      </w:r>
      <w:r w:rsidRPr="001C4D15">
        <w:rPr>
          <w:color w:val="000000" w:themeColor="text1"/>
        </w:rPr>
        <w:t xml:space="preserve">There is no </w:t>
      </w:r>
      <w:r w:rsidRPr="001C4D15" w:rsidR="00F9674D">
        <w:rPr>
          <w:color w:val="000000" w:themeColor="text1"/>
        </w:rPr>
        <w:t>confusion about</w:t>
      </w:r>
      <w:r w:rsidRPr="001C4D15" w:rsidR="00C777BB">
        <w:rPr>
          <w:color w:val="000000" w:themeColor="text1"/>
        </w:rPr>
        <w:t xml:space="preserve"> </w:t>
      </w:r>
      <w:r w:rsidRPr="001C4D15">
        <w:rPr>
          <w:color w:val="000000" w:themeColor="text1"/>
        </w:rPr>
        <w:t xml:space="preserve">what “adjudicative fact” OCC wants in the record, nor is that fact in dispute. </w:t>
      </w:r>
    </w:p>
    <w:p w:rsidR="00E87E5D" w:rsidRPr="001C4D15" w:rsidP="003810E0" w14:paraId="2D4138DC" w14:textId="13EE1454">
      <w:pPr>
        <w:spacing w:line="480" w:lineRule="auto"/>
        <w:ind w:firstLine="720"/>
        <w:rPr>
          <w:color w:val="000000" w:themeColor="text1"/>
        </w:rPr>
      </w:pPr>
      <w:r w:rsidRPr="001C4D15">
        <w:rPr>
          <w:color w:val="000000" w:themeColor="text1"/>
        </w:rPr>
        <w:t xml:space="preserve">AES Ohio’s other arguments – based on novel interpretations of R.C. 4928.39(B), R.C. 4928.143(B) and R.C. 4928.143(B)(2)(h) – that the costs it seeks to collect are not transition costs </w:t>
      </w:r>
      <w:r w:rsidRPr="001C4D15" w:rsidR="000C590F">
        <w:rPr>
          <w:color w:val="000000" w:themeColor="text1"/>
        </w:rPr>
        <w:t xml:space="preserve">– </w:t>
      </w:r>
      <w:r w:rsidRPr="001C4D15">
        <w:rPr>
          <w:color w:val="000000" w:themeColor="text1"/>
        </w:rPr>
        <w:t xml:space="preserve">are precluded by collateral estoppel and </w:t>
      </w:r>
      <w:r w:rsidRPr="001C4D15" w:rsidR="003810E0">
        <w:rPr>
          <w:color w:val="000000" w:themeColor="text1"/>
        </w:rPr>
        <w:t xml:space="preserve">res judicata. Collateral estoppel </w:t>
      </w:r>
      <w:r w:rsidRPr="001C4D15">
        <w:rPr>
          <w:color w:val="000000" w:themeColor="text1"/>
        </w:rPr>
        <w:t>and res judicata preclude</w:t>
      </w:r>
      <w:r w:rsidRPr="001C4D15" w:rsidR="003810E0">
        <w:rPr>
          <w:color w:val="000000" w:themeColor="text1"/>
        </w:rPr>
        <w:t xml:space="preserve"> relitigation of </w:t>
      </w:r>
      <w:r w:rsidRPr="001C4D15">
        <w:rPr>
          <w:color w:val="000000" w:themeColor="text1"/>
        </w:rPr>
        <w:t>causes of action, facts and issues of law that were adjudicated in a prior proceeding.</w:t>
      </w:r>
      <w:r>
        <w:rPr>
          <w:rStyle w:val="FootnoteReference"/>
          <w:color w:val="000000" w:themeColor="text1"/>
        </w:rPr>
        <w:footnoteReference w:id="18"/>
      </w:r>
      <w:r w:rsidRPr="001C4D15" w:rsidR="003810E0">
        <w:rPr>
          <w:color w:val="000000" w:themeColor="text1"/>
        </w:rPr>
        <w:t xml:space="preserve"> Both doctrines apply to </w:t>
      </w:r>
      <w:r w:rsidRPr="001C4D15">
        <w:rPr>
          <w:color w:val="000000" w:themeColor="text1"/>
        </w:rPr>
        <w:t>matters before the PUCO</w:t>
      </w:r>
      <w:r w:rsidRPr="001C4D15" w:rsidR="003810E0">
        <w:rPr>
          <w:color w:val="000000" w:themeColor="text1"/>
        </w:rPr>
        <w:t>.</w:t>
      </w:r>
      <w:r>
        <w:rPr>
          <w:rStyle w:val="FootnoteReference"/>
          <w:color w:val="000000" w:themeColor="text1"/>
        </w:rPr>
        <w:footnoteReference w:id="19"/>
      </w:r>
      <w:r w:rsidRPr="001C4D15" w:rsidR="003810E0">
        <w:rPr>
          <w:color w:val="000000" w:themeColor="text1"/>
        </w:rPr>
        <w:t xml:space="preserve"> Since the PUCO determined in Case No. 99-1687-EL-ETP that “total allowable transition costs” “include” “$28.6 million in accounting related expenses,” which Part F</w:t>
      </w:r>
      <w:r w:rsidRPr="001C4D15" w:rsidR="00CB044B">
        <w:rPr>
          <w:color w:val="000000" w:themeColor="text1"/>
        </w:rPr>
        <w:t>, File TC-2</w:t>
      </w:r>
      <w:r w:rsidRPr="001C4D15" w:rsidR="003810E0">
        <w:rPr>
          <w:color w:val="000000" w:themeColor="text1"/>
        </w:rPr>
        <w:t xml:space="preserve"> </w:t>
      </w:r>
      <w:r w:rsidRPr="001C4D15" w:rsidR="00AC65CE">
        <w:rPr>
          <w:color w:val="000000" w:themeColor="text1"/>
        </w:rPr>
        <w:t>identifies as</w:t>
      </w:r>
      <w:r w:rsidRPr="001C4D15" w:rsidR="002B7E49">
        <w:rPr>
          <w:color w:val="000000" w:themeColor="text1"/>
        </w:rPr>
        <w:t xml:space="preserve"> </w:t>
      </w:r>
      <w:r w:rsidRPr="001C4D15" w:rsidR="003810E0">
        <w:rPr>
          <w:color w:val="000000" w:themeColor="text1"/>
        </w:rPr>
        <w:t xml:space="preserve">consumer education and </w:t>
      </w:r>
      <w:r w:rsidRPr="001C4D15">
        <w:rPr>
          <w:color w:val="000000" w:themeColor="text1"/>
        </w:rPr>
        <w:t>the retail settlement system costs, all PUCO Staff and AES Ohio arguments to the contrary</w:t>
      </w:r>
      <w:r w:rsidRPr="001C4D15" w:rsidR="00C777BB">
        <w:rPr>
          <w:color w:val="000000" w:themeColor="text1"/>
        </w:rPr>
        <w:t xml:space="preserve"> in this proceeding</w:t>
      </w:r>
      <w:r w:rsidRPr="001C4D15">
        <w:rPr>
          <w:color w:val="000000" w:themeColor="text1"/>
        </w:rPr>
        <w:t xml:space="preserve"> are precluded.</w:t>
      </w:r>
      <w:r w:rsidRPr="001C4D15" w:rsidR="00C777BB">
        <w:rPr>
          <w:color w:val="000000" w:themeColor="text1"/>
        </w:rPr>
        <w:t xml:space="preserve"> The PUCO should not allow AES Ohio and PUCO Staff to relitigate matters that have been settled for </w:t>
      </w:r>
      <w:r w:rsidRPr="001C4D15" w:rsidR="00BC4C6D">
        <w:rPr>
          <w:color w:val="000000" w:themeColor="text1"/>
        </w:rPr>
        <w:t xml:space="preserve">more than </w:t>
      </w:r>
      <w:r w:rsidRPr="001C4D15" w:rsidR="00C777BB">
        <w:rPr>
          <w:color w:val="000000" w:themeColor="text1"/>
        </w:rPr>
        <w:t xml:space="preserve">20 years. </w:t>
      </w:r>
    </w:p>
    <w:p w:rsidR="005C394B" w:rsidRPr="001C4D15" w:rsidP="00E01852" w14:paraId="14190EFD" w14:textId="7E66E97A">
      <w:pPr>
        <w:pStyle w:val="Heading2"/>
        <w:rPr>
          <w:rFonts w:ascii="Times New Roman" w:hAnsi="Times New Roman"/>
        </w:rPr>
      </w:pPr>
      <w:bookmarkStart w:id="8" w:name="_Toc136504223"/>
      <w:r w:rsidRPr="001C4D15">
        <w:rPr>
          <w:rFonts w:ascii="Times New Roman" w:hAnsi="Times New Roman"/>
        </w:rPr>
        <w:t>AES Ohio is just plain wrong that the “notwithstanding” provision of R.C. 4928.143(B) allows collection of previously authorized transition charges</w:t>
      </w:r>
      <w:r w:rsidRPr="001C4D15" w:rsidR="00D27953">
        <w:rPr>
          <w:rFonts w:ascii="Times New Roman" w:hAnsi="Times New Roman"/>
        </w:rPr>
        <w:t>.</w:t>
      </w:r>
      <w:bookmarkEnd w:id="8"/>
    </w:p>
    <w:p w:rsidR="005C394B" w:rsidRPr="001C4D15" w:rsidP="005C394B" w14:paraId="170A9FE4" w14:textId="64DB56E7">
      <w:pPr>
        <w:spacing w:line="480" w:lineRule="auto"/>
        <w:ind w:firstLine="720"/>
      </w:pPr>
      <w:r w:rsidRPr="001C4D15">
        <w:t xml:space="preserve">AES Ohio claims that the deferred costs, even if transition costs, would nonetheless be recoverable because </w:t>
      </w:r>
      <w:r w:rsidRPr="001C4D15" w:rsidR="002F1E4D">
        <w:t>of the “notwithstanding clauses” in the ESP statute.</w:t>
      </w:r>
      <w:r>
        <w:rPr>
          <w:rStyle w:val="FootnoteReference"/>
        </w:rPr>
        <w:footnoteReference w:id="20"/>
      </w:r>
      <w:r w:rsidRPr="001C4D15" w:rsidR="002B7E49">
        <w:t xml:space="preserve"> </w:t>
      </w:r>
      <w:r w:rsidRPr="001C4D15" w:rsidR="002F1E4D">
        <w:t>Notwithstanding that there is ONE notwithstanding clause (and not more than one), DP&amp;L is wrong.</w:t>
      </w:r>
      <w:r w:rsidRPr="001C4D15" w:rsidR="002B7E49">
        <w:t xml:space="preserve"> </w:t>
      </w:r>
      <w:r w:rsidRPr="001C4D15" w:rsidR="002F1E4D">
        <w:t>DP&amp;L cites to the 2018 Ohio Supreme Court Opinion</w:t>
      </w:r>
      <w:r w:rsidRPr="001C4D15" w:rsidR="00EE7C6E">
        <w:t>,</w:t>
      </w:r>
      <w:r w:rsidRPr="001C4D15" w:rsidR="002F1E4D">
        <w:rPr>
          <w:i/>
          <w:iCs/>
        </w:rPr>
        <w:t xml:space="preserve"> In re Ohio Power</w:t>
      </w:r>
      <w:r w:rsidRPr="001C4D15" w:rsidR="00EE7C6E">
        <w:rPr>
          <w:i/>
          <w:iCs/>
        </w:rPr>
        <w:t xml:space="preserve"> Co</w:t>
      </w:r>
      <w:r w:rsidRPr="001C4D15" w:rsidR="00EE7C6E">
        <w:t>.</w:t>
      </w:r>
      <w:r w:rsidRPr="001C4D15" w:rsidR="002F1E4D">
        <w:t>, 155 Ohio St.3d 326, 2018-Ohio-4698, ¶</w:t>
      </w:r>
      <w:r w:rsidR="00190A65">
        <w:t xml:space="preserve"> </w:t>
      </w:r>
      <w:r w:rsidRPr="001C4D15" w:rsidR="002F1E4D">
        <w:t>19 to support its mistaken argument.</w:t>
      </w:r>
      <w:r w:rsidRPr="001C4D15" w:rsidR="002B7E49">
        <w:t xml:space="preserve"> </w:t>
      </w:r>
      <w:r w:rsidRPr="001C4D15" w:rsidR="002F1E4D">
        <w:t xml:space="preserve">While the Court did address the </w:t>
      </w:r>
      <w:r w:rsidRPr="001C4D15" w:rsidR="00EE7C6E">
        <w:t>notwithstanding provision under R.C. 4928.143(B), it explicitly acknowledged the countervailing provision in R.C. 4928.141(A), providing that a standard service offer made through an ESP “shall exclude any previously authorized allowances for transition costs, with such exclusion being effective on and after the date that the allowance is scheduled to end under the utility’s rate plan.”</w:t>
      </w:r>
      <w:r>
        <w:rPr>
          <w:rStyle w:val="FootnoteReference"/>
        </w:rPr>
        <w:footnoteReference w:id="21"/>
      </w:r>
      <w:r w:rsidRPr="001C4D15" w:rsidR="002B7E49">
        <w:t xml:space="preserve"> </w:t>
      </w:r>
      <w:r w:rsidRPr="001C4D15" w:rsidR="00B709E4">
        <w:t>Finding that section “inapplicable” because the transition charges were not “previously authorized allowances for transition costs,” the Court rejected OCC’s claim against the collection of transition charge from consumers.</w:t>
      </w:r>
      <w:r>
        <w:rPr>
          <w:rStyle w:val="FootnoteReference"/>
        </w:rPr>
        <w:footnoteReference w:id="22"/>
      </w:r>
      <w:r w:rsidRPr="001C4D15" w:rsidR="002B7E49">
        <w:t xml:space="preserve"> </w:t>
      </w:r>
      <w:r w:rsidRPr="001C4D15" w:rsidR="00B709E4">
        <w:t xml:space="preserve">But here, there are in fact previously authorized allowances for transition charges, making the Court’s ruling </w:t>
      </w:r>
      <w:r w:rsidRPr="001C4D15" w:rsidR="00B709E4">
        <w:rPr>
          <w:i/>
          <w:iCs/>
        </w:rPr>
        <w:t>in In re Ohio Power</w:t>
      </w:r>
      <w:r w:rsidRPr="001C4D15" w:rsidR="00B709E4">
        <w:t xml:space="preserve"> not controlling.</w:t>
      </w:r>
      <w:r w:rsidRPr="001C4D15" w:rsidR="002B7E49">
        <w:t xml:space="preserve"> </w:t>
      </w:r>
    </w:p>
    <w:p w:rsidR="00D5079C" w:rsidRPr="001C4D15" w:rsidP="005C394B" w14:paraId="1EBE1460" w14:textId="1E4F9871">
      <w:pPr>
        <w:spacing w:line="480" w:lineRule="auto"/>
        <w:ind w:firstLine="720"/>
      </w:pPr>
      <w:r w:rsidRPr="001C4D15">
        <w:t>When R.C. 4928.141(A) is applicable, as it is here, it clearly bars the transition charges AES Ohio seeks to collect from its consumers.</w:t>
      </w:r>
      <w:r w:rsidRPr="001C4D15" w:rsidR="002B7E49">
        <w:t xml:space="preserve"> </w:t>
      </w:r>
      <w:r w:rsidRPr="001C4D15">
        <w:t>The words in this subsection are specific, and clear.</w:t>
      </w:r>
      <w:r w:rsidRPr="001C4D15" w:rsidR="002B7E49">
        <w:t xml:space="preserve"> </w:t>
      </w:r>
      <w:r w:rsidRPr="001C4D15">
        <w:t>Previously authorized allowances for transition charges cannot be collected in an electric security plan once the period for collection is over.</w:t>
      </w:r>
      <w:r w:rsidRPr="001C4D15" w:rsidR="002B7E49">
        <w:t xml:space="preserve"> </w:t>
      </w:r>
      <w:r w:rsidRPr="001C4D15">
        <w:t xml:space="preserve">Under R.C. 4928.40, the period for DP&amp;L to collect these previously authorized transition charges </w:t>
      </w:r>
      <w:r w:rsidRPr="001C4D15" w:rsidR="00A620C6">
        <w:t>from consumers ended</w:t>
      </w:r>
      <w:r w:rsidRPr="001C4D15" w:rsidR="002B7E49">
        <w:t xml:space="preserve"> </w:t>
      </w:r>
      <w:r w:rsidRPr="001C4D15">
        <w:t>thirteen years ago.</w:t>
      </w:r>
      <w:r w:rsidRPr="001C4D15" w:rsidR="002B7E49">
        <w:t xml:space="preserve"> </w:t>
      </w:r>
    </w:p>
    <w:p w:rsidR="0050078E" w:rsidRPr="001C4D15" w:rsidP="005C394B" w14:paraId="48C4D717" w14:textId="4583A988">
      <w:pPr>
        <w:spacing w:line="480" w:lineRule="auto"/>
        <w:ind w:firstLine="720"/>
      </w:pPr>
      <w:r w:rsidRPr="001C4D15">
        <w:t>To be sure, the notwithstanding provision of R.C. 4928.143(B) does not trump the prohibition on collecting previously authorized transition charges from consumers under R.C. 4928.141.</w:t>
      </w:r>
      <w:r w:rsidRPr="001C4D15" w:rsidR="002B7E49">
        <w:t xml:space="preserve"> </w:t>
      </w:r>
      <w:r w:rsidRPr="001C4D15">
        <w:t>In fact, the first twelve words of R.C. 4928.143 convey that:</w:t>
      </w:r>
      <w:r w:rsidRPr="001C4D15" w:rsidR="002B7E49">
        <w:t xml:space="preserve"> </w:t>
      </w:r>
      <w:r w:rsidRPr="001C4D15">
        <w:t>“For the purpose of complying with section 4928.141 of the Revised Code***”</w:t>
      </w:r>
      <w:r w:rsidRPr="001C4D15" w:rsidR="002B7E49">
        <w:t xml:space="preserve"> </w:t>
      </w:r>
      <w:r w:rsidRPr="001C4D15">
        <w:t xml:space="preserve">It would make no sense for </w:t>
      </w:r>
      <w:r w:rsidRPr="001C4D15" w:rsidR="00B866B2">
        <w:t>R.C. 4928.143</w:t>
      </w:r>
      <w:r w:rsidRPr="001C4D15">
        <w:t xml:space="preserve"> to </w:t>
      </w:r>
      <w:r w:rsidRPr="001C4D15" w:rsidR="00B866B2">
        <w:t>be internally inconsistent, yet that is how AES Ohio interprets the statute.</w:t>
      </w:r>
      <w:r w:rsidRPr="001C4D15" w:rsidR="002B7E49">
        <w:t xml:space="preserve"> </w:t>
      </w:r>
      <w:r w:rsidRPr="001C4D15" w:rsidR="00B866B2">
        <w:t xml:space="preserve">AES Ohio would have the PUCO believe that the General Assembly knowingly </w:t>
      </w:r>
      <w:r w:rsidRPr="001C4D15" w:rsidR="00F75788">
        <w:t>contradict</w:t>
      </w:r>
      <w:r w:rsidRPr="001C4D15" w:rsidR="00B866B2">
        <w:t>ed</w:t>
      </w:r>
      <w:r w:rsidRPr="001C4D15" w:rsidR="00F75788">
        <w:t xml:space="preserve"> itself by establishing a </w:t>
      </w:r>
      <w:r w:rsidRPr="001C4D15">
        <w:t xml:space="preserve">need to comply with R.C. 4928.141 </w:t>
      </w:r>
      <w:r w:rsidRPr="001C4D15" w:rsidR="00F75788">
        <w:t>(in subsection (A) of 4928.143) and yet in the very next subsection (</w:t>
      </w:r>
      <w:r w:rsidRPr="001C4D15" w:rsidR="00B866B2">
        <w:t>4928.143(B), changed its mind about allowing transition costs</w:t>
      </w:r>
    </w:p>
    <w:p w:rsidR="00D5079C" w:rsidRPr="001C4D15" w:rsidP="005C394B" w14:paraId="66F53ACB" w14:textId="10BF02F4">
      <w:pPr>
        <w:spacing w:line="480" w:lineRule="auto"/>
        <w:ind w:firstLine="720"/>
      </w:pPr>
      <w:r w:rsidRPr="001C4D15">
        <w:t>Instead, in keeping with the principle of in par</w:t>
      </w:r>
      <w:r w:rsidRPr="001C4D15" w:rsidR="0050078E">
        <w:t>i materia, the PUCO must interpret R.C. 4928.143(B) in relation to R.C. 4928.141(A) which is referenced in R.C. 4928.143 and addresses the same issues. Considering those statutes together and interpreting them harmoniously leads to the inescapable conclusion that the “notwithstanding” clause cannot allow previously authorized transition charges to be collected from consumers in a utility’s electric security plan.</w:t>
      </w:r>
      <w:r w:rsidRPr="001C4D15" w:rsidR="002B7E49">
        <w:t xml:space="preserve"> </w:t>
      </w:r>
    </w:p>
    <w:p w:rsidR="00D27953" w:rsidRPr="001C4D15" w:rsidP="00D27953" w14:paraId="5AB60056" w14:textId="77777777">
      <w:pPr>
        <w:ind w:firstLine="720"/>
      </w:pPr>
    </w:p>
    <w:p w:rsidR="00A1585C" w:rsidRPr="001C4D15" w:rsidP="00020587" w14:paraId="76CA1644" w14:textId="1C9A1358">
      <w:pPr>
        <w:pStyle w:val="Heading1"/>
      </w:pPr>
      <w:bookmarkStart w:id="9" w:name="_Toc108105744"/>
      <w:bookmarkStart w:id="10" w:name="_Toc136504224"/>
      <w:r w:rsidRPr="001C4D15">
        <w:t>III.</w:t>
      </w:r>
      <w:r w:rsidRPr="001C4D15">
        <w:tab/>
        <w:t>CONCLUSION</w:t>
      </w:r>
      <w:bookmarkEnd w:id="9"/>
      <w:bookmarkEnd w:id="10"/>
    </w:p>
    <w:p w:rsidR="00C777BB" w:rsidRPr="001C4D15" w:rsidP="00C777BB" w14:paraId="66C53C5B" w14:textId="7D18D7AA">
      <w:pPr>
        <w:spacing w:line="480" w:lineRule="auto"/>
        <w:ind w:firstLine="720"/>
        <w:rPr>
          <w:color w:val="000000" w:themeColor="text1"/>
        </w:rPr>
      </w:pPr>
      <w:r w:rsidRPr="001C4D15">
        <w:rPr>
          <w:color w:val="000000" w:themeColor="text1"/>
        </w:rPr>
        <w:t>The PUCO’s Order in Case No. 99-1687-EL-ETP explicitly states that consumer education and retail settlement system costs are transition costs.</w:t>
      </w:r>
      <w:r w:rsidRPr="001C4D15" w:rsidR="002B7E49">
        <w:rPr>
          <w:color w:val="000000" w:themeColor="text1"/>
        </w:rPr>
        <w:t xml:space="preserve"> </w:t>
      </w:r>
      <w:r w:rsidRPr="001C4D15">
        <w:rPr>
          <w:color w:val="000000" w:themeColor="text1"/>
        </w:rPr>
        <w:t>This renders it an “adjudicative fact</w:t>
      </w:r>
      <w:r w:rsidRPr="001C4D15" w:rsidR="00CB044B">
        <w:rPr>
          <w:color w:val="000000" w:themeColor="text1"/>
        </w:rPr>
        <w:t xml:space="preserve">” “not subject to reasonable dispute,” </w:t>
      </w:r>
      <w:r w:rsidRPr="001C4D15">
        <w:rPr>
          <w:color w:val="000000" w:themeColor="text1"/>
        </w:rPr>
        <w:t>appropriate for judicial notice under</w:t>
      </w:r>
      <w:r w:rsidR="001C4D15">
        <w:rPr>
          <w:color w:val="000000" w:themeColor="text1"/>
        </w:rPr>
        <w:t xml:space="preserve"> </w:t>
      </w:r>
      <w:r w:rsidRPr="001C4D15">
        <w:rPr>
          <w:color w:val="000000" w:themeColor="text1"/>
        </w:rPr>
        <w:t>Ev</w:t>
      </w:r>
      <w:r w:rsidRPr="001C4D15" w:rsidR="000C590F">
        <w:rPr>
          <w:color w:val="000000" w:themeColor="text1"/>
        </w:rPr>
        <w:t>id</w:t>
      </w:r>
      <w:r w:rsidRPr="001C4D15">
        <w:rPr>
          <w:color w:val="000000" w:themeColor="text1"/>
        </w:rPr>
        <w:t xml:space="preserve">.R. 201. </w:t>
      </w:r>
      <w:r w:rsidRPr="001C4D15" w:rsidR="0050078E">
        <w:rPr>
          <w:color w:val="000000" w:themeColor="text1"/>
        </w:rPr>
        <w:t>The judicial principles of r</w:t>
      </w:r>
      <w:r w:rsidRPr="001C4D15" w:rsidR="00CB044B">
        <w:rPr>
          <w:color w:val="000000" w:themeColor="text1"/>
        </w:rPr>
        <w:t>es</w:t>
      </w:r>
      <w:r w:rsidRPr="001C4D15">
        <w:rPr>
          <w:color w:val="000000" w:themeColor="text1"/>
        </w:rPr>
        <w:t xml:space="preserve"> judicata and collateral estoppel</w:t>
      </w:r>
      <w:r w:rsidRPr="001C4D15" w:rsidR="00CB044B">
        <w:rPr>
          <w:color w:val="000000" w:themeColor="text1"/>
        </w:rPr>
        <w:t xml:space="preserve"> </w:t>
      </w:r>
      <w:r w:rsidRPr="001C4D15">
        <w:rPr>
          <w:color w:val="000000" w:themeColor="text1"/>
        </w:rPr>
        <w:t xml:space="preserve">preclude arguments to the contrary. </w:t>
      </w:r>
      <w:r w:rsidRPr="001C4D15" w:rsidR="0050078E">
        <w:rPr>
          <w:color w:val="000000" w:themeColor="text1"/>
        </w:rPr>
        <w:t>The PUCO has spoken.</w:t>
      </w:r>
      <w:r w:rsidRPr="001C4D15" w:rsidR="002B7E49">
        <w:rPr>
          <w:color w:val="000000" w:themeColor="text1"/>
        </w:rPr>
        <w:t xml:space="preserve"> </w:t>
      </w:r>
      <w:r w:rsidRPr="001C4D15">
        <w:rPr>
          <w:color w:val="000000" w:themeColor="text1"/>
        </w:rPr>
        <w:t>The PUCO should take administrative notice of DP&amp;L’s Amended Application, Part F, to receive transition revenues, filed in Case No. 99-1687-EL-ETP.</w:t>
      </w:r>
    </w:p>
    <w:p w:rsidR="007322D5" w:rsidRPr="001C4D15" w:rsidP="00075FC9" w14:paraId="10C36A7A" w14:textId="259311DE">
      <w:pPr>
        <w:pStyle w:val="BodyTextIndent3"/>
        <w:widowControl w:val="0"/>
        <w:spacing w:line="240" w:lineRule="auto"/>
        <w:ind w:left="3600" w:right="-677"/>
        <w:rPr>
          <w:color w:val="000000" w:themeColor="text1"/>
          <w:szCs w:val="24"/>
        </w:rPr>
      </w:pPr>
      <w:r w:rsidRPr="001C4D15">
        <w:rPr>
          <w:szCs w:val="24"/>
        </w:rPr>
        <w:t>Respectfully submitted,</w:t>
      </w:r>
    </w:p>
    <w:p w:rsidR="007322D5" w:rsidRPr="001C4D15" w:rsidP="007322D5" w14:paraId="33D871E2" w14:textId="77777777">
      <w:pPr>
        <w:jc w:val="both"/>
      </w:pPr>
      <w:r w:rsidRPr="001C4D15">
        <w:tab/>
      </w:r>
    </w:p>
    <w:p w:rsidR="006C6868" w:rsidRPr="001C4D15" w:rsidP="006C6868" w14:paraId="583C97D1" w14:textId="77777777">
      <w:pPr>
        <w:ind w:left="3600" w:firstLine="720"/>
      </w:pPr>
      <w:r w:rsidRPr="001C4D15">
        <w:t>Bruce Weston (0016973)</w:t>
      </w:r>
    </w:p>
    <w:p w:rsidR="006C6868" w:rsidRPr="001C4D15" w:rsidP="006C6868" w14:paraId="279909FD" w14:textId="77777777">
      <w:pPr>
        <w:tabs>
          <w:tab w:val="left" w:pos="4320"/>
        </w:tabs>
        <w:ind w:left="4320" w:hanging="450"/>
      </w:pPr>
      <w:r w:rsidRPr="001C4D15">
        <w:tab/>
        <w:t>Ohio Consumers’ Counsel</w:t>
      </w:r>
    </w:p>
    <w:p w:rsidR="006C6868" w:rsidRPr="001C4D15" w:rsidP="006C6868" w14:paraId="3520F951" w14:textId="77777777">
      <w:pPr>
        <w:tabs>
          <w:tab w:val="left" w:pos="4320"/>
        </w:tabs>
        <w:jc w:val="both"/>
        <w:rPr>
          <w:i/>
          <w:iCs/>
          <w:u w:val="single"/>
        </w:rPr>
      </w:pPr>
    </w:p>
    <w:p w:rsidR="006C6868" w:rsidRPr="001C4D15" w:rsidP="006C6868" w14:paraId="6FF64F07" w14:textId="719DC74A">
      <w:pPr>
        <w:tabs>
          <w:tab w:val="left" w:pos="4320"/>
        </w:tabs>
        <w:jc w:val="both"/>
        <w:rPr>
          <w:i/>
          <w:iCs/>
          <w:u w:val="single"/>
        </w:rPr>
      </w:pPr>
      <w:r w:rsidRPr="001C4D15">
        <w:rPr>
          <w:i/>
          <w:iCs/>
        </w:rPr>
        <w:tab/>
      </w:r>
      <w:r w:rsidRPr="001C4D15">
        <w:rPr>
          <w:i/>
          <w:iCs/>
          <w:u w:val="single"/>
        </w:rPr>
        <w:t>/s/ Maureen R. Willis</w:t>
      </w:r>
    </w:p>
    <w:p w:rsidR="006C6868" w:rsidRPr="001C4D15" w:rsidP="006C6868" w14:paraId="4D095A10" w14:textId="77777777">
      <w:pPr>
        <w:tabs>
          <w:tab w:val="left" w:pos="4320"/>
        </w:tabs>
        <w:ind w:left="4320" w:right="-180"/>
      </w:pPr>
      <w:r w:rsidRPr="001C4D15">
        <w:t>Maureen R. Willis (0020847)</w:t>
      </w:r>
    </w:p>
    <w:p w:rsidR="006C6868" w:rsidRPr="001C4D15" w:rsidP="006C6868" w14:paraId="7AD0F625" w14:textId="77777777">
      <w:pPr>
        <w:tabs>
          <w:tab w:val="left" w:pos="4320"/>
        </w:tabs>
        <w:ind w:left="4320" w:right="-180"/>
      </w:pPr>
      <w:r w:rsidRPr="001C4D15">
        <w:t>Legal Director</w:t>
      </w:r>
    </w:p>
    <w:p w:rsidR="006C6868" w:rsidRPr="001C4D15" w:rsidP="006C6868" w14:paraId="3D7FDD95" w14:textId="77777777">
      <w:pPr>
        <w:tabs>
          <w:tab w:val="left" w:pos="4320"/>
        </w:tabs>
        <w:ind w:left="4320" w:right="-180"/>
      </w:pPr>
      <w:r w:rsidRPr="001C4D15">
        <w:t>Counsel of Record</w:t>
      </w:r>
    </w:p>
    <w:p w:rsidR="006C6868" w:rsidRPr="001C4D15" w:rsidP="006C6868" w14:paraId="6D646595" w14:textId="77777777">
      <w:pPr>
        <w:tabs>
          <w:tab w:val="left" w:pos="4320"/>
        </w:tabs>
        <w:ind w:left="4320" w:right="-180"/>
      </w:pPr>
      <w:r w:rsidRPr="001C4D15">
        <w:t>John Finnigan (0018689)</w:t>
      </w:r>
    </w:p>
    <w:p w:rsidR="006C6868" w:rsidRPr="001C4D15" w:rsidP="006C6868" w14:paraId="3F99F7C5" w14:textId="77777777">
      <w:pPr>
        <w:tabs>
          <w:tab w:val="left" w:pos="4320"/>
        </w:tabs>
        <w:ind w:left="4320" w:right="-180"/>
      </w:pPr>
      <w:r w:rsidRPr="001C4D15">
        <w:t>Connor D. Semple (0101102)</w:t>
      </w:r>
      <w:r w:rsidRPr="001C4D15">
        <w:tab/>
      </w:r>
    </w:p>
    <w:p w:rsidR="006C6868" w:rsidRPr="001C4D15" w:rsidP="006C6868" w14:paraId="10C3171D" w14:textId="77777777">
      <w:pPr>
        <w:tabs>
          <w:tab w:val="left" w:pos="4320"/>
        </w:tabs>
        <w:ind w:left="4320" w:right="-180"/>
      </w:pPr>
      <w:r w:rsidRPr="001C4D15">
        <w:t xml:space="preserve">Assistant Consumers’ Counsel </w:t>
      </w:r>
    </w:p>
    <w:p w:rsidR="006C6868" w:rsidRPr="001C4D15" w:rsidP="006C6868" w14:paraId="275A5F25" w14:textId="77777777">
      <w:pPr>
        <w:ind w:left="3600" w:firstLine="720"/>
      </w:pPr>
    </w:p>
    <w:p w:rsidR="006C6868" w:rsidRPr="001C4D15" w:rsidP="006C6868" w14:paraId="5100DD57" w14:textId="77777777">
      <w:pPr>
        <w:ind w:left="3600" w:firstLine="720"/>
        <w:rPr>
          <w:b/>
          <w:bCs/>
        </w:rPr>
      </w:pPr>
      <w:r w:rsidRPr="001C4D15">
        <w:rPr>
          <w:b/>
          <w:bCs/>
        </w:rPr>
        <w:t>Office of the Ohio Consumers’ Counsel</w:t>
      </w:r>
    </w:p>
    <w:p w:rsidR="006C6868" w:rsidRPr="001C4D15" w:rsidP="006C6868" w14:paraId="293836B6" w14:textId="77777777">
      <w:pPr>
        <w:pStyle w:val="PlainText"/>
        <w:ind w:left="3600" w:firstLine="720"/>
        <w:rPr>
          <w:rFonts w:ascii="Times New Roman" w:hAnsi="Times New Roman"/>
          <w:sz w:val="24"/>
          <w:szCs w:val="24"/>
        </w:rPr>
      </w:pPr>
      <w:r w:rsidRPr="001C4D15">
        <w:rPr>
          <w:rFonts w:ascii="Times New Roman" w:hAnsi="Times New Roman"/>
          <w:sz w:val="24"/>
          <w:szCs w:val="24"/>
        </w:rPr>
        <w:t>65 East State Street, Suite 700</w:t>
      </w:r>
    </w:p>
    <w:p w:rsidR="006C6868" w:rsidRPr="001C4D15" w:rsidP="006C6868" w14:paraId="6C97B15E" w14:textId="77777777">
      <w:pPr>
        <w:pStyle w:val="PlainText"/>
        <w:ind w:left="3600" w:firstLine="720"/>
        <w:rPr>
          <w:rFonts w:ascii="Times New Roman" w:hAnsi="Times New Roman"/>
          <w:sz w:val="24"/>
          <w:szCs w:val="24"/>
        </w:rPr>
      </w:pPr>
      <w:r w:rsidRPr="001C4D15">
        <w:rPr>
          <w:rFonts w:ascii="Times New Roman" w:hAnsi="Times New Roman"/>
          <w:sz w:val="24"/>
          <w:szCs w:val="24"/>
        </w:rPr>
        <w:t>Columbus, Ohio 43215</w:t>
      </w:r>
    </w:p>
    <w:p w:rsidR="006C6868" w:rsidRPr="001C4D15" w:rsidP="006C6868" w14:paraId="127C4768" w14:textId="77777777">
      <w:pPr>
        <w:adjustRightInd w:val="0"/>
        <w:ind w:left="4320"/>
      </w:pPr>
      <w:r w:rsidRPr="001C4D15">
        <w:t>Telephone: Willis (614) 466-9567</w:t>
      </w:r>
    </w:p>
    <w:p w:rsidR="006C6868" w:rsidRPr="001C4D15" w:rsidP="006C6868" w14:paraId="44CC15C1" w14:textId="77777777">
      <w:pPr>
        <w:pStyle w:val="ListParagraph"/>
        <w:autoSpaceDE w:val="0"/>
        <w:autoSpaceDN w:val="0"/>
        <w:adjustRightInd w:val="0"/>
        <w:ind w:left="3600" w:firstLine="720"/>
        <w:rPr>
          <w:rFonts w:ascii="Times New Roman" w:hAnsi="Times New Roman" w:cs="Times New Roman"/>
        </w:rPr>
      </w:pPr>
      <w:r w:rsidRPr="001C4D15">
        <w:rPr>
          <w:rFonts w:ascii="Times New Roman" w:hAnsi="Times New Roman" w:cs="Times New Roman"/>
        </w:rPr>
        <w:t>Telephone: Finnigan (614) 466-9585</w:t>
      </w:r>
    </w:p>
    <w:p w:rsidR="006C6868" w:rsidRPr="001C4D15" w:rsidP="006C6868" w14:paraId="646B770F" w14:textId="77777777">
      <w:pPr>
        <w:suppressLineNumbers/>
        <w:ind w:left="4320"/>
      </w:pPr>
      <w:r w:rsidRPr="001C4D15">
        <w:t>Telephone: Semple (614) 466-9565</w:t>
      </w:r>
    </w:p>
    <w:p w:rsidR="006C6868" w:rsidRPr="001C4D15" w:rsidP="006C6868" w14:paraId="09C37483" w14:textId="77777777">
      <w:pPr>
        <w:ind w:left="4320"/>
      </w:pPr>
      <w:hyperlink r:id="rId6" w:history="1">
        <w:r w:rsidRPr="001C4D15">
          <w:rPr>
            <w:rStyle w:val="Hyperlink"/>
          </w:rPr>
          <w:t>maureen.willis@occ.ohio.gov</w:t>
        </w:r>
      </w:hyperlink>
      <w:r w:rsidRPr="001C4D15">
        <w:t xml:space="preserve"> </w:t>
      </w:r>
    </w:p>
    <w:p w:rsidR="006C6868" w:rsidRPr="001C4D15" w:rsidP="006C6868" w14:paraId="2A5974F2" w14:textId="77777777">
      <w:pPr>
        <w:ind w:left="4320"/>
      </w:pPr>
      <w:hyperlink r:id="rId7" w:history="1">
        <w:r w:rsidRPr="001C4D15">
          <w:rPr>
            <w:rStyle w:val="Hyperlink"/>
          </w:rPr>
          <w:t>john.finnigan@occ.ohio.gov</w:t>
        </w:r>
      </w:hyperlink>
    </w:p>
    <w:p w:rsidR="006C6868" w:rsidRPr="001C4D15" w:rsidP="006C6868" w14:paraId="44E839F6" w14:textId="77777777">
      <w:pPr>
        <w:suppressLineNumbers/>
        <w:ind w:left="4320"/>
      </w:pPr>
      <w:hyperlink r:id="rId8" w:history="1">
        <w:r w:rsidRPr="001C4D15">
          <w:rPr>
            <w:rStyle w:val="Hyperlink"/>
          </w:rPr>
          <w:t>connor.semple@occ.ohio.gov</w:t>
        </w:r>
      </w:hyperlink>
    </w:p>
    <w:p w:rsidR="006C6868" w:rsidRPr="001C4D15" w:rsidP="006C6868" w14:paraId="1C04683D" w14:textId="71E24298">
      <w:r w:rsidRPr="001C4D15">
        <w:tab/>
      </w:r>
      <w:r w:rsidRPr="001C4D15">
        <w:tab/>
      </w:r>
      <w:r w:rsidRPr="001C4D15">
        <w:tab/>
      </w:r>
      <w:r w:rsidRPr="001C4D15">
        <w:tab/>
      </w:r>
      <w:r w:rsidRPr="001C4D15">
        <w:tab/>
      </w:r>
      <w:r w:rsidRPr="001C4D15">
        <w:tab/>
        <w:t>(willing to accept service by e-mail)</w:t>
      </w:r>
    </w:p>
    <w:p w:rsidR="007322D5" w:rsidRPr="001C4D15" w:rsidP="007322D5" w14:paraId="19CD01A3" w14:textId="2D52B027">
      <w:pPr>
        <w:ind w:left="4320" w:hanging="4320"/>
        <w:jc w:val="both"/>
      </w:pPr>
    </w:p>
    <w:p w:rsidR="00B96ACA" w:rsidRPr="001C4D15" w:rsidP="00B96ACA" w14:paraId="43F11E9F" w14:textId="1430A390">
      <w:pPr>
        <w:rPr>
          <w:color w:val="000000" w:themeColor="text1"/>
        </w:rPr>
      </w:pPr>
      <w:r w:rsidRPr="001C4D15">
        <w:rPr>
          <w:color w:val="000000" w:themeColor="text1"/>
        </w:rPr>
        <w:br w:type="page"/>
      </w:r>
    </w:p>
    <w:p w:rsidR="00B96ACA" w:rsidRPr="001C4D15" w:rsidP="00B96ACA" w14:paraId="2ED04085" w14:textId="77777777">
      <w:pPr>
        <w:jc w:val="center"/>
        <w:rPr>
          <w:b/>
          <w:bCs/>
          <w:color w:val="000000" w:themeColor="text1"/>
          <w:u w:val="single"/>
        </w:rPr>
      </w:pPr>
      <w:r w:rsidRPr="001C4D15">
        <w:rPr>
          <w:b/>
          <w:bCs/>
          <w:color w:val="000000" w:themeColor="text1"/>
          <w:u w:val="single"/>
        </w:rPr>
        <w:t>CERTIFICATE OF SERVICE</w:t>
      </w:r>
    </w:p>
    <w:p w:rsidR="00B96ACA" w:rsidRPr="001C4D15" w:rsidP="00B96ACA" w14:paraId="0647FB1F" w14:textId="6E1CEBC1">
      <w:pPr>
        <w:spacing w:line="480" w:lineRule="atLeast"/>
        <w:rPr>
          <w:color w:val="000000" w:themeColor="text1"/>
        </w:rPr>
      </w:pPr>
      <w:r w:rsidRPr="001C4D15">
        <w:rPr>
          <w:color w:val="000000" w:themeColor="text1"/>
        </w:rPr>
        <w:tab/>
        <w:t xml:space="preserve">I hereby certify that a copy of this </w:t>
      </w:r>
      <w:r w:rsidRPr="001C4D15" w:rsidR="00B55086">
        <w:rPr>
          <w:color w:val="000000" w:themeColor="text1"/>
        </w:rPr>
        <w:t xml:space="preserve">Reply to Memorandum Contra OCC’s Motion to Take Administrative Notice </w:t>
      </w:r>
      <w:r w:rsidRPr="001C4D15">
        <w:rPr>
          <w:color w:val="000000" w:themeColor="text1"/>
        </w:rPr>
        <w:t xml:space="preserve">was served on the persons stated below via electronic transmission, this </w:t>
      </w:r>
      <w:r w:rsidRPr="001C4D15" w:rsidR="006C6868">
        <w:rPr>
          <w:color w:val="000000" w:themeColor="text1"/>
        </w:rPr>
        <w:t>1</w:t>
      </w:r>
      <w:r w:rsidRPr="001C4D15" w:rsidR="006C6868">
        <w:rPr>
          <w:color w:val="000000" w:themeColor="text1"/>
          <w:vertAlign w:val="superscript"/>
        </w:rPr>
        <w:t>st</w:t>
      </w:r>
      <w:r w:rsidRPr="001C4D15" w:rsidR="003D2B76">
        <w:rPr>
          <w:color w:val="000000" w:themeColor="text1"/>
        </w:rPr>
        <w:t xml:space="preserve"> </w:t>
      </w:r>
      <w:r w:rsidRPr="001C4D15">
        <w:rPr>
          <w:color w:val="000000" w:themeColor="text1"/>
        </w:rPr>
        <w:t xml:space="preserve">day of </w:t>
      </w:r>
      <w:r w:rsidRPr="001C4D15" w:rsidR="006C6868">
        <w:rPr>
          <w:color w:val="000000" w:themeColor="text1"/>
        </w:rPr>
        <w:t>June</w:t>
      </w:r>
      <w:r w:rsidRPr="001C4D15">
        <w:rPr>
          <w:color w:val="000000" w:themeColor="text1"/>
        </w:rPr>
        <w:t xml:space="preserve"> 202</w:t>
      </w:r>
      <w:r w:rsidRPr="001C4D15" w:rsidR="006C6868">
        <w:rPr>
          <w:color w:val="000000" w:themeColor="text1"/>
        </w:rPr>
        <w:t>3</w:t>
      </w:r>
      <w:r w:rsidRPr="001C4D15">
        <w:rPr>
          <w:color w:val="000000" w:themeColor="text1"/>
        </w:rPr>
        <w:t>.</w:t>
      </w:r>
    </w:p>
    <w:p w:rsidR="00B96ACA" w:rsidRPr="001C4D15" w:rsidP="003D2B76" w14:paraId="12798EB5" w14:textId="77777777">
      <w:pPr>
        <w:rPr>
          <w:color w:val="000000" w:themeColor="text1"/>
        </w:rPr>
      </w:pPr>
    </w:p>
    <w:p w:rsidR="00B96ACA" w:rsidRPr="001C4D15" w:rsidP="00B96ACA" w14:paraId="5C64834E" w14:textId="2D7E2DED">
      <w:pPr>
        <w:tabs>
          <w:tab w:val="left" w:pos="4320"/>
        </w:tabs>
        <w:rPr>
          <w:i/>
          <w:iCs/>
          <w:color w:val="000000" w:themeColor="text1"/>
          <w:u w:val="single"/>
        </w:rPr>
      </w:pPr>
      <w:r w:rsidRPr="001C4D15">
        <w:rPr>
          <w:color w:val="000000" w:themeColor="text1"/>
        </w:rPr>
        <w:tab/>
      </w:r>
      <w:r w:rsidRPr="001C4D15">
        <w:rPr>
          <w:i/>
          <w:iCs/>
          <w:color w:val="000000" w:themeColor="text1"/>
          <w:u w:val="single"/>
        </w:rPr>
        <w:t xml:space="preserve">/s/ </w:t>
      </w:r>
      <w:r w:rsidRPr="001C4D15" w:rsidR="006C6868">
        <w:rPr>
          <w:i/>
          <w:iCs/>
          <w:color w:val="000000" w:themeColor="text1"/>
          <w:u w:val="single"/>
        </w:rPr>
        <w:t xml:space="preserve">Maureen R. Willis </w:t>
      </w:r>
    </w:p>
    <w:p w:rsidR="00B96ACA" w:rsidRPr="001C4D15" w:rsidP="00B96ACA" w14:paraId="170E211A" w14:textId="4305B421">
      <w:pPr>
        <w:tabs>
          <w:tab w:val="left" w:pos="4320"/>
        </w:tabs>
        <w:rPr>
          <w:color w:val="000000" w:themeColor="text1"/>
        </w:rPr>
      </w:pPr>
      <w:r w:rsidRPr="001C4D15">
        <w:rPr>
          <w:color w:val="000000" w:themeColor="text1"/>
        </w:rPr>
        <w:tab/>
      </w:r>
      <w:r w:rsidRPr="001C4D15" w:rsidR="006C6868">
        <w:rPr>
          <w:color w:val="000000" w:themeColor="text1"/>
        </w:rPr>
        <w:t xml:space="preserve">Maureen R. Willis </w:t>
      </w:r>
    </w:p>
    <w:p w:rsidR="00B96ACA" w:rsidRPr="001C4D15" w:rsidP="00B96ACA" w14:paraId="1418AD27" w14:textId="7238BC1F">
      <w:pPr>
        <w:tabs>
          <w:tab w:val="left" w:pos="4320"/>
        </w:tabs>
        <w:rPr>
          <w:color w:val="000000" w:themeColor="text1"/>
        </w:rPr>
      </w:pPr>
      <w:r w:rsidRPr="001C4D15">
        <w:rPr>
          <w:color w:val="000000" w:themeColor="text1"/>
        </w:rPr>
        <w:tab/>
      </w:r>
      <w:r w:rsidR="00253126">
        <w:rPr>
          <w:color w:val="000000" w:themeColor="text1"/>
        </w:rPr>
        <w:t>Legal Director</w:t>
      </w:r>
    </w:p>
    <w:p w:rsidR="003D2B76" w:rsidRPr="001C4D15" w:rsidP="00B96ACA" w14:paraId="2C6F98D6" w14:textId="77777777">
      <w:pPr>
        <w:tabs>
          <w:tab w:val="left" w:pos="4320"/>
        </w:tabs>
        <w:rPr>
          <w:color w:val="000000" w:themeColor="text1"/>
        </w:rPr>
      </w:pPr>
    </w:p>
    <w:p w:rsidR="00B96ACA" w:rsidRPr="001C4D15" w:rsidP="003D2B76" w14:paraId="4429B947" w14:textId="14693D79">
      <w:pPr>
        <w:tabs>
          <w:tab w:val="left" w:pos="4320"/>
        </w:tabs>
        <w:rPr>
          <w:color w:val="000000" w:themeColor="text1"/>
        </w:rPr>
      </w:pPr>
      <w:r w:rsidRPr="001C4D15">
        <w:rPr>
          <w:color w:val="000000" w:themeColor="text1"/>
        </w:rPr>
        <w:t>The PUCO’s e-filing system will electronically serve notice of the filing of this document on the following parties:</w:t>
      </w:r>
    </w:p>
    <w:p w:rsidR="003D2B76" w:rsidRPr="001C4D15" w:rsidP="003D2B76" w14:paraId="2467F658" w14:textId="77777777">
      <w:pPr>
        <w:tabs>
          <w:tab w:val="left" w:pos="4320"/>
        </w:tabs>
        <w:rPr>
          <w:color w:val="000000" w:themeColor="text1"/>
        </w:rPr>
      </w:pPr>
    </w:p>
    <w:p w:rsidR="00B96ACA" w:rsidRPr="001C4D15" w:rsidP="00B96ACA" w14:paraId="0FB5A812" w14:textId="77777777">
      <w:pPr>
        <w:pStyle w:val="CommentText"/>
        <w:jc w:val="center"/>
        <w:rPr>
          <w:b/>
          <w:color w:val="000000" w:themeColor="text1"/>
          <w:u w:val="single"/>
        </w:rPr>
      </w:pPr>
      <w:r w:rsidRPr="001C4D15">
        <w:rPr>
          <w:b/>
          <w:color w:val="000000" w:themeColor="text1"/>
          <w:u w:val="single"/>
        </w:rPr>
        <w:t>SERVICE LIST</w:t>
      </w:r>
    </w:p>
    <w:p w:rsidR="00696E70" w:rsidRPr="001C4D15" w:rsidP="00B96ACA" w14:paraId="439E9794" w14:textId="77777777">
      <w:pPr>
        <w:pStyle w:val="CommentText"/>
        <w:jc w:val="center"/>
        <w:rPr>
          <w:b/>
          <w:color w:val="000000" w:themeColor="text1"/>
          <w:u w:val="single"/>
        </w:rPr>
      </w:pP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266"/>
        <w:gridCol w:w="4374"/>
      </w:tblGrid>
      <w:tr w14:paraId="7BC1B9BE" w14:textId="77777777" w:rsidTr="00DC5D9E">
        <w:tblPrEx>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Ex>
        <w:trPr>
          <w:trHeight w:val="6590"/>
        </w:trPr>
        <w:tc>
          <w:tcPr>
            <w:tcW w:w="4266" w:type="dxa"/>
            <w:tcBorders>
              <w:top w:val="nil"/>
              <w:left w:val="nil"/>
              <w:bottom w:val="nil"/>
              <w:right w:val="nil"/>
            </w:tcBorders>
            <w:shd w:val="clear" w:color="auto" w:fill="auto"/>
            <w:tcMar>
              <w:top w:w="80" w:type="dxa"/>
              <w:left w:w="80" w:type="dxa"/>
              <w:bottom w:w="80" w:type="dxa"/>
              <w:right w:w="80" w:type="dxa"/>
            </w:tcMar>
          </w:tcPr>
          <w:p w:rsidR="00696E70" w:rsidRPr="001C4D15" w:rsidP="00DC5D9E" w14:paraId="1E2764F6" w14:textId="77777777">
            <w:pPr>
              <w:pBdr>
                <w:top w:val="nil"/>
                <w:left w:val="nil"/>
                <w:bottom w:val="nil"/>
                <w:right w:val="nil"/>
                <w:between w:val="nil"/>
                <w:bar w:val="nil"/>
              </w:pBdr>
              <w:rPr>
                <w:rFonts w:eastAsia="Arial Unicode MS"/>
                <w:color w:val="0000FF"/>
                <w:u w:val="single" w:color="0000FF"/>
                <w:bdr w:val="nil"/>
              </w:rPr>
            </w:pPr>
            <w:hyperlink r:id="rId9" w:history="1">
              <w:r w:rsidRPr="001C4D15">
                <w:rPr>
                  <w:rFonts w:eastAsia="Arial Unicode MS"/>
                  <w:color w:val="0000FF"/>
                  <w:u w:val="single" w:color="0000FF"/>
                  <w:bdr w:val="nil"/>
                </w:rPr>
                <w:t>werner.margard@ohioAGO.gov</w:t>
              </w:r>
            </w:hyperlink>
          </w:p>
          <w:p w:rsidR="00696E70" w:rsidRPr="001C4D15" w:rsidP="00DC5D9E" w14:paraId="6858FC38" w14:textId="77777777">
            <w:pPr>
              <w:pBdr>
                <w:top w:val="nil"/>
                <w:left w:val="nil"/>
                <w:bottom w:val="nil"/>
                <w:right w:val="nil"/>
                <w:between w:val="nil"/>
                <w:bar w:val="nil"/>
              </w:pBdr>
              <w:rPr>
                <w:rFonts w:eastAsia="Arial Unicode MS"/>
                <w:color w:val="0000FF"/>
                <w:u w:val="single" w:color="0000FF"/>
                <w:bdr w:val="nil"/>
              </w:rPr>
            </w:pPr>
            <w:hyperlink r:id="rId10" w:history="1">
              <w:r w:rsidRPr="001C4D15">
                <w:rPr>
                  <w:rFonts w:eastAsia="Arial Unicode MS"/>
                  <w:color w:val="0000FF"/>
                  <w:u w:val="single" w:color="000000"/>
                  <w:bdr w:val="nil"/>
                </w:rPr>
                <w:t>ambrosia.wilson@ohioAGO.gov</w:t>
              </w:r>
            </w:hyperlink>
          </w:p>
          <w:p w:rsidR="00696E70" w:rsidRPr="001C4D15" w:rsidP="00DC5D9E" w14:paraId="38D0DBCB" w14:textId="77777777">
            <w:pPr>
              <w:pBdr>
                <w:top w:val="nil"/>
                <w:left w:val="nil"/>
                <w:bottom w:val="nil"/>
                <w:right w:val="nil"/>
                <w:between w:val="nil"/>
                <w:bar w:val="nil"/>
              </w:pBdr>
              <w:rPr>
                <w:rFonts w:eastAsia="Arial Unicode MS"/>
                <w:color w:val="0000FF"/>
                <w:u w:val="single" w:color="0000FF"/>
                <w:bdr w:val="nil"/>
              </w:rPr>
            </w:pPr>
            <w:hyperlink r:id="rId11" w:history="1">
              <w:r w:rsidRPr="001C4D15">
                <w:rPr>
                  <w:rFonts w:eastAsia="Arial Unicode MS"/>
                  <w:color w:val="0000FF"/>
                  <w:u w:val="single" w:color="0000FF"/>
                  <w:bdr w:val="nil"/>
                </w:rPr>
                <w:t>shaun.lyons@ohioAGO.gov</w:t>
              </w:r>
            </w:hyperlink>
          </w:p>
          <w:p w:rsidR="00696E70" w:rsidRPr="001C4D15" w:rsidP="00DC5D9E" w14:paraId="3F8CC05B" w14:textId="77777777">
            <w:pPr>
              <w:pBdr>
                <w:top w:val="nil"/>
                <w:left w:val="nil"/>
                <w:bottom w:val="nil"/>
                <w:right w:val="nil"/>
                <w:between w:val="nil"/>
                <w:bar w:val="nil"/>
              </w:pBdr>
              <w:rPr>
                <w:rFonts w:eastAsia="Arial Unicode MS"/>
                <w:color w:val="0000FF"/>
                <w:u w:val="single" w:color="0000FF"/>
                <w:bdr w:val="nil"/>
              </w:rPr>
            </w:pPr>
            <w:hyperlink r:id="rId12" w:history="1">
              <w:r w:rsidRPr="001C4D15">
                <w:rPr>
                  <w:rFonts w:eastAsia="Arial Unicode MS"/>
                  <w:color w:val="0000FF"/>
                  <w:u w:val="single" w:color="0000FF"/>
                  <w:bdr w:val="nil"/>
                </w:rPr>
                <w:t>kherrnstein@bricker.com</w:t>
              </w:r>
            </w:hyperlink>
          </w:p>
          <w:p w:rsidR="00696E70" w:rsidRPr="001C4D15" w:rsidP="00DC5D9E" w14:paraId="15BC3316" w14:textId="77777777">
            <w:pPr>
              <w:pBdr>
                <w:top w:val="nil"/>
                <w:left w:val="nil"/>
                <w:bottom w:val="nil"/>
                <w:right w:val="nil"/>
                <w:between w:val="nil"/>
                <w:bar w:val="nil"/>
              </w:pBdr>
              <w:rPr>
                <w:rFonts w:eastAsia="Calibri"/>
                <w:color w:val="0000FF"/>
                <w:u w:val="single" w:color="0000FF"/>
                <w:bdr w:val="nil"/>
              </w:rPr>
            </w:pPr>
            <w:r w:rsidRPr="001C4D15">
              <w:rPr>
                <w:rFonts w:eastAsia="Calibri"/>
                <w:color w:val="0000FF"/>
                <w:u w:val="single" w:color="0000FF"/>
                <w:bdr w:val="nil"/>
              </w:rPr>
              <w:t>dparram@brickergraydon.com</w:t>
            </w:r>
          </w:p>
          <w:p w:rsidR="00696E70" w:rsidRPr="001C4D15" w:rsidP="00DC5D9E" w14:paraId="7000862A" w14:textId="77777777">
            <w:pPr>
              <w:pBdr>
                <w:top w:val="nil"/>
                <w:left w:val="nil"/>
                <w:bottom w:val="nil"/>
                <w:right w:val="nil"/>
                <w:between w:val="nil"/>
                <w:bar w:val="nil"/>
              </w:pBdr>
              <w:rPr>
                <w:rFonts w:eastAsia="Calibri"/>
                <w:color w:val="0000FF"/>
                <w:u w:val="single" w:color="0000FF"/>
                <w:bdr w:val="nil"/>
              </w:rPr>
            </w:pPr>
            <w:r w:rsidRPr="001C4D15">
              <w:rPr>
                <w:rFonts w:eastAsia="Calibri"/>
                <w:color w:val="0000FF"/>
                <w:u w:val="single" w:color="0000FF"/>
                <w:bdr w:val="nil"/>
              </w:rPr>
              <w:t>dborchers@brickergraydon.com</w:t>
            </w:r>
          </w:p>
          <w:p w:rsidR="00696E70" w:rsidRPr="001C4D15" w:rsidP="00DC5D9E" w14:paraId="5F27FBC8" w14:textId="77777777">
            <w:pPr>
              <w:pBdr>
                <w:top w:val="nil"/>
                <w:left w:val="nil"/>
                <w:bottom w:val="nil"/>
                <w:right w:val="nil"/>
                <w:between w:val="nil"/>
                <w:bar w:val="nil"/>
              </w:pBdr>
              <w:rPr>
                <w:rFonts w:eastAsia="Arial Unicode MS"/>
                <w:color w:val="0000FF"/>
                <w:u w:val="single" w:color="0000FF"/>
              </w:rPr>
            </w:pPr>
            <w:r w:rsidRPr="001C4D15">
              <w:rPr>
                <w:rFonts w:eastAsia="Calibri"/>
                <w:color w:val="0000FF"/>
                <w:u w:val="single" w:color="0000FF"/>
                <w:bdr w:val="nil"/>
              </w:rPr>
              <w:t>rmains@brickergraydon.com</w:t>
            </w:r>
            <w:r w:rsidRPr="001C4D15">
              <w:rPr>
                <w:rFonts w:eastAsia="Calibri"/>
                <w:color w:val="0000FF"/>
                <w:u w:val="single" w:color="0000FF"/>
                <w:bdr w:val="nil"/>
              </w:rPr>
              <w:cr/>
            </w:r>
            <w:hyperlink r:id="rId13" w:history="1">
              <w:r w:rsidRPr="001C4D15">
                <w:rPr>
                  <w:rFonts w:eastAsia="Arial Unicode MS"/>
                  <w:color w:val="0000FF"/>
                  <w:u w:val="single" w:color="0000FF"/>
                </w:rPr>
                <w:t>dproano@bakerlaw.com</w:t>
              </w:r>
            </w:hyperlink>
          </w:p>
          <w:p w:rsidR="00696E70" w:rsidRPr="001C4D15" w:rsidP="00DC5D9E" w14:paraId="1BF311AF" w14:textId="77777777">
            <w:pPr>
              <w:rPr>
                <w:rFonts w:eastAsia="Arial Unicode MS"/>
                <w:color w:val="0000FF"/>
                <w:u w:val="single" w:color="0000FF"/>
              </w:rPr>
            </w:pPr>
            <w:hyperlink r:id="rId14" w:history="1">
              <w:r w:rsidRPr="001C4D15">
                <w:rPr>
                  <w:rFonts w:eastAsia="Arial Unicode MS"/>
                  <w:color w:val="0000FF"/>
                  <w:u w:val="single" w:color="0000FF"/>
                </w:rPr>
                <w:t>ahaque@bakerlaw.com</w:t>
              </w:r>
            </w:hyperlink>
          </w:p>
          <w:p w:rsidR="00696E70" w:rsidRPr="001C4D15" w:rsidP="00DC5D9E" w14:paraId="56FA1AE0" w14:textId="77777777">
            <w:pPr>
              <w:pBdr>
                <w:top w:val="nil"/>
                <w:left w:val="nil"/>
                <w:bottom w:val="nil"/>
                <w:right w:val="nil"/>
                <w:between w:val="nil"/>
                <w:bar w:val="nil"/>
              </w:pBdr>
              <w:rPr>
                <w:rFonts w:eastAsia="Arial Unicode MS"/>
                <w:color w:val="0000FF"/>
                <w:u w:val="single" w:color="0000FF"/>
                <w:bdr w:val="nil"/>
              </w:rPr>
            </w:pPr>
            <w:hyperlink r:id="rId15" w:history="1">
              <w:r w:rsidRPr="001C4D15">
                <w:rPr>
                  <w:rFonts w:eastAsia="Arial Unicode MS"/>
                  <w:color w:val="0000FF"/>
                  <w:u w:val="single" w:color="0000FF"/>
                  <w:bdr w:val="nil"/>
                </w:rPr>
                <w:t>eprouty@bakerlaw.com</w:t>
              </w:r>
            </w:hyperlink>
          </w:p>
          <w:p w:rsidR="00696E70" w:rsidRPr="001C4D15" w:rsidP="00DC5D9E" w14:paraId="53E5D4F9" w14:textId="77777777">
            <w:pPr>
              <w:pBdr>
                <w:top w:val="nil"/>
                <w:left w:val="nil"/>
                <w:bottom w:val="nil"/>
                <w:right w:val="nil"/>
                <w:between w:val="nil"/>
                <w:bar w:val="nil"/>
              </w:pBdr>
              <w:rPr>
                <w:rFonts w:eastAsia="Arial Unicode MS"/>
                <w:color w:val="0000FF"/>
                <w:u w:val="single" w:color="0000FF"/>
                <w:bdr w:val="nil"/>
              </w:rPr>
            </w:pPr>
            <w:hyperlink r:id="rId16" w:history="1">
              <w:r w:rsidRPr="001C4D15">
                <w:rPr>
                  <w:rFonts w:eastAsia="Arial Unicode MS"/>
                  <w:color w:val="0000FF"/>
                  <w:u w:val="single" w:color="0000FF"/>
                  <w:bdr w:val="nil"/>
                </w:rPr>
                <w:t>knordstrom@theOEC.org</w:t>
              </w:r>
            </w:hyperlink>
          </w:p>
          <w:p w:rsidR="00696E70" w:rsidRPr="001C4D15" w:rsidP="00DC5D9E" w14:paraId="332826E1" w14:textId="77777777">
            <w:pPr>
              <w:pBdr>
                <w:top w:val="nil"/>
                <w:left w:val="nil"/>
                <w:bottom w:val="nil"/>
                <w:right w:val="nil"/>
                <w:between w:val="nil"/>
                <w:bar w:val="nil"/>
              </w:pBdr>
              <w:rPr>
                <w:rFonts w:eastAsia="Arial Unicode MS"/>
                <w:color w:val="0000FF"/>
                <w:u w:val="single" w:color="0000FF"/>
                <w:bdr w:val="nil"/>
              </w:rPr>
            </w:pPr>
            <w:hyperlink r:id="rId17" w:history="1">
              <w:r w:rsidRPr="001C4D15">
                <w:rPr>
                  <w:rFonts w:eastAsia="Arial Unicode MS"/>
                  <w:color w:val="0000FF"/>
                  <w:u w:val="single" w:color="0000FF"/>
                  <w:bdr w:val="nil"/>
                </w:rPr>
                <w:t>ctavenor@theOEC.org</w:t>
              </w:r>
            </w:hyperlink>
          </w:p>
          <w:p w:rsidR="00696E70" w:rsidRPr="001C4D15" w:rsidP="00DC5D9E" w14:paraId="26685816" w14:textId="77777777">
            <w:pPr>
              <w:pBdr>
                <w:top w:val="nil"/>
                <w:left w:val="nil"/>
                <w:bottom w:val="nil"/>
                <w:right w:val="nil"/>
                <w:between w:val="nil"/>
                <w:bar w:val="nil"/>
              </w:pBdr>
              <w:rPr>
                <w:rFonts w:eastAsia="Arial Unicode MS"/>
                <w:color w:val="0000FF"/>
                <w:u w:val="single" w:color="0000FF"/>
                <w:bdr w:val="nil"/>
              </w:rPr>
            </w:pPr>
            <w:hyperlink r:id="rId18" w:history="1">
              <w:r w:rsidRPr="001C4D15">
                <w:rPr>
                  <w:rFonts w:eastAsia="Arial Unicode MS"/>
                  <w:color w:val="0000FF"/>
                  <w:u w:val="single" w:color="0000FF"/>
                  <w:bdr w:val="nil"/>
                </w:rPr>
                <w:t>leonard.bazelak@daytonohio.gov</w:t>
              </w:r>
            </w:hyperlink>
          </w:p>
          <w:p w:rsidR="00696E70" w:rsidRPr="001C4D15" w:rsidP="00DC5D9E" w14:paraId="0C080F60" w14:textId="77777777">
            <w:pPr>
              <w:pBdr>
                <w:top w:val="nil"/>
                <w:left w:val="nil"/>
                <w:bottom w:val="nil"/>
                <w:right w:val="nil"/>
                <w:between w:val="nil"/>
                <w:bar w:val="nil"/>
              </w:pBdr>
              <w:rPr>
                <w:rFonts w:eastAsia="Arial Unicode MS"/>
                <w:color w:val="0000FF"/>
                <w:u w:val="single" w:color="0000FF"/>
                <w:bdr w:val="nil"/>
              </w:rPr>
            </w:pPr>
            <w:hyperlink r:id="rId19" w:history="1">
              <w:r w:rsidRPr="001C4D15">
                <w:rPr>
                  <w:rFonts w:eastAsia="Arial Unicode MS"/>
                  <w:color w:val="0000FF"/>
                  <w:u w:val="single" w:color="0000FF"/>
                  <w:bdr w:val="nil"/>
                </w:rPr>
                <w:t>bojko@carpenterlipps.com</w:t>
              </w:r>
            </w:hyperlink>
          </w:p>
          <w:p w:rsidR="00696E70" w:rsidRPr="001C4D15" w:rsidP="00DC5D9E" w14:paraId="2C427F03" w14:textId="77777777">
            <w:pPr>
              <w:pBdr>
                <w:top w:val="nil"/>
                <w:left w:val="nil"/>
                <w:bottom w:val="nil"/>
                <w:right w:val="nil"/>
                <w:between w:val="nil"/>
                <w:bar w:val="nil"/>
              </w:pBdr>
              <w:rPr>
                <w:rFonts w:eastAsia="Arial Unicode MS"/>
                <w:color w:val="0000FF"/>
                <w:u w:val="single" w:color="0000FF"/>
                <w:bdr w:val="nil"/>
              </w:rPr>
            </w:pPr>
            <w:hyperlink r:id="rId20" w:history="1">
              <w:r w:rsidRPr="001C4D15">
                <w:rPr>
                  <w:rFonts w:eastAsia="Arial Unicode MS"/>
                  <w:color w:val="0000FF"/>
                  <w:u w:val="single" w:color="0000FF"/>
                  <w:bdr w:val="nil"/>
                </w:rPr>
                <w:t>easley@carpenterlipps.com</w:t>
              </w:r>
            </w:hyperlink>
          </w:p>
          <w:p w:rsidR="00696E70" w:rsidRPr="001C4D15" w:rsidP="00DC5D9E" w14:paraId="0E0F6538" w14:textId="77777777">
            <w:pPr>
              <w:pBdr>
                <w:top w:val="nil"/>
                <w:left w:val="nil"/>
                <w:bottom w:val="nil"/>
                <w:right w:val="nil"/>
                <w:between w:val="nil"/>
                <w:bar w:val="nil"/>
              </w:pBdr>
              <w:rPr>
                <w:rFonts w:eastAsia="Arial Unicode MS"/>
                <w:color w:val="0000FF"/>
                <w:u w:val="single" w:color="0000FF"/>
                <w:bdr w:val="nil"/>
              </w:rPr>
            </w:pPr>
            <w:r w:rsidRPr="001C4D15">
              <w:rPr>
                <w:rFonts w:eastAsia="Arial Unicode MS"/>
                <w:color w:val="0000FF"/>
                <w:u w:val="single" w:color="0000FF"/>
                <w:bdr w:val="nil"/>
              </w:rPr>
              <w:t>mwarnock@bricker.com</w:t>
            </w:r>
          </w:p>
          <w:p w:rsidR="00696E70" w:rsidRPr="001C4D15" w:rsidP="00DC5D9E" w14:paraId="7FAAC19F" w14:textId="77777777">
            <w:pPr>
              <w:pBdr>
                <w:top w:val="nil"/>
                <w:left w:val="nil"/>
                <w:bottom w:val="nil"/>
                <w:right w:val="nil"/>
                <w:between w:val="nil"/>
                <w:bar w:val="nil"/>
              </w:pBdr>
              <w:rPr>
                <w:rFonts w:eastAsia="Calibri"/>
                <w:color w:val="0000FF"/>
                <w:u w:val="single" w:color="0000FF"/>
                <w:bdr w:val="nil"/>
              </w:rPr>
            </w:pPr>
          </w:p>
          <w:p w:rsidR="00696E70" w:rsidRPr="001C4D15" w:rsidP="00DC5D9E" w14:paraId="54D2FE60" w14:textId="77777777">
            <w:pPr>
              <w:pBdr>
                <w:top w:val="nil"/>
                <w:left w:val="nil"/>
                <w:bottom w:val="nil"/>
                <w:right w:val="nil"/>
                <w:between w:val="nil"/>
                <w:bar w:val="nil"/>
              </w:pBdr>
              <w:rPr>
                <w:rFonts w:eastAsia="Calibri"/>
                <w:color w:val="000000"/>
                <w:u w:color="000000"/>
                <w:bdr w:val="nil"/>
                <w14:textOutline w14:w="0">
                  <w14:noFill/>
                  <w14:prstDash w14:val="solid"/>
                  <w14:bevel/>
                </w14:textOutline>
              </w:rPr>
            </w:pPr>
            <w:r w:rsidRPr="001C4D15">
              <w:rPr>
                <w:rFonts w:eastAsia="Calibri"/>
                <w:color w:val="000000"/>
                <w:u w:color="000000"/>
                <w:bdr w:val="nil"/>
                <w14:textOutline w14:w="0">
                  <w14:noFill/>
                  <w14:prstDash w14:val="solid"/>
                  <w14:bevel/>
                </w14:textOutline>
              </w:rPr>
              <w:t>Attorney Examiners:</w:t>
            </w:r>
          </w:p>
          <w:p w:rsidR="00696E70" w:rsidRPr="001C4D15" w:rsidP="00DC5D9E" w14:paraId="3D758E67" w14:textId="77777777">
            <w:pPr>
              <w:pBdr>
                <w:top w:val="nil"/>
                <w:left w:val="nil"/>
                <w:bottom w:val="nil"/>
                <w:right w:val="nil"/>
                <w:between w:val="nil"/>
                <w:bar w:val="nil"/>
              </w:pBdr>
              <w:rPr>
                <w:rFonts w:eastAsia="Calibri"/>
                <w:color w:val="000000"/>
                <w:u w:color="000000"/>
                <w:bdr w:val="nil"/>
                <w14:textOutline w14:w="0">
                  <w14:noFill/>
                  <w14:prstDash w14:val="solid"/>
                  <w14:bevel/>
                </w14:textOutline>
              </w:rPr>
            </w:pPr>
            <w:hyperlink r:id="rId21" w:history="1">
              <w:r w:rsidRPr="001C4D15">
                <w:rPr>
                  <w:rFonts w:eastAsia="Calibri"/>
                  <w:color w:val="0000FF"/>
                  <w:u w:val="single" w:color="000000"/>
                  <w:bdr w:val="nil"/>
                  <w14:textOutline w14:w="0">
                    <w14:noFill/>
                    <w14:prstDash w14:val="solid"/>
                    <w14:bevel/>
                  </w14:textOutline>
                </w:rPr>
                <w:t>Gregory.price@puco.ohio.gov</w:t>
              </w:r>
            </w:hyperlink>
          </w:p>
          <w:p w:rsidR="00696E70" w:rsidRPr="001C4D15" w:rsidP="00DC5D9E" w14:paraId="61E4E3FA" w14:textId="77777777">
            <w:pPr>
              <w:pBdr>
                <w:top w:val="nil"/>
                <w:left w:val="nil"/>
                <w:bottom w:val="nil"/>
                <w:right w:val="nil"/>
                <w:between w:val="nil"/>
                <w:bar w:val="nil"/>
              </w:pBdr>
              <w:rPr>
                <w:rFonts w:eastAsia="Calibri"/>
                <w:color w:val="000000"/>
                <w:u w:color="000000"/>
                <w:bdr w:val="nil"/>
                <w14:textOutline w14:w="0">
                  <w14:noFill/>
                  <w14:prstDash w14:val="solid"/>
                  <w14:bevel/>
                </w14:textOutline>
              </w:rPr>
            </w:pPr>
            <w:hyperlink r:id="rId22" w:history="1">
              <w:r w:rsidRPr="001C4D15">
                <w:rPr>
                  <w:rFonts w:eastAsia="Calibri"/>
                  <w:color w:val="0000FF"/>
                  <w:u w:val="single" w:color="000000"/>
                  <w:bdr w:val="nil"/>
                  <w14:textOutline w14:w="0">
                    <w14:noFill/>
                    <w14:prstDash w14:val="solid"/>
                    <w14:bevel/>
                  </w14:textOutline>
                </w:rPr>
                <w:t>Patricia.schabo@puco.ohio.gov</w:t>
              </w:r>
            </w:hyperlink>
          </w:p>
          <w:p w:rsidR="00696E70" w:rsidRPr="001C4D15" w:rsidP="00DC5D9E" w14:paraId="250AD081" w14:textId="77777777">
            <w:pPr>
              <w:pBdr>
                <w:top w:val="nil"/>
                <w:left w:val="nil"/>
                <w:bottom w:val="nil"/>
                <w:right w:val="nil"/>
                <w:between w:val="nil"/>
                <w:bar w:val="nil"/>
              </w:pBdr>
              <w:rPr>
                <w:rFonts w:eastAsia="Calibri"/>
                <w:color w:val="000000"/>
                <w:u w:color="000000"/>
                <w:bdr w:val="nil"/>
                <w14:textOutline w14:w="0">
                  <w14:noFill/>
                  <w14:prstDash w14:val="solid"/>
                  <w14:bevel/>
                </w14:textOutline>
              </w:rPr>
            </w:pPr>
          </w:p>
        </w:tc>
        <w:tc>
          <w:tcPr>
            <w:tcW w:w="4374" w:type="dxa"/>
            <w:tcBorders>
              <w:top w:val="nil"/>
              <w:left w:val="nil"/>
              <w:bottom w:val="nil"/>
              <w:right w:val="nil"/>
            </w:tcBorders>
            <w:shd w:val="clear" w:color="auto" w:fill="auto"/>
            <w:tcMar>
              <w:top w:w="80" w:type="dxa"/>
              <w:left w:w="80" w:type="dxa"/>
              <w:bottom w:w="80" w:type="dxa"/>
              <w:right w:w="80" w:type="dxa"/>
            </w:tcMar>
          </w:tcPr>
          <w:p w:rsidR="00696E70" w:rsidRPr="001C4D15" w:rsidP="00DC5D9E" w14:paraId="2AEDA0CF" w14:textId="77777777">
            <w:pPr>
              <w:rPr>
                <w:rFonts w:eastAsia="PMingLiU"/>
              </w:rPr>
            </w:pPr>
            <w:hyperlink r:id="rId23" w:history="1">
              <w:r w:rsidRPr="001C4D15">
                <w:rPr>
                  <w:rFonts w:eastAsia="Arial Unicode MS"/>
                  <w:color w:val="0000FF"/>
                  <w:u w:val="single" w:color="0000FF"/>
                </w:rPr>
                <w:t>christopher.hollon@aes.com</w:t>
              </w:r>
            </w:hyperlink>
          </w:p>
          <w:p w:rsidR="00696E70" w:rsidRPr="001C4D15" w:rsidP="00DC5D9E" w14:paraId="793EE4A9" w14:textId="77777777">
            <w:pPr>
              <w:rPr>
                <w:rFonts w:eastAsia="PMingLiU"/>
              </w:rPr>
            </w:pPr>
            <w:hyperlink r:id="rId24" w:history="1">
              <w:r w:rsidRPr="001C4D15">
                <w:rPr>
                  <w:rFonts w:eastAsia="Arial Unicode MS"/>
                  <w:color w:val="0000FF"/>
                  <w:u w:val="single" w:color="0000FF"/>
                </w:rPr>
                <w:t>jsharkey@ficlaw.com</w:t>
              </w:r>
            </w:hyperlink>
          </w:p>
          <w:p w:rsidR="00696E70" w:rsidRPr="001C4D15" w:rsidP="00DC5D9E" w14:paraId="7CD721D3" w14:textId="77777777">
            <w:pPr>
              <w:rPr>
                <w:rFonts w:eastAsia="PMingLiU"/>
              </w:rPr>
            </w:pPr>
            <w:hyperlink r:id="rId25" w:history="1">
              <w:r w:rsidRPr="001C4D15">
                <w:rPr>
                  <w:rFonts w:eastAsia="Arial Unicode MS"/>
                  <w:color w:val="0000FF"/>
                  <w:u w:val="single" w:color="0000FF"/>
                </w:rPr>
                <w:t>djireland@ficlaw.com</w:t>
              </w:r>
            </w:hyperlink>
          </w:p>
          <w:p w:rsidR="00696E70" w:rsidRPr="001C4D15" w:rsidP="00DC5D9E" w14:paraId="6439945C" w14:textId="77777777">
            <w:pPr>
              <w:rPr>
                <w:rFonts w:eastAsia="PMingLiU"/>
              </w:rPr>
            </w:pPr>
            <w:hyperlink r:id="rId26" w:history="1">
              <w:r w:rsidRPr="001C4D15">
                <w:rPr>
                  <w:rFonts w:eastAsia="Arial Unicode MS"/>
                  <w:color w:val="0000FF"/>
                  <w:u w:val="single" w:color="0000FF"/>
                </w:rPr>
                <w:t>mwatt@ficlaw.com</w:t>
              </w:r>
            </w:hyperlink>
          </w:p>
          <w:p w:rsidR="00696E70" w:rsidRPr="001C4D15" w:rsidP="00DC5D9E" w14:paraId="0FFD7F3E" w14:textId="77777777">
            <w:pPr>
              <w:rPr>
                <w:rFonts w:eastAsia="PMingLiU"/>
              </w:rPr>
            </w:pPr>
            <w:hyperlink r:id="rId27" w:history="1">
              <w:r w:rsidRPr="001C4D15">
                <w:rPr>
                  <w:rFonts w:eastAsia="Arial Unicode MS"/>
                  <w:color w:val="0000FF"/>
                  <w:u w:val="single" w:color="0000FF"/>
                </w:rPr>
                <w:t>mkurtz@bkllawfirm.com</w:t>
              </w:r>
            </w:hyperlink>
          </w:p>
          <w:p w:rsidR="00696E70" w:rsidRPr="001C4D15" w:rsidP="00DC5D9E" w14:paraId="0B071DA2" w14:textId="77777777">
            <w:pPr>
              <w:rPr>
                <w:rFonts w:eastAsia="PMingLiU"/>
              </w:rPr>
            </w:pPr>
            <w:hyperlink r:id="rId28" w:history="1">
              <w:r w:rsidRPr="001C4D15">
                <w:rPr>
                  <w:rFonts w:eastAsia="Arial Unicode MS"/>
                  <w:color w:val="0000FF"/>
                  <w:u w:val="single" w:color="0000FF"/>
                </w:rPr>
                <w:t>kboehm@bkllawfirm.com</w:t>
              </w:r>
            </w:hyperlink>
          </w:p>
          <w:p w:rsidR="00696E70" w:rsidRPr="001C4D15" w:rsidP="00DC5D9E" w14:paraId="2B08747E" w14:textId="77777777">
            <w:pPr>
              <w:rPr>
                <w:rFonts w:eastAsia="PMingLiU"/>
              </w:rPr>
            </w:pPr>
            <w:hyperlink r:id="rId29" w:history="1">
              <w:r w:rsidRPr="001C4D15">
                <w:rPr>
                  <w:rFonts w:eastAsia="Arial Unicode MS"/>
                  <w:color w:val="0000FF"/>
                  <w:u w:val="single" w:color="0000FF"/>
                </w:rPr>
                <w:t>jkylercohn@bkllawfirm.com</w:t>
              </w:r>
            </w:hyperlink>
          </w:p>
          <w:p w:rsidR="00696E70" w:rsidRPr="001C4D15" w:rsidP="00DC5D9E" w14:paraId="7E69D8CA" w14:textId="77777777">
            <w:pPr>
              <w:rPr>
                <w:rFonts w:eastAsia="PMingLiU"/>
              </w:rPr>
            </w:pPr>
            <w:hyperlink r:id="rId30" w:history="1">
              <w:r w:rsidRPr="001C4D15">
                <w:rPr>
                  <w:rFonts w:eastAsia="Arial Unicode MS"/>
                  <w:color w:val="0000FF"/>
                  <w:u w:val="single" w:color="0000FF"/>
                </w:rPr>
                <w:t>stacie.cathcart@igs.com</w:t>
              </w:r>
            </w:hyperlink>
          </w:p>
          <w:p w:rsidR="00696E70" w:rsidRPr="001C4D15" w:rsidP="00DC5D9E" w14:paraId="3DAEC77A" w14:textId="77777777">
            <w:pPr>
              <w:rPr>
                <w:rFonts w:eastAsia="PMingLiU"/>
              </w:rPr>
            </w:pPr>
            <w:hyperlink r:id="rId31" w:history="1">
              <w:r w:rsidRPr="001C4D15">
                <w:rPr>
                  <w:rFonts w:eastAsia="Arial Unicode MS"/>
                  <w:color w:val="0000FF"/>
                  <w:u w:val="single" w:color="0000FF"/>
                </w:rPr>
                <w:t>evan.betterton@igs.com</w:t>
              </w:r>
            </w:hyperlink>
          </w:p>
          <w:p w:rsidR="00696E70" w:rsidRPr="001C4D15" w:rsidP="00DC5D9E" w14:paraId="7527642A" w14:textId="77777777">
            <w:pPr>
              <w:rPr>
                <w:rFonts w:eastAsia="PMingLiU"/>
              </w:rPr>
            </w:pPr>
            <w:hyperlink r:id="rId32" w:history="1">
              <w:r w:rsidRPr="001C4D15">
                <w:rPr>
                  <w:rFonts w:eastAsia="PMingLiU"/>
                  <w:color w:val="0000FF"/>
                  <w:u w:val="single"/>
                </w:rPr>
                <w:t>michael.nugent@igs.com</w:t>
              </w:r>
            </w:hyperlink>
          </w:p>
          <w:p w:rsidR="00696E70" w:rsidRPr="001C4D15" w:rsidP="00DC5D9E" w14:paraId="033A9F17" w14:textId="77777777">
            <w:pPr>
              <w:rPr>
                <w:rFonts w:eastAsia="PMingLiU"/>
              </w:rPr>
            </w:pPr>
            <w:hyperlink r:id="rId33" w:history="1">
              <w:r w:rsidRPr="001C4D15">
                <w:rPr>
                  <w:rFonts w:eastAsia="PMingLiU"/>
                  <w:color w:val="0000FF"/>
                  <w:u w:val="single"/>
                </w:rPr>
                <w:t>Joe.Oliker@igs.com</w:t>
              </w:r>
            </w:hyperlink>
          </w:p>
          <w:p w:rsidR="00696E70" w:rsidRPr="001C4D15" w:rsidP="00DC5D9E" w14:paraId="7AF5E455" w14:textId="77777777">
            <w:pPr>
              <w:rPr>
                <w:rFonts w:eastAsia="PMingLiU"/>
              </w:rPr>
            </w:pPr>
            <w:hyperlink r:id="rId34" w:history="1">
              <w:r w:rsidRPr="001C4D15">
                <w:rPr>
                  <w:rFonts w:eastAsia="Arial Unicode MS"/>
                  <w:color w:val="0000FF"/>
                  <w:u w:val="single" w:color="0000FF"/>
                </w:rPr>
                <w:t>stephanie.chmiel@thompsonhine.com</w:t>
              </w:r>
            </w:hyperlink>
          </w:p>
          <w:p w:rsidR="00696E70" w:rsidRPr="001C4D15" w:rsidP="00DC5D9E" w14:paraId="46458CD0" w14:textId="77777777">
            <w:pPr>
              <w:rPr>
                <w:rFonts w:eastAsia="Arial Unicode MS"/>
                <w:color w:val="0000FF"/>
                <w:u w:val="single" w:color="0000FF"/>
              </w:rPr>
            </w:pPr>
            <w:hyperlink r:id="rId35" w:history="1">
              <w:r w:rsidRPr="001C4D15">
                <w:rPr>
                  <w:rFonts w:eastAsia="Arial Unicode MS"/>
                  <w:color w:val="0000FF"/>
                  <w:u w:val="single" w:color="0000FF"/>
                </w:rPr>
                <w:t>mary.csarny@thompsonhine.com</w:t>
              </w:r>
            </w:hyperlink>
          </w:p>
          <w:p w:rsidR="00696E70" w:rsidRPr="001C4D15" w:rsidP="00DC5D9E" w14:paraId="7537E2BF" w14:textId="77777777">
            <w:pPr>
              <w:rPr>
                <w:rFonts w:eastAsia="PMingLiU"/>
              </w:rPr>
            </w:pPr>
            <w:hyperlink r:id="rId36" w:history="1">
              <w:r w:rsidRPr="001C4D15">
                <w:rPr>
                  <w:rFonts w:eastAsia="Arial Unicode MS"/>
                  <w:color w:val="0000FF"/>
                  <w:u w:val="single" w:color="0000FF"/>
                </w:rPr>
                <w:t>mpritchard@mcneeslaw.com</w:t>
              </w:r>
            </w:hyperlink>
          </w:p>
          <w:p w:rsidR="00696E70" w:rsidRPr="001C4D15" w:rsidP="00DC5D9E" w14:paraId="7C02BBC2" w14:textId="77777777">
            <w:pPr>
              <w:rPr>
                <w:rFonts w:eastAsia="Arial Unicode MS"/>
                <w:color w:val="0000FF"/>
                <w:u w:val="single" w:color="0000FF"/>
              </w:rPr>
            </w:pPr>
            <w:hyperlink r:id="rId37" w:history="1">
              <w:r w:rsidRPr="001C4D15">
                <w:rPr>
                  <w:rFonts w:eastAsia="Arial Unicode MS"/>
                  <w:color w:val="0000FF"/>
                  <w:u w:val="single" w:color="0000FF"/>
                </w:rPr>
                <w:t>bmckenney@mcneeslaw.com</w:t>
              </w:r>
            </w:hyperlink>
          </w:p>
          <w:p w:rsidR="00696E70" w:rsidRPr="001C4D15" w:rsidP="00DC5D9E" w14:paraId="0FEA03C8" w14:textId="77777777">
            <w:pPr>
              <w:rPr>
                <w:rFonts w:eastAsia="PMingLiU"/>
              </w:rPr>
            </w:pPr>
            <w:r w:rsidRPr="001C4D15">
              <w:rPr>
                <w:rFonts w:eastAsia="Arial Unicode MS"/>
                <w:color w:val="0000FF"/>
                <w:u w:val="single" w:color="0000FF"/>
              </w:rPr>
              <w:t>awalke@mcneeslaw.com</w:t>
            </w:r>
          </w:p>
          <w:p w:rsidR="00696E70" w:rsidRPr="001C4D15" w:rsidP="00DC5D9E" w14:paraId="1F9FBE57" w14:textId="77777777">
            <w:pPr>
              <w:rPr>
                <w:rFonts w:eastAsia="PMingLiU"/>
              </w:rPr>
            </w:pPr>
            <w:hyperlink r:id="rId38" w:history="1">
              <w:r w:rsidRPr="001C4D15">
                <w:rPr>
                  <w:rFonts w:eastAsia="PMingLiU"/>
                  <w:color w:val="0000FF"/>
                  <w:u w:val="single"/>
                </w:rPr>
                <w:t>dromig@armadapower.com</w:t>
              </w:r>
            </w:hyperlink>
          </w:p>
          <w:p w:rsidR="00696E70" w:rsidRPr="001C4D15" w:rsidP="00DC5D9E" w14:paraId="4E55C94D" w14:textId="77777777">
            <w:pPr>
              <w:rPr>
                <w:rFonts w:eastAsia="PMingLiU"/>
              </w:rPr>
            </w:pPr>
            <w:hyperlink r:id="rId39" w:history="1">
              <w:r w:rsidRPr="001C4D15">
                <w:rPr>
                  <w:rFonts w:eastAsia="Arial Unicode MS"/>
                  <w:color w:val="0000FF"/>
                  <w:u w:val="single" w:color="0000FF"/>
                </w:rPr>
                <w:t>mjsettineri@vorys.com</w:t>
              </w:r>
            </w:hyperlink>
          </w:p>
          <w:p w:rsidR="00696E70" w:rsidRPr="001C4D15" w:rsidP="00DC5D9E" w14:paraId="4C186391" w14:textId="77777777">
            <w:pPr>
              <w:rPr>
                <w:rFonts w:eastAsia="PMingLiU"/>
              </w:rPr>
            </w:pPr>
            <w:hyperlink r:id="rId40" w:history="1">
              <w:r w:rsidRPr="001C4D15">
                <w:rPr>
                  <w:rFonts w:eastAsia="Arial Unicode MS"/>
                  <w:color w:val="0000FF"/>
                  <w:u w:val="single" w:color="0000FF"/>
                </w:rPr>
                <w:t>glpetrucci@vorys.com</w:t>
              </w:r>
            </w:hyperlink>
          </w:p>
          <w:p w:rsidR="00696E70" w:rsidRPr="001C4D15" w:rsidP="00DC5D9E" w14:paraId="5EB08E49" w14:textId="77777777">
            <w:pPr>
              <w:rPr>
                <w:rFonts w:eastAsia="PMingLiU"/>
              </w:rPr>
            </w:pPr>
            <w:hyperlink r:id="rId41" w:history="1">
              <w:r w:rsidRPr="001C4D15">
                <w:rPr>
                  <w:rFonts w:eastAsia="Arial Unicode MS"/>
                  <w:color w:val="0000FF"/>
                  <w:u w:val="single" w:color="0000FF"/>
                </w:rPr>
                <w:t>paul@carpenterlipps.com</w:t>
              </w:r>
            </w:hyperlink>
          </w:p>
          <w:p w:rsidR="00696E70" w:rsidRPr="001C4D15" w:rsidP="00DC5D9E" w14:paraId="364F73D7" w14:textId="77777777">
            <w:pPr>
              <w:rPr>
                <w:rFonts w:eastAsia="PMingLiU"/>
              </w:rPr>
            </w:pPr>
            <w:hyperlink r:id="rId42" w:history="1">
              <w:r w:rsidRPr="001C4D15">
                <w:rPr>
                  <w:rFonts w:eastAsia="Arial Unicode MS"/>
                  <w:color w:val="0000FF"/>
                  <w:u w:val="single" w:color="0000FF"/>
                </w:rPr>
                <w:t>trent@hubaydougherty.com</w:t>
              </w:r>
            </w:hyperlink>
          </w:p>
          <w:p w:rsidR="00696E70" w:rsidRPr="001C4D15" w:rsidP="00DC5D9E" w14:paraId="211BD979" w14:textId="77777777">
            <w:pPr>
              <w:rPr>
                <w:rFonts w:eastAsia="Arial Unicode MS"/>
                <w:color w:val="0000FF"/>
                <w:u w:val="single" w:color="0000FF"/>
              </w:rPr>
            </w:pPr>
            <w:hyperlink r:id="rId43" w:history="1">
              <w:r w:rsidRPr="001C4D15">
                <w:rPr>
                  <w:rFonts w:eastAsia="Arial Unicode MS"/>
                  <w:color w:val="0000FF"/>
                  <w:u w:val="single" w:color="0000FF"/>
                </w:rPr>
                <w:t>rdove@keglerbrown.com</w:t>
              </w:r>
            </w:hyperlink>
          </w:p>
          <w:p w:rsidR="00696E70" w:rsidRPr="001C4D15" w:rsidP="00DC5D9E" w14:paraId="4472ACAE" w14:textId="77777777">
            <w:pPr>
              <w:rPr>
                <w:rFonts w:eastAsia="Arial Unicode MS"/>
                <w:color w:val="0000FF"/>
                <w:u w:val="single" w:color="0000FF"/>
              </w:rPr>
            </w:pPr>
            <w:hyperlink r:id="rId44" w:history="1">
              <w:r w:rsidRPr="001C4D15">
                <w:rPr>
                  <w:rFonts w:eastAsia="Arial Unicode MS"/>
                  <w:color w:val="0000FF"/>
                  <w:u w:val="single" w:color="0000FF"/>
                </w:rPr>
                <w:t>cgrundmann@spilmanlaw.com</w:t>
              </w:r>
            </w:hyperlink>
          </w:p>
          <w:p w:rsidR="00696E70" w:rsidRPr="001C4D15" w:rsidP="00DC5D9E" w14:paraId="7E57721D" w14:textId="77777777">
            <w:pPr>
              <w:spacing w:after="120"/>
              <w:rPr>
                <w:rFonts w:eastAsia="PMingLiU"/>
              </w:rPr>
            </w:pPr>
            <w:hyperlink r:id="rId45" w:history="1">
              <w:r w:rsidRPr="001C4D15">
                <w:rPr>
                  <w:rFonts w:eastAsia="Arial Unicode MS"/>
                  <w:color w:val="0000FF"/>
                  <w:u w:val="single" w:color="0000FF"/>
                </w:rPr>
                <w:t>dwilliamson@spilmanlaw.com</w:t>
              </w:r>
            </w:hyperlink>
          </w:p>
        </w:tc>
      </w:tr>
    </w:tbl>
    <w:p w:rsidR="001F2DAA" w:rsidRPr="001C4D15" w:rsidP="001F2DAA" w14:paraId="6B09A8E5" w14:textId="77777777"/>
    <w:sectPr w:rsidSect="009D2006">
      <w:headerReference w:type="even" r:id="rId46"/>
      <w:headerReference w:type="default" r:id="rId47"/>
      <w:footerReference w:type="even" r:id="rId48"/>
      <w:footerReference w:type="default" r:id="rId49"/>
      <w:headerReference w:type="first" r:id="rId50"/>
      <w:footerReference w:type="first" r:id="rId51"/>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5EA4" w14:paraId="1DC40C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65482861"/>
      <w:docPartObj>
        <w:docPartGallery w:val="Page Numbers (Bottom of Page)"/>
        <w:docPartUnique/>
      </w:docPartObj>
    </w:sdtPr>
    <w:sdtEndPr>
      <w:rPr>
        <w:noProof/>
        <w:sz w:val="24"/>
        <w:szCs w:val="24"/>
      </w:rPr>
    </w:sdtEndPr>
    <w:sdtContent>
      <w:p w:rsidR="00EB7F92" w:rsidRPr="006C0815" w14:paraId="5E4F4EC4" w14:textId="77777777">
        <w:pPr>
          <w:pStyle w:val="Footer"/>
          <w:jc w:val="center"/>
          <w:rPr>
            <w:sz w:val="24"/>
            <w:szCs w:val="24"/>
          </w:rPr>
        </w:pPr>
        <w:r w:rsidRPr="006C0815">
          <w:rPr>
            <w:sz w:val="24"/>
            <w:szCs w:val="24"/>
          </w:rPr>
          <w:fldChar w:fldCharType="begin"/>
        </w:r>
        <w:r w:rsidRPr="006C0815">
          <w:rPr>
            <w:sz w:val="24"/>
            <w:szCs w:val="24"/>
          </w:rPr>
          <w:instrText xml:space="preserve"> PAGE   \* MERGEFORMAT </w:instrText>
        </w:r>
        <w:r w:rsidRPr="006C0815">
          <w:rPr>
            <w:sz w:val="24"/>
            <w:szCs w:val="24"/>
          </w:rPr>
          <w:fldChar w:fldCharType="separate"/>
        </w:r>
        <w:r w:rsidRPr="006C0815">
          <w:rPr>
            <w:noProof/>
            <w:sz w:val="24"/>
            <w:szCs w:val="24"/>
          </w:rPr>
          <w:t>2</w:t>
        </w:r>
        <w:r w:rsidRPr="006C0815">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5EA4" w14:paraId="04CA0A9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4D7B" w:rsidP="002747B5" w14:paraId="3F1BEE4C" w14:textId="77777777">
      <w:r>
        <w:separator/>
      </w:r>
    </w:p>
  </w:footnote>
  <w:footnote w:type="continuationSeparator" w:id="1">
    <w:p w:rsidR="00D94D7B" w:rsidP="002747B5" w14:paraId="4B729F5E" w14:textId="77777777">
      <w:r>
        <w:continuationSeparator/>
      </w:r>
    </w:p>
  </w:footnote>
  <w:footnote w:id="2">
    <w:p w:rsidR="006F4FD3" w:rsidP="00C83D85" w14:paraId="70AB4BDB" w14:textId="1A498B18">
      <w:pPr>
        <w:pStyle w:val="FootnoteText"/>
        <w:spacing w:after="120"/>
      </w:pPr>
      <w:r>
        <w:rPr>
          <w:rStyle w:val="FootnoteReference"/>
        </w:rPr>
        <w:footnoteRef/>
      </w:r>
      <w:r>
        <w:t xml:space="preserve"> </w:t>
      </w:r>
      <w:r w:rsidR="00D81A81">
        <w:t>OCC Ex. 9.</w:t>
      </w:r>
    </w:p>
  </w:footnote>
  <w:footnote w:id="3">
    <w:p w:rsidR="00D81A81" w:rsidP="00C83D85" w14:paraId="460EEB14" w14:textId="36A125EA">
      <w:pPr>
        <w:pStyle w:val="FootnoteText"/>
        <w:spacing w:after="120"/>
      </w:pPr>
      <w:r>
        <w:rPr>
          <w:rStyle w:val="FootnoteReference"/>
        </w:rPr>
        <w:footnoteRef/>
      </w:r>
      <w:r>
        <w:t xml:space="preserve"> Case No. 99-1687-EL-ETP, </w:t>
      </w:r>
      <w:r w:rsidR="000700F1">
        <w:t>Opinion and Order (Sept. 21, 2000) at 40.</w:t>
      </w:r>
    </w:p>
  </w:footnote>
  <w:footnote w:id="4">
    <w:p w:rsidR="000700F1" w:rsidRPr="000700F1" w:rsidP="00C83D85" w14:paraId="2823D849" w14:textId="697E40AB">
      <w:pPr>
        <w:pStyle w:val="FootnoteText"/>
        <w:spacing w:after="120"/>
        <w:rPr>
          <w:i/>
          <w:iCs/>
        </w:rPr>
      </w:pPr>
      <w:r>
        <w:rPr>
          <w:rStyle w:val="FootnoteReference"/>
        </w:rPr>
        <w:footnoteRef/>
      </w:r>
      <w:r>
        <w:t xml:space="preserve"> </w:t>
      </w:r>
      <w:r>
        <w:rPr>
          <w:i/>
          <w:iCs/>
        </w:rPr>
        <w:t xml:space="preserve">Id. </w:t>
      </w:r>
    </w:p>
  </w:footnote>
  <w:footnote w:id="5">
    <w:p w:rsidR="000700F1" w:rsidRPr="000700F1" w:rsidP="00C83D85" w14:paraId="6FF3078E" w14:textId="1A816077">
      <w:pPr>
        <w:pStyle w:val="FootnoteText"/>
        <w:spacing w:after="120"/>
      </w:pPr>
      <w:r>
        <w:rPr>
          <w:rStyle w:val="FootnoteReference"/>
        </w:rPr>
        <w:footnoteRef/>
      </w:r>
      <w:r>
        <w:t xml:space="preserve"> </w:t>
      </w:r>
      <w:r>
        <w:rPr>
          <w:i/>
          <w:iCs/>
        </w:rPr>
        <w:t>Id.</w:t>
      </w:r>
      <w:r>
        <w:t>, Application to Receive Transition Revenues (Revised), Summary of Transition Costs, Part F, File TC-2 (April 20, 2000).</w:t>
      </w:r>
    </w:p>
  </w:footnote>
  <w:footnote w:id="6">
    <w:p w:rsidR="000700F1" w:rsidP="00C83D85" w14:paraId="721D0B54" w14:textId="77F94EC1">
      <w:pPr>
        <w:pStyle w:val="FootnoteText"/>
        <w:spacing w:after="120"/>
      </w:pPr>
      <w:r>
        <w:rPr>
          <w:rStyle w:val="FootnoteReference"/>
        </w:rPr>
        <w:footnoteRef/>
      </w:r>
      <w:r>
        <w:t xml:space="preserve"> </w:t>
      </w:r>
      <w:r w:rsidR="00776559">
        <w:t>AES Ohio’s Memorandum Contra OCC’s Motion for Administrative Notice (“AES Ohio Memo Contra</w:t>
      </w:r>
      <w:r w:rsidR="00C3497E">
        <w:t>”</w:t>
      </w:r>
      <w:r w:rsidR="00776559">
        <w:t xml:space="preserve">) at 2, PUCO Staff’s Memorandum Contra OCC’s Motion for Administrative Notice (“PUCO Staff Memo Contra”) at 3. </w:t>
      </w:r>
    </w:p>
  </w:footnote>
  <w:footnote w:id="7">
    <w:p w:rsidR="000700F1" w:rsidRPr="004F40E3" w:rsidP="00C83D85" w14:paraId="1ECB079E" w14:textId="39406095">
      <w:pPr>
        <w:pStyle w:val="FootnoteText"/>
        <w:spacing w:after="120"/>
      </w:pPr>
      <w:r>
        <w:rPr>
          <w:rStyle w:val="FootnoteReference"/>
        </w:rPr>
        <w:footnoteRef/>
      </w:r>
      <w:r>
        <w:t xml:space="preserve"> </w:t>
      </w:r>
      <w:r w:rsidRPr="00FD5750" w:rsidR="00776559">
        <w:rPr>
          <w:color w:val="000000"/>
        </w:rPr>
        <w:t>Tr. Vol. 1</w:t>
      </w:r>
      <w:r w:rsidR="00776559">
        <w:rPr>
          <w:color w:val="000000"/>
        </w:rPr>
        <w:t xml:space="preserve"> </w:t>
      </w:r>
      <w:r w:rsidRPr="00BD4318" w:rsidR="00776559">
        <w:t>at 139-141.</w:t>
      </w:r>
    </w:p>
  </w:footnote>
  <w:footnote w:id="8">
    <w:p w:rsidR="000700F1" w:rsidRPr="00BD4318" w:rsidP="00C83D85" w14:paraId="06E8F891" w14:textId="34656E8D">
      <w:pPr>
        <w:pStyle w:val="FootnoteText"/>
        <w:spacing w:after="120"/>
      </w:pPr>
      <w:r w:rsidRPr="00BD4318">
        <w:rPr>
          <w:rStyle w:val="FootnoteReference"/>
        </w:rPr>
        <w:footnoteRef/>
      </w:r>
      <w:r w:rsidRPr="00BD4318">
        <w:t xml:space="preserve"> </w:t>
      </w:r>
      <w:r w:rsidRPr="00BD4318" w:rsidR="00776559">
        <w:t>AES Ohio Memo Contra at 5, PUCO Staff Memo Contra at 3</w:t>
      </w:r>
      <w:r w:rsidRPr="00BD4318" w:rsidR="004436F8">
        <w:t>.</w:t>
      </w:r>
    </w:p>
  </w:footnote>
  <w:footnote w:id="9">
    <w:p w:rsidR="00EB24D5" w:rsidRPr="004F40E3" w:rsidP="00C83D85" w14:paraId="7D5B8FC4" w14:textId="7F726E64">
      <w:pPr>
        <w:spacing w:after="120"/>
      </w:pPr>
      <w:r w:rsidRPr="004F40E3">
        <w:rPr>
          <w:rStyle w:val="FootnoteReference"/>
          <w:sz w:val="20"/>
          <w:szCs w:val="20"/>
        </w:rPr>
        <w:footnoteRef/>
      </w:r>
      <w:r w:rsidRPr="004F40E3">
        <w:rPr>
          <w:sz w:val="20"/>
          <w:szCs w:val="20"/>
        </w:rPr>
        <w:t xml:space="preserve"> </w:t>
      </w:r>
      <w:r w:rsidRPr="00BD4318" w:rsidR="004F40E3">
        <w:rPr>
          <w:sz w:val="20"/>
          <w:szCs w:val="20"/>
        </w:rPr>
        <w:t>AES Ohio Memo Contra at 2, PUCO Staff Memo Contra at 3.</w:t>
      </w:r>
    </w:p>
  </w:footnote>
  <w:footnote w:id="10">
    <w:p w:rsidR="00382776" w:rsidRPr="00776559" w:rsidP="00C83D85" w14:paraId="542F802C" w14:textId="18AF8873">
      <w:pPr>
        <w:pStyle w:val="FootnoteText"/>
        <w:spacing w:after="120"/>
        <w:rPr>
          <w:color w:val="000000" w:themeColor="text1"/>
        </w:rPr>
      </w:pPr>
      <w:r w:rsidRPr="00776559">
        <w:rPr>
          <w:rStyle w:val="FootnoteReference"/>
          <w:color w:val="000000" w:themeColor="text1"/>
        </w:rPr>
        <w:footnoteRef/>
      </w:r>
      <w:r w:rsidRPr="00776559">
        <w:rPr>
          <w:color w:val="000000" w:themeColor="text1"/>
        </w:rPr>
        <w:t xml:space="preserve"> </w:t>
      </w:r>
      <w:r w:rsidRPr="00776559" w:rsidR="00776559">
        <w:rPr>
          <w:i/>
          <w:iCs/>
          <w:color w:val="000000" w:themeColor="text1"/>
        </w:rPr>
        <w:t xml:space="preserve">Allen, DBA J&amp;M Trucking, et al. v. Pub. Util. Comm. </w:t>
      </w:r>
      <w:r w:rsidRPr="00776559" w:rsidR="00776559">
        <w:rPr>
          <w:color w:val="000000" w:themeColor="text1"/>
        </w:rPr>
        <w:t>(1988), 40 Ohio St.3d 184.</w:t>
      </w:r>
    </w:p>
  </w:footnote>
  <w:footnote w:id="11">
    <w:p w:rsidR="00E21082" w:rsidRPr="00776559" w:rsidP="00C83D85" w14:paraId="58FBA087" w14:textId="686DF2EB">
      <w:pPr>
        <w:pStyle w:val="NormalWeb"/>
        <w:spacing w:before="0" w:beforeAutospacing="0" w:after="120" w:afterAutospacing="0"/>
        <w:rPr>
          <w:i/>
          <w:iCs/>
        </w:rPr>
      </w:pPr>
      <w:r w:rsidRPr="00776559">
        <w:rPr>
          <w:rStyle w:val="FootnoteReference"/>
          <w:color w:val="000000" w:themeColor="text1"/>
          <w:sz w:val="20"/>
          <w:szCs w:val="20"/>
        </w:rPr>
        <w:footnoteRef/>
      </w:r>
      <w:r w:rsidRPr="00776559">
        <w:rPr>
          <w:color w:val="000000" w:themeColor="text1"/>
          <w:sz w:val="20"/>
          <w:szCs w:val="20"/>
        </w:rPr>
        <w:t xml:space="preserve"> </w:t>
      </w:r>
      <w:r w:rsidRPr="00776559" w:rsidR="00776559">
        <w:rPr>
          <w:i/>
          <w:iCs/>
          <w:color w:val="000000" w:themeColor="text1"/>
          <w:sz w:val="20"/>
          <w:szCs w:val="20"/>
        </w:rPr>
        <w:t>Id.</w:t>
      </w:r>
      <w:r w:rsidRPr="00776559" w:rsidR="00776559">
        <w:rPr>
          <w:i/>
          <w:iCs/>
          <w:color w:val="000000" w:themeColor="text1"/>
        </w:rPr>
        <w:t xml:space="preserve"> </w:t>
      </w:r>
    </w:p>
  </w:footnote>
  <w:footnote w:id="12">
    <w:p w:rsidR="004E28A8" w:rsidP="00C83D85" w14:paraId="71AEB1A2" w14:textId="53E7291E">
      <w:pPr>
        <w:pStyle w:val="FootnoteText"/>
        <w:spacing w:after="120"/>
      </w:pPr>
      <w:r>
        <w:rPr>
          <w:rStyle w:val="FootnoteReference"/>
        </w:rPr>
        <w:footnoteRef/>
      </w:r>
      <w:r>
        <w:t xml:space="preserve"> </w:t>
      </w:r>
      <w:r w:rsidRPr="00FD5750">
        <w:rPr>
          <w:color w:val="000000"/>
        </w:rPr>
        <w:t>Tr. Vol. 1</w:t>
      </w:r>
      <w:r>
        <w:rPr>
          <w:color w:val="000000"/>
        </w:rPr>
        <w:t xml:space="preserve"> at 139-141</w:t>
      </w:r>
      <w:r w:rsidRPr="00FD5750">
        <w:rPr>
          <w:color w:val="000000"/>
        </w:rPr>
        <w:t>; OCC Exhibit 9</w:t>
      </w:r>
      <w:r>
        <w:rPr>
          <w:color w:val="000000"/>
        </w:rPr>
        <w:t>.</w:t>
      </w:r>
    </w:p>
  </w:footnote>
  <w:footnote w:id="13">
    <w:p w:rsidR="003810E0" w:rsidP="00C83D85" w14:paraId="6F850935" w14:textId="74E977AB">
      <w:pPr>
        <w:pStyle w:val="FootnoteText"/>
        <w:spacing w:after="120"/>
      </w:pPr>
      <w:r>
        <w:rPr>
          <w:rStyle w:val="FootnoteReference"/>
        </w:rPr>
        <w:footnoteRef/>
      </w:r>
      <w:r>
        <w:t xml:space="preserve"> </w:t>
      </w:r>
      <w:r w:rsidR="00776559">
        <w:t>PUCO Staff Memo Contra at 3.</w:t>
      </w:r>
    </w:p>
  </w:footnote>
  <w:footnote w:id="14">
    <w:p w:rsidR="00C777BB" w:rsidRPr="00776559" w:rsidP="00C83D85" w14:paraId="501B9AD5" w14:textId="3074587E">
      <w:pPr>
        <w:pStyle w:val="FootnoteText"/>
        <w:spacing w:after="120"/>
        <w:rPr>
          <w:i/>
          <w:iCs/>
        </w:rPr>
      </w:pPr>
      <w:r>
        <w:rPr>
          <w:rStyle w:val="FootnoteReference"/>
        </w:rPr>
        <w:footnoteRef/>
      </w:r>
      <w:r w:rsidR="002B7E49">
        <w:t xml:space="preserve"> </w:t>
      </w:r>
      <w:r w:rsidR="00776559">
        <w:rPr>
          <w:i/>
          <w:iCs/>
        </w:rPr>
        <w:t xml:space="preserve">Id. </w:t>
      </w:r>
    </w:p>
  </w:footnote>
  <w:footnote w:id="15">
    <w:p w:rsidR="003810E0" w:rsidP="00C83D85" w14:paraId="52D85EEC" w14:textId="107CFB27">
      <w:pPr>
        <w:pStyle w:val="FootnoteText"/>
        <w:spacing w:after="120"/>
      </w:pPr>
      <w:r>
        <w:rPr>
          <w:rStyle w:val="FootnoteReference"/>
        </w:rPr>
        <w:footnoteRef/>
      </w:r>
      <w:r>
        <w:t xml:space="preserve"> </w:t>
      </w:r>
      <w:r w:rsidR="00776559">
        <w:t>AES Ohio Memo Contra at 6.</w:t>
      </w:r>
    </w:p>
  </w:footnote>
  <w:footnote w:id="16">
    <w:p w:rsidR="003810E0" w:rsidRPr="00776559" w:rsidP="00C83D85" w14:paraId="34A22F9A" w14:textId="3731A143">
      <w:pPr>
        <w:pStyle w:val="FootnoteText"/>
        <w:spacing w:after="120"/>
      </w:pPr>
      <w:r>
        <w:rPr>
          <w:rStyle w:val="FootnoteReference"/>
        </w:rPr>
        <w:footnoteRef/>
      </w:r>
      <w:r>
        <w:t xml:space="preserve"> </w:t>
      </w:r>
      <w:r w:rsidR="00776559">
        <w:rPr>
          <w:i/>
          <w:iCs/>
        </w:rPr>
        <w:t xml:space="preserve">Id. </w:t>
      </w:r>
      <w:r w:rsidR="00776559">
        <w:t>at 9.</w:t>
      </w:r>
    </w:p>
  </w:footnote>
  <w:footnote w:id="17">
    <w:p w:rsidR="004E4DF3" w:rsidP="00C83D85" w14:paraId="2867246C" w14:textId="4C2EFBC2">
      <w:pPr>
        <w:pStyle w:val="FootnoteText"/>
        <w:spacing w:after="120"/>
      </w:pPr>
      <w:r>
        <w:rPr>
          <w:rStyle w:val="FootnoteReference"/>
        </w:rPr>
        <w:footnoteRef/>
      </w:r>
      <w:r>
        <w:t xml:space="preserve"> </w:t>
      </w:r>
      <w:r w:rsidR="00776559">
        <w:t>Case No. 99-1687-EL-ETP, Opinion and Order (Sept. 21, 2000) at 40</w:t>
      </w:r>
      <w:r w:rsidR="00C3497E">
        <w:t xml:space="preserve"> (underlining added)</w:t>
      </w:r>
      <w:r w:rsidR="00776559">
        <w:t>.</w:t>
      </w:r>
    </w:p>
  </w:footnote>
  <w:footnote w:id="18">
    <w:p w:rsidR="003810E0" w:rsidP="00C83D85" w14:paraId="4FB82A49" w14:textId="0E9EB828">
      <w:pPr>
        <w:pStyle w:val="FootnoteText"/>
        <w:spacing w:after="120"/>
      </w:pPr>
      <w:r>
        <w:rPr>
          <w:rStyle w:val="FootnoteReference"/>
        </w:rPr>
        <w:footnoteRef/>
      </w:r>
      <w:r w:rsidR="00776559">
        <w:t xml:space="preserve"> </w:t>
      </w:r>
      <w:r w:rsidR="00776559">
        <w:rPr>
          <w:i/>
          <w:iCs/>
        </w:rPr>
        <w:t>Office of Consumers’ Counsel v. Pub. Util. Comm.</w:t>
      </w:r>
      <w:r w:rsidR="00776559">
        <w:t xml:space="preserve">, 16 Ohio St.3d 9, 475 N.E.2d 782 (1985); </w:t>
      </w:r>
      <w:r w:rsidR="00776559">
        <w:rPr>
          <w:i/>
          <w:iCs/>
        </w:rPr>
        <w:t>Superior’s Brand Meats, Inc. v. Lindley</w:t>
      </w:r>
      <w:r w:rsidR="00776559">
        <w:t>, 62 Ohio St.2d 133, 403 N.E. 996 (1980).</w:t>
      </w:r>
    </w:p>
  </w:footnote>
  <w:footnote w:id="19">
    <w:p w:rsidR="003810E0" w:rsidRPr="00776559" w:rsidP="00C83D85" w14:paraId="5901FF3A" w14:textId="57FDF24F">
      <w:pPr>
        <w:pStyle w:val="FootnoteText"/>
        <w:spacing w:after="120"/>
        <w:rPr>
          <w:i/>
          <w:iCs/>
        </w:rPr>
      </w:pPr>
      <w:r>
        <w:rPr>
          <w:rStyle w:val="FootnoteReference"/>
        </w:rPr>
        <w:footnoteRef/>
      </w:r>
      <w:r w:rsidR="00776559">
        <w:t xml:space="preserve"> </w:t>
      </w:r>
      <w:r w:rsidR="00776559">
        <w:rPr>
          <w:i/>
          <w:iCs/>
        </w:rPr>
        <w:t xml:space="preserve">Id. </w:t>
      </w:r>
    </w:p>
  </w:footnote>
  <w:footnote w:id="20">
    <w:p w:rsidR="002F1E4D" w:rsidP="00C83D85" w14:paraId="736F0769" w14:textId="0EB627D6">
      <w:pPr>
        <w:pStyle w:val="FootnoteText"/>
        <w:spacing w:after="120"/>
      </w:pPr>
      <w:r>
        <w:rPr>
          <w:rStyle w:val="FootnoteReference"/>
        </w:rPr>
        <w:footnoteRef/>
      </w:r>
      <w:r>
        <w:t xml:space="preserve"> AES Ohio Opposition to Motion to Take Administrative Notice at 9 (May 25, 2023).</w:t>
      </w:r>
      <w:r w:rsidR="002B7E49">
        <w:t xml:space="preserve"> </w:t>
      </w:r>
    </w:p>
  </w:footnote>
  <w:footnote w:id="21">
    <w:p w:rsidR="00B709E4" w:rsidP="00C83D85" w14:paraId="69BE443C" w14:textId="62ACAEF1">
      <w:pPr>
        <w:pStyle w:val="FootnoteText"/>
        <w:spacing w:after="120"/>
      </w:pPr>
      <w:r>
        <w:rPr>
          <w:rStyle w:val="FootnoteReference"/>
        </w:rPr>
        <w:footnoteRef/>
      </w:r>
      <w:r>
        <w:t xml:space="preserve"> </w:t>
      </w:r>
      <w:r w:rsidRPr="00DA3FAD">
        <w:rPr>
          <w:i/>
          <w:iCs/>
        </w:rPr>
        <w:t>In re Ohio Edison Co</w:t>
      </w:r>
      <w:r>
        <w:t>., 2018-Ohio-4698, ¶</w:t>
      </w:r>
      <w:r w:rsidR="00DA3FAD">
        <w:t xml:space="preserve"> </w:t>
      </w:r>
      <w:r>
        <w:t>22, 23</w:t>
      </w:r>
    </w:p>
  </w:footnote>
  <w:footnote w:id="22">
    <w:p w:rsidR="00D5079C" w:rsidRPr="004F40E3" w:rsidP="00C83D85" w14:paraId="6A1CB3FB" w14:textId="6401EA49">
      <w:pPr>
        <w:pStyle w:val="FootnoteText"/>
        <w:spacing w:after="120"/>
      </w:pPr>
      <w:r>
        <w:rPr>
          <w:rStyle w:val="FootnoteReference"/>
        </w:rPr>
        <w:footnoteRef/>
      </w:r>
      <w:r>
        <w:t xml:space="preserve"> </w:t>
      </w:r>
      <w:r w:rsidR="004F40E3">
        <w:rPr>
          <w:i/>
          <w:iCs/>
        </w:rPr>
        <w:t>Id.</w:t>
      </w:r>
      <w:r w:rsidR="004F40E3">
        <w:t xml:space="preserve"> at ¶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5EA4" w14:paraId="283FEB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5EA4" w14:paraId="293F8E7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5EA4" w14:paraId="327713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A3595C"/>
    <w:multiLevelType w:val="hybridMultilevel"/>
    <w:tmpl w:val="5CDCBFC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7C43C51"/>
    <w:multiLevelType w:val="hybridMultilevel"/>
    <w:tmpl w:val="C8805D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6D2609A"/>
    <w:multiLevelType w:val="hybridMultilevel"/>
    <w:tmpl w:val="C0006974"/>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697C165C"/>
    <w:multiLevelType w:val="hybridMultilevel"/>
    <w:tmpl w:val="A98626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752F6D24"/>
    <w:multiLevelType w:val="hybridMultilevel"/>
    <w:tmpl w:val="837A574E"/>
    <w:lvl w:ilvl="0">
      <w:start w:val="1"/>
      <w:numFmt w:val="upperLetter"/>
      <w:lvlText w:val="%1."/>
      <w:lvlJc w:val="left"/>
      <w:pPr>
        <w:ind w:left="1080" w:hanging="360"/>
      </w:pPr>
      <w:rPr>
        <w:rFonts w:hint="default"/>
        <w:b/>
        <w:bCs/>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A1"/>
    <w:rsid w:val="000136E8"/>
    <w:rsid w:val="000169BA"/>
    <w:rsid w:val="00020587"/>
    <w:rsid w:val="00037301"/>
    <w:rsid w:val="0005727D"/>
    <w:rsid w:val="00066CE3"/>
    <w:rsid w:val="000700F1"/>
    <w:rsid w:val="00075FC9"/>
    <w:rsid w:val="00081586"/>
    <w:rsid w:val="0008209C"/>
    <w:rsid w:val="000C43F1"/>
    <w:rsid w:val="000C504E"/>
    <w:rsid w:val="000C590F"/>
    <w:rsid w:val="000D3E18"/>
    <w:rsid w:val="00114506"/>
    <w:rsid w:val="00117CD5"/>
    <w:rsid w:val="001248EB"/>
    <w:rsid w:val="00131842"/>
    <w:rsid w:val="0014195A"/>
    <w:rsid w:val="00165EDD"/>
    <w:rsid w:val="00177EA1"/>
    <w:rsid w:val="0018671B"/>
    <w:rsid w:val="00190A65"/>
    <w:rsid w:val="00195EA4"/>
    <w:rsid w:val="001A136A"/>
    <w:rsid w:val="001A2F74"/>
    <w:rsid w:val="001A3F28"/>
    <w:rsid w:val="001A51A2"/>
    <w:rsid w:val="001C2FFD"/>
    <w:rsid w:val="001C4D15"/>
    <w:rsid w:val="001D1D03"/>
    <w:rsid w:val="001E3730"/>
    <w:rsid w:val="001F1285"/>
    <w:rsid w:val="001F2DAA"/>
    <w:rsid w:val="001F4873"/>
    <w:rsid w:val="00206F5F"/>
    <w:rsid w:val="0022130E"/>
    <w:rsid w:val="00223C21"/>
    <w:rsid w:val="00236EFC"/>
    <w:rsid w:val="00251A97"/>
    <w:rsid w:val="00253126"/>
    <w:rsid w:val="0026108C"/>
    <w:rsid w:val="00270FFA"/>
    <w:rsid w:val="002747B5"/>
    <w:rsid w:val="00277057"/>
    <w:rsid w:val="0028219A"/>
    <w:rsid w:val="00297E76"/>
    <w:rsid w:val="002A4820"/>
    <w:rsid w:val="002B24D3"/>
    <w:rsid w:val="002B7E49"/>
    <w:rsid w:val="002C431E"/>
    <w:rsid w:val="002E13D7"/>
    <w:rsid w:val="002E770A"/>
    <w:rsid w:val="002F1E4D"/>
    <w:rsid w:val="002F57A5"/>
    <w:rsid w:val="00303102"/>
    <w:rsid w:val="0030369F"/>
    <w:rsid w:val="00317FAD"/>
    <w:rsid w:val="00337CB7"/>
    <w:rsid w:val="003561D4"/>
    <w:rsid w:val="0036317B"/>
    <w:rsid w:val="003731C1"/>
    <w:rsid w:val="003810E0"/>
    <w:rsid w:val="00382776"/>
    <w:rsid w:val="003A01D9"/>
    <w:rsid w:val="003A565E"/>
    <w:rsid w:val="003B127C"/>
    <w:rsid w:val="003B3579"/>
    <w:rsid w:val="003C26B3"/>
    <w:rsid w:val="003D2B76"/>
    <w:rsid w:val="003D5409"/>
    <w:rsid w:val="003D7A0C"/>
    <w:rsid w:val="003E0E94"/>
    <w:rsid w:val="003E46F1"/>
    <w:rsid w:val="003F1006"/>
    <w:rsid w:val="003F7E0B"/>
    <w:rsid w:val="004019B2"/>
    <w:rsid w:val="0040347D"/>
    <w:rsid w:val="0040431E"/>
    <w:rsid w:val="00426E5E"/>
    <w:rsid w:val="00433573"/>
    <w:rsid w:val="00436A17"/>
    <w:rsid w:val="00442E2F"/>
    <w:rsid w:val="004436F8"/>
    <w:rsid w:val="00450D03"/>
    <w:rsid w:val="004636FF"/>
    <w:rsid w:val="00465766"/>
    <w:rsid w:val="00467DE8"/>
    <w:rsid w:val="00472440"/>
    <w:rsid w:val="0047659D"/>
    <w:rsid w:val="004823AE"/>
    <w:rsid w:val="004A130A"/>
    <w:rsid w:val="004A1FBC"/>
    <w:rsid w:val="004A779B"/>
    <w:rsid w:val="004B2981"/>
    <w:rsid w:val="004B3ACC"/>
    <w:rsid w:val="004D32E5"/>
    <w:rsid w:val="004D4F22"/>
    <w:rsid w:val="004E28A8"/>
    <w:rsid w:val="004E4DF3"/>
    <w:rsid w:val="004F147E"/>
    <w:rsid w:val="004F40E3"/>
    <w:rsid w:val="004F5F1A"/>
    <w:rsid w:val="0050078E"/>
    <w:rsid w:val="0050135C"/>
    <w:rsid w:val="005147B9"/>
    <w:rsid w:val="00515AA9"/>
    <w:rsid w:val="005219B4"/>
    <w:rsid w:val="00522A54"/>
    <w:rsid w:val="00530CE6"/>
    <w:rsid w:val="00531F79"/>
    <w:rsid w:val="00541619"/>
    <w:rsid w:val="00541B41"/>
    <w:rsid w:val="005518FC"/>
    <w:rsid w:val="00571CE1"/>
    <w:rsid w:val="005A2E94"/>
    <w:rsid w:val="005B6F0C"/>
    <w:rsid w:val="005C1843"/>
    <w:rsid w:val="005C394B"/>
    <w:rsid w:val="005C4A16"/>
    <w:rsid w:val="005D70B6"/>
    <w:rsid w:val="005E065E"/>
    <w:rsid w:val="005E1BA2"/>
    <w:rsid w:val="00600C8D"/>
    <w:rsid w:val="00602D55"/>
    <w:rsid w:val="006046FB"/>
    <w:rsid w:val="0060472E"/>
    <w:rsid w:val="00610B6A"/>
    <w:rsid w:val="00613762"/>
    <w:rsid w:val="00616951"/>
    <w:rsid w:val="006350CD"/>
    <w:rsid w:val="006445CA"/>
    <w:rsid w:val="00664C80"/>
    <w:rsid w:val="00671BC7"/>
    <w:rsid w:val="00680FF4"/>
    <w:rsid w:val="006900B3"/>
    <w:rsid w:val="006944B1"/>
    <w:rsid w:val="00696E70"/>
    <w:rsid w:val="006A2923"/>
    <w:rsid w:val="006A337F"/>
    <w:rsid w:val="006A61A4"/>
    <w:rsid w:val="006A738B"/>
    <w:rsid w:val="006B34E5"/>
    <w:rsid w:val="006C0815"/>
    <w:rsid w:val="006C3FCE"/>
    <w:rsid w:val="006C4625"/>
    <w:rsid w:val="006C6868"/>
    <w:rsid w:val="006D1BB1"/>
    <w:rsid w:val="006D4110"/>
    <w:rsid w:val="006E53A8"/>
    <w:rsid w:val="006F4FD3"/>
    <w:rsid w:val="00705B2D"/>
    <w:rsid w:val="00705D5A"/>
    <w:rsid w:val="0070632A"/>
    <w:rsid w:val="00707D0E"/>
    <w:rsid w:val="00711CDD"/>
    <w:rsid w:val="00722E73"/>
    <w:rsid w:val="0072526D"/>
    <w:rsid w:val="007322D5"/>
    <w:rsid w:val="0074257C"/>
    <w:rsid w:val="00745830"/>
    <w:rsid w:val="0074597E"/>
    <w:rsid w:val="00746B72"/>
    <w:rsid w:val="007635B4"/>
    <w:rsid w:val="00776559"/>
    <w:rsid w:val="00793A6C"/>
    <w:rsid w:val="007A5F86"/>
    <w:rsid w:val="008075A4"/>
    <w:rsid w:val="0081284D"/>
    <w:rsid w:val="0082604D"/>
    <w:rsid w:val="00832261"/>
    <w:rsid w:val="008624A3"/>
    <w:rsid w:val="0087550F"/>
    <w:rsid w:val="00890EC8"/>
    <w:rsid w:val="008C3A4A"/>
    <w:rsid w:val="008D1B28"/>
    <w:rsid w:val="008D3D28"/>
    <w:rsid w:val="008D7E6D"/>
    <w:rsid w:val="00903E82"/>
    <w:rsid w:val="009065EA"/>
    <w:rsid w:val="0091042E"/>
    <w:rsid w:val="0091452F"/>
    <w:rsid w:val="00917B11"/>
    <w:rsid w:val="00923E0B"/>
    <w:rsid w:val="0092694E"/>
    <w:rsid w:val="00937C92"/>
    <w:rsid w:val="00946566"/>
    <w:rsid w:val="00964208"/>
    <w:rsid w:val="00966CDF"/>
    <w:rsid w:val="009670F0"/>
    <w:rsid w:val="00986767"/>
    <w:rsid w:val="00992BE3"/>
    <w:rsid w:val="009B05DC"/>
    <w:rsid w:val="009B5E1A"/>
    <w:rsid w:val="009C7FEC"/>
    <w:rsid w:val="009D2006"/>
    <w:rsid w:val="009D33CB"/>
    <w:rsid w:val="009E1498"/>
    <w:rsid w:val="009E2AC5"/>
    <w:rsid w:val="009E5D70"/>
    <w:rsid w:val="009E6E4F"/>
    <w:rsid w:val="009E72FB"/>
    <w:rsid w:val="009E7A13"/>
    <w:rsid w:val="009F4D7C"/>
    <w:rsid w:val="00A00595"/>
    <w:rsid w:val="00A06221"/>
    <w:rsid w:val="00A1585C"/>
    <w:rsid w:val="00A221AE"/>
    <w:rsid w:val="00A2621D"/>
    <w:rsid w:val="00A32888"/>
    <w:rsid w:val="00A53BF1"/>
    <w:rsid w:val="00A620C6"/>
    <w:rsid w:val="00A908CF"/>
    <w:rsid w:val="00A951D9"/>
    <w:rsid w:val="00AA0B78"/>
    <w:rsid w:val="00AB24D0"/>
    <w:rsid w:val="00AB5130"/>
    <w:rsid w:val="00AC0D4A"/>
    <w:rsid w:val="00AC6360"/>
    <w:rsid w:val="00AC65CE"/>
    <w:rsid w:val="00AE1FC1"/>
    <w:rsid w:val="00AF176E"/>
    <w:rsid w:val="00AF7C85"/>
    <w:rsid w:val="00B00871"/>
    <w:rsid w:val="00B0118B"/>
    <w:rsid w:val="00B016CB"/>
    <w:rsid w:val="00B01B9A"/>
    <w:rsid w:val="00B06C14"/>
    <w:rsid w:val="00B12D0B"/>
    <w:rsid w:val="00B22C63"/>
    <w:rsid w:val="00B24A5F"/>
    <w:rsid w:val="00B32D80"/>
    <w:rsid w:val="00B332DD"/>
    <w:rsid w:val="00B41A77"/>
    <w:rsid w:val="00B53F21"/>
    <w:rsid w:val="00B55086"/>
    <w:rsid w:val="00B606AF"/>
    <w:rsid w:val="00B61640"/>
    <w:rsid w:val="00B709E4"/>
    <w:rsid w:val="00B724F9"/>
    <w:rsid w:val="00B806B6"/>
    <w:rsid w:val="00B80FFC"/>
    <w:rsid w:val="00B82926"/>
    <w:rsid w:val="00B853EF"/>
    <w:rsid w:val="00B866B2"/>
    <w:rsid w:val="00B87C44"/>
    <w:rsid w:val="00B95013"/>
    <w:rsid w:val="00B96ACA"/>
    <w:rsid w:val="00BB0517"/>
    <w:rsid w:val="00BC4C6D"/>
    <w:rsid w:val="00BD4318"/>
    <w:rsid w:val="00BF21FC"/>
    <w:rsid w:val="00C04EB6"/>
    <w:rsid w:val="00C05AFA"/>
    <w:rsid w:val="00C12AD6"/>
    <w:rsid w:val="00C3497E"/>
    <w:rsid w:val="00C4786C"/>
    <w:rsid w:val="00C510FD"/>
    <w:rsid w:val="00C5131F"/>
    <w:rsid w:val="00C678D1"/>
    <w:rsid w:val="00C726B7"/>
    <w:rsid w:val="00C777BB"/>
    <w:rsid w:val="00C83D85"/>
    <w:rsid w:val="00CA0B50"/>
    <w:rsid w:val="00CA35A2"/>
    <w:rsid w:val="00CB044B"/>
    <w:rsid w:val="00CD0FE3"/>
    <w:rsid w:val="00CD6C62"/>
    <w:rsid w:val="00CE012B"/>
    <w:rsid w:val="00CE25AB"/>
    <w:rsid w:val="00CF3173"/>
    <w:rsid w:val="00D01E84"/>
    <w:rsid w:val="00D15B47"/>
    <w:rsid w:val="00D23DA1"/>
    <w:rsid w:val="00D27953"/>
    <w:rsid w:val="00D3216D"/>
    <w:rsid w:val="00D359A6"/>
    <w:rsid w:val="00D46C60"/>
    <w:rsid w:val="00D5079C"/>
    <w:rsid w:val="00D50F50"/>
    <w:rsid w:val="00D5121B"/>
    <w:rsid w:val="00D53B9E"/>
    <w:rsid w:val="00D5621C"/>
    <w:rsid w:val="00D673DE"/>
    <w:rsid w:val="00D81A81"/>
    <w:rsid w:val="00D94D7B"/>
    <w:rsid w:val="00DA0C24"/>
    <w:rsid w:val="00DA2B1E"/>
    <w:rsid w:val="00DA3FAD"/>
    <w:rsid w:val="00DB3B51"/>
    <w:rsid w:val="00DC0B91"/>
    <w:rsid w:val="00DC4D9A"/>
    <w:rsid w:val="00DC5D9E"/>
    <w:rsid w:val="00DC7AC4"/>
    <w:rsid w:val="00DD139E"/>
    <w:rsid w:val="00DD40F4"/>
    <w:rsid w:val="00DD4615"/>
    <w:rsid w:val="00DE3D28"/>
    <w:rsid w:val="00E01852"/>
    <w:rsid w:val="00E06C5D"/>
    <w:rsid w:val="00E21082"/>
    <w:rsid w:val="00E216FA"/>
    <w:rsid w:val="00E236FC"/>
    <w:rsid w:val="00E33699"/>
    <w:rsid w:val="00E43F37"/>
    <w:rsid w:val="00E4637D"/>
    <w:rsid w:val="00E612DB"/>
    <w:rsid w:val="00E62B89"/>
    <w:rsid w:val="00E63D24"/>
    <w:rsid w:val="00E64429"/>
    <w:rsid w:val="00E67022"/>
    <w:rsid w:val="00E754F4"/>
    <w:rsid w:val="00E81312"/>
    <w:rsid w:val="00E87E5D"/>
    <w:rsid w:val="00E907D1"/>
    <w:rsid w:val="00E9247C"/>
    <w:rsid w:val="00E95FB2"/>
    <w:rsid w:val="00EA0F1F"/>
    <w:rsid w:val="00EA593B"/>
    <w:rsid w:val="00EB0F68"/>
    <w:rsid w:val="00EB24D5"/>
    <w:rsid w:val="00EB7F92"/>
    <w:rsid w:val="00EC4083"/>
    <w:rsid w:val="00ED24CA"/>
    <w:rsid w:val="00EE1D6B"/>
    <w:rsid w:val="00EE7C6E"/>
    <w:rsid w:val="00EF6EAC"/>
    <w:rsid w:val="00F0435F"/>
    <w:rsid w:val="00F14AFF"/>
    <w:rsid w:val="00F21496"/>
    <w:rsid w:val="00F66544"/>
    <w:rsid w:val="00F75788"/>
    <w:rsid w:val="00F91E57"/>
    <w:rsid w:val="00F93D2F"/>
    <w:rsid w:val="00F9674D"/>
    <w:rsid w:val="00FA56B6"/>
    <w:rsid w:val="00FA7B90"/>
    <w:rsid w:val="00FC03DD"/>
    <w:rsid w:val="00FC11BE"/>
    <w:rsid w:val="00FC2069"/>
    <w:rsid w:val="00FC20C8"/>
    <w:rsid w:val="00FD1503"/>
    <w:rsid w:val="00FD5750"/>
    <w:rsid w:val="00FE1A18"/>
    <w:rsid w:val="00FE4FD3"/>
    <w:rsid w:val="00FE51B2"/>
    <w:rsid w:val="00FF1D7D"/>
    <w:rsid w:val="00FF4D7C"/>
    <w:rsid w:val="00FF7DB4"/>
    <w:rsid w:val="00FF7E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3F5867"/>
  <w15:chartTrackingRefBased/>
  <w15:docId w15:val="{5A50507E-C53A-40BA-AC06-0F467DB2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BC7"/>
    <w:rPr>
      <w:rFonts w:ascii="Times New Roman" w:eastAsia="Times New Roman" w:hAnsi="Times New Roman" w:cs="Times New Roman"/>
    </w:rPr>
  </w:style>
  <w:style w:type="paragraph" w:styleId="Heading1">
    <w:name w:val="heading 1"/>
    <w:basedOn w:val="Normal"/>
    <w:next w:val="Normal"/>
    <w:link w:val="Heading1Char"/>
    <w:qFormat/>
    <w:rsid w:val="003731C1"/>
    <w:pPr>
      <w:keepNext/>
      <w:spacing w:after="240"/>
      <w:ind w:left="720" w:hanging="720"/>
      <w:outlineLvl w:val="0"/>
    </w:pPr>
    <w:rPr>
      <w:b/>
    </w:rPr>
  </w:style>
  <w:style w:type="paragraph" w:styleId="Heading2">
    <w:name w:val="heading 2"/>
    <w:basedOn w:val="Heading1"/>
    <w:next w:val="Normal"/>
    <w:link w:val="Heading2Char"/>
    <w:uiPriority w:val="9"/>
    <w:unhideWhenUsed/>
    <w:qFormat/>
    <w:rsid w:val="006C4625"/>
    <w:pPr>
      <w:numPr>
        <w:numId w:val="4"/>
      </w:numPr>
      <w:ind w:left="1440" w:hanging="720"/>
      <w:outlineLvl w:val="1"/>
    </w:pPr>
    <w:rPr>
      <w:rFonts w:ascii="Times New Roman Bold" w:hAnsi="Times New Roman 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EA1"/>
    <w:pPr>
      <w:ind w:left="720"/>
      <w:contextualSpacing/>
    </w:pPr>
    <w:rPr>
      <w:rFonts w:asciiTheme="minorHAnsi" w:eastAsiaTheme="minorHAnsi" w:hAnsiTheme="minorHAnsi" w:cstheme="minorBidi"/>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qFormat/>
    <w:rsid w:val="002747B5"/>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rsid w:val="002747B5"/>
    <w:rPr>
      <w:rFonts w:ascii="Times New Roman" w:eastAsia="Times New Roman" w:hAnsi="Times New Roman"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2747B5"/>
    <w:rPr>
      <w:vertAlign w:val="superscript"/>
    </w:rPr>
  </w:style>
  <w:style w:type="paragraph" w:styleId="BodyTextIndent3">
    <w:name w:val="Body Text Indent 3"/>
    <w:basedOn w:val="Normal"/>
    <w:link w:val="BodyTextIndent3Char"/>
    <w:rsid w:val="00903E82"/>
    <w:pPr>
      <w:spacing w:line="480" w:lineRule="atLeast"/>
      <w:ind w:firstLine="720"/>
    </w:pPr>
    <w:rPr>
      <w:szCs w:val="20"/>
    </w:rPr>
  </w:style>
  <w:style w:type="character" w:customStyle="1" w:styleId="BodyTextIndent3Char">
    <w:name w:val="Body Text Indent 3 Char"/>
    <w:basedOn w:val="DefaultParagraphFont"/>
    <w:link w:val="BodyTextIndent3"/>
    <w:rsid w:val="00903E82"/>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9F4D7C"/>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9F4D7C"/>
  </w:style>
  <w:style w:type="paragraph" w:styleId="BodyText">
    <w:name w:val="Body Text"/>
    <w:basedOn w:val="Normal"/>
    <w:link w:val="BodyTextChar"/>
    <w:uiPriority w:val="99"/>
    <w:semiHidden/>
    <w:unhideWhenUsed/>
    <w:rsid w:val="00B96ACA"/>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B96ACA"/>
  </w:style>
  <w:style w:type="paragraph" w:styleId="CommentText">
    <w:name w:val="annotation text"/>
    <w:basedOn w:val="Normal"/>
    <w:link w:val="CommentTextChar"/>
    <w:semiHidden/>
    <w:rsid w:val="00B96ACA"/>
  </w:style>
  <w:style w:type="character" w:customStyle="1" w:styleId="CommentTextChar">
    <w:name w:val="Comment Text Char"/>
    <w:basedOn w:val="DefaultParagraphFont"/>
    <w:link w:val="CommentText"/>
    <w:semiHidden/>
    <w:rsid w:val="00B96ACA"/>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B96ACA"/>
    <w:rPr>
      <w:szCs w:val="20"/>
    </w:rPr>
  </w:style>
  <w:style w:type="character" w:customStyle="1" w:styleId="CommentSubjectChar">
    <w:name w:val="Comment Subject Char"/>
    <w:basedOn w:val="CommentTextChar"/>
    <w:link w:val="CommentSubject"/>
    <w:semiHidden/>
    <w:rsid w:val="00B96ACA"/>
    <w:rPr>
      <w:rFonts w:ascii="Times New Roman" w:eastAsia="Times New Roman" w:hAnsi="Times New Roman" w:cs="Times New Roman"/>
      <w:szCs w:val="20"/>
    </w:rPr>
  </w:style>
  <w:style w:type="character" w:styleId="Hyperlink">
    <w:name w:val="Hyperlink"/>
    <w:uiPriority w:val="99"/>
    <w:rsid w:val="007322D5"/>
    <w:rPr>
      <w:color w:val="0000FF"/>
      <w:u w:val="single"/>
    </w:rPr>
  </w:style>
  <w:style w:type="character" w:customStyle="1" w:styleId="Heading1Char">
    <w:name w:val="Heading 1 Char"/>
    <w:basedOn w:val="DefaultParagraphFont"/>
    <w:link w:val="Heading1"/>
    <w:rsid w:val="003731C1"/>
    <w:rPr>
      <w:rFonts w:ascii="Times New Roman" w:eastAsia="Times New Roman" w:hAnsi="Times New Roman" w:cs="Times New Roman"/>
      <w:b/>
    </w:rPr>
  </w:style>
  <w:style w:type="paragraph" w:styleId="HTMLPreformatted">
    <w:name w:val="HTML Preformatted"/>
    <w:basedOn w:val="Normal"/>
    <w:link w:val="HTMLPreformattedChar"/>
    <w:uiPriority w:val="99"/>
    <w:rsid w:val="00AB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AB5130"/>
    <w:rPr>
      <w:rFonts w:ascii="Courier New" w:eastAsia="Courier New" w:hAnsi="Courier New" w:cs="Courier New"/>
      <w:sz w:val="20"/>
      <w:szCs w:val="20"/>
    </w:rPr>
  </w:style>
  <w:style w:type="paragraph" w:styleId="Footer">
    <w:name w:val="footer"/>
    <w:basedOn w:val="Normal"/>
    <w:link w:val="FooterChar"/>
    <w:uiPriority w:val="99"/>
    <w:rsid w:val="00AB5130"/>
    <w:pPr>
      <w:tabs>
        <w:tab w:val="center" w:pos="4320"/>
        <w:tab w:val="right" w:pos="8640"/>
      </w:tabs>
    </w:pPr>
    <w:rPr>
      <w:sz w:val="20"/>
      <w:szCs w:val="20"/>
    </w:rPr>
  </w:style>
  <w:style w:type="character" w:customStyle="1" w:styleId="FooterChar">
    <w:name w:val="Footer Char"/>
    <w:basedOn w:val="DefaultParagraphFont"/>
    <w:link w:val="Footer"/>
    <w:uiPriority w:val="99"/>
    <w:rsid w:val="00AB5130"/>
    <w:rPr>
      <w:rFonts w:ascii="Times New Roman" w:eastAsia="Times New Roman" w:hAnsi="Times New Roman" w:cs="Times New Roman"/>
      <w:sz w:val="20"/>
      <w:szCs w:val="20"/>
    </w:rPr>
  </w:style>
  <w:style w:type="paragraph" w:styleId="TOC2">
    <w:name w:val="toc 2"/>
    <w:basedOn w:val="Normal"/>
    <w:next w:val="Normal"/>
    <w:autoRedefine/>
    <w:uiPriority w:val="39"/>
    <w:qFormat/>
    <w:rsid w:val="0074257C"/>
    <w:pPr>
      <w:tabs>
        <w:tab w:val="left" w:pos="1440"/>
        <w:tab w:val="right" w:leader="dot" w:pos="8630"/>
      </w:tabs>
      <w:spacing w:after="240"/>
      <w:ind w:left="1440" w:hanging="720"/>
    </w:pPr>
    <w:rPr>
      <w:szCs w:val="20"/>
    </w:rPr>
  </w:style>
  <w:style w:type="paragraph" w:styleId="TOC1">
    <w:name w:val="toc 1"/>
    <w:basedOn w:val="Normal"/>
    <w:next w:val="Normal"/>
    <w:autoRedefine/>
    <w:uiPriority w:val="39"/>
    <w:rsid w:val="00AB5130"/>
    <w:pPr>
      <w:tabs>
        <w:tab w:val="decimal" w:leader="dot" w:pos="8640"/>
      </w:tabs>
      <w:spacing w:after="240"/>
      <w:ind w:left="720" w:hanging="720"/>
    </w:pPr>
    <w:rPr>
      <w:szCs w:val="20"/>
    </w:rPr>
  </w:style>
  <w:style w:type="paragraph" w:styleId="NormalWeb">
    <w:name w:val="Normal (Web)"/>
    <w:basedOn w:val="Normal"/>
    <w:uiPriority w:val="99"/>
    <w:unhideWhenUsed/>
    <w:rsid w:val="004F147E"/>
    <w:pPr>
      <w:spacing w:before="100" w:beforeAutospacing="1" w:after="100" w:afterAutospacing="1"/>
    </w:pPr>
  </w:style>
  <w:style w:type="character" w:customStyle="1" w:styleId="UnresolvedMention1">
    <w:name w:val="Unresolved Mention1"/>
    <w:basedOn w:val="DefaultParagraphFont"/>
    <w:uiPriority w:val="99"/>
    <w:semiHidden/>
    <w:unhideWhenUsed/>
    <w:rsid w:val="00EA0F1F"/>
    <w:rPr>
      <w:color w:val="605E5C"/>
      <w:shd w:val="clear" w:color="auto" w:fill="E1DFDD"/>
    </w:rPr>
  </w:style>
  <w:style w:type="table" w:styleId="TableGrid">
    <w:name w:val="Table Grid"/>
    <w:basedOn w:val="TableNormal"/>
    <w:uiPriority w:val="39"/>
    <w:rsid w:val="00FF7E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7F9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B7F92"/>
  </w:style>
  <w:style w:type="character" w:customStyle="1" w:styleId="Heading2Char">
    <w:name w:val="Heading 2 Char"/>
    <w:basedOn w:val="DefaultParagraphFont"/>
    <w:link w:val="Heading2"/>
    <w:uiPriority w:val="9"/>
    <w:rsid w:val="006C4625"/>
    <w:rPr>
      <w:rFonts w:ascii="Times New Roman Bold" w:eastAsia="Times New Roman" w:hAnsi="Times New Roman Bold" w:cs="Times New Roman"/>
      <w:b/>
    </w:rPr>
  </w:style>
  <w:style w:type="paragraph" w:styleId="Revision">
    <w:name w:val="Revision"/>
    <w:hidden/>
    <w:uiPriority w:val="99"/>
    <w:semiHidden/>
    <w:rsid w:val="00DE3D28"/>
  </w:style>
  <w:style w:type="character" w:styleId="CommentReference">
    <w:name w:val="annotation reference"/>
    <w:basedOn w:val="DefaultParagraphFont"/>
    <w:uiPriority w:val="99"/>
    <w:semiHidden/>
    <w:unhideWhenUsed/>
    <w:rsid w:val="00707D0E"/>
    <w:rPr>
      <w:sz w:val="16"/>
      <w:szCs w:val="16"/>
    </w:rPr>
  </w:style>
  <w:style w:type="paragraph" w:styleId="BalloonText">
    <w:name w:val="Balloon Text"/>
    <w:basedOn w:val="Normal"/>
    <w:link w:val="BalloonTextChar"/>
    <w:uiPriority w:val="99"/>
    <w:semiHidden/>
    <w:unhideWhenUsed/>
    <w:rsid w:val="009670F0"/>
    <w:rPr>
      <w:rFonts w:eastAsiaTheme="minorHAnsi"/>
      <w:sz w:val="18"/>
      <w:szCs w:val="18"/>
    </w:rPr>
  </w:style>
  <w:style w:type="character" w:customStyle="1" w:styleId="BalloonTextChar">
    <w:name w:val="Balloon Text Char"/>
    <w:basedOn w:val="DefaultParagraphFont"/>
    <w:link w:val="BalloonText"/>
    <w:uiPriority w:val="99"/>
    <w:semiHidden/>
    <w:rsid w:val="009670F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B127C"/>
    <w:rPr>
      <w:color w:val="954F72" w:themeColor="followedHyperlink"/>
      <w:u w:val="single"/>
    </w:rPr>
  </w:style>
  <w:style w:type="paragraph" w:styleId="Title">
    <w:name w:val="Title"/>
    <w:basedOn w:val="Normal"/>
    <w:link w:val="TitleChar"/>
    <w:qFormat/>
    <w:rsid w:val="008C3A4A"/>
    <w:pPr>
      <w:jc w:val="center"/>
    </w:pPr>
    <w:rPr>
      <w:b/>
      <w:szCs w:val="20"/>
    </w:rPr>
  </w:style>
  <w:style w:type="character" w:customStyle="1" w:styleId="TitleChar">
    <w:name w:val="Title Char"/>
    <w:basedOn w:val="DefaultParagraphFont"/>
    <w:link w:val="Title"/>
    <w:rsid w:val="008C3A4A"/>
    <w:rPr>
      <w:rFonts w:ascii="Times New Roman" w:eastAsia="Times New Roman" w:hAnsi="Times New Roman" w:cs="Times New Roman"/>
      <w:b/>
      <w:szCs w:val="20"/>
    </w:rPr>
  </w:style>
  <w:style w:type="paragraph" w:styleId="PlainText">
    <w:name w:val="Plain Text"/>
    <w:basedOn w:val="Normal"/>
    <w:link w:val="PlainTextChar"/>
    <w:uiPriority w:val="99"/>
    <w:rsid w:val="006C6868"/>
    <w:rPr>
      <w:rFonts w:ascii="Courier New" w:hAnsi="Courier New"/>
      <w:sz w:val="20"/>
      <w:szCs w:val="20"/>
    </w:rPr>
  </w:style>
  <w:style w:type="character" w:customStyle="1" w:styleId="PlainTextChar">
    <w:name w:val="Plain Text Char"/>
    <w:basedOn w:val="DefaultParagraphFont"/>
    <w:link w:val="PlainText"/>
    <w:uiPriority w:val="99"/>
    <w:rsid w:val="006C6868"/>
    <w:rPr>
      <w:rFonts w:ascii="Courier New" w:eastAsia="Times New Roman" w:hAnsi="Courier New" w:cs="Times New Roman"/>
      <w:sz w:val="20"/>
      <w:szCs w:val="20"/>
    </w:rPr>
  </w:style>
  <w:style w:type="character" w:customStyle="1" w:styleId="ssit">
    <w:name w:val="ss_it"/>
    <w:basedOn w:val="DefaultParagraphFont"/>
    <w:rsid w:val="003810E0"/>
  </w:style>
  <w:style w:type="character" w:customStyle="1" w:styleId="apple-converted-space">
    <w:name w:val="apple-converted-space"/>
    <w:basedOn w:val="DefaultParagraphFont"/>
    <w:rsid w:val="003810E0"/>
  </w:style>
  <w:style w:type="character" w:customStyle="1" w:styleId="acy">
    <w:name w:val="acy"/>
    <w:basedOn w:val="DefaultParagraphFont"/>
    <w:rsid w:val="00381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mbrosia.wilson@ohioAGO.gov" TargetMode="External" /><Relationship Id="rId11" Type="http://schemas.openxmlformats.org/officeDocument/2006/relationships/hyperlink" Target="mailto:shaun.lyons@ohioAGO.gov" TargetMode="External" /><Relationship Id="rId12" Type="http://schemas.openxmlformats.org/officeDocument/2006/relationships/hyperlink" Target="mailto:kherrnstein@bricker.com" TargetMode="External" /><Relationship Id="rId13" Type="http://schemas.openxmlformats.org/officeDocument/2006/relationships/hyperlink" Target="mailto:drpoano@bakerlaw.com" TargetMode="External" /><Relationship Id="rId14" Type="http://schemas.openxmlformats.org/officeDocument/2006/relationships/hyperlink" Target="mailto:ahaque@bakerlaw.com" TargetMode="External" /><Relationship Id="rId15" Type="http://schemas.openxmlformats.org/officeDocument/2006/relationships/hyperlink" Target="mailto:eprouty@bakerlaw.com" TargetMode="External" /><Relationship Id="rId16" Type="http://schemas.openxmlformats.org/officeDocument/2006/relationships/hyperlink" Target="mailto:knordstrom@theOEC.org" TargetMode="External" /><Relationship Id="rId17" Type="http://schemas.openxmlformats.org/officeDocument/2006/relationships/hyperlink" Target="mailto:ctavenor@theOEC.org" TargetMode="External" /><Relationship Id="rId18" Type="http://schemas.openxmlformats.org/officeDocument/2006/relationships/hyperlink" Target="mailto:leonard.bazelak@daytonohio.gov" TargetMode="External" /><Relationship Id="rId19" Type="http://schemas.openxmlformats.org/officeDocument/2006/relationships/hyperlink" Target="mailto:bojko@carpenterlipps.com" TargetMode="External" /><Relationship Id="rId2" Type="http://schemas.openxmlformats.org/officeDocument/2006/relationships/settings" Target="settings.xml" /><Relationship Id="rId20" Type="http://schemas.openxmlformats.org/officeDocument/2006/relationships/hyperlink" Target="mailto:easley@carpenterlipps.com" TargetMode="External" /><Relationship Id="rId21" Type="http://schemas.openxmlformats.org/officeDocument/2006/relationships/hyperlink" Target="mailto:Gregory.price@puco.ohio.gov" TargetMode="External" /><Relationship Id="rId22" Type="http://schemas.openxmlformats.org/officeDocument/2006/relationships/hyperlink" Target="mailto:Patricia.schabo@puco.ohio.gov" TargetMode="External" /><Relationship Id="rId23" Type="http://schemas.openxmlformats.org/officeDocument/2006/relationships/hyperlink" Target="mailto:christopher.hollon@aes.com" TargetMode="External" /><Relationship Id="rId24" Type="http://schemas.openxmlformats.org/officeDocument/2006/relationships/hyperlink" Target="mailto:jsharkey@ficlaw.com" TargetMode="External" /><Relationship Id="rId25" Type="http://schemas.openxmlformats.org/officeDocument/2006/relationships/hyperlink" Target="mailto:djireland@ficlaw.com" TargetMode="External" /><Relationship Id="rId26" Type="http://schemas.openxmlformats.org/officeDocument/2006/relationships/hyperlink" Target="mailto:mwatt@ficlaw.com" TargetMode="External" /><Relationship Id="rId27" Type="http://schemas.openxmlformats.org/officeDocument/2006/relationships/hyperlink" Target="mailto:mkurtz@bkllawfirm.com" TargetMode="External" /><Relationship Id="rId28" Type="http://schemas.openxmlformats.org/officeDocument/2006/relationships/hyperlink" Target="mailto:kboehm@bkllawfirm.com" TargetMode="External" /><Relationship Id="rId29" Type="http://schemas.openxmlformats.org/officeDocument/2006/relationships/hyperlink" Target="mailto:jkylercohn@bkllawfirm.com" TargetMode="External" /><Relationship Id="rId3" Type="http://schemas.openxmlformats.org/officeDocument/2006/relationships/webSettings" Target="webSettings.xml" /><Relationship Id="rId30" Type="http://schemas.openxmlformats.org/officeDocument/2006/relationships/hyperlink" Target="mailto:stacie.cathcart@igs.com" TargetMode="External" /><Relationship Id="rId31" Type="http://schemas.openxmlformats.org/officeDocument/2006/relationships/hyperlink" Target="mailto:evan.betterton@igs.com" TargetMode="External" /><Relationship Id="rId32" Type="http://schemas.openxmlformats.org/officeDocument/2006/relationships/hyperlink" Target="mailto:michael.nugent@igs.com" TargetMode="External" /><Relationship Id="rId33" Type="http://schemas.openxmlformats.org/officeDocument/2006/relationships/hyperlink" Target="mailto:Joe.Oliker@igs.com" TargetMode="External" /><Relationship Id="rId34" Type="http://schemas.openxmlformats.org/officeDocument/2006/relationships/hyperlink" Target="mailto:stephanie.chmiel@thompsonhine.com" TargetMode="External" /><Relationship Id="rId35" Type="http://schemas.openxmlformats.org/officeDocument/2006/relationships/hyperlink" Target="mailto:mary.csarny@thompsonhine.com" TargetMode="External" /><Relationship Id="rId36" Type="http://schemas.openxmlformats.org/officeDocument/2006/relationships/hyperlink" Target="mailto:mpritchard@mcneeslaw.com" TargetMode="External" /><Relationship Id="rId37" Type="http://schemas.openxmlformats.org/officeDocument/2006/relationships/hyperlink" Target="mailto:bmckenney@mcneeslaw.com" TargetMode="External" /><Relationship Id="rId38" Type="http://schemas.openxmlformats.org/officeDocument/2006/relationships/hyperlink" Target="mailto:dromig@armadapower.com" TargetMode="External" /><Relationship Id="rId39" Type="http://schemas.openxmlformats.org/officeDocument/2006/relationships/hyperlink" Target="mailto:mjsettineri@vorys.com" TargetMode="External" /><Relationship Id="rId4" Type="http://schemas.openxmlformats.org/officeDocument/2006/relationships/fontTable" Target="fontTable.xml" /><Relationship Id="rId40" Type="http://schemas.openxmlformats.org/officeDocument/2006/relationships/hyperlink" Target="mailto:glpetrucci@vorys.com" TargetMode="External" /><Relationship Id="rId41" Type="http://schemas.openxmlformats.org/officeDocument/2006/relationships/hyperlink" Target="mailto:paul@carpenterlipps.com" TargetMode="External" /><Relationship Id="rId42" Type="http://schemas.openxmlformats.org/officeDocument/2006/relationships/hyperlink" Target="mailto:trent@hubaydougherty.com" TargetMode="External" /><Relationship Id="rId43" Type="http://schemas.openxmlformats.org/officeDocument/2006/relationships/hyperlink" Target="mailto:rdove@keglerbrown.com" TargetMode="External" /><Relationship Id="rId44" Type="http://schemas.openxmlformats.org/officeDocument/2006/relationships/hyperlink" Target="mailto:cgrundmann@spilmanlaw.com" TargetMode="External" /><Relationship Id="rId45" Type="http://schemas.openxmlformats.org/officeDocument/2006/relationships/hyperlink" Target="mailto:dwilliamson@spilmanlaw.com" TargetMode="External" /><Relationship Id="rId46" Type="http://schemas.openxmlformats.org/officeDocument/2006/relationships/header" Target="header1.xml" /><Relationship Id="rId47" Type="http://schemas.openxmlformats.org/officeDocument/2006/relationships/header" Target="header2.xml" /><Relationship Id="rId48" Type="http://schemas.openxmlformats.org/officeDocument/2006/relationships/footer" Target="footer1.xml" /><Relationship Id="rId49" Type="http://schemas.openxmlformats.org/officeDocument/2006/relationships/footer" Target="footer2.xml" /><Relationship Id="rId5" Type="http://schemas.openxmlformats.org/officeDocument/2006/relationships/customXml" Target="../customXml/item1.xml" /><Relationship Id="rId50" Type="http://schemas.openxmlformats.org/officeDocument/2006/relationships/header" Target="header3.xml" /><Relationship Id="rId51" Type="http://schemas.openxmlformats.org/officeDocument/2006/relationships/footer" Target="footer3.xml" /><Relationship Id="rId52" Type="http://schemas.openxmlformats.org/officeDocument/2006/relationships/theme" Target="theme/theme1.xml" /><Relationship Id="rId53" Type="http://schemas.openxmlformats.org/officeDocument/2006/relationships/numbering" Target="numbering.xml" /><Relationship Id="rId54" Type="http://schemas.openxmlformats.org/officeDocument/2006/relationships/styles" Target="styles.xml" /><Relationship Id="rId6" Type="http://schemas.openxmlformats.org/officeDocument/2006/relationships/hyperlink" Target="mailto:maureen.willis@occ.ohio.gov" TargetMode="External" /><Relationship Id="rId7" Type="http://schemas.openxmlformats.org/officeDocument/2006/relationships/hyperlink" Target="mailto:john.finnigan@occ.ohio.gov" TargetMode="External" /><Relationship Id="rId8" Type="http://schemas.openxmlformats.org/officeDocument/2006/relationships/hyperlink" Target="mailto:connor.semple@occ.ohio.gov" TargetMode="External" /><Relationship Id="rId9" Type="http://schemas.openxmlformats.org/officeDocument/2006/relationships/hyperlink" Target="mailto:werner.margard@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7AE34-4574-3747-9309-E9E75193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2023-06-01T20:07:24Z</dcterms:created>
  <dcterms:modified xsi:type="dcterms:W3CDTF">2023-06-01T20:07:24Z</dcterms:modified>
</cp:coreProperties>
</file>