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D2789" w:rsidRPr="00B81AEF"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B81AEF">
        <w:rPr>
          <w:rFonts w:ascii="Times New Roman" w:hAnsi="Times New Roman" w:cs="Times New Roman"/>
          <w:b/>
          <w:bCs/>
          <w:sz w:val="24"/>
          <w:szCs w:val="24"/>
        </w:rPr>
        <w:t>BEFORE</w:t>
      </w:r>
    </w:p>
    <w:p w:rsidR="005D2789"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B81AEF">
        <w:rPr>
          <w:rFonts w:ascii="Times New Roman" w:hAnsi="Times New Roman" w:cs="Times New Roman"/>
          <w:b/>
          <w:bCs/>
          <w:sz w:val="24"/>
          <w:szCs w:val="24"/>
        </w:rPr>
        <w:t>THE PUBLIC UTILITIES COMMISSION OF OHIO</w:t>
      </w:r>
    </w:p>
    <w:p w:rsidR="005D2789"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tbl>
      <w:tblPr>
        <w:tblW w:w="9654" w:type="dxa"/>
        <w:tblInd w:w="0" w:type="dxa"/>
        <w:tblCellMar>
          <w:top w:w="0" w:type="dxa"/>
          <w:left w:w="108" w:type="dxa"/>
          <w:bottom w:w="0" w:type="dxa"/>
          <w:right w:w="108" w:type="dxa"/>
        </w:tblCellMar>
        <w:tblLook w:val="01E0"/>
      </w:tblPr>
      <w:tblGrid>
        <w:gridCol w:w="5148"/>
        <w:gridCol w:w="360"/>
        <w:gridCol w:w="4146"/>
      </w:tblGrid>
      <w:tr w:rsidTr="000E6CD5">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 xml:space="preserve">In the Matter of the Application of Vectren Energy Delivery of Ohio, Inc., for Approval of an </w:t>
            </w:r>
            <w:r>
              <w:rPr>
                <w:rFonts w:ascii="Times New Roman" w:eastAsia="Courier New" w:hAnsi="Times New Roman" w:cs="Times New Roman"/>
                <w:sz w:val="24"/>
                <w:szCs w:val="24"/>
                <w:lang w:val="en-US" w:eastAsia="en-US" w:bidi="ar-SA"/>
              </w:rPr>
              <w:t>Alternative Rate Plan</w:t>
            </w:r>
            <w:r w:rsidRPr="008519C0">
              <w:rPr>
                <w:rFonts w:ascii="Times New Roman" w:eastAsia="Courier New" w:hAnsi="Times New Roman" w:cs="Times New Roman"/>
                <w:sz w:val="24"/>
                <w:szCs w:val="24"/>
                <w:lang w:val="en-US" w:eastAsia="en-US" w:bidi="ar-SA"/>
              </w:rPr>
              <w:t>.</w:t>
            </w:r>
          </w:p>
        </w:tc>
        <w:tc>
          <w:tcPr>
            <w:tcW w:w="360" w:type="dxa"/>
            <w:shd w:val="clear" w:color="auto" w:fill="auto"/>
          </w:tcPr>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tc>
        <w:tc>
          <w:tcPr>
            <w:tcW w:w="4146" w:type="dxa"/>
            <w:shd w:val="clear" w:color="auto" w:fill="auto"/>
          </w:tcPr>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w:t>
            </w:r>
            <w:r>
              <w:rPr>
                <w:rFonts w:ascii="Times New Roman" w:eastAsia="Courier New" w:hAnsi="Times New Roman" w:cs="Times New Roman"/>
                <w:sz w:val="24"/>
                <w:szCs w:val="20"/>
                <w:lang w:val="en-US" w:eastAsia="en-US" w:bidi="ar-SA"/>
              </w:rPr>
              <w:t>049</w:t>
            </w:r>
            <w:r w:rsidRPr="008519C0">
              <w:rPr>
                <w:rFonts w:ascii="Times New Roman" w:eastAsia="Courier New" w:hAnsi="Times New Roman" w:cs="Times New Roman"/>
                <w:sz w:val="24"/>
                <w:szCs w:val="20"/>
                <w:lang w:val="en-US" w:eastAsia="en-US" w:bidi="ar-SA"/>
              </w:rPr>
              <w:t>-GA-</w:t>
            </w:r>
            <w:r>
              <w:rPr>
                <w:rFonts w:ascii="Times New Roman" w:eastAsia="Courier New" w:hAnsi="Times New Roman" w:cs="Times New Roman"/>
                <w:sz w:val="24"/>
                <w:szCs w:val="20"/>
                <w:lang w:val="en-US" w:eastAsia="en-US" w:bidi="ar-SA"/>
              </w:rPr>
              <w:t>ALT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tc>
      </w:tr>
      <w:tr w:rsidTr="000E6CD5">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In the Matter of the Application of Vectren Energy Delivery of Ohio, Inc., for Approval of an Increase in Gas Rates.</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 xml:space="preserve">In the Matter of the Application of Vectren Energy Delivery of Ohio, Inc., for Approval of an Alternative Rate Plan. </w:t>
            </w:r>
          </w:p>
        </w:tc>
        <w:tc>
          <w:tcPr>
            <w:tcW w:w="360" w:type="dxa"/>
            <w:shd w:val="clear" w:color="auto" w:fill="auto"/>
          </w:tcPr>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tc>
        <w:tc>
          <w:tcPr>
            <w:tcW w:w="4146" w:type="dxa"/>
            <w:shd w:val="clear" w:color="auto" w:fill="auto"/>
          </w:tcPr>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18-0298-GA-AIR</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18-0299-GA-ALT</w:t>
            </w:r>
          </w:p>
          <w:p w:rsidR="005D2789"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5D2789" w:rsidRPr="00B81AEF"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5D2789" w:rsidRPr="00B81AEF"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rsidR="00235805"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REPLY BRIEF </w:t>
      </w:r>
    </w:p>
    <w:p w:rsidR="005D2789" w:rsidRPr="00B81AEF"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BY</w:t>
      </w:r>
      <w:r w:rsidRPr="00B81AEF">
        <w:rPr>
          <w:rFonts w:ascii="Times New Roman" w:hAnsi="Times New Roman" w:cs="Times New Roman"/>
          <w:b/>
          <w:bCs/>
          <w:sz w:val="24"/>
          <w:szCs w:val="24"/>
        </w:rPr>
        <w:t xml:space="preserve"> </w:t>
      </w:r>
    </w:p>
    <w:p w:rsidR="005D2789" w:rsidRPr="00B81AEF"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B81AEF">
        <w:rPr>
          <w:rFonts w:ascii="Times New Roman" w:hAnsi="Times New Roman" w:cs="Times New Roman"/>
          <w:b/>
          <w:bCs/>
          <w:sz w:val="24"/>
          <w:szCs w:val="24"/>
        </w:rPr>
        <w:t>THE OFFICE OF THE OHIO CONSUMERS' COUNSEL</w:t>
      </w:r>
    </w:p>
    <w:p w:rsidR="005D2789" w:rsidRPr="00B81AEF"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5D2789" w:rsidRPr="00B81AEF" w:rsidP="00421855">
      <w:pPr>
        <w:rPr>
          <w:rFonts w:eastAsia="Courier New" w:cs="Times New Roman"/>
          <w:b/>
          <w:bCs/>
          <w:szCs w:val="24"/>
        </w:rPr>
      </w:pPr>
    </w:p>
    <w:p w:rsidR="005D2789" w:rsidRPr="00A107DD" w:rsidP="00421855">
      <w:pPr>
        <w:spacing w:line="240" w:lineRule="auto"/>
        <w:ind w:left="4320"/>
        <w:rPr>
          <w:rFonts w:cs="Times New Roman"/>
          <w:szCs w:val="24"/>
        </w:rPr>
      </w:pPr>
      <w:r w:rsidRPr="00A107DD">
        <w:rPr>
          <w:rFonts w:cs="Times New Roman"/>
          <w:szCs w:val="24"/>
        </w:rPr>
        <w:t>Bruce Weston (0016973)</w:t>
      </w:r>
    </w:p>
    <w:p w:rsidR="005D2789" w:rsidRPr="00A107DD" w:rsidP="00421855">
      <w:pPr>
        <w:spacing w:line="240" w:lineRule="auto"/>
        <w:ind w:left="3600" w:firstLine="720"/>
        <w:rPr>
          <w:rFonts w:cs="Times New Roman"/>
          <w:szCs w:val="24"/>
        </w:rPr>
      </w:pPr>
      <w:r w:rsidRPr="00A107DD">
        <w:rPr>
          <w:rFonts w:cs="Times New Roman"/>
          <w:szCs w:val="24"/>
        </w:rPr>
        <w:t>Ohio Consumers’ Counsel</w:t>
      </w:r>
    </w:p>
    <w:p w:rsidR="005D2789" w:rsidRPr="00A107DD"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jc w:val="center"/>
        <w:rPr>
          <w:rFonts w:ascii="Times New Roman" w:hAnsi="Times New Roman" w:cs="Times New Roman"/>
          <w:b/>
          <w:bCs/>
          <w:sz w:val="24"/>
          <w:szCs w:val="24"/>
        </w:rPr>
      </w:pPr>
    </w:p>
    <w:p w:rsidR="005D2789" w:rsidRPr="00A107DD" w:rsidP="00421855">
      <w:pPr>
        <w:spacing w:line="240" w:lineRule="auto"/>
        <w:ind w:left="4320"/>
        <w:rPr>
          <w:rFonts w:cs="Times New Roman"/>
          <w:szCs w:val="24"/>
        </w:rPr>
      </w:pPr>
      <w:r w:rsidRPr="00A107DD">
        <w:rPr>
          <w:rFonts w:cs="Times New Roman"/>
          <w:szCs w:val="24"/>
        </w:rPr>
        <w:t xml:space="preserve">William J. Michael (0070921) </w:t>
      </w:r>
    </w:p>
    <w:p w:rsidR="005D2789" w:rsidRPr="00A107DD" w:rsidP="00421855">
      <w:pPr>
        <w:spacing w:line="240" w:lineRule="auto"/>
        <w:ind w:left="4320"/>
        <w:rPr>
          <w:rFonts w:cs="Times New Roman"/>
          <w:szCs w:val="24"/>
        </w:rPr>
      </w:pPr>
      <w:r w:rsidRPr="00A107DD">
        <w:rPr>
          <w:rFonts w:cs="Times New Roman"/>
          <w:szCs w:val="24"/>
        </w:rPr>
        <w:t>Counsel of Record</w:t>
      </w:r>
    </w:p>
    <w:p w:rsidR="005D2789" w:rsidP="00421855">
      <w:pPr>
        <w:spacing w:line="240" w:lineRule="auto"/>
        <w:ind w:left="4320"/>
        <w:rPr>
          <w:rFonts w:eastAsia="Calibri" w:cs="Times New Roman"/>
          <w:szCs w:val="24"/>
        </w:rPr>
      </w:pPr>
      <w:r w:rsidRPr="00A107DD">
        <w:rPr>
          <w:rFonts w:eastAsia="Calibri" w:cs="Times New Roman"/>
          <w:szCs w:val="24"/>
        </w:rPr>
        <w:t>Amy Botschner-O’Brien (0074423)</w:t>
      </w:r>
    </w:p>
    <w:p w:rsidR="000C5670" w:rsidP="000C5670">
      <w:pPr>
        <w:spacing w:line="240" w:lineRule="auto"/>
        <w:ind w:left="4320"/>
        <w:rPr>
          <w:rFonts w:eastAsia="Calibri" w:cs="Times New Roman"/>
          <w:szCs w:val="24"/>
        </w:rPr>
      </w:pPr>
      <w:r>
        <w:rPr>
          <w:rFonts w:eastAsia="Calibri" w:cs="Times New Roman"/>
          <w:szCs w:val="24"/>
        </w:rPr>
        <w:t>Assistant Consumers’ Counsel</w:t>
      </w:r>
    </w:p>
    <w:p w:rsidR="005D2789" w:rsidP="00421855">
      <w:pPr>
        <w:spacing w:line="240" w:lineRule="auto"/>
        <w:ind w:left="4320"/>
        <w:rPr>
          <w:rFonts w:eastAsia="Calibri" w:cs="Times New Roman"/>
          <w:szCs w:val="24"/>
        </w:rPr>
      </w:pPr>
      <w:r>
        <w:rPr>
          <w:rFonts w:eastAsia="Calibri" w:cs="Times New Roman"/>
          <w:szCs w:val="24"/>
        </w:rPr>
        <w:t>Christopher Healey (0086027)</w:t>
      </w:r>
    </w:p>
    <w:p w:rsidR="005D2789" w:rsidP="00421855">
      <w:pPr>
        <w:spacing w:line="240" w:lineRule="auto"/>
        <w:ind w:left="4320"/>
        <w:rPr>
          <w:rFonts w:eastAsia="Calibri" w:cs="Times New Roman"/>
          <w:szCs w:val="24"/>
        </w:rPr>
      </w:pPr>
      <w:r>
        <w:rPr>
          <w:rFonts w:eastAsia="Calibri" w:cs="Times New Roman"/>
          <w:szCs w:val="24"/>
        </w:rPr>
        <w:t>Assistant Consumers’ Counsel</w:t>
      </w:r>
    </w:p>
    <w:p w:rsidR="005D2789" w:rsidRPr="00A107DD" w:rsidP="00421855">
      <w:pPr>
        <w:spacing w:line="240" w:lineRule="auto"/>
        <w:ind w:left="4320"/>
        <w:rPr>
          <w:rFonts w:eastAsia="Calibri" w:cs="Times New Roman"/>
          <w:szCs w:val="24"/>
        </w:rPr>
      </w:pPr>
      <w:r>
        <w:rPr>
          <w:rFonts w:eastAsia="Calibri" w:cs="Times New Roman"/>
          <w:szCs w:val="24"/>
        </w:rPr>
        <w:t>Angela O’Brien (0097579)</w:t>
      </w:r>
    </w:p>
    <w:p w:rsidR="005D2789" w:rsidRPr="00A107DD" w:rsidP="00421855">
      <w:pPr>
        <w:spacing w:line="240" w:lineRule="auto"/>
        <w:ind w:left="4320"/>
        <w:rPr>
          <w:rFonts w:eastAsia="Calibri" w:cs="Times New Roman"/>
          <w:szCs w:val="24"/>
        </w:rPr>
      </w:pPr>
      <w:r w:rsidRPr="00A107DD">
        <w:rPr>
          <w:rFonts w:eastAsia="Calibri" w:cs="Times New Roman"/>
          <w:szCs w:val="24"/>
        </w:rPr>
        <w:t>Assistant Consumers’ Counsel</w:t>
      </w:r>
    </w:p>
    <w:p w:rsidR="005D2789" w:rsidRPr="00A107DD" w:rsidP="00421855">
      <w:pPr>
        <w:spacing w:line="240" w:lineRule="auto"/>
        <w:ind w:left="4320" w:firstLine="720"/>
        <w:rPr>
          <w:rFonts w:cs="Times New Roman"/>
          <w:szCs w:val="24"/>
        </w:rPr>
      </w:pPr>
    </w:p>
    <w:p w:rsidR="005D2789" w:rsidRPr="00A107DD" w:rsidP="00421855">
      <w:pPr>
        <w:spacing w:line="240" w:lineRule="auto"/>
        <w:ind w:left="4320"/>
        <w:rPr>
          <w:rFonts w:cs="Times New Roman"/>
          <w:b/>
          <w:szCs w:val="24"/>
        </w:rPr>
      </w:pPr>
      <w:r w:rsidRPr="00A107DD">
        <w:rPr>
          <w:rFonts w:cs="Times New Roman"/>
          <w:b/>
          <w:szCs w:val="24"/>
        </w:rPr>
        <w:t>Office of the Ohio Consumers’ Counsel</w:t>
      </w:r>
    </w:p>
    <w:p w:rsidR="005D2789" w:rsidRPr="00A107DD" w:rsidP="00421855">
      <w:pPr>
        <w:spacing w:line="240" w:lineRule="auto"/>
        <w:ind w:left="4320"/>
        <w:rPr>
          <w:rFonts w:cs="Times New Roman"/>
          <w:szCs w:val="24"/>
        </w:rPr>
      </w:pPr>
      <w:r w:rsidRPr="00A107DD">
        <w:rPr>
          <w:rFonts w:cs="Times New Roman"/>
          <w:szCs w:val="24"/>
        </w:rPr>
        <w:t>65 East State Street, 7</w:t>
      </w:r>
      <w:r w:rsidRPr="00A107DD">
        <w:rPr>
          <w:rFonts w:cs="Times New Roman"/>
          <w:szCs w:val="24"/>
          <w:vertAlign w:val="superscript"/>
        </w:rPr>
        <w:t>th</w:t>
      </w:r>
      <w:r w:rsidRPr="00A107DD">
        <w:rPr>
          <w:rFonts w:cs="Times New Roman"/>
          <w:szCs w:val="24"/>
        </w:rPr>
        <w:t xml:space="preserve"> Floor</w:t>
      </w:r>
    </w:p>
    <w:p w:rsidR="005D2789" w:rsidRPr="00A107DD" w:rsidP="00421855">
      <w:pPr>
        <w:spacing w:line="240" w:lineRule="auto"/>
        <w:ind w:left="4320"/>
        <w:rPr>
          <w:rFonts w:cs="Times New Roman"/>
          <w:szCs w:val="24"/>
        </w:rPr>
      </w:pPr>
      <w:r w:rsidRPr="00A107DD">
        <w:rPr>
          <w:rFonts w:cs="Times New Roman"/>
          <w:szCs w:val="24"/>
        </w:rPr>
        <w:t>Columbus, Ohio 43215-4213</w:t>
      </w:r>
    </w:p>
    <w:p w:rsidR="005D2789" w:rsidRPr="00A107DD" w:rsidP="00421855">
      <w:pPr>
        <w:autoSpaceDE w:val="0"/>
        <w:autoSpaceDN w:val="0"/>
        <w:adjustRightInd w:val="0"/>
        <w:spacing w:line="240" w:lineRule="auto"/>
        <w:ind w:left="4320"/>
        <w:rPr>
          <w:rFonts w:cs="Times New Roman"/>
          <w:szCs w:val="24"/>
        </w:rPr>
      </w:pPr>
      <w:r w:rsidRPr="00A107DD">
        <w:rPr>
          <w:rFonts w:cs="Times New Roman"/>
          <w:szCs w:val="24"/>
        </w:rPr>
        <w:t>Telephone: [Michael] 614-466-1291</w:t>
      </w:r>
    </w:p>
    <w:p w:rsidR="005D2789" w:rsidP="00421855">
      <w:pPr>
        <w:spacing w:line="240" w:lineRule="auto"/>
        <w:ind w:left="4320" w:right="-450"/>
        <w:rPr>
          <w:rFonts w:cs="Times New Roman"/>
          <w:szCs w:val="24"/>
        </w:rPr>
      </w:pPr>
      <w:r w:rsidRPr="00A107DD">
        <w:rPr>
          <w:rFonts w:cs="Times New Roman"/>
          <w:szCs w:val="24"/>
        </w:rPr>
        <w:t>Telephone: [</w:t>
      </w:r>
      <w:r>
        <w:rPr>
          <w:rFonts w:cs="Times New Roman"/>
          <w:szCs w:val="24"/>
        </w:rPr>
        <w:t>Botschner-</w:t>
      </w:r>
      <w:r w:rsidRPr="00A107DD">
        <w:rPr>
          <w:rFonts w:cs="Times New Roman"/>
          <w:szCs w:val="24"/>
        </w:rPr>
        <w:t>O’Brien] 614</w:t>
      </w:r>
      <w:r>
        <w:rPr>
          <w:rFonts w:cs="Times New Roman"/>
          <w:szCs w:val="24"/>
        </w:rPr>
        <w:t>-</w:t>
      </w:r>
      <w:r w:rsidRPr="00A107DD">
        <w:rPr>
          <w:rFonts w:cs="Times New Roman"/>
          <w:szCs w:val="24"/>
        </w:rPr>
        <w:t>466-9575</w:t>
      </w:r>
    </w:p>
    <w:p w:rsidR="005D2789" w:rsidRPr="00A107DD" w:rsidP="00421855">
      <w:pPr>
        <w:spacing w:line="240" w:lineRule="auto"/>
        <w:ind w:left="4320"/>
        <w:rPr>
          <w:rFonts w:cs="Times New Roman"/>
          <w:szCs w:val="24"/>
        </w:rPr>
      </w:pPr>
      <w:r>
        <w:rPr>
          <w:rFonts w:cs="Times New Roman"/>
          <w:szCs w:val="24"/>
        </w:rPr>
        <w:t>Telephone: [Healey] 614-466-9571</w:t>
      </w:r>
    </w:p>
    <w:p w:rsidR="005D2789" w:rsidRPr="00A107DD" w:rsidP="00421855">
      <w:pPr>
        <w:spacing w:line="240" w:lineRule="auto"/>
        <w:ind w:left="4320"/>
        <w:rPr>
          <w:rFonts w:cs="Times New Roman"/>
          <w:szCs w:val="24"/>
        </w:rPr>
      </w:pPr>
      <w:r>
        <w:rPr>
          <w:rFonts w:cs="Times New Roman"/>
          <w:szCs w:val="24"/>
        </w:rPr>
        <w:t>Telephone: [O’Brien] 614-466-9531</w:t>
      </w:r>
    </w:p>
    <w:p w:rsidR="005D2789" w:rsidRPr="00F1127B" w:rsidP="00421855">
      <w:pPr>
        <w:spacing w:line="240" w:lineRule="auto"/>
        <w:ind w:left="4320"/>
        <w:rPr>
          <w:rFonts w:cs="Times New Roman"/>
          <w:szCs w:val="24"/>
        </w:rPr>
      </w:pPr>
      <w:r w:rsidRPr="00F1127B">
        <w:rPr>
          <w:rStyle w:val="DefaultParagraphFont"/>
          <w:rFonts w:cs="Times New Roman"/>
          <w:color w:val="auto"/>
          <w:szCs w:val="24"/>
          <w:u w:val="none"/>
        </w:rPr>
        <w:t>william.michael@occ.ohio.gov</w:t>
      </w:r>
    </w:p>
    <w:p w:rsidR="005D2789" w:rsidP="00421855">
      <w:pPr>
        <w:spacing w:line="240" w:lineRule="auto"/>
        <w:ind w:left="1080" w:hanging="720"/>
        <w:rPr>
          <w:rStyle w:val="Hyperlink"/>
          <w:rFonts w:cs="Times New Roman"/>
          <w:color w:val="auto"/>
          <w:szCs w:val="24"/>
          <w:u w:val="none"/>
        </w:rPr>
      </w:pPr>
      <w:r w:rsidRPr="00F1127B">
        <w:rPr>
          <w:rFonts w:cs="Times New Roman"/>
          <w:szCs w:val="24"/>
        </w:rPr>
        <w:tab/>
      </w:r>
      <w:r w:rsidRPr="00F1127B">
        <w:rPr>
          <w:rFonts w:cs="Times New Roman"/>
          <w:szCs w:val="24"/>
        </w:rPr>
        <w:tab/>
      </w:r>
      <w:r w:rsidRPr="00F1127B">
        <w:rPr>
          <w:rFonts w:cs="Times New Roman"/>
          <w:szCs w:val="24"/>
        </w:rPr>
        <w:tab/>
      </w:r>
      <w:r w:rsidRPr="00F1127B">
        <w:rPr>
          <w:rFonts w:cs="Times New Roman"/>
          <w:szCs w:val="24"/>
        </w:rPr>
        <w:tab/>
      </w:r>
      <w:r w:rsidRPr="00F1127B">
        <w:rPr>
          <w:rFonts w:cs="Times New Roman"/>
          <w:szCs w:val="24"/>
        </w:rPr>
        <w:tab/>
      </w:r>
      <w:r w:rsidRPr="00F1127B">
        <w:rPr>
          <w:rFonts w:cs="Times New Roman"/>
          <w:szCs w:val="24"/>
        </w:rPr>
        <w:tab/>
      </w:r>
      <w:r w:rsidRPr="00F1127B">
        <w:rPr>
          <w:rStyle w:val="DefaultParagraphFont"/>
          <w:rFonts w:cs="Times New Roman"/>
          <w:color w:val="auto"/>
          <w:szCs w:val="24"/>
          <w:u w:val="none"/>
        </w:rPr>
        <w:t>amy.botschner.obrien@occ.ohio.gov</w:t>
      </w:r>
    </w:p>
    <w:p w:rsidR="005D2789" w:rsidP="00421855">
      <w:pPr>
        <w:spacing w:line="240" w:lineRule="auto"/>
        <w:ind w:left="1080" w:hanging="720"/>
        <w:rPr>
          <w:rStyle w:val="Hyperlink"/>
          <w:rFonts w:cs="Times New Roman"/>
          <w:color w:val="auto"/>
          <w:szCs w:val="24"/>
          <w:u w:val="none"/>
        </w:rPr>
      </w:pP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t>christopher.healey@occ.ohio.gov</w:t>
      </w:r>
    </w:p>
    <w:p w:rsidR="005D2789" w:rsidRPr="00F1127B" w:rsidP="00421855">
      <w:pPr>
        <w:spacing w:line="240" w:lineRule="auto"/>
        <w:ind w:left="1080" w:hanging="720"/>
        <w:rPr>
          <w:rStyle w:val="Hyperlink"/>
          <w:rFonts w:cs="Times New Roman"/>
          <w:color w:val="auto"/>
          <w:szCs w:val="24"/>
          <w:u w:val="none"/>
        </w:rPr>
      </w:pPr>
      <w:r>
        <w:rPr>
          <w:rStyle w:val="DefaultParagraphFont"/>
          <w:rFonts w:cs="Times New Roman"/>
          <w:color w:val="auto"/>
          <w:szCs w:val="24"/>
          <w:u w:val="none"/>
        </w:rPr>
        <w:tab/>
      </w:r>
      <w:r>
        <w:rPr>
          <w:rStyle w:val="DefaultParagraphFont"/>
          <w:rFonts w:cs="Times New Roman"/>
          <w:color w:val="auto"/>
          <w:szCs w:val="24"/>
          <w:u w:val="none"/>
        </w:rPr>
        <w:tab/>
      </w:r>
      <w:r>
        <w:rPr>
          <w:rStyle w:val="DefaultParagraphFont"/>
          <w:rFonts w:cs="Times New Roman"/>
          <w:color w:val="auto"/>
          <w:szCs w:val="24"/>
          <w:u w:val="none"/>
        </w:rPr>
        <w:tab/>
      </w:r>
      <w:r>
        <w:rPr>
          <w:rStyle w:val="DefaultParagraphFont"/>
          <w:rFonts w:cs="Times New Roman"/>
          <w:color w:val="auto"/>
          <w:szCs w:val="24"/>
          <w:u w:val="none"/>
        </w:rPr>
        <w:tab/>
      </w:r>
      <w:r>
        <w:rPr>
          <w:rStyle w:val="DefaultParagraphFont"/>
          <w:rFonts w:cs="Times New Roman"/>
          <w:color w:val="auto"/>
          <w:szCs w:val="24"/>
          <w:u w:val="none"/>
        </w:rPr>
        <w:tab/>
      </w:r>
      <w:r>
        <w:rPr>
          <w:rStyle w:val="DefaultParagraphFont"/>
          <w:rFonts w:cs="Times New Roman"/>
          <w:color w:val="auto"/>
          <w:szCs w:val="24"/>
          <w:u w:val="none"/>
        </w:rPr>
        <w:tab/>
      </w:r>
      <w:r w:rsidRPr="00F1127B">
        <w:rPr>
          <w:rStyle w:val="DefaultParagraphFont"/>
          <w:rFonts w:cs="Times New Roman"/>
          <w:color w:val="auto"/>
          <w:szCs w:val="24"/>
          <w:u w:val="none"/>
        </w:rPr>
        <w:t>angela.obrien@occ.ohio.gov</w:t>
      </w:r>
    </w:p>
    <w:p w:rsidR="005D2789" w:rsidP="00421855">
      <w:pPr>
        <w:spacing w:line="240" w:lineRule="auto"/>
        <w:ind w:left="1080" w:hanging="720"/>
        <w:rPr>
          <w:rStyle w:val="Hyperlink"/>
          <w:rFonts w:cs="Times New Roman"/>
          <w:color w:val="auto"/>
          <w:szCs w:val="24"/>
          <w:u w:val="none"/>
        </w:rPr>
      </w:pPr>
      <w:r>
        <w:rPr>
          <w:rStyle w:val="Hyperlink"/>
          <w:rFonts w:cs="Times New Roman"/>
          <w:color w:val="auto"/>
          <w:szCs w:val="24"/>
          <w:u w:val="none"/>
        </w:rPr>
        <w:tab/>
      </w:r>
      <w:r>
        <w:rPr>
          <w:rStyle w:val="Hyperlink"/>
          <w:rFonts w:cs="Times New Roman"/>
          <w:color w:val="auto"/>
          <w:szCs w:val="24"/>
          <w:u w:val="none"/>
        </w:rPr>
        <w:tab/>
      </w:r>
      <w:r w:rsidR="00235805">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t>(will accept service via email)</w:t>
      </w:r>
    </w:p>
    <w:p w:rsidR="008C264F" w:rsidRPr="008C264F" w:rsidP="008C26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Bidi" w:hAnsiTheme="majorBidi" w:cstheme="majorBidi"/>
          <w:b/>
          <w:bCs/>
          <w:sz w:val="24"/>
          <w:szCs w:val="24"/>
        </w:rPr>
        <w:sectPr w:rsidSect="000C5670">
          <w:headerReference w:type="even" r:id="rId5"/>
          <w:headerReference w:type="default" r:id="rId6"/>
          <w:footerReference w:type="even" r:id="rId7"/>
          <w:footerReference w:type="default" r:id="rId8"/>
          <w:headerReference w:type="first" r:id="rId9"/>
          <w:footerReference w:type="first" r:id="rId10"/>
          <w:pgSz w:w="12240" w:h="15840"/>
          <w:pgMar w:top="1260" w:right="1800" w:bottom="1440" w:left="1800" w:header="720" w:footer="576" w:gutter="0"/>
          <w:pgNumType w:fmt="lowerRoman" w:start="1"/>
          <w:cols w:space="720"/>
          <w:docGrid w:linePitch="326"/>
        </w:sectPr>
      </w:pPr>
      <w:r w:rsidRPr="008C264F">
        <w:rPr>
          <w:rStyle w:val="Hyperlink"/>
          <w:rFonts w:asciiTheme="majorBidi" w:hAnsiTheme="majorBidi" w:cstheme="majorBidi"/>
          <w:color w:val="auto"/>
          <w:sz w:val="24"/>
          <w:szCs w:val="24"/>
          <w:u w:val="none"/>
        </w:rPr>
        <w:t>April 23, 2019</w:t>
      </w:r>
    </w:p>
    <w:p w:rsidR="005D2789"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421855" w:rsidRPr="008C264F" w:rsidP="006B70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35805">
        <w:rPr>
          <w:rFonts w:ascii="Times New Roman" w:hAnsi="Times New Roman" w:cs="Times New Roman"/>
          <w:b/>
          <w:bCs/>
          <w:sz w:val="24"/>
          <w:szCs w:val="24"/>
        </w:rPr>
        <w:tab/>
      </w:r>
      <w:r w:rsidR="00235805">
        <w:rPr>
          <w:rFonts w:ascii="Times New Roman" w:hAnsi="Times New Roman" w:cs="Times New Roman"/>
          <w:b/>
          <w:bCs/>
          <w:sz w:val="24"/>
          <w:szCs w:val="24"/>
        </w:rPr>
        <w:tab/>
      </w:r>
      <w:r w:rsidRPr="008C264F">
        <w:rPr>
          <w:rFonts w:ascii="Times New Roman" w:hAnsi="Times New Roman" w:cs="Times New Roman"/>
          <w:sz w:val="24"/>
          <w:szCs w:val="24"/>
        </w:rPr>
        <w:t>P</w:t>
      </w:r>
      <w:r w:rsidR="008C264F">
        <w:rPr>
          <w:rFonts w:ascii="Times New Roman" w:hAnsi="Times New Roman" w:cs="Times New Roman"/>
          <w:sz w:val="24"/>
          <w:szCs w:val="24"/>
        </w:rPr>
        <w:t>age</w:t>
      </w:r>
    </w:p>
    <w:p w:rsidR="00235805"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0C5670">
      <w:pPr>
        <w:pStyle w:val="TOC1"/>
        <w:rPr>
          <w:rFonts w:asciiTheme="minorHAnsi" w:eastAsiaTheme="minorEastAsia" w:hAnsiTheme="minorHAnsi" w:cstheme="minorBidi"/>
          <w:caps w:val="0"/>
          <w:noProof/>
          <w:sz w:val="22"/>
          <w:szCs w:val="22"/>
          <w:lang w:bidi="he-IL"/>
        </w:rPr>
      </w:pPr>
      <w:r>
        <w:rPr>
          <w:b/>
          <w:bCs/>
          <w:caps w:val="0"/>
        </w:rPr>
        <w:fldChar w:fldCharType="begin"/>
      </w:r>
      <w:r>
        <w:rPr>
          <w:b/>
          <w:bCs/>
          <w:caps w:val="0"/>
        </w:rPr>
        <w:instrText xml:space="preserve"> TOC \o "1-3" \h \z \u </w:instrText>
      </w:r>
      <w:r>
        <w:rPr>
          <w:b/>
          <w:bCs/>
          <w:caps w:val="0"/>
        </w:rPr>
        <w:fldChar w:fldCharType="separate"/>
      </w:r>
      <w:r>
        <w:fldChar w:fldCharType="begin"/>
      </w:r>
      <w:r>
        <w:instrText xml:space="preserve"> HYPERLINK \l "_Toc6910656" </w:instrText>
      </w:r>
      <w:r>
        <w:fldChar w:fldCharType="separate"/>
      </w:r>
      <w:r w:rsidRPr="00F46981">
        <w:rPr>
          <w:rStyle w:val="Hyperlink"/>
          <w:rFonts w:eastAsia="Courier New"/>
          <w:noProof/>
        </w:rPr>
        <w:t>I.</w:t>
      </w:r>
      <w:r>
        <w:rPr>
          <w:rFonts w:asciiTheme="minorHAnsi" w:eastAsiaTheme="minorEastAsia" w:hAnsiTheme="minorHAnsi" w:cstheme="minorBidi"/>
          <w:caps w:val="0"/>
          <w:noProof/>
          <w:sz w:val="22"/>
          <w:szCs w:val="22"/>
          <w:lang w:bidi="he-IL"/>
        </w:rPr>
        <w:tab/>
      </w:r>
      <w:r w:rsidRPr="00F46981">
        <w:rPr>
          <w:rStyle w:val="Hyperlink"/>
          <w:rFonts w:eastAsia="Courier New"/>
          <w:noProof/>
        </w:rPr>
        <w:t>INTRODUCTION</w:t>
      </w:r>
      <w:r>
        <w:rPr>
          <w:noProof/>
          <w:webHidden/>
        </w:rPr>
        <w:tab/>
      </w:r>
      <w:r>
        <w:rPr>
          <w:noProof/>
          <w:webHidden/>
        </w:rPr>
        <w:fldChar w:fldCharType="begin"/>
      </w:r>
      <w:r>
        <w:rPr>
          <w:noProof/>
          <w:webHidden/>
        </w:rPr>
        <w:instrText xml:space="preserve"> PAGEREF _Toc6910656 \h </w:instrText>
      </w:r>
      <w:r>
        <w:rPr>
          <w:noProof/>
          <w:webHidden/>
        </w:rPr>
        <w:fldChar w:fldCharType="separate"/>
      </w:r>
      <w:r>
        <w:rPr>
          <w:noProof/>
          <w:webHidden/>
        </w:rPr>
        <w:t>1</w:t>
      </w:r>
      <w:r>
        <w:rPr>
          <w:noProof/>
          <w:webHidden/>
        </w:rPr>
        <w:fldChar w:fldCharType="end"/>
      </w:r>
      <w:r>
        <w:fldChar w:fldCharType="end"/>
      </w:r>
    </w:p>
    <w:p w:rsidR="000C5670">
      <w:pPr>
        <w:pStyle w:val="TOC1"/>
        <w:rPr>
          <w:rFonts w:asciiTheme="minorHAnsi" w:eastAsiaTheme="minorEastAsia" w:hAnsiTheme="minorHAnsi" w:cstheme="minorBidi"/>
          <w:caps w:val="0"/>
          <w:noProof/>
          <w:sz w:val="22"/>
          <w:szCs w:val="22"/>
          <w:lang w:bidi="he-IL"/>
        </w:rPr>
      </w:pPr>
      <w:r>
        <w:fldChar w:fldCharType="begin"/>
      </w:r>
      <w:r>
        <w:instrText xml:space="preserve"> HYPERLINK \l "_Toc6910657" </w:instrText>
      </w:r>
      <w:r>
        <w:fldChar w:fldCharType="separate"/>
      </w:r>
      <w:r w:rsidRPr="00F46981">
        <w:rPr>
          <w:rStyle w:val="Hyperlink"/>
          <w:noProof/>
        </w:rPr>
        <w:t>II.</w:t>
      </w:r>
      <w:r>
        <w:rPr>
          <w:rFonts w:asciiTheme="minorHAnsi" w:eastAsiaTheme="minorEastAsia" w:hAnsiTheme="minorHAnsi" w:cstheme="minorBidi"/>
          <w:caps w:val="0"/>
          <w:noProof/>
          <w:sz w:val="22"/>
          <w:szCs w:val="22"/>
          <w:lang w:bidi="he-IL"/>
        </w:rPr>
        <w:tab/>
      </w:r>
      <w:r w:rsidRPr="00F46981">
        <w:rPr>
          <w:rStyle w:val="Hyperlink"/>
          <w:noProof/>
        </w:rPr>
        <w:t>STANDARD OF REVIEW</w:t>
      </w:r>
      <w:r>
        <w:rPr>
          <w:noProof/>
          <w:webHidden/>
        </w:rPr>
        <w:tab/>
      </w:r>
      <w:r>
        <w:rPr>
          <w:noProof/>
          <w:webHidden/>
        </w:rPr>
        <w:fldChar w:fldCharType="begin"/>
      </w:r>
      <w:r>
        <w:rPr>
          <w:noProof/>
          <w:webHidden/>
        </w:rPr>
        <w:instrText xml:space="preserve"> PAGEREF _Toc6910657 \h </w:instrText>
      </w:r>
      <w:r>
        <w:rPr>
          <w:noProof/>
          <w:webHidden/>
        </w:rPr>
        <w:fldChar w:fldCharType="separate"/>
      </w:r>
      <w:r>
        <w:rPr>
          <w:noProof/>
          <w:webHidden/>
        </w:rPr>
        <w:t>3</w:t>
      </w:r>
      <w:r>
        <w:rPr>
          <w:noProof/>
          <w:webHidden/>
        </w:rPr>
        <w:fldChar w:fldCharType="end"/>
      </w:r>
      <w:r>
        <w:fldChar w:fldCharType="end"/>
      </w:r>
    </w:p>
    <w:p w:rsidR="000C5670">
      <w:pPr>
        <w:pStyle w:val="TOC1"/>
        <w:rPr>
          <w:rFonts w:asciiTheme="minorHAnsi" w:eastAsiaTheme="minorEastAsia" w:hAnsiTheme="minorHAnsi" w:cstheme="minorBidi"/>
          <w:caps w:val="0"/>
          <w:noProof/>
          <w:sz w:val="22"/>
          <w:szCs w:val="22"/>
          <w:lang w:bidi="he-IL"/>
        </w:rPr>
      </w:pPr>
      <w:r>
        <w:fldChar w:fldCharType="begin"/>
      </w:r>
      <w:r>
        <w:instrText xml:space="preserve"> HYPERLINK \l "_Toc6910658" </w:instrText>
      </w:r>
      <w:r>
        <w:fldChar w:fldCharType="separate"/>
      </w:r>
      <w:r w:rsidRPr="00F46981">
        <w:rPr>
          <w:rStyle w:val="Hyperlink"/>
          <w:noProof/>
        </w:rPr>
        <w:t>III.</w:t>
      </w:r>
      <w:r>
        <w:rPr>
          <w:rFonts w:asciiTheme="minorHAnsi" w:eastAsiaTheme="minorEastAsia" w:hAnsiTheme="minorHAnsi" w:cstheme="minorBidi"/>
          <w:caps w:val="0"/>
          <w:noProof/>
          <w:sz w:val="22"/>
          <w:szCs w:val="22"/>
          <w:lang w:bidi="he-IL"/>
        </w:rPr>
        <w:tab/>
      </w:r>
      <w:r w:rsidRPr="00F46981">
        <w:rPr>
          <w:rStyle w:val="Hyperlink"/>
          <w:rFonts w:eastAsia="Courier New"/>
          <w:noProof/>
        </w:rPr>
        <w:t>RECOMMENDATIONS</w:t>
      </w:r>
      <w:r>
        <w:rPr>
          <w:noProof/>
          <w:webHidden/>
        </w:rPr>
        <w:tab/>
      </w:r>
      <w:r>
        <w:rPr>
          <w:noProof/>
          <w:webHidden/>
        </w:rPr>
        <w:fldChar w:fldCharType="begin"/>
      </w:r>
      <w:r>
        <w:rPr>
          <w:noProof/>
          <w:webHidden/>
        </w:rPr>
        <w:instrText xml:space="preserve"> PAGEREF _Toc6910658 \h </w:instrText>
      </w:r>
      <w:r>
        <w:rPr>
          <w:noProof/>
          <w:webHidden/>
        </w:rPr>
        <w:fldChar w:fldCharType="separate"/>
      </w:r>
      <w:r>
        <w:rPr>
          <w:noProof/>
          <w:webHidden/>
        </w:rPr>
        <w:t>4</w:t>
      </w:r>
      <w:r>
        <w:rPr>
          <w:noProof/>
          <w:webHidden/>
        </w:rPr>
        <w:fldChar w:fldCharType="end"/>
      </w:r>
      <w:r>
        <w:fldChar w:fldCharType="end"/>
      </w:r>
    </w:p>
    <w:p w:rsidR="000C5670">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"_Toc6910659" </w:instrText>
      </w:r>
      <w:r>
        <w:fldChar w:fldCharType="separate"/>
      </w:r>
      <w:r w:rsidRPr="00F46981">
        <w:rPr>
          <w:rStyle w:val="Hyperlink"/>
          <w:rFonts w:eastAsia="Courier New"/>
          <w:noProof/>
        </w:rPr>
        <w:t>A.</w:t>
      </w:r>
      <w:r>
        <w:rPr>
          <w:rFonts w:asciiTheme="minorHAnsi" w:eastAsiaTheme="minorEastAsia" w:hAnsiTheme="minorHAnsi" w:cstheme="minorBidi"/>
          <w:noProof/>
          <w:sz w:val="22"/>
          <w:szCs w:val="22"/>
          <w:lang w:bidi="he-IL"/>
        </w:rPr>
        <w:tab/>
      </w:r>
      <w:r w:rsidRPr="00F46981">
        <w:rPr>
          <w:rStyle w:val="Hyperlink"/>
          <w:rFonts w:eastAsia="Courier New"/>
          <w:noProof/>
        </w:rPr>
        <w:t>Continuing the Straight Fixed Variable rate design harms customers and is not in the public interest.</w:t>
      </w:r>
      <w:r>
        <w:rPr>
          <w:noProof/>
          <w:webHidden/>
        </w:rPr>
        <w:tab/>
      </w:r>
      <w:r>
        <w:rPr>
          <w:noProof/>
          <w:webHidden/>
        </w:rPr>
        <w:fldChar w:fldCharType="begin"/>
      </w:r>
      <w:r>
        <w:rPr>
          <w:noProof/>
          <w:webHidden/>
        </w:rPr>
        <w:instrText xml:space="preserve"> PAGEREF _Toc6910659 \h </w:instrText>
      </w:r>
      <w:r>
        <w:rPr>
          <w:noProof/>
          <w:webHidden/>
        </w:rPr>
        <w:fldChar w:fldCharType="separate"/>
      </w:r>
      <w:r>
        <w:rPr>
          <w:noProof/>
          <w:webHidden/>
        </w:rPr>
        <w:t>4</w:t>
      </w:r>
      <w:r>
        <w:rPr>
          <w:noProof/>
          <w:webHidden/>
        </w:rPr>
        <w:fldChar w:fldCharType="end"/>
      </w:r>
      <w:r>
        <w:fldChar w:fldCharType="end"/>
      </w:r>
    </w:p>
    <w:p w:rsidR="000C5670">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"_Toc6910660" </w:instrText>
      </w:r>
      <w:r>
        <w:fldChar w:fldCharType="separate"/>
      </w:r>
      <w:r w:rsidRPr="00F46981">
        <w:rPr>
          <w:rStyle w:val="Hyperlink"/>
          <w:rFonts w:eastAsia="Courier New"/>
          <w:noProof/>
        </w:rPr>
        <w:t>B.</w:t>
      </w:r>
      <w:r>
        <w:rPr>
          <w:rFonts w:asciiTheme="minorHAnsi" w:eastAsiaTheme="minorEastAsia" w:hAnsiTheme="minorHAnsi" w:cstheme="minorBidi"/>
          <w:noProof/>
          <w:sz w:val="22"/>
          <w:szCs w:val="22"/>
          <w:lang w:bidi="he-IL"/>
        </w:rPr>
        <w:tab/>
      </w:r>
      <w:r w:rsidRPr="00F46981">
        <w:rPr>
          <w:rStyle w:val="Hyperlink"/>
          <w:rFonts w:eastAsia="Courier New"/>
          <w:noProof/>
        </w:rPr>
        <w:t>Vectren’s bill impact analysis including a Fixed Charge is misleading and not useful, so to protect consumers it should not be relied on.</w:t>
      </w:r>
      <w:r>
        <w:rPr>
          <w:noProof/>
          <w:webHidden/>
        </w:rPr>
        <w:tab/>
      </w:r>
      <w:r>
        <w:rPr>
          <w:noProof/>
          <w:webHidden/>
        </w:rPr>
        <w:fldChar w:fldCharType="begin"/>
      </w:r>
      <w:r>
        <w:rPr>
          <w:noProof/>
          <w:webHidden/>
        </w:rPr>
        <w:instrText xml:space="preserve"> PAGEREF _Toc6910660 \h </w:instrText>
      </w:r>
      <w:r>
        <w:rPr>
          <w:noProof/>
          <w:webHidden/>
        </w:rPr>
        <w:fldChar w:fldCharType="separate"/>
      </w:r>
      <w:r>
        <w:rPr>
          <w:noProof/>
          <w:webHidden/>
        </w:rPr>
        <w:t>8</w:t>
      </w:r>
      <w:r>
        <w:rPr>
          <w:noProof/>
          <w:webHidden/>
        </w:rPr>
        <w:fldChar w:fldCharType="end"/>
      </w:r>
      <w:r>
        <w:fldChar w:fldCharType="end"/>
      </w:r>
    </w:p>
    <w:p w:rsidR="000C5670">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"_Toc6910661" </w:instrText>
      </w:r>
      <w:r>
        <w:fldChar w:fldCharType="separate"/>
      </w:r>
      <w:r w:rsidRPr="00F46981">
        <w:rPr>
          <w:rStyle w:val="Hyperlink"/>
          <w:rFonts w:eastAsia="Courier New"/>
          <w:noProof/>
        </w:rPr>
        <w:t>C.</w:t>
      </w:r>
      <w:r>
        <w:rPr>
          <w:rFonts w:asciiTheme="minorHAnsi" w:eastAsiaTheme="minorEastAsia" w:hAnsiTheme="minorHAnsi" w:cstheme="minorBidi"/>
          <w:noProof/>
          <w:sz w:val="22"/>
          <w:szCs w:val="22"/>
          <w:lang w:bidi="he-IL"/>
        </w:rPr>
        <w:tab/>
      </w:r>
      <w:r w:rsidRPr="00F46981">
        <w:rPr>
          <w:rStyle w:val="Hyperlink"/>
          <w:rFonts w:eastAsia="Courier New"/>
          <w:noProof/>
        </w:rPr>
        <w:t>Consumers would not benefit from a Fixed Charge, as the Fixed Charge rate design is not necessary to provide bill stability or to prevent customer confusion.</w:t>
      </w:r>
      <w:r>
        <w:rPr>
          <w:noProof/>
          <w:webHidden/>
        </w:rPr>
        <w:tab/>
      </w:r>
      <w:r>
        <w:rPr>
          <w:noProof/>
          <w:webHidden/>
        </w:rPr>
        <w:fldChar w:fldCharType="begin"/>
      </w:r>
      <w:r>
        <w:rPr>
          <w:noProof/>
          <w:webHidden/>
        </w:rPr>
        <w:instrText xml:space="preserve"> PAGEREF _Toc6910661 \h </w:instrText>
      </w:r>
      <w:r>
        <w:rPr>
          <w:noProof/>
          <w:webHidden/>
        </w:rPr>
        <w:fldChar w:fldCharType="separate"/>
      </w:r>
      <w:r>
        <w:rPr>
          <w:noProof/>
          <w:webHidden/>
        </w:rPr>
        <w:t>9</w:t>
      </w:r>
      <w:r>
        <w:rPr>
          <w:noProof/>
          <w:webHidden/>
        </w:rPr>
        <w:fldChar w:fldCharType="end"/>
      </w:r>
      <w:r>
        <w:fldChar w:fldCharType="end"/>
      </w:r>
    </w:p>
    <w:p w:rsidR="000C5670">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"_Toc6910662" </w:instrText>
      </w:r>
      <w:r>
        <w:fldChar w:fldCharType="separate"/>
      </w:r>
      <w:r w:rsidRPr="00F46981">
        <w:rPr>
          <w:rStyle w:val="Hyperlink"/>
          <w:rFonts w:eastAsia="Courier New"/>
          <w:noProof/>
        </w:rPr>
        <w:t>D.</w:t>
      </w:r>
      <w:r>
        <w:rPr>
          <w:rFonts w:asciiTheme="minorHAnsi" w:eastAsiaTheme="minorEastAsia" w:hAnsiTheme="minorHAnsi" w:cstheme="minorBidi"/>
          <w:noProof/>
          <w:sz w:val="22"/>
          <w:szCs w:val="22"/>
          <w:lang w:bidi="he-IL"/>
        </w:rPr>
        <w:tab/>
      </w:r>
      <w:r w:rsidRPr="00F46981">
        <w:rPr>
          <w:rStyle w:val="Hyperlink"/>
          <w:rFonts w:eastAsia="Courier New"/>
          <w:noProof/>
        </w:rPr>
        <w:t>Vectren’s proposed Fixed Charge rate design harms customers and is not in the public interest because it hinders customers’ energy efficiency efforts.</w:t>
      </w:r>
      <w:r>
        <w:rPr>
          <w:noProof/>
          <w:webHidden/>
        </w:rPr>
        <w:tab/>
      </w:r>
      <w:r>
        <w:rPr>
          <w:noProof/>
          <w:webHidden/>
        </w:rPr>
        <w:fldChar w:fldCharType="begin"/>
      </w:r>
      <w:r>
        <w:rPr>
          <w:noProof/>
          <w:webHidden/>
        </w:rPr>
        <w:instrText xml:space="preserve"> PAGEREF _Toc6910662 \h </w:instrText>
      </w:r>
      <w:r>
        <w:rPr>
          <w:noProof/>
          <w:webHidden/>
        </w:rPr>
        <w:fldChar w:fldCharType="separate"/>
      </w:r>
      <w:r>
        <w:rPr>
          <w:noProof/>
          <w:webHidden/>
        </w:rPr>
        <w:t>11</w:t>
      </w:r>
      <w:r>
        <w:rPr>
          <w:noProof/>
          <w:webHidden/>
        </w:rPr>
        <w:fldChar w:fldCharType="end"/>
      </w:r>
      <w:r>
        <w:fldChar w:fldCharType="end"/>
      </w:r>
    </w:p>
    <w:p w:rsidR="000C5670">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"_Toc6910663" </w:instrText>
      </w:r>
      <w:r>
        <w:fldChar w:fldCharType="separate"/>
      </w:r>
      <w:r w:rsidRPr="00F46981">
        <w:rPr>
          <w:rStyle w:val="Hyperlink"/>
          <w:rFonts w:eastAsia="Courier New"/>
          <w:noProof/>
        </w:rPr>
        <w:t>E.</w:t>
      </w:r>
      <w:r>
        <w:rPr>
          <w:rFonts w:asciiTheme="minorHAnsi" w:eastAsiaTheme="minorEastAsia" w:hAnsiTheme="minorHAnsi" w:cstheme="minorBidi"/>
          <w:noProof/>
          <w:sz w:val="22"/>
          <w:szCs w:val="22"/>
          <w:lang w:bidi="he-IL"/>
        </w:rPr>
        <w:tab/>
      </w:r>
      <w:r w:rsidRPr="00F46981">
        <w:rPr>
          <w:rStyle w:val="Hyperlink"/>
          <w:rFonts w:eastAsia="Courier New"/>
          <w:noProof/>
        </w:rPr>
        <w:t>Contrary to the public interest and important regulatory principles, Staff did not determine the level of the annual capital investment permitted under the monthly Capital Expenditure Program rate cap.</w:t>
      </w:r>
      <w:r>
        <w:rPr>
          <w:noProof/>
          <w:webHidden/>
        </w:rPr>
        <w:tab/>
      </w:r>
      <w:r>
        <w:rPr>
          <w:noProof/>
          <w:webHidden/>
        </w:rPr>
        <w:fldChar w:fldCharType="begin"/>
      </w:r>
      <w:r>
        <w:rPr>
          <w:noProof/>
          <w:webHidden/>
        </w:rPr>
        <w:instrText xml:space="preserve"> PAGEREF _Toc6910663 \h </w:instrText>
      </w:r>
      <w:r>
        <w:rPr>
          <w:noProof/>
          <w:webHidden/>
        </w:rPr>
        <w:fldChar w:fldCharType="separate"/>
      </w:r>
      <w:r>
        <w:rPr>
          <w:noProof/>
          <w:webHidden/>
        </w:rPr>
        <w:t>13</w:t>
      </w:r>
      <w:r>
        <w:rPr>
          <w:noProof/>
          <w:webHidden/>
        </w:rPr>
        <w:fldChar w:fldCharType="end"/>
      </w:r>
      <w:r>
        <w:fldChar w:fldCharType="end"/>
      </w:r>
    </w:p>
    <w:p w:rsidR="000C5670">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"_Toc6910664" </w:instrText>
      </w:r>
      <w:r>
        <w:fldChar w:fldCharType="separate"/>
      </w:r>
      <w:r w:rsidRPr="00F46981">
        <w:rPr>
          <w:rStyle w:val="Hyperlink"/>
          <w:rFonts w:eastAsia="Courier New"/>
          <w:noProof/>
        </w:rPr>
        <w:t>F.</w:t>
      </w:r>
      <w:r>
        <w:rPr>
          <w:rFonts w:asciiTheme="minorHAnsi" w:eastAsiaTheme="minorEastAsia" w:hAnsiTheme="minorHAnsi" w:cstheme="minorBidi"/>
          <w:noProof/>
          <w:sz w:val="22"/>
          <w:szCs w:val="22"/>
          <w:lang w:bidi="he-IL"/>
        </w:rPr>
        <w:tab/>
      </w:r>
      <w:r w:rsidRPr="00F46981">
        <w:rPr>
          <w:rStyle w:val="Hyperlink"/>
          <w:rFonts w:eastAsia="Courier New"/>
          <w:noProof/>
        </w:rPr>
        <w:t>The Settlement’s Rate of Return is not in the Public Interest because it relies on forecasted interest rates.</w:t>
      </w:r>
      <w:r>
        <w:rPr>
          <w:noProof/>
          <w:webHidden/>
        </w:rPr>
        <w:tab/>
      </w:r>
      <w:r>
        <w:rPr>
          <w:noProof/>
          <w:webHidden/>
        </w:rPr>
        <w:fldChar w:fldCharType="begin"/>
      </w:r>
      <w:r>
        <w:rPr>
          <w:noProof/>
          <w:webHidden/>
        </w:rPr>
        <w:instrText xml:space="preserve"> PAGEREF _Toc6910664 \h </w:instrText>
      </w:r>
      <w:r>
        <w:rPr>
          <w:noProof/>
          <w:webHidden/>
        </w:rPr>
        <w:fldChar w:fldCharType="separate"/>
      </w:r>
      <w:r>
        <w:rPr>
          <w:noProof/>
          <w:webHidden/>
        </w:rPr>
        <w:t>16</w:t>
      </w:r>
      <w:r>
        <w:rPr>
          <w:noProof/>
          <w:webHidden/>
        </w:rPr>
        <w:fldChar w:fldCharType="end"/>
      </w:r>
      <w:r>
        <w:fldChar w:fldCharType="end"/>
      </w:r>
    </w:p>
    <w:p w:rsidR="000C5670">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"_Toc6910665" </w:instrText>
      </w:r>
      <w:r>
        <w:fldChar w:fldCharType="separate"/>
      </w:r>
      <w:r w:rsidRPr="00F46981">
        <w:rPr>
          <w:rStyle w:val="Hyperlink"/>
          <w:rFonts w:eastAsia="Courier New"/>
          <w:noProof/>
        </w:rPr>
        <w:t>G.</w:t>
      </w:r>
      <w:r>
        <w:rPr>
          <w:rFonts w:asciiTheme="minorHAnsi" w:eastAsiaTheme="minorEastAsia" w:hAnsiTheme="minorHAnsi" w:cstheme="minorBidi"/>
          <w:noProof/>
          <w:sz w:val="22"/>
          <w:szCs w:val="22"/>
          <w:lang w:bidi="he-IL"/>
        </w:rPr>
        <w:tab/>
      </w:r>
      <w:r w:rsidRPr="00F46981">
        <w:rPr>
          <w:rStyle w:val="Hyperlink"/>
          <w:rFonts w:eastAsia="Courier New"/>
          <w:noProof/>
        </w:rPr>
        <w:t>The DARR program initiatives were inadequately reviewed, and the PUCO should review any future increases in DARR spending beyond 2018 through an application for an increase in rates under R.C. 4909.15.  The Settlement fails to benefit consumers or the public interest.</w:t>
      </w:r>
      <w:r>
        <w:rPr>
          <w:noProof/>
          <w:webHidden/>
        </w:rPr>
        <w:tab/>
      </w:r>
      <w:r>
        <w:rPr>
          <w:noProof/>
          <w:webHidden/>
        </w:rPr>
        <w:fldChar w:fldCharType="begin"/>
      </w:r>
      <w:r>
        <w:rPr>
          <w:noProof/>
          <w:webHidden/>
        </w:rPr>
        <w:instrText xml:space="preserve"> PAGEREF _Toc6910665 \h </w:instrText>
      </w:r>
      <w:r>
        <w:rPr>
          <w:noProof/>
          <w:webHidden/>
        </w:rPr>
        <w:fldChar w:fldCharType="separate"/>
      </w:r>
      <w:r>
        <w:rPr>
          <w:noProof/>
          <w:webHidden/>
        </w:rPr>
        <w:t>20</w:t>
      </w:r>
      <w:r>
        <w:rPr>
          <w:noProof/>
          <w:webHidden/>
        </w:rPr>
        <w:fldChar w:fldCharType="end"/>
      </w:r>
      <w:r>
        <w:fldChar w:fldCharType="end"/>
      </w:r>
    </w:p>
    <w:p w:rsidR="000C5670">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"_Toc6910666" </w:instrText>
      </w:r>
      <w:r>
        <w:fldChar w:fldCharType="separate"/>
      </w:r>
      <w:r w:rsidRPr="00F46981">
        <w:rPr>
          <w:rStyle w:val="Hyperlink"/>
          <w:rFonts w:eastAsia="Courier New"/>
          <w:noProof/>
        </w:rPr>
        <w:t>H.</w:t>
      </w:r>
      <w:r>
        <w:rPr>
          <w:rFonts w:asciiTheme="minorHAnsi" w:eastAsiaTheme="minorEastAsia" w:hAnsiTheme="minorHAnsi" w:cstheme="minorBidi"/>
          <w:noProof/>
          <w:sz w:val="22"/>
          <w:szCs w:val="22"/>
          <w:lang w:bidi="he-IL"/>
        </w:rPr>
        <w:tab/>
      </w:r>
      <w:r w:rsidRPr="00F46981">
        <w:rPr>
          <w:rStyle w:val="Hyperlink"/>
          <w:rFonts w:eastAsia="Courier New"/>
          <w:noProof/>
        </w:rPr>
        <w:t>The Settlement’s Marketer and Supplier Provisions should be rejected because they do not benefit customers or the public interest.</w:t>
      </w:r>
      <w:r>
        <w:rPr>
          <w:noProof/>
          <w:webHidden/>
        </w:rPr>
        <w:tab/>
      </w:r>
      <w:r>
        <w:rPr>
          <w:noProof/>
          <w:webHidden/>
        </w:rPr>
        <w:fldChar w:fldCharType="begin"/>
      </w:r>
      <w:r>
        <w:rPr>
          <w:noProof/>
          <w:webHidden/>
        </w:rPr>
        <w:instrText xml:space="preserve"> PAGEREF _Toc6910666 \h </w:instrText>
      </w:r>
      <w:r>
        <w:rPr>
          <w:noProof/>
          <w:webHidden/>
        </w:rPr>
        <w:fldChar w:fldCharType="separate"/>
      </w:r>
      <w:r>
        <w:rPr>
          <w:noProof/>
          <w:webHidden/>
        </w:rPr>
        <w:t>23</w:t>
      </w:r>
      <w:r>
        <w:rPr>
          <w:noProof/>
          <w:webHidden/>
        </w:rPr>
        <w:fldChar w:fldCharType="end"/>
      </w:r>
      <w:r>
        <w:fldChar w:fldCharType="end"/>
      </w:r>
    </w:p>
    <w:p w:rsidR="000C5670">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"_Toc6910667" </w:instrText>
      </w:r>
      <w:r>
        <w:fldChar w:fldCharType="separate"/>
      </w:r>
      <w:r w:rsidRPr="00F46981">
        <w:rPr>
          <w:rStyle w:val="Hyperlink"/>
          <w:rFonts w:eastAsia="Courier New"/>
          <w:noProof/>
        </w:rPr>
        <w:t>1.</w:t>
      </w:r>
      <w:r>
        <w:rPr>
          <w:rFonts w:asciiTheme="minorHAnsi" w:eastAsiaTheme="minorEastAsia" w:hAnsiTheme="minorHAnsi" w:cstheme="minorBidi"/>
          <w:noProof/>
          <w:sz w:val="22"/>
          <w:szCs w:val="22"/>
          <w:lang w:bidi="he-IL"/>
        </w:rPr>
        <w:tab/>
      </w:r>
      <w:r w:rsidRPr="00F46981">
        <w:rPr>
          <w:rStyle w:val="Hyperlink"/>
          <w:rFonts w:eastAsia="Courier New"/>
          <w:noProof/>
        </w:rPr>
        <w:t>In violation of the public interest and important regulatory principles, the Settlement’s SCO Supplier Coordination provisions are unnecessary and run the risk of confusing consumers.</w:t>
      </w:r>
      <w:r>
        <w:rPr>
          <w:noProof/>
          <w:webHidden/>
        </w:rPr>
        <w:tab/>
      </w:r>
      <w:r>
        <w:rPr>
          <w:noProof/>
          <w:webHidden/>
        </w:rPr>
        <w:fldChar w:fldCharType="begin"/>
      </w:r>
      <w:r>
        <w:rPr>
          <w:noProof/>
          <w:webHidden/>
        </w:rPr>
        <w:instrText xml:space="preserve"> PAGEREF _Toc6910667 \h </w:instrText>
      </w:r>
      <w:r>
        <w:rPr>
          <w:noProof/>
          <w:webHidden/>
        </w:rPr>
        <w:fldChar w:fldCharType="separate"/>
      </w:r>
      <w:r>
        <w:rPr>
          <w:noProof/>
          <w:webHidden/>
        </w:rPr>
        <w:t>24</w:t>
      </w:r>
      <w:r>
        <w:rPr>
          <w:noProof/>
          <w:webHidden/>
        </w:rPr>
        <w:fldChar w:fldCharType="end"/>
      </w:r>
      <w:r>
        <w:fldChar w:fldCharType="end"/>
      </w:r>
    </w:p>
    <w:p w:rsidR="000C5670">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"_Toc6910668" </w:instrText>
      </w:r>
      <w:r>
        <w:fldChar w:fldCharType="separate"/>
      </w:r>
      <w:r w:rsidRPr="00F46981">
        <w:rPr>
          <w:rStyle w:val="Hyperlink"/>
          <w:rFonts w:eastAsia="Courier New"/>
          <w:noProof/>
        </w:rPr>
        <w:t>2.</w:t>
      </w:r>
      <w:r>
        <w:rPr>
          <w:rFonts w:asciiTheme="minorHAnsi" w:eastAsiaTheme="minorEastAsia" w:hAnsiTheme="minorHAnsi" w:cstheme="minorBidi"/>
          <w:noProof/>
          <w:sz w:val="22"/>
          <w:szCs w:val="22"/>
          <w:lang w:bidi="he-IL"/>
        </w:rPr>
        <w:tab/>
      </w:r>
      <w:r w:rsidRPr="00F46981">
        <w:rPr>
          <w:rStyle w:val="Hyperlink"/>
          <w:rFonts w:eastAsia="Courier New"/>
          <w:noProof/>
        </w:rPr>
        <w:t>The Settlement’s Exit the Merchant Function provisions are contrary to the public interest.</w:t>
      </w:r>
      <w:r>
        <w:rPr>
          <w:noProof/>
          <w:webHidden/>
        </w:rPr>
        <w:tab/>
      </w:r>
      <w:r>
        <w:rPr>
          <w:noProof/>
          <w:webHidden/>
        </w:rPr>
        <w:fldChar w:fldCharType="begin"/>
      </w:r>
      <w:r>
        <w:rPr>
          <w:noProof/>
          <w:webHidden/>
        </w:rPr>
        <w:instrText xml:space="preserve"> PAGEREF _Toc6910668 \h </w:instrText>
      </w:r>
      <w:r>
        <w:rPr>
          <w:noProof/>
          <w:webHidden/>
        </w:rPr>
        <w:fldChar w:fldCharType="separate"/>
      </w:r>
      <w:r>
        <w:rPr>
          <w:noProof/>
          <w:webHidden/>
        </w:rPr>
        <w:t>26</w:t>
      </w:r>
      <w:r>
        <w:rPr>
          <w:noProof/>
          <w:webHidden/>
        </w:rPr>
        <w:fldChar w:fldCharType="end"/>
      </w:r>
      <w:r>
        <w:fldChar w:fldCharType="end"/>
      </w:r>
    </w:p>
    <w:p w:rsidR="000C5670">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"_Toc6910669" </w:instrText>
      </w:r>
      <w:r>
        <w:fldChar w:fldCharType="separate"/>
      </w:r>
      <w:r w:rsidRPr="00F46981">
        <w:rPr>
          <w:rStyle w:val="Hyperlink"/>
          <w:rFonts w:eastAsia="Courier New"/>
          <w:noProof/>
        </w:rPr>
        <w:t>3.</w:t>
      </w:r>
      <w:r>
        <w:rPr>
          <w:rFonts w:asciiTheme="minorHAnsi" w:eastAsiaTheme="minorEastAsia" w:hAnsiTheme="minorHAnsi" w:cstheme="minorBidi"/>
          <w:noProof/>
          <w:sz w:val="22"/>
          <w:szCs w:val="22"/>
          <w:lang w:bidi="he-IL"/>
        </w:rPr>
        <w:tab/>
      </w:r>
      <w:r w:rsidRPr="00F46981">
        <w:rPr>
          <w:rStyle w:val="Hyperlink"/>
          <w:rFonts w:eastAsia="Courier New"/>
          <w:noProof/>
        </w:rPr>
        <w:t>The Settlement’s Billing Enhancements provisions are contrary to the public interest.</w:t>
      </w:r>
      <w:r>
        <w:rPr>
          <w:noProof/>
          <w:webHidden/>
        </w:rPr>
        <w:tab/>
      </w:r>
      <w:r>
        <w:rPr>
          <w:noProof/>
          <w:webHidden/>
        </w:rPr>
        <w:fldChar w:fldCharType="begin"/>
      </w:r>
      <w:r>
        <w:rPr>
          <w:noProof/>
          <w:webHidden/>
        </w:rPr>
        <w:instrText xml:space="preserve"> PAGEREF _Toc6910669 \h </w:instrText>
      </w:r>
      <w:r>
        <w:rPr>
          <w:noProof/>
          <w:webHidden/>
        </w:rPr>
        <w:fldChar w:fldCharType="separate"/>
      </w:r>
      <w:r>
        <w:rPr>
          <w:noProof/>
          <w:webHidden/>
        </w:rPr>
        <w:t>28</w:t>
      </w:r>
      <w:r>
        <w:rPr>
          <w:noProof/>
          <w:webHidden/>
        </w:rPr>
        <w:fldChar w:fldCharType="end"/>
      </w:r>
      <w:r>
        <w:fldChar w:fldCharType="end"/>
      </w:r>
    </w:p>
    <w:p w:rsidR="000C5670">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"_Toc6910670" </w:instrText>
      </w:r>
      <w:r>
        <w:fldChar w:fldCharType="separate"/>
      </w:r>
      <w:r w:rsidRPr="00F46981">
        <w:rPr>
          <w:rStyle w:val="Hyperlink"/>
          <w:rFonts w:eastAsia="Courier New"/>
          <w:noProof/>
        </w:rPr>
        <w:t>4.</w:t>
      </w:r>
      <w:r>
        <w:rPr>
          <w:rFonts w:asciiTheme="minorHAnsi" w:eastAsiaTheme="minorEastAsia" w:hAnsiTheme="minorHAnsi" w:cstheme="minorBidi"/>
          <w:noProof/>
          <w:sz w:val="22"/>
          <w:szCs w:val="22"/>
          <w:lang w:bidi="he-IL"/>
        </w:rPr>
        <w:tab/>
      </w:r>
      <w:r w:rsidRPr="00F46981">
        <w:rPr>
          <w:rStyle w:val="Hyperlink"/>
          <w:rFonts w:eastAsia="Courier New"/>
          <w:noProof/>
        </w:rPr>
        <w:t>Provision to give Marketers A Top 25% List under the Settlement is not in the public interest.</w:t>
      </w:r>
      <w:r>
        <w:rPr>
          <w:noProof/>
          <w:webHidden/>
        </w:rPr>
        <w:tab/>
      </w:r>
      <w:r>
        <w:rPr>
          <w:noProof/>
          <w:webHidden/>
        </w:rPr>
        <w:fldChar w:fldCharType="begin"/>
      </w:r>
      <w:r>
        <w:rPr>
          <w:noProof/>
          <w:webHidden/>
        </w:rPr>
        <w:instrText xml:space="preserve"> PAGEREF _Toc6910670 \h </w:instrText>
      </w:r>
      <w:r>
        <w:rPr>
          <w:noProof/>
          <w:webHidden/>
        </w:rPr>
        <w:fldChar w:fldCharType="separate"/>
      </w:r>
      <w:r>
        <w:rPr>
          <w:noProof/>
          <w:webHidden/>
        </w:rPr>
        <w:t>29</w:t>
      </w:r>
      <w:r>
        <w:rPr>
          <w:noProof/>
          <w:webHidden/>
        </w:rPr>
        <w:fldChar w:fldCharType="end"/>
      </w:r>
      <w:r>
        <w:fldChar w:fldCharType="end"/>
      </w:r>
    </w:p>
    <w:p w:rsidR="000C5670">
      <w:pPr>
        <w:pStyle w:val="TOC1"/>
        <w:rPr>
          <w:rFonts w:asciiTheme="minorHAnsi" w:eastAsiaTheme="minorEastAsia" w:hAnsiTheme="minorHAnsi" w:cstheme="minorBidi"/>
          <w:caps w:val="0"/>
          <w:noProof/>
          <w:sz w:val="22"/>
          <w:szCs w:val="22"/>
          <w:lang w:bidi="he-IL"/>
        </w:rPr>
      </w:pPr>
      <w:r>
        <w:fldChar w:fldCharType="begin"/>
      </w:r>
      <w:r>
        <w:instrText xml:space="preserve"> HYPERLINK \l "_Toc6910671" </w:instrText>
      </w:r>
      <w:r>
        <w:fldChar w:fldCharType="separate"/>
      </w:r>
      <w:r w:rsidRPr="00F46981">
        <w:rPr>
          <w:rStyle w:val="Hyperlink"/>
          <w:noProof/>
        </w:rPr>
        <w:t>IV.</w:t>
      </w:r>
      <w:r>
        <w:rPr>
          <w:rFonts w:asciiTheme="minorHAnsi" w:eastAsiaTheme="minorEastAsia" w:hAnsiTheme="minorHAnsi" w:cstheme="minorBidi"/>
          <w:caps w:val="0"/>
          <w:noProof/>
          <w:sz w:val="22"/>
          <w:szCs w:val="22"/>
          <w:lang w:bidi="he-IL"/>
        </w:rPr>
        <w:tab/>
      </w:r>
      <w:r w:rsidRPr="00F46981">
        <w:rPr>
          <w:rStyle w:val="Hyperlink"/>
          <w:rFonts w:eastAsia="Courier New"/>
          <w:noProof/>
        </w:rPr>
        <w:t>CONCLUSION</w:t>
      </w:r>
      <w:r>
        <w:rPr>
          <w:noProof/>
          <w:webHidden/>
        </w:rPr>
        <w:tab/>
      </w:r>
      <w:r>
        <w:rPr>
          <w:noProof/>
          <w:webHidden/>
        </w:rPr>
        <w:fldChar w:fldCharType="begin"/>
      </w:r>
      <w:r>
        <w:rPr>
          <w:noProof/>
          <w:webHidden/>
        </w:rPr>
        <w:instrText xml:space="preserve"> PAGEREF _Toc6910671 \h </w:instrText>
      </w:r>
      <w:r>
        <w:rPr>
          <w:noProof/>
          <w:webHidden/>
        </w:rPr>
        <w:fldChar w:fldCharType="separate"/>
      </w:r>
      <w:r>
        <w:rPr>
          <w:noProof/>
          <w:webHidden/>
        </w:rPr>
        <w:t>30</w:t>
      </w:r>
      <w:r>
        <w:rPr>
          <w:noProof/>
          <w:webHidden/>
        </w:rPr>
        <w:fldChar w:fldCharType="end"/>
      </w:r>
      <w:r>
        <w:fldChar w:fldCharType="end"/>
      </w:r>
    </w:p>
    <w:p w:rsidR="00235805" w:rsidP="006B70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cs="Times New Roman"/>
          <w:b/>
          <w:bCs/>
          <w:szCs w:val="24"/>
        </w:rPr>
        <w:sectPr w:rsidSect="000C567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b/>
          <w:bCs/>
          <w:caps/>
          <w:sz w:val="24"/>
          <w:szCs w:val="24"/>
        </w:rPr>
        <w:fldChar w:fldCharType="end"/>
      </w:r>
    </w:p>
    <w:p w:rsidR="00A107DD" w:rsidRPr="00B81AEF"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B81AEF">
        <w:rPr>
          <w:rFonts w:ascii="Times New Roman" w:hAnsi="Times New Roman" w:cs="Times New Roman"/>
          <w:b/>
          <w:bCs/>
          <w:sz w:val="24"/>
          <w:szCs w:val="24"/>
        </w:rPr>
        <w:t>BEFORE</w:t>
      </w:r>
    </w:p>
    <w:p w:rsidR="00A107DD"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B81AEF">
        <w:rPr>
          <w:rFonts w:ascii="Times New Roman" w:hAnsi="Times New Roman" w:cs="Times New Roman"/>
          <w:b/>
          <w:bCs/>
          <w:sz w:val="24"/>
          <w:szCs w:val="24"/>
        </w:rPr>
        <w:t>THE PUBLIC UTILITIES COMMISSION OF OHIO</w:t>
      </w:r>
    </w:p>
    <w:p w:rsidR="00A107DD"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tbl>
      <w:tblPr>
        <w:tblW w:w="9654" w:type="dxa"/>
        <w:tblInd w:w="0" w:type="dxa"/>
        <w:tblCellMar>
          <w:top w:w="0" w:type="dxa"/>
          <w:left w:w="108" w:type="dxa"/>
          <w:bottom w:w="0" w:type="dxa"/>
          <w:right w:w="108" w:type="dxa"/>
        </w:tblCellMar>
        <w:tblLook w:val="01E0"/>
      </w:tblPr>
      <w:tblGrid>
        <w:gridCol w:w="5148"/>
        <w:gridCol w:w="360"/>
        <w:gridCol w:w="4146"/>
      </w:tblGrid>
      <w:tr w:rsidTr="0057038B">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 xml:space="preserve">In the Matter of the Application of Vectren Energy Delivery of Ohio, Inc., for Approval of an </w:t>
            </w:r>
            <w:r>
              <w:rPr>
                <w:rFonts w:ascii="Times New Roman" w:eastAsia="Courier New" w:hAnsi="Times New Roman" w:cs="Times New Roman"/>
                <w:sz w:val="24"/>
                <w:szCs w:val="24"/>
                <w:lang w:val="en-US" w:eastAsia="en-US" w:bidi="ar-SA"/>
              </w:rPr>
              <w:t>Alternative Rate Plan</w:t>
            </w:r>
            <w:r w:rsidRPr="008519C0">
              <w:rPr>
                <w:rFonts w:ascii="Times New Roman" w:eastAsia="Courier New" w:hAnsi="Times New Roman" w:cs="Times New Roman"/>
                <w:sz w:val="24"/>
                <w:szCs w:val="24"/>
                <w:lang w:val="en-US" w:eastAsia="en-US" w:bidi="ar-SA"/>
              </w:rPr>
              <w:t>.</w:t>
            </w:r>
          </w:p>
        </w:tc>
        <w:tc>
          <w:tcPr>
            <w:tcW w:w="360" w:type="dxa"/>
            <w:shd w:val="clear" w:color="auto" w:fill="auto"/>
          </w:tcPr>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tc>
        <w:tc>
          <w:tcPr>
            <w:tcW w:w="4146" w:type="dxa"/>
            <w:shd w:val="clear" w:color="auto" w:fill="auto"/>
          </w:tcPr>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w:t>
            </w:r>
            <w:r>
              <w:rPr>
                <w:rFonts w:ascii="Times New Roman" w:eastAsia="Courier New" w:hAnsi="Times New Roman" w:cs="Times New Roman"/>
                <w:sz w:val="24"/>
                <w:szCs w:val="20"/>
                <w:lang w:val="en-US" w:eastAsia="en-US" w:bidi="ar-SA"/>
              </w:rPr>
              <w:t>049</w:t>
            </w:r>
            <w:r w:rsidRPr="008519C0">
              <w:rPr>
                <w:rFonts w:ascii="Times New Roman" w:eastAsia="Courier New" w:hAnsi="Times New Roman" w:cs="Times New Roman"/>
                <w:sz w:val="24"/>
                <w:szCs w:val="20"/>
                <w:lang w:val="en-US" w:eastAsia="en-US" w:bidi="ar-SA"/>
              </w:rPr>
              <w:t>-GA-</w:t>
            </w:r>
            <w:r>
              <w:rPr>
                <w:rFonts w:ascii="Times New Roman" w:eastAsia="Courier New" w:hAnsi="Times New Roman" w:cs="Times New Roman"/>
                <w:sz w:val="24"/>
                <w:szCs w:val="20"/>
                <w:lang w:val="en-US" w:eastAsia="en-US" w:bidi="ar-SA"/>
              </w:rPr>
              <w:t>ALT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tc>
      </w:tr>
      <w:tr w:rsidTr="0057038B">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In the Matter of the Application of Vectren Energy Delivery of Ohio, Inc., for Approval of an Increase in Gas Rates.</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 xml:space="preserve">In the Matter of the Application of Vectren Energy Delivery of Ohio, Inc., for Approval of an Alternative Rate Plan. </w:t>
            </w:r>
          </w:p>
        </w:tc>
        <w:tc>
          <w:tcPr>
            <w:tcW w:w="360" w:type="dxa"/>
            <w:shd w:val="clear" w:color="auto" w:fill="auto"/>
          </w:tcPr>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tc>
        <w:tc>
          <w:tcPr>
            <w:tcW w:w="4146" w:type="dxa"/>
            <w:shd w:val="clear" w:color="auto" w:fill="auto"/>
          </w:tcPr>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18-0298-GA-AIR</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18-0299-GA-ALT</w:t>
            </w:r>
          </w:p>
          <w:p w:rsidR="00A107DD" w:rsidRPr="008519C0"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A107DD" w:rsidRPr="00B81AEF"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A107DD" w:rsidRPr="00B81AEF" w:rsidP="00421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rsidR="00235805"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REPLY</w:t>
      </w:r>
      <w:r w:rsidR="00FA60F5">
        <w:rPr>
          <w:rFonts w:ascii="Times New Roman" w:hAnsi="Times New Roman" w:cs="Times New Roman"/>
          <w:b/>
          <w:bCs/>
          <w:sz w:val="24"/>
          <w:szCs w:val="24"/>
        </w:rPr>
        <w:t xml:space="preserve"> BRIEF </w:t>
      </w:r>
    </w:p>
    <w:p w:rsidR="00FA60F5" w:rsidRPr="00B81AEF"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BY</w:t>
      </w:r>
      <w:r w:rsidRPr="00B81AEF">
        <w:rPr>
          <w:rFonts w:ascii="Times New Roman" w:hAnsi="Times New Roman" w:cs="Times New Roman"/>
          <w:b/>
          <w:bCs/>
          <w:sz w:val="24"/>
          <w:szCs w:val="24"/>
        </w:rPr>
        <w:t xml:space="preserve"> </w:t>
      </w:r>
    </w:p>
    <w:p w:rsidR="00FA60F5" w:rsidRPr="00B81AEF"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B81AEF">
        <w:rPr>
          <w:rFonts w:ascii="Times New Roman" w:hAnsi="Times New Roman" w:cs="Times New Roman"/>
          <w:b/>
          <w:bCs/>
          <w:sz w:val="24"/>
          <w:szCs w:val="24"/>
        </w:rPr>
        <w:t>THE OFFICE OF THE OHIO CONSUMERS' COUNSEL</w:t>
      </w:r>
    </w:p>
    <w:p w:rsidR="00FA60F5" w:rsidRPr="00B81AEF" w:rsidP="0042185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F1127B" w:rsidP="00421855">
      <w:pPr>
        <w:spacing w:line="240" w:lineRule="auto"/>
      </w:pPr>
    </w:p>
    <w:p w:rsidR="00A107DD" w:rsidRPr="00CF23C6" w:rsidP="00421855">
      <w:pPr>
        <w:pStyle w:val="Heading1"/>
      </w:pPr>
      <w:bookmarkStart w:id="1" w:name="_Toc4407219"/>
      <w:bookmarkStart w:id="2" w:name="_Toc6316203"/>
      <w:bookmarkStart w:id="3" w:name="_Toc6910656"/>
      <w:r>
        <w:t>I.</w:t>
      </w:r>
      <w:r>
        <w:tab/>
      </w:r>
      <w:r w:rsidRPr="00CF23C6" w:rsidR="000C4456">
        <w:t>INTRODUCTION</w:t>
      </w:r>
      <w:bookmarkEnd w:id="1"/>
      <w:bookmarkEnd w:id="2"/>
      <w:bookmarkEnd w:id="3"/>
    </w:p>
    <w:p w:rsidR="00235E35" w:rsidP="00A65FD1">
      <w:pPr>
        <w:rPr>
          <w:rFonts w:eastAsia="Times New Roman" w:cs="Times New Roman"/>
          <w:szCs w:val="24"/>
        </w:rPr>
      </w:pPr>
      <w:r>
        <w:rPr>
          <w:rFonts w:eastAsia="Times New Roman" w:cs="Times New Roman"/>
          <w:szCs w:val="24"/>
        </w:rPr>
        <w:tab/>
      </w:r>
      <w:r w:rsidR="00F31272">
        <w:rPr>
          <w:rFonts w:eastAsia="Times New Roman" w:cs="Times New Roman"/>
          <w:szCs w:val="24"/>
        </w:rPr>
        <w:t xml:space="preserve">Through a Settlement with the Staff of the Public Utilities Commission of Ohio (“PUCO”) and other parties, </w:t>
      </w:r>
      <w:r>
        <w:rPr>
          <w:rFonts w:eastAsia="Times New Roman" w:cs="Times New Roman"/>
          <w:szCs w:val="24"/>
        </w:rPr>
        <w:t xml:space="preserve">Vectren Energy Delivery of Ohio, Inc. (“Vectren”) </w:t>
      </w:r>
      <w:r w:rsidR="00F31272">
        <w:rPr>
          <w:rFonts w:eastAsia="Times New Roman" w:cs="Times New Roman"/>
          <w:szCs w:val="24"/>
        </w:rPr>
        <w:t xml:space="preserve">seeks to increase its natural gas distribution rates.  </w:t>
      </w:r>
      <w:r>
        <w:rPr>
          <w:rFonts w:eastAsia="Times New Roman" w:cs="Times New Roman"/>
          <w:szCs w:val="24"/>
        </w:rPr>
        <w:t>The Office of the Ohio Consumers’ Counsel</w:t>
      </w:r>
      <w:r w:rsidR="006E31D7">
        <w:rPr>
          <w:rFonts w:eastAsia="Times New Roman" w:cs="Times New Roman"/>
          <w:szCs w:val="24"/>
        </w:rPr>
        <w:t xml:space="preserve"> (“OCC”)</w:t>
      </w:r>
      <w:r>
        <w:rPr>
          <w:rFonts w:eastAsia="Times New Roman" w:cs="Times New Roman"/>
          <w:szCs w:val="24"/>
        </w:rPr>
        <w:t xml:space="preserve"> </w:t>
      </w:r>
      <w:r w:rsidR="006E31D7">
        <w:rPr>
          <w:rFonts w:eastAsia="Times New Roman" w:cs="Times New Roman"/>
          <w:szCs w:val="24"/>
        </w:rPr>
        <w:t xml:space="preserve">recommends that the PUCO reject the </w:t>
      </w:r>
      <w:r>
        <w:rPr>
          <w:rFonts w:eastAsia="Times New Roman" w:cs="Times New Roman"/>
          <w:szCs w:val="24"/>
        </w:rPr>
        <w:t>Settlement</w:t>
      </w:r>
      <w:r w:rsidR="006E31D7">
        <w:rPr>
          <w:rFonts w:eastAsia="Times New Roman" w:cs="Times New Roman"/>
          <w:szCs w:val="24"/>
        </w:rPr>
        <w:t xml:space="preserve"> and instead adopt OCC’s recommendations for consumer protection</w:t>
      </w:r>
      <w:r>
        <w:rPr>
          <w:rFonts w:eastAsia="Times New Roman" w:cs="Times New Roman"/>
          <w:szCs w:val="24"/>
        </w:rPr>
        <w:t xml:space="preserve">.  </w:t>
      </w:r>
      <w:r w:rsidR="006E31D7">
        <w:rPr>
          <w:rFonts w:eastAsia="Times New Roman" w:cs="Times New Roman"/>
          <w:szCs w:val="24"/>
        </w:rPr>
        <w:t>The Settlement is not in the public interest.  It violates important regulatory principles.</w:t>
      </w:r>
    </w:p>
    <w:p w:rsidR="00542A70" w:rsidP="006E31D7">
      <w:pPr>
        <w:ind w:firstLine="720"/>
        <w:rPr>
          <w:rFonts w:eastAsia="Times New Roman" w:cs="Times New Roman"/>
          <w:szCs w:val="24"/>
        </w:rPr>
      </w:pPr>
      <w:r>
        <w:rPr>
          <w:rFonts w:eastAsia="Times New Roman" w:cs="Times New Roman"/>
          <w:szCs w:val="24"/>
        </w:rPr>
        <w:t>Residential consumers in Dayton are already paying a $7.00 fixed charge for electric service.</w:t>
      </w:r>
      <w:r>
        <w:rPr>
          <w:rStyle w:val="FootnoteReference"/>
          <w:rFonts w:eastAsia="Times New Roman" w:cs="Times New Roman"/>
          <w:szCs w:val="24"/>
        </w:rPr>
        <w:footnoteReference w:id="2"/>
      </w:r>
      <w:r>
        <w:rPr>
          <w:rFonts w:eastAsia="Times New Roman" w:cs="Times New Roman"/>
          <w:szCs w:val="24"/>
        </w:rPr>
        <w:t xml:space="preserve">  Here, </w:t>
      </w:r>
      <w:r w:rsidR="00F31272">
        <w:rPr>
          <w:rFonts w:eastAsia="Times New Roman" w:cs="Times New Roman"/>
          <w:szCs w:val="24"/>
        </w:rPr>
        <w:t xml:space="preserve">Vectren </w:t>
      </w:r>
      <w:r w:rsidR="00F270EC">
        <w:rPr>
          <w:rFonts w:eastAsia="Times New Roman" w:cs="Times New Roman"/>
          <w:szCs w:val="24"/>
        </w:rPr>
        <w:t>wants to</w:t>
      </w:r>
      <w:r w:rsidR="002D301E">
        <w:rPr>
          <w:rFonts w:eastAsia="Times New Roman" w:cs="Times New Roman"/>
          <w:szCs w:val="24"/>
        </w:rPr>
        <w:t xml:space="preserve"> extend the straight fixed variable (</w:t>
      </w:r>
      <w:r w:rsidR="001F1476">
        <w:rPr>
          <w:rFonts w:eastAsia="Times New Roman" w:cs="Times New Roman"/>
          <w:szCs w:val="24"/>
        </w:rPr>
        <w:t>“Fixed Charge”</w:t>
      </w:r>
      <w:r w:rsidR="002D301E">
        <w:rPr>
          <w:rFonts w:eastAsia="Times New Roman" w:cs="Times New Roman"/>
          <w:szCs w:val="24"/>
        </w:rPr>
        <w:t>) rate design and increase</w:t>
      </w:r>
      <w:r w:rsidR="00F270EC">
        <w:rPr>
          <w:rFonts w:eastAsia="Times New Roman" w:cs="Times New Roman"/>
          <w:szCs w:val="24"/>
        </w:rPr>
        <w:t xml:space="preserve"> the monthly fixed charge that residential customers pay </w:t>
      </w:r>
      <w:r w:rsidR="00F270EC">
        <w:rPr>
          <w:rFonts w:eastAsia="Times New Roman" w:cs="Times New Roman"/>
          <w:szCs w:val="24"/>
        </w:rPr>
        <w:t>for natural gas delivery service by 20% during the first year of the Settlement.</w:t>
      </w:r>
      <w:r>
        <w:rPr>
          <w:rStyle w:val="FootnoteReference"/>
          <w:rFonts w:eastAsia="Times New Roman" w:cs="Times New Roman"/>
          <w:szCs w:val="24"/>
        </w:rPr>
        <w:footnoteReference w:id="3"/>
      </w:r>
      <w:r w:rsidR="003653B5">
        <w:rPr>
          <w:rFonts w:eastAsia="Times New Roman" w:cs="Times New Roman"/>
          <w:szCs w:val="24"/>
        </w:rPr>
        <w:t xml:space="preserve">  Vectren’s proposal would eliminate the volumetric component of the delivery charge, which</w:t>
      </w:r>
      <w:r w:rsidR="00BB1B9A">
        <w:rPr>
          <w:rFonts w:eastAsia="Times New Roman" w:cs="Times New Roman"/>
          <w:szCs w:val="24"/>
        </w:rPr>
        <w:t xml:space="preserve"> woul</w:t>
      </w:r>
      <w:r w:rsidR="003653B5">
        <w:rPr>
          <w:rFonts w:eastAsia="Times New Roman" w:cs="Times New Roman"/>
          <w:szCs w:val="24"/>
        </w:rPr>
        <w:t>d force</w:t>
      </w:r>
      <w:r w:rsidR="00BB1B9A">
        <w:rPr>
          <w:rFonts w:eastAsia="Times New Roman" w:cs="Times New Roman"/>
          <w:szCs w:val="24"/>
        </w:rPr>
        <w:t xml:space="preserve"> </w:t>
      </w:r>
      <w:r w:rsidR="003653B5">
        <w:rPr>
          <w:rFonts w:eastAsia="Times New Roman" w:cs="Times New Roman"/>
          <w:szCs w:val="24"/>
        </w:rPr>
        <w:t xml:space="preserve">low-use and low-income customers to pay more even </w:t>
      </w:r>
      <w:r w:rsidR="003D2BF4">
        <w:rPr>
          <w:rFonts w:eastAsia="Times New Roman" w:cs="Times New Roman"/>
          <w:szCs w:val="24"/>
        </w:rPr>
        <w:t>when</w:t>
      </w:r>
      <w:r w:rsidR="003653B5">
        <w:rPr>
          <w:rFonts w:eastAsia="Times New Roman" w:cs="Times New Roman"/>
          <w:szCs w:val="24"/>
        </w:rPr>
        <w:t xml:space="preserve"> they use less natural gas</w:t>
      </w:r>
      <w:r w:rsidR="00BB1B9A">
        <w:rPr>
          <w:rFonts w:eastAsia="Times New Roman" w:cs="Times New Roman"/>
          <w:szCs w:val="24"/>
        </w:rPr>
        <w:t xml:space="preserve">.  </w:t>
      </w:r>
      <w:r w:rsidR="00A65FD1">
        <w:rPr>
          <w:rFonts w:eastAsia="Times New Roman" w:cs="Times New Roman"/>
          <w:szCs w:val="24"/>
        </w:rPr>
        <w:t xml:space="preserve">The issue is very important to low-use or low-income residential customers who will bear the brunt of the rate increases.  Reducing the amount of natural gas they use will provide no relief, because they will pay the same fixed charge even if they use no gas at all.  The large increase in the Fixed Charge is not in the public interest and it violates important regulatory principles.  </w:t>
      </w:r>
    </w:p>
    <w:p w:rsidR="001F1476" w:rsidP="00421855">
      <w:pPr>
        <w:ind w:firstLine="720"/>
        <w:rPr>
          <w:rFonts w:eastAsia="Times New Roman" w:cs="Times New Roman"/>
          <w:szCs w:val="24"/>
        </w:rPr>
      </w:pPr>
      <w:r>
        <w:rPr>
          <w:rFonts w:eastAsia="Times New Roman" w:cs="Times New Roman"/>
          <w:szCs w:val="24"/>
        </w:rPr>
        <w:t>Interstate Gas Supply, Inc. (“IGS”) and the members of the Retail Energy Supply Association (“RESA”)</w:t>
      </w:r>
      <w:r w:rsidR="0086592A">
        <w:rPr>
          <w:rFonts w:eastAsia="Times New Roman" w:cs="Times New Roman"/>
          <w:szCs w:val="24"/>
        </w:rPr>
        <w:t xml:space="preserve"> </w:t>
      </w:r>
      <w:r w:rsidR="003E22DD">
        <w:rPr>
          <w:rFonts w:eastAsia="Times New Roman" w:cs="Times New Roman"/>
          <w:szCs w:val="24"/>
        </w:rPr>
        <w:t>will</w:t>
      </w:r>
      <w:r>
        <w:rPr>
          <w:rFonts w:eastAsia="Times New Roman" w:cs="Times New Roman"/>
          <w:szCs w:val="24"/>
        </w:rPr>
        <w:t xml:space="preserve"> directly benefit </w:t>
      </w:r>
      <w:r w:rsidR="00E23634">
        <w:rPr>
          <w:rFonts w:eastAsia="Times New Roman" w:cs="Times New Roman"/>
          <w:szCs w:val="24"/>
        </w:rPr>
        <w:t>if the PUCO approves the Settlement</w:t>
      </w:r>
      <w:r w:rsidR="00770A91">
        <w:rPr>
          <w:rFonts w:eastAsia="Times New Roman" w:cs="Times New Roman"/>
          <w:szCs w:val="24"/>
        </w:rPr>
        <w:t xml:space="preserve">.  Naturally, they too </w:t>
      </w:r>
      <w:r w:rsidR="00E23634">
        <w:rPr>
          <w:rFonts w:eastAsia="Times New Roman" w:cs="Times New Roman"/>
          <w:szCs w:val="24"/>
        </w:rPr>
        <w:t>complain about OCC</w:t>
      </w:r>
      <w:r w:rsidR="008F4E38">
        <w:rPr>
          <w:rFonts w:eastAsia="Times New Roman" w:cs="Times New Roman"/>
          <w:szCs w:val="24"/>
        </w:rPr>
        <w:t>’s advo</w:t>
      </w:r>
      <w:r w:rsidR="00770A91">
        <w:rPr>
          <w:rFonts w:eastAsia="Times New Roman" w:cs="Times New Roman"/>
          <w:szCs w:val="24"/>
        </w:rPr>
        <w:t>cating</w:t>
      </w:r>
      <w:r w:rsidR="008F4E38">
        <w:rPr>
          <w:rFonts w:eastAsia="Times New Roman" w:cs="Times New Roman"/>
          <w:szCs w:val="24"/>
        </w:rPr>
        <w:t xml:space="preserve"> for the </w:t>
      </w:r>
      <w:r w:rsidR="00E23634">
        <w:rPr>
          <w:rFonts w:eastAsia="Times New Roman" w:cs="Times New Roman"/>
          <w:szCs w:val="24"/>
        </w:rPr>
        <w:t>interests of Vectren’s</w:t>
      </w:r>
      <w:r w:rsidR="008F4E38">
        <w:rPr>
          <w:rFonts w:eastAsia="Times New Roman" w:cs="Times New Roman"/>
          <w:szCs w:val="24"/>
        </w:rPr>
        <w:t xml:space="preserve"> </w:t>
      </w:r>
      <w:r w:rsidR="00E23634">
        <w:rPr>
          <w:rFonts w:eastAsia="Times New Roman" w:cs="Times New Roman"/>
          <w:szCs w:val="24"/>
        </w:rPr>
        <w:t>customers.  IGS</w:t>
      </w:r>
      <w:r w:rsidR="00770A91">
        <w:rPr>
          <w:rFonts w:eastAsia="Times New Roman" w:cs="Times New Roman"/>
          <w:szCs w:val="24"/>
        </w:rPr>
        <w:t>/</w:t>
      </w:r>
      <w:r w:rsidR="00E23634">
        <w:rPr>
          <w:rFonts w:eastAsia="Times New Roman" w:cs="Times New Roman"/>
          <w:szCs w:val="24"/>
        </w:rPr>
        <w:t>RESA claim that OC</w:t>
      </w:r>
      <w:r w:rsidR="008F4E38">
        <w:rPr>
          <w:rFonts w:eastAsia="Times New Roman" w:cs="Times New Roman"/>
          <w:szCs w:val="24"/>
        </w:rPr>
        <w:t>C oppos</w:t>
      </w:r>
      <w:r w:rsidR="00770A91">
        <w:rPr>
          <w:rFonts w:eastAsia="Times New Roman" w:cs="Times New Roman"/>
          <w:szCs w:val="24"/>
        </w:rPr>
        <w:t>es</w:t>
      </w:r>
      <w:r w:rsidR="00E23634">
        <w:rPr>
          <w:rFonts w:eastAsia="Times New Roman" w:cs="Times New Roman"/>
          <w:szCs w:val="24"/>
        </w:rPr>
        <w:t xml:space="preserve"> the </w:t>
      </w:r>
      <w:r w:rsidR="008F4E38">
        <w:rPr>
          <w:rFonts w:eastAsia="Times New Roman" w:cs="Times New Roman"/>
          <w:szCs w:val="24"/>
        </w:rPr>
        <w:t xml:space="preserve">Settlement’s </w:t>
      </w:r>
      <w:r w:rsidR="00E23634">
        <w:rPr>
          <w:rFonts w:eastAsia="Times New Roman" w:cs="Times New Roman"/>
          <w:szCs w:val="24"/>
        </w:rPr>
        <w:t>Markete</w:t>
      </w:r>
      <w:r w:rsidR="008F4E38">
        <w:rPr>
          <w:rFonts w:eastAsia="Times New Roman" w:cs="Times New Roman"/>
          <w:szCs w:val="24"/>
        </w:rPr>
        <w:t>r and Supplier</w:t>
      </w:r>
      <w:r>
        <w:rPr>
          <w:rFonts w:eastAsia="Times New Roman" w:cs="Times New Roman"/>
          <w:szCs w:val="24"/>
        </w:rPr>
        <w:t xml:space="preserve"> provisions</w:t>
      </w:r>
      <w:r w:rsidR="008F4E38">
        <w:rPr>
          <w:rFonts w:eastAsia="Times New Roman" w:cs="Times New Roman"/>
          <w:szCs w:val="24"/>
        </w:rPr>
        <w:t xml:space="preserve"> </w:t>
      </w:r>
      <w:r w:rsidR="00770A91">
        <w:rPr>
          <w:rFonts w:eastAsia="Times New Roman" w:cs="Times New Roman"/>
          <w:szCs w:val="24"/>
        </w:rPr>
        <w:t xml:space="preserve">out of </w:t>
      </w:r>
      <w:r w:rsidR="00E23634">
        <w:rPr>
          <w:rFonts w:eastAsia="Times New Roman" w:cs="Times New Roman"/>
          <w:szCs w:val="24"/>
        </w:rPr>
        <w:t>“fear of any expansion of the competitive retail natural gas market.”</w:t>
      </w:r>
      <w:r>
        <w:rPr>
          <w:rStyle w:val="FootnoteReference"/>
          <w:rFonts w:eastAsia="Times New Roman" w:cs="Times New Roman"/>
          <w:szCs w:val="24"/>
        </w:rPr>
        <w:footnoteReference w:id="4"/>
      </w:r>
      <w:r w:rsidR="00E23634">
        <w:rPr>
          <w:rFonts w:eastAsia="Times New Roman" w:cs="Times New Roman"/>
          <w:szCs w:val="24"/>
        </w:rPr>
        <w:t xml:space="preserve">  Tha</w:t>
      </w:r>
      <w:r w:rsidR="00770A91">
        <w:rPr>
          <w:rFonts w:eastAsia="Times New Roman" w:cs="Times New Roman"/>
          <w:szCs w:val="24"/>
        </w:rPr>
        <w:t xml:space="preserve">t </w:t>
      </w:r>
      <w:r w:rsidR="00E23634">
        <w:rPr>
          <w:rFonts w:eastAsia="Times New Roman" w:cs="Times New Roman"/>
          <w:szCs w:val="24"/>
        </w:rPr>
        <w:t xml:space="preserve">is a red herring.  OCC </w:t>
      </w:r>
      <w:r w:rsidR="005C379C">
        <w:rPr>
          <w:rFonts w:eastAsia="Times New Roman" w:cs="Times New Roman"/>
          <w:szCs w:val="24"/>
        </w:rPr>
        <w:t>supports</w:t>
      </w:r>
      <w:r w:rsidR="00E23634">
        <w:rPr>
          <w:rFonts w:eastAsia="Times New Roman" w:cs="Times New Roman"/>
          <w:szCs w:val="24"/>
        </w:rPr>
        <w:t xml:space="preserve"> competitive </w:t>
      </w:r>
      <w:r w:rsidR="00F62E41">
        <w:rPr>
          <w:rFonts w:eastAsia="Times New Roman" w:cs="Times New Roman"/>
          <w:szCs w:val="24"/>
        </w:rPr>
        <w:t xml:space="preserve">natural gas </w:t>
      </w:r>
      <w:r w:rsidR="00E23634">
        <w:rPr>
          <w:rFonts w:eastAsia="Times New Roman" w:cs="Times New Roman"/>
          <w:szCs w:val="24"/>
        </w:rPr>
        <w:t xml:space="preserve">markets.  </w:t>
      </w:r>
      <w:r w:rsidR="005C379C">
        <w:rPr>
          <w:rFonts w:eastAsia="Times New Roman" w:cs="Times New Roman"/>
          <w:szCs w:val="24"/>
        </w:rPr>
        <w:t xml:space="preserve">But </w:t>
      </w:r>
      <w:r w:rsidR="00770A91">
        <w:rPr>
          <w:rFonts w:eastAsia="Times New Roman" w:cs="Times New Roman"/>
          <w:szCs w:val="24"/>
        </w:rPr>
        <w:t>competition does not require forcing</w:t>
      </w:r>
      <w:r w:rsidR="00E23634">
        <w:rPr>
          <w:rFonts w:eastAsia="Times New Roman" w:cs="Times New Roman"/>
          <w:szCs w:val="24"/>
        </w:rPr>
        <w:t xml:space="preserve"> </w:t>
      </w:r>
      <w:r w:rsidR="001C5670">
        <w:rPr>
          <w:rFonts w:eastAsia="Times New Roman" w:cs="Times New Roman"/>
          <w:szCs w:val="24"/>
        </w:rPr>
        <w:t>Vectren’s residential customers to pay</w:t>
      </w:r>
      <w:r w:rsidR="005C379C">
        <w:rPr>
          <w:rFonts w:eastAsia="Times New Roman" w:cs="Times New Roman"/>
          <w:szCs w:val="24"/>
        </w:rPr>
        <w:t>, through increased distribution rates or otherwise, to implement IGS</w:t>
      </w:r>
      <w:r w:rsidR="00770A91">
        <w:rPr>
          <w:rFonts w:eastAsia="Times New Roman" w:cs="Times New Roman"/>
          <w:szCs w:val="24"/>
        </w:rPr>
        <w:t>/</w:t>
      </w:r>
      <w:r w:rsidR="005C379C">
        <w:rPr>
          <w:rFonts w:eastAsia="Times New Roman" w:cs="Times New Roman"/>
          <w:szCs w:val="24"/>
        </w:rPr>
        <w:t>RESA’s “wish list” of</w:t>
      </w:r>
      <w:r w:rsidR="001C5670">
        <w:rPr>
          <w:rFonts w:eastAsia="Times New Roman" w:cs="Times New Roman"/>
          <w:szCs w:val="24"/>
        </w:rPr>
        <w:t xml:space="preserve"> billing upgrades</w:t>
      </w:r>
      <w:r w:rsidR="005C379C">
        <w:rPr>
          <w:rFonts w:eastAsia="Times New Roman" w:cs="Times New Roman"/>
          <w:szCs w:val="24"/>
        </w:rPr>
        <w:t xml:space="preserve"> and </w:t>
      </w:r>
      <w:r w:rsidR="001C5670">
        <w:rPr>
          <w:rFonts w:eastAsia="Times New Roman" w:cs="Times New Roman"/>
          <w:szCs w:val="24"/>
        </w:rPr>
        <w:t>enhancements</w:t>
      </w:r>
      <w:r w:rsidR="00770A91">
        <w:rPr>
          <w:rFonts w:eastAsia="Times New Roman" w:cs="Times New Roman"/>
          <w:szCs w:val="24"/>
        </w:rPr>
        <w:t xml:space="preserve">.  This is particularly true where, as here, there is no evidence that the proposed enhancements will </w:t>
      </w:r>
      <w:r w:rsidR="0062211C">
        <w:rPr>
          <w:rFonts w:eastAsia="Times New Roman" w:cs="Times New Roman"/>
          <w:szCs w:val="24"/>
        </w:rPr>
        <w:t xml:space="preserve">benefit customers </w:t>
      </w:r>
      <w:r w:rsidR="005C379C">
        <w:rPr>
          <w:rFonts w:eastAsia="Times New Roman" w:cs="Times New Roman"/>
          <w:szCs w:val="24"/>
        </w:rPr>
        <w:t>in the first place</w:t>
      </w:r>
      <w:r w:rsidR="0062211C">
        <w:rPr>
          <w:rFonts w:eastAsia="Times New Roman" w:cs="Times New Roman"/>
          <w:szCs w:val="24"/>
        </w:rPr>
        <w:t>.</w:t>
      </w:r>
      <w:r w:rsidRPr="00235E35" w:rsidR="00235E35">
        <w:rPr>
          <w:rFonts w:eastAsia="Times New Roman" w:cs="Times New Roman"/>
          <w:szCs w:val="24"/>
        </w:rPr>
        <w:t xml:space="preserve"> </w:t>
      </w:r>
      <w:r w:rsidR="00235E35">
        <w:rPr>
          <w:rFonts w:eastAsia="Times New Roman" w:cs="Times New Roman"/>
          <w:szCs w:val="24"/>
        </w:rPr>
        <w:t xml:space="preserve"> The Settlement’s Marketer and Supplier provisions are not in the public interest and violate important regulatory principles. </w:t>
      </w:r>
      <w:r w:rsidR="006700DC">
        <w:rPr>
          <w:rFonts w:eastAsia="Times New Roman" w:cs="Times New Roman"/>
          <w:szCs w:val="24"/>
        </w:rPr>
        <w:t xml:space="preserve">  </w:t>
      </w:r>
    </w:p>
    <w:p w:rsidR="0062211C" w:rsidP="00421855">
      <w:pPr>
        <w:ind w:firstLine="720"/>
        <w:rPr>
          <w:rFonts w:eastAsia="Times New Roman" w:cs="Times New Roman"/>
          <w:szCs w:val="24"/>
        </w:rPr>
      </w:pPr>
      <w:r>
        <w:rPr>
          <w:rFonts w:eastAsia="Times New Roman" w:cs="Times New Roman"/>
          <w:szCs w:val="24"/>
        </w:rPr>
        <w:t xml:space="preserve">In sum, </w:t>
      </w:r>
      <w:r w:rsidR="006249D7">
        <w:rPr>
          <w:rFonts w:eastAsia="Times New Roman" w:cs="Times New Roman"/>
          <w:szCs w:val="24"/>
        </w:rPr>
        <w:t>OCC’s concerns regarding these customer protection issues are not anti-competit</w:t>
      </w:r>
      <w:r w:rsidR="008C0DF0">
        <w:rPr>
          <w:rFonts w:eastAsia="Times New Roman" w:cs="Times New Roman"/>
          <w:szCs w:val="24"/>
        </w:rPr>
        <w:t>ive</w:t>
      </w:r>
      <w:r w:rsidR="006249D7">
        <w:rPr>
          <w:rFonts w:eastAsia="Times New Roman" w:cs="Times New Roman"/>
          <w:szCs w:val="24"/>
        </w:rPr>
        <w:t>, they are common sense</w:t>
      </w:r>
      <w:r w:rsidR="001F1476">
        <w:rPr>
          <w:rFonts w:eastAsia="Times New Roman" w:cs="Times New Roman"/>
          <w:szCs w:val="24"/>
        </w:rPr>
        <w:t xml:space="preserve"> and in the public interest.  The Settlement is not.  It should be rejected.</w:t>
      </w:r>
      <w:r w:rsidR="00A86D2A">
        <w:rPr>
          <w:rFonts w:eastAsia="Times New Roman" w:cs="Times New Roman"/>
          <w:szCs w:val="24"/>
        </w:rPr>
        <w:t xml:space="preserve">  At the very least, the PUCO should adopt OCC’s recommendations for modifying the Settlement as described herein.</w:t>
      </w:r>
    </w:p>
    <w:p w:rsidR="000C5670" w:rsidP="000C5670">
      <w:pPr>
        <w:spacing w:line="240" w:lineRule="auto"/>
        <w:ind w:firstLine="720"/>
        <w:rPr>
          <w:rFonts w:eastAsia="Times New Roman" w:cs="Times New Roman"/>
          <w:szCs w:val="24"/>
        </w:rPr>
      </w:pPr>
    </w:p>
    <w:p w:rsidR="00E63282" w:rsidP="000C5670">
      <w:pPr>
        <w:pStyle w:val="Heading1"/>
        <w:rPr>
          <w:rFonts w:eastAsia="Times New Roman"/>
        </w:rPr>
      </w:pPr>
      <w:bookmarkStart w:id="4" w:name="_Toc6910657"/>
      <w:r>
        <w:rPr>
          <w:rFonts w:eastAsia="Times New Roman"/>
        </w:rPr>
        <w:t>II.</w:t>
      </w:r>
      <w:r>
        <w:rPr>
          <w:rFonts w:eastAsia="Times New Roman"/>
        </w:rPr>
        <w:tab/>
        <w:t>STANDARD OF REVIEW</w:t>
      </w:r>
      <w:bookmarkEnd w:id="4"/>
    </w:p>
    <w:p w:rsidR="00E63282" w:rsidP="00E63282">
      <w:pPr>
        <w:rPr>
          <w:rFonts w:eastAsia="Times New Roman" w:cs="Times New Roman"/>
          <w:szCs w:val="24"/>
        </w:rPr>
      </w:pPr>
      <w:r>
        <w:rPr>
          <w:rFonts w:eastAsia="Times New Roman" w:cs="Times New Roman"/>
          <w:szCs w:val="24"/>
        </w:rPr>
        <w:tab/>
        <w:t xml:space="preserve">The Supreme Court of Ohio stated in </w:t>
      </w:r>
      <w:r>
        <w:rPr>
          <w:rFonts w:eastAsia="Times New Roman" w:cs="Times New Roman"/>
          <w:i/>
          <w:szCs w:val="24"/>
        </w:rPr>
        <w:t>Duff v. PUCO</w:t>
      </w:r>
      <w:r>
        <w:rPr>
          <w:rStyle w:val="FootnoteReference"/>
          <w:rFonts w:eastAsia="Times New Roman" w:cs="Times New Roman"/>
          <w:szCs w:val="24"/>
        </w:rPr>
        <w:footnoteReference w:id="5"/>
      </w:r>
      <w:r>
        <w:rPr>
          <w:rFonts w:eastAsia="Times New Roman" w:cs="Times New Roman"/>
          <w:szCs w:val="24"/>
        </w:rPr>
        <w:t xml:space="preserve"> that a stipulation is merely a recommendation that is not legally binding upon the PUCO.  The PUCO “may take the stipulation into consideration but must determine what is just and reasonable from the evidence presented at the hearing.”</w:t>
      </w:r>
      <w:r>
        <w:rPr>
          <w:rStyle w:val="FootnoteReference"/>
          <w:rFonts w:eastAsia="Times New Roman" w:cs="Times New Roman"/>
          <w:szCs w:val="24"/>
        </w:rPr>
        <w:footnoteReference w:id="6"/>
      </w:r>
      <w:r>
        <w:rPr>
          <w:rFonts w:eastAsia="Times New Roman" w:cs="Times New Roman"/>
          <w:szCs w:val="24"/>
        </w:rPr>
        <w:t xml:space="preserve">  The Court in </w:t>
      </w:r>
      <w:r>
        <w:rPr>
          <w:rFonts w:eastAsia="Times New Roman" w:cs="Times New Roman"/>
          <w:i/>
          <w:szCs w:val="24"/>
        </w:rPr>
        <w:t>Consumers’ Counsel v. PUCO</w:t>
      </w:r>
      <w:r>
        <w:rPr>
          <w:rStyle w:val="FootnoteReference"/>
          <w:rFonts w:eastAsia="Times New Roman" w:cs="Times New Roman"/>
          <w:szCs w:val="24"/>
        </w:rPr>
        <w:footnoteReference w:id="7"/>
      </w:r>
      <w:r>
        <w:rPr>
          <w:rFonts w:eastAsia="Times New Roman" w:cs="Times New Roman"/>
          <w:szCs w:val="24"/>
        </w:rPr>
        <w:t xml:space="preserve"> considered whether a just and reasonable result was achieved with reference to the following criteria adopted by the PUCO in evaluating settlements:</w:t>
      </w:r>
    </w:p>
    <w:p w:rsidR="00E63282" w:rsidP="00E63282">
      <w:pPr>
        <w:pStyle w:val="ListParagraph"/>
        <w:numPr>
          <w:ilvl w:val="0"/>
          <w:numId w:val="22"/>
        </w:numPr>
        <w:rPr>
          <w:rFonts w:eastAsia="Times New Roman" w:cs="Times New Roman"/>
          <w:szCs w:val="24"/>
        </w:rPr>
      </w:pPr>
      <w:r>
        <w:rPr>
          <w:rFonts w:eastAsia="Times New Roman" w:cs="Times New Roman"/>
          <w:szCs w:val="24"/>
        </w:rPr>
        <w:t>Is the settlement a product of serious bargaining among capable, knowledgeable parties, where there is a diversity of interests among the stipulating parties?</w:t>
      </w:r>
    </w:p>
    <w:p w:rsidR="00E63282" w:rsidP="00E63282">
      <w:pPr>
        <w:pStyle w:val="ListParagraph"/>
        <w:numPr>
          <w:ilvl w:val="0"/>
          <w:numId w:val="22"/>
        </w:numPr>
        <w:rPr>
          <w:rFonts w:eastAsia="Times New Roman" w:cs="Times New Roman"/>
          <w:szCs w:val="24"/>
        </w:rPr>
      </w:pPr>
      <w:r>
        <w:rPr>
          <w:rFonts w:eastAsia="Times New Roman" w:cs="Times New Roman"/>
          <w:szCs w:val="24"/>
        </w:rPr>
        <w:t>Does the settlement package violate any important regulatory principle or practice?</w:t>
      </w:r>
    </w:p>
    <w:p w:rsidR="00E63282" w:rsidRPr="00E63282" w:rsidP="00E63282">
      <w:pPr>
        <w:pStyle w:val="ListParagraph"/>
        <w:numPr>
          <w:ilvl w:val="0"/>
          <w:numId w:val="22"/>
        </w:numPr>
        <w:rPr>
          <w:rFonts w:eastAsia="Times New Roman" w:cs="Times New Roman"/>
          <w:szCs w:val="24"/>
        </w:rPr>
      </w:pPr>
      <w:r>
        <w:rPr>
          <w:rFonts w:eastAsia="Times New Roman" w:cs="Times New Roman"/>
          <w:szCs w:val="24"/>
        </w:rPr>
        <w:t>Does the settlement, as a package, benefit ratepayers and the public interest?</w:t>
      </w:r>
    </w:p>
    <w:p w:rsidR="0077517B" w:rsidP="00421855">
      <w:pPr>
        <w:spacing w:line="240" w:lineRule="auto"/>
        <w:ind w:firstLine="720"/>
        <w:rPr>
          <w:rFonts w:eastAsia="Times New Roman" w:cs="Times New Roman"/>
          <w:szCs w:val="24"/>
        </w:rPr>
      </w:pPr>
    </w:p>
    <w:p w:rsidR="00CF23C6" w:rsidRPr="007D0943" w:rsidP="00421855">
      <w:pPr>
        <w:pStyle w:val="Heading1"/>
        <w:rPr>
          <w:rFonts w:cs="Times New Roman"/>
          <w:szCs w:val="24"/>
        </w:rPr>
      </w:pPr>
      <w:bookmarkStart w:id="5" w:name="_Toc4407220"/>
      <w:bookmarkStart w:id="6" w:name="_Toc6316204"/>
      <w:bookmarkStart w:id="7" w:name="_Toc6910658"/>
      <w:r>
        <w:rPr>
          <w:rFonts w:eastAsia="Times New Roman"/>
        </w:rPr>
        <w:t>II</w:t>
      </w:r>
      <w:r w:rsidR="00E63282">
        <w:rPr>
          <w:rFonts w:eastAsia="Times New Roman"/>
        </w:rPr>
        <w:t>I</w:t>
      </w:r>
      <w:r>
        <w:rPr>
          <w:rFonts w:eastAsia="Times New Roman"/>
        </w:rPr>
        <w:t>.</w:t>
      </w:r>
      <w:r>
        <w:rPr>
          <w:rFonts w:eastAsia="Times New Roman"/>
        </w:rPr>
        <w:tab/>
      </w:r>
      <w:bookmarkEnd w:id="5"/>
      <w:r w:rsidRPr="001C3DE5" w:rsidR="007212C1">
        <w:t>RECOMMENDATIONS</w:t>
      </w:r>
      <w:bookmarkEnd w:id="6"/>
      <w:bookmarkEnd w:id="7"/>
    </w:p>
    <w:p w:rsidR="00E82FDB" w:rsidRPr="00CF23C6" w:rsidP="00421855">
      <w:pPr>
        <w:pStyle w:val="Heading2"/>
      </w:pPr>
      <w:bookmarkStart w:id="8" w:name="_Toc6316205"/>
      <w:bookmarkStart w:id="9" w:name="_Toc6910659"/>
      <w:r>
        <w:t>C</w:t>
      </w:r>
      <w:r w:rsidR="009D2956">
        <w:t xml:space="preserve">ontinuing the Straight Fixed Variable rate design </w:t>
      </w:r>
      <w:r w:rsidR="007826A2">
        <w:t xml:space="preserve">harms customers and </w:t>
      </w:r>
      <w:r w:rsidR="009D2956">
        <w:t xml:space="preserve">is </w:t>
      </w:r>
      <w:r>
        <w:t xml:space="preserve">not </w:t>
      </w:r>
      <w:r w:rsidR="009D2956">
        <w:t>in the public interest.</w:t>
      </w:r>
      <w:bookmarkEnd w:id="8"/>
      <w:bookmarkEnd w:id="9"/>
    </w:p>
    <w:p w:rsidR="001F1476" w:rsidP="00421855">
      <w:pPr>
        <w:ind w:firstLine="720"/>
      </w:pPr>
      <w:r>
        <w:t>Vectren asserts that its proposed Fixed Charge is consistent with precedent set in its last rate case.</w:t>
      </w:r>
      <w:r>
        <w:rPr>
          <w:rStyle w:val="FootnoteReference"/>
        </w:rPr>
        <w:footnoteReference w:id="8"/>
      </w:r>
      <w:r>
        <w:t xml:space="preserve">  But it concedes that the last rate case was decided when gas prices were higher than they are now.</w:t>
      </w:r>
      <w:r>
        <w:rPr>
          <w:rStyle w:val="FootnoteReference"/>
        </w:rPr>
        <w:footnoteReference w:id="9"/>
      </w:r>
      <w:r>
        <w:t xml:space="preserve">  In fact, the commodity portion of customers’ bills was </w:t>
      </w:r>
      <w:r w:rsidR="00CA23ED">
        <w:t>15%</w:t>
      </w:r>
      <w:r>
        <w:t xml:space="preserve"> </w:t>
      </w:r>
      <w:r>
        <w:rPr>
          <w:i/>
        </w:rPr>
        <w:t xml:space="preserve">more </w:t>
      </w:r>
      <w:r w:rsidR="008C264F">
        <w:t>than</w:t>
      </w:r>
      <w:r>
        <w:t xml:space="preserve"> it is </w:t>
      </w:r>
      <w:r w:rsidRPr="001F1476">
        <w:rPr>
          <w:i/>
        </w:rPr>
        <w:t>now</w:t>
      </w:r>
      <w:r>
        <w:t>, according to Vectren.</w:t>
      </w:r>
      <w:r>
        <w:rPr>
          <w:rStyle w:val="FootnoteReference"/>
        </w:rPr>
        <w:footnoteReference w:id="10"/>
      </w:r>
      <w:r>
        <w:t xml:space="preserve">  And according to Vectren, the commodity price was the “biggest driver” of the PUCO’s decision regarding fixed charge rate design.</w:t>
      </w:r>
      <w:r>
        <w:rPr>
          <w:rStyle w:val="FootnoteReference"/>
        </w:rPr>
        <w:footnoteReference w:id="11"/>
      </w:r>
      <w:r>
        <w:t xml:space="preserve">  </w:t>
      </w:r>
    </w:p>
    <w:p w:rsidR="00811615" w:rsidP="00815709">
      <w:pPr>
        <w:ind w:firstLine="720"/>
      </w:pPr>
      <w:r>
        <w:t>Vectren</w:t>
      </w:r>
      <w:r>
        <w:t xml:space="preserve"> also concedes that its previous rate case was decided on the facts and circumstances in </w:t>
      </w:r>
      <w:r w:rsidRPr="001F1476">
        <w:rPr>
          <w:i/>
        </w:rPr>
        <w:t>that</w:t>
      </w:r>
      <w:r>
        <w:t xml:space="preserve"> case, and that </w:t>
      </w:r>
      <w:r w:rsidRPr="001F1476">
        <w:rPr>
          <w:i/>
        </w:rPr>
        <w:t>this</w:t>
      </w:r>
      <w:r>
        <w:t xml:space="preserve"> case should be decided on the facts and circumstances in this case.</w:t>
      </w:r>
      <w:r>
        <w:rPr>
          <w:rStyle w:val="FootnoteReference"/>
        </w:rPr>
        <w:footnoteReference w:id="12"/>
      </w:r>
      <w:r>
        <w:t xml:space="preserve">  Nor does it doubt that the PUCO is well-within its authority to reconsider approving a Fixed Charge based on changed facts and circumstances.</w:t>
      </w:r>
      <w:r>
        <w:rPr>
          <w:rStyle w:val="FootnoteReference"/>
        </w:rPr>
        <w:footnoteReference w:id="13"/>
      </w:r>
      <w:r>
        <w:t xml:space="preserve">  Unlike in Vectren’s previous rate case, where it may have made sense to protect consumers from high gas prices through a fixed charge, that concern is not present here.  Instead, consumers should be given the </w:t>
      </w:r>
      <w:r>
        <w:rPr>
          <w:i/>
        </w:rPr>
        <w:t xml:space="preserve">benefit </w:t>
      </w:r>
      <w:r>
        <w:t xml:space="preserve">of </w:t>
      </w:r>
      <w:r>
        <w:rPr>
          <w:i/>
        </w:rPr>
        <w:t xml:space="preserve">low </w:t>
      </w:r>
      <w:r>
        <w:t>gas prices through a volumetric component.</w:t>
      </w:r>
      <w:r>
        <w:rPr>
          <w:rStyle w:val="FootnoteReference"/>
        </w:rPr>
        <w:footnoteReference w:id="14"/>
      </w:r>
      <w:r>
        <w:t xml:space="preserve"> </w:t>
      </w:r>
      <w:r w:rsidR="00815709">
        <w:t>Approving a large increase in the Fixed Charge when circumstances have changed so drastically</w:t>
      </w:r>
      <w:r w:rsidR="00E725B9">
        <w:t>,</w:t>
      </w:r>
      <w:r w:rsidR="00815709">
        <w:t xml:space="preserve"> and depriving consumers of lower gas prices</w:t>
      </w:r>
      <w:r w:rsidR="00E725B9">
        <w:t>,</w:t>
      </w:r>
      <w:r w:rsidR="00815709">
        <w:t xml:space="preserve"> is not in the public interest.</w:t>
      </w:r>
      <w:r>
        <w:t xml:space="preserve"> </w:t>
      </w:r>
    </w:p>
    <w:p w:rsidR="00811615" w:rsidP="00421855">
      <w:pPr>
        <w:ind w:firstLine="720"/>
      </w:pPr>
      <w:r>
        <w:t xml:space="preserve">Additionally, Vectren’s effort to lessen the impact of its proposed Fixed Charge by characterizing returning customers’ own dollars to them as a result of the federal tax cuts as an offset is the epitome of </w:t>
      </w:r>
      <w:r w:rsidR="00374BE4">
        <w:t xml:space="preserve">sleight </w:t>
      </w:r>
      <w:r>
        <w:t>of hand.</w:t>
      </w:r>
      <w:r>
        <w:rPr>
          <w:rStyle w:val="FootnoteReference"/>
        </w:rPr>
        <w:footnoteReference w:id="15"/>
      </w:r>
      <w:r>
        <w:t xml:space="preserve">  Customers had been paying Vectren bills </w:t>
      </w:r>
      <w:r w:rsidR="00374BE4">
        <w:t>and</w:t>
      </w:r>
      <w:r>
        <w:t xml:space="preserve"> Vectren </w:t>
      </w:r>
      <w:r w:rsidR="00374BE4">
        <w:t>had been deferring income taxes at</w:t>
      </w:r>
      <w:r>
        <w:t xml:space="preserve"> a 35% federal income tax</w:t>
      </w:r>
      <w:r w:rsidR="00374BE4">
        <w:t xml:space="preserve"> rate</w:t>
      </w:r>
      <w:r>
        <w:t>.</w:t>
      </w:r>
      <w:r>
        <w:rPr>
          <w:rStyle w:val="FootnoteReference"/>
        </w:rPr>
        <w:footnoteReference w:id="16"/>
      </w:r>
      <w:r>
        <w:t xml:space="preserve">  As a result of the federal tax cuts, Vectren </w:t>
      </w:r>
      <w:r w:rsidR="00374BE4">
        <w:t xml:space="preserve">will </w:t>
      </w:r>
      <w:r>
        <w:t xml:space="preserve">only </w:t>
      </w:r>
      <w:r w:rsidR="00374BE4">
        <w:t xml:space="preserve">pay federal income taxes at </w:t>
      </w:r>
      <w:r>
        <w:t>a 21% income tax</w:t>
      </w:r>
      <w:r w:rsidR="00374BE4">
        <w:t xml:space="preserve"> rate</w:t>
      </w:r>
      <w:r>
        <w:t>.</w:t>
      </w:r>
      <w:r>
        <w:rPr>
          <w:rStyle w:val="FootnoteReference"/>
        </w:rPr>
        <w:footnoteReference w:id="17"/>
      </w:r>
      <w:r>
        <w:t xml:space="preserve">  So customers </w:t>
      </w:r>
      <w:r w:rsidR="00374BE4">
        <w:t>have overpaid</w:t>
      </w:r>
      <w:r>
        <w:rPr>
          <w:i/>
        </w:rPr>
        <w:t xml:space="preserve"> </w:t>
      </w:r>
      <w:r>
        <w:t xml:space="preserve">Vectren.  Returning customers’ own dollars to them should not considered </w:t>
      </w:r>
      <w:r w:rsidR="001F1476">
        <w:t>an</w:t>
      </w:r>
      <w:r>
        <w:t xml:space="preserve"> offset to the proposed increased Fixed Charge.</w:t>
      </w:r>
      <w:r>
        <w:rPr>
          <w:rStyle w:val="FootnoteReference"/>
        </w:rPr>
        <w:footnoteReference w:id="18"/>
      </w:r>
    </w:p>
    <w:p w:rsidR="00811615" w:rsidP="00421855">
      <w:pPr>
        <w:ind w:firstLine="720"/>
      </w:pPr>
      <w:r>
        <w:t>Further, Vectren’s proposal to return customers</w:t>
      </w:r>
      <w:r w:rsidR="001F1476">
        <w:t>’</w:t>
      </w:r>
      <w:r>
        <w:t xml:space="preserve"> dollars through the </w:t>
      </w:r>
      <w:r w:rsidR="001F1476">
        <w:t>Tax Savings Credit Rider (“</w:t>
      </w:r>
      <w:r>
        <w:t>TSCR</w:t>
      </w:r>
      <w:r w:rsidR="001F1476">
        <w:t>”)</w:t>
      </w:r>
      <w:r>
        <w:t xml:space="preserve"> has not been approved by the PUCO.</w:t>
      </w:r>
      <w:r>
        <w:rPr>
          <w:rStyle w:val="FootnoteReference"/>
        </w:rPr>
        <w:footnoteReference w:id="19"/>
      </w:r>
      <w:r>
        <w:t xml:space="preserve">  Even if it is, the credit under the TSCR would be applicable regardless of the rate design adopted in this case; it is not an independent basis </w:t>
      </w:r>
      <w:r w:rsidR="00374BE4">
        <w:t xml:space="preserve">to claim </w:t>
      </w:r>
      <w:r w:rsidR="001F1476">
        <w:t xml:space="preserve">an offset to </w:t>
      </w:r>
      <w:r>
        <w:t>the Fixed Charge</w:t>
      </w:r>
      <w:r w:rsidR="001D7A35">
        <w:t xml:space="preserve"> because it would happen anyway</w:t>
      </w:r>
      <w:r>
        <w:t>.</w:t>
      </w:r>
      <w:r>
        <w:rPr>
          <w:rStyle w:val="FootnoteReference"/>
        </w:rPr>
        <w:footnoteReference w:id="20"/>
      </w:r>
      <w:r>
        <w:t xml:space="preserve">  And the federal tax cuts </w:t>
      </w:r>
      <w:r w:rsidR="001D7A35">
        <w:t xml:space="preserve">may not be </w:t>
      </w:r>
      <w:r>
        <w:t>permanent.</w:t>
      </w:r>
      <w:r>
        <w:rPr>
          <w:rStyle w:val="FootnoteReference"/>
        </w:rPr>
        <w:footnoteReference w:id="21"/>
      </w:r>
      <w:r>
        <w:t xml:space="preserve">  Including an unapproved plan to return customers’ own dollars to them under a federal tax plan that may not be around a year from now as an offset to the proposed Fixed Charge simply makes no sense.  The PUCO should not rely on Vectren’s </w:t>
      </w:r>
      <w:r w:rsidR="001D7A35">
        <w:t xml:space="preserve">sleight </w:t>
      </w:r>
      <w:r>
        <w:t>of hand.</w:t>
      </w:r>
    </w:p>
    <w:p w:rsidR="00811615" w:rsidP="00421855">
      <w:pPr>
        <w:ind w:firstLine="720"/>
      </w:pPr>
      <w:r>
        <w:t>Vectren attempts to call into question OCC’s (and other parties’) demonstration that its proposed Fixed Charge would harm its most vulnerable customers.</w:t>
      </w:r>
      <w:r>
        <w:rPr>
          <w:rStyle w:val="FootnoteReference"/>
        </w:rPr>
        <w:footnoteReference w:id="22"/>
      </w:r>
      <w:r>
        <w:t xml:space="preserve">  But in analyzing the linkage between usage and income levels, Vectren </w:t>
      </w:r>
      <w:r>
        <w:rPr>
          <w:i/>
        </w:rPr>
        <w:t xml:space="preserve">excluded </w:t>
      </w:r>
      <w:r>
        <w:t>twenty-three percent of its customer base.</w:t>
      </w:r>
      <w:r>
        <w:rPr>
          <w:rStyle w:val="FootnoteReference"/>
        </w:rPr>
        <w:footnoteReference w:id="23"/>
      </w:r>
      <w:r>
        <w:t xml:space="preserve">  It did so because it included in its analysis only data from premises with a full year of usage.</w:t>
      </w:r>
      <w:r>
        <w:rPr>
          <w:rStyle w:val="FootnoteReference"/>
        </w:rPr>
        <w:footnoteReference w:id="24"/>
      </w:r>
      <w:r>
        <w:t xml:space="preserve">  Vectren did this </w:t>
      </w:r>
      <w:r>
        <w:rPr>
          <w:i/>
        </w:rPr>
        <w:t>even though it acknowledged that low-income individuals move more frequently than higher-income individuals.</w:t>
      </w:r>
      <w:r>
        <w:rPr>
          <w:rStyle w:val="FootnoteReference"/>
        </w:rPr>
        <w:footnoteReference w:id="25"/>
      </w:r>
      <w:r w:rsidRPr="0059662E">
        <w:t xml:space="preserve"> </w:t>
      </w:r>
      <w:r>
        <w:t xml:space="preserve"> And it did so </w:t>
      </w:r>
      <w:r>
        <w:rPr>
          <w:i/>
        </w:rPr>
        <w:t>even though it acknowledged that its analysis would not have been able to capture the relative income of the people that moved out versus the people that moved in</w:t>
      </w:r>
      <w:r>
        <w:t>.</w:t>
      </w:r>
      <w:r>
        <w:rPr>
          <w:rStyle w:val="FootnoteReference"/>
        </w:rPr>
        <w:footnoteReference w:id="26"/>
      </w:r>
      <w:r>
        <w:t xml:space="preserve">  In short, Vectren’s “analysis” of the linkage between usage and income levels conveniently excluded the very people that OCC demonstrated would be the most harmed by Vectren’s proposed Fixed Charge – low-income Ohioans.</w:t>
      </w:r>
    </w:p>
    <w:p w:rsidR="00A65FD1" w:rsidP="006B70B4">
      <w:pPr>
        <w:ind w:firstLine="720"/>
        <w:rPr>
          <w:rFonts w:eastAsia="Times New Roman" w:cs="Times New Roman"/>
          <w:szCs w:val="24"/>
        </w:rPr>
      </w:pPr>
      <w:r>
        <w:rPr>
          <w:rFonts w:eastAsia="Times New Roman" w:cs="Times New Roman"/>
          <w:szCs w:val="24"/>
        </w:rPr>
        <w:t>Vectren’s witness, Mr. Russell Feingold, twice testified on cross-examination that:</w:t>
      </w:r>
    </w:p>
    <w:p w:rsidR="00A65FD1" w:rsidP="00A65FD1">
      <w:pPr>
        <w:spacing w:line="240" w:lineRule="auto"/>
        <w:ind w:left="1440" w:right="720"/>
        <w:rPr>
          <w:rFonts w:eastAsia="Times New Roman" w:cs="Times New Roman"/>
          <w:szCs w:val="24"/>
        </w:rPr>
      </w:pPr>
      <w:r>
        <w:rPr>
          <w:rFonts w:eastAsia="Times New Roman" w:cs="Times New Roman"/>
          <w:szCs w:val="24"/>
        </w:rPr>
        <w:t xml:space="preserve">If there was a volumetric rate </w:t>
      </w:r>
      <w:r w:rsidRPr="00FE7731">
        <w:t>component</w:t>
      </w:r>
      <w:r>
        <w:rPr>
          <w:rFonts w:eastAsia="Times New Roman" w:cs="Times New Roman"/>
          <w:szCs w:val="24"/>
        </w:rPr>
        <w:t>, the customer’s bill would be less because a portion of the bill would be applied against the volumetric charge, so to the extent that the consumption is less, the bill would be somewhat less.</w:t>
      </w:r>
      <w:r>
        <w:rPr>
          <w:rStyle w:val="FootnoteReference"/>
          <w:rFonts w:eastAsia="Times New Roman" w:cs="Times New Roman"/>
          <w:szCs w:val="24"/>
        </w:rPr>
        <w:footnoteReference w:id="27"/>
      </w:r>
      <w:r>
        <w:rPr>
          <w:rFonts w:eastAsia="Times New Roman" w:cs="Times New Roman"/>
          <w:szCs w:val="24"/>
        </w:rPr>
        <w:t xml:space="preserve"> </w:t>
      </w:r>
    </w:p>
    <w:p w:rsidR="00A65FD1" w:rsidP="00A65FD1">
      <w:pPr>
        <w:spacing w:line="240" w:lineRule="auto"/>
        <w:ind w:left="1440" w:right="720"/>
        <w:rPr>
          <w:rFonts w:eastAsia="Times New Roman" w:cs="Times New Roman"/>
          <w:szCs w:val="24"/>
        </w:rPr>
      </w:pPr>
    </w:p>
    <w:p w:rsidR="00A65FD1" w:rsidP="00A65FD1">
      <w:pPr>
        <w:spacing w:line="240" w:lineRule="auto"/>
        <w:ind w:left="1440" w:right="720"/>
        <w:rPr>
          <w:rFonts w:eastAsia="Times New Roman" w:cs="Times New Roman"/>
          <w:szCs w:val="24"/>
        </w:rPr>
      </w:pPr>
      <w:r w:rsidRPr="00BA5CE5">
        <w:rPr>
          <w:rFonts w:eastAsia="Times New Roman" w:cs="Times New Roman"/>
          <w:szCs w:val="24"/>
        </w:rPr>
        <w:t>* *</w:t>
      </w:r>
      <w:r>
        <w:rPr>
          <w:rFonts w:eastAsia="Times New Roman" w:cs="Times New Roman"/>
          <w:szCs w:val="24"/>
        </w:rPr>
        <w:t xml:space="preserve"> *</w:t>
      </w:r>
    </w:p>
    <w:p w:rsidR="000E2543" w:rsidP="00A65FD1">
      <w:pPr>
        <w:spacing w:line="240" w:lineRule="auto"/>
        <w:ind w:left="1440" w:right="720"/>
        <w:rPr>
          <w:rFonts w:eastAsia="Times New Roman" w:cs="Times New Roman"/>
          <w:szCs w:val="24"/>
        </w:rPr>
      </w:pPr>
    </w:p>
    <w:p w:rsidR="00A65FD1" w:rsidP="00A65FD1">
      <w:pPr>
        <w:spacing w:line="240" w:lineRule="auto"/>
        <w:ind w:left="1440" w:right="720"/>
        <w:rPr>
          <w:rFonts w:eastAsia="Times New Roman" w:cs="Times New Roman"/>
          <w:szCs w:val="24"/>
        </w:rPr>
      </w:pPr>
      <w:r>
        <w:rPr>
          <w:rFonts w:eastAsia="Times New Roman" w:cs="Times New Roman"/>
          <w:szCs w:val="24"/>
        </w:rPr>
        <w:t>If there was a volumetric charge, all of the things being equal, the customer that used less gases would see a reduction in the bill by virtue of the volumetric component.</w:t>
      </w:r>
      <w:r>
        <w:rPr>
          <w:rStyle w:val="FootnoteReference"/>
          <w:rFonts w:eastAsia="Times New Roman" w:cs="Times New Roman"/>
          <w:szCs w:val="24"/>
        </w:rPr>
        <w:footnoteReference w:id="28"/>
      </w:r>
      <w:r>
        <w:rPr>
          <w:rFonts w:eastAsia="Times New Roman" w:cs="Times New Roman"/>
          <w:szCs w:val="24"/>
        </w:rPr>
        <w:t xml:space="preserve"> </w:t>
      </w:r>
      <w:r w:rsidRPr="00BA5CE5">
        <w:rPr>
          <w:rFonts w:eastAsia="Times New Roman" w:cs="Times New Roman"/>
          <w:szCs w:val="24"/>
        </w:rPr>
        <w:t xml:space="preserve"> </w:t>
      </w:r>
    </w:p>
    <w:p w:rsidR="00A65FD1" w:rsidP="00A65FD1">
      <w:pPr>
        <w:spacing w:line="240" w:lineRule="auto"/>
        <w:ind w:left="720" w:right="720"/>
        <w:rPr>
          <w:rFonts w:eastAsia="Times New Roman" w:cs="Times New Roman"/>
          <w:szCs w:val="24"/>
        </w:rPr>
      </w:pPr>
    </w:p>
    <w:p w:rsidR="00A65FD1" w:rsidP="00A65FD1">
      <w:pPr>
        <w:rPr>
          <w:rFonts w:eastAsia="Times New Roman" w:cs="Times New Roman"/>
          <w:szCs w:val="24"/>
        </w:rPr>
      </w:pPr>
      <w:r>
        <w:rPr>
          <w:rFonts w:eastAsia="Times New Roman" w:cs="Times New Roman"/>
          <w:szCs w:val="24"/>
        </w:rPr>
        <w:t>Vectren also admits that the monthly fixed charges will increase over time,</w:t>
      </w:r>
      <w:r>
        <w:rPr>
          <w:rStyle w:val="FootnoteReference"/>
          <w:rFonts w:eastAsia="Times New Roman" w:cs="Times New Roman"/>
          <w:szCs w:val="24"/>
        </w:rPr>
        <w:footnoteReference w:id="29"/>
      </w:r>
      <w:r>
        <w:rPr>
          <w:rFonts w:eastAsia="Times New Roman" w:cs="Times New Roman"/>
          <w:szCs w:val="24"/>
        </w:rPr>
        <w:t xml:space="preserve"> but states that “the amount of the fixed charge for [Vectren’s] residential customers is irrelevant” and a “non-issue[.]”</w:t>
      </w:r>
      <w:r>
        <w:rPr>
          <w:rStyle w:val="FootnoteReference"/>
          <w:rFonts w:eastAsia="Times New Roman" w:cs="Times New Roman"/>
          <w:szCs w:val="24"/>
        </w:rPr>
        <w:footnoteReference w:id="30"/>
      </w:r>
      <w:r>
        <w:rPr>
          <w:rFonts w:eastAsia="Times New Roman" w:cs="Times New Roman"/>
          <w:szCs w:val="24"/>
        </w:rPr>
        <w:t xml:space="preserve">  </w:t>
      </w:r>
    </w:p>
    <w:p w:rsidR="00A65FD1" w:rsidP="00A65FD1">
      <w:pPr>
        <w:ind w:firstLine="720"/>
        <w:rPr>
          <w:rFonts w:eastAsia="Times New Roman" w:cs="Times New Roman"/>
          <w:szCs w:val="24"/>
        </w:rPr>
      </w:pPr>
      <w:r>
        <w:rPr>
          <w:rFonts w:eastAsia="Times New Roman" w:cs="Times New Roman"/>
          <w:szCs w:val="24"/>
        </w:rPr>
        <w:t>And what customers will pay over the term of the Settlement is substantial.  OCC Witness Mr. Wilson Gonzalez testified that under Vectren’s proposal, the monthly fixed charge for delivery service could be $48.11 (a 74% increase) by 2024.</w:t>
      </w:r>
      <w:r>
        <w:rPr>
          <w:rStyle w:val="FootnoteReference"/>
          <w:rFonts w:eastAsia="Times New Roman" w:cs="Times New Roman"/>
          <w:szCs w:val="24"/>
        </w:rPr>
        <w:footnoteReference w:id="31"/>
      </w:r>
      <w:r>
        <w:rPr>
          <w:rFonts w:eastAsia="Times New Roman" w:cs="Times New Roman"/>
          <w:szCs w:val="24"/>
        </w:rPr>
        <w:t xml:space="preserve">  Vectren asks the PUCO to ignore this evidence “as though mere dollars should shock the conscience.”</w:t>
      </w:r>
      <w:r>
        <w:rPr>
          <w:rStyle w:val="FootnoteReference"/>
          <w:rFonts w:eastAsia="Times New Roman" w:cs="Times New Roman"/>
          <w:szCs w:val="24"/>
        </w:rPr>
        <w:footnoteReference w:id="32"/>
      </w:r>
      <w:r>
        <w:rPr>
          <w:rFonts w:eastAsia="Times New Roman" w:cs="Times New Roman"/>
          <w:szCs w:val="24"/>
        </w:rPr>
        <w:t xml:space="preserve">  Vectren’s dismissive rhetoric is striking, given that many customers – who have </w:t>
      </w:r>
      <w:r w:rsidRPr="0002236F">
        <w:rPr>
          <w:rFonts w:eastAsia="Times New Roman" w:cs="Times New Roman"/>
          <w:i/>
          <w:szCs w:val="24"/>
        </w:rPr>
        <w:t>no choice</w:t>
      </w:r>
      <w:r>
        <w:rPr>
          <w:rFonts w:eastAsia="Times New Roman" w:cs="Times New Roman"/>
          <w:szCs w:val="24"/>
        </w:rPr>
        <w:t xml:space="preserve"> but to use Vectren’s distribution service and pay the rates the PUCO ultimately approves –  struggle to pay their bills.</w:t>
      </w:r>
      <w:r>
        <w:rPr>
          <w:rStyle w:val="FootnoteReference"/>
          <w:rFonts w:eastAsia="Times New Roman" w:cs="Times New Roman"/>
          <w:szCs w:val="24"/>
        </w:rPr>
        <w:footnoteReference w:id="33"/>
      </w:r>
    </w:p>
    <w:p w:rsidR="00A65FD1" w:rsidP="006B70B4">
      <w:pPr>
        <w:ind w:firstLine="720"/>
        <w:rPr>
          <w:rFonts w:eastAsia="Times New Roman" w:cs="Times New Roman"/>
          <w:szCs w:val="24"/>
        </w:rPr>
      </w:pPr>
      <w:r>
        <w:rPr>
          <w:rFonts w:eastAsia="Times New Roman" w:cs="Times New Roman"/>
          <w:szCs w:val="24"/>
        </w:rPr>
        <w:t xml:space="preserve">Vectren says the </w:t>
      </w:r>
      <w:r w:rsidR="00D6054B">
        <w:rPr>
          <w:rFonts w:eastAsia="Times New Roman" w:cs="Times New Roman"/>
          <w:szCs w:val="24"/>
        </w:rPr>
        <w:t xml:space="preserve">Fixed Charge </w:t>
      </w:r>
      <w:r>
        <w:rPr>
          <w:rFonts w:eastAsia="Times New Roman" w:cs="Times New Roman"/>
          <w:szCs w:val="24"/>
        </w:rPr>
        <w:t>rate design should continue because that is what the PUCO approved for Vectren and other gas distribution utilities over a decade ago.</w:t>
      </w:r>
      <w:r>
        <w:rPr>
          <w:rStyle w:val="FootnoteReference"/>
          <w:rFonts w:eastAsia="Times New Roman" w:cs="Times New Roman"/>
          <w:szCs w:val="24"/>
        </w:rPr>
        <w:footnoteReference w:id="34"/>
      </w:r>
      <w:r>
        <w:rPr>
          <w:rFonts w:eastAsia="Times New Roman" w:cs="Times New Roman"/>
          <w:szCs w:val="24"/>
        </w:rPr>
        <w:t xml:space="preserve">  Vectren suggests that OCC should not oppose the </w:t>
      </w:r>
      <w:r w:rsidR="00D6054B">
        <w:rPr>
          <w:rFonts w:eastAsia="Times New Roman" w:cs="Times New Roman"/>
          <w:szCs w:val="24"/>
        </w:rPr>
        <w:t>Fixed Charge</w:t>
      </w:r>
      <w:r>
        <w:rPr>
          <w:rFonts w:eastAsia="Times New Roman" w:cs="Times New Roman"/>
          <w:szCs w:val="24"/>
        </w:rPr>
        <w:t xml:space="preserve"> rate design in the first place because the rate design has been upheld by Supreme Court of Ohio in the past.</w:t>
      </w:r>
      <w:r>
        <w:rPr>
          <w:rStyle w:val="FootnoteReference"/>
          <w:rFonts w:eastAsia="Times New Roman" w:cs="Times New Roman"/>
          <w:szCs w:val="24"/>
        </w:rPr>
        <w:footnoteReference w:id="35"/>
      </w:r>
      <w:r>
        <w:rPr>
          <w:rFonts w:eastAsia="Times New Roman" w:cs="Times New Roman"/>
          <w:szCs w:val="24"/>
        </w:rPr>
        <w:t xml:space="preserve">  But as Vectren itself acknowledges, facts and circumstances change, and the PUCO must make its decision based on the evidence in </w:t>
      </w:r>
      <w:r w:rsidRPr="001F1476">
        <w:rPr>
          <w:rFonts w:eastAsia="Times New Roman" w:cs="Times New Roman"/>
          <w:i/>
          <w:szCs w:val="24"/>
        </w:rPr>
        <w:t>this</w:t>
      </w:r>
      <w:r>
        <w:rPr>
          <w:rFonts w:eastAsia="Times New Roman" w:cs="Times New Roman"/>
          <w:szCs w:val="24"/>
        </w:rPr>
        <w:t xml:space="preserve"> proceeding.  High natural gas prices, which were a significant reason for the PUCO’s prior approval of </w:t>
      </w:r>
      <w:r w:rsidR="00E375DF">
        <w:rPr>
          <w:rFonts w:eastAsia="Times New Roman" w:cs="Times New Roman"/>
          <w:szCs w:val="24"/>
        </w:rPr>
        <w:t>the Fixed Charge rate design</w:t>
      </w:r>
      <w:r>
        <w:rPr>
          <w:rFonts w:eastAsia="Times New Roman" w:cs="Times New Roman"/>
          <w:szCs w:val="24"/>
        </w:rPr>
        <w:t>, have since dropped dramatically.  Yet the fixed charges proposed by Vectren will continue to unreasonably burden customers.  Vectren’s customers now deserve a change.</w:t>
      </w:r>
    </w:p>
    <w:p w:rsidR="00811615" w:rsidP="00421855">
      <w:pPr>
        <w:ind w:firstLine="720"/>
      </w:pPr>
      <w:r>
        <w:t>The PUCO should reject Vectren’s proposed Fixed Charge</w:t>
      </w:r>
      <w:r w:rsidR="00E375DF">
        <w:t xml:space="preserve"> rate design</w:t>
      </w:r>
      <w:r>
        <w:t xml:space="preserve">.  </w:t>
      </w:r>
      <w:r w:rsidR="00815709">
        <w:t xml:space="preserve">It is not in the public interest and will harm vulnerable, low-income customers.  </w:t>
      </w:r>
      <w:r>
        <w:t>It should adopt OCC’s proposal regarding a volumetric rate design.  Such a result would protect the most vulnerable of Vectren’s customers and have no impact on its ability to meet its revenue requirement.</w:t>
      </w:r>
      <w:r>
        <w:rPr>
          <w:rStyle w:val="FootnoteReference"/>
        </w:rPr>
        <w:footnoteReference w:id="36"/>
      </w:r>
    </w:p>
    <w:p w:rsidR="00811615" w:rsidP="001F1476">
      <w:pPr>
        <w:pStyle w:val="Heading2"/>
      </w:pPr>
      <w:bookmarkStart w:id="10" w:name="_Toc6316206"/>
      <w:bookmarkStart w:id="11" w:name="_Toc6910660"/>
      <w:r>
        <w:t xml:space="preserve">Vectren’s </w:t>
      </w:r>
      <w:r w:rsidR="004062B7">
        <w:t>b</w:t>
      </w:r>
      <w:r>
        <w:t xml:space="preserve">ill </w:t>
      </w:r>
      <w:r w:rsidR="004062B7">
        <w:t>i</w:t>
      </w:r>
      <w:r>
        <w:t xml:space="preserve">mpact </w:t>
      </w:r>
      <w:r w:rsidR="00C91AF7">
        <w:t xml:space="preserve">analysis including a Fixed Charge </w:t>
      </w:r>
      <w:r w:rsidR="004062B7">
        <w:t>is</w:t>
      </w:r>
      <w:r>
        <w:t xml:space="preserve"> </w:t>
      </w:r>
      <w:r w:rsidR="004062B7">
        <w:t>m</w:t>
      </w:r>
      <w:r>
        <w:t xml:space="preserve">isleading </w:t>
      </w:r>
      <w:r w:rsidR="004062B7">
        <w:t>a</w:t>
      </w:r>
      <w:r>
        <w:t xml:space="preserve">nd </w:t>
      </w:r>
      <w:r w:rsidR="004062B7">
        <w:t>n</w:t>
      </w:r>
      <w:r>
        <w:t xml:space="preserve">ot </w:t>
      </w:r>
      <w:r w:rsidR="004062B7">
        <w:t>u</w:t>
      </w:r>
      <w:r>
        <w:t>seful</w:t>
      </w:r>
      <w:r w:rsidR="00C91AF7">
        <w:t>, so to protect consumers it should not be relied on</w:t>
      </w:r>
      <w:r w:rsidR="004062B7">
        <w:t>.</w:t>
      </w:r>
      <w:bookmarkEnd w:id="10"/>
      <w:bookmarkEnd w:id="11"/>
    </w:p>
    <w:p w:rsidR="000C5670" w:rsidP="00421855">
      <w:pPr>
        <w:ind w:firstLine="720"/>
      </w:pPr>
      <w:r>
        <w:t xml:space="preserve">Evaluating the impact on bills is a crucial component of determining if a settlement is in the public interest.  </w:t>
      </w:r>
      <w:r w:rsidR="00811615">
        <w:t>Vectren provides a bill impact for the first year were the Settlement adopted.</w:t>
      </w:r>
      <w:r>
        <w:rPr>
          <w:rStyle w:val="FootnoteReference"/>
        </w:rPr>
        <w:footnoteReference w:id="37"/>
      </w:r>
      <w:r w:rsidR="00811615">
        <w:t xml:space="preserve">  </w:t>
      </w:r>
      <w:r w:rsidR="00EB3A25">
        <w:t xml:space="preserve">Through its bill impact it attempts to show that </w:t>
      </w:r>
      <w:r w:rsidR="00D65A7C">
        <w:t>consumers will not be harmed by its proposed increase and Fixed Charge rate design.</w:t>
      </w:r>
      <w:r>
        <w:rPr>
          <w:rStyle w:val="FootnoteReference"/>
        </w:rPr>
        <w:footnoteReference w:id="38"/>
      </w:r>
      <w:r w:rsidR="00D65A7C">
        <w:t xml:space="preserve">  </w:t>
      </w:r>
      <w:r w:rsidR="00811615">
        <w:t xml:space="preserve">But there are components of customers’ bills that will change over time that Vectren does not </w:t>
      </w:r>
      <w:r w:rsidR="009F3D7D">
        <w:t>include in its bill impact analysis</w:t>
      </w:r>
      <w:r w:rsidR="00811615">
        <w:t xml:space="preserve">.  Vectren’s </w:t>
      </w:r>
      <w:r w:rsidR="00EA1981">
        <w:t>Distribution Replacement Rider (“</w:t>
      </w:r>
      <w:r w:rsidR="00811615">
        <w:t>DRR</w:t>
      </w:r>
      <w:r w:rsidR="00EA1981">
        <w:t>”)</w:t>
      </w:r>
      <w:r w:rsidR="00811615">
        <w:t xml:space="preserve"> will increase over time</w:t>
      </w:r>
      <w:r w:rsidR="009F3D7D">
        <w:t>, but it is excluded from the bill impact analysis</w:t>
      </w:r>
      <w:r w:rsidR="00811615">
        <w:t>.</w:t>
      </w:r>
      <w:r>
        <w:rPr>
          <w:rStyle w:val="FootnoteReference"/>
        </w:rPr>
        <w:footnoteReference w:id="39"/>
      </w:r>
      <w:r w:rsidR="00811615">
        <w:t xml:space="preserve">  Vectren’s </w:t>
      </w:r>
      <w:r w:rsidR="00EA1981">
        <w:t>Capital Expenditure Program (“</w:t>
      </w:r>
      <w:r w:rsidR="00811615">
        <w:t>CEP</w:t>
      </w:r>
      <w:r w:rsidR="00EA1981">
        <w:t>”)</w:t>
      </w:r>
      <w:r w:rsidR="00811615">
        <w:t xml:space="preserve"> will, too</w:t>
      </w:r>
      <w:r w:rsidR="009F3D7D">
        <w:t>, and it is also excluded from the analysis</w:t>
      </w:r>
      <w:r w:rsidR="00811615">
        <w:t>.</w:t>
      </w:r>
      <w:r>
        <w:rPr>
          <w:rStyle w:val="FootnoteReference"/>
        </w:rPr>
        <w:footnoteReference w:id="40"/>
      </w:r>
      <w:r w:rsidR="00811615">
        <w:t xml:space="preserve">  </w:t>
      </w:r>
    </w:p>
    <w:p w:rsidR="00811615" w:rsidP="000C5670">
      <w:r>
        <w:t xml:space="preserve">The charge under Vectren’s </w:t>
      </w:r>
      <w:r w:rsidR="00332FDB">
        <w:t xml:space="preserve">standard offer </w:t>
      </w:r>
      <w:r>
        <w:t xml:space="preserve">and TSCR will </w:t>
      </w:r>
      <w:r w:rsidR="00332FDB">
        <w:t xml:space="preserve">also </w:t>
      </w:r>
      <w:r>
        <w:t>change over time</w:t>
      </w:r>
      <w:r w:rsidR="009F3D7D">
        <w:t>, and also weren’t included in the bill impact analysis</w:t>
      </w:r>
      <w:r>
        <w:t>.</w:t>
      </w:r>
      <w:r>
        <w:rPr>
          <w:rStyle w:val="FootnoteReference"/>
        </w:rPr>
        <w:footnoteReference w:id="41"/>
      </w:r>
      <w:r>
        <w:t xml:space="preserve"> </w:t>
      </w:r>
    </w:p>
    <w:p w:rsidR="00811615" w:rsidP="00421855">
      <w:pPr>
        <w:ind w:firstLine="720"/>
      </w:pPr>
      <w:r>
        <w:t>Vectren also provides a comparison of its charges with those of other gas utilities.</w:t>
      </w:r>
      <w:r>
        <w:rPr>
          <w:rStyle w:val="FootnoteReference"/>
        </w:rPr>
        <w:footnoteReference w:id="42"/>
      </w:r>
      <w:r>
        <w:t xml:space="preserve">  </w:t>
      </w:r>
      <w:r w:rsidR="00EB3A25">
        <w:t>Through its comparison Vectren attempts to show that</w:t>
      </w:r>
      <w:r w:rsidR="00D65A7C">
        <w:t xml:space="preserve"> its rates are in-line with (or better than) other gas utilities.</w:t>
      </w:r>
      <w:r w:rsidR="00EB3A25">
        <w:t xml:space="preserve">   </w:t>
      </w:r>
      <w:r>
        <w:t>But Vectren’s charges in that comparison do not include any increases in either the CEP or DRR.</w:t>
      </w:r>
      <w:r>
        <w:rPr>
          <w:rStyle w:val="FootnoteReference"/>
        </w:rPr>
        <w:footnoteReference w:id="43"/>
      </w:r>
      <w:r>
        <w:t xml:space="preserve">  Further, </w:t>
      </w:r>
      <w:r w:rsidR="001F1476">
        <w:t>Vectren</w:t>
      </w:r>
      <w:r>
        <w:t xml:space="preserve"> includes in its charges an offset for money returned under the TSCR, but it does not include a similar offset for other gas utilities</w:t>
      </w:r>
      <w:r w:rsidR="00475F75">
        <w:t>’</w:t>
      </w:r>
      <w:r>
        <w:t xml:space="preserve"> TSCR-equivalents.</w:t>
      </w:r>
      <w:r>
        <w:rPr>
          <w:rStyle w:val="FootnoteReference"/>
        </w:rPr>
        <w:footnoteReference w:id="44"/>
      </w:r>
    </w:p>
    <w:p w:rsidR="004062B7" w:rsidP="00421855">
      <w:pPr>
        <w:ind w:firstLine="720"/>
      </w:pPr>
      <w:r>
        <w:t xml:space="preserve">Vectren has selectively included, and selectively excluded, charges that would reveal the true impact of the Settlement on customers’ rates.  </w:t>
      </w:r>
      <w:r w:rsidR="00F17D3C">
        <w:t>In the public interest, i</w:t>
      </w:r>
      <w:r>
        <w:t>ts bill impact</w:t>
      </w:r>
      <w:r w:rsidR="001D7A35">
        <w:t xml:space="preserve"> analysis</w:t>
      </w:r>
      <w:r>
        <w:t xml:space="preserve"> cannot be relied on by the PUCO</w:t>
      </w:r>
      <w:r w:rsidR="00A65082">
        <w:t xml:space="preserve"> and should be rejected</w:t>
      </w:r>
      <w:r>
        <w:t>.</w:t>
      </w:r>
    </w:p>
    <w:p w:rsidR="009D2956" w:rsidP="00C91AF7">
      <w:pPr>
        <w:pStyle w:val="Heading2"/>
      </w:pPr>
      <w:bookmarkStart w:id="12" w:name="_Toc6316207"/>
      <w:bookmarkStart w:id="13" w:name="_Toc6910661"/>
      <w:r>
        <w:t xml:space="preserve">Consumers would not benefit from a Fixed Charge, as the </w:t>
      </w:r>
      <w:r w:rsidR="00E375DF">
        <w:t>Fixed Charge</w:t>
      </w:r>
      <w:r>
        <w:t xml:space="preserve"> rate design is not necessary to provide bill stability</w:t>
      </w:r>
      <w:r w:rsidR="008333EB">
        <w:t xml:space="preserve"> or</w:t>
      </w:r>
      <w:r>
        <w:t xml:space="preserve"> to </w:t>
      </w:r>
      <w:r w:rsidR="008333EB">
        <w:t xml:space="preserve">prevent </w:t>
      </w:r>
      <w:r>
        <w:t>customer</w:t>
      </w:r>
      <w:r w:rsidR="008333EB">
        <w:t xml:space="preserve"> confusion</w:t>
      </w:r>
      <w:r>
        <w:t>.</w:t>
      </w:r>
      <w:bookmarkEnd w:id="12"/>
      <w:bookmarkEnd w:id="13"/>
    </w:p>
    <w:p w:rsidR="000343A7" w:rsidP="00421855">
      <w:pPr>
        <w:ind w:firstLine="720"/>
      </w:pPr>
      <w:r>
        <w:t xml:space="preserve">Vectren </w:t>
      </w:r>
      <w:r w:rsidR="00475F75">
        <w:t>W</w:t>
      </w:r>
      <w:r>
        <w:t xml:space="preserve">itness Mr. Feingold testified that the PUCO should continue the SFV rate design because it provides “bill stability” to customers by increasing the average customer’s bill in the </w:t>
      </w:r>
      <w:r w:rsidR="00EB3A25">
        <w:t>s</w:t>
      </w:r>
      <w:r>
        <w:t xml:space="preserve">ummer months and moderating the customer’s bill in the </w:t>
      </w:r>
      <w:r w:rsidR="00EB3A25">
        <w:t>w</w:t>
      </w:r>
      <w:r>
        <w:t>inter months</w:t>
      </w:r>
      <w:r w:rsidR="007D76D8">
        <w:t>.</w:t>
      </w:r>
      <w:r>
        <w:rPr>
          <w:rStyle w:val="FootnoteReference"/>
        </w:rPr>
        <w:footnoteReference w:id="45"/>
      </w:r>
      <w:r w:rsidR="00805B9D">
        <w:t xml:space="preserve">  </w:t>
      </w:r>
      <w:r w:rsidR="00EA497C">
        <w:t>However,</w:t>
      </w:r>
      <w:r w:rsidR="003A0647">
        <w:t xml:space="preserve"> </w:t>
      </w:r>
      <w:r w:rsidR="00E375DF">
        <w:t>the Fixed Charge rate design</w:t>
      </w:r>
      <w:r w:rsidR="003A0647">
        <w:t xml:space="preserve"> is not necessary to provide</w:t>
      </w:r>
      <w:r w:rsidR="00EA497C">
        <w:t xml:space="preserve"> </w:t>
      </w:r>
      <w:r w:rsidR="00805B9D">
        <w:t>bill stability</w:t>
      </w:r>
      <w:r w:rsidR="003A0647">
        <w:t xml:space="preserve"> to</w:t>
      </w:r>
      <w:r w:rsidR="00805B9D">
        <w:t xml:space="preserve"> customer</w:t>
      </w:r>
      <w:r w:rsidR="003A0647">
        <w:t>s, because</w:t>
      </w:r>
      <w:r w:rsidR="00805B9D">
        <w:t xml:space="preserve"> protections already exist in Vectren’s tariffs and in the PUCO’s rules. </w:t>
      </w:r>
      <w:r w:rsidR="003A0647">
        <w:t xml:space="preserve"> </w:t>
      </w:r>
      <w:r w:rsidR="00805B9D">
        <w:t xml:space="preserve">Vectren’s General Terms and Conditions for Gas Service </w:t>
      </w:r>
      <w:r w:rsidR="003A0647">
        <w:t>state</w:t>
      </w:r>
      <w:r w:rsidR="00805B9D">
        <w:t xml:space="preserve"> that Vectren can provide customers with “a ‘Budget Billing Plan’ which minimizes billing amount fluctuations over a </w:t>
      </w:r>
      <w:r w:rsidR="00BC6DE0">
        <w:t>12-</w:t>
      </w:r>
      <w:r w:rsidR="00805B9D">
        <w:t>month period.”</w:t>
      </w:r>
      <w:r>
        <w:rPr>
          <w:rStyle w:val="FootnoteReference"/>
        </w:rPr>
        <w:footnoteReference w:id="46"/>
      </w:r>
      <w:r w:rsidR="00805B9D">
        <w:t xml:space="preserve">  In addition,</w:t>
      </w:r>
      <w:r w:rsidR="003021AB">
        <w:t xml:space="preserve"> Ohio Admin. Code 4901:1-18-05 entitled “Extended payment plans and responsibilities” requires Vectren to offer its customers payment plans for bills including usage during the </w:t>
      </w:r>
      <w:r w:rsidR="00EB3A25">
        <w:t>w</w:t>
      </w:r>
      <w:r w:rsidR="003021AB">
        <w:t>inter months (November through April).</w:t>
      </w:r>
      <w:r>
        <w:rPr>
          <w:rStyle w:val="FootnoteReference"/>
        </w:rPr>
        <w:footnoteReference w:id="47"/>
      </w:r>
      <w:r w:rsidR="003021AB">
        <w:t xml:space="preserve">  </w:t>
      </w:r>
      <w:r w:rsidR="00EA497C">
        <w:t>Moreover</w:t>
      </w:r>
      <w:r w:rsidR="003021AB">
        <w:t>, “[f]or customers without arrearages, [Vectren] shall also offer a budget plan (a uniform payment plan).”</w:t>
      </w:r>
      <w:r>
        <w:rPr>
          <w:rStyle w:val="FootnoteReference"/>
        </w:rPr>
        <w:footnoteReference w:id="48"/>
      </w:r>
      <w:r w:rsidR="003021AB">
        <w:t xml:space="preserve"> </w:t>
      </w:r>
    </w:p>
    <w:p w:rsidR="001B5FCF" w:rsidP="00421855">
      <w:pPr>
        <w:ind w:firstLine="720"/>
      </w:pPr>
      <w:r>
        <w:t>Mr. Feingold</w:t>
      </w:r>
      <w:r w:rsidR="00B76CED">
        <w:t xml:space="preserve"> “didn’t review [Vectren’s] budget billing program in detail,”</w:t>
      </w:r>
      <w:r>
        <w:rPr>
          <w:rStyle w:val="FootnoteReference"/>
        </w:rPr>
        <w:footnoteReference w:id="49"/>
      </w:r>
      <w:r w:rsidR="003E2BBB">
        <w:t xml:space="preserve"> </w:t>
      </w:r>
      <w:r w:rsidR="00EA497C">
        <w:t>but</w:t>
      </w:r>
      <w:r w:rsidR="006C6943">
        <w:t xml:space="preserve"> </w:t>
      </w:r>
      <w:r w:rsidR="00EA497C">
        <w:t xml:space="preserve">nevertheless </w:t>
      </w:r>
      <w:r w:rsidR="003E2BBB">
        <w:t>claimed that</w:t>
      </w:r>
      <w:r w:rsidR="006C6943">
        <w:t xml:space="preserve"> it would be insufficient </w:t>
      </w:r>
      <w:r w:rsidR="00D25EF2">
        <w:t xml:space="preserve">to </w:t>
      </w:r>
      <w:r w:rsidR="003E2BBB">
        <w:t>provide bill stability because</w:t>
      </w:r>
      <w:r w:rsidR="00B76CED">
        <w:t xml:space="preserve"> customer</w:t>
      </w:r>
      <w:r w:rsidR="006C6943">
        <w:t>s</w:t>
      </w:r>
      <w:r w:rsidR="00B76CED">
        <w:t xml:space="preserve"> </w:t>
      </w:r>
      <w:r w:rsidR="006C6943">
        <w:t>w</w:t>
      </w:r>
      <w:r w:rsidR="003E2BBB">
        <w:t xml:space="preserve">ould be subjected </w:t>
      </w:r>
      <w:r w:rsidR="00B76CED">
        <w:t>to a</w:t>
      </w:r>
      <w:r w:rsidR="003E2BBB">
        <w:t xml:space="preserve"> billing</w:t>
      </w:r>
      <w:r w:rsidR="00B76CED">
        <w:t xml:space="preserve"> adjustment at the end of a 12-month period.</w:t>
      </w:r>
      <w:r>
        <w:rPr>
          <w:rStyle w:val="FootnoteReference"/>
        </w:rPr>
        <w:footnoteReference w:id="50"/>
      </w:r>
      <w:r w:rsidR="003E2BBB">
        <w:t xml:space="preserve"> </w:t>
      </w:r>
      <w:r w:rsidR="003A0647">
        <w:t xml:space="preserve">That </w:t>
      </w:r>
      <w:r w:rsidR="00AA55CB">
        <w:t>is beside the point</w:t>
      </w:r>
      <w:r w:rsidR="003A0647">
        <w:t xml:space="preserve">, because </w:t>
      </w:r>
      <w:r w:rsidR="003E2BBB">
        <w:t xml:space="preserve">Mr. Feingold </w:t>
      </w:r>
      <w:r w:rsidR="00EA497C">
        <w:t>confirmed</w:t>
      </w:r>
      <w:r w:rsidR="003A0647">
        <w:t xml:space="preserve"> that</w:t>
      </w:r>
      <w:r w:rsidR="006C6943">
        <w:t xml:space="preserve"> </w:t>
      </w:r>
      <w:r w:rsidR="003E2BBB">
        <w:t xml:space="preserve">Vectren has </w:t>
      </w:r>
      <w:r w:rsidR="006C6943">
        <w:t xml:space="preserve">several </w:t>
      </w:r>
      <w:r w:rsidR="003E2BBB">
        <w:t>residential rate riders</w:t>
      </w:r>
      <w:r w:rsidR="003A0647">
        <w:t xml:space="preserve"> that operate in similar way, </w:t>
      </w:r>
      <w:r w:rsidR="003A0647">
        <w:rPr>
          <w:i/>
        </w:rPr>
        <w:t>i.e.</w:t>
      </w:r>
      <w:r w:rsidR="003A0647">
        <w:t>,</w:t>
      </w:r>
      <w:r w:rsidR="003E2BBB">
        <w:t xml:space="preserve"> th</w:t>
      </w:r>
      <w:r w:rsidR="003A0647">
        <w:t>ey</w:t>
      </w:r>
      <w:r w:rsidR="003E2BBB">
        <w:t xml:space="preserve"> are reconciled on an annual basis</w:t>
      </w:r>
      <w:r w:rsidR="003A0647">
        <w:t xml:space="preserve"> </w:t>
      </w:r>
      <w:r w:rsidR="003E2BBB">
        <w:t xml:space="preserve">and </w:t>
      </w:r>
      <w:r w:rsidR="00AA55CB">
        <w:t>involve customer</w:t>
      </w:r>
      <w:r w:rsidR="00EA497C">
        <w:t xml:space="preserve"> billing adjustments.</w:t>
      </w:r>
      <w:r>
        <w:rPr>
          <w:rStyle w:val="FootnoteReference"/>
        </w:rPr>
        <w:footnoteReference w:id="51"/>
      </w:r>
      <w:r w:rsidR="00AA55CB">
        <w:t xml:space="preserve">  But of course, concerns regarding customer bill stability do not keep Vectren from collecting money from customers through its rate riders.</w:t>
      </w:r>
      <w:r w:rsidR="00EA497C">
        <w:t xml:space="preserve">  </w:t>
      </w:r>
    </w:p>
    <w:p w:rsidR="00806120" w:rsidP="00421855">
      <w:pPr>
        <w:ind w:firstLine="720"/>
      </w:pPr>
      <w:r>
        <w:t>Mr. Feingold</w:t>
      </w:r>
      <w:r w:rsidR="00AA55CB">
        <w:t xml:space="preserve"> </w:t>
      </w:r>
      <w:r>
        <w:t>oppos</w:t>
      </w:r>
      <w:r w:rsidR="00AA55CB">
        <w:t>es</w:t>
      </w:r>
      <w:r>
        <w:t xml:space="preserve"> OCC’s</w:t>
      </w:r>
      <w:r w:rsidR="00AA55CB">
        <w:t xml:space="preserve"> recommendation for</w:t>
      </w:r>
      <w:r>
        <w:t xml:space="preserve"> revenue decoupling</w:t>
      </w:r>
      <w:r w:rsidR="00D25EF2">
        <w:t xml:space="preserve"> </w:t>
      </w:r>
      <w:r w:rsidR="00AA55CB">
        <w:t>on similar grounds</w:t>
      </w:r>
      <w:r>
        <w:t xml:space="preserve">.  </w:t>
      </w:r>
      <w:r w:rsidR="00AA55CB">
        <w:t xml:space="preserve">He </w:t>
      </w:r>
      <w:r>
        <w:t>asserts</w:t>
      </w:r>
      <w:r w:rsidR="00921209">
        <w:t xml:space="preserve"> that </w:t>
      </w:r>
      <w:r w:rsidR="00E375DF">
        <w:t>the Fixed Charge rate design</w:t>
      </w:r>
      <w:r w:rsidR="00921209">
        <w:t xml:space="preserve"> is preferable because revenue decoupling is “more complicated and can cause customer confusion” as a result of subsequent customer rate adjustments.</w:t>
      </w:r>
      <w:r>
        <w:rPr>
          <w:rStyle w:val="FootnoteReference"/>
        </w:rPr>
        <w:footnoteReference w:id="52"/>
      </w:r>
      <w:r w:rsidR="00D25EF2">
        <w:t xml:space="preserve">  </w:t>
      </w:r>
      <w:r w:rsidR="0089453E">
        <w:t xml:space="preserve">Again, concerns about </w:t>
      </w:r>
      <w:r w:rsidR="00D25EF2">
        <w:t xml:space="preserve">customer confusion do not keep Vectren from reconciling </w:t>
      </w:r>
      <w:r w:rsidR="0089453E">
        <w:t>its</w:t>
      </w:r>
      <w:r w:rsidR="00D25EF2">
        <w:t xml:space="preserve"> rate riders and making “after-the-fact”</w:t>
      </w:r>
      <w:r>
        <w:rPr>
          <w:rStyle w:val="FootnoteReference"/>
        </w:rPr>
        <w:footnoteReference w:id="53"/>
      </w:r>
      <w:r w:rsidR="00D25EF2">
        <w:t xml:space="preserve"> adjustments to customers’ bills.</w:t>
      </w:r>
      <w:r>
        <w:t xml:space="preserve">  </w:t>
      </w:r>
      <w:r w:rsidR="00D70AF1">
        <w:t>O</w:t>
      </w:r>
      <w:r>
        <w:t>n cross-examination, Mr. Feingold testified:</w:t>
      </w:r>
    </w:p>
    <w:p w:rsidR="00806120" w:rsidP="006B70B4">
      <w:pPr>
        <w:spacing w:line="240" w:lineRule="auto"/>
        <w:ind w:left="1440" w:right="720" w:hanging="720"/>
      </w:pPr>
      <w:r>
        <w:t xml:space="preserve">Q.  </w:t>
      </w:r>
      <w:r w:rsidR="006B70B4">
        <w:tab/>
      </w:r>
      <w:r>
        <w:t>Okay.  Now, are the operation of these types of riders, do you believe that these are difficult for a customer to understand?</w:t>
      </w:r>
    </w:p>
    <w:p w:rsidR="00806120" w:rsidP="00421855">
      <w:pPr>
        <w:spacing w:line="240" w:lineRule="auto"/>
        <w:ind w:left="720" w:right="720"/>
      </w:pPr>
    </w:p>
    <w:p w:rsidR="00806120" w:rsidP="006B70B4">
      <w:pPr>
        <w:spacing w:line="240" w:lineRule="auto"/>
        <w:ind w:left="1440" w:right="720" w:hanging="720"/>
      </w:pPr>
      <w:r>
        <w:t>A.</w:t>
      </w:r>
      <w:r w:rsidR="006B70B4">
        <w:tab/>
      </w:r>
      <w:r>
        <w:t>I would think that some customers probably when they look at their bill may not necessarily understand all of the particulars of those riders.  I mean, just like when I get a bill for natural gas service, there</w:t>
      </w:r>
      <w:r w:rsidR="00D70AF1">
        <w:t xml:space="preserve"> were riders on it. And, you know, I haven’t explored exactly what might cause the rider to change or anything like that.  It’s just on the bill.</w:t>
      </w:r>
    </w:p>
    <w:p w:rsidR="00D70AF1" w:rsidP="00421855">
      <w:pPr>
        <w:spacing w:line="240" w:lineRule="auto"/>
        <w:ind w:left="720" w:right="720"/>
      </w:pPr>
    </w:p>
    <w:p w:rsidR="00D70AF1" w:rsidP="006B70B4">
      <w:pPr>
        <w:spacing w:line="240" w:lineRule="auto"/>
        <w:ind w:left="1440" w:right="720" w:hanging="720"/>
      </w:pPr>
      <w:r>
        <w:t xml:space="preserve">Q.  </w:t>
      </w:r>
      <w:r w:rsidR="006B70B4">
        <w:tab/>
      </w:r>
      <w:r>
        <w:t>But that doesn’t keep Vectren from – from using the riders to recover costs; it that correct?</w:t>
      </w:r>
    </w:p>
    <w:p w:rsidR="00D70AF1" w:rsidP="00421855">
      <w:pPr>
        <w:spacing w:line="240" w:lineRule="auto"/>
        <w:ind w:left="720" w:right="720"/>
      </w:pPr>
    </w:p>
    <w:p w:rsidR="00D70AF1" w:rsidP="006B70B4">
      <w:pPr>
        <w:spacing w:line="240" w:lineRule="auto"/>
        <w:ind w:left="1440" w:right="720" w:hanging="720"/>
      </w:pPr>
      <w:r>
        <w:t xml:space="preserve">A.  </w:t>
      </w:r>
      <w:r w:rsidR="006B70B4">
        <w:tab/>
      </w:r>
      <w:r>
        <w:t>That’s right.  When the rider is associated with a specific cost, I think there is a direct correlation between the rider and the costs recovered through the rider.</w:t>
      </w:r>
      <w:r w:rsidRPr="00D70AF1">
        <w:rPr>
          <w:rStyle w:val="FootnoteReference"/>
        </w:rPr>
        <w:t xml:space="preserve"> </w:t>
      </w:r>
      <w:r>
        <w:rPr>
          <w:rStyle w:val="FootnoteReference"/>
        </w:rPr>
        <w:footnoteReference w:id="54"/>
      </w:r>
    </w:p>
    <w:p w:rsidR="006B70B4" w:rsidP="00421855">
      <w:pPr>
        <w:spacing w:line="240" w:lineRule="auto"/>
        <w:ind w:left="720" w:right="720"/>
      </w:pPr>
    </w:p>
    <w:p w:rsidR="00B854A4" w:rsidP="00C91AF7">
      <w:pPr>
        <w:ind w:firstLine="720"/>
      </w:pPr>
      <w:r>
        <w:t xml:space="preserve">Accordingly, the PUCO should reject Vectren’s claims that </w:t>
      </w:r>
      <w:r w:rsidR="00E375DF">
        <w:t xml:space="preserve">the Fixed Charge </w:t>
      </w:r>
      <w:r w:rsidR="000343A7">
        <w:t>rate design is necessary</w:t>
      </w:r>
      <w:r w:rsidR="00806120">
        <w:t xml:space="preserve"> for bill stability and to prevent customer confusion.</w:t>
      </w:r>
      <w:r w:rsidR="00C91AF7">
        <w:t xml:space="preserve">  It is not</w:t>
      </w:r>
      <w:r w:rsidR="00AB4D98">
        <w:t>, as Vectren’s own witnesses testif</w:t>
      </w:r>
      <w:r w:rsidR="00E375DF">
        <w:t>i</w:t>
      </w:r>
      <w:r w:rsidR="00AB4D98">
        <w:t>ed</w:t>
      </w:r>
      <w:r w:rsidR="00C91AF7">
        <w:t>.</w:t>
      </w:r>
      <w:r w:rsidR="00E375DF">
        <w:t xml:space="preserve">  Therefore, the Settlement should be modified by adopting OCC’s proposal regarding a volumetric rate design, because the Fixed Charge rate design harms consumers and is not in the public interest.</w:t>
      </w:r>
    </w:p>
    <w:p w:rsidR="00B854A4" w:rsidP="00B854A4">
      <w:pPr>
        <w:pStyle w:val="Heading2"/>
      </w:pPr>
      <w:bookmarkStart w:id="14" w:name="_Toc6910662"/>
      <w:r>
        <w:t xml:space="preserve">Vectren’s </w:t>
      </w:r>
      <w:r w:rsidR="00E725B9">
        <w:t>p</w:t>
      </w:r>
      <w:r>
        <w:t xml:space="preserve">roposed Fixed Charge </w:t>
      </w:r>
      <w:r w:rsidR="007B69D1">
        <w:t xml:space="preserve">rate design harms customers and </w:t>
      </w:r>
      <w:r w:rsidR="00E725B9">
        <w:t>i</w:t>
      </w:r>
      <w:r>
        <w:t xml:space="preserve">s </w:t>
      </w:r>
      <w:r w:rsidR="00E725B9">
        <w:t>n</w:t>
      </w:r>
      <w:r>
        <w:t xml:space="preserve">ot </w:t>
      </w:r>
      <w:r w:rsidR="00E725B9">
        <w:t>i</w:t>
      </w:r>
      <w:r>
        <w:t xml:space="preserve">n </w:t>
      </w:r>
      <w:r w:rsidR="00E725B9">
        <w:t>t</w:t>
      </w:r>
      <w:r>
        <w:t xml:space="preserve">he </w:t>
      </w:r>
      <w:r w:rsidR="00E725B9">
        <w:t>p</w:t>
      </w:r>
      <w:r>
        <w:t xml:space="preserve">ublic </w:t>
      </w:r>
      <w:r w:rsidR="00E725B9">
        <w:t>i</w:t>
      </w:r>
      <w:r>
        <w:t xml:space="preserve">nterest </w:t>
      </w:r>
      <w:r w:rsidR="00E725B9">
        <w:t>b</w:t>
      </w:r>
      <w:r>
        <w:t xml:space="preserve">ecause </w:t>
      </w:r>
      <w:r w:rsidR="00E725B9">
        <w:t>i</w:t>
      </w:r>
      <w:r>
        <w:t xml:space="preserve">t </w:t>
      </w:r>
      <w:r w:rsidR="00801FD1">
        <w:t>hinders</w:t>
      </w:r>
      <w:r>
        <w:t xml:space="preserve"> </w:t>
      </w:r>
      <w:r w:rsidR="00801FD1">
        <w:t xml:space="preserve">customers’ </w:t>
      </w:r>
      <w:r w:rsidR="00E725B9">
        <w:t>e</w:t>
      </w:r>
      <w:r>
        <w:t xml:space="preserve">nergy </w:t>
      </w:r>
      <w:r w:rsidR="00E725B9">
        <w:t>e</w:t>
      </w:r>
      <w:r>
        <w:t xml:space="preserve">fficiency </w:t>
      </w:r>
      <w:r w:rsidR="00E725B9">
        <w:t>e</w:t>
      </w:r>
      <w:r>
        <w:t>fforts.</w:t>
      </w:r>
      <w:bookmarkEnd w:id="14"/>
    </w:p>
    <w:p w:rsidR="00B854A4" w:rsidP="00B854A4">
      <w:pPr>
        <w:ind w:firstLine="720"/>
      </w:pPr>
      <w:r>
        <w:t>In its initial brief, Vectren incorrectly claims that its proposed fixed</w:t>
      </w:r>
      <w:r w:rsidR="00801FD1">
        <w:t xml:space="preserve"> charge</w:t>
      </w:r>
      <w:r>
        <w:t xml:space="preserve"> rate design will not impact customers’ energy efficiency efforts.</w:t>
      </w:r>
      <w:r>
        <w:rPr>
          <w:rStyle w:val="FootnoteReference"/>
        </w:rPr>
        <w:footnoteReference w:id="55"/>
      </w:r>
      <w:r>
        <w:t xml:space="preserve"> In support of this claim, Vectren relies on the testimony of Vectren </w:t>
      </w:r>
      <w:r w:rsidR="00475F75">
        <w:t>W</w:t>
      </w:r>
      <w:r>
        <w:t>itness Harris, but Ms. Harris’s testimony should be afforded little, if any</w:t>
      </w:r>
      <w:r w:rsidR="00475F75">
        <w:t>,</w:t>
      </w:r>
      <w:r>
        <w:t xml:space="preserve"> weight, for several reasons.</w:t>
      </w:r>
    </w:p>
    <w:p w:rsidR="00475F75" w:rsidP="006B70B4">
      <w:pPr>
        <w:ind w:firstLine="720"/>
      </w:pPr>
      <w:r>
        <w:t>First, Ms. Harris unambiguously admitted that she is not a rate design expert: “Q. Are you a rate design expert? A. I am not.”</w:t>
      </w:r>
      <w:r>
        <w:rPr>
          <w:rStyle w:val="FootnoteReference"/>
        </w:rPr>
        <w:footnoteReference w:id="56"/>
      </w:r>
      <w:r>
        <w:t xml:space="preserve"> If Ms. Harris is not a rate design expert, then she can’t render an expert opinion on how rate design might impact customers’ energy efficiency efforts.</w:t>
      </w:r>
      <w:r>
        <w:rPr>
          <w:rStyle w:val="FootnoteReference"/>
        </w:rPr>
        <w:footnoteReference w:id="57"/>
      </w:r>
      <w:r>
        <w:t xml:space="preserve"> Second, while Vectren claims in its initial brief that fixed </w:t>
      </w:r>
      <w:r w:rsidR="00801FD1">
        <w:t>charge</w:t>
      </w:r>
      <w:r>
        <w:t xml:space="preserve"> rate design doesn’t impact energy efficiency, Ms. Harris testified to the contrary, admitting that “there would be an impact” on Vectren’s energy efficiency programs depending on the rate design.</w:t>
      </w:r>
      <w:r>
        <w:rPr>
          <w:rStyle w:val="FootnoteReference"/>
        </w:rPr>
        <w:footnoteReference w:id="58"/>
      </w:r>
      <w:r>
        <w:t xml:space="preserve"> Third, Ms. Harris admitted that customers can engage in energy efficiency on their own, but she was unable to say how the PUCO should consider those customers’ energy efforts would be impacted by rate design.</w:t>
      </w:r>
      <w:r>
        <w:rPr>
          <w:rStyle w:val="FootnoteReference"/>
        </w:rPr>
        <w:footnoteReference w:id="59"/>
      </w:r>
      <w:r>
        <w:t xml:space="preserve"> </w:t>
      </w:r>
    </w:p>
    <w:p w:rsidR="009D2956" w:rsidP="006B70B4">
      <w:pPr>
        <w:ind w:firstLine="720"/>
      </w:pPr>
      <w:r>
        <w:t xml:space="preserve">In short, Ms. Harris’s testimony does not support Vectren’s claim that </w:t>
      </w:r>
      <w:r w:rsidR="00801FD1">
        <w:t>the fixed charge</w:t>
      </w:r>
      <w:r>
        <w:t xml:space="preserve"> rate design adequately supports customers’ energy efficiency efforts. The PUCO should reject Ms. Harris’s rebuttal testimony and instead should adopt OCC </w:t>
      </w:r>
      <w:r w:rsidR="00475F75">
        <w:t>W</w:t>
      </w:r>
      <w:r>
        <w:t>itness Gonzalez’s expert opinion that high fixed charges should not be adopted because, among other things, they hinder customers’ ability to save money on their natural gas bills through energy efficiency.</w:t>
      </w:r>
      <w:r>
        <w:rPr>
          <w:rStyle w:val="FootnoteReference"/>
        </w:rPr>
        <w:footnoteReference w:id="60"/>
      </w:r>
    </w:p>
    <w:p w:rsidR="002F1AD6" w:rsidRPr="002F1AD6" w:rsidP="00C91AF7">
      <w:pPr>
        <w:pStyle w:val="Heading2"/>
      </w:pPr>
      <w:bookmarkStart w:id="15" w:name="_Toc6316208"/>
      <w:bookmarkStart w:id="16" w:name="_Toc6910663"/>
      <w:r>
        <w:t>Contrary to the public interest and important regulatory principles</w:t>
      </w:r>
      <w:r w:rsidR="00C91AF7">
        <w:t xml:space="preserve">, </w:t>
      </w:r>
      <w:r w:rsidRPr="000B4EE1">
        <w:t xml:space="preserve">Staff did not determine the level of the annual capital investment permitted under the monthly </w:t>
      </w:r>
      <w:r w:rsidR="00C91AF7">
        <w:t xml:space="preserve">Capital Expenditure Program </w:t>
      </w:r>
      <w:r w:rsidRPr="000B4EE1">
        <w:t>rate cap.</w:t>
      </w:r>
      <w:bookmarkEnd w:id="15"/>
      <w:bookmarkEnd w:id="16"/>
    </w:p>
    <w:p w:rsidR="002F1AD6" w:rsidRPr="00A329C2" w:rsidP="00421855">
      <w:pPr>
        <w:ind w:firstLine="720"/>
        <w:contextualSpacing/>
        <w:rPr>
          <w:rFonts w:cs="Times New Roman"/>
          <w:szCs w:val="24"/>
        </w:rPr>
      </w:pPr>
      <w:r w:rsidRPr="00A329C2">
        <w:rPr>
          <w:rFonts w:cs="Times New Roman"/>
          <w:szCs w:val="24"/>
        </w:rPr>
        <w:t xml:space="preserve">The Settlement permits Vectren to continue deferring </w:t>
      </w:r>
      <w:r w:rsidR="00C91AF7">
        <w:rPr>
          <w:rFonts w:cs="Times New Roman"/>
          <w:szCs w:val="24"/>
        </w:rPr>
        <w:t xml:space="preserve">CEP </w:t>
      </w:r>
      <w:r w:rsidRPr="00A329C2">
        <w:rPr>
          <w:rFonts w:cs="Times New Roman"/>
          <w:szCs w:val="24"/>
        </w:rPr>
        <w:t>costs through 2024 subject to a monthly rate cap of $1.50 for residential customers.</w:t>
      </w:r>
      <w:r>
        <w:rPr>
          <w:rStyle w:val="FootnoteReference"/>
          <w:rFonts w:cs="Times New Roman"/>
          <w:szCs w:val="24"/>
        </w:rPr>
        <w:footnoteReference w:id="61"/>
      </w:r>
      <w:r w:rsidRPr="00A329C2">
        <w:rPr>
          <w:rFonts w:cs="Times New Roman"/>
          <w:szCs w:val="24"/>
        </w:rPr>
        <w:t xml:space="preserve"> The Settlement further provides that PUCO Staff will review Vectren’s annual Capital Expenditure Program Rider filing “every one to two years in its discretion, to determine the necessity, prudence, lawfulness and reasonableness of the Capital Expenditure Program investment for the prior calendar year.”</w:t>
      </w:r>
      <w:r>
        <w:rPr>
          <w:rStyle w:val="FootnoteReference"/>
          <w:rFonts w:cs="Times New Roman"/>
          <w:szCs w:val="24"/>
        </w:rPr>
        <w:footnoteReference w:id="62"/>
      </w:r>
    </w:p>
    <w:p w:rsidR="00C91AF7" w:rsidP="00421855">
      <w:pPr>
        <w:ind w:firstLine="720"/>
        <w:contextualSpacing/>
        <w:rPr>
          <w:rFonts w:cs="Times New Roman"/>
          <w:szCs w:val="24"/>
        </w:rPr>
      </w:pPr>
      <w:r w:rsidRPr="00A329C2">
        <w:rPr>
          <w:rFonts w:cs="Times New Roman"/>
          <w:szCs w:val="24"/>
        </w:rPr>
        <w:t xml:space="preserve">These provisions do not benefit customers or the public interest, and thus, they fail to satisfy the criteria the PUCO uses to evaluate </w:t>
      </w:r>
      <w:r w:rsidR="00475F75">
        <w:rPr>
          <w:rFonts w:cs="Times New Roman"/>
          <w:szCs w:val="24"/>
        </w:rPr>
        <w:t>settlements</w:t>
      </w:r>
      <w:r w:rsidRPr="00A329C2">
        <w:rPr>
          <w:rFonts w:cs="Times New Roman"/>
          <w:szCs w:val="24"/>
        </w:rPr>
        <w:t xml:space="preserve">. </w:t>
      </w:r>
      <w:r>
        <w:rPr>
          <w:rFonts w:cs="Times New Roman"/>
          <w:szCs w:val="24"/>
        </w:rPr>
        <w:t xml:space="preserve">OCC witness </w:t>
      </w:r>
      <w:r w:rsidRPr="00A329C2">
        <w:rPr>
          <w:rFonts w:cs="Times New Roman"/>
          <w:szCs w:val="24"/>
        </w:rPr>
        <w:t xml:space="preserve">Dr. </w:t>
      </w:r>
      <w:r w:rsidR="001D7A35">
        <w:rPr>
          <w:rFonts w:cs="Times New Roman"/>
          <w:szCs w:val="24"/>
        </w:rPr>
        <w:t xml:space="preserve">Mohammad </w:t>
      </w:r>
      <w:r w:rsidRPr="00A329C2">
        <w:rPr>
          <w:rFonts w:cs="Times New Roman"/>
          <w:szCs w:val="24"/>
        </w:rPr>
        <w:t>Harunuzzaman</w:t>
      </w:r>
      <w:r w:rsidR="00AB4D98">
        <w:rPr>
          <w:rFonts w:cs="Times New Roman"/>
          <w:szCs w:val="24"/>
        </w:rPr>
        <w:t>’s</w:t>
      </w:r>
      <w:r w:rsidRPr="00A329C2">
        <w:rPr>
          <w:rFonts w:cs="Times New Roman"/>
          <w:szCs w:val="24"/>
        </w:rPr>
        <w:t xml:space="preserve"> </w:t>
      </w:r>
      <w:r w:rsidR="0020165D">
        <w:rPr>
          <w:rFonts w:cs="Times New Roman"/>
          <w:szCs w:val="24"/>
        </w:rPr>
        <w:t xml:space="preserve">written testimony indicated </w:t>
      </w:r>
      <w:r w:rsidRPr="00A329C2">
        <w:rPr>
          <w:rFonts w:cs="Times New Roman"/>
          <w:szCs w:val="24"/>
        </w:rPr>
        <w:t>that it is unclear what Vectren’s annual capital expenditure levels will be for the 2018-2024 period under the proposed $1.50 per month cap.</w:t>
      </w:r>
      <w:r>
        <w:rPr>
          <w:rStyle w:val="FootnoteReference"/>
          <w:rFonts w:cs="Times New Roman"/>
          <w:szCs w:val="24"/>
        </w:rPr>
        <w:footnoteReference w:id="63"/>
      </w:r>
      <w:r w:rsidRPr="00A329C2">
        <w:rPr>
          <w:rFonts w:cs="Times New Roman"/>
          <w:szCs w:val="24"/>
        </w:rPr>
        <w:t xml:space="preserve"> While Joint Exhibit 3.0 to the Settlement provides an “illustrative example” of how </w:t>
      </w:r>
      <w:r w:rsidR="001D7A35">
        <w:rPr>
          <w:rFonts w:cs="Times New Roman"/>
          <w:szCs w:val="24"/>
        </w:rPr>
        <w:t>CEP</w:t>
      </w:r>
      <w:r w:rsidRPr="00A329C2">
        <w:rPr>
          <w:rFonts w:cs="Times New Roman"/>
          <w:szCs w:val="24"/>
        </w:rPr>
        <w:t xml:space="preserve"> deferrals will be converted into rates, that example provides no information whatsoever as to the actual spending levels associated with the $1.50 per month cap.</w:t>
      </w:r>
      <w:r>
        <w:rPr>
          <w:rStyle w:val="FootnoteReference"/>
          <w:rFonts w:cs="Times New Roman"/>
          <w:szCs w:val="24"/>
        </w:rPr>
        <w:footnoteReference w:id="64"/>
      </w:r>
      <w:r w:rsidRPr="00A329C2">
        <w:rPr>
          <w:rFonts w:cs="Times New Roman"/>
          <w:szCs w:val="24"/>
        </w:rPr>
        <w:t xml:space="preserve"> </w:t>
      </w:r>
    </w:p>
    <w:p w:rsidR="002F1AD6" w:rsidP="00421855">
      <w:pPr>
        <w:ind w:firstLine="720"/>
        <w:contextualSpacing/>
        <w:rPr>
          <w:rFonts w:cs="Times New Roman"/>
          <w:szCs w:val="24"/>
        </w:rPr>
      </w:pPr>
      <w:r>
        <w:rPr>
          <w:rFonts w:cs="Times New Roman"/>
          <w:szCs w:val="24"/>
        </w:rPr>
        <w:t>Furthe</w:t>
      </w:r>
      <w:r w:rsidRPr="00A329C2">
        <w:rPr>
          <w:rFonts w:cs="Times New Roman"/>
          <w:szCs w:val="24"/>
        </w:rPr>
        <w:t xml:space="preserve">r, nothing in the Settlement or Joint Exhibit 3.0 </w:t>
      </w:r>
      <w:r>
        <w:rPr>
          <w:rFonts w:cs="Times New Roman"/>
          <w:szCs w:val="24"/>
        </w:rPr>
        <w:t>(</w:t>
      </w:r>
      <w:r>
        <w:rPr>
          <w:rFonts w:cs="Times New Roman"/>
          <w:szCs w:val="24"/>
        </w:rPr>
        <w:t>or elsewhere in the record for this case</w:t>
      </w:r>
      <w:r>
        <w:rPr>
          <w:rFonts w:cs="Times New Roman"/>
          <w:szCs w:val="24"/>
        </w:rPr>
        <w:t>)</w:t>
      </w:r>
      <w:r>
        <w:rPr>
          <w:rFonts w:cs="Times New Roman"/>
          <w:szCs w:val="24"/>
        </w:rPr>
        <w:t xml:space="preserve"> </w:t>
      </w:r>
      <w:r w:rsidRPr="00A329C2">
        <w:rPr>
          <w:rFonts w:cs="Times New Roman"/>
          <w:szCs w:val="24"/>
        </w:rPr>
        <w:t>identifies the actual, budgeted, or projected annual capital spending levels for the 2018-2024 period.</w:t>
      </w:r>
      <w:r>
        <w:rPr>
          <w:rStyle w:val="FootnoteReference"/>
          <w:rFonts w:cs="Times New Roman"/>
          <w:szCs w:val="24"/>
        </w:rPr>
        <w:footnoteReference w:id="65"/>
      </w:r>
      <w:r w:rsidRPr="00A329C2">
        <w:rPr>
          <w:rFonts w:cs="Times New Roman"/>
          <w:szCs w:val="24"/>
        </w:rPr>
        <w:t xml:space="preserve"> </w:t>
      </w:r>
      <w:r>
        <w:rPr>
          <w:rFonts w:cs="Times New Roman"/>
          <w:szCs w:val="24"/>
        </w:rPr>
        <w:t xml:space="preserve">Consequently, the Settlement’s $1.50 per month residential rate cap and one- to two-year reviews by PUCO Staff or its designee offer inadequate protection for consumers against </w:t>
      </w:r>
      <w:r w:rsidR="00DC3B7D">
        <w:rPr>
          <w:rFonts w:cs="Times New Roman"/>
          <w:szCs w:val="24"/>
        </w:rPr>
        <w:t>Vectren</w:t>
      </w:r>
      <w:r>
        <w:rPr>
          <w:rFonts w:cs="Times New Roman"/>
          <w:szCs w:val="24"/>
        </w:rPr>
        <w:t xml:space="preserve"> making unnecessary and/or imprudent CEP investments.</w:t>
      </w:r>
    </w:p>
    <w:p w:rsidR="002F1AD6" w:rsidP="00421855">
      <w:pPr>
        <w:ind w:firstLine="720"/>
        <w:contextualSpacing/>
        <w:rPr>
          <w:rFonts w:cs="Times New Roman"/>
          <w:szCs w:val="24"/>
        </w:rPr>
      </w:pPr>
      <w:r>
        <w:rPr>
          <w:rFonts w:cs="Times New Roman"/>
          <w:szCs w:val="24"/>
        </w:rPr>
        <w:t>Under cross examination, Staff witness Lipthratt admitted that Staff did not determine how much annual capital investment that the Settlement’s $1.50 per month would permit.  He describes residential rate cap as a “revenue cap” and “rate shock control mechanism” and indicates that Vectren provided no budget projections or other estimates regarding the amount of annual capital investment the Settlement CEP rate cap would permit.</w:t>
      </w:r>
      <w:r>
        <w:rPr>
          <w:rStyle w:val="FootnoteReference"/>
          <w:rFonts w:cs="Times New Roman"/>
          <w:szCs w:val="24"/>
        </w:rPr>
        <w:footnoteReference w:id="66"/>
      </w:r>
    </w:p>
    <w:p w:rsidR="002F1AD6" w:rsidP="00AB4D98">
      <w:pPr>
        <w:spacing w:line="240" w:lineRule="auto"/>
        <w:ind w:left="1440" w:hanging="720"/>
        <w:contextualSpacing/>
        <w:rPr>
          <w:rFonts w:cs="Times New Roman"/>
          <w:szCs w:val="24"/>
        </w:rPr>
      </w:pPr>
      <w:r>
        <w:rPr>
          <w:rFonts w:cs="Times New Roman"/>
          <w:szCs w:val="24"/>
        </w:rPr>
        <w:t>Q.</w:t>
      </w:r>
      <w:r>
        <w:rPr>
          <w:rFonts w:cs="Times New Roman"/>
          <w:szCs w:val="24"/>
        </w:rPr>
        <w:tab/>
        <w:t>Did Staff calculate how much annual and cumulative investment the $1.50 a month cap on CEP deferrals would permit?</w:t>
      </w:r>
    </w:p>
    <w:p w:rsidR="00AB4D98" w:rsidP="00AB4D98">
      <w:pPr>
        <w:spacing w:line="240" w:lineRule="auto"/>
        <w:ind w:left="1440" w:hanging="720"/>
        <w:contextualSpacing/>
        <w:rPr>
          <w:rFonts w:cs="Times New Roman"/>
          <w:szCs w:val="24"/>
        </w:rPr>
      </w:pPr>
    </w:p>
    <w:p w:rsidR="002F1AD6" w:rsidP="00AB4D98">
      <w:pPr>
        <w:spacing w:line="240" w:lineRule="auto"/>
        <w:ind w:left="1440" w:hanging="720"/>
        <w:contextualSpacing/>
        <w:rPr>
          <w:rFonts w:cs="Times New Roman"/>
          <w:szCs w:val="24"/>
        </w:rPr>
      </w:pPr>
      <w:r>
        <w:rPr>
          <w:rFonts w:cs="Times New Roman"/>
          <w:szCs w:val="24"/>
        </w:rPr>
        <w:t>A.</w:t>
      </w:r>
      <w:r>
        <w:rPr>
          <w:rFonts w:cs="Times New Roman"/>
          <w:szCs w:val="24"/>
        </w:rPr>
        <w:tab/>
        <w:t>That analysis has many different – is dependent on the type of capital expenditures, the depreciation associated with it.  So I think Staff’s view is that a revenue cap.  As a cost control, a rate shock control mechanism, was most appropriate.</w:t>
      </w:r>
    </w:p>
    <w:p w:rsidR="00AB4D98" w:rsidP="00AB4D98">
      <w:pPr>
        <w:spacing w:line="240" w:lineRule="auto"/>
        <w:ind w:left="1440" w:hanging="720"/>
        <w:contextualSpacing/>
        <w:rPr>
          <w:rFonts w:cs="Times New Roman"/>
          <w:szCs w:val="24"/>
        </w:rPr>
      </w:pPr>
    </w:p>
    <w:p w:rsidR="002F1AD6" w:rsidP="00AB4D98">
      <w:pPr>
        <w:spacing w:line="240" w:lineRule="auto"/>
        <w:ind w:left="1440" w:hanging="720"/>
        <w:contextualSpacing/>
        <w:rPr>
          <w:rFonts w:cs="Times New Roman"/>
          <w:szCs w:val="24"/>
        </w:rPr>
      </w:pPr>
      <w:r>
        <w:rPr>
          <w:rFonts w:cs="Times New Roman"/>
          <w:szCs w:val="24"/>
        </w:rPr>
        <w:t>Q.</w:t>
      </w:r>
      <w:r>
        <w:rPr>
          <w:rFonts w:cs="Times New Roman"/>
          <w:szCs w:val="24"/>
        </w:rPr>
        <w:tab/>
        <w:t>Did VEDO provide a projection budget or any other estimate to Staff regarding how much the annual – how much annual and cumulative investment the $1.50 cap on CEP deferrals will permit?</w:t>
      </w:r>
    </w:p>
    <w:p w:rsidR="00AB4D98" w:rsidP="00AB4D98">
      <w:pPr>
        <w:spacing w:line="240" w:lineRule="auto"/>
        <w:ind w:left="1440" w:hanging="720"/>
        <w:contextualSpacing/>
        <w:rPr>
          <w:rFonts w:cs="Times New Roman"/>
          <w:szCs w:val="24"/>
        </w:rPr>
      </w:pPr>
    </w:p>
    <w:p w:rsidR="002F1AD6" w:rsidP="00AB4D98">
      <w:pPr>
        <w:spacing w:line="240" w:lineRule="auto"/>
        <w:ind w:left="720"/>
        <w:contextualSpacing/>
        <w:rPr>
          <w:rFonts w:cs="Times New Roman"/>
          <w:szCs w:val="24"/>
        </w:rPr>
      </w:pPr>
      <w:r>
        <w:rPr>
          <w:rFonts w:cs="Times New Roman"/>
          <w:szCs w:val="24"/>
        </w:rPr>
        <w:t xml:space="preserve">A. </w:t>
      </w:r>
      <w:r>
        <w:rPr>
          <w:rFonts w:cs="Times New Roman"/>
          <w:szCs w:val="24"/>
        </w:rPr>
        <w:tab/>
        <w:t>Not to my knowledge.</w:t>
      </w:r>
    </w:p>
    <w:p w:rsidR="004B6C2F" w:rsidP="00421855">
      <w:pPr>
        <w:spacing w:line="240" w:lineRule="auto"/>
        <w:ind w:left="720"/>
        <w:contextualSpacing/>
        <w:rPr>
          <w:rFonts w:cs="Times New Roman"/>
          <w:szCs w:val="24"/>
        </w:rPr>
      </w:pPr>
    </w:p>
    <w:p w:rsidR="002F1AD6" w:rsidP="00421855">
      <w:pPr>
        <w:ind w:firstLine="720"/>
        <w:contextualSpacing/>
        <w:rPr>
          <w:rFonts w:cs="Times New Roman"/>
          <w:szCs w:val="24"/>
        </w:rPr>
      </w:pPr>
      <w:r>
        <w:rPr>
          <w:rFonts w:cs="Times New Roman"/>
          <w:szCs w:val="24"/>
        </w:rPr>
        <w:t xml:space="preserve">The inadequacy of the Settlement’s proposed $1.50 “revenue cap” and one-to two-year reviews of </w:t>
      </w:r>
      <w:r w:rsidR="00C91AF7">
        <w:rPr>
          <w:rFonts w:cs="Times New Roman"/>
          <w:szCs w:val="24"/>
        </w:rPr>
        <w:t>Vectren</w:t>
      </w:r>
      <w:r>
        <w:rPr>
          <w:rFonts w:cs="Times New Roman"/>
          <w:szCs w:val="24"/>
        </w:rPr>
        <w:t xml:space="preserve">’s CEP capital investments as cost controls is clearly demonstrated in </w:t>
      </w:r>
      <w:r w:rsidR="001D7A35">
        <w:rPr>
          <w:rFonts w:cs="Times New Roman"/>
          <w:szCs w:val="24"/>
        </w:rPr>
        <w:t xml:space="preserve">Dr. Harunuzzaman’s </w:t>
      </w:r>
      <w:r>
        <w:rPr>
          <w:rFonts w:cs="Times New Roman"/>
          <w:szCs w:val="24"/>
        </w:rPr>
        <w:t xml:space="preserve">unchallenged </w:t>
      </w:r>
      <w:r w:rsidR="0020165D">
        <w:rPr>
          <w:rFonts w:cs="Times New Roman"/>
          <w:szCs w:val="24"/>
        </w:rPr>
        <w:t xml:space="preserve">written </w:t>
      </w:r>
      <w:r>
        <w:rPr>
          <w:rFonts w:cs="Times New Roman"/>
          <w:szCs w:val="24"/>
        </w:rPr>
        <w:t xml:space="preserve">testimony.  In his Supplemental Direct Testimony, Dr. </w:t>
      </w:r>
      <w:r w:rsidR="005D2789">
        <w:rPr>
          <w:rFonts w:cs="Times New Roman"/>
          <w:szCs w:val="24"/>
        </w:rPr>
        <w:t>Harunuzzaman</w:t>
      </w:r>
      <w:r>
        <w:rPr>
          <w:rFonts w:cs="Times New Roman"/>
          <w:szCs w:val="24"/>
        </w:rPr>
        <w:t xml:space="preserve"> points out that </w:t>
      </w:r>
      <w:r w:rsidR="00C91AF7">
        <w:rPr>
          <w:rFonts w:cs="Times New Roman"/>
          <w:szCs w:val="24"/>
        </w:rPr>
        <w:t>Vectren’s</w:t>
      </w:r>
      <w:r>
        <w:rPr>
          <w:rFonts w:cs="Times New Roman"/>
          <w:szCs w:val="24"/>
        </w:rPr>
        <w:t xml:space="preserve"> prior CEP</w:t>
      </w:r>
      <w:r w:rsidR="00C91AF7">
        <w:rPr>
          <w:rFonts w:cs="Times New Roman"/>
          <w:szCs w:val="24"/>
        </w:rPr>
        <w:t>,</w:t>
      </w:r>
      <w:r>
        <w:rPr>
          <w:rFonts w:cs="Times New Roman"/>
          <w:szCs w:val="24"/>
        </w:rPr>
        <w:t xml:space="preserve"> approved in Case Nos. 12-530-GA-UNC and 13-1890-GA-UNC</w:t>
      </w:r>
      <w:r w:rsidR="00C91AF7">
        <w:rPr>
          <w:rFonts w:cs="Times New Roman"/>
          <w:szCs w:val="24"/>
        </w:rPr>
        <w:t>,</w:t>
      </w:r>
      <w:r>
        <w:rPr>
          <w:rFonts w:cs="Times New Roman"/>
          <w:szCs w:val="24"/>
        </w:rPr>
        <w:t xml:space="preserve"> also included a $1.50 per month residential rate cap similar to what is proposed in this case.  He points out that in 2013, </w:t>
      </w:r>
      <w:r w:rsidR="00C91AF7">
        <w:rPr>
          <w:rFonts w:cs="Times New Roman"/>
          <w:szCs w:val="24"/>
        </w:rPr>
        <w:t>Vectren</w:t>
      </w:r>
      <w:r>
        <w:rPr>
          <w:rFonts w:cs="Times New Roman"/>
          <w:szCs w:val="24"/>
        </w:rPr>
        <w:t xml:space="preserve"> invested approximately $2</w:t>
      </w:r>
      <w:r w:rsidR="00EA1981">
        <w:rPr>
          <w:rFonts w:cs="Times New Roman"/>
          <w:szCs w:val="24"/>
        </w:rPr>
        <w:t>1</w:t>
      </w:r>
      <w:r>
        <w:rPr>
          <w:rFonts w:cs="Times New Roman"/>
          <w:szCs w:val="24"/>
        </w:rPr>
        <w:t>.</w:t>
      </w:r>
      <w:r w:rsidR="00EA1981">
        <w:rPr>
          <w:rFonts w:cs="Times New Roman"/>
          <w:szCs w:val="24"/>
        </w:rPr>
        <w:t>1</w:t>
      </w:r>
      <w:r>
        <w:rPr>
          <w:rFonts w:cs="Times New Roman"/>
          <w:szCs w:val="24"/>
        </w:rPr>
        <w:t xml:space="preserve"> million in its CEP, which encompassed all of </w:t>
      </w:r>
      <w:r w:rsidR="00C91AF7">
        <w:rPr>
          <w:rFonts w:cs="Times New Roman"/>
          <w:szCs w:val="24"/>
        </w:rPr>
        <w:t>Vectren</w:t>
      </w:r>
      <w:r>
        <w:rPr>
          <w:rFonts w:cs="Times New Roman"/>
          <w:szCs w:val="24"/>
        </w:rPr>
        <w:t xml:space="preserve">’s capital investments </w:t>
      </w:r>
      <w:r w:rsidR="001D7A35">
        <w:rPr>
          <w:rFonts w:cs="Times New Roman"/>
          <w:szCs w:val="24"/>
        </w:rPr>
        <w:t xml:space="preserve">in that year </w:t>
      </w:r>
      <w:r>
        <w:rPr>
          <w:rFonts w:cs="Times New Roman"/>
          <w:szCs w:val="24"/>
        </w:rPr>
        <w:t>that were not already recovered under its DR</w:t>
      </w:r>
      <w:r w:rsidR="00DC3B7D">
        <w:rPr>
          <w:rFonts w:cs="Times New Roman"/>
          <w:szCs w:val="24"/>
        </w:rPr>
        <w:t>R</w:t>
      </w:r>
      <w:r>
        <w:rPr>
          <w:rFonts w:cs="Times New Roman"/>
          <w:szCs w:val="24"/>
        </w:rPr>
        <w:t xml:space="preserve"> program.  Yet, only </w:t>
      </w:r>
      <w:r w:rsidR="001D7A35">
        <w:rPr>
          <w:rFonts w:cs="Times New Roman"/>
          <w:szCs w:val="24"/>
        </w:rPr>
        <w:t xml:space="preserve">five </w:t>
      </w:r>
      <w:r>
        <w:rPr>
          <w:rFonts w:cs="Times New Roman"/>
          <w:szCs w:val="24"/>
        </w:rPr>
        <w:t xml:space="preserve">years later in 2017, </w:t>
      </w:r>
      <w:r w:rsidR="00E02B01">
        <w:rPr>
          <w:rFonts w:cs="Times New Roman"/>
          <w:szCs w:val="24"/>
        </w:rPr>
        <w:t>Vectren</w:t>
      </w:r>
      <w:r>
        <w:rPr>
          <w:rFonts w:cs="Times New Roman"/>
          <w:szCs w:val="24"/>
        </w:rPr>
        <w:t xml:space="preserve">’s annual CEP capital expenditures </w:t>
      </w:r>
      <w:r w:rsidR="008A0606">
        <w:rPr>
          <w:rFonts w:cs="Times New Roman"/>
          <w:szCs w:val="24"/>
        </w:rPr>
        <w:t xml:space="preserve">increased considerably </w:t>
      </w:r>
      <w:r>
        <w:rPr>
          <w:rFonts w:cs="Times New Roman"/>
          <w:szCs w:val="24"/>
        </w:rPr>
        <w:t xml:space="preserve">to more than </w:t>
      </w:r>
      <w:r w:rsidR="00EA1981">
        <w:rPr>
          <w:rFonts w:cs="Times New Roman"/>
          <w:szCs w:val="24"/>
        </w:rPr>
        <w:t>$</w:t>
      </w:r>
      <w:r>
        <w:rPr>
          <w:rFonts w:cs="Times New Roman"/>
          <w:szCs w:val="24"/>
        </w:rPr>
        <w:t xml:space="preserve">69.7 million.  As Dr. </w:t>
      </w:r>
      <w:r w:rsidR="005D2789">
        <w:rPr>
          <w:rFonts w:cs="Times New Roman"/>
          <w:szCs w:val="24"/>
        </w:rPr>
        <w:t>Harunuzzaman</w:t>
      </w:r>
      <w:r w:rsidR="00DC3B7D">
        <w:rPr>
          <w:rFonts w:cs="Times New Roman"/>
          <w:szCs w:val="24"/>
        </w:rPr>
        <w:t>’s</w:t>
      </w:r>
      <w:r>
        <w:rPr>
          <w:rFonts w:cs="Times New Roman"/>
          <w:szCs w:val="24"/>
        </w:rPr>
        <w:t xml:space="preserve"> </w:t>
      </w:r>
      <w:r w:rsidR="0020165D">
        <w:rPr>
          <w:rFonts w:cs="Times New Roman"/>
          <w:szCs w:val="24"/>
        </w:rPr>
        <w:t>testimony reflected</w:t>
      </w:r>
      <w:r>
        <w:rPr>
          <w:rFonts w:cs="Times New Roman"/>
          <w:szCs w:val="24"/>
        </w:rPr>
        <w:t xml:space="preserve">, it is difficult to envision that conditions changed so much that it became necessary for </w:t>
      </w:r>
      <w:r w:rsidR="00E02B01">
        <w:rPr>
          <w:rFonts w:cs="Times New Roman"/>
          <w:szCs w:val="24"/>
        </w:rPr>
        <w:t>Vectren</w:t>
      </w:r>
      <w:r>
        <w:rPr>
          <w:rFonts w:cs="Times New Roman"/>
          <w:szCs w:val="24"/>
        </w:rPr>
        <w:t xml:space="preserve"> to increase its annual CEP investment by 230% after only a short </w:t>
      </w:r>
      <w:r w:rsidR="008A0606">
        <w:rPr>
          <w:rFonts w:cs="Times New Roman"/>
          <w:szCs w:val="24"/>
        </w:rPr>
        <w:t>five</w:t>
      </w:r>
      <w:r>
        <w:rPr>
          <w:rFonts w:cs="Times New Roman"/>
          <w:szCs w:val="24"/>
        </w:rPr>
        <w:t>-year period.</w:t>
      </w:r>
      <w:r>
        <w:rPr>
          <w:rStyle w:val="FootnoteReference"/>
          <w:rFonts w:cs="Times New Roman"/>
          <w:szCs w:val="24"/>
        </w:rPr>
        <w:footnoteReference w:id="67"/>
      </w:r>
      <w:r>
        <w:rPr>
          <w:rFonts w:cs="Times New Roman"/>
          <w:szCs w:val="24"/>
        </w:rPr>
        <w:t xml:space="preserve">  </w:t>
      </w:r>
    </w:p>
    <w:p w:rsidR="002F1AD6" w:rsidP="00421855">
      <w:pPr>
        <w:ind w:firstLine="720"/>
        <w:contextualSpacing/>
        <w:rPr>
          <w:rFonts w:cs="Times New Roman"/>
          <w:szCs w:val="24"/>
        </w:rPr>
      </w:pPr>
      <w:r>
        <w:rPr>
          <w:rFonts w:cs="Times New Roman"/>
          <w:szCs w:val="24"/>
        </w:rPr>
        <w:t xml:space="preserve">One possibility is that </w:t>
      </w:r>
      <w:r w:rsidR="00E02B01">
        <w:rPr>
          <w:rFonts w:cs="Times New Roman"/>
          <w:szCs w:val="24"/>
        </w:rPr>
        <w:t>Vectren</w:t>
      </w:r>
      <w:r>
        <w:rPr>
          <w:rFonts w:cs="Times New Roman"/>
          <w:szCs w:val="24"/>
        </w:rPr>
        <w:t xml:space="preserve"> recognized that it had room under the CEP rate cap to markedly increase its capital spending while still staying under that cap, regardless of whether the additional spending was actually necessary.  After</w:t>
      </w:r>
      <w:r w:rsidR="00E02B01">
        <w:rPr>
          <w:rFonts w:cs="Times New Roman"/>
          <w:szCs w:val="24"/>
        </w:rPr>
        <w:t xml:space="preserve"> </w:t>
      </w:r>
      <w:r>
        <w:rPr>
          <w:rFonts w:cs="Times New Roman"/>
          <w:szCs w:val="24"/>
        </w:rPr>
        <w:t xml:space="preserve">all, </w:t>
      </w:r>
      <w:r w:rsidR="00E02B01">
        <w:rPr>
          <w:rFonts w:cs="Times New Roman"/>
          <w:szCs w:val="24"/>
        </w:rPr>
        <w:t>Vectren</w:t>
      </w:r>
      <w:r>
        <w:rPr>
          <w:rFonts w:cs="Times New Roman"/>
          <w:szCs w:val="24"/>
        </w:rPr>
        <w:t xml:space="preserve"> will be fully reimbursed and earn a rate of return on its investments as its depreciation and property tax expenses and capitalized interest (in the form of post in-service carrying costs) were deferred for future recovery</w:t>
      </w:r>
      <w:r w:rsidR="00E02B01">
        <w:rPr>
          <w:rFonts w:cs="Times New Roman"/>
          <w:szCs w:val="24"/>
        </w:rPr>
        <w:t>.  A</w:t>
      </w:r>
      <w:r>
        <w:rPr>
          <w:rFonts w:cs="Times New Roman"/>
          <w:szCs w:val="24"/>
        </w:rPr>
        <w:t xml:space="preserve">nd </w:t>
      </w:r>
      <w:r w:rsidR="00E02B01">
        <w:rPr>
          <w:rFonts w:cs="Times New Roman"/>
          <w:szCs w:val="24"/>
        </w:rPr>
        <w:t>Vectren’s</w:t>
      </w:r>
      <w:r>
        <w:rPr>
          <w:rFonts w:cs="Times New Roman"/>
          <w:szCs w:val="24"/>
        </w:rPr>
        <w:t xml:space="preserve"> investments will be fully reimbursed (plus interest) and it will earn a rate of return on the additional CEP investments in the instant case.  </w:t>
      </w:r>
    </w:p>
    <w:p w:rsidR="00E02B01" w:rsidP="00E02B01">
      <w:pPr>
        <w:ind w:firstLine="720"/>
        <w:contextualSpacing/>
        <w:rPr>
          <w:rFonts w:cs="Times New Roman"/>
          <w:szCs w:val="24"/>
        </w:rPr>
      </w:pPr>
      <w:r>
        <w:rPr>
          <w:rFonts w:cs="Times New Roman"/>
          <w:szCs w:val="24"/>
        </w:rPr>
        <w:t xml:space="preserve">The Settlement’s proposed rate cap may establish the maximum level that </w:t>
      </w:r>
      <w:r>
        <w:rPr>
          <w:rFonts w:cs="Times New Roman"/>
          <w:szCs w:val="24"/>
        </w:rPr>
        <w:t>Vectren</w:t>
      </w:r>
      <w:r>
        <w:rPr>
          <w:rFonts w:cs="Times New Roman"/>
          <w:szCs w:val="24"/>
        </w:rPr>
        <w:t xml:space="preserve"> can invest in its CEP, but it should not serve as a guaranteed source of revenue for </w:t>
      </w:r>
      <w:r>
        <w:rPr>
          <w:rFonts w:cs="Times New Roman"/>
          <w:szCs w:val="24"/>
        </w:rPr>
        <w:t>Vectren</w:t>
      </w:r>
      <w:r>
        <w:rPr>
          <w:rFonts w:cs="Times New Roman"/>
          <w:szCs w:val="24"/>
        </w:rPr>
        <w:t xml:space="preserve"> as long as its CEP investments stay below the cap.  The necessity and prudence of all CEP investment should still be rigorously reviewed regardless </w:t>
      </w:r>
      <w:r>
        <w:rPr>
          <w:rFonts w:cs="Times New Roman"/>
          <w:szCs w:val="24"/>
        </w:rPr>
        <w:t xml:space="preserve">of </w:t>
      </w:r>
      <w:r>
        <w:rPr>
          <w:rFonts w:cs="Times New Roman"/>
          <w:szCs w:val="24"/>
        </w:rPr>
        <w:t>whether the investment level is below the cap.  The Settlement’s provision for only a one-</w:t>
      </w:r>
      <w:r w:rsidR="00DC3B7D">
        <w:rPr>
          <w:rFonts w:cs="Times New Roman"/>
          <w:szCs w:val="24"/>
        </w:rPr>
        <w:t xml:space="preserve"> </w:t>
      </w:r>
      <w:r>
        <w:rPr>
          <w:rFonts w:cs="Times New Roman"/>
          <w:szCs w:val="24"/>
        </w:rPr>
        <w:t xml:space="preserve">to two-year review by Staff or its designee is insufficient. As Dr. </w:t>
      </w:r>
      <w:r w:rsidR="004B6C2F">
        <w:rPr>
          <w:rFonts w:cs="Times New Roman"/>
          <w:szCs w:val="24"/>
        </w:rPr>
        <w:t>Harunuzzaman</w:t>
      </w:r>
      <w:r>
        <w:rPr>
          <w:rFonts w:cs="Times New Roman"/>
          <w:szCs w:val="24"/>
        </w:rPr>
        <w:t xml:space="preserve"> recommends, a review of the necessity and prudence of </w:t>
      </w:r>
      <w:r w:rsidR="00DC3B7D">
        <w:rPr>
          <w:rFonts w:cs="Times New Roman"/>
          <w:szCs w:val="24"/>
        </w:rPr>
        <w:t>Vectren</w:t>
      </w:r>
      <w:r>
        <w:rPr>
          <w:rFonts w:cs="Times New Roman"/>
          <w:szCs w:val="24"/>
        </w:rPr>
        <w:t>’s CEP investments should be conducted every year</w:t>
      </w:r>
      <w:r>
        <w:rPr>
          <w:rFonts w:cs="Times New Roman"/>
          <w:szCs w:val="24"/>
        </w:rPr>
        <w:t>.  T</w:t>
      </w:r>
      <w:r>
        <w:rPr>
          <w:rFonts w:cs="Times New Roman"/>
          <w:szCs w:val="24"/>
        </w:rPr>
        <w:t xml:space="preserve">he review should be conducted by an independent third-party consultant paid for by </w:t>
      </w:r>
      <w:r>
        <w:rPr>
          <w:rFonts w:cs="Times New Roman"/>
          <w:szCs w:val="24"/>
        </w:rPr>
        <w:t>Vectren</w:t>
      </w:r>
      <w:r>
        <w:rPr>
          <w:rFonts w:cs="Times New Roman"/>
          <w:szCs w:val="24"/>
        </w:rPr>
        <w:t>’s shareholders (not ratepayers) with expertise in natural gas pipeline operations, systems, engineering, and construction</w:t>
      </w:r>
      <w:r>
        <w:rPr>
          <w:rFonts w:cs="Times New Roman"/>
          <w:szCs w:val="24"/>
        </w:rPr>
        <w:t>,</w:t>
      </w:r>
      <w:r>
        <w:rPr>
          <w:rFonts w:cs="Times New Roman"/>
          <w:szCs w:val="24"/>
        </w:rPr>
        <w:t xml:space="preserve"> as well as ratemaking principles associated with utility capital investments.  This type of review is consistent with R.C. 4929.111(C)</w:t>
      </w:r>
      <w:r>
        <w:rPr>
          <w:rFonts w:cs="Times New Roman"/>
          <w:szCs w:val="24"/>
        </w:rPr>
        <w:t>.</w:t>
      </w:r>
      <w:r>
        <w:rPr>
          <w:rStyle w:val="FootnoteReference"/>
          <w:rFonts w:cs="Times New Roman"/>
          <w:szCs w:val="24"/>
        </w:rPr>
        <w:footnoteReference w:id="68"/>
      </w:r>
    </w:p>
    <w:p w:rsidR="000D7842" w:rsidP="00E02B01">
      <w:pPr>
        <w:ind w:firstLine="720"/>
        <w:contextualSpacing/>
        <w:rPr>
          <w:rFonts w:cs="Times New Roman"/>
          <w:szCs w:val="24"/>
        </w:rPr>
      </w:pPr>
      <w:r>
        <w:rPr>
          <w:rFonts w:cs="Times New Roman"/>
          <w:szCs w:val="24"/>
        </w:rPr>
        <w:t>The PUCO should</w:t>
      </w:r>
      <w:r w:rsidR="002F1AD6">
        <w:rPr>
          <w:rFonts w:cs="Times New Roman"/>
          <w:szCs w:val="24"/>
        </w:rPr>
        <w:t xml:space="preserve"> also specifically consider whether </w:t>
      </w:r>
      <w:r>
        <w:rPr>
          <w:rFonts w:cs="Times New Roman"/>
          <w:szCs w:val="24"/>
        </w:rPr>
        <w:t>Vectren</w:t>
      </w:r>
      <w:r w:rsidR="002F1AD6">
        <w:rPr>
          <w:rFonts w:cs="Times New Roman"/>
          <w:szCs w:val="24"/>
        </w:rPr>
        <w:t xml:space="preserve"> appropriately determined, </w:t>
      </w:r>
      <w:r w:rsidR="00DC3B7D">
        <w:rPr>
          <w:rFonts w:cs="Times New Roman"/>
          <w:szCs w:val="24"/>
        </w:rPr>
        <w:t>before</w:t>
      </w:r>
      <w:r w:rsidR="002F1AD6">
        <w:rPr>
          <w:rFonts w:cs="Times New Roman"/>
          <w:szCs w:val="24"/>
        </w:rPr>
        <w:t xml:space="preserve"> making any CEP investments, that </w:t>
      </w:r>
      <w:r>
        <w:rPr>
          <w:rFonts w:cs="Times New Roman"/>
          <w:szCs w:val="24"/>
        </w:rPr>
        <w:t>the</w:t>
      </w:r>
      <w:r w:rsidR="002F1AD6">
        <w:rPr>
          <w:rFonts w:cs="Times New Roman"/>
          <w:szCs w:val="24"/>
        </w:rPr>
        <w:t xml:space="preserve"> investments </w:t>
      </w:r>
      <w:r>
        <w:rPr>
          <w:rFonts w:cs="Times New Roman"/>
          <w:szCs w:val="24"/>
        </w:rPr>
        <w:t>are</w:t>
      </w:r>
      <w:r w:rsidR="002F1AD6">
        <w:rPr>
          <w:rFonts w:cs="Times New Roman"/>
          <w:szCs w:val="24"/>
        </w:rPr>
        <w:t xml:space="preserve"> in fact necessary, just</w:t>
      </w:r>
      <w:r>
        <w:rPr>
          <w:rFonts w:cs="Times New Roman"/>
          <w:szCs w:val="24"/>
        </w:rPr>
        <w:t>,</w:t>
      </w:r>
      <w:r w:rsidR="002F1AD6">
        <w:rPr>
          <w:rFonts w:cs="Times New Roman"/>
          <w:szCs w:val="24"/>
        </w:rPr>
        <w:t xml:space="preserve"> and reasonable. This is the minimum level of oversight that the PUCO should employ considering the massive increases in annual capital spending observed in </w:t>
      </w:r>
      <w:r>
        <w:rPr>
          <w:rFonts w:cs="Times New Roman"/>
          <w:szCs w:val="24"/>
        </w:rPr>
        <w:t>Vectren</w:t>
      </w:r>
      <w:r w:rsidR="002F1AD6">
        <w:rPr>
          <w:rFonts w:cs="Times New Roman"/>
          <w:szCs w:val="24"/>
        </w:rPr>
        <w:t>’s prior CEP despite a $1.50 per month residential rate cap.</w:t>
      </w:r>
    </w:p>
    <w:p w:rsidR="002F1AD6" w:rsidP="00E02B01">
      <w:pPr>
        <w:ind w:firstLine="720"/>
        <w:contextualSpacing/>
        <w:rPr>
          <w:rFonts w:cs="Times New Roman"/>
          <w:szCs w:val="24"/>
        </w:rPr>
      </w:pPr>
      <w:r>
        <w:rPr>
          <w:rFonts w:cs="Times New Roman"/>
          <w:szCs w:val="24"/>
        </w:rPr>
        <w:t xml:space="preserve"> </w:t>
      </w:r>
      <w:r w:rsidR="000D7842">
        <w:rPr>
          <w:rFonts w:cs="Times New Roman"/>
          <w:szCs w:val="24"/>
        </w:rPr>
        <w:t xml:space="preserve">The spending sought by Vectren under its CEP is not in the public interest and violates important regulatory principles because the amount of spending is unknown and there is insufficient oversight.  OCC’s recommendations governing the CEP program should be adopted. </w:t>
      </w:r>
    </w:p>
    <w:p w:rsidR="002F1AD6" w:rsidRPr="002F1AD6" w:rsidP="00E02B01">
      <w:pPr>
        <w:pStyle w:val="Heading2"/>
      </w:pPr>
      <w:bookmarkStart w:id="17" w:name="_Toc6316209"/>
      <w:bookmarkStart w:id="18" w:name="_Toc6910664"/>
      <w:r w:rsidRPr="0060506D">
        <w:t>The Settlement’s Rate of Return is not in the Public Interest because it relies on forecasted interest rates.</w:t>
      </w:r>
      <w:bookmarkEnd w:id="17"/>
      <w:bookmarkEnd w:id="18"/>
    </w:p>
    <w:p w:rsidR="000D7842" w:rsidP="000D7842">
      <w:pPr>
        <w:ind w:firstLine="720"/>
      </w:pPr>
      <w:r w:rsidRPr="00A329C2">
        <w:t xml:space="preserve">State regulatory policy directs that customers should not pay any more than what is just and reasonable to support </w:t>
      </w:r>
      <w:r>
        <w:t>a utility’s</w:t>
      </w:r>
      <w:r w:rsidRPr="00A329C2">
        <w:t xml:space="preserve"> operations and allow the </w:t>
      </w:r>
      <w:r>
        <w:t>u</w:t>
      </w:r>
      <w:r w:rsidRPr="00A329C2">
        <w:t>tility the opportunity to earn a reasonable profit.</w:t>
      </w:r>
      <w:r>
        <w:rPr>
          <w:rStyle w:val="FootnoteReference"/>
          <w:rFonts w:cs="Times New Roman"/>
          <w:szCs w:val="24"/>
        </w:rPr>
        <w:footnoteReference w:id="69"/>
      </w:r>
      <w:r w:rsidRPr="00A329C2">
        <w:t xml:space="preserve"> OCC </w:t>
      </w:r>
      <w:r w:rsidR="00DC3B7D">
        <w:t>W</w:t>
      </w:r>
      <w:r w:rsidRPr="00A329C2">
        <w:t>itness Hecker</w:t>
      </w:r>
      <w:r>
        <w:t>, utilizing a traditional and more widely accepted methodology,</w:t>
      </w:r>
      <w:r w:rsidRPr="00A329C2">
        <w:t xml:space="preserve"> demonstrated that a reasonable rate of return </w:t>
      </w:r>
      <w:r>
        <w:t xml:space="preserve">based on an analysis of </w:t>
      </w:r>
      <w:r w:rsidRPr="00BE611B">
        <w:rPr>
          <w:i/>
        </w:rPr>
        <w:t>current</w:t>
      </w:r>
      <w:r>
        <w:t xml:space="preserve"> risk and financial market conditions </w:t>
      </w:r>
      <w:r w:rsidRPr="00A329C2">
        <w:t xml:space="preserve">would be </w:t>
      </w:r>
      <w:r>
        <w:t>in the range of 6.47% to 6.98%,</w:t>
      </w:r>
      <w:r w:rsidRPr="00A329C2">
        <w:t xml:space="preserve"> which would accomplish this regulatory directive. At the same time, the rate of return used in any riders with a return on capital investments (or rate base) should be adjusted accordingly.</w:t>
      </w:r>
      <w:r>
        <w:rPr>
          <w:rStyle w:val="FootnoteReference"/>
          <w:rFonts w:cs="Times New Roman"/>
          <w:szCs w:val="24"/>
        </w:rPr>
        <w:footnoteReference w:id="70"/>
      </w:r>
      <w:r>
        <w:t xml:space="preserve"> </w:t>
      </w:r>
    </w:p>
    <w:p w:rsidR="002F1AD6" w:rsidP="00421855">
      <w:pPr>
        <w:ind w:firstLine="720"/>
      </w:pPr>
      <w:r>
        <w:t>Vectren recognized in its post-hearing brief that the ratemaking laws require the PUCO to determine “a fair and reasonable rate of return to the utility on the [rate base] valuation</w:t>
      </w:r>
      <w:r w:rsidR="00E02B01">
        <w:t>[.]</w:t>
      </w:r>
      <w:r>
        <w:t>”</w:t>
      </w:r>
      <w:r>
        <w:rPr>
          <w:rStyle w:val="FootnoteReference"/>
          <w:rFonts w:cs="Times New Roman"/>
          <w:bCs/>
          <w:szCs w:val="24"/>
        </w:rPr>
        <w:footnoteReference w:id="71"/>
      </w:r>
      <w:r>
        <w:t xml:space="preserve"> </w:t>
      </w:r>
      <w:r w:rsidR="00E02B01">
        <w:t>B</w:t>
      </w:r>
      <w:r>
        <w:t xml:space="preserve">ut here the stipulated </w:t>
      </w:r>
      <w:r w:rsidR="00E02B01">
        <w:t>rate of return</w:t>
      </w:r>
      <w:r>
        <w:t xml:space="preserve"> of 7.48% is unreasonable because it uses forecasted interest rates. Vectren’s rate of return on rate base valuation is not based on a specific period of time as determined by the test periods and date certain. On cross-examination, Staff </w:t>
      </w:r>
      <w:r w:rsidR="00DC3B7D">
        <w:t>W</w:t>
      </w:r>
      <w:r>
        <w:t>itness Buckley testified that “in calculating a rate of return, you’re calculating something that’s going on into the future, so I don’t believe using forecasted interest rates is inappropriate at all.”</w:t>
      </w:r>
      <w:r>
        <w:rPr>
          <w:rStyle w:val="FootnoteReference"/>
          <w:rFonts w:cs="Times New Roman"/>
          <w:bCs/>
          <w:szCs w:val="24"/>
        </w:rPr>
        <w:footnoteReference w:id="72"/>
      </w:r>
      <w:r>
        <w:t xml:space="preserve"> This statement reflects a fundamental misunderstanding of the setting of rate of return for public utilities. Neither the Staff </w:t>
      </w:r>
      <w:r w:rsidR="0020165D">
        <w:t>n</w:t>
      </w:r>
      <w:r>
        <w:t>or anyone else in this proceeding is in the business of doing economic forecasting. The setting of a reasonable rate of return is based on the current financial market condition</w:t>
      </w:r>
      <w:r w:rsidR="00E02B01">
        <w:t>s</w:t>
      </w:r>
      <w:r>
        <w:t>, not on what the financial market condition may be in the future.</w:t>
      </w:r>
    </w:p>
    <w:p w:rsidR="002F1AD6" w:rsidP="006B70B4">
      <w:pPr>
        <w:ind w:firstLine="720"/>
      </w:pPr>
      <w:r>
        <w:t xml:space="preserve">The fundamental and well-established regulatory principle of setting rates of return based on current market conditions and business and financial risks facing the regulated utilities was established in the case of </w:t>
      </w:r>
      <w:r w:rsidRPr="00E02B01">
        <w:rPr>
          <w:i/>
        </w:rPr>
        <w:t>Bluefield Water Works v. Public Service Comm’n</w:t>
      </w:r>
      <w:r>
        <w:t xml:space="preserve">, 262 U.S. 679 (1923). In </w:t>
      </w:r>
      <w:r w:rsidRPr="00E02B01">
        <w:rPr>
          <w:i/>
        </w:rPr>
        <w:t>Bluefield</w:t>
      </w:r>
      <w:r>
        <w:t>, the U.S. Supreme Court ruled that:</w:t>
      </w:r>
    </w:p>
    <w:p w:rsidR="002F1AD6" w:rsidP="00421855">
      <w:pPr>
        <w:suppressLineNumbers/>
        <w:spacing w:line="240" w:lineRule="auto"/>
        <w:ind w:left="1440" w:right="1440"/>
        <w:jc w:val="both"/>
        <w:rPr>
          <w:rFonts w:eastAsia="Times New Roman"/>
        </w:rPr>
      </w:pPr>
      <w:bookmarkStart w:id="19" w:name="_Hlk6229187"/>
      <w:r>
        <w:t xml:space="preserve">A public utility is entitled to such rates as will permit it to earn a return on the value of the property which it employs for the convenience of the public </w:t>
      </w:r>
      <w:r w:rsidRPr="00C41DA3">
        <w:rPr>
          <w:b/>
        </w:rPr>
        <w:t xml:space="preserve">equal to that generally being made at the same time </w:t>
      </w:r>
      <w:r w:rsidRPr="0099782B">
        <w:t>and in the same general part of the country on investments in other business undertakings which are attended by corresponding risks and uncertainties</w:t>
      </w:r>
      <w:r>
        <w:t xml:space="preserve">;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 management, to maintain and support its credit and enable it to raise the money necessary for the proper discharge of its public duties. </w:t>
      </w:r>
      <w:r w:rsidRPr="00C41DA3">
        <w:rPr>
          <w:b/>
        </w:rPr>
        <w:t>A rate of return may be reasonable at one time and become too high or too low by changes affecting opportunities for investment, the money market, and business conditions generally</w:t>
      </w:r>
      <w:r>
        <w:t xml:space="preserve">. </w:t>
      </w:r>
      <w:r w:rsidRPr="00D0652A">
        <w:t>(emphasis added)</w:t>
      </w:r>
      <w:r>
        <w:t xml:space="preserve">  </w:t>
      </w:r>
      <w:r>
        <w:rPr>
          <w:rFonts w:eastAsia="Times New Roman"/>
        </w:rPr>
        <w:t xml:space="preserve"> </w:t>
      </w:r>
    </w:p>
    <w:p w:rsidR="006B70B4" w:rsidP="006B70B4">
      <w:pPr>
        <w:spacing w:line="240" w:lineRule="auto"/>
        <w:ind w:firstLine="720"/>
      </w:pPr>
    </w:p>
    <w:p w:rsidR="002F1AD6" w:rsidP="00421855">
      <w:pPr>
        <w:ind w:firstLine="720"/>
        <w:rPr>
          <w:rFonts w:cs="Times New Roman"/>
          <w:szCs w:val="24"/>
        </w:rPr>
      </w:pPr>
      <w:r>
        <w:t xml:space="preserve">Following </w:t>
      </w:r>
      <w:r w:rsidRPr="00E02B01">
        <w:rPr>
          <w:i/>
        </w:rPr>
        <w:t>Bluefield</w:t>
      </w:r>
      <w:r>
        <w:t xml:space="preserve">, typically the PUCO has authorized </w:t>
      </w:r>
      <w:r w:rsidR="00E02B01">
        <w:rPr>
          <w:rFonts w:cs="Times New Roman"/>
          <w:szCs w:val="24"/>
        </w:rPr>
        <w:t>rates of return</w:t>
      </w:r>
      <w:r w:rsidRPr="00A329C2">
        <w:rPr>
          <w:rFonts w:cs="Times New Roman"/>
          <w:szCs w:val="24"/>
        </w:rPr>
        <w:t xml:space="preserve"> that were calculated based on </w:t>
      </w:r>
      <w:r w:rsidRPr="00E02B01">
        <w:rPr>
          <w:rFonts w:cs="Times New Roman"/>
          <w:i/>
          <w:szCs w:val="24"/>
        </w:rPr>
        <w:t>current</w:t>
      </w:r>
      <w:r w:rsidRPr="00A329C2">
        <w:rPr>
          <w:rFonts w:cs="Times New Roman"/>
          <w:szCs w:val="24"/>
        </w:rPr>
        <w:t xml:space="preserve"> risk and financial market conditions and not based on a </w:t>
      </w:r>
      <w:r w:rsidRPr="00E02B01">
        <w:rPr>
          <w:rFonts w:cs="Times New Roman"/>
          <w:i/>
          <w:szCs w:val="24"/>
        </w:rPr>
        <w:t>future</w:t>
      </w:r>
      <w:r w:rsidRPr="00A329C2">
        <w:rPr>
          <w:rFonts w:cs="Times New Roman"/>
          <w:szCs w:val="24"/>
        </w:rPr>
        <w:t xml:space="preserve"> </w:t>
      </w:r>
      <w:r w:rsidRPr="00E02B01">
        <w:rPr>
          <w:rFonts w:cs="Times New Roman"/>
          <w:i/>
          <w:szCs w:val="24"/>
        </w:rPr>
        <w:t>forecast</w:t>
      </w:r>
      <w:r w:rsidRPr="00A329C2">
        <w:rPr>
          <w:rFonts w:cs="Times New Roman"/>
          <w:szCs w:val="24"/>
        </w:rPr>
        <w:t xml:space="preserve"> or on </w:t>
      </w:r>
      <w:r w:rsidRPr="00E02B01">
        <w:rPr>
          <w:rFonts w:cs="Times New Roman"/>
          <w:i/>
          <w:szCs w:val="24"/>
        </w:rPr>
        <w:t>projections</w:t>
      </w:r>
      <w:r w:rsidRPr="00A329C2">
        <w:rPr>
          <w:rFonts w:cs="Times New Roman"/>
          <w:szCs w:val="24"/>
        </w:rPr>
        <w:t xml:space="preserve"> of what might happen.</w:t>
      </w:r>
      <w:r>
        <w:rPr>
          <w:rStyle w:val="FootnoteReference"/>
          <w:rFonts w:cs="Times New Roman"/>
          <w:szCs w:val="24"/>
        </w:rPr>
        <w:footnoteReference w:id="73"/>
      </w:r>
      <w:r w:rsidRPr="00A329C2">
        <w:rPr>
          <w:rFonts w:cs="Times New Roman"/>
          <w:szCs w:val="24"/>
        </w:rPr>
        <w:t xml:space="preserve"> Both Staff and OCC have typically used the same method of calculating the </w:t>
      </w:r>
      <w:r w:rsidR="00E02B01">
        <w:rPr>
          <w:rFonts w:cs="Times New Roman"/>
          <w:szCs w:val="24"/>
        </w:rPr>
        <w:t>return on equity</w:t>
      </w:r>
      <w:r w:rsidRPr="00A329C2">
        <w:rPr>
          <w:rFonts w:cs="Times New Roman"/>
          <w:szCs w:val="24"/>
        </w:rPr>
        <w:t xml:space="preserve">, which </w:t>
      </w:r>
      <w:r w:rsidR="00E02B01">
        <w:rPr>
          <w:rFonts w:cs="Times New Roman"/>
          <w:szCs w:val="24"/>
        </w:rPr>
        <w:t>has been based</w:t>
      </w:r>
      <w:r w:rsidRPr="00A329C2">
        <w:rPr>
          <w:rFonts w:cs="Times New Roman"/>
          <w:szCs w:val="24"/>
        </w:rPr>
        <w:t xml:space="preserve"> on a historical average of the daily 10-year and 30-year treasury yield for a “risk-free” rate.</w:t>
      </w:r>
      <w:r>
        <w:rPr>
          <w:rStyle w:val="FootnoteReference"/>
          <w:rFonts w:cs="Times New Roman"/>
          <w:szCs w:val="24"/>
        </w:rPr>
        <w:footnoteReference w:id="74"/>
      </w:r>
      <w:r w:rsidRPr="00A329C2">
        <w:rPr>
          <w:rFonts w:cs="Times New Roman"/>
          <w:szCs w:val="24"/>
        </w:rPr>
        <w:t xml:space="preserve"> </w:t>
      </w:r>
      <w:r w:rsidR="00E02B01">
        <w:rPr>
          <w:rFonts w:cs="Times New Roman"/>
          <w:szCs w:val="24"/>
        </w:rPr>
        <w:t xml:space="preserve">But </w:t>
      </w:r>
      <w:r w:rsidRPr="00A329C2">
        <w:rPr>
          <w:rFonts w:cs="Times New Roman"/>
          <w:szCs w:val="24"/>
        </w:rPr>
        <w:t xml:space="preserve">for this case, Staff calculated the risk-free rate by using a </w:t>
      </w:r>
      <w:r w:rsidRPr="00A329C2">
        <w:rPr>
          <w:rFonts w:cs="Times New Roman"/>
          <w:i/>
          <w:szCs w:val="24"/>
        </w:rPr>
        <w:t>forecast</w:t>
      </w:r>
      <w:r w:rsidRPr="00A329C2">
        <w:rPr>
          <w:rFonts w:cs="Times New Roman"/>
          <w:szCs w:val="24"/>
        </w:rPr>
        <w:t xml:space="preserve"> of the 10-year Treasury Notes </w:t>
      </w:r>
      <w:r w:rsidRPr="00A329C2">
        <w:rPr>
          <w:rFonts w:cs="Times New Roman"/>
          <w:i/>
          <w:szCs w:val="24"/>
        </w:rPr>
        <w:t>and adding 50 basis points</w:t>
      </w:r>
      <w:r w:rsidRPr="00A329C2">
        <w:rPr>
          <w:rFonts w:cs="Times New Roman"/>
          <w:bCs/>
          <w:i/>
          <w:szCs w:val="24"/>
        </w:rPr>
        <w:t xml:space="preserve"> </w:t>
      </w:r>
      <w:r w:rsidRPr="00A329C2">
        <w:rPr>
          <w:rFonts w:cs="Times New Roman"/>
          <w:bCs/>
          <w:szCs w:val="24"/>
        </w:rPr>
        <w:t>to produce a risk-free rate of 4.66%.</w:t>
      </w:r>
      <w:r>
        <w:rPr>
          <w:rStyle w:val="FootnoteReference"/>
          <w:rFonts w:cs="Times New Roman"/>
          <w:bCs/>
          <w:szCs w:val="24"/>
        </w:rPr>
        <w:footnoteReference w:id="75"/>
      </w:r>
      <w:r w:rsidRPr="00A329C2">
        <w:rPr>
          <w:rFonts w:cs="Times New Roman"/>
          <w:szCs w:val="24"/>
        </w:rPr>
        <w:t xml:space="preserve"> This method is not supported by current financial market conditions. Also, by averaging the 10-year and 30-year treasuries, there is no reason to add an artificial adder to account for the historical difference.</w:t>
      </w:r>
      <w:r>
        <w:rPr>
          <w:rStyle w:val="FootnoteReference"/>
          <w:rFonts w:eastAsia="Times New Roman" w:cs="Times New Roman"/>
          <w:szCs w:val="24"/>
        </w:rPr>
        <w:footnoteReference w:id="76"/>
      </w:r>
      <w:r w:rsidRPr="00A329C2">
        <w:rPr>
          <w:rFonts w:cs="Times New Roman"/>
          <w:szCs w:val="24"/>
        </w:rPr>
        <w:t xml:space="preserve"> </w:t>
      </w:r>
    </w:p>
    <w:p w:rsidR="002F1AD6" w:rsidP="00421855">
      <w:pPr>
        <w:ind w:firstLine="720"/>
        <w:rPr>
          <w:rFonts w:eastAsia="Times New Roman" w:cs="Times New Roman"/>
          <w:szCs w:val="24"/>
        </w:rPr>
      </w:pPr>
      <w:r w:rsidRPr="004B6C2F">
        <w:t>Vectren states as support for the stipulated rate of return that it has been accepted by a signatory party (FEA) which relied upon its own rate of return expert (witness Michael Gorman</w:t>
      </w:r>
      <w:r>
        <w:rPr>
          <w:rFonts w:eastAsia="Times New Roman" w:cs="Times New Roman"/>
          <w:szCs w:val="24"/>
        </w:rPr>
        <w:t>).</w:t>
      </w:r>
      <w:r>
        <w:rPr>
          <w:rStyle w:val="FootnoteReference"/>
          <w:rFonts w:eastAsia="Times New Roman" w:cs="Times New Roman"/>
          <w:szCs w:val="24"/>
        </w:rPr>
        <w:footnoteReference w:id="77"/>
      </w:r>
      <w:r w:rsidR="00E02B01">
        <w:rPr>
          <w:rFonts w:eastAsia="Times New Roman" w:cs="Times New Roman"/>
          <w:szCs w:val="24"/>
        </w:rPr>
        <w:t xml:space="preserve">  But</w:t>
      </w:r>
      <w:r>
        <w:rPr>
          <w:rFonts w:eastAsia="Times New Roman" w:cs="Times New Roman"/>
          <w:szCs w:val="24"/>
        </w:rPr>
        <w:t xml:space="preserve"> there is no basis for this reliance. Mr. Gorman never testified in this case. Contrary to Vectren’s claim, Mr. Gorman’s support of the stipulated rate of return cannot be used as a demonstration of the reasonableness of the stipulated rate of return.</w:t>
      </w:r>
    </w:p>
    <w:p w:rsidR="002F1AD6" w:rsidP="00421855">
      <w:pPr>
        <w:ind w:firstLine="720"/>
        <w:rPr>
          <w:rFonts w:eastAsia="Times New Roman" w:cs="Times New Roman"/>
          <w:szCs w:val="24"/>
        </w:rPr>
      </w:pPr>
      <w:r>
        <w:rPr>
          <w:rFonts w:eastAsia="Times New Roman" w:cs="Times New Roman"/>
          <w:szCs w:val="24"/>
        </w:rPr>
        <w:t xml:space="preserve">Vectren </w:t>
      </w:r>
      <w:r w:rsidRPr="004B6C2F">
        <w:t>further cites as support for the stipulated rate of return that it falls within the range of rate of returns approved by the PUCO for other Ohio utilities in recent base rate cases. This is irrelevant, as every utility has its unique business and financial risks, and the financial market conditions also change constantly. What the PUCO decided in other cases is not a</w:t>
      </w:r>
      <w:r>
        <w:rPr>
          <w:rFonts w:eastAsia="Times New Roman" w:cs="Times New Roman"/>
          <w:szCs w:val="24"/>
        </w:rPr>
        <w:t xml:space="preserve"> justification for the reasonableness of the rate of return in this case.</w:t>
      </w:r>
    </w:p>
    <w:p w:rsidR="002F1AD6" w:rsidP="00421855">
      <w:pPr>
        <w:ind w:firstLine="720"/>
      </w:pPr>
      <w:r>
        <w:t>As the PUCO Staff noted in its post hearing brief, “when the Commission review</w:t>
      </w:r>
      <w:r w:rsidR="00E02B01">
        <w:t>s</w:t>
      </w:r>
      <w:r>
        <w:t xml:space="preserve"> a contested stipulation, as is the case here, the Court has also been clear that the requirement of evidentiary support remains operative.”</w:t>
      </w:r>
      <w:r>
        <w:rPr>
          <w:rStyle w:val="FootnoteReference"/>
          <w:rFonts w:eastAsia="Times New Roman" w:cs="Times New Roman"/>
          <w:szCs w:val="24"/>
        </w:rPr>
        <w:footnoteReference w:id="78"/>
      </w:r>
      <w:r w:rsidR="001D3B35">
        <w:t xml:space="preserve">  </w:t>
      </w:r>
      <w:r>
        <w:t>The PUCO “must determine from the evidence, what is just and reasonable.”</w:t>
      </w:r>
      <w:r>
        <w:rPr>
          <w:rStyle w:val="FootnoteReference"/>
          <w:rFonts w:eastAsia="Times New Roman" w:cs="Times New Roman"/>
          <w:szCs w:val="24"/>
        </w:rPr>
        <w:footnoteReference w:id="79"/>
      </w:r>
      <w:r>
        <w:t xml:space="preserve">  The agreement of some parties is no substitute for the procedural protections reinforced by the evidentiary support requirement.</w:t>
      </w:r>
      <w:r>
        <w:rPr>
          <w:rStyle w:val="FootnoteReference"/>
          <w:rFonts w:eastAsia="Times New Roman" w:cs="Times New Roman"/>
          <w:szCs w:val="24"/>
        </w:rPr>
        <w:footnoteReference w:id="80"/>
      </w:r>
      <w:bookmarkEnd w:id="19"/>
      <w:r>
        <w:t xml:space="preserve"> That the stipulated rate of return is “below that proposed by the Company in its Application” does not show that the proposed rate of return is reasonable. </w:t>
      </w:r>
    </w:p>
    <w:p w:rsidR="002F1AD6" w:rsidP="00421855">
      <w:pPr>
        <w:ind w:firstLine="720"/>
        <w:rPr>
          <w:rFonts w:eastAsia="Times New Roman"/>
        </w:rPr>
      </w:pPr>
      <w:r>
        <w:t xml:space="preserve">The Settlement’s authorized rate of return is not in the public interest. </w:t>
      </w:r>
      <w:r w:rsidR="001D3B35">
        <w:t xml:space="preserve">The stipulated rate of return should be rejected.  OCC’s </w:t>
      </w:r>
      <w:r w:rsidR="0004438C">
        <w:t xml:space="preserve">recommendation </w:t>
      </w:r>
      <w:r w:rsidR="001D3B35">
        <w:t>should be adopted.</w:t>
      </w:r>
      <w:r w:rsidRPr="00A329C2">
        <w:t xml:space="preserve">  </w:t>
      </w:r>
    </w:p>
    <w:p w:rsidR="002F1AD6" w:rsidRPr="0060506D" w:rsidP="001D3B35">
      <w:pPr>
        <w:pStyle w:val="Heading2"/>
      </w:pPr>
      <w:bookmarkStart w:id="20" w:name="_Toc6316210"/>
      <w:bookmarkStart w:id="21" w:name="_Toc6910665"/>
      <w:r w:rsidRPr="002F1AD6">
        <w:t>The</w:t>
      </w:r>
      <w:r w:rsidRPr="0060506D">
        <w:t xml:space="preserve"> DARR program initiatives were inadequately reviewed, and the PUCO should review any future increases in DARR spending beyond 2018 through an application for an increase in rates under R.C. 4909.15</w:t>
      </w:r>
      <w:r>
        <w:t>.</w:t>
      </w:r>
      <w:bookmarkEnd w:id="20"/>
      <w:r w:rsidRPr="0060506D">
        <w:t xml:space="preserve"> </w:t>
      </w:r>
      <w:r w:rsidR="00C05762">
        <w:t xml:space="preserve"> </w:t>
      </w:r>
      <w:r w:rsidRPr="00A329C2" w:rsidR="00C05762">
        <w:t xml:space="preserve">The Settlement fails to benefit consumers </w:t>
      </w:r>
      <w:r w:rsidR="0004438C">
        <w:t>or</w:t>
      </w:r>
      <w:r w:rsidRPr="00A329C2" w:rsidR="00C05762">
        <w:t xml:space="preserve"> the public interest</w:t>
      </w:r>
      <w:r w:rsidR="00C05762">
        <w:t>.</w:t>
      </w:r>
      <w:bookmarkEnd w:id="21"/>
    </w:p>
    <w:p w:rsidR="000D7842" w:rsidP="000D7842">
      <w:pPr>
        <w:ind w:firstLine="720"/>
        <w:rPr>
          <w:rFonts w:cs="Times New Roman"/>
          <w:szCs w:val="24"/>
        </w:rPr>
      </w:pPr>
      <w:r>
        <w:rPr>
          <w:rFonts w:cs="Times New Roman"/>
          <w:szCs w:val="24"/>
        </w:rPr>
        <w:t xml:space="preserve">OCC </w:t>
      </w:r>
      <w:r w:rsidR="00DC3B7D">
        <w:rPr>
          <w:rFonts w:cs="Times New Roman"/>
          <w:szCs w:val="24"/>
        </w:rPr>
        <w:t>W</w:t>
      </w:r>
      <w:r>
        <w:rPr>
          <w:rFonts w:cs="Times New Roman"/>
          <w:szCs w:val="24"/>
        </w:rPr>
        <w:t>itness</w:t>
      </w:r>
      <w:r w:rsidRPr="00A329C2">
        <w:rPr>
          <w:rFonts w:cs="Times New Roman"/>
          <w:szCs w:val="24"/>
        </w:rPr>
        <w:t xml:space="preserve"> Williams testified that the costs Vectren is seeking to collect from customers for deferred DARR expenses between 2016 and 2018 are already high.</w:t>
      </w:r>
      <w:r>
        <w:rPr>
          <w:rStyle w:val="FootnoteReference"/>
          <w:rFonts w:cs="Times New Roman"/>
          <w:szCs w:val="24"/>
        </w:rPr>
        <w:footnoteReference w:id="81"/>
      </w:r>
      <w:r w:rsidRPr="00A329C2">
        <w:rPr>
          <w:rFonts w:cs="Times New Roman"/>
          <w:szCs w:val="24"/>
        </w:rPr>
        <w:t xml:space="preserve"> For example, Mr. Williams explained that in 2017 Vectren planned to spend $2,948,589, but it actually spent $3,942,633 – almost $1 million more.</w:t>
      </w:r>
      <w:r>
        <w:rPr>
          <w:rStyle w:val="FootnoteReference"/>
          <w:rFonts w:cs="Times New Roman"/>
          <w:szCs w:val="24"/>
        </w:rPr>
        <w:footnoteReference w:id="82"/>
      </w:r>
      <w:r w:rsidRPr="00A329C2">
        <w:rPr>
          <w:rFonts w:cs="Times New Roman"/>
          <w:szCs w:val="24"/>
        </w:rPr>
        <w:t xml:space="preserve"> In 2018, Vectren planned to spend $3,086,281, but it actually spent $3,927,000.</w:t>
      </w:r>
      <w:r>
        <w:rPr>
          <w:rStyle w:val="FootnoteReference"/>
          <w:rFonts w:cs="Times New Roman"/>
          <w:szCs w:val="24"/>
        </w:rPr>
        <w:footnoteReference w:id="83"/>
      </w:r>
      <w:r w:rsidRPr="00A329C2">
        <w:rPr>
          <w:rFonts w:cs="Times New Roman"/>
          <w:szCs w:val="24"/>
        </w:rPr>
        <w:t xml:space="preserve"> And Vectren’s overspending is particularly concerning given the fact that the PUCO required Vectren to implement efficiency and cost savings measures when it approved the DARR in the first place.</w:t>
      </w:r>
      <w:r>
        <w:rPr>
          <w:rStyle w:val="FootnoteReference"/>
          <w:rFonts w:cs="Times New Roman"/>
          <w:szCs w:val="24"/>
        </w:rPr>
        <w:footnoteReference w:id="84"/>
      </w:r>
      <w:r w:rsidRPr="00A329C2">
        <w:rPr>
          <w:rFonts w:cs="Times New Roman"/>
          <w:szCs w:val="24"/>
        </w:rPr>
        <w:t xml:space="preserve"> </w:t>
      </w:r>
    </w:p>
    <w:p w:rsidR="001D3B35" w:rsidP="001D3B35">
      <w:pPr>
        <w:ind w:firstLine="720"/>
      </w:pPr>
      <w:r>
        <w:t>Vectren’s DARR program includes a number of initiatives that are intended to reduce gas pipeline risks and for continuing the provision of safe and reliable service to consumers.</w:t>
      </w:r>
      <w:r>
        <w:rPr>
          <w:rStyle w:val="FootnoteReference"/>
        </w:rPr>
        <w:footnoteReference w:id="85"/>
      </w:r>
      <w:r>
        <w:t xml:space="preserve"> In his pre-filed testimony, Staff witness Chace stated that “Staff does not recommend specific performance measures for the DARR but generally believes that tracking progress of the program is reasonable.”</w:t>
      </w:r>
      <w:r>
        <w:rPr>
          <w:rStyle w:val="FootnoteReference"/>
          <w:rFonts w:eastAsia="Times New Roman" w:cs="Times New Roman"/>
          <w:szCs w:val="24"/>
        </w:rPr>
        <w:footnoteReference w:id="86"/>
      </w:r>
      <w:r>
        <w:t xml:space="preserve"> Under cross examination, Mr. Chace conceded that “there should be performance measures. That’s how I would set up the DARR program if I had anything to do with it.”</w:t>
      </w:r>
      <w:r>
        <w:rPr>
          <w:rStyle w:val="FootnoteReference"/>
          <w:rFonts w:eastAsia="Times New Roman" w:cs="Times New Roman"/>
          <w:szCs w:val="24"/>
        </w:rPr>
        <w:footnoteReference w:id="87"/>
      </w:r>
      <w:r>
        <w:t xml:space="preserve"> Neither Staff witness who indicated familiarity with the DARR program </w:t>
      </w:r>
      <w:r w:rsidR="00DC3B7D">
        <w:t>was</w:t>
      </w:r>
      <w:r>
        <w:t xml:space="preserve"> familiar with the specific performance measure initiatives or the extent to which the initiatives were evaluated by Staff.</w:t>
      </w:r>
      <w:r>
        <w:rPr>
          <w:rStyle w:val="FootnoteReference"/>
          <w:rFonts w:eastAsia="Times New Roman" w:cs="Times New Roman"/>
          <w:szCs w:val="24"/>
        </w:rPr>
        <w:footnoteReference w:id="88"/>
      </w:r>
      <w:r>
        <w:t xml:space="preserve">  </w:t>
      </w:r>
      <w:r>
        <w:t xml:space="preserve">OCC agrees with Mr. Chace that there should be performance measures for the DARR and </w:t>
      </w:r>
      <w:r>
        <w:t xml:space="preserve">that </w:t>
      </w:r>
      <w:r>
        <w:t xml:space="preserve">those performance measures should have been included in the </w:t>
      </w:r>
      <w:r>
        <w:t>S</w:t>
      </w:r>
      <w:r>
        <w:t xml:space="preserve">ettlement. </w:t>
      </w:r>
    </w:p>
    <w:p w:rsidR="00512D38" w:rsidP="001D3B35">
      <w:pPr>
        <w:ind w:firstLine="720"/>
      </w:pPr>
      <w:r>
        <w:t xml:space="preserve">In </w:t>
      </w:r>
      <w:r w:rsidR="001D3B35">
        <w:t xml:space="preserve">initially </w:t>
      </w:r>
      <w:r>
        <w:t>approving the DARR, the PUCO</w:t>
      </w:r>
      <w:r w:rsidRPr="00A329C2">
        <w:t xml:space="preserve"> required Vectren and PUCO Staff to develop specific performance measures for each of the programs, and Vectren reports its compliance annually.</w:t>
      </w:r>
      <w:r>
        <w:rPr>
          <w:rStyle w:val="FootnoteReference"/>
          <w:rFonts w:cs="Times New Roman"/>
          <w:szCs w:val="24"/>
        </w:rPr>
        <w:footnoteReference w:id="89"/>
      </w:r>
      <w:r w:rsidRPr="00A329C2">
        <w:t xml:space="preserve"> The Settlement supports Vectren’s increase in rates to continue providing the enhanced safety initiatives under the DARR, but it does not require Vectren to continue tracking its compliance with the performance measures. The performance measurements already exist and are used today. There is no harm</w:t>
      </w:r>
      <w:r>
        <w:t xml:space="preserve"> or even extra work required,</w:t>
      </w:r>
      <w:r w:rsidRPr="00A329C2">
        <w:t xml:space="preserve"> but there is substantial benefit in continuing to measure DARR progress as the expenses continue into the future. </w:t>
      </w:r>
    </w:p>
    <w:p w:rsidR="002F1AD6" w:rsidRPr="00A329C2" w:rsidP="001D3B35">
      <w:pPr>
        <w:ind w:firstLine="720"/>
      </w:pPr>
      <w:r w:rsidRPr="00A329C2">
        <w:t>The Settlement fails to benefit consumers and the public interest by failing to continue the DARR measurements.</w:t>
      </w:r>
      <w:r>
        <w:t xml:space="preserve"> The PUCO should direct Vectren continue to track and annually report on the efficacy of the DARR safety initiatives utilizing the performance measures that already exist. The other three large gas utilities with safety programs like the DARR are required to track and annually report on the progress of their safety initiatives; Vectren should be no different.</w:t>
      </w:r>
    </w:p>
    <w:p w:rsidR="002F1AD6" w:rsidP="00421855">
      <w:pPr>
        <w:ind w:firstLine="720"/>
      </w:pPr>
      <w:r>
        <w:t xml:space="preserve">The Staff </w:t>
      </w:r>
      <w:r w:rsidR="001D3B35">
        <w:t>R</w:t>
      </w:r>
      <w:r>
        <w:t>eport did not address any efficiencies or any cost-savings measures to ensure that customers are being charged fairly for the DARR expenses</w:t>
      </w:r>
      <w:r w:rsidR="00B854A4">
        <w:t xml:space="preserve"> even though this was an explicit requirement when DARR was initially approved</w:t>
      </w:r>
      <w:r>
        <w:t>.</w:t>
      </w:r>
      <w:r>
        <w:rPr>
          <w:rStyle w:val="FootnoteReference"/>
        </w:rPr>
        <w:footnoteReference w:id="90"/>
      </w:r>
      <w:r>
        <w:t xml:space="preserve"> For 2017, the level of DARR spending greatly exceeded the original cost estimate. There was no indication in the Staff </w:t>
      </w:r>
      <w:r w:rsidR="001D3B35">
        <w:t>R</w:t>
      </w:r>
      <w:r>
        <w:t xml:space="preserve">eport </w:t>
      </w:r>
      <w:r w:rsidR="00B854A4">
        <w:t xml:space="preserve">or in Staff’s testimony supporting the Settlement </w:t>
      </w:r>
      <w:r>
        <w:t xml:space="preserve">that this additional spending was scrutinized to make sure that the costs were necessary to provide safe and reliable service or were just and reasonable charges to pass along to customers.  In pre-filed testimony, Staff </w:t>
      </w:r>
      <w:r w:rsidR="00512D38">
        <w:t>W</w:t>
      </w:r>
      <w:r>
        <w:t>itness Lipthratt noted that Staff did not conduct an isolated review of past and test year expenses in the rate case, and that costs associated with this program were not fully reviewed during the rate case investigation.</w:t>
      </w:r>
      <w:r>
        <w:rPr>
          <w:rStyle w:val="FootnoteReference"/>
          <w:rFonts w:eastAsia="Times New Roman" w:cs="Times New Roman"/>
          <w:szCs w:val="24"/>
        </w:rPr>
        <w:footnoteReference w:id="91"/>
      </w:r>
      <w:r>
        <w:t xml:space="preserve"> Mr. Lipthratt further testified that “after discovering it error, Staff conducted an expedited and limited review of these accounts due to limited resources and time constraints.”</w:t>
      </w:r>
      <w:r>
        <w:rPr>
          <w:rStyle w:val="FootnoteReference"/>
          <w:rFonts w:eastAsia="Times New Roman" w:cs="Times New Roman"/>
          <w:szCs w:val="24"/>
        </w:rPr>
        <w:footnoteReference w:id="92"/>
      </w:r>
      <w:r>
        <w:t xml:space="preserve"> </w:t>
      </w:r>
      <w:r w:rsidR="001D3B35">
        <w:t xml:space="preserve"> </w:t>
      </w:r>
    </w:p>
    <w:p w:rsidR="001D3B35" w:rsidP="001D3B35">
      <w:pPr>
        <w:ind w:firstLine="720"/>
        <w:rPr>
          <w:rFonts w:cs="Times New Roman"/>
          <w:szCs w:val="24"/>
        </w:rPr>
      </w:pPr>
      <w:r>
        <w:rPr>
          <w:rFonts w:eastAsia="Times New Roman" w:cs="Times New Roman"/>
          <w:szCs w:val="24"/>
        </w:rPr>
        <w:t>There was not an adequate review of DARR expenses for 2016, 2017</w:t>
      </w:r>
      <w:r>
        <w:rPr>
          <w:rFonts w:eastAsia="Times New Roman" w:cs="Times New Roman"/>
          <w:szCs w:val="24"/>
        </w:rPr>
        <w:t>,</w:t>
      </w:r>
      <w:r>
        <w:rPr>
          <w:rFonts w:eastAsia="Times New Roman" w:cs="Times New Roman"/>
          <w:szCs w:val="24"/>
        </w:rPr>
        <w:t xml:space="preserve"> and 2018. Yet, the Settlement calls for DARR expenses incurred from January 1, 2019 until rates set in this case are effective to be deferred without any formal mechanism for the PUCO to review such expenses to determine whether they were prudently incurred or just and reasonable</w:t>
      </w:r>
      <w:r w:rsidR="008A0606">
        <w:rPr>
          <w:rFonts w:eastAsia="Times New Roman" w:cs="Times New Roman"/>
          <w:szCs w:val="24"/>
        </w:rPr>
        <w:t xml:space="preserve"> prior to being included in customer rates</w:t>
      </w:r>
      <w:r>
        <w:rPr>
          <w:rFonts w:eastAsia="Times New Roman" w:cs="Times New Roman"/>
          <w:szCs w:val="24"/>
        </w:rPr>
        <w:t xml:space="preserve">. </w:t>
      </w:r>
      <w:r w:rsidRPr="00A329C2">
        <w:rPr>
          <w:rFonts w:cs="Times New Roman"/>
          <w:szCs w:val="24"/>
        </w:rPr>
        <w:t xml:space="preserve">Rather, Vectren need only confer with PUCO </w:t>
      </w:r>
      <w:r>
        <w:rPr>
          <w:rFonts w:cs="Times New Roman"/>
          <w:szCs w:val="24"/>
        </w:rPr>
        <w:t>St</w:t>
      </w:r>
      <w:r w:rsidRPr="00A329C2">
        <w:rPr>
          <w:rFonts w:cs="Times New Roman"/>
          <w:szCs w:val="24"/>
        </w:rPr>
        <w:t xml:space="preserve">aff before adjusting </w:t>
      </w:r>
      <w:r>
        <w:rPr>
          <w:rFonts w:cs="Times New Roman"/>
          <w:szCs w:val="24"/>
        </w:rPr>
        <w:t>rates by some unknown amount based only on a “conference” with Staff at the time it submits final tariffs in this case.</w:t>
      </w:r>
      <w:r>
        <w:rPr>
          <w:rStyle w:val="FootnoteReference"/>
          <w:rFonts w:cs="Times New Roman"/>
          <w:szCs w:val="24"/>
        </w:rPr>
        <w:footnoteReference w:id="93"/>
      </w:r>
      <w:r>
        <w:rPr>
          <w:rFonts w:cs="Times New Roman"/>
          <w:szCs w:val="24"/>
        </w:rPr>
        <w:t xml:space="preserve"> </w:t>
      </w:r>
    </w:p>
    <w:p w:rsidR="002F1AD6" w:rsidP="001D3B35">
      <w:pPr>
        <w:ind w:firstLine="720"/>
      </w:pPr>
      <w:r w:rsidRPr="00A329C2">
        <w:rPr>
          <w:rFonts w:cs="Times New Roman"/>
          <w:szCs w:val="24"/>
        </w:rPr>
        <w:t xml:space="preserve">The PUCO should reject the Settlement’s provisions permitting Vectren to collect from customers some unknown future amount of DARR deferral expenses incurred after January 1, 2019. </w:t>
      </w:r>
      <w:r w:rsidR="00C05762">
        <w:rPr>
          <w:rFonts w:cs="Times New Roman"/>
          <w:szCs w:val="24"/>
        </w:rPr>
        <w:t xml:space="preserve">OCC </w:t>
      </w:r>
      <w:r w:rsidR="00512D38">
        <w:rPr>
          <w:rFonts w:cs="Times New Roman"/>
          <w:szCs w:val="24"/>
        </w:rPr>
        <w:t>W</w:t>
      </w:r>
      <w:r w:rsidR="00C05762">
        <w:rPr>
          <w:rFonts w:cs="Times New Roman"/>
          <w:szCs w:val="24"/>
        </w:rPr>
        <w:t xml:space="preserve">itness </w:t>
      </w:r>
      <w:r w:rsidRPr="00A329C2">
        <w:rPr>
          <w:rFonts w:cs="Times New Roman"/>
          <w:szCs w:val="24"/>
        </w:rPr>
        <w:t xml:space="preserve">Mr. Williams recommended that Vectren should be permitted to collect only $8,963,858 in DARR deferral expenses </w:t>
      </w:r>
      <w:r>
        <w:rPr>
          <w:rFonts w:cs="Times New Roman"/>
          <w:szCs w:val="24"/>
        </w:rPr>
        <w:t xml:space="preserve">which represents Vectren’s actual reported DARR expenses incurred in 2016 and its originally planned expenses in 2017 and </w:t>
      </w:r>
      <w:r w:rsidRPr="00A329C2">
        <w:rPr>
          <w:rFonts w:cs="Times New Roman"/>
          <w:szCs w:val="24"/>
        </w:rPr>
        <w:t>2018.</w:t>
      </w:r>
      <w:r>
        <w:rPr>
          <w:rStyle w:val="FootnoteReference"/>
          <w:rFonts w:cs="Times New Roman"/>
          <w:szCs w:val="24"/>
        </w:rPr>
        <w:footnoteReference w:id="94"/>
      </w:r>
      <w:r w:rsidRPr="00A329C2">
        <w:rPr>
          <w:rFonts w:cs="Times New Roman"/>
          <w:szCs w:val="24"/>
        </w:rPr>
        <w:t xml:space="preserve"> The PUCO should </w:t>
      </w:r>
      <w:r>
        <w:rPr>
          <w:rFonts w:cs="Times New Roman"/>
          <w:szCs w:val="24"/>
        </w:rPr>
        <w:t>approve</w:t>
      </w:r>
      <w:r w:rsidRPr="008A0606" w:rsidR="008A0606">
        <w:rPr>
          <w:rFonts w:cs="Times New Roman"/>
          <w:szCs w:val="24"/>
        </w:rPr>
        <w:t xml:space="preserve"> </w:t>
      </w:r>
      <w:r w:rsidR="008A0606">
        <w:rPr>
          <w:rFonts w:cs="Times New Roman"/>
          <w:szCs w:val="24"/>
        </w:rPr>
        <w:t>only</w:t>
      </w:r>
      <w:r>
        <w:rPr>
          <w:rFonts w:cs="Times New Roman"/>
          <w:szCs w:val="24"/>
        </w:rPr>
        <w:t xml:space="preserve"> that amount and no more.</w:t>
      </w:r>
    </w:p>
    <w:p w:rsidR="00DD5AC1" w:rsidP="00421855">
      <w:pPr>
        <w:pStyle w:val="Heading2"/>
      </w:pPr>
      <w:bookmarkStart w:id="22" w:name="_Toc4407225"/>
      <w:bookmarkStart w:id="23" w:name="_Toc6316211"/>
      <w:bookmarkStart w:id="24" w:name="_Toc6910666"/>
      <w:r>
        <w:t xml:space="preserve">The Settlement’s </w:t>
      </w:r>
      <w:r w:rsidR="00026E22">
        <w:t xml:space="preserve">Marketer </w:t>
      </w:r>
      <w:r w:rsidR="00C421CD">
        <w:t>a</w:t>
      </w:r>
      <w:r w:rsidR="00026E22">
        <w:t>nd Supplier</w:t>
      </w:r>
      <w:r w:rsidR="00C421CD">
        <w:t xml:space="preserve"> Provisio</w:t>
      </w:r>
      <w:r w:rsidR="00E032DC">
        <w:t>ns</w:t>
      </w:r>
      <w:r w:rsidR="00026E22">
        <w:t xml:space="preserve"> </w:t>
      </w:r>
      <w:bookmarkEnd w:id="22"/>
      <w:r w:rsidR="00480A74">
        <w:t xml:space="preserve">should be rejected </w:t>
      </w:r>
      <w:r w:rsidRPr="004B6C2F" w:rsidR="00480A74">
        <w:t>because</w:t>
      </w:r>
      <w:r w:rsidR="00480A74">
        <w:t xml:space="preserve"> they </w:t>
      </w:r>
      <w:r>
        <w:t>do not benefit customers or the public interest.</w:t>
      </w:r>
      <w:bookmarkEnd w:id="23"/>
      <w:bookmarkEnd w:id="24"/>
    </w:p>
    <w:p w:rsidR="00BF7B57" w:rsidP="00421855">
      <w:pPr>
        <w:ind w:firstLine="720"/>
      </w:pPr>
      <w:r>
        <w:t>The Settlement contain</w:t>
      </w:r>
      <w:r w:rsidR="00C94378">
        <w:t>s</w:t>
      </w:r>
      <w:r>
        <w:t xml:space="preserve"> Marketer and Supplier Provisions that purported</w:t>
      </w:r>
      <w:r w:rsidR="00C94378">
        <w:t xml:space="preserve">ly benefit the public interest.  </w:t>
      </w:r>
      <w:r w:rsidR="009376A3">
        <w:t>As further explained below, t</w:t>
      </w:r>
      <w:r w:rsidR="00C94378">
        <w:t xml:space="preserve">hey do not.   </w:t>
      </w:r>
      <w:r w:rsidR="00E032DC">
        <w:t>IGS</w:t>
      </w:r>
      <w:r w:rsidR="0089453E">
        <w:t>/</w:t>
      </w:r>
      <w:r w:rsidR="00E032DC">
        <w:t>RESA rely on the testimony of James Crist</w:t>
      </w:r>
      <w:r w:rsidR="00A86D2A">
        <w:t>.</w:t>
      </w:r>
      <w:r w:rsidR="00C94378">
        <w:t xml:space="preserve"> </w:t>
      </w:r>
      <w:r w:rsidR="00A86D2A">
        <w:t xml:space="preserve"> B</w:t>
      </w:r>
      <w:r>
        <w:t>ut</w:t>
      </w:r>
      <w:r w:rsidR="00B77FBD">
        <w:t xml:space="preserve"> </w:t>
      </w:r>
      <w:r>
        <w:t>on cross-examination</w:t>
      </w:r>
      <w:r w:rsidR="00C94378">
        <w:t>, Mr. Crist confirmed</w:t>
      </w:r>
      <w:r w:rsidR="00D833A7">
        <w:t xml:space="preserve"> </w:t>
      </w:r>
      <w:r>
        <w:t>that</w:t>
      </w:r>
      <w:r w:rsidR="00D833A7">
        <w:t xml:space="preserve"> the </w:t>
      </w:r>
      <w:r w:rsidR="000E3214">
        <w:t>Settlement’s</w:t>
      </w:r>
      <w:r w:rsidR="00B066FC">
        <w:t xml:space="preserve"> </w:t>
      </w:r>
      <w:r w:rsidR="000E3214">
        <w:t xml:space="preserve">Marketer and Supplier Provisions </w:t>
      </w:r>
      <w:r w:rsidR="00D833A7">
        <w:t>could</w:t>
      </w:r>
      <w:r w:rsidR="00C94378">
        <w:t xml:space="preserve"> harm customers by</w:t>
      </w:r>
      <w:r w:rsidR="00D833A7">
        <w:t xml:space="preserve"> </w:t>
      </w:r>
      <w:r w:rsidR="00C94378">
        <w:t>creating</w:t>
      </w:r>
      <w:r w:rsidR="00D833A7">
        <w:t xml:space="preserve"> customer confusion, for</w:t>
      </w:r>
      <w:r w:rsidR="00C94378">
        <w:t>cing</w:t>
      </w:r>
      <w:r w:rsidR="00D833A7">
        <w:t xml:space="preserve"> customers to pay for billing upgrades</w:t>
      </w:r>
      <w:r w:rsidR="003927FE">
        <w:t xml:space="preserve"> they do</w:t>
      </w:r>
      <w:r w:rsidR="00A42E48">
        <w:t xml:space="preserve"> not</w:t>
      </w:r>
      <w:r w:rsidR="003927FE">
        <w:t xml:space="preserve"> want or need, and subject</w:t>
      </w:r>
      <w:r w:rsidR="00C94378">
        <w:t>ing</w:t>
      </w:r>
      <w:r w:rsidR="003927FE">
        <w:t xml:space="preserve"> </w:t>
      </w:r>
      <w:r w:rsidR="00C94378">
        <w:t>customers</w:t>
      </w:r>
      <w:r w:rsidR="003927FE">
        <w:t xml:space="preserve"> to unwanted </w:t>
      </w:r>
      <w:r w:rsidR="00C05762">
        <w:rPr>
          <w:rFonts w:eastAsia="Times New Roman" w:cs="Times New Roman"/>
          <w:szCs w:val="24"/>
        </w:rPr>
        <w:t xml:space="preserve">and potentially harmful sales </w:t>
      </w:r>
      <w:r w:rsidR="003927FE">
        <w:t>solicitation and marketing.</w:t>
      </w:r>
      <w:r w:rsidR="00C94378">
        <w:t xml:space="preserve">  </w:t>
      </w:r>
      <w:r w:rsidR="009376A3">
        <w:t>T</w:t>
      </w:r>
      <w:r w:rsidR="0089453E">
        <w:t xml:space="preserve">he </w:t>
      </w:r>
      <w:r w:rsidR="00C94378">
        <w:t xml:space="preserve">Settlement’s </w:t>
      </w:r>
      <w:r w:rsidR="0089453E">
        <w:t xml:space="preserve">Marketer and Supplier provisions should </w:t>
      </w:r>
      <w:r w:rsidR="009376A3">
        <w:t xml:space="preserve">therefore </w:t>
      </w:r>
      <w:r w:rsidR="0089453E">
        <w:t>be rejected.</w:t>
      </w:r>
    </w:p>
    <w:p w:rsidR="00512D38" w:rsidP="00421855">
      <w:pPr>
        <w:ind w:firstLine="720"/>
      </w:pPr>
      <w:r>
        <w:t xml:space="preserve">Moreover, </w:t>
      </w:r>
      <w:r w:rsidR="00C94378">
        <w:t>there is no reason to include these provisions in the Settlement in the first place.  IGS/RESA and Vectren conte</w:t>
      </w:r>
      <w:r w:rsidR="009376A3">
        <w:t>nd</w:t>
      </w:r>
      <w:r w:rsidR="00C94378">
        <w:t xml:space="preserve"> that the Settlement </w:t>
      </w:r>
      <w:r w:rsidR="009376A3">
        <w:t>merely</w:t>
      </w:r>
      <w:r w:rsidR="00C94378">
        <w:t xml:space="preserve"> requires Vectren to engage in discussions regarding the Exit The Merchant Function, Billing Enhancements, and the Top 25% List.</w:t>
      </w:r>
      <w:r>
        <w:rPr>
          <w:rStyle w:val="FootnoteReference"/>
        </w:rPr>
        <w:footnoteReference w:id="95"/>
      </w:r>
      <w:r w:rsidR="00C94378">
        <w:t xml:space="preserve">  A</w:t>
      </w:r>
      <w:r w:rsidR="009376A3">
        <w:t>nd as</w:t>
      </w:r>
      <w:r w:rsidR="00C94378">
        <w:t xml:space="preserve"> Vectren</w:t>
      </w:r>
      <w:r w:rsidR="00881307">
        <w:t xml:space="preserve"> argues</w:t>
      </w:r>
      <w:r w:rsidR="00C94378">
        <w:t>,</w:t>
      </w:r>
      <w:r w:rsidR="009376A3">
        <w:t xml:space="preserve"> “[e]ngaging in discussions regarding an exit the merchant function plan or possible billing enhancements does not violate any important practice or principle, </w:t>
      </w:r>
      <w:r w:rsidRPr="00881307" w:rsidR="009376A3">
        <w:rPr>
          <w:i/>
        </w:rPr>
        <w:t>nor is Commission-approval even required to engage in these discussions</w:t>
      </w:r>
      <w:r w:rsidR="009376A3">
        <w:t>.”</w:t>
      </w:r>
      <w:r>
        <w:rPr>
          <w:rStyle w:val="FootnoteReference"/>
        </w:rPr>
        <w:footnoteReference w:id="96"/>
      </w:r>
      <w:r w:rsidR="009376A3">
        <w:t xml:space="preserve">  </w:t>
      </w:r>
      <w:r w:rsidR="00881307">
        <w:t>Thus, there is no</w:t>
      </w:r>
      <w:r w:rsidR="00480A74">
        <w:t xml:space="preserve"> legitimate</w:t>
      </w:r>
      <w:r w:rsidR="00881307">
        <w:t xml:space="preserve"> reason to include the provisions in </w:t>
      </w:r>
      <w:r w:rsidR="00A86D2A">
        <w:t xml:space="preserve">the </w:t>
      </w:r>
      <w:r w:rsidR="00881307">
        <w:t>Settlement, particularly when the evidence</w:t>
      </w:r>
      <w:r w:rsidR="00480A74">
        <w:t xml:space="preserve"> in this case</w:t>
      </w:r>
      <w:r w:rsidR="00881307">
        <w:t xml:space="preserve"> demonstrates the potential for customer harm</w:t>
      </w:r>
      <w:r w:rsidR="002B7B0B">
        <w:t xml:space="preserve"> as described below</w:t>
      </w:r>
      <w:r w:rsidR="00881307">
        <w:t xml:space="preserve">.  </w:t>
      </w:r>
    </w:p>
    <w:p w:rsidR="00C94378" w:rsidP="00421855">
      <w:pPr>
        <w:ind w:firstLine="720"/>
      </w:pPr>
      <w:r>
        <w:t xml:space="preserve">Vectren and IGS/RESA </w:t>
      </w:r>
      <w:r w:rsidR="00480A74">
        <w:t xml:space="preserve">also </w:t>
      </w:r>
      <w:r>
        <w:t>argue that the S</w:t>
      </w:r>
      <w:r w:rsidR="006C3FCE">
        <w:t>CO Supplier Coordination</w:t>
      </w:r>
      <w:r>
        <w:t xml:space="preserve"> provisions simply “reflect[] what is happening today at the Vectren call center.”</w:t>
      </w:r>
      <w:r>
        <w:rPr>
          <w:rStyle w:val="FootnoteReference"/>
        </w:rPr>
        <w:footnoteReference w:id="97"/>
      </w:r>
      <w:r>
        <w:t xml:space="preserve">  If that is true, the</w:t>
      </w:r>
      <w:r w:rsidR="006C3FCE">
        <w:t>n these provisions also</w:t>
      </w:r>
      <w:r>
        <w:t xml:space="preserve"> serve no purpose</w:t>
      </w:r>
      <w:r w:rsidR="006C3FCE">
        <w:t>, and they should be rejected as well</w:t>
      </w:r>
      <w:r>
        <w:t>.</w:t>
      </w:r>
    </w:p>
    <w:p w:rsidR="006D6C56" w:rsidRPr="006D6C56" w:rsidP="00421855">
      <w:pPr>
        <w:pStyle w:val="Heading3"/>
      </w:pPr>
      <w:bookmarkStart w:id="25" w:name="_Toc6316212"/>
      <w:bookmarkStart w:id="26" w:name="_Toc6910667"/>
      <w:r>
        <w:t>1.</w:t>
      </w:r>
      <w:r>
        <w:tab/>
      </w:r>
      <w:r w:rsidR="002B7B0B">
        <w:t xml:space="preserve">In </w:t>
      </w:r>
      <w:r w:rsidR="00E725B9">
        <w:t>v</w:t>
      </w:r>
      <w:r w:rsidR="002B7B0B">
        <w:t xml:space="preserve">iolation </w:t>
      </w:r>
      <w:r w:rsidR="00E725B9">
        <w:t>o</w:t>
      </w:r>
      <w:r w:rsidR="002B7B0B">
        <w:t xml:space="preserve">f </w:t>
      </w:r>
      <w:r w:rsidR="00E725B9">
        <w:t>t</w:t>
      </w:r>
      <w:r w:rsidR="002B7B0B">
        <w:t xml:space="preserve">he </w:t>
      </w:r>
      <w:r w:rsidR="00E725B9">
        <w:t>p</w:t>
      </w:r>
      <w:r w:rsidR="002B7B0B">
        <w:t xml:space="preserve">ublic </w:t>
      </w:r>
      <w:r w:rsidR="00E725B9">
        <w:t>i</w:t>
      </w:r>
      <w:r w:rsidR="002B7B0B">
        <w:t xml:space="preserve">nterest </w:t>
      </w:r>
      <w:r w:rsidR="00E725B9">
        <w:t>a</w:t>
      </w:r>
      <w:r w:rsidR="002B7B0B">
        <w:t xml:space="preserve">nd </w:t>
      </w:r>
      <w:r w:rsidR="00E725B9">
        <w:t>i</w:t>
      </w:r>
      <w:r w:rsidR="002B7B0B">
        <w:t xml:space="preserve">mportant </w:t>
      </w:r>
      <w:r w:rsidR="00E725B9">
        <w:t>r</w:t>
      </w:r>
      <w:r w:rsidR="002B7B0B">
        <w:t xml:space="preserve">egulatory </w:t>
      </w:r>
      <w:r w:rsidR="00E725B9">
        <w:t>p</w:t>
      </w:r>
      <w:r w:rsidR="002B7B0B">
        <w:t xml:space="preserve">rinciples, </w:t>
      </w:r>
      <w:r w:rsidR="00E725B9">
        <w:t>t</w:t>
      </w:r>
      <w:r w:rsidR="002B7B0B">
        <w:t xml:space="preserve">he Settlement’s </w:t>
      </w:r>
      <w:r>
        <w:t xml:space="preserve">SCO Supplier Coordination </w:t>
      </w:r>
      <w:bookmarkEnd w:id="25"/>
      <w:r w:rsidR="00E725B9">
        <w:t>p</w:t>
      </w:r>
      <w:r w:rsidR="002B7B0B">
        <w:t xml:space="preserve">rovisions </w:t>
      </w:r>
      <w:r w:rsidR="00E725B9">
        <w:t>a</w:t>
      </w:r>
      <w:r w:rsidR="002B7B0B">
        <w:t xml:space="preserve">re </w:t>
      </w:r>
      <w:r w:rsidR="00E725B9">
        <w:t>u</w:t>
      </w:r>
      <w:r w:rsidR="002B7B0B">
        <w:t xml:space="preserve">nnecessary </w:t>
      </w:r>
      <w:r w:rsidR="00E725B9">
        <w:t>a</w:t>
      </w:r>
      <w:r w:rsidR="002B7B0B">
        <w:t xml:space="preserve">nd </w:t>
      </w:r>
      <w:r w:rsidR="00E725B9">
        <w:t>r</w:t>
      </w:r>
      <w:r w:rsidR="002B7B0B">
        <w:t xml:space="preserve">un </w:t>
      </w:r>
      <w:r w:rsidR="00E725B9">
        <w:t>t</w:t>
      </w:r>
      <w:r w:rsidR="002B7B0B">
        <w:t xml:space="preserve">he </w:t>
      </w:r>
      <w:r w:rsidR="00E725B9">
        <w:t>r</w:t>
      </w:r>
      <w:r w:rsidR="002B7B0B">
        <w:t xml:space="preserve">isk </w:t>
      </w:r>
      <w:r w:rsidR="00E725B9">
        <w:t>o</w:t>
      </w:r>
      <w:r w:rsidR="002B7B0B">
        <w:t xml:space="preserve">f </w:t>
      </w:r>
      <w:r w:rsidR="00E725B9">
        <w:t>c</w:t>
      </w:r>
      <w:r w:rsidR="002B7B0B">
        <w:t xml:space="preserve">onfusing </w:t>
      </w:r>
      <w:r w:rsidR="00E725B9">
        <w:t>c</w:t>
      </w:r>
      <w:r w:rsidR="002B7B0B">
        <w:t>onsumers.</w:t>
      </w:r>
      <w:bookmarkEnd w:id="26"/>
    </w:p>
    <w:p w:rsidR="00B67153" w:rsidP="00421855">
      <w:pPr>
        <w:ind w:firstLine="720"/>
      </w:pPr>
      <w:r>
        <w:t>T</w:t>
      </w:r>
      <w:r w:rsidR="003927FE">
        <w:t>he Settlement’s “SCO Supplier Coordination Issues” section provides that Vectren will agree to transfer</w:t>
      </w:r>
      <w:r w:rsidR="00A13554">
        <w:t xml:space="preserve"> SCO customer calls to the SCO Supplier when Vectren determines that the call relates to SCO supply service.</w:t>
      </w:r>
      <w:r>
        <w:rPr>
          <w:rStyle w:val="FootnoteReference"/>
        </w:rPr>
        <w:footnoteReference w:id="98"/>
      </w:r>
      <w:r w:rsidR="008C0D0E">
        <w:t xml:space="preserve">  </w:t>
      </w:r>
      <w:r>
        <w:t>T</w:t>
      </w:r>
      <w:r w:rsidR="002178E9">
        <w:t xml:space="preserve">his could cause unnecessary confusion and </w:t>
      </w:r>
      <w:r>
        <w:t xml:space="preserve">subject </w:t>
      </w:r>
      <w:r w:rsidR="002178E9">
        <w:t>the customer</w:t>
      </w:r>
      <w:r>
        <w:t xml:space="preserve"> to unwanted</w:t>
      </w:r>
      <w:r w:rsidR="000E3214">
        <w:t xml:space="preserve"> and potentially harmful</w:t>
      </w:r>
      <w:r>
        <w:t xml:space="preserve"> </w:t>
      </w:r>
      <w:r w:rsidR="00C05762">
        <w:t xml:space="preserve">sales </w:t>
      </w:r>
      <w:r>
        <w:t>solicitation</w:t>
      </w:r>
      <w:r w:rsidR="002178E9">
        <w:t xml:space="preserve">. </w:t>
      </w:r>
      <w:r w:rsidR="008C0D0E">
        <w:t xml:space="preserve"> </w:t>
      </w:r>
      <w:r w:rsidR="002178E9">
        <w:t>U</w:t>
      </w:r>
      <w:r w:rsidR="008C0D0E">
        <w:t>nder the SCO arrangement</w:t>
      </w:r>
      <w:r w:rsidR="002178E9">
        <w:t>, the customer does not choose a natural gas supplier.</w:t>
      </w:r>
      <w:r>
        <w:rPr>
          <w:rStyle w:val="FootnoteReference"/>
        </w:rPr>
        <w:footnoteReference w:id="99"/>
      </w:r>
      <w:r w:rsidR="002178E9">
        <w:t xml:space="preserve"> </w:t>
      </w:r>
      <w:r w:rsidR="00C07D29">
        <w:t xml:space="preserve">Rather, Vectren assigns the </w:t>
      </w:r>
      <w:r w:rsidR="008C0D0E">
        <w:t>customer</w:t>
      </w:r>
      <w:r w:rsidR="00C07D29">
        <w:t xml:space="preserve"> a</w:t>
      </w:r>
      <w:r w:rsidR="002178E9">
        <w:t xml:space="preserve"> natural gas suppl</w:t>
      </w:r>
      <w:r w:rsidR="00C07D29">
        <w:t>ier</w:t>
      </w:r>
      <w:r w:rsidR="000E3214">
        <w:t xml:space="preserve"> after an auction to set a uniform price.</w:t>
      </w:r>
      <w:r w:rsidR="00E43D67">
        <w:t xml:space="preserve"> The</w:t>
      </w:r>
      <w:r w:rsidR="00C07D29">
        <w:t xml:space="preserve"> customer’s primary relation</w:t>
      </w:r>
      <w:r w:rsidR="0036256D">
        <w:t>s</w:t>
      </w:r>
      <w:r w:rsidR="00C07D29">
        <w:t>hip</w:t>
      </w:r>
      <w:r w:rsidR="0036256D">
        <w:t xml:space="preserve"> is with Vectren</w:t>
      </w:r>
      <w:r w:rsidR="002178E9">
        <w:t>.</w:t>
      </w:r>
      <w:r>
        <w:rPr>
          <w:rStyle w:val="FootnoteReference"/>
        </w:rPr>
        <w:footnoteReference w:id="100"/>
      </w:r>
      <w:r w:rsidR="002178E9">
        <w:t xml:space="preserve">  As a result, Mr. Crist </w:t>
      </w:r>
      <w:r>
        <w:t>testified</w:t>
      </w:r>
      <w:r w:rsidR="002178E9">
        <w:t xml:space="preserve"> that </w:t>
      </w:r>
      <w:r w:rsidR="00221010">
        <w:t>SCO customers may be more “familiar” with Vectren as opposed to the SCO supplier due to name recognition or the customer’s existing relationship with Vectren as the distribution service provider.</w:t>
      </w:r>
      <w:r>
        <w:rPr>
          <w:rStyle w:val="FootnoteReference"/>
        </w:rPr>
        <w:footnoteReference w:id="101"/>
      </w:r>
      <w:r w:rsidR="00F60A6A">
        <w:t xml:space="preserve">  </w:t>
      </w:r>
      <w:r w:rsidR="00E63041">
        <w:t>Because the</w:t>
      </w:r>
      <w:r w:rsidR="00F60A6A">
        <w:t xml:space="preserve"> SCO</w:t>
      </w:r>
      <w:r w:rsidR="008C0D0E">
        <w:t xml:space="preserve"> </w:t>
      </w:r>
      <w:r w:rsidR="00F60A6A">
        <w:t xml:space="preserve">customer </w:t>
      </w:r>
      <w:r w:rsidRPr="00A70E15">
        <w:t>chooses</w:t>
      </w:r>
      <w:r>
        <w:rPr>
          <w:i/>
        </w:rPr>
        <w:t xml:space="preserve"> </w:t>
      </w:r>
      <w:r w:rsidR="00F60A6A">
        <w:t xml:space="preserve">Vectren </w:t>
      </w:r>
      <w:r>
        <w:t xml:space="preserve">to arrange </w:t>
      </w:r>
      <w:r w:rsidR="00F60A6A">
        <w:t>for supply service</w:t>
      </w:r>
      <w:r w:rsidR="00CF30E9">
        <w:t>,</w:t>
      </w:r>
      <w:r w:rsidR="00F60A6A">
        <w:t xml:space="preserve"> Vectren should </w:t>
      </w:r>
      <w:r w:rsidR="00CF30E9">
        <w:t>be</w:t>
      </w:r>
      <w:r w:rsidR="00F60A6A">
        <w:t xml:space="preserve"> </w:t>
      </w:r>
      <w:r w:rsidR="00E63041">
        <w:t xml:space="preserve">willing and able </w:t>
      </w:r>
      <w:r w:rsidR="00F60A6A">
        <w:t>to address th</w:t>
      </w:r>
      <w:r w:rsidR="00E63041">
        <w:t>e SCO</w:t>
      </w:r>
      <w:r w:rsidR="00F60A6A">
        <w:t xml:space="preserve"> customer’s questions</w:t>
      </w:r>
      <w:r w:rsidR="00CF30E9">
        <w:t>.</w:t>
      </w:r>
      <w:r w:rsidR="00026F1A">
        <w:t xml:space="preserve">  </w:t>
      </w:r>
    </w:p>
    <w:p w:rsidR="000E2543" w:rsidP="000E2543">
      <w:pPr>
        <w:ind w:firstLine="720"/>
      </w:pPr>
      <w:r>
        <w:t>IGS</w:t>
      </w:r>
      <w:r w:rsidR="00E63041">
        <w:t>/</w:t>
      </w:r>
      <w:r>
        <w:t xml:space="preserve">RESA </w:t>
      </w:r>
      <w:r w:rsidR="00A70E15">
        <w:t>argue</w:t>
      </w:r>
      <w:r>
        <w:t xml:space="preserve"> that the call transfer provisions </w:t>
      </w:r>
      <w:r w:rsidR="00A70E15">
        <w:t xml:space="preserve">will make </w:t>
      </w:r>
      <w:r>
        <w:t>SCO customers more aware of competition.</w:t>
      </w:r>
      <w:r>
        <w:rPr>
          <w:rStyle w:val="FootnoteReference"/>
        </w:rPr>
        <w:footnoteReference w:id="102"/>
      </w:r>
      <w:r>
        <w:t xml:space="preserve">  But</w:t>
      </w:r>
      <w:r w:rsidR="00E63041">
        <w:t xml:space="preserve"> transferring a customers’ calls is</w:t>
      </w:r>
      <w:r w:rsidR="00262924">
        <w:t xml:space="preserve"> not necessary to achieve that</w:t>
      </w:r>
      <w:r w:rsidR="00E63041">
        <w:t xml:space="preserve"> objective, </w:t>
      </w:r>
      <w:r w:rsidR="00262924">
        <w:t>particularly</w:t>
      </w:r>
      <w:r w:rsidR="00CF30E9">
        <w:t xml:space="preserve"> </w:t>
      </w:r>
      <w:r w:rsidR="00E63041">
        <w:t xml:space="preserve">when </w:t>
      </w:r>
      <w:r w:rsidR="00CF30E9">
        <w:t xml:space="preserve">there is the </w:t>
      </w:r>
      <w:r w:rsidR="00262924">
        <w:t xml:space="preserve">risk of customer confusion </w:t>
      </w:r>
      <w:r w:rsidR="008A1CC2">
        <w:t>and unwanted solicitation.</w:t>
      </w:r>
      <w:r w:rsidR="00262924">
        <w:t xml:space="preserve">  </w:t>
      </w:r>
      <w:r w:rsidR="00026F1A">
        <w:t>Mr. Crist</w:t>
      </w:r>
      <w:r w:rsidR="00B67153">
        <w:t xml:space="preserve"> </w:t>
      </w:r>
      <w:r w:rsidR="00A70E15">
        <w:t>conceded</w:t>
      </w:r>
      <w:r w:rsidR="008A1CC2">
        <w:t xml:space="preserve"> on cross-examination</w:t>
      </w:r>
      <w:r w:rsidR="00026F1A">
        <w:t xml:space="preserve"> that </w:t>
      </w:r>
      <w:r w:rsidR="00CF30E9">
        <w:t>nothing in the</w:t>
      </w:r>
      <w:r w:rsidR="00026F1A">
        <w:t xml:space="preserve"> Settlement prevent</w:t>
      </w:r>
      <w:r w:rsidR="00E63041">
        <w:t>s</w:t>
      </w:r>
      <w:r w:rsidR="00026F1A">
        <w:t xml:space="preserve"> the SCO supplier from marketing products and services to customer</w:t>
      </w:r>
      <w:r w:rsidR="00CF30E9">
        <w:t>s wh</w:t>
      </w:r>
      <w:r w:rsidR="00E63041">
        <w:t>en their calls are</w:t>
      </w:r>
      <w:r w:rsidR="00026F1A">
        <w:t xml:space="preserve"> transferred</w:t>
      </w:r>
      <w:r w:rsidR="00CF30E9">
        <w:t xml:space="preserve"> by Vectren</w:t>
      </w:r>
      <w:r w:rsidR="00026F1A">
        <w:t>.</w:t>
      </w:r>
      <w:r>
        <w:rPr>
          <w:rStyle w:val="FootnoteReference"/>
        </w:rPr>
        <w:footnoteReference w:id="103"/>
      </w:r>
      <w:r w:rsidR="00E24135">
        <w:t xml:space="preserve">  </w:t>
      </w:r>
      <w:r w:rsidR="00E63041">
        <w:t>M</w:t>
      </w:r>
      <w:r w:rsidR="00E24135">
        <w:t xml:space="preserve">ore concerning </w:t>
      </w:r>
      <w:r w:rsidR="008A1CC2">
        <w:t>was</w:t>
      </w:r>
      <w:r w:rsidR="00E24135">
        <w:t xml:space="preserve"> Mr. Crist’s testimony </w:t>
      </w:r>
      <w:r w:rsidR="00B67153">
        <w:t>in response to questioning from Attorney Examiner Price that the SCO supplier would be free to “discuss any matter” with the customer, and that “[t]here’s nothing specified in the Stip that limits the SCO supplier.”</w:t>
      </w:r>
      <w:r>
        <w:rPr>
          <w:rStyle w:val="FootnoteReference"/>
        </w:rPr>
        <w:footnoteReference w:id="104"/>
      </w:r>
      <w:r w:rsidR="002F4620">
        <w:t xml:space="preserve">  </w:t>
      </w:r>
      <w:r w:rsidR="00CD2FFC">
        <w:t xml:space="preserve">In addition, </w:t>
      </w:r>
      <w:r w:rsidR="002F4620">
        <w:t>Mr. Crist testified that the Settlement does not prevent a SCO supplier from separately marketing a service with a higher rate than the SCO:</w:t>
      </w:r>
    </w:p>
    <w:p w:rsidR="00534189" w:rsidP="000E2543">
      <w:pPr>
        <w:spacing w:line="240" w:lineRule="auto"/>
        <w:ind w:left="720"/>
      </w:pPr>
      <w:r>
        <w:t>ATTORNEY EXAMINER PRICE:  Is there anything if a – earlier we were talking</w:t>
      </w:r>
      <w:r w:rsidR="00A70E15">
        <w:t xml:space="preserve"> </w:t>
      </w:r>
      <w:r>
        <w:t xml:space="preserve">about the transfer – the transfer of the customer to the Standard Choice Offer supplier.  Is there </w:t>
      </w:r>
      <w:r>
        <w:t>anything preventing a supplier in the Stipulation from offering a very low introductory rate for three months, but then a much higher rate when that call is transferred?</w:t>
      </w:r>
    </w:p>
    <w:p w:rsidR="00534189" w:rsidP="00421855">
      <w:pPr>
        <w:spacing w:line="240" w:lineRule="auto"/>
        <w:ind w:left="720" w:right="720"/>
      </w:pPr>
    </w:p>
    <w:p w:rsidR="00534189" w:rsidP="00421855">
      <w:pPr>
        <w:spacing w:line="240" w:lineRule="auto"/>
        <w:ind w:left="720" w:right="720"/>
      </w:pPr>
      <w:r>
        <w:t>[MR. CRIST]</w:t>
      </w:r>
      <w:r>
        <w:t>:  The Stipulation is silent on that point.</w:t>
      </w:r>
    </w:p>
    <w:p w:rsidR="00534189" w:rsidP="00421855">
      <w:pPr>
        <w:spacing w:line="240" w:lineRule="auto"/>
        <w:ind w:left="720" w:right="720"/>
      </w:pPr>
    </w:p>
    <w:p w:rsidR="00534189" w:rsidP="00421855">
      <w:pPr>
        <w:spacing w:line="240" w:lineRule="auto"/>
        <w:ind w:left="720" w:right="720"/>
      </w:pPr>
      <w:r>
        <w:t>ATTORNEY EXAMINER PRICE:  And you would agree that during the summer months customers’ gas usage is very low?</w:t>
      </w:r>
    </w:p>
    <w:p w:rsidR="00534189" w:rsidP="00421855">
      <w:pPr>
        <w:spacing w:line="240" w:lineRule="auto"/>
        <w:ind w:left="720" w:right="720"/>
      </w:pPr>
    </w:p>
    <w:p w:rsidR="00534189" w:rsidP="00421855">
      <w:pPr>
        <w:spacing w:line="240" w:lineRule="auto"/>
        <w:ind w:left="720" w:right="720"/>
      </w:pPr>
      <w:r>
        <w:t>[MR. CRIST]</w:t>
      </w:r>
      <w:r>
        <w:t>:  Certainly for residential and small commercial customers, it’s very low.</w:t>
      </w:r>
    </w:p>
    <w:p w:rsidR="00534189" w:rsidP="00421855">
      <w:pPr>
        <w:spacing w:line="240" w:lineRule="auto"/>
        <w:ind w:left="720" w:right="720"/>
      </w:pPr>
    </w:p>
    <w:p w:rsidR="00DA6ECD" w:rsidP="00421855">
      <w:pPr>
        <w:spacing w:line="240" w:lineRule="auto"/>
        <w:ind w:left="720" w:right="720"/>
      </w:pPr>
      <w:r>
        <w:t>ATTORNEY EXAMINER PRICE:  I mean for residential.  Thank you.  So it could be advantageous in that situation, and if you were to transfer a customer in May, to offer a very low three-month introductory rate with a much higher rate for the fall months and say to the customer</w:t>
      </w:r>
      <w:r>
        <w:t>, look, this is much lower than the rate from the Standard Choice offeror; would that not be an option?</w:t>
      </w:r>
    </w:p>
    <w:p w:rsidR="00473672" w:rsidP="00421855">
      <w:pPr>
        <w:spacing w:line="240" w:lineRule="auto"/>
        <w:ind w:left="720" w:right="720"/>
      </w:pPr>
    </w:p>
    <w:p w:rsidR="00DA6ECD" w:rsidP="00421855">
      <w:pPr>
        <w:spacing w:line="240" w:lineRule="auto"/>
        <w:ind w:left="720" w:right="720"/>
      </w:pPr>
      <w:r>
        <w:t>[MR. CRIST]:  That would be an opportunity to make such an offer, correct.</w:t>
      </w:r>
      <w:r>
        <w:rPr>
          <w:rStyle w:val="FootnoteReference"/>
        </w:rPr>
        <w:footnoteReference w:id="105"/>
      </w:r>
      <w:r w:rsidR="00A70E15">
        <w:t xml:space="preserve"> </w:t>
      </w:r>
    </w:p>
    <w:p w:rsidR="00DA6ECD" w:rsidP="00421855">
      <w:pPr>
        <w:spacing w:line="240" w:lineRule="auto"/>
        <w:ind w:left="720" w:right="720"/>
      </w:pPr>
    </w:p>
    <w:p w:rsidR="00BC4641" w:rsidP="00421855">
      <w:r>
        <w:t>SCO customers</w:t>
      </w:r>
      <w:r w:rsidR="00504A03">
        <w:t xml:space="preserve"> </w:t>
      </w:r>
      <w:r>
        <w:t>who cho</w:t>
      </w:r>
      <w:r w:rsidR="006C5E94">
        <w:t>o</w:t>
      </w:r>
      <w:r>
        <w:t xml:space="preserve">se Vectren to </w:t>
      </w:r>
      <w:r w:rsidR="006C5E94">
        <w:t>arrange for supply</w:t>
      </w:r>
      <w:r>
        <w:t xml:space="preserve"> should not be subjected to unwanted </w:t>
      </w:r>
      <w:r w:rsidR="00E43D67">
        <w:t xml:space="preserve">and potentially harmful </w:t>
      </w:r>
      <w:r>
        <w:t>interaction with the supplier.</w:t>
      </w:r>
      <w:r w:rsidR="002B7B0B">
        <w:t xml:space="preserve">  The Settlement’s Marketer and Supplier provisions are contrary to the public interest and important regulatory principles.</w:t>
      </w:r>
      <w:r>
        <w:t xml:space="preserve"> </w:t>
      </w:r>
    </w:p>
    <w:p w:rsidR="006D6C56" w:rsidRPr="006D6C56" w:rsidP="00421855">
      <w:pPr>
        <w:pStyle w:val="Heading3"/>
      </w:pPr>
      <w:bookmarkStart w:id="27" w:name="_Toc6316213"/>
      <w:bookmarkStart w:id="28" w:name="_Toc6910668"/>
      <w:r>
        <w:t>2.</w:t>
      </w:r>
      <w:r>
        <w:tab/>
      </w:r>
      <w:r w:rsidR="002B7B0B">
        <w:t xml:space="preserve">The Settlement’s </w:t>
      </w:r>
      <w:r>
        <w:t xml:space="preserve">Exit </w:t>
      </w:r>
      <w:r w:rsidR="006B70B4">
        <w:t>t</w:t>
      </w:r>
      <w:r>
        <w:t>he Merchant Function</w:t>
      </w:r>
      <w:bookmarkEnd w:id="27"/>
      <w:r w:rsidR="002B7B0B">
        <w:t xml:space="preserve"> </w:t>
      </w:r>
      <w:r w:rsidR="00E725B9">
        <w:t>p</w:t>
      </w:r>
      <w:r w:rsidR="002B7B0B">
        <w:t xml:space="preserve">rovisions </w:t>
      </w:r>
      <w:r w:rsidR="00E725B9">
        <w:t>a</w:t>
      </w:r>
      <w:r w:rsidR="002B7B0B">
        <w:t xml:space="preserve">re </w:t>
      </w:r>
      <w:r w:rsidR="00E725B9">
        <w:t>c</w:t>
      </w:r>
      <w:r w:rsidR="002B7B0B">
        <w:t xml:space="preserve">ontrary </w:t>
      </w:r>
      <w:r w:rsidR="00E725B9">
        <w:t>t</w:t>
      </w:r>
      <w:r w:rsidR="002B7B0B">
        <w:t xml:space="preserve">o </w:t>
      </w:r>
      <w:r w:rsidR="00E725B9">
        <w:t>t</w:t>
      </w:r>
      <w:r w:rsidR="002B7B0B">
        <w:t xml:space="preserve">he </w:t>
      </w:r>
      <w:r w:rsidR="00E725B9">
        <w:t>p</w:t>
      </w:r>
      <w:r w:rsidR="002B7B0B">
        <w:t xml:space="preserve">ublic </w:t>
      </w:r>
      <w:r w:rsidR="00E725B9">
        <w:t>i</w:t>
      </w:r>
      <w:r w:rsidR="002B7B0B">
        <w:t>nterest.</w:t>
      </w:r>
      <w:bookmarkEnd w:id="28"/>
    </w:p>
    <w:p w:rsidR="0066074E" w:rsidP="00421855">
      <w:pPr>
        <w:ind w:firstLine="720"/>
      </w:pPr>
      <w:r>
        <w:t xml:space="preserve">The SCO is an important option for consumers.  It </w:t>
      </w:r>
      <w:r>
        <w:t xml:space="preserve">establishes a price for natural gas based on competition.  That is positive for consumers in-and-of itself.  But as the SCO is often the default service, used mostly by residential consumers and small businesses, it is particularly important.  Further, the SCO provides consumers with a price to compare when considering shopping.  </w:t>
      </w:r>
      <w:r w:rsidR="00F8391D">
        <w:t>T</w:t>
      </w:r>
      <w:r w:rsidR="00BC4641">
        <w:t>he “Exit the Merchant</w:t>
      </w:r>
      <w:r w:rsidR="001D3B72">
        <w:t xml:space="preserve"> Function” provisions</w:t>
      </w:r>
      <w:r w:rsidR="00AA3443">
        <w:t>, which would require Vectren to consider eliminating its provision of the SCO,</w:t>
      </w:r>
      <w:r w:rsidR="001D3B72">
        <w:t xml:space="preserve"> </w:t>
      </w:r>
      <w:r w:rsidR="00F8391D">
        <w:t>provide no benefits to customers and could force customers to pay higher supply rates</w:t>
      </w:r>
      <w:r w:rsidR="001D3B72">
        <w:t>.</w:t>
      </w:r>
      <w:r>
        <w:rPr>
          <w:rStyle w:val="FootnoteReference"/>
        </w:rPr>
        <w:footnoteReference w:id="106"/>
      </w:r>
      <w:r w:rsidR="00AA3443">
        <w:t xml:space="preserve">  </w:t>
      </w:r>
    </w:p>
    <w:p w:rsidR="0035677F" w:rsidP="00421855">
      <w:pPr>
        <w:ind w:firstLine="720"/>
      </w:pPr>
      <w:r>
        <w:t>IGS</w:t>
      </w:r>
      <w:r w:rsidR="00F8391D">
        <w:t>/</w:t>
      </w:r>
      <w:r>
        <w:t>RES</w:t>
      </w:r>
      <w:r w:rsidR="00F8391D">
        <w:t xml:space="preserve">A assert that </w:t>
      </w:r>
      <w:r w:rsidR="004F44B8">
        <w:t>Vectren’s exiting the merchant function would further competition, but their</w:t>
      </w:r>
      <w:r w:rsidR="000644D0">
        <w:t xml:space="preserve"> primary </w:t>
      </w:r>
      <w:r w:rsidR="004F44B8">
        <w:t xml:space="preserve">goal </w:t>
      </w:r>
      <w:r w:rsidR="006C5E94">
        <w:t xml:space="preserve">is </w:t>
      </w:r>
      <w:r w:rsidR="004F44B8">
        <w:t xml:space="preserve">to </w:t>
      </w:r>
      <w:r w:rsidR="006C5E94">
        <w:t xml:space="preserve">gain </w:t>
      </w:r>
      <w:r w:rsidR="00FF179B">
        <w:t xml:space="preserve">easier </w:t>
      </w:r>
      <w:r w:rsidR="000644D0">
        <w:t>access to SCO customer</w:t>
      </w:r>
      <w:r w:rsidR="00FF179B">
        <w:t>s</w:t>
      </w:r>
      <w:r w:rsidR="000644D0">
        <w:t>.</w:t>
      </w:r>
      <w:r>
        <w:rPr>
          <w:rStyle w:val="FootnoteReference"/>
        </w:rPr>
        <w:footnoteReference w:id="107"/>
      </w:r>
      <w:r w:rsidR="000644D0">
        <w:t xml:space="preserve">  In response to questions by Attorney Examiner Price, </w:t>
      </w:r>
      <w:r>
        <w:t>Mr. Crist testified:</w:t>
      </w:r>
    </w:p>
    <w:p w:rsidR="006C5E94" w:rsidP="00421855">
      <w:pPr>
        <w:spacing w:line="240" w:lineRule="auto"/>
        <w:ind w:left="720" w:right="720"/>
      </w:pPr>
      <w:r>
        <w:t xml:space="preserve">ATTORNEY EXAMINER PRICE: </w:t>
      </w:r>
      <w:r>
        <w:t>Don’t you have less competition since you’ve eliminated the Standard Choice option?</w:t>
      </w:r>
    </w:p>
    <w:p w:rsidR="006C5E94" w:rsidP="00421855">
      <w:pPr>
        <w:spacing w:line="240" w:lineRule="auto"/>
        <w:ind w:left="720" w:right="720"/>
      </w:pPr>
    </w:p>
    <w:p w:rsidR="009D4FB7" w:rsidP="00421855">
      <w:pPr>
        <w:spacing w:line="240" w:lineRule="auto"/>
        <w:ind w:left="720" w:right="720"/>
      </w:pPr>
      <w:r>
        <w:t>[MR. CRIST]</w:t>
      </w:r>
      <w:r w:rsidR="006C5E94">
        <w:t xml:space="preserve">:  </w:t>
      </w:r>
      <w:r>
        <w:t xml:space="preserve">No, the Standard Choice option has a lot of customers participating in that.  But once they are in the Standard Choice option, it’s not the same level playing field that the marketers are doing to compete for other customers’ patronage, those customers not in the SCO. </w:t>
      </w:r>
    </w:p>
    <w:p w:rsidR="009D4FB7" w:rsidP="00421855">
      <w:pPr>
        <w:spacing w:line="240" w:lineRule="auto"/>
        <w:ind w:left="720" w:right="720"/>
      </w:pPr>
    </w:p>
    <w:p w:rsidR="009D4FB7" w:rsidP="00421855">
      <w:pPr>
        <w:spacing w:line="240" w:lineRule="auto"/>
        <w:ind w:left="720" w:right="720"/>
      </w:pPr>
      <w:r>
        <w:t>So Vectren gets these customers, assigns them an SCO supplier.  There’s work that the utility is doing simply to assign to a supplier, and it kind of takes them out of play for the Choice –</w:t>
      </w:r>
    </w:p>
    <w:p w:rsidR="009D4FB7" w:rsidP="00421855">
      <w:pPr>
        <w:spacing w:line="240" w:lineRule="auto"/>
        <w:ind w:left="720" w:right="720"/>
      </w:pPr>
    </w:p>
    <w:p w:rsidR="009D4FB7" w:rsidP="00421855">
      <w:pPr>
        <w:spacing w:line="240" w:lineRule="auto"/>
        <w:ind w:left="720" w:right="720"/>
      </w:pPr>
      <w:r>
        <w:t>ATTORNEY EXAMINER PRICE:  Why are they out of play?  You can market to the customers until your heart is content.</w:t>
      </w:r>
    </w:p>
    <w:p w:rsidR="009D4FB7" w:rsidP="00421855">
      <w:pPr>
        <w:spacing w:line="240" w:lineRule="auto"/>
        <w:ind w:left="720" w:right="720"/>
      </w:pPr>
    </w:p>
    <w:p w:rsidR="009D4FB7" w:rsidP="00421855">
      <w:pPr>
        <w:spacing w:line="240" w:lineRule="auto"/>
        <w:ind w:left="720" w:right="720"/>
      </w:pPr>
      <w:r>
        <w:t>[MR. CRIST]</w:t>
      </w:r>
      <w:r>
        <w:t>:  True, but they are already assigned an SCO supplier.  It would be fairer if they were simply all in the competitive market –</w:t>
      </w:r>
    </w:p>
    <w:p w:rsidR="009D4FB7" w:rsidP="00421855">
      <w:pPr>
        <w:spacing w:line="240" w:lineRule="auto"/>
        <w:ind w:left="720" w:right="720"/>
      </w:pPr>
    </w:p>
    <w:p w:rsidR="009D4FB7" w:rsidP="00421855">
      <w:pPr>
        <w:spacing w:line="240" w:lineRule="auto"/>
        <w:ind w:left="720" w:right="720"/>
      </w:pPr>
      <w:r>
        <w:t>ATTORNEY EXAMINER PRICE:  Aren’t these customers who have specifically chosen to remain with the utility?</w:t>
      </w:r>
    </w:p>
    <w:p w:rsidR="009D4FB7" w:rsidP="00421855">
      <w:pPr>
        <w:spacing w:line="240" w:lineRule="auto"/>
        <w:ind w:left="720" w:right="720"/>
      </w:pPr>
    </w:p>
    <w:p w:rsidR="009D4FB7" w:rsidP="00421855">
      <w:pPr>
        <w:spacing w:line="240" w:lineRule="auto"/>
        <w:ind w:left="720" w:right="720"/>
      </w:pPr>
      <w:r>
        <w:t>[MR. CRIST]</w:t>
      </w:r>
      <w:r>
        <w:t>:  Some have chosen to remain with the utility.</w:t>
      </w:r>
      <w:r>
        <w:rPr>
          <w:rStyle w:val="FootnoteReference"/>
        </w:rPr>
        <w:footnoteReference w:id="108"/>
      </w:r>
    </w:p>
    <w:p w:rsidR="00FF179B" w:rsidP="00421855">
      <w:pPr>
        <w:spacing w:line="240" w:lineRule="auto"/>
        <w:ind w:right="720"/>
      </w:pPr>
    </w:p>
    <w:p w:rsidR="00FF179B" w:rsidP="00421855">
      <w:r>
        <w:t>IGS</w:t>
      </w:r>
      <w:r w:rsidR="005A779C">
        <w:t>/</w:t>
      </w:r>
      <w:r>
        <w:t>RESA provide no evidence that the Exit the Merchant Function provisions</w:t>
      </w:r>
      <w:r w:rsidR="00E1351A">
        <w:t xml:space="preserve"> will</w:t>
      </w:r>
      <w:r>
        <w:t xml:space="preserve"> benefit customers</w:t>
      </w:r>
      <w:r w:rsidR="00651202">
        <w:t>, nor can they</w:t>
      </w:r>
      <w:r w:rsidR="00E1351A">
        <w:t>.</w:t>
      </w:r>
      <w:r w:rsidR="00651202">
        <w:t xml:space="preserve">  Mr. Crist further testified:</w:t>
      </w:r>
    </w:p>
    <w:p w:rsidR="00651202" w:rsidP="00421855">
      <w:pPr>
        <w:spacing w:line="240" w:lineRule="auto"/>
        <w:ind w:left="720" w:right="720"/>
      </w:pPr>
      <w:r>
        <w:t>ATTORNEY EXAMINER PRICE:  Have you ever performed a study that the elimination of a Standard Choice Offer in any gas service territory will result in reducing the prices available to customers in the service territory?</w:t>
      </w:r>
    </w:p>
    <w:p w:rsidR="00651202" w:rsidP="00421855">
      <w:pPr>
        <w:spacing w:line="240" w:lineRule="auto"/>
        <w:ind w:left="720" w:right="720"/>
      </w:pPr>
      <w:r>
        <w:t>[MR. CRIST]:  I’ve not performed the type of study you’ve described, but I will again comment that the price alone</w:t>
      </w:r>
      <w:r w:rsidR="00480FC3">
        <w:t xml:space="preserve"> is not a significant – or not the significant determination of whether it is a benefit or not a benefit to a customer to have other choices.</w:t>
      </w:r>
    </w:p>
    <w:p w:rsidR="00480FC3" w:rsidP="00421855">
      <w:pPr>
        <w:spacing w:line="240" w:lineRule="auto"/>
        <w:ind w:left="720" w:right="720"/>
      </w:pPr>
    </w:p>
    <w:p w:rsidR="00480FC3" w:rsidP="00421855">
      <w:pPr>
        <w:spacing w:line="240" w:lineRule="auto"/>
        <w:ind w:left="720" w:right="720"/>
      </w:pPr>
      <w:r>
        <w:t>ATTORNEY EXAMINER PRICE:  Is there a different quality of gas?</w:t>
      </w:r>
    </w:p>
    <w:p w:rsidR="00480FC3" w:rsidP="00421855">
      <w:pPr>
        <w:spacing w:line="240" w:lineRule="auto"/>
        <w:ind w:left="720" w:right="720"/>
      </w:pPr>
    </w:p>
    <w:p w:rsidR="00480FC3" w:rsidP="00421855">
      <w:pPr>
        <w:spacing w:line="240" w:lineRule="auto"/>
        <w:ind w:left="720" w:right="720"/>
      </w:pPr>
      <w:r>
        <w:t>[MR. CRIST]:  No.</w:t>
      </w:r>
    </w:p>
    <w:p w:rsidR="00480FC3" w:rsidP="00421855">
      <w:pPr>
        <w:spacing w:line="240" w:lineRule="auto"/>
        <w:ind w:left="720" w:right="720"/>
      </w:pPr>
    </w:p>
    <w:p w:rsidR="00480FC3" w:rsidP="00421855">
      <w:pPr>
        <w:spacing w:line="240" w:lineRule="auto"/>
        <w:ind w:left="720" w:right="720"/>
      </w:pPr>
      <w:r>
        <w:t>ATTORNEY EXAMINER PRICE:  Is there any chance the customer won’t be served because of supplier defaults?</w:t>
      </w:r>
    </w:p>
    <w:p w:rsidR="00480FC3" w:rsidP="00421855">
      <w:pPr>
        <w:spacing w:line="240" w:lineRule="auto"/>
        <w:ind w:left="720" w:right="720"/>
      </w:pPr>
    </w:p>
    <w:p w:rsidR="00480FC3" w:rsidP="00421855">
      <w:pPr>
        <w:spacing w:line="240" w:lineRule="auto"/>
        <w:ind w:left="720" w:right="720"/>
      </w:pPr>
      <w:r>
        <w:t>[MR. CRIST]:  No.  There’s risk management features having to do with the stability of the gas price; for example, fixed versus variable.</w:t>
      </w:r>
      <w:r>
        <w:rPr>
          <w:rStyle w:val="FootnoteReference"/>
        </w:rPr>
        <w:footnoteReference w:id="109"/>
      </w:r>
    </w:p>
    <w:p w:rsidR="00480FC3" w:rsidP="00421855">
      <w:pPr>
        <w:spacing w:line="240" w:lineRule="auto"/>
        <w:ind w:right="720"/>
      </w:pPr>
    </w:p>
    <w:p w:rsidR="00651202" w:rsidP="00512D38">
      <w:pPr>
        <w:ind w:firstLine="720"/>
      </w:pPr>
      <w:r>
        <w:t>In sum, the SCO is an important option for Vectren’s customers and the Settlement’s Exit the Merchant Function provisions should be rejected.</w:t>
      </w:r>
      <w:r w:rsidR="002B7B0B">
        <w:t xml:space="preserve">  They are not in the public interest and violate important regulatory principles.</w:t>
      </w:r>
      <w:r>
        <w:t xml:space="preserve"> </w:t>
      </w:r>
    </w:p>
    <w:p w:rsidR="005A779C" w:rsidP="00421855">
      <w:pPr>
        <w:pStyle w:val="Heading3"/>
      </w:pPr>
      <w:bookmarkStart w:id="29" w:name="_Toc6316214"/>
      <w:bookmarkStart w:id="30" w:name="_Toc6910669"/>
      <w:r>
        <w:t>3.</w:t>
      </w:r>
      <w:r>
        <w:tab/>
      </w:r>
      <w:r w:rsidR="0066074E">
        <w:t xml:space="preserve">The Settlement’s </w:t>
      </w:r>
      <w:r w:rsidR="00651202">
        <w:t>Billing Enhancements</w:t>
      </w:r>
      <w:bookmarkEnd w:id="29"/>
      <w:r w:rsidR="0066074E">
        <w:t xml:space="preserve"> </w:t>
      </w:r>
      <w:r w:rsidR="00E725B9">
        <w:t>p</w:t>
      </w:r>
      <w:r w:rsidR="0066074E">
        <w:t xml:space="preserve">rovisions </w:t>
      </w:r>
      <w:r w:rsidR="00E725B9">
        <w:t>a</w:t>
      </w:r>
      <w:r w:rsidR="0066074E">
        <w:t xml:space="preserve">re </w:t>
      </w:r>
      <w:r w:rsidR="00E725B9">
        <w:t>c</w:t>
      </w:r>
      <w:r w:rsidR="0066074E">
        <w:t xml:space="preserve">ontrary </w:t>
      </w:r>
      <w:r w:rsidR="00E725B9">
        <w:t>t</w:t>
      </w:r>
      <w:r w:rsidR="0066074E">
        <w:t xml:space="preserve">o </w:t>
      </w:r>
      <w:r w:rsidR="00E725B9">
        <w:t>t</w:t>
      </w:r>
      <w:r w:rsidR="0066074E">
        <w:t xml:space="preserve">he </w:t>
      </w:r>
      <w:r w:rsidR="00E725B9">
        <w:t>p</w:t>
      </w:r>
      <w:r w:rsidR="0066074E">
        <w:t xml:space="preserve">ublic </w:t>
      </w:r>
      <w:r w:rsidR="00E725B9">
        <w:t>i</w:t>
      </w:r>
      <w:r w:rsidR="0066074E">
        <w:t>nterest.</w:t>
      </w:r>
      <w:bookmarkEnd w:id="30"/>
    </w:p>
    <w:p w:rsidR="003F690C" w:rsidP="00421855">
      <w:pPr>
        <w:ind w:firstLine="720"/>
      </w:pPr>
      <w:r>
        <w:t xml:space="preserve">IGS/RESA contend that Paragraph </w:t>
      </w:r>
      <w:r w:rsidR="00473672">
        <w:t>15(d) of the Settlement</w:t>
      </w:r>
      <w:r w:rsidR="001958A9">
        <w:t xml:space="preserve"> should be adopted because the </w:t>
      </w:r>
      <w:r w:rsidR="00BA0FC0">
        <w:t>proposed billing enhancements would benefit customers by providing them with additional billing options</w:t>
      </w:r>
      <w:r w:rsidR="00AF6731">
        <w:t xml:space="preserve"> and services</w:t>
      </w:r>
      <w:r w:rsidR="00BA0FC0">
        <w:t>.</w:t>
      </w:r>
      <w:r>
        <w:rPr>
          <w:rStyle w:val="FootnoteReference"/>
        </w:rPr>
        <w:footnoteReference w:id="110"/>
      </w:r>
      <w:r w:rsidR="00AC40A7">
        <w:t xml:space="preserve">  This argument should be rejected for two reasons.</w:t>
      </w:r>
      <w:r w:rsidR="00BA0FC0">
        <w:t xml:space="preserve">  </w:t>
      </w:r>
      <w:r w:rsidR="00AC40A7">
        <w:t>First, the issue is</w:t>
      </w:r>
      <w:r w:rsidR="00BA0FC0">
        <w:t xml:space="preserve"> whether customers will be forced to pay for </w:t>
      </w:r>
      <w:r w:rsidR="00AF6731">
        <w:t xml:space="preserve">upgrades </w:t>
      </w:r>
      <w:r w:rsidR="00BA0FC0">
        <w:t>th</w:t>
      </w:r>
      <w:r w:rsidR="00AC40A7">
        <w:t>at</w:t>
      </w:r>
      <w:r w:rsidR="00BA0FC0">
        <w:t xml:space="preserve"> suppliers want.</w:t>
      </w:r>
      <w:r w:rsidR="00AC40A7">
        <w:t xml:space="preserve">  On cross-examination, Mr. Crist confirmed that the Settlement provides for cost recovery from customers through the Exit Transition Cost (“ETC”) rider</w:t>
      </w:r>
      <w:r w:rsidR="004F44B8">
        <w:t xml:space="preserve"> and that</w:t>
      </w:r>
      <w:r w:rsidR="00AC40A7">
        <w:t xml:space="preserve"> “RESA suppliers haven’t committed to pay any part of the billing upgrade cost.”</w:t>
      </w:r>
      <w:r>
        <w:rPr>
          <w:rStyle w:val="FootnoteReference"/>
        </w:rPr>
        <w:footnoteReference w:id="111"/>
      </w:r>
      <w:r w:rsidR="00FE4E08">
        <w:t xml:space="preserve">  If suppliers want additional bill functions, they should commit to paying for them.</w:t>
      </w:r>
      <w:r>
        <w:t xml:space="preserve">  </w:t>
      </w:r>
    </w:p>
    <w:p w:rsidR="00651202" w:rsidP="00421855">
      <w:pPr>
        <w:ind w:firstLine="720"/>
      </w:pPr>
      <w:r>
        <w:t xml:space="preserve">Second, </w:t>
      </w:r>
      <w:r w:rsidR="00A86D2A">
        <w:t xml:space="preserve">although </w:t>
      </w:r>
      <w:r w:rsidR="004F44B8">
        <w:t xml:space="preserve">the billing upgrades </w:t>
      </w:r>
      <w:r>
        <w:t>will benefit suppliers</w:t>
      </w:r>
      <w:r w:rsidR="004F44B8">
        <w:t xml:space="preserve">, </w:t>
      </w:r>
      <w:r>
        <w:t>there is no evidence that Vectren’s customers either want or need the billing functions IGS/RESA propose.</w:t>
      </w:r>
      <w:r w:rsidR="0081333E">
        <w:t xml:space="preserve">  During questioning from Attorney Examiner Price, Mr. Crist conceded that suppliers could already </w:t>
      </w:r>
      <w:r w:rsidR="00F37025">
        <w:t xml:space="preserve">accomplish </w:t>
      </w:r>
      <w:r w:rsidR="005657AA">
        <w:t>all of</w:t>
      </w:r>
      <w:r w:rsidR="00F37025">
        <w:t xml:space="preserve"> the proposed billing functions</w:t>
      </w:r>
      <w:r w:rsidR="005657AA">
        <w:t xml:space="preserve"> set forth in Table 1 of Mr. Crist’s Direct Testimony</w:t>
      </w:r>
      <w:r>
        <w:rPr>
          <w:rStyle w:val="FootnoteReference"/>
        </w:rPr>
        <w:footnoteReference w:id="112"/>
      </w:r>
      <w:r w:rsidR="00F37025">
        <w:t xml:space="preserve"> through dual billing.</w:t>
      </w:r>
      <w:r>
        <w:rPr>
          <w:rStyle w:val="FootnoteReference"/>
        </w:rPr>
        <w:footnoteReference w:id="113"/>
      </w:r>
      <w:r w:rsidR="00CD6AC6">
        <w:t xml:space="preserve"> Mr. Crist</w:t>
      </w:r>
      <w:r w:rsidR="00401043">
        <w:t xml:space="preserve"> further</w:t>
      </w:r>
      <w:r w:rsidR="00CD6AC6">
        <w:t xml:space="preserve"> testified that</w:t>
      </w:r>
      <w:r w:rsidR="00401043">
        <w:t xml:space="preserve"> RESA had not conducted any analyses to determine whether Vectren’s customers even want the services associated with the proposed enhancements.</w:t>
      </w:r>
      <w:r>
        <w:rPr>
          <w:rStyle w:val="FootnoteReference"/>
        </w:rPr>
        <w:footnoteReference w:id="114"/>
      </w:r>
      <w:r w:rsidR="00365CFA">
        <w:t xml:space="preserve">  </w:t>
      </w:r>
      <w:r w:rsidR="00CE1476">
        <w:t>In short, the evidentiary record does not support the Billing Enhancement provisions, and they should be rejected.</w:t>
      </w:r>
    </w:p>
    <w:p w:rsidR="0066074E" w:rsidP="00421855">
      <w:pPr>
        <w:ind w:firstLine="720"/>
      </w:pPr>
      <w:r>
        <w:t>The Settlement’s Billing Enhancement provisions would make consumers pay for Marketer benefits that they do not want.  They are not in the public interest and should be rejected.</w:t>
      </w:r>
    </w:p>
    <w:p w:rsidR="00CE1476" w:rsidP="00421855">
      <w:pPr>
        <w:pStyle w:val="Heading3"/>
      </w:pPr>
      <w:bookmarkStart w:id="31" w:name="_Toc6316215"/>
      <w:bookmarkStart w:id="32" w:name="_Toc6910670"/>
      <w:r>
        <w:t>4.</w:t>
      </w:r>
      <w:r>
        <w:tab/>
      </w:r>
      <w:r w:rsidR="006F39CF">
        <w:t xml:space="preserve">Provision to </w:t>
      </w:r>
      <w:r w:rsidR="00623DD4">
        <w:t xml:space="preserve">give </w:t>
      </w:r>
      <w:r w:rsidR="006F39CF">
        <w:t>Marketers A</w:t>
      </w:r>
      <w:r w:rsidR="0066074E">
        <w:t xml:space="preserve"> </w:t>
      </w:r>
      <w:r>
        <w:t>Top 25</w:t>
      </w:r>
      <w:r w:rsidR="00A049D6">
        <w:t>%</w:t>
      </w:r>
      <w:r>
        <w:t xml:space="preserve"> List</w:t>
      </w:r>
      <w:bookmarkEnd w:id="31"/>
      <w:r w:rsidR="006F39CF">
        <w:t xml:space="preserve"> under the Settlement</w:t>
      </w:r>
      <w:r w:rsidR="0066074E">
        <w:t xml:space="preserve"> </w:t>
      </w:r>
      <w:r w:rsidR="00E725B9">
        <w:t>i</w:t>
      </w:r>
      <w:r w:rsidR="0066074E">
        <w:t xml:space="preserve">s </w:t>
      </w:r>
      <w:r w:rsidR="00E725B9">
        <w:t>n</w:t>
      </w:r>
      <w:r w:rsidR="0066074E">
        <w:t xml:space="preserve">ot </w:t>
      </w:r>
      <w:r w:rsidR="00E725B9">
        <w:t>i</w:t>
      </w:r>
      <w:r w:rsidR="0066074E">
        <w:t xml:space="preserve">n </w:t>
      </w:r>
      <w:r w:rsidR="00E725B9">
        <w:t>t</w:t>
      </w:r>
      <w:r w:rsidR="0066074E">
        <w:t xml:space="preserve">he </w:t>
      </w:r>
      <w:r w:rsidR="00E725B9">
        <w:t>p</w:t>
      </w:r>
      <w:r w:rsidR="0066074E">
        <w:t xml:space="preserve">ublic </w:t>
      </w:r>
      <w:r w:rsidR="00E725B9">
        <w:t>i</w:t>
      </w:r>
      <w:r w:rsidR="0066074E">
        <w:t>nterest.</w:t>
      </w:r>
      <w:bookmarkEnd w:id="32"/>
    </w:p>
    <w:p w:rsidR="00B04AB3" w:rsidP="00421855">
      <w:pPr>
        <w:ind w:firstLine="720"/>
      </w:pPr>
      <w:r>
        <w:t>IGS/RESA want Vectren to explore the feasibility of providing a list of Choice customers whose rates are in the top 25% of all Choice Customer</w:t>
      </w:r>
      <w:r w:rsidR="00CA0517">
        <w:t xml:space="preserve"> rates.</w:t>
      </w:r>
      <w:r>
        <w:rPr>
          <w:rStyle w:val="FootnoteReference"/>
        </w:rPr>
        <w:footnoteReference w:id="115"/>
      </w:r>
      <w:r w:rsidR="00CA0517">
        <w:t xml:space="preserve">  If Vectren can provide this information, IGS/RESA intend to use it to market services to those customers.</w:t>
      </w:r>
      <w:r>
        <w:rPr>
          <w:rStyle w:val="FootnoteReference"/>
        </w:rPr>
        <w:footnoteReference w:id="116"/>
      </w:r>
      <w:r w:rsidR="00844836">
        <w:t xml:space="preserve">  </w:t>
      </w:r>
      <w:r>
        <w:t xml:space="preserve">These provisions should be rejected for several reasons.  </w:t>
      </w:r>
    </w:p>
    <w:p w:rsidR="009A6C5E" w:rsidRPr="000917DE" w:rsidP="00421855">
      <w:pPr>
        <w:ind w:firstLine="720"/>
      </w:pPr>
      <w:r>
        <w:t>The Settlement language refers to “Choice” customers,</w:t>
      </w:r>
      <w:r w:rsidR="0024325F">
        <w:t xml:space="preserve"> and Vectren </w:t>
      </w:r>
      <w:r w:rsidR="00512D38">
        <w:t>W</w:t>
      </w:r>
      <w:r w:rsidR="0024325F">
        <w:t xml:space="preserve">itness Mr. Scott Albertson </w:t>
      </w:r>
      <w:r w:rsidR="00F568DF">
        <w:t>confirmed that the Top 25% List would not include information regarding SCO customers.</w:t>
      </w:r>
      <w:r>
        <w:rPr>
          <w:rStyle w:val="FootnoteReference"/>
        </w:rPr>
        <w:footnoteReference w:id="117"/>
      </w:r>
      <w:r w:rsidR="00F568DF">
        <w:t xml:space="preserve"> </w:t>
      </w:r>
      <w:r>
        <w:t xml:space="preserve"> </w:t>
      </w:r>
      <w:r w:rsidR="00A86D2A">
        <w:t>But</w:t>
      </w:r>
      <w:r w:rsidR="00A556C1">
        <w:t xml:space="preserve"> </w:t>
      </w:r>
      <w:r>
        <w:t xml:space="preserve">Mr. Crist </w:t>
      </w:r>
      <w:r w:rsidR="007025F6">
        <w:t>was evasive</w:t>
      </w:r>
      <w:r>
        <w:t xml:space="preserve"> during cross-examination </w:t>
      </w:r>
      <w:r w:rsidR="00A86D2A">
        <w:t>regarding</w:t>
      </w:r>
      <w:r>
        <w:t xml:space="preserve"> whether the suppliers would commit not to seek information regarding Vectren’s SCO customers.</w:t>
      </w:r>
      <w:r>
        <w:rPr>
          <w:rStyle w:val="FootnoteReference"/>
        </w:rPr>
        <w:footnoteReference w:id="118"/>
      </w:r>
      <w:r>
        <w:t xml:space="preserve">  </w:t>
      </w:r>
      <w:r w:rsidR="007025F6">
        <w:t>SCO customers choose Vectren to arrange for supply service, and they should not be subjected to unnecessary and unwanted solicitation.  In addition, while the Settlement provides that Vectren’s costs to create the Top 25% List would be recovered through the “customer list fee</w:t>
      </w:r>
      <w:r w:rsidR="00A86D2A">
        <w:t>,</w:t>
      </w:r>
      <w:r w:rsidR="007025F6">
        <w:t>” Mr. Crist could not explain specifically what that fee is or whether</w:t>
      </w:r>
      <w:r w:rsidR="001E78D9">
        <w:t xml:space="preserve"> the costs could ultimately be passed on to Vectren’s customers.</w:t>
      </w:r>
      <w:r>
        <w:rPr>
          <w:rStyle w:val="FootnoteReference"/>
        </w:rPr>
        <w:footnoteReference w:id="119"/>
      </w:r>
      <w:r w:rsidR="007025F6">
        <w:t xml:space="preserve">   </w:t>
      </w:r>
      <w:r>
        <w:t xml:space="preserve"> </w:t>
      </w:r>
    </w:p>
    <w:p w:rsidR="00E1351A" w:rsidP="006B70B4">
      <w:pPr>
        <w:ind w:firstLine="720"/>
      </w:pPr>
      <w:r>
        <w:t>When further questioned by Attorney Examiner Price, Mr. Crist’s testimony revealed that the</w:t>
      </w:r>
      <w:r w:rsidR="008D0F04">
        <w:t xml:space="preserve"> purpose of the</w:t>
      </w:r>
      <w:r>
        <w:t xml:space="preserve"> Top 25% List</w:t>
      </w:r>
      <w:r w:rsidR="008D0F04">
        <w:t xml:space="preserve"> is not to benefit customers, but to make </w:t>
      </w:r>
      <w:r w:rsidR="00B8377A">
        <w:t>the suppliers’ marketing efforts easier.</w:t>
      </w:r>
      <w:r>
        <w:rPr>
          <w:rStyle w:val="FootnoteReference"/>
        </w:rPr>
        <w:footnoteReference w:id="120"/>
      </w:r>
      <w:r w:rsidR="00B8377A">
        <w:t xml:space="preserve">  </w:t>
      </w:r>
      <w:r w:rsidR="00A86D2A">
        <w:t>Further</w:t>
      </w:r>
      <w:r w:rsidR="00B8377A">
        <w:t xml:space="preserve">, </w:t>
      </w:r>
      <w:r w:rsidR="00006C19">
        <w:t xml:space="preserve">Mr. Crist acknowledged that customers targeted </w:t>
      </w:r>
      <w:r w:rsidR="00615997">
        <w:t xml:space="preserve">through the </w:t>
      </w:r>
      <w:r w:rsidR="00000BE9">
        <w:t>Top 25% List could be harmed financially if they switched suppliers and were not aware of a termination fee.</w:t>
      </w:r>
      <w:r>
        <w:rPr>
          <w:rStyle w:val="FootnoteReference"/>
        </w:rPr>
        <w:footnoteReference w:id="121"/>
      </w:r>
      <w:r w:rsidR="00D83A0F">
        <w:t xml:space="preserve">  Mr. Crist also conceded that customer</w:t>
      </w:r>
      <w:r w:rsidR="00B77502">
        <w:t>s</w:t>
      </w:r>
      <w:r w:rsidR="00D83A0F">
        <w:t xml:space="preserve"> could suffer economic harm if </w:t>
      </w:r>
      <w:r w:rsidR="00B77502">
        <w:t xml:space="preserve">they </w:t>
      </w:r>
      <w:r w:rsidR="00202438">
        <w:t xml:space="preserve">accept a supplier </w:t>
      </w:r>
      <w:r w:rsidR="00D36FEF">
        <w:t>offer</w:t>
      </w:r>
      <w:r w:rsidR="00202438">
        <w:t xml:space="preserve"> for</w:t>
      </w:r>
      <w:r w:rsidR="00D83A0F">
        <w:t xml:space="preserve"> a</w:t>
      </w:r>
      <w:r w:rsidR="00D36FEF">
        <w:t xml:space="preserve"> low introductory rate but </w:t>
      </w:r>
      <w:r w:rsidR="00B77502">
        <w:t>are</w:t>
      </w:r>
      <w:r w:rsidR="00202438">
        <w:t xml:space="preserve"> later charged</w:t>
      </w:r>
      <w:r w:rsidR="00D36FEF">
        <w:t xml:space="preserve"> a higher rate or termination fee.</w:t>
      </w:r>
      <w:r>
        <w:rPr>
          <w:rStyle w:val="FootnoteReference"/>
        </w:rPr>
        <w:footnoteReference w:id="122"/>
      </w:r>
      <w:r w:rsidR="00202438">
        <w:t xml:space="preserve">  Given the potential for customer harm, and the lack of evidence demonstrating any real benefit to customers, the PUCO should reject the Settlement’s Top 25% List provisions as well.</w:t>
      </w:r>
      <w:r w:rsidR="00B854A4">
        <w:t xml:space="preserve">  It is not in the public interest.</w:t>
      </w:r>
    </w:p>
    <w:p w:rsidR="009D4FB7" w:rsidP="00421855">
      <w:pPr>
        <w:spacing w:line="240" w:lineRule="auto"/>
        <w:ind w:left="720" w:right="720"/>
      </w:pPr>
    </w:p>
    <w:p w:rsidR="009968B1" w:rsidRPr="00D51E64" w:rsidP="00421855">
      <w:pPr>
        <w:pStyle w:val="Heading1"/>
      </w:pPr>
      <w:bookmarkStart w:id="33" w:name="_Toc4407232"/>
      <w:bookmarkStart w:id="34" w:name="_Toc6316216"/>
      <w:bookmarkStart w:id="35" w:name="_Toc6910671"/>
      <w:r>
        <w:rPr>
          <w:rFonts w:eastAsia="Times New Roman"/>
        </w:rPr>
        <w:t>I</w:t>
      </w:r>
      <w:r w:rsidR="00512D38">
        <w:rPr>
          <w:rFonts w:eastAsia="Times New Roman"/>
        </w:rPr>
        <w:t>V</w:t>
      </w:r>
      <w:r w:rsidR="00CF23C6">
        <w:rPr>
          <w:rFonts w:eastAsia="Times New Roman"/>
        </w:rPr>
        <w:t>.</w:t>
      </w:r>
      <w:r w:rsidR="00CF23C6">
        <w:rPr>
          <w:rFonts w:eastAsia="Times New Roman"/>
        </w:rPr>
        <w:tab/>
      </w:r>
      <w:r w:rsidRPr="004B6C2F" w:rsidR="00F116F0">
        <w:t>CONCLUSION</w:t>
      </w:r>
      <w:bookmarkEnd w:id="33"/>
      <w:bookmarkEnd w:id="34"/>
      <w:bookmarkEnd w:id="35"/>
    </w:p>
    <w:p w:rsidR="00A86D2A" w:rsidP="00421855">
      <w:pPr>
        <w:ind w:firstLine="720"/>
        <w:rPr>
          <w:rFonts w:cs="Times New Roman"/>
          <w:szCs w:val="24"/>
        </w:rPr>
      </w:pPr>
      <w:r>
        <w:rPr>
          <w:rFonts w:cs="Times New Roman"/>
          <w:szCs w:val="24"/>
        </w:rPr>
        <w:t>T</w:t>
      </w:r>
      <w:r w:rsidR="005D5483">
        <w:rPr>
          <w:rFonts w:cs="Times New Roman"/>
          <w:szCs w:val="24"/>
        </w:rPr>
        <w:t>he PUCO</w:t>
      </w:r>
      <w:r w:rsidR="000167AB">
        <w:rPr>
          <w:rFonts w:cs="Times New Roman"/>
          <w:szCs w:val="24"/>
        </w:rPr>
        <w:t xml:space="preserve"> must make its decision based on the eviden</w:t>
      </w:r>
      <w:r w:rsidR="005D5483">
        <w:rPr>
          <w:rFonts w:cs="Times New Roman"/>
          <w:szCs w:val="24"/>
        </w:rPr>
        <w:t>tiary record</w:t>
      </w:r>
      <w:r w:rsidR="000167AB">
        <w:rPr>
          <w:rFonts w:cs="Times New Roman"/>
          <w:szCs w:val="24"/>
        </w:rPr>
        <w:t xml:space="preserve"> in th</w:t>
      </w:r>
      <w:r>
        <w:rPr>
          <w:rFonts w:cs="Times New Roman"/>
          <w:szCs w:val="24"/>
        </w:rPr>
        <w:t>is</w:t>
      </w:r>
      <w:r w:rsidR="000167AB">
        <w:rPr>
          <w:rFonts w:cs="Times New Roman"/>
          <w:szCs w:val="24"/>
        </w:rPr>
        <w:t xml:space="preserve"> proceeding</w:t>
      </w:r>
      <w:r>
        <w:rPr>
          <w:rFonts w:cs="Times New Roman"/>
          <w:szCs w:val="24"/>
        </w:rPr>
        <w:t xml:space="preserve"> and should not approve the Settlement simply because it has approved the </w:t>
      </w:r>
      <w:r w:rsidR="006F39CF">
        <w:rPr>
          <w:rFonts w:cs="Times New Roman"/>
          <w:szCs w:val="24"/>
        </w:rPr>
        <w:t xml:space="preserve">Fixed Charge </w:t>
      </w:r>
      <w:r>
        <w:rPr>
          <w:rFonts w:cs="Times New Roman"/>
          <w:szCs w:val="24"/>
        </w:rPr>
        <w:t>rate design in the past</w:t>
      </w:r>
      <w:r w:rsidR="00F34E12">
        <w:rPr>
          <w:rFonts w:cs="Times New Roman"/>
          <w:szCs w:val="24"/>
        </w:rPr>
        <w:t>.  And t</w:t>
      </w:r>
      <w:r w:rsidR="000167AB">
        <w:rPr>
          <w:rFonts w:cs="Times New Roman"/>
          <w:szCs w:val="24"/>
        </w:rPr>
        <w:t xml:space="preserve">he </w:t>
      </w:r>
      <w:r w:rsidR="000E7A64">
        <w:rPr>
          <w:rFonts w:cs="Times New Roman"/>
          <w:szCs w:val="24"/>
        </w:rPr>
        <w:t>evidence</w:t>
      </w:r>
      <w:r w:rsidR="00F87E97">
        <w:rPr>
          <w:rFonts w:cs="Times New Roman"/>
          <w:szCs w:val="24"/>
        </w:rPr>
        <w:t xml:space="preserve"> in this proceeding</w:t>
      </w:r>
      <w:r w:rsidR="000E7A64">
        <w:rPr>
          <w:rFonts w:cs="Times New Roman"/>
          <w:szCs w:val="24"/>
        </w:rPr>
        <w:t xml:space="preserve"> </w:t>
      </w:r>
      <w:r w:rsidR="00F34E12">
        <w:rPr>
          <w:rFonts w:cs="Times New Roman"/>
          <w:szCs w:val="24"/>
        </w:rPr>
        <w:t>demonstrates that c</w:t>
      </w:r>
      <w:r w:rsidR="000E7A64">
        <w:rPr>
          <w:rFonts w:cs="Times New Roman"/>
          <w:szCs w:val="24"/>
        </w:rPr>
        <w:t xml:space="preserve">ontinuing the </w:t>
      </w:r>
      <w:r w:rsidR="006F39CF">
        <w:rPr>
          <w:rFonts w:cs="Times New Roman"/>
          <w:szCs w:val="24"/>
        </w:rPr>
        <w:t>Fixed Charge</w:t>
      </w:r>
      <w:r w:rsidR="00F34E12">
        <w:rPr>
          <w:rFonts w:cs="Times New Roman"/>
          <w:szCs w:val="24"/>
        </w:rPr>
        <w:t xml:space="preserve"> with no </w:t>
      </w:r>
      <w:r w:rsidR="000E7A64">
        <w:rPr>
          <w:rFonts w:cs="Times New Roman"/>
          <w:szCs w:val="24"/>
        </w:rPr>
        <w:t>volumetric rate component will result in</w:t>
      </w:r>
      <w:r w:rsidR="00F34E12">
        <w:rPr>
          <w:rFonts w:cs="Times New Roman"/>
          <w:szCs w:val="24"/>
        </w:rPr>
        <w:t xml:space="preserve"> rates that unreasonably burden low</w:t>
      </w:r>
      <w:r w:rsidR="00512D38">
        <w:rPr>
          <w:rFonts w:cs="Times New Roman"/>
          <w:szCs w:val="24"/>
        </w:rPr>
        <w:t>-</w:t>
      </w:r>
      <w:r w:rsidR="00F34E12">
        <w:rPr>
          <w:rFonts w:cs="Times New Roman"/>
          <w:szCs w:val="24"/>
        </w:rPr>
        <w:t>use customers</w:t>
      </w:r>
      <w:r w:rsidR="000E7A64">
        <w:rPr>
          <w:rFonts w:cs="Times New Roman"/>
          <w:szCs w:val="24"/>
        </w:rPr>
        <w:t>.</w:t>
      </w:r>
      <w:r w:rsidR="00F34E12">
        <w:rPr>
          <w:rFonts w:cs="Times New Roman"/>
          <w:szCs w:val="24"/>
        </w:rPr>
        <w:t xml:space="preserve">  </w:t>
      </w:r>
    </w:p>
    <w:p w:rsidR="00A86D2A" w:rsidP="00421855">
      <w:pPr>
        <w:ind w:firstLine="720"/>
        <w:rPr>
          <w:rFonts w:cs="Times New Roman"/>
          <w:szCs w:val="24"/>
        </w:rPr>
      </w:pPr>
      <w:r>
        <w:rPr>
          <w:rFonts w:cs="Times New Roman"/>
          <w:szCs w:val="24"/>
        </w:rPr>
        <w:t>Vectren freely admits this</w:t>
      </w:r>
      <w:r w:rsidR="00B21459">
        <w:rPr>
          <w:rFonts w:cs="Times New Roman"/>
          <w:szCs w:val="24"/>
        </w:rPr>
        <w:t xml:space="preserve"> and</w:t>
      </w:r>
      <w:r>
        <w:rPr>
          <w:rFonts w:cs="Times New Roman"/>
          <w:szCs w:val="24"/>
        </w:rPr>
        <w:t xml:space="preserve"> dismiss</w:t>
      </w:r>
      <w:r w:rsidR="00B21459">
        <w:rPr>
          <w:rFonts w:cs="Times New Roman"/>
          <w:szCs w:val="24"/>
        </w:rPr>
        <w:t>es</w:t>
      </w:r>
      <w:r>
        <w:rPr>
          <w:rFonts w:cs="Times New Roman"/>
          <w:szCs w:val="24"/>
        </w:rPr>
        <w:t xml:space="preserve"> customer concerns </w:t>
      </w:r>
      <w:r w:rsidR="005D5483">
        <w:rPr>
          <w:rFonts w:cs="Times New Roman"/>
          <w:szCs w:val="24"/>
        </w:rPr>
        <w:t xml:space="preserve">by </w:t>
      </w:r>
      <w:r>
        <w:rPr>
          <w:rFonts w:cs="Times New Roman"/>
          <w:szCs w:val="24"/>
        </w:rPr>
        <w:t>stating that “[t]he</w:t>
      </w:r>
      <w:r w:rsidR="006B70B4">
        <w:rPr>
          <w:rFonts w:cs="Times New Roman"/>
          <w:szCs w:val="24"/>
        </w:rPr>
        <w:t xml:space="preserve"> </w:t>
      </w:r>
      <w:r>
        <w:rPr>
          <w:rFonts w:cs="Times New Roman"/>
          <w:szCs w:val="24"/>
        </w:rPr>
        <w:t>work needs to be done, and it is not free.”</w:t>
      </w:r>
      <w:r>
        <w:rPr>
          <w:rStyle w:val="FootnoteReference"/>
          <w:rFonts w:cs="Times New Roman"/>
          <w:szCs w:val="24"/>
        </w:rPr>
        <w:footnoteReference w:id="123"/>
      </w:r>
      <w:r>
        <w:rPr>
          <w:rFonts w:cs="Times New Roman"/>
          <w:szCs w:val="24"/>
        </w:rPr>
        <w:t xml:space="preserve">  With due respect to the PUCO’s prior </w:t>
      </w:r>
      <w:r w:rsidR="005D5483">
        <w:rPr>
          <w:rFonts w:cs="Times New Roman"/>
          <w:szCs w:val="24"/>
        </w:rPr>
        <w:t>decisions, Vectren’s customers</w:t>
      </w:r>
      <w:r w:rsidR="00B21459">
        <w:rPr>
          <w:rFonts w:cs="Times New Roman"/>
          <w:szCs w:val="24"/>
        </w:rPr>
        <w:t xml:space="preserve"> now</w:t>
      </w:r>
      <w:r w:rsidR="005D5483">
        <w:rPr>
          <w:rFonts w:cs="Times New Roman"/>
          <w:szCs w:val="24"/>
        </w:rPr>
        <w:t xml:space="preserve"> deserve better.  </w:t>
      </w:r>
    </w:p>
    <w:p w:rsidR="00A86D2A" w:rsidP="00421855">
      <w:pPr>
        <w:ind w:firstLine="720"/>
        <w:rPr>
          <w:rFonts w:cs="Times New Roman"/>
          <w:szCs w:val="24"/>
        </w:rPr>
      </w:pPr>
      <w:r>
        <w:rPr>
          <w:rFonts w:cs="Times New Roman"/>
          <w:szCs w:val="24"/>
        </w:rPr>
        <w:t>The Settlement’s Marketer and Supplier provisions also</w:t>
      </w:r>
      <w:r w:rsidR="00B21459">
        <w:rPr>
          <w:rFonts w:cs="Times New Roman"/>
          <w:szCs w:val="24"/>
        </w:rPr>
        <w:t xml:space="preserve"> provide no real customer benefits</w:t>
      </w:r>
      <w:r>
        <w:rPr>
          <w:rFonts w:cs="Times New Roman"/>
          <w:szCs w:val="24"/>
        </w:rPr>
        <w:t xml:space="preserve">.  </w:t>
      </w:r>
      <w:r w:rsidR="00F87E97">
        <w:rPr>
          <w:rFonts w:cs="Times New Roman"/>
          <w:szCs w:val="24"/>
        </w:rPr>
        <w:t xml:space="preserve">While </w:t>
      </w:r>
      <w:r>
        <w:rPr>
          <w:rFonts w:cs="Times New Roman"/>
          <w:szCs w:val="24"/>
        </w:rPr>
        <w:t xml:space="preserve">IGS/RESA </w:t>
      </w:r>
      <w:r w:rsidR="00F87E97">
        <w:rPr>
          <w:rFonts w:cs="Times New Roman"/>
          <w:szCs w:val="24"/>
        </w:rPr>
        <w:t xml:space="preserve">assert </w:t>
      </w:r>
      <w:r>
        <w:rPr>
          <w:rFonts w:cs="Times New Roman"/>
          <w:szCs w:val="24"/>
        </w:rPr>
        <w:t xml:space="preserve">that the provisions will further competition, </w:t>
      </w:r>
      <w:r w:rsidR="00F87E97">
        <w:rPr>
          <w:rFonts w:cs="Times New Roman"/>
          <w:szCs w:val="24"/>
        </w:rPr>
        <w:t>the testimony of their own witness</w:t>
      </w:r>
      <w:r>
        <w:rPr>
          <w:rFonts w:cs="Times New Roman"/>
          <w:szCs w:val="24"/>
        </w:rPr>
        <w:t xml:space="preserve"> demonstrates that in </w:t>
      </w:r>
      <w:r w:rsidR="00FA5DCA">
        <w:rPr>
          <w:rFonts w:cs="Times New Roman"/>
          <w:szCs w:val="24"/>
        </w:rPr>
        <w:t>practice, the</w:t>
      </w:r>
      <w:r w:rsidR="00F87E97">
        <w:rPr>
          <w:rFonts w:cs="Times New Roman"/>
          <w:szCs w:val="24"/>
        </w:rPr>
        <w:t xml:space="preserve"> provisions</w:t>
      </w:r>
      <w:r w:rsidR="00FA5DCA">
        <w:rPr>
          <w:rFonts w:cs="Times New Roman"/>
          <w:szCs w:val="24"/>
        </w:rPr>
        <w:t xml:space="preserve"> could result in higher prices </w:t>
      </w:r>
      <w:r w:rsidR="00E43D67">
        <w:rPr>
          <w:rFonts w:cs="Times New Roman"/>
          <w:szCs w:val="24"/>
        </w:rPr>
        <w:t xml:space="preserve">for consumers </w:t>
      </w:r>
      <w:r w:rsidR="00FA5DCA">
        <w:rPr>
          <w:rFonts w:cs="Times New Roman"/>
          <w:szCs w:val="24"/>
        </w:rPr>
        <w:t>for gas supply (through the elimination of the SCO) and predatory marketing practices.</w:t>
      </w:r>
      <w:r>
        <w:rPr>
          <w:rFonts w:cs="Times New Roman"/>
          <w:szCs w:val="24"/>
        </w:rPr>
        <w:t xml:space="preserve">  </w:t>
      </w:r>
    </w:p>
    <w:p w:rsidR="008C264F" w:rsidP="008C264F">
      <w:pPr>
        <w:ind w:firstLine="720"/>
        <w:rPr>
          <w:rFonts w:cs="Times New Roman"/>
          <w:szCs w:val="24"/>
        </w:rPr>
      </w:pPr>
      <w:r>
        <w:rPr>
          <w:rFonts w:cs="Times New Roman"/>
          <w:szCs w:val="24"/>
        </w:rPr>
        <w:t>In sum, the Settlement simply does not benefit customers</w:t>
      </w:r>
      <w:r w:rsidR="00A049D6">
        <w:rPr>
          <w:rFonts w:cs="Times New Roman"/>
          <w:szCs w:val="24"/>
        </w:rPr>
        <w:t xml:space="preserve"> or the public interest</w:t>
      </w:r>
      <w:r>
        <w:rPr>
          <w:rFonts w:cs="Times New Roman"/>
          <w:szCs w:val="24"/>
        </w:rPr>
        <w:t>, and it must be rejected or modified consistent with OCC’s recommendations.</w:t>
      </w:r>
    </w:p>
    <w:p w:rsidR="008C264F" w:rsidP="008C264F">
      <w:pPr>
        <w:spacing w:line="240" w:lineRule="auto"/>
        <w:ind w:left="4320"/>
        <w:rPr>
          <w:rFonts w:cs="Times New Roman"/>
          <w:szCs w:val="24"/>
        </w:rPr>
      </w:pPr>
    </w:p>
    <w:p w:rsidR="006B70B4" w:rsidP="008C264F">
      <w:pPr>
        <w:spacing w:line="240" w:lineRule="auto"/>
        <w:ind w:left="4320"/>
        <w:rPr>
          <w:rFonts w:cs="Times New Roman"/>
          <w:szCs w:val="24"/>
        </w:rPr>
        <w:sectPr w:rsidSect="000E2543">
          <w:footerReference w:type="default" r:id="rId17"/>
          <w:pgSz w:w="12240" w:h="15840"/>
          <w:pgMar w:top="1440" w:right="1800" w:bottom="1440" w:left="1800" w:header="720" w:footer="720" w:gutter="0"/>
          <w:pgNumType w:start="1"/>
          <w:cols w:space="720"/>
          <w:docGrid w:linePitch="360"/>
        </w:sectPr>
      </w:pPr>
    </w:p>
    <w:p w:rsidR="008C264F" w:rsidP="008C264F">
      <w:pPr>
        <w:spacing w:line="240" w:lineRule="auto"/>
        <w:ind w:left="4320"/>
        <w:rPr>
          <w:rFonts w:cs="Times New Roman"/>
          <w:szCs w:val="24"/>
        </w:rPr>
      </w:pPr>
      <w:r>
        <w:rPr>
          <w:rFonts w:cs="Times New Roman"/>
          <w:szCs w:val="24"/>
        </w:rPr>
        <w:t>Respectfully submitted,</w:t>
      </w:r>
    </w:p>
    <w:p w:rsidR="008C264F" w:rsidP="008C264F">
      <w:pPr>
        <w:spacing w:line="240" w:lineRule="auto"/>
        <w:ind w:left="4320"/>
        <w:rPr>
          <w:rFonts w:cs="Times New Roman"/>
          <w:szCs w:val="24"/>
        </w:rPr>
      </w:pPr>
    </w:p>
    <w:p w:rsidR="008C264F" w:rsidRPr="00A107DD" w:rsidP="008C264F">
      <w:pPr>
        <w:spacing w:line="240" w:lineRule="auto"/>
        <w:ind w:left="4320"/>
        <w:rPr>
          <w:rFonts w:cs="Times New Roman"/>
          <w:szCs w:val="24"/>
        </w:rPr>
      </w:pPr>
      <w:r w:rsidRPr="00A107DD">
        <w:rPr>
          <w:rFonts w:cs="Times New Roman"/>
          <w:szCs w:val="24"/>
        </w:rPr>
        <w:t>Bruce Weston (0016973)</w:t>
      </w:r>
    </w:p>
    <w:p w:rsidR="008C264F" w:rsidRPr="00A107DD" w:rsidP="008C264F">
      <w:pPr>
        <w:spacing w:line="240" w:lineRule="auto"/>
        <w:ind w:left="3600" w:firstLine="720"/>
        <w:rPr>
          <w:rFonts w:cs="Times New Roman"/>
          <w:szCs w:val="24"/>
        </w:rPr>
      </w:pPr>
      <w:r w:rsidRPr="00A107DD">
        <w:rPr>
          <w:rFonts w:cs="Times New Roman"/>
          <w:szCs w:val="24"/>
        </w:rPr>
        <w:t>Ohio Consumers’ Counsel</w:t>
      </w:r>
    </w:p>
    <w:p w:rsidR="008C264F" w:rsidP="008C26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jc w:val="center"/>
        <w:rPr>
          <w:rFonts w:ascii="Times New Roman" w:hAnsi="Times New Roman" w:cs="Times New Roman"/>
          <w:b/>
          <w:bCs/>
          <w:sz w:val="24"/>
          <w:szCs w:val="24"/>
        </w:rPr>
      </w:pPr>
    </w:p>
    <w:p w:rsidR="008C264F" w:rsidRPr="008C264F" w:rsidP="008C26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i/>
          <w:iCs/>
          <w:sz w:val="24"/>
          <w:szCs w:val="24"/>
          <w:u w:val="single"/>
        </w:rPr>
      </w:pPr>
      <w:r w:rsidRPr="008C264F">
        <w:rPr>
          <w:rFonts w:ascii="Times New Roman" w:hAnsi="Times New Roman" w:cs="Times New Roman"/>
          <w:i/>
          <w:iCs/>
          <w:sz w:val="24"/>
          <w:szCs w:val="24"/>
          <w:u w:val="single"/>
        </w:rPr>
        <w:t>/s/ William J. Michael_______</w:t>
      </w:r>
    </w:p>
    <w:p w:rsidR="008C264F" w:rsidRPr="00A107DD" w:rsidP="008C264F">
      <w:pPr>
        <w:spacing w:line="240" w:lineRule="auto"/>
        <w:ind w:left="4320"/>
        <w:rPr>
          <w:rFonts w:cs="Times New Roman"/>
          <w:szCs w:val="24"/>
        </w:rPr>
      </w:pPr>
      <w:r w:rsidRPr="00A107DD">
        <w:rPr>
          <w:rFonts w:cs="Times New Roman"/>
          <w:szCs w:val="24"/>
        </w:rPr>
        <w:t xml:space="preserve">William J. Michael (0070921) </w:t>
      </w:r>
    </w:p>
    <w:p w:rsidR="008C264F" w:rsidRPr="00A107DD" w:rsidP="008C264F">
      <w:pPr>
        <w:spacing w:line="240" w:lineRule="auto"/>
        <w:ind w:left="4320"/>
        <w:rPr>
          <w:rFonts w:cs="Times New Roman"/>
          <w:szCs w:val="24"/>
        </w:rPr>
      </w:pPr>
      <w:r w:rsidRPr="00A107DD">
        <w:rPr>
          <w:rFonts w:cs="Times New Roman"/>
          <w:szCs w:val="24"/>
        </w:rPr>
        <w:t>Counsel of Record</w:t>
      </w:r>
    </w:p>
    <w:p w:rsidR="008C264F" w:rsidP="008C264F">
      <w:pPr>
        <w:spacing w:line="240" w:lineRule="auto"/>
        <w:ind w:left="4320"/>
        <w:rPr>
          <w:rFonts w:eastAsia="Calibri" w:cs="Times New Roman"/>
          <w:szCs w:val="24"/>
        </w:rPr>
      </w:pPr>
      <w:r w:rsidRPr="00A107DD">
        <w:rPr>
          <w:rFonts w:eastAsia="Calibri" w:cs="Times New Roman"/>
          <w:szCs w:val="24"/>
        </w:rPr>
        <w:t>Amy Botschner-O’Brien (0074423)</w:t>
      </w:r>
    </w:p>
    <w:p w:rsidR="000C5670" w:rsidP="000C5670">
      <w:pPr>
        <w:spacing w:line="240" w:lineRule="auto"/>
        <w:ind w:left="4320"/>
        <w:rPr>
          <w:rFonts w:eastAsia="Calibri" w:cs="Times New Roman"/>
          <w:szCs w:val="24"/>
        </w:rPr>
      </w:pPr>
      <w:r>
        <w:rPr>
          <w:rFonts w:eastAsia="Calibri" w:cs="Times New Roman"/>
          <w:szCs w:val="24"/>
        </w:rPr>
        <w:t>Assistant Consumers’ Counsel</w:t>
      </w:r>
    </w:p>
    <w:p w:rsidR="008C264F" w:rsidP="008C264F">
      <w:pPr>
        <w:spacing w:line="240" w:lineRule="auto"/>
        <w:ind w:left="4320"/>
        <w:rPr>
          <w:rFonts w:eastAsia="Calibri" w:cs="Times New Roman"/>
          <w:szCs w:val="24"/>
        </w:rPr>
      </w:pPr>
      <w:r>
        <w:rPr>
          <w:rFonts w:eastAsia="Calibri" w:cs="Times New Roman"/>
          <w:szCs w:val="24"/>
        </w:rPr>
        <w:t>Christopher Healey (0086027)</w:t>
      </w:r>
    </w:p>
    <w:p w:rsidR="008C264F" w:rsidP="008C264F">
      <w:pPr>
        <w:spacing w:line="240" w:lineRule="auto"/>
        <w:ind w:left="4320"/>
        <w:rPr>
          <w:rFonts w:eastAsia="Calibri" w:cs="Times New Roman"/>
          <w:szCs w:val="24"/>
        </w:rPr>
      </w:pPr>
      <w:r>
        <w:rPr>
          <w:rFonts w:eastAsia="Calibri" w:cs="Times New Roman"/>
          <w:szCs w:val="24"/>
        </w:rPr>
        <w:t>Assistant Consumers’ Counsel</w:t>
      </w:r>
    </w:p>
    <w:p w:rsidR="008C264F" w:rsidRPr="00A107DD" w:rsidP="008C264F">
      <w:pPr>
        <w:spacing w:line="240" w:lineRule="auto"/>
        <w:ind w:left="4320"/>
        <w:rPr>
          <w:rFonts w:eastAsia="Calibri" w:cs="Times New Roman"/>
          <w:szCs w:val="24"/>
        </w:rPr>
      </w:pPr>
      <w:r>
        <w:rPr>
          <w:rFonts w:eastAsia="Calibri" w:cs="Times New Roman"/>
          <w:szCs w:val="24"/>
        </w:rPr>
        <w:t>Angela O’Brien (0097579)</w:t>
      </w:r>
    </w:p>
    <w:p w:rsidR="008C264F" w:rsidRPr="00A107DD" w:rsidP="008C264F">
      <w:pPr>
        <w:spacing w:line="240" w:lineRule="auto"/>
        <w:ind w:left="4320"/>
        <w:rPr>
          <w:rFonts w:eastAsia="Calibri" w:cs="Times New Roman"/>
          <w:szCs w:val="24"/>
        </w:rPr>
      </w:pPr>
      <w:r w:rsidRPr="00A107DD">
        <w:rPr>
          <w:rFonts w:eastAsia="Calibri" w:cs="Times New Roman"/>
          <w:szCs w:val="24"/>
        </w:rPr>
        <w:t>Assistant Consumers’ Counsel</w:t>
      </w:r>
    </w:p>
    <w:p w:rsidR="008C264F" w:rsidRPr="00A107DD" w:rsidP="008C264F">
      <w:pPr>
        <w:spacing w:line="240" w:lineRule="auto"/>
        <w:ind w:left="4320" w:firstLine="720"/>
        <w:rPr>
          <w:rFonts w:cs="Times New Roman"/>
          <w:szCs w:val="24"/>
        </w:rPr>
      </w:pPr>
    </w:p>
    <w:p w:rsidR="008C264F" w:rsidRPr="00A107DD" w:rsidP="008C264F">
      <w:pPr>
        <w:spacing w:line="240" w:lineRule="auto"/>
        <w:ind w:left="4320"/>
        <w:rPr>
          <w:rFonts w:cs="Times New Roman"/>
          <w:b/>
          <w:szCs w:val="24"/>
        </w:rPr>
      </w:pPr>
      <w:r w:rsidRPr="00A107DD">
        <w:rPr>
          <w:rFonts w:cs="Times New Roman"/>
          <w:b/>
          <w:szCs w:val="24"/>
        </w:rPr>
        <w:t>Office of the Ohio Consumers’ Counsel</w:t>
      </w:r>
    </w:p>
    <w:p w:rsidR="008C264F" w:rsidRPr="00A107DD" w:rsidP="008C264F">
      <w:pPr>
        <w:spacing w:line="240" w:lineRule="auto"/>
        <w:ind w:left="4320"/>
        <w:rPr>
          <w:rFonts w:cs="Times New Roman"/>
          <w:szCs w:val="24"/>
        </w:rPr>
      </w:pPr>
      <w:r w:rsidRPr="00A107DD">
        <w:rPr>
          <w:rFonts w:cs="Times New Roman"/>
          <w:szCs w:val="24"/>
        </w:rPr>
        <w:t>65 East State Street, 7</w:t>
      </w:r>
      <w:r w:rsidRPr="00A107DD">
        <w:rPr>
          <w:rFonts w:cs="Times New Roman"/>
          <w:szCs w:val="24"/>
          <w:vertAlign w:val="superscript"/>
        </w:rPr>
        <w:t>th</w:t>
      </w:r>
      <w:r w:rsidRPr="00A107DD">
        <w:rPr>
          <w:rFonts w:cs="Times New Roman"/>
          <w:szCs w:val="24"/>
        </w:rPr>
        <w:t xml:space="preserve"> Floor</w:t>
      </w:r>
    </w:p>
    <w:p w:rsidR="008C264F" w:rsidRPr="00A107DD" w:rsidP="008C264F">
      <w:pPr>
        <w:spacing w:line="240" w:lineRule="auto"/>
        <w:ind w:left="4320"/>
        <w:rPr>
          <w:rFonts w:cs="Times New Roman"/>
          <w:szCs w:val="24"/>
        </w:rPr>
      </w:pPr>
      <w:r w:rsidRPr="00A107DD">
        <w:rPr>
          <w:rFonts w:cs="Times New Roman"/>
          <w:szCs w:val="24"/>
        </w:rPr>
        <w:t>Columbus, Ohio 43215-4213</w:t>
      </w:r>
    </w:p>
    <w:p w:rsidR="008C264F" w:rsidRPr="00A107DD" w:rsidP="008C264F">
      <w:pPr>
        <w:autoSpaceDE w:val="0"/>
        <w:autoSpaceDN w:val="0"/>
        <w:adjustRightInd w:val="0"/>
        <w:spacing w:line="240" w:lineRule="auto"/>
        <w:ind w:left="4320"/>
        <w:rPr>
          <w:rFonts w:cs="Times New Roman"/>
          <w:szCs w:val="24"/>
        </w:rPr>
      </w:pPr>
      <w:r w:rsidRPr="00A107DD">
        <w:rPr>
          <w:rFonts w:cs="Times New Roman"/>
          <w:szCs w:val="24"/>
        </w:rPr>
        <w:t>Telephone: [Michael] 614-466-1291</w:t>
      </w:r>
    </w:p>
    <w:p w:rsidR="008C264F" w:rsidP="008C264F">
      <w:pPr>
        <w:spacing w:line="240" w:lineRule="auto"/>
        <w:ind w:left="4320" w:right="-450"/>
        <w:rPr>
          <w:rFonts w:cs="Times New Roman"/>
          <w:szCs w:val="24"/>
        </w:rPr>
      </w:pPr>
      <w:r w:rsidRPr="00A107DD">
        <w:rPr>
          <w:rFonts w:cs="Times New Roman"/>
          <w:szCs w:val="24"/>
        </w:rPr>
        <w:t>Telephone: [</w:t>
      </w:r>
      <w:r>
        <w:rPr>
          <w:rFonts w:cs="Times New Roman"/>
          <w:szCs w:val="24"/>
        </w:rPr>
        <w:t>Botschner-</w:t>
      </w:r>
      <w:r w:rsidRPr="00A107DD">
        <w:rPr>
          <w:rFonts w:cs="Times New Roman"/>
          <w:szCs w:val="24"/>
        </w:rPr>
        <w:t>O’Brien] 614</w:t>
      </w:r>
      <w:r>
        <w:rPr>
          <w:rFonts w:cs="Times New Roman"/>
          <w:szCs w:val="24"/>
        </w:rPr>
        <w:t>-</w:t>
      </w:r>
      <w:r w:rsidRPr="00A107DD">
        <w:rPr>
          <w:rFonts w:cs="Times New Roman"/>
          <w:szCs w:val="24"/>
        </w:rPr>
        <w:t>466-9575</w:t>
      </w:r>
    </w:p>
    <w:p w:rsidR="008C264F" w:rsidRPr="00A107DD" w:rsidP="008C264F">
      <w:pPr>
        <w:spacing w:line="240" w:lineRule="auto"/>
        <w:ind w:left="4320"/>
        <w:rPr>
          <w:rFonts w:cs="Times New Roman"/>
          <w:szCs w:val="24"/>
        </w:rPr>
      </w:pPr>
      <w:r>
        <w:rPr>
          <w:rFonts w:cs="Times New Roman"/>
          <w:szCs w:val="24"/>
        </w:rPr>
        <w:t>Telephone: [Healey] 614-466-9571</w:t>
      </w:r>
    </w:p>
    <w:p w:rsidR="008C264F" w:rsidRPr="00A107DD" w:rsidP="008C264F">
      <w:pPr>
        <w:spacing w:line="240" w:lineRule="auto"/>
        <w:ind w:left="4320"/>
        <w:rPr>
          <w:rFonts w:cs="Times New Roman"/>
          <w:szCs w:val="24"/>
        </w:rPr>
      </w:pPr>
      <w:r>
        <w:rPr>
          <w:rFonts w:cs="Times New Roman"/>
          <w:szCs w:val="24"/>
        </w:rPr>
        <w:t>Telephone: [O’Brien] 614-466-9531</w:t>
      </w:r>
    </w:p>
    <w:p w:rsidR="008C264F" w:rsidRPr="00F1127B" w:rsidP="008C264F">
      <w:pPr>
        <w:spacing w:line="240" w:lineRule="auto"/>
        <w:ind w:left="4320"/>
        <w:rPr>
          <w:rFonts w:cs="Times New Roman"/>
          <w:szCs w:val="24"/>
        </w:rPr>
      </w:pPr>
      <w:r w:rsidRPr="00F1127B">
        <w:rPr>
          <w:rStyle w:val="DefaultParagraphFont"/>
          <w:rFonts w:cs="Times New Roman"/>
          <w:color w:val="auto"/>
          <w:szCs w:val="24"/>
          <w:u w:val="none"/>
        </w:rPr>
        <w:t>william.michael@occ.ohio.gov</w:t>
      </w:r>
    </w:p>
    <w:p w:rsidR="008C264F" w:rsidP="008C264F">
      <w:pPr>
        <w:spacing w:line="240" w:lineRule="auto"/>
        <w:ind w:left="1080" w:hanging="720"/>
        <w:rPr>
          <w:rStyle w:val="Hyperlink"/>
          <w:rFonts w:cs="Times New Roman"/>
          <w:color w:val="auto"/>
          <w:szCs w:val="24"/>
          <w:u w:val="none"/>
        </w:rPr>
      </w:pPr>
      <w:r w:rsidRPr="00F1127B">
        <w:rPr>
          <w:rFonts w:cs="Times New Roman"/>
          <w:szCs w:val="24"/>
        </w:rPr>
        <w:tab/>
      </w:r>
      <w:r w:rsidRPr="00F1127B">
        <w:rPr>
          <w:rFonts w:cs="Times New Roman"/>
          <w:szCs w:val="24"/>
        </w:rPr>
        <w:tab/>
      </w:r>
      <w:r w:rsidRPr="00F1127B">
        <w:rPr>
          <w:rFonts w:cs="Times New Roman"/>
          <w:szCs w:val="24"/>
        </w:rPr>
        <w:tab/>
      </w:r>
      <w:r w:rsidRPr="00F1127B">
        <w:rPr>
          <w:rFonts w:cs="Times New Roman"/>
          <w:szCs w:val="24"/>
        </w:rPr>
        <w:tab/>
      </w:r>
      <w:r w:rsidRPr="00F1127B">
        <w:rPr>
          <w:rFonts w:cs="Times New Roman"/>
          <w:szCs w:val="24"/>
        </w:rPr>
        <w:tab/>
      </w:r>
      <w:r w:rsidRPr="00F1127B">
        <w:rPr>
          <w:rFonts w:cs="Times New Roman"/>
          <w:szCs w:val="24"/>
        </w:rPr>
        <w:tab/>
      </w:r>
      <w:r w:rsidRPr="00F1127B">
        <w:rPr>
          <w:rStyle w:val="DefaultParagraphFont"/>
          <w:rFonts w:cs="Times New Roman"/>
          <w:color w:val="auto"/>
          <w:szCs w:val="24"/>
          <w:u w:val="none"/>
        </w:rPr>
        <w:t>amy.botschner.obrien@occ.ohio.gov</w:t>
      </w:r>
    </w:p>
    <w:p w:rsidR="008C264F" w:rsidP="008C264F">
      <w:pPr>
        <w:spacing w:line="240" w:lineRule="auto"/>
        <w:ind w:left="1080" w:hanging="720"/>
        <w:rPr>
          <w:rStyle w:val="Hyperlink"/>
          <w:rFonts w:cs="Times New Roman"/>
          <w:color w:val="auto"/>
          <w:szCs w:val="24"/>
          <w:u w:val="none"/>
        </w:rPr>
      </w:pP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r>
      <w:r>
        <w:rPr>
          <w:rStyle w:val="Hyperlink"/>
          <w:rFonts w:cs="Times New Roman"/>
          <w:color w:val="auto"/>
          <w:szCs w:val="24"/>
          <w:u w:val="none"/>
        </w:rPr>
        <w:tab/>
        <w:t>christopher.healey@occ.ohio.gov</w:t>
      </w:r>
    </w:p>
    <w:p w:rsidR="008C264F" w:rsidRPr="00F1127B" w:rsidP="008C264F">
      <w:pPr>
        <w:spacing w:line="240" w:lineRule="auto"/>
        <w:ind w:left="1080" w:hanging="720"/>
        <w:rPr>
          <w:rStyle w:val="Hyperlink"/>
          <w:rFonts w:cs="Times New Roman"/>
          <w:color w:val="auto"/>
          <w:szCs w:val="24"/>
          <w:u w:val="none"/>
        </w:rPr>
      </w:pPr>
      <w:r>
        <w:rPr>
          <w:rStyle w:val="DefaultParagraphFont"/>
          <w:rFonts w:cs="Times New Roman"/>
          <w:color w:val="auto"/>
          <w:szCs w:val="24"/>
          <w:u w:val="none"/>
        </w:rPr>
        <w:tab/>
      </w:r>
      <w:r>
        <w:rPr>
          <w:rStyle w:val="DefaultParagraphFont"/>
          <w:rFonts w:cs="Times New Roman"/>
          <w:color w:val="auto"/>
          <w:szCs w:val="24"/>
          <w:u w:val="none"/>
        </w:rPr>
        <w:tab/>
      </w:r>
      <w:r>
        <w:rPr>
          <w:rStyle w:val="DefaultParagraphFont"/>
          <w:rFonts w:cs="Times New Roman"/>
          <w:color w:val="auto"/>
          <w:szCs w:val="24"/>
          <w:u w:val="none"/>
        </w:rPr>
        <w:tab/>
      </w:r>
      <w:r>
        <w:rPr>
          <w:rStyle w:val="DefaultParagraphFont"/>
          <w:rFonts w:cs="Times New Roman"/>
          <w:color w:val="auto"/>
          <w:szCs w:val="24"/>
          <w:u w:val="none"/>
        </w:rPr>
        <w:tab/>
      </w:r>
      <w:r>
        <w:rPr>
          <w:rStyle w:val="DefaultParagraphFont"/>
          <w:rFonts w:cs="Times New Roman"/>
          <w:color w:val="auto"/>
          <w:szCs w:val="24"/>
          <w:u w:val="none"/>
        </w:rPr>
        <w:tab/>
      </w:r>
      <w:r>
        <w:rPr>
          <w:rStyle w:val="DefaultParagraphFont"/>
          <w:rFonts w:cs="Times New Roman"/>
          <w:color w:val="auto"/>
          <w:szCs w:val="24"/>
          <w:u w:val="none"/>
        </w:rPr>
        <w:tab/>
      </w:r>
      <w:r w:rsidRPr="00F1127B">
        <w:rPr>
          <w:rStyle w:val="DefaultParagraphFont"/>
          <w:rFonts w:cs="Times New Roman"/>
          <w:color w:val="auto"/>
          <w:szCs w:val="24"/>
          <w:u w:val="none"/>
        </w:rPr>
        <w:t>angela.obrien@occ.ohio.gov</w:t>
      </w:r>
    </w:p>
    <w:p w:rsidR="008C264F" w:rsidP="008C264F">
      <w:pPr>
        <w:spacing w:line="240" w:lineRule="auto"/>
        <w:ind w:left="3960" w:firstLine="360"/>
        <w:rPr>
          <w:rStyle w:val="Hyperlink"/>
          <w:rFonts w:cs="Times New Roman"/>
          <w:color w:val="auto"/>
          <w:szCs w:val="24"/>
          <w:u w:val="none"/>
        </w:rPr>
      </w:pPr>
      <w:r>
        <w:rPr>
          <w:rStyle w:val="Hyperlink"/>
          <w:rFonts w:cs="Times New Roman"/>
          <w:color w:val="auto"/>
          <w:szCs w:val="24"/>
          <w:u w:val="none"/>
        </w:rPr>
        <w:t>(will accept service via email)</w:t>
      </w:r>
    </w:p>
    <w:p w:rsidR="008C264F" w:rsidP="008C264F">
      <w:pPr>
        <w:ind w:firstLine="720"/>
        <w:rPr>
          <w:rFonts w:cs="Times New Roman"/>
          <w:szCs w:val="24"/>
        </w:rPr>
      </w:pPr>
    </w:p>
    <w:p w:rsidR="008C264F" w:rsidP="008C264F">
      <w:pPr>
        <w:ind w:firstLine="720"/>
        <w:rPr>
          <w:rFonts w:cs="Times New Roman"/>
          <w:szCs w:val="24"/>
        </w:rPr>
      </w:pPr>
    </w:p>
    <w:p w:rsidR="008C264F" w:rsidP="008C264F">
      <w:pPr>
        <w:ind w:firstLine="720"/>
        <w:jc w:val="center"/>
        <w:rPr>
          <w:b/>
          <w:bCs/>
          <w:color w:val="000000"/>
          <w:u w:val="single"/>
        </w:rPr>
        <w:sectPr w:rsidSect="0077517B">
          <w:pgSz w:w="12240" w:h="15840"/>
          <w:pgMar w:top="1440" w:right="1800" w:bottom="1440" w:left="1800" w:header="720" w:footer="720" w:gutter="0"/>
          <w:cols w:space="720"/>
          <w:docGrid w:linePitch="360"/>
        </w:sectPr>
      </w:pPr>
    </w:p>
    <w:p w:rsidR="0077517B" w:rsidRPr="00CC5FD3" w:rsidP="008C264F">
      <w:pPr>
        <w:ind w:firstLine="720"/>
        <w:jc w:val="center"/>
        <w:rPr>
          <w:b/>
          <w:bCs/>
          <w:color w:val="000000"/>
          <w:u w:val="single"/>
        </w:rPr>
      </w:pPr>
      <w:r w:rsidRPr="00CC5FD3">
        <w:rPr>
          <w:b/>
          <w:bCs/>
          <w:color w:val="000000"/>
          <w:u w:val="single"/>
        </w:rPr>
        <w:t>CERTIFICATE OF SERVICE</w:t>
      </w:r>
    </w:p>
    <w:p w:rsidR="0077517B" w:rsidP="00421855">
      <w:pPr>
        <w:autoSpaceDE w:val="0"/>
        <w:autoSpaceDN w:val="0"/>
        <w:adjustRightInd w:val="0"/>
        <w:ind w:firstLine="720"/>
        <w:contextualSpacing/>
        <w:rPr>
          <w:color w:val="000000"/>
        </w:rPr>
      </w:pPr>
      <w:r>
        <w:rPr>
          <w:color w:val="000000"/>
        </w:rPr>
        <w:t xml:space="preserve">I hereby certify that a true and accurate copy of the </w:t>
      </w:r>
      <w:r w:rsidR="005D2789">
        <w:rPr>
          <w:color w:val="000000"/>
        </w:rPr>
        <w:t>Reply</w:t>
      </w:r>
      <w:r w:rsidR="00687B42">
        <w:rPr>
          <w:color w:val="000000"/>
        </w:rPr>
        <w:t xml:space="preserve"> Brief </w:t>
      </w:r>
      <w:r w:rsidRPr="009E520D">
        <w:rPr>
          <w:iCs/>
          <w:color w:val="000000"/>
        </w:rPr>
        <w:t>was</w:t>
      </w:r>
      <w:r w:rsidRPr="009E520D">
        <w:rPr>
          <w:color w:val="000000"/>
        </w:rPr>
        <w:t xml:space="preserve"> </w:t>
      </w:r>
      <w:r>
        <w:rPr>
          <w:color w:val="000000"/>
        </w:rPr>
        <w:t xml:space="preserve">served upon the following parties via electronic transmission this </w:t>
      </w:r>
      <w:r w:rsidR="0075777D">
        <w:rPr>
          <w:color w:val="000000"/>
        </w:rPr>
        <w:t>23</w:t>
      </w:r>
      <w:r w:rsidRPr="0075777D" w:rsidR="0075777D">
        <w:rPr>
          <w:color w:val="000000"/>
          <w:vertAlign w:val="superscript"/>
        </w:rPr>
        <w:t>rd</w:t>
      </w:r>
      <w:r w:rsidR="0075777D">
        <w:rPr>
          <w:color w:val="000000"/>
        </w:rPr>
        <w:t xml:space="preserve"> </w:t>
      </w:r>
      <w:r>
        <w:rPr>
          <w:color w:val="000000"/>
        </w:rPr>
        <w:t xml:space="preserve">day of </w:t>
      </w:r>
      <w:r w:rsidR="00687B42">
        <w:rPr>
          <w:color w:val="000000"/>
        </w:rPr>
        <w:t>April</w:t>
      </w:r>
      <w:r>
        <w:rPr>
          <w:color w:val="000000"/>
        </w:rPr>
        <w:t xml:space="preserve"> 2019.</w:t>
      </w:r>
    </w:p>
    <w:p w:rsidR="0077517B" w:rsidRPr="007E781D" w:rsidP="00421855">
      <w:pPr>
        <w:autoSpaceDE w:val="0"/>
        <w:autoSpaceDN w:val="0"/>
        <w:adjustRightInd w:val="0"/>
        <w:ind w:firstLine="720"/>
        <w:contextualSpacing/>
        <w:rPr>
          <w:color w:val="000000"/>
          <w:szCs w:val="18"/>
        </w:rPr>
      </w:pPr>
    </w:p>
    <w:p w:rsidR="0077517B" w:rsidRPr="008E2A88" w:rsidP="00421855">
      <w:pPr>
        <w:autoSpaceDE w:val="0"/>
        <w:autoSpaceDN w:val="0"/>
        <w:adjustRightInd w:val="0"/>
        <w:spacing w:line="240" w:lineRule="auto"/>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u w:val="single"/>
        </w:rPr>
        <w:t>/s/ William J. Michael___</w:t>
      </w:r>
    </w:p>
    <w:p w:rsidR="0077517B" w:rsidP="00421855">
      <w:pPr>
        <w:autoSpaceDE w:val="0"/>
        <w:autoSpaceDN w:val="0"/>
        <w:adjustRightInd w:val="0"/>
        <w:spacing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William J. Michael</w:t>
      </w:r>
    </w:p>
    <w:p w:rsidR="0077517B" w:rsidP="00421855">
      <w:pPr>
        <w:autoSpaceDE w:val="0"/>
        <w:autoSpaceDN w:val="0"/>
        <w:adjustRightInd w:val="0"/>
        <w:spacing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77517B" w:rsidP="00421855">
      <w:pPr>
        <w:autoSpaceDE w:val="0"/>
        <w:autoSpaceDN w:val="0"/>
        <w:adjustRightInd w:val="0"/>
        <w:spacing w:line="240" w:lineRule="auto"/>
        <w:rPr>
          <w:color w:val="000000"/>
        </w:rPr>
      </w:pPr>
    </w:p>
    <w:p w:rsidR="0077517B" w:rsidP="00421855">
      <w:pPr>
        <w:pStyle w:val="CommentText"/>
        <w:jc w:val="center"/>
        <w:rPr>
          <w:b/>
          <w:bCs/>
          <w:u w:val="single"/>
        </w:rPr>
      </w:pPr>
      <w:r>
        <w:rPr>
          <w:b/>
          <w:bCs/>
          <w:u w:val="single"/>
        </w:rPr>
        <w:t>SERVICE LIST</w:t>
      </w:r>
    </w:p>
    <w:p w:rsidR="0077517B" w:rsidRPr="007E781D" w:rsidP="00421855">
      <w:pPr>
        <w:pStyle w:val="CommentText"/>
        <w:jc w:val="center"/>
        <w:rPr>
          <w:b/>
          <w:sz w:val="20"/>
          <w:szCs w:val="16"/>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1"/>
        <w:gridCol w:w="4099"/>
      </w:tblGrid>
      <w:tr w:rsidTr="00B8146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bookmarkStart w:id="36" w:name="_Hlk529364579"/>
            <w:r w:rsidRPr="00687B42">
              <w:rPr>
                <w:rStyle w:val="DefaultParagraphFont"/>
                <w:rFonts w:asciiTheme="majorBidi" w:eastAsiaTheme="minorHAnsi" w:hAnsiTheme="majorBidi" w:cstheme="majorBidi"/>
                <w:color w:val="auto"/>
                <w:sz w:val="24"/>
                <w:szCs w:val="24"/>
                <w:u w:val="none"/>
                <w:lang w:val="en-US" w:eastAsia="en-US" w:bidi="ar-SA"/>
              </w:rPr>
              <w:t>werner.margard@ohioattorneygeneral.gov</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mjsettineri@vorys.com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glpetrucci@vorys.com</w:t>
            </w:r>
            <w:r w:rsidRPr="00687B42">
              <w:rPr>
                <w:rFonts w:asciiTheme="majorBidi" w:eastAsiaTheme="minorHAnsi" w:hAnsiTheme="majorBidi" w:cstheme="majorBidi"/>
                <w:sz w:val="24"/>
                <w:szCs w:val="24"/>
                <w:lang w:val="en-US" w:eastAsia="en-US" w:bidi="ar-SA"/>
              </w:rPr>
              <w:t xml:space="preserve"> </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joliker@igsenergy.com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mnugent@igsenergy.com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slesser@calfee.com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mkeaney@calfee.com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talexander@calfee.com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tony</w:t>
            </w:r>
            <w:r w:rsidRPr="00687B42">
              <w:rPr>
                <w:rStyle w:val="DefaultParagraphFont"/>
                <w:rFonts w:asciiTheme="majorBidi" w:eastAsiaTheme="minorHAnsi" w:hAnsiTheme="majorBidi" w:cstheme="majorBidi"/>
                <w:color w:val="auto"/>
                <w:sz w:val="24"/>
                <w:szCs w:val="24"/>
                <w:u w:val="none"/>
                <w:lang w:val="en-US" w:eastAsia="en-US" w:bidi="ar-SA"/>
              </w:rPr>
              <w:softHyphen/>
              <w:t>_long@hna.honda.com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mfleisher@elpc.org</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cmooney@ohiopartners.org</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Fonts w:asciiTheme="majorBidi" w:eastAsiaTheme="minorHAnsi" w:hAnsiTheme="majorBidi" w:cstheme="majorBidi"/>
                <w:sz w:val="24"/>
                <w:szCs w:val="24"/>
                <w:lang w:val="en-US" w:eastAsia="en-US" w:bidi="ar-SA"/>
              </w:rPr>
              <w:t>Attorney Examiner:</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Gregory.price@puc.state.oh.us</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patricia.schabo@puc.state.oh.us</w:t>
            </w:r>
            <w:r w:rsidRPr="00687B42">
              <w:rPr>
                <w:rFonts w:asciiTheme="majorBidi" w:eastAsiaTheme="minorHAnsi" w:hAnsiTheme="majorBidi" w:cstheme="majorBidi"/>
                <w:sz w:val="24"/>
                <w:szCs w:val="24"/>
                <w:lang w:val="en-US" w:eastAsia="en-US" w:bidi="ar-SA"/>
              </w:rPr>
              <w:t xml:space="preserve"> </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p>
          <w:p w:rsidR="0077517B" w:rsidRPr="00687B42" w:rsidP="00421855">
            <w:pPr>
              <w:spacing w:after="0" w:line="240" w:lineRule="auto"/>
              <w:rPr>
                <w:rStyle w:val="DefaultParagraphFont"/>
                <w:rFonts w:asciiTheme="majorBidi" w:eastAsiaTheme="minorHAnsi" w:hAnsiTheme="majorBidi" w:cstheme="majorBidi"/>
                <w:sz w:val="24"/>
                <w:szCs w:val="24"/>
                <w:lang w:val="en-US" w:eastAsia="en-US" w:bidi="ar-SA"/>
              </w:rPr>
            </w:pPr>
          </w:p>
        </w:tc>
        <w:tc>
          <w:tcPr>
            <w:tcW w:w="4675" w:type="dxa"/>
          </w:tcPr>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Fonts w:asciiTheme="majorBidi" w:eastAsiaTheme="minorHAnsi" w:hAnsiTheme="majorBidi" w:cstheme="majorBidi"/>
                <w:sz w:val="24"/>
                <w:szCs w:val="24"/>
                <w:lang w:val="en-US" w:eastAsia="en-US" w:bidi="ar-SA"/>
              </w:rPr>
              <w:t xml:space="preserve">whitt@whitt-sturtevant.com </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rust@whitt-sturtevant.com</w:t>
            </w:r>
            <w:r w:rsidRPr="00687B42">
              <w:rPr>
                <w:rFonts w:asciiTheme="majorBidi" w:eastAsiaTheme="minorHAnsi" w:hAnsiTheme="majorBidi" w:cstheme="majorBidi"/>
                <w:sz w:val="24"/>
                <w:szCs w:val="24"/>
                <w:lang w:val="en-US" w:eastAsia="en-US" w:bidi="ar-SA"/>
              </w:rPr>
              <w:t xml:space="preserve"> </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Fonts w:asciiTheme="majorBidi" w:eastAsiaTheme="minorHAnsi" w:hAnsiTheme="majorBidi" w:cstheme="majorBidi"/>
                <w:sz w:val="24"/>
                <w:szCs w:val="24"/>
                <w:lang w:val="en-US" w:eastAsia="en-US" w:bidi="ar-SA"/>
              </w:rPr>
              <w:t>kennedy@whitt-sturtevant.com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fdarr@mcneeslaw.com</w:t>
            </w:r>
            <w:r w:rsidRPr="00687B42">
              <w:rPr>
                <w:rFonts w:asciiTheme="majorBidi" w:eastAsiaTheme="minorHAnsi" w:hAnsiTheme="majorBidi" w:cstheme="majorBidi"/>
                <w:sz w:val="24"/>
                <w:szCs w:val="24"/>
                <w:lang w:val="en-US" w:eastAsia="en-US" w:bidi="ar-SA"/>
              </w:rPr>
              <w:t xml:space="preserve"> </w:t>
            </w:r>
          </w:p>
          <w:p w:rsidR="0077517B" w:rsidRPr="00687B42" w:rsidP="00421855">
            <w:pPr>
              <w:spacing w:after="0" w:line="240" w:lineRule="auto"/>
              <w:rPr>
                <w:rStyle w:val="Hyperlink"/>
                <w:rFonts w:asciiTheme="majorBidi" w:eastAsiaTheme="minorHAnsi" w:hAnsiTheme="majorBidi" w:cstheme="majorBidi"/>
                <w:iCs/>
                <w:color w:val="auto"/>
                <w:sz w:val="24"/>
                <w:szCs w:val="24"/>
                <w:u w:val="none"/>
                <w:lang w:val="en-US" w:eastAsia="en-US" w:bidi="ar-SA"/>
              </w:rPr>
            </w:pPr>
            <w:r w:rsidRPr="00687B42">
              <w:rPr>
                <w:rStyle w:val="DefaultParagraphFont"/>
                <w:rFonts w:asciiTheme="majorBidi" w:eastAsiaTheme="minorHAnsi" w:hAnsiTheme="majorBidi" w:cstheme="majorBidi"/>
                <w:iCs/>
                <w:color w:val="auto"/>
                <w:sz w:val="24"/>
                <w:szCs w:val="24"/>
                <w:u w:val="none"/>
                <w:lang w:val="en-US" w:eastAsia="en-US" w:bidi="ar-SA"/>
              </w:rPr>
              <w:t>mpritchard@mcneeslaw.com</w:t>
            </w:r>
          </w:p>
          <w:p w:rsidR="0077517B" w:rsidRPr="00687B42" w:rsidP="00421855">
            <w:pPr>
              <w:autoSpaceDE w:val="0"/>
              <w:autoSpaceDN w:val="0"/>
              <w:adjustRightInd w:val="0"/>
              <w:spacing w:after="0" w:line="240" w:lineRule="auto"/>
              <w:rPr>
                <w:rStyle w:val="DefaultParagraphFont"/>
                <w:rFonts w:asciiTheme="majorBidi" w:eastAsiaTheme="minorHAnsi" w:hAnsiTheme="majorBidi" w:cstheme="majorBidi"/>
                <w:sz w:val="24"/>
                <w:szCs w:val="24"/>
                <w:lang w:val="en-US" w:eastAsia="en-US" w:bidi="ar-SA"/>
              </w:rPr>
            </w:pPr>
            <w:r w:rsidRPr="00687B42">
              <w:rPr>
                <w:rStyle w:val="DefaultParagraphFont"/>
                <w:rFonts w:asciiTheme="majorBidi" w:eastAsiaTheme="minorHAnsi" w:hAnsiTheme="majorBidi" w:cstheme="majorBidi"/>
                <w:color w:val="auto"/>
                <w:sz w:val="24"/>
                <w:szCs w:val="24"/>
                <w:u w:val="none"/>
                <w:lang w:val="en-US" w:eastAsia="en-US" w:bidi="ar-SA"/>
              </w:rPr>
              <w:t>jstephenson@vectren.com</w:t>
            </w:r>
          </w:p>
          <w:p w:rsidR="0077517B" w:rsidRPr="00687B42" w:rsidP="00421855">
            <w:pPr>
              <w:spacing w:after="0" w:line="240" w:lineRule="auto"/>
              <w:rPr>
                <w:rStyle w:val="DefaultParagraphFont"/>
                <w:rFonts w:asciiTheme="majorBidi" w:eastAsiaTheme="minorHAnsi" w:hAnsiTheme="majorBidi" w:cstheme="majorBidi"/>
                <w:iCs/>
                <w:sz w:val="24"/>
                <w:szCs w:val="24"/>
                <w:lang w:val="en-US" w:eastAsia="en-US" w:bidi="ar-SA"/>
              </w:rPr>
            </w:pPr>
            <w:r w:rsidRPr="00687B42">
              <w:rPr>
                <w:rStyle w:val="DefaultParagraphFont"/>
                <w:rFonts w:asciiTheme="majorBidi" w:eastAsiaTheme="minorHAnsi" w:hAnsiTheme="majorBidi" w:cstheme="majorBidi"/>
                <w:iCs/>
                <w:color w:val="auto"/>
                <w:sz w:val="24"/>
                <w:szCs w:val="24"/>
                <w:u w:val="none"/>
                <w:lang w:val="en-US" w:eastAsia="en-US" w:bidi="ar-SA"/>
              </w:rPr>
              <w:t>Thomas.jernigan.3@us.af.mil</w:t>
            </w:r>
          </w:p>
          <w:p w:rsidR="0077517B" w:rsidRPr="00687B42" w:rsidP="00421855">
            <w:pPr>
              <w:spacing w:after="0" w:line="240" w:lineRule="auto"/>
              <w:rPr>
                <w:rStyle w:val="Hyperlink"/>
                <w:rFonts w:asciiTheme="majorBidi" w:eastAsiaTheme="minorHAnsi" w:hAnsiTheme="majorBidi" w:cstheme="majorBidi"/>
                <w:iCs/>
                <w:color w:val="auto"/>
                <w:sz w:val="24"/>
                <w:szCs w:val="24"/>
                <w:u w:val="none"/>
                <w:lang w:val="en-US" w:eastAsia="en-US" w:bidi="ar-SA"/>
              </w:rPr>
            </w:pPr>
            <w:r w:rsidRPr="00687B42">
              <w:rPr>
                <w:rStyle w:val="DefaultParagraphFont"/>
                <w:rFonts w:asciiTheme="majorBidi" w:eastAsiaTheme="minorHAnsi" w:hAnsiTheme="majorBidi" w:cstheme="majorBidi"/>
                <w:iCs/>
                <w:color w:val="auto"/>
                <w:sz w:val="24"/>
                <w:szCs w:val="24"/>
                <w:u w:val="none"/>
                <w:lang w:val="en-US" w:eastAsia="en-US" w:bidi="ar-SA"/>
              </w:rPr>
              <w:t>Andrew.unsicker@us.af.mil</w:t>
            </w:r>
          </w:p>
          <w:p w:rsidR="0077517B" w:rsidRPr="00687B42" w:rsidP="00421855">
            <w:pPr>
              <w:spacing w:after="0" w:line="240" w:lineRule="auto"/>
              <w:rPr>
                <w:rStyle w:val="DefaultParagraphFont"/>
                <w:rFonts w:asciiTheme="majorBidi" w:eastAsiaTheme="minorHAnsi" w:hAnsiTheme="majorBidi" w:cstheme="majorBidi"/>
                <w:iCs/>
                <w:sz w:val="24"/>
                <w:szCs w:val="24"/>
                <w:lang w:val="en-US" w:eastAsia="en-US" w:bidi="ar-SA"/>
              </w:rPr>
            </w:pPr>
            <w:r w:rsidRPr="00687B42">
              <w:rPr>
                <w:rStyle w:val="DefaultParagraphFont"/>
                <w:rFonts w:asciiTheme="majorBidi" w:eastAsiaTheme="minorHAnsi" w:hAnsiTheme="majorBidi" w:cstheme="majorBidi"/>
                <w:iCs/>
                <w:color w:val="auto"/>
                <w:sz w:val="24"/>
                <w:szCs w:val="24"/>
                <w:u w:val="none"/>
                <w:lang w:val="en-US" w:eastAsia="en-US" w:bidi="ar-SA"/>
              </w:rPr>
              <w:t>Darryl.Brown@us.af.mil</w:t>
            </w:r>
          </w:p>
          <w:p w:rsidR="0077517B" w:rsidRPr="00687B42" w:rsidP="00421855">
            <w:pPr>
              <w:spacing w:after="0" w:line="240" w:lineRule="auto"/>
              <w:rPr>
                <w:rStyle w:val="DefaultParagraphFont"/>
                <w:rFonts w:asciiTheme="majorBidi" w:eastAsiaTheme="minorHAnsi" w:hAnsiTheme="majorBidi" w:cstheme="majorBidi"/>
                <w:iCs/>
                <w:sz w:val="24"/>
                <w:szCs w:val="24"/>
                <w:lang w:val="en-US" w:eastAsia="en-US" w:bidi="ar-SA"/>
              </w:rPr>
            </w:pPr>
            <w:r w:rsidRPr="00687B42">
              <w:rPr>
                <w:rStyle w:val="DefaultParagraphFont"/>
                <w:rFonts w:asciiTheme="majorBidi" w:eastAsiaTheme="minorHAnsi" w:hAnsiTheme="majorBidi" w:cstheme="majorBidi"/>
                <w:iCs/>
                <w:color w:val="auto"/>
                <w:sz w:val="24"/>
                <w:szCs w:val="24"/>
                <w:u w:val="none"/>
                <w:lang w:val="en-US" w:eastAsia="en-US" w:bidi="ar-SA"/>
              </w:rPr>
              <w:t>Robert.friedman.5@us.af.mil</w:t>
            </w:r>
          </w:p>
          <w:p w:rsidR="0077517B" w:rsidRPr="00687B42" w:rsidP="00421855">
            <w:pPr>
              <w:spacing w:after="0" w:line="240" w:lineRule="auto"/>
              <w:rPr>
                <w:rStyle w:val="DefaultParagraphFont"/>
                <w:rFonts w:asciiTheme="majorBidi" w:eastAsiaTheme="minorHAnsi" w:hAnsiTheme="majorBidi" w:cstheme="majorBidi"/>
                <w:iCs/>
                <w:sz w:val="24"/>
                <w:szCs w:val="24"/>
                <w:lang w:val="en-US" w:eastAsia="en-US" w:bidi="ar-SA"/>
              </w:rPr>
            </w:pPr>
          </w:p>
          <w:p w:rsidR="0077517B" w:rsidRPr="00687B42" w:rsidP="00421855">
            <w:pPr>
              <w:spacing w:after="0" w:line="240" w:lineRule="auto"/>
              <w:rPr>
                <w:rStyle w:val="DefaultParagraphFont"/>
                <w:rFonts w:asciiTheme="majorBidi" w:eastAsiaTheme="minorHAnsi" w:hAnsiTheme="majorBidi" w:cstheme="majorBidi"/>
                <w:sz w:val="24"/>
                <w:szCs w:val="24"/>
                <w:lang w:val="en-US" w:eastAsia="en-US" w:bidi="ar-SA"/>
              </w:rPr>
            </w:pPr>
          </w:p>
        </w:tc>
      </w:tr>
    </w:tbl>
    <w:p w:rsidR="00F116F0" w:rsidRPr="00F116F0" w:rsidP="00421855">
      <w:pPr>
        <w:ind w:firstLine="720"/>
        <w:contextualSpacing/>
        <w:rPr>
          <w:rFonts w:cs="Times New Roman"/>
          <w:szCs w:val="24"/>
        </w:rPr>
      </w:pPr>
      <w:bookmarkEnd w:id="36"/>
    </w:p>
    <w:sectPr w:rsidSect="0077517B">
      <w:footerReference w:type="default" r:id="rI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67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C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6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694025"/>
      <w:docPartObj>
        <w:docPartGallery w:val="Page Numbers (Bottom of Page)"/>
        <w:docPartUnique/>
      </w:docPartObj>
    </w:sdtPr>
    <w:sdtEndPr>
      <w:rPr>
        <w:noProof/>
      </w:rPr>
    </w:sdtEndPr>
    <w:sdtContent>
      <w:p w:rsidR="000C567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0C567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67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39436272"/>
      <w:docPartObj>
        <w:docPartGallery w:val="Page Numbers (Bottom of Page)"/>
        <w:docPartUnique/>
      </w:docPartObj>
    </w:sdtPr>
    <w:sdtEndPr>
      <w:rPr>
        <w:noProof/>
      </w:rPr>
    </w:sdtEndPr>
    <w:sdtContent>
      <w:p w:rsidR="000C5670">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6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444" w:rsidP="00C350A7">
      <w:pPr>
        <w:spacing w:line="240" w:lineRule="auto"/>
      </w:pPr>
      <w:r>
        <w:separator/>
      </w:r>
    </w:p>
  </w:footnote>
  <w:footnote w:type="continuationSeparator" w:id="1">
    <w:p w:rsidR="00D01444" w:rsidP="00C350A7">
      <w:pPr>
        <w:spacing w:line="240" w:lineRule="auto"/>
      </w:pPr>
      <w:r>
        <w:continuationSeparator/>
      </w:r>
    </w:p>
  </w:footnote>
  <w:footnote w:id="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 In the Matter of the Application of The Dayton Power and Light Company to Increase Its Rates for Electric Distribution</w:t>
      </w:r>
      <w:r w:rsidRPr="000C5670">
        <w:rPr>
          <w:rFonts w:asciiTheme="majorBidi" w:hAnsiTheme="majorBidi" w:cstheme="majorBidi"/>
        </w:rPr>
        <w:t>, PUCO Case No. 15-1830-EL-AIR, Opinion and Order (September 26, 2018).</w:t>
      </w:r>
    </w:p>
  </w:footnote>
  <w:footnote w:id="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6A at 9 (Gonzalez Supplemental Direct).</w:t>
      </w:r>
    </w:p>
  </w:footnote>
  <w:footnote w:id="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RESA/IGS Initial Brief at 1.</w:t>
      </w:r>
    </w:p>
  </w:footnote>
  <w:footnote w:id="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56 Ohio St. 2d 367 (1978); </w:t>
      </w:r>
      <w:r w:rsidRPr="000C5670">
        <w:rPr>
          <w:rFonts w:asciiTheme="majorBidi" w:hAnsiTheme="majorBidi" w:cstheme="majorBidi"/>
          <w:i/>
        </w:rPr>
        <w:t xml:space="preserve">see also </w:t>
      </w:r>
      <w:r w:rsidRPr="000C5670">
        <w:rPr>
          <w:rFonts w:asciiTheme="majorBidi" w:hAnsiTheme="majorBidi" w:cstheme="majorBidi"/>
        </w:rPr>
        <w:t>O.A.C. 4901-1-30(E).</w:t>
      </w:r>
    </w:p>
  </w:footnote>
  <w:footnote w:id="6">
    <w:p w:rsidR="000C5670" w:rsidRPr="000C5670" w:rsidP="000C5670">
      <w:pPr>
        <w:pStyle w:val="FootnoteText"/>
        <w:spacing w:after="120"/>
        <w:rPr>
          <w:rFonts w:asciiTheme="majorBidi" w:hAnsiTheme="majorBidi" w:cstheme="majorBidi"/>
          <w: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 id.</w:t>
      </w:r>
    </w:p>
  </w:footnote>
  <w:footnote w:id="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64 Ohio St. 3d 123 (1992).</w:t>
      </w:r>
    </w:p>
  </w:footnote>
  <w:footnote w:id="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e.g., </w:t>
      </w:r>
      <w:r w:rsidRPr="000C5670">
        <w:rPr>
          <w:rFonts w:asciiTheme="majorBidi" w:hAnsiTheme="majorBidi" w:cstheme="majorBidi"/>
        </w:rPr>
        <w:t xml:space="preserve">Vectren Ex. 11.3 (Swiz Rebuttal Testimony) at 3; </w:t>
      </w:r>
      <w:r w:rsidRPr="000C5670">
        <w:rPr>
          <w:rFonts w:asciiTheme="majorBidi" w:hAnsiTheme="majorBidi" w:cstheme="majorBidi"/>
          <w:i/>
        </w:rPr>
        <w:t xml:space="preserve">see also </w:t>
      </w:r>
      <w:r w:rsidRPr="000C5670">
        <w:rPr>
          <w:rFonts w:asciiTheme="majorBidi" w:hAnsiTheme="majorBidi" w:cstheme="majorBidi"/>
        </w:rPr>
        <w:t>Vectren’s Initial Brief at 2; 6; PUCO Staff Initial Brief at 9.</w:t>
      </w:r>
    </w:p>
  </w:footnote>
  <w:footnote w:id="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Hearing Transcript, Vol. VI at 594:5-595:5.</w:t>
      </w:r>
    </w:p>
  </w:footnote>
  <w:footnote w:id="1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604:13-25.</w:t>
      </w:r>
    </w:p>
  </w:footnote>
  <w:footnote w:id="1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605:22-606:1.</w:t>
      </w:r>
    </w:p>
  </w:footnote>
  <w:footnote w:id="1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599:7-23.</w:t>
      </w:r>
    </w:p>
  </w:footnote>
  <w:footnote w:id="1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600:2-13.</w:t>
      </w:r>
    </w:p>
  </w:footnote>
  <w:footnote w:id="1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6A at 9 (Gonzalez Supplemental Direct) at 17.</w:t>
      </w:r>
    </w:p>
  </w:footnote>
  <w:footnote w:id="1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 xml:space="preserve">Vectren Ex. 11.3 (Swiz Rebuttal Testimony) at 5; </w:t>
      </w:r>
      <w:r w:rsidRPr="000C5670">
        <w:rPr>
          <w:rFonts w:asciiTheme="majorBidi" w:hAnsiTheme="majorBidi" w:cstheme="majorBidi"/>
          <w:i/>
        </w:rPr>
        <w:t xml:space="preserve">see also </w:t>
      </w:r>
      <w:r w:rsidRPr="000C5670">
        <w:rPr>
          <w:rFonts w:asciiTheme="majorBidi" w:hAnsiTheme="majorBidi" w:cstheme="majorBidi"/>
        </w:rPr>
        <w:t>Vectren’s Initial Brief at 28-29.</w:t>
      </w:r>
    </w:p>
  </w:footnote>
  <w:footnote w:id="1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Hearing Transcript, Vol. VI at 598:18-25.</w:t>
      </w:r>
    </w:p>
  </w:footnote>
  <w:footnote w:id="17">
    <w:p w:rsidR="000C5670" w:rsidRPr="000C5670" w:rsidP="000C5670">
      <w:pPr>
        <w:pStyle w:val="FootnoteText"/>
        <w:spacing w:after="120"/>
        <w:rPr>
          <w:rFonts w:asciiTheme="majorBidi" w:hAnsiTheme="majorBidi" w:cstheme="majorBidi"/>
          <w: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 id.</w:t>
      </w:r>
    </w:p>
  </w:footnote>
  <w:footnote w:id="1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599:1-6.</w:t>
      </w:r>
    </w:p>
  </w:footnote>
  <w:footnote w:id="1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597:4-6.</w:t>
      </w:r>
    </w:p>
  </w:footnote>
  <w:footnote w:id="2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598:6-17.</w:t>
      </w:r>
    </w:p>
  </w:footnote>
  <w:footnote w:id="2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597::7-598:5.</w:t>
      </w:r>
    </w:p>
  </w:footnote>
  <w:footnote w:id="2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e.g., </w:t>
      </w:r>
      <w:r w:rsidRPr="000C5670">
        <w:rPr>
          <w:rFonts w:asciiTheme="majorBidi" w:hAnsiTheme="majorBidi" w:cstheme="majorBidi"/>
        </w:rPr>
        <w:t xml:space="preserve">Vectren Ex. 11.3 at 14-16; </w:t>
      </w:r>
      <w:r w:rsidRPr="000C5670">
        <w:rPr>
          <w:rFonts w:asciiTheme="majorBidi" w:hAnsiTheme="majorBidi" w:cstheme="majorBidi"/>
          <w:i/>
        </w:rPr>
        <w:t xml:space="preserve">see also </w:t>
      </w:r>
      <w:r w:rsidRPr="000C5670">
        <w:rPr>
          <w:rFonts w:asciiTheme="majorBidi" w:hAnsiTheme="majorBidi" w:cstheme="majorBidi"/>
        </w:rPr>
        <w:t>Vectren’s Initial Brief at 26-28.</w:t>
      </w:r>
    </w:p>
  </w:footnote>
  <w:footnote w:id="2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Hearing Transcript, Vol. VI at 609:15-17.</w:t>
      </w:r>
    </w:p>
  </w:footnote>
  <w:footnote w:id="2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609:17-21.</w:t>
      </w:r>
    </w:p>
  </w:footnote>
  <w:footnote w:id="2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609:22-610:1.</w:t>
      </w:r>
    </w:p>
  </w:footnote>
  <w:footnote w:id="2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610:8-11.</w:t>
      </w:r>
    </w:p>
  </w:footnote>
  <w:footnote w:id="2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474:3-7. </w:t>
      </w:r>
    </w:p>
  </w:footnote>
  <w:footnote w:id="2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475:8-11.</w:t>
      </w:r>
    </w:p>
  </w:footnote>
  <w:footnote w:id="2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 36:1-4.</w:t>
      </w:r>
    </w:p>
  </w:footnote>
  <w:footnote w:id="3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Initial Br., at 28.</w:t>
      </w:r>
    </w:p>
  </w:footnote>
  <w:footnote w:id="3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6A at 9 (Gonzalez Supplemental Direct).</w:t>
      </w:r>
    </w:p>
  </w:footnote>
  <w:footnote w:id="3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Initial Brief, at 29.</w:t>
      </w:r>
    </w:p>
  </w:footnote>
  <w:footnote w:id="3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 In the Matter of the Annual Report Required by R.C. 4933.123 Regarding Service Disconnections for NonPayment</w:t>
      </w:r>
      <w:r w:rsidRPr="000C5670">
        <w:rPr>
          <w:rFonts w:asciiTheme="majorBidi" w:hAnsiTheme="majorBidi" w:cstheme="majorBidi"/>
        </w:rPr>
        <w:t>, Case No. 18-757-GE-UNC, Report of Service Disconnections for Nonpayment of Vectren Energy Delivery of Ohio, Inc. (June 29, 2018).</w:t>
      </w:r>
    </w:p>
  </w:footnote>
  <w:footnote w:id="3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Initial Brief, at 21-22.  </w:t>
      </w:r>
    </w:p>
  </w:footnote>
  <w:footnote w:id="3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xml:space="preserve"> at 22. </w:t>
      </w:r>
    </w:p>
  </w:footnote>
  <w:footnote w:id="3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601:2-602:2.</w:t>
      </w:r>
    </w:p>
  </w:footnote>
  <w:footnote w:id="3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 xml:space="preserve">Vectren Ex. 11.3 (Swiz Rebuttal Testimony) at 3; Hearing Transcript, Vol. VI at 595:12-15; </w:t>
      </w:r>
      <w:r w:rsidRPr="000C5670">
        <w:rPr>
          <w:rFonts w:asciiTheme="majorBidi" w:hAnsiTheme="majorBidi" w:cstheme="majorBidi"/>
          <w:i/>
        </w:rPr>
        <w:t xml:space="preserve">see also </w:t>
      </w:r>
      <w:r w:rsidRPr="000C5670">
        <w:rPr>
          <w:rFonts w:asciiTheme="majorBidi" w:hAnsiTheme="majorBidi" w:cstheme="majorBidi"/>
        </w:rPr>
        <w:t>Vectren’s Initial Brief at 28-30.</w:t>
      </w:r>
    </w:p>
  </w:footnote>
  <w:footnote w:id="38">
    <w:p w:rsidR="000C5670" w:rsidRPr="000C5670" w:rsidP="000C5670">
      <w:pPr>
        <w:pStyle w:val="FootnoteText"/>
        <w:spacing w:after="120"/>
        <w:rPr>
          <w:rFonts w:asciiTheme="majorBidi" w:hAnsiTheme="majorBidi" w:cstheme="majorBidi"/>
          <w: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 id.</w:t>
      </w:r>
    </w:p>
  </w:footnote>
  <w:footnote w:id="3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Hearing Transcript, Vol. VI at 595:25.</w:t>
      </w:r>
    </w:p>
  </w:footnote>
  <w:footnote w:id="4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596:1-4.</w:t>
      </w:r>
    </w:p>
  </w:footnote>
  <w:footnote w:id="4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596:5-15.</w:t>
      </w:r>
    </w:p>
  </w:footnote>
  <w:footnote w:id="4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Vectren Ex. 11.3 (Swiz Rebuttal Testimony) at 12.</w:t>
      </w:r>
    </w:p>
  </w:footnote>
  <w:footnote w:id="4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Hearing Transcript, Vol. VI at 608:8-11.</w:t>
      </w:r>
    </w:p>
  </w:footnote>
  <w:footnote w:id="4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608:16-19.</w:t>
      </w:r>
    </w:p>
  </w:footnote>
  <w:footnote w:id="4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Ex. 12.1, at 7, 10, 12 (Feingold Rebuttal); </w:t>
      </w:r>
      <w:r w:rsidRPr="000C5670">
        <w:rPr>
          <w:rFonts w:asciiTheme="majorBidi" w:hAnsiTheme="majorBidi" w:cstheme="majorBidi"/>
          <w:i/>
        </w:rPr>
        <w:t xml:space="preserve">see also </w:t>
      </w:r>
      <w:r w:rsidRPr="000C5670">
        <w:rPr>
          <w:rFonts w:asciiTheme="majorBidi" w:hAnsiTheme="majorBidi" w:cstheme="majorBidi"/>
        </w:rPr>
        <w:t>Vectren’s Initial Brief at 22.</w:t>
      </w:r>
    </w:p>
  </w:footnote>
  <w:footnote w:id="4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Tariff for Gas Service, PUCO, No. 3, Sheet No. 62, Orig. Page 2 of 3, Section 3.B.4.</w:t>
      </w:r>
    </w:p>
  </w:footnote>
  <w:footnote w:id="4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Ohio Admin. Code 4901:1-18-05(B)(3).</w:t>
      </w:r>
    </w:p>
  </w:footnote>
  <w:footnote w:id="4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Ohio Admin. Code 4901:1-18-05(D).</w:t>
      </w:r>
    </w:p>
  </w:footnote>
  <w:footnote w:id="4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480:7-8.</w:t>
      </w:r>
    </w:p>
  </w:footnote>
  <w:footnote w:id="5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xml:space="preserve"> at 484:23-25, 485:1-3.</w:t>
      </w:r>
    </w:p>
  </w:footnote>
  <w:footnote w:id="5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489:8-19.</w:t>
      </w:r>
    </w:p>
  </w:footnote>
  <w:footnote w:id="5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Ex. 12.1 at 8.</w:t>
      </w:r>
    </w:p>
  </w:footnote>
  <w:footnote w:id="5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486:2-7.</w:t>
      </w:r>
    </w:p>
  </w:footnote>
  <w:footnote w:id="5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489:20-25, 490:1-12.</w:t>
      </w:r>
    </w:p>
  </w:footnote>
  <w:footnote w:id="5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Vectren’s Initial Brief at 25.</w:t>
      </w:r>
    </w:p>
  </w:footnote>
  <w:footnote w:id="5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550:25-551:1.</w:t>
      </w:r>
    </w:p>
  </w:footnote>
  <w:footnote w:id="5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w:t>
      </w:r>
      <w:r w:rsidRPr="000C5670">
        <w:rPr>
          <w:rFonts w:asciiTheme="majorBidi" w:hAnsiTheme="majorBidi" w:cstheme="majorBidi"/>
        </w:rPr>
        <w:t xml:space="preserve"> Ohio Rule of Evidence 702(B).</w:t>
      </w:r>
    </w:p>
  </w:footnote>
  <w:footnote w:id="5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565:13-17, 566:7-10.</w:t>
      </w:r>
    </w:p>
  </w:footnote>
  <w:footnote w:id="5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VI at 573:20-575:22.</w:t>
      </w:r>
    </w:p>
  </w:footnote>
  <w:footnote w:id="6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6A at 15-16 (Gonzalez Supplemental Direct).</w:t>
      </w:r>
    </w:p>
  </w:footnote>
  <w:footnote w:id="6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Id.; see also </w:t>
      </w:r>
      <w:r w:rsidRPr="000C5670">
        <w:rPr>
          <w:rFonts w:asciiTheme="majorBidi" w:hAnsiTheme="majorBidi" w:cstheme="majorBidi"/>
        </w:rPr>
        <w:t>Vectren’s Initial Brief at 17.</w:t>
      </w:r>
    </w:p>
  </w:footnote>
  <w:footnote w:id="6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Settlement at 11; OCC Ex. 3A at 6 (Harunuzzaman Supplemental Direct). </w:t>
      </w:r>
    </w:p>
  </w:footnote>
  <w:footnote w:id="6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3A at 8 (Harunuzzaman Supplemental Direct).</w:t>
      </w:r>
    </w:p>
  </w:footnote>
  <w:footnote w:id="64">
    <w:p w:rsidR="000C5670" w:rsidRPr="000C5670" w:rsidP="000C5670">
      <w:pPr>
        <w:pStyle w:val="FootnoteText"/>
        <w:spacing w:after="120"/>
        <w:rPr>
          <w:rFonts w:asciiTheme="majorBidi" w:hAnsiTheme="majorBidi" w:cstheme="majorBidi"/>
          <w: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p>
  </w:footnote>
  <w:footnote w:id="6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xml:space="preserve"> </w:t>
      </w:r>
    </w:p>
  </w:footnote>
  <w:footnote w:id="6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142.</w:t>
      </w:r>
    </w:p>
  </w:footnote>
  <w:footnote w:id="6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3A at 10-12 (Harunuzzaman Supplemental Direct).</w:t>
      </w:r>
    </w:p>
  </w:footnote>
  <w:footnote w:id="6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id. </w:t>
      </w:r>
      <w:r w:rsidRPr="000C5670">
        <w:rPr>
          <w:rFonts w:asciiTheme="majorBidi" w:hAnsiTheme="majorBidi" w:cstheme="majorBidi"/>
        </w:rPr>
        <w:t>at 12.</w:t>
      </w:r>
    </w:p>
  </w:footnote>
  <w:footnote w:id="6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w:t>
      </w:r>
      <w:r w:rsidRPr="000C5670">
        <w:rPr>
          <w:rFonts w:asciiTheme="majorBidi" w:hAnsiTheme="majorBidi" w:cstheme="majorBidi"/>
        </w:rPr>
        <w:t xml:space="preserve">, </w:t>
      </w:r>
      <w:r w:rsidRPr="000C5670">
        <w:rPr>
          <w:rFonts w:asciiTheme="majorBidi" w:hAnsiTheme="majorBidi" w:cstheme="majorBidi"/>
          <w:i/>
        </w:rPr>
        <w:t>e.g</w:t>
      </w:r>
      <w:r w:rsidRPr="000C5670">
        <w:rPr>
          <w:rFonts w:asciiTheme="majorBidi" w:hAnsiTheme="majorBidi" w:cstheme="majorBidi"/>
        </w:rPr>
        <w:t>., R.C. 4909.18 and R.C. 4905.22.</w:t>
      </w:r>
    </w:p>
  </w:footnote>
  <w:footnote w:id="7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w:t>
      </w:r>
      <w:r w:rsidRPr="000C5670">
        <w:rPr>
          <w:rFonts w:asciiTheme="majorBidi" w:hAnsiTheme="majorBidi" w:cstheme="majorBidi"/>
        </w:rPr>
        <w:t>, OCC post-hearing brief at 24-26 citing OCC Ex. 5A at 4-5 (Hecker Supplemental Direct).</w:t>
      </w:r>
    </w:p>
  </w:footnote>
  <w:footnote w:id="7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Initial Brief at 17.</w:t>
      </w:r>
    </w:p>
  </w:footnote>
  <w:footnote w:id="7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V at 398-399.</w:t>
      </w:r>
    </w:p>
  </w:footnote>
  <w:footnote w:id="7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 e.g., Dayton Power and Light Co</w:t>
      </w:r>
      <w:r w:rsidRPr="000C5670">
        <w:rPr>
          <w:rFonts w:asciiTheme="majorBidi" w:hAnsiTheme="majorBidi" w:cstheme="majorBidi"/>
        </w:rPr>
        <w:t>., Case. No. 15-1830-EL-AIR et. al (Sept. 26, 2018).</w:t>
      </w:r>
    </w:p>
  </w:footnote>
  <w:footnote w:id="7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5A at 5 (Hecker Supplemental Direct).</w:t>
      </w:r>
    </w:p>
  </w:footnote>
  <w:footnote w:id="75">
    <w:p w:rsidR="000C5670" w:rsidRPr="000C5670" w:rsidP="000C5670">
      <w:pPr>
        <w:autoSpaceDE w:val="0"/>
        <w:autoSpaceDN w:val="0"/>
        <w:adjustRightInd w:val="0"/>
        <w:spacing w:after="120" w:line="240" w:lineRule="auto"/>
        <w:rPr>
          <w:rFonts w:asciiTheme="majorBidi" w:hAnsiTheme="majorBidi" w:cstheme="majorBidi"/>
          <w:bCs/>
          <w:sz w:val="20"/>
          <w:szCs w:val="20"/>
        </w:rPr>
      </w:pPr>
      <w:r w:rsidRPr="000C5670">
        <w:rPr>
          <w:rStyle w:val="FootnoteReference"/>
          <w:rFonts w:asciiTheme="majorBidi" w:hAnsiTheme="majorBidi" w:cstheme="majorBidi"/>
          <w:sz w:val="20"/>
          <w:szCs w:val="20"/>
        </w:rPr>
        <w:footnoteRef/>
      </w:r>
      <w:r w:rsidRPr="000C5670">
        <w:rPr>
          <w:rFonts w:asciiTheme="majorBidi" w:hAnsiTheme="majorBidi" w:cstheme="majorBidi"/>
          <w:sz w:val="20"/>
          <w:szCs w:val="20"/>
        </w:rPr>
        <w:t xml:space="preserve"> </w:t>
      </w:r>
      <w:r w:rsidRPr="000C5670">
        <w:rPr>
          <w:rFonts w:asciiTheme="majorBidi" w:hAnsiTheme="majorBidi" w:cstheme="majorBidi"/>
          <w:i/>
          <w:sz w:val="20"/>
          <w:szCs w:val="20"/>
        </w:rPr>
        <w:t xml:space="preserve">In the Matter of the Application of Vectren Energy Delivery of Ohio, Inc. for Approval of an Increase in Gas Rates, </w:t>
      </w:r>
      <w:r w:rsidRPr="000C5670">
        <w:rPr>
          <w:rFonts w:asciiTheme="majorBidi" w:hAnsiTheme="majorBidi" w:cstheme="majorBidi"/>
          <w:sz w:val="20"/>
          <w:szCs w:val="20"/>
        </w:rPr>
        <w:t>Case No. 18-298-GA-AIR, et al, Staff Report (October 1, 2018); OCC Ex. 5A at 5.</w:t>
      </w:r>
    </w:p>
  </w:footnote>
  <w:footnote w:id="7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5A at 4-5 (Hecker Supplemental Direct).</w:t>
      </w:r>
    </w:p>
  </w:footnote>
  <w:footnote w:id="7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Initial Brief at 16.</w:t>
      </w:r>
    </w:p>
  </w:footnote>
  <w:footnote w:id="7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PUCO Staff post-hearing brief at 5.</w:t>
      </w:r>
    </w:p>
  </w:footnote>
  <w:footnote w:id="7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Consumers’ Counsel v. Pub. Util. Comm</w:t>
      </w:r>
      <w:r w:rsidRPr="000C5670">
        <w:rPr>
          <w:rFonts w:asciiTheme="majorBidi" w:hAnsiTheme="majorBidi" w:cstheme="majorBidi"/>
        </w:rPr>
        <w:t>. 64 Ohio St.3d 123, 126; 592 N.E.2d 1370 (1992).</w:t>
      </w:r>
    </w:p>
  </w:footnote>
  <w:footnote w:id="8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In re Application of Columbus S. Power Co</w:t>
      </w:r>
      <w:r w:rsidRPr="000C5670">
        <w:rPr>
          <w:rFonts w:asciiTheme="majorBidi" w:hAnsiTheme="majorBidi" w:cstheme="majorBidi"/>
        </w:rPr>
        <w:t xml:space="preserve">., 129 Ohio St.3d 46 (2011). </w:t>
      </w:r>
    </w:p>
  </w:footnote>
  <w:footnote w:id="8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xml:space="preserve"> at 5.</w:t>
      </w:r>
    </w:p>
  </w:footnote>
  <w:footnote w:id="8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xml:space="preserve"> </w:t>
      </w:r>
    </w:p>
  </w:footnote>
  <w:footnote w:id="8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xml:space="preserve"> </w:t>
      </w:r>
    </w:p>
  </w:footnote>
  <w:footnote w:id="8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xml:space="preserve"> </w:t>
      </w:r>
    </w:p>
  </w:footnote>
  <w:footnote w:id="8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Vectren’s Initial Brief at 14.</w:t>
      </w:r>
    </w:p>
  </w:footnote>
  <w:footnote w:id="8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Staff Ex. 3 at 8 (Testimony of Peter Chace). </w:t>
      </w:r>
    </w:p>
  </w:footnote>
  <w:footnote w:id="8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IV at 364.</w:t>
      </w:r>
    </w:p>
  </w:footnote>
  <w:footnote w:id="8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w:t>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xml:space="preserve"> at 356; Hearing Transcript, Vol. V at 433-434.</w:t>
      </w:r>
    </w:p>
  </w:footnote>
  <w:footnote w:id="8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4 at 6 (Direct Testimony of James D. Williams). </w:t>
      </w:r>
    </w:p>
  </w:footnote>
  <w:footnote w:id="9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See In the Matter of the Application of Vectren Energy Delivery of Ohio, Inc. for Approval to Change Accounting Methods Associated with its Distribution Risk Reduction Program</w:t>
      </w:r>
      <w:r w:rsidRPr="000C5670">
        <w:rPr>
          <w:rFonts w:asciiTheme="majorBidi" w:hAnsiTheme="majorBidi" w:cstheme="majorBidi"/>
        </w:rPr>
        <w:t>, Case No. 15-1741-GA-AAM, Opinion and Order at 4 (November 3, 2016).</w:t>
      </w:r>
    </w:p>
  </w:footnote>
  <w:footnote w:id="9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Testimony in Response to Objections to the Staff Report of David Lipthratt, Staff Ex. 8 at 3-4. </w:t>
      </w:r>
    </w:p>
  </w:footnote>
  <w:footnote w:id="9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Staff Ex. 8 at 3-4.</w:t>
      </w:r>
    </w:p>
  </w:footnote>
  <w:footnote w:id="9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OCC Ex. 4A at 4-5 (Williams Supplemental Direct); </w:t>
      </w:r>
      <w:r w:rsidRPr="000C5670">
        <w:rPr>
          <w:rFonts w:asciiTheme="majorBidi" w:hAnsiTheme="majorBidi" w:cstheme="majorBidi"/>
          <w:i/>
        </w:rPr>
        <w:t>see</w:t>
      </w:r>
      <w:r w:rsidRPr="000C5670">
        <w:rPr>
          <w:rFonts w:asciiTheme="majorBidi" w:hAnsiTheme="majorBidi" w:cstheme="majorBidi"/>
        </w:rPr>
        <w:t>, OCC post hearing brief at 8-9.</w:t>
      </w:r>
    </w:p>
  </w:footnote>
  <w:footnote w:id="9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Id. </w:t>
      </w:r>
      <w:r w:rsidRPr="000C5670">
        <w:rPr>
          <w:rFonts w:asciiTheme="majorBidi" w:hAnsiTheme="majorBidi" w:cstheme="majorBidi"/>
        </w:rPr>
        <w:t>at 5-6.</w:t>
      </w:r>
    </w:p>
  </w:footnote>
  <w:footnote w:id="9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IGS/RESA Brief at 5, 6, 10; Vectren Brief at 19.</w:t>
      </w:r>
    </w:p>
  </w:footnote>
  <w:footnote w:id="9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Initial Brief at 19 (emphasis added).</w:t>
      </w:r>
    </w:p>
  </w:footnote>
  <w:footnote w:id="9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IGS/RESA Brief at 5; Hearing Transcript Vol I, 29:9-12.</w:t>
      </w:r>
    </w:p>
  </w:footnote>
  <w:footnote w:id="9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Joint Ex. 1.0, at 20; </w:t>
      </w:r>
      <w:r w:rsidRPr="000C5670">
        <w:rPr>
          <w:rFonts w:asciiTheme="majorBidi" w:hAnsiTheme="majorBidi" w:cstheme="majorBidi"/>
          <w:i/>
        </w:rPr>
        <w:t xml:space="preserve">See also </w:t>
      </w:r>
      <w:r w:rsidRPr="000C5670">
        <w:rPr>
          <w:rFonts w:asciiTheme="majorBidi" w:hAnsiTheme="majorBidi" w:cstheme="majorBidi"/>
        </w:rPr>
        <w:t>Hearing Transcript, Vol. II at 91:7-10.</w:t>
      </w:r>
    </w:p>
  </w:footnote>
  <w:footnote w:id="9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87:12-17.</w:t>
      </w:r>
    </w:p>
  </w:footnote>
  <w:footnote w:id="10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r w:rsidRPr="000C5670">
        <w:rPr>
          <w:rFonts w:asciiTheme="majorBidi" w:hAnsiTheme="majorBidi" w:cstheme="majorBidi"/>
        </w:rPr>
        <w:t>; Hearing Transcript, Vol. I at 27:1-8.</w:t>
      </w:r>
    </w:p>
  </w:footnote>
  <w:footnote w:id="10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90:13-25, 91:1-3.</w:t>
      </w:r>
    </w:p>
  </w:footnote>
  <w:footnote w:id="10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IGS/RESA Initial Brief at 5.</w:t>
      </w:r>
    </w:p>
  </w:footnote>
  <w:footnote w:id="10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93:13-19.</w:t>
      </w:r>
    </w:p>
  </w:footnote>
  <w:footnote w:id="10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Id. </w:t>
      </w:r>
      <w:r w:rsidRPr="000C5670">
        <w:rPr>
          <w:rFonts w:asciiTheme="majorBidi" w:hAnsiTheme="majorBidi" w:cstheme="majorBidi"/>
        </w:rPr>
        <w:t>at 93:22-25, 94:1-15.</w:t>
      </w:r>
    </w:p>
  </w:footnote>
  <w:footnote w:id="10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103:8-25, 104:1-11; </w:t>
      </w:r>
      <w:r w:rsidRPr="000C5670">
        <w:rPr>
          <w:rFonts w:asciiTheme="majorBidi" w:hAnsiTheme="majorBidi" w:cstheme="majorBidi"/>
          <w:i/>
        </w:rPr>
        <w:t xml:space="preserve">see also </w:t>
      </w:r>
      <w:r w:rsidRPr="000C5670">
        <w:rPr>
          <w:rFonts w:asciiTheme="majorBidi" w:hAnsiTheme="majorBidi" w:cstheme="majorBidi"/>
        </w:rPr>
        <w:t xml:space="preserve">Hearing Transcript, Vol. I at 28:23-25, 29:1-4. </w:t>
      </w:r>
    </w:p>
  </w:footnote>
  <w:footnote w:id="106">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96:14-18, 97:15-20; </w:t>
      </w:r>
      <w:r w:rsidRPr="000C5670">
        <w:rPr>
          <w:rFonts w:asciiTheme="majorBidi" w:hAnsiTheme="majorBidi" w:cstheme="majorBidi"/>
          <w:i/>
        </w:rPr>
        <w:t xml:space="preserve">see also </w:t>
      </w:r>
      <w:r w:rsidRPr="000C5670">
        <w:rPr>
          <w:rFonts w:asciiTheme="majorBidi" w:hAnsiTheme="majorBidi" w:cstheme="majorBidi"/>
        </w:rPr>
        <w:t>Vectren’s Initial Brief at 19.</w:t>
      </w:r>
    </w:p>
  </w:footnote>
  <w:footnote w:id="10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 xml:space="preserve">See </w:t>
      </w:r>
      <w:r w:rsidRPr="000C5670">
        <w:rPr>
          <w:rFonts w:asciiTheme="majorBidi" w:hAnsiTheme="majorBidi" w:cstheme="majorBidi"/>
        </w:rPr>
        <w:t>IGS/RESA Initial Brief at 5-6.</w:t>
      </w:r>
    </w:p>
  </w:footnote>
  <w:footnote w:id="10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98:17-25, 99:1-15.</w:t>
      </w:r>
    </w:p>
  </w:footnote>
  <w:footnote w:id="10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101:15-25, 102:1-8.</w:t>
      </w:r>
    </w:p>
  </w:footnote>
  <w:footnote w:id="11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IGS/RESA Initial Brief at 7-9.</w:t>
      </w:r>
    </w:p>
  </w:footnote>
  <w:footnote w:id="11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110:4-5.</w:t>
      </w:r>
    </w:p>
  </w:footnote>
  <w:footnote w:id="11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RESA Ex. 2, at 7; IGS/RESA Initial Brief, at 8.</w:t>
      </w:r>
    </w:p>
  </w:footnote>
  <w:footnote w:id="11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108:5-25, 109:1-3.</w:t>
      </w:r>
    </w:p>
  </w:footnote>
  <w:footnote w:id="114">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106:20-25, 107:1.</w:t>
      </w:r>
    </w:p>
  </w:footnote>
  <w:footnote w:id="115">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IGS/RESA Brief at 10.</w:t>
      </w:r>
    </w:p>
  </w:footnote>
  <w:footnote w:id="116">
    <w:p w:rsidR="000C5670" w:rsidRPr="000C5670" w:rsidP="000C5670">
      <w:pPr>
        <w:pStyle w:val="FootnoteText"/>
        <w:spacing w:after="120"/>
        <w:rPr>
          <w:rFonts w:asciiTheme="majorBidi" w:hAnsiTheme="majorBidi" w:cstheme="majorBidi"/>
          <w:i/>
        </w:rPr>
      </w:pPr>
      <w:r w:rsidRPr="000C5670">
        <w:rPr>
          <w:rStyle w:val="FootnoteReference"/>
          <w:rFonts w:asciiTheme="majorBidi" w:hAnsiTheme="majorBidi" w:cstheme="majorBidi"/>
        </w:rPr>
        <w:footnoteRef/>
      </w:r>
      <w:r w:rsidRPr="000C5670">
        <w:rPr>
          <w:rFonts w:asciiTheme="majorBidi" w:hAnsiTheme="majorBidi" w:cstheme="majorBidi"/>
        </w:rPr>
        <w:t xml:space="preserve"> </w:t>
      </w:r>
      <w:r w:rsidRPr="000C5670">
        <w:rPr>
          <w:rFonts w:asciiTheme="majorBidi" w:hAnsiTheme="majorBidi" w:cstheme="majorBidi"/>
          <w:i/>
        </w:rPr>
        <w:t>Id.</w:t>
      </w:r>
    </w:p>
  </w:footnote>
  <w:footnote w:id="117">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 at 24:16-17.</w:t>
      </w:r>
    </w:p>
  </w:footnote>
  <w:footnote w:id="118">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112:5-24.</w:t>
      </w:r>
    </w:p>
  </w:footnote>
  <w:footnote w:id="119">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114:8-24, 115:10-20.</w:t>
      </w:r>
    </w:p>
  </w:footnote>
  <w:footnote w:id="120">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120:18-25, 121:1-8.</w:t>
      </w:r>
    </w:p>
  </w:footnote>
  <w:footnote w:id="121">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116:23-25, 117:1-19.</w:t>
      </w:r>
    </w:p>
  </w:footnote>
  <w:footnote w:id="122">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Hearing Transcript, Vol. II at 120:8-17.</w:t>
      </w:r>
    </w:p>
  </w:footnote>
  <w:footnote w:id="123">
    <w:p w:rsidR="000C5670" w:rsidRPr="000C5670" w:rsidP="000C5670">
      <w:pPr>
        <w:pStyle w:val="FootnoteText"/>
        <w:spacing w:after="120"/>
        <w:rPr>
          <w:rFonts w:asciiTheme="majorBidi" w:hAnsiTheme="majorBidi" w:cstheme="majorBidi"/>
        </w:rPr>
      </w:pPr>
      <w:r w:rsidRPr="000C5670">
        <w:rPr>
          <w:rStyle w:val="FootnoteReference"/>
          <w:rFonts w:asciiTheme="majorBidi" w:hAnsiTheme="majorBidi" w:cstheme="majorBidi"/>
        </w:rPr>
        <w:footnoteRef/>
      </w:r>
      <w:r w:rsidRPr="000C5670">
        <w:rPr>
          <w:rFonts w:asciiTheme="majorBidi" w:hAnsiTheme="majorBidi" w:cstheme="majorBidi"/>
        </w:rPr>
        <w:t xml:space="preserve"> Vectren Initial Brief at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C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6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6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CF0572"/>
    <w:multiLevelType w:val="hybridMultilevel"/>
    <w:tmpl w:val="2E8C3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38082C"/>
    <w:multiLevelType w:val="hybridMultilevel"/>
    <w:tmpl w:val="5792E55E"/>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B12482D"/>
    <w:multiLevelType w:val="hybridMultilevel"/>
    <w:tmpl w:val="3E0E106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C076DEA"/>
    <w:multiLevelType w:val="hybridMultilevel"/>
    <w:tmpl w:val="B2A86BD8"/>
    <w:lvl w:ilvl="0">
      <w:start w:val="1"/>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FA66DCA"/>
    <w:multiLevelType w:val="hybridMultilevel"/>
    <w:tmpl w:val="A7F603E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FC572AE"/>
    <w:multiLevelType w:val="hybridMultilevel"/>
    <w:tmpl w:val="571C674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93223B5"/>
    <w:multiLevelType w:val="hybridMultilevel"/>
    <w:tmpl w:val="DBE45962"/>
    <w:lvl w:ilvl="0">
      <w:start w:val="1"/>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EE67C79"/>
    <w:multiLevelType w:val="hybridMultilevel"/>
    <w:tmpl w:val="1C0421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8D43EA"/>
    <w:multiLevelType w:val="hybridMultilevel"/>
    <w:tmpl w:val="B07C311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B156285"/>
    <w:multiLevelType w:val="hybridMultilevel"/>
    <w:tmpl w:val="9B4C35DA"/>
    <w:lvl w:ilvl="0">
      <w:start w:val="1"/>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04F523E"/>
    <w:multiLevelType w:val="hybridMultilevel"/>
    <w:tmpl w:val="474EF79A"/>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1CB158C"/>
    <w:multiLevelType w:val="hybridMultilevel"/>
    <w:tmpl w:val="D7D6C9F8"/>
    <w:lvl w:ilvl="0">
      <w:start w:val="1"/>
      <w:numFmt w:val="upperLetter"/>
      <w:pStyle w:val="Heading2"/>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27F0993"/>
    <w:multiLevelType w:val="hybridMultilevel"/>
    <w:tmpl w:val="D6389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8143DB0"/>
    <w:multiLevelType w:val="hybridMultilevel"/>
    <w:tmpl w:val="EA7E775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8C24333"/>
    <w:multiLevelType w:val="hybridMultilevel"/>
    <w:tmpl w:val="70F001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243A89"/>
    <w:multiLevelType w:val="hybridMultilevel"/>
    <w:tmpl w:val="4BF2E716"/>
    <w:lvl w:ilvl="0">
      <w:start w:val="1"/>
      <w:numFmt w:val="upperRoman"/>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D345775"/>
    <w:multiLevelType w:val="hybridMultilevel"/>
    <w:tmpl w:val="DA72F2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D772DEE"/>
    <w:multiLevelType w:val="hybridMultilevel"/>
    <w:tmpl w:val="B050A1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2B43616"/>
    <w:multiLevelType w:val="hybridMultilevel"/>
    <w:tmpl w:val="2E528A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60779"/>
    <w:multiLevelType w:val="hybridMultilevel"/>
    <w:tmpl w:val="B8F07AC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74E42307"/>
    <w:multiLevelType w:val="hybridMultilevel"/>
    <w:tmpl w:val="B87AB80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79729A6"/>
    <w:multiLevelType w:val="hybridMultilevel"/>
    <w:tmpl w:val="D072305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5"/>
  </w:num>
  <w:num w:numId="3">
    <w:abstractNumId w:val="4"/>
  </w:num>
  <w:num w:numId="4">
    <w:abstractNumId w:val="16"/>
  </w:num>
  <w:num w:numId="5">
    <w:abstractNumId w:val="18"/>
  </w:num>
  <w:num w:numId="6">
    <w:abstractNumId w:val="10"/>
  </w:num>
  <w:num w:numId="7">
    <w:abstractNumId w:val="20"/>
  </w:num>
  <w:num w:numId="8">
    <w:abstractNumId w:val="0"/>
  </w:num>
  <w:num w:numId="9">
    <w:abstractNumId w:val="7"/>
  </w:num>
  <w:num w:numId="10">
    <w:abstractNumId w:val="12"/>
  </w:num>
  <w:num w:numId="11">
    <w:abstractNumId w:val="14"/>
  </w:num>
  <w:num w:numId="12">
    <w:abstractNumId w:val="8"/>
  </w:num>
  <w:num w:numId="13">
    <w:abstractNumId w:val="1"/>
  </w:num>
  <w:num w:numId="14">
    <w:abstractNumId w:val="13"/>
  </w:num>
  <w:num w:numId="15">
    <w:abstractNumId w:val="9"/>
  </w:num>
  <w:num w:numId="16">
    <w:abstractNumId w:val="6"/>
  </w:num>
  <w:num w:numId="17">
    <w:abstractNumId w:val="3"/>
  </w:num>
  <w:num w:numId="18">
    <w:abstractNumId w:val="21"/>
  </w:num>
  <w:num w:numId="19">
    <w:abstractNumId w:val="19"/>
  </w:num>
  <w:num w:numId="20">
    <w:abstractNumId w:val="1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98"/>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F2798"/>
    <w:pPr>
      <w:keepNext/>
      <w:keepLines/>
      <w:spacing w:after="240" w:line="240" w:lineRule="auto"/>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4B6C2F"/>
    <w:pPr>
      <w:keepNext/>
      <w:keepLines/>
      <w:numPr>
        <w:numId w:val="20"/>
      </w:numPr>
      <w:spacing w:after="240" w:line="240" w:lineRule="auto"/>
      <w:ind w:left="1440" w:right="72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1C3DE5"/>
    <w:pPr>
      <w:keepNext/>
      <w:keepLines/>
      <w:spacing w:after="240" w:line="240" w:lineRule="auto"/>
      <w:ind w:left="2160" w:right="720" w:hanging="720"/>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A7"/>
    <w:pPr>
      <w:tabs>
        <w:tab w:val="center" w:pos="4680"/>
        <w:tab w:val="right" w:pos="9360"/>
      </w:tabs>
      <w:spacing w:line="240" w:lineRule="auto"/>
    </w:pPr>
  </w:style>
  <w:style w:type="character" w:customStyle="1" w:styleId="HeaderChar">
    <w:name w:val="Header Char"/>
    <w:basedOn w:val="DefaultParagraphFont"/>
    <w:link w:val="Header"/>
    <w:uiPriority w:val="99"/>
    <w:rsid w:val="00C350A7"/>
  </w:style>
  <w:style w:type="paragraph" w:styleId="Footer">
    <w:name w:val="footer"/>
    <w:basedOn w:val="Normal"/>
    <w:link w:val="FooterChar"/>
    <w:uiPriority w:val="99"/>
    <w:unhideWhenUsed/>
    <w:rsid w:val="00C350A7"/>
    <w:pPr>
      <w:tabs>
        <w:tab w:val="center" w:pos="4680"/>
        <w:tab w:val="right" w:pos="9360"/>
      </w:tabs>
      <w:spacing w:line="240" w:lineRule="auto"/>
    </w:pPr>
  </w:style>
  <w:style w:type="character" w:customStyle="1" w:styleId="FooterChar">
    <w:name w:val="Footer Char"/>
    <w:basedOn w:val="DefaultParagraphFont"/>
    <w:link w:val="Footer"/>
    <w:uiPriority w:val="99"/>
    <w:rsid w:val="00C350A7"/>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9F196F"/>
    <w:pPr>
      <w:spacing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9F196F"/>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9F196F"/>
    <w:rPr>
      <w:vertAlign w:val="superscript"/>
    </w:rPr>
  </w:style>
  <w:style w:type="paragraph" w:styleId="ListParagraph">
    <w:name w:val="List Paragraph"/>
    <w:basedOn w:val="Normal"/>
    <w:uiPriority w:val="34"/>
    <w:qFormat/>
    <w:rsid w:val="00751350"/>
    <w:pPr>
      <w:ind w:left="720"/>
      <w:contextualSpacing/>
    </w:pPr>
  </w:style>
  <w:style w:type="paragraph" w:styleId="HTMLPreformatted">
    <w:name w:val="HTML Preformatted"/>
    <w:basedOn w:val="Normal"/>
    <w:link w:val="HTMLPreformattedChar"/>
    <w:unhideWhenUsed/>
    <w:rsid w:val="00A1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07DD"/>
    <w:rPr>
      <w:rFonts w:ascii="Courier New" w:eastAsia="Courier New" w:hAnsi="Courier New" w:cs="Courier New"/>
      <w:sz w:val="20"/>
      <w:szCs w:val="20"/>
    </w:rPr>
  </w:style>
  <w:style w:type="character" w:styleId="Hyperlink">
    <w:name w:val="Hyperlink"/>
    <w:basedOn w:val="DefaultParagraphFont"/>
    <w:uiPriority w:val="99"/>
    <w:unhideWhenUsed/>
    <w:rsid w:val="00A107DD"/>
    <w:rPr>
      <w:color w:val="0563C1" w:themeColor="hyperlink"/>
      <w:u w:val="single"/>
    </w:rPr>
  </w:style>
  <w:style w:type="character" w:customStyle="1" w:styleId="UnresolvedMention">
    <w:name w:val="Unresolved Mention"/>
    <w:basedOn w:val="DefaultParagraphFont"/>
    <w:uiPriority w:val="99"/>
    <w:semiHidden/>
    <w:unhideWhenUsed/>
    <w:rsid w:val="00A107DD"/>
    <w:rPr>
      <w:color w:val="605E5C"/>
      <w:shd w:val="clear" w:color="auto" w:fill="E1DFDD"/>
    </w:rPr>
  </w:style>
  <w:style w:type="character" w:customStyle="1" w:styleId="Heading2Char">
    <w:name w:val="Heading 2 Char"/>
    <w:basedOn w:val="DefaultParagraphFont"/>
    <w:link w:val="Heading2"/>
    <w:uiPriority w:val="9"/>
    <w:rsid w:val="004B6C2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6F2798"/>
    <w:rPr>
      <w:rFonts w:ascii="Times New Roman" w:hAnsi="Times New Roman" w:eastAsiaTheme="majorEastAsia" w:cstheme="majorBidi"/>
      <w:b/>
      <w:caps/>
      <w:sz w:val="24"/>
      <w:szCs w:val="32"/>
    </w:rPr>
  </w:style>
  <w:style w:type="character" w:customStyle="1" w:styleId="ALTSFOOTNOTEChar">
    <w:name w:val="ALTS FOOTNOTE Char"/>
    <w:aliases w:val="Footnote Text Char Char Char Char Char1,Footnote Text Char1 Char Char1 Char Char Char Char1,Footnote Text Char1 Char Char1 Char1,fn Char1"/>
    <w:semiHidden/>
    <w:locked/>
    <w:rsid w:val="000075C2"/>
    <w:rPr>
      <w:sz w:val="20"/>
      <w:szCs w:val="20"/>
    </w:rPr>
  </w:style>
  <w:style w:type="character" w:styleId="LineNumber">
    <w:name w:val="line number"/>
    <w:basedOn w:val="DefaultParagraphFont"/>
    <w:uiPriority w:val="99"/>
    <w:semiHidden/>
    <w:unhideWhenUsed/>
    <w:rsid w:val="000075C2"/>
  </w:style>
  <w:style w:type="paragraph" w:styleId="BalloonText">
    <w:name w:val="Balloon Text"/>
    <w:basedOn w:val="Normal"/>
    <w:link w:val="BalloonTextChar"/>
    <w:uiPriority w:val="99"/>
    <w:semiHidden/>
    <w:unhideWhenUsed/>
    <w:rsid w:val="00426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28"/>
    <w:rPr>
      <w:rFonts w:ascii="Segoe UI" w:hAnsi="Segoe UI" w:cs="Segoe UI"/>
      <w:sz w:val="18"/>
      <w:szCs w:val="18"/>
    </w:rPr>
  </w:style>
  <w:style w:type="paragraph" w:styleId="TOC1">
    <w:name w:val="toc 1"/>
    <w:basedOn w:val="Normal"/>
    <w:next w:val="Normal"/>
    <w:autoRedefine/>
    <w:uiPriority w:val="39"/>
    <w:unhideWhenUsed/>
    <w:qFormat/>
    <w:rsid w:val="00421855"/>
    <w:pPr>
      <w:tabs>
        <w:tab w:val="decimal" w:leader="dot" w:pos="8640"/>
      </w:tabs>
      <w:spacing w:after="240" w:line="240" w:lineRule="auto"/>
      <w:ind w:left="720" w:hanging="720"/>
      <w:outlineLvl w:val="0"/>
    </w:pPr>
    <w:rPr>
      <w:rFonts w:eastAsia="Times New Roman" w:cs="Times New Roman"/>
      <w:caps/>
      <w:szCs w:val="24"/>
    </w:rPr>
  </w:style>
  <w:style w:type="paragraph" w:styleId="TOC2">
    <w:name w:val="toc 2"/>
    <w:basedOn w:val="Normal"/>
    <w:next w:val="Normal"/>
    <w:autoRedefine/>
    <w:uiPriority w:val="39"/>
    <w:unhideWhenUsed/>
    <w:qFormat/>
    <w:rsid w:val="00421855"/>
    <w:pPr>
      <w:tabs>
        <w:tab w:val="decimal" w:leader="dot" w:pos="8640"/>
      </w:tabs>
      <w:spacing w:after="240" w:line="240" w:lineRule="auto"/>
      <w:ind w:left="1440" w:hanging="720"/>
      <w:outlineLvl w:val="1"/>
    </w:pPr>
    <w:rPr>
      <w:rFonts w:eastAsia="Times New Roman" w:cs="Times New Roman"/>
      <w:szCs w:val="24"/>
    </w:rPr>
  </w:style>
  <w:style w:type="table" w:styleId="TableGrid">
    <w:name w:val="Table Grid"/>
    <w:basedOn w:val="TableNormal"/>
    <w:uiPriority w:val="39"/>
    <w:rsid w:val="00775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77517B"/>
    <w:pPr>
      <w:spacing w:line="240" w:lineRule="auto"/>
    </w:pPr>
    <w:rPr>
      <w:rFonts w:eastAsia="Times New Roman" w:cs="Times New Roman"/>
      <w:szCs w:val="24"/>
    </w:rPr>
  </w:style>
  <w:style w:type="character" w:customStyle="1" w:styleId="CommentTextChar">
    <w:name w:val="Comment Text Char"/>
    <w:basedOn w:val="DefaultParagraphFont"/>
    <w:link w:val="CommentText"/>
    <w:semiHidden/>
    <w:rsid w:val="007751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C08"/>
    <w:rPr>
      <w:sz w:val="16"/>
      <w:szCs w:val="16"/>
    </w:rPr>
  </w:style>
  <w:style w:type="paragraph" w:styleId="CommentSubject">
    <w:name w:val="annotation subject"/>
    <w:basedOn w:val="CommentText"/>
    <w:next w:val="CommentText"/>
    <w:link w:val="CommentSubjectChar"/>
    <w:uiPriority w:val="99"/>
    <w:semiHidden/>
    <w:unhideWhenUsed/>
    <w:rsid w:val="00EF7C08"/>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EF7C0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C3DE5"/>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5D2789"/>
    <w:pPr>
      <w:spacing w:before="240" w:after="0" w:line="259" w:lineRule="auto"/>
      <w:outlineLvl w:val="9"/>
    </w:pPr>
    <w:rPr>
      <w:rFonts w:asciiTheme="majorHAnsi" w:hAnsiTheme="majorHAnsi"/>
      <w:b w:val="0"/>
      <w:caps w:val="0"/>
      <w:color w:val="2F5496" w:themeColor="accent1" w:themeShade="BF"/>
      <w:sz w:val="32"/>
    </w:rPr>
  </w:style>
  <w:style w:type="paragraph" w:styleId="TOC3">
    <w:name w:val="toc 3"/>
    <w:basedOn w:val="Normal"/>
    <w:next w:val="Normal"/>
    <w:autoRedefine/>
    <w:uiPriority w:val="39"/>
    <w:unhideWhenUsed/>
    <w:qFormat/>
    <w:rsid w:val="00421855"/>
    <w:pPr>
      <w:tabs>
        <w:tab w:val="decimal" w:leader="dot" w:pos="8640"/>
      </w:tabs>
      <w:spacing w:after="240" w:line="240" w:lineRule="auto"/>
      <w:ind w:left="2160" w:hanging="720"/>
      <w:outlineLvl w:val="2"/>
    </w:pPr>
    <w:rPr>
      <w:rFonts w:eastAsia="Times New Roman" w:cs="Times New Roman"/>
      <w:szCs w:val="24"/>
    </w:rPr>
  </w:style>
  <w:style w:type="paragraph" w:styleId="Revision">
    <w:name w:val="Revision"/>
    <w:hidden/>
    <w:uiPriority w:val="99"/>
    <w:semiHidden/>
    <w:rsid w:val="00B066F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7955</Words>
  <Characters>45349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Vectren.docx</vt:lpstr>
    </vt:vector>
  </TitlesOfParts>
  <Company/>
  <LinksUpToDate>false</LinksUpToDate>
  <CharactersWithSpaces>53198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2019-04-23T15:22:37Z</dcterms:created>
  <dcterms:modified xsi:type="dcterms:W3CDTF">2019-04-23T15:22:37Z</dcterms:modified>
</cp:coreProperties>
</file>