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4E38" w:rsidRPr="006A0331" w:rsidP="007C4E38" w14:paraId="758D8B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6A0331">
        <w:rPr>
          <w:rFonts w:ascii="Times New Roman" w:eastAsia="Calibri" w:hAnsi="Times New Roman" w:cs="Times New Roman"/>
          <w:b/>
          <w:bCs/>
        </w:rPr>
        <w:t>BEFORE</w:t>
      </w:r>
    </w:p>
    <w:p w:rsidR="007C4E38" w:rsidRPr="006A0331" w:rsidP="007C4E38" w14:paraId="522C92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6A0331">
        <w:rPr>
          <w:rFonts w:ascii="Times New Roman" w:eastAsia="Calibri" w:hAnsi="Times New Roman" w:cs="Times New Roman"/>
          <w:b/>
          <w:bCs/>
        </w:rPr>
        <w:t>THE PUBLIC UTILITIES COMMISSION OF OHIO</w:t>
      </w:r>
    </w:p>
    <w:p w:rsidR="007C4E38" w:rsidRPr="006A0331" w:rsidP="007C4E38" w14:paraId="12FC0CFE" w14:textId="77777777">
      <w:pPr>
        <w:pStyle w:val="HTMLPreformatted"/>
        <w:jc w:val="center"/>
        <w:rPr>
          <w:rFonts w:ascii="Times New Roman" w:hAnsi="Times New Roman" w:cs="Times New Roman"/>
          <w:b/>
          <w:bCs/>
          <w:sz w:val="24"/>
          <w:szCs w:val="24"/>
        </w:rPr>
      </w:pPr>
    </w:p>
    <w:tbl>
      <w:tblPr>
        <w:tblW w:w="8838" w:type="dxa"/>
        <w:tblInd w:w="-108" w:type="dxa"/>
        <w:tblLook w:val="01E0"/>
      </w:tblPr>
      <w:tblGrid>
        <w:gridCol w:w="4248"/>
        <w:gridCol w:w="360"/>
        <w:gridCol w:w="4230"/>
      </w:tblGrid>
      <w:tr w14:paraId="57E3B019" w14:textId="77777777" w:rsidTr="00E96588">
        <w:tblPrEx>
          <w:tblW w:w="8838" w:type="dxa"/>
          <w:tblInd w:w="-108" w:type="dxa"/>
          <w:tblLook w:val="01E0"/>
        </w:tblPrEx>
        <w:trPr>
          <w:trHeight w:val="1096"/>
        </w:trPr>
        <w:tc>
          <w:tcPr>
            <w:tcW w:w="4248" w:type="dxa"/>
            <w:shd w:val="clear" w:color="auto" w:fill="auto"/>
          </w:tcPr>
          <w:p w:rsidR="007C4E38" w:rsidRPr="006A0331" w:rsidP="00D90DDB" w14:paraId="6A8B285D" w14:textId="4313CF65">
            <w:pPr>
              <w:autoSpaceDE w:val="0"/>
              <w:autoSpaceDN w:val="0"/>
              <w:adjustRightInd w:val="0"/>
              <w:rPr>
                <w:rFonts w:ascii="Times New Roman" w:hAnsi="Times New Roman" w:cs="Times New Roman"/>
              </w:rPr>
            </w:pPr>
            <w:r w:rsidRPr="006A0331">
              <w:rPr>
                <w:rFonts w:ascii="Times New Roman" w:hAnsi="Times New Roman" w:cs="Times New Roman"/>
              </w:rPr>
              <w:t>In the Matter of the Application of the East Ohio Gas Company d/b/a Dominion Energy Ohio for Authority to Adjust Its Capital Expenditure Program Rider</w:t>
            </w:r>
            <w:r>
              <w:rPr>
                <w:rFonts w:ascii="Times New Roman" w:hAnsi="Times New Roman" w:cs="Times New Roman"/>
              </w:rPr>
              <w:t xml:space="preserve"> </w:t>
            </w:r>
            <w:r w:rsidRPr="006A0331">
              <w:rPr>
                <w:rFonts w:ascii="Times New Roman" w:hAnsi="Times New Roman" w:cs="Times New Roman"/>
              </w:rPr>
              <w:t>Charges.</w:t>
            </w:r>
          </w:p>
        </w:tc>
        <w:tc>
          <w:tcPr>
            <w:tcW w:w="360" w:type="dxa"/>
            <w:shd w:val="clear" w:color="auto" w:fill="auto"/>
          </w:tcPr>
          <w:p w:rsidR="007C4E38" w:rsidRPr="006A0331" w:rsidP="00D90DDB" w14:paraId="77986B8C"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7C4E38" w:rsidRPr="006A0331" w:rsidP="00D90DDB" w14:paraId="2D62CC0D"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7C4E38" w:rsidRPr="006A0331" w:rsidP="00D90DDB" w14:paraId="423AE1AB"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7C4E38" w:rsidP="007C4E38" w14:paraId="0FD685F1" w14:textId="77777777">
            <w:pPr>
              <w:pStyle w:val="HTMLPreformatted"/>
              <w:jc w:val="center"/>
              <w:rPr>
                <w:rFonts w:ascii="Times New Roman" w:hAnsi="Times New Roman" w:cs="Times New Roman"/>
                <w:sz w:val="24"/>
                <w:szCs w:val="24"/>
              </w:rPr>
            </w:pPr>
            <w:r w:rsidRPr="006A0331">
              <w:rPr>
                <w:rFonts w:ascii="Times New Roman" w:hAnsi="Times New Roman" w:cs="Times New Roman"/>
                <w:sz w:val="24"/>
                <w:szCs w:val="24"/>
              </w:rPr>
              <w:t>)</w:t>
            </w:r>
          </w:p>
          <w:p w:rsidR="00E96588" w:rsidRPr="006A0331" w:rsidP="007C4E38" w14:paraId="05E96800" w14:textId="33DD1657">
            <w:pPr>
              <w:pStyle w:val="HTMLPreformatted"/>
              <w:jc w:val="center"/>
              <w:rPr>
                <w:rFonts w:ascii="Times New Roman" w:hAnsi="Times New Roman" w:cs="Times New Roman"/>
                <w:sz w:val="24"/>
                <w:szCs w:val="24"/>
              </w:rPr>
            </w:pPr>
            <w:r>
              <w:rPr>
                <w:rFonts w:ascii="Times New Roman" w:hAnsi="Times New Roman" w:cs="Times New Roman"/>
                <w:sz w:val="24"/>
                <w:szCs w:val="24"/>
              </w:rPr>
              <w:t>)</w:t>
            </w:r>
          </w:p>
        </w:tc>
        <w:tc>
          <w:tcPr>
            <w:tcW w:w="4230" w:type="dxa"/>
            <w:shd w:val="clear" w:color="auto" w:fill="auto"/>
          </w:tcPr>
          <w:p w:rsidR="007C4E38" w:rsidRPr="006A0331" w:rsidP="00D90DDB" w14:paraId="664773C2" w14:textId="77777777">
            <w:pPr>
              <w:pStyle w:val="HTMLPreformatted"/>
              <w:rPr>
                <w:rFonts w:ascii="Times New Roman" w:hAnsi="Times New Roman" w:cs="Times New Roman"/>
                <w:sz w:val="24"/>
                <w:szCs w:val="24"/>
              </w:rPr>
            </w:pPr>
          </w:p>
          <w:p w:rsidR="007C4E38" w:rsidRPr="006A0331" w:rsidP="00D90DDB" w14:paraId="5E30B650" w14:textId="77777777">
            <w:pPr>
              <w:pStyle w:val="HTMLPreformatted"/>
              <w:rPr>
                <w:rFonts w:ascii="Times New Roman" w:hAnsi="Times New Roman" w:cs="Times New Roman"/>
                <w:sz w:val="24"/>
                <w:szCs w:val="24"/>
              </w:rPr>
            </w:pPr>
          </w:p>
          <w:p w:rsidR="007C4E38" w:rsidRPr="006A0331" w:rsidP="00D90DDB" w14:paraId="0DCEF6EE" w14:textId="71E74836">
            <w:pPr>
              <w:pStyle w:val="HTMLPreformatted"/>
              <w:rPr>
                <w:rFonts w:ascii="Times New Roman" w:hAnsi="Times New Roman" w:cs="Times New Roman"/>
                <w:sz w:val="24"/>
                <w:szCs w:val="24"/>
              </w:rPr>
            </w:pPr>
            <w:r w:rsidRPr="006A0331">
              <w:rPr>
                <w:rFonts w:ascii="Times New Roman" w:hAnsi="Times New Roman" w:cs="Times New Roman"/>
                <w:sz w:val="24"/>
                <w:szCs w:val="24"/>
              </w:rPr>
              <w:t>Case No. 2</w:t>
            </w:r>
            <w:r>
              <w:rPr>
                <w:rFonts w:ascii="Times New Roman" w:hAnsi="Times New Roman" w:cs="Times New Roman"/>
                <w:sz w:val="24"/>
                <w:szCs w:val="24"/>
              </w:rPr>
              <w:t>2</w:t>
            </w:r>
            <w:r w:rsidRPr="006A0331">
              <w:rPr>
                <w:rFonts w:ascii="Times New Roman" w:hAnsi="Times New Roman" w:cs="Times New Roman"/>
                <w:sz w:val="24"/>
                <w:szCs w:val="24"/>
              </w:rPr>
              <w:t>-619-GA-RDR</w:t>
            </w:r>
          </w:p>
        </w:tc>
      </w:tr>
    </w:tbl>
    <w:p w:rsidR="007C4E38" w:rsidRPr="006A0331" w:rsidP="007C4E38" w14:paraId="54E78C4B" w14:textId="77777777">
      <w:pPr>
        <w:pBdr>
          <w:bottom w:val="single" w:sz="12" w:space="1" w:color="auto"/>
        </w:pBdr>
        <w:autoSpaceDE w:val="0"/>
        <w:autoSpaceDN w:val="0"/>
        <w:adjustRightInd w:val="0"/>
        <w:rPr>
          <w:rFonts w:ascii="Times New Roman" w:eastAsia="Calibri" w:hAnsi="Times New Roman" w:cs="Times New Roman"/>
        </w:rPr>
      </w:pPr>
    </w:p>
    <w:p w:rsidR="007C4E38" w:rsidRPr="006A0331" w:rsidP="007C4E38" w14:paraId="51FDF196" w14:textId="77777777">
      <w:pPr>
        <w:autoSpaceDE w:val="0"/>
        <w:autoSpaceDN w:val="0"/>
        <w:adjustRightInd w:val="0"/>
        <w:rPr>
          <w:rFonts w:ascii="Times New Roman" w:eastAsia="Calibri" w:hAnsi="Times New Roman" w:cs="Times New Roman"/>
        </w:rPr>
      </w:pPr>
    </w:p>
    <w:p w:rsidR="007C4E38" w:rsidP="007C4E38" w14:paraId="7737E6F9" w14:textId="603C0CAE">
      <w:pPr>
        <w:jc w:val="center"/>
        <w:rPr>
          <w:rFonts w:ascii="Times New Roman" w:hAnsi="Times New Roman" w:cs="Times New Roman"/>
          <w:b/>
        </w:rPr>
      </w:pPr>
      <w:r>
        <w:rPr>
          <w:rFonts w:ascii="Times New Roman" w:hAnsi="Times New Roman" w:cs="Times New Roman"/>
          <w:b/>
        </w:rPr>
        <w:t>REPLY BRIEF</w:t>
      </w:r>
    </w:p>
    <w:p w:rsidR="007C4E38" w:rsidP="007C4E38" w14:paraId="7ABF65AB" w14:textId="7685F84C">
      <w:pPr>
        <w:jc w:val="center"/>
        <w:rPr>
          <w:rFonts w:ascii="Times New Roman" w:hAnsi="Times New Roman" w:cs="Times New Roman"/>
          <w:b/>
        </w:rPr>
      </w:pPr>
      <w:r>
        <w:rPr>
          <w:rFonts w:ascii="Times New Roman" w:hAnsi="Times New Roman" w:cs="Times New Roman"/>
          <w:b/>
        </w:rPr>
        <w:t>BY</w:t>
      </w:r>
    </w:p>
    <w:p w:rsidR="007C4E38" w:rsidRPr="006A0331" w:rsidP="007C4E38" w14:paraId="0C937585" w14:textId="6B2729A9">
      <w:pPr>
        <w:jc w:val="center"/>
        <w:rPr>
          <w:rFonts w:ascii="Times New Roman" w:hAnsi="Times New Roman" w:cs="Times New Roman"/>
          <w:b/>
        </w:rPr>
      </w:pPr>
      <w:r>
        <w:rPr>
          <w:rFonts w:ascii="Times New Roman" w:hAnsi="Times New Roman" w:cs="Times New Roman"/>
          <w:b/>
        </w:rPr>
        <w:t>OFFICE OF THE OHIO CONSUMERS’ COUNSEL</w:t>
      </w:r>
    </w:p>
    <w:p w:rsidR="007C4E38" w:rsidRPr="006A0331" w:rsidP="007C4E38" w14:paraId="36A4CA48" w14:textId="77777777">
      <w:pPr>
        <w:pBdr>
          <w:bottom w:val="single" w:sz="12" w:space="1" w:color="auto"/>
        </w:pBdr>
        <w:autoSpaceDE w:val="0"/>
        <w:autoSpaceDN w:val="0"/>
        <w:adjustRightInd w:val="0"/>
        <w:jc w:val="center"/>
        <w:rPr>
          <w:rFonts w:ascii="Times New Roman" w:eastAsia="Calibri" w:hAnsi="Times New Roman" w:cs="Times New Roman"/>
          <w:b/>
          <w:bCs/>
        </w:rPr>
      </w:pPr>
    </w:p>
    <w:p w:rsidR="007C4E38" w:rsidP="00E96588" w14:paraId="3C85D6C8" w14:textId="196C657F">
      <w:pPr>
        <w:pStyle w:val="NormalWeb"/>
        <w:ind w:left="720" w:hanging="720"/>
        <w:rPr>
          <w:b/>
          <w:bCs/>
          <w:color w:val="000000" w:themeColor="text1"/>
        </w:rPr>
      </w:pPr>
      <w:r>
        <w:rPr>
          <w:b/>
          <w:bCs/>
          <w:color w:val="000000" w:themeColor="text1"/>
        </w:rPr>
        <w:t xml:space="preserve">I. </w:t>
      </w:r>
      <w:r w:rsidR="00E96588">
        <w:rPr>
          <w:b/>
          <w:bCs/>
          <w:color w:val="000000" w:themeColor="text1"/>
        </w:rPr>
        <w:tab/>
      </w:r>
      <w:r>
        <w:rPr>
          <w:b/>
          <w:bCs/>
          <w:color w:val="000000" w:themeColor="text1"/>
        </w:rPr>
        <w:t>INTRODUCTION</w:t>
      </w:r>
    </w:p>
    <w:p w:rsidR="00B12534" w:rsidP="00E96588" w14:paraId="1372E7F7" w14:textId="7E3F506C">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Dominion</w:t>
      </w:r>
      <w:r>
        <w:rPr>
          <w:rStyle w:val="FootnoteReference"/>
          <w:rFonts w:ascii="Times New Roman" w:hAnsi="Times New Roman" w:cs="Times New Roman"/>
          <w:color w:val="000000" w:themeColor="text1"/>
        </w:rPr>
        <w:footnoteReference w:id="2"/>
      </w:r>
      <w:r>
        <w:rPr>
          <w:rFonts w:ascii="Times New Roman" w:hAnsi="Times New Roman" w:cs="Times New Roman"/>
          <w:color w:val="000000" w:themeColor="text1"/>
        </w:rPr>
        <w:t xml:space="preserve"> seeks to </w:t>
      </w:r>
      <w:r w:rsidRPr="008E4F8C">
        <w:rPr>
          <w:rFonts w:ascii="Times New Roman" w:hAnsi="Times New Roman" w:cs="Times New Roman"/>
          <w:color w:val="000000" w:themeColor="text1"/>
        </w:rPr>
        <w:t xml:space="preserve">charge </w:t>
      </w:r>
      <w:r w:rsidR="00345A44">
        <w:rPr>
          <w:rFonts w:ascii="Times New Roman" w:hAnsi="Times New Roman" w:cs="Times New Roman"/>
          <w:color w:val="000000" w:themeColor="text1"/>
        </w:rPr>
        <w:t xml:space="preserve">consumers a </w:t>
      </w:r>
      <w:r w:rsidR="00D71E7F">
        <w:rPr>
          <w:rFonts w:ascii="Times New Roman" w:hAnsi="Times New Roman" w:cs="Times New Roman"/>
          <w:color w:val="000000" w:themeColor="text1"/>
        </w:rPr>
        <w:t>9.91% pre-tax rate of return</w:t>
      </w:r>
      <w:r>
        <w:rPr>
          <w:rStyle w:val="FootnoteReference"/>
          <w:rFonts w:ascii="Times New Roman" w:hAnsi="Times New Roman" w:cs="Times New Roman"/>
          <w:color w:val="000000" w:themeColor="text1"/>
        </w:rPr>
        <w:footnoteReference w:id="3"/>
      </w:r>
      <w:r w:rsidR="00D71E7F">
        <w:rPr>
          <w:rFonts w:ascii="Times New Roman" w:hAnsi="Times New Roman" w:cs="Times New Roman"/>
          <w:color w:val="000000" w:themeColor="text1"/>
        </w:rPr>
        <w:t xml:space="preserve"> set 13 years ago in </w:t>
      </w:r>
      <w:r w:rsidR="00345A44">
        <w:rPr>
          <w:rFonts w:ascii="Times New Roman" w:hAnsi="Times New Roman" w:cs="Times New Roman"/>
          <w:color w:val="000000" w:themeColor="text1"/>
        </w:rPr>
        <w:t>its</w:t>
      </w:r>
      <w:r w:rsidR="00D71E7F">
        <w:rPr>
          <w:rFonts w:ascii="Times New Roman" w:hAnsi="Times New Roman" w:cs="Times New Roman"/>
          <w:color w:val="000000" w:themeColor="text1"/>
        </w:rPr>
        <w:t xml:space="preserve"> last base rate case.</w:t>
      </w:r>
      <w:r>
        <w:rPr>
          <w:rStyle w:val="FootnoteReference"/>
          <w:rFonts w:ascii="Times New Roman" w:hAnsi="Times New Roman" w:cs="Times New Roman"/>
          <w:color w:val="000000" w:themeColor="text1"/>
        </w:rPr>
        <w:footnoteReference w:id="4"/>
      </w:r>
      <w:r w:rsidR="00D71E7F">
        <w:rPr>
          <w:rFonts w:ascii="Times New Roman" w:hAnsi="Times New Roman" w:cs="Times New Roman"/>
          <w:color w:val="000000" w:themeColor="text1"/>
        </w:rPr>
        <w:t xml:space="preserve"> </w:t>
      </w:r>
      <w:r w:rsidR="00345A44">
        <w:rPr>
          <w:rFonts w:ascii="Times New Roman" w:hAnsi="Times New Roman" w:cs="Times New Roman"/>
          <w:color w:val="000000" w:themeColor="text1"/>
        </w:rPr>
        <w:t xml:space="preserve">Using </w:t>
      </w:r>
      <w:r w:rsidR="00D71E7F">
        <w:rPr>
          <w:rFonts w:ascii="Times New Roman" w:hAnsi="Times New Roman" w:cs="Times New Roman"/>
          <w:color w:val="000000" w:themeColor="text1"/>
        </w:rPr>
        <w:t xml:space="preserve">this outdated rate will allow Dominion to </w:t>
      </w:r>
      <w:r w:rsidR="00345A44">
        <w:rPr>
          <w:rFonts w:ascii="Times New Roman" w:hAnsi="Times New Roman" w:cs="Times New Roman"/>
          <w:color w:val="000000" w:themeColor="text1"/>
        </w:rPr>
        <w:t xml:space="preserve">charge </w:t>
      </w:r>
      <w:r w:rsidRPr="008E4F8C" w:rsidR="00345A44">
        <w:rPr>
          <w:rFonts w:ascii="Times New Roman" w:hAnsi="Times New Roman" w:cs="Times New Roman"/>
          <w:color w:val="000000" w:themeColor="text1"/>
        </w:rPr>
        <w:t>1.4 million residential consumers $6.16 per month or $87 million</w:t>
      </w:r>
      <w:r w:rsidR="00345A44">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5"/>
      </w:r>
      <w:r w:rsidR="00345A44">
        <w:rPr>
          <w:rFonts w:ascii="Times New Roman" w:hAnsi="Times New Roman" w:cs="Times New Roman"/>
          <w:color w:val="000000" w:themeColor="text1"/>
        </w:rPr>
        <w:t xml:space="preserve"> Consumers will </w:t>
      </w:r>
      <w:r w:rsidR="00B85614">
        <w:rPr>
          <w:rFonts w:ascii="Times New Roman" w:hAnsi="Times New Roman" w:cs="Times New Roman"/>
          <w:color w:val="000000" w:themeColor="text1"/>
        </w:rPr>
        <w:t>be overcharged for</w:t>
      </w:r>
      <w:r w:rsidR="00345A44">
        <w:rPr>
          <w:rFonts w:ascii="Times New Roman" w:hAnsi="Times New Roman" w:cs="Times New Roman"/>
          <w:color w:val="000000" w:themeColor="text1"/>
        </w:rPr>
        <w:t xml:space="preserve"> Dominion</w:t>
      </w:r>
      <w:r w:rsidR="00B85614">
        <w:rPr>
          <w:rFonts w:ascii="Times New Roman" w:hAnsi="Times New Roman" w:cs="Times New Roman"/>
          <w:color w:val="000000" w:themeColor="text1"/>
        </w:rPr>
        <w:t>’s</w:t>
      </w:r>
      <w:r w:rsidR="00345A44">
        <w:rPr>
          <w:rFonts w:ascii="Times New Roman" w:hAnsi="Times New Roman" w:cs="Times New Roman"/>
          <w:color w:val="000000" w:themeColor="text1"/>
        </w:rPr>
        <w:t xml:space="preserve"> excessive profits</w:t>
      </w:r>
      <w:r w:rsidR="00D71E7F">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6"/>
      </w:r>
      <w:r w:rsidR="00D71E7F">
        <w:rPr>
          <w:rFonts w:ascii="Times New Roman" w:hAnsi="Times New Roman" w:cs="Times New Roman"/>
          <w:color w:val="000000" w:themeColor="text1"/>
        </w:rPr>
        <w:t xml:space="preserve"> </w:t>
      </w:r>
    </w:p>
    <w:p w:rsidR="00B12534" w:rsidP="00E96588" w14:paraId="4322AD27" w14:textId="58C7CE3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Dominion’s </w:t>
      </w:r>
      <w:r>
        <w:rPr>
          <w:rFonts w:ascii="Times New Roman" w:hAnsi="Times New Roman" w:cs="Times New Roman"/>
          <w:color w:val="000000" w:themeColor="text1"/>
        </w:rPr>
        <w:t xml:space="preserve">CEP </w:t>
      </w:r>
      <w:r>
        <w:rPr>
          <w:rFonts w:ascii="Times New Roman" w:hAnsi="Times New Roman" w:cs="Times New Roman"/>
          <w:color w:val="000000" w:themeColor="text1"/>
        </w:rPr>
        <w:t xml:space="preserve">application does not meet Ohio’s standards for approval. </w:t>
      </w:r>
      <w:r w:rsidRPr="008E4F8C">
        <w:rPr>
          <w:rFonts w:ascii="Times New Roman" w:hAnsi="Times New Roman" w:cs="Times New Roman"/>
          <w:color w:val="000000" w:themeColor="text1"/>
        </w:rPr>
        <w:t xml:space="preserve">R.C. 4929.05(A)(3) and R.C. 4929.111(C) </w:t>
      </w:r>
      <w:r w:rsidR="00B85614">
        <w:rPr>
          <w:rFonts w:ascii="Times New Roman" w:hAnsi="Times New Roman" w:cs="Times New Roman"/>
          <w:color w:val="000000" w:themeColor="text1"/>
        </w:rPr>
        <w:t xml:space="preserve">which </w:t>
      </w:r>
      <w:r w:rsidRPr="008E4F8C">
        <w:rPr>
          <w:rFonts w:ascii="Times New Roman" w:hAnsi="Times New Roman" w:cs="Times New Roman"/>
          <w:color w:val="000000" w:themeColor="text1"/>
        </w:rPr>
        <w:t xml:space="preserve">require the PUCO to find capital expenditure programs and alternative rate plans </w:t>
      </w:r>
      <w:r w:rsidR="009F089B">
        <w:rPr>
          <w:rFonts w:ascii="Times New Roman" w:hAnsi="Times New Roman" w:cs="Times New Roman"/>
          <w:color w:val="000000" w:themeColor="text1"/>
        </w:rPr>
        <w:t>to be</w:t>
      </w:r>
      <w:r w:rsidRPr="008E4F8C">
        <w:rPr>
          <w:rFonts w:ascii="Times New Roman" w:hAnsi="Times New Roman" w:cs="Times New Roman"/>
          <w:color w:val="000000" w:themeColor="text1"/>
        </w:rPr>
        <w:t xml:space="preserve"> “just and reasonable.” </w:t>
      </w:r>
      <w:r>
        <w:rPr>
          <w:rFonts w:ascii="Times New Roman" w:hAnsi="Times New Roman" w:cs="Times New Roman"/>
          <w:color w:val="000000" w:themeColor="text1"/>
        </w:rPr>
        <w:t xml:space="preserve">Also, </w:t>
      </w:r>
      <w:r w:rsidRPr="008E4F8C">
        <w:rPr>
          <w:rFonts w:ascii="Times New Roman" w:hAnsi="Times New Roman" w:cs="Times New Roman"/>
          <w:color w:val="000000" w:themeColor="text1"/>
        </w:rPr>
        <w:t xml:space="preserve">R.C. 4905.22 </w:t>
      </w:r>
      <w:r>
        <w:rPr>
          <w:rFonts w:ascii="Times New Roman" w:hAnsi="Times New Roman" w:cs="Times New Roman"/>
          <w:color w:val="000000" w:themeColor="text1"/>
        </w:rPr>
        <w:t>provides the PUCO must</w:t>
      </w:r>
      <w:r w:rsidRPr="008E4F8C">
        <w:rPr>
          <w:rFonts w:ascii="Times New Roman" w:hAnsi="Times New Roman" w:cs="Times New Roman"/>
          <w:color w:val="000000" w:themeColor="text1"/>
        </w:rPr>
        <w:t xml:space="preserve"> require Dominion</w:t>
      </w:r>
      <w:r>
        <w:rPr>
          <w:rFonts w:ascii="Times New Roman" w:hAnsi="Times New Roman" w:cs="Times New Roman"/>
          <w:color w:val="000000" w:themeColor="text1"/>
        </w:rPr>
        <w:t xml:space="preserve"> </w:t>
      </w:r>
      <w:r w:rsidRPr="008E4F8C">
        <w:rPr>
          <w:rFonts w:ascii="Times New Roman" w:hAnsi="Times New Roman" w:cs="Times New Roman"/>
          <w:color w:val="000000" w:themeColor="text1"/>
        </w:rPr>
        <w:t xml:space="preserve">to provide necessary and adequate services for just and reasonable charges. </w:t>
      </w:r>
      <w:r>
        <w:rPr>
          <w:rFonts w:ascii="Times New Roman" w:hAnsi="Times New Roman" w:cs="Times New Roman"/>
          <w:color w:val="000000" w:themeColor="text1"/>
        </w:rPr>
        <w:t xml:space="preserve">Dominion’s CEP is unjust and unreasonable because it is </w:t>
      </w:r>
      <w:r>
        <w:rPr>
          <w:rFonts w:ascii="Times New Roman" w:hAnsi="Times New Roman" w:cs="Times New Roman"/>
          <w:color w:val="000000" w:themeColor="text1"/>
        </w:rPr>
        <w:t xml:space="preserve">based on an outdated </w:t>
      </w:r>
      <w:r w:rsidRPr="008E4F8C">
        <w:rPr>
          <w:rFonts w:ascii="Times New Roman" w:hAnsi="Times New Roman" w:cs="Times New Roman"/>
          <w:color w:val="000000" w:themeColor="text1"/>
        </w:rPr>
        <w:t>rate of return</w:t>
      </w:r>
      <w:r w:rsidR="00D71E7F">
        <w:rPr>
          <w:rFonts w:ascii="Times New Roman" w:hAnsi="Times New Roman" w:cs="Times New Roman"/>
          <w:color w:val="000000" w:themeColor="text1"/>
        </w:rPr>
        <w:t xml:space="preserve">. </w:t>
      </w:r>
      <w:r>
        <w:rPr>
          <w:rFonts w:ascii="Times New Roman" w:hAnsi="Times New Roman" w:cs="Times New Roman"/>
          <w:color w:val="000000" w:themeColor="text1"/>
        </w:rPr>
        <w:t>This rate is too high, and</w:t>
      </w:r>
      <w:r w:rsidRPr="008E4F8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using it </w:t>
      </w:r>
      <w:r w:rsidRPr="008E4F8C">
        <w:rPr>
          <w:rFonts w:ascii="Times New Roman" w:hAnsi="Times New Roman" w:cs="Times New Roman"/>
          <w:color w:val="000000" w:themeColor="text1"/>
        </w:rPr>
        <w:t>benefit</w:t>
      </w:r>
      <w:r>
        <w:rPr>
          <w:rFonts w:ascii="Times New Roman" w:hAnsi="Times New Roman" w:cs="Times New Roman"/>
          <w:color w:val="000000" w:themeColor="text1"/>
        </w:rPr>
        <w:t>s</w:t>
      </w:r>
      <w:r w:rsidRPr="008E4F8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only </w:t>
      </w:r>
      <w:r w:rsidRPr="008E4F8C">
        <w:rPr>
          <w:rFonts w:ascii="Times New Roman" w:hAnsi="Times New Roman" w:cs="Times New Roman"/>
          <w:color w:val="000000" w:themeColor="text1"/>
        </w:rPr>
        <w:t>Dominion’s shareholder</w:t>
      </w:r>
      <w:r>
        <w:rPr>
          <w:rFonts w:ascii="Times New Roman" w:hAnsi="Times New Roman" w:cs="Times New Roman"/>
          <w:color w:val="000000" w:themeColor="text1"/>
        </w:rPr>
        <w:t>s</w:t>
      </w:r>
      <w:r w:rsidR="00B85614">
        <w:rPr>
          <w:rFonts w:ascii="Times New Roman" w:hAnsi="Times New Roman" w:cs="Times New Roman"/>
          <w:color w:val="000000" w:themeColor="text1"/>
        </w:rPr>
        <w:t xml:space="preserve"> at the expense of consu</w:t>
      </w:r>
      <w:r w:rsidR="009F089B">
        <w:rPr>
          <w:rFonts w:ascii="Times New Roman" w:hAnsi="Times New Roman" w:cs="Times New Roman"/>
          <w:color w:val="000000" w:themeColor="text1"/>
        </w:rPr>
        <w:t>m</w:t>
      </w:r>
      <w:r w:rsidR="00B85614">
        <w:rPr>
          <w:rFonts w:ascii="Times New Roman" w:hAnsi="Times New Roman" w:cs="Times New Roman"/>
          <w:color w:val="000000" w:themeColor="text1"/>
        </w:rPr>
        <w:t>ers</w:t>
      </w:r>
      <w:r>
        <w:rPr>
          <w:rFonts w:ascii="Times New Roman" w:hAnsi="Times New Roman" w:cs="Times New Roman"/>
          <w:color w:val="000000" w:themeColor="text1"/>
        </w:rPr>
        <w:t xml:space="preserve">. </w:t>
      </w:r>
    </w:p>
    <w:p w:rsidR="00534884" w:rsidRPr="00534884" w:rsidP="00E96588" w14:paraId="04A96CF2" w14:textId="0842905A">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PUCO should reject or modify Dominion’s CEP</w:t>
      </w:r>
      <w:r w:rsidR="00B12534">
        <w:rPr>
          <w:rFonts w:ascii="Times New Roman" w:hAnsi="Times New Roman" w:cs="Times New Roman"/>
          <w:color w:val="000000" w:themeColor="text1"/>
        </w:rPr>
        <w:t xml:space="preserve"> to prevent Dominion from charging consumers unjust and unreasonable rates.</w:t>
      </w:r>
      <w:r w:rsidR="00E96588">
        <w:rPr>
          <w:rFonts w:ascii="Times New Roman" w:hAnsi="Times New Roman" w:cs="Times New Roman"/>
          <w:color w:val="000000" w:themeColor="text1"/>
        </w:rPr>
        <w:t xml:space="preserve"> </w:t>
      </w:r>
    </w:p>
    <w:p w:rsidR="002A1942" w:rsidP="00E96588" w14:paraId="12C4AFE1" w14:textId="7A6F3FCA">
      <w:pPr>
        <w:pStyle w:val="NormalWeb"/>
        <w:ind w:left="720" w:hanging="720"/>
        <w:rPr>
          <w:b/>
          <w:bCs/>
          <w:color w:val="000000" w:themeColor="text1"/>
        </w:rPr>
      </w:pPr>
      <w:r w:rsidRPr="008E4F8C">
        <w:rPr>
          <w:b/>
          <w:bCs/>
          <w:color w:val="000000" w:themeColor="text1"/>
        </w:rPr>
        <w:t xml:space="preserve">II. </w:t>
      </w:r>
      <w:r w:rsidR="00E96588">
        <w:rPr>
          <w:b/>
          <w:bCs/>
          <w:color w:val="000000" w:themeColor="text1"/>
        </w:rPr>
        <w:tab/>
      </w:r>
      <w:r w:rsidRPr="008E4F8C">
        <w:rPr>
          <w:b/>
          <w:bCs/>
          <w:color w:val="000000" w:themeColor="text1"/>
        </w:rPr>
        <w:t>REPLY</w:t>
      </w:r>
    </w:p>
    <w:p w:rsidR="002A1942" w:rsidRPr="008E4F8C" w:rsidP="00E96588" w14:paraId="63280105" w14:textId="043F7106">
      <w:pPr>
        <w:pStyle w:val="NormalWeb"/>
        <w:numPr>
          <w:ilvl w:val="0"/>
          <w:numId w:val="3"/>
        </w:numPr>
        <w:spacing w:before="0" w:beforeAutospacing="0" w:after="0" w:afterAutospacing="0"/>
        <w:ind w:left="1440" w:hanging="720"/>
        <w:rPr>
          <w:b/>
          <w:bCs/>
          <w:color w:val="000000" w:themeColor="text1"/>
        </w:rPr>
      </w:pPr>
      <w:r w:rsidRPr="008E4F8C">
        <w:rPr>
          <w:b/>
          <w:bCs/>
          <w:color w:val="000000" w:themeColor="text1"/>
        </w:rPr>
        <w:t>The C</w:t>
      </w:r>
      <w:r w:rsidR="008475B1">
        <w:rPr>
          <w:b/>
          <w:bCs/>
          <w:color w:val="000000" w:themeColor="text1"/>
        </w:rPr>
        <w:t xml:space="preserve">apital </w:t>
      </w:r>
      <w:r w:rsidRPr="008E4F8C">
        <w:rPr>
          <w:b/>
          <w:bCs/>
          <w:color w:val="000000" w:themeColor="text1"/>
        </w:rPr>
        <w:t>E</w:t>
      </w:r>
      <w:r w:rsidR="008475B1">
        <w:rPr>
          <w:b/>
          <w:bCs/>
          <w:color w:val="000000" w:themeColor="text1"/>
        </w:rPr>
        <w:t xml:space="preserve">xpenditure </w:t>
      </w:r>
      <w:r w:rsidRPr="008E4F8C">
        <w:rPr>
          <w:b/>
          <w:bCs/>
          <w:color w:val="000000" w:themeColor="text1"/>
        </w:rPr>
        <w:t>P</w:t>
      </w:r>
      <w:r w:rsidR="008475B1">
        <w:rPr>
          <w:b/>
          <w:bCs/>
          <w:color w:val="000000" w:themeColor="text1"/>
        </w:rPr>
        <w:t xml:space="preserve">rogram Rider charge is unjust and unreasonable </w:t>
      </w:r>
      <w:r w:rsidRPr="008E4F8C">
        <w:rPr>
          <w:b/>
          <w:bCs/>
          <w:color w:val="000000" w:themeColor="text1"/>
        </w:rPr>
        <w:t>because it requires consumers to pay $</w:t>
      </w:r>
      <w:r w:rsidRPr="008E4F8C" w:rsidR="00AF3A27">
        <w:rPr>
          <w:b/>
          <w:bCs/>
          <w:color w:val="000000" w:themeColor="text1"/>
        </w:rPr>
        <w:t>21</w:t>
      </w:r>
      <w:r w:rsidRPr="008E4F8C">
        <w:rPr>
          <w:b/>
          <w:bCs/>
          <w:color w:val="000000" w:themeColor="text1"/>
        </w:rPr>
        <w:t xml:space="preserve"> million more for gas service. </w:t>
      </w:r>
    </w:p>
    <w:p w:rsidR="00910DCC" w:rsidP="00910DCC" w14:paraId="7B97B4F9" w14:textId="77777777">
      <w:pPr>
        <w:ind w:firstLine="360"/>
        <w:rPr>
          <w:rFonts w:ascii="Times New Roman" w:hAnsi="Times New Roman" w:cs="Times New Roman"/>
          <w:color w:val="000000" w:themeColor="text1"/>
        </w:rPr>
      </w:pPr>
    </w:p>
    <w:p w:rsidR="002A1942" w:rsidP="005F5B2C" w14:paraId="5959113D" w14:textId="3989EEB7">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 xml:space="preserve">Dominion and PUCO Staff claim Dominion’s CEP benefits consumers and the public interest. They are wrong. </w:t>
      </w:r>
    </w:p>
    <w:p w:rsidR="005F6943" w:rsidP="005F5B2C" w14:paraId="51CB0B3D" w14:textId="77777777">
      <w:pPr>
        <w:spacing w:line="480" w:lineRule="auto"/>
        <w:ind w:firstLine="720"/>
        <w:rPr>
          <w:rFonts w:ascii="Times New Roman" w:hAnsi="Times New Roman" w:cs="Times New Roman"/>
          <w:color w:val="000000" w:themeColor="text1"/>
          <w:position w:val="10"/>
        </w:rPr>
      </w:pPr>
      <w:r w:rsidRPr="008E4F8C">
        <w:rPr>
          <w:rFonts w:ascii="Times New Roman" w:hAnsi="Times New Roman" w:cs="Times New Roman"/>
          <w:color w:val="000000" w:themeColor="text1"/>
        </w:rPr>
        <w:t>Dominion makes several non-persuasive arguments that its CEP benefits consumers. These “benefits” are illusory</w:t>
      </w:r>
      <w:r w:rsidR="009D07E3">
        <w:rPr>
          <w:rFonts w:ascii="Times New Roman" w:hAnsi="Times New Roman" w:cs="Times New Roman"/>
          <w:color w:val="000000" w:themeColor="text1"/>
        </w:rPr>
        <w:t>.</w:t>
      </w:r>
      <w:r w:rsidRPr="008E4F8C">
        <w:rPr>
          <w:rFonts w:ascii="Times New Roman" w:hAnsi="Times New Roman" w:cs="Times New Roman"/>
          <w:color w:val="000000" w:themeColor="text1"/>
          <w:position w:val="10"/>
        </w:rPr>
        <w:t xml:space="preserve"> </w:t>
      </w:r>
    </w:p>
    <w:p w:rsidR="00DF40CB" w:rsidRPr="008E4F8C" w:rsidP="005F5B2C" w14:paraId="7324BA18" w14:textId="78FC86A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One consumer benefit Dominion claims is that its CEP</w:t>
      </w:r>
      <w:r w:rsidRPr="008E4F8C">
        <w:rPr>
          <w:rFonts w:ascii="Times New Roman" w:hAnsi="Times New Roman" w:cs="Times New Roman"/>
          <w:color w:val="000000" w:themeColor="text1"/>
        </w:rPr>
        <w:t xml:space="preserve"> adopts </w:t>
      </w:r>
      <w:r>
        <w:rPr>
          <w:rFonts w:ascii="Times New Roman" w:hAnsi="Times New Roman" w:cs="Times New Roman"/>
          <w:color w:val="000000" w:themeColor="text1"/>
        </w:rPr>
        <w:t xml:space="preserve">the </w:t>
      </w:r>
      <w:r w:rsidRPr="008E4F8C">
        <w:rPr>
          <w:rFonts w:ascii="Times New Roman" w:hAnsi="Times New Roman" w:cs="Times New Roman"/>
          <w:color w:val="000000" w:themeColor="text1"/>
        </w:rPr>
        <w:t xml:space="preserve">Blue Ridge’s Audit Report </w:t>
      </w:r>
      <w:r w:rsidR="00592830">
        <w:rPr>
          <w:rFonts w:ascii="Times New Roman" w:hAnsi="Times New Roman" w:cs="Times New Roman"/>
          <w:color w:val="000000" w:themeColor="text1"/>
        </w:rPr>
        <w:t xml:space="preserve">(minimal) </w:t>
      </w:r>
      <w:r w:rsidRPr="008E4F8C">
        <w:rPr>
          <w:rFonts w:ascii="Times New Roman" w:hAnsi="Times New Roman" w:cs="Times New Roman"/>
          <w:color w:val="000000" w:themeColor="text1"/>
        </w:rPr>
        <w:t>adjustments and recommendations.</w:t>
      </w:r>
      <w:r>
        <w:rPr>
          <w:rStyle w:val="FootnoteReference"/>
          <w:rFonts w:ascii="Times New Roman" w:hAnsi="Times New Roman" w:cs="Times New Roman"/>
          <w:color w:val="000000" w:themeColor="text1"/>
        </w:rPr>
        <w:footnoteReference w:id="7"/>
      </w:r>
      <w:r w:rsidRPr="008E4F8C">
        <w:rPr>
          <w:rFonts w:ascii="Times New Roman" w:hAnsi="Times New Roman" w:cs="Times New Roman"/>
          <w:color w:val="000000" w:themeColor="text1"/>
        </w:rPr>
        <w:t xml:space="preserve"> But</w:t>
      </w:r>
      <w:r w:rsidR="007F002B">
        <w:rPr>
          <w:rFonts w:ascii="Times New Roman" w:hAnsi="Times New Roman" w:cs="Times New Roman"/>
          <w:color w:val="000000" w:themeColor="text1"/>
        </w:rPr>
        <w:t>,</w:t>
      </w:r>
      <w:r w:rsidRPr="008E4F8C">
        <w:rPr>
          <w:rFonts w:ascii="Times New Roman" w:hAnsi="Times New Roman" w:cs="Times New Roman"/>
          <w:color w:val="000000" w:themeColor="text1"/>
        </w:rPr>
        <w:t xml:space="preserve"> given the PUCO Staff supported these recommendations, the PUCO would likely </w:t>
      </w:r>
      <w:r w:rsidR="007F002B">
        <w:rPr>
          <w:rFonts w:ascii="Times New Roman" w:hAnsi="Times New Roman" w:cs="Times New Roman"/>
          <w:color w:val="000000" w:themeColor="text1"/>
        </w:rPr>
        <w:t>have adopted them anyway</w:t>
      </w:r>
      <w:r w:rsidRPr="008E4F8C">
        <w:rPr>
          <w:rFonts w:ascii="Times New Roman" w:hAnsi="Times New Roman" w:cs="Times New Roman"/>
          <w:color w:val="000000" w:themeColor="text1"/>
        </w:rPr>
        <w:t xml:space="preserve">. </w:t>
      </w:r>
      <w:r w:rsidR="007F002B">
        <w:rPr>
          <w:rFonts w:ascii="Times New Roman" w:hAnsi="Times New Roman" w:cs="Times New Roman"/>
          <w:color w:val="000000" w:themeColor="text1"/>
        </w:rPr>
        <w:t xml:space="preserve">Dominion has </w:t>
      </w:r>
      <w:r w:rsidR="00DD7F92">
        <w:rPr>
          <w:rFonts w:ascii="Times New Roman" w:hAnsi="Times New Roman" w:cs="Times New Roman"/>
          <w:color w:val="000000" w:themeColor="text1"/>
        </w:rPr>
        <w:t>given</w:t>
      </w:r>
      <w:r w:rsidR="007F002B">
        <w:rPr>
          <w:rFonts w:ascii="Times New Roman" w:hAnsi="Times New Roman" w:cs="Times New Roman"/>
          <w:color w:val="000000" w:themeColor="text1"/>
        </w:rPr>
        <w:t xml:space="preserve"> nothing to consumers by doing this. </w:t>
      </w:r>
    </w:p>
    <w:p w:rsidR="00DF40CB" w:rsidRPr="008E4F8C" w:rsidP="005F5B2C" w14:paraId="3209503E" w14:textId="12C50C55">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Second, Dominion asserts its CEP continues to support necessary investment in its system, which benefits Ohio consumers</w:t>
      </w:r>
      <w:r w:rsidR="007F002B">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8"/>
      </w:r>
      <w:r w:rsidRPr="008E4F8C">
        <w:rPr>
          <w:rFonts w:ascii="Times New Roman" w:hAnsi="Times New Roman" w:cs="Times New Roman"/>
          <w:color w:val="000000" w:themeColor="text1"/>
          <w:position w:val="10"/>
        </w:rPr>
        <w:t xml:space="preserve"> </w:t>
      </w:r>
      <w:r w:rsidR="00C60E5B">
        <w:rPr>
          <w:rFonts w:ascii="Times New Roman" w:hAnsi="Times New Roman" w:cs="Times New Roman"/>
          <w:color w:val="000000" w:themeColor="text1"/>
        </w:rPr>
        <w:t>Again</w:t>
      </w:r>
      <w:r w:rsidRPr="008E4F8C">
        <w:rPr>
          <w:rFonts w:ascii="Times New Roman" w:hAnsi="Times New Roman" w:cs="Times New Roman"/>
          <w:color w:val="000000" w:themeColor="text1"/>
        </w:rPr>
        <w:t xml:space="preserve">, this is not a concession to consumers. </w:t>
      </w:r>
      <w:r w:rsidR="00C60E5B">
        <w:rPr>
          <w:rFonts w:ascii="Times New Roman" w:hAnsi="Times New Roman" w:cs="Times New Roman"/>
          <w:color w:val="000000" w:themeColor="text1"/>
        </w:rPr>
        <w:t xml:space="preserve">Ohio law </w:t>
      </w:r>
      <w:r w:rsidR="00C60E5B">
        <w:rPr>
          <w:rFonts w:ascii="Times New Roman" w:hAnsi="Times New Roman" w:cs="Times New Roman"/>
          <w:i/>
          <w:iCs/>
          <w:color w:val="000000" w:themeColor="text1"/>
        </w:rPr>
        <w:t>requires</w:t>
      </w:r>
      <w:r w:rsidR="00C60E5B">
        <w:rPr>
          <w:rFonts w:ascii="Times New Roman" w:hAnsi="Times New Roman" w:cs="Times New Roman"/>
          <w:color w:val="000000" w:themeColor="text1"/>
        </w:rPr>
        <w:t xml:space="preserve"> Dominion to</w:t>
      </w:r>
      <w:r w:rsidRPr="008E4F8C">
        <w:rPr>
          <w:rFonts w:ascii="Times New Roman" w:hAnsi="Times New Roman" w:cs="Times New Roman"/>
          <w:color w:val="000000" w:themeColor="text1"/>
        </w:rPr>
        <w:t xml:space="preserve"> furnish necessary and adequate </w:t>
      </w:r>
      <w:r w:rsidR="009F089B">
        <w:rPr>
          <w:rFonts w:ascii="Times New Roman" w:hAnsi="Times New Roman" w:cs="Times New Roman"/>
          <w:color w:val="000000" w:themeColor="text1"/>
        </w:rPr>
        <w:t>service</w:t>
      </w:r>
      <w:r w:rsidR="004D75FD">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9"/>
      </w:r>
      <w:r w:rsidRPr="008E4F8C">
        <w:rPr>
          <w:rFonts w:ascii="Times New Roman" w:hAnsi="Times New Roman" w:cs="Times New Roman"/>
          <w:color w:val="000000" w:themeColor="text1"/>
          <w:position w:val="10"/>
        </w:rPr>
        <w:t xml:space="preserve"> </w:t>
      </w:r>
      <w:r w:rsidR="004D75FD">
        <w:rPr>
          <w:rFonts w:ascii="Times New Roman" w:hAnsi="Times New Roman" w:cs="Times New Roman"/>
          <w:color w:val="000000" w:themeColor="text1"/>
        </w:rPr>
        <w:t>C</w:t>
      </w:r>
      <w:r w:rsidRPr="008E4F8C">
        <w:rPr>
          <w:rFonts w:ascii="Times New Roman" w:hAnsi="Times New Roman" w:cs="Times New Roman"/>
          <w:color w:val="000000" w:themeColor="text1"/>
        </w:rPr>
        <w:t xml:space="preserve">onsumers </w:t>
      </w:r>
      <w:r w:rsidR="00B85614">
        <w:rPr>
          <w:rFonts w:ascii="Times New Roman" w:hAnsi="Times New Roman" w:cs="Times New Roman"/>
          <w:color w:val="000000" w:themeColor="text1"/>
        </w:rPr>
        <w:t>should</w:t>
      </w:r>
      <w:r w:rsidRPr="008E4F8C" w:rsidR="00B85614">
        <w:rPr>
          <w:rFonts w:ascii="Times New Roman" w:hAnsi="Times New Roman" w:cs="Times New Roman"/>
          <w:color w:val="000000" w:themeColor="text1"/>
        </w:rPr>
        <w:t xml:space="preserve"> </w:t>
      </w:r>
      <w:r w:rsidRPr="008E4F8C">
        <w:rPr>
          <w:rFonts w:ascii="Times New Roman" w:hAnsi="Times New Roman" w:cs="Times New Roman"/>
          <w:color w:val="000000" w:themeColor="text1"/>
        </w:rPr>
        <w:t>benefit—</w:t>
      </w:r>
      <w:r w:rsidR="00C60E5B">
        <w:rPr>
          <w:rFonts w:ascii="Times New Roman" w:hAnsi="Times New Roman" w:cs="Times New Roman"/>
          <w:i/>
          <w:iCs/>
          <w:color w:val="000000" w:themeColor="text1"/>
        </w:rPr>
        <w:t>by</w:t>
      </w:r>
      <w:r w:rsidRPr="008E4F8C">
        <w:rPr>
          <w:rFonts w:ascii="Times New Roman" w:hAnsi="Times New Roman" w:cs="Times New Roman"/>
          <w:i/>
          <w:iCs/>
          <w:color w:val="000000" w:themeColor="text1"/>
        </w:rPr>
        <w:t xml:space="preserve"> law—</w:t>
      </w:r>
      <w:r w:rsidRPr="008E4F8C">
        <w:rPr>
          <w:rFonts w:ascii="Times New Roman" w:hAnsi="Times New Roman" w:cs="Times New Roman"/>
          <w:color w:val="000000" w:themeColor="text1"/>
        </w:rPr>
        <w:t xml:space="preserve">regardless of whether </w:t>
      </w:r>
      <w:r w:rsidR="00C60E5B">
        <w:rPr>
          <w:rFonts w:ascii="Times New Roman" w:hAnsi="Times New Roman" w:cs="Times New Roman"/>
          <w:color w:val="000000" w:themeColor="text1"/>
        </w:rPr>
        <w:t>facilities</w:t>
      </w:r>
      <w:r w:rsidRPr="008E4F8C">
        <w:rPr>
          <w:rFonts w:ascii="Times New Roman" w:hAnsi="Times New Roman" w:cs="Times New Roman"/>
          <w:color w:val="000000" w:themeColor="text1"/>
        </w:rPr>
        <w:t xml:space="preserve"> are funded in base rates or the CEP charge. The only difference is that consumers will pay </w:t>
      </w:r>
      <w:r w:rsidRPr="008E4F8C">
        <w:rPr>
          <w:rFonts w:ascii="Times New Roman" w:hAnsi="Times New Roman" w:cs="Times New Roman"/>
          <w:i/>
          <w:iCs/>
          <w:color w:val="000000" w:themeColor="text1"/>
        </w:rPr>
        <w:t xml:space="preserve">more </w:t>
      </w:r>
      <w:r w:rsidRPr="008E4F8C">
        <w:rPr>
          <w:rFonts w:ascii="Times New Roman" w:hAnsi="Times New Roman" w:cs="Times New Roman"/>
          <w:color w:val="000000" w:themeColor="text1"/>
        </w:rPr>
        <w:t xml:space="preserve">if these system </w:t>
      </w:r>
      <w:r w:rsidRPr="008E4F8C">
        <w:rPr>
          <w:rFonts w:ascii="Times New Roman" w:hAnsi="Times New Roman" w:cs="Times New Roman"/>
          <w:color w:val="000000" w:themeColor="text1"/>
        </w:rPr>
        <w:t xml:space="preserve">investment charges are included in the CEP charge instead of base rates. This is because of the </w:t>
      </w:r>
      <w:r w:rsidR="004D75FD">
        <w:rPr>
          <w:rFonts w:ascii="Times New Roman" w:hAnsi="Times New Roman" w:cs="Times New Roman"/>
          <w:color w:val="000000" w:themeColor="text1"/>
        </w:rPr>
        <w:t>CEP application’s</w:t>
      </w:r>
      <w:r w:rsidRPr="008E4F8C">
        <w:rPr>
          <w:rFonts w:ascii="Times New Roman" w:hAnsi="Times New Roman" w:cs="Times New Roman"/>
          <w:color w:val="000000" w:themeColor="text1"/>
        </w:rPr>
        <w:t xml:space="preserve"> grossly inflated rate of return. Importantly, consumers </w:t>
      </w:r>
      <w:r w:rsidRPr="008E4F8C" w:rsidR="004D75FD">
        <w:rPr>
          <w:rFonts w:ascii="Times New Roman" w:hAnsi="Times New Roman" w:cs="Times New Roman"/>
          <w:color w:val="000000" w:themeColor="text1"/>
        </w:rPr>
        <w:t>will</w:t>
      </w:r>
      <w:r w:rsidRPr="008E4F8C">
        <w:rPr>
          <w:rFonts w:ascii="Times New Roman" w:hAnsi="Times New Roman" w:cs="Times New Roman"/>
          <w:color w:val="000000" w:themeColor="text1"/>
        </w:rPr>
        <w:t xml:space="preserve"> get the same purported benefits of the CEP charge</w:t>
      </w:r>
      <w:r w:rsidR="004D75FD">
        <w:rPr>
          <w:rFonts w:ascii="Times New Roman" w:hAnsi="Times New Roman" w:cs="Times New Roman"/>
          <w:color w:val="000000" w:themeColor="text1"/>
        </w:rPr>
        <w:t xml:space="preserve"> </w:t>
      </w:r>
      <w:r w:rsidRPr="008E4F8C" w:rsidR="004D75FD">
        <w:rPr>
          <w:rFonts w:ascii="Times New Roman" w:hAnsi="Times New Roman" w:cs="Times New Roman"/>
          <w:color w:val="000000" w:themeColor="text1"/>
        </w:rPr>
        <w:t xml:space="preserve">at a </w:t>
      </w:r>
      <w:r w:rsidR="00B85614">
        <w:rPr>
          <w:rFonts w:ascii="Times New Roman" w:hAnsi="Times New Roman" w:cs="Times New Roman"/>
          <w:color w:val="000000" w:themeColor="text1"/>
        </w:rPr>
        <w:t xml:space="preserve">more accurate </w:t>
      </w:r>
      <w:r w:rsidR="005F6943">
        <w:rPr>
          <w:rFonts w:ascii="Times New Roman" w:hAnsi="Times New Roman" w:cs="Times New Roman"/>
          <w:color w:val="000000" w:themeColor="text1"/>
        </w:rPr>
        <w:t xml:space="preserve">(reflecting the current cost of capital) </w:t>
      </w:r>
      <w:r w:rsidR="00B85614">
        <w:rPr>
          <w:rFonts w:ascii="Times New Roman" w:hAnsi="Times New Roman" w:cs="Times New Roman"/>
          <w:color w:val="000000" w:themeColor="text1"/>
        </w:rPr>
        <w:t>and lower</w:t>
      </w:r>
      <w:r w:rsidRPr="008E4F8C" w:rsidR="00B85614">
        <w:rPr>
          <w:rFonts w:ascii="Times New Roman" w:hAnsi="Times New Roman" w:cs="Times New Roman"/>
          <w:color w:val="000000" w:themeColor="text1"/>
        </w:rPr>
        <w:t xml:space="preserve"> </w:t>
      </w:r>
      <w:r w:rsidRPr="008E4F8C" w:rsidR="004D75FD">
        <w:rPr>
          <w:rFonts w:ascii="Times New Roman" w:hAnsi="Times New Roman" w:cs="Times New Roman"/>
          <w:color w:val="000000" w:themeColor="text1"/>
        </w:rPr>
        <w:t>price</w:t>
      </w:r>
      <w:r w:rsidRPr="008E4F8C">
        <w:rPr>
          <w:rFonts w:ascii="Times New Roman" w:hAnsi="Times New Roman" w:cs="Times New Roman"/>
          <w:color w:val="000000" w:themeColor="text1"/>
        </w:rPr>
        <w:t xml:space="preserve"> if the PUCO adopts OCC’s recommendation</w:t>
      </w:r>
      <w:r w:rsidR="004D75FD">
        <w:rPr>
          <w:rFonts w:ascii="Times New Roman" w:hAnsi="Times New Roman" w:cs="Times New Roman"/>
          <w:color w:val="000000" w:themeColor="text1"/>
        </w:rPr>
        <w:t xml:space="preserve"> to update Dominion’s rate of return. </w:t>
      </w:r>
    </w:p>
    <w:p w:rsidR="004D75FD" w:rsidP="005F5B2C" w14:paraId="2D9E2319" w14:textId="34B87C27">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Finally, Dominion’s prospective agreement to remove $100,145 of costs associated with two fitness centers</w:t>
      </w:r>
      <w:r w:rsidR="005F6943">
        <w:rPr>
          <w:rFonts w:ascii="Times New Roman" w:hAnsi="Times New Roman" w:cs="Times New Roman"/>
          <w:color w:val="000000" w:themeColor="text1"/>
        </w:rPr>
        <w:t xml:space="preserve"> should not be counted as a benefit as it merely reflects compliance with law.</w:t>
      </w:r>
      <w:r w:rsidR="00241E11">
        <w:rPr>
          <w:rFonts w:ascii="Times New Roman" w:hAnsi="Times New Roman" w:cs="Times New Roman"/>
          <w:color w:val="000000" w:themeColor="text1"/>
        </w:rPr>
        <w:t xml:space="preserve"> </w:t>
      </w:r>
      <w:r w:rsidRPr="008E4F8C">
        <w:rPr>
          <w:rFonts w:ascii="Times New Roman" w:hAnsi="Times New Roman" w:cs="Times New Roman"/>
          <w:color w:val="000000" w:themeColor="text1"/>
        </w:rPr>
        <w:t xml:space="preserve"> </w:t>
      </w:r>
      <w:r w:rsidR="005F6943">
        <w:rPr>
          <w:rFonts w:ascii="Times New Roman" w:hAnsi="Times New Roman" w:cs="Times New Roman"/>
          <w:color w:val="000000" w:themeColor="text1"/>
        </w:rPr>
        <w:t>re</w:t>
      </w:r>
      <w:r w:rsidRPr="008E4F8C">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0"/>
      </w:r>
      <w:r w:rsidRPr="008E4F8C">
        <w:rPr>
          <w:rFonts w:ascii="Times New Roman" w:hAnsi="Times New Roman" w:cs="Times New Roman"/>
          <w:color w:val="000000" w:themeColor="text1"/>
        </w:rPr>
        <w:t xml:space="preserve"> </w:t>
      </w:r>
      <w:r w:rsidR="00577D16">
        <w:rPr>
          <w:rFonts w:ascii="Times New Roman" w:hAnsi="Times New Roman" w:cs="Times New Roman"/>
          <w:color w:val="000000" w:themeColor="text1"/>
        </w:rPr>
        <w:t>As OCC expert witness Kerry Adkins testified fitness centers “are not related to Dominion’s obligation to provide natural gas service to consumers” and do not provide a direct and primary benefit to consumers in Dominion’s natural gas service area.”</w:t>
      </w:r>
      <w:r>
        <w:rPr>
          <w:rStyle w:val="FootnoteReference"/>
          <w:rFonts w:ascii="Times New Roman" w:hAnsi="Times New Roman" w:cs="Times New Roman"/>
          <w:color w:val="000000" w:themeColor="text1"/>
        </w:rPr>
        <w:footnoteReference w:id="11"/>
      </w:r>
      <w:r w:rsidR="00577D16">
        <w:rPr>
          <w:rFonts w:ascii="Times New Roman" w:hAnsi="Times New Roman" w:cs="Times New Roman"/>
          <w:color w:val="000000" w:themeColor="text1"/>
        </w:rPr>
        <w:t xml:space="preserve"> </w:t>
      </w:r>
      <w:r w:rsidRPr="008E4F8C">
        <w:rPr>
          <w:rFonts w:ascii="Times New Roman" w:hAnsi="Times New Roman" w:cs="Times New Roman"/>
          <w:color w:val="000000" w:themeColor="text1"/>
        </w:rPr>
        <w:t xml:space="preserve">Dominion is merely conceding something it should have never </w:t>
      </w:r>
      <w:r>
        <w:rPr>
          <w:rFonts w:ascii="Times New Roman" w:hAnsi="Times New Roman" w:cs="Times New Roman"/>
          <w:color w:val="000000" w:themeColor="text1"/>
        </w:rPr>
        <w:t>charged</w:t>
      </w:r>
      <w:r w:rsidRPr="008E4F8C">
        <w:rPr>
          <w:rFonts w:ascii="Times New Roman" w:hAnsi="Times New Roman" w:cs="Times New Roman"/>
          <w:color w:val="000000" w:themeColor="text1"/>
        </w:rPr>
        <w:t xml:space="preserve"> consumers</w:t>
      </w:r>
      <w:r>
        <w:rPr>
          <w:rFonts w:ascii="Times New Roman" w:hAnsi="Times New Roman" w:cs="Times New Roman"/>
          <w:color w:val="000000" w:themeColor="text1"/>
        </w:rPr>
        <w:t xml:space="preserve"> for</w:t>
      </w:r>
      <w:r w:rsidRPr="008E4F8C">
        <w:rPr>
          <w:rFonts w:ascii="Times New Roman" w:hAnsi="Times New Roman" w:cs="Times New Roman"/>
          <w:color w:val="000000" w:themeColor="text1"/>
        </w:rPr>
        <w:t xml:space="preserve"> in the first place. </w:t>
      </w:r>
    </w:p>
    <w:p w:rsidR="004D75FD" w:rsidP="005F5B2C" w14:paraId="151C5B60" w14:textId="014C9E3D">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Meanwhile, </w:t>
      </w:r>
      <w:r w:rsidRPr="008E4F8C" w:rsidR="00DF40CB">
        <w:rPr>
          <w:rFonts w:ascii="Times New Roman" w:hAnsi="Times New Roman" w:cs="Times New Roman"/>
          <w:color w:val="000000" w:themeColor="text1"/>
        </w:rPr>
        <w:t>Dominion made no concessions on the major point of contention in this case—its outdated and inflated rate of return</w:t>
      </w:r>
      <w:r>
        <w:rPr>
          <w:rFonts w:ascii="Times New Roman" w:hAnsi="Times New Roman" w:cs="Times New Roman"/>
          <w:color w:val="000000" w:themeColor="text1"/>
        </w:rPr>
        <w:t xml:space="preserve">. This </w:t>
      </w:r>
      <w:r w:rsidRPr="008E4F8C" w:rsidR="00DF40CB">
        <w:rPr>
          <w:rFonts w:ascii="Times New Roman" w:hAnsi="Times New Roman" w:cs="Times New Roman"/>
          <w:color w:val="000000" w:themeColor="text1"/>
        </w:rPr>
        <w:t xml:space="preserve">is where the real savings </w:t>
      </w:r>
      <w:r w:rsidR="005F6943">
        <w:rPr>
          <w:rFonts w:ascii="Times New Roman" w:hAnsi="Times New Roman" w:cs="Times New Roman"/>
          <w:color w:val="000000" w:themeColor="text1"/>
        </w:rPr>
        <w:t xml:space="preserve">for consumers </w:t>
      </w:r>
      <w:r w:rsidRPr="008E4F8C" w:rsidR="00DF40CB">
        <w:rPr>
          <w:rFonts w:ascii="Times New Roman" w:hAnsi="Times New Roman" w:cs="Times New Roman"/>
          <w:color w:val="000000" w:themeColor="text1"/>
        </w:rPr>
        <w:t xml:space="preserve">are. </w:t>
      </w:r>
      <w:r w:rsidR="00910DCC">
        <w:rPr>
          <w:rFonts w:ascii="Times New Roman" w:hAnsi="Times New Roman" w:cs="Times New Roman"/>
          <w:color w:val="000000" w:themeColor="text1"/>
        </w:rPr>
        <w:t>Dominion’s CEP inflicts</w:t>
      </w:r>
      <w:r w:rsidRPr="008E4F8C" w:rsidR="00DF40CB">
        <w:rPr>
          <w:rFonts w:ascii="Times New Roman" w:hAnsi="Times New Roman" w:cs="Times New Roman"/>
          <w:color w:val="000000" w:themeColor="text1"/>
        </w:rPr>
        <w:t xml:space="preserve"> harm </w:t>
      </w:r>
      <w:r w:rsidR="00910DCC">
        <w:rPr>
          <w:rFonts w:ascii="Times New Roman" w:hAnsi="Times New Roman" w:cs="Times New Roman"/>
          <w:color w:val="000000" w:themeColor="text1"/>
        </w:rPr>
        <w:t>on</w:t>
      </w:r>
      <w:r w:rsidRPr="008E4F8C" w:rsidR="00DF40CB">
        <w:rPr>
          <w:rFonts w:ascii="Times New Roman" w:hAnsi="Times New Roman" w:cs="Times New Roman"/>
          <w:color w:val="000000" w:themeColor="text1"/>
        </w:rPr>
        <w:t xml:space="preserve"> consumers </w:t>
      </w:r>
      <w:r w:rsidR="00910DCC">
        <w:rPr>
          <w:rFonts w:ascii="Times New Roman" w:hAnsi="Times New Roman" w:cs="Times New Roman"/>
          <w:color w:val="000000" w:themeColor="text1"/>
        </w:rPr>
        <w:t>that is</w:t>
      </w:r>
      <w:r w:rsidRPr="008E4F8C" w:rsidR="00DF40CB">
        <w:rPr>
          <w:rFonts w:ascii="Times New Roman" w:hAnsi="Times New Roman" w:cs="Times New Roman"/>
          <w:color w:val="000000" w:themeColor="text1"/>
        </w:rPr>
        <w:t xml:space="preserve"> substantially greater than </w:t>
      </w:r>
      <w:r w:rsidR="00910DCC">
        <w:rPr>
          <w:rFonts w:ascii="Times New Roman" w:hAnsi="Times New Roman" w:cs="Times New Roman"/>
          <w:color w:val="000000" w:themeColor="text1"/>
        </w:rPr>
        <w:t>its</w:t>
      </w:r>
      <w:r w:rsidRPr="008E4F8C" w:rsidR="00DF40CB">
        <w:rPr>
          <w:rFonts w:ascii="Times New Roman" w:hAnsi="Times New Roman" w:cs="Times New Roman"/>
          <w:color w:val="000000" w:themeColor="text1"/>
        </w:rPr>
        <w:t xml:space="preserve"> trivial “concessions.</w:t>
      </w:r>
      <w:r w:rsidR="00910DCC">
        <w:rPr>
          <w:rFonts w:ascii="Times New Roman" w:hAnsi="Times New Roman" w:cs="Times New Roman"/>
          <w:color w:val="000000" w:themeColor="text1"/>
        </w:rPr>
        <w:t>”</w:t>
      </w:r>
      <w:r w:rsidRPr="008E4F8C" w:rsidR="00DF40CB">
        <w:rPr>
          <w:rFonts w:ascii="Times New Roman" w:hAnsi="Times New Roman" w:cs="Times New Roman"/>
          <w:color w:val="000000" w:themeColor="text1"/>
        </w:rPr>
        <w:t xml:space="preserve"> </w:t>
      </w:r>
    </w:p>
    <w:p w:rsidR="001443E9" w:rsidP="005F5B2C" w14:paraId="14209449" w14:textId="76B12F26">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Dominion’s proposed rate is unjust and unreasonable</w:t>
      </w:r>
      <w:r w:rsidR="00241E11">
        <w:rPr>
          <w:rFonts w:ascii="Times New Roman" w:hAnsi="Times New Roman" w:cs="Times New Roman"/>
          <w:color w:val="000000" w:themeColor="text1"/>
        </w:rPr>
        <w:t xml:space="preserve"> </w:t>
      </w:r>
      <w:r w:rsidRPr="008E4F8C">
        <w:rPr>
          <w:rFonts w:ascii="Times New Roman" w:hAnsi="Times New Roman" w:cs="Times New Roman"/>
          <w:color w:val="000000" w:themeColor="text1"/>
        </w:rPr>
        <w:t>for two reasons. First, Dominion’s proposed pre-tax rate of return requires consumers to pay substantially more</w:t>
      </w:r>
      <w:r w:rsidR="00577DA2">
        <w:rPr>
          <w:rFonts w:ascii="Times New Roman" w:hAnsi="Times New Roman" w:cs="Times New Roman"/>
          <w:color w:val="000000" w:themeColor="text1"/>
        </w:rPr>
        <w:t xml:space="preserve"> than </w:t>
      </w:r>
      <w:r w:rsidR="003E6822">
        <w:rPr>
          <w:rFonts w:ascii="Times New Roman" w:hAnsi="Times New Roman" w:cs="Times New Roman"/>
          <w:color w:val="000000" w:themeColor="text1"/>
        </w:rPr>
        <w:t xml:space="preserve">the current cost of capital, upon which rates to consumers should be </w:t>
      </w:r>
      <w:r w:rsidR="00241E11">
        <w:rPr>
          <w:rFonts w:ascii="Times New Roman" w:hAnsi="Times New Roman" w:cs="Times New Roman"/>
          <w:color w:val="000000" w:themeColor="text1"/>
        </w:rPr>
        <w:t>based.</w:t>
      </w:r>
      <w:r w:rsidRPr="008E4F8C">
        <w:rPr>
          <w:rFonts w:ascii="Times New Roman" w:hAnsi="Times New Roman" w:cs="Times New Roman"/>
          <w:color w:val="000000" w:themeColor="text1"/>
        </w:rPr>
        <w:t xml:space="preserve"> Compared to Dr. Duann’s recommended pretax rate of return of 7.</w:t>
      </w:r>
      <w:r>
        <w:rPr>
          <w:rFonts w:ascii="Times New Roman" w:hAnsi="Times New Roman" w:cs="Times New Roman"/>
          <w:color w:val="000000" w:themeColor="text1"/>
        </w:rPr>
        <w:t>03</w:t>
      </w:r>
      <w:r w:rsidRPr="008E4F8C">
        <w:rPr>
          <w:rFonts w:ascii="Times New Roman" w:hAnsi="Times New Roman" w:cs="Times New Roman"/>
          <w:color w:val="000000" w:themeColor="text1"/>
        </w:rPr>
        <w:t>%, adopting the 9.91% pre-tax rate of return would increase CEP charges to consumers by approximately $21.4 million ($21,375,399) for the twelve-month period under review in this case.</w:t>
      </w:r>
      <w:r>
        <w:rPr>
          <w:rStyle w:val="FootnoteReference"/>
          <w:rFonts w:ascii="Times New Roman" w:hAnsi="Times New Roman" w:cs="Times New Roman"/>
          <w:color w:val="000000" w:themeColor="text1"/>
        </w:rPr>
        <w:footnoteReference w:id="12"/>
      </w:r>
      <w:r w:rsidRPr="008E4F8C">
        <w:rPr>
          <w:rFonts w:ascii="Times New Roman" w:hAnsi="Times New Roman" w:cs="Times New Roman"/>
          <w:color w:val="000000" w:themeColor="text1"/>
        </w:rPr>
        <w:t xml:space="preserve"> </w:t>
      </w:r>
      <w:r w:rsidR="00577DA2">
        <w:rPr>
          <w:rFonts w:ascii="Times New Roman" w:hAnsi="Times New Roman" w:cs="Times New Roman"/>
          <w:color w:val="000000" w:themeColor="text1"/>
        </w:rPr>
        <w:t xml:space="preserve">That is a substantial burden on Ohio consumers. </w:t>
      </w:r>
    </w:p>
    <w:p w:rsidR="00D52932" w:rsidP="005F5B2C" w14:paraId="5E701551" w14:textId="21313CF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Second, this </w:t>
      </w:r>
      <w:r w:rsidR="005C60CB">
        <w:rPr>
          <w:rFonts w:ascii="Times New Roman" w:hAnsi="Times New Roman" w:cs="Times New Roman"/>
          <w:color w:val="000000" w:themeColor="text1"/>
        </w:rPr>
        <w:t>rate hike</w:t>
      </w:r>
      <w:r>
        <w:rPr>
          <w:rFonts w:ascii="Times New Roman" w:hAnsi="Times New Roman" w:cs="Times New Roman"/>
          <w:color w:val="000000" w:themeColor="text1"/>
        </w:rPr>
        <w:t xml:space="preserve"> is unwarranted. F</w:t>
      </w:r>
      <w:r w:rsidRPr="008E4F8C" w:rsidR="003111C2">
        <w:rPr>
          <w:rFonts w:ascii="Times New Roman" w:hAnsi="Times New Roman" w:cs="Times New Roman"/>
          <w:color w:val="000000" w:themeColor="text1"/>
        </w:rPr>
        <w:t xml:space="preserve">inancial market conditions and the business and financial risks facing Dominion have improved significantly since </w:t>
      </w:r>
      <w:r>
        <w:rPr>
          <w:rFonts w:ascii="Times New Roman" w:hAnsi="Times New Roman" w:cs="Times New Roman"/>
          <w:color w:val="000000" w:themeColor="text1"/>
        </w:rPr>
        <w:t>its last rate case</w:t>
      </w:r>
      <w:r w:rsidR="00577D16">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3"/>
      </w:r>
      <w:r w:rsidRPr="008E4F8C" w:rsidR="003111C2">
        <w:rPr>
          <w:rFonts w:ascii="Times New Roman" w:hAnsi="Times New Roman" w:cs="Times New Roman"/>
          <w:color w:val="000000" w:themeColor="text1"/>
          <w:position w:val="10"/>
        </w:rPr>
        <w:t xml:space="preserve"> </w:t>
      </w:r>
      <w:r>
        <w:rPr>
          <w:rFonts w:ascii="Times New Roman" w:hAnsi="Times New Roman" w:cs="Times New Roman"/>
          <w:color w:val="000000" w:themeColor="text1"/>
        </w:rPr>
        <w:t>There has been “significant decline in the cost of debt and cost of equity since 2008.”</w:t>
      </w:r>
      <w:r>
        <w:rPr>
          <w:rStyle w:val="FootnoteReference"/>
          <w:rFonts w:ascii="Times New Roman" w:hAnsi="Times New Roman" w:cs="Times New Roman"/>
          <w:color w:val="000000" w:themeColor="text1"/>
        </w:rPr>
        <w:footnoteReference w:id="14"/>
      </w:r>
      <w:r>
        <w:rPr>
          <w:rFonts w:ascii="Times New Roman" w:hAnsi="Times New Roman" w:cs="Times New Roman"/>
          <w:color w:val="000000" w:themeColor="text1"/>
        </w:rPr>
        <w:t xml:space="preserve"> As a result,</w:t>
      </w:r>
      <w:r w:rsidRPr="008E4F8C" w:rsidR="003111C2">
        <w:rPr>
          <w:rFonts w:ascii="Times New Roman" w:hAnsi="Times New Roman" w:cs="Times New Roman"/>
          <w:color w:val="000000" w:themeColor="text1"/>
        </w:rPr>
        <w:t xml:space="preserve"> Dominion’s current cost of debt is </w:t>
      </w:r>
      <w:r w:rsidR="005C60CB">
        <w:rPr>
          <w:rFonts w:ascii="Times New Roman" w:hAnsi="Times New Roman" w:cs="Times New Roman"/>
          <w:color w:val="000000" w:themeColor="text1"/>
        </w:rPr>
        <w:t xml:space="preserve">just </w:t>
      </w:r>
      <w:r w:rsidRPr="008E4F8C" w:rsidR="003111C2">
        <w:rPr>
          <w:rFonts w:ascii="Times New Roman" w:hAnsi="Times New Roman" w:cs="Times New Roman"/>
          <w:color w:val="000000" w:themeColor="text1"/>
        </w:rPr>
        <w:t xml:space="preserve">2.29%--merely a third of the </w:t>
      </w:r>
      <w:r w:rsidR="00656E59">
        <w:rPr>
          <w:rFonts w:ascii="Times New Roman" w:hAnsi="Times New Roman" w:cs="Times New Roman"/>
          <w:color w:val="000000" w:themeColor="text1"/>
        </w:rPr>
        <w:t xml:space="preserve">6.5% </w:t>
      </w:r>
      <w:r w:rsidRPr="008E4F8C" w:rsidR="003111C2">
        <w:rPr>
          <w:rFonts w:ascii="Times New Roman" w:hAnsi="Times New Roman" w:cs="Times New Roman"/>
          <w:color w:val="000000" w:themeColor="text1"/>
        </w:rPr>
        <w:t>debt rate that Dominion wants to charge consumers</w:t>
      </w:r>
      <w:r w:rsidR="005C60CB">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5"/>
      </w:r>
      <w:r w:rsidRPr="008E4F8C" w:rsidR="003111C2">
        <w:rPr>
          <w:rFonts w:ascii="Times New Roman" w:hAnsi="Times New Roman" w:cs="Times New Roman"/>
          <w:color w:val="000000" w:themeColor="text1"/>
          <w:position w:val="10"/>
        </w:rPr>
        <w:t xml:space="preserve"> </w:t>
      </w:r>
      <w:r w:rsidR="00460E84">
        <w:rPr>
          <w:rFonts w:ascii="Times New Roman" w:hAnsi="Times New Roman" w:cs="Times New Roman"/>
          <w:color w:val="000000" w:themeColor="text1"/>
        </w:rPr>
        <w:t>Further, D</w:t>
      </w:r>
      <w:r w:rsidR="003111C2">
        <w:rPr>
          <w:rFonts w:ascii="Times New Roman" w:hAnsi="Times New Roman" w:cs="Times New Roman"/>
          <w:color w:val="000000" w:themeColor="text1"/>
        </w:rPr>
        <w:t xml:space="preserve">ominion’s CEP </w:t>
      </w:r>
      <w:r w:rsidRPr="008E4F8C" w:rsidR="003111C2">
        <w:rPr>
          <w:rFonts w:ascii="Times New Roman" w:hAnsi="Times New Roman" w:cs="Times New Roman"/>
          <w:color w:val="000000" w:themeColor="text1"/>
        </w:rPr>
        <w:t>uses a 10.38% return on equity that far exceeds the recent trend in lower equity returns for gas utilities comparable to Dominion.</w:t>
      </w:r>
      <w:r>
        <w:rPr>
          <w:rStyle w:val="FootnoteReference"/>
          <w:rFonts w:ascii="Times New Roman" w:hAnsi="Times New Roman" w:cs="Times New Roman"/>
          <w:color w:val="000000" w:themeColor="text1"/>
        </w:rPr>
        <w:footnoteReference w:id="16"/>
      </w:r>
      <w:r w:rsidRPr="008E4F8C" w:rsidR="003111C2">
        <w:rPr>
          <w:rFonts w:ascii="Times New Roman" w:hAnsi="Times New Roman" w:cs="Times New Roman"/>
          <w:color w:val="000000" w:themeColor="text1"/>
        </w:rPr>
        <w:t xml:space="preserve"> Consumers get </w:t>
      </w:r>
      <w:r w:rsidR="007B62F7">
        <w:rPr>
          <w:rFonts w:ascii="Times New Roman" w:hAnsi="Times New Roman" w:cs="Times New Roman"/>
          <w:color w:val="000000" w:themeColor="text1"/>
        </w:rPr>
        <w:t>no benefit</w:t>
      </w:r>
      <w:r w:rsidRPr="008E4F8C" w:rsidR="003111C2">
        <w:rPr>
          <w:rFonts w:ascii="Times New Roman" w:hAnsi="Times New Roman" w:cs="Times New Roman"/>
          <w:color w:val="000000" w:themeColor="text1"/>
        </w:rPr>
        <w:t xml:space="preserve"> in exchange for their extra dollars. Dominion shareholders get an undeserved windfall</w:t>
      </w:r>
      <w:r w:rsidR="007B62F7">
        <w:rPr>
          <w:rFonts w:ascii="Times New Roman" w:hAnsi="Times New Roman" w:cs="Times New Roman"/>
          <w:color w:val="000000" w:themeColor="text1"/>
        </w:rPr>
        <w:t xml:space="preserve">; </w:t>
      </w:r>
      <w:r w:rsidRPr="008E4F8C" w:rsidR="003111C2">
        <w:rPr>
          <w:rFonts w:ascii="Times New Roman" w:hAnsi="Times New Roman" w:cs="Times New Roman"/>
          <w:color w:val="000000" w:themeColor="text1"/>
        </w:rPr>
        <w:t xml:space="preserve">all consumers get is a higher bill. </w:t>
      </w:r>
    </w:p>
    <w:p w:rsidR="00245042" w:rsidRPr="008E4F8C" w:rsidP="005F5B2C" w14:paraId="61A118E5" w14:textId="5139517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Neither</w:t>
      </w:r>
      <w:r w:rsidRPr="008E4F8C" w:rsidR="002A1942">
        <w:rPr>
          <w:rFonts w:ascii="Times New Roman" w:hAnsi="Times New Roman" w:cs="Times New Roman"/>
          <w:color w:val="000000" w:themeColor="text1"/>
        </w:rPr>
        <w:t xml:space="preserve"> the PUCO Staff nor Dominion dispute</w:t>
      </w:r>
      <w:r w:rsidRPr="008E4F8C" w:rsidR="004E79E1">
        <w:rPr>
          <w:rFonts w:ascii="Times New Roman" w:hAnsi="Times New Roman" w:cs="Times New Roman"/>
          <w:color w:val="000000" w:themeColor="text1"/>
        </w:rPr>
        <w:t>d</w:t>
      </w:r>
      <w:r w:rsidRPr="008E4F8C" w:rsidR="002A1942">
        <w:rPr>
          <w:rFonts w:ascii="Times New Roman" w:hAnsi="Times New Roman" w:cs="Times New Roman"/>
          <w:color w:val="000000" w:themeColor="text1"/>
        </w:rPr>
        <w:t xml:space="preserve"> that Dominion’s CEP rate of return includes the 6.5% debt rate, even though its actual debt rate is 2.29%. Neither do they dispute that its current </w:t>
      </w:r>
      <w:r w:rsidR="00460E84">
        <w:rPr>
          <w:rFonts w:ascii="Times New Roman" w:hAnsi="Times New Roman" w:cs="Times New Roman"/>
          <w:color w:val="000000" w:themeColor="text1"/>
        </w:rPr>
        <w:t xml:space="preserve">10.38% </w:t>
      </w:r>
      <w:r w:rsidRPr="008E4F8C" w:rsidR="002A1942">
        <w:rPr>
          <w:rFonts w:ascii="Times New Roman" w:hAnsi="Times New Roman" w:cs="Times New Roman"/>
          <w:color w:val="000000" w:themeColor="text1"/>
        </w:rPr>
        <w:t>return on equity no longer reflects Dominion’s current business climate or risk.</w:t>
      </w:r>
      <w:r w:rsidRPr="008E4F8C" w:rsidR="002A1942">
        <w:rPr>
          <w:rFonts w:ascii="Times New Roman" w:hAnsi="Times New Roman" w:cs="Times New Roman"/>
          <w:color w:val="000000" w:themeColor="text1"/>
          <w:position w:val="10"/>
        </w:rPr>
        <w:t xml:space="preserve"> </w:t>
      </w:r>
      <w:r w:rsidRPr="008E4F8C" w:rsidR="002A1942">
        <w:rPr>
          <w:rFonts w:ascii="Times New Roman" w:hAnsi="Times New Roman" w:cs="Times New Roman"/>
          <w:color w:val="000000" w:themeColor="text1"/>
        </w:rPr>
        <w:t>Dr. Duann demonstrated—without challenge—that Dominion’s updated rate of return should not exceed 7.</w:t>
      </w:r>
      <w:r w:rsidRPr="008E4F8C" w:rsidR="007C2145">
        <w:rPr>
          <w:rFonts w:ascii="Times New Roman" w:hAnsi="Times New Roman" w:cs="Times New Roman"/>
          <w:color w:val="000000" w:themeColor="text1"/>
        </w:rPr>
        <w:t>03</w:t>
      </w:r>
      <w:r w:rsidRPr="008E4F8C" w:rsidR="002A1942">
        <w:rPr>
          <w:rFonts w:ascii="Times New Roman" w:hAnsi="Times New Roman" w:cs="Times New Roman"/>
          <w:color w:val="000000" w:themeColor="text1"/>
        </w:rPr>
        <w:t>%</w:t>
      </w:r>
      <w:r w:rsidR="00656E59">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7"/>
      </w:r>
      <w:r w:rsidRPr="008E4F8C" w:rsidR="002A1942">
        <w:rPr>
          <w:rFonts w:ascii="Times New Roman" w:hAnsi="Times New Roman" w:cs="Times New Roman"/>
          <w:color w:val="000000" w:themeColor="text1"/>
          <w:position w:val="10"/>
        </w:rPr>
        <w:t xml:space="preserve"> </w:t>
      </w:r>
      <w:r w:rsidRPr="008E4F8C" w:rsidR="002A1942">
        <w:rPr>
          <w:rFonts w:ascii="Times New Roman" w:hAnsi="Times New Roman" w:cs="Times New Roman"/>
          <w:color w:val="000000" w:themeColor="text1"/>
        </w:rPr>
        <w:t xml:space="preserve">It is neither just nor reasonable for Dominion to </w:t>
      </w:r>
      <w:r w:rsidR="00577DA2">
        <w:rPr>
          <w:rFonts w:ascii="Times New Roman" w:hAnsi="Times New Roman" w:cs="Times New Roman"/>
          <w:color w:val="000000" w:themeColor="text1"/>
        </w:rPr>
        <w:t>charge consumers a higher rate set 13 years ago.</w:t>
      </w:r>
      <w:r w:rsidR="00E96588">
        <w:rPr>
          <w:rFonts w:ascii="Times New Roman" w:hAnsi="Times New Roman" w:cs="Times New Roman"/>
          <w:color w:val="000000" w:themeColor="text1"/>
        </w:rPr>
        <w:t xml:space="preserve"> </w:t>
      </w:r>
    </w:p>
    <w:p w:rsidR="00482514" w:rsidRPr="008E4F8C" w:rsidP="005F5B2C" w14:paraId="13C6C4E0" w14:textId="440D0477">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 xml:space="preserve">The PUCO should reject or modify the </w:t>
      </w:r>
      <w:r w:rsidRPr="008E4F8C" w:rsidR="00245042">
        <w:rPr>
          <w:rFonts w:ascii="Times New Roman" w:hAnsi="Times New Roman" w:cs="Times New Roman"/>
          <w:color w:val="000000" w:themeColor="text1"/>
        </w:rPr>
        <w:t xml:space="preserve">CEP – as recommended </w:t>
      </w:r>
      <w:r w:rsidRPr="008E4F8C">
        <w:rPr>
          <w:rFonts w:ascii="Times New Roman" w:hAnsi="Times New Roman" w:cs="Times New Roman"/>
          <w:color w:val="000000" w:themeColor="text1"/>
        </w:rPr>
        <w:t>by OCC—to protect consumers against overpaying</w:t>
      </w:r>
      <w:r w:rsidR="009524E2">
        <w:rPr>
          <w:rFonts w:ascii="Times New Roman" w:hAnsi="Times New Roman" w:cs="Times New Roman"/>
          <w:color w:val="000000" w:themeColor="text1"/>
        </w:rPr>
        <w:t xml:space="preserve"> to increase Dominion’s profits</w:t>
      </w:r>
      <w:r w:rsidRPr="008E4F8C">
        <w:rPr>
          <w:rFonts w:ascii="Times New Roman" w:hAnsi="Times New Roman" w:cs="Times New Roman"/>
          <w:color w:val="000000" w:themeColor="text1"/>
        </w:rPr>
        <w:t>.</w:t>
      </w:r>
    </w:p>
    <w:p w:rsidR="00482514" w:rsidP="005F5B2C" w14:paraId="5E16CF7E" w14:textId="55AD5F01">
      <w:pPr>
        <w:pStyle w:val="ListParagraph"/>
        <w:numPr>
          <w:ilvl w:val="0"/>
          <w:numId w:val="3"/>
        </w:numPr>
        <w:ind w:left="1440" w:hanging="720"/>
        <w:rPr>
          <w:rFonts w:ascii="Times New Roman" w:hAnsi="Times New Roman" w:cs="Times New Roman"/>
          <w:b/>
          <w:bCs/>
          <w:color w:val="000000" w:themeColor="text1"/>
        </w:rPr>
      </w:pPr>
      <w:r>
        <w:rPr>
          <w:rFonts w:ascii="Times New Roman" w:hAnsi="Times New Roman" w:cs="Times New Roman"/>
          <w:b/>
          <w:bCs/>
          <w:color w:val="000000" w:themeColor="text1"/>
        </w:rPr>
        <w:t>The</w:t>
      </w:r>
      <w:r w:rsidRPr="008E4F8C" w:rsidR="00AF3A27">
        <w:rPr>
          <w:rFonts w:ascii="Times New Roman" w:hAnsi="Times New Roman" w:cs="Times New Roman"/>
          <w:b/>
          <w:bCs/>
          <w:color w:val="000000" w:themeColor="text1"/>
        </w:rPr>
        <w:t xml:space="preserve"> C</w:t>
      </w:r>
      <w:r w:rsidR="00B71A69">
        <w:rPr>
          <w:rFonts w:ascii="Times New Roman" w:hAnsi="Times New Roman" w:cs="Times New Roman"/>
          <w:b/>
          <w:bCs/>
          <w:color w:val="000000" w:themeColor="text1"/>
        </w:rPr>
        <w:t xml:space="preserve">apital </w:t>
      </w:r>
      <w:r w:rsidRPr="008E4F8C" w:rsidR="00AF3A27">
        <w:rPr>
          <w:rFonts w:ascii="Times New Roman" w:hAnsi="Times New Roman" w:cs="Times New Roman"/>
          <w:b/>
          <w:bCs/>
          <w:color w:val="000000" w:themeColor="text1"/>
        </w:rPr>
        <w:t>E</w:t>
      </w:r>
      <w:r w:rsidR="00B71A69">
        <w:rPr>
          <w:rFonts w:ascii="Times New Roman" w:hAnsi="Times New Roman" w:cs="Times New Roman"/>
          <w:b/>
          <w:bCs/>
          <w:color w:val="000000" w:themeColor="text1"/>
        </w:rPr>
        <w:t xml:space="preserve">xpenditure </w:t>
      </w:r>
      <w:r w:rsidRPr="008E4F8C" w:rsidR="00AF3A27">
        <w:rPr>
          <w:rFonts w:ascii="Times New Roman" w:hAnsi="Times New Roman" w:cs="Times New Roman"/>
          <w:b/>
          <w:bCs/>
          <w:color w:val="000000" w:themeColor="text1"/>
        </w:rPr>
        <w:t>P</w:t>
      </w:r>
      <w:r w:rsidR="00B71A69">
        <w:rPr>
          <w:rFonts w:ascii="Times New Roman" w:hAnsi="Times New Roman" w:cs="Times New Roman"/>
          <w:b/>
          <w:bCs/>
          <w:color w:val="000000" w:themeColor="text1"/>
        </w:rPr>
        <w:t>rogram</w:t>
      </w:r>
      <w:r w:rsidR="0096796B">
        <w:rPr>
          <w:rFonts w:ascii="Times New Roman" w:hAnsi="Times New Roman" w:cs="Times New Roman"/>
          <w:b/>
          <w:bCs/>
          <w:color w:val="000000" w:themeColor="text1"/>
        </w:rPr>
        <w:t xml:space="preserve"> Rider charge</w:t>
      </w:r>
      <w:r w:rsidRPr="008E4F8C" w:rsidR="00AF3A27">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contradicts</w:t>
      </w:r>
      <w:r w:rsidR="008E4F8C">
        <w:rPr>
          <w:rFonts w:ascii="Times New Roman" w:hAnsi="Times New Roman" w:cs="Times New Roman"/>
          <w:b/>
          <w:bCs/>
          <w:color w:val="000000" w:themeColor="text1"/>
        </w:rPr>
        <w:t xml:space="preserve"> still-valid PUCO precedent prohibiting use of rates that are more than three years old</w:t>
      </w:r>
      <w:r>
        <w:rPr>
          <w:rFonts w:ascii="Times New Roman" w:hAnsi="Times New Roman" w:cs="Times New Roman"/>
          <w:b/>
          <w:bCs/>
          <w:color w:val="000000" w:themeColor="text1"/>
        </w:rPr>
        <w:t xml:space="preserve">. </w:t>
      </w:r>
    </w:p>
    <w:p w:rsidR="008E4F8C" w:rsidRPr="008E4F8C" w:rsidP="008E4F8C" w14:paraId="419A461D" w14:textId="77777777">
      <w:pPr>
        <w:pStyle w:val="ListParagraph"/>
        <w:rPr>
          <w:rFonts w:ascii="Times New Roman" w:hAnsi="Times New Roman" w:cs="Times New Roman"/>
          <w:b/>
          <w:bCs/>
          <w:color w:val="000000" w:themeColor="text1"/>
        </w:rPr>
      </w:pPr>
    </w:p>
    <w:p w:rsidR="00E31D99" w:rsidRPr="008E4F8C" w:rsidP="005F5B2C" w14:paraId="78A8BA51" w14:textId="6B2827B4">
      <w:pPr>
        <w:tabs>
          <w:tab w:val="left" w:pos="720"/>
        </w:tabs>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Dominion</w:t>
      </w:r>
      <w:r w:rsidRPr="008E4F8C" w:rsidR="00D0260F">
        <w:rPr>
          <w:rFonts w:ascii="Times New Roman" w:hAnsi="Times New Roman" w:cs="Times New Roman"/>
          <w:color w:val="000000" w:themeColor="text1"/>
        </w:rPr>
        <w:t xml:space="preserve"> claims that </w:t>
      </w:r>
      <w:r w:rsidRPr="008E4F8C" w:rsidR="0078344C">
        <w:rPr>
          <w:rFonts w:ascii="Times New Roman" w:hAnsi="Times New Roman" w:cs="Times New Roman"/>
          <w:color w:val="000000" w:themeColor="text1"/>
        </w:rPr>
        <w:t>public policy demands the PUCO use</w:t>
      </w:r>
      <w:r w:rsidRPr="008E4F8C" w:rsidR="00D0260F">
        <w:rPr>
          <w:rFonts w:ascii="Times New Roman" w:hAnsi="Times New Roman" w:cs="Times New Roman"/>
          <w:color w:val="000000" w:themeColor="text1"/>
        </w:rPr>
        <w:t xml:space="preserve"> its last base rate case rate of return in its CEP.</w:t>
      </w:r>
      <w:r>
        <w:rPr>
          <w:rStyle w:val="FootnoteReference"/>
          <w:rFonts w:ascii="Times New Roman" w:hAnsi="Times New Roman" w:cs="Times New Roman"/>
          <w:color w:val="000000" w:themeColor="text1"/>
        </w:rPr>
        <w:footnoteReference w:id="18"/>
      </w:r>
      <w:r w:rsidRPr="008E4F8C" w:rsidR="00D0260F">
        <w:rPr>
          <w:rFonts w:ascii="Times New Roman" w:hAnsi="Times New Roman" w:cs="Times New Roman"/>
          <w:color w:val="000000" w:themeColor="text1"/>
        </w:rPr>
        <w:t xml:space="preserve"> Dominion argues that </w:t>
      </w:r>
      <w:r w:rsidRPr="008E4F8C" w:rsidR="004E50C5">
        <w:rPr>
          <w:rFonts w:ascii="Times New Roman" w:hAnsi="Times New Roman" w:cs="Times New Roman"/>
          <w:color w:val="000000" w:themeColor="text1"/>
        </w:rPr>
        <w:t>lowering</w:t>
      </w:r>
      <w:r w:rsidRPr="008E4F8C" w:rsidR="00D0260F">
        <w:rPr>
          <w:rFonts w:ascii="Times New Roman" w:hAnsi="Times New Roman" w:cs="Times New Roman"/>
          <w:color w:val="000000" w:themeColor="text1"/>
        </w:rPr>
        <w:t xml:space="preserve"> its long-term debt rate</w:t>
      </w:r>
      <w:r w:rsidRPr="008E4F8C" w:rsidR="004E50C5">
        <w:rPr>
          <w:rFonts w:ascii="Times New Roman" w:hAnsi="Times New Roman" w:cs="Times New Roman"/>
          <w:color w:val="000000" w:themeColor="text1"/>
        </w:rPr>
        <w:t xml:space="preserve"> </w:t>
      </w:r>
      <w:r w:rsidRPr="008E4F8C" w:rsidR="00B47C60">
        <w:rPr>
          <w:rFonts w:ascii="Times New Roman" w:hAnsi="Times New Roman" w:cs="Times New Roman"/>
          <w:color w:val="000000" w:themeColor="text1"/>
        </w:rPr>
        <w:t xml:space="preserve">without </w:t>
      </w:r>
      <w:r w:rsidRPr="008E4F8C" w:rsidR="00882764">
        <w:rPr>
          <w:rFonts w:ascii="Times New Roman" w:hAnsi="Times New Roman" w:cs="Times New Roman"/>
          <w:color w:val="000000" w:themeColor="text1"/>
        </w:rPr>
        <w:t>updating</w:t>
      </w:r>
      <w:r w:rsidRPr="008E4F8C" w:rsidR="00B47C60">
        <w:rPr>
          <w:rFonts w:ascii="Times New Roman" w:hAnsi="Times New Roman" w:cs="Times New Roman"/>
          <w:color w:val="000000" w:themeColor="text1"/>
        </w:rPr>
        <w:t xml:space="preserve"> other cost of capital components </w:t>
      </w:r>
      <w:r w:rsidRPr="008E4F8C" w:rsidR="00D0260F">
        <w:rPr>
          <w:rFonts w:ascii="Times New Roman" w:hAnsi="Times New Roman" w:cs="Times New Roman"/>
          <w:color w:val="000000" w:themeColor="text1"/>
        </w:rPr>
        <w:t xml:space="preserve">would ignore </w:t>
      </w:r>
      <w:r w:rsidRPr="008E4F8C" w:rsidR="00B47C60">
        <w:rPr>
          <w:rFonts w:ascii="Times New Roman" w:hAnsi="Times New Roman" w:cs="Times New Roman"/>
          <w:color w:val="000000" w:themeColor="text1"/>
        </w:rPr>
        <w:t>potential cost i</w:t>
      </w:r>
      <w:r w:rsidRPr="008E4F8C" w:rsidR="00882764">
        <w:rPr>
          <w:rFonts w:ascii="Times New Roman" w:hAnsi="Times New Roman" w:cs="Times New Roman"/>
          <w:color w:val="000000" w:themeColor="text1"/>
        </w:rPr>
        <w:t>ncreases it incurred</w:t>
      </w:r>
      <w:r w:rsidRPr="008E4F8C" w:rsidR="007506A6">
        <w:rPr>
          <w:rFonts w:ascii="Times New Roman" w:hAnsi="Times New Roman" w:cs="Times New Roman"/>
          <w:color w:val="000000" w:themeColor="text1"/>
        </w:rPr>
        <w:t xml:space="preserve"> since its last base rate case</w:t>
      </w:r>
      <w:r w:rsidRPr="008E4F8C" w:rsidR="00B47C60">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9"/>
      </w:r>
      <w:r w:rsidRPr="008E4F8C" w:rsidR="00B47C60">
        <w:rPr>
          <w:rFonts w:ascii="Times New Roman" w:hAnsi="Times New Roman" w:cs="Times New Roman"/>
          <w:color w:val="000000" w:themeColor="text1"/>
        </w:rPr>
        <w:t xml:space="preserve"> This emphasizes, rather than undermines, the </w:t>
      </w:r>
      <w:r w:rsidRPr="008E4F8C" w:rsidR="00882764">
        <w:rPr>
          <w:rFonts w:ascii="Times New Roman" w:hAnsi="Times New Roman" w:cs="Times New Roman"/>
          <w:color w:val="000000" w:themeColor="text1"/>
        </w:rPr>
        <w:t>need for updated</w:t>
      </w:r>
      <w:r w:rsidRPr="008E4F8C" w:rsidR="00B47C60">
        <w:rPr>
          <w:rFonts w:ascii="Times New Roman" w:hAnsi="Times New Roman" w:cs="Times New Roman"/>
          <w:color w:val="000000" w:themeColor="text1"/>
        </w:rPr>
        <w:t xml:space="preserve"> rates. </w:t>
      </w:r>
      <w:r w:rsidRPr="008E4F8C" w:rsidR="007506A6">
        <w:rPr>
          <w:rFonts w:ascii="Times New Roman" w:hAnsi="Times New Roman" w:cs="Times New Roman"/>
          <w:color w:val="000000" w:themeColor="text1"/>
        </w:rPr>
        <w:t>Relying on outdated base rate cases requires the PUCO to ignore changed circumstances. As usual, consumers are stuck with the bill.</w:t>
      </w:r>
      <w:r w:rsidR="00241E11">
        <w:rPr>
          <w:rFonts w:ascii="Times New Roman" w:hAnsi="Times New Roman" w:cs="Times New Roman"/>
          <w:color w:val="000000" w:themeColor="text1"/>
        </w:rPr>
        <w:t xml:space="preserve"> </w:t>
      </w:r>
    </w:p>
    <w:p w:rsidR="00482514" w:rsidRPr="008E4F8C" w:rsidP="005F5B2C" w14:paraId="48AAE498" w14:textId="6C2692D5">
      <w:pPr>
        <w:spacing w:line="480" w:lineRule="auto"/>
        <w:ind w:firstLine="720"/>
        <w:rPr>
          <w:rFonts w:ascii="Times New Roman" w:hAnsi="Times New Roman" w:cs="Times New Roman"/>
          <w:color w:val="000000" w:themeColor="text1"/>
        </w:rPr>
      </w:pPr>
      <w:r w:rsidRPr="008E4F8C">
        <w:rPr>
          <w:rFonts w:ascii="Times New Roman" w:hAnsi="Times New Roman" w:cs="Times New Roman"/>
          <w:color w:val="000000" w:themeColor="text1"/>
        </w:rPr>
        <w:t>Dominion</w:t>
      </w:r>
      <w:r w:rsidRPr="008E4F8C" w:rsidR="00E31D99">
        <w:rPr>
          <w:rFonts w:ascii="Times New Roman" w:hAnsi="Times New Roman" w:cs="Times New Roman"/>
          <w:color w:val="000000" w:themeColor="text1"/>
        </w:rPr>
        <w:t xml:space="preserve"> additionally</w:t>
      </w:r>
      <w:r w:rsidRPr="008E4F8C">
        <w:rPr>
          <w:rFonts w:ascii="Times New Roman" w:hAnsi="Times New Roman" w:cs="Times New Roman"/>
          <w:color w:val="000000" w:themeColor="text1"/>
        </w:rPr>
        <w:t xml:space="preserve"> </w:t>
      </w:r>
      <w:r w:rsidRPr="008E4F8C" w:rsidR="0019785D">
        <w:rPr>
          <w:rFonts w:ascii="Times New Roman" w:hAnsi="Times New Roman" w:cs="Times New Roman"/>
          <w:color w:val="000000" w:themeColor="text1"/>
        </w:rPr>
        <w:t xml:space="preserve">argues </w:t>
      </w:r>
      <w:r w:rsidRPr="008E4F8C" w:rsidR="007506A6">
        <w:rPr>
          <w:rFonts w:ascii="Times New Roman" w:hAnsi="Times New Roman" w:cs="Times New Roman"/>
          <w:color w:val="000000" w:themeColor="text1"/>
        </w:rPr>
        <w:t xml:space="preserve">there is no </w:t>
      </w:r>
      <w:r w:rsidRPr="008E4F8C" w:rsidR="001C41B2">
        <w:rPr>
          <w:rFonts w:ascii="Times New Roman" w:hAnsi="Times New Roman" w:cs="Times New Roman"/>
          <w:color w:val="000000" w:themeColor="text1"/>
        </w:rPr>
        <w:t>reason</w:t>
      </w:r>
      <w:r w:rsidRPr="008E4F8C" w:rsidR="007506A6">
        <w:rPr>
          <w:rFonts w:ascii="Times New Roman" w:hAnsi="Times New Roman" w:cs="Times New Roman"/>
          <w:color w:val="000000" w:themeColor="text1"/>
        </w:rPr>
        <w:t xml:space="preserve"> to update</w:t>
      </w:r>
      <w:r w:rsidRPr="008E4F8C" w:rsidR="00F67F55">
        <w:rPr>
          <w:rFonts w:ascii="Times New Roman" w:hAnsi="Times New Roman" w:cs="Times New Roman"/>
          <w:color w:val="000000" w:themeColor="text1"/>
        </w:rPr>
        <w:t xml:space="preserve"> its debt rate in this proceeding </w:t>
      </w:r>
      <w:r w:rsidRPr="008E4F8C" w:rsidR="0019785D">
        <w:rPr>
          <w:rFonts w:ascii="Times New Roman" w:hAnsi="Times New Roman" w:cs="Times New Roman"/>
          <w:color w:val="000000" w:themeColor="text1"/>
        </w:rPr>
        <w:t xml:space="preserve">because the PUCO </w:t>
      </w:r>
      <w:r w:rsidRPr="008E4F8C" w:rsidR="00425847">
        <w:rPr>
          <w:rFonts w:ascii="Times New Roman" w:hAnsi="Times New Roman" w:cs="Times New Roman"/>
          <w:color w:val="000000" w:themeColor="text1"/>
        </w:rPr>
        <w:t>is already scheduled to</w:t>
      </w:r>
      <w:r w:rsidRPr="008E4F8C" w:rsidR="0019785D">
        <w:rPr>
          <w:rFonts w:ascii="Times New Roman" w:hAnsi="Times New Roman" w:cs="Times New Roman"/>
          <w:color w:val="000000" w:themeColor="text1"/>
        </w:rPr>
        <w:t xml:space="preserve"> do so </w:t>
      </w:r>
      <w:r w:rsidRPr="008E4F8C" w:rsidR="00F67F55">
        <w:rPr>
          <w:rFonts w:ascii="Times New Roman" w:hAnsi="Times New Roman" w:cs="Times New Roman"/>
          <w:color w:val="000000" w:themeColor="text1"/>
        </w:rPr>
        <w:t>next year in Dominion’s rate case.</w:t>
      </w:r>
      <w:r>
        <w:rPr>
          <w:rStyle w:val="FootnoteReference"/>
          <w:rFonts w:ascii="Times New Roman" w:hAnsi="Times New Roman" w:cs="Times New Roman"/>
          <w:color w:val="000000" w:themeColor="text1"/>
        </w:rPr>
        <w:footnoteReference w:id="20"/>
      </w:r>
      <w:r w:rsidRPr="008E4F8C" w:rsidR="00F67F55">
        <w:rPr>
          <w:rFonts w:ascii="Times New Roman" w:hAnsi="Times New Roman" w:cs="Times New Roman"/>
          <w:color w:val="000000" w:themeColor="text1"/>
        </w:rPr>
        <w:t xml:space="preserve"> </w:t>
      </w:r>
      <w:r w:rsidRPr="008E4F8C" w:rsidR="00425847">
        <w:rPr>
          <w:rFonts w:ascii="Times New Roman" w:hAnsi="Times New Roman" w:cs="Times New Roman"/>
          <w:color w:val="000000" w:themeColor="text1"/>
        </w:rPr>
        <w:t xml:space="preserve">This </w:t>
      </w:r>
      <w:r w:rsidRPr="008E4F8C" w:rsidR="001C41B2">
        <w:rPr>
          <w:rFonts w:ascii="Times New Roman" w:hAnsi="Times New Roman" w:cs="Times New Roman"/>
          <w:color w:val="000000" w:themeColor="text1"/>
        </w:rPr>
        <w:t xml:space="preserve">approach conveniently gives </w:t>
      </w:r>
      <w:r w:rsidRPr="008E4F8C" w:rsidR="0019785D">
        <w:rPr>
          <w:rFonts w:ascii="Times New Roman" w:hAnsi="Times New Roman" w:cs="Times New Roman"/>
          <w:color w:val="000000" w:themeColor="text1"/>
        </w:rPr>
        <w:t xml:space="preserve">Dominion another year to charge </w:t>
      </w:r>
      <w:r w:rsidRPr="008E4F8C" w:rsidR="001C41B2">
        <w:rPr>
          <w:rFonts w:ascii="Times New Roman" w:hAnsi="Times New Roman" w:cs="Times New Roman"/>
          <w:color w:val="000000" w:themeColor="text1"/>
        </w:rPr>
        <w:t xml:space="preserve">1.4 million residential </w:t>
      </w:r>
      <w:r w:rsidRPr="008E4F8C" w:rsidR="0019785D">
        <w:rPr>
          <w:rFonts w:ascii="Times New Roman" w:hAnsi="Times New Roman" w:cs="Times New Roman"/>
          <w:color w:val="000000" w:themeColor="text1"/>
        </w:rPr>
        <w:t>consumers $6.16 per month</w:t>
      </w:r>
      <w:r w:rsidR="00577DA2">
        <w:rPr>
          <w:rFonts w:ascii="Times New Roman" w:hAnsi="Times New Roman" w:cs="Times New Roman"/>
          <w:color w:val="000000" w:themeColor="text1"/>
        </w:rPr>
        <w:t xml:space="preserve"> – again, $87</w:t>
      </w:r>
      <w:r w:rsidRPr="008E4F8C" w:rsidR="001C41B2">
        <w:rPr>
          <w:rFonts w:ascii="Times New Roman" w:hAnsi="Times New Roman" w:cs="Times New Roman"/>
          <w:color w:val="000000" w:themeColor="text1"/>
        </w:rPr>
        <w:t xml:space="preserve"> millio</w:t>
      </w:r>
      <w:r w:rsidR="00577DA2">
        <w:rPr>
          <w:rFonts w:ascii="Times New Roman" w:hAnsi="Times New Roman" w:cs="Times New Roman"/>
          <w:color w:val="000000" w:themeColor="text1"/>
        </w:rPr>
        <w:t>n, in total</w:t>
      </w:r>
      <w:r w:rsidRPr="008E4F8C" w:rsidR="0019785D">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21"/>
      </w:r>
      <w:r w:rsidRPr="008E4F8C" w:rsidR="0019785D">
        <w:rPr>
          <w:rFonts w:ascii="Times New Roman" w:hAnsi="Times New Roman" w:cs="Times New Roman"/>
          <w:color w:val="000000" w:themeColor="text1"/>
        </w:rPr>
        <w:t xml:space="preserve"> A significant portion of the CEP rate is the 9.91% rate of return</w:t>
      </w:r>
      <w:r w:rsidRPr="008E4F8C" w:rsidR="001C41B2">
        <w:rPr>
          <w:rFonts w:ascii="Times New Roman" w:hAnsi="Times New Roman" w:cs="Times New Roman"/>
          <w:color w:val="000000" w:themeColor="text1"/>
        </w:rPr>
        <w:t xml:space="preserve">, which is </w:t>
      </w:r>
      <w:r w:rsidR="008E4F8C">
        <w:rPr>
          <w:rFonts w:ascii="Times New Roman" w:hAnsi="Times New Roman" w:cs="Times New Roman"/>
          <w:color w:val="000000" w:themeColor="text1"/>
        </w:rPr>
        <w:t>unjust and unreasonable</w:t>
      </w:r>
      <w:r w:rsidRPr="008E4F8C" w:rsidR="00425847">
        <w:rPr>
          <w:rFonts w:ascii="Times New Roman" w:hAnsi="Times New Roman" w:cs="Times New Roman"/>
          <w:color w:val="000000" w:themeColor="text1"/>
        </w:rPr>
        <w:t xml:space="preserve">. </w:t>
      </w:r>
      <w:r w:rsidRPr="008E4F8C" w:rsidR="007506A6">
        <w:rPr>
          <w:rFonts w:ascii="Times New Roman" w:hAnsi="Times New Roman" w:cs="Times New Roman"/>
          <w:color w:val="000000" w:themeColor="text1"/>
        </w:rPr>
        <w:t xml:space="preserve">The PUCO </w:t>
      </w:r>
      <w:r w:rsidRPr="008E4F8C" w:rsidR="001C41B2">
        <w:rPr>
          <w:rFonts w:ascii="Times New Roman" w:hAnsi="Times New Roman" w:cs="Times New Roman"/>
          <w:color w:val="000000" w:themeColor="text1"/>
        </w:rPr>
        <w:t xml:space="preserve">should not </w:t>
      </w:r>
      <w:r w:rsidRPr="008E4F8C" w:rsidR="00CD4315">
        <w:rPr>
          <w:rFonts w:ascii="Times New Roman" w:hAnsi="Times New Roman" w:cs="Times New Roman"/>
          <w:color w:val="000000" w:themeColor="text1"/>
        </w:rPr>
        <w:t xml:space="preserve">allow consumers to pay </w:t>
      </w:r>
      <w:r w:rsidRPr="008E4F8C" w:rsidR="0078344C">
        <w:rPr>
          <w:rFonts w:ascii="Times New Roman" w:hAnsi="Times New Roman" w:cs="Times New Roman"/>
          <w:color w:val="000000" w:themeColor="text1"/>
        </w:rPr>
        <w:t xml:space="preserve">millions in </w:t>
      </w:r>
      <w:r w:rsidRPr="008E4F8C" w:rsidR="00CD4315">
        <w:rPr>
          <w:rFonts w:ascii="Times New Roman" w:hAnsi="Times New Roman" w:cs="Times New Roman"/>
          <w:color w:val="000000" w:themeColor="text1"/>
        </w:rPr>
        <w:t xml:space="preserve">inflated </w:t>
      </w:r>
      <w:r w:rsidR="009524E2">
        <w:rPr>
          <w:rFonts w:ascii="Times New Roman" w:hAnsi="Times New Roman" w:cs="Times New Roman"/>
          <w:color w:val="000000" w:themeColor="text1"/>
        </w:rPr>
        <w:t>pro</w:t>
      </w:r>
      <w:r w:rsidR="0096796B">
        <w:rPr>
          <w:rFonts w:ascii="Times New Roman" w:hAnsi="Times New Roman" w:cs="Times New Roman"/>
          <w:color w:val="000000" w:themeColor="text1"/>
        </w:rPr>
        <w:t>f</w:t>
      </w:r>
      <w:r w:rsidR="009524E2">
        <w:rPr>
          <w:rFonts w:ascii="Times New Roman" w:hAnsi="Times New Roman" w:cs="Times New Roman"/>
          <w:color w:val="000000" w:themeColor="text1"/>
        </w:rPr>
        <w:t>its</w:t>
      </w:r>
      <w:r w:rsidRPr="008E4F8C" w:rsidR="009524E2">
        <w:rPr>
          <w:rFonts w:ascii="Times New Roman" w:hAnsi="Times New Roman" w:cs="Times New Roman"/>
          <w:color w:val="000000" w:themeColor="text1"/>
        </w:rPr>
        <w:t xml:space="preserve"> </w:t>
      </w:r>
      <w:r w:rsidRPr="008E4F8C" w:rsidR="00CD4315">
        <w:rPr>
          <w:rFonts w:ascii="Times New Roman" w:hAnsi="Times New Roman" w:cs="Times New Roman"/>
          <w:color w:val="000000" w:themeColor="text1"/>
        </w:rPr>
        <w:t xml:space="preserve">for another year when it could </w:t>
      </w:r>
      <w:r w:rsidR="00577DA2">
        <w:rPr>
          <w:rFonts w:ascii="Times New Roman" w:hAnsi="Times New Roman" w:cs="Times New Roman"/>
          <w:color w:val="000000" w:themeColor="text1"/>
        </w:rPr>
        <w:t xml:space="preserve">instead </w:t>
      </w:r>
      <w:r w:rsidRPr="008E4F8C" w:rsidR="00CD4315">
        <w:rPr>
          <w:rFonts w:ascii="Times New Roman" w:hAnsi="Times New Roman" w:cs="Times New Roman"/>
          <w:color w:val="000000" w:themeColor="text1"/>
        </w:rPr>
        <w:t>act now</w:t>
      </w:r>
      <w:r w:rsidRPr="008E4F8C" w:rsidR="001C41B2">
        <w:rPr>
          <w:rFonts w:ascii="Times New Roman" w:hAnsi="Times New Roman" w:cs="Times New Roman"/>
          <w:color w:val="000000" w:themeColor="text1"/>
        </w:rPr>
        <w:t>. Justice delayed is justice denied.</w:t>
      </w:r>
      <w:r w:rsidR="00241E11">
        <w:rPr>
          <w:rFonts w:ascii="Times New Roman" w:hAnsi="Times New Roman" w:cs="Times New Roman"/>
          <w:color w:val="000000" w:themeColor="text1"/>
        </w:rPr>
        <w:t xml:space="preserve">  </w:t>
      </w:r>
      <w:r w:rsidR="003E6822">
        <w:rPr>
          <w:rFonts w:ascii="Times New Roman" w:hAnsi="Times New Roman" w:cs="Times New Roman"/>
          <w:color w:val="000000" w:themeColor="text1"/>
        </w:rPr>
        <w:t>And in this case justice delayed will cost consumers another $87 million.</w:t>
      </w:r>
      <w:r w:rsidR="00241E11">
        <w:rPr>
          <w:rFonts w:ascii="Times New Roman" w:hAnsi="Times New Roman" w:cs="Times New Roman"/>
          <w:color w:val="000000" w:themeColor="text1"/>
        </w:rPr>
        <w:t xml:space="preserve"> </w:t>
      </w:r>
    </w:p>
    <w:p w:rsidR="003E6822" w:rsidP="005F5B2C" w14:paraId="07622A34" w14:textId="77777777">
      <w:pPr>
        <w:pStyle w:val="NormalWeb"/>
        <w:spacing w:before="0" w:beforeAutospacing="0" w:after="0" w:afterAutospacing="0" w:line="480" w:lineRule="auto"/>
        <w:ind w:firstLine="720"/>
        <w:rPr>
          <w:color w:val="000000" w:themeColor="text1"/>
        </w:rPr>
      </w:pPr>
      <w:r w:rsidRPr="008E4F8C">
        <w:rPr>
          <w:color w:val="000000" w:themeColor="text1"/>
        </w:rPr>
        <w:t xml:space="preserve">Lastly, </w:t>
      </w:r>
      <w:r w:rsidRPr="008E4F8C" w:rsidR="007E0A66">
        <w:rPr>
          <w:color w:val="000000" w:themeColor="text1"/>
        </w:rPr>
        <w:t xml:space="preserve">Dominion </w:t>
      </w:r>
      <w:r w:rsidR="00577DA2">
        <w:rPr>
          <w:color w:val="000000" w:themeColor="text1"/>
        </w:rPr>
        <w:t xml:space="preserve">argues the PUCO should employ the </w:t>
      </w:r>
      <w:r w:rsidR="0060351F">
        <w:rPr>
          <w:color w:val="000000" w:themeColor="text1"/>
        </w:rPr>
        <w:t>13-year-old</w:t>
      </w:r>
      <w:r w:rsidR="00577DA2">
        <w:rPr>
          <w:color w:val="000000" w:themeColor="text1"/>
        </w:rPr>
        <w:t xml:space="preserve"> rate of return because it has used a utility’s last base rate case rate before</w:t>
      </w:r>
      <w:r w:rsidRPr="008E4F8C" w:rsidR="007E0A66">
        <w:rPr>
          <w:color w:val="000000" w:themeColor="text1"/>
        </w:rPr>
        <w:t>.</w:t>
      </w:r>
      <w:r>
        <w:rPr>
          <w:rStyle w:val="FootnoteReference"/>
          <w:color w:val="000000" w:themeColor="text1"/>
        </w:rPr>
        <w:footnoteReference w:id="22"/>
      </w:r>
      <w:r w:rsidRPr="008E4F8C" w:rsidR="007E0A66">
        <w:rPr>
          <w:color w:val="000000" w:themeColor="text1"/>
        </w:rPr>
        <w:t xml:space="preserve"> This does nothing to address OCC’s argument, which is that</w:t>
      </w:r>
      <w:r w:rsidRPr="008E4F8C" w:rsidR="0078344C">
        <w:rPr>
          <w:color w:val="000000" w:themeColor="text1"/>
        </w:rPr>
        <w:t xml:space="preserve"> – </w:t>
      </w:r>
      <w:r w:rsidR="008E4F8C">
        <w:rPr>
          <w:color w:val="000000" w:themeColor="text1"/>
        </w:rPr>
        <w:t>pursuant</w:t>
      </w:r>
      <w:r w:rsidRPr="008E4F8C" w:rsidR="0078344C">
        <w:rPr>
          <w:color w:val="000000" w:themeColor="text1"/>
        </w:rPr>
        <w:t xml:space="preserve"> </w:t>
      </w:r>
      <w:r w:rsidRPr="008E4F8C" w:rsidR="007E0A66">
        <w:rPr>
          <w:color w:val="000000" w:themeColor="text1"/>
        </w:rPr>
        <w:t>to binding Supreme Court of Ohio precedent</w:t>
      </w:r>
      <w:r w:rsidRPr="008E4F8C" w:rsidR="0078344C">
        <w:rPr>
          <w:color w:val="000000" w:themeColor="text1"/>
        </w:rPr>
        <w:t xml:space="preserve"> – these </w:t>
      </w:r>
      <w:r w:rsidRPr="008E4F8C" w:rsidR="007E0A66">
        <w:rPr>
          <w:color w:val="000000" w:themeColor="text1"/>
        </w:rPr>
        <w:t xml:space="preserve">cases were wrongly decided. </w:t>
      </w:r>
    </w:p>
    <w:p w:rsidR="0078344C" w:rsidRPr="008E4F8C" w:rsidP="005F5B2C" w14:paraId="359C1032" w14:textId="242DAD68">
      <w:pPr>
        <w:pStyle w:val="NormalWeb"/>
        <w:spacing w:before="0" w:beforeAutospacing="0" w:after="0" w:afterAutospacing="0" w:line="480" w:lineRule="auto"/>
        <w:ind w:firstLine="720"/>
        <w:rPr>
          <w:color w:val="000000" w:themeColor="text1"/>
          <w:position w:val="10"/>
        </w:rPr>
      </w:pPr>
      <w:r w:rsidRPr="008E4F8C">
        <w:rPr>
          <w:color w:val="000000" w:themeColor="text1"/>
        </w:rPr>
        <w:t>The</w:t>
      </w:r>
      <w:r w:rsidRPr="008E4F8C" w:rsidR="007E0A66">
        <w:rPr>
          <w:color w:val="000000" w:themeColor="text1"/>
        </w:rPr>
        <w:t xml:space="preserve"> Ohio Supreme Court has instructed the PUCO “to respect its own precedents in its decisions to assure the predictability, which is essential in all areas of law, including administrative law.”</w:t>
      </w:r>
      <w:r>
        <w:rPr>
          <w:rStyle w:val="FootnoteReference"/>
          <w:color w:val="000000" w:themeColor="text1"/>
        </w:rPr>
        <w:footnoteReference w:id="23"/>
      </w:r>
      <w:r w:rsidRPr="008E4F8C" w:rsidR="007E0A66">
        <w:rPr>
          <w:color w:val="000000" w:themeColor="text1"/>
          <w:position w:val="10"/>
        </w:rPr>
        <w:t xml:space="preserve"> </w:t>
      </w:r>
      <w:r w:rsidRPr="008E4F8C" w:rsidR="007E0A66">
        <w:rPr>
          <w:color w:val="000000" w:themeColor="text1"/>
        </w:rPr>
        <w:t>While the PUCO can revisit a particular decision, the PUCO is “bound by certain institutional constraints to justify that change before such order may be changed or modified.”</w:t>
      </w:r>
      <w:r>
        <w:rPr>
          <w:rStyle w:val="FootnoteReference"/>
          <w:color w:val="000000" w:themeColor="text1"/>
        </w:rPr>
        <w:footnoteReference w:id="24"/>
      </w:r>
      <w:r w:rsidRPr="008E4F8C" w:rsidR="007E0A66">
        <w:rPr>
          <w:color w:val="000000" w:themeColor="text1"/>
          <w:position w:val="10"/>
        </w:rPr>
        <w:t xml:space="preserve"> </w:t>
      </w:r>
      <w:r w:rsidRPr="008E4F8C" w:rsidR="007E0A66">
        <w:rPr>
          <w:color w:val="000000" w:themeColor="text1"/>
        </w:rPr>
        <w:t>If the PUCO sees fit to depart from a prior order, it “must explain why” and “the new course also must be substantively reasonable and lawful.</w:t>
      </w:r>
      <w:r w:rsidRPr="008E4F8C">
        <w:rPr>
          <w:color w:val="000000" w:themeColor="text1"/>
        </w:rPr>
        <w:t>”</w:t>
      </w:r>
      <w:r>
        <w:rPr>
          <w:rStyle w:val="FootnoteReference"/>
          <w:color w:val="000000" w:themeColor="text1"/>
        </w:rPr>
        <w:footnoteReference w:id="25"/>
      </w:r>
      <w:r w:rsidR="00E96588">
        <w:rPr>
          <w:color w:val="000000" w:themeColor="text1"/>
        </w:rPr>
        <w:t xml:space="preserve"> </w:t>
      </w:r>
    </w:p>
    <w:p w:rsidR="0078344C" w:rsidRPr="008E4F8C" w:rsidP="005F5B2C" w14:paraId="01A02953" w14:textId="0BDB4B41">
      <w:pPr>
        <w:pStyle w:val="NormalWeb"/>
        <w:spacing w:before="0" w:beforeAutospacing="0" w:after="0" w:afterAutospacing="0" w:line="480" w:lineRule="auto"/>
        <w:ind w:firstLine="720"/>
        <w:rPr>
          <w:color w:val="000000" w:themeColor="text1"/>
          <w:position w:val="10"/>
        </w:rPr>
      </w:pPr>
      <w:r w:rsidRPr="008E4F8C">
        <w:rPr>
          <w:color w:val="000000" w:themeColor="text1"/>
        </w:rPr>
        <w:t xml:space="preserve">Before the gas utility capital expenditure program cases, it had been the PUCO’s practice and precedent that where rates were set more than three years ago, a new calculation should be made. In </w:t>
      </w:r>
      <w:r w:rsidRPr="008E4F8C">
        <w:rPr>
          <w:i/>
          <w:iCs/>
          <w:color w:val="000000" w:themeColor="text1"/>
        </w:rPr>
        <w:t>In the Matter of the Application of The Columbus Southern Power Company and Ohio Power Company to Adjust the Transmission Component of the Companies' Standard Service Tariffs to Reflect the Applicable FERC- Approved Charges or Rates Related to Open Access Transmission, Net Congestion and Ancillary Services</w:t>
      </w:r>
      <w:r w:rsidRPr="008E4F8C">
        <w:rPr>
          <w:color w:val="000000" w:themeColor="text1"/>
        </w:rPr>
        <w:t>,</w:t>
      </w:r>
      <w:r>
        <w:rPr>
          <w:rStyle w:val="FootnoteReference"/>
          <w:color w:val="000000" w:themeColor="text1"/>
        </w:rPr>
        <w:footnoteReference w:id="26"/>
      </w:r>
      <w:r w:rsidRPr="008E4F8C">
        <w:rPr>
          <w:color w:val="000000" w:themeColor="text1"/>
          <w:position w:val="10"/>
        </w:rPr>
        <w:t xml:space="preserve"> </w:t>
      </w:r>
      <w:r w:rsidRPr="008E4F8C">
        <w:rPr>
          <w:color w:val="000000" w:themeColor="text1"/>
        </w:rPr>
        <w:t xml:space="preserve">the PUCO explained this succinctly: </w:t>
      </w:r>
    </w:p>
    <w:p w:rsidR="0078344C" w:rsidP="005F5B2C" w14:paraId="773DAA7F" w14:textId="64E003C8">
      <w:pPr>
        <w:pStyle w:val="NormalWeb"/>
        <w:spacing w:before="0" w:beforeAutospacing="0" w:after="0" w:afterAutospacing="0"/>
        <w:ind w:left="1440" w:right="1440"/>
        <w:rPr>
          <w:color w:val="000000" w:themeColor="text1"/>
          <w:position w:val="10"/>
        </w:rPr>
      </w:pPr>
      <w:r w:rsidRPr="008E4F8C">
        <w:rPr>
          <w:color w:val="000000" w:themeColor="text1"/>
        </w:rPr>
        <w:t>The Companies propose to include carrying charges on the net under recovery or net over recovery of TCRR revenues using each company’s weighted average cost of capital. The Companies propose that the rate of equity to be included in the calculation be the rate established in each company’s last rate case. The Commission disagrees. The Commission issued its decision in Columbus Southern’s last base rate case proceeding in May 1992, more than thirteen years ago. The Commission finds that the financial landscape has changed greatly since the early 1990s. We find it appropriate to use a more recent review of the cost of capital.</w:t>
      </w:r>
      <w:r>
        <w:rPr>
          <w:rStyle w:val="FootnoteReference"/>
          <w:color w:val="000000" w:themeColor="text1"/>
        </w:rPr>
        <w:footnoteReference w:id="27"/>
      </w:r>
    </w:p>
    <w:p w:rsidR="007C4E38" w:rsidRPr="007C4E38" w:rsidP="007C4E38" w14:paraId="401EDAE4" w14:textId="77777777">
      <w:pPr>
        <w:pStyle w:val="NormalWeb"/>
        <w:spacing w:before="0" w:beforeAutospacing="0" w:after="0" w:afterAutospacing="0"/>
        <w:ind w:left="360"/>
        <w:rPr>
          <w:color w:val="000000" w:themeColor="text1"/>
          <w:position w:val="10"/>
        </w:rPr>
      </w:pPr>
    </w:p>
    <w:p w:rsidR="008E4F8C" w:rsidRPr="008E4F8C" w:rsidP="005F5B2C" w14:paraId="1FE9634B" w14:textId="209C4E42">
      <w:pPr>
        <w:pStyle w:val="NormalWeb"/>
        <w:spacing w:before="0" w:beforeAutospacing="0" w:after="0" w:afterAutospacing="0" w:line="480" w:lineRule="auto"/>
        <w:ind w:firstLine="720"/>
        <w:rPr>
          <w:color w:val="000000" w:themeColor="text1"/>
        </w:rPr>
      </w:pPr>
      <w:r w:rsidRPr="008E4F8C">
        <w:rPr>
          <w:color w:val="000000" w:themeColor="text1"/>
        </w:rPr>
        <w:t>When the same issue arose later, the PUCO once again acknowledged that where rates are more than two or three years old, “it may be appropriate to reevaluate the reasonableness of using the company's most recently approved” rate (in this case, for carrying charges).</w:t>
      </w:r>
      <w:r>
        <w:rPr>
          <w:rStyle w:val="FootnoteReference"/>
          <w:color w:val="000000" w:themeColor="text1"/>
        </w:rPr>
        <w:footnoteReference w:id="28"/>
      </w:r>
    </w:p>
    <w:p w:rsidR="0078344C" w:rsidRPr="008E4F8C" w:rsidP="005F5B2C" w14:paraId="2E522770" w14:textId="09D393F6">
      <w:pPr>
        <w:pStyle w:val="NormalWeb"/>
        <w:spacing w:before="0" w:beforeAutospacing="0" w:after="0" w:afterAutospacing="0" w:line="480" w:lineRule="auto"/>
        <w:ind w:firstLine="720"/>
        <w:rPr>
          <w:color w:val="000000" w:themeColor="text1"/>
        </w:rPr>
      </w:pPr>
      <w:r w:rsidRPr="008E4F8C">
        <w:rPr>
          <w:color w:val="000000" w:themeColor="text1"/>
        </w:rPr>
        <w:t xml:space="preserve">When the PUCO began approving gas utility capital expenditure charges, it neither followed this precedent, found that it was in error, nor explained why it departed from it as required by </w:t>
      </w:r>
      <w:r w:rsidRPr="008E4F8C">
        <w:rPr>
          <w:i/>
          <w:iCs/>
          <w:color w:val="000000" w:themeColor="text1"/>
        </w:rPr>
        <w:t xml:space="preserve">Cleveland Elec. Illum. Co. </w:t>
      </w:r>
      <w:r w:rsidRPr="008E4F8C">
        <w:rPr>
          <w:color w:val="000000" w:themeColor="text1"/>
        </w:rPr>
        <w:t>and its progeny</w:t>
      </w:r>
      <w:r w:rsidR="00534884">
        <w:rPr>
          <w:color w:val="000000" w:themeColor="text1"/>
        </w:rPr>
        <w:t>.</w:t>
      </w:r>
      <w:r>
        <w:rPr>
          <w:rStyle w:val="FootnoteReference"/>
          <w:color w:val="000000" w:themeColor="text1"/>
        </w:rPr>
        <w:footnoteReference w:id="29"/>
      </w:r>
      <w:r w:rsidRPr="008E4F8C">
        <w:rPr>
          <w:color w:val="000000" w:themeColor="text1"/>
          <w:position w:val="10"/>
        </w:rPr>
        <w:t xml:space="preserve"> </w:t>
      </w:r>
      <w:r w:rsidRPr="008E4F8C">
        <w:rPr>
          <w:color w:val="000000" w:themeColor="text1"/>
        </w:rPr>
        <w:t xml:space="preserve">Accordingly, the “precedent” that the PUCO supposedly followed in subsequent cases (and the other gas utility capital expenditure program cases) was wrong and unlawful. Each case was the fruit of a poisonous tree that began with </w:t>
      </w:r>
      <w:r w:rsidRPr="008E4F8C">
        <w:rPr>
          <w:i/>
          <w:iCs/>
          <w:color w:val="000000" w:themeColor="text1"/>
        </w:rPr>
        <w:t>In the Matter of the Application of the East Ohio Gas Company DBA Dominion Energy Ohio for Approval of An Alternative Form of Regulation to Establish a Capital Expenditure Program Rider Mechanism</w:t>
      </w:r>
      <w:r w:rsidR="00534884">
        <w:rPr>
          <w:i/>
          <w:iCs/>
          <w:color w:val="000000" w:themeColor="text1"/>
        </w:rPr>
        <w:t>.</w:t>
      </w:r>
      <w:r>
        <w:rPr>
          <w:rStyle w:val="FootnoteReference"/>
          <w:color w:val="000000" w:themeColor="text1"/>
        </w:rPr>
        <w:footnoteReference w:id="30"/>
      </w:r>
      <w:r w:rsidRPr="00534884">
        <w:rPr>
          <w:color w:val="000000" w:themeColor="text1"/>
          <w:position w:val="10"/>
        </w:rPr>
        <w:t xml:space="preserve"> </w:t>
      </w:r>
      <w:r w:rsidRPr="008E4F8C">
        <w:rPr>
          <w:color w:val="000000" w:themeColor="text1"/>
        </w:rPr>
        <w:t xml:space="preserve">It should not be followed here. </w:t>
      </w:r>
    </w:p>
    <w:p w:rsidR="00E31D99" w:rsidP="005F5B2C" w14:paraId="77AC944B" w14:textId="348DB113">
      <w:pPr>
        <w:pStyle w:val="NormalWeb"/>
        <w:spacing w:before="0" w:beforeAutospacing="0" w:after="0" w:afterAutospacing="0" w:line="480" w:lineRule="auto"/>
        <w:ind w:firstLine="720"/>
        <w:rPr>
          <w:color w:val="000000" w:themeColor="text1"/>
        </w:rPr>
      </w:pPr>
      <w:r w:rsidRPr="008E4F8C">
        <w:rPr>
          <w:color w:val="000000" w:themeColor="text1"/>
        </w:rPr>
        <w:t>In incorporating its 13-year-old</w:t>
      </w:r>
      <w:r w:rsidR="00D13FD5">
        <w:rPr>
          <w:color w:val="000000" w:themeColor="text1"/>
        </w:rPr>
        <w:t xml:space="preserve">, inflated </w:t>
      </w:r>
      <w:r w:rsidRPr="008E4F8C">
        <w:rPr>
          <w:color w:val="000000" w:themeColor="text1"/>
        </w:rPr>
        <w:t xml:space="preserve">rate of return and return on equity into its </w:t>
      </w:r>
      <w:r w:rsidRPr="008E4F8C" w:rsidR="0078344C">
        <w:rPr>
          <w:color w:val="000000" w:themeColor="text1"/>
        </w:rPr>
        <w:t>CEP</w:t>
      </w:r>
      <w:r w:rsidRPr="008E4F8C">
        <w:rPr>
          <w:color w:val="000000" w:themeColor="text1"/>
        </w:rPr>
        <w:t xml:space="preserve">, Dominion violates </w:t>
      </w:r>
      <w:r w:rsidRPr="008E4F8C" w:rsidR="008E4F8C">
        <w:rPr>
          <w:color w:val="000000" w:themeColor="text1"/>
        </w:rPr>
        <w:t>still-</w:t>
      </w:r>
      <w:r w:rsidRPr="008E4F8C">
        <w:rPr>
          <w:color w:val="000000" w:themeColor="text1"/>
        </w:rPr>
        <w:t>valid PUCO precedent against using rates that are more than three years old. The PUCO should not allow Dominion to do so</w:t>
      </w:r>
      <w:r w:rsidR="00534884">
        <w:rPr>
          <w:color w:val="000000" w:themeColor="text1"/>
        </w:rPr>
        <w:t>, especially at great cost to consumers</w:t>
      </w:r>
      <w:r w:rsidRPr="008E4F8C">
        <w:rPr>
          <w:color w:val="000000" w:themeColor="text1"/>
        </w:rPr>
        <w:t xml:space="preserve">. </w:t>
      </w:r>
    </w:p>
    <w:p w:rsidR="005F5B2C" w:rsidRPr="008E4F8C" w:rsidP="005F5B2C" w14:paraId="3ACF0476" w14:textId="77777777">
      <w:pPr>
        <w:pStyle w:val="NormalWeb"/>
        <w:spacing w:before="0" w:beforeAutospacing="0" w:after="0" w:afterAutospacing="0"/>
        <w:ind w:firstLine="720"/>
        <w:rPr>
          <w:color w:val="000000" w:themeColor="text1"/>
        </w:rPr>
      </w:pPr>
    </w:p>
    <w:p w:rsidR="003111C2" w:rsidP="005F5B2C" w14:paraId="2638546E" w14:textId="553D2DB9">
      <w:pPr>
        <w:pStyle w:val="NormalWeb"/>
        <w:spacing w:before="0" w:beforeAutospacing="0" w:after="0" w:afterAutospacing="0" w:line="480" w:lineRule="auto"/>
        <w:ind w:left="720" w:hanging="720"/>
        <w:rPr>
          <w:b/>
          <w:bCs/>
          <w:color w:val="000000" w:themeColor="text1"/>
        </w:rPr>
      </w:pPr>
      <w:r>
        <w:rPr>
          <w:b/>
          <w:bCs/>
          <w:color w:val="000000" w:themeColor="text1"/>
        </w:rPr>
        <w:t xml:space="preserve">III. </w:t>
      </w:r>
      <w:r w:rsidR="005F5B2C">
        <w:rPr>
          <w:b/>
          <w:bCs/>
          <w:color w:val="000000" w:themeColor="text1"/>
        </w:rPr>
        <w:tab/>
      </w:r>
      <w:r>
        <w:rPr>
          <w:b/>
          <w:bCs/>
          <w:color w:val="000000" w:themeColor="text1"/>
        </w:rPr>
        <w:t xml:space="preserve">CONCLUSION </w:t>
      </w:r>
    </w:p>
    <w:p w:rsidR="00754CCC" w:rsidP="009E44C1" w14:paraId="0C303BAE" w14:textId="02A4BFF1">
      <w:pPr>
        <w:pStyle w:val="NormalWeb"/>
        <w:spacing w:before="0" w:beforeAutospacing="0" w:after="0" w:afterAutospacing="0" w:line="480" w:lineRule="auto"/>
        <w:ind w:firstLine="720"/>
        <w:rPr>
          <w:color w:val="000000" w:themeColor="text1"/>
        </w:rPr>
      </w:pPr>
      <w:r w:rsidRPr="008E4F8C">
        <w:rPr>
          <w:color w:val="000000" w:themeColor="text1"/>
        </w:rPr>
        <w:t xml:space="preserve">The PUCO should </w:t>
      </w:r>
      <w:r w:rsidR="00534884">
        <w:rPr>
          <w:color w:val="000000" w:themeColor="text1"/>
        </w:rPr>
        <w:t xml:space="preserve">deny Dominion’s request to charge consumers outdated, inflated rates. The PUCO should </w:t>
      </w:r>
      <w:r w:rsidR="0000673F">
        <w:rPr>
          <w:color w:val="000000" w:themeColor="text1"/>
        </w:rPr>
        <w:t>update Dominion’s</w:t>
      </w:r>
      <w:r w:rsidR="00534884">
        <w:rPr>
          <w:color w:val="000000" w:themeColor="text1"/>
        </w:rPr>
        <w:t xml:space="preserve"> rate of return as well as the recommendations of the independent auditor, its Staff and OCC.</w:t>
      </w:r>
    </w:p>
    <w:p w:rsidR="007C4E38" w:rsidP="00E31D99" w14:paraId="6252CF8F" w14:textId="52BFC082">
      <w:pPr>
        <w:pStyle w:val="NormalWeb"/>
        <w:spacing w:before="0" w:beforeAutospacing="0" w:after="0" w:afterAutospacing="0" w:line="480" w:lineRule="auto"/>
        <w:ind w:firstLine="36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Respectfully submitted,</w:t>
      </w:r>
    </w:p>
    <w:p w:rsidR="007C4E38" w:rsidRPr="006A0331" w:rsidP="007C4E38" w14:paraId="38DC2A88" w14:textId="77777777">
      <w:pPr>
        <w:pStyle w:val="Footer"/>
        <w:ind w:left="3600"/>
        <w:rPr>
          <w:rFonts w:ascii="Times New Roman" w:hAnsi="Times New Roman" w:cs="Times New Roman"/>
          <w:sz w:val="24"/>
          <w:szCs w:val="24"/>
        </w:rPr>
      </w:pPr>
      <w:r w:rsidRPr="006A0331">
        <w:rPr>
          <w:rFonts w:ascii="Times New Roman" w:hAnsi="Times New Roman" w:cs="Times New Roman"/>
          <w:sz w:val="24"/>
          <w:szCs w:val="24"/>
        </w:rPr>
        <w:t>Bruce Weston (0016973)</w:t>
      </w:r>
    </w:p>
    <w:p w:rsidR="007C4E38" w:rsidRPr="006A0331" w:rsidP="007C4E38" w14:paraId="715863C4" w14:textId="77777777">
      <w:pPr>
        <w:ind w:left="3600"/>
        <w:rPr>
          <w:rFonts w:ascii="Times New Roman" w:hAnsi="Times New Roman" w:cs="Times New Roman"/>
        </w:rPr>
      </w:pPr>
      <w:r w:rsidRPr="006A0331">
        <w:rPr>
          <w:rFonts w:ascii="Times New Roman" w:hAnsi="Times New Roman" w:cs="Times New Roman"/>
        </w:rPr>
        <w:t>Ohio Consumers’ Counsel</w:t>
      </w:r>
    </w:p>
    <w:p w:rsidR="007C4E38" w:rsidRPr="006A0331" w:rsidP="007C4E38" w14:paraId="66F85787" w14:textId="77777777">
      <w:pPr>
        <w:tabs>
          <w:tab w:val="left" w:pos="4320"/>
        </w:tabs>
        <w:ind w:left="3600"/>
        <w:rPr>
          <w:rFonts w:ascii="Times New Roman" w:hAnsi="Times New Roman" w:cs="Times New Roman"/>
          <w:i/>
          <w:u w:val="single"/>
        </w:rPr>
      </w:pPr>
    </w:p>
    <w:p w:rsidR="007C4E38" w:rsidRPr="006A0331" w:rsidP="007C4E38" w14:paraId="6042C3A9" w14:textId="77777777">
      <w:pPr>
        <w:ind w:left="3600"/>
        <w:rPr>
          <w:rFonts w:ascii="Times New Roman" w:hAnsi="Times New Roman" w:cs="Times New Roman"/>
          <w:bCs/>
          <w:i/>
          <w:iCs/>
          <w:u w:val="single"/>
        </w:rPr>
      </w:pPr>
      <w:r w:rsidRPr="006A0331">
        <w:rPr>
          <w:rFonts w:ascii="Times New Roman" w:hAnsi="Times New Roman" w:cs="Times New Roman"/>
          <w:bCs/>
          <w:i/>
          <w:iCs/>
          <w:u w:val="single"/>
        </w:rPr>
        <w:t>/s/ William J. Michael</w:t>
      </w:r>
    </w:p>
    <w:p w:rsidR="007C4E38" w:rsidRPr="006A0331" w:rsidP="007C4E38" w14:paraId="7C5920A1" w14:textId="77777777">
      <w:pPr>
        <w:ind w:left="3600"/>
        <w:rPr>
          <w:rFonts w:ascii="Times New Roman" w:hAnsi="Times New Roman" w:cs="Times New Roman"/>
        </w:rPr>
      </w:pPr>
      <w:r w:rsidRPr="006A0331">
        <w:rPr>
          <w:rFonts w:ascii="Times New Roman" w:hAnsi="Times New Roman" w:cs="Times New Roman"/>
        </w:rPr>
        <w:t>William J. Michael (0070921)</w:t>
      </w:r>
    </w:p>
    <w:p w:rsidR="007C4E38" w:rsidRPr="006A0331" w:rsidP="007C4E38" w14:paraId="0245B275" w14:textId="77777777">
      <w:pPr>
        <w:ind w:left="3600"/>
        <w:rPr>
          <w:rFonts w:ascii="Times New Roman" w:hAnsi="Times New Roman" w:cs="Times New Roman"/>
        </w:rPr>
      </w:pPr>
      <w:r w:rsidRPr="006A0331">
        <w:rPr>
          <w:rFonts w:ascii="Times New Roman" w:hAnsi="Times New Roman" w:cs="Times New Roman"/>
        </w:rPr>
        <w:t xml:space="preserve">Counsel of Record </w:t>
      </w:r>
    </w:p>
    <w:p w:rsidR="007C4E38" w:rsidRPr="006A0331" w:rsidP="007C4E38" w14:paraId="46DBF09F" w14:textId="77777777">
      <w:pPr>
        <w:ind w:left="3600"/>
        <w:rPr>
          <w:rFonts w:ascii="Times New Roman" w:hAnsi="Times New Roman" w:cs="Times New Roman"/>
        </w:rPr>
      </w:pPr>
      <w:r>
        <w:rPr>
          <w:rFonts w:ascii="Times New Roman" w:hAnsi="Times New Roman" w:cs="Times New Roman"/>
        </w:rPr>
        <w:t>Amy Botschner O’Brien (0074423)</w:t>
      </w:r>
    </w:p>
    <w:p w:rsidR="007C4E38" w:rsidRPr="006A0331" w:rsidP="007C4E38" w14:paraId="7EAACD7D" w14:textId="77777777">
      <w:pPr>
        <w:ind w:left="3600"/>
        <w:rPr>
          <w:rFonts w:ascii="Times New Roman" w:hAnsi="Times New Roman" w:cs="Times New Roman"/>
        </w:rPr>
      </w:pPr>
      <w:r w:rsidRPr="006A0331">
        <w:rPr>
          <w:rFonts w:ascii="Times New Roman" w:hAnsi="Times New Roman" w:cs="Times New Roman"/>
        </w:rPr>
        <w:t>Assistant Consumers’ Counsel</w:t>
      </w:r>
    </w:p>
    <w:p w:rsidR="007C4E38" w:rsidRPr="006A0331" w:rsidP="007C4E38" w14:paraId="799A416C" w14:textId="77777777">
      <w:pPr>
        <w:ind w:left="3600"/>
        <w:rPr>
          <w:rFonts w:ascii="Times New Roman" w:hAnsi="Times New Roman" w:cs="Times New Roman"/>
        </w:rPr>
      </w:pPr>
      <w:r w:rsidRPr="006A0331">
        <w:rPr>
          <w:rFonts w:ascii="Times New Roman" w:hAnsi="Times New Roman" w:cs="Times New Roman"/>
        </w:rPr>
        <w:tab/>
      </w:r>
    </w:p>
    <w:p w:rsidR="007C4E38" w:rsidRPr="006A0331" w:rsidP="007C4E38" w14:paraId="2DCCC6BE" w14:textId="77777777">
      <w:pPr>
        <w:ind w:left="3600"/>
        <w:rPr>
          <w:rFonts w:ascii="Times New Roman" w:hAnsi="Times New Roman" w:cs="Times New Roman"/>
          <w:b/>
          <w:bCs/>
        </w:rPr>
      </w:pPr>
      <w:r w:rsidRPr="006A0331">
        <w:rPr>
          <w:rFonts w:ascii="Times New Roman" w:hAnsi="Times New Roman" w:cs="Times New Roman"/>
          <w:b/>
          <w:bCs/>
        </w:rPr>
        <w:t>Office of the Ohio Consumers’ Counsel</w:t>
      </w:r>
    </w:p>
    <w:p w:rsidR="007C4E38" w:rsidRPr="006C3A1C" w:rsidP="007C4E38" w14:paraId="23F14044" w14:textId="77777777">
      <w:pPr>
        <w:ind w:left="3600"/>
        <w:rPr>
          <w:rFonts w:ascii="Times New Roman" w:hAnsi="Times New Roman" w:cs="Times New Roman"/>
          <w:b/>
        </w:rPr>
      </w:pPr>
      <w:r w:rsidRPr="006A0331">
        <w:rPr>
          <w:rFonts w:ascii="Times New Roman" w:hAnsi="Times New Roman" w:cs="Times New Roman"/>
        </w:rPr>
        <w:t xml:space="preserve">65 East </w:t>
      </w:r>
      <w:r w:rsidRPr="006C3A1C">
        <w:rPr>
          <w:rFonts w:ascii="Times New Roman" w:hAnsi="Times New Roman" w:cs="Times New Roman"/>
        </w:rPr>
        <w:t>State Street, Suite 700</w:t>
      </w:r>
    </w:p>
    <w:p w:rsidR="007C4E38" w:rsidRPr="006C3A1C" w:rsidP="007C4E38" w14:paraId="793B30FD" w14:textId="77777777">
      <w:pPr>
        <w:ind w:left="3600"/>
        <w:rPr>
          <w:rFonts w:ascii="Times New Roman" w:hAnsi="Times New Roman" w:cs="Times New Roman"/>
          <w:b/>
        </w:rPr>
      </w:pPr>
      <w:r w:rsidRPr="006C3A1C">
        <w:rPr>
          <w:rFonts w:ascii="Times New Roman" w:hAnsi="Times New Roman" w:cs="Times New Roman"/>
        </w:rPr>
        <w:t>Columbus, Ohio 43215-4213</w:t>
      </w:r>
    </w:p>
    <w:p w:rsidR="007C4E38" w:rsidRPr="006C3A1C" w:rsidP="007C4E38" w14:paraId="6ED35444" w14:textId="77777777">
      <w:pPr>
        <w:autoSpaceDE w:val="0"/>
        <w:autoSpaceDN w:val="0"/>
        <w:adjustRightInd w:val="0"/>
        <w:ind w:left="3600"/>
        <w:rPr>
          <w:rFonts w:ascii="Times New Roman" w:hAnsi="Times New Roman" w:cs="Times New Roman"/>
        </w:rPr>
      </w:pPr>
      <w:r w:rsidRPr="006C3A1C">
        <w:rPr>
          <w:rFonts w:ascii="Times New Roman" w:hAnsi="Times New Roman" w:cs="Times New Roman"/>
        </w:rPr>
        <w:t>Telephone [Michael]: (614) 466-1291</w:t>
      </w:r>
    </w:p>
    <w:p w:rsidR="007C4E38" w:rsidRPr="006C3A1C" w:rsidP="007C4E38" w14:paraId="3C54A65F" w14:textId="77777777">
      <w:pPr>
        <w:autoSpaceDE w:val="0"/>
        <w:autoSpaceDN w:val="0"/>
        <w:adjustRightInd w:val="0"/>
        <w:ind w:left="3600"/>
        <w:rPr>
          <w:rFonts w:ascii="Times New Roman" w:hAnsi="Times New Roman" w:cs="Times New Roman"/>
        </w:rPr>
      </w:pPr>
      <w:r w:rsidRPr="006C3A1C">
        <w:rPr>
          <w:rFonts w:ascii="Times New Roman" w:hAnsi="Times New Roman" w:cs="Times New Roman"/>
        </w:rPr>
        <w:t>Telephone [Botschner O’Brien]: (614) 466 9575</w:t>
      </w:r>
    </w:p>
    <w:p w:rsidR="007C4E38" w:rsidP="007C4E38" w14:paraId="167F531F" w14:textId="77777777">
      <w:pPr>
        <w:autoSpaceDE w:val="0"/>
        <w:autoSpaceDN w:val="0"/>
        <w:adjustRightInd w:val="0"/>
        <w:ind w:left="3600"/>
        <w:rPr>
          <w:rStyle w:val="Hyperlink"/>
          <w:rFonts w:ascii="Times New Roman" w:hAnsi="Times New Roman" w:cs="Times New Roman"/>
          <w:color w:val="0000FF"/>
        </w:rPr>
      </w:pPr>
      <w:hyperlink r:id="rId6" w:history="1">
        <w:r>
          <w:rPr>
            <w:rStyle w:val="Hyperlink"/>
            <w:rFonts w:ascii="Times New Roman" w:hAnsi="Times New Roman" w:cs="Times New Roman"/>
            <w:color w:val="0000FF"/>
          </w:rPr>
          <w:t>w</w:t>
        </w:r>
        <w:r w:rsidRPr="006C3A1C">
          <w:rPr>
            <w:rStyle w:val="Hyperlink"/>
            <w:rFonts w:ascii="Times New Roman" w:hAnsi="Times New Roman" w:cs="Times New Roman"/>
            <w:color w:val="0000FF"/>
          </w:rPr>
          <w:t>illiam.</w:t>
        </w:r>
        <w:r>
          <w:rPr>
            <w:rStyle w:val="Hyperlink"/>
            <w:rFonts w:ascii="Times New Roman" w:hAnsi="Times New Roman" w:cs="Times New Roman"/>
            <w:color w:val="0000FF"/>
          </w:rPr>
          <w:t>m</w:t>
        </w:r>
        <w:r w:rsidRPr="006C3A1C">
          <w:rPr>
            <w:rStyle w:val="Hyperlink"/>
            <w:rFonts w:ascii="Times New Roman" w:hAnsi="Times New Roman" w:cs="Times New Roman"/>
            <w:color w:val="0000FF"/>
          </w:rPr>
          <w:t>ichael@occ.ohio.gov</w:t>
        </w:r>
      </w:hyperlink>
    </w:p>
    <w:p w:rsidR="007C4E38" w:rsidRPr="006C3A1C" w:rsidP="007C4E38" w14:paraId="2DA4801D" w14:textId="77777777">
      <w:pPr>
        <w:autoSpaceDE w:val="0"/>
        <w:autoSpaceDN w:val="0"/>
        <w:adjustRightInd w:val="0"/>
        <w:ind w:left="3600"/>
        <w:rPr>
          <w:rFonts w:ascii="Times New Roman" w:hAnsi="Times New Roman" w:cs="Times New Roman"/>
          <w:color w:val="0000FF"/>
        </w:rPr>
      </w:pPr>
      <w:r>
        <w:rPr>
          <w:rStyle w:val="Hyperlink"/>
          <w:rFonts w:ascii="Times New Roman" w:hAnsi="Times New Roman" w:cs="Times New Roman"/>
          <w:color w:val="0000FF"/>
        </w:rPr>
        <w:t>amy.botschner.obrien@occ.ohio.gov</w:t>
      </w:r>
    </w:p>
    <w:p w:rsidR="007C4E38" w:rsidRPr="008E4F8C" w:rsidP="007C4E38" w14:paraId="13C99EC2" w14:textId="5B1EBBCA">
      <w:pPr>
        <w:pStyle w:val="NormalWeb"/>
        <w:spacing w:before="0" w:beforeAutospacing="0" w:after="0" w:afterAutospacing="0" w:line="480" w:lineRule="auto"/>
        <w:ind w:left="2880" w:firstLine="720"/>
        <w:rPr>
          <w:color w:val="000000" w:themeColor="text1"/>
        </w:rPr>
      </w:pPr>
      <w:r w:rsidRPr="006C3A1C">
        <w:t>(willing to accept service by</w:t>
      </w:r>
      <w:r>
        <w:t xml:space="preserve"> email)</w:t>
      </w:r>
    </w:p>
    <w:p w:rsidR="00E31D99" w:rsidRPr="00E31D99" w:rsidP="00E31D99" w14:paraId="5C6F00E7" w14:textId="77777777">
      <w:pPr>
        <w:pStyle w:val="NormalWeb"/>
        <w:rPr>
          <w:color w:val="000000" w:themeColor="text1"/>
        </w:rPr>
      </w:pPr>
    </w:p>
    <w:p w:rsidR="007C4E38" w:rsidRPr="006A0331" w:rsidP="007C4E38" w14:paraId="5D0AFA62" w14:textId="77777777">
      <w:pPr>
        <w:rPr>
          <w:rFonts w:ascii="Times New Roman" w:hAnsi="Times New Roman" w:cs="Times New Roman"/>
        </w:rPr>
        <w:sectPr w:rsidSect="009B580E">
          <w:footerReference w:type="even" r:id="rId7"/>
          <w:footerReference w:type="default" r:id="rId8"/>
          <w:pgSz w:w="12240" w:h="15840"/>
          <w:pgMar w:top="1440" w:right="1800" w:bottom="1440" w:left="1800" w:header="720" w:footer="720" w:gutter="0"/>
          <w:pgNumType w:start="1"/>
          <w:cols w:space="720"/>
          <w:docGrid w:linePitch="360"/>
        </w:sectPr>
      </w:pPr>
    </w:p>
    <w:p w:rsidR="007C4E38" w:rsidRPr="006A0331" w:rsidP="007C4E38" w14:paraId="09345FDD" w14:textId="77777777">
      <w:pPr>
        <w:jc w:val="center"/>
        <w:rPr>
          <w:rFonts w:ascii="Times New Roman" w:hAnsi="Times New Roman" w:cs="Times New Roman"/>
          <w:b/>
          <w:bCs/>
          <w:u w:val="single"/>
        </w:rPr>
      </w:pPr>
      <w:r w:rsidRPr="006A0331">
        <w:rPr>
          <w:rFonts w:ascii="Times New Roman" w:hAnsi="Times New Roman" w:cs="Times New Roman"/>
          <w:b/>
          <w:bCs/>
          <w:u w:val="single"/>
        </w:rPr>
        <w:t>CERTIFICATE OF SERVICE</w:t>
      </w:r>
    </w:p>
    <w:p w:rsidR="007C4E38" w:rsidRPr="006A0331" w:rsidP="007C4E38" w14:paraId="394E6818" w14:textId="2F0B4FF3">
      <w:pPr>
        <w:spacing w:line="480" w:lineRule="atLeast"/>
        <w:rPr>
          <w:rFonts w:ascii="Times New Roman" w:hAnsi="Times New Roman" w:cs="Times New Roman"/>
        </w:rPr>
      </w:pPr>
      <w:r w:rsidRPr="006A0331">
        <w:rPr>
          <w:rFonts w:ascii="Times New Roman" w:hAnsi="Times New Roman" w:cs="Times New Roman"/>
        </w:rPr>
        <w:tab/>
        <w:t xml:space="preserve">I hereby certify that a copy of this </w:t>
      </w:r>
      <w:r w:rsidR="005F5B2C">
        <w:rPr>
          <w:rFonts w:ascii="Times New Roman" w:hAnsi="Times New Roman" w:cs="Times New Roman"/>
          <w:iCs/>
        </w:rPr>
        <w:t>Reply</w:t>
      </w:r>
      <w:r>
        <w:rPr>
          <w:rFonts w:ascii="Times New Roman" w:hAnsi="Times New Roman" w:cs="Times New Roman"/>
          <w:iCs/>
        </w:rPr>
        <w:t xml:space="preserve"> Brief </w:t>
      </w:r>
      <w:r w:rsidRPr="006A0331">
        <w:rPr>
          <w:rFonts w:ascii="Times New Roman" w:hAnsi="Times New Roman" w:cs="Times New Roman"/>
        </w:rPr>
        <w:t>was served on the persons stated below</w:t>
      </w:r>
      <w:r w:rsidRPr="006A0331">
        <w:rPr>
          <w:rFonts w:ascii="Times New Roman" w:hAnsi="Times New Roman" w:cs="Times New Roman"/>
          <w:iCs/>
        </w:rPr>
        <w:t xml:space="preserve"> via </w:t>
      </w:r>
      <w:r w:rsidRPr="006A0331">
        <w:rPr>
          <w:rFonts w:ascii="Times New Roman" w:hAnsi="Times New Roman" w:cs="Times New Roman"/>
        </w:rPr>
        <w:t xml:space="preserve">electronic transmission, this </w:t>
      </w:r>
      <w:r w:rsidR="005F5B2C">
        <w:rPr>
          <w:rFonts w:ascii="Times New Roman" w:hAnsi="Times New Roman" w:cs="Times New Roman"/>
        </w:rPr>
        <w:t>5t</w:t>
      </w:r>
      <w:r>
        <w:rPr>
          <w:rFonts w:ascii="Times New Roman" w:hAnsi="Times New Roman" w:cs="Times New Roman"/>
        </w:rPr>
        <w:t>h</w:t>
      </w:r>
      <w:r w:rsidRPr="006A0331">
        <w:rPr>
          <w:rFonts w:ascii="Times New Roman" w:hAnsi="Times New Roman" w:cs="Times New Roman"/>
        </w:rPr>
        <w:t xml:space="preserve"> day of </w:t>
      </w:r>
      <w:r w:rsidR="005F5B2C">
        <w:rPr>
          <w:rFonts w:ascii="Times New Roman" w:hAnsi="Times New Roman" w:cs="Times New Roman"/>
        </w:rPr>
        <w:t>October</w:t>
      </w:r>
      <w:r w:rsidRPr="006A0331">
        <w:rPr>
          <w:rFonts w:ascii="Times New Roman" w:hAnsi="Times New Roman" w:cs="Times New Roman"/>
        </w:rPr>
        <w:t xml:space="preserve"> 2022.</w:t>
      </w:r>
    </w:p>
    <w:p w:rsidR="007C4E38" w:rsidRPr="006A0331" w:rsidP="007C4E38" w14:paraId="0FFC2D26" w14:textId="77777777">
      <w:pPr>
        <w:rPr>
          <w:rFonts w:ascii="Times New Roman" w:hAnsi="Times New Roman" w:cs="Times New Roman"/>
        </w:rPr>
      </w:pPr>
    </w:p>
    <w:p w:rsidR="007C4E38" w:rsidRPr="006A0331" w:rsidP="007C4E38" w14:paraId="585CC8C5" w14:textId="77777777">
      <w:pPr>
        <w:tabs>
          <w:tab w:val="left" w:pos="4320"/>
        </w:tabs>
        <w:rPr>
          <w:rFonts w:ascii="Times New Roman" w:hAnsi="Times New Roman" w:cs="Times New Roman"/>
          <w:i/>
          <w:iCs/>
          <w:u w:val="single"/>
        </w:rPr>
      </w:pPr>
      <w:r w:rsidRPr="006A0331">
        <w:rPr>
          <w:rFonts w:ascii="Times New Roman" w:hAnsi="Times New Roman" w:cs="Times New Roman"/>
        </w:rPr>
        <w:tab/>
      </w:r>
      <w:r w:rsidRPr="006A0331">
        <w:rPr>
          <w:rFonts w:ascii="Times New Roman" w:hAnsi="Times New Roman" w:cs="Times New Roman"/>
          <w:i/>
          <w:iCs/>
          <w:u w:val="single"/>
        </w:rPr>
        <w:t>/s/ William J. Michael</w:t>
      </w:r>
      <w:r w:rsidRPr="006A0331">
        <w:rPr>
          <w:rFonts w:ascii="Times New Roman" w:hAnsi="Times New Roman" w:cs="Times New Roman"/>
          <w:i/>
          <w:iCs/>
          <w:u w:val="single"/>
        </w:rPr>
        <w:tab/>
      </w:r>
      <w:r w:rsidRPr="006A0331">
        <w:rPr>
          <w:rFonts w:ascii="Times New Roman" w:hAnsi="Times New Roman" w:cs="Times New Roman"/>
          <w:i/>
          <w:iCs/>
          <w:u w:val="single"/>
        </w:rPr>
        <w:tab/>
      </w:r>
    </w:p>
    <w:p w:rsidR="007C4E38" w:rsidRPr="006A0331" w:rsidP="007C4E38" w14:paraId="7A8F0FB8" w14:textId="77777777">
      <w:pPr>
        <w:tabs>
          <w:tab w:val="left" w:pos="4320"/>
        </w:tabs>
        <w:rPr>
          <w:rFonts w:ascii="Times New Roman" w:hAnsi="Times New Roman" w:cs="Times New Roman"/>
        </w:rPr>
      </w:pPr>
      <w:r w:rsidRPr="006A0331">
        <w:rPr>
          <w:rFonts w:ascii="Times New Roman" w:hAnsi="Times New Roman" w:cs="Times New Roman"/>
        </w:rPr>
        <w:tab/>
        <w:t>William J. Michael</w:t>
      </w:r>
    </w:p>
    <w:p w:rsidR="007C4E38" w:rsidRPr="006A0331" w:rsidP="007C4E38" w14:paraId="5D5B0419" w14:textId="77777777">
      <w:pPr>
        <w:tabs>
          <w:tab w:val="left" w:pos="4320"/>
        </w:tabs>
        <w:rPr>
          <w:rFonts w:ascii="Times New Roman" w:hAnsi="Times New Roman" w:cs="Times New Roman"/>
        </w:rPr>
      </w:pPr>
      <w:r w:rsidRPr="006A0331">
        <w:rPr>
          <w:rFonts w:ascii="Times New Roman" w:hAnsi="Times New Roman" w:cs="Times New Roman"/>
        </w:rPr>
        <w:tab/>
        <w:t>Assistant Consumers’ Counsel</w:t>
      </w:r>
    </w:p>
    <w:p w:rsidR="007C4E38" w:rsidRPr="006A0331" w:rsidP="007C4E38" w14:paraId="07B90F79" w14:textId="77777777">
      <w:pPr>
        <w:pStyle w:val="CommentSubject"/>
        <w:rPr>
          <w:rFonts w:ascii="Times New Roman" w:hAnsi="Times New Roman" w:cs="Times New Roman"/>
          <w:sz w:val="24"/>
          <w:szCs w:val="24"/>
        </w:rPr>
      </w:pPr>
    </w:p>
    <w:p w:rsidR="007C4E38" w:rsidRPr="006A0331" w:rsidP="007C4E38" w14:paraId="61934702" w14:textId="77777777">
      <w:pPr>
        <w:rPr>
          <w:rFonts w:ascii="Times New Roman" w:hAnsi="Times New Roman" w:cs="Times New Roman"/>
        </w:rPr>
      </w:pPr>
      <w:r w:rsidRPr="006A0331">
        <w:rPr>
          <w:rFonts w:ascii="Times New Roman" w:hAnsi="Times New Roman" w:cs="Times New Roman"/>
        </w:rPr>
        <w:t>The PUCO’s e-filing system will electronically serve notice of the filing of this document on the following parties:</w:t>
      </w:r>
    </w:p>
    <w:p w:rsidR="007C4E38" w:rsidRPr="006A0331" w:rsidP="007C4E38" w14:paraId="6A17FE73" w14:textId="77777777">
      <w:pPr>
        <w:pStyle w:val="CommentText"/>
        <w:rPr>
          <w:rFonts w:ascii="Times New Roman" w:hAnsi="Times New Roman" w:cs="Times New Roman"/>
          <w:sz w:val="24"/>
          <w:szCs w:val="24"/>
        </w:rPr>
      </w:pPr>
    </w:p>
    <w:p w:rsidR="005F5B2C" w:rsidRPr="00173913" w:rsidP="005F5B2C" w14:paraId="13D7B387" w14:textId="77777777">
      <w:pPr>
        <w:pStyle w:val="CommentText"/>
        <w:spacing w:after="0"/>
        <w:jc w:val="center"/>
        <w:rPr>
          <w:rFonts w:ascii="Times New Roman" w:hAnsi="Times New Roman" w:cs="Times New Roman"/>
          <w:b/>
          <w:sz w:val="24"/>
          <w:szCs w:val="24"/>
          <w:u w:val="single"/>
        </w:rPr>
      </w:pPr>
      <w:bookmarkStart w:id="0" w:name="_Hlk89680211"/>
      <w:r w:rsidRPr="00173913">
        <w:rPr>
          <w:rFonts w:ascii="Times New Roman" w:hAnsi="Times New Roman" w:cs="Times New Roman"/>
          <w:b/>
          <w:sz w:val="24"/>
          <w:szCs w:val="24"/>
          <w:u w:val="single"/>
        </w:rPr>
        <w:t>SERVICE LIST</w:t>
      </w:r>
    </w:p>
    <w:p w:rsidR="005F5B2C" w:rsidRPr="00173913" w:rsidP="005F5B2C" w14:paraId="550F0C12" w14:textId="77777777">
      <w:pPr>
        <w:pStyle w:val="CommentText"/>
        <w:spacing w:after="0"/>
        <w:jc w:val="center"/>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20"/>
        <w:gridCol w:w="4410"/>
      </w:tblGrid>
      <w:tr w14:paraId="5C82BB12" w14:textId="77777777" w:rsidTr="00CF056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320" w:type="dxa"/>
          </w:tcPr>
          <w:bookmarkEnd w:id="0"/>
          <w:p w:rsidR="005F5B2C" w:rsidRPr="0008663A" w:rsidP="00236344" w14:paraId="3D4EFA10" w14:textId="77777777">
            <w:pPr>
              <w:rPr>
                <w:color w:val="0000FF"/>
                <w:sz w:val="24"/>
                <w:szCs w:val="24"/>
                <w:u w:val="single"/>
              </w:rPr>
            </w:pPr>
            <w:r w:rsidRPr="00F653CE">
              <w:rPr>
                <w:color w:val="0000FF"/>
                <w:sz w:val="24"/>
                <w:szCs w:val="24"/>
                <w:u w:val="single"/>
              </w:rPr>
              <w:t>jodi.bair@ohioago.gov</w:t>
            </w:r>
          </w:p>
          <w:p w:rsidR="005F5B2C" w:rsidRPr="0008663A" w:rsidP="00236344" w14:paraId="19DC0464" w14:textId="77777777">
            <w:pPr>
              <w:rPr>
                <w:sz w:val="24"/>
                <w:szCs w:val="24"/>
              </w:rPr>
            </w:pPr>
            <w:hyperlink r:id="rId9" w:history="1">
              <w:r w:rsidRPr="0008663A">
                <w:rPr>
                  <w:color w:val="0000FF"/>
                  <w:sz w:val="24"/>
                  <w:szCs w:val="24"/>
                  <w:u w:val="single"/>
                </w:rPr>
                <w:t>sarah.feldkamp@ohioago.gov</w:t>
              </w:r>
            </w:hyperlink>
          </w:p>
          <w:p w:rsidR="005F5B2C" w:rsidRPr="0008663A" w:rsidP="00236344" w14:paraId="28A13C3B" w14:textId="77777777">
            <w:pPr>
              <w:spacing w:after="120"/>
              <w:rPr>
                <w:sz w:val="24"/>
                <w:szCs w:val="24"/>
              </w:rPr>
            </w:pPr>
          </w:p>
          <w:p w:rsidR="005F5B2C" w:rsidRPr="0008663A" w:rsidP="00236344" w14:paraId="4C907D59" w14:textId="77777777">
            <w:pPr>
              <w:rPr>
                <w:sz w:val="24"/>
                <w:szCs w:val="24"/>
              </w:rPr>
            </w:pPr>
            <w:r w:rsidRPr="0008663A">
              <w:rPr>
                <w:sz w:val="24"/>
                <w:szCs w:val="24"/>
              </w:rPr>
              <w:t>Attorney Examiner:</w:t>
            </w:r>
          </w:p>
          <w:p w:rsidR="005F5B2C" w:rsidRPr="0008663A" w:rsidP="00236344" w14:paraId="5E2597F8" w14:textId="77777777">
            <w:pPr>
              <w:rPr>
                <w:sz w:val="24"/>
                <w:szCs w:val="24"/>
              </w:rPr>
            </w:pPr>
            <w:hyperlink r:id="rId10" w:history="1">
              <w:r w:rsidRPr="0008663A">
                <w:rPr>
                  <w:color w:val="0000FF"/>
                  <w:sz w:val="24"/>
                  <w:szCs w:val="24"/>
                  <w:u w:val="single"/>
                </w:rPr>
                <w:t>jacqueline.st.john@puco.ohio.gov</w:t>
              </w:r>
            </w:hyperlink>
          </w:p>
          <w:p w:rsidR="005F5B2C" w:rsidRPr="0008663A" w:rsidP="00236344" w14:paraId="634400B9" w14:textId="77777777">
            <w:pPr>
              <w:spacing w:after="120"/>
              <w:rPr>
                <w:sz w:val="24"/>
                <w:szCs w:val="24"/>
              </w:rPr>
            </w:pPr>
            <w:r w:rsidRPr="0008663A">
              <w:rPr>
                <w:sz w:val="24"/>
                <w:szCs w:val="24"/>
              </w:rPr>
              <w:t xml:space="preserve"> </w:t>
            </w:r>
          </w:p>
        </w:tc>
        <w:tc>
          <w:tcPr>
            <w:tcW w:w="4410" w:type="dxa"/>
          </w:tcPr>
          <w:p w:rsidR="005F5B2C" w:rsidRPr="0008663A" w:rsidP="00CF0568" w14:paraId="42DCAE2C" w14:textId="77777777">
            <w:pPr>
              <w:autoSpaceDE w:val="0"/>
              <w:autoSpaceDN w:val="0"/>
              <w:adjustRightInd w:val="0"/>
              <w:ind w:left="69"/>
              <w:rPr>
                <w:sz w:val="24"/>
                <w:szCs w:val="24"/>
                <w:lang w:bidi="he-IL"/>
              </w:rPr>
            </w:pPr>
            <w:hyperlink r:id="rId11" w:history="1">
              <w:r w:rsidRPr="0008663A">
                <w:rPr>
                  <w:color w:val="0000FF"/>
                  <w:sz w:val="24"/>
                  <w:szCs w:val="24"/>
                  <w:u w:val="single"/>
                  <w:lang w:bidi="he-IL"/>
                </w:rPr>
                <w:t>kennedy@whitt-sturtevant.com</w:t>
              </w:r>
            </w:hyperlink>
          </w:p>
          <w:p w:rsidR="005F5B2C" w:rsidRPr="0008663A" w:rsidP="00CF0568" w14:paraId="27129638" w14:textId="77777777">
            <w:pPr>
              <w:spacing w:after="120"/>
              <w:ind w:left="69"/>
              <w:rPr>
                <w:sz w:val="24"/>
                <w:szCs w:val="24"/>
              </w:rPr>
            </w:pPr>
            <w:hyperlink r:id="rId12" w:history="1">
              <w:r w:rsidRPr="0008663A">
                <w:rPr>
                  <w:color w:val="0000FF"/>
                  <w:sz w:val="24"/>
                  <w:szCs w:val="24"/>
                  <w:u w:val="single"/>
                </w:rPr>
                <w:t>andrew.j.campbell@dominionenergy.com</w:t>
              </w:r>
            </w:hyperlink>
          </w:p>
          <w:p w:rsidR="005F5B2C" w:rsidRPr="0008663A" w:rsidP="00236344" w14:paraId="0F1999B8" w14:textId="77777777">
            <w:pPr>
              <w:spacing w:after="120"/>
              <w:ind w:left="553"/>
              <w:rPr>
                <w:sz w:val="24"/>
                <w:szCs w:val="24"/>
                <w:lang w:bidi="he-IL"/>
              </w:rPr>
            </w:pPr>
          </w:p>
          <w:p w:rsidR="005F5B2C" w:rsidRPr="0008663A" w:rsidP="00236344" w14:paraId="642AE43C" w14:textId="77777777">
            <w:pPr>
              <w:spacing w:after="120"/>
              <w:ind w:left="707"/>
              <w:rPr>
                <w:sz w:val="24"/>
                <w:szCs w:val="24"/>
              </w:rPr>
            </w:pPr>
          </w:p>
        </w:tc>
      </w:tr>
    </w:tbl>
    <w:p w:rsidR="0019785D" w:rsidRPr="00E31D99" w:rsidP="00245042" w14:paraId="54070E14" w14:textId="77777777">
      <w:pPr>
        <w:spacing w:line="480" w:lineRule="auto"/>
        <w:ind w:firstLine="360"/>
        <w:rPr>
          <w:rFonts w:ascii="Times New Roman" w:hAnsi="Times New Roman" w:cs="Times New Roman"/>
          <w:color w:val="000000" w:themeColor="text1"/>
        </w:rPr>
      </w:pPr>
    </w:p>
    <w:p w:rsidR="00A35EAA" w:rsidRPr="00E31D99" w:rsidP="00245042" w14:paraId="0F5603E1" w14:textId="77777777">
      <w:pPr>
        <w:spacing w:line="480" w:lineRule="auto"/>
        <w:ind w:firstLine="360"/>
        <w:rPr>
          <w:rFonts w:ascii="Times New Roman" w:hAnsi="Times New Roman" w:cs="Times New Roman"/>
          <w:color w:val="000000" w:themeColor="text1"/>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966576886"/>
      <w:docPartObj>
        <w:docPartGallery w:val="Page Numbers (Bottom of Page)"/>
        <w:docPartUnique/>
      </w:docPartObj>
    </w:sdtPr>
    <w:sdtEndPr>
      <w:rPr>
        <w:rStyle w:val="PageNumber"/>
      </w:rPr>
    </w:sdtEndPr>
    <w:sdtContent>
      <w:p w:rsidR="007C4E38" w:rsidP="00E7207C" w14:paraId="72E78FE0" w14:textId="6C4347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C4E38" w14:paraId="3229F2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652798473"/>
      <w:docPartObj>
        <w:docPartGallery w:val="Page Numbers (Bottom of Page)"/>
        <w:docPartUnique/>
      </w:docPartObj>
    </w:sdtPr>
    <w:sdtEndPr>
      <w:rPr>
        <w:rStyle w:val="PageNumber"/>
      </w:rPr>
    </w:sdtEndPr>
    <w:sdtContent>
      <w:p w:rsidR="007C4E38" w:rsidP="00E7207C" w14:paraId="5D5542E9" w14:textId="66BFAE8E">
        <w:pPr>
          <w:pStyle w:val="Footer"/>
          <w:framePr w:wrap="none" w:vAnchor="text" w:hAnchor="margin" w:xAlign="center" w:y="1"/>
          <w:rPr>
            <w:rStyle w:val="PageNumber"/>
          </w:rPr>
        </w:pPr>
        <w:r w:rsidRPr="007C4E38">
          <w:rPr>
            <w:rStyle w:val="PageNumber"/>
            <w:rFonts w:ascii="Times New Roman" w:hAnsi="Times New Roman" w:cs="Times New Roman"/>
          </w:rPr>
          <w:fldChar w:fldCharType="begin"/>
        </w:r>
        <w:r w:rsidRPr="007C4E38">
          <w:rPr>
            <w:rStyle w:val="PageNumber"/>
            <w:rFonts w:ascii="Times New Roman" w:hAnsi="Times New Roman" w:cs="Times New Roman"/>
          </w:rPr>
          <w:instrText xml:space="preserve"> PAGE </w:instrText>
        </w:r>
        <w:r w:rsidRPr="007C4E38">
          <w:rPr>
            <w:rStyle w:val="PageNumber"/>
            <w:rFonts w:ascii="Times New Roman" w:hAnsi="Times New Roman" w:cs="Times New Roman"/>
          </w:rPr>
          <w:fldChar w:fldCharType="separate"/>
        </w:r>
        <w:r w:rsidRPr="007C4E38">
          <w:rPr>
            <w:rStyle w:val="PageNumber"/>
            <w:rFonts w:ascii="Times New Roman" w:hAnsi="Times New Roman" w:cs="Times New Roman"/>
            <w:noProof/>
          </w:rPr>
          <w:t>1</w:t>
        </w:r>
        <w:r w:rsidRPr="007C4E38">
          <w:rPr>
            <w:rStyle w:val="PageNumber"/>
            <w:rFonts w:ascii="Times New Roman" w:hAnsi="Times New Roman" w:cs="Times New Roman"/>
          </w:rPr>
          <w:fldChar w:fldCharType="end"/>
        </w:r>
      </w:p>
    </w:sdtContent>
  </w:sdt>
  <w:p w:rsidR="007C4E38" w14:paraId="06B3E5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663B" w:rsidP="007C4E38" w14:paraId="43BB832E" w14:textId="77777777">
      <w:r>
        <w:separator/>
      </w:r>
    </w:p>
  </w:footnote>
  <w:footnote w:type="continuationSeparator" w:id="1">
    <w:p w:rsidR="00A5663B" w:rsidP="007C4E38" w14:paraId="3AD48F80" w14:textId="77777777">
      <w:r>
        <w:continuationSeparator/>
      </w:r>
    </w:p>
  </w:footnote>
  <w:footnote w:id="2">
    <w:p w:rsidR="00B12534" w:rsidP="00CF0568" w14:paraId="39CB5435" w14:textId="5D83041F">
      <w:pPr>
        <w:pStyle w:val="FootnoteText"/>
        <w:spacing w:after="120"/>
      </w:pPr>
      <w:r>
        <w:rPr>
          <w:rStyle w:val="FootnoteReference"/>
        </w:rPr>
        <w:footnoteRef/>
      </w:r>
      <w:r>
        <w:t xml:space="preserve"> East Ohio Gas Company d/b/a/ Dominion Energy Ohio. </w:t>
      </w:r>
    </w:p>
  </w:footnote>
  <w:footnote w:id="3">
    <w:p w:rsidR="00D71E7F" w:rsidRPr="00D71E7F" w:rsidP="00CF0568" w14:paraId="609A3FE0" w14:textId="10AB7DDA">
      <w:pPr>
        <w:pStyle w:val="FootnoteText"/>
        <w:spacing w:after="120"/>
      </w:pPr>
      <w:r>
        <w:rPr>
          <w:rStyle w:val="FootnoteReference"/>
        </w:rPr>
        <w:footnoteRef/>
      </w:r>
      <w:r>
        <w:t xml:space="preserve"> </w:t>
      </w:r>
      <w:r w:rsidR="00345A44">
        <w:rPr>
          <w:i/>
          <w:iCs/>
        </w:rPr>
        <w:t xml:space="preserve">In the Matter of the East Ohio Gas Company d/b/a Dominion Energy Ohio for </w:t>
      </w:r>
      <w:r w:rsidR="0000673F">
        <w:rPr>
          <w:i/>
          <w:iCs/>
        </w:rPr>
        <w:t>A</w:t>
      </w:r>
      <w:r w:rsidR="00345A44">
        <w:rPr>
          <w:i/>
          <w:iCs/>
        </w:rPr>
        <w:t>uthority to Adjust Its Capital Expenditure Program Rider Charges</w:t>
      </w:r>
      <w:r w:rsidRPr="0000673F" w:rsidR="00345A44">
        <w:t>,</w:t>
      </w:r>
      <w:r w:rsidR="00345A44">
        <w:rPr>
          <w:i/>
          <w:iCs/>
        </w:rPr>
        <w:t xml:space="preserve"> </w:t>
      </w:r>
      <w:r w:rsidR="00345A44">
        <w:t>Case No. 22-619-GA-RDR, Application of Dominion (April 1, 2022) (“Application”) at</w:t>
      </w:r>
      <w:r>
        <w:t xml:space="preserve"> Attachment A, Schedule </w:t>
      </w:r>
      <w:r w:rsidR="0000673F">
        <w:t>2</w:t>
      </w:r>
      <w:r>
        <w:t xml:space="preserve">. </w:t>
      </w:r>
    </w:p>
  </w:footnote>
  <w:footnote w:id="4">
    <w:p w:rsidR="00D71E7F" w:rsidP="00CF0568" w14:paraId="7CC4DDD0" w14:textId="77777777">
      <w:pPr>
        <w:pStyle w:val="FootnoteText"/>
        <w:spacing w:after="120"/>
      </w:pPr>
      <w:r>
        <w:rPr>
          <w:rStyle w:val="FootnoteReference"/>
        </w:rPr>
        <w:footnoteRef/>
      </w:r>
      <w:r>
        <w:t xml:space="preserve"> </w:t>
      </w:r>
      <w:r>
        <w:rPr>
          <w:i/>
          <w:iCs/>
        </w:rPr>
        <w:t>See</w:t>
      </w:r>
      <w:r>
        <w:t xml:space="preserve"> Case No. 07-829-GA-RDR.</w:t>
      </w:r>
    </w:p>
  </w:footnote>
  <w:footnote w:id="5">
    <w:p w:rsidR="00345A44" w:rsidRPr="00B12534" w:rsidP="00CF0568" w14:paraId="4417603F" w14:textId="2D0AD192">
      <w:pPr>
        <w:pStyle w:val="FootnoteText"/>
        <w:spacing w:after="120"/>
      </w:pPr>
      <w:r>
        <w:rPr>
          <w:rStyle w:val="FootnoteReference"/>
        </w:rPr>
        <w:footnoteRef/>
      </w:r>
      <w:r>
        <w:t xml:space="preserve"> </w:t>
      </w:r>
      <w:r w:rsidR="0000673F">
        <w:t xml:space="preserve">Application at Attachment A, Schedule 1. </w:t>
      </w:r>
    </w:p>
  </w:footnote>
  <w:footnote w:id="6">
    <w:p w:rsidR="00345A44" w:rsidP="00CF0568" w14:paraId="4395D986" w14:textId="4461D2A2">
      <w:pPr>
        <w:pStyle w:val="FootnoteText"/>
        <w:spacing w:after="120"/>
      </w:pPr>
      <w:r>
        <w:rPr>
          <w:rStyle w:val="FootnoteReference"/>
        </w:rPr>
        <w:footnoteRef/>
      </w:r>
      <w:r>
        <w:t xml:space="preserve"> Direct Testimony of Dr. Daniel Duann on Behalf of the Ohio Consumers’ Counsel at 13 (August 31, 2022) (“Dr. Duann Direct”).</w:t>
      </w:r>
    </w:p>
  </w:footnote>
  <w:footnote w:id="7">
    <w:p w:rsidR="009D07E3" w:rsidP="00CF0568" w14:paraId="2255FCD3" w14:textId="1BF81AF0">
      <w:pPr>
        <w:pStyle w:val="FootnoteText"/>
        <w:spacing w:after="120"/>
      </w:pPr>
      <w:r>
        <w:rPr>
          <w:rStyle w:val="FootnoteReference"/>
        </w:rPr>
        <w:footnoteRef/>
      </w:r>
      <w:r>
        <w:t xml:space="preserve"> </w:t>
      </w:r>
      <w:r w:rsidR="00DD7F92">
        <w:t>Initial Brief of Dominion Energy Ohio (“Dominion Brief”), at 7.</w:t>
      </w:r>
      <w:r w:rsidR="00E96588">
        <w:t xml:space="preserve"> </w:t>
      </w:r>
    </w:p>
  </w:footnote>
  <w:footnote w:id="8">
    <w:p w:rsidR="007F002B" w:rsidP="00CF0568" w14:paraId="0B67C842" w14:textId="074CA05C">
      <w:pPr>
        <w:pStyle w:val="FootnoteText"/>
        <w:spacing w:after="120"/>
      </w:pPr>
      <w:r>
        <w:rPr>
          <w:rStyle w:val="FootnoteReference"/>
        </w:rPr>
        <w:footnoteRef/>
      </w:r>
      <w:r>
        <w:t xml:space="preserve"> </w:t>
      </w:r>
      <w:r w:rsidR="00DD7F92">
        <w:t>Dominion Brief at 7.</w:t>
      </w:r>
    </w:p>
  </w:footnote>
  <w:footnote w:id="9">
    <w:p w:rsidR="004D75FD" w:rsidP="00CF0568" w14:paraId="0485A625" w14:textId="1D07538D">
      <w:pPr>
        <w:pStyle w:val="FootnoteText"/>
        <w:spacing w:after="120"/>
      </w:pPr>
      <w:r>
        <w:rPr>
          <w:rStyle w:val="FootnoteReference"/>
        </w:rPr>
        <w:footnoteRef/>
      </w:r>
      <w:r>
        <w:t xml:space="preserve"> </w:t>
      </w:r>
      <w:r w:rsidR="00DD7F92">
        <w:t>R.C. 4905.22.</w:t>
      </w:r>
    </w:p>
  </w:footnote>
  <w:footnote w:id="10">
    <w:p w:rsidR="004D75FD" w:rsidP="00CF0568" w14:paraId="3A46583C" w14:textId="102A01CD">
      <w:pPr>
        <w:pStyle w:val="FootnoteText"/>
        <w:spacing w:after="120"/>
      </w:pPr>
      <w:r>
        <w:rPr>
          <w:rStyle w:val="FootnoteReference"/>
        </w:rPr>
        <w:footnoteRef/>
      </w:r>
      <w:r>
        <w:t xml:space="preserve"> </w:t>
      </w:r>
      <w:r w:rsidR="00DD7F92">
        <w:t xml:space="preserve">Dominion Brief at 7. </w:t>
      </w:r>
    </w:p>
  </w:footnote>
  <w:footnote w:id="11">
    <w:p w:rsidR="00577D16" w:rsidP="00CF0568" w14:paraId="1B0FD000" w14:textId="614BC98C">
      <w:pPr>
        <w:pStyle w:val="FootnoteText"/>
        <w:spacing w:after="120"/>
      </w:pPr>
      <w:r>
        <w:rPr>
          <w:rStyle w:val="FootnoteReference"/>
        </w:rPr>
        <w:footnoteRef/>
      </w:r>
      <w:r>
        <w:t xml:space="preserve"> Direct Testimony of Kerry Adkins on Behalf of the Ohio Consumer’ Counsel at 9 (August 31, 2022). </w:t>
      </w:r>
    </w:p>
  </w:footnote>
  <w:footnote w:id="12">
    <w:p w:rsidR="001443E9" w:rsidP="00CF0568" w14:paraId="3B242906" w14:textId="3FC5D581">
      <w:pPr>
        <w:pStyle w:val="FootnoteText"/>
        <w:spacing w:after="120"/>
      </w:pPr>
      <w:r>
        <w:rPr>
          <w:rStyle w:val="FootnoteReference"/>
        </w:rPr>
        <w:footnoteRef/>
      </w:r>
      <w:r>
        <w:t xml:space="preserve"> </w:t>
      </w:r>
      <w:r w:rsidR="00345A44">
        <w:t xml:space="preserve">Dr. Duann Direct at 4. </w:t>
      </w:r>
    </w:p>
  </w:footnote>
  <w:footnote w:id="13">
    <w:p w:rsidR="00577D16" w:rsidRPr="00577D16" w:rsidP="00CF0568" w14:paraId="7E24ABC1" w14:textId="70283E05">
      <w:pPr>
        <w:pStyle w:val="FootnoteText"/>
        <w:spacing w:after="120"/>
        <w:rPr>
          <w:i/>
          <w:iCs/>
        </w:rPr>
      </w:pPr>
      <w:r>
        <w:rPr>
          <w:rStyle w:val="FootnoteReference"/>
        </w:rPr>
        <w:footnoteRef/>
      </w:r>
      <w:r>
        <w:t xml:space="preserve"> </w:t>
      </w:r>
      <w:r>
        <w:rPr>
          <w:i/>
          <w:iCs/>
        </w:rPr>
        <w:t xml:space="preserve">Id. </w:t>
      </w:r>
    </w:p>
  </w:footnote>
  <w:footnote w:id="14">
    <w:p w:rsidR="001443E9" w:rsidRPr="001443E9" w:rsidP="00CF0568" w14:paraId="34745940" w14:textId="72B760A2">
      <w:pPr>
        <w:pStyle w:val="FootnoteText"/>
        <w:spacing w:after="120"/>
        <w:rPr>
          <w:i/>
          <w:iCs/>
        </w:rPr>
      </w:pPr>
      <w:r>
        <w:rPr>
          <w:rStyle w:val="FootnoteReference"/>
        </w:rPr>
        <w:footnoteRef/>
      </w:r>
      <w:r>
        <w:t xml:space="preserve"> </w:t>
      </w:r>
      <w:r>
        <w:rPr>
          <w:i/>
          <w:iCs/>
        </w:rPr>
        <w:t xml:space="preserve">Id. </w:t>
      </w:r>
    </w:p>
  </w:footnote>
  <w:footnote w:id="15">
    <w:p w:rsidR="005C60CB" w:rsidRPr="005C60CB" w:rsidP="00CF0568" w14:paraId="3AB0EAEB" w14:textId="3EC73574">
      <w:pPr>
        <w:pStyle w:val="FootnoteText"/>
        <w:spacing w:after="120"/>
      </w:pPr>
      <w:r>
        <w:rPr>
          <w:rStyle w:val="FootnoteReference"/>
        </w:rPr>
        <w:footnoteRef/>
      </w:r>
      <w:r>
        <w:t xml:space="preserve"> </w:t>
      </w:r>
      <w:r>
        <w:rPr>
          <w:i/>
          <w:iCs/>
        </w:rPr>
        <w:t xml:space="preserve">Id. </w:t>
      </w:r>
      <w:r>
        <w:t xml:space="preserve">at 5. </w:t>
      </w:r>
    </w:p>
  </w:footnote>
  <w:footnote w:id="16">
    <w:p w:rsidR="005C60CB" w:rsidRPr="005C60CB" w:rsidP="00CF0568" w14:paraId="6478ECB1" w14:textId="11BEEC7F">
      <w:pPr>
        <w:pStyle w:val="FootnoteText"/>
        <w:spacing w:after="120"/>
      </w:pPr>
      <w:r>
        <w:rPr>
          <w:rStyle w:val="FootnoteReference"/>
        </w:rPr>
        <w:footnoteRef/>
      </w:r>
      <w:r>
        <w:t xml:space="preserve"> </w:t>
      </w:r>
      <w:r>
        <w:rPr>
          <w:i/>
          <w:iCs/>
        </w:rPr>
        <w:t xml:space="preserve">Id. </w:t>
      </w:r>
      <w:r>
        <w:t xml:space="preserve">at 5-6, 10. </w:t>
      </w:r>
    </w:p>
  </w:footnote>
  <w:footnote w:id="17">
    <w:p w:rsidR="00656E59" w:rsidRPr="00656E59" w:rsidP="00CF0568" w14:paraId="33EC033D" w14:textId="6DCCE939">
      <w:pPr>
        <w:pStyle w:val="FootnoteText"/>
        <w:spacing w:after="120"/>
      </w:pPr>
      <w:r>
        <w:rPr>
          <w:rStyle w:val="FootnoteReference"/>
        </w:rPr>
        <w:footnoteRef/>
      </w:r>
      <w:r>
        <w:t xml:space="preserve"> </w:t>
      </w:r>
      <w:r>
        <w:rPr>
          <w:i/>
          <w:iCs/>
        </w:rPr>
        <w:t xml:space="preserve">Id. </w:t>
      </w:r>
      <w:r>
        <w:t xml:space="preserve">at 5. </w:t>
      </w:r>
    </w:p>
  </w:footnote>
  <w:footnote w:id="18">
    <w:p w:rsidR="001B775B" w:rsidRPr="001B775B" w:rsidP="00CF0568" w14:paraId="312EA5FC" w14:textId="21CC4880">
      <w:pPr>
        <w:pStyle w:val="FootnoteText"/>
        <w:spacing w:after="120"/>
      </w:pPr>
      <w:r>
        <w:rPr>
          <w:rStyle w:val="FootnoteReference"/>
        </w:rPr>
        <w:footnoteRef/>
      </w:r>
      <w:r>
        <w:t xml:space="preserve"> Dominion Brief at 8.</w:t>
      </w:r>
    </w:p>
  </w:footnote>
  <w:footnote w:id="19">
    <w:p w:rsidR="001B775B" w:rsidRPr="001B775B" w:rsidP="00CF0568" w14:paraId="438A1B7A" w14:textId="37430965">
      <w:pPr>
        <w:pStyle w:val="FootnoteText"/>
        <w:spacing w:after="120"/>
        <w:rPr>
          <w:i/>
          <w:iCs/>
        </w:rPr>
      </w:pPr>
      <w:r>
        <w:rPr>
          <w:rStyle w:val="FootnoteReference"/>
        </w:rPr>
        <w:footnoteRef/>
      </w:r>
      <w:r>
        <w:t xml:space="preserve"> </w:t>
      </w:r>
      <w:r>
        <w:rPr>
          <w:i/>
          <w:iCs/>
        </w:rPr>
        <w:t xml:space="preserve">Id. </w:t>
      </w:r>
    </w:p>
  </w:footnote>
  <w:footnote w:id="20">
    <w:p w:rsidR="001B775B" w:rsidRPr="001B775B" w:rsidP="00CF0568" w14:paraId="47A1E07D" w14:textId="66C746B7">
      <w:pPr>
        <w:pStyle w:val="FootnoteText"/>
        <w:spacing w:after="120"/>
      </w:pPr>
      <w:r>
        <w:rPr>
          <w:rStyle w:val="FootnoteReference"/>
        </w:rPr>
        <w:footnoteRef/>
      </w:r>
      <w:r>
        <w:t xml:space="preserve"> </w:t>
      </w:r>
      <w:r>
        <w:rPr>
          <w:i/>
          <w:iCs/>
        </w:rPr>
        <w:t xml:space="preserve">Id. </w:t>
      </w:r>
      <w:r>
        <w:t>at 9.</w:t>
      </w:r>
    </w:p>
  </w:footnote>
  <w:footnote w:id="21">
    <w:p w:rsidR="001B775B" w:rsidRPr="001B775B" w:rsidP="00CF0568" w14:paraId="00D1E1FB" w14:textId="5538BCB2">
      <w:pPr>
        <w:pStyle w:val="FootnoteText"/>
        <w:spacing w:after="120"/>
      </w:pPr>
      <w:r>
        <w:rPr>
          <w:rStyle w:val="FootnoteReference"/>
        </w:rPr>
        <w:footnoteRef/>
      </w:r>
      <w:r>
        <w:t xml:space="preserve"> Application </w:t>
      </w:r>
      <w:r w:rsidR="00577DA2">
        <w:t>at Attachment A, Schedule 1.</w:t>
      </w:r>
      <w:r w:rsidR="00E96588">
        <w:t xml:space="preserve"> </w:t>
      </w:r>
    </w:p>
  </w:footnote>
  <w:footnote w:id="22">
    <w:p w:rsidR="001B775B" w:rsidP="00CF0568" w14:paraId="19CB2BC8" w14:textId="0E462480">
      <w:pPr>
        <w:pStyle w:val="FootnoteText"/>
        <w:spacing w:after="120"/>
      </w:pPr>
      <w:r>
        <w:rPr>
          <w:rStyle w:val="FootnoteReference"/>
        </w:rPr>
        <w:footnoteRef/>
      </w:r>
      <w:r>
        <w:t xml:space="preserve"> Dominion Brief at 7.</w:t>
      </w:r>
    </w:p>
  </w:footnote>
  <w:footnote w:id="23">
    <w:p w:rsidR="0070643E" w:rsidP="00CF0568" w14:paraId="4F6A5289" w14:textId="6E23536C">
      <w:pPr>
        <w:pStyle w:val="FootnoteText"/>
        <w:spacing w:after="120"/>
      </w:pPr>
      <w:r>
        <w:rPr>
          <w:rStyle w:val="FootnoteReference"/>
        </w:rPr>
        <w:footnoteRef/>
      </w:r>
      <w:r>
        <w:t xml:space="preserve"> </w:t>
      </w:r>
      <w:r w:rsidRPr="00CA04D1">
        <w:rPr>
          <w:i/>
          <w:iCs/>
        </w:rPr>
        <w:t>Cleveland Electric Illuminating Co. v. Pub Util. Comm.</w:t>
      </w:r>
      <w:r>
        <w:t xml:space="preserve">, 42 Ohio St.2d 403, 431 (1975), superseded on other grounds (by statute), as recognized in </w:t>
      </w:r>
      <w:r w:rsidRPr="00CA04D1">
        <w:rPr>
          <w:i/>
          <w:iCs/>
        </w:rPr>
        <w:t>Babbit v. Pub. Util. Comm</w:t>
      </w:r>
      <w:r>
        <w:t>., 59 Ohio St.2d 81, 89 (1979).</w:t>
      </w:r>
    </w:p>
  </w:footnote>
  <w:footnote w:id="24">
    <w:p w:rsidR="0070643E" w:rsidP="00CF0568" w14:paraId="60F099AB" w14:textId="76FDF18E">
      <w:pPr>
        <w:pStyle w:val="FootnoteText"/>
        <w:spacing w:after="120"/>
      </w:pPr>
      <w:r>
        <w:rPr>
          <w:rStyle w:val="FootnoteReference"/>
        </w:rPr>
        <w:footnoteRef/>
      </w:r>
      <w:r>
        <w:t xml:space="preserve"> </w:t>
      </w:r>
      <w:r w:rsidRPr="006F05B8">
        <w:rPr>
          <w:i/>
          <w:iCs/>
        </w:rPr>
        <w:t>Ohio Consumers’ Counsel v. Pub. Util. Comm</w:t>
      </w:r>
      <w:r>
        <w:t>., 10 Ohio St.3d 49, 50-51 (1984).</w:t>
      </w:r>
    </w:p>
  </w:footnote>
  <w:footnote w:id="25">
    <w:p w:rsidR="0070643E" w:rsidP="00CF0568" w14:paraId="6F7EBC5C" w14:textId="083D66F0">
      <w:pPr>
        <w:pStyle w:val="FootnoteText"/>
        <w:spacing w:after="120"/>
      </w:pPr>
      <w:r>
        <w:rPr>
          <w:rStyle w:val="FootnoteReference"/>
        </w:rPr>
        <w:footnoteRef/>
      </w:r>
      <w:r>
        <w:t xml:space="preserve"> </w:t>
      </w:r>
      <w:r w:rsidRPr="006F05B8">
        <w:rPr>
          <w:i/>
          <w:iCs/>
        </w:rPr>
        <w:t>In re Application of Columbus S. Power Co</w:t>
      </w:r>
      <w:r>
        <w:t>., 128 Ohio St.3d 512, 2011-Ohio-1788, 947 N.E.2d 655, ¶52.</w:t>
      </w:r>
    </w:p>
  </w:footnote>
  <w:footnote w:id="26">
    <w:p w:rsidR="0070643E" w:rsidP="00CF0568" w14:paraId="76E2B27C" w14:textId="6ED34599">
      <w:pPr>
        <w:pStyle w:val="FootnoteText"/>
        <w:spacing w:after="120"/>
      </w:pPr>
      <w:r>
        <w:rPr>
          <w:rStyle w:val="FootnoteReference"/>
        </w:rPr>
        <w:footnoteRef/>
      </w:r>
      <w:r>
        <w:t xml:space="preserve"> Case No. 05-1194-EL-UNC.</w:t>
      </w:r>
    </w:p>
  </w:footnote>
  <w:footnote w:id="27">
    <w:p w:rsidR="0070643E" w:rsidP="00CF0568" w14:paraId="00FDF4D0" w14:textId="06C3C89B">
      <w:pPr>
        <w:pStyle w:val="FootnoteText"/>
        <w:spacing w:after="120"/>
      </w:pPr>
      <w:r>
        <w:rPr>
          <w:rStyle w:val="FootnoteReference"/>
        </w:rPr>
        <w:footnoteRef/>
      </w:r>
      <w:r>
        <w:t xml:space="preserve"> </w:t>
      </w:r>
      <w:r>
        <w:rPr>
          <w:i/>
          <w:iCs/>
        </w:rPr>
        <w:t xml:space="preserve">Id. </w:t>
      </w:r>
      <w:r>
        <w:t>at Finding and Order (December 14, 2005) at a paras. 7, 8.</w:t>
      </w:r>
    </w:p>
  </w:footnote>
  <w:footnote w:id="28">
    <w:p w:rsidR="0070643E" w:rsidP="00CF0568" w14:paraId="27730D60" w14:textId="0887F53F">
      <w:pPr>
        <w:pStyle w:val="FootnoteText"/>
        <w:spacing w:after="120"/>
      </w:pPr>
      <w:r>
        <w:rPr>
          <w:rStyle w:val="FootnoteReference"/>
        </w:rPr>
        <w:footnoteRef/>
      </w:r>
      <w:r>
        <w:t xml:space="preserve"> </w:t>
      </w:r>
      <w:r w:rsidRPr="00511C31">
        <w:rPr>
          <w:i/>
          <w:iCs/>
        </w:rPr>
        <w:t>In the Matter of the Application of Columbus Southern Power Company and Ohio Power Company to Establish Environmental Investment Carrying Cost Riders</w:t>
      </w:r>
      <w:r>
        <w:rPr>
          <w:i/>
          <w:iCs/>
        </w:rPr>
        <w:t xml:space="preserve">, </w:t>
      </w:r>
      <w:r>
        <w:t xml:space="preserve">Case No. 10-155-EL-RDR, Entry on Rehearing (October 22, 2010) at para. 9; </w:t>
      </w:r>
      <w:r>
        <w:rPr>
          <w:i/>
          <w:iCs/>
        </w:rPr>
        <w:t xml:space="preserve">see also In the Matter of the Application of Duke Energy Ohio, Inc. for Approval of an Alternative Rate Plan Pursuant to R.C. 4929.05 for an Accelerated Service Line Replacement Program, </w:t>
      </w:r>
      <w:r>
        <w:t>Case No. 14-1622-GA-ALT, Opinion and Order (October 26, 2016) at para. 58 (“while this Commission has determined that R.C. 4929.05 does not require a full rate case determination of just and reasonable charges, the time period between the application for an alternative rate plan and the applicant's most recent base rate case may also be considered by the Commission to determine whether the plan is just and reasonable.”).</w:t>
      </w:r>
    </w:p>
  </w:footnote>
  <w:footnote w:id="29">
    <w:p w:rsidR="00534884" w:rsidP="00CF0568" w14:paraId="296A6AA9" w14:textId="60D9CC40">
      <w:pPr>
        <w:pStyle w:val="FootnoteText"/>
        <w:spacing w:after="120"/>
      </w:pPr>
      <w:r>
        <w:rPr>
          <w:rStyle w:val="FootnoteReference"/>
        </w:rPr>
        <w:footnoteRef/>
      </w:r>
      <w:r>
        <w:t xml:space="preserve"> </w:t>
      </w:r>
      <w:r>
        <w:rPr>
          <w:i/>
          <w:iCs/>
        </w:rPr>
        <w:t xml:space="preserve">See </w:t>
      </w:r>
      <w:r w:rsidRPr="005A1581">
        <w:rPr>
          <w:rFonts w:cs="Times New Roman"/>
          <w:i/>
          <w:iCs/>
        </w:rPr>
        <w:t>In re the Application of The East Ohio Gas Company DBA Dominion Energy Ohio</w:t>
      </w:r>
      <w:r>
        <w:rPr>
          <w:rFonts w:cs="Times New Roman"/>
          <w:i/>
          <w:iCs/>
        </w:rPr>
        <w:t>,</w:t>
      </w:r>
      <w:r w:rsidRPr="00485F7F">
        <w:rPr>
          <w:rFonts w:cs="Times New Roman"/>
        </w:rPr>
        <w:t xml:space="preserve"> Case No. 19-468-GA-ALT, Opinion and Order (December 30, 2020)</w:t>
      </w:r>
      <w:r>
        <w:rPr>
          <w:rFonts w:cs="Times New Roman"/>
        </w:rPr>
        <w:t xml:space="preserve"> (neither followed precedent for revisiting rates three years old, finding that doing so was in error, or explaining departure from precedent)</w:t>
      </w:r>
      <w:r w:rsidRPr="00485F7F">
        <w:rPr>
          <w:rFonts w:cs="Times New Roman"/>
        </w:rPr>
        <w:t xml:space="preserve">; </w:t>
      </w:r>
      <w:r w:rsidRPr="00485F7F">
        <w:rPr>
          <w:rFonts w:cs="Times New Roman"/>
          <w:i/>
          <w:iCs/>
        </w:rPr>
        <w:t xml:space="preserve">In re the Application of Duke Energy Ohio, </w:t>
      </w:r>
      <w:r w:rsidRPr="005A1581">
        <w:rPr>
          <w:rFonts w:cs="Times New Roman"/>
          <w:i/>
          <w:iCs/>
        </w:rPr>
        <w:t xml:space="preserve">Inc. for Approval of an Alternative Form of </w:t>
      </w:r>
      <w:r w:rsidRPr="005A1581">
        <w:rPr>
          <w:rFonts w:cs="Times New Roman"/>
        </w:rPr>
        <w:t>Regulation</w:t>
      </w:r>
      <w:r w:rsidRPr="00485F7F">
        <w:rPr>
          <w:rFonts w:cs="Times New Roman"/>
        </w:rPr>
        <w:t>, Case No. 19-791-GA-ALT, Opinion and Order (April 21, 2021)</w:t>
      </w:r>
      <w:r>
        <w:rPr>
          <w:rFonts w:cs="Times New Roman"/>
        </w:rPr>
        <w:t xml:space="preserve"> (same)</w:t>
      </w:r>
      <w:r w:rsidRPr="00485F7F">
        <w:rPr>
          <w:rFonts w:cs="Times New Roman"/>
        </w:rPr>
        <w:t xml:space="preserve">; </w:t>
      </w:r>
      <w:r w:rsidRPr="005A1581">
        <w:rPr>
          <w:rFonts w:cs="Times New Roman"/>
          <w:i/>
          <w:iCs/>
        </w:rPr>
        <w:t>In re the Application of The East Ohio Gas Company DBA Dominion Energy Ohio,</w:t>
      </w:r>
      <w:r w:rsidRPr="005A1581">
        <w:rPr>
          <w:rFonts w:cs="Times New Roman"/>
        </w:rPr>
        <w:t xml:space="preserve"> Case No. 20-1634-GA-ALT, Opinion and Order (April 20, 2022</w:t>
      </w:r>
      <w:r>
        <w:rPr>
          <w:rFonts w:cs="Times New Roman"/>
        </w:rPr>
        <w:t xml:space="preserve"> (same)</w:t>
      </w:r>
      <w:r w:rsidRPr="005A1581">
        <w:rPr>
          <w:rFonts w:cs="Times New Roman"/>
        </w:rPr>
        <w:t xml:space="preserve">); </w:t>
      </w:r>
      <w:r w:rsidRPr="005A1581">
        <w:rPr>
          <w:rFonts w:cs="Times New Roman"/>
          <w:i/>
          <w:iCs/>
        </w:rPr>
        <w:t xml:space="preserve">In re </w:t>
      </w:r>
      <w:r w:rsidRPr="005A1581">
        <w:rPr>
          <w:rFonts w:cs="Times New Roman"/>
          <w:i/>
          <w:iCs/>
          <w:color w:val="232323"/>
        </w:rPr>
        <w:t>Duke Energy Ohio Inc.’s Application to Adjust its Capital Expenditure Program Rider</w:t>
      </w:r>
      <w:r w:rsidRPr="005A1581">
        <w:rPr>
          <w:rFonts w:cs="Times New Roman"/>
          <w:color w:val="232323"/>
        </w:rPr>
        <w:t>, Case No. 21-618-GA-RDR, Opinion and Order (July 27, 2022)</w:t>
      </w:r>
      <w:r>
        <w:rPr>
          <w:rFonts w:cs="Times New Roman"/>
          <w:color w:val="232323"/>
        </w:rPr>
        <w:t xml:space="preserve"> (same)</w:t>
      </w:r>
      <w:r w:rsidRPr="005A1581">
        <w:rPr>
          <w:rFonts w:cs="Times New Roman"/>
          <w:color w:val="232323"/>
        </w:rPr>
        <w:t>; and</w:t>
      </w:r>
      <w:r w:rsidRPr="00485F7F">
        <w:rPr>
          <w:rFonts w:cs="Times New Roman"/>
        </w:rPr>
        <w:t xml:space="preserve"> </w:t>
      </w:r>
      <w:r w:rsidRPr="00485F7F">
        <w:rPr>
          <w:rFonts w:cs="Times New Roman"/>
          <w:i/>
          <w:iCs/>
        </w:rPr>
        <w:t xml:space="preserve">In re the Application of The East Ohio Gas Company </w:t>
      </w:r>
      <w:r w:rsidRPr="005A1581">
        <w:rPr>
          <w:rFonts w:cs="Times New Roman"/>
          <w:i/>
          <w:iCs/>
        </w:rPr>
        <w:t>DBA Dominion Energy Ohio,</w:t>
      </w:r>
      <w:r w:rsidRPr="005A1581">
        <w:rPr>
          <w:rFonts w:cs="Times New Roman"/>
        </w:rPr>
        <w:t xml:space="preserve"> Case No. 21-619-GA-RDR, Opinion and Order (February 23, 2022)</w:t>
      </w:r>
      <w:r>
        <w:rPr>
          <w:rFonts w:cs="Times New Roman"/>
        </w:rPr>
        <w:t xml:space="preserve"> (same)</w:t>
      </w:r>
      <w:r w:rsidRPr="005A1581">
        <w:rPr>
          <w:rFonts w:cs="Times New Roman"/>
        </w:rPr>
        <w:t>.</w:t>
      </w:r>
    </w:p>
  </w:footnote>
  <w:footnote w:id="30">
    <w:p w:rsidR="00534884" w:rsidP="00CF0568" w14:paraId="14E00BA0" w14:textId="05E8886E">
      <w:pPr>
        <w:pStyle w:val="FootnoteText"/>
        <w:spacing w:after="120"/>
      </w:pPr>
      <w:r>
        <w:rPr>
          <w:rStyle w:val="FootnoteReference"/>
        </w:rPr>
        <w:footnoteRef/>
      </w:r>
      <w:r>
        <w:t xml:space="preserve"> </w:t>
      </w:r>
      <w:r w:rsidRPr="00485F7F">
        <w:rPr>
          <w:rFonts w:cs="Times New Roman"/>
        </w:rPr>
        <w:t>Case No. 19-468-GA-ALT</w:t>
      </w:r>
      <w:r>
        <w:rPr>
          <w:rFonts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21529"/>
    <w:multiLevelType w:val="hybridMultilevel"/>
    <w:tmpl w:val="A1640FF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1E5127"/>
    <w:multiLevelType w:val="hybridMultilevel"/>
    <w:tmpl w:val="02666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E8160C"/>
    <w:multiLevelType w:val="hybridMultilevel"/>
    <w:tmpl w:val="70FE5E8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60"/>
    <w:rsid w:val="0000673F"/>
    <w:rsid w:val="0006283E"/>
    <w:rsid w:val="0008663A"/>
    <w:rsid w:val="000F76FE"/>
    <w:rsid w:val="001443E9"/>
    <w:rsid w:val="00173913"/>
    <w:rsid w:val="0019785D"/>
    <w:rsid w:val="001B775B"/>
    <w:rsid w:val="001C41B2"/>
    <w:rsid w:val="00236344"/>
    <w:rsid w:val="00241E11"/>
    <w:rsid w:val="00245042"/>
    <w:rsid w:val="002A1942"/>
    <w:rsid w:val="002D3537"/>
    <w:rsid w:val="003111C2"/>
    <w:rsid w:val="00332160"/>
    <w:rsid w:val="00345A44"/>
    <w:rsid w:val="003B3ABE"/>
    <w:rsid w:val="003E6822"/>
    <w:rsid w:val="00425847"/>
    <w:rsid w:val="00460E84"/>
    <w:rsid w:val="00482514"/>
    <w:rsid w:val="00484564"/>
    <w:rsid w:val="00485F7F"/>
    <w:rsid w:val="004D75FD"/>
    <w:rsid w:val="004E50C5"/>
    <w:rsid w:val="004E79E1"/>
    <w:rsid w:val="00511C31"/>
    <w:rsid w:val="00515E2D"/>
    <w:rsid w:val="00534884"/>
    <w:rsid w:val="00577D16"/>
    <w:rsid w:val="00577DA2"/>
    <w:rsid w:val="00592830"/>
    <w:rsid w:val="005A1581"/>
    <w:rsid w:val="005C3AD8"/>
    <w:rsid w:val="005C60CB"/>
    <w:rsid w:val="005F5B2C"/>
    <w:rsid w:val="005F6943"/>
    <w:rsid w:val="0060351F"/>
    <w:rsid w:val="00656E59"/>
    <w:rsid w:val="006A0331"/>
    <w:rsid w:val="006C3A1C"/>
    <w:rsid w:val="006F05B8"/>
    <w:rsid w:val="0070643E"/>
    <w:rsid w:val="007506A6"/>
    <w:rsid w:val="00754CCC"/>
    <w:rsid w:val="0078344C"/>
    <w:rsid w:val="007B62F7"/>
    <w:rsid w:val="007C2145"/>
    <w:rsid w:val="007C4E38"/>
    <w:rsid w:val="007E0A66"/>
    <w:rsid w:val="007F002B"/>
    <w:rsid w:val="008475B1"/>
    <w:rsid w:val="00882764"/>
    <w:rsid w:val="008E4F8C"/>
    <w:rsid w:val="00910DCC"/>
    <w:rsid w:val="009524E2"/>
    <w:rsid w:val="0096796B"/>
    <w:rsid w:val="009D07E3"/>
    <w:rsid w:val="009E44C1"/>
    <w:rsid w:val="009F089B"/>
    <w:rsid w:val="00A35EAA"/>
    <w:rsid w:val="00A5663B"/>
    <w:rsid w:val="00AF3A27"/>
    <w:rsid w:val="00B12534"/>
    <w:rsid w:val="00B47C60"/>
    <w:rsid w:val="00B71A69"/>
    <w:rsid w:val="00B842B5"/>
    <w:rsid w:val="00B85614"/>
    <w:rsid w:val="00B9297E"/>
    <w:rsid w:val="00C60E5B"/>
    <w:rsid w:val="00C67400"/>
    <w:rsid w:val="00CA04D1"/>
    <w:rsid w:val="00CD4315"/>
    <w:rsid w:val="00CF0568"/>
    <w:rsid w:val="00D0260F"/>
    <w:rsid w:val="00D13FD5"/>
    <w:rsid w:val="00D47017"/>
    <w:rsid w:val="00D52932"/>
    <w:rsid w:val="00D71E7F"/>
    <w:rsid w:val="00D90DDB"/>
    <w:rsid w:val="00DC6861"/>
    <w:rsid w:val="00DD7F92"/>
    <w:rsid w:val="00DF40CB"/>
    <w:rsid w:val="00E31D99"/>
    <w:rsid w:val="00E7207C"/>
    <w:rsid w:val="00E96588"/>
    <w:rsid w:val="00EA6C2C"/>
    <w:rsid w:val="00F653CE"/>
    <w:rsid w:val="00F67F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60"/>
    <w:pPr>
      <w:ind w:left="720"/>
      <w:contextualSpacing/>
    </w:pPr>
  </w:style>
  <w:style w:type="paragraph" w:styleId="NormalWeb">
    <w:name w:val="Normal (Web)"/>
    <w:basedOn w:val="Normal"/>
    <w:uiPriority w:val="99"/>
    <w:unhideWhenUsed/>
    <w:rsid w:val="002A194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rsid w:val="007C4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C4E38"/>
    <w:rPr>
      <w:rFonts w:ascii="Courier New" w:eastAsia="Courier New" w:hAnsi="Courier New" w:cs="Courier New"/>
      <w:sz w:val="20"/>
      <w:szCs w:val="20"/>
    </w:rPr>
  </w:style>
  <w:style w:type="paragraph" w:styleId="Header">
    <w:name w:val="header"/>
    <w:basedOn w:val="Normal"/>
    <w:link w:val="HeaderChar"/>
    <w:uiPriority w:val="99"/>
    <w:unhideWhenUsed/>
    <w:rsid w:val="007C4E38"/>
    <w:pPr>
      <w:tabs>
        <w:tab w:val="center" w:pos="4680"/>
        <w:tab w:val="right" w:pos="9360"/>
      </w:tabs>
    </w:pPr>
    <w:rPr>
      <w:sz w:val="22"/>
      <w:szCs w:val="22"/>
    </w:rPr>
  </w:style>
  <w:style w:type="character" w:customStyle="1" w:styleId="HeaderChar">
    <w:name w:val="Header Char"/>
    <w:basedOn w:val="DefaultParagraphFont"/>
    <w:link w:val="Header"/>
    <w:uiPriority w:val="99"/>
    <w:rsid w:val="007C4E38"/>
    <w:rPr>
      <w:sz w:val="22"/>
      <w:szCs w:val="22"/>
    </w:rPr>
  </w:style>
  <w:style w:type="paragraph" w:styleId="Footer">
    <w:name w:val="footer"/>
    <w:basedOn w:val="Normal"/>
    <w:link w:val="FooterChar"/>
    <w:uiPriority w:val="99"/>
    <w:unhideWhenUsed/>
    <w:rsid w:val="007C4E38"/>
    <w:pPr>
      <w:tabs>
        <w:tab w:val="center" w:pos="4680"/>
        <w:tab w:val="right" w:pos="9360"/>
      </w:tabs>
    </w:pPr>
    <w:rPr>
      <w:sz w:val="22"/>
      <w:szCs w:val="22"/>
    </w:rPr>
  </w:style>
  <w:style w:type="character" w:customStyle="1" w:styleId="FooterChar">
    <w:name w:val="Footer Char"/>
    <w:basedOn w:val="DefaultParagraphFont"/>
    <w:link w:val="Footer"/>
    <w:uiPriority w:val="99"/>
    <w:rsid w:val="007C4E38"/>
    <w:rPr>
      <w:sz w:val="22"/>
      <w:szCs w:val="22"/>
    </w:rPr>
  </w:style>
  <w:style w:type="character" w:styleId="Hyperlink">
    <w:name w:val="Hyperlink"/>
    <w:basedOn w:val="DefaultParagraphFont"/>
    <w:uiPriority w:val="99"/>
    <w:unhideWhenUsed/>
    <w:rsid w:val="007C4E38"/>
    <w:rPr>
      <w:color w:val="0077CC"/>
      <w:u w:val="single"/>
    </w:rPr>
  </w:style>
  <w:style w:type="paragraph" w:styleId="CommentText">
    <w:name w:val="annotation text"/>
    <w:basedOn w:val="Normal"/>
    <w:link w:val="CommentTextChar"/>
    <w:unhideWhenUsed/>
    <w:rsid w:val="007C4E38"/>
    <w:pPr>
      <w:spacing w:after="200"/>
    </w:pPr>
    <w:rPr>
      <w:sz w:val="20"/>
      <w:szCs w:val="20"/>
    </w:rPr>
  </w:style>
  <w:style w:type="character" w:customStyle="1" w:styleId="CommentTextChar">
    <w:name w:val="Comment Text Char"/>
    <w:basedOn w:val="DefaultParagraphFont"/>
    <w:link w:val="CommentText"/>
    <w:rsid w:val="007C4E38"/>
    <w:rPr>
      <w:sz w:val="20"/>
      <w:szCs w:val="20"/>
    </w:rPr>
  </w:style>
  <w:style w:type="paragraph" w:styleId="CommentSubject">
    <w:name w:val="annotation subject"/>
    <w:basedOn w:val="CommentText"/>
    <w:next w:val="CommentText"/>
    <w:link w:val="CommentSubjectChar"/>
    <w:semiHidden/>
    <w:unhideWhenUsed/>
    <w:rsid w:val="007C4E38"/>
    <w:rPr>
      <w:b/>
      <w:bCs/>
    </w:rPr>
  </w:style>
  <w:style w:type="character" w:customStyle="1" w:styleId="CommentSubjectChar">
    <w:name w:val="Comment Subject Char"/>
    <w:basedOn w:val="CommentTextChar"/>
    <w:link w:val="CommentSubject"/>
    <w:semiHidden/>
    <w:rsid w:val="007C4E38"/>
    <w:rPr>
      <w:b/>
      <w:bCs/>
      <w:sz w:val="20"/>
      <w:szCs w:val="20"/>
    </w:rPr>
  </w:style>
  <w:style w:type="table" w:styleId="TableGrid">
    <w:name w:val="Table Grid"/>
    <w:basedOn w:val="TableNormal"/>
    <w:rsid w:val="007C4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C4E38"/>
    <w:pPr>
      <w:spacing w:after="120" w:line="276" w:lineRule="auto"/>
    </w:pPr>
    <w:rPr>
      <w:sz w:val="22"/>
      <w:szCs w:val="22"/>
    </w:rPr>
  </w:style>
  <w:style w:type="character" w:customStyle="1" w:styleId="BodyTextChar">
    <w:name w:val="Body Text Char"/>
    <w:basedOn w:val="DefaultParagraphFont"/>
    <w:link w:val="BodyText"/>
    <w:uiPriority w:val="99"/>
    <w:semiHidden/>
    <w:rsid w:val="007C4E38"/>
    <w:rPr>
      <w:sz w:val="22"/>
      <w:szCs w:val="22"/>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qFormat/>
    <w:rsid w:val="007C4E38"/>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rsid w:val="007C4E38"/>
    <w:rPr>
      <w:rFonts w:ascii="Times New Roman" w:hAnsi="Times New Roman"/>
      <w:sz w:val="20"/>
      <w:szCs w:val="20"/>
    </w:rPr>
  </w:style>
  <w:style w:type="character" w:styleId="PageNumber">
    <w:name w:val="page number"/>
    <w:basedOn w:val="DefaultParagraphFont"/>
    <w:uiPriority w:val="99"/>
    <w:semiHidden/>
    <w:unhideWhenUsed/>
    <w:rsid w:val="007C4E3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nhideWhenUsed/>
    <w:qFormat/>
    <w:rsid w:val="009D07E3"/>
    <w:rPr>
      <w:vertAlign w:val="superscript"/>
    </w:rPr>
  </w:style>
  <w:style w:type="paragraph" w:styleId="Revision">
    <w:name w:val="Revision"/>
    <w:hidden/>
    <w:uiPriority w:val="99"/>
    <w:semiHidden/>
    <w:rsid w:val="00B85614"/>
  </w:style>
  <w:style w:type="character" w:styleId="CommentReference">
    <w:name w:val="annotation reference"/>
    <w:basedOn w:val="DefaultParagraphFont"/>
    <w:uiPriority w:val="99"/>
    <w:semiHidden/>
    <w:unhideWhenUsed/>
    <w:rsid w:val="005F69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cqueline.st.john@puco.ohio.gov" TargetMode="External" /><Relationship Id="rId11" Type="http://schemas.openxmlformats.org/officeDocument/2006/relationships/hyperlink" Target="mailto:kennedy@whitt-sturtevant.com" TargetMode="External" /><Relationship Id="rId12" Type="http://schemas.openxmlformats.org/officeDocument/2006/relationships/hyperlink" Target="mailto:andrew.j.campbell@dominionenergy.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yperlink" Target="mailto:sarah.feldkamp@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5891-2A61-4B47-B68C-D6C10A50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2022-10-04T13:00:47Z</dcterms:created>
  <dcterms:modified xsi:type="dcterms:W3CDTF">2022-10-04T13:00:47Z</dcterms:modified>
</cp:coreProperties>
</file>