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66D98" w:rsidP="00B66D98" w14:paraId="3EE0119D" w14:textId="56C11EDF">
      <w:pPr>
        <w:pStyle w:val="BasicParagraph"/>
        <w:tabs>
          <w:tab w:val="right" w:pos="9810"/>
        </w:tabs>
        <w:spacing w:line="264" w:lineRule="auto"/>
        <w:rPr>
          <w:color w:val="auto"/>
        </w:rPr>
      </w:pPr>
      <w:r>
        <w:rPr>
          <w:color w:val="auto"/>
        </w:rPr>
        <w:t>October 13</w:t>
      </w:r>
      <w:r w:rsidR="00553A5A">
        <w:rPr>
          <w:color w:val="auto"/>
        </w:rPr>
        <w:t>,</w:t>
      </w:r>
      <w:r w:rsidR="00C616BE">
        <w:rPr>
          <w:color w:val="auto"/>
        </w:rPr>
        <w:t xml:space="preserve"> 202</w:t>
      </w:r>
      <w:r w:rsidR="007967AA">
        <w:rPr>
          <w:color w:val="auto"/>
        </w:rPr>
        <w:t>3</w:t>
      </w:r>
    </w:p>
    <w:p w:rsidR="00B66D98" w:rsidP="00B66D98" w14:paraId="3510919F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</w:p>
    <w:p w:rsidR="00FD4039" w:rsidP="00FD4039" w14:paraId="57AF5594" w14:textId="77777777">
      <w:r>
        <w:t>Ms. Tanowa M. Troupe</w:t>
      </w:r>
      <w:r w:rsidR="006517DF">
        <w:t>, Secretary</w:t>
      </w:r>
      <w:r>
        <w:t xml:space="preserve"> </w:t>
      </w:r>
    </w:p>
    <w:p w:rsidR="00B66D98" w:rsidP="00B66D98" w14:paraId="7C730047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  <w:r>
        <w:rPr>
          <w:color w:val="auto"/>
        </w:rPr>
        <w:t>Public Utilities Commission of Ohio</w:t>
      </w:r>
    </w:p>
    <w:p w:rsidR="00B66D98" w:rsidP="00B66D98" w14:paraId="62DEAB1D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  <w:r>
        <w:rPr>
          <w:color w:val="auto"/>
        </w:rPr>
        <w:t>180 E. Broad St.</w:t>
      </w:r>
    </w:p>
    <w:p w:rsidR="00B66D98" w:rsidP="00B66D98" w14:paraId="1357532D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  <w:r>
        <w:rPr>
          <w:color w:val="auto"/>
        </w:rPr>
        <w:t>Columbus, OH 43215-3793</w:t>
      </w:r>
    </w:p>
    <w:p w:rsidR="00B66D98" w:rsidP="00B66D98" w14:paraId="181E9E72" w14:textId="77777777">
      <w:pPr>
        <w:pStyle w:val="BasicParagraph"/>
        <w:tabs>
          <w:tab w:val="right" w:pos="9810"/>
        </w:tabs>
        <w:spacing w:line="264" w:lineRule="auto"/>
        <w:rPr>
          <w:color w:val="auto"/>
        </w:rPr>
      </w:pPr>
    </w:p>
    <w:p w:rsidR="00B66D98" w:rsidP="00B66D98" w14:paraId="69B13E9F" w14:textId="3D4A04AA">
      <w:pPr>
        <w:pStyle w:val="BasicParagraph"/>
        <w:spacing w:line="264" w:lineRule="auto"/>
        <w:ind w:left="720" w:hanging="720"/>
        <w:rPr>
          <w:color w:val="auto"/>
        </w:rPr>
      </w:pPr>
      <w:r>
        <w:rPr>
          <w:color w:val="auto"/>
        </w:rPr>
        <w:t>Re:</w:t>
      </w:r>
      <w:r w:rsidR="004B62CE">
        <w:rPr>
          <w:color w:val="auto"/>
        </w:rPr>
        <w:t xml:space="preserve"> </w:t>
      </w:r>
      <w:r>
        <w:rPr>
          <w:color w:val="auto"/>
        </w:rPr>
        <w:tab/>
      </w:r>
      <w:r w:rsidR="00E46465">
        <w:rPr>
          <w:color w:val="auto"/>
        </w:rPr>
        <w:t xml:space="preserve">Settlement: </w:t>
      </w:r>
      <w:r w:rsidRPr="00747BC0">
        <w:rPr>
          <w:i/>
          <w:color w:val="auto"/>
        </w:rPr>
        <w:t xml:space="preserve">In the Matter </w:t>
      </w:r>
      <w:r w:rsidR="00031190">
        <w:rPr>
          <w:i/>
          <w:color w:val="auto"/>
        </w:rPr>
        <w:t>of the</w:t>
      </w:r>
      <w:r w:rsidR="00BD3ABD">
        <w:rPr>
          <w:i/>
          <w:color w:val="auto"/>
        </w:rPr>
        <w:t xml:space="preserve"> Application of Aqua Ohio, Inc. to Increase its Rates and Charges for its Waterworks Service</w:t>
      </w:r>
      <w:r w:rsidR="00031190">
        <w:rPr>
          <w:iCs/>
          <w:color w:val="auto"/>
        </w:rPr>
        <w:t>,</w:t>
      </w:r>
      <w:r>
        <w:rPr>
          <w:color w:val="auto"/>
        </w:rPr>
        <w:t xml:space="preserve"> </w:t>
      </w:r>
      <w:r w:rsidR="003A10EA">
        <w:rPr>
          <w:color w:val="auto"/>
        </w:rPr>
        <w:t xml:space="preserve">Case No. </w:t>
      </w:r>
      <w:r w:rsidR="00BC4348">
        <w:rPr>
          <w:color w:val="auto"/>
        </w:rPr>
        <w:t>22-</w:t>
      </w:r>
      <w:r w:rsidR="00BD3ABD">
        <w:rPr>
          <w:color w:val="auto"/>
        </w:rPr>
        <w:t>1094</w:t>
      </w:r>
      <w:r w:rsidR="00BC4348">
        <w:rPr>
          <w:color w:val="auto"/>
        </w:rPr>
        <w:t>-</w:t>
      </w:r>
      <w:r w:rsidR="00BD3ABD">
        <w:rPr>
          <w:color w:val="auto"/>
        </w:rPr>
        <w:t>WW</w:t>
      </w:r>
      <w:r w:rsidR="00045520">
        <w:rPr>
          <w:color w:val="auto"/>
        </w:rPr>
        <w:t>-</w:t>
      </w:r>
      <w:r w:rsidR="00BD3ABD">
        <w:rPr>
          <w:color w:val="auto"/>
        </w:rPr>
        <w:t xml:space="preserve">AIR; </w:t>
      </w:r>
      <w:r w:rsidR="00AE16D4">
        <w:rPr>
          <w:color w:val="auto"/>
        </w:rPr>
        <w:t xml:space="preserve">and </w:t>
      </w:r>
      <w:r w:rsidRPr="00747BC0" w:rsidR="00BD3ABD">
        <w:rPr>
          <w:i/>
          <w:color w:val="auto"/>
        </w:rPr>
        <w:t xml:space="preserve">In the Matter </w:t>
      </w:r>
      <w:r w:rsidR="00BD3ABD">
        <w:rPr>
          <w:i/>
          <w:color w:val="auto"/>
        </w:rPr>
        <w:t>of the Application of Aqua Ohio Wastewater, Inc. to Increase its Rates and Charges for its Wastewater Service</w:t>
      </w:r>
      <w:r w:rsidR="00CD63B9">
        <w:rPr>
          <w:iCs/>
          <w:color w:val="auto"/>
        </w:rPr>
        <w:t>, Case No. 22-1096-ST-AIR</w:t>
      </w:r>
      <w:r w:rsidR="001F45A1">
        <w:rPr>
          <w:color w:val="auto"/>
        </w:rPr>
        <w:t>.</w:t>
      </w:r>
    </w:p>
    <w:p w:rsidR="00B66D98" w:rsidP="00B66D98" w14:paraId="4FBC5757" w14:textId="77777777">
      <w:pPr>
        <w:pStyle w:val="BasicParagraph"/>
        <w:spacing w:line="264" w:lineRule="auto"/>
        <w:rPr>
          <w:color w:val="auto"/>
        </w:rPr>
      </w:pPr>
    </w:p>
    <w:p w:rsidR="00B66D98" w:rsidP="00B66D98" w14:paraId="076F8EEF" w14:textId="6AD018E7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 xml:space="preserve">Dear </w:t>
      </w:r>
      <w:r w:rsidR="00FD4039">
        <w:rPr>
          <w:color w:val="auto"/>
        </w:rPr>
        <w:t>Ms. Troupe</w:t>
      </w:r>
      <w:r>
        <w:rPr>
          <w:color w:val="auto"/>
        </w:rPr>
        <w:t>:</w:t>
      </w:r>
      <w:r w:rsidR="002F54E9">
        <w:rPr>
          <w:color w:val="auto"/>
        </w:rPr>
        <w:t xml:space="preserve">    </w:t>
      </w:r>
      <w:r>
        <w:rPr>
          <w:color w:val="auto"/>
        </w:rPr>
        <w:t xml:space="preserve"> </w:t>
      </w:r>
    </w:p>
    <w:p w:rsidR="00B66D98" w:rsidP="00B66D98" w14:paraId="5DCB10A2" w14:textId="77777777">
      <w:pPr>
        <w:pStyle w:val="BasicParagraph"/>
        <w:spacing w:line="264" w:lineRule="auto"/>
        <w:rPr>
          <w:color w:val="auto"/>
        </w:rPr>
      </w:pPr>
    </w:p>
    <w:p w:rsidR="00B66D98" w:rsidP="00B66D98" w14:paraId="5249FE54" w14:textId="027ADBBC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 xml:space="preserve">On October 5, 2023, Aqua Ohio filed a Stipulation and Recommendation (“Settlement”) in each of the above referenced cases regarding its rates for water and wastewater services. </w:t>
      </w:r>
      <w:r w:rsidR="00BD3ABD">
        <w:rPr>
          <w:color w:val="auto"/>
        </w:rPr>
        <w:t>T</w:t>
      </w:r>
      <w:r w:rsidR="00553A5A">
        <w:rPr>
          <w:color w:val="auto"/>
        </w:rPr>
        <w:t>he Office of the Ohio Consumers</w:t>
      </w:r>
      <w:r>
        <w:rPr>
          <w:color w:val="auto"/>
        </w:rPr>
        <w:t>’</w:t>
      </w:r>
      <w:r w:rsidR="00553A5A">
        <w:rPr>
          <w:color w:val="auto"/>
        </w:rPr>
        <w:t xml:space="preserve"> Counsel (</w:t>
      </w:r>
      <w:r w:rsidR="00031190">
        <w:rPr>
          <w:color w:val="auto"/>
        </w:rPr>
        <w:t>“</w:t>
      </w:r>
      <w:r w:rsidR="00553A5A">
        <w:rPr>
          <w:color w:val="auto"/>
        </w:rPr>
        <w:t>OCC</w:t>
      </w:r>
      <w:r w:rsidR="00031190">
        <w:rPr>
          <w:color w:val="auto"/>
        </w:rPr>
        <w:t>”</w:t>
      </w:r>
      <w:r w:rsidR="00553A5A">
        <w:rPr>
          <w:color w:val="auto"/>
        </w:rPr>
        <w:t>)</w:t>
      </w:r>
      <w:r>
        <w:rPr>
          <w:color w:val="auto"/>
        </w:rPr>
        <w:t xml:space="preserve"> actively participated in settlement negotiations with Aqua Ohio, the PUCO Staff, and the City of Marion. </w:t>
      </w:r>
      <w:r w:rsidR="00A76C06">
        <w:rPr>
          <w:color w:val="auto"/>
        </w:rPr>
        <w:t xml:space="preserve">The </w:t>
      </w:r>
      <w:r w:rsidR="00E61AA4">
        <w:rPr>
          <w:color w:val="auto"/>
        </w:rPr>
        <w:t xml:space="preserve">consumer </w:t>
      </w:r>
      <w:r w:rsidR="00A76C06">
        <w:rPr>
          <w:color w:val="auto"/>
        </w:rPr>
        <w:t>results of the negotiations by</w:t>
      </w:r>
      <w:r>
        <w:rPr>
          <w:color w:val="auto"/>
        </w:rPr>
        <w:t xml:space="preserve"> the parties</w:t>
      </w:r>
      <w:r w:rsidR="00A76C06">
        <w:rPr>
          <w:color w:val="auto"/>
        </w:rPr>
        <w:t>, as reflected in the Settlement</w:t>
      </w:r>
      <w:r w:rsidR="00AE16D4">
        <w:rPr>
          <w:color w:val="auto"/>
        </w:rPr>
        <w:t>s</w:t>
      </w:r>
      <w:r w:rsidR="00A76C06">
        <w:rPr>
          <w:color w:val="auto"/>
        </w:rPr>
        <w:t xml:space="preserve">, have enabled </w:t>
      </w:r>
      <w:r w:rsidR="00DC3589">
        <w:rPr>
          <w:color w:val="auto"/>
        </w:rPr>
        <w:t>OCC</w:t>
      </w:r>
      <w:r w:rsidR="00E56008">
        <w:rPr>
          <w:color w:val="auto"/>
        </w:rPr>
        <w:t xml:space="preserve"> </w:t>
      </w:r>
      <w:r w:rsidR="00A76C06">
        <w:rPr>
          <w:color w:val="auto"/>
        </w:rPr>
        <w:t xml:space="preserve">to </w:t>
      </w:r>
      <w:r w:rsidR="00553A5A">
        <w:rPr>
          <w:color w:val="auto"/>
        </w:rPr>
        <w:t>neither oppose</w:t>
      </w:r>
      <w:r w:rsidR="00C3065E">
        <w:rPr>
          <w:color w:val="auto"/>
        </w:rPr>
        <w:t xml:space="preserve"> nor support</w:t>
      </w:r>
      <w:r w:rsidR="00553A5A">
        <w:rPr>
          <w:color w:val="auto"/>
        </w:rPr>
        <w:t xml:space="preserve"> the </w:t>
      </w:r>
      <w:r w:rsidR="000E4C29">
        <w:rPr>
          <w:color w:val="auto"/>
        </w:rPr>
        <w:t>S</w:t>
      </w:r>
      <w:r w:rsidR="00553A5A">
        <w:rPr>
          <w:color w:val="auto"/>
        </w:rPr>
        <w:t>ettlement</w:t>
      </w:r>
      <w:r w:rsidR="00AE16D4">
        <w:rPr>
          <w:color w:val="auto"/>
        </w:rPr>
        <w:t>s</w:t>
      </w:r>
      <w:r w:rsidR="00553A5A">
        <w:rPr>
          <w:color w:val="auto"/>
        </w:rPr>
        <w:t xml:space="preserve">. </w:t>
      </w:r>
    </w:p>
    <w:p w:rsidR="00BF42DE" w:rsidP="009A1E6A" w14:paraId="7BAEB06F" w14:textId="77777777">
      <w:pPr>
        <w:pStyle w:val="BasicParagraph"/>
        <w:spacing w:line="264" w:lineRule="auto"/>
      </w:pPr>
    </w:p>
    <w:p w:rsidR="00B66D98" w:rsidP="00680409" w14:paraId="77B37CF2" w14:textId="71E74C49">
      <w:pPr>
        <w:pStyle w:val="BasicParagraph"/>
        <w:spacing w:line="264" w:lineRule="auto"/>
      </w:pPr>
      <w:r>
        <w:t>O</w:t>
      </w:r>
      <w:r w:rsidR="00DA211D">
        <w:t>CC’s</w:t>
      </w:r>
      <w:r>
        <w:t xml:space="preserve"> non-opposition</w:t>
      </w:r>
      <w:r w:rsidR="00BD24EA">
        <w:t xml:space="preserve"> to the Settlements</w:t>
      </w:r>
      <w:r>
        <w:t xml:space="preserve"> is not precedent for any future case or issue. OCC is not waiving </w:t>
      </w:r>
      <w:r w:rsidR="00BD24EA">
        <w:t xml:space="preserve">its </w:t>
      </w:r>
      <w:r>
        <w:t>rights to make any recommendations it considers appropriate in any other (including future) proceedings</w:t>
      </w:r>
      <w:r w:rsidR="00DA211D">
        <w:t xml:space="preserve"> regarding</w:t>
      </w:r>
      <w:r w:rsidR="00796B77">
        <w:t xml:space="preserve"> </w:t>
      </w:r>
      <w:r w:rsidR="00BD24EA">
        <w:t>Aqua Ohio</w:t>
      </w:r>
      <w:r>
        <w:t>.</w:t>
      </w:r>
      <w:r w:rsidR="002F54E9">
        <w:t xml:space="preserve"> </w:t>
      </w:r>
    </w:p>
    <w:p w:rsidR="00B66D98" w:rsidP="00B66D98" w14:paraId="3BCD3C09" w14:textId="77777777">
      <w:pPr>
        <w:pStyle w:val="BasicParagraph"/>
        <w:keepNext/>
        <w:spacing w:line="264" w:lineRule="auto"/>
        <w:rPr>
          <w:color w:val="auto"/>
        </w:rPr>
      </w:pPr>
    </w:p>
    <w:p w:rsidR="00B66D98" w:rsidP="00B66D98" w14:paraId="4B85034E" w14:textId="0853317C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>OCC</w:t>
      </w:r>
      <w:r w:rsidR="00553A5A">
        <w:rPr>
          <w:color w:val="auto"/>
        </w:rPr>
        <w:t xml:space="preserve"> appreciates the efforts of </w:t>
      </w:r>
      <w:r>
        <w:rPr>
          <w:color w:val="auto"/>
        </w:rPr>
        <w:t>the parties</w:t>
      </w:r>
      <w:r w:rsidR="00002C5C">
        <w:rPr>
          <w:color w:val="auto"/>
        </w:rPr>
        <w:t xml:space="preserve"> </w:t>
      </w:r>
      <w:r w:rsidR="00553A5A">
        <w:rPr>
          <w:color w:val="auto"/>
        </w:rPr>
        <w:t xml:space="preserve">to negotiate </w:t>
      </w:r>
      <w:r w:rsidR="00227CB7">
        <w:rPr>
          <w:color w:val="auto"/>
        </w:rPr>
        <w:t>Settlement</w:t>
      </w:r>
      <w:r>
        <w:rPr>
          <w:color w:val="auto"/>
        </w:rPr>
        <w:t>s</w:t>
      </w:r>
      <w:r w:rsidR="00553A5A">
        <w:rPr>
          <w:color w:val="auto"/>
        </w:rPr>
        <w:t xml:space="preserve"> that</w:t>
      </w:r>
      <w:r w:rsidR="00320495">
        <w:rPr>
          <w:color w:val="auto"/>
        </w:rPr>
        <w:t xml:space="preserve">, with </w:t>
      </w:r>
      <w:r>
        <w:rPr>
          <w:color w:val="auto"/>
        </w:rPr>
        <w:t>their</w:t>
      </w:r>
      <w:r w:rsidR="00320495">
        <w:rPr>
          <w:color w:val="auto"/>
        </w:rPr>
        <w:t xml:space="preserve"> consumer protections,</w:t>
      </w:r>
      <w:r w:rsidR="00553A5A">
        <w:rPr>
          <w:color w:val="auto"/>
        </w:rPr>
        <w:t xml:space="preserve"> enabled </w:t>
      </w:r>
      <w:r w:rsidR="003A10EA">
        <w:rPr>
          <w:color w:val="auto"/>
        </w:rPr>
        <w:t>OCC’s</w:t>
      </w:r>
      <w:r w:rsidR="00553A5A">
        <w:rPr>
          <w:color w:val="auto"/>
        </w:rPr>
        <w:t xml:space="preserve"> </w:t>
      </w:r>
      <w:r w:rsidR="00320495">
        <w:rPr>
          <w:color w:val="auto"/>
        </w:rPr>
        <w:t xml:space="preserve">non-support and </w:t>
      </w:r>
      <w:r w:rsidR="00553A5A">
        <w:rPr>
          <w:color w:val="auto"/>
        </w:rPr>
        <w:t xml:space="preserve">non-opposition on behalf of consumers. </w:t>
      </w:r>
    </w:p>
    <w:p w:rsidR="0043577F" w:rsidP="00B66D98" w14:paraId="48DC9F9A" w14:textId="77777777">
      <w:pPr>
        <w:pStyle w:val="BasicParagraph"/>
        <w:spacing w:line="264" w:lineRule="auto"/>
        <w:rPr>
          <w:color w:val="auto"/>
        </w:rPr>
      </w:pPr>
    </w:p>
    <w:p w:rsidR="00B66D98" w:rsidP="00B66D98" w14:paraId="52E3AFBC" w14:textId="77777777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>Sincerely,</w:t>
      </w:r>
    </w:p>
    <w:p w:rsidR="00B66D98" w:rsidP="00B66D98" w14:paraId="03D9A282" w14:textId="77777777">
      <w:pPr>
        <w:pStyle w:val="BasicParagraph"/>
        <w:spacing w:line="264" w:lineRule="auto"/>
        <w:rPr>
          <w:color w:val="auto"/>
        </w:rPr>
      </w:pPr>
    </w:p>
    <w:p w:rsidR="00B66D98" w:rsidRPr="002A0A1C" w:rsidP="00B66D98" w14:paraId="4F3BF538" w14:textId="57D62715">
      <w:pPr>
        <w:pStyle w:val="BasicParagraph"/>
        <w:spacing w:line="264" w:lineRule="auto"/>
        <w:rPr>
          <w:i/>
          <w:color w:val="auto"/>
          <w:u w:val="single"/>
        </w:rPr>
      </w:pPr>
      <w:r>
        <w:rPr>
          <w:i/>
          <w:color w:val="auto"/>
          <w:u w:val="single"/>
        </w:rPr>
        <w:t xml:space="preserve">/s/ </w:t>
      </w:r>
      <w:r w:rsidR="008730BA">
        <w:rPr>
          <w:i/>
          <w:color w:val="auto"/>
          <w:u w:val="single"/>
        </w:rPr>
        <w:t>A</w:t>
      </w:r>
      <w:r w:rsidR="00796B77">
        <w:rPr>
          <w:i/>
          <w:color w:val="auto"/>
          <w:u w:val="single"/>
        </w:rPr>
        <w:t>ngela D. O’Brien</w:t>
      </w:r>
    </w:p>
    <w:p w:rsidR="00B66D98" w:rsidP="00B66D98" w14:paraId="4A3B54B0" w14:textId="46B72EBF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>A</w:t>
      </w:r>
      <w:r w:rsidR="00796B77">
        <w:rPr>
          <w:color w:val="auto"/>
        </w:rPr>
        <w:t>ngela D. O’Brien</w:t>
      </w:r>
    </w:p>
    <w:p w:rsidR="00B66D98" w:rsidP="00B66D98" w14:paraId="612CBAA1" w14:textId="36792DE8">
      <w:pPr>
        <w:pStyle w:val="BasicParagraph"/>
        <w:spacing w:line="264" w:lineRule="auto"/>
        <w:rPr>
          <w:color w:val="auto"/>
        </w:rPr>
      </w:pPr>
      <w:r>
        <w:rPr>
          <w:color w:val="auto"/>
        </w:rPr>
        <w:t>Deputy</w:t>
      </w:r>
      <w:r w:rsidR="00553A5A">
        <w:rPr>
          <w:color w:val="auto"/>
        </w:rPr>
        <w:t xml:space="preserve"> Consumers’ Counsel</w:t>
      </w:r>
    </w:p>
    <w:p w:rsidR="00B66D98" w:rsidP="00B66D98" w14:paraId="0C009266" w14:textId="77777777"/>
    <w:p w:rsidR="00B66D98" w:rsidRPr="002E18B6" w:rsidP="00B66D98" w14:paraId="0CFD19B7" w14:textId="77777777">
      <w:r>
        <w:t>cc:</w:t>
      </w:r>
      <w:r w:rsidR="004B62CE">
        <w:t xml:space="preserve"> </w:t>
      </w:r>
      <w:r>
        <w:t>Parties of record</w:t>
      </w:r>
    </w:p>
    <w:p w:rsidR="00B66D98" w:rsidP="00B66D98" w14:paraId="64D03FF8" w14:textId="77777777"/>
    <w:p w:rsidR="00B66D98" w14:paraId="2432F9AB" w14:textId="77777777">
      <w:pPr>
        <w:tabs>
          <w:tab w:val="left" w:pos="1140"/>
          <w:tab w:val="right" w:pos="9792"/>
        </w:tabs>
      </w:pPr>
    </w:p>
    <w:sectPr w:rsidSect="00B66D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520" w:right="1008" w:bottom="288" w:left="1440" w:header="720" w:footer="26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C83" w14:paraId="13A1D0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C83" w14:paraId="437C9FA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D98" w:rsidRPr="00A0550A" w:rsidP="00B66D98" w14:paraId="645E77B1" w14:textId="77777777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0" t="0" r="3810" b="0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B66D98" w:rsidRPr="00845F44" w:rsidP="00B66D98" w14:paraId="1722AF39" w14:textId="6B40A11C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 xml:space="preserve">65 East State Street, </w:t>
    </w:r>
    <w:r w:rsidR="004B62CE">
      <w:rPr>
        <w:rFonts w:ascii="Arial" w:hAnsi="Arial" w:cs="Arial"/>
        <w:sz w:val="18"/>
        <w:szCs w:val="18"/>
      </w:rPr>
      <w:t>Suite 700</w:t>
    </w:r>
    <w:r>
      <w:rPr>
        <w:rFonts w:ascii="Arial" w:hAnsi="Arial" w:cs="Arial"/>
        <w:sz w:val="18"/>
        <w:szCs w:val="18"/>
      </w:rPr>
      <w:t xml:space="preserve">, </w:t>
    </w:r>
    <w:r w:rsidRPr="00B557AF">
      <w:rPr>
        <w:rFonts w:ascii="Arial" w:hAnsi="Arial" w:cs="Arial"/>
        <w:sz w:val="18"/>
        <w:szCs w:val="18"/>
      </w:rPr>
      <w:t>Columbus, Ohio</w:t>
    </w:r>
    <w:r>
      <w:rPr>
        <w:rFonts w:ascii="Arial" w:hAnsi="Arial" w:cs="Arial"/>
        <w:sz w:val="18"/>
        <w:szCs w:val="18"/>
      </w:rPr>
      <w:t xml:space="preserve"> 43215-4213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(614) 466-</w:t>
    </w:r>
    <w:r w:rsidR="00796B77">
      <w:rPr>
        <w:rFonts w:ascii="Arial" w:hAnsi="Arial" w:cs="Arial"/>
        <w:sz w:val="18"/>
        <w:szCs w:val="18"/>
      </w:rPr>
      <w:t>9531</w:t>
    </w:r>
    <w:r>
      <w:rPr>
        <w:rFonts w:ascii="Arial" w:hAnsi="Arial" w:cs="Arial"/>
        <w:sz w:val="18"/>
        <w:szCs w:val="18"/>
      </w:rPr>
      <w:t xml:space="preserve">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3919AD">
      <w:rPr>
        <w:rFonts w:ascii="Arial" w:hAnsi="Arial" w:cs="Arial"/>
        <w:sz w:val="18"/>
        <w:szCs w:val="18"/>
      </w:rPr>
      <w:t>www.occ.ohio.gov</w:t>
    </w:r>
    <w:r>
      <w:rPr>
        <w:rFonts w:ascii="Arial" w:hAnsi="Arial" w:cs="Arial"/>
        <w:sz w:val="18"/>
        <w:szCs w:val="18"/>
      </w:rPr>
      <w:br/>
    </w:r>
  </w:p>
  <w:p w:rsidR="00B66D98" w:rsidRPr="00B557AF" w:rsidP="00B66D98" w14:paraId="28A8E318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C83" w14:paraId="1FB41AB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30BA" w:rsidP="00B66D98" w14:paraId="000E340B" w14:textId="77777777">
    <w:r>
      <w:t xml:space="preserve">Ms. Tanowa Troupe </w:t>
    </w:r>
  </w:p>
  <w:p w:rsidR="00B66D98" w:rsidP="00B66D98" w14:paraId="3BEF4BB5" w14:textId="77777777">
    <w:r>
      <w:t>December 6</w:t>
    </w:r>
    <w:r w:rsidR="004936CB">
      <w:t>, 2022</w:t>
    </w:r>
  </w:p>
  <w:p w:rsidR="00B66D98" w:rsidRPr="00C07FD5" w:rsidP="00B66D98" w14:paraId="6638440E" w14:textId="77777777">
    <w:r w:rsidRPr="00C07FD5">
      <w:t xml:space="preserve">Page </w:t>
    </w:r>
    <w:r w:rsidRPr="00C07FD5">
      <w:fldChar w:fldCharType="begin"/>
    </w:r>
    <w:r w:rsidRPr="00C07FD5">
      <w:instrText xml:space="preserve"> PAGE  \* Arabic  \* MERGEFORMAT </w:instrText>
    </w:r>
    <w:r w:rsidRPr="00C07FD5">
      <w:fldChar w:fldCharType="separate"/>
    </w:r>
    <w:r w:rsidR="009A1E6A">
      <w:rPr>
        <w:noProof/>
      </w:rPr>
      <w:t>2</w:t>
    </w:r>
    <w:r w:rsidRPr="00C07FD5">
      <w:fldChar w:fldCharType="end"/>
    </w:r>
    <w:r w:rsidRPr="00C07FD5">
      <w:t xml:space="preserve"> of </w:t>
    </w:r>
    <w:r w:rsidR="009A1E6A">
      <w:fldChar w:fldCharType="begin"/>
    </w:r>
    <w:r>
      <w:instrText xml:space="preserve"> NUMPAGES  \* Arabic  \* MERGEFORMAT </w:instrText>
    </w:r>
    <w:r w:rsidR="009A1E6A">
      <w:fldChar w:fldCharType="separate"/>
    </w:r>
    <w:r w:rsidR="009A1E6A">
      <w:rPr>
        <w:noProof/>
      </w:rPr>
      <w:t>2</w:t>
    </w:r>
    <w:r w:rsidR="009A1E6A">
      <w:rPr>
        <w:noProof/>
      </w:rPr>
      <w:fldChar w:fldCharType="end"/>
    </w:r>
  </w:p>
  <w:p w:rsidR="00B66D98" w:rsidP="00B66D98" w14:paraId="1797CABE" w14:textId="77777777">
    <w:pPr>
      <w:tabs>
        <w:tab w:val="left" w:pos="1140"/>
        <w:tab w:val="right" w:pos="9792"/>
      </w:tabs>
    </w:pPr>
    <w:r>
      <w:tab/>
    </w:r>
  </w:p>
  <w:p w:rsidR="00B66D98" w14:paraId="3549A5F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6D98" w14:paraId="20616727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5370" cy="97218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1055370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76300"/>
                                <wp:effectExtent l="0" t="0" r="0" b="0"/>
                                <wp:docPr id="96205488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2054884" name="Picture 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83.1pt;height:76.5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B66D98" w14:paraId="7E78DBB3" w14:textId="77777777">
                    <w:drawing>
                      <wp:inline distT="0" distB="0" distL="0" distR="0">
                        <wp:extent cx="876300" cy="876300"/>
                        <wp:effectExtent l="0" t="0" r="0" b="0"/>
                        <wp:docPr id="64791974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919743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66D98" w:rsidRPr="00F95523" w14:paraId="4ECB33A9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98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B66D98" w:rsidRPr="0055468B" w14:paraId="137220D9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02C5C"/>
    <w:rsid w:val="00031190"/>
    <w:rsid w:val="000350D4"/>
    <w:rsid w:val="00045520"/>
    <w:rsid w:val="00080288"/>
    <w:rsid w:val="00090BA4"/>
    <w:rsid w:val="00096BB1"/>
    <w:rsid w:val="000A1701"/>
    <w:rsid w:val="000E4C29"/>
    <w:rsid w:val="00101039"/>
    <w:rsid w:val="001158D2"/>
    <w:rsid w:val="00115DF7"/>
    <w:rsid w:val="00117BDE"/>
    <w:rsid w:val="00121207"/>
    <w:rsid w:val="00136F4D"/>
    <w:rsid w:val="001530C4"/>
    <w:rsid w:val="001617C3"/>
    <w:rsid w:val="00163D06"/>
    <w:rsid w:val="001753A1"/>
    <w:rsid w:val="00185FE4"/>
    <w:rsid w:val="001A51DA"/>
    <w:rsid w:val="001E0EED"/>
    <w:rsid w:val="001F45A1"/>
    <w:rsid w:val="0020078F"/>
    <w:rsid w:val="00205B99"/>
    <w:rsid w:val="00205DFA"/>
    <w:rsid w:val="00212C41"/>
    <w:rsid w:val="00227CB7"/>
    <w:rsid w:val="002478AA"/>
    <w:rsid w:val="00261BBE"/>
    <w:rsid w:val="00286ADD"/>
    <w:rsid w:val="002A0A1C"/>
    <w:rsid w:val="002A22FB"/>
    <w:rsid w:val="002C55F8"/>
    <w:rsid w:val="002C6EB0"/>
    <w:rsid w:val="002E18B6"/>
    <w:rsid w:val="002F0FA3"/>
    <w:rsid w:val="002F54E9"/>
    <w:rsid w:val="003021FF"/>
    <w:rsid w:val="00304C71"/>
    <w:rsid w:val="00311CEF"/>
    <w:rsid w:val="00320495"/>
    <w:rsid w:val="00327807"/>
    <w:rsid w:val="00330BA5"/>
    <w:rsid w:val="00356DB8"/>
    <w:rsid w:val="00362BF7"/>
    <w:rsid w:val="00377717"/>
    <w:rsid w:val="00381430"/>
    <w:rsid w:val="0039122D"/>
    <w:rsid w:val="003919AD"/>
    <w:rsid w:val="00393B06"/>
    <w:rsid w:val="0039598E"/>
    <w:rsid w:val="00396183"/>
    <w:rsid w:val="00397B42"/>
    <w:rsid w:val="003A0A27"/>
    <w:rsid w:val="003A10EA"/>
    <w:rsid w:val="003C0C25"/>
    <w:rsid w:val="003E3CBF"/>
    <w:rsid w:val="003F5CBC"/>
    <w:rsid w:val="003F78BA"/>
    <w:rsid w:val="00402559"/>
    <w:rsid w:val="00406DF4"/>
    <w:rsid w:val="00433CCA"/>
    <w:rsid w:val="0043577F"/>
    <w:rsid w:val="004835BA"/>
    <w:rsid w:val="004936CB"/>
    <w:rsid w:val="004B21FA"/>
    <w:rsid w:val="004B2FB3"/>
    <w:rsid w:val="004B62CE"/>
    <w:rsid w:val="00521107"/>
    <w:rsid w:val="005224C5"/>
    <w:rsid w:val="00537120"/>
    <w:rsid w:val="00541E30"/>
    <w:rsid w:val="00553A5A"/>
    <w:rsid w:val="00553E51"/>
    <w:rsid w:val="0055468B"/>
    <w:rsid w:val="0058469C"/>
    <w:rsid w:val="005A25B5"/>
    <w:rsid w:val="005B0E43"/>
    <w:rsid w:val="005C6F2A"/>
    <w:rsid w:val="005F01E8"/>
    <w:rsid w:val="005F447A"/>
    <w:rsid w:val="006517DF"/>
    <w:rsid w:val="0067036C"/>
    <w:rsid w:val="00680409"/>
    <w:rsid w:val="00697969"/>
    <w:rsid w:val="006B5886"/>
    <w:rsid w:val="006B5949"/>
    <w:rsid w:val="006F0995"/>
    <w:rsid w:val="00713E75"/>
    <w:rsid w:val="00737F12"/>
    <w:rsid w:val="0074123E"/>
    <w:rsid w:val="00747BC0"/>
    <w:rsid w:val="00751109"/>
    <w:rsid w:val="007967AA"/>
    <w:rsid w:val="00796B77"/>
    <w:rsid w:val="00796D6E"/>
    <w:rsid w:val="00797C79"/>
    <w:rsid w:val="007B570B"/>
    <w:rsid w:val="007C2B42"/>
    <w:rsid w:val="007D3966"/>
    <w:rsid w:val="007D586A"/>
    <w:rsid w:val="00806A29"/>
    <w:rsid w:val="00811BCD"/>
    <w:rsid w:val="00816462"/>
    <w:rsid w:val="00820803"/>
    <w:rsid w:val="00840C24"/>
    <w:rsid w:val="00845F44"/>
    <w:rsid w:val="008470AD"/>
    <w:rsid w:val="008730BA"/>
    <w:rsid w:val="00882127"/>
    <w:rsid w:val="008A3502"/>
    <w:rsid w:val="008C4CF8"/>
    <w:rsid w:val="008D5EE4"/>
    <w:rsid w:val="008D78FC"/>
    <w:rsid w:val="008E7A40"/>
    <w:rsid w:val="0095161B"/>
    <w:rsid w:val="009863BC"/>
    <w:rsid w:val="00987279"/>
    <w:rsid w:val="009918E6"/>
    <w:rsid w:val="009A1E6A"/>
    <w:rsid w:val="009B1571"/>
    <w:rsid w:val="009C19C1"/>
    <w:rsid w:val="009D113C"/>
    <w:rsid w:val="009F3DB3"/>
    <w:rsid w:val="00A0550A"/>
    <w:rsid w:val="00A61B78"/>
    <w:rsid w:val="00A71B36"/>
    <w:rsid w:val="00A76C06"/>
    <w:rsid w:val="00A8065E"/>
    <w:rsid w:val="00AA2A57"/>
    <w:rsid w:val="00AE16D4"/>
    <w:rsid w:val="00AE5368"/>
    <w:rsid w:val="00B15E79"/>
    <w:rsid w:val="00B51098"/>
    <w:rsid w:val="00B557AF"/>
    <w:rsid w:val="00B66D98"/>
    <w:rsid w:val="00BA0452"/>
    <w:rsid w:val="00BB4A04"/>
    <w:rsid w:val="00BC2CA2"/>
    <w:rsid w:val="00BC4348"/>
    <w:rsid w:val="00BC4603"/>
    <w:rsid w:val="00BD24EA"/>
    <w:rsid w:val="00BD3ABD"/>
    <w:rsid w:val="00BE0AC7"/>
    <w:rsid w:val="00BE54AB"/>
    <w:rsid w:val="00BF42DE"/>
    <w:rsid w:val="00BF6855"/>
    <w:rsid w:val="00C07FD5"/>
    <w:rsid w:val="00C3065E"/>
    <w:rsid w:val="00C3387E"/>
    <w:rsid w:val="00C42535"/>
    <w:rsid w:val="00C616BE"/>
    <w:rsid w:val="00C7000D"/>
    <w:rsid w:val="00C74E9D"/>
    <w:rsid w:val="00C763D9"/>
    <w:rsid w:val="00C8530F"/>
    <w:rsid w:val="00CB0C83"/>
    <w:rsid w:val="00CB41E3"/>
    <w:rsid w:val="00CB756A"/>
    <w:rsid w:val="00CC1D67"/>
    <w:rsid w:val="00CD63B9"/>
    <w:rsid w:val="00CD6756"/>
    <w:rsid w:val="00CE4EF9"/>
    <w:rsid w:val="00CE7076"/>
    <w:rsid w:val="00CF3708"/>
    <w:rsid w:val="00D07C54"/>
    <w:rsid w:val="00D250EF"/>
    <w:rsid w:val="00D6679C"/>
    <w:rsid w:val="00D93FFF"/>
    <w:rsid w:val="00DA211D"/>
    <w:rsid w:val="00DC3589"/>
    <w:rsid w:val="00DC3B3B"/>
    <w:rsid w:val="00DD0F9F"/>
    <w:rsid w:val="00E029E4"/>
    <w:rsid w:val="00E04955"/>
    <w:rsid w:val="00E27230"/>
    <w:rsid w:val="00E33374"/>
    <w:rsid w:val="00E45559"/>
    <w:rsid w:val="00E46465"/>
    <w:rsid w:val="00E53FE8"/>
    <w:rsid w:val="00E56008"/>
    <w:rsid w:val="00E61AA4"/>
    <w:rsid w:val="00E65077"/>
    <w:rsid w:val="00E774FE"/>
    <w:rsid w:val="00E80C13"/>
    <w:rsid w:val="00EA0CF7"/>
    <w:rsid w:val="00EC07A7"/>
    <w:rsid w:val="00ED7A9C"/>
    <w:rsid w:val="00F05284"/>
    <w:rsid w:val="00F22C29"/>
    <w:rsid w:val="00F34D59"/>
    <w:rsid w:val="00F6117B"/>
    <w:rsid w:val="00F830F6"/>
    <w:rsid w:val="00F87AA1"/>
    <w:rsid w:val="00F950D6"/>
    <w:rsid w:val="00F95523"/>
    <w:rsid w:val="00FC7714"/>
    <w:rsid w:val="00FD0D9C"/>
    <w:rsid w:val="00FD4039"/>
    <w:rsid w:val="00FF25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AABBF42"/>
  <w15:chartTrackingRefBased/>
  <w15:docId w15:val="{DF48422B-4CDB-DC4E-801F-86CCABF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customStyle="1" w:styleId="BasicParagraph">
    <w:name w:val="[Basic Paragraph]"/>
    <w:basedOn w:val="Normal"/>
    <w:uiPriority w:val="99"/>
    <w:rsid w:val="004C220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link w:val="BalloonTextChar"/>
    <w:rsid w:val="001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F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A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1E6A"/>
    <w:rPr>
      <w:sz w:val="20"/>
      <w:szCs w:val="20"/>
    </w:rPr>
  </w:style>
  <w:style w:type="character" w:customStyle="1" w:styleId="CommentTextChar">
    <w:name w:val="Comment Text Char"/>
    <w:link w:val="CommentText"/>
    <w:rsid w:val="009A1E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E6A"/>
    <w:rPr>
      <w:b/>
      <w:bCs/>
    </w:rPr>
  </w:style>
  <w:style w:type="character" w:customStyle="1" w:styleId="CommentSubjectChar">
    <w:name w:val="Comment Subject Char"/>
    <w:link w:val="CommentSubject"/>
    <w:rsid w:val="009A1E6A"/>
    <w:rPr>
      <w:b/>
      <w:bCs/>
      <w:lang w:eastAsia="en-US"/>
    </w:rPr>
  </w:style>
  <w:style w:type="paragraph" w:styleId="Revision">
    <w:name w:val="Revision"/>
    <w:hidden/>
    <w:uiPriority w:val="99"/>
    <w:semiHidden/>
    <w:rsid w:val="007D5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2023-10-13T14:41:02Z</dcterms:created>
  <dcterms:modified xsi:type="dcterms:W3CDTF">2023-10-13T14:41:02Z</dcterms:modified>
</cp:coreProperties>
</file>