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84662" w14:textId="77777777" w:rsidR="00062C94" w:rsidRPr="00561663" w:rsidRDefault="00062C94" w:rsidP="00062C94">
      <w:pPr>
        <w:pStyle w:val="Title"/>
        <w:widowControl w:val="0"/>
        <w:rPr>
          <w:rFonts w:ascii="Arial" w:hAnsi="Arial" w:cs="Arial"/>
          <w:szCs w:val="24"/>
        </w:rPr>
      </w:pPr>
      <w:r w:rsidRPr="00561663">
        <w:rPr>
          <w:rFonts w:ascii="Arial" w:hAnsi="Arial" w:cs="Arial"/>
          <w:szCs w:val="24"/>
        </w:rPr>
        <w:t>BEFORE</w:t>
      </w:r>
    </w:p>
    <w:p w14:paraId="3750F019" w14:textId="77777777" w:rsidR="00062C94" w:rsidRPr="00646AB2" w:rsidRDefault="00062C94" w:rsidP="00062C94">
      <w:pPr>
        <w:widowControl w:val="0"/>
        <w:jc w:val="center"/>
        <w:rPr>
          <w:rFonts w:ascii="Arial" w:hAnsi="Arial" w:cs="Arial"/>
          <w:b/>
          <w:sz w:val="24"/>
          <w:szCs w:val="24"/>
        </w:rPr>
      </w:pPr>
      <w:r w:rsidRPr="00561663">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062C94" w:rsidRPr="00561663" w14:paraId="729AF870" w14:textId="77777777" w:rsidTr="00CD6718">
        <w:trPr>
          <w:trHeight w:val="1359"/>
          <w:jc w:val="center"/>
        </w:trPr>
        <w:tc>
          <w:tcPr>
            <w:tcW w:w="4739" w:type="dxa"/>
          </w:tcPr>
          <w:p w14:paraId="3717C866" w14:textId="77777777" w:rsidR="00062C94" w:rsidRPr="00561663" w:rsidRDefault="00062C94" w:rsidP="00CD6718">
            <w:pPr>
              <w:widowControl w:val="0"/>
              <w:spacing w:after="0" w:line="240" w:lineRule="auto"/>
              <w:rPr>
                <w:rFonts w:ascii="Arial" w:hAnsi="Arial" w:cs="Arial"/>
                <w:sz w:val="24"/>
                <w:szCs w:val="24"/>
              </w:rPr>
            </w:pPr>
            <w:r w:rsidRPr="003D54FE">
              <w:rPr>
                <w:rFonts w:ascii="Arial" w:hAnsi="Arial" w:cs="Arial"/>
                <w:sz w:val="24"/>
                <w:szCs w:val="24"/>
              </w:rPr>
              <w:t>In the Matter of the Application of Duke Energy Ohio, Inc., for Approval of its Energy Efficiency and Peak Demand Reduction Portfolio of Programs</w:t>
            </w:r>
          </w:p>
        </w:tc>
        <w:tc>
          <w:tcPr>
            <w:tcW w:w="630" w:type="dxa"/>
          </w:tcPr>
          <w:p w14:paraId="266FB850" w14:textId="77777777" w:rsidR="00062C94" w:rsidRPr="00561663" w:rsidRDefault="00062C94" w:rsidP="00CD6718">
            <w:pPr>
              <w:widowControl w:val="0"/>
              <w:spacing w:after="0" w:line="240" w:lineRule="auto"/>
              <w:jc w:val="center"/>
              <w:rPr>
                <w:rFonts w:ascii="Arial" w:hAnsi="Arial" w:cs="Arial"/>
                <w:sz w:val="24"/>
                <w:szCs w:val="24"/>
              </w:rPr>
            </w:pPr>
            <w:r w:rsidRPr="00561663">
              <w:rPr>
                <w:rFonts w:ascii="Arial" w:hAnsi="Arial" w:cs="Arial"/>
                <w:sz w:val="24"/>
                <w:szCs w:val="24"/>
              </w:rPr>
              <w:t>)</w:t>
            </w:r>
          </w:p>
          <w:p w14:paraId="26FEA4F0" w14:textId="77777777" w:rsidR="00062C94" w:rsidRPr="00561663" w:rsidRDefault="00062C94" w:rsidP="00CD6718">
            <w:pPr>
              <w:widowControl w:val="0"/>
              <w:spacing w:after="0" w:line="240" w:lineRule="auto"/>
              <w:jc w:val="center"/>
              <w:rPr>
                <w:rFonts w:ascii="Arial" w:hAnsi="Arial" w:cs="Arial"/>
                <w:sz w:val="24"/>
                <w:szCs w:val="24"/>
              </w:rPr>
            </w:pPr>
            <w:r w:rsidRPr="00561663">
              <w:rPr>
                <w:rFonts w:ascii="Arial" w:hAnsi="Arial" w:cs="Arial"/>
                <w:sz w:val="24"/>
                <w:szCs w:val="24"/>
              </w:rPr>
              <w:t>)</w:t>
            </w:r>
          </w:p>
          <w:p w14:paraId="120A56CB" w14:textId="77777777" w:rsidR="00062C94" w:rsidRPr="00561663" w:rsidRDefault="00062C94" w:rsidP="00CD6718">
            <w:pPr>
              <w:widowControl w:val="0"/>
              <w:spacing w:after="0" w:line="240" w:lineRule="auto"/>
              <w:jc w:val="center"/>
              <w:rPr>
                <w:rFonts w:ascii="Arial" w:hAnsi="Arial" w:cs="Arial"/>
                <w:sz w:val="24"/>
                <w:szCs w:val="24"/>
              </w:rPr>
            </w:pPr>
            <w:r w:rsidRPr="00561663">
              <w:rPr>
                <w:rFonts w:ascii="Arial" w:hAnsi="Arial" w:cs="Arial"/>
                <w:sz w:val="24"/>
                <w:szCs w:val="24"/>
              </w:rPr>
              <w:t>)</w:t>
            </w:r>
          </w:p>
          <w:p w14:paraId="31B067CA" w14:textId="77777777" w:rsidR="00062C94" w:rsidRDefault="00062C94" w:rsidP="00CD6718">
            <w:pPr>
              <w:widowControl w:val="0"/>
              <w:spacing w:after="0" w:line="240" w:lineRule="auto"/>
              <w:jc w:val="center"/>
              <w:rPr>
                <w:rFonts w:ascii="Arial" w:hAnsi="Arial" w:cs="Arial"/>
                <w:sz w:val="24"/>
                <w:szCs w:val="24"/>
              </w:rPr>
            </w:pPr>
            <w:r w:rsidRPr="00561663">
              <w:rPr>
                <w:rFonts w:ascii="Arial" w:hAnsi="Arial" w:cs="Arial"/>
                <w:sz w:val="24"/>
                <w:szCs w:val="24"/>
              </w:rPr>
              <w:t>)</w:t>
            </w:r>
          </w:p>
          <w:p w14:paraId="578A7325" w14:textId="77777777" w:rsidR="00062C94" w:rsidRPr="00561663" w:rsidRDefault="00062C94" w:rsidP="00CD6718">
            <w:pPr>
              <w:widowControl w:val="0"/>
              <w:spacing w:after="0" w:line="240" w:lineRule="auto"/>
              <w:jc w:val="center"/>
              <w:rPr>
                <w:rFonts w:ascii="Arial" w:hAnsi="Arial" w:cs="Arial"/>
                <w:sz w:val="24"/>
                <w:szCs w:val="24"/>
              </w:rPr>
            </w:pPr>
          </w:p>
          <w:p w14:paraId="75702635" w14:textId="77777777" w:rsidR="00062C94" w:rsidRPr="00561663" w:rsidRDefault="00062C94" w:rsidP="00CD6718">
            <w:pPr>
              <w:widowControl w:val="0"/>
              <w:spacing w:after="0" w:line="240" w:lineRule="auto"/>
              <w:rPr>
                <w:rFonts w:ascii="Arial" w:hAnsi="Arial" w:cs="Arial"/>
                <w:sz w:val="24"/>
                <w:szCs w:val="24"/>
              </w:rPr>
            </w:pPr>
          </w:p>
        </w:tc>
        <w:tc>
          <w:tcPr>
            <w:tcW w:w="3928" w:type="dxa"/>
          </w:tcPr>
          <w:p w14:paraId="6A76C24D" w14:textId="77777777" w:rsidR="00062C94" w:rsidRPr="00561663" w:rsidRDefault="00062C94" w:rsidP="00CD6718">
            <w:pPr>
              <w:widowControl w:val="0"/>
              <w:spacing w:after="0" w:line="240" w:lineRule="auto"/>
              <w:rPr>
                <w:rFonts w:ascii="Arial" w:hAnsi="Arial" w:cs="Arial"/>
                <w:sz w:val="24"/>
                <w:szCs w:val="24"/>
              </w:rPr>
            </w:pPr>
          </w:p>
          <w:p w14:paraId="6908F856" w14:textId="77777777" w:rsidR="00062C94" w:rsidRPr="00561663" w:rsidRDefault="00062C94" w:rsidP="00CD6718">
            <w:pPr>
              <w:widowControl w:val="0"/>
              <w:spacing w:after="0" w:line="240" w:lineRule="auto"/>
              <w:rPr>
                <w:rFonts w:ascii="Arial" w:hAnsi="Arial" w:cs="Arial"/>
                <w:sz w:val="24"/>
                <w:szCs w:val="24"/>
              </w:rPr>
            </w:pPr>
            <w:r w:rsidRPr="00561663">
              <w:rPr>
                <w:rFonts w:ascii="Arial" w:hAnsi="Arial" w:cs="Arial"/>
                <w:sz w:val="24"/>
                <w:szCs w:val="24"/>
              </w:rPr>
              <w:t xml:space="preserve">Case No. </w:t>
            </w:r>
            <w:r>
              <w:rPr>
                <w:rFonts w:ascii="Arial" w:hAnsi="Arial" w:cs="Arial"/>
                <w:sz w:val="24"/>
                <w:szCs w:val="24"/>
              </w:rPr>
              <w:t>16-0576-EL-POR</w:t>
            </w:r>
          </w:p>
          <w:p w14:paraId="182BD875" w14:textId="77777777" w:rsidR="00062C94" w:rsidRPr="00561663" w:rsidRDefault="00062C94" w:rsidP="00CD6718">
            <w:pPr>
              <w:widowControl w:val="0"/>
              <w:spacing w:after="0" w:line="240" w:lineRule="auto"/>
              <w:rPr>
                <w:rFonts w:ascii="Arial" w:hAnsi="Arial" w:cs="Arial"/>
                <w:sz w:val="24"/>
                <w:szCs w:val="24"/>
              </w:rPr>
            </w:pPr>
          </w:p>
          <w:p w14:paraId="651BB27B" w14:textId="77777777" w:rsidR="00062C94" w:rsidRPr="00561663" w:rsidRDefault="00062C94" w:rsidP="00CD6718">
            <w:pPr>
              <w:widowControl w:val="0"/>
              <w:spacing w:after="0" w:line="240" w:lineRule="auto"/>
              <w:rPr>
                <w:rFonts w:ascii="Arial" w:hAnsi="Arial" w:cs="Arial"/>
                <w:sz w:val="24"/>
                <w:szCs w:val="24"/>
              </w:rPr>
            </w:pPr>
          </w:p>
        </w:tc>
      </w:tr>
    </w:tbl>
    <w:p w14:paraId="7176D2C7" w14:textId="77777777" w:rsidR="00545F29" w:rsidRPr="009D71F6" w:rsidRDefault="00545F29">
      <w:pPr>
        <w:widowControl w:val="0"/>
        <w:pBdr>
          <w:bottom w:val="single" w:sz="12" w:space="0" w:color="auto"/>
        </w:pBdr>
        <w:spacing w:after="0" w:line="240" w:lineRule="auto"/>
        <w:rPr>
          <w:rFonts w:ascii="Arial" w:hAnsi="Arial" w:cs="Arial"/>
          <w:sz w:val="24"/>
          <w:szCs w:val="24"/>
        </w:rPr>
      </w:pPr>
    </w:p>
    <w:p w14:paraId="7176D2C8" w14:textId="77777777" w:rsidR="00545F29" w:rsidRPr="009D71F6" w:rsidRDefault="00545F29">
      <w:pPr>
        <w:widowControl w:val="0"/>
        <w:spacing w:after="0" w:line="240" w:lineRule="auto"/>
        <w:jc w:val="center"/>
        <w:rPr>
          <w:rFonts w:ascii="Arial" w:hAnsi="Arial" w:cs="Arial"/>
          <w:b/>
          <w:bCs/>
          <w:sz w:val="24"/>
          <w:szCs w:val="24"/>
        </w:rPr>
      </w:pPr>
    </w:p>
    <w:p w14:paraId="72560FD4" w14:textId="544C06B2" w:rsidR="00AD27B9" w:rsidRDefault="005F419A">
      <w:pPr>
        <w:widowControl w:val="0"/>
        <w:pBdr>
          <w:bottom w:val="single" w:sz="12" w:space="1" w:color="auto"/>
        </w:pBdr>
        <w:tabs>
          <w:tab w:val="left" w:pos="6461"/>
        </w:tabs>
        <w:spacing w:after="0" w:line="240" w:lineRule="auto"/>
        <w:jc w:val="center"/>
        <w:rPr>
          <w:rFonts w:ascii="Arial" w:hAnsi="Arial" w:cs="Arial"/>
          <w:b/>
          <w:bCs/>
          <w:sz w:val="24"/>
          <w:szCs w:val="24"/>
        </w:rPr>
      </w:pPr>
      <w:r>
        <w:rPr>
          <w:rFonts w:ascii="Arial" w:hAnsi="Arial" w:cs="Arial"/>
          <w:b/>
          <w:bCs/>
          <w:sz w:val="24"/>
          <w:szCs w:val="24"/>
        </w:rPr>
        <w:t>REPLY BRIEF OF INTERSTATE GAS SUPPLY, INC.</w:t>
      </w:r>
    </w:p>
    <w:p w14:paraId="1BEDFCCF" w14:textId="77777777" w:rsidR="004466E0" w:rsidRPr="009D71F6" w:rsidRDefault="004466E0">
      <w:pPr>
        <w:widowControl w:val="0"/>
        <w:pBdr>
          <w:bottom w:val="single" w:sz="12" w:space="1" w:color="auto"/>
        </w:pBdr>
        <w:tabs>
          <w:tab w:val="left" w:pos="6461"/>
        </w:tabs>
        <w:spacing w:after="0" w:line="240" w:lineRule="auto"/>
        <w:jc w:val="center"/>
        <w:rPr>
          <w:rFonts w:ascii="Arial" w:hAnsi="Arial" w:cs="Arial"/>
          <w:sz w:val="24"/>
          <w:szCs w:val="24"/>
        </w:rPr>
      </w:pPr>
    </w:p>
    <w:p w14:paraId="7176D2CC" w14:textId="77777777" w:rsidR="00545F29" w:rsidRPr="009D71F6" w:rsidRDefault="00545F29">
      <w:pPr>
        <w:tabs>
          <w:tab w:val="left" w:pos="360"/>
        </w:tabs>
        <w:spacing w:after="0" w:line="240" w:lineRule="auto"/>
        <w:ind w:left="360" w:hanging="360"/>
        <w:jc w:val="both"/>
        <w:rPr>
          <w:rFonts w:ascii="Arial" w:hAnsi="Arial" w:cs="Arial"/>
          <w:sz w:val="24"/>
          <w:szCs w:val="24"/>
        </w:rPr>
      </w:pPr>
    </w:p>
    <w:p w14:paraId="7D434B1A"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19A5282C"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7002DFE5"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39545212"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1FFAC93F" w14:textId="5772FB47" w:rsidR="00237730" w:rsidRDefault="00237730" w:rsidP="00237730">
      <w:pPr>
        <w:spacing w:after="0" w:line="240" w:lineRule="auto"/>
        <w:ind w:left="5040"/>
        <w:rPr>
          <w:rFonts w:ascii="Arial" w:eastAsia="Calibri" w:hAnsi="Arial" w:cs="Arial"/>
          <w:sz w:val="24"/>
          <w:szCs w:val="24"/>
          <w:u w:val="single"/>
        </w:rPr>
      </w:pPr>
    </w:p>
    <w:p w14:paraId="53050E83" w14:textId="77777777" w:rsidR="00062C94" w:rsidRDefault="00062C94" w:rsidP="00237730">
      <w:pPr>
        <w:spacing w:after="0" w:line="240" w:lineRule="auto"/>
        <w:ind w:left="5040"/>
        <w:rPr>
          <w:rFonts w:ascii="Arial" w:hAnsi="Arial" w:cs="Arial"/>
          <w:sz w:val="24"/>
          <w:szCs w:val="24"/>
        </w:rPr>
      </w:pPr>
    </w:p>
    <w:p w14:paraId="040A8957" w14:textId="77777777" w:rsidR="00062C94" w:rsidRDefault="00062C94" w:rsidP="00237730">
      <w:pPr>
        <w:spacing w:after="0" w:line="240" w:lineRule="auto"/>
        <w:ind w:left="5040"/>
        <w:rPr>
          <w:rFonts w:ascii="Arial" w:hAnsi="Arial" w:cs="Arial"/>
          <w:sz w:val="24"/>
          <w:szCs w:val="24"/>
        </w:rPr>
      </w:pPr>
    </w:p>
    <w:p w14:paraId="2343889A" w14:textId="77777777" w:rsidR="00062C94" w:rsidRDefault="00062C94" w:rsidP="00237730">
      <w:pPr>
        <w:spacing w:after="0" w:line="240" w:lineRule="auto"/>
        <w:ind w:left="5040"/>
        <w:rPr>
          <w:rFonts w:ascii="Arial" w:hAnsi="Arial" w:cs="Arial"/>
          <w:sz w:val="24"/>
          <w:szCs w:val="24"/>
        </w:rPr>
      </w:pPr>
    </w:p>
    <w:p w14:paraId="70DC460C" w14:textId="77777777" w:rsidR="00062C94" w:rsidRDefault="00062C94" w:rsidP="00237730">
      <w:pPr>
        <w:spacing w:after="0" w:line="240" w:lineRule="auto"/>
        <w:ind w:left="5040"/>
        <w:rPr>
          <w:rFonts w:ascii="Arial" w:hAnsi="Arial" w:cs="Arial"/>
          <w:sz w:val="24"/>
          <w:szCs w:val="24"/>
        </w:rPr>
      </w:pPr>
    </w:p>
    <w:p w14:paraId="4D782CD9" w14:textId="77777777" w:rsidR="00062C94" w:rsidRDefault="00062C94" w:rsidP="00237730">
      <w:pPr>
        <w:spacing w:after="0" w:line="240" w:lineRule="auto"/>
        <w:ind w:left="5040"/>
        <w:rPr>
          <w:rFonts w:ascii="Arial" w:hAnsi="Arial" w:cs="Arial"/>
          <w:sz w:val="24"/>
          <w:szCs w:val="24"/>
        </w:rPr>
      </w:pPr>
    </w:p>
    <w:p w14:paraId="7307477B" w14:textId="2D25732C" w:rsidR="00237730" w:rsidRDefault="00237730" w:rsidP="00237730">
      <w:pPr>
        <w:spacing w:after="0" w:line="240" w:lineRule="auto"/>
        <w:ind w:left="5040"/>
        <w:rPr>
          <w:rFonts w:ascii="Arial" w:hAnsi="Arial" w:cs="Arial"/>
          <w:sz w:val="24"/>
          <w:szCs w:val="24"/>
        </w:rPr>
      </w:pPr>
      <w:r>
        <w:rPr>
          <w:rFonts w:ascii="Arial" w:hAnsi="Arial" w:cs="Arial"/>
          <w:sz w:val="24"/>
          <w:szCs w:val="24"/>
        </w:rPr>
        <w:t>Joseph Oliker</w:t>
      </w:r>
      <w:r w:rsidR="007B3399">
        <w:rPr>
          <w:rFonts w:ascii="Arial" w:hAnsi="Arial" w:cs="Arial"/>
          <w:sz w:val="24"/>
          <w:szCs w:val="24"/>
        </w:rPr>
        <w:t xml:space="preserve"> (0086088)</w:t>
      </w:r>
    </w:p>
    <w:p w14:paraId="794E3277"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Email</w:t>
      </w:r>
      <w:r w:rsidRPr="00A71E20">
        <w:rPr>
          <w:rFonts w:ascii="Arial" w:hAnsi="Arial" w:cs="Arial"/>
          <w:sz w:val="24"/>
          <w:szCs w:val="24"/>
        </w:rPr>
        <w:t xml:space="preserve">: </w:t>
      </w:r>
      <w:hyperlink r:id="rId8" w:history="1">
        <w:r w:rsidRPr="00A71E20">
          <w:rPr>
            <w:rStyle w:val="Hyperlink"/>
            <w:rFonts w:ascii="Arial" w:hAnsi="Arial" w:cs="Arial"/>
            <w:color w:val="auto"/>
            <w:sz w:val="24"/>
            <w:szCs w:val="24"/>
            <w:u w:val="none"/>
          </w:rPr>
          <w:t>joliker@igsenergy.com</w:t>
        </w:r>
      </w:hyperlink>
    </w:p>
    <w:p w14:paraId="47F2F7F1"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Counsel of Record</w:t>
      </w:r>
    </w:p>
    <w:p w14:paraId="1C54B0A0" w14:textId="1FE88325" w:rsidR="00237730" w:rsidRDefault="00AA75B4" w:rsidP="00237730">
      <w:pPr>
        <w:spacing w:after="0" w:line="240" w:lineRule="auto"/>
        <w:ind w:left="5040"/>
        <w:rPr>
          <w:rFonts w:ascii="Arial" w:hAnsi="Arial" w:cs="Arial"/>
          <w:sz w:val="24"/>
          <w:szCs w:val="24"/>
        </w:rPr>
      </w:pPr>
      <w:r>
        <w:rPr>
          <w:rFonts w:ascii="Arial" w:hAnsi="Arial" w:cs="Arial"/>
          <w:sz w:val="24"/>
          <w:szCs w:val="24"/>
        </w:rPr>
        <w:t>IGS Energy</w:t>
      </w:r>
    </w:p>
    <w:p w14:paraId="7808A77D"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6100 Emerald Parkway</w:t>
      </w:r>
    </w:p>
    <w:p w14:paraId="7F0E5D8B"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Dublin, Ohio 43016</w:t>
      </w:r>
    </w:p>
    <w:p w14:paraId="6527965A"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14:paraId="3ABFFA73"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71F7DC00" w14:textId="77777777" w:rsidR="00237730" w:rsidRDefault="00237730" w:rsidP="00237730">
      <w:pPr>
        <w:spacing w:after="0" w:line="240" w:lineRule="auto"/>
        <w:ind w:left="5040"/>
        <w:rPr>
          <w:rFonts w:ascii="Arial" w:hAnsi="Arial" w:cs="Arial"/>
          <w:sz w:val="24"/>
          <w:szCs w:val="24"/>
        </w:rPr>
      </w:pPr>
    </w:p>
    <w:p w14:paraId="5C805413" w14:textId="4E3E9386" w:rsidR="00237730" w:rsidRDefault="00062C94" w:rsidP="00237730">
      <w:pPr>
        <w:spacing w:after="0" w:line="240" w:lineRule="auto"/>
        <w:ind w:left="5040"/>
        <w:rPr>
          <w:rFonts w:ascii="Arial" w:hAnsi="Arial" w:cs="Arial"/>
          <w:b/>
          <w:i/>
          <w:sz w:val="24"/>
          <w:szCs w:val="24"/>
        </w:rPr>
      </w:pPr>
      <w:r>
        <w:rPr>
          <w:rFonts w:ascii="Arial" w:hAnsi="Arial" w:cs="Arial"/>
          <w:b/>
          <w:i/>
          <w:sz w:val="24"/>
          <w:szCs w:val="24"/>
        </w:rPr>
        <w:t>Attorney</w:t>
      </w:r>
      <w:r w:rsidR="00237730">
        <w:rPr>
          <w:rFonts w:ascii="Arial" w:hAnsi="Arial" w:cs="Arial"/>
          <w:b/>
          <w:i/>
          <w:sz w:val="24"/>
          <w:szCs w:val="24"/>
        </w:rPr>
        <w:t xml:space="preserve"> for IGS Energy</w:t>
      </w:r>
    </w:p>
    <w:p w14:paraId="29245C49" w14:textId="77777777" w:rsidR="00237730" w:rsidRDefault="00237730" w:rsidP="00237730">
      <w:pPr>
        <w:spacing w:after="0" w:line="240" w:lineRule="auto"/>
        <w:ind w:left="5040"/>
        <w:rPr>
          <w:rFonts w:ascii="Arial" w:hAnsi="Arial" w:cs="Arial"/>
          <w:b/>
          <w:i/>
          <w:sz w:val="24"/>
          <w:szCs w:val="24"/>
        </w:rPr>
      </w:pPr>
    </w:p>
    <w:p w14:paraId="36325880" w14:textId="77777777" w:rsidR="00062C94" w:rsidRDefault="00062C94" w:rsidP="00D13280">
      <w:pPr>
        <w:spacing w:after="0" w:line="240" w:lineRule="auto"/>
        <w:rPr>
          <w:rFonts w:ascii="Arial" w:hAnsi="Arial" w:cs="Arial"/>
          <w:b/>
          <w:sz w:val="24"/>
          <w:szCs w:val="24"/>
        </w:rPr>
      </w:pPr>
    </w:p>
    <w:p w14:paraId="447A0150" w14:textId="77777777" w:rsidR="00062C94" w:rsidRDefault="00062C94" w:rsidP="00D13280">
      <w:pPr>
        <w:spacing w:after="0" w:line="240" w:lineRule="auto"/>
        <w:rPr>
          <w:rFonts w:ascii="Arial" w:hAnsi="Arial" w:cs="Arial"/>
          <w:b/>
          <w:sz w:val="24"/>
          <w:szCs w:val="24"/>
        </w:rPr>
      </w:pPr>
    </w:p>
    <w:p w14:paraId="17913999" w14:textId="77777777" w:rsidR="00062C94" w:rsidRDefault="00062C94" w:rsidP="00D13280">
      <w:pPr>
        <w:spacing w:after="0" w:line="240" w:lineRule="auto"/>
        <w:rPr>
          <w:rFonts w:ascii="Arial" w:hAnsi="Arial" w:cs="Arial"/>
          <w:b/>
          <w:sz w:val="24"/>
          <w:szCs w:val="24"/>
        </w:rPr>
      </w:pPr>
    </w:p>
    <w:p w14:paraId="72F51C0E" w14:textId="15844DB0" w:rsidR="00237730" w:rsidRPr="00D13280" w:rsidRDefault="004466E0" w:rsidP="00D13280">
      <w:pPr>
        <w:spacing w:after="0" w:line="240" w:lineRule="auto"/>
        <w:rPr>
          <w:rFonts w:ascii="Arial" w:hAnsi="Arial" w:cs="Arial"/>
          <w:b/>
          <w:sz w:val="24"/>
          <w:szCs w:val="24"/>
        </w:rPr>
      </w:pPr>
      <w:r>
        <w:rPr>
          <w:rFonts w:ascii="Arial" w:hAnsi="Arial" w:cs="Arial"/>
          <w:b/>
          <w:sz w:val="24"/>
          <w:szCs w:val="24"/>
        </w:rPr>
        <w:t>April 7, 2017</w:t>
      </w:r>
    </w:p>
    <w:p w14:paraId="55FF9CB7" w14:textId="77777777" w:rsidR="006546D2" w:rsidRDefault="006546D2" w:rsidP="00B66E26">
      <w:pPr>
        <w:spacing w:after="0" w:line="240" w:lineRule="auto"/>
        <w:ind w:left="2160" w:firstLine="720"/>
        <w:rPr>
          <w:rFonts w:ascii="Arial" w:hAnsi="Arial" w:cs="Arial"/>
          <w:sz w:val="24"/>
          <w:szCs w:val="24"/>
        </w:rPr>
      </w:pPr>
    </w:p>
    <w:p w14:paraId="4A2C0EDE" w14:textId="77777777" w:rsidR="006546D2" w:rsidRDefault="006546D2" w:rsidP="004466E0">
      <w:pPr>
        <w:spacing w:after="0" w:line="240" w:lineRule="auto"/>
        <w:rPr>
          <w:rFonts w:ascii="Arial" w:hAnsi="Arial" w:cs="Arial"/>
          <w:sz w:val="24"/>
          <w:szCs w:val="24"/>
        </w:rPr>
      </w:pPr>
    </w:p>
    <w:p w14:paraId="11D0EF79" w14:textId="77777777" w:rsidR="004466E0" w:rsidRPr="00561663" w:rsidRDefault="004466E0" w:rsidP="004466E0">
      <w:pPr>
        <w:pStyle w:val="Title"/>
        <w:widowControl w:val="0"/>
        <w:rPr>
          <w:rFonts w:ascii="Arial" w:hAnsi="Arial" w:cs="Arial"/>
          <w:szCs w:val="24"/>
        </w:rPr>
      </w:pPr>
      <w:r w:rsidRPr="00561663">
        <w:rPr>
          <w:rFonts w:ascii="Arial" w:hAnsi="Arial" w:cs="Arial"/>
          <w:szCs w:val="24"/>
        </w:rPr>
        <w:lastRenderedPageBreak/>
        <w:t>BEFORE</w:t>
      </w:r>
    </w:p>
    <w:p w14:paraId="177FB3E6" w14:textId="77777777" w:rsidR="004466E0" w:rsidRPr="00646AB2" w:rsidRDefault="004466E0" w:rsidP="004466E0">
      <w:pPr>
        <w:widowControl w:val="0"/>
        <w:jc w:val="center"/>
        <w:rPr>
          <w:rFonts w:ascii="Arial" w:hAnsi="Arial" w:cs="Arial"/>
          <w:b/>
          <w:sz w:val="24"/>
          <w:szCs w:val="24"/>
        </w:rPr>
      </w:pPr>
      <w:r w:rsidRPr="00561663">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4466E0" w:rsidRPr="00561663" w14:paraId="59779675" w14:textId="77777777" w:rsidTr="00CD6718">
        <w:trPr>
          <w:trHeight w:val="1359"/>
          <w:jc w:val="center"/>
        </w:trPr>
        <w:tc>
          <w:tcPr>
            <w:tcW w:w="4739" w:type="dxa"/>
          </w:tcPr>
          <w:p w14:paraId="19254836" w14:textId="77777777" w:rsidR="004466E0" w:rsidRPr="00561663" w:rsidRDefault="004466E0" w:rsidP="00CD6718">
            <w:pPr>
              <w:widowControl w:val="0"/>
              <w:spacing w:after="0" w:line="240" w:lineRule="auto"/>
              <w:rPr>
                <w:rFonts w:ascii="Arial" w:hAnsi="Arial" w:cs="Arial"/>
                <w:sz w:val="24"/>
                <w:szCs w:val="24"/>
              </w:rPr>
            </w:pPr>
            <w:r w:rsidRPr="003D54FE">
              <w:rPr>
                <w:rFonts w:ascii="Arial" w:hAnsi="Arial" w:cs="Arial"/>
                <w:sz w:val="24"/>
                <w:szCs w:val="24"/>
              </w:rPr>
              <w:t>In the Matter of the Application of Duke Energy Ohio, Inc., for Approval of its Energy Efficiency and Peak Demand Reduction Portfolio of Programs</w:t>
            </w:r>
          </w:p>
        </w:tc>
        <w:tc>
          <w:tcPr>
            <w:tcW w:w="630" w:type="dxa"/>
          </w:tcPr>
          <w:p w14:paraId="4650084C" w14:textId="77777777" w:rsidR="004466E0" w:rsidRPr="00561663" w:rsidRDefault="004466E0" w:rsidP="00CD6718">
            <w:pPr>
              <w:widowControl w:val="0"/>
              <w:spacing w:after="0" w:line="240" w:lineRule="auto"/>
              <w:jc w:val="center"/>
              <w:rPr>
                <w:rFonts w:ascii="Arial" w:hAnsi="Arial" w:cs="Arial"/>
                <w:sz w:val="24"/>
                <w:szCs w:val="24"/>
              </w:rPr>
            </w:pPr>
            <w:r w:rsidRPr="00561663">
              <w:rPr>
                <w:rFonts w:ascii="Arial" w:hAnsi="Arial" w:cs="Arial"/>
                <w:sz w:val="24"/>
                <w:szCs w:val="24"/>
              </w:rPr>
              <w:t>)</w:t>
            </w:r>
          </w:p>
          <w:p w14:paraId="075B2CCC" w14:textId="77777777" w:rsidR="004466E0" w:rsidRPr="00561663" w:rsidRDefault="004466E0" w:rsidP="00CD6718">
            <w:pPr>
              <w:widowControl w:val="0"/>
              <w:spacing w:after="0" w:line="240" w:lineRule="auto"/>
              <w:jc w:val="center"/>
              <w:rPr>
                <w:rFonts w:ascii="Arial" w:hAnsi="Arial" w:cs="Arial"/>
                <w:sz w:val="24"/>
                <w:szCs w:val="24"/>
              </w:rPr>
            </w:pPr>
            <w:r w:rsidRPr="00561663">
              <w:rPr>
                <w:rFonts w:ascii="Arial" w:hAnsi="Arial" w:cs="Arial"/>
                <w:sz w:val="24"/>
                <w:szCs w:val="24"/>
              </w:rPr>
              <w:t>)</w:t>
            </w:r>
          </w:p>
          <w:p w14:paraId="4FD231C6" w14:textId="77777777" w:rsidR="004466E0" w:rsidRPr="00561663" w:rsidRDefault="004466E0" w:rsidP="00CD6718">
            <w:pPr>
              <w:widowControl w:val="0"/>
              <w:spacing w:after="0" w:line="240" w:lineRule="auto"/>
              <w:jc w:val="center"/>
              <w:rPr>
                <w:rFonts w:ascii="Arial" w:hAnsi="Arial" w:cs="Arial"/>
                <w:sz w:val="24"/>
                <w:szCs w:val="24"/>
              </w:rPr>
            </w:pPr>
            <w:r w:rsidRPr="00561663">
              <w:rPr>
                <w:rFonts w:ascii="Arial" w:hAnsi="Arial" w:cs="Arial"/>
                <w:sz w:val="24"/>
                <w:szCs w:val="24"/>
              </w:rPr>
              <w:t>)</w:t>
            </w:r>
          </w:p>
          <w:p w14:paraId="4DCC6474" w14:textId="77777777" w:rsidR="004466E0" w:rsidRDefault="004466E0" w:rsidP="00CD6718">
            <w:pPr>
              <w:widowControl w:val="0"/>
              <w:spacing w:after="0" w:line="240" w:lineRule="auto"/>
              <w:jc w:val="center"/>
              <w:rPr>
                <w:rFonts w:ascii="Arial" w:hAnsi="Arial" w:cs="Arial"/>
                <w:sz w:val="24"/>
                <w:szCs w:val="24"/>
              </w:rPr>
            </w:pPr>
            <w:r w:rsidRPr="00561663">
              <w:rPr>
                <w:rFonts w:ascii="Arial" w:hAnsi="Arial" w:cs="Arial"/>
                <w:sz w:val="24"/>
                <w:szCs w:val="24"/>
              </w:rPr>
              <w:t>)</w:t>
            </w:r>
          </w:p>
          <w:p w14:paraId="353682B8" w14:textId="77777777" w:rsidR="004466E0" w:rsidRPr="00561663" w:rsidRDefault="004466E0" w:rsidP="00CD6718">
            <w:pPr>
              <w:widowControl w:val="0"/>
              <w:spacing w:after="0" w:line="240" w:lineRule="auto"/>
              <w:jc w:val="center"/>
              <w:rPr>
                <w:rFonts w:ascii="Arial" w:hAnsi="Arial" w:cs="Arial"/>
                <w:sz w:val="24"/>
                <w:szCs w:val="24"/>
              </w:rPr>
            </w:pPr>
          </w:p>
          <w:p w14:paraId="074198C0" w14:textId="77777777" w:rsidR="004466E0" w:rsidRPr="00561663" w:rsidRDefault="004466E0" w:rsidP="00CD6718">
            <w:pPr>
              <w:widowControl w:val="0"/>
              <w:spacing w:after="0" w:line="240" w:lineRule="auto"/>
              <w:rPr>
                <w:rFonts w:ascii="Arial" w:hAnsi="Arial" w:cs="Arial"/>
                <w:sz w:val="24"/>
                <w:szCs w:val="24"/>
              </w:rPr>
            </w:pPr>
          </w:p>
        </w:tc>
        <w:tc>
          <w:tcPr>
            <w:tcW w:w="3928" w:type="dxa"/>
          </w:tcPr>
          <w:p w14:paraId="7A8DB14C" w14:textId="77777777" w:rsidR="004466E0" w:rsidRPr="00561663" w:rsidRDefault="004466E0" w:rsidP="00CD6718">
            <w:pPr>
              <w:widowControl w:val="0"/>
              <w:spacing w:after="0" w:line="240" w:lineRule="auto"/>
              <w:rPr>
                <w:rFonts w:ascii="Arial" w:hAnsi="Arial" w:cs="Arial"/>
                <w:sz w:val="24"/>
                <w:szCs w:val="24"/>
              </w:rPr>
            </w:pPr>
          </w:p>
          <w:p w14:paraId="28D7AF9D" w14:textId="77777777" w:rsidR="004466E0" w:rsidRPr="00561663" w:rsidRDefault="004466E0" w:rsidP="00CD6718">
            <w:pPr>
              <w:widowControl w:val="0"/>
              <w:spacing w:after="0" w:line="240" w:lineRule="auto"/>
              <w:rPr>
                <w:rFonts w:ascii="Arial" w:hAnsi="Arial" w:cs="Arial"/>
                <w:sz w:val="24"/>
                <w:szCs w:val="24"/>
              </w:rPr>
            </w:pPr>
            <w:r w:rsidRPr="00561663">
              <w:rPr>
                <w:rFonts w:ascii="Arial" w:hAnsi="Arial" w:cs="Arial"/>
                <w:sz w:val="24"/>
                <w:szCs w:val="24"/>
              </w:rPr>
              <w:t xml:space="preserve">Case No. </w:t>
            </w:r>
            <w:r>
              <w:rPr>
                <w:rFonts w:ascii="Arial" w:hAnsi="Arial" w:cs="Arial"/>
                <w:sz w:val="24"/>
                <w:szCs w:val="24"/>
              </w:rPr>
              <w:t>16-0576-EL-POR</w:t>
            </w:r>
          </w:p>
          <w:p w14:paraId="7578EF60" w14:textId="77777777" w:rsidR="004466E0" w:rsidRPr="00561663" w:rsidRDefault="004466E0" w:rsidP="00CD6718">
            <w:pPr>
              <w:widowControl w:val="0"/>
              <w:spacing w:after="0" w:line="240" w:lineRule="auto"/>
              <w:rPr>
                <w:rFonts w:ascii="Arial" w:hAnsi="Arial" w:cs="Arial"/>
                <w:sz w:val="24"/>
                <w:szCs w:val="24"/>
              </w:rPr>
            </w:pPr>
          </w:p>
          <w:p w14:paraId="3B8431CF" w14:textId="77777777" w:rsidR="004466E0" w:rsidRPr="00561663" w:rsidRDefault="004466E0" w:rsidP="00CD6718">
            <w:pPr>
              <w:widowControl w:val="0"/>
              <w:spacing w:after="0" w:line="240" w:lineRule="auto"/>
              <w:rPr>
                <w:rFonts w:ascii="Arial" w:hAnsi="Arial" w:cs="Arial"/>
                <w:sz w:val="24"/>
                <w:szCs w:val="24"/>
              </w:rPr>
            </w:pPr>
          </w:p>
        </w:tc>
      </w:tr>
    </w:tbl>
    <w:p w14:paraId="5BD3F28D" w14:textId="77777777" w:rsidR="004466E0" w:rsidRPr="009D71F6" w:rsidRDefault="004466E0" w:rsidP="004466E0">
      <w:pPr>
        <w:widowControl w:val="0"/>
        <w:pBdr>
          <w:bottom w:val="single" w:sz="12" w:space="0" w:color="auto"/>
        </w:pBdr>
        <w:spacing w:after="0" w:line="240" w:lineRule="auto"/>
        <w:rPr>
          <w:rFonts w:ascii="Arial" w:hAnsi="Arial" w:cs="Arial"/>
          <w:sz w:val="24"/>
          <w:szCs w:val="24"/>
        </w:rPr>
      </w:pPr>
    </w:p>
    <w:p w14:paraId="6D0CE236" w14:textId="77777777" w:rsidR="004466E0" w:rsidRPr="009D71F6" w:rsidRDefault="004466E0" w:rsidP="004466E0">
      <w:pPr>
        <w:widowControl w:val="0"/>
        <w:spacing w:after="0" w:line="240" w:lineRule="auto"/>
        <w:jc w:val="center"/>
        <w:rPr>
          <w:rFonts w:ascii="Arial" w:hAnsi="Arial" w:cs="Arial"/>
          <w:b/>
          <w:bCs/>
          <w:sz w:val="24"/>
          <w:szCs w:val="24"/>
        </w:rPr>
      </w:pPr>
    </w:p>
    <w:p w14:paraId="224F2D67" w14:textId="002AFE34" w:rsidR="004466E0" w:rsidRDefault="00AE1B3E" w:rsidP="004466E0">
      <w:pPr>
        <w:widowControl w:val="0"/>
        <w:pBdr>
          <w:bottom w:val="single" w:sz="12" w:space="1" w:color="auto"/>
        </w:pBdr>
        <w:tabs>
          <w:tab w:val="left" w:pos="6461"/>
        </w:tabs>
        <w:spacing w:after="0" w:line="240" w:lineRule="auto"/>
        <w:jc w:val="center"/>
        <w:rPr>
          <w:rFonts w:ascii="Arial" w:hAnsi="Arial" w:cs="Arial"/>
          <w:b/>
          <w:bCs/>
          <w:sz w:val="24"/>
          <w:szCs w:val="24"/>
        </w:rPr>
      </w:pPr>
      <w:r>
        <w:rPr>
          <w:rFonts w:ascii="Arial" w:hAnsi="Arial" w:cs="Arial"/>
          <w:b/>
          <w:bCs/>
          <w:sz w:val="24"/>
          <w:szCs w:val="24"/>
        </w:rPr>
        <w:t>REPLY BRIEF OF INTERSTATE GAS SUPPLY, INC.</w:t>
      </w:r>
      <w:bookmarkStart w:id="0" w:name="_GoBack"/>
      <w:bookmarkEnd w:id="0"/>
    </w:p>
    <w:p w14:paraId="528D7E97" w14:textId="77777777" w:rsidR="004466E0" w:rsidRPr="009D71F6" w:rsidRDefault="004466E0" w:rsidP="004466E0">
      <w:pPr>
        <w:widowControl w:val="0"/>
        <w:pBdr>
          <w:bottom w:val="single" w:sz="12" w:space="1" w:color="auto"/>
        </w:pBdr>
        <w:tabs>
          <w:tab w:val="left" w:pos="6461"/>
        </w:tabs>
        <w:spacing w:after="0" w:line="240" w:lineRule="auto"/>
        <w:jc w:val="center"/>
        <w:rPr>
          <w:rFonts w:ascii="Arial" w:hAnsi="Arial" w:cs="Arial"/>
          <w:sz w:val="24"/>
          <w:szCs w:val="24"/>
        </w:rPr>
      </w:pPr>
    </w:p>
    <w:p w14:paraId="193E4D36" w14:textId="77777777" w:rsidR="004466E0" w:rsidRPr="009D71F6" w:rsidRDefault="004466E0" w:rsidP="004466E0">
      <w:pPr>
        <w:tabs>
          <w:tab w:val="left" w:pos="360"/>
        </w:tabs>
        <w:spacing w:after="0" w:line="240" w:lineRule="auto"/>
        <w:ind w:left="360" w:hanging="360"/>
        <w:jc w:val="both"/>
        <w:rPr>
          <w:rFonts w:ascii="Arial" w:hAnsi="Arial" w:cs="Arial"/>
          <w:sz w:val="24"/>
          <w:szCs w:val="24"/>
        </w:rPr>
      </w:pPr>
    </w:p>
    <w:p w14:paraId="0624C8BE" w14:textId="5B79B6C6" w:rsidR="004466E0" w:rsidRDefault="00950914" w:rsidP="00950914">
      <w:pPr>
        <w:pStyle w:val="ListParagraph"/>
        <w:numPr>
          <w:ilvl w:val="0"/>
          <w:numId w:val="30"/>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t>INTRODUCTION</w:t>
      </w:r>
    </w:p>
    <w:p w14:paraId="3DA7A143" w14:textId="5CB9974F" w:rsidR="00F81981" w:rsidRDefault="00950914" w:rsidP="005F419A">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On March 16, 2016, Duke Energy Ohio, Inc. (“Duke”) filed an application to establish an energy efficiency and peak demand reduction portfolio plan (“Portfolio Plan” or “Application”).  Following negotiations between a diverse group of parties, a stipulation and recommendation was submitted on December 22, 2016.</w:t>
      </w:r>
      <w:r>
        <w:rPr>
          <w:rStyle w:val="FootnoteReference"/>
          <w:rFonts w:ascii="Arial" w:hAnsi="Arial" w:cs="Arial"/>
          <w:sz w:val="24"/>
          <w:szCs w:val="24"/>
        </w:rPr>
        <w:footnoteReference w:id="1"/>
      </w:r>
      <w:r w:rsidR="00215533">
        <w:rPr>
          <w:rFonts w:ascii="Arial" w:hAnsi="Arial" w:cs="Arial"/>
          <w:sz w:val="24"/>
          <w:szCs w:val="24"/>
        </w:rPr>
        <w:t xml:space="preserve">  Following additional negotiations, on January 27, 2017, the majority of parties submitted an amended stipulation and recommendation.</w:t>
      </w:r>
      <w:r w:rsidR="001B4A50">
        <w:rPr>
          <w:rStyle w:val="FootnoteReference"/>
          <w:rFonts w:ascii="Arial" w:hAnsi="Arial" w:cs="Arial"/>
          <w:sz w:val="24"/>
          <w:szCs w:val="24"/>
        </w:rPr>
        <w:footnoteReference w:id="2"/>
      </w:r>
      <w:r w:rsidR="00215533">
        <w:rPr>
          <w:rFonts w:ascii="Arial" w:hAnsi="Arial" w:cs="Arial"/>
          <w:sz w:val="24"/>
          <w:szCs w:val="24"/>
        </w:rPr>
        <w:t xml:space="preserve"> </w:t>
      </w:r>
      <w:r w:rsidR="00F81981">
        <w:rPr>
          <w:rFonts w:ascii="Arial" w:hAnsi="Arial" w:cs="Arial"/>
          <w:sz w:val="24"/>
          <w:szCs w:val="24"/>
        </w:rPr>
        <w:t xml:space="preserve"> </w:t>
      </w:r>
      <w:r w:rsidR="00215533">
        <w:rPr>
          <w:rFonts w:ascii="Arial" w:hAnsi="Arial" w:cs="Arial"/>
          <w:sz w:val="24"/>
          <w:szCs w:val="24"/>
        </w:rPr>
        <w:t>Among other things, the amended stipulation recommended</w:t>
      </w:r>
      <w:r w:rsidR="00F81981">
        <w:rPr>
          <w:rFonts w:ascii="Arial" w:hAnsi="Arial" w:cs="Arial"/>
          <w:sz w:val="24"/>
          <w:szCs w:val="24"/>
        </w:rPr>
        <w:t xml:space="preserve"> that Duke deploy a smart thermostat program if it is determined that such a program is cost-effective under </w:t>
      </w:r>
      <w:r w:rsidR="001B4A50">
        <w:rPr>
          <w:rFonts w:ascii="Arial" w:hAnsi="Arial" w:cs="Arial"/>
          <w:sz w:val="24"/>
          <w:szCs w:val="24"/>
        </w:rPr>
        <w:t>the Total Resource C</w:t>
      </w:r>
      <w:r w:rsidR="00F81981">
        <w:rPr>
          <w:rFonts w:ascii="Arial" w:hAnsi="Arial" w:cs="Arial"/>
          <w:sz w:val="24"/>
          <w:szCs w:val="24"/>
        </w:rPr>
        <w:t xml:space="preserve">ost </w:t>
      </w:r>
      <w:r w:rsidR="001B4A50">
        <w:rPr>
          <w:rFonts w:ascii="Arial" w:hAnsi="Arial" w:cs="Arial"/>
          <w:sz w:val="24"/>
          <w:szCs w:val="24"/>
        </w:rPr>
        <w:t xml:space="preserve">(“TRC”) </w:t>
      </w:r>
      <w:r w:rsidR="00F81981">
        <w:rPr>
          <w:rFonts w:ascii="Arial" w:hAnsi="Arial" w:cs="Arial"/>
          <w:sz w:val="24"/>
          <w:szCs w:val="24"/>
        </w:rPr>
        <w:t xml:space="preserve">test.  </w:t>
      </w:r>
    </w:p>
    <w:p w14:paraId="5B9014E8" w14:textId="00CC4660" w:rsidR="00F81981" w:rsidRDefault="00F81981" w:rsidP="005F419A">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Following a hearing, several parties submitted initial briefs in support of the amended stipulation.  </w:t>
      </w:r>
      <w:r w:rsidR="0052751C">
        <w:rPr>
          <w:rFonts w:ascii="Arial" w:hAnsi="Arial" w:cs="Arial"/>
          <w:sz w:val="24"/>
          <w:szCs w:val="24"/>
        </w:rPr>
        <w:t>T</w:t>
      </w:r>
      <w:r>
        <w:rPr>
          <w:rFonts w:ascii="Arial" w:hAnsi="Arial" w:cs="Arial"/>
          <w:sz w:val="24"/>
          <w:szCs w:val="24"/>
        </w:rPr>
        <w:t>he Office of the Ohio Consumers’ Counsel (“OCC”)</w:t>
      </w:r>
      <w:r w:rsidR="0052751C">
        <w:rPr>
          <w:rFonts w:ascii="Arial" w:hAnsi="Arial" w:cs="Arial"/>
          <w:sz w:val="24"/>
          <w:szCs w:val="24"/>
        </w:rPr>
        <w:t>, however,</w:t>
      </w:r>
      <w:r>
        <w:rPr>
          <w:rFonts w:ascii="Arial" w:hAnsi="Arial" w:cs="Arial"/>
          <w:sz w:val="24"/>
          <w:szCs w:val="24"/>
        </w:rPr>
        <w:t xml:space="preserve"> </w:t>
      </w:r>
      <w:r>
        <w:rPr>
          <w:rFonts w:ascii="Arial" w:hAnsi="Arial" w:cs="Arial"/>
          <w:sz w:val="24"/>
          <w:szCs w:val="24"/>
        </w:rPr>
        <w:lastRenderedPageBreak/>
        <w:t>submitted a brief opposing the</w:t>
      </w:r>
      <w:r w:rsidR="0052751C">
        <w:rPr>
          <w:rFonts w:ascii="Arial" w:hAnsi="Arial" w:cs="Arial"/>
          <w:sz w:val="24"/>
          <w:szCs w:val="24"/>
        </w:rPr>
        <w:t xml:space="preserve"> amended stipulation and the</w:t>
      </w:r>
      <w:r>
        <w:rPr>
          <w:rFonts w:ascii="Arial" w:hAnsi="Arial" w:cs="Arial"/>
          <w:sz w:val="24"/>
          <w:szCs w:val="24"/>
        </w:rPr>
        <w:t xml:space="preserve"> smart thermostat program.  This reply brief is narrowly tailored to address OCC’s </w:t>
      </w:r>
      <w:r w:rsidR="0052751C">
        <w:rPr>
          <w:rFonts w:ascii="Arial" w:hAnsi="Arial" w:cs="Arial"/>
          <w:sz w:val="24"/>
          <w:szCs w:val="24"/>
        </w:rPr>
        <w:t>meritless opposition.</w:t>
      </w:r>
      <w:r>
        <w:rPr>
          <w:rFonts w:ascii="Arial" w:hAnsi="Arial" w:cs="Arial"/>
          <w:sz w:val="24"/>
          <w:szCs w:val="24"/>
        </w:rPr>
        <w:t xml:space="preserve">  </w:t>
      </w:r>
    </w:p>
    <w:p w14:paraId="28C50888" w14:textId="31E79E8D" w:rsidR="00CD6718" w:rsidRPr="00950914" w:rsidRDefault="00F81981" w:rsidP="005F419A">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Accordingly,</w:t>
      </w:r>
      <w:r w:rsidR="0052751C">
        <w:rPr>
          <w:rFonts w:ascii="Arial" w:hAnsi="Arial" w:cs="Arial"/>
          <w:sz w:val="24"/>
          <w:szCs w:val="24"/>
        </w:rPr>
        <w:t xml:space="preserve"> the Commission should adopt Duke’s proposed Portfolio Plan as modified by the</w:t>
      </w:r>
      <w:r>
        <w:rPr>
          <w:rFonts w:ascii="Arial" w:hAnsi="Arial" w:cs="Arial"/>
          <w:sz w:val="24"/>
          <w:szCs w:val="24"/>
        </w:rPr>
        <w:t xml:space="preserve"> amended stipulation and</w:t>
      </w:r>
      <w:r w:rsidR="00215533">
        <w:rPr>
          <w:rFonts w:ascii="Arial" w:hAnsi="Arial" w:cs="Arial"/>
          <w:sz w:val="24"/>
          <w:szCs w:val="24"/>
        </w:rPr>
        <w:t xml:space="preserve"> </w:t>
      </w:r>
      <w:r>
        <w:rPr>
          <w:rFonts w:ascii="Arial" w:hAnsi="Arial" w:cs="Arial"/>
          <w:sz w:val="24"/>
          <w:szCs w:val="24"/>
        </w:rPr>
        <w:t>authorize Duke to deploy a smart thermostat program.</w:t>
      </w:r>
    </w:p>
    <w:p w14:paraId="6765B4A0" w14:textId="05965FF5" w:rsidR="00950914" w:rsidRDefault="00950914" w:rsidP="005F419A">
      <w:pPr>
        <w:pStyle w:val="ListParagraph"/>
        <w:numPr>
          <w:ilvl w:val="0"/>
          <w:numId w:val="30"/>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t>BACKGROUD AND ARGUMENT</w:t>
      </w:r>
    </w:p>
    <w:p w14:paraId="1214988B" w14:textId="6E949C02" w:rsidR="00B76837" w:rsidRDefault="007B64BB" w:rsidP="005F419A">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The </w:t>
      </w:r>
      <w:r w:rsidR="00CD6718">
        <w:rPr>
          <w:rFonts w:ascii="Arial" w:hAnsi="Arial" w:cs="Arial"/>
          <w:sz w:val="24"/>
          <w:szCs w:val="24"/>
        </w:rPr>
        <w:t>amended stipulation</w:t>
      </w:r>
      <w:r>
        <w:rPr>
          <w:rFonts w:ascii="Arial" w:hAnsi="Arial" w:cs="Arial"/>
          <w:sz w:val="24"/>
          <w:szCs w:val="24"/>
        </w:rPr>
        <w:t xml:space="preserve"> contemplates the potential for Duke to implement a smart thermostat rebate program, including a streamlined “instant rebate” process. </w:t>
      </w:r>
      <w:r w:rsidR="00CD6718">
        <w:rPr>
          <w:rFonts w:ascii="Arial" w:hAnsi="Arial" w:cs="Arial"/>
          <w:sz w:val="24"/>
          <w:szCs w:val="24"/>
        </w:rPr>
        <w:t xml:space="preserve"> </w:t>
      </w:r>
      <w:r w:rsidR="00B76837">
        <w:rPr>
          <w:rFonts w:ascii="Arial" w:hAnsi="Arial" w:cs="Arial"/>
          <w:sz w:val="24"/>
          <w:szCs w:val="24"/>
        </w:rPr>
        <w:t>Specifically, the amended stipulation provides</w:t>
      </w:r>
      <w:r w:rsidR="0052751C">
        <w:rPr>
          <w:rFonts w:ascii="Arial" w:hAnsi="Arial" w:cs="Arial"/>
          <w:sz w:val="24"/>
          <w:szCs w:val="24"/>
        </w:rPr>
        <w:t xml:space="preserve"> the following roadmap to implement the smart thermostat program</w:t>
      </w:r>
      <w:r w:rsidR="00B76837">
        <w:rPr>
          <w:rFonts w:ascii="Arial" w:hAnsi="Arial" w:cs="Arial"/>
          <w:sz w:val="24"/>
          <w:szCs w:val="24"/>
        </w:rPr>
        <w:t>:</w:t>
      </w:r>
    </w:p>
    <w:p w14:paraId="3E011246" w14:textId="371A3E43" w:rsidR="00B76837" w:rsidRPr="00B76837" w:rsidRDefault="00B76837" w:rsidP="005F419A">
      <w:pPr>
        <w:autoSpaceDE w:val="0"/>
        <w:autoSpaceDN w:val="0"/>
        <w:adjustRightInd w:val="0"/>
        <w:spacing w:after="120" w:line="240" w:lineRule="auto"/>
        <w:ind w:left="720" w:right="720"/>
        <w:jc w:val="both"/>
        <w:rPr>
          <w:rFonts w:ascii="Arial" w:hAnsi="Arial" w:cs="Arial"/>
          <w:sz w:val="24"/>
          <w:szCs w:val="24"/>
        </w:rPr>
      </w:pPr>
      <w:r>
        <w:rPr>
          <w:rFonts w:ascii="Arial" w:hAnsi="Arial" w:cs="Arial"/>
          <w:b/>
          <w:sz w:val="24"/>
          <w:szCs w:val="24"/>
          <w:u w:val="single"/>
        </w:rPr>
        <w:t xml:space="preserve">Smart Thermostat Program:  </w:t>
      </w:r>
      <w:r w:rsidRPr="00B76837">
        <w:rPr>
          <w:rFonts w:ascii="Arial" w:hAnsi="Arial" w:cs="Arial"/>
          <w:sz w:val="24"/>
          <w:szCs w:val="24"/>
        </w:rPr>
        <w:t>Signatory Parties a</w:t>
      </w:r>
      <w:r>
        <w:rPr>
          <w:rFonts w:ascii="Arial" w:hAnsi="Arial" w:cs="Arial"/>
          <w:sz w:val="24"/>
          <w:szCs w:val="24"/>
        </w:rPr>
        <w:t xml:space="preserve">gree that Duke Energy Ohio will </w:t>
      </w:r>
      <w:r w:rsidRPr="00B76837">
        <w:rPr>
          <w:rFonts w:ascii="Arial" w:hAnsi="Arial" w:cs="Arial"/>
          <w:sz w:val="24"/>
          <w:szCs w:val="24"/>
        </w:rPr>
        <w:t>work with ELPC and IGS Energy and other interested parties to develop a smart</w:t>
      </w:r>
      <w:r>
        <w:rPr>
          <w:rFonts w:ascii="Arial" w:hAnsi="Arial" w:cs="Arial"/>
          <w:sz w:val="24"/>
          <w:szCs w:val="24"/>
        </w:rPr>
        <w:t xml:space="preserve"> </w:t>
      </w:r>
      <w:r w:rsidRPr="00B76837">
        <w:rPr>
          <w:rFonts w:ascii="Arial" w:hAnsi="Arial" w:cs="Arial"/>
          <w:sz w:val="24"/>
          <w:szCs w:val="24"/>
        </w:rPr>
        <w:t>thermostat program to be delivered through retail channels. By April 15, 2017, Duke</w:t>
      </w:r>
      <w:r>
        <w:rPr>
          <w:rFonts w:ascii="Arial" w:hAnsi="Arial" w:cs="Arial"/>
          <w:sz w:val="24"/>
          <w:szCs w:val="24"/>
        </w:rPr>
        <w:t xml:space="preserve"> </w:t>
      </w:r>
      <w:r w:rsidRPr="00B76837">
        <w:rPr>
          <w:rFonts w:ascii="Arial" w:hAnsi="Arial" w:cs="Arial"/>
          <w:sz w:val="24"/>
          <w:szCs w:val="24"/>
        </w:rPr>
        <w:t xml:space="preserve">Energy Ohio will assess whether such a program is </w:t>
      </w:r>
      <w:r>
        <w:rPr>
          <w:rFonts w:ascii="Arial" w:hAnsi="Arial" w:cs="Arial"/>
          <w:sz w:val="24"/>
          <w:szCs w:val="24"/>
        </w:rPr>
        <w:t xml:space="preserve">likely to be cost-effective and </w:t>
      </w:r>
      <w:r w:rsidRPr="00B76837">
        <w:rPr>
          <w:rFonts w:ascii="Arial" w:hAnsi="Arial" w:cs="Arial"/>
          <w:sz w:val="24"/>
          <w:szCs w:val="24"/>
        </w:rPr>
        <w:t>present the results of that assessment to the Duke</w:t>
      </w:r>
      <w:r>
        <w:rPr>
          <w:rFonts w:ascii="Arial" w:hAnsi="Arial" w:cs="Arial"/>
          <w:sz w:val="24"/>
          <w:szCs w:val="24"/>
        </w:rPr>
        <w:t xml:space="preserve"> Energy Ohio Collaborative. For </w:t>
      </w:r>
      <w:r w:rsidRPr="00B76837">
        <w:rPr>
          <w:rFonts w:ascii="Arial" w:hAnsi="Arial" w:cs="Arial"/>
          <w:sz w:val="24"/>
          <w:szCs w:val="24"/>
        </w:rPr>
        <w:t>purposes of this assessment, Duke Energy Ohio's determination of cost-effectiveness</w:t>
      </w:r>
      <w:r>
        <w:rPr>
          <w:rFonts w:ascii="Arial" w:hAnsi="Arial" w:cs="Arial"/>
          <w:sz w:val="24"/>
          <w:szCs w:val="24"/>
        </w:rPr>
        <w:t xml:space="preserve"> </w:t>
      </w:r>
      <w:r w:rsidRPr="00B76837">
        <w:rPr>
          <w:rFonts w:ascii="Arial" w:hAnsi="Arial" w:cs="Arial"/>
          <w:sz w:val="24"/>
          <w:szCs w:val="24"/>
        </w:rPr>
        <w:t>will be based on application of the Total Resource Cost test including avoided natural</w:t>
      </w:r>
      <w:r>
        <w:rPr>
          <w:rFonts w:ascii="Arial" w:hAnsi="Arial" w:cs="Arial"/>
          <w:sz w:val="24"/>
          <w:szCs w:val="24"/>
        </w:rPr>
        <w:t xml:space="preserve"> </w:t>
      </w:r>
      <w:r w:rsidRPr="00B76837">
        <w:rPr>
          <w:rFonts w:ascii="Arial" w:hAnsi="Arial" w:cs="Arial"/>
          <w:sz w:val="24"/>
          <w:szCs w:val="24"/>
        </w:rPr>
        <w:t>gas and other non-electric fuel costs in addition to avo</w:t>
      </w:r>
      <w:r>
        <w:rPr>
          <w:rFonts w:ascii="Arial" w:hAnsi="Arial" w:cs="Arial"/>
          <w:sz w:val="24"/>
          <w:szCs w:val="24"/>
        </w:rPr>
        <w:t xml:space="preserve">ided electricity costs. If Duke </w:t>
      </w:r>
      <w:r w:rsidRPr="00B76837">
        <w:rPr>
          <w:rFonts w:ascii="Arial" w:hAnsi="Arial" w:cs="Arial"/>
          <w:sz w:val="24"/>
          <w:szCs w:val="24"/>
        </w:rPr>
        <w:t>Energy Ohio does determine that it could cost-effectively deliver the smart thermostat</w:t>
      </w:r>
      <w:r>
        <w:rPr>
          <w:rFonts w:ascii="Arial" w:hAnsi="Arial" w:cs="Arial"/>
          <w:sz w:val="24"/>
          <w:szCs w:val="24"/>
        </w:rPr>
        <w:t xml:space="preserve"> </w:t>
      </w:r>
      <w:r w:rsidRPr="00B76837">
        <w:rPr>
          <w:rFonts w:ascii="Arial" w:hAnsi="Arial" w:cs="Arial"/>
          <w:sz w:val="24"/>
          <w:szCs w:val="24"/>
        </w:rPr>
        <w:t>program, Duke Energy Ohio will seek to begin offering the program by the end of the</w:t>
      </w:r>
      <w:r>
        <w:rPr>
          <w:rFonts w:ascii="Arial" w:hAnsi="Arial" w:cs="Arial"/>
          <w:sz w:val="24"/>
          <w:szCs w:val="24"/>
        </w:rPr>
        <w:t xml:space="preserve"> </w:t>
      </w:r>
      <w:r w:rsidRPr="00B76837">
        <w:rPr>
          <w:rFonts w:ascii="Arial" w:hAnsi="Arial" w:cs="Arial"/>
          <w:sz w:val="24"/>
          <w:szCs w:val="24"/>
        </w:rPr>
        <w:t>third quarter of 2017. Once the Company's portfolio is approved by the Commission,</w:t>
      </w:r>
      <w:r>
        <w:rPr>
          <w:rFonts w:ascii="Arial" w:hAnsi="Arial" w:cs="Arial"/>
          <w:sz w:val="24"/>
          <w:szCs w:val="24"/>
        </w:rPr>
        <w:t xml:space="preserve"> </w:t>
      </w:r>
      <w:r w:rsidRPr="00B76837">
        <w:rPr>
          <w:rFonts w:ascii="Arial" w:hAnsi="Arial" w:cs="Arial"/>
          <w:sz w:val="24"/>
          <w:szCs w:val="24"/>
        </w:rPr>
        <w:t>a retailer or competitive retail electric supplier ma</w:t>
      </w:r>
      <w:r>
        <w:rPr>
          <w:rFonts w:ascii="Arial" w:hAnsi="Arial" w:cs="Arial"/>
          <w:sz w:val="24"/>
          <w:szCs w:val="24"/>
        </w:rPr>
        <w:t xml:space="preserve">y, at their own risk, provide a </w:t>
      </w:r>
      <w:r w:rsidRPr="00B76837">
        <w:rPr>
          <w:rFonts w:ascii="Arial" w:hAnsi="Arial" w:cs="Arial"/>
          <w:sz w:val="24"/>
          <w:szCs w:val="24"/>
        </w:rPr>
        <w:t>customer with an instant discount prior to the f</w:t>
      </w:r>
      <w:r>
        <w:rPr>
          <w:rFonts w:ascii="Arial" w:hAnsi="Arial" w:cs="Arial"/>
          <w:sz w:val="24"/>
          <w:szCs w:val="24"/>
        </w:rPr>
        <w:t xml:space="preserve">ull implementation of the Smart </w:t>
      </w:r>
      <w:r w:rsidRPr="00B76837">
        <w:rPr>
          <w:rFonts w:ascii="Arial" w:hAnsi="Arial" w:cs="Arial"/>
          <w:sz w:val="24"/>
          <w:szCs w:val="24"/>
        </w:rPr>
        <w:t>Thermostat Program. Following the deployment of the program, such instant rebates</w:t>
      </w:r>
      <w:r>
        <w:rPr>
          <w:rFonts w:ascii="Arial" w:hAnsi="Arial" w:cs="Arial"/>
          <w:sz w:val="24"/>
          <w:szCs w:val="24"/>
        </w:rPr>
        <w:t xml:space="preserve"> </w:t>
      </w:r>
      <w:r w:rsidRPr="00B76837">
        <w:rPr>
          <w:rFonts w:ascii="Arial" w:hAnsi="Arial" w:cs="Arial"/>
          <w:sz w:val="24"/>
          <w:szCs w:val="24"/>
        </w:rPr>
        <w:t>will be eligible for reimbursement at the incentive l</w:t>
      </w:r>
      <w:r>
        <w:rPr>
          <w:rFonts w:ascii="Arial" w:hAnsi="Arial" w:cs="Arial"/>
          <w:sz w:val="24"/>
          <w:szCs w:val="24"/>
        </w:rPr>
        <w:t xml:space="preserve">evel established by the Company </w:t>
      </w:r>
      <w:r w:rsidRPr="00B76837">
        <w:rPr>
          <w:rFonts w:ascii="Arial" w:hAnsi="Arial" w:cs="Arial"/>
          <w:sz w:val="24"/>
          <w:szCs w:val="24"/>
        </w:rPr>
        <w:t>and approved by the Commission. Duke Energy Ohio will work to achieve a goal of</w:t>
      </w:r>
      <w:r>
        <w:rPr>
          <w:rFonts w:ascii="Arial" w:hAnsi="Arial" w:cs="Arial"/>
          <w:sz w:val="24"/>
          <w:szCs w:val="24"/>
        </w:rPr>
        <w:t xml:space="preserve"> </w:t>
      </w:r>
      <w:r w:rsidRPr="00B76837">
        <w:rPr>
          <w:rFonts w:ascii="Arial" w:hAnsi="Arial" w:cs="Arial"/>
          <w:sz w:val="24"/>
          <w:szCs w:val="24"/>
        </w:rPr>
        <w:t>providing incentives to 25,000 customers by the end of the 2017-2019 portfolio plan</w:t>
      </w:r>
      <w:r>
        <w:rPr>
          <w:rFonts w:ascii="Arial" w:hAnsi="Arial" w:cs="Arial"/>
          <w:sz w:val="24"/>
          <w:szCs w:val="24"/>
        </w:rPr>
        <w:t xml:space="preserve"> </w:t>
      </w:r>
      <w:r w:rsidRPr="00B76837">
        <w:rPr>
          <w:rFonts w:ascii="Arial" w:hAnsi="Arial" w:cs="Arial"/>
          <w:sz w:val="24"/>
          <w:szCs w:val="24"/>
        </w:rPr>
        <w:t xml:space="preserve">term and to offer customers an incentive or rebate </w:t>
      </w:r>
      <w:r>
        <w:rPr>
          <w:rFonts w:ascii="Arial" w:hAnsi="Arial" w:cs="Arial"/>
          <w:sz w:val="24"/>
          <w:szCs w:val="24"/>
        </w:rPr>
        <w:t xml:space="preserve">on the purchase of a qualifying </w:t>
      </w:r>
      <w:r w:rsidRPr="00B76837">
        <w:rPr>
          <w:rFonts w:ascii="Arial" w:hAnsi="Arial" w:cs="Arial"/>
          <w:sz w:val="24"/>
          <w:szCs w:val="24"/>
        </w:rPr>
        <w:t>smart thermostat with the goal of paying an ince</w:t>
      </w:r>
      <w:r>
        <w:rPr>
          <w:rFonts w:ascii="Arial" w:hAnsi="Arial" w:cs="Arial"/>
          <w:sz w:val="24"/>
          <w:szCs w:val="24"/>
        </w:rPr>
        <w:t xml:space="preserve">ntive of $100 or higher if cost </w:t>
      </w:r>
      <w:r w:rsidRPr="00B76837">
        <w:rPr>
          <w:rFonts w:ascii="Arial" w:hAnsi="Arial" w:cs="Arial"/>
          <w:sz w:val="24"/>
          <w:szCs w:val="24"/>
        </w:rPr>
        <w:t>effective, except to the extent doing so would render the program non-cost-effective</w:t>
      </w:r>
      <w:r>
        <w:rPr>
          <w:rFonts w:ascii="Arial" w:hAnsi="Arial" w:cs="Arial"/>
          <w:sz w:val="24"/>
          <w:szCs w:val="24"/>
        </w:rPr>
        <w:t xml:space="preserve"> </w:t>
      </w:r>
      <w:r w:rsidRPr="00B76837">
        <w:rPr>
          <w:rFonts w:ascii="Arial" w:hAnsi="Arial" w:cs="Arial"/>
          <w:sz w:val="24"/>
          <w:szCs w:val="24"/>
        </w:rPr>
        <w:t>as defined in this provision. Duke Energy Ohio will no</w:t>
      </w:r>
      <w:r>
        <w:rPr>
          <w:rFonts w:ascii="Arial" w:hAnsi="Arial" w:cs="Arial"/>
          <w:sz w:val="24"/>
          <w:szCs w:val="24"/>
        </w:rPr>
        <w:t xml:space="preserve">t offer any incentive or rebate </w:t>
      </w:r>
      <w:r w:rsidRPr="00B76837">
        <w:rPr>
          <w:rFonts w:ascii="Arial" w:hAnsi="Arial" w:cs="Arial"/>
          <w:sz w:val="24"/>
          <w:szCs w:val="24"/>
        </w:rPr>
        <w:t xml:space="preserve">that </w:t>
      </w:r>
      <w:r w:rsidRPr="00B76837">
        <w:rPr>
          <w:rFonts w:ascii="Arial" w:hAnsi="Arial" w:cs="Arial"/>
          <w:sz w:val="24"/>
          <w:szCs w:val="24"/>
        </w:rPr>
        <w:lastRenderedPageBreak/>
        <w:t>would, on its own or in combination with any</w:t>
      </w:r>
      <w:r>
        <w:rPr>
          <w:rFonts w:ascii="Arial" w:hAnsi="Arial" w:cs="Arial"/>
          <w:sz w:val="24"/>
          <w:szCs w:val="24"/>
        </w:rPr>
        <w:t xml:space="preserve"> applicable gas utility rebate, </w:t>
      </w:r>
      <w:r w:rsidRPr="00B76837">
        <w:rPr>
          <w:rFonts w:ascii="Arial" w:hAnsi="Arial" w:cs="Arial"/>
          <w:sz w:val="24"/>
          <w:szCs w:val="24"/>
        </w:rPr>
        <w:t>exceed the actual cost of the purchased smart thermostat.</w:t>
      </w:r>
    </w:p>
    <w:p w14:paraId="34F229C0" w14:textId="4391CF63" w:rsidR="00B76837" w:rsidRPr="00B76837" w:rsidRDefault="00B76837" w:rsidP="005F419A">
      <w:pPr>
        <w:autoSpaceDE w:val="0"/>
        <w:autoSpaceDN w:val="0"/>
        <w:adjustRightInd w:val="0"/>
        <w:spacing w:after="120" w:line="240" w:lineRule="auto"/>
        <w:ind w:left="720" w:right="720"/>
        <w:jc w:val="both"/>
        <w:rPr>
          <w:rFonts w:ascii="Arial" w:hAnsi="Arial" w:cs="Arial"/>
          <w:sz w:val="24"/>
          <w:szCs w:val="24"/>
        </w:rPr>
      </w:pPr>
      <w:r w:rsidRPr="00B76837">
        <w:rPr>
          <w:rFonts w:ascii="Arial" w:hAnsi="Arial" w:cs="Arial"/>
          <w:sz w:val="24"/>
          <w:szCs w:val="24"/>
        </w:rPr>
        <w:t>Signatory Parties agree that Duke Energy Ohio will e</w:t>
      </w:r>
      <w:r>
        <w:rPr>
          <w:rFonts w:ascii="Arial" w:hAnsi="Arial" w:cs="Arial"/>
          <w:sz w:val="24"/>
          <w:szCs w:val="24"/>
        </w:rPr>
        <w:t xml:space="preserve">ngage in efforts to promote and </w:t>
      </w:r>
      <w:r w:rsidRPr="00B76837">
        <w:rPr>
          <w:rFonts w:ascii="Arial" w:hAnsi="Arial" w:cs="Arial"/>
          <w:sz w:val="24"/>
          <w:szCs w:val="24"/>
        </w:rPr>
        <w:t>implement the smart thermostat program in ways that include, to the extent possible:</w:t>
      </w:r>
    </w:p>
    <w:p w14:paraId="186B7072" w14:textId="51E88010" w:rsidR="00B76837" w:rsidRPr="00B76837" w:rsidRDefault="00B76837" w:rsidP="005F419A">
      <w:pPr>
        <w:autoSpaceDE w:val="0"/>
        <w:autoSpaceDN w:val="0"/>
        <w:adjustRightInd w:val="0"/>
        <w:spacing w:after="120" w:line="240" w:lineRule="auto"/>
        <w:ind w:left="1440" w:right="720"/>
        <w:jc w:val="both"/>
        <w:rPr>
          <w:rFonts w:ascii="Arial" w:hAnsi="Arial" w:cs="Arial"/>
          <w:sz w:val="24"/>
          <w:szCs w:val="24"/>
        </w:rPr>
      </w:pPr>
      <w:r w:rsidRPr="00B76837">
        <w:rPr>
          <w:rFonts w:ascii="Arial" w:hAnsi="Arial" w:cs="Arial"/>
          <w:sz w:val="24"/>
          <w:szCs w:val="24"/>
        </w:rPr>
        <w:t>• Cross marketing across other residential programs, such as the My Home</w:t>
      </w:r>
      <w:r>
        <w:rPr>
          <w:rFonts w:ascii="Arial" w:hAnsi="Arial" w:cs="Arial"/>
          <w:sz w:val="24"/>
          <w:szCs w:val="24"/>
        </w:rPr>
        <w:t xml:space="preserve"> </w:t>
      </w:r>
      <w:r w:rsidRPr="00B76837">
        <w:rPr>
          <w:rFonts w:ascii="Arial" w:hAnsi="Arial" w:cs="Arial"/>
          <w:sz w:val="24"/>
          <w:szCs w:val="24"/>
        </w:rPr>
        <w:t>Energy Report Program, the Residential Energy Assessment Program, the Smart</w:t>
      </w:r>
      <w:r>
        <w:rPr>
          <w:rFonts w:ascii="Arial" w:hAnsi="Arial" w:cs="Arial"/>
          <w:sz w:val="24"/>
          <w:szCs w:val="24"/>
        </w:rPr>
        <w:t xml:space="preserve"> </w:t>
      </w:r>
      <w:r w:rsidRPr="00B76837">
        <w:rPr>
          <w:rFonts w:ascii="Arial" w:hAnsi="Arial" w:cs="Arial"/>
          <w:sz w:val="24"/>
          <w:szCs w:val="24"/>
        </w:rPr>
        <w:t>Saver Residential Program, and the Power Manager Program;</w:t>
      </w:r>
    </w:p>
    <w:p w14:paraId="1ECBE9BD" w14:textId="31C72C34" w:rsidR="00B76837" w:rsidRPr="00B76837" w:rsidRDefault="00B76837" w:rsidP="005F419A">
      <w:pPr>
        <w:autoSpaceDE w:val="0"/>
        <w:autoSpaceDN w:val="0"/>
        <w:adjustRightInd w:val="0"/>
        <w:spacing w:after="120" w:line="240" w:lineRule="auto"/>
        <w:ind w:left="1440" w:right="720"/>
        <w:jc w:val="both"/>
        <w:rPr>
          <w:rFonts w:ascii="Arial" w:hAnsi="Arial" w:cs="Arial"/>
          <w:sz w:val="24"/>
          <w:szCs w:val="24"/>
        </w:rPr>
      </w:pPr>
      <w:r w:rsidRPr="00B76837">
        <w:rPr>
          <w:rFonts w:ascii="Arial" w:hAnsi="Arial" w:cs="Arial"/>
          <w:sz w:val="24"/>
          <w:szCs w:val="24"/>
        </w:rPr>
        <w:t>• Developing and sharing with the D</w:t>
      </w:r>
      <w:r>
        <w:rPr>
          <w:rFonts w:ascii="Arial" w:hAnsi="Arial" w:cs="Arial"/>
          <w:sz w:val="24"/>
          <w:szCs w:val="24"/>
        </w:rPr>
        <w:t xml:space="preserve">uke Energy Ohio Collaborative a </w:t>
      </w:r>
      <w:r w:rsidRPr="00B76837">
        <w:rPr>
          <w:rFonts w:ascii="Arial" w:hAnsi="Arial" w:cs="Arial"/>
          <w:sz w:val="24"/>
          <w:szCs w:val="24"/>
        </w:rPr>
        <w:t>marketing plan to promote the benefits of smart thermostats and educa</w:t>
      </w:r>
      <w:r>
        <w:rPr>
          <w:rFonts w:ascii="Arial" w:hAnsi="Arial" w:cs="Arial"/>
          <w:sz w:val="24"/>
          <w:szCs w:val="24"/>
        </w:rPr>
        <w:t xml:space="preserve">te </w:t>
      </w:r>
      <w:r w:rsidRPr="00B76837">
        <w:rPr>
          <w:rFonts w:ascii="Arial" w:hAnsi="Arial" w:cs="Arial"/>
          <w:sz w:val="24"/>
          <w:szCs w:val="24"/>
        </w:rPr>
        <w:t>customers to their benefits; the plan may include engaging market partners as well</w:t>
      </w:r>
      <w:r>
        <w:rPr>
          <w:rFonts w:ascii="Arial" w:hAnsi="Arial" w:cs="Arial"/>
          <w:sz w:val="24"/>
          <w:szCs w:val="24"/>
        </w:rPr>
        <w:t xml:space="preserve"> </w:t>
      </w:r>
      <w:r w:rsidRPr="00B76837">
        <w:rPr>
          <w:rFonts w:ascii="Arial" w:hAnsi="Arial" w:cs="Arial"/>
          <w:sz w:val="24"/>
          <w:szCs w:val="24"/>
        </w:rPr>
        <w:t>as other local energy suppliers in order to stream</w:t>
      </w:r>
      <w:r>
        <w:rPr>
          <w:rFonts w:ascii="Arial" w:hAnsi="Arial" w:cs="Arial"/>
          <w:sz w:val="24"/>
          <w:szCs w:val="24"/>
        </w:rPr>
        <w:t xml:space="preserve">line marketing, eligibility and </w:t>
      </w:r>
      <w:r w:rsidRPr="00B76837">
        <w:rPr>
          <w:rFonts w:ascii="Arial" w:hAnsi="Arial" w:cs="Arial"/>
          <w:sz w:val="24"/>
          <w:szCs w:val="24"/>
        </w:rPr>
        <w:t>application processes; and</w:t>
      </w:r>
    </w:p>
    <w:p w14:paraId="05CDC46E" w14:textId="160AFF62" w:rsidR="00B76837" w:rsidRPr="00B76837" w:rsidRDefault="00B76837" w:rsidP="005F419A">
      <w:pPr>
        <w:autoSpaceDE w:val="0"/>
        <w:autoSpaceDN w:val="0"/>
        <w:adjustRightInd w:val="0"/>
        <w:spacing w:after="120" w:line="240" w:lineRule="auto"/>
        <w:ind w:left="1440" w:right="720"/>
        <w:jc w:val="both"/>
        <w:rPr>
          <w:rFonts w:ascii="Arial" w:hAnsi="Arial" w:cs="Arial"/>
          <w:sz w:val="24"/>
          <w:szCs w:val="24"/>
        </w:rPr>
      </w:pPr>
      <w:r w:rsidRPr="00B76837">
        <w:rPr>
          <w:rFonts w:ascii="Arial" w:hAnsi="Arial" w:cs="Arial"/>
          <w:sz w:val="24"/>
          <w:szCs w:val="24"/>
        </w:rPr>
        <w:t>• Ensuring appropriate product delivery channels are used in an effort to</w:t>
      </w:r>
      <w:r>
        <w:rPr>
          <w:rFonts w:ascii="Arial" w:hAnsi="Arial" w:cs="Arial"/>
          <w:sz w:val="24"/>
          <w:szCs w:val="24"/>
        </w:rPr>
        <w:t xml:space="preserve"> </w:t>
      </w:r>
      <w:r w:rsidRPr="00B76837">
        <w:rPr>
          <w:rFonts w:ascii="Arial" w:hAnsi="Arial" w:cs="Arial"/>
          <w:sz w:val="24"/>
          <w:szCs w:val="24"/>
        </w:rPr>
        <w:t>further streamline and simplify the customer purchase and incentive processes</w:t>
      </w:r>
      <w:r>
        <w:rPr>
          <w:rFonts w:ascii="Arial" w:hAnsi="Arial" w:cs="Arial"/>
          <w:sz w:val="24"/>
          <w:szCs w:val="24"/>
        </w:rPr>
        <w:t xml:space="preserve"> </w:t>
      </w:r>
      <w:r w:rsidRPr="00B76837">
        <w:rPr>
          <w:rFonts w:ascii="Arial" w:hAnsi="Arial" w:cs="Arial"/>
          <w:sz w:val="24"/>
          <w:szCs w:val="24"/>
        </w:rPr>
        <w:t>and, if appropriate, working towards implementation of an instant discount as</w:t>
      </w:r>
      <w:r>
        <w:rPr>
          <w:rFonts w:ascii="Arial" w:hAnsi="Arial" w:cs="Arial"/>
          <w:sz w:val="24"/>
          <w:szCs w:val="24"/>
        </w:rPr>
        <w:t xml:space="preserve"> </w:t>
      </w:r>
      <w:r w:rsidRPr="00B76837">
        <w:rPr>
          <w:rFonts w:ascii="Arial" w:hAnsi="Arial" w:cs="Arial"/>
          <w:sz w:val="24"/>
          <w:szCs w:val="24"/>
        </w:rPr>
        <w:t>soon as practicable.</w:t>
      </w:r>
    </w:p>
    <w:p w14:paraId="4DAE41D1" w14:textId="0B6CA3DD" w:rsidR="00B76837" w:rsidRPr="00B76837" w:rsidRDefault="00B76837" w:rsidP="005F419A">
      <w:pPr>
        <w:autoSpaceDE w:val="0"/>
        <w:autoSpaceDN w:val="0"/>
        <w:adjustRightInd w:val="0"/>
        <w:spacing w:after="120" w:line="240" w:lineRule="auto"/>
        <w:ind w:left="1440" w:right="720"/>
        <w:jc w:val="both"/>
        <w:rPr>
          <w:rFonts w:ascii="Arial" w:hAnsi="Arial" w:cs="Arial"/>
          <w:sz w:val="24"/>
          <w:szCs w:val="24"/>
        </w:rPr>
      </w:pPr>
      <w:r w:rsidRPr="00B76837">
        <w:rPr>
          <w:rFonts w:ascii="Arial" w:hAnsi="Arial" w:cs="Arial"/>
          <w:sz w:val="24"/>
          <w:szCs w:val="24"/>
        </w:rPr>
        <w:t>• Duke will solicit and consider input from ELPC and IGS Energy an</w:t>
      </w:r>
      <w:r>
        <w:rPr>
          <w:rFonts w:ascii="Arial" w:hAnsi="Arial" w:cs="Arial"/>
          <w:sz w:val="24"/>
          <w:szCs w:val="24"/>
        </w:rPr>
        <w:t xml:space="preserve">d </w:t>
      </w:r>
      <w:r w:rsidRPr="00B76837">
        <w:rPr>
          <w:rFonts w:ascii="Arial" w:hAnsi="Arial" w:cs="Arial"/>
          <w:sz w:val="24"/>
          <w:szCs w:val="24"/>
        </w:rPr>
        <w:t>members of the Duke Energy Ohio Collaborative on each of these promotion and</w:t>
      </w:r>
      <w:r>
        <w:rPr>
          <w:rFonts w:ascii="Arial" w:hAnsi="Arial" w:cs="Arial"/>
          <w:sz w:val="24"/>
          <w:szCs w:val="24"/>
        </w:rPr>
        <w:t xml:space="preserve"> </w:t>
      </w:r>
      <w:r w:rsidRPr="00B76837">
        <w:rPr>
          <w:rFonts w:ascii="Arial" w:hAnsi="Arial" w:cs="Arial"/>
          <w:sz w:val="24"/>
          <w:szCs w:val="24"/>
        </w:rPr>
        <w:t>implementation efforts.</w:t>
      </w:r>
    </w:p>
    <w:p w14:paraId="59D5CD4E" w14:textId="5631DF9A" w:rsidR="00B76837" w:rsidRDefault="00B76837" w:rsidP="005F419A">
      <w:pPr>
        <w:autoSpaceDE w:val="0"/>
        <w:autoSpaceDN w:val="0"/>
        <w:adjustRightInd w:val="0"/>
        <w:spacing w:after="120" w:line="240" w:lineRule="auto"/>
        <w:ind w:left="1440" w:right="720"/>
        <w:jc w:val="both"/>
        <w:rPr>
          <w:rFonts w:ascii="Arial" w:hAnsi="Arial" w:cs="Arial"/>
          <w:sz w:val="24"/>
          <w:szCs w:val="24"/>
        </w:rPr>
      </w:pPr>
      <w:r w:rsidRPr="00B76837">
        <w:rPr>
          <w:rFonts w:ascii="Arial" w:hAnsi="Arial" w:cs="Arial"/>
          <w:sz w:val="24"/>
          <w:szCs w:val="24"/>
        </w:rPr>
        <w:t>• Duke Energy Ohio will attempt to identify potential program areas where</w:t>
      </w:r>
      <w:r>
        <w:rPr>
          <w:rFonts w:ascii="Arial" w:hAnsi="Arial" w:cs="Arial"/>
          <w:sz w:val="24"/>
          <w:szCs w:val="24"/>
        </w:rPr>
        <w:t xml:space="preserve"> </w:t>
      </w:r>
      <w:r w:rsidRPr="00B76837">
        <w:rPr>
          <w:rFonts w:ascii="Arial" w:hAnsi="Arial" w:cs="Arial"/>
          <w:sz w:val="24"/>
          <w:szCs w:val="24"/>
        </w:rPr>
        <w:t>they may be able to coordinate marketing and rebate offerings, including</w:t>
      </w:r>
      <w:r>
        <w:rPr>
          <w:rFonts w:ascii="Arial" w:hAnsi="Arial" w:cs="Arial"/>
          <w:sz w:val="24"/>
          <w:szCs w:val="24"/>
        </w:rPr>
        <w:t xml:space="preserve"> </w:t>
      </w:r>
      <w:r w:rsidRPr="00B76837">
        <w:rPr>
          <w:rFonts w:ascii="Arial" w:hAnsi="Arial" w:cs="Arial"/>
          <w:sz w:val="24"/>
          <w:szCs w:val="24"/>
        </w:rPr>
        <w:t>residential audit and weatherization programs with its gas utility affiliate and</w:t>
      </w:r>
      <w:r>
        <w:rPr>
          <w:rFonts w:ascii="Arial" w:hAnsi="Arial" w:cs="Arial"/>
          <w:sz w:val="24"/>
          <w:szCs w:val="24"/>
        </w:rPr>
        <w:t xml:space="preserve"> </w:t>
      </w:r>
      <w:r w:rsidRPr="00B76837">
        <w:rPr>
          <w:rFonts w:ascii="Arial" w:hAnsi="Arial" w:cs="Arial"/>
          <w:sz w:val="24"/>
          <w:szCs w:val="24"/>
        </w:rPr>
        <w:t>other local gas distribution companies. The Company will regularly update</w:t>
      </w:r>
      <w:r>
        <w:rPr>
          <w:rFonts w:ascii="Arial" w:hAnsi="Arial" w:cs="Arial"/>
          <w:sz w:val="24"/>
          <w:szCs w:val="24"/>
        </w:rPr>
        <w:t xml:space="preserve"> </w:t>
      </w:r>
      <w:r w:rsidRPr="00B76837">
        <w:rPr>
          <w:rFonts w:ascii="Arial" w:hAnsi="Arial" w:cs="Arial"/>
          <w:sz w:val="24"/>
          <w:szCs w:val="24"/>
        </w:rPr>
        <w:t>interested parties through its Collaborative meetin</w:t>
      </w:r>
      <w:r>
        <w:rPr>
          <w:rFonts w:ascii="Arial" w:hAnsi="Arial" w:cs="Arial"/>
          <w:sz w:val="24"/>
          <w:szCs w:val="24"/>
        </w:rPr>
        <w:t>gs regarding the status of these efforts.</w:t>
      </w:r>
      <w:r w:rsidR="0052751C">
        <w:rPr>
          <w:rStyle w:val="FootnoteReference"/>
          <w:rFonts w:ascii="Arial" w:hAnsi="Arial" w:cs="Arial"/>
          <w:sz w:val="24"/>
          <w:szCs w:val="24"/>
        </w:rPr>
        <w:footnoteReference w:id="3"/>
      </w:r>
    </w:p>
    <w:p w14:paraId="1D2DF937" w14:textId="3773F9B2" w:rsidR="00B76837" w:rsidRDefault="00B76837" w:rsidP="005F419A">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Thus, Duke committed to assess by April 15, 2017 whether a smart thermostat program would be cost-effective and to present those results to its collaborative.   C</w:t>
      </w:r>
      <w:r w:rsidRPr="00CD6718">
        <w:rPr>
          <w:rFonts w:ascii="Arial" w:hAnsi="Arial" w:cs="Arial"/>
          <w:sz w:val="24"/>
          <w:szCs w:val="24"/>
        </w:rPr>
        <w:t>ost-effectiveness</w:t>
      </w:r>
      <w:r>
        <w:rPr>
          <w:rFonts w:ascii="Arial" w:hAnsi="Arial" w:cs="Arial"/>
          <w:sz w:val="24"/>
          <w:szCs w:val="24"/>
        </w:rPr>
        <w:t xml:space="preserve"> </w:t>
      </w:r>
      <w:r w:rsidRPr="00CD6718">
        <w:rPr>
          <w:rFonts w:ascii="Arial" w:hAnsi="Arial" w:cs="Arial"/>
          <w:sz w:val="24"/>
          <w:szCs w:val="24"/>
        </w:rPr>
        <w:t xml:space="preserve">will be based on application of the </w:t>
      </w:r>
      <w:r w:rsidR="0052751C">
        <w:rPr>
          <w:rFonts w:ascii="Arial" w:hAnsi="Arial" w:cs="Arial"/>
          <w:sz w:val="24"/>
          <w:szCs w:val="24"/>
        </w:rPr>
        <w:t>TRC</w:t>
      </w:r>
      <w:r w:rsidRPr="00CD6718">
        <w:rPr>
          <w:rFonts w:ascii="Arial" w:hAnsi="Arial" w:cs="Arial"/>
          <w:sz w:val="24"/>
          <w:szCs w:val="24"/>
        </w:rPr>
        <w:t xml:space="preserve"> test including avoided natural</w:t>
      </w:r>
      <w:r>
        <w:rPr>
          <w:rFonts w:ascii="Arial" w:hAnsi="Arial" w:cs="Arial"/>
          <w:sz w:val="24"/>
          <w:szCs w:val="24"/>
        </w:rPr>
        <w:t xml:space="preserve"> </w:t>
      </w:r>
      <w:r w:rsidRPr="00CD6718">
        <w:rPr>
          <w:rFonts w:ascii="Arial" w:hAnsi="Arial" w:cs="Arial"/>
          <w:sz w:val="24"/>
          <w:szCs w:val="24"/>
        </w:rPr>
        <w:t>gas and other non-electric fuel costs in addition to avo</w:t>
      </w:r>
      <w:r>
        <w:rPr>
          <w:rFonts w:ascii="Arial" w:hAnsi="Arial" w:cs="Arial"/>
          <w:sz w:val="24"/>
          <w:szCs w:val="24"/>
        </w:rPr>
        <w:t>ided electricity costs. No incentive will be provided at a level that would make the program non-cost-effective.  To the extent that Duke determines that the program is cost-effective, Duke committed to begin offering the program by the end of the third quarter of 2017.</w:t>
      </w:r>
    </w:p>
    <w:p w14:paraId="69734C52" w14:textId="78A2C66D" w:rsidR="00B76837" w:rsidRDefault="00B76837" w:rsidP="005F419A">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lastRenderedPageBreak/>
        <w:t xml:space="preserve">In recognition of the fact that Duke may receive an order approving the amended stipulation well in advance of the third quarter of 2017, the amended stipulation included a provision that would permit competitive retail electric service </w:t>
      </w:r>
      <w:r w:rsidR="0052751C">
        <w:rPr>
          <w:rFonts w:ascii="Arial" w:hAnsi="Arial" w:cs="Arial"/>
          <w:sz w:val="24"/>
          <w:szCs w:val="24"/>
        </w:rPr>
        <w:t xml:space="preserve">(“CRES”) </w:t>
      </w:r>
      <w:r>
        <w:rPr>
          <w:rFonts w:ascii="Arial" w:hAnsi="Arial" w:cs="Arial"/>
          <w:sz w:val="24"/>
          <w:szCs w:val="24"/>
        </w:rPr>
        <w:t>providers</w:t>
      </w:r>
      <w:r w:rsidR="0052751C">
        <w:rPr>
          <w:rFonts w:ascii="Arial" w:hAnsi="Arial" w:cs="Arial"/>
          <w:sz w:val="24"/>
          <w:szCs w:val="24"/>
        </w:rPr>
        <w:t xml:space="preserve"> and retailers</w:t>
      </w:r>
      <w:r>
        <w:rPr>
          <w:rFonts w:ascii="Arial" w:hAnsi="Arial" w:cs="Arial"/>
          <w:sz w:val="24"/>
          <w:szCs w:val="24"/>
        </w:rPr>
        <w:t xml:space="preserve"> to expeditiously offer an instant rebate if they bear the risk that the rebate they offer exceeds the amount ultimately determined to be cost-effective.  </w:t>
      </w:r>
    </w:p>
    <w:p w14:paraId="6C389DEF" w14:textId="07B181B2" w:rsidR="005506EF" w:rsidRDefault="005506EF" w:rsidP="005F419A">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I</w:t>
      </w:r>
      <w:r w:rsidR="00F85B5F">
        <w:rPr>
          <w:rFonts w:ascii="Arial" w:hAnsi="Arial" w:cs="Arial"/>
          <w:sz w:val="24"/>
          <w:szCs w:val="24"/>
        </w:rPr>
        <w:t>n its initial brief, OCC</w:t>
      </w:r>
      <w:r w:rsidR="00742B2F">
        <w:rPr>
          <w:rFonts w:ascii="Arial" w:hAnsi="Arial" w:cs="Arial"/>
          <w:sz w:val="24"/>
          <w:szCs w:val="24"/>
        </w:rPr>
        <w:t xml:space="preserve"> asserts t</w:t>
      </w:r>
      <w:r w:rsidR="00F85B5F">
        <w:rPr>
          <w:rFonts w:ascii="Arial" w:hAnsi="Arial" w:cs="Arial"/>
          <w:sz w:val="24"/>
          <w:szCs w:val="24"/>
        </w:rPr>
        <w:t>w</w:t>
      </w:r>
      <w:r w:rsidR="00742B2F">
        <w:rPr>
          <w:rFonts w:ascii="Arial" w:hAnsi="Arial" w:cs="Arial"/>
          <w:sz w:val="24"/>
          <w:szCs w:val="24"/>
        </w:rPr>
        <w:t>o arguments in opposition to</w:t>
      </w:r>
      <w:r>
        <w:rPr>
          <w:rFonts w:ascii="Arial" w:hAnsi="Arial" w:cs="Arial"/>
          <w:sz w:val="24"/>
          <w:szCs w:val="24"/>
        </w:rPr>
        <w:t xml:space="preserve"> the </w:t>
      </w:r>
      <w:r w:rsidR="005F419A">
        <w:rPr>
          <w:rFonts w:ascii="Arial" w:hAnsi="Arial" w:cs="Arial"/>
          <w:sz w:val="24"/>
          <w:szCs w:val="24"/>
        </w:rPr>
        <w:t>proposed</w:t>
      </w:r>
      <w:r w:rsidR="00742B2F">
        <w:rPr>
          <w:rFonts w:ascii="Arial" w:hAnsi="Arial" w:cs="Arial"/>
          <w:sz w:val="24"/>
          <w:szCs w:val="24"/>
        </w:rPr>
        <w:t xml:space="preserve"> </w:t>
      </w:r>
      <w:r>
        <w:rPr>
          <w:rFonts w:ascii="Arial" w:hAnsi="Arial" w:cs="Arial"/>
          <w:sz w:val="24"/>
          <w:szCs w:val="24"/>
        </w:rPr>
        <w:t>thermostat program</w:t>
      </w:r>
      <w:r w:rsidR="00742B2F">
        <w:rPr>
          <w:rFonts w:ascii="Arial" w:hAnsi="Arial" w:cs="Arial"/>
          <w:sz w:val="24"/>
          <w:szCs w:val="24"/>
        </w:rPr>
        <w:t>. First, OCC alleges that Duke’s application and the amended stipulation failed to set forth sufficient detail to merit approval of the smart thermostat program.  Second, OCC opposes the provision that would allow CR</w:t>
      </w:r>
      <w:r w:rsidR="00F85B5F">
        <w:rPr>
          <w:rFonts w:ascii="Arial" w:hAnsi="Arial" w:cs="Arial"/>
          <w:sz w:val="24"/>
          <w:szCs w:val="24"/>
        </w:rPr>
        <w:t>E</w:t>
      </w:r>
      <w:r w:rsidR="00742B2F">
        <w:rPr>
          <w:rFonts w:ascii="Arial" w:hAnsi="Arial" w:cs="Arial"/>
          <w:sz w:val="24"/>
          <w:szCs w:val="24"/>
        </w:rPr>
        <w:t>S providers t</w:t>
      </w:r>
      <w:r>
        <w:rPr>
          <w:rFonts w:ascii="Arial" w:hAnsi="Arial" w:cs="Arial"/>
          <w:sz w:val="24"/>
          <w:szCs w:val="24"/>
        </w:rPr>
        <w:t xml:space="preserve">o offer an expedited rebate in advance of final approval of the rebate level.  As discussed below, both arguments lack merit. </w:t>
      </w:r>
    </w:p>
    <w:p w14:paraId="6905C697" w14:textId="3C79FF6A" w:rsidR="00742B2F" w:rsidRPr="00742B2F" w:rsidRDefault="00742B2F" w:rsidP="005F419A">
      <w:pPr>
        <w:autoSpaceDE w:val="0"/>
        <w:autoSpaceDN w:val="0"/>
        <w:adjustRightInd w:val="0"/>
        <w:spacing w:after="120" w:line="480" w:lineRule="auto"/>
        <w:ind w:firstLine="720"/>
        <w:jc w:val="both"/>
        <w:rPr>
          <w:rFonts w:ascii="Arial" w:hAnsi="Arial" w:cs="Arial"/>
          <w:b/>
          <w:sz w:val="24"/>
          <w:szCs w:val="24"/>
        </w:rPr>
      </w:pPr>
      <w:r>
        <w:rPr>
          <w:rFonts w:ascii="Arial" w:hAnsi="Arial" w:cs="Arial"/>
          <w:b/>
          <w:sz w:val="24"/>
          <w:szCs w:val="24"/>
        </w:rPr>
        <w:t xml:space="preserve">A. The Smart Thermostat Program </w:t>
      </w:r>
      <w:r w:rsidR="0052751C">
        <w:rPr>
          <w:rFonts w:ascii="Arial" w:hAnsi="Arial" w:cs="Arial"/>
          <w:b/>
          <w:sz w:val="24"/>
          <w:szCs w:val="24"/>
        </w:rPr>
        <w:t>is Sufficiently Detailed</w:t>
      </w:r>
    </w:p>
    <w:p w14:paraId="6C6480DC" w14:textId="67E6C1B4" w:rsidR="00742B2F" w:rsidRDefault="00742B2F" w:rsidP="005F419A">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OCC alleges that Commission should reject the smart thermostat program because Duke failed to satisfy the criteria of O</w:t>
      </w:r>
      <w:r w:rsidR="0052751C">
        <w:rPr>
          <w:rFonts w:ascii="Arial" w:hAnsi="Arial" w:cs="Arial"/>
          <w:sz w:val="24"/>
          <w:szCs w:val="24"/>
        </w:rPr>
        <w:t>hio Administrative Code (“O</w:t>
      </w:r>
      <w:r>
        <w:rPr>
          <w:rFonts w:ascii="Arial" w:hAnsi="Arial" w:cs="Arial"/>
          <w:sz w:val="24"/>
          <w:szCs w:val="24"/>
        </w:rPr>
        <w:t>AC</w:t>
      </w:r>
      <w:r w:rsidR="0052751C">
        <w:rPr>
          <w:rFonts w:ascii="Arial" w:hAnsi="Arial" w:cs="Arial"/>
          <w:sz w:val="24"/>
          <w:szCs w:val="24"/>
        </w:rPr>
        <w:t>”)</w:t>
      </w:r>
      <w:r>
        <w:rPr>
          <w:rFonts w:ascii="Arial" w:hAnsi="Arial" w:cs="Arial"/>
          <w:sz w:val="24"/>
          <w:szCs w:val="24"/>
        </w:rPr>
        <w:t xml:space="preserve">, 4901:1-39-03 and </w:t>
      </w:r>
      <w:r w:rsidR="00AD140C" w:rsidRPr="00AD140C">
        <w:rPr>
          <w:rFonts w:ascii="Arial" w:hAnsi="Arial" w:cs="Arial"/>
          <w:sz w:val="24"/>
          <w:szCs w:val="24"/>
        </w:rPr>
        <w:t>4901:1-39</w:t>
      </w:r>
      <w:r w:rsidR="00AD140C">
        <w:rPr>
          <w:rFonts w:ascii="Arial" w:hAnsi="Arial" w:cs="Arial"/>
          <w:sz w:val="24"/>
          <w:szCs w:val="24"/>
        </w:rPr>
        <w:t>-04.</w:t>
      </w:r>
      <w:r w:rsidR="00AD140C">
        <w:rPr>
          <w:rStyle w:val="FootnoteReference"/>
          <w:rFonts w:ascii="Arial" w:hAnsi="Arial" w:cs="Arial"/>
          <w:sz w:val="24"/>
          <w:szCs w:val="24"/>
        </w:rPr>
        <w:footnoteReference w:id="4"/>
      </w:r>
      <w:r w:rsidR="00AD140C">
        <w:rPr>
          <w:rFonts w:ascii="Arial" w:hAnsi="Arial" w:cs="Arial"/>
          <w:sz w:val="24"/>
          <w:szCs w:val="24"/>
        </w:rPr>
        <w:t xml:space="preserve">  T</w:t>
      </w:r>
      <w:r w:rsidR="002F6984">
        <w:rPr>
          <w:rFonts w:ascii="Arial" w:hAnsi="Arial" w:cs="Arial"/>
          <w:sz w:val="24"/>
          <w:szCs w:val="24"/>
        </w:rPr>
        <w:t>hose provisions</w:t>
      </w:r>
      <w:r w:rsidR="00AD140C">
        <w:rPr>
          <w:rFonts w:ascii="Arial" w:hAnsi="Arial" w:cs="Arial"/>
          <w:sz w:val="24"/>
          <w:szCs w:val="24"/>
        </w:rPr>
        <w:t xml:space="preserve"> r</w:t>
      </w:r>
      <w:r w:rsidR="002F6984">
        <w:rPr>
          <w:rFonts w:ascii="Arial" w:hAnsi="Arial" w:cs="Arial"/>
          <w:sz w:val="24"/>
          <w:szCs w:val="24"/>
        </w:rPr>
        <w:t xml:space="preserve">elate to the filing of a “market potential study” and the initial application filed by the utility.  OCC claims the proposed thermostat program </w:t>
      </w:r>
      <w:r w:rsidR="00F85B5F">
        <w:rPr>
          <w:rFonts w:ascii="Arial" w:hAnsi="Arial" w:cs="Arial"/>
          <w:sz w:val="24"/>
          <w:szCs w:val="24"/>
        </w:rPr>
        <w:t xml:space="preserve">was </w:t>
      </w:r>
      <w:r w:rsidR="002F6984">
        <w:rPr>
          <w:rFonts w:ascii="Arial" w:hAnsi="Arial" w:cs="Arial"/>
          <w:sz w:val="24"/>
          <w:szCs w:val="24"/>
        </w:rPr>
        <w:t xml:space="preserve">not discussed in Duke’s market potential study and therefore the information </w:t>
      </w:r>
      <w:r w:rsidR="00F85B5F">
        <w:rPr>
          <w:rFonts w:ascii="Arial" w:hAnsi="Arial" w:cs="Arial"/>
          <w:sz w:val="24"/>
          <w:szCs w:val="24"/>
        </w:rPr>
        <w:t xml:space="preserve">required to be provided for </w:t>
      </w:r>
      <w:r w:rsidR="00F85B5F" w:rsidRPr="00F85B5F">
        <w:rPr>
          <w:rFonts w:ascii="Arial" w:hAnsi="Arial" w:cs="Arial"/>
          <w:sz w:val="24"/>
          <w:szCs w:val="24"/>
        </w:rPr>
        <w:t>proposed measures</w:t>
      </w:r>
      <w:r w:rsidR="00F85B5F">
        <w:rPr>
          <w:rFonts w:ascii="Arial" w:hAnsi="Arial" w:cs="Arial"/>
          <w:sz w:val="24"/>
          <w:szCs w:val="24"/>
        </w:rPr>
        <w:t xml:space="preserve"> </w:t>
      </w:r>
      <w:r w:rsidR="002F6984">
        <w:rPr>
          <w:rFonts w:ascii="Arial" w:hAnsi="Arial" w:cs="Arial"/>
          <w:sz w:val="24"/>
          <w:szCs w:val="24"/>
        </w:rPr>
        <w:t>was not provided.</w:t>
      </w:r>
      <w:r w:rsidR="00AD140C">
        <w:rPr>
          <w:rStyle w:val="FootnoteReference"/>
          <w:rFonts w:ascii="Arial" w:hAnsi="Arial" w:cs="Arial"/>
          <w:sz w:val="24"/>
          <w:szCs w:val="24"/>
        </w:rPr>
        <w:footnoteReference w:id="5"/>
      </w:r>
      <w:r w:rsidR="002F6984">
        <w:rPr>
          <w:rFonts w:ascii="Arial" w:hAnsi="Arial" w:cs="Arial"/>
          <w:sz w:val="24"/>
          <w:szCs w:val="24"/>
        </w:rPr>
        <w:t xml:space="preserve">  Citin</w:t>
      </w:r>
      <w:r w:rsidR="00692EBF">
        <w:rPr>
          <w:rFonts w:ascii="Arial" w:hAnsi="Arial" w:cs="Arial"/>
          <w:sz w:val="24"/>
          <w:szCs w:val="24"/>
        </w:rPr>
        <w:t>g a prior Commission order in Duke’s 2011 portfolio plan case</w:t>
      </w:r>
      <w:r w:rsidR="002F6984">
        <w:rPr>
          <w:rFonts w:ascii="Arial" w:hAnsi="Arial" w:cs="Arial"/>
          <w:sz w:val="24"/>
          <w:szCs w:val="24"/>
        </w:rPr>
        <w:t>,</w:t>
      </w:r>
      <w:r w:rsidR="00692EBF">
        <w:rPr>
          <w:rStyle w:val="FootnoteReference"/>
          <w:rFonts w:ascii="Arial" w:hAnsi="Arial" w:cs="Arial"/>
          <w:sz w:val="24"/>
          <w:szCs w:val="24"/>
        </w:rPr>
        <w:footnoteReference w:id="6"/>
      </w:r>
      <w:r w:rsidR="002F6984">
        <w:rPr>
          <w:rFonts w:ascii="Arial" w:hAnsi="Arial" w:cs="Arial"/>
          <w:sz w:val="24"/>
          <w:szCs w:val="24"/>
        </w:rPr>
        <w:t xml:space="preserve"> OCC alleges that Duke’s failure </w:t>
      </w:r>
      <w:r w:rsidR="002F6984">
        <w:rPr>
          <w:rFonts w:ascii="Arial" w:hAnsi="Arial" w:cs="Arial"/>
          <w:sz w:val="24"/>
          <w:szCs w:val="24"/>
        </w:rPr>
        <w:lastRenderedPageBreak/>
        <w:t>to include the smart thermostat program in the market potential study is grounds to reject the smart thermostat program in its entirety.  As discussed below, OCC mischaracteri</w:t>
      </w:r>
      <w:r w:rsidR="00F85B5F">
        <w:rPr>
          <w:rFonts w:ascii="Arial" w:hAnsi="Arial" w:cs="Arial"/>
          <w:sz w:val="24"/>
          <w:szCs w:val="24"/>
        </w:rPr>
        <w:t>zes the law and the Commission</w:t>
      </w:r>
      <w:r w:rsidR="002F6984">
        <w:rPr>
          <w:rFonts w:ascii="Arial" w:hAnsi="Arial" w:cs="Arial"/>
          <w:sz w:val="24"/>
          <w:szCs w:val="24"/>
        </w:rPr>
        <w:t xml:space="preserve"> precedent.</w:t>
      </w:r>
    </w:p>
    <w:p w14:paraId="5FE813D7" w14:textId="028B6D89" w:rsidR="00692EBF" w:rsidRDefault="00B25921" w:rsidP="005F419A">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First,</w:t>
      </w:r>
      <w:r w:rsidR="00692EBF">
        <w:rPr>
          <w:rFonts w:ascii="Arial" w:hAnsi="Arial" w:cs="Arial"/>
          <w:sz w:val="24"/>
          <w:szCs w:val="24"/>
        </w:rPr>
        <w:t xml:space="preserve"> OCC’s reliance</w:t>
      </w:r>
      <w:r w:rsidR="000B658C">
        <w:rPr>
          <w:rFonts w:ascii="Arial" w:hAnsi="Arial" w:cs="Arial"/>
          <w:sz w:val="24"/>
          <w:szCs w:val="24"/>
        </w:rPr>
        <w:t xml:space="preserve"> on</w:t>
      </w:r>
      <w:r w:rsidR="00692EBF">
        <w:rPr>
          <w:rFonts w:ascii="Arial" w:hAnsi="Arial" w:cs="Arial"/>
          <w:sz w:val="24"/>
          <w:szCs w:val="24"/>
        </w:rPr>
        <w:t xml:space="preserve"> the requirement to file a market potential study and the Commission’s order in Duke’s </w:t>
      </w:r>
      <w:r w:rsidR="00692EBF" w:rsidRPr="00692EBF">
        <w:rPr>
          <w:rFonts w:ascii="Arial" w:hAnsi="Arial" w:cs="Arial"/>
          <w:i/>
          <w:sz w:val="24"/>
          <w:szCs w:val="24"/>
        </w:rPr>
        <w:t>2011 POR Case</w:t>
      </w:r>
      <w:r w:rsidR="00692EBF">
        <w:rPr>
          <w:rFonts w:ascii="Arial" w:hAnsi="Arial" w:cs="Arial"/>
          <w:sz w:val="24"/>
          <w:szCs w:val="24"/>
        </w:rPr>
        <w:t xml:space="preserve"> is misplaced.  Under the Commission’s rules, a utility is required </w:t>
      </w:r>
      <w:r>
        <w:rPr>
          <w:rFonts w:ascii="Arial" w:hAnsi="Arial" w:cs="Arial"/>
          <w:sz w:val="24"/>
          <w:szCs w:val="24"/>
        </w:rPr>
        <w:t>to file a market potential study</w:t>
      </w:r>
      <w:r w:rsidR="00692EBF">
        <w:rPr>
          <w:rFonts w:ascii="Arial" w:hAnsi="Arial" w:cs="Arial"/>
          <w:sz w:val="24"/>
          <w:szCs w:val="24"/>
        </w:rPr>
        <w:t xml:space="preserve"> with its application to establish a portfolio plan.  In the </w:t>
      </w:r>
      <w:r w:rsidR="00692EBF">
        <w:rPr>
          <w:rFonts w:ascii="Arial" w:hAnsi="Arial" w:cs="Arial"/>
          <w:i/>
          <w:sz w:val="24"/>
          <w:szCs w:val="24"/>
        </w:rPr>
        <w:t>2011 POR Case</w:t>
      </w:r>
      <w:r w:rsidR="00692EBF">
        <w:rPr>
          <w:rFonts w:ascii="Arial" w:hAnsi="Arial" w:cs="Arial"/>
          <w:sz w:val="24"/>
          <w:szCs w:val="24"/>
        </w:rPr>
        <w:t>, the Commission took issue with the fact that Duke failed to make such a filing with its application.</w:t>
      </w:r>
      <w:r w:rsidR="00AD140C">
        <w:rPr>
          <w:rStyle w:val="FootnoteReference"/>
          <w:rFonts w:ascii="Arial" w:hAnsi="Arial" w:cs="Arial"/>
          <w:sz w:val="24"/>
          <w:szCs w:val="24"/>
        </w:rPr>
        <w:footnoteReference w:id="7"/>
      </w:r>
      <w:r w:rsidR="00692EBF">
        <w:rPr>
          <w:rFonts w:ascii="Arial" w:hAnsi="Arial" w:cs="Arial"/>
          <w:sz w:val="24"/>
          <w:szCs w:val="24"/>
        </w:rPr>
        <w:t xml:space="preserve">  Here, however, </w:t>
      </w:r>
      <w:r w:rsidR="00692EBF" w:rsidRPr="00692EBF">
        <w:rPr>
          <w:rFonts w:ascii="Arial" w:hAnsi="Arial" w:cs="Arial"/>
          <w:sz w:val="24"/>
          <w:szCs w:val="24"/>
        </w:rPr>
        <w:t>it is uncontested that Duke did in fact file a m</w:t>
      </w:r>
      <w:r w:rsidR="00692EBF">
        <w:rPr>
          <w:rFonts w:ascii="Arial" w:hAnsi="Arial" w:cs="Arial"/>
          <w:sz w:val="24"/>
          <w:szCs w:val="24"/>
        </w:rPr>
        <w:t>arket potential study.</w:t>
      </w:r>
      <w:r w:rsidR="00AD140C">
        <w:rPr>
          <w:rStyle w:val="FootnoteReference"/>
          <w:rFonts w:ascii="Arial" w:hAnsi="Arial" w:cs="Arial"/>
          <w:sz w:val="24"/>
          <w:szCs w:val="24"/>
        </w:rPr>
        <w:footnoteReference w:id="8"/>
      </w:r>
      <w:r w:rsidR="00692EBF">
        <w:rPr>
          <w:rFonts w:ascii="Arial" w:hAnsi="Arial" w:cs="Arial"/>
          <w:sz w:val="24"/>
          <w:szCs w:val="24"/>
        </w:rPr>
        <w:t xml:space="preserve">  </w:t>
      </w:r>
    </w:p>
    <w:p w14:paraId="48C12221" w14:textId="376DF8D8" w:rsidR="00692EBF" w:rsidRDefault="00692EBF" w:rsidP="005F419A">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OCC appears to argue that </w:t>
      </w:r>
      <w:r w:rsidR="00B25921">
        <w:rPr>
          <w:rFonts w:ascii="Arial" w:hAnsi="Arial" w:cs="Arial"/>
          <w:sz w:val="24"/>
          <w:szCs w:val="24"/>
        </w:rPr>
        <w:t>D</w:t>
      </w:r>
      <w:r>
        <w:rPr>
          <w:rFonts w:ascii="Arial" w:hAnsi="Arial" w:cs="Arial"/>
          <w:sz w:val="24"/>
          <w:szCs w:val="24"/>
        </w:rPr>
        <w:t>uke was</w:t>
      </w:r>
      <w:r w:rsidR="00B25921">
        <w:rPr>
          <w:rFonts w:ascii="Arial" w:hAnsi="Arial" w:cs="Arial"/>
          <w:sz w:val="24"/>
          <w:szCs w:val="24"/>
        </w:rPr>
        <w:t xml:space="preserve"> required to describe </w:t>
      </w:r>
      <w:r>
        <w:rPr>
          <w:rFonts w:ascii="Arial" w:hAnsi="Arial" w:cs="Arial"/>
          <w:sz w:val="24"/>
          <w:szCs w:val="24"/>
        </w:rPr>
        <w:t xml:space="preserve">in its market potential study </w:t>
      </w:r>
      <w:r w:rsidR="00B25921">
        <w:rPr>
          <w:rFonts w:ascii="Arial" w:hAnsi="Arial" w:cs="Arial"/>
          <w:sz w:val="24"/>
          <w:szCs w:val="24"/>
        </w:rPr>
        <w:t>every single program that will ultimately be included in its portfolio plan.</w:t>
      </w:r>
      <w:r>
        <w:rPr>
          <w:rFonts w:ascii="Arial" w:hAnsi="Arial" w:cs="Arial"/>
          <w:sz w:val="24"/>
          <w:szCs w:val="24"/>
        </w:rPr>
        <w:t xml:space="preserve">  OCC’s argument is absurd and would lead to an unworkable process.  If Duke were required to analyze in its market potential study every program that is ultimately approved, there would be no way to deviate from the market potential study through a settlement</w:t>
      </w:r>
      <w:r w:rsidR="000B658C">
        <w:rPr>
          <w:rFonts w:ascii="Arial" w:hAnsi="Arial" w:cs="Arial"/>
          <w:sz w:val="24"/>
          <w:szCs w:val="24"/>
        </w:rPr>
        <w:t xml:space="preserve"> or litigated process</w:t>
      </w:r>
      <w:r>
        <w:rPr>
          <w:rFonts w:ascii="Arial" w:hAnsi="Arial" w:cs="Arial"/>
          <w:sz w:val="24"/>
          <w:szCs w:val="24"/>
        </w:rPr>
        <w:t>—the portfolio plan</w:t>
      </w:r>
      <w:r w:rsidR="00C113A8">
        <w:rPr>
          <w:rFonts w:ascii="Arial" w:hAnsi="Arial" w:cs="Arial"/>
          <w:sz w:val="24"/>
          <w:szCs w:val="24"/>
        </w:rPr>
        <w:t xml:space="preserve"> and its programs</w:t>
      </w:r>
      <w:r>
        <w:rPr>
          <w:rFonts w:ascii="Arial" w:hAnsi="Arial" w:cs="Arial"/>
          <w:sz w:val="24"/>
          <w:szCs w:val="24"/>
        </w:rPr>
        <w:t xml:space="preserve"> would effectively be set in stone before the application </w:t>
      </w:r>
      <w:r w:rsidR="00C113A8">
        <w:rPr>
          <w:rFonts w:ascii="Arial" w:hAnsi="Arial" w:cs="Arial"/>
          <w:sz w:val="24"/>
          <w:szCs w:val="24"/>
        </w:rPr>
        <w:t>is filed</w:t>
      </w:r>
      <w:r w:rsidR="000B658C">
        <w:rPr>
          <w:rFonts w:ascii="Arial" w:hAnsi="Arial" w:cs="Arial"/>
          <w:sz w:val="24"/>
          <w:szCs w:val="24"/>
        </w:rPr>
        <w:t xml:space="preserve"> and the hearing occurs</w:t>
      </w:r>
      <w:r w:rsidR="00F85B5F">
        <w:rPr>
          <w:rFonts w:ascii="Arial" w:hAnsi="Arial" w:cs="Arial"/>
          <w:sz w:val="24"/>
          <w:szCs w:val="24"/>
        </w:rPr>
        <w:t>.  The Commission should reject OCC’s overly narrow interpretation of the Commission’s rules.</w:t>
      </w:r>
    </w:p>
    <w:p w14:paraId="7B3615CE" w14:textId="6D8DC0A5" w:rsidR="00C113A8" w:rsidRDefault="00C113A8" w:rsidP="005F419A">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Second, OCC alleges that the stipulation and application fail to include the information required by OAC, 4901:1-39-04.  Again, this section appears to apply to the initial application filed by the utility.  Ultimately, that application was modified by the </w:t>
      </w:r>
      <w:r w:rsidR="000B658C">
        <w:rPr>
          <w:rFonts w:ascii="Arial" w:hAnsi="Arial" w:cs="Arial"/>
          <w:sz w:val="24"/>
          <w:szCs w:val="24"/>
        </w:rPr>
        <w:t xml:space="preserve">amended </w:t>
      </w:r>
      <w:r>
        <w:rPr>
          <w:rFonts w:ascii="Arial" w:hAnsi="Arial" w:cs="Arial"/>
          <w:sz w:val="24"/>
          <w:szCs w:val="24"/>
        </w:rPr>
        <w:t xml:space="preserve">stipulation to include additional measures; thus, this rule arguably does not </w:t>
      </w:r>
      <w:r>
        <w:rPr>
          <w:rFonts w:ascii="Arial" w:hAnsi="Arial" w:cs="Arial"/>
          <w:sz w:val="24"/>
          <w:szCs w:val="24"/>
        </w:rPr>
        <w:lastRenderedPageBreak/>
        <w:t>apply.  In any event, as discussed</w:t>
      </w:r>
      <w:r w:rsidR="00F85B5F">
        <w:rPr>
          <w:rFonts w:ascii="Arial" w:hAnsi="Arial" w:cs="Arial"/>
          <w:sz w:val="24"/>
          <w:szCs w:val="24"/>
        </w:rPr>
        <w:t xml:space="preserve"> below, the stipulation included</w:t>
      </w:r>
      <w:r>
        <w:rPr>
          <w:rFonts w:ascii="Arial" w:hAnsi="Arial" w:cs="Arial"/>
          <w:sz w:val="24"/>
          <w:szCs w:val="24"/>
        </w:rPr>
        <w:t xml:space="preserve"> two pages of parameters describing the smart thermostat program to sufficiently comply with the Commission’s rules.  </w:t>
      </w:r>
    </w:p>
    <w:p w14:paraId="1F3A8327" w14:textId="7BA5783D" w:rsidR="00C113A8" w:rsidRDefault="00C113A8" w:rsidP="005F419A">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For example, OCC lists the requirements of the Commission’s</w:t>
      </w:r>
      <w:r w:rsidR="000B658C">
        <w:rPr>
          <w:rFonts w:ascii="Arial" w:hAnsi="Arial" w:cs="Arial"/>
          <w:sz w:val="24"/>
          <w:szCs w:val="24"/>
        </w:rPr>
        <w:t xml:space="preserve"> rules and simply states that the thermostat program fails to comport with these requirements.  A</w:t>
      </w:r>
      <w:r>
        <w:rPr>
          <w:rFonts w:ascii="Arial" w:hAnsi="Arial" w:cs="Arial"/>
          <w:sz w:val="24"/>
          <w:szCs w:val="24"/>
        </w:rPr>
        <w:t xml:space="preserve"> closer examination of the </w:t>
      </w:r>
      <w:r w:rsidR="000B658C">
        <w:rPr>
          <w:rFonts w:ascii="Arial" w:hAnsi="Arial" w:cs="Arial"/>
          <w:sz w:val="24"/>
          <w:szCs w:val="24"/>
        </w:rPr>
        <w:t xml:space="preserve">amended </w:t>
      </w:r>
      <w:r>
        <w:rPr>
          <w:rFonts w:ascii="Arial" w:hAnsi="Arial" w:cs="Arial"/>
          <w:sz w:val="24"/>
          <w:szCs w:val="24"/>
        </w:rPr>
        <w:t>stipulation</w:t>
      </w:r>
      <w:r w:rsidR="009A53A3">
        <w:rPr>
          <w:rFonts w:ascii="Arial" w:hAnsi="Arial" w:cs="Arial"/>
          <w:sz w:val="24"/>
          <w:szCs w:val="24"/>
        </w:rPr>
        <w:t xml:space="preserve"> and testimony, however, shows that OCC is incorrect.  Below is a point-for-point summary of the manner in which the thermostat program meets the criteria contained in </w:t>
      </w:r>
      <w:r w:rsidR="00F85B5F">
        <w:rPr>
          <w:rFonts w:ascii="Arial" w:hAnsi="Arial" w:cs="Arial"/>
          <w:sz w:val="24"/>
          <w:szCs w:val="24"/>
        </w:rPr>
        <w:t xml:space="preserve">OAC </w:t>
      </w:r>
      <w:r w:rsidR="009A53A3">
        <w:rPr>
          <w:rFonts w:ascii="Arial" w:hAnsi="Arial" w:cs="Arial"/>
          <w:sz w:val="24"/>
          <w:szCs w:val="24"/>
        </w:rPr>
        <w:t>4901:1-39-04</w:t>
      </w:r>
      <w:r w:rsidR="000F1A77">
        <w:rPr>
          <w:rFonts w:ascii="Arial" w:hAnsi="Arial" w:cs="Arial"/>
          <w:sz w:val="24"/>
          <w:szCs w:val="24"/>
        </w:rPr>
        <w:t>(C)</w:t>
      </w:r>
      <w:r w:rsidR="009A53A3">
        <w:rPr>
          <w:rFonts w:ascii="Arial" w:hAnsi="Arial" w:cs="Arial"/>
          <w:sz w:val="24"/>
          <w:szCs w:val="24"/>
        </w:rPr>
        <w:t>(5):</w:t>
      </w:r>
    </w:p>
    <w:p w14:paraId="7B25439F" w14:textId="083F3F5E" w:rsidR="00C113A8" w:rsidRDefault="009A53A3" w:rsidP="005F419A">
      <w:pPr>
        <w:pStyle w:val="ListParagraph"/>
        <w:numPr>
          <w:ilvl w:val="0"/>
          <w:numId w:val="32"/>
        </w:numPr>
        <w:autoSpaceDE w:val="0"/>
        <w:autoSpaceDN w:val="0"/>
        <w:adjustRightInd w:val="0"/>
        <w:spacing w:after="120" w:line="480" w:lineRule="auto"/>
        <w:jc w:val="both"/>
        <w:rPr>
          <w:rFonts w:ascii="Arial" w:hAnsi="Arial" w:cs="Arial"/>
          <w:i/>
          <w:sz w:val="24"/>
          <w:szCs w:val="24"/>
        </w:rPr>
      </w:pPr>
      <w:r>
        <w:rPr>
          <w:rFonts w:ascii="Arial" w:hAnsi="Arial" w:cs="Arial"/>
          <w:i/>
          <w:sz w:val="24"/>
          <w:szCs w:val="24"/>
        </w:rPr>
        <w:t xml:space="preserve">(a) </w:t>
      </w:r>
      <w:r w:rsidR="00C113A8" w:rsidRPr="00600003">
        <w:rPr>
          <w:rFonts w:ascii="Arial" w:hAnsi="Arial" w:cs="Arial"/>
          <w:i/>
          <w:sz w:val="24"/>
          <w:szCs w:val="24"/>
        </w:rPr>
        <w:t>narrative describing why the program is recommended pursuant to the program design criteria in OAC 4901-39</w:t>
      </w:r>
    </w:p>
    <w:p w14:paraId="2F7D4915" w14:textId="1953F43E" w:rsidR="00600003" w:rsidRPr="00600003" w:rsidRDefault="009A53A3" w:rsidP="005F419A">
      <w:pPr>
        <w:pStyle w:val="ListParagraph"/>
        <w:numPr>
          <w:ilvl w:val="1"/>
          <w:numId w:val="32"/>
        </w:numPr>
        <w:autoSpaceDE w:val="0"/>
        <w:autoSpaceDN w:val="0"/>
        <w:adjustRightInd w:val="0"/>
        <w:spacing w:after="120" w:line="480" w:lineRule="auto"/>
        <w:jc w:val="both"/>
        <w:rPr>
          <w:rFonts w:ascii="Arial" w:hAnsi="Arial" w:cs="Arial"/>
          <w:i/>
          <w:sz w:val="24"/>
          <w:szCs w:val="24"/>
        </w:rPr>
      </w:pPr>
      <w:r>
        <w:rPr>
          <w:rFonts w:ascii="Arial" w:hAnsi="Arial" w:cs="Arial"/>
          <w:sz w:val="24"/>
          <w:szCs w:val="24"/>
        </w:rPr>
        <w:t>Under the Stipulation, it is clear that the purpose is to</w:t>
      </w:r>
      <w:r w:rsidR="00600003">
        <w:rPr>
          <w:rFonts w:ascii="Arial" w:hAnsi="Arial" w:cs="Arial"/>
          <w:sz w:val="24"/>
          <w:szCs w:val="24"/>
        </w:rPr>
        <w:t xml:space="preserve"> incentive deployment of smart thermostats in a cost-effective manner though a streamlined process</w:t>
      </w:r>
      <w:r>
        <w:rPr>
          <w:rFonts w:ascii="Arial" w:hAnsi="Arial" w:cs="Arial"/>
          <w:sz w:val="24"/>
          <w:szCs w:val="24"/>
        </w:rPr>
        <w:t>.</w:t>
      </w:r>
      <w:r>
        <w:rPr>
          <w:rStyle w:val="FootnoteReference"/>
          <w:rFonts w:ascii="Arial" w:hAnsi="Arial" w:cs="Arial"/>
          <w:sz w:val="24"/>
          <w:szCs w:val="24"/>
        </w:rPr>
        <w:footnoteReference w:id="9"/>
      </w:r>
    </w:p>
    <w:p w14:paraId="24A054B6" w14:textId="7D6EB77C" w:rsidR="00600003" w:rsidRDefault="009A53A3" w:rsidP="005F419A">
      <w:pPr>
        <w:pStyle w:val="ListParagraph"/>
        <w:numPr>
          <w:ilvl w:val="0"/>
          <w:numId w:val="32"/>
        </w:numPr>
        <w:autoSpaceDE w:val="0"/>
        <w:autoSpaceDN w:val="0"/>
        <w:adjustRightInd w:val="0"/>
        <w:spacing w:after="120" w:line="480" w:lineRule="auto"/>
        <w:jc w:val="both"/>
        <w:rPr>
          <w:rFonts w:ascii="Arial" w:hAnsi="Arial" w:cs="Arial"/>
          <w:i/>
          <w:sz w:val="24"/>
          <w:szCs w:val="24"/>
        </w:rPr>
      </w:pPr>
      <w:r>
        <w:rPr>
          <w:rFonts w:ascii="Arial" w:hAnsi="Arial" w:cs="Arial"/>
          <w:i/>
          <w:sz w:val="24"/>
          <w:szCs w:val="24"/>
        </w:rPr>
        <w:t xml:space="preserve">(b) </w:t>
      </w:r>
      <w:r w:rsidR="00600003" w:rsidRPr="00600003">
        <w:rPr>
          <w:rFonts w:ascii="Arial" w:hAnsi="Arial" w:cs="Arial"/>
          <w:i/>
          <w:sz w:val="24"/>
          <w:szCs w:val="24"/>
        </w:rPr>
        <w:t>program objectives, including projections and basis for calculating</w:t>
      </w:r>
      <w:r w:rsidR="00600003">
        <w:rPr>
          <w:rFonts w:ascii="Arial" w:hAnsi="Arial" w:cs="Arial"/>
          <w:i/>
          <w:sz w:val="24"/>
          <w:szCs w:val="24"/>
        </w:rPr>
        <w:t xml:space="preserve"> </w:t>
      </w:r>
      <w:r w:rsidR="00600003" w:rsidRPr="00600003">
        <w:rPr>
          <w:rFonts w:ascii="Arial" w:hAnsi="Arial" w:cs="Arial"/>
          <w:i/>
          <w:sz w:val="24"/>
          <w:szCs w:val="24"/>
        </w:rPr>
        <w:t>energy savings and/or peak-demand reduction resulting from the</w:t>
      </w:r>
      <w:r w:rsidR="00600003">
        <w:rPr>
          <w:rFonts w:ascii="Arial" w:hAnsi="Arial" w:cs="Arial"/>
          <w:i/>
          <w:sz w:val="24"/>
          <w:szCs w:val="24"/>
        </w:rPr>
        <w:t xml:space="preserve"> </w:t>
      </w:r>
      <w:r w:rsidR="00600003" w:rsidRPr="00600003">
        <w:rPr>
          <w:rFonts w:ascii="Arial" w:hAnsi="Arial" w:cs="Arial"/>
          <w:i/>
          <w:sz w:val="24"/>
          <w:szCs w:val="24"/>
        </w:rPr>
        <w:t>program;</w:t>
      </w:r>
    </w:p>
    <w:p w14:paraId="16264E4B" w14:textId="180EC13B" w:rsidR="00600003" w:rsidRPr="00600003" w:rsidRDefault="00600003" w:rsidP="005F419A">
      <w:pPr>
        <w:pStyle w:val="ListParagraph"/>
        <w:numPr>
          <w:ilvl w:val="1"/>
          <w:numId w:val="32"/>
        </w:numPr>
        <w:autoSpaceDE w:val="0"/>
        <w:autoSpaceDN w:val="0"/>
        <w:adjustRightInd w:val="0"/>
        <w:spacing w:after="120" w:line="480" w:lineRule="auto"/>
        <w:jc w:val="both"/>
        <w:rPr>
          <w:rFonts w:ascii="Arial" w:hAnsi="Arial" w:cs="Arial"/>
          <w:i/>
          <w:sz w:val="24"/>
          <w:szCs w:val="24"/>
        </w:rPr>
      </w:pPr>
      <w:r>
        <w:rPr>
          <w:rFonts w:ascii="Arial" w:hAnsi="Arial" w:cs="Arial"/>
          <w:sz w:val="24"/>
          <w:szCs w:val="24"/>
        </w:rPr>
        <w:t>Deployment of 25,000 smart thermostats.  Savings for purposes of the TRC test to be calculating based upon “</w:t>
      </w:r>
      <w:r w:rsidRPr="00600003">
        <w:rPr>
          <w:rFonts w:ascii="Arial" w:hAnsi="Arial" w:cs="Arial"/>
          <w:sz w:val="24"/>
          <w:szCs w:val="24"/>
        </w:rPr>
        <w:t>avoided natural gas and other non-electric fuel costs in addition to avoided electricity costs</w:t>
      </w:r>
      <w:r>
        <w:rPr>
          <w:rFonts w:ascii="Arial" w:hAnsi="Arial" w:cs="Arial"/>
          <w:sz w:val="24"/>
          <w:szCs w:val="24"/>
        </w:rPr>
        <w:t>.”</w:t>
      </w:r>
      <w:r w:rsidR="009A53A3">
        <w:rPr>
          <w:rStyle w:val="FootnoteReference"/>
          <w:rFonts w:ascii="Arial" w:hAnsi="Arial" w:cs="Arial"/>
          <w:sz w:val="24"/>
          <w:szCs w:val="24"/>
        </w:rPr>
        <w:footnoteReference w:id="10"/>
      </w:r>
    </w:p>
    <w:p w14:paraId="55A92174" w14:textId="1B82150C" w:rsidR="00C521C0" w:rsidRDefault="009A53A3" w:rsidP="005F419A">
      <w:pPr>
        <w:pStyle w:val="ListParagraph"/>
        <w:numPr>
          <w:ilvl w:val="0"/>
          <w:numId w:val="33"/>
        </w:numPr>
        <w:autoSpaceDE w:val="0"/>
        <w:autoSpaceDN w:val="0"/>
        <w:adjustRightInd w:val="0"/>
        <w:spacing w:after="120" w:line="480" w:lineRule="auto"/>
        <w:jc w:val="both"/>
        <w:rPr>
          <w:rFonts w:ascii="Arial" w:hAnsi="Arial" w:cs="Arial"/>
          <w:i/>
          <w:sz w:val="24"/>
          <w:szCs w:val="24"/>
        </w:rPr>
      </w:pPr>
      <w:r>
        <w:rPr>
          <w:rFonts w:ascii="Arial" w:hAnsi="Arial" w:cs="Arial"/>
          <w:i/>
          <w:sz w:val="24"/>
          <w:szCs w:val="24"/>
        </w:rPr>
        <w:t xml:space="preserve">(b) </w:t>
      </w:r>
      <w:r w:rsidR="00600003" w:rsidRPr="00600003">
        <w:rPr>
          <w:rFonts w:ascii="Arial" w:hAnsi="Arial" w:cs="Arial"/>
          <w:i/>
          <w:sz w:val="24"/>
          <w:szCs w:val="24"/>
        </w:rPr>
        <w:t>the targeted customer sect</w:t>
      </w:r>
      <w:r w:rsidR="00C521C0">
        <w:rPr>
          <w:rFonts w:ascii="Arial" w:hAnsi="Arial" w:cs="Arial"/>
          <w:i/>
          <w:sz w:val="24"/>
          <w:szCs w:val="24"/>
        </w:rPr>
        <w:t>or;</w:t>
      </w:r>
    </w:p>
    <w:p w14:paraId="6E9192B1" w14:textId="78217CBA" w:rsidR="00600003" w:rsidRPr="00C521C0" w:rsidRDefault="009A53A3" w:rsidP="005F419A">
      <w:pPr>
        <w:pStyle w:val="ListParagraph"/>
        <w:numPr>
          <w:ilvl w:val="1"/>
          <w:numId w:val="33"/>
        </w:numPr>
        <w:autoSpaceDE w:val="0"/>
        <w:autoSpaceDN w:val="0"/>
        <w:adjustRightInd w:val="0"/>
        <w:spacing w:after="120" w:line="480" w:lineRule="auto"/>
        <w:jc w:val="both"/>
        <w:rPr>
          <w:rFonts w:ascii="Arial" w:hAnsi="Arial" w:cs="Arial"/>
          <w:i/>
          <w:sz w:val="24"/>
          <w:szCs w:val="24"/>
        </w:rPr>
      </w:pPr>
      <w:r>
        <w:rPr>
          <w:rFonts w:ascii="Arial" w:hAnsi="Arial" w:cs="Arial"/>
          <w:sz w:val="24"/>
          <w:szCs w:val="24"/>
        </w:rPr>
        <w:t>Smart thermostats control heating, ventilation</w:t>
      </w:r>
      <w:r w:rsidR="00322494">
        <w:rPr>
          <w:rFonts w:ascii="Arial" w:hAnsi="Arial" w:cs="Arial"/>
          <w:sz w:val="24"/>
          <w:szCs w:val="24"/>
        </w:rPr>
        <w:t xml:space="preserve">, and air conditioning (“HVAC”); thus, it is clear that the provision relates to customers with HVAC </w:t>
      </w:r>
      <w:r w:rsidR="00F85B5F">
        <w:rPr>
          <w:rFonts w:ascii="Arial" w:hAnsi="Arial" w:cs="Arial"/>
          <w:sz w:val="24"/>
          <w:szCs w:val="24"/>
        </w:rPr>
        <w:lastRenderedPageBreak/>
        <w:t>equipment that utilizes</w:t>
      </w:r>
      <w:r w:rsidR="00322494">
        <w:rPr>
          <w:rFonts w:ascii="Arial" w:hAnsi="Arial" w:cs="Arial"/>
          <w:sz w:val="24"/>
          <w:szCs w:val="24"/>
        </w:rPr>
        <w:t xml:space="preserve"> electricity and natural gas.  Duke’s initially pro</w:t>
      </w:r>
      <w:r w:rsidR="00F85B5F">
        <w:rPr>
          <w:rFonts w:ascii="Arial" w:hAnsi="Arial" w:cs="Arial"/>
          <w:sz w:val="24"/>
          <w:szCs w:val="24"/>
        </w:rPr>
        <w:t>posed thermostat program was available</w:t>
      </w:r>
      <w:r w:rsidR="00322494">
        <w:rPr>
          <w:rFonts w:ascii="Arial" w:hAnsi="Arial" w:cs="Arial"/>
          <w:sz w:val="24"/>
          <w:szCs w:val="24"/>
        </w:rPr>
        <w:t xml:space="preserve"> to customers that install </w:t>
      </w:r>
      <w:r w:rsidR="00322494" w:rsidRPr="00322494">
        <w:rPr>
          <w:rFonts w:ascii="Arial" w:hAnsi="Arial" w:cs="Arial"/>
          <w:i/>
          <w:sz w:val="24"/>
          <w:szCs w:val="24"/>
        </w:rPr>
        <w:t>new</w:t>
      </w:r>
      <w:r w:rsidR="00322494">
        <w:rPr>
          <w:rFonts w:ascii="Arial" w:hAnsi="Arial" w:cs="Arial"/>
          <w:sz w:val="24"/>
          <w:szCs w:val="24"/>
        </w:rPr>
        <w:t xml:space="preserve"> HVAC systems; the amended stipulation does not contain that limitation.</w:t>
      </w:r>
    </w:p>
    <w:p w14:paraId="6F2212F6" w14:textId="686E30B8" w:rsidR="00600003" w:rsidRDefault="009A53A3" w:rsidP="005F419A">
      <w:pPr>
        <w:pStyle w:val="ListParagraph"/>
        <w:numPr>
          <w:ilvl w:val="0"/>
          <w:numId w:val="33"/>
        </w:numPr>
        <w:autoSpaceDE w:val="0"/>
        <w:autoSpaceDN w:val="0"/>
        <w:adjustRightInd w:val="0"/>
        <w:spacing w:after="120" w:line="480" w:lineRule="auto"/>
        <w:jc w:val="both"/>
        <w:rPr>
          <w:rFonts w:ascii="Arial" w:hAnsi="Arial" w:cs="Arial"/>
          <w:i/>
          <w:sz w:val="24"/>
          <w:szCs w:val="24"/>
        </w:rPr>
      </w:pPr>
      <w:r>
        <w:rPr>
          <w:rFonts w:ascii="Arial" w:hAnsi="Arial" w:cs="Arial"/>
          <w:i/>
          <w:sz w:val="24"/>
          <w:szCs w:val="24"/>
        </w:rPr>
        <w:t xml:space="preserve">(d) </w:t>
      </w:r>
      <w:r w:rsidR="00600003" w:rsidRPr="00600003">
        <w:rPr>
          <w:rFonts w:ascii="Arial" w:hAnsi="Arial" w:cs="Arial"/>
          <w:i/>
          <w:sz w:val="24"/>
          <w:szCs w:val="24"/>
        </w:rPr>
        <w:t>the proposed duration of the program;</w:t>
      </w:r>
    </w:p>
    <w:p w14:paraId="61B57334" w14:textId="0EFCFA29" w:rsidR="00600003" w:rsidRPr="006208A1" w:rsidRDefault="00322494" w:rsidP="005F419A">
      <w:pPr>
        <w:pStyle w:val="ListParagraph"/>
        <w:numPr>
          <w:ilvl w:val="1"/>
          <w:numId w:val="33"/>
        </w:numPr>
        <w:autoSpaceDE w:val="0"/>
        <w:autoSpaceDN w:val="0"/>
        <w:adjustRightInd w:val="0"/>
        <w:spacing w:after="120" w:line="480" w:lineRule="auto"/>
        <w:jc w:val="both"/>
        <w:rPr>
          <w:rFonts w:ascii="Arial" w:hAnsi="Arial" w:cs="Arial"/>
          <w:sz w:val="24"/>
          <w:szCs w:val="24"/>
        </w:rPr>
      </w:pPr>
      <w:r>
        <w:rPr>
          <w:rFonts w:ascii="Arial" w:hAnsi="Arial" w:cs="Arial"/>
          <w:sz w:val="24"/>
          <w:szCs w:val="24"/>
        </w:rPr>
        <w:t>“</w:t>
      </w:r>
      <w:r w:rsidR="00C521C0" w:rsidRPr="006208A1">
        <w:rPr>
          <w:rFonts w:ascii="Arial" w:hAnsi="Arial" w:cs="Arial"/>
          <w:sz w:val="24"/>
          <w:szCs w:val="24"/>
        </w:rPr>
        <w:t>Duke Energy Ohio will work to achieve a goal of providing incentives to 25,000 customers by the end of the 2017-2019.”</w:t>
      </w:r>
      <w:r>
        <w:rPr>
          <w:rStyle w:val="FootnoteReference"/>
          <w:rFonts w:ascii="Arial" w:hAnsi="Arial" w:cs="Arial"/>
          <w:sz w:val="24"/>
          <w:szCs w:val="24"/>
        </w:rPr>
        <w:footnoteReference w:id="11"/>
      </w:r>
    </w:p>
    <w:p w14:paraId="093E6A7F" w14:textId="0790EB4B" w:rsidR="00600003" w:rsidRDefault="009A53A3" w:rsidP="005F419A">
      <w:pPr>
        <w:pStyle w:val="ListParagraph"/>
        <w:numPr>
          <w:ilvl w:val="0"/>
          <w:numId w:val="34"/>
        </w:numPr>
        <w:autoSpaceDE w:val="0"/>
        <w:autoSpaceDN w:val="0"/>
        <w:adjustRightInd w:val="0"/>
        <w:spacing w:after="120" w:line="480" w:lineRule="auto"/>
        <w:jc w:val="both"/>
        <w:rPr>
          <w:rFonts w:ascii="Arial" w:hAnsi="Arial" w:cs="Arial"/>
          <w:i/>
          <w:sz w:val="24"/>
          <w:szCs w:val="24"/>
        </w:rPr>
      </w:pPr>
      <w:r>
        <w:rPr>
          <w:rFonts w:ascii="Arial" w:hAnsi="Arial" w:cs="Arial"/>
          <w:i/>
          <w:sz w:val="24"/>
          <w:szCs w:val="24"/>
        </w:rPr>
        <w:t xml:space="preserve">(e) </w:t>
      </w:r>
      <w:r w:rsidR="00600003" w:rsidRPr="00C521C0">
        <w:rPr>
          <w:rFonts w:ascii="Arial" w:hAnsi="Arial" w:cs="Arial"/>
          <w:i/>
          <w:sz w:val="24"/>
          <w:szCs w:val="24"/>
        </w:rPr>
        <w:t>an estimate of the level of program participation;</w:t>
      </w:r>
    </w:p>
    <w:p w14:paraId="0911891B" w14:textId="568F04FA" w:rsidR="00600003" w:rsidRPr="00E0297D" w:rsidRDefault="00F85B5F" w:rsidP="005F419A">
      <w:pPr>
        <w:pStyle w:val="ListParagraph"/>
        <w:numPr>
          <w:ilvl w:val="1"/>
          <w:numId w:val="34"/>
        </w:numPr>
        <w:autoSpaceDE w:val="0"/>
        <w:autoSpaceDN w:val="0"/>
        <w:adjustRightInd w:val="0"/>
        <w:spacing w:after="120" w:line="480" w:lineRule="auto"/>
        <w:jc w:val="both"/>
        <w:rPr>
          <w:rFonts w:ascii="Arial" w:hAnsi="Arial" w:cs="Arial"/>
          <w:sz w:val="24"/>
          <w:szCs w:val="24"/>
        </w:rPr>
      </w:pPr>
      <w:r>
        <w:rPr>
          <w:rFonts w:ascii="Arial" w:hAnsi="Arial" w:cs="Arial"/>
          <w:sz w:val="24"/>
          <w:szCs w:val="24"/>
        </w:rPr>
        <w:t>“</w:t>
      </w:r>
      <w:r w:rsidR="00C521C0" w:rsidRPr="00E0297D">
        <w:rPr>
          <w:rFonts w:ascii="Arial" w:hAnsi="Arial" w:cs="Arial"/>
          <w:sz w:val="24"/>
          <w:szCs w:val="24"/>
        </w:rPr>
        <w:t>Duke Energy Ohio will work to achieve a goal of providing incentives to 25,000 customers by the end of the 2017-2019.”</w:t>
      </w:r>
      <w:r>
        <w:rPr>
          <w:rStyle w:val="FootnoteReference"/>
          <w:rFonts w:ascii="Arial" w:hAnsi="Arial" w:cs="Arial"/>
          <w:sz w:val="24"/>
          <w:szCs w:val="24"/>
        </w:rPr>
        <w:footnoteReference w:id="12"/>
      </w:r>
      <w:r w:rsidR="00E0297D" w:rsidRPr="005F419A">
        <w:rPr>
          <w:rFonts w:ascii="Arial" w:hAnsi="Arial" w:cs="Arial"/>
          <w:i/>
          <w:sz w:val="24"/>
          <w:szCs w:val="24"/>
        </w:rPr>
        <w:t xml:space="preserve"> </w:t>
      </w:r>
    </w:p>
    <w:p w14:paraId="3A8838D1" w14:textId="5D9F3DE3" w:rsidR="00600003" w:rsidRDefault="009A53A3" w:rsidP="005F419A">
      <w:pPr>
        <w:pStyle w:val="ListParagraph"/>
        <w:numPr>
          <w:ilvl w:val="0"/>
          <w:numId w:val="33"/>
        </w:numPr>
        <w:autoSpaceDE w:val="0"/>
        <w:autoSpaceDN w:val="0"/>
        <w:adjustRightInd w:val="0"/>
        <w:spacing w:after="120" w:line="480" w:lineRule="auto"/>
        <w:jc w:val="both"/>
        <w:rPr>
          <w:rFonts w:ascii="Arial" w:hAnsi="Arial" w:cs="Arial"/>
          <w:i/>
          <w:sz w:val="24"/>
          <w:szCs w:val="24"/>
        </w:rPr>
      </w:pPr>
      <w:r>
        <w:rPr>
          <w:rFonts w:ascii="Arial" w:hAnsi="Arial" w:cs="Arial"/>
          <w:i/>
          <w:sz w:val="24"/>
          <w:szCs w:val="24"/>
        </w:rPr>
        <w:t xml:space="preserve">(f) </w:t>
      </w:r>
      <w:r w:rsidR="00600003" w:rsidRPr="00600003">
        <w:rPr>
          <w:rFonts w:ascii="Arial" w:hAnsi="Arial" w:cs="Arial"/>
          <w:i/>
          <w:sz w:val="24"/>
          <w:szCs w:val="24"/>
        </w:rPr>
        <w:t>program participation requirements, if any;</w:t>
      </w:r>
    </w:p>
    <w:p w14:paraId="00C583EA" w14:textId="70B275B6" w:rsidR="00600003" w:rsidRPr="00C521C0" w:rsidRDefault="00322494" w:rsidP="005F419A">
      <w:pPr>
        <w:pStyle w:val="ListParagraph"/>
        <w:numPr>
          <w:ilvl w:val="1"/>
          <w:numId w:val="33"/>
        </w:numPr>
        <w:autoSpaceDE w:val="0"/>
        <w:autoSpaceDN w:val="0"/>
        <w:adjustRightInd w:val="0"/>
        <w:spacing w:after="120" w:line="480" w:lineRule="auto"/>
        <w:jc w:val="both"/>
        <w:rPr>
          <w:rFonts w:ascii="Arial" w:hAnsi="Arial" w:cs="Arial"/>
          <w:i/>
          <w:sz w:val="24"/>
          <w:szCs w:val="24"/>
        </w:rPr>
      </w:pPr>
      <w:r>
        <w:rPr>
          <w:rFonts w:ascii="Arial" w:hAnsi="Arial" w:cs="Arial"/>
          <w:sz w:val="24"/>
          <w:szCs w:val="24"/>
        </w:rPr>
        <w:t>The existence of an HVAC system.  Rebates may not exceed the cost of a thermostat.</w:t>
      </w:r>
      <w:r>
        <w:rPr>
          <w:rStyle w:val="FootnoteReference"/>
          <w:rFonts w:ascii="Arial" w:hAnsi="Arial" w:cs="Arial"/>
          <w:sz w:val="24"/>
          <w:szCs w:val="24"/>
        </w:rPr>
        <w:footnoteReference w:id="13"/>
      </w:r>
    </w:p>
    <w:p w14:paraId="3C4C0AB1" w14:textId="41161CA9" w:rsidR="00600003" w:rsidRDefault="009A53A3" w:rsidP="005F419A">
      <w:pPr>
        <w:pStyle w:val="ListParagraph"/>
        <w:numPr>
          <w:ilvl w:val="0"/>
          <w:numId w:val="33"/>
        </w:numPr>
        <w:autoSpaceDE w:val="0"/>
        <w:autoSpaceDN w:val="0"/>
        <w:adjustRightInd w:val="0"/>
        <w:spacing w:after="120" w:line="480" w:lineRule="auto"/>
        <w:jc w:val="both"/>
        <w:rPr>
          <w:rFonts w:ascii="Arial" w:hAnsi="Arial" w:cs="Arial"/>
          <w:i/>
          <w:sz w:val="24"/>
          <w:szCs w:val="24"/>
        </w:rPr>
      </w:pPr>
      <w:r>
        <w:rPr>
          <w:rFonts w:ascii="Arial" w:hAnsi="Arial" w:cs="Arial"/>
          <w:i/>
          <w:sz w:val="24"/>
          <w:szCs w:val="24"/>
        </w:rPr>
        <w:t xml:space="preserve">(g) </w:t>
      </w:r>
      <w:r w:rsidR="00600003" w:rsidRPr="00600003">
        <w:rPr>
          <w:rFonts w:ascii="Arial" w:hAnsi="Arial" w:cs="Arial"/>
          <w:i/>
          <w:sz w:val="24"/>
          <w:szCs w:val="24"/>
        </w:rPr>
        <w:t>a description of the marketing approach to be employed, including</w:t>
      </w:r>
      <w:r w:rsidR="00600003">
        <w:rPr>
          <w:rFonts w:ascii="Arial" w:hAnsi="Arial" w:cs="Arial"/>
          <w:i/>
          <w:sz w:val="24"/>
          <w:szCs w:val="24"/>
        </w:rPr>
        <w:t xml:space="preserve"> </w:t>
      </w:r>
      <w:r w:rsidR="00600003" w:rsidRPr="00600003">
        <w:rPr>
          <w:rFonts w:ascii="Arial" w:hAnsi="Arial" w:cs="Arial"/>
          <w:i/>
          <w:sz w:val="24"/>
          <w:szCs w:val="24"/>
        </w:rPr>
        <w:t>rebates or incentives offered through each program, and how it is</w:t>
      </w:r>
      <w:r w:rsidR="00600003">
        <w:rPr>
          <w:rFonts w:ascii="Arial" w:hAnsi="Arial" w:cs="Arial"/>
          <w:i/>
          <w:sz w:val="24"/>
          <w:szCs w:val="24"/>
        </w:rPr>
        <w:t xml:space="preserve"> </w:t>
      </w:r>
      <w:r w:rsidR="00600003" w:rsidRPr="00600003">
        <w:rPr>
          <w:rFonts w:ascii="Arial" w:hAnsi="Arial" w:cs="Arial"/>
          <w:i/>
          <w:sz w:val="24"/>
          <w:szCs w:val="24"/>
        </w:rPr>
        <w:t>expected to influence consumer choice or behavior;</w:t>
      </w:r>
    </w:p>
    <w:p w14:paraId="0D0F5384" w14:textId="3762B31E" w:rsidR="00600003" w:rsidRPr="00C521C0" w:rsidRDefault="00C6378A" w:rsidP="005F419A">
      <w:pPr>
        <w:pStyle w:val="ListParagraph"/>
        <w:numPr>
          <w:ilvl w:val="1"/>
          <w:numId w:val="33"/>
        </w:numPr>
        <w:autoSpaceDE w:val="0"/>
        <w:autoSpaceDN w:val="0"/>
        <w:adjustRightInd w:val="0"/>
        <w:spacing w:after="120" w:line="480" w:lineRule="auto"/>
        <w:jc w:val="both"/>
        <w:rPr>
          <w:rFonts w:ascii="Arial" w:hAnsi="Arial" w:cs="Arial"/>
          <w:i/>
          <w:sz w:val="24"/>
          <w:szCs w:val="24"/>
        </w:rPr>
      </w:pPr>
      <w:r>
        <w:rPr>
          <w:rFonts w:ascii="Arial" w:hAnsi="Arial" w:cs="Arial"/>
          <w:sz w:val="24"/>
          <w:szCs w:val="24"/>
        </w:rPr>
        <w:t xml:space="preserve">Providing smart thermostat rebates </w:t>
      </w:r>
      <w:r w:rsidR="00C521C0" w:rsidRPr="00C521C0">
        <w:rPr>
          <w:rFonts w:ascii="Arial" w:hAnsi="Arial" w:cs="Arial"/>
          <w:sz w:val="24"/>
          <w:szCs w:val="24"/>
        </w:rPr>
        <w:t>through retail channels including</w:t>
      </w:r>
      <w:r w:rsidR="00C521C0">
        <w:rPr>
          <w:rFonts w:ascii="Arial" w:hAnsi="Arial" w:cs="Arial"/>
          <w:sz w:val="24"/>
          <w:szCs w:val="24"/>
        </w:rPr>
        <w:t xml:space="preserve"> an “instant discount” as opposed to a traditional rebate form.</w:t>
      </w:r>
      <w:r w:rsidR="00322494">
        <w:rPr>
          <w:rStyle w:val="FootnoteReference"/>
          <w:rFonts w:ascii="Arial" w:hAnsi="Arial" w:cs="Arial"/>
          <w:sz w:val="24"/>
          <w:szCs w:val="24"/>
        </w:rPr>
        <w:footnoteReference w:id="14"/>
      </w:r>
    </w:p>
    <w:p w14:paraId="5538AEF9" w14:textId="08564827" w:rsidR="00600003" w:rsidRDefault="009A53A3" w:rsidP="005F419A">
      <w:pPr>
        <w:pStyle w:val="ListParagraph"/>
        <w:numPr>
          <w:ilvl w:val="0"/>
          <w:numId w:val="33"/>
        </w:numPr>
        <w:autoSpaceDE w:val="0"/>
        <w:autoSpaceDN w:val="0"/>
        <w:adjustRightInd w:val="0"/>
        <w:spacing w:after="120" w:line="480" w:lineRule="auto"/>
        <w:jc w:val="both"/>
        <w:rPr>
          <w:rFonts w:ascii="Arial" w:hAnsi="Arial" w:cs="Arial"/>
          <w:i/>
          <w:sz w:val="24"/>
          <w:szCs w:val="24"/>
        </w:rPr>
      </w:pPr>
      <w:r>
        <w:rPr>
          <w:rFonts w:ascii="Arial" w:hAnsi="Arial" w:cs="Arial"/>
          <w:i/>
          <w:sz w:val="24"/>
          <w:szCs w:val="24"/>
        </w:rPr>
        <w:t xml:space="preserve">(h) </w:t>
      </w:r>
      <w:r w:rsidR="00600003" w:rsidRPr="00600003">
        <w:rPr>
          <w:rFonts w:ascii="Arial" w:hAnsi="Arial" w:cs="Arial"/>
          <w:i/>
          <w:sz w:val="24"/>
          <w:szCs w:val="24"/>
        </w:rPr>
        <w:t>a description of the program implementation approach to be</w:t>
      </w:r>
      <w:r w:rsidR="00600003">
        <w:rPr>
          <w:rFonts w:ascii="Arial" w:hAnsi="Arial" w:cs="Arial"/>
          <w:i/>
          <w:sz w:val="24"/>
          <w:szCs w:val="24"/>
        </w:rPr>
        <w:t xml:space="preserve"> </w:t>
      </w:r>
      <w:r w:rsidR="00600003" w:rsidRPr="00600003">
        <w:rPr>
          <w:rFonts w:ascii="Arial" w:hAnsi="Arial" w:cs="Arial"/>
          <w:i/>
          <w:sz w:val="24"/>
          <w:szCs w:val="24"/>
        </w:rPr>
        <w:t>employed;</w:t>
      </w:r>
    </w:p>
    <w:p w14:paraId="235A2371" w14:textId="6A513129" w:rsidR="00C521C0" w:rsidRDefault="00C521C0" w:rsidP="005F419A">
      <w:pPr>
        <w:pStyle w:val="ListParagraph"/>
        <w:numPr>
          <w:ilvl w:val="1"/>
          <w:numId w:val="33"/>
        </w:numPr>
        <w:autoSpaceDE w:val="0"/>
        <w:autoSpaceDN w:val="0"/>
        <w:adjustRightInd w:val="0"/>
        <w:spacing w:after="120" w:line="480" w:lineRule="auto"/>
        <w:jc w:val="both"/>
        <w:rPr>
          <w:rFonts w:ascii="Arial" w:hAnsi="Arial" w:cs="Arial"/>
          <w:i/>
          <w:sz w:val="24"/>
          <w:szCs w:val="24"/>
        </w:rPr>
      </w:pPr>
      <w:r>
        <w:rPr>
          <w:rFonts w:ascii="Arial" w:hAnsi="Arial" w:cs="Arial"/>
          <w:i/>
          <w:sz w:val="24"/>
          <w:szCs w:val="24"/>
        </w:rPr>
        <w:lastRenderedPageBreak/>
        <w:t>“</w:t>
      </w:r>
      <w:r w:rsidR="00F85B5F">
        <w:rPr>
          <w:rFonts w:ascii="Arial" w:hAnsi="Arial" w:cs="Arial"/>
          <w:sz w:val="24"/>
          <w:szCs w:val="24"/>
        </w:rPr>
        <w:t>T</w:t>
      </w:r>
      <w:r w:rsidRPr="00C521C0">
        <w:rPr>
          <w:rFonts w:ascii="Arial" w:hAnsi="Arial" w:cs="Arial"/>
          <w:sz w:val="24"/>
          <w:szCs w:val="24"/>
        </w:rPr>
        <w:t>he plan may include engaging market partners as well as other local energy suppliers in order to streamline marketing, eligibilit</w:t>
      </w:r>
      <w:r>
        <w:rPr>
          <w:rFonts w:ascii="Arial" w:hAnsi="Arial" w:cs="Arial"/>
          <w:sz w:val="24"/>
          <w:szCs w:val="24"/>
        </w:rPr>
        <w:t>y and application processes</w:t>
      </w:r>
      <w:r w:rsidR="00322494">
        <w:rPr>
          <w:rFonts w:ascii="Arial" w:hAnsi="Arial" w:cs="Arial"/>
          <w:sz w:val="24"/>
          <w:szCs w:val="24"/>
        </w:rPr>
        <w:t>.</w:t>
      </w:r>
      <w:r>
        <w:rPr>
          <w:rFonts w:ascii="Arial" w:hAnsi="Arial" w:cs="Arial"/>
          <w:sz w:val="24"/>
          <w:szCs w:val="24"/>
        </w:rPr>
        <w:t>”</w:t>
      </w:r>
      <w:r w:rsidR="00322494">
        <w:rPr>
          <w:rStyle w:val="FootnoteReference"/>
          <w:rFonts w:ascii="Arial" w:hAnsi="Arial" w:cs="Arial"/>
          <w:sz w:val="24"/>
          <w:szCs w:val="24"/>
        </w:rPr>
        <w:footnoteReference w:id="15"/>
      </w:r>
    </w:p>
    <w:p w14:paraId="776E3495" w14:textId="711AC1F4" w:rsidR="00C521C0" w:rsidRDefault="009A53A3" w:rsidP="005F419A">
      <w:pPr>
        <w:pStyle w:val="ListParagraph"/>
        <w:numPr>
          <w:ilvl w:val="0"/>
          <w:numId w:val="33"/>
        </w:numPr>
        <w:autoSpaceDE w:val="0"/>
        <w:autoSpaceDN w:val="0"/>
        <w:adjustRightInd w:val="0"/>
        <w:spacing w:after="120" w:line="480" w:lineRule="auto"/>
        <w:jc w:val="both"/>
        <w:rPr>
          <w:rFonts w:ascii="Arial" w:hAnsi="Arial" w:cs="Arial"/>
          <w:i/>
          <w:sz w:val="24"/>
          <w:szCs w:val="24"/>
        </w:rPr>
      </w:pPr>
      <w:r>
        <w:rPr>
          <w:rFonts w:ascii="Arial" w:hAnsi="Arial" w:cs="Arial"/>
          <w:i/>
          <w:sz w:val="24"/>
          <w:szCs w:val="24"/>
        </w:rPr>
        <w:t xml:space="preserve">(i) </w:t>
      </w:r>
      <w:r w:rsidR="00600003" w:rsidRPr="00600003">
        <w:rPr>
          <w:rFonts w:ascii="Arial" w:hAnsi="Arial" w:cs="Arial"/>
          <w:i/>
          <w:sz w:val="24"/>
          <w:szCs w:val="24"/>
        </w:rPr>
        <w:t>a program budget with</w:t>
      </w:r>
      <w:r w:rsidR="00600003">
        <w:rPr>
          <w:rFonts w:ascii="Arial" w:hAnsi="Arial" w:cs="Arial"/>
          <w:i/>
          <w:sz w:val="24"/>
          <w:szCs w:val="24"/>
        </w:rPr>
        <w:t xml:space="preserve"> projected expenditures, identify</w:t>
      </w:r>
      <w:r w:rsidR="00600003" w:rsidRPr="00600003">
        <w:rPr>
          <w:rFonts w:ascii="Arial" w:hAnsi="Arial" w:cs="Arial"/>
          <w:i/>
          <w:sz w:val="24"/>
          <w:szCs w:val="24"/>
        </w:rPr>
        <w:t>ing program</w:t>
      </w:r>
      <w:r w:rsidR="00600003">
        <w:rPr>
          <w:rFonts w:ascii="Arial" w:hAnsi="Arial" w:cs="Arial"/>
          <w:i/>
          <w:sz w:val="24"/>
          <w:szCs w:val="24"/>
        </w:rPr>
        <w:t xml:space="preserve"> </w:t>
      </w:r>
      <w:r w:rsidR="00600003" w:rsidRPr="00600003">
        <w:rPr>
          <w:rFonts w:ascii="Arial" w:hAnsi="Arial" w:cs="Arial"/>
          <w:i/>
          <w:sz w:val="24"/>
          <w:szCs w:val="24"/>
        </w:rPr>
        <w:t>costs to be borne by the electric utility and collected from its</w:t>
      </w:r>
      <w:r w:rsidR="00600003">
        <w:rPr>
          <w:rFonts w:ascii="Arial" w:hAnsi="Arial" w:cs="Arial"/>
          <w:i/>
          <w:sz w:val="24"/>
          <w:szCs w:val="24"/>
        </w:rPr>
        <w:t xml:space="preserve"> </w:t>
      </w:r>
      <w:r w:rsidR="00600003" w:rsidRPr="00600003">
        <w:rPr>
          <w:rFonts w:ascii="Arial" w:hAnsi="Arial" w:cs="Arial"/>
          <w:i/>
          <w:sz w:val="24"/>
          <w:szCs w:val="24"/>
        </w:rPr>
        <w:t>customers, with customer class allocation, if appropriate;</w:t>
      </w:r>
    </w:p>
    <w:p w14:paraId="772AD342" w14:textId="318461D8" w:rsidR="00C521C0" w:rsidRDefault="009A53A3" w:rsidP="005F419A">
      <w:pPr>
        <w:pStyle w:val="ListParagraph"/>
        <w:numPr>
          <w:ilvl w:val="1"/>
          <w:numId w:val="33"/>
        </w:numPr>
        <w:autoSpaceDE w:val="0"/>
        <w:autoSpaceDN w:val="0"/>
        <w:adjustRightInd w:val="0"/>
        <w:spacing w:after="120" w:line="480" w:lineRule="auto"/>
        <w:jc w:val="both"/>
        <w:rPr>
          <w:rFonts w:ascii="Arial" w:hAnsi="Arial" w:cs="Arial"/>
          <w:i/>
          <w:sz w:val="24"/>
          <w:szCs w:val="24"/>
        </w:rPr>
      </w:pPr>
      <w:r>
        <w:rPr>
          <w:rFonts w:ascii="Arial" w:hAnsi="Arial" w:cs="Arial"/>
          <w:sz w:val="24"/>
          <w:szCs w:val="24"/>
        </w:rPr>
        <w:t>While there is not an absolutely specific budget authorized, g</w:t>
      </w:r>
      <w:r w:rsidR="00C521C0">
        <w:rPr>
          <w:rFonts w:ascii="Arial" w:hAnsi="Arial" w:cs="Arial"/>
          <w:sz w:val="24"/>
          <w:szCs w:val="24"/>
        </w:rPr>
        <w:t>iven a target of 25,000 thermostats and a target incentive of $100, the three-year program budget would be in the range of $2,500,000.</w:t>
      </w:r>
      <w:r w:rsidR="00322494">
        <w:rPr>
          <w:rStyle w:val="FootnoteReference"/>
          <w:rFonts w:ascii="Arial" w:hAnsi="Arial" w:cs="Arial"/>
          <w:sz w:val="24"/>
          <w:szCs w:val="24"/>
        </w:rPr>
        <w:footnoteReference w:id="16"/>
      </w:r>
      <w:r w:rsidR="00C521C0">
        <w:rPr>
          <w:rFonts w:ascii="Arial" w:hAnsi="Arial" w:cs="Arial"/>
          <w:sz w:val="24"/>
          <w:szCs w:val="24"/>
        </w:rPr>
        <w:t xml:space="preserve">  This budget would potentially be higher or lower depending on the cost-effectiveness of the evaluation Duke submits on April 15, 2017.</w:t>
      </w:r>
    </w:p>
    <w:p w14:paraId="3B2FDF20" w14:textId="35BFAC18" w:rsidR="00600003" w:rsidRDefault="00600003" w:rsidP="005F419A">
      <w:pPr>
        <w:pStyle w:val="ListParagraph"/>
        <w:numPr>
          <w:ilvl w:val="0"/>
          <w:numId w:val="33"/>
        </w:numPr>
        <w:autoSpaceDE w:val="0"/>
        <w:autoSpaceDN w:val="0"/>
        <w:adjustRightInd w:val="0"/>
        <w:spacing w:after="120" w:line="480" w:lineRule="auto"/>
        <w:jc w:val="both"/>
        <w:rPr>
          <w:rFonts w:ascii="Arial" w:hAnsi="Arial" w:cs="Arial"/>
          <w:i/>
          <w:sz w:val="24"/>
          <w:szCs w:val="24"/>
        </w:rPr>
      </w:pPr>
      <w:r>
        <w:rPr>
          <w:rFonts w:ascii="Arial" w:hAnsi="Arial" w:cs="Arial"/>
          <w:i/>
          <w:sz w:val="24"/>
          <w:szCs w:val="24"/>
        </w:rPr>
        <w:t xml:space="preserve"> </w:t>
      </w:r>
      <w:r w:rsidR="009A53A3">
        <w:rPr>
          <w:rFonts w:ascii="Arial" w:hAnsi="Arial" w:cs="Arial"/>
          <w:i/>
          <w:sz w:val="24"/>
          <w:szCs w:val="24"/>
        </w:rPr>
        <w:t xml:space="preserve">(j) </w:t>
      </w:r>
      <w:r w:rsidRPr="00600003">
        <w:rPr>
          <w:rFonts w:ascii="Arial" w:hAnsi="Arial" w:cs="Arial"/>
          <w:i/>
          <w:sz w:val="24"/>
          <w:szCs w:val="24"/>
        </w:rPr>
        <w:t>participant costs, if any;</w:t>
      </w:r>
    </w:p>
    <w:p w14:paraId="3B476363" w14:textId="3A80BC8E" w:rsidR="00C521C0" w:rsidRPr="00600003" w:rsidRDefault="00C521C0" w:rsidP="005F419A">
      <w:pPr>
        <w:pStyle w:val="ListParagraph"/>
        <w:numPr>
          <w:ilvl w:val="1"/>
          <w:numId w:val="33"/>
        </w:numPr>
        <w:autoSpaceDE w:val="0"/>
        <w:autoSpaceDN w:val="0"/>
        <w:adjustRightInd w:val="0"/>
        <w:spacing w:after="120" w:line="480" w:lineRule="auto"/>
        <w:jc w:val="both"/>
        <w:rPr>
          <w:rFonts w:ascii="Arial" w:hAnsi="Arial" w:cs="Arial"/>
          <w:i/>
          <w:sz w:val="24"/>
          <w:szCs w:val="24"/>
        </w:rPr>
      </w:pPr>
      <w:r>
        <w:rPr>
          <w:rFonts w:ascii="Arial" w:hAnsi="Arial" w:cs="Arial"/>
          <w:sz w:val="24"/>
          <w:szCs w:val="24"/>
        </w:rPr>
        <w:t>Any portion of a thermostat not funded by an</w:t>
      </w:r>
      <w:r w:rsidR="00F85B5F">
        <w:rPr>
          <w:rFonts w:ascii="Arial" w:hAnsi="Arial" w:cs="Arial"/>
          <w:sz w:val="24"/>
          <w:szCs w:val="24"/>
        </w:rPr>
        <w:t xml:space="preserve"> incentive provided by a CRES </w:t>
      </w:r>
      <w:r>
        <w:rPr>
          <w:rFonts w:ascii="Arial" w:hAnsi="Arial" w:cs="Arial"/>
          <w:sz w:val="24"/>
          <w:szCs w:val="24"/>
        </w:rPr>
        <w:t>provider</w:t>
      </w:r>
      <w:r w:rsidR="00F85B5F">
        <w:rPr>
          <w:rFonts w:ascii="Arial" w:hAnsi="Arial" w:cs="Arial"/>
          <w:sz w:val="24"/>
          <w:szCs w:val="24"/>
        </w:rPr>
        <w:t>, retailer, or Duke’s P</w:t>
      </w:r>
      <w:r>
        <w:rPr>
          <w:rFonts w:ascii="Arial" w:hAnsi="Arial" w:cs="Arial"/>
          <w:sz w:val="24"/>
          <w:szCs w:val="24"/>
        </w:rPr>
        <w:t>ortfolio</w:t>
      </w:r>
      <w:r w:rsidR="00F85B5F">
        <w:rPr>
          <w:rFonts w:ascii="Arial" w:hAnsi="Arial" w:cs="Arial"/>
          <w:sz w:val="24"/>
          <w:szCs w:val="24"/>
        </w:rPr>
        <w:t xml:space="preserve"> P</w:t>
      </w:r>
      <w:r>
        <w:rPr>
          <w:rFonts w:ascii="Arial" w:hAnsi="Arial" w:cs="Arial"/>
          <w:sz w:val="24"/>
          <w:szCs w:val="24"/>
        </w:rPr>
        <w:t>lan.</w:t>
      </w:r>
    </w:p>
    <w:p w14:paraId="70AD3A91" w14:textId="67291C28" w:rsidR="00600003" w:rsidRDefault="009A53A3" w:rsidP="005F419A">
      <w:pPr>
        <w:pStyle w:val="ListParagraph"/>
        <w:numPr>
          <w:ilvl w:val="0"/>
          <w:numId w:val="33"/>
        </w:numPr>
        <w:autoSpaceDE w:val="0"/>
        <w:autoSpaceDN w:val="0"/>
        <w:adjustRightInd w:val="0"/>
        <w:spacing w:after="120" w:line="480" w:lineRule="auto"/>
        <w:jc w:val="both"/>
        <w:rPr>
          <w:rFonts w:ascii="Arial" w:hAnsi="Arial" w:cs="Arial"/>
          <w:i/>
          <w:sz w:val="24"/>
          <w:szCs w:val="24"/>
        </w:rPr>
      </w:pPr>
      <w:r>
        <w:rPr>
          <w:rFonts w:ascii="Arial" w:hAnsi="Arial" w:cs="Arial"/>
          <w:i/>
          <w:sz w:val="24"/>
          <w:szCs w:val="24"/>
        </w:rPr>
        <w:t xml:space="preserve">(k) </w:t>
      </w:r>
      <w:r w:rsidR="00600003" w:rsidRPr="00600003">
        <w:rPr>
          <w:rFonts w:ascii="Arial" w:hAnsi="Arial" w:cs="Arial"/>
          <w:i/>
          <w:sz w:val="24"/>
          <w:szCs w:val="24"/>
        </w:rPr>
        <w:t>proposed market transformation activities, if any, which have been</w:t>
      </w:r>
      <w:r w:rsidR="00C521C0">
        <w:rPr>
          <w:rFonts w:ascii="Arial" w:hAnsi="Arial" w:cs="Arial"/>
          <w:i/>
          <w:sz w:val="24"/>
          <w:szCs w:val="24"/>
        </w:rPr>
        <w:t xml:space="preserve"> </w:t>
      </w:r>
      <w:r w:rsidR="00600003" w:rsidRPr="00C521C0">
        <w:rPr>
          <w:rFonts w:ascii="Arial" w:hAnsi="Arial" w:cs="Arial"/>
          <w:i/>
          <w:sz w:val="24"/>
          <w:szCs w:val="24"/>
        </w:rPr>
        <w:t>identified and proposed to be included in the program portfolio</w:t>
      </w:r>
      <w:r w:rsidR="00C521C0">
        <w:rPr>
          <w:rFonts w:ascii="Arial" w:hAnsi="Arial" w:cs="Arial"/>
          <w:i/>
          <w:sz w:val="24"/>
          <w:szCs w:val="24"/>
        </w:rPr>
        <w:t xml:space="preserve"> </w:t>
      </w:r>
      <w:r w:rsidR="00600003" w:rsidRPr="00C521C0">
        <w:rPr>
          <w:rFonts w:ascii="Arial" w:hAnsi="Arial" w:cs="Arial"/>
          <w:i/>
          <w:sz w:val="24"/>
          <w:szCs w:val="24"/>
        </w:rPr>
        <w:t>plan; and</w:t>
      </w:r>
    </w:p>
    <w:p w14:paraId="32C63242" w14:textId="6A621473" w:rsidR="00C521C0" w:rsidRPr="00C521C0" w:rsidRDefault="003B24E9" w:rsidP="005F419A">
      <w:pPr>
        <w:pStyle w:val="ListParagraph"/>
        <w:numPr>
          <w:ilvl w:val="1"/>
          <w:numId w:val="33"/>
        </w:numPr>
        <w:autoSpaceDE w:val="0"/>
        <w:autoSpaceDN w:val="0"/>
        <w:adjustRightInd w:val="0"/>
        <w:spacing w:after="120" w:line="480" w:lineRule="auto"/>
        <w:jc w:val="both"/>
        <w:rPr>
          <w:rFonts w:ascii="Arial" w:hAnsi="Arial" w:cs="Arial"/>
          <w:i/>
          <w:sz w:val="24"/>
          <w:szCs w:val="24"/>
        </w:rPr>
      </w:pPr>
      <w:r>
        <w:rPr>
          <w:rFonts w:ascii="Arial" w:hAnsi="Arial" w:cs="Arial"/>
          <w:sz w:val="24"/>
          <w:szCs w:val="24"/>
        </w:rPr>
        <w:t>“</w:t>
      </w:r>
      <w:r w:rsidRPr="003B24E9">
        <w:rPr>
          <w:rFonts w:ascii="Arial" w:hAnsi="Arial" w:cs="Arial"/>
          <w:sz w:val="24"/>
          <w:szCs w:val="24"/>
        </w:rPr>
        <w:t xml:space="preserve">Developing and sharing with the Duke Energy Ohio Collaborative a marketing plan to promote the benefits of smart thermostats and educate customers to their benefits; the plan may include engaging market partners </w:t>
      </w:r>
      <w:r w:rsidRPr="003B24E9">
        <w:rPr>
          <w:rFonts w:ascii="Arial" w:hAnsi="Arial" w:cs="Arial"/>
          <w:sz w:val="24"/>
          <w:szCs w:val="24"/>
        </w:rPr>
        <w:lastRenderedPageBreak/>
        <w:t>as well as other local energy suppliers in order to streamline marketing, eligibility and application processes</w:t>
      </w:r>
      <w:r w:rsidR="000F1A77">
        <w:rPr>
          <w:rFonts w:ascii="Arial" w:hAnsi="Arial" w:cs="Arial"/>
          <w:sz w:val="24"/>
          <w:szCs w:val="24"/>
        </w:rPr>
        <w:t>.</w:t>
      </w:r>
      <w:r w:rsidRPr="003B24E9">
        <w:rPr>
          <w:rFonts w:ascii="Arial" w:hAnsi="Arial" w:cs="Arial"/>
          <w:sz w:val="24"/>
          <w:szCs w:val="24"/>
        </w:rPr>
        <w:t>”</w:t>
      </w:r>
      <w:r w:rsidR="000F1A77">
        <w:rPr>
          <w:rStyle w:val="FootnoteReference"/>
          <w:rFonts w:ascii="Arial" w:hAnsi="Arial" w:cs="Arial"/>
          <w:sz w:val="24"/>
          <w:szCs w:val="24"/>
        </w:rPr>
        <w:footnoteReference w:id="17"/>
      </w:r>
    </w:p>
    <w:p w14:paraId="3D18FD35" w14:textId="7FB63FF7" w:rsidR="003B24E9" w:rsidRDefault="009A53A3" w:rsidP="005F419A">
      <w:pPr>
        <w:pStyle w:val="ListParagraph"/>
        <w:numPr>
          <w:ilvl w:val="0"/>
          <w:numId w:val="33"/>
        </w:numPr>
        <w:autoSpaceDE w:val="0"/>
        <w:autoSpaceDN w:val="0"/>
        <w:adjustRightInd w:val="0"/>
        <w:spacing w:after="120" w:line="480" w:lineRule="auto"/>
        <w:jc w:val="both"/>
        <w:rPr>
          <w:rFonts w:ascii="Arial" w:hAnsi="Arial" w:cs="Arial"/>
          <w:i/>
          <w:sz w:val="24"/>
          <w:szCs w:val="24"/>
        </w:rPr>
      </w:pPr>
      <w:r>
        <w:rPr>
          <w:rFonts w:ascii="Arial" w:hAnsi="Arial" w:cs="Arial"/>
          <w:i/>
          <w:sz w:val="24"/>
          <w:szCs w:val="24"/>
        </w:rPr>
        <w:t xml:space="preserve">(l) </w:t>
      </w:r>
      <w:r w:rsidR="00600003" w:rsidRPr="00600003">
        <w:rPr>
          <w:rFonts w:ascii="Arial" w:hAnsi="Arial" w:cs="Arial"/>
          <w:i/>
          <w:sz w:val="24"/>
          <w:szCs w:val="24"/>
        </w:rPr>
        <w:t>a description of the plan for preparing reports that document the</w:t>
      </w:r>
      <w:r w:rsidR="00C521C0">
        <w:rPr>
          <w:rFonts w:ascii="Arial" w:hAnsi="Arial" w:cs="Arial"/>
          <w:i/>
          <w:sz w:val="24"/>
          <w:szCs w:val="24"/>
        </w:rPr>
        <w:t xml:space="preserve"> </w:t>
      </w:r>
      <w:r w:rsidR="00600003" w:rsidRPr="00C521C0">
        <w:rPr>
          <w:rFonts w:ascii="Arial" w:hAnsi="Arial" w:cs="Arial"/>
          <w:i/>
          <w:sz w:val="24"/>
          <w:szCs w:val="24"/>
        </w:rPr>
        <w:t>electric utility's evaluation, measurement, and verification of the</w:t>
      </w:r>
      <w:r w:rsidR="00C521C0">
        <w:rPr>
          <w:rFonts w:ascii="Arial" w:hAnsi="Arial" w:cs="Arial"/>
          <w:i/>
          <w:sz w:val="24"/>
          <w:szCs w:val="24"/>
        </w:rPr>
        <w:t xml:space="preserve"> </w:t>
      </w:r>
      <w:r w:rsidR="00600003" w:rsidRPr="00C521C0">
        <w:rPr>
          <w:rFonts w:ascii="Arial" w:hAnsi="Arial" w:cs="Arial"/>
          <w:i/>
          <w:sz w:val="24"/>
          <w:szCs w:val="24"/>
        </w:rPr>
        <w:t>energy savings and/or peak demand reduction resulting from each</w:t>
      </w:r>
      <w:r w:rsidR="00C521C0">
        <w:rPr>
          <w:rFonts w:ascii="Arial" w:hAnsi="Arial" w:cs="Arial"/>
          <w:i/>
          <w:sz w:val="24"/>
          <w:szCs w:val="24"/>
        </w:rPr>
        <w:t xml:space="preserve"> </w:t>
      </w:r>
      <w:r w:rsidR="00600003" w:rsidRPr="00C521C0">
        <w:rPr>
          <w:rFonts w:ascii="Arial" w:hAnsi="Arial" w:cs="Arial"/>
          <w:i/>
          <w:sz w:val="24"/>
          <w:szCs w:val="24"/>
        </w:rPr>
        <w:t>program</w:t>
      </w:r>
    </w:p>
    <w:p w14:paraId="09C9B34A" w14:textId="1095DFEB" w:rsidR="00E0297D" w:rsidRPr="006208A1" w:rsidRDefault="000F1A77" w:rsidP="005F419A">
      <w:pPr>
        <w:pStyle w:val="ListParagraph"/>
        <w:numPr>
          <w:ilvl w:val="1"/>
          <w:numId w:val="33"/>
        </w:numPr>
        <w:autoSpaceDE w:val="0"/>
        <w:autoSpaceDN w:val="0"/>
        <w:adjustRightInd w:val="0"/>
        <w:spacing w:after="120" w:line="480" w:lineRule="auto"/>
        <w:jc w:val="both"/>
        <w:rPr>
          <w:rFonts w:ascii="Arial" w:hAnsi="Arial" w:cs="Arial"/>
          <w:sz w:val="24"/>
          <w:szCs w:val="24"/>
        </w:rPr>
      </w:pPr>
      <w:r>
        <w:rPr>
          <w:rFonts w:ascii="Arial" w:hAnsi="Arial" w:cs="Arial"/>
          <w:i/>
          <w:sz w:val="24"/>
          <w:szCs w:val="24"/>
        </w:rPr>
        <w:t xml:space="preserve">See </w:t>
      </w:r>
      <w:r w:rsidR="00E0297D" w:rsidRPr="006208A1">
        <w:rPr>
          <w:rFonts w:ascii="Arial" w:hAnsi="Arial" w:cs="Arial"/>
          <w:sz w:val="24"/>
          <w:szCs w:val="24"/>
        </w:rPr>
        <w:t xml:space="preserve">Duke Ex. </w:t>
      </w:r>
      <w:r>
        <w:rPr>
          <w:rFonts w:ascii="Arial" w:hAnsi="Arial" w:cs="Arial"/>
          <w:sz w:val="24"/>
          <w:szCs w:val="24"/>
        </w:rPr>
        <w:t>1 at 18 and Duke Ex. 5 at TAH1</w:t>
      </w:r>
      <w:r w:rsidR="00E0297D" w:rsidRPr="006208A1">
        <w:rPr>
          <w:rFonts w:ascii="Arial" w:hAnsi="Arial" w:cs="Arial"/>
          <w:sz w:val="24"/>
          <w:szCs w:val="24"/>
        </w:rPr>
        <w:t>.</w:t>
      </w:r>
    </w:p>
    <w:p w14:paraId="448B0C40" w14:textId="77777777" w:rsidR="003B24E9" w:rsidRDefault="003B24E9" w:rsidP="005F419A">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 xml:space="preserve">Thus, the proposed smart thermostat program is sufficiently detailed to comply with the Commission’s rules. </w:t>
      </w:r>
    </w:p>
    <w:p w14:paraId="4A75E9C6" w14:textId="4548C045" w:rsidR="00E0297D" w:rsidRDefault="003B24E9" w:rsidP="005F419A">
      <w:pPr>
        <w:spacing w:line="480" w:lineRule="auto"/>
        <w:ind w:firstLine="720"/>
        <w:jc w:val="both"/>
        <w:rPr>
          <w:rFonts w:ascii="Arial" w:hAnsi="Arial" w:cs="Arial"/>
          <w:sz w:val="24"/>
          <w:szCs w:val="24"/>
        </w:rPr>
      </w:pPr>
      <w:r>
        <w:rPr>
          <w:rFonts w:ascii="Arial" w:hAnsi="Arial" w:cs="Arial"/>
          <w:sz w:val="24"/>
          <w:szCs w:val="24"/>
        </w:rPr>
        <w:t>Moreover, any uncertainty regarding the proposed smart thermostat</w:t>
      </w:r>
      <w:r w:rsidR="00F10CFE">
        <w:rPr>
          <w:rFonts w:ascii="Arial" w:hAnsi="Arial" w:cs="Arial"/>
          <w:sz w:val="24"/>
          <w:szCs w:val="24"/>
        </w:rPr>
        <w:t xml:space="preserve"> program is </w:t>
      </w:r>
      <w:r>
        <w:rPr>
          <w:rFonts w:ascii="Arial" w:hAnsi="Arial" w:cs="Arial"/>
          <w:sz w:val="24"/>
          <w:szCs w:val="24"/>
        </w:rPr>
        <w:t>mitigated by the fact</w:t>
      </w:r>
      <w:r w:rsidR="00C6378A">
        <w:rPr>
          <w:rFonts w:ascii="Arial" w:hAnsi="Arial" w:cs="Arial"/>
          <w:sz w:val="24"/>
          <w:szCs w:val="24"/>
        </w:rPr>
        <w:t xml:space="preserve"> that Duke has committed to</w:t>
      </w:r>
      <w:r>
        <w:rPr>
          <w:rFonts w:ascii="Arial" w:hAnsi="Arial" w:cs="Arial"/>
          <w:sz w:val="24"/>
          <w:szCs w:val="24"/>
        </w:rPr>
        <w:t xml:space="preserve"> implement the program </w:t>
      </w:r>
      <w:r w:rsidR="00C6378A">
        <w:rPr>
          <w:rFonts w:ascii="Arial" w:hAnsi="Arial" w:cs="Arial"/>
          <w:sz w:val="24"/>
          <w:szCs w:val="24"/>
        </w:rPr>
        <w:t xml:space="preserve">only </w:t>
      </w:r>
      <w:r>
        <w:rPr>
          <w:rFonts w:ascii="Arial" w:hAnsi="Arial" w:cs="Arial"/>
          <w:sz w:val="24"/>
          <w:szCs w:val="24"/>
        </w:rPr>
        <w:t>to the extent that it is cost-effective</w:t>
      </w:r>
      <w:r w:rsidR="00F10CFE">
        <w:rPr>
          <w:rFonts w:ascii="Arial" w:hAnsi="Arial" w:cs="Arial"/>
          <w:sz w:val="24"/>
          <w:szCs w:val="24"/>
        </w:rPr>
        <w:t xml:space="preserve"> as a standalone program</w:t>
      </w:r>
      <w:r>
        <w:rPr>
          <w:rFonts w:ascii="Arial" w:hAnsi="Arial" w:cs="Arial"/>
          <w:sz w:val="24"/>
          <w:szCs w:val="24"/>
        </w:rPr>
        <w:t>.</w:t>
      </w:r>
      <w:r w:rsidR="005F419A">
        <w:rPr>
          <w:rFonts w:ascii="Arial" w:hAnsi="Arial" w:cs="Arial"/>
          <w:sz w:val="24"/>
          <w:szCs w:val="24"/>
        </w:rPr>
        <w:t xml:space="preserve">  This commitment is stricter than</w:t>
      </w:r>
      <w:r w:rsidR="00F10CFE">
        <w:rPr>
          <w:rFonts w:ascii="Arial" w:hAnsi="Arial" w:cs="Arial"/>
          <w:sz w:val="24"/>
          <w:szCs w:val="24"/>
        </w:rPr>
        <w:t xml:space="preserve"> the Commission’s rules require.</w:t>
      </w:r>
      <w:r>
        <w:rPr>
          <w:rFonts w:ascii="Arial" w:hAnsi="Arial" w:cs="Arial"/>
          <w:sz w:val="24"/>
          <w:szCs w:val="24"/>
        </w:rPr>
        <w:t xml:space="preserve">  </w:t>
      </w:r>
      <w:r w:rsidR="00F10CFE">
        <w:rPr>
          <w:rFonts w:ascii="Arial" w:hAnsi="Arial" w:cs="Arial"/>
          <w:sz w:val="24"/>
          <w:szCs w:val="24"/>
        </w:rPr>
        <w:t xml:space="preserve">Under </w:t>
      </w:r>
      <w:r w:rsidR="00C6378A">
        <w:rPr>
          <w:rFonts w:ascii="Arial" w:hAnsi="Arial" w:cs="Arial"/>
          <w:sz w:val="24"/>
          <w:szCs w:val="24"/>
        </w:rPr>
        <w:t xml:space="preserve">OAC </w:t>
      </w:r>
      <w:r w:rsidR="00F10CFE">
        <w:rPr>
          <w:rFonts w:ascii="Arial" w:hAnsi="Arial" w:cs="Arial"/>
          <w:sz w:val="24"/>
          <w:szCs w:val="24"/>
        </w:rPr>
        <w:t>4901:1-39-04, Duke</w:t>
      </w:r>
      <w:r w:rsidR="00E0297D">
        <w:rPr>
          <w:rFonts w:ascii="Arial" w:hAnsi="Arial" w:cs="Arial"/>
          <w:sz w:val="24"/>
          <w:szCs w:val="24"/>
        </w:rPr>
        <w:t xml:space="preserve"> is required to </w:t>
      </w:r>
      <w:r w:rsidR="00E0297D">
        <w:rPr>
          <w:rFonts w:ascii="Arial" w:hAnsi="Arial" w:cs="Arial"/>
          <w:color w:val="000000"/>
          <w:sz w:val="24"/>
          <w:szCs w:val="24"/>
          <w:shd w:val="clear" w:color="auto" w:fill="FFFFFF"/>
        </w:rPr>
        <w:t>“</w:t>
      </w:r>
      <w:r w:rsidR="00E0297D" w:rsidRPr="000D4424">
        <w:rPr>
          <w:rFonts w:ascii="Arial" w:hAnsi="Arial" w:cs="Arial"/>
          <w:color w:val="000000"/>
          <w:sz w:val="24"/>
          <w:szCs w:val="24"/>
          <w:shd w:val="clear" w:color="auto" w:fill="FFFFFF"/>
        </w:rPr>
        <w:t xml:space="preserve">demonstrate that its program portfolio plan is </w:t>
      </w:r>
      <w:r w:rsidR="00E0297D" w:rsidRPr="00A12177">
        <w:rPr>
          <w:rFonts w:ascii="Arial" w:hAnsi="Arial" w:cs="Arial"/>
          <w:color w:val="000000"/>
          <w:sz w:val="24"/>
          <w:szCs w:val="24"/>
          <w:shd w:val="clear" w:color="auto" w:fill="FFFFFF"/>
        </w:rPr>
        <w:t xml:space="preserve">cost-effective </w:t>
      </w:r>
      <w:r w:rsidR="00E0297D" w:rsidRPr="00A12177">
        <w:rPr>
          <w:rFonts w:ascii="Arial" w:hAnsi="Arial" w:cs="Arial"/>
          <w:i/>
          <w:color w:val="000000"/>
          <w:sz w:val="24"/>
          <w:szCs w:val="24"/>
          <w:shd w:val="clear" w:color="auto" w:fill="FFFFFF"/>
        </w:rPr>
        <w:t>on a portfolio basis</w:t>
      </w:r>
      <w:r w:rsidR="00E0297D" w:rsidRPr="00A12177">
        <w:rPr>
          <w:rFonts w:ascii="Arial" w:hAnsi="Arial" w:cs="Arial"/>
          <w:color w:val="000000"/>
          <w:sz w:val="24"/>
          <w:szCs w:val="24"/>
          <w:shd w:val="clear" w:color="auto" w:fill="FFFFFF"/>
        </w:rPr>
        <w:t>.” (emphasis added).   While programs within the portfolio plan must also be cost effective, “each measure within a program need not be cost-effective.”</w:t>
      </w:r>
      <w:r w:rsidR="00E0297D">
        <w:rPr>
          <w:rStyle w:val="FootnoteReference"/>
          <w:rFonts w:ascii="Arial" w:hAnsi="Arial" w:cs="Arial"/>
          <w:color w:val="000000"/>
          <w:sz w:val="24"/>
          <w:szCs w:val="24"/>
          <w:shd w:val="clear" w:color="auto" w:fill="FFFFFF"/>
        </w:rPr>
        <w:footnoteReference w:id="18"/>
      </w:r>
      <w:r w:rsidR="00E0297D" w:rsidRPr="00A12177">
        <w:rPr>
          <w:rStyle w:val="apple-converted-space"/>
          <w:rFonts w:ascii="Arial" w:hAnsi="Arial" w:cs="Arial"/>
          <w:color w:val="000000"/>
          <w:sz w:val="24"/>
          <w:szCs w:val="24"/>
          <w:shd w:val="clear" w:color="auto" w:fill="FFFFFF"/>
        </w:rPr>
        <w:t> </w:t>
      </w:r>
      <w:r w:rsidR="00E0297D" w:rsidRPr="00A12177">
        <w:rPr>
          <w:rFonts w:ascii="Arial" w:hAnsi="Arial" w:cs="Arial"/>
          <w:sz w:val="24"/>
          <w:szCs w:val="24"/>
        </w:rPr>
        <w:t xml:space="preserve"> Moreover, “an electric utility may include a program within its program portfolio plan that is not cost-effective when that program provides substantial nonenergy benefits.</w:t>
      </w:r>
      <w:r w:rsidR="00E0297D">
        <w:rPr>
          <w:rFonts w:ascii="Arial" w:hAnsi="Arial" w:cs="Arial"/>
          <w:sz w:val="24"/>
          <w:szCs w:val="24"/>
        </w:rPr>
        <w:t>”</w:t>
      </w:r>
      <w:r w:rsidR="00E0297D">
        <w:rPr>
          <w:rStyle w:val="FootnoteReference"/>
          <w:rFonts w:ascii="Arial" w:hAnsi="Arial" w:cs="Arial"/>
          <w:sz w:val="24"/>
          <w:szCs w:val="24"/>
        </w:rPr>
        <w:footnoteReference w:id="19"/>
      </w:r>
      <w:r w:rsidR="00F10CFE">
        <w:rPr>
          <w:rFonts w:ascii="Arial" w:hAnsi="Arial" w:cs="Arial"/>
          <w:sz w:val="24"/>
          <w:szCs w:val="24"/>
        </w:rPr>
        <w:t xml:space="preserve">  Here</w:t>
      </w:r>
      <w:r w:rsidR="00F85B5F">
        <w:rPr>
          <w:rFonts w:ascii="Arial" w:hAnsi="Arial" w:cs="Arial"/>
          <w:sz w:val="24"/>
          <w:szCs w:val="24"/>
        </w:rPr>
        <w:t xml:space="preserve">, </w:t>
      </w:r>
      <w:r w:rsidR="00F10CFE">
        <w:rPr>
          <w:rFonts w:ascii="Arial" w:hAnsi="Arial" w:cs="Arial"/>
          <w:sz w:val="24"/>
          <w:szCs w:val="24"/>
        </w:rPr>
        <w:t>the additional scrutiny that may attach to a non-cost effective measure included in an otherwise cost</w:t>
      </w:r>
      <w:r w:rsidR="00C6378A">
        <w:rPr>
          <w:rFonts w:ascii="Arial" w:hAnsi="Arial" w:cs="Arial"/>
          <w:sz w:val="24"/>
          <w:szCs w:val="24"/>
        </w:rPr>
        <w:t xml:space="preserve">-effective is simply not </w:t>
      </w:r>
      <w:r w:rsidR="00C6378A">
        <w:rPr>
          <w:rFonts w:ascii="Arial" w:hAnsi="Arial" w:cs="Arial"/>
          <w:sz w:val="24"/>
          <w:szCs w:val="24"/>
        </w:rPr>
        <w:lastRenderedPageBreak/>
        <w:t>required</w:t>
      </w:r>
      <w:r w:rsidR="00F10CFE">
        <w:rPr>
          <w:rFonts w:ascii="Arial" w:hAnsi="Arial" w:cs="Arial"/>
          <w:sz w:val="24"/>
          <w:szCs w:val="24"/>
        </w:rPr>
        <w:t>.  Duke will evaluate the results of the cost-effectiveness of t</w:t>
      </w:r>
      <w:r w:rsidR="00C6378A">
        <w:rPr>
          <w:rFonts w:ascii="Arial" w:hAnsi="Arial" w:cs="Arial"/>
          <w:sz w:val="24"/>
          <w:szCs w:val="24"/>
        </w:rPr>
        <w:t>he thermostat program on a standalone basis</w:t>
      </w:r>
      <w:r w:rsidR="00F10CFE">
        <w:rPr>
          <w:rFonts w:ascii="Arial" w:hAnsi="Arial" w:cs="Arial"/>
          <w:sz w:val="24"/>
          <w:szCs w:val="24"/>
        </w:rPr>
        <w:t xml:space="preserve"> and set incentive levels appropriately.  </w:t>
      </w:r>
    </w:p>
    <w:p w14:paraId="64E9D56E" w14:textId="290DEB54" w:rsidR="009E7BD6" w:rsidRPr="00F10CFE" w:rsidRDefault="00742B2F" w:rsidP="005F419A">
      <w:pPr>
        <w:autoSpaceDE w:val="0"/>
        <w:autoSpaceDN w:val="0"/>
        <w:adjustRightInd w:val="0"/>
        <w:spacing w:after="120" w:line="240" w:lineRule="auto"/>
        <w:ind w:left="720" w:right="720"/>
        <w:jc w:val="both"/>
        <w:rPr>
          <w:rFonts w:ascii="Arial" w:hAnsi="Arial" w:cs="Arial"/>
          <w:b/>
          <w:sz w:val="24"/>
          <w:szCs w:val="24"/>
        </w:rPr>
      </w:pPr>
      <w:r>
        <w:rPr>
          <w:rFonts w:ascii="Arial" w:hAnsi="Arial" w:cs="Arial"/>
          <w:b/>
          <w:sz w:val="24"/>
          <w:szCs w:val="24"/>
        </w:rPr>
        <w:t>B.  CRES providers should be authorized and encouraged to provide thermostat rebates in advance of the third quarter of 2017</w:t>
      </w:r>
    </w:p>
    <w:p w14:paraId="11592840" w14:textId="77777777" w:rsidR="00F10CFE" w:rsidRDefault="00F10CFE" w:rsidP="005F419A">
      <w:pPr>
        <w:spacing w:after="0" w:line="240" w:lineRule="auto"/>
        <w:ind w:firstLine="720"/>
        <w:jc w:val="both"/>
        <w:rPr>
          <w:rFonts w:ascii="Arial" w:hAnsi="Arial" w:cs="Arial"/>
          <w:sz w:val="24"/>
          <w:szCs w:val="24"/>
        </w:rPr>
      </w:pPr>
    </w:p>
    <w:p w14:paraId="19B6AB42" w14:textId="2742EE28" w:rsidR="00F10CFE" w:rsidRDefault="00F10CFE" w:rsidP="005F419A">
      <w:pPr>
        <w:spacing w:after="0" w:line="480" w:lineRule="auto"/>
        <w:ind w:firstLine="720"/>
        <w:jc w:val="both"/>
        <w:rPr>
          <w:rFonts w:ascii="Arial" w:hAnsi="Arial" w:cs="Arial"/>
          <w:sz w:val="24"/>
          <w:szCs w:val="24"/>
        </w:rPr>
      </w:pPr>
      <w:r>
        <w:rPr>
          <w:rFonts w:ascii="Arial" w:hAnsi="Arial" w:cs="Arial"/>
          <w:sz w:val="24"/>
          <w:szCs w:val="24"/>
        </w:rPr>
        <w:t>OCC claims that, to the extent the Commission authorizes the smart thermostat program, CRES providers should be prohibited from providing customers discounted thermostats—at their own risk—between th</w:t>
      </w:r>
      <w:r w:rsidR="00C6378A">
        <w:rPr>
          <w:rFonts w:ascii="Arial" w:hAnsi="Arial" w:cs="Arial"/>
          <w:sz w:val="24"/>
          <w:szCs w:val="24"/>
        </w:rPr>
        <w:t>e time the Commission authorizes</w:t>
      </w:r>
      <w:r>
        <w:rPr>
          <w:rFonts w:ascii="Arial" w:hAnsi="Arial" w:cs="Arial"/>
          <w:sz w:val="24"/>
          <w:szCs w:val="24"/>
        </w:rPr>
        <w:t xml:space="preserve"> the program and the time the rebat</w:t>
      </w:r>
      <w:r w:rsidR="00C6378A">
        <w:rPr>
          <w:rFonts w:ascii="Arial" w:hAnsi="Arial" w:cs="Arial"/>
          <w:sz w:val="24"/>
          <w:szCs w:val="24"/>
        </w:rPr>
        <w:t>e level is ultimately established</w:t>
      </w:r>
      <w:r>
        <w:rPr>
          <w:rFonts w:ascii="Arial" w:hAnsi="Arial" w:cs="Arial"/>
          <w:sz w:val="24"/>
          <w:szCs w:val="24"/>
        </w:rPr>
        <w:t>.</w:t>
      </w:r>
      <w:r w:rsidR="00C6378A">
        <w:rPr>
          <w:rStyle w:val="FootnoteReference"/>
          <w:rFonts w:ascii="Arial" w:hAnsi="Arial" w:cs="Arial"/>
          <w:sz w:val="24"/>
          <w:szCs w:val="24"/>
        </w:rPr>
        <w:footnoteReference w:id="20"/>
      </w:r>
      <w:r w:rsidR="000C2730">
        <w:rPr>
          <w:rFonts w:ascii="Arial" w:hAnsi="Arial" w:cs="Arial"/>
          <w:sz w:val="24"/>
          <w:szCs w:val="24"/>
        </w:rPr>
        <w:t xml:space="preserve">  OCC alleges that this provision would allow retailers like Lowes and CRES providers to receive a “wind fall.”</w:t>
      </w:r>
      <w:r w:rsidR="00C6378A">
        <w:rPr>
          <w:rStyle w:val="FootnoteReference"/>
          <w:rFonts w:ascii="Arial" w:hAnsi="Arial" w:cs="Arial"/>
          <w:sz w:val="24"/>
          <w:szCs w:val="24"/>
        </w:rPr>
        <w:footnoteReference w:id="21"/>
      </w:r>
      <w:r>
        <w:rPr>
          <w:rFonts w:ascii="Arial" w:hAnsi="Arial" w:cs="Arial"/>
          <w:sz w:val="24"/>
          <w:szCs w:val="24"/>
        </w:rPr>
        <w:t xml:space="preserve">  OCC’s argument is absurd and would undermine the interest of the customers it represents.</w:t>
      </w:r>
    </w:p>
    <w:p w14:paraId="056C1CBD" w14:textId="0B83E084" w:rsidR="006208A1" w:rsidRDefault="000C2730" w:rsidP="005F419A">
      <w:pPr>
        <w:spacing w:after="0" w:line="480" w:lineRule="auto"/>
        <w:jc w:val="both"/>
        <w:rPr>
          <w:rFonts w:ascii="Arial" w:hAnsi="Arial" w:cs="Arial"/>
          <w:sz w:val="24"/>
          <w:szCs w:val="24"/>
        </w:rPr>
      </w:pPr>
      <w:r>
        <w:rPr>
          <w:rFonts w:ascii="Arial" w:hAnsi="Arial" w:cs="Arial"/>
          <w:sz w:val="24"/>
          <w:szCs w:val="24"/>
        </w:rPr>
        <w:tab/>
        <w:t>Although an order is likely to be issued in this proceeding by the end of the second quarter of 2017, for several reasons outside of control of the parties to this pro</w:t>
      </w:r>
      <w:r w:rsidR="00C6378A">
        <w:rPr>
          <w:rFonts w:ascii="Arial" w:hAnsi="Arial" w:cs="Arial"/>
          <w:sz w:val="24"/>
          <w:szCs w:val="24"/>
        </w:rPr>
        <w:t>ceeding, Duke will not finalize the</w:t>
      </w:r>
      <w:r>
        <w:rPr>
          <w:rFonts w:ascii="Arial" w:hAnsi="Arial" w:cs="Arial"/>
          <w:sz w:val="24"/>
          <w:szCs w:val="24"/>
        </w:rPr>
        <w:t xml:space="preserve"> cost-effective incentive level for a smart thermostat</w:t>
      </w:r>
      <w:r w:rsidR="00C6378A">
        <w:rPr>
          <w:rFonts w:ascii="Arial" w:hAnsi="Arial" w:cs="Arial"/>
          <w:sz w:val="24"/>
          <w:szCs w:val="24"/>
        </w:rPr>
        <w:t xml:space="preserve"> until</w:t>
      </w:r>
      <w:r>
        <w:rPr>
          <w:rFonts w:ascii="Arial" w:hAnsi="Arial" w:cs="Arial"/>
          <w:sz w:val="24"/>
          <w:szCs w:val="24"/>
        </w:rPr>
        <w:t xml:space="preserve"> the third quarter of 2017.  Despite the uncertainty of the ultimate rebate level, signatory parties have agreed that CRES providers and retailers may </w:t>
      </w:r>
      <w:r>
        <w:rPr>
          <w:rFonts w:ascii="Arial" w:hAnsi="Arial" w:cs="Arial"/>
          <w:b/>
          <w:sz w:val="24"/>
          <w:szCs w:val="24"/>
          <w:u w:val="single"/>
        </w:rPr>
        <w:t>at their own risk</w:t>
      </w:r>
      <w:r>
        <w:rPr>
          <w:rFonts w:ascii="Arial" w:hAnsi="Arial" w:cs="Arial"/>
          <w:sz w:val="24"/>
          <w:szCs w:val="24"/>
        </w:rPr>
        <w:t xml:space="preserve"> provide customers with an instant discount before the incentive level is ultimately determined, with the understanding that the compensation they receive from Duke may not ultimately cover the discount provided to the customer.  In other words, the stipulation contemplates the potential that IGS provides a customers a</w:t>
      </w:r>
      <w:r w:rsidR="00C6378A">
        <w:rPr>
          <w:rFonts w:ascii="Arial" w:hAnsi="Arial" w:cs="Arial"/>
          <w:sz w:val="24"/>
          <w:szCs w:val="24"/>
        </w:rPr>
        <w:t xml:space="preserve"> thermostat</w:t>
      </w:r>
      <w:r w:rsidR="006208A1">
        <w:rPr>
          <w:rFonts w:ascii="Arial" w:hAnsi="Arial" w:cs="Arial"/>
          <w:sz w:val="24"/>
          <w:szCs w:val="24"/>
        </w:rPr>
        <w:t xml:space="preserve"> at a $150 d</w:t>
      </w:r>
      <w:r w:rsidR="00C6378A">
        <w:rPr>
          <w:rFonts w:ascii="Arial" w:hAnsi="Arial" w:cs="Arial"/>
          <w:sz w:val="24"/>
          <w:szCs w:val="24"/>
        </w:rPr>
        <w:t>iscount and Duke authorizes a</w:t>
      </w:r>
      <w:r w:rsidR="006208A1">
        <w:rPr>
          <w:rFonts w:ascii="Arial" w:hAnsi="Arial" w:cs="Arial"/>
          <w:sz w:val="24"/>
          <w:szCs w:val="24"/>
        </w:rPr>
        <w:t xml:space="preserve"> $100</w:t>
      </w:r>
      <w:r w:rsidR="00C6378A">
        <w:rPr>
          <w:rFonts w:ascii="Arial" w:hAnsi="Arial" w:cs="Arial"/>
          <w:sz w:val="24"/>
          <w:szCs w:val="24"/>
        </w:rPr>
        <w:t xml:space="preserve"> rebate</w:t>
      </w:r>
      <w:r w:rsidR="006208A1">
        <w:rPr>
          <w:rFonts w:ascii="Arial" w:hAnsi="Arial" w:cs="Arial"/>
          <w:sz w:val="24"/>
          <w:szCs w:val="24"/>
        </w:rPr>
        <w:t xml:space="preserve">.  In that case, a customer effectively receives </w:t>
      </w:r>
      <w:r w:rsidR="00C6378A">
        <w:rPr>
          <w:rFonts w:ascii="Arial" w:hAnsi="Arial" w:cs="Arial"/>
          <w:sz w:val="24"/>
          <w:szCs w:val="24"/>
        </w:rPr>
        <w:t>two discounts—</w:t>
      </w:r>
      <w:r w:rsidR="00C6378A">
        <w:rPr>
          <w:rFonts w:ascii="Arial" w:hAnsi="Arial" w:cs="Arial"/>
          <w:sz w:val="24"/>
          <w:szCs w:val="24"/>
        </w:rPr>
        <w:lastRenderedPageBreak/>
        <w:t>$100 from Duke’s Portfolio P</w:t>
      </w:r>
      <w:r w:rsidR="006208A1">
        <w:rPr>
          <w:rFonts w:ascii="Arial" w:hAnsi="Arial" w:cs="Arial"/>
          <w:sz w:val="24"/>
          <w:szCs w:val="24"/>
        </w:rPr>
        <w:t>lan and $50 from IGS.  OCC is correct that this may be a windfall, but the beneficiaries of the windfall would be distribution customers in the Duke service territory.  Thus, OCC’s arguments lacks merit.</w:t>
      </w:r>
    </w:p>
    <w:p w14:paraId="0135720E" w14:textId="43CEA411" w:rsidR="006208A1" w:rsidRDefault="006208A1" w:rsidP="005F419A">
      <w:pPr>
        <w:pStyle w:val="ListParagraph"/>
        <w:numPr>
          <w:ilvl w:val="0"/>
          <w:numId w:val="30"/>
        </w:numPr>
        <w:spacing w:after="0" w:line="480" w:lineRule="auto"/>
        <w:jc w:val="both"/>
        <w:rPr>
          <w:rFonts w:ascii="Arial" w:hAnsi="Arial" w:cs="Arial"/>
          <w:b/>
          <w:sz w:val="24"/>
          <w:szCs w:val="24"/>
        </w:rPr>
      </w:pPr>
      <w:r>
        <w:rPr>
          <w:rFonts w:ascii="Arial" w:hAnsi="Arial" w:cs="Arial"/>
          <w:b/>
          <w:sz w:val="24"/>
          <w:szCs w:val="24"/>
        </w:rPr>
        <w:t>CONCLUSION</w:t>
      </w:r>
    </w:p>
    <w:p w14:paraId="284A41E5" w14:textId="5807E4A3" w:rsidR="006208A1" w:rsidRPr="006208A1" w:rsidRDefault="006208A1" w:rsidP="005F419A">
      <w:pPr>
        <w:spacing w:after="0" w:line="480" w:lineRule="auto"/>
        <w:ind w:firstLine="720"/>
        <w:jc w:val="both"/>
        <w:rPr>
          <w:rFonts w:ascii="Arial" w:hAnsi="Arial" w:cs="Arial"/>
          <w:sz w:val="24"/>
          <w:szCs w:val="24"/>
        </w:rPr>
      </w:pPr>
      <w:r>
        <w:rPr>
          <w:rFonts w:ascii="Arial" w:hAnsi="Arial" w:cs="Arial"/>
          <w:sz w:val="24"/>
          <w:szCs w:val="24"/>
        </w:rPr>
        <w:t>For the reasons stated herein, IGS urges the Commission to approve Duke’s Ap</w:t>
      </w:r>
      <w:r w:rsidR="005F419A">
        <w:rPr>
          <w:rFonts w:ascii="Arial" w:hAnsi="Arial" w:cs="Arial"/>
          <w:sz w:val="24"/>
          <w:szCs w:val="24"/>
        </w:rPr>
        <w:t>plication as modified by the</w:t>
      </w:r>
      <w:r>
        <w:rPr>
          <w:rFonts w:ascii="Arial" w:hAnsi="Arial" w:cs="Arial"/>
          <w:sz w:val="24"/>
          <w:szCs w:val="24"/>
        </w:rPr>
        <w:t xml:space="preserve"> amended stipulation, including the proposed smart thermostat program. </w:t>
      </w:r>
    </w:p>
    <w:p w14:paraId="3B70B9FB" w14:textId="77777777" w:rsidR="00C6378A" w:rsidRDefault="00C6378A" w:rsidP="00C6378A">
      <w:pPr>
        <w:spacing w:after="0" w:line="240" w:lineRule="auto"/>
        <w:ind w:left="5040"/>
        <w:rPr>
          <w:rFonts w:ascii="Arial" w:hAnsi="Arial" w:cs="Arial"/>
          <w:sz w:val="24"/>
          <w:szCs w:val="24"/>
        </w:rPr>
      </w:pPr>
    </w:p>
    <w:p w14:paraId="6E9B92D8" w14:textId="1DEF2FAD" w:rsidR="00C6378A" w:rsidRDefault="00C6378A" w:rsidP="00C6378A">
      <w:pPr>
        <w:spacing w:after="0" w:line="240" w:lineRule="auto"/>
        <w:ind w:left="5040"/>
        <w:rPr>
          <w:rFonts w:ascii="Arial" w:hAnsi="Arial" w:cs="Arial"/>
          <w:sz w:val="24"/>
          <w:szCs w:val="24"/>
        </w:rPr>
      </w:pPr>
      <w:r>
        <w:rPr>
          <w:rFonts w:ascii="Arial" w:hAnsi="Arial" w:cs="Arial"/>
          <w:sz w:val="24"/>
          <w:szCs w:val="24"/>
        </w:rPr>
        <w:t>Respectfully,</w:t>
      </w:r>
    </w:p>
    <w:p w14:paraId="1F67C913" w14:textId="77777777" w:rsidR="00C6378A" w:rsidRDefault="00C6378A" w:rsidP="00C6378A">
      <w:pPr>
        <w:spacing w:after="0" w:line="240" w:lineRule="auto"/>
        <w:ind w:left="5040"/>
        <w:rPr>
          <w:rFonts w:ascii="Arial" w:hAnsi="Arial" w:cs="Arial"/>
          <w:sz w:val="24"/>
          <w:szCs w:val="24"/>
        </w:rPr>
      </w:pPr>
    </w:p>
    <w:p w14:paraId="08436E68" w14:textId="77777777" w:rsidR="00C6378A" w:rsidRDefault="00C6378A" w:rsidP="00C6378A">
      <w:pPr>
        <w:spacing w:after="0" w:line="240" w:lineRule="auto"/>
        <w:ind w:left="5040"/>
        <w:rPr>
          <w:rFonts w:ascii="Arial" w:hAnsi="Arial" w:cs="Arial"/>
          <w:sz w:val="24"/>
          <w:szCs w:val="24"/>
        </w:rPr>
      </w:pPr>
    </w:p>
    <w:p w14:paraId="4CD45165" w14:textId="7D0E0F24" w:rsidR="00C6378A" w:rsidRPr="00C6378A" w:rsidRDefault="00C6378A" w:rsidP="00C6378A">
      <w:pPr>
        <w:spacing w:after="0" w:line="240" w:lineRule="auto"/>
        <w:ind w:left="5040"/>
        <w:rPr>
          <w:rFonts w:ascii="Arial" w:hAnsi="Arial" w:cs="Arial"/>
          <w:b/>
          <w:i/>
          <w:sz w:val="24"/>
          <w:szCs w:val="24"/>
          <w:u w:val="single"/>
        </w:rPr>
      </w:pPr>
      <w:r>
        <w:rPr>
          <w:rFonts w:ascii="Arial" w:hAnsi="Arial" w:cs="Arial"/>
          <w:b/>
          <w:i/>
          <w:sz w:val="24"/>
          <w:szCs w:val="24"/>
          <w:u w:val="single"/>
        </w:rPr>
        <w:t>/s/ Joseph Oliker</w:t>
      </w:r>
    </w:p>
    <w:p w14:paraId="5F950455" w14:textId="3587F28C" w:rsidR="00C6378A" w:rsidRDefault="00C6378A" w:rsidP="00C6378A">
      <w:pPr>
        <w:spacing w:after="0" w:line="240" w:lineRule="auto"/>
        <w:ind w:left="5040"/>
        <w:rPr>
          <w:rFonts w:ascii="Arial" w:hAnsi="Arial" w:cs="Arial"/>
          <w:sz w:val="24"/>
          <w:szCs w:val="24"/>
        </w:rPr>
      </w:pPr>
      <w:r>
        <w:rPr>
          <w:rFonts w:ascii="Arial" w:hAnsi="Arial" w:cs="Arial"/>
          <w:sz w:val="24"/>
          <w:szCs w:val="24"/>
        </w:rPr>
        <w:t>Joseph Oliker (0086088)</w:t>
      </w:r>
    </w:p>
    <w:p w14:paraId="72D41C53" w14:textId="77777777" w:rsidR="00C6378A" w:rsidRDefault="00C6378A" w:rsidP="00C6378A">
      <w:pPr>
        <w:spacing w:after="0" w:line="240" w:lineRule="auto"/>
        <w:ind w:left="5040"/>
        <w:rPr>
          <w:rFonts w:ascii="Arial" w:hAnsi="Arial" w:cs="Arial"/>
          <w:sz w:val="24"/>
          <w:szCs w:val="24"/>
        </w:rPr>
      </w:pPr>
      <w:r>
        <w:rPr>
          <w:rFonts w:ascii="Arial" w:hAnsi="Arial" w:cs="Arial"/>
          <w:sz w:val="24"/>
          <w:szCs w:val="24"/>
        </w:rPr>
        <w:t>Email</w:t>
      </w:r>
      <w:r w:rsidRPr="00A71E20">
        <w:rPr>
          <w:rFonts w:ascii="Arial" w:hAnsi="Arial" w:cs="Arial"/>
          <w:sz w:val="24"/>
          <w:szCs w:val="24"/>
        </w:rPr>
        <w:t xml:space="preserve">: </w:t>
      </w:r>
      <w:hyperlink r:id="rId9" w:history="1">
        <w:r w:rsidRPr="00A71E20">
          <w:rPr>
            <w:rStyle w:val="Hyperlink"/>
            <w:rFonts w:ascii="Arial" w:hAnsi="Arial" w:cs="Arial"/>
            <w:color w:val="auto"/>
            <w:sz w:val="24"/>
            <w:szCs w:val="24"/>
            <w:u w:val="none"/>
          </w:rPr>
          <w:t>joliker@igsenergy.com</w:t>
        </w:r>
      </w:hyperlink>
    </w:p>
    <w:p w14:paraId="4E4F8820" w14:textId="77777777" w:rsidR="00C6378A" w:rsidRDefault="00C6378A" w:rsidP="00C6378A">
      <w:pPr>
        <w:spacing w:after="0" w:line="240" w:lineRule="auto"/>
        <w:ind w:left="5040"/>
        <w:rPr>
          <w:rFonts w:ascii="Arial" w:hAnsi="Arial" w:cs="Arial"/>
          <w:sz w:val="24"/>
          <w:szCs w:val="24"/>
        </w:rPr>
      </w:pPr>
      <w:r>
        <w:rPr>
          <w:rFonts w:ascii="Arial" w:hAnsi="Arial" w:cs="Arial"/>
          <w:sz w:val="24"/>
          <w:szCs w:val="24"/>
        </w:rPr>
        <w:t>Counsel of Record</w:t>
      </w:r>
    </w:p>
    <w:p w14:paraId="5C2603B9" w14:textId="77777777" w:rsidR="00C6378A" w:rsidRDefault="00C6378A" w:rsidP="00C6378A">
      <w:pPr>
        <w:spacing w:after="0" w:line="240" w:lineRule="auto"/>
        <w:ind w:left="5040"/>
        <w:rPr>
          <w:rFonts w:ascii="Arial" w:hAnsi="Arial" w:cs="Arial"/>
          <w:sz w:val="24"/>
          <w:szCs w:val="24"/>
        </w:rPr>
      </w:pPr>
      <w:r>
        <w:rPr>
          <w:rFonts w:ascii="Arial" w:hAnsi="Arial" w:cs="Arial"/>
          <w:sz w:val="24"/>
          <w:szCs w:val="24"/>
        </w:rPr>
        <w:t>IGS Energy</w:t>
      </w:r>
    </w:p>
    <w:p w14:paraId="3969B0B7" w14:textId="77777777" w:rsidR="00C6378A" w:rsidRDefault="00C6378A" w:rsidP="00C6378A">
      <w:pPr>
        <w:spacing w:after="0" w:line="240" w:lineRule="auto"/>
        <w:ind w:left="5040"/>
        <w:rPr>
          <w:rFonts w:ascii="Arial" w:hAnsi="Arial" w:cs="Arial"/>
          <w:sz w:val="24"/>
          <w:szCs w:val="24"/>
        </w:rPr>
      </w:pPr>
      <w:r>
        <w:rPr>
          <w:rFonts w:ascii="Arial" w:hAnsi="Arial" w:cs="Arial"/>
          <w:sz w:val="24"/>
          <w:szCs w:val="24"/>
        </w:rPr>
        <w:t>6100 Emerald Parkway</w:t>
      </w:r>
    </w:p>
    <w:p w14:paraId="26AD3486" w14:textId="77777777" w:rsidR="00C6378A" w:rsidRDefault="00C6378A" w:rsidP="00C6378A">
      <w:pPr>
        <w:spacing w:after="0" w:line="240" w:lineRule="auto"/>
        <w:ind w:left="5040"/>
        <w:rPr>
          <w:rFonts w:ascii="Arial" w:hAnsi="Arial" w:cs="Arial"/>
          <w:sz w:val="24"/>
          <w:szCs w:val="24"/>
        </w:rPr>
      </w:pPr>
      <w:r>
        <w:rPr>
          <w:rFonts w:ascii="Arial" w:hAnsi="Arial" w:cs="Arial"/>
          <w:sz w:val="24"/>
          <w:szCs w:val="24"/>
        </w:rPr>
        <w:t>Dublin, Ohio 43016</w:t>
      </w:r>
    </w:p>
    <w:p w14:paraId="5DC4BC90" w14:textId="77777777" w:rsidR="00C6378A" w:rsidRDefault="00C6378A" w:rsidP="00C6378A">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14:paraId="5F82CFE1" w14:textId="77777777" w:rsidR="00C6378A" w:rsidRDefault="00C6378A" w:rsidP="00C6378A">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386DD656" w14:textId="77777777" w:rsidR="00C6378A" w:rsidRDefault="00C6378A" w:rsidP="00C6378A">
      <w:pPr>
        <w:spacing w:after="0" w:line="240" w:lineRule="auto"/>
        <w:ind w:left="5040"/>
        <w:rPr>
          <w:rFonts w:ascii="Arial" w:hAnsi="Arial" w:cs="Arial"/>
          <w:sz w:val="24"/>
          <w:szCs w:val="24"/>
        </w:rPr>
      </w:pPr>
    </w:p>
    <w:p w14:paraId="68C474C9" w14:textId="77777777" w:rsidR="00C6378A" w:rsidRDefault="00C6378A" w:rsidP="00C6378A">
      <w:pPr>
        <w:spacing w:after="0" w:line="240" w:lineRule="auto"/>
        <w:ind w:left="5040"/>
        <w:rPr>
          <w:rFonts w:ascii="Arial" w:hAnsi="Arial" w:cs="Arial"/>
          <w:b/>
          <w:i/>
          <w:sz w:val="24"/>
          <w:szCs w:val="24"/>
        </w:rPr>
      </w:pPr>
      <w:r>
        <w:rPr>
          <w:rFonts w:ascii="Arial" w:hAnsi="Arial" w:cs="Arial"/>
          <w:b/>
          <w:i/>
          <w:sz w:val="24"/>
          <w:szCs w:val="24"/>
        </w:rPr>
        <w:t>Attorney for IGS Energy</w:t>
      </w:r>
    </w:p>
    <w:p w14:paraId="53C1312A" w14:textId="77777777" w:rsidR="00C6378A" w:rsidRDefault="00C6378A" w:rsidP="00C6378A">
      <w:pPr>
        <w:spacing w:after="0" w:line="240" w:lineRule="auto"/>
        <w:ind w:left="5040"/>
        <w:rPr>
          <w:rFonts w:ascii="Arial" w:hAnsi="Arial" w:cs="Arial"/>
          <w:b/>
          <w:i/>
          <w:sz w:val="24"/>
          <w:szCs w:val="24"/>
        </w:rPr>
      </w:pPr>
    </w:p>
    <w:p w14:paraId="2654DBDB" w14:textId="1F973C07" w:rsidR="009E7BD6" w:rsidRDefault="009E7BD6" w:rsidP="00F10CFE">
      <w:pPr>
        <w:spacing w:after="0" w:line="480" w:lineRule="auto"/>
        <w:rPr>
          <w:rFonts w:ascii="Arial" w:hAnsi="Arial" w:cs="Arial"/>
          <w:sz w:val="24"/>
          <w:szCs w:val="24"/>
        </w:rPr>
      </w:pPr>
    </w:p>
    <w:p w14:paraId="6D9EBD30" w14:textId="77777777" w:rsidR="00AD27B9" w:rsidRDefault="00AD27B9" w:rsidP="005F419A">
      <w:pPr>
        <w:spacing w:after="0" w:line="240" w:lineRule="auto"/>
        <w:rPr>
          <w:rFonts w:ascii="Arial" w:eastAsia="Arial" w:hAnsi="Arial" w:cs="Arial"/>
          <w:b/>
          <w:sz w:val="24"/>
          <w:szCs w:val="24"/>
          <w:u w:val="single"/>
        </w:rPr>
      </w:pPr>
    </w:p>
    <w:p w14:paraId="01C84C75" w14:textId="77777777" w:rsidR="005F419A" w:rsidRDefault="005F419A" w:rsidP="005F419A">
      <w:pPr>
        <w:spacing w:after="0" w:line="240" w:lineRule="auto"/>
        <w:rPr>
          <w:rFonts w:ascii="Arial" w:eastAsia="Arial" w:hAnsi="Arial" w:cs="Arial"/>
          <w:b/>
          <w:sz w:val="24"/>
          <w:szCs w:val="24"/>
          <w:u w:val="single"/>
        </w:rPr>
      </w:pPr>
    </w:p>
    <w:p w14:paraId="79F762C0" w14:textId="77777777" w:rsidR="00C6378A" w:rsidRDefault="00C6378A" w:rsidP="005F419A">
      <w:pPr>
        <w:spacing w:after="0" w:line="240" w:lineRule="auto"/>
        <w:rPr>
          <w:rFonts w:ascii="Arial" w:eastAsia="Arial" w:hAnsi="Arial" w:cs="Arial"/>
          <w:b/>
          <w:sz w:val="24"/>
          <w:szCs w:val="24"/>
          <w:u w:val="single"/>
        </w:rPr>
      </w:pPr>
    </w:p>
    <w:p w14:paraId="229451F1" w14:textId="77777777" w:rsidR="00C6378A" w:rsidRDefault="00C6378A" w:rsidP="005F419A">
      <w:pPr>
        <w:spacing w:after="0" w:line="240" w:lineRule="auto"/>
        <w:rPr>
          <w:rFonts w:ascii="Arial" w:eastAsia="Arial" w:hAnsi="Arial" w:cs="Arial"/>
          <w:b/>
          <w:sz w:val="24"/>
          <w:szCs w:val="24"/>
          <w:u w:val="single"/>
        </w:rPr>
      </w:pPr>
    </w:p>
    <w:p w14:paraId="2F185D7F" w14:textId="77777777" w:rsidR="00C6378A" w:rsidRDefault="00C6378A" w:rsidP="005F419A">
      <w:pPr>
        <w:spacing w:after="0" w:line="240" w:lineRule="auto"/>
        <w:rPr>
          <w:rFonts w:ascii="Arial" w:eastAsia="Arial" w:hAnsi="Arial" w:cs="Arial"/>
          <w:b/>
          <w:sz w:val="24"/>
          <w:szCs w:val="24"/>
          <w:u w:val="single"/>
        </w:rPr>
      </w:pPr>
    </w:p>
    <w:p w14:paraId="54C7ADE6" w14:textId="77777777" w:rsidR="00C6378A" w:rsidRDefault="00C6378A" w:rsidP="005F419A">
      <w:pPr>
        <w:spacing w:after="0" w:line="240" w:lineRule="auto"/>
        <w:rPr>
          <w:rFonts w:ascii="Arial" w:eastAsia="Arial" w:hAnsi="Arial" w:cs="Arial"/>
          <w:b/>
          <w:sz w:val="24"/>
          <w:szCs w:val="24"/>
          <w:u w:val="single"/>
        </w:rPr>
      </w:pPr>
    </w:p>
    <w:p w14:paraId="0B672574" w14:textId="77777777" w:rsidR="00C6378A" w:rsidRDefault="00C6378A" w:rsidP="005F419A">
      <w:pPr>
        <w:spacing w:after="0" w:line="240" w:lineRule="auto"/>
        <w:rPr>
          <w:rFonts w:ascii="Arial" w:eastAsia="Arial" w:hAnsi="Arial" w:cs="Arial"/>
          <w:b/>
          <w:sz w:val="24"/>
          <w:szCs w:val="24"/>
          <w:u w:val="single"/>
        </w:rPr>
      </w:pPr>
    </w:p>
    <w:p w14:paraId="0F147EE7" w14:textId="77777777" w:rsidR="00C6378A" w:rsidRDefault="00C6378A" w:rsidP="005F419A">
      <w:pPr>
        <w:spacing w:after="0" w:line="240" w:lineRule="auto"/>
        <w:rPr>
          <w:rFonts w:ascii="Arial" w:eastAsia="Arial" w:hAnsi="Arial" w:cs="Arial"/>
          <w:b/>
          <w:sz w:val="24"/>
          <w:szCs w:val="24"/>
          <w:u w:val="single"/>
        </w:rPr>
      </w:pPr>
    </w:p>
    <w:p w14:paraId="20551A65" w14:textId="77777777" w:rsidR="00C6378A" w:rsidRDefault="00C6378A" w:rsidP="005F419A">
      <w:pPr>
        <w:spacing w:after="0" w:line="240" w:lineRule="auto"/>
        <w:rPr>
          <w:rFonts w:ascii="Arial" w:eastAsia="Arial" w:hAnsi="Arial" w:cs="Arial"/>
          <w:b/>
          <w:sz w:val="24"/>
          <w:szCs w:val="24"/>
          <w:u w:val="single"/>
        </w:rPr>
      </w:pPr>
    </w:p>
    <w:p w14:paraId="7BE24A30" w14:textId="77777777" w:rsidR="00C6378A" w:rsidRDefault="00C6378A" w:rsidP="005F419A">
      <w:pPr>
        <w:spacing w:after="0" w:line="240" w:lineRule="auto"/>
        <w:rPr>
          <w:rFonts w:ascii="Arial" w:eastAsia="Arial" w:hAnsi="Arial" w:cs="Arial"/>
          <w:b/>
          <w:sz w:val="24"/>
          <w:szCs w:val="24"/>
          <w:u w:val="single"/>
        </w:rPr>
      </w:pPr>
    </w:p>
    <w:p w14:paraId="334507CD" w14:textId="77777777" w:rsidR="00C6378A" w:rsidRDefault="00C6378A" w:rsidP="005F419A">
      <w:pPr>
        <w:spacing w:after="0" w:line="240" w:lineRule="auto"/>
        <w:rPr>
          <w:rFonts w:ascii="Arial" w:eastAsia="Arial" w:hAnsi="Arial" w:cs="Arial"/>
          <w:b/>
          <w:sz w:val="24"/>
          <w:szCs w:val="24"/>
          <w:u w:val="single"/>
        </w:rPr>
      </w:pPr>
    </w:p>
    <w:p w14:paraId="7A64D17E" w14:textId="77777777" w:rsidR="00C6378A" w:rsidRDefault="00C6378A" w:rsidP="005F419A">
      <w:pPr>
        <w:spacing w:after="0" w:line="240" w:lineRule="auto"/>
        <w:rPr>
          <w:rFonts w:ascii="Arial" w:eastAsia="Arial" w:hAnsi="Arial" w:cs="Arial"/>
          <w:b/>
          <w:sz w:val="24"/>
          <w:szCs w:val="24"/>
          <w:u w:val="single"/>
        </w:rPr>
      </w:pPr>
    </w:p>
    <w:p w14:paraId="6B998E14" w14:textId="77777777" w:rsidR="00C6378A" w:rsidRDefault="00C6378A" w:rsidP="005F419A">
      <w:pPr>
        <w:spacing w:after="0" w:line="240" w:lineRule="auto"/>
        <w:rPr>
          <w:rFonts w:ascii="Arial" w:eastAsia="Arial" w:hAnsi="Arial" w:cs="Arial"/>
          <w:b/>
          <w:sz w:val="24"/>
          <w:szCs w:val="24"/>
          <w:u w:val="single"/>
        </w:rPr>
      </w:pPr>
    </w:p>
    <w:p w14:paraId="08C5B667" w14:textId="77777777" w:rsidR="00C6378A" w:rsidRDefault="00C6378A" w:rsidP="005F419A">
      <w:pPr>
        <w:spacing w:after="0" w:line="240" w:lineRule="auto"/>
        <w:rPr>
          <w:rFonts w:ascii="Arial" w:eastAsia="Arial" w:hAnsi="Arial" w:cs="Arial"/>
          <w:b/>
          <w:sz w:val="24"/>
          <w:szCs w:val="24"/>
          <w:u w:val="single"/>
        </w:rPr>
      </w:pPr>
    </w:p>
    <w:p w14:paraId="7176D30A" w14:textId="77777777" w:rsidR="00545F29" w:rsidRPr="009D71F6" w:rsidRDefault="0056270F" w:rsidP="00B66E26">
      <w:pPr>
        <w:spacing w:after="0" w:line="240" w:lineRule="auto"/>
        <w:ind w:left="2160" w:firstLine="720"/>
        <w:rPr>
          <w:rFonts w:ascii="Arial" w:eastAsia="Arial" w:hAnsi="Arial" w:cs="Arial"/>
          <w:b/>
          <w:sz w:val="24"/>
          <w:szCs w:val="24"/>
          <w:u w:val="single"/>
        </w:rPr>
      </w:pPr>
      <w:r w:rsidRPr="009D71F6">
        <w:rPr>
          <w:rFonts w:ascii="Arial" w:eastAsia="Arial" w:hAnsi="Arial" w:cs="Arial"/>
          <w:b/>
          <w:sz w:val="24"/>
          <w:szCs w:val="24"/>
          <w:u w:val="single"/>
        </w:rPr>
        <w:lastRenderedPageBreak/>
        <w:t>CERTIFICATE OF SERVICE</w:t>
      </w:r>
    </w:p>
    <w:p w14:paraId="7176D30B" w14:textId="77777777" w:rsidR="00545F29" w:rsidRPr="009D71F6" w:rsidRDefault="00545F29">
      <w:pPr>
        <w:spacing w:after="0" w:line="240" w:lineRule="auto"/>
        <w:jc w:val="center"/>
        <w:rPr>
          <w:rFonts w:ascii="Arial" w:eastAsia="Arial" w:hAnsi="Arial" w:cs="Arial"/>
          <w:b/>
          <w:sz w:val="24"/>
          <w:szCs w:val="24"/>
          <w:u w:val="single"/>
        </w:rPr>
      </w:pPr>
    </w:p>
    <w:p w14:paraId="7176D30C" w14:textId="3651BB2C" w:rsidR="00545F29" w:rsidRPr="009D71F6" w:rsidRDefault="0056270F">
      <w:pPr>
        <w:spacing w:after="0" w:line="240" w:lineRule="auto"/>
        <w:jc w:val="both"/>
        <w:rPr>
          <w:rFonts w:ascii="Arial" w:eastAsia="Calibri" w:hAnsi="Arial" w:cs="Arial"/>
          <w:sz w:val="24"/>
          <w:szCs w:val="24"/>
        </w:rPr>
      </w:pPr>
      <w:r w:rsidRPr="009D71F6">
        <w:rPr>
          <w:rFonts w:ascii="Arial" w:eastAsia="Arial" w:hAnsi="Arial" w:cs="Arial"/>
          <w:sz w:val="24"/>
          <w:szCs w:val="24"/>
        </w:rPr>
        <w:tab/>
      </w:r>
      <w:r w:rsidRPr="009D71F6">
        <w:rPr>
          <w:rFonts w:ascii="Arial" w:eastAsia="Calibri" w:hAnsi="Arial" w:cs="Arial"/>
          <w:sz w:val="24"/>
          <w:szCs w:val="24"/>
        </w:rPr>
        <w:t xml:space="preserve">The undersigned hereby certifies that a copy of the foregoing </w:t>
      </w:r>
      <w:r w:rsidR="005F419A">
        <w:rPr>
          <w:rFonts w:ascii="Arial" w:eastAsia="Calibri" w:hAnsi="Arial" w:cs="Arial"/>
          <w:i/>
          <w:sz w:val="24"/>
          <w:szCs w:val="24"/>
        </w:rPr>
        <w:t xml:space="preserve">Reply Brief of Interstate Gas Supply, Inc. </w:t>
      </w:r>
      <w:r w:rsidRPr="009D71F6">
        <w:rPr>
          <w:rFonts w:ascii="Arial" w:eastAsia="Calibri" w:hAnsi="Arial" w:cs="Arial"/>
          <w:sz w:val="24"/>
          <w:szCs w:val="24"/>
        </w:rPr>
        <w:t xml:space="preserve">was served this </w:t>
      </w:r>
      <w:r w:rsidR="005F419A">
        <w:rPr>
          <w:rFonts w:ascii="Arial" w:eastAsia="Calibri" w:hAnsi="Arial" w:cs="Arial"/>
          <w:sz w:val="24"/>
          <w:szCs w:val="24"/>
        </w:rPr>
        <w:t>7th</w:t>
      </w:r>
      <w:r w:rsidRPr="009D71F6">
        <w:rPr>
          <w:rFonts w:ascii="Arial" w:eastAsia="Calibri" w:hAnsi="Arial" w:cs="Arial"/>
          <w:sz w:val="24"/>
          <w:szCs w:val="24"/>
        </w:rPr>
        <w:t xml:space="preserve"> day of </w:t>
      </w:r>
      <w:r w:rsidR="005F419A">
        <w:rPr>
          <w:rFonts w:ascii="Arial" w:eastAsia="Calibri" w:hAnsi="Arial" w:cs="Arial"/>
          <w:sz w:val="24"/>
          <w:szCs w:val="24"/>
        </w:rPr>
        <w:t>April 2017</w:t>
      </w:r>
      <w:r w:rsidRPr="009D71F6">
        <w:rPr>
          <w:rFonts w:ascii="Arial" w:eastAsia="Calibri" w:hAnsi="Arial" w:cs="Arial"/>
          <w:sz w:val="24"/>
          <w:szCs w:val="24"/>
        </w:rPr>
        <w:t xml:space="preserve"> via electronic mail upon the following:</w:t>
      </w:r>
    </w:p>
    <w:p w14:paraId="7176D30D" w14:textId="77777777" w:rsidR="00545F29" w:rsidRPr="009D71F6" w:rsidRDefault="00545F29">
      <w:pPr>
        <w:spacing w:after="0" w:line="240" w:lineRule="auto"/>
        <w:jc w:val="both"/>
        <w:rPr>
          <w:rFonts w:ascii="Arial" w:eastAsia="Calibri" w:hAnsi="Arial" w:cs="Arial"/>
          <w:sz w:val="24"/>
          <w:szCs w:val="24"/>
        </w:rPr>
      </w:pPr>
    </w:p>
    <w:p w14:paraId="7176D30E" w14:textId="77777777" w:rsidR="00545F29" w:rsidRPr="009D71F6" w:rsidRDefault="00545F29">
      <w:pPr>
        <w:spacing w:after="0" w:line="240" w:lineRule="auto"/>
        <w:jc w:val="both"/>
        <w:rPr>
          <w:rFonts w:ascii="Arial" w:eastAsia="Arial" w:hAnsi="Arial" w:cs="Arial"/>
          <w:sz w:val="24"/>
          <w:szCs w:val="24"/>
        </w:rPr>
      </w:pPr>
    </w:p>
    <w:p w14:paraId="7176D30F" w14:textId="77777777" w:rsidR="00545F29" w:rsidRPr="009D71F6" w:rsidRDefault="00545F29">
      <w:pPr>
        <w:spacing w:after="0" w:line="240" w:lineRule="auto"/>
        <w:jc w:val="both"/>
        <w:rPr>
          <w:rFonts w:ascii="Arial" w:eastAsia="Arial" w:hAnsi="Arial" w:cs="Arial"/>
          <w:sz w:val="24"/>
          <w:szCs w:val="24"/>
        </w:rPr>
      </w:pPr>
    </w:p>
    <w:p w14:paraId="6FCF01CA" w14:textId="77777777" w:rsidR="00B270B3" w:rsidRPr="0079455C" w:rsidRDefault="00B270B3" w:rsidP="00B270B3">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610"/>
        <w:gridCol w:w="4740"/>
      </w:tblGrid>
      <w:tr w:rsidR="0079455C" w:rsidRPr="0079455C" w14:paraId="498F860B" w14:textId="77777777" w:rsidTr="0079455C">
        <w:trPr>
          <w:trHeight w:val="2357"/>
        </w:trPr>
        <w:tc>
          <w:tcPr>
            <w:tcW w:w="4610" w:type="dxa"/>
          </w:tcPr>
          <w:p w14:paraId="0FB8EA5D" w14:textId="098D6249" w:rsidR="00CC048A" w:rsidRPr="0079455C" w:rsidRDefault="00CC048A" w:rsidP="00CC048A">
            <w:pPr>
              <w:rPr>
                <w:rFonts w:ascii="Arial" w:hAnsi="Arial" w:cs="Arial"/>
                <w:sz w:val="24"/>
                <w:szCs w:val="24"/>
              </w:rPr>
            </w:pPr>
            <w:r w:rsidRPr="0079455C">
              <w:rPr>
                <w:rFonts w:ascii="Arial" w:hAnsi="Arial" w:cs="Arial"/>
                <w:sz w:val="24"/>
                <w:szCs w:val="24"/>
              </w:rPr>
              <w:t xml:space="preserve">ORourke@carpenterlipps.com Bojko@carpenterlipps.com Ghiloni@carpenterlipps.com mfleisher@elpc.org fdarr@mwncmh.com mpritchard@mwncmh.com joliker@igsenergy.com </w:t>
            </w:r>
          </w:p>
          <w:p w14:paraId="137D7B93" w14:textId="709224B6" w:rsidR="0086517A" w:rsidRPr="0079455C" w:rsidRDefault="00AE1B3E" w:rsidP="00CC048A">
            <w:pPr>
              <w:rPr>
                <w:rFonts w:ascii="Arial" w:hAnsi="Arial" w:cs="Arial"/>
                <w:sz w:val="24"/>
                <w:szCs w:val="24"/>
              </w:rPr>
            </w:pPr>
            <w:hyperlink r:id="rId10" w:history="1">
              <w:r w:rsidR="00CC048A" w:rsidRPr="0079455C">
                <w:rPr>
                  <w:rStyle w:val="Hyperlink"/>
                  <w:rFonts w:ascii="Arial" w:hAnsi="Arial" w:cs="Arial"/>
                  <w:color w:val="auto"/>
                  <w:sz w:val="24"/>
                  <w:szCs w:val="24"/>
                  <w:u w:val="none"/>
                </w:rPr>
                <w:t>mleppla@theoec.org</w:t>
              </w:r>
            </w:hyperlink>
          </w:p>
          <w:p w14:paraId="59323C9D" w14:textId="7035780E" w:rsidR="00CC048A" w:rsidRPr="0079455C" w:rsidRDefault="00AE1B3E" w:rsidP="00CC048A">
            <w:pPr>
              <w:rPr>
                <w:rFonts w:ascii="Arial" w:hAnsi="Arial" w:cs="Arial"/>
                <w:sz w:val="24"/>
                <w:szCs w:val="24"/>
              </w:rPr>
            </w:pPr>
            <w:hyperlink r:id="rId11" w:history="1">
              <w:r w:rsidR="0079455C" w:rsidRPr="0079455C">
                <w:rPr>
                  <w:rStyle w:val="Hyperlink"/>
                  <w:rFonts w:ascii="Arial" w:hAnsi="Arial" w:cs="Arial"/>
                  <w:color w:val="auto"/>
                  <w:sz w:val="24"/>
                  <w:szCs w:val="24"/>
                  <w:u w:val="none"/>
                </w:rPr>
                <w:t>mwarnock@bricker.com</w:t>
              </w:r>
            </w:hyperlink>
          </w:p>
          <w:p w14:paraId="0BA9736B" w14:textId="2C3997F2" w:rsidR="0079455C" w:rsidRPr="0079455C" w:rsidRDefault="0079455C" w:rsidP="00CC048A">
            <w:pPr>
              <w:rPr>
                <w:rFonts w:ascii="Arial" w:hAnsi="Arial" w:cs="Arial"/>
                <w:sz w:val="24"/>
                <w:szCs w:val="24"/>
              </w:rPr>
            </w:pPr>
            <w:r w:rsidRPr="0079455C">
              <w:rPr>
                <w:rFonts w:ascii="Arial" w:hAnsi="Arial" w:cs="Arial"/>
                <w:sz w:val="24"/>
                <w:szCs w:val="24"/>
              </w:rPr>
              <w:t>christopher.healey@occ.ohio.gov</w:t>
            </w:r>
          </w:p>
        </w:tc>
        <w:tc>
          <w:tcPr>
            <w:tcW w:w="4740" w:type="dxa"/>
          </w:tcPr>
          <w:p w14:paraId="100049EA" w14:textId="77777777" w:rsidR="00CC048A" w:rsidRPr="0079455C" w:rsidRDefault="00CC048A" w:rsidP="00CC048A">
            <w:pPr>
              <w:rPr>
                <w:rFonts w:ascii="Arial" w:hAnsi="Arial" w:cs="Arial"/>
                <w:sz w:val="24"/>
                <w:szCs w:val="24"/>
              </w:rPr>
            </w:pPr>
            <w:r w:rsidRPr="0079455C">
              <w:rPr>
                <w:rFonts w:ascii="Arial" w:hAnsi="Arial" w:cs="Arial"/>
                <w:sz w:val="24"/>
                <w:szCs w:val="24"/>
              </w:rPr>
              <w:t xml:space="preserve">William.wright@ohioattorneygeneral.gov   </w:t>
            </w:r>
          </w:p>
          <w:p w14:paraId="7B767160" w14:textId="60A8127D" w:rsidR="0086517A" w:rsidRPr="0079455C" w:rsidRDefault="00CC048A" w:rsidP="00CC048A">
            <w:pPr>
              <w:rPr>
                <w:rFonts w:ascii="Arial" w:hAnsi="Arial" w:cs="Arial"/>
                <w:sz w:val="24"/>
                <w:szCs w:val="24"/>
              </w:rPr>
            </w:pPr>
            <w:r w:rsidRPr="0079455C">
              <w:rPr>
                <w:rFonts w:ascii="Arial" w:hAnsi="Arial" w:cs="Arial"/>
                <w:sz w:val="24"/>
                <w:szCs w:val="24"/>
              </w:rPr>
              <w:t xml:space="preserve">Amy.spiller@duke-energy.com Elizabeth.watts@duke-energy.com cmooney@ohiopartners.org tdougherty@theOEC.org jfinnigan@edf.org </w:t>
            </w:r>
            <w:hyperlink r:id="rId12" w:history="1">
              <w:r w:rsidRPr="0079455C">
                <w:rPr>
                  <w:rStyle w:val="Hyperlink"/>
                  <w:rFonts w:ascii="Arial" w:hAnsi="Arial" w:cs="Arial"/>
                  <w:color w:val="auto"/>
                  <w:sz w:val="24"/>
                  <w:szCs w:val="24"/>
                  <w:u w:val="none"/>
                </w:rPr>
                <w:t>rdove@attorneydove.co</w:t>
              </w:r>
            </w:hyperlink>
            <w:r w:rsidRPr="0079455C">
              <w:rPr>
                <w:rFonts w:ascii="Arial" w:hAnsi="Arial" w:cs="Arial"/>
                <w:sz w:val="24"/>
                <w:szCs w:val="24"/>
              </w:rPr>
              <w:t>m</w:t>
            </w:r>
          </w:p>
          <w:p w14:paraId="3D954CA2" w14:textId="3B14EB55" w:rsidR="0079455C" w:rsidRPr="0079455C" w:rsidRDefault="00AE1B3E" w:rsidP="00CC048A">
            <w:pPr>
              <w:rPr>
                <w:rFonts w:ascii="Arial" w:hAnsi="Arial" w:cs="Arial"/>
                <w:sz w:val="24"/>
                <w:szCs w:val="24"/>
              </w:rPr>
            </w:pPr>
            <w:hyperlink r:id="rId13" w:history="1">
              <w:r w:rsidR="0079455C" w:rsidRPr="0079455C">
                <w:rPr>
                  <w:rStyle w:val="Hyperlink"/>
                  <w:rFonts w:ascii="Arial" w:hAnsi="Arial" w:cs="Arial"/>
                  <w:color w:val="auto"/>
                  <w:sz w:val="24"/>
                  <w:szCs w:val="24"/>
                  <w:u w:val="none"/>
                </w:rPr>
                <w:t>dborchers@bricker.com</w:t>
              </w:r>
            </w:hyperlink>
          </w:p>
          <w:p w14:paraId="3886D6E3" w14:textId="7F31DE19" w:rsidR="00CC048A" w:rsidRPr="0079455C" w:rsidRDefault="00AE1B3E" w:rsidP="0079455C">
            <w:pPr>
              <w:rPr>
                <w:rFonts w:ascii="Arial" w:hAnsi="Arial" w:cs="Arial"/>
                <w:sz w:val="24"/>
                <w:szCs w:val="24"/>
              </w:rPr>
            </w:pPr>
            <w:hyperlink r:id="rId14" w:history="1">
              <w:r w:rsidR="0079455C" w:rsidRPr="0079455C">
                <w:rPr>
                  <w:rStyle w:val="Hyperlink"/>
                  <w:rFonts w:ascii="Arial" w:hAnsi="Arial" w:cs="Arial"/>
                  <w:color w:val="auto"/>
                  <w:sz w:val="24"/>
                  <w:szCs w:val="24"/>
                  <w:u w:val="none"/>
                </w:rPr>
                <w:t>dstinson@bricker.com</w:t>
              </w:r>
            </w:hyperlink>
          </w:p>
          <w:p w14:paraId="7EBD91CE" w14:textId="62A215F9" w:rsidR="0079455C" w:rsidRPr="0079455C" w:rsidRDefault="0079455C" w:rsidP="0079455C">
            <w:pPr>
              <w:rPr>
                <w:rFonts w:ascii="Arial" w:hAnsi="Arial" w:cs="Arial"/>
                <w:sz w:val="24"/>
                <w:szCs w:val="24"/>
              </w:rPr>
            </w:pPr>
            <w:r w:rsidRPr="0079455C">
              <w:rPr>
                <w:rFonts w:ascii="Arial" w:hAnsi="Arial" w:cs="Arial"/>
                <w:sz w:val="24"/>
                <w:szCs w:val="24"/>
              </w:rPr>
              <w:t>fdarr@mwncmh.com</w:t>
            </w:r>
          </w:p>
        </w:tc>
      </w:tr>
    </w:tbl>
    <w:p w14:paraId="6F52E0CD" w14:textId="77777777" w:rsidR="0079455C" w:rsidRDefault="0079455C" w:rsidP="0079455C">
      <w:pPr>
        <w:spacing w:after="0" w:line="240" w:lineRule="auto"/>
        <w:ind w:left="5040" w:firstLine="720"/>
        <w:rPr>
          <w:rFonts w:ascii="Arial" w:eastAsia="Arial" w:hAnsi="Arial" w:cs="Arial"/>
          <w:i/>
          <w:sz w:val="24"/>
          <w:szCs w:val="24"/>
          <w:u w:val="single"/>
        </w:rPr>
      </w:pPr>
    </w:p>
    <w:p w14:paraId="1E406F41" w14:textId="77777777" w:rsidR="0079455C" w:rsidRPr="0079455C" w:rsidRDefault="0079455C" w:rsidP="0079455C">
      <w:pPr>
        <w:spacing w:after="0" w:line="240" w:lineRule="auto"/>
        <w:ind w:left="5040" w:firstLine="720"/>
        <w:rPr>
          <w:rFonts w:ascii="Arial" w:eastAsia="Calibri" w:hAnsi="Arial" w:cs="Arial"/>
          <w:sz w:val="24"/>
          <w:szCs w:val="24"/>
        </w:rPr>
      </w:pPr>
      <w:r w:rsidRPr="0079455C">
        <w:rPr>
          <w:rFonts w:ascii="Arial" w:eastAsia="Arial" w:hAnsi="Arial" w:cs="Arial"/>
          <w:i/>
          <w:sz w:val="24"/>
          <w:szCs w:val="24"/>
          <w:u w:val="single"/>
        </w:rPr>
        <w:t>/s/ Joseph Oliker</w:t>
      </w:r>
      <w:r w:rsidRPr="0079455C">
        <w:rPr>
          <w:rFonts w:ascii="Arial" w:eastAsia="Arial" w:hAnsi="Arial" w:cs="Arial"/>
          <w:i/>
          <w:sz w:val="24"/>
          <w:szCs w:val="24"/>
        </w:rPr>
        <w:t>_______</w:t>
      </w:r>
    </w:p>
    <w:p w14:paraId="28F8E416" w14:textId="77777777" w:rsidR="0079455C" w:rsidRPr="0079455C" w:rsidRDefault="0079455C" w:rsidP="0079455C">
      <w:pPr>
        <w:spacing w:after="0" w:line="240" w:lineRule="auto"/>
        <w:ind w:left="5040" w:firstLine="720"/>
        <w:rPr>
          <w:rFonts w:ascii="Arial" w:hAnsi="Arial" w:cs="Arial"/>
          <w:sz w:val="24"/>
          <w:szCs w:val="24"/>
        </w:rPr>
      </w:pPr>
      <w:r w:rsidRPr="0079455C">
        <w:rPr>
          <w:rFonts w:ascii="Arial" w:hAnsi="Arial" w:cs="Arial"/>
          <w:sz w:val="24"/>
          <w:szCs w:val="24"/>
        </w:rPr>
        <w:t>Joseph Oliker</w:t>
      </w:r>
    </w:p>
    <w:p w14:paraId="7176D312" w14:textId="7B13A1D1" w:rsidR="00545F29" w:rsidRPr="003A51CC" w:rsidRDefault="00545F29">
      <w:pPr>
        <w:spacing w:after="0" w:line="240" w:lineRule="auto"/>
        <w:rPr>
          <w:rFonts w:ascii="Arial" w:hAnsi="Arial" w:cs="Arial"/>
          <w:sz w:val="24"/>
          <w:szCs w:val="24"/>
        </w:rPr>
      </w:pPr>
    </w:p>
    <w:sectPr w:rsidR="00545F29" w:rsidRPr="003A51C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06B14" w14:textId="77777777" w:rsidR="00CD6718" w:rsidRDefault="00CD6718">
      <w:pPr>
        <w:spacing w:after="0" w:line="240" w:lineRule="auto"/>
      </w:pPr>
      <w:r>
        <w:separator/>
      </w:r>
    </w:p>
  </w:endnote>
  <w:endnote w:type="continuationSeparator" w:id="0">
    <w:p w14:paraId="769AD19A" w14:textId="77777777" w:rsidR="00CD6718" w:rsidRDefault="00CD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E5AFE" w14:textId="77777777" w:rsidR="00CD6718" w:rsidRDefault="00CD6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5860"/>
      <w:docPartObj>
        <w:docPartGallery w:val="Page Numbers (Bottom of Page)"/>
        <w:docPartUnique/>
      </w:docPartObj>
    </w:sdtPr>
    <w:sdtEndPr/>
    <w:sdtContent>
      <w:p w14:paraId="7176D32E" w14:textId="77777777" w:rsidR="00CD6718" w:rsidRDefault="00CD6718">
        <w:pPr>
          <w:pStyle w:val="Footer"/>
          <w:jc w:val="center"/>
        </w:pPr>
        <w:r>
          <w:fldChar w:fldCharType="begin"/>
        </w:r>
        <w:r>
          <w:instrText xml:space="preserve"> PAGE   \* MERGEFORMAT </w:instrText>
        </w:r>
        <w:r>
          <w:fldChar w:fldCharType="separate"/>
        </w:r>
        <w:r w:rsidR="00AE1B3E">
          <w:rPr>
            <w:noProof/>
          </w:rPr>
          <w:t>2</w:t>
        </w:r>
        <w:r>
          <w:rPr>
            <w:noProof/>
          </w:rPr>
          <w:fldChar w:fldCharType="end"/>
        </w:r>
      </w:p>
    </w:sdtContent>
  </w:sdt>
  <w:p w14:paraId="7176D32F" w14:textId="77777777" w:rsidR="00CD6718" w:rsidRDefault="00CD67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0F0FF" w14:textId="77777777" w:rsidR="00CD6718" w:rsidRDefault="00CD6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99F7E" w14:textId="77777777" w:rsidR="00CD6718" w:rsidRDefault="00CD6718">
      <w:pPr>
        <w:spacing w:after="0" w:line="240" w:lineRule="auto"/>
      </w:pPr>
      <w:r>
        <w:separator/>
      </w:r>
    </w:p>
  </w:footnote>
  <w:footnote w:type="continuationSeparator" w:id="0">
    <w:p w14:paraId="385E3B90" w14:textId="77777777" w:rsidR="00CD6718" w:rsidRDefault="00CD6718">
      <w:pPr>
        <w:spacing w:after="0" w:line="240" w:lineRule="auto"/>
      </w:pPr>
      <w:r>
        <w:continuationSeparator/>
      </w:r>
    </w:p>
  </w:footnote>
  <w:footnote w:id="1">
    <w:p w14:paraId="0249F309" w14:textId="1FFF19B5" w:rsidR="00CD6718" w:rsidRPr="00C6378A" w:rsidRDefault="00CD6718" w:rsidP="00C6378A">
      <w:pPr>
        <w:pStyle w:val="FootnoteText"/>
        <w:jc w:val="both"/>
        <w:rPr>
          <w:rFonts w:ascii="Arial" w:hAnsi="Arial" w:cs="Arial"/>
        </w:rPr>
      </w:pPr>
      <w:r w:rsidRPr="00C6378A">
        <w:rPr>
          <w:rStyle w:val="FootnoteReference"/>
          <w:rFonts w:ascii="Arial" w:hAnsi="Arial" w:cs="Arial"/>
        </w:rPr>
        <w:footnoteRef/>
      </w:r>
      <w:r w:rsidRPr="00C6378A">
        <w:rPr>
          <w:rFonts w:ascii="Arial" w:hAnsi="Arial" w:cs="Arial"/>
        </w:rPr>
        <w:t xml:space="preserve"> </w:t>
      </w:r>
      <w:r w:rsidR="00C6378A">
        <w:rPr>
          <w:rFonts w:ascii="Arial" w:hAnsi="Arial" w:cs="Arial"/>
        </w:rPr>
        <w:t>The signatory</w:t>
      </w:r>
      <w:r w:rsidRPr="00C6378A">
        <w:rPr>
          <w:rFonts w:ascii="Arial" w:hAnsi="Arial" w:cs="Arial"/>
        </w:rPr>
        <w:t xml:space="preserve"> parties include Duke, </w:t>
      </w:r>
      <w:r w:rsidR="001B4A50" w:rsidRPr="00C6378A">
        <w:rPr>
          <w:rFonts w:ascii="Arial" w:hAnsi="Arial" w:cs="Arial"/>
        </w:rPr>
        <w:t xml:space="preserve">Ohio Hospital Association (“OHA”), </w:t>
      </w:r>
      <w:r w:rsidRPr="00C6378A">
        <w:rPr>
          <w:rFonts w:ascii="Arial" w:hAnsi="Arial" w:cs="Arial"/>
        </w:rPr>
        <w:t>Interstate Gas Supply, Inc. (“IGS”), Environmental Law and</w:t>
      </w:r>
      <w:r w:rsidR="001B4A50" w:rsidRPr="00C6378A">
        <w:rPr>
          <w:rFonts w:ascii="Arial" w:hAnsi="Arial" w:cs="Arial"/>
        </w:rPr>
        <w:t xml:space="preserve"> Policy Center (“ELPC”), Environmental Defense Fund (“EDF”), and the Ohio Environmental Council (“OEC”), and Natural Resource Defense Counsel (“NRDC”). </w:t>
      </w:r>
      <w:r w:rsidR="0052751C" w:rsidRPr="00C6378A">
        <w:rPr>
          <w:rFonts w:ascii="Arial" w:hAnsi="Arial" w:cs="Arial"/>
        </w:rPr>
        <w:t>Joint Ex. 1.</w:t>
      </w:r>
    </w:p>
    <w:p w14:paraId="2576DA70" w14:textId="77777777" w:rsidR="001B4A50" w:rsidRPr="00C6378A" w:rsidRDefault="001B4A50" w:rsidP="00C6378A">
      <w:pPr>
        <w:pStyle w:val="FootnoteText"/>
        <w:jc w:val="both"/>
        <w:rPr>
          <w:rFonts w:ascii="Arial" w:hAnsi="Arial" w:cs="Arial"/>
        </w:rPr>
      </w:pPr>
    </w:p>
  </w:footnote>
  <w:footnote w:id="2">
    <w:p w14:paraId="4C3C2CA0" w14:textId="73946BF9" w:rsidR="001B4A50" w:rsidRPr="00C6378A" w:rsidRDefault="001B4A50" w:rsidP="00C6378A">
      <w:pPr>
        <w:pStyle w:val="FootnoteText"/>
        <w:jc w:val="both"/>
        <w:rPr>
          <w:rFonts w:ascii="Arial" w:hAnsi="Arial" w:cs="Arial"/>
        </w:rPr>
      </w:pPr>
      <w:r w:rsidRPr="00C6378A">
        <w:rPr>
          <w:rStyle w:val="FootnoteReference"/>
          <w:rFonts w:ascii="Arial" w:hAnsi="Arial" w:cs="Arial"/>
        </w:rPr>
        <w:footnoteRef/>
      </w:r>
      <w:r w:rsidRPr="00C6378A">
        <w:rPr>
          <w:rFonts w:ascii="Arial" w:hAnsi="Arial" w:cs="Arial"/>
        </w:rPr>
        <w:t xml:space="preserve"> </w:t>
      </w:r>
      <w:r w:rsidR="00C6378A">
        <w:rPr>
          <w:rFonts w:ascii="Arial" w:hAnsi="Arial" w:cs="Arial"/>
        </w:rPr>
        <w:t>The signatory</w:t>
      </w:r>
      <w:r w:rsidRPr="00C6378A">
        <w:rPr>
          <w:rFonts w:ascii="Arial" w:hAnsi="Arial" w:cs="Arial"/>
        </w:rPr>
        <w:t xml:space="preserve"> parties include Duke, OHA, Ohio Partners for Affordable Energy, ELPC, EDF, the OEC, NRDC, IGS Energy, The Kroger Company, and The Ohio Manufacturers’ Association.</w:t>
      </w:r>
      <w:r w:rsidR="0052751C" w:rsidRPr="00C6378A">
        <w:rPr>
          <w:rFonts w:ascii="Arial" w:hAnsi="Arial" w:cs="Arial"/>
        </w:rPr>
        <w:t xml:space="preserve"> Joint Ex. 2. </w:t>
      </w:r>
    </w:p>
  </w:footnote>
  <w:footnote w:id="3">
    <w:p w14:paraId="525BFFEB" w14:textId="49672B12" w:rsidR="0052751C" w:rsidRPr="00C6378A" w:rsidRDefault="0052751C" w:rsidP="00C6378A">
      <w:pPr>
        <w:pStyle w:val="FootnoteText"/>
        <w:jc w:val="both"/>
        <w:rPr>
          <w:rFonts w:ascii="Arial" w:hAnsi="Arial" w:cs="Arial"/>
        </w:rPr>
      </w:pPr>
      <w:r w:rsidRPr="00C6378A">
        <w:rPr>
          <w:rStyle w:val="FootnoteReference"/>
          <w:rFonts w:ascii="Arial" w:hAnsi="Arial" w:cs="Arial"/>
        </w:rPr>
        <w:footnoteRef/>
      </w:r>
      <w:r w:rsidRPr="00C6378A">
        <w:rPr>
          <w:rFonts w:ascii="Arial" w:hAnsi="Arial" w:cs="Arial"/>
        </w:rPr>
        <w:t xml:space="preserve"> Joint Ex. 2 at 8-9. </w:t>
      </w:r>
      <w:r w:rsidR="00AD140C" w:rsidRPr="00C6378A">
        <w:rPr>
          <w:rFonts w:ascii="Arial" w:hAnsi="Arial" w:cs="Arial"/>
          <w:i/>
        </w:rPr>
        <w:t xml:space="preserve">See also </w:t>
      </w:r>
      <w:r w:rsidR="00AD140C" w:rsidRPr="00C6378A">
        <w:rPr>
          <w:rFonts w:ascii="Arial" w:hAnsi="Arial" w:cs="Arial"/>
        </w:rPr>
        <w:t xml:space="preserve">Duke Ex. 4 at 4-5 (Supplemental Direct Testimony of Timothy Duff). </w:t>
      </w:r>
    </w:p>
  </w:footnote>
  <w:footnote w:id="4">
    <w:p w14:paraId="11F11B07" w14:textId="397D326E" w:rsidR="00AD140C" w:rsidRPr="00C6378A" w:rsidRDefault="00AD140C" w:rsidP="00C6378A">
      <w:pPr>
        <w:pStyle w:val="FootnoteText"/>
        <w:jc w:val="both"/>
        <w:rPr>
          <w:rFonts w:ascii="Arial" w:hAnsi="Arial" w:cs="Arial"/>
        </w:rPr>
      </w:pPr>
      <w:r w:rsidRPr="00C6378A">
        <w:rPr>
          <w:rStyle w:val="FootnoteReference"/>
          <w:rFonts w:ascii="Arial" w:hAnsi="Arial" w:cs="Arial"/>
        </w:rPr>
        <w:footnoteRef/>
      </w:r>
      <w:r w:rsidRPr="00C6378A">
        <w:rPr>
          <w:rFonts w:ascii="Arial" w:hAnsi="Arial" w:cs="Arial"/>
        </w:rPr>
        <w:t xml:space="preserve"> OCC Brief at 14-18.</w:t>
      </w:r>
    </w:p>
    <w:p w14:paraId="130487D2" w14:textId="77777777" w:rsidR="00AD140C" w:rsidRPr="00C6378A" w:rsidRDefault="00AD140C" w:rsidP="00C6378A">
      <w:pPr>
        <w:pStyle w:val="FootnoteText"/>
        <w:jc w:val="both"/>
        <w:rPr>
          <w:rFonts w:ascii="Arial" w:hAnsi="Arial" w:cs="Arial"/>
        </w:rPr>
      </w:pPr>
    </w:p>
  </w:footnote>
  <w:footnote w:id="5">
    <w:p w14:paraId="378CBF20" w14:textId="274F355D" w:rsidR="00AD140C" w:rsidRPr="00C6378A" w:rsidRDefault="00AD140C" w:rsidP="00C6378A">
      <w:pPr>
        <w:pStyle w:val="FootnoteText"/>
        <w:jc w:val="both"/>
        <w:rPr>
          <w:rFonts w:ascii="Arial" w:hAnsi="Arial" w:cs="Arial"/>
          <w:i/>
        </w:rPr>
      </w:pPr>
      <w:r w:rsidRPr="00C6378A">
        <w:rPr>
          <w:rStyle w:val="FootnoteReference"/>
          <w:rFonts w:ascii="Arial" w:hAnsi="Arial" w:cs="Arial"/>
        </w:rPr>
        <w:footnoteRef/>
      </w:r>
      <w:r w:rsidRPr="00C6378A">
        <w:rPr>
          <w:rFonts w:ascii="Arial" w:hAnsi="Arial" w:cs="Arial"/>
        </w:rPr>
        <w:t xml:space="preserve"> </w:t>
      </w:r>
      <w:r w:rsidRPr="00C6378A">
        <w:rPr>
          <w:rFonts w:ascii="Arial" w:hAnsi="Arial" w:cs="Arial"/>
          <w:i/>
        </w:rPr>
        <w:t xml:space="preserve">Id. </w:t>
      </w:r>
    </w:p>
  </w:footnote>
  <w:footnote w:id="6">
    <w:p w14:paraId="05DF4624" w14:textId="26E4E62D" w:rsidR="00692EBF" w:rsidRPr="00C6378A" w:rsidRDefault="00692EBF" w:rsidP="00C6378A">
      <w:pPr>
        <w:pStyle w:val="FootnoteText"/>
        <w:jc w:val="both"/>
        <w:rPr>
          <w:rFonts w:ascii="Arial" w:hAnsi="Arial" w:cs="Arial"/>
        </w:rPr>
      </w:pPr>
      <w:r w:rsidRPr="00C6378A">
        <w:rPr>
          <w:rStyle w:val="FootnoteReference"/>
          <w:rFonts w:ascii="Arial" w:hAnsi="Arial" w:cs="Arial"/>
          <w:i/>
        </w:rPr>
        <w:footnoteRef/>
      </w:r>
      <w:r w:rsidR="00AD140C" w:rsidRPr="00C6378A">
        <w:rPr>
          <w:rFonts w:ascii="Arial" w:hAnsi="Arial" w:cs="Arial"/>
        </w:rPr>
        <w:t xml:space="preserve"> OCC Brief at 16; </w:t>
      </w:r>
      <w:r w:rsidR="00AD140C" w:rsidRPr="00C6378A">
        <w:rPr>
          <w:rFonts w:ascii="Arial" w:hAnsi="Arial" w:cs="Arial"/>
          <w:i/>
        </w:rPr>
        <w:t xml:space="preserve">see generally </w:t>
      </w:r>
      <w:r w:rsidRPr="00C6378A">
        <w:rPr>
          <w:rFonts w:ascii="Arial" w:hAnsi="Arial" w:cs="Arial"/>
          <w:i/>
        </w:rPr>
        <w:t>In re Application of Duke Energy Ohio, Inc. for an Energy Efficiency Cost Recovery Mechanism &amp; for Approval of Additional Programs for Inclusion in its Existing Portfolio, Case No.</w:t>
      </w:r>
      <w:r w:rsidR="000B658C" w:rsidRPr="00C6378A">
        <w:rPr>
          <w:rFonts w:ascii="Arial" w:hAnsi="Arial" w:cs="Arial"/>
        </w:rPr>
        <w:t xml:space="preserve"> 11</w:t>
      </w:r>
      <w:r w:rsidRPr="00C6378A">
        <w:rPr>
          <w:rFonts w:ascii="Arial" w:hAnsi="Arial" w:cs="Arial"/>
        </w:rPr>
        <w:t>-4393-EL-RDR, Entry at 2-3 (Mar. 21, 2012) (hereinafter “</w:t>
      </w:r>
      <w:r w:rsidRPr="00C6378A">
        <w:rPr>
          <w:rFonts w:ascii="Arial" w:hAnsi="Arial" w:cs="Arial"/>
          <w:i/>
        </w:rPr>
        <w:t>2011 POR Case</w:t>
      </w:r>
      <w:r w:rsidRPr="00C6378A">
        <w:rPr>
          <w:rFonts w:ascii="Arial" w:hAnsi="Arial" w:cs="Arial"/>
        </w:rPr>
        <w:t>”).</w:t>
      </w:r>
      <w:r w:rsidR="00AD140C" w:rsidRPr="00C6378A">
        <w:rPr>
          <w:rFonts w:ascii="Arial" w:hAnsi="Arial" w:cs="Arial"/>
        </w:rPr>
        <w:t xml:space="preserve">  </w:t>
      </w:r>
    </w:p>
    <w:p w14:paraId="00907659" w14:textId="77777777" w:rsidR="00AD140C" w:rsidRPr="00C6378A" w:rsidRDefault="00AD140C" w:rsidP="00C6378A">
      <w:pPr>
        <w:pStyle w:val="FootnoteText"/>
        <w:jc w:val="both"/>
        <w:rPr>
          <w:rFonts w:ascii="Arial" w:hAnsi="Arial" w:cs="Arial"/>
          <w:i/>
        </w:rPr>
      </w:pPr>
    </w:p>
  </w:footnote>
  <w:footnote w:id="7">
    <w:p w14:paraId="4EBCDCAB" w14:textId="7D55A6B3" w:rsidR="00AD140C" w:rsidRPr="00C6378A" w:rsidRDefault="00AD140C" w:rsidP="00C6378A">
      <w:pPr>
        <w:pStyle w:val="FootnoteText"/>
        <w:jc w:val="both"/>
        <w:rPr>
          <w:rFonts w:ascii="Arial" w:hAnsi="Arial" w:cs="Arial"/>
        </w:rPr>
      </w:pPr>
      <w:r w:rsidRPr="00C6378A">
        <w:rPr>
          <w:rStyle w:val="FootnoteReference"/>
          <w:rFonts w:ascii="Arial" w:hAnsi="Arial" w:cs="Arial"/>
        </w:rPr>
        <w:footnoteRef/>
      </w:r>
      <w:r w:rsidRPr="00C6378A">
        <w:rPr>
          <w:rFonts w:ascii="Arial" w:hAnsi="Arial" w:cs="Arial"/>
        </w:rPr>
        <w:t xml:space="preserve"> </w:t>
      </w:r>
      <w:r w:rsidRPr="00C6378A">
        <w:rPr>
          <w:rFonts w:ascii="Arial" w:hAnsi="Arial" w:cs="Arial"/>
          <w:i/>
        </w:rPr>
        <w:t>2011 POR Case</w:t>
      </w:r>
      <w:r w:rsidRPr="00C6378A">
        <w:rPr>
          <w:rFonts w:ascii="Arial" w:hAnsi="Arial" w:cs="Arial"/>
        </w:rPr>
        <w:t>, Entry at 2-4.</w:t>
      </w:r>
    </w:p>
    <w:p w14:paraId="7DAC13DE" w14:textId="77777777" w:rsidR="00AD140C" w:rsidRPr="00C6378A" w:rsidRDefault="00AD140C" w:rsidP="00C6378A">
      <w:pPr>
        <w:pStyle w:val="FootnoteText"/>
        <w:jc w:val="both"/>
        <w:rPr>
          <w:rFonts w:ascii="Arial" w:hAnsi="Arial" w:cs="Arial"/>
        </w:rPr>
      </w:pPr>
    </w:p>
  </w:footnote>
  <w:footnote w:id="8">
    <w:p w14:paraId="564140C4" w14:textId="00E64B59" w:rsidR="00AD140C" w:rsidRPr="00C6378A" w:rsidRDefault="00AD140C" w:rsidP="00C6378A">
      <w:pPr>
        <w:pStyle w:val="FootnoteText"/>
        <w:jc w:val="both"/>
        <w:rPr>
          <w:rFonts w:ascii="Arial" w:hAnsi="Arial" w:cs="Arial"/>
        </w:rPr>
      </w:pPr>
      <w:r w:rsidRPr="00C6378A">
        <w:rPr>
          <w:rStyle w:val="FootnoteReference"/>
          <w:rFonts w:ascii="Arial" w:hAnsi="Arial" w:cs="Arial"/>
        </w:rPr>
        <w:footnoteRef/>
      </w:r>
      <w:r w:rsidRPr="00C6378A">
        <w:rPr>
          <w:rFonts w:ascii="Arial" w:hAnsi="Arial" w:cs="Arial"/>
        </w:rPr>
        <w:t xml:space="preserve"> </w:t>
      </w:r>
      <w:r w:rsidR="00C6378A">
        <w:rPr>
          <w:rFonts w:ascii="Arial" w:hAnsi="Arial" w:cs="Arial"/>
          <w:i/>
        </w:rPr>
        <w:t xml:space="preserve">See </w:t>
      </w:r>
      <w:r w:rsidRPr="00C6378A">
        <w:rPr>
          <w:rFonts w:ascii="Arial" w:hAnsi="Arial" w:cs="Arial"/>
        </w:rPr>
        <w:t xml:space="preserve">Duke Ex. 2. </w:t>
      </w:r>
    </w:p>
  </w:footnote>
  <w:footnote w:id="9">
    <w:p w14:paraId="44CDABF7" w14:textId="4DAD9A8C" w:rsidR="009A53A3" w:rsidRDefault="009A53A3" w:rsidP="00C6378A">
      <w:pPr>
        <w:pStyle w:val="FootnoteText"/>
        <w:jc w:val="both"/>
        <w:rPr>
          <w:rFonts w:ascii="Arial" w:hAnsi="Arial" w:cs="Arial"/>
        </w:rPr>
      </w:pPr>
      <w:r w:rsidRPr="00C6378A">
        <w:rPr>
          <w:rStyle w:val="FootnoteReference"/>
          <w:rFonts w:ascii="Arial" w:hAnsi="Arial" w:cs="Arial"/>
        </w:rPr>
        <w:footnoteRef/>
      </w:r>
      <w:r w:rsidRPr="00C6378A">
        <w:rPr>
          <w:rFonts w:ascii="Arial" w:hAnsi="Arial" w:cs="Arial"/>
        </w:rPr>
        <w:t xml:space="preserve"> Joint Ex. 2 at 8-9; Duke Ex. 4 at 4-5.</w:t>
      </w:r>
    </w:p>
    <w:p w14:paraId="1889FE1D" w14:textId="77777777" w:rsidR="00C6378A" w:rsidRPr="00C6378A" w:rsidRDefault="00C6378A" w:rsidP="00C6378A">
      <w:pPr>
        <w:pStyle w:val="FootnoteText"/>
        <w:jc w:val="both"/>
        <w:rPr>
          <w:rFonts w:ascii="Arial" w:hAnsi="Arial" w:cs="Arial"/>
        </w:rPr>
      </w:pPr>
    </w:p>
  </w:footnote>
  <w:footnote w:id="10">
    <w:p w14:paraId="0917BC25" w14:textId="5879286B" w:rsidR="009A53A3" w:rsidRPr="00C6378A" w:rsidRDefault="009A53A3" w:rsidP="00C6378A">
      <w:pPr>
        <w:pStyle w:val="FootnoteText"/>
        <w:jc w:val="both"/>
        <w:rPr>
          <w:rFonts w:ascii="Arial" w:hAnsi="Arial" w:cs="Arial"/>
        </w:rPr>
      </w:pPr>
      <w:r w:rsidRPr="00C6378A">
        <w:rPr>
          <w:rStyle w:val="FootnoteReference"/>
          <w:rFonts w:ascii="Arial" w:hAnsi="Arial" w:cs="Arial"/>
        </w:rPr>
        <w:footnoteRef/>
      </w:r>
      <w:r w:rsidRPr="00C6378A">
        <w:rPr>
          <w:rFonts w:ascii="Arial" w:hAnsi="Arial" w:cs="Arial"/>
        </w:rPr>
        <w:t xml:space="preserve"> </w:t>
      </w:r>
      <w:r w:rsidRPr="00C6378A">
        <w:rPr>
          <w:rFonts w:ascii="Arial" w:hAnsi="Arial" w:cs="Arial"/>
          <w:i/>
        </w:rPr>
        <w:t xml:space="preserve">Id. </w:t>
      </w:r>
      <w:r w:rsidRPr="00C6378A">
        <w:rPr>
          <w:rFonts w:ascii="Arial" w:hAnsi="Arial" w:cs="Arial"/>
        </w:rPr>
        <w:t>at 8.</w:t>
      </w:r>
    </w:p>
  </w:footnote>
  <w:footnote w:id="11">
    <w:p w14:paraId="1A15A6A0" w14:textId="3B868ECF" w:rsidR="00322494" w:rsidRPr="00F85B5F" w:rsidRDefault="00322494" w:rsidP="00F85B5F">
      <w:pPr>
        <w:pStyle w:val="FootnoteText"/>
        <w:jc w:val="both"/>
        <w:rPr>
          <w:rFonts w:ascii="Arial" w:hAnsi="Arial" w:cs="Arial"/>
        </w:rPr>
      </w:pPr>
      <w:r w:rsidRPr="00C6378A">
        <w:rPr>
          <w:rStyle w:val="FootnoteReference"/>
          <w:rFonts w:ascii="Arial" w:hAnsi="Arial" w:cs="Arial"/>
        </w:rPr>
        <w:footnoteRef/>
      </w:r>
      <w:r w:rsidRPr="00C6378A">
        <w:rPr>
          <w:rFonts w:ascii="Arial" w:hAnsi="Arial" w:cs="Arial"/>
        </w:rPr>
        <w:t xml:space="preserve"> </w:t>
      </w:r>
      <w:r w:rsidRPr="00C6378A">
        <w:rPr>
          <w:rFonts w:ascii="Arial" w:hAnsi="Arial" w:cs="Arial"/>
          <w:i/>
        </w:rPr>
        <w:t>Id.</w:t>
      </w:r>
      <w:r w:rsidRPr="00C6378A">
        <w:rPr>
          <w:rFonts w:ascii="Arial" w:hAnsi="Arial" w:cs="Arial"/>
        </w:rPr>
        <w:t xml:space="preserve"> </w:t>
      </w:r>
      <w:r w:rsidRPr="00F85B5F">
        <w:rPr>
          <w:rFonts w:ascii="Arial" w:hAnsi="Arial" w:cs="Arial"/>
        </w:rPr>
        <w:t>at 8.</w:t>
      </w:r>
    </w:p>
    <w:p w14:paraId="1DE53A46" w14:textId="77777777" w:rsidR="00C6378A" w:rsidRPr="00F85B5F" w:rsidRDefault="00C6378A" w:rsidP="00F85B5F">
      <w:pPr>
        <w:pStyle w:val="FootnoteText"/>
        <w:jc w:val="both"/>
        <w:rPr>
          <w:rFonts w:ascii="Arial" w:hAnsi="Arial" w:cs="Arial"/>
        </w:rPr>
      </w:pPr>
    </w:p>
  </w:footnote>
  <w:footnote w:id="12">
    <w:p w14:paraId="47BED6F1" w14:textId="289281C4" w:rsidR="00F85B5F" w:rsidRPr="00F85B5F" w:rsidRDefault="00F85B5F" w:rsidP="00F85B5F">
      <w:pPr>
        <w:pStyle w:val="FootnoteText"/>
        <w:jc w:val="both"/>
        <w:rPr>
          <w:rFonts w:ascii="Arial" w:hAnsi="Arial" w:cs="Arial"/>
          <w:i/>
        </w:rPr>
      </w:pPr>
      <w:r w:rsidRPr="00F85B5F">
        <w:rPr>
          <w:rStyle w:val="FootnoteReference"/>
          <w:rFonts w:ascii="Arial" w:hAnsi="Arial" w:cs="Arial"/>
        </w:rPr>
        <w:footnoteRef/>
      </w:r>
      <w:r w:rsidRPr="00F85B5F">
        <w:rPr>
          <w:rFonts w:ascii="Arial" w:hAnsi="Arial" w:cs="Arial"/>
        </w:rPr>
        <w:t xml:space="preserve"> </w:t>
      </w:r>
      <w:r w:rsidRPr="00F85B5F">
        <w:rPr>
          <w:rFonts w:ascii="Arial" w:hAnsi="Arial" w:cs="Arial"/>
          <w:i/>
        </w:rPr>
        <w:t>Id. See also Duke Ex. TAH1 at 17.</w:t>
      </w:r>
    </w:p>
    <w:p w14:paraId="17890DCE" w14:textId="77777777" w:rsidR="00F85B5F" w:rsidRPr="00F85B5F" w:rsidRDefault="00F85B5F" w:rsidP="00F85B5F">
      <w:pPr>
        <w:pStyle w:val="FootnoteText"/>
        <w:jc w:val="both"/>
        <w:rPr>
          <w:rFonts w:ascii="Arial" w:hAnsi="Arial" w:cs="Arial"/>
        </w:rPr>
      </w:pPr>
    </w:p>
  </w:footnote>
  <w:footnote w:id="13">
    <w:p w14:paraId="095ABEDC" w14:textId="49492F9D" w:rsidR="00322494" w:rsidRPr="00F85B5F" w:rsidRDefault="00322494" w:rsidP="00F85B5F">
      <w:pPr>
        <w:pStyle w:val="FootnoteText"/>
        <w:jc w:val="both"/>
        <w:rPr>
          <w:rFonts w:ascii="Arial" w:hAnsi="Arial" w:cs="Arial"/>
          <w:i/>
        </w:rPr>
      </w:pPr>
      <w:r w:rsidRPr="00F85B5F">
        <w:rPr>
          <w:rStyle w:val="FootnoteReference"/>
          <w:rFonts w:ascii="Arial" w:hAnsi="Arial" w:cs="Arial"/>
        </w:rPr>
        <w:footnoteRef/>
      </w:r>
      <w:r w:rsidRPr="00F85B5F">
        <w:rPr>
          <w:rFonts w:ascii="Arial" w:hAnsi="Arial" w:cs="Arial"/>
        </w:rPr>
        <w:t xml:space="preserve"> </w:t>
      </w:r>
      <w:r w:rsidRPr="00F85B5F">
        <w:rPr>
          <w:rFonts w:ascii="Arial" w:hAnsi="Arial" w:cs="Arial"/>
          <w:i/>
        </w:rPr>
        <w:t>Id.</w:t>
      </w:r>
    </w:p>
    <w:p w14:paraId="7DF957F5" w14:textId="77777777" w:rsidR="00C6378A" w:rsidRPr="00C6378A" w:rsidRDefault="00C6378A" w:rsidP="00C6378A">
      <w:pPr>
        <w:pStyle w:val="FootnoteText"/>
        <w:jc w:val="both"/>
        <w:rPr>
          <w:rFonts w:ascii="Arial" w:hAnsi="Arial" w:cs="Arial"/>
          <w:i/>
        </w:rPr>
      </w:pPr>
    </w:p>
  </w:footnote>
  <w:footnote w:id="14">
    <w:p w14:paraId="4F4E5F8D" w14:textId="041CCCFD" w:rsidR="00322494" w:rsidRPr="00C6378A" w:rsidRDefault="00322494" w:rsidP="00C6378A">
      <w:pPr>
        <w:pStyle w:val="FootnoteText"/>
        <w:jc w:val="both"/>
        <w:rPr>
          <w:rFonts w:ascii="Arial" w:hAnsi="Arial" w:cs="Arial"/>
        </w:rPr>
      </w:pPr>
      <w:r w:rsidRPr="00C6378A">
        <w:rPr>
          <w:rStyle w:val="FootnoteReference"/>
          <w:rFonts w:ascii="Arial" w:hAnsi="Arial" w:cs="Arial"/>
        </w:rPr>
        <w:footnoteRef/>
      </w:r>
      <w:r w:rsidRPr="00C6378A">
        <w:rPr>
          <w:rFonts w:ascii="Arial" w:hAnsi="Arial" w:cs="Arial"/>
        </w:rPr>
        <w:t xml:space="preserve"> </w:t>
      </w:r>
      <w:r w:rsidRPr="00C6378A">
        <w:rPr>
          <w:rFonts w:ascii="Arial" w:hAnsi="Arial" w:cs="Arial"/>
          <w:i/>
        </w:rPr>
        <w:t xml:space="preserve">Id. </w:t>
      </w:r>
      <w:r w:rsidRPr="00C6378A">
        <w:rPr>
          <w:rFonts w:ascii="Arial" w:hAnsi="Arial" w:cs="Arial"/>
        </w:rPr>
        <w:t>at 8-9.</w:t>
      </w:r>
    </w:p>
  </w:footnote>
  <w:footnote w:id="15">
    <w:p w14:paraId="73489DE7" w14:textId="0714516C" w:rsidR="00322494" w:rsidRDefault="00322494" w:rsidP="00C6378A">
      <w:pPr>
        <w:pStyle w:val="FootnoteText"/>
        <w:jc w:val="both"/>
        <w:rPr>
          <w:rFonts w:ascii="Arial" w:hAnsi="Arial" w:cs="Arial"/>
        </w:rPr>
      </w:pPr>
      <w:r w:rsidRPr="00C6378A">
        <w:rPr>
          <w:rStyle w:val="FootnoteReference"/>
          <w:rFonts w:ascii="Arial" w:hAnsi="Arial" w:cs="Arial"/>
        </w:rPr>
        <w:footnoteRef/>
      </w:r>
      <w:r w:rsidRPr="00C6378A">
        <w:rPr>
          <w:rFonts w:ascii="Arial" w:hAnsi="Arial" w:cs="Arial"/>
        </w:rPr>
        <w:t xml:space="preserve"> </w:t>
      </w:r>
      <w:r w:rsidRPr="00C6378A">
        <w:rPr>
          <w:rFonts w:ascii="Arial" w:hAnsi="Arial" w:cs="Arial"/>
          <w:i/>
        </w:rPr>
        <w:t xml:space="preserve">Id. </w:t>
      </w:r>
      <w:r w:rsidRPr="00C6378A">
        <w:rPr>
          <w:rFonts w:ascii="Arial" w:hAnsi="Arial" w:cs="Arial"/>
        </w:rPr>
        <w:t>at 9.</w:t>
      </w:r>
    </w:p>
    <w:p w14:paraId="61B0571D" w14:textId="77777777" w:rsidR="00C6378A" w:rsidRPr="00C6378A" w:rsidRDefault="00C6378A" w:rsidP="00C6378A">
      <w:pPr>
        <w:pStyle w:val="FootnoteText"/>
        <w:jc w:val="both"/>
        <w:rPr>
          <w:rFonts w:ascii="Arial" w:hAnsi="Arial" w:cs="Arial"/>
        </w:rPr>
      </w:pPr>
    </w:p>
  </w:footnote>
  <w:footnote w:id="16">
    <w:p w14:paraId="3EAA6B7E" w14:textId="33C2A7DB" w:rsidR="00322494" w:rsidRDefault="00322494" w:rsidP="00C6378A">
      <w:pPr>
        <w:pStyle w:val="FootnoteText"/>
        <w:jc w:val="both"/>
        <w:rPr>
          <w:rFonts w:ascii="Arial" w:hAnsi="Arial" w:cs="Arial"/>
        </w:rPr>
      </w:pPr>
      <w:r w:rsidRPr="00C6378A">
        <w:rPr>
          <w:rStyle w:val="FootnoteReference"/>
          <w:rFonts w:ascii="Arial" w:hAnsi="Arial" w:cs="Arial"/>
        </w:rPr>
        <w:footnoteRef/>
      </w:r>
      <w:r w:rsidRPr="00C6378A">
        <w:rPr>
          <w:rFonts w:ascii="Arial" w:hAnsi="Arial" w:cs="Arial"/>
        </w:rPr>
        <w:t xml:space="preserve"> </w:t>
      </w:r>
      <w:r w:rsidRPr="00C6378A">
        <w:rPr>
          <w:rFonts w:ascii="Arial" w:hAnsi="Arial" w:cs="Arial"/>
          <w:i/>
        </w:rPr>
        <w:t xml:space="preserve">Id. </w:t>
      </w:r>
      <w:r w:rsidRPr="00C6378A">
        <w:rPr>
          <w:rFonts w:ascii="Arial" w:hAnsi="Arial" w:cs="Arial"/>
        </w:rPr>
        <w:t>at 8.</w:t>
      </w:r>
    </w:p>
    <w:p w14:paraId="7381EF51" w14:textId="77777777" w:rsidR="00F85B5F" w:rsidRPr="00C6378A" w:rsidRDefault="00F85B5F" w:rsidP="00C6378A">
      <w:pPr>
        <w:pStyle w:val="FootnoteText"/>
        <w:jc w:val="both"/>
        <w:rPr>
          <w:rFonts w:ascii="Arial" w:hAnsi="Arial" w:cs="Arial"/>
        </w:rPr>
      </w:pPr>
    </w:p>
  </w:footnote>
  <w:footnote w:id="17">
    <w:p w14:paraId="450AD491" w14:textId="1DF0503D" w:rsidR="00C6378A" w:rsidRDefault="000F1A77" w:rsidP="00C6378A">
      <w:pPr>
        <w:pStyle w:val="FootnoteText"/>
        <w:jc w:val="both"/>
        <w:rPr>
          <w:rFonts w:ascii="Arial" w:hAnsi="Arial" w:cs="Arial"/>
        </w:rPr>
      </w:pPr>
      <w:r w:rsidRPr="00C6378A">
        <w:rPr>
          <w:rStyle w:val="FootnoteReference"/>
          <w:rFonts w:ascii="Arial" w:hAnsi="Arial" w:cs="Arial"/>
        </w:rPr>
        <w:footnoteRef/>
      </w:r>
      <w:r w:rsidRPr="00C6378A">
        <w:rPr>
          <w:rFonts w:ascii="Arial" w:hAnsi="Arial" w:cs="Arial"/>
        </w:rPr>
        <w:t xml:space="preserve"> </w:t>
      </w:r>
      <w:r w:rsidRPr="00C6378A">
        <w:rPr>
          <w:rFonts w:ascii="Arial" w:hAnsi="Arial" w:cs="Arial"/>
          <w:i/>
        </w:rPr>
        <w:t xml:space="preserve">Id. </w:t>
      </w:r>
      <w:r w:rsidR="00F85B5F">
        <w:rPr>
          <w:rFonts w:ascii="Arial" w:hAnsi="Arial" w:cs="Arial"/>
        </w:rPr>
        <w:t>at 9.</w:t>
      </w:r>
    </w:p>
    <w:p w14:paraId="5AC6F6A0" w14:textId="77777777" w:rsidR="00F85B5F" w:rsidRPr="00C6378A" w:rsidRDefault="00F85B5F" w:rsidP="00C6378A">
      <w:pPr>
        <w:pStyle w:val="FootnoteText"/>
        <w:jc w:val="both"/>
        <w:rPr>
          <w:rFonts w:ascii="Arial" w:hAnsi="Arial" w:cs="Arial"/>
        </w:rPr>
      </w:pPr>
    </w:p>
  </w:footnote>
  <w:footnote w:id="18">
    <w:p w14:paraId="289630D7" w14:textId="27519BE4" w:rsidR="00E0297D" w:rsidRPr="00C6378A" w:rsidRDefault="00E0297D" w:rsidP="00C6378A">
      <w:pPr>
        <w:pStyle w:val="FootnoteText"/>
        <w:jc w:val="both"/>
        <w:rPr>
          <w:rFonts w:ascii="Arial" w:hAnsi="Arial" w:cs="Arial"/>
        </w:rPr>
      </w:pPr>
      <w:r w:rsidRPr="00C6378A">
        <w:rPr>
          <w:rStyle w:val="FootnoteReference"/>
          <w:rFonts w:ascii="Arial" w:hAnsi="Arial" w:cs="Arial"/>
        </w:rPr>
        <w:footnoteRef/>
      </w:r>
      <w:r w:rsidRPr="00C6378A">
        <w:rPr>
          <w:rFonts w:ascii="Arial" w:hAnsi="Arial" w:cs="Arial"/>
        </w:rPr>
        <w:t xml:space="preserve"> 4901:1-39-04(B), OAC.</w:t>
      </w:r>
    </w:p>
    <w:p w14:paraId="24DC6EC4" w14:textId="77777777" w:rsidR="00E0297D" w:rsidRPr="00C6378A" w:rsidRDefault="00E0297D" w:rsidP="00C6378A">
      <w:pPr>
        <w:pStyle w:val="FootnoteText"/>
        <w:jc w:val="both"/>
        <w:rPr>
          <w:rFonts w:ascii="Arial" w:hAnsi="Arial" w:cs="Arial"/>
        </w:rPr>
      </w:pPr>
    </w:p>
  </w:footnote>
  <w:footnote w:id="19">
    <w:p w14:paraId="379213B2" w14:textId="10204DC9" w:rsidR="00E0297D" w:rsidRPr="00C6378A" w:rsidRDefault="00E0297D" w:rsidP="00C6378A">
      <w:pPr>
        <w:pStyle w:val="FootnoteText"/>
        <w:jc w:val="both"/>
        <w:rPr>
          <w:rFonts w:ascii="Arial" w:hAnsi="Arial" w:cs="Arial"/>
        </w:rPr>
      </w:pPr>
      <w:r w:rsidRPr="00C6378A">
        <w:rPr>
          <w:rStyle w:val="FootnoteReference"/>
          <w:rFonts w:ascii="Arial" w:hAnsi="Arial" w:cs="Arial"/>
        </w:rPr>
        <w:footnoteRef/>
      </w:r>
      <w:r w:rsidRPr="00C6378A">
        <w:rPr>
          <w:rFonts w:ascii="Arial" w:hAnsi="Arial" w:cs="Arial"/>
        </w:rPr>
        <w:t xml:space="preserve"> </w:t>
      </w:r>
      <w:r w:rsidR="00C6378A" w:rsidRPr="00C6378A">
        <w:rPr>
          <w:rFonts w:ascii="Arial" w:hAnsi="Arial" w:cs="Arial"/>
          <w:i/>
        </w:rPr>
        <w:t xml:space="preserve">Id. </w:t>
      </w:r>
      <w:r w:rsidRPr="00C6378A">
        <w:rPr>
          <w:rFonts w:ascii="Arial" w:hAnsi="Arial" w:cs="Arial"/>
        </w:rPr>
        <w:t xml:space="preserve">Indeed, many low-income focused programs and measures do not pass the TRC test, but that does not mean that this group of customers should be neglected.  </w:t>
      </w:r>
    </w:p>
    <w:p w14:paraId="7A0A59DE" w14:textId="77777777" w:rsidR="00E0297D" w:rsidRPr="00C6378A" w:rsidRDefault="00E0297D" w:rsidP="00C6378A">
      <w:pPr>
        <w:pStyle w:val="FootnoteText"/>
        <w:jc w:val="both"/>
        <w:rPr>
          <w:rFonts w:ascii="Arial" w:hAnsi="Arial" w:cs="Arial"/>
        </w:rPr>
      </w:pPr>
    </w:p>
  </w:footnote>
  <w:footnote w:id="20">
    <w:p w14:paraId="558480C3" w14:textId="691727DB" w:rsidR="00C6378A" w:rsidRDefault="00C6378A" w:rsidP="00C6378A">
      <w:pPr>
        <w:pStyle w:val="FootnoteText"/>
        <w:jc w:val="both"/>
        <w:rPr>
          <w:rFonts w:ascii="Arial" w:hAnsi="Arial" w:cs="Arial"/>
        </w:rPr>
      </w:pPr>
      <w:r w:rsidRPr="00C6378A">
        <w:rPr>
          <w:rStyle w:val="FootnoteReference"/>
          <w:rFonts w:ascii="Arial" w:hAnsi="Arial" w:cs="Arial"/>
        </w:rPr>
        <w:footnoteRef/>
      </w:r>
      <w:r w:rsidRPr="00C6378A">
        <w:rPr>
          <w:rFonts w:ascii="Arial" w:hAnsi="Arial" w:cs="Arial"/>
        </w:rPr>
        <w:t xml:space="preserve"> OCC Brief at 18-19. </w:t>
      </w:r>
    </w:p>
    <w:p w14:paraId="4B89A122" w14:textId="77777777" w:rsidR="00C6378A" w:rsidRPr="00C6378A" w:rsidRDefault="00C6378A" w:rsidP="00C6378A">
      <w:pPr>
        <w:pStyle w:val="FootnoteText"/>
        <w:jc w:val="both"/>
        <w:rPr>
          <w:rFonts w:ascii="Arial" w:hAnsi="Arial" w:cs="Arial"/>
        </w:rPr>
      </w:pPr>
    </w:p>
  </w:footnote>
  <w:footnote w:id="21">
    <w:p w14:paraId="77108D16" w14:textId="2E0348E8" w:rsidR="00C6378A" w:rsidRPr="00C6378A" w:rsidRDefault="00C6378A" w:rsidP="00C6378A">
      <w:pPr>
        <w:pStyle w:val="FootnoteText"/>
        <w:jc w:val="both"/>
        <w:rPr>
          <w:rFonts w:ascii="Arial" w:hAnsi="Arial" w:cs="Arial"/>
        </w:rPr>
      </w:pPr>
      <w:r w:rsidRPr="00C6378A">
        <w:rPr>
          <w:rStyle w:val="FootnoteReference"/>
          <w:rFonts w:ascii="Arial" w:hAnsi="Arial" w:cs="Arial"/>
        </w:rPr>
        <w:footnoteRef/>
      </w:r>
      <w:r w:rsidRPr="00C6378A">
        <w:rPr>
          <w:rFonts w:ascii="Arial" w:hAnsi="Arial" w:cs="Arial"/>
        </w:rPr>
        <w:t xml:space="preserve"> </w:t>
      </w:r>
      <w:r w:rsidRPr="00C6378A">
        <w:rPr>
          <w:rFonts w:ascii="Arial" w:hAnsi="Arial" w:cs="Arial"/>
          <w:i/>
        </w:rPr>
        <w:t xml:space="preserve">Id. </w:t>
      </w:r>
      <w:r w:rsidRPr="00C6378A">
        <w:rPr>
          <w:rFonts w:ascii="Arial" w:hAnsi="Arial" w:cs="Arial"/>
        </w:rPr>
        <w:t>at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B3BDF" w14:textId="77777777" w:rsidR="00CD6718" w:rsidRDefault="00CD6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AD08A" w14:textId="77777777" w:rsidR="00CD6718" w:rsidRDefault="00CD67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6D330" w14:textId="77777777" w:rsidR="00CD6718" w:rsidRDefault="00CD6718">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5483"/>
    <w:multiLevelType w:val="hybridMultilevel"/>
    <w:tmpl w:val="9F2849E4"/>
    <w:lvl w:ilvl="0" w:tplc="C8CA72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483D5D"/>
    <w:multiLevelType w:val="hybridMultilevel"/>
    <w:tmpl w:val="917A9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C378D"/>
    <w:multiLevelType w:val="hybridMultilevel"/>
    <w:tmpl w:val="545E25AC"/>
    <w:lvl w:ilvl="0" w:tplc="B3380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550D4"/>
    <w:multiLevelType w:val="hybridMultilevel"/>
    <w:tmpl w:val="25B850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07FE1"/>
    <w:multiLevelType w:val="multilevel"/>
    <w:tmpl w:val="7E8AD5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9822407"/>
    <w:multiLevelType w:val="hybridMultilevel"/>
    <w:tmpl w:val="0F8E34AE"/>
    <w:lvl w:ilvl="0" w:tplc="391C75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DBC52B2"/>
    <w:multiLevelType w:val="multilevel"/>
    <w:tmpl w:val="690ECF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F5E6FF4"/>
    <w:multiLevelType w:val="hybridMultilevel"/>
    <w:tmpl w:val="7E1A3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24B49"/>
    <w:multiLevelType w:val="hybridMultilevel"/>
    <w:tmpl w:val="46849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6261E"/>
    <w:multiLevelType w:val="hybridMultilevel"/>
    <w:tmpl w:val="DAD830F0"/>
    <w:lvl w:ilvl="0" w:tplc="58E605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E4934"/>
    <w:multiLevelType w:val="hybridMultilevel"/>
    <w:tmpl w:val="C526F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5283D"/>
    <w:multiLevelType w:val="hybridMultilevel"/>
    <w:tmpl w:val="2B34DB5A"/>
    <w:lvl w:ilvl="0" w:tplc="47560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8248BA"/>
    <w:multiLevelType w:val="hybridMultilevel"/>
    <w:tmpl w:val="AE3CD420"/>
    <w:lvl w:ilvl="0" w:tplc="943A18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F633F1"/>
    <w:multiLevelType w:val="multilevel"/>
    <w:tmpl w:val="CD24765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0373A5F"/>
    <w:multiLevelType w:val="hybridMultilevel"/>
    <w:tmpl w:val="ADF2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6204E"/>
    <w:multiLevelType w:val="hybridMultilevel"/>
    <w:tmpl w:val="0CAC93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77BFD"/>
    <w:multiLevelType w:val="hybridMultilevel"/>
    <w:tmpl w:val="545E25AC"/>
    <w:lvl w:ilvl="0" w:tplc="B3380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0632BE"/>
    <w:multiLevelType w:val="hybridMultilevel"/>
    <w:tmpl w:val="3FB8E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63C88"/>
    <w:multiLevelType w:val="multilevel"/>
    <w:tmpl w:val="DD90899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86857D5"/>
    <w:multiLevelType w:val="hybridMultilevel"/>
    <w:tmpl w:val="0450A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84962"/>
    <w:multiLevelType w:val="hybridMultilevel"/>
    <w:tmpl w:val="7916C55A"/>
    <w:lvl w:ilvl="0" w:tplc="6C184B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05B59"/>
    <w:multiLevelType w:val="hybridMultilevel"/>
    <w:tmpl w:val="AE265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1A4F8C"/>
    <w:multiLevelType w:val="hybridMultilevel"/>
    <w:tmpl w:val="5DE241C6"/>
    <w:lvl w:ilvl="0" w:tplc="1CFEBA6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202022"/>
    <w:multiLevelType w:val="hybridMultilevel"/>
    <w:tmpl w:val="89C01DE2"/>
    <w:lvl w:ilvl="0" w:tplc="ABAEB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AB1B8C"/>
    <w:multiLevelType w:val="hybridMultilevel"/>
    <w:tmpl w:val="EC4EF52C"/>
    <w:lvl w:ilvl="0" w:tplc="108636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8C03B02"/>
    <w:multiLevelType w:val="hybridMultilevel"/>
    <w:tmpl w:val="9886EDBA"/>
    <w:lvl w:ilvl="0" w:tplc="0ACA3A84">
      <w:start w:val="1"/>
      <w:numFmt w:val="lowerLetter"/>
      <w:lvlText w:val="%1."/>
      <w:lvlJc w:val="left"/>
      <w:pPr>
        <w:ind w:left="1260" w:hanging="360"/>
      </w:pPr>
      <w:rPr>
        <w:rFonts w:hint="default"/>
      </w:rPr>
    </w:lvl>
    <w:lvl w:ilvl="1" w:tplc="861A0C60">
      <w:start w:val="1"/>
      <w:numFmt w:val="lowerLetter"/>
      <w:lvlText w:val="%2."/>
      <w:lvlJc w:val="left"/>
      <w:pPr>
        <w:ind w:left="1980" w:hanging="360"/>
      </w:pPr>
      <w:rPr>
        <w:rFonts w:ascii="Arial" w:eastAsia="Times New Roman" w:hAnsi="Arial" w:cs="Arial"/>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7D0F75D2"/>
    <w:multiLevelType w:val="hybridMultilevel"/>
    <w:tmpl w:val="53AC6CC4"/>
    <w:lvl w:ilvl="0" w:tplc="0958D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0"/>
  </w:num>
  <w:num w:numId="3">
    <w:abstractNumId w:val="26"/>
  </w:num>
  <w:num w:numId="4">
    <w:abstractNumId w:val="19"/>
  </w:num>
  <w:num w:numId="5">
    <w:abstractNumId w:val="5"/>
  </w:num>
  <w:num w:numId="6">
    <w:abstractNumId w:val="20"/>
  </w:num>
  <w:num w:numId="7">
    <w:abstractNumId w:val="4"/>
  </w:num>
  <w:num w:numId="8">
    <w:abstractNumId w:val="17"/>
  </w:num>
  <w:num w:numId="9">
    <w:abstractNumId w:val="9"/>
  </w:num>
  <w:num w:numId="10">
    <w:abstractNumId w:val="12"/>
  </w:num>
  <w:num w:numId="11">
    <w:abstractNumId w:val="27"/>
  </w:num>
  <w:num w:numId="12">
    <w:abstractNumId w:val="1"/>
  </w:num>
  <w:num w:numId="13">
    <w:abstractNumId w:val="29"/>
  </w:num>
  <w:num w:numId="14">
    <w:abstractNumId w:val="11"/>
  </w:num>
  <w:num w:numId="15">
    <w:abstractNumId w:val="7"/>
  </w:num>
  <w:num w:numId="16">
    <w:abstractNumId w:val="8"/>
  </w:num>
  <w:num w:numId="17">
    <w:abstractNumId w:val="31"/>
  </w:num>
  <w:num w:numId="18">
    <w:abstractNumId w:val="22"/>
  </w:num>
  <w:num w:numId="19">
    <w:abstractNumId w:val="24"/>
  </w:num>
  <w:num w:numId="20">
    <w:abstractNumId w:val="6"/>
  </w:num>
  <w:num w:numId="21">
    <w:abstractNumId w:val="28"/>
  </w:num>
  <w:num w:numId="22">
    <w:abstractNumId w:val="23"/>
  </w:num>
  <w:num w:numId="23">
    <w:abstractNumId w:val="16"/>
  </w:num>
  <w:num w:numId="24">
    <w:abstractNumId w:val="14"/>
  </w:num>
  <w:num w:numId="25">
    <w:abstractNumId w:val="33"/>
  </w:num>
  <w:num w:numId="26">
    <w:abstractNumId w:val="21"/>
  </w:num>
  <w:num w:numId="27">
    <w:abstractNumId w:val="32"/>
  </w:num>
  <w:num w:numId="28">
    <w:abstractNumId w:val="3"/>
  </w:num>
  <w:num w:numId="29">
    <w:abstractNumId w:val="30"/>
  </w:num>
  <w:num w:numId="30">
    <w:abstractNumId w:val="15"/>
  </w:num>
  <w:num w:numId="31">
    <w:abstractNumId w:val="18"/>
  </w:num>
  <w:num w:numId="32">
    <w:abstractNumId w:val="13"/>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29"/>
    <w:rsid w:val="000064A8"/>
    <w:rsid w:val="00043FE2"/>
    <w:rsid w:val="00054D93"/>
    <w:rsid w:val="00062C94"/>
    <w:rsid w:val="00083C73"/>
    <w:rsid w:val="000B223F"/>
    <w:rsid w:val="000B2276"/>
    <w:rsid w:val="000B658C"/>
    <w:rsid w:val="000C2730"/>
    <w:rsid w:val="000F1A77"/>
    <w:rsid w:val="001144C4"/>
    <w:rsid w:val="00121836"/>
    <w:rsid w:val="001400BE"/>
    <w:rsid w:val="00150365"/>
    <w:rsid w:val="00161980"/>
    <w:rsid w:val="001B06A9"/>
    <w:rsid w:val="001B4A50"/>
    <w:rsid w:val="001C0ACB"/>
    <w:rsid w:val="00215533"/>
    <w:rsid w:val="00231B62"/>
    <w:rsid w:val="00237730"/>
    <w:rsid w:val="0026046D"/>
    <w:rsid w:val="002B3B59"/>
    <w:rsid w:val="002C040A"/>
    <w:rsid w:val="002F05DC"/>
    <w:rsid w:val="002F6984"/>
    <w:rsid w:val="00322494"/>
    <w:rsid w:val="00355B90"/>
    <w:rsid w:val="00394946"/>
    <w:rsid w:val="003A51CC"/>
    <w:rsid w:val="003B24E9"/>
    <w:rsid w:val="003D01DA"/>
    <w:rsid w:val="003E1B7D"/>
    <w:rsid w:val="003E38DD"/>
    <w:rsid w:val="004052EE"/>
    <w:rsid w:val="00413918"/>
    <w:rsid w:val="004373DF"/>
    <w:rsid w:val="004466E0"/>
    <w:rsid w:val="00456F00"/>
    <w:rsid w:val="00483963"/>
    <w:rsid w:val="00491782"/>
    <w:rsid w:val="00492AD6"/>
    <w:rsid w:val="004C4BE0"/>
    <w:rsid w:val="0052751C"/>
    <w:rsid w:val="00530D7A"/>
    <w:rsid w:val="00545F29"/>
    <w:rsid w:val="005506EF"/>
    <w:rsid w:val="005600E5"/>
    <w:rsid w:val="0056270F"/>
    <w:rsid w:val="005B325E"/>
    <w:rsid w:val="005B37CC"/>
    <w:rsid w:val="005B63F0"/>
    <w:rsid w:val="005D5A9E"/>
    <w:rsid w:val="005F419A"/>
    <w:rsid w:val="00600003"/>
    <w:rsid w:val="00613140"/>
    <w:rsid w:val="006208A1"/>
    <w:rsid w:val="00653CA5"/>
    <w:rsid w:val="006546D2"/>
    <w:rsid w:val="00677466"/>
    <w:rsid w:val="00692EBF"/>
    <w:rsid w:val="006A095B"/>
    <w:rsid w:val="006A274B"/>
    <w:rsid w:val="006A7561"/>
    <w:rsid w:val="00742B2F"/>
    <w:rsid w:val="00780F69"/>
    <w:rsid w:val="0079455C"/>
    <w:rsid w:val="007B3399"/>
    <w:rsid w:val="007B6410"/>
    <w:rsid w:val="007B64BB"/>
    <w:rsid w:val="007C4408"/>
    <w:rsid w:val="007D2210"/>
    <w:rsid w:val="00811801"/>
    <w:rsid w:val="00813BFB"/>
    <w:rsid w:val="0082422E"/>
    <w:rsid w:val="0086517A"/>
    <w:rsid w:val="008A1411"/>
    <w:rsid w:val="00950914"/>
    <w:rsid w:val="00955F86"/>
    <w:rsid w:val="00972956"/>
    <w:rsid w:val="0098338B"/>
    <w:rsid w:val="0098755F"/>
    <w:rsid w:val="009A458D"/>
    <w:rsid w:val="009A53A3"/>
    <w:rsid w:val="009D5434"/>
    <w:rsid w:val="009D71F6"/>
    <w:rsid w:val="009D77BD"/>
    <w:rsid w:val="009E7BD6"/>
    <w:rsid w:val="009F4632"/>
    <w:rsid w:val="009F6674"/>
    <w:rsid w:val="00A0437A"/>
    <w:rsid w:val="00A71E20"/>
    <w:rsid w:val="00A940AD"/>
    <w:rsid w:val="00AA75B4"/>
    <w:rsid w:val="00AD140C"/>
    <w:rsid w:val="00AD27B9"/>
    <w:rsid w:val="00AD5E1E"/>
    <w:rsid w:val="00AE1B3E"/>
    <w:rsid w:val="00B25921"/>
    <w:rsid w:val="00B270B3"/>
    <w:rsid w:val="00B66E26"/>
    <w:rsid w:val="00B76837"/>
    <w:rsid w:val="00B92A34"/>
    <w:rsid w:val="00B92A76"/>
    <w:rsid w:val="00BB67AE"/>
    <w:rsid w:val="00BF6F82"/>
    <w:rsid w:val="00C113A8"/>
    <w:rsid w:val="00C20F96"/>
    <w:rsid w:val="00C521C0"/>
    <w:rsid w:val="00C6378A"/>
    <w:rsid w:val="00C82719"/>
    <w:rsid w:val="00C84BD1"/>
    <w:rsid w:val="00C922C2"/>
    <w:rsid w:val="00CC048A"/>
    <w:rsid w:val="00CD48F1"/>
    <w:rsid w:val="00CD6718"/>
    <w:rsid w:val="00CE4B71"/>
    <w:rsid w:val="00D13280"/>
    <w:rsid w:val="00D5216A"/>
    <w:rsid w:val="00D57E21"/>
    <w:rsid w:val="00D84367"/>
    <w:rsid w:val="00D9690E"/>
    <w:rsid w:val="00DA131F"/>
    <w:rsid w:val="00DD35BB"/>
    <w:rsid w:val="00DE4973"/>
    <w:rsid w:val="00E0297D"/>
    <w:rsid w:val="00E06819"/>
    <w:rsid w:val="00E71B2C"/>
    <w:rsid w:val="00E766E8"/>
    <w:rsid w:val="00E83983"/>
    <w:rsid w:val="00EA0C60"/>
    <w:rsid w:val="00EC5B3C"/>
    <w:rsid w:val="00F10CFE"/>
    <w:rsid w:val="00F10F9B"/>
    <w:rsid w:val="00F111C7"/>
    <w:rsid w:val="00F23872"/>
    <w:rsid w:val="00F5720A"/>
    <w:rsid w:val="00F81981"/>
    <w:rsid w:val="00F81D99"/>
    <w:rsid w:val="00F85B5F"/>
    <w:rsid w:val="00F9317E"/>
    <w:rsid w:val="00FA4A29"/>
    <w:rsid w:val="00FE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76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lockText">
    <w:name w:val="Block Text"/>
    <w:basedOn w:val="Normal"/>
    <w:uiPriority w:val="99"/>
    <w:semiHidden/>
    <w:unhideWhenUsed/>
    <w:rsid w:val="00CD48F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liker@igsenergy.com" TargetMode="External"/><Relationship Id="rId13" Type="http://schemas.openxmlformats.org/officeDocument/2006/relationships/hyperlink" Target="mailto:dborchers@bricker.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dove@attorneydove.c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arnock@bricker.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leppla@theoec.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oliker@igsenergy.com" TargetMode="External"/><Relationship Id="rId14" Type="http://schemas.openxmlformats.org/officeDocument/2006/relationships/hyperlink" Target="mailto:dstinson@bricke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BE68A-EF6A-4837-84B7-618F97E1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2670</Words>
  <Characters>15197</Characters>
  <Application>Microsoft Office Word</Application>
  <DocSecurity>0</DocSecurity>
  <Lines>370</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2017-04-04T15:22:00Z</dcterms:created>
  <dcterms:modified xsi:type="dcterms:W3CDTF">2017-04-07T20:24:00Z</dcterms:modified>
</cp:coreProperties>
</file>