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9CE" w:rsidRPr="00C619CE" w:rsidRDefault="00C619CE" w:rsidP="00C619CE">
      <w:pPr>
        <w:pStyle w:val="Header"/>
        <w:jc w:val="right"/>
        <w:rPr>
          <w:i/>
          <w:iCs/>
        </w:rPr>
      </w:pPr>
      <w:bookmarkStart w:id="0" w:name="_GoBack"/>
      <w:bookmarkEnd w:id="0"/>
      <w:r w:rsidRPr="00C619CE">
        <w:rPr>
          <w:i/>
          <w:iCs/>
        </w:rPr>
        <w:t>OCC EXHIBIT NO. __</w:t>
      </w:r>
      <w:r>
        <w:rPr>
          <w:i/>
          <w:iCs/>
        </w:rPr>
        <w:t>___</w:t>
      </w:r>
      <w:r w:rsidRPr="00C619CE">
        <w:rPr>
          <w:i/>
          <w:iCs/>
        </w:rPr>
        <w:t>_</w:t>
      </w:r>
    </w:p>
    <w:p w:rsidR="0056314D" w:rsidRDefault="0056314D">
      <w:pPr>
        <w:jc w:val="center"/>
        <w:rPr>
          <w:rFonts w:eastAsia="Calibri" w:cs="Times New Roman"/>
          <w:b/>
          <w:bCs/>
          <w:szCs w:val="24"/>
        </w:rPr>
      </w:pPr>
    </w:p>
    <w:p w:rsidR="004C7B89" w:rsidRDefault="00C80298">
      <w:pPr>
        <w:jc w:val="center"/>
        <w:rPr>
          <w:rFonts w:eastAsia="Calibri" w:cs="Times New Roman"/>
          <w:b/>
          <w:bCs/>
          <w:szCs w:val="24"/>
        </w:rPr>
      </w:pPr>
      <w:r>
        <w:rPr>
          <w:rFonts w:eastAsia="Calibri" w:cs="Times New Roman"/>
          <w:b/>
          <w:bCs/>
          <w:szCs w:val="24"/>
        </w:rPr>
        <w:t xml:space="preserve">BEFORE </w:t>
      </w:r>
    </w:p>
    <w:p w:rsidR="0056314D" w:rsidRDefault="00C80298">
      <w:pPr>
        <w:jc w:val="center"/>
        <w:rPr>
          <w:rFonts w:eastAsia="Calibri" w:cs="Times New Roman"/>
          <w:b/>
          <w:bCs/>
          <w:szCs w:val="24"/>
        </w:rPr>
      </w:pPr>
      <w:r>
        <w:rPr>
          <w:rFonts w:eastAsia="Calibri" w:cs="Times New Roman"/>
          <w:b/>
          <w:bCs/>
          <w:szCs w:val="24"/>
        </w:rPr>
        <w:t>THE</w:t>
      </w:r>
      <w:r w:rsidR="004C7B89">
        <w:rPr>
          <w:rFonts w:eastAsia="Calibri" w:cs="Times New Roman"/>
          <w:b/>
          <w:bCs/>
          <w:szCs w:val="24"/>
        </w:rPr>
        <w:t xml:space="preserve"> </w:t>
      </w:r>
      <w:r>
        <w:rPr>
          <w:rFonts w:eastAsia="Calibri" w:cs="Times New Roman"/>
          <w:b/>
          <w:bCs/>
          <w:szCs w:val="24"/>
        </w:rPr>
        <w:t>PUBLIC UTILITIES COMMISSION OF OHIO</w:t>
      </w:r>
    </w:p>
    <w:p w:rsidR="0056314D" w:rsidRDefault="0056314D">
      <w:pPr>
        <w:jc w:val="center"/>
        <w:rPr>
          <w:rFonts w:eastAsia="Calibri" w:cs="Times New Roman"/>
          <w:b/>
          <w:bCs/>
          <w:szCs w:val="24"/>
        </w:rPr>
      </w:pPr>
    </w:p>
    <w:p w:rsidR="0056314D" w:rsidRDefault="0056314D">
      <w:pPr>
        <w:rPr>
          <w:rFonts w:eastAsia="Calibri" w:cs="Times New Roman"/>
          <w:szCs w:val="24"/>
        </w:rPr>
      </w:pPr>
    </w:p>
    <w:p w:rsidR="0056314D" w:rsidRDefault="00C80298">
      <w:pPr>
        <w:tabs>
          <w:tab w:val="left" w:pos="5898"/>
        </w:tabs>
        <w:rPr>
          <w:rFonts w:eastAsia="Calibri" w:cs="Times New Roman"/>
          <w:b/>
          <w:bCs/>
          <w:szCs w:val="24"/>
        </w:rPr>
      </w:pPr>
      <w:r>
        <w:rPr>
          <w:rFonts w:eastAsia="Calibri" w:cs="Times New Roman"/>
          <w:b/>
          <w:bCs/>
          <w:szCs w:val="24"/>
        </w:rPr>
        <w:tab/>
      </w:r>
    </w:p>
    <w:tbl>
      <w:tblPr>
        <w:tblW w:w="9498" w:type="dxa"/>
        <w:jc w:val="center"/>
        <w:tblLook w:val="0000" w:firstRow="0" w:lastRow="0" w:firstColumn="0" w:lastColumn="0" w:noHBand="0" w:noVBand="0"/>
      </w:tblPr>
      <w:tblGrid>
        <w:gridCol w:w="4575"/>
        <w:gridCol w:w="453"/>
        <w:gridCol w:w="4470"/>
      </w:tblGrid>
      <w:tr w:rsidR="0056314D" w:rsidTr="00C619CE">
        <w:trPr>
          <w:trHeight w:val="950"/>
          <w:jc w:val="center"/>
        </w:trPr>
        <w:tc>
          <w:tcPr>
            <w:tcW w:w="4575" w:type="dxa"/>
          </w:tcPr>
          <w:p w:rsidR="0056314D" w:rsidRPr="00C619CE" w:rsidRDefault="00C619CE" w:rsidP="00C619CE">
            <w:pPr>
              <w:rPr>
                <w:rFonts w:eastAsia="Calibri" w:cs="Times New Roman"/>
                <w:bCs/>
                <w:szCs w:val="24"/>
              </w:rPr>
            </w:pPr>
            <w:r w:rsidRPr="00C619CE">
              <w:rPr>
                <w:rFonts w:eastAsia="Calibri" w:cs="Times New Roman"/>
                <w:bCs/>
                <w:szCs w:val="24"/>
              </w:rPr>
              <w:t>In The Matter Of The Application Of Ohio Power Company For Authority To Establish A Standard Service Offer Pursuant To R.C. 4928.143, Revised Code, In The Form Of An Electric Security Plan</w:t>
            </w:r>
          </w:p>
          <w:p w:rsidR="0056314D" w:rsidRPr="00C619CE" w:rsidRDefault="0056314D" w:rsidP="00C619CE">
            <w:pPr>
              <w:rPr>
                <w:rFonts w:eastAsia="Calibri" w:cs="Times New Roman"/>
                <w:bCs/>
                <w:szCs w:val="24"/>
              </w:rPr>
            </w:pPr>
          </w:p>
          <w:p w:rsidR="0056314D" w:rsidRPr="00C619CE" w:rsidRDefault="00C619CE" w:rsidP="00C619CE">
            <w:pPr>
              <w:rPr>
                <w:rFonts w:eastAsia="Calibri" w:cs="Times New Roman"/>
                <w:bCs/>
                <w:szCs w:val="24"/>
              </w:rPr>
            </w:pPr>
            <w:r w:rsidRPr="00C619CE">
              <w:rPr>
                <w:rFonts w:eastAsia="Calibri" w:cs="Times New Roman"/>
                <w:bCs/>
                <w:szCs w:val="24"/>
              </w:rPr>
              <w:t>In The Matter Of The Application Of Ohio Power Company For Approval Of Certain Accounting Authority</w:t>
            </w:r>
          </w:p>
        </w:tc>
        <w:tc>
          <w:tcPr>
            <w:tcW w:w="453" w:type="dxa"/>
          </w:tcPr>
          <w:p w:rsidR="0056314D" w:rsidRPr="00C619CE" w:rsidRDefault="00C80298">
            <w:pPr>
              <w:rPr>
                <w:rFonts w:eastAsia="Calibri" w:cs="Times New Roman"/>
                <w:bCs/>
                <w:szCs w:val="24"/>
              </w:rPr>
            </w:pPr>
            <w:r w:rsidRPr="00C619CE">
              <w:rPr>
                <w:rFonts w:eastAsia="Calibri" w:cs="Times New Roman"/>
                <w:bCs/>
                <w:szCs w:val="24"/>
              </w:rPr>
              <w:t>)</w:t>
            </w:r>
          </w:p>
          <w:p w:rsidR="0056314D" w:rsidRPr="00C619CE" w:rsidRDefault="00C80298">
            <w:pPr>
              <w:rPr>
                <w:rFonts w:eastAsia="Calibri" w:cs="Times New Roman"/>
                <w:bCs/>
                <w:szCs w:val="24"/>
              </w:rPr>
            </w:pPr>
            <w:r w:rsidRPr="00C619CE">
              <w:rPr>
                <w:rFonts w:eastAsia="Calibri" w:cs="Times New Roman"/>
                <w:bCs/>
                <w:szCs w:val="24"/>
              </w:rPr>
              <w:t>)</w:t>
            </w:r>
          </w:p>
          <w:p w:rsidR="0056314D" w:rsidRPr="00C619CE" w:rsidRDefault="00C80298">
            <w:pPr>
              <w:rPr>
                <w:rFonts w:eastAsia="Calibri" w:cs="Times New Roman"/>
                <w:bCs/>
                <w:szCs w:val="24"/>
              </w:rPr>
            </w:pPr>
            <w:r w:rsidRPr="00C619CE">
              <w:rPr>
                <w:rFonts w:eastAsia="Calibri" w:cs="Times New Roman"/>
                <w:bCs/>
                <w:szCs w:val="24"/>
              </w:rPr>
              <w:t>)</w:t>
            </w:r>
          </w:p>
          <w:p w:rsidR="0056314D" w:rsidRPr="00C619CE" w:rsidRDefault="00C80298">
            <w:pPr>
              <w:rPr>
                <w:rFonts w:eastAsia="Calibri" w:cs="Times New Roman"/>
                <w:bCs/>
                <w:szCs w:val="24"/>
              </w:rPr>
            </w:pPr>
            <w:r w:rsidRPr="00C619CE">
              <w:rPr>
                <w:rFonts w:eastAsia="Calibri" w:cs="Times New Roman"/>
                <w:bCs/>
                <w:szCs w:val="24"/>
              </w:rPr>
              <w:t>)</w:t>
            </w:r>
          </w:p>
          <w:p w:rsidR="0056314D" w:rsidRPr="00C619CE" w:rsidRDefault="00C80298">
            <w:pPr>
              <w:rPr>
                <w:rFonts w:eastAsia="Calibri" w:cs="Times New Roman"/>
                <w:bCs/>
                <w:szCs w:val="24"/>
              </w:rPr>
            </w:pPr>
            <w:r w:rsidRPr="00C619CE">
              <w:rPr>
                <w:rFonts w:eastAsia="Calibri" w:cs="Times New Roman"/>
                <w:bCs/>
                <w:szCs w:val="24"/>
              </w:rPr>
              <w:t>)</w:t>
            </w:r>
          </w:p>
          <w:p w:rsidR="0056314D" w:rsidRPr="00C619CE" w:rsidRDefault="0056314D">
            <w:pPr>
              <w:rPr>
                <w:rFonts w:eastAsia="Calibri" w:cs="Times New Roman"/>
                <w:bCs/>
                <w:szCs w:val="24"/>
              </w:rPr>
            </w:pPr>
          </w:p>
          <w:p w:rsidR="0056314D" w:rsidRPr="00C619CE" w:rsidRDefault="00C80298">
            <w:pPr>
              <w:rPr>
                <w:rFonts w:eastAsia="Calibri" w:cs="Times New Roman"/>
                <w:bCs/>
                <w:szCs w:val="24"/>
              </w:rPr>
            </w:pPr>
            <w:r w:rsidRPr="00C619CE">
              <w:rPr>
                <w:rFonts w:eastAsia="Calibri" w:cs="Times New Roman"/>
                <w:bCs/>
                <w:szCs w:val="24"/>
              </w:rPr>
              <w:t>)</w:t>
            </w:r>
          </w:p>
          <w:p w:rsidR="0056314D" w:rsidRPr="00C619CE" w:rsidRDefault="00C80298">
            <w:pPr>
              <w:rPr>
                <w:rFonts w:eastAsia="Calibri" w:cs="Times New Roman"/>
                <w:bCs/>
                <w:szCs w:val="24"/>
              </w:rPr>
            </w:pPr>
            <w:r w:rsidRPr="00C619CE">
              <w:rPr>
                <w:rFonts w:eastAsia="Calibri" w:cs="Times New Roman"/>
                <w:bCs/>
                <w:szCs w:val="24"/>
              </w:rPr>
              <w:t>)</w:t>
            </w:r>
          </w:p>
          <w:p w:rsidR="0056314D" w:rsidRPr="00C619CE" w:rsidRDefault="00C80298" w:rsidP="00C619CE">
            <w:pPr>
              <w:rPr>
                <w:rFonts w:eastAsia="Calibri" w:cs="Times New Roman"/>
                <w:bCs/>
                <w:szCs w:val="24"/>
              </w:rPr>
            </w:pPr>
            <w:r w:rsidRPr="00C619CE">
              <w:rPr>
                <w:rFonts w:eastAsia="Calibri" w:cs="Times New Roman"/>
                <w:bCs/>
                <w:szCs w:val="24"/>
              </w:rPr>
              <w:t>)</w:t>
            </w:r>
          </w:p>
        </w:tc>
        <w:tc>
          <w:tcPr>
            <w:tcW w:w="4470" w:type="dxa"/>
          </w:tcPr>
          <w:p w:rsidR="00C619CE" w:rsidRDefault="00C619CE" w:rsidP="00C619CE">
            <w:pPr>
              <w:rPr>
                <w:rFonts w:eastAsia="Calibri" w:cs="Times New Roman"/>
                <w:bCs/>
                <w:szCs w:val="24"/>
              </w:rPr>
            </w:pPr>
          </w:p>
          <w:p w:rsidR="00C619CE" w:rsidRDefault="00C619CE" w:rsidP="00C619CE">
            <w:pPr>
              <w:rPr>
                <w:rFonts w:eastAsia="Calibri" w:cs="Times New Roman"/>
                <w:bCs/>
                <w:szCs w:val="24"/>
              </w:rPr>
            </w:pPr>
          </w:p>
          <w:p w:rsidR="0056314D" w:rsidRPr="00C619CE" w:rsidRDefault="00BA583B" w:rsidP="00C619CE">
            <w:pPr>
              <w:rPr>
                <w:rFonts w:eastAsia="Calibri" w:cs="Times New Roman"/>
                <w:bCs/>
                <w:szCs w:val="24"/>
              </w:rPr>
            </w:pPr>
            <w:r>
              <w:rPr>
                <w:rFonts w:eastAsia="Calibri" w:cs="Times New Roman"/>
                <w:bCs/>
                <w:szCs w:val="24"/>
              </w:rPr>
              <w:t>Case No</w:t>
            </w:r>
            <w:r w:rsidR="00C80298" w:rsidRPr="00C619CE">
              <w:rPr>
                <w:rFonts w:eastAsia="Calibri" w:cs="Times New Roman"/>
                <w:bCs/>
                <w:szCs w:val="24"/>
              </w:rPr>
              <w:t>. 13-2385-EL-</w:t>
            </w:r>
            <w:r w:rsidR="00027744" w:rsidRPr="00C619CE">
              <w:rPr>
                <w:rFonts w:eastAsia="Calibri" w:cs="Times New Roman"/>
                <w:bCs/>
                <w:szCs w:val="24"/>
              </w:rPr>
              <w:t>SSO</w:t>
            </w:r>
          </w:p>
          <w:p w:rsidR="0056314D" w:rsidRPr="00C619CE" w:rsidRDefault="0056314D" w:rsidP="00C619CE">
            <w:pPr>
              <w:rPr>
                <w:rFonts w:eastAsia="Calibri" w:cs="Times New Roman"/>
                <w:bCs/>
                <w:szCs w:val="24"/>
              </w:rPr>
            </w:pPr>
          </w:p>
          <w:p w:rsidR="0056314D" w:rsidRDefault="0056314D" w:rsidP="00C619CE">
            <w:pPr>
              <w:rPr>
                <w:rFonts w:eastAsia="Calibri" w:cs="Times New Roman"/>
                <w:bCs/>
                <w:szCs w:val="24"/>
              </w:rPr>
            </w:pPr>
          </w:p>
          <w:p w:rsidR="00C619CE" w:rsidRPr="00C619CE" w:rsidRDefault="00C619CE" w:rsidP="00C619CE">
            <w:pPr>
              <w:rPr>
                <w:rFonts w:eastAsia="Calibri" w:cs="Times New Roman"/>
                <w:bCs/>
                <w:szCs w:val="24"/>
              </w:rPr>
            </w:pPr>
          </w:p>
          <w:p w:rsidR="0056314D" w:rsidRPr="00C619CE" w:rsidRDefault="0056314D" w:rsidP="00C619CE">
            <w:pPr>
              <w:rPr>
                <w:rFonts w:eastAsia="Calibri" w:cs="Times New Roman"/>
                <w:bCs/>
                <w:szCs w:val="24"/>
              </w:rPr>
            </w:pPr>
          </w:p>
          <w:p w:rsidR="0056314D" w:rsidRPr="00C619CE" w:rsidRDefault="00BA583B" w:rsidP="00C619CE">
            <w:pPr>
              <w:rPr>
                <w:rFonts w:eastAsia="Calibri" w:cs="Times New Roman"/>
                <w:bCs/>
                <w:szCs w:val="24"/>
              </w:rPr>
            </w:pPr>
            <w:r>
              <w:rPr>
                <w:rFonts w:eastAsia="Calibri" w:cs="Times New Roman"/>
                <w:bCs/>
                <w:szCs w:val="24"/>
              </w:rPr>
              <w:t>Case No</w:t>
            </w:r>
            <w:r w:rsidR="00C80298" w:rsidRPr="00C619CE">
              <w:rPr>
                <w:rFonts w:eastAsia="Calibri" w:cs="Times New Roman"/>
                <w:bCs/>
                <w:szCs w:val="24"/>
              </w:rPr>
              <w:t>. 13-2368-EL-AAM</w:t>
            </w:r>
          </w:p>
        </w:tc>
      </w:tr>
    </w:tbl>
    <w:p w:rsidR="0056314D" w:rsidRDefault="0056314D">
      <w:pPr>
        <w:rPr>
          <w:rFonts w:eastAsia="Calibri" w:cs="Times New Roman"/>
          <w:b/>
          <w:bCs/>
          <w:szCs w:val="24"/>
        </w:rPr>
      </w:pPr>
    </w:p>
    <w:p w:rsidR="0056314D" w:rsidRDefault="0056314D">
      <w:pPr>
        <w:rPr>
          <w:rFonts w:eastAsia="Calibri" w:cs="Times New Roman"/>
          <w:szCs w:val="24"/>
        </w:rPr>
      </w:pPr>
    </w:p>
    <w:p w:rsidR="005E3D15" w:rsidRDefault="005E3D15">
      <w:pPr>
        <w:rPr>
          <w:rFonts w:eastAsia="Calibri" w:cs="Times New Roman"/>
          <w:b/>
          <w:bCs/>
          <w:szCs w:val="24"/>
        </w:rPr>
      </w:pPr>
    </w:p>
    <w:p w:rsidR="0056314D" w:rsidRDefault="0056314D">
      <w:pPr>
        <w:rPr>
          <w:rFonts w:eastAsia="Calibri" w:cs="Times New Roman"/>
          <w:b/>
          <w:bCs/>
          <w:szCs w:val="24"/>
        </w:rPr>
      </w:pPr>
    </w:p>
    <w:p w:rsidR="00063733" w:rsidRDefault="00C80298">
      <w:pPr>
        <w:jc w:val="center"/>
        <w:rPr>
          <w:rFonts w:eastAsia="Calibri" w:cs="Times New Roman"/>
          <w:b/>
          <w:bCs/>
          <w:szCs w:val="24"/>
        </w:rPr>
      </w:pPr>
      <w:r>
        <w:rPr>
          <w:rFonts w:eastAsia="Calibri" w:cs="Times New Roman"/>
          <w:b/>
          <w:bCs/>
          <w:szCs w:val="24"/>
        </w:rPr>
        <w:t xml:space="preserve">DIRECT TESTIMONY </w:t>
      </w:r>
    </w:p>
    <w:p w:rsidR="0056314D" w:rsidRDefault="00C80298">
      <w:pPr>
        <w:jc w:val="center"/>
        <w:rPr>
          <w:rFonts w:eastAsia="Calibri" w:cs="Times New Roman"/>
          <w:b/>
          <w:bCs/>
          <w:szCs w:val="24"/>
        </w:rPr>
      </w:pPr>
      <w:r>
        <w:rPr>
          <w:rFonts w:eastAsia="Calibri" w:cs="Times New Roman"/>
          <w:b/>
          <w:bCs/>
          <w:szCs w:val="24"/>
        </w:rPr>
        <w:t>OF</w:t>
      </w:r>
    </w:p>
    <w:p w:rsidR="0056314D" w:rsidRDefault="00C80298">
      <w:pPr>
        <w:jc w:val="center"/>
        <w:rPr>
          <w:rFonts w:eastAsia="Calibri" w:cs="Times New Roman"/>
          <w:b/>
          <w:bCs/>
          <w:szCs w:val="24"/>
        </w:rPr>
      </w:pPr>
      <w:r>
        <w:rPr>
          <w:rFonts w:eastAsia="Calibri" w:cs="Times New Roman"/>
          <w:b/>
          <w:bCs/>
          <w:szCs w:val="24"/>
        </w:rPr>
        <w:t>MATTHEW I. KAHAL</w:t>
      </w:r>
    </w:p>
    <w:p w:rsidR="0056314D" w:rsidRDefault="0056314D">
      <w:pPr>
        <w:jc w:val="center"/>
        <w:rPr>
          <w:rFonts w:eastAsia="Calibri" w:cs="Times New Roman"/>
          <w:b/>
          <w:bCs/>
          <w:szCs w:val="24"/>
        </w:rPr>
      </w:pPr>
    </w:p>
    <w:p w:rsidR="004C7B89" w:rsidRDefault="004C7B89">
      <w:pPr>
        <w:jc w:val="center"/>
        <w:rPr>
          <w:rFonts w:eastAsia="Calibri" w:cs="Times New Roman"/>
          <w:b/>
          <w:bCs/>
          <w:szCs w:val="24"/>
        </w:rPr>
      </w:pPr>
    </w:p>
    <w:p w:rsidR="004C7B89" w:rsidRDefault="004C7B89">
      <w:pPr>
        <w:jc w:val="center"/>
        <w:rPr>
          <w:rFonts w:eastAsia="Calibri" w:cs="Times New Roman"/>
          <w:b/>
          <w:bCs/>
          <w:szCs w:val="24"/>
        </w:rPr>
      </w:pPr>
    </w:p>
    <w:p w:rsidR="0056314D" w:rsidRDefault="00063733">
      <w:pPr>
        <w:jc w:val="center"/>
        <w:rPr>
          <w:rFonts w:eastAsia="Calibri" w:cs="Times New Roman"/>
          <w:b/>
          <w:bCs/>
          <w:szCs w:val="24"/>
        </w:rPr>
      </w:pPr>
      <w:r>
        <w:rPr>
          <w:rFonts w:eastAsia="Calibri" w:cs="Times New Roman"/>
          <w:b/>
          <w:bCs/>
          <w:szCs w:val="24"/>
        </w:rPr>
        <w:t>On Behalf of the</w:t>
      </w:r>
    </w:p>
    <w:p w:rsidR="0056314D" w:rsidRDefault="00063733">
      <w:pPr>
        <w:jc w:val="center"/>
        <w:rPr>
          <w:rFonts w:eastAsia="Calibri" w:cs="Times New Roman"/>
          <w:b/>
          <w:bCs/>
          <w:szCs w:val="24"/>
        </w:rPr>
      </w:pPr>
      <w:r>
        <w:rPr>
          <w:rFonts w:eastAsia="Calibri" w:cs="Times New Roman"/>
          <w:b/>
          <w:bCs/>
          <w:szCs w:val="24"/>
        </w:rPr>
        <w:t>The Office of the Ohio Consumers’ Counsel</w:t>
      </w:r>
    </w:p>
    <w:p w:rsidR="0056314D" w:rsidRPr="00C619CE" w:rsidRDefault="00063733">
      <w:pPr>
        <w:jc w:val="center"/>
        <w:rPr>
          <w:rFonts w:eastAsia="Calibri" w:cs="Times New Roman"/>
          <w:i/>
          <w:szCs w:val="24"/>
        </w:rPr>
      </w:pPr>
      <w:r w:rsidRPr="00C619CE">
        <w:rPr>
          <w:rFonts w:eastAsia="Calibri" w:cs="Times New Roman"/>
          <w:i/>
          <w:szCs w:val="24"/>
        </w:rPr>
        <w:t>10 West Broad Street, Suite 1800</w:t>
      </w:r>
    </w:p>
    <w:p w:rsidR="0056314D" w:rsidRPr="00C619CE" w:rsidRDefault="00063733">
      <w:pPr>
        <w:jc w:val="center"/>
        <w:rPr>
          <w:rFonts w:eastAsia="Calibri" w:cs="Times New Roman"/>
          <w:i/>
          <w:szCs w:val="24"/>
        </w:rPr>
      </w:pPr>
      <w:r w:rsidRPr="00C619CE">
        <w:rPr>
          <w:rFonts w:eastAsia="Calibri" w:cs="Times New Roman"/>
          <w:i/>
          <w:szCs w:val="24"/>
        </w:rPr>
        <w:t>Columbus, Ohio 43215-3485</w:t>
      </w:r>
    </w:p>
    <w:p w:rsidR="0056314D" w:rsidRDefault="0056314D">
      <w:pPr>
        <w:jc w:val="center"/>
        <w:rPr>
          <w:rFonts w:eastAsia="Calibri" w:cs="Times New Roman"/>
          <w:b/>
          <w:bCs/>
          <w:szCs w:val="24"/>
        </w:rPr>
      </w:pPr>
    </w:p>
    <w:p w:rsidR="0056314D" w:rsidRDefault="0056314D">
      <w:pPr>
        <w:rPr>
          <w:rFonts w:eastAsia="Calibri" w:cs="Times New Roman"/>
          <w:b/>
          <w:szCs w:val="24"/>
        </w:rPr>
      </w:pPr>
    </w:p>
    <w:p w:rsidR="0056314D" w:rsidRDefault="0056314D">
      <w:pPr>
        <w:rPr>
          <w:rFonts w:eastAsia="Calibri" w:cs="Times New Roman"/>
          <w:szCs w:val="24"/>
        </w:rPr>
      </w:pPr>
    </w:p>
    <w:p w:rsidR="0056314D" w:rsidRDefault="0056314D">
      <w:pPr>
        <w:rPr>
          <w:rFonts w:eastAsia="Calibri" w:cs="Times New Roman"/>
          <w:b/>
          <w:szCs w:val="24"/>
        </w:rPr>
      </w:pPr>
    </w:p>
    <w:p w:rsidR="0056314D" w:rsidRDefault="00C80298">
      <w:pPr>
        <w:jc w:val="center"/>
        <w:rPr>
          <w:rFonts w:eastAsia="Calibri" w:cs="Times New Roman"/>
          <w:b/>
          <w:caps/>
          <w:szCs w:val="24"/>
        </w:rPr>
      </w:pPr>
      <w:r>
        <w:rPr>
          <w:rFonts w:eastAsia="Calibri" w:cs="Times New Roman"/>
          <w:b/>
          <w:caps/>
          <w:szCs w:val="24"/>
        </w:rPr>
        <w:t>MAY 6, 2014</w:t>
      </w:r>
      <w:bookmarkStart w:id="1" w:name="_Toc282164191"/>
      <w:bookmarkStart w:id="2" w:name="_Toc282173287"/>
      <w:bookmarkStart w:id="3" w:name="_Toc282176721"/>
      <w:bookmarkStart w:id="4" w:name="_Toc282779575"/>
      <w:bookmarkStart w:id="5" w:name="_Toc282780336"/>
      <w:bookmarkStart w:id="6" w:name="_Toc283117178"/>
      <w:bookmarkStart w:id="7" w:name="_Toc283973516"/>
      <w:bookmarkStart w:id="8" w:name="_Toc324941554"/>
      <w:bookmarkStart w:id="9" w:name="_Toc324951657"/>
      <w:bookmarkStart w:id="10" w:name="_Toc325109871"/>
      <w:bookmarkStart w:id="11" w:name="_Toc325111643"/>
      <w:bookmarkStart w:id="12" w:name="_Toc325382379"/>
    </w:p>
    <w:p w:rsidR="002D06EA" w:rsidRDefault="002D06EA">
      <w:pPr>
        <w:jc w:val="center"/>
        <w:rPr>
          <w:rFonts w:eastAsia="Calibri" w:cs="Times New Roman"/>
          <w:b/>
          <w:caps/>
          <w:szCs w:val="24"/>
        </w:rPr>
      </w:pPr>
    </w:p>
    <w:p w:rsidR="002D06EA" w:rsidRDefault="002D06EA">
      <w:pPr>
        <w:jc w:val="center"/>
        <w:rPr>
          <w:rFonts w:cs="Times New Roman"/>
          <w:b/>
          <w:u w:val="single"/>
        </w:rPr>
        <w:sectPr w:rsidR="002D06EA" w:rsidSect="0006373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pPr>
    </w:p>
    <w:p w:rsidR="0056314D" w:rsidRDefault="00C80298">
      <w:pPr>
        <w:suppressLineNumbers/>
        <w:jc w:val="center"/>
        <w:rPr>
          <w:rFonts w:cs="Times New Roman"/>
          <w:b/>
          <w:u w:val="single"/>
        </w:rPr>
      </w:pPr>
      <w:r>
        <w:rPr>
          <w:rFonts w:cs="Times New Roman"/>
          <w:b/>
          <w:u w:val="single"/>
        </w:rPr>
        <w:lastRenderedPageBreak/>
        <w:t>TABLE OF CONTENTS</w:t>
      </w:r>
    </w:p>
    <w:p w:rsidR="0056314D" w:rsidRDefault="00C80298">
      <w:pPr>
        <w:suppressLineNumbers/>
        <w:jc w:val="right"/>
        <w:rPr>
          <w:rFonts w:cs="Times New Roman"/>
          <w:b/>
          <w:u w:val="single"/>
        </w:rPr>
      </w:pPr>
      <w:r>
        <w:rPr>
          <w:rFonts w:cs="Times New Roman"/>
          <w:b/>
          <w:u w:val="single"/>
        </w:rPr>
        <w:t>Page</w:t>
      </w:r>
    </w:p>
    <w:p w:rsidR="004F3FAF" w:rsidRDefault="004F3FAF">
      <w:pPr>
        <w:suppressLineNumbers/>
        <w:jc w:val="right"/>
        <w:rPr>
          <w:rFonts w:cs="Times New Roman"/>
          <w:b/>
          <w:u w:val="single"/>
        </w:rPr>
      </w:pPr>
    </w:p>
    <w:p w:rsidR="0019041E" w:rsidRDefault="00743C7F">
      <w:pPr>
        <w:pStyle w:val="TOC1"/>
        <w:rPr>
          <w:rFonts w:asciiTheme="minorHAnsi" w:eastAsiaTheme="minorEastAsia" w:hAnsiTheme="minorHAnsi" w:cstheme="minorBidi"/>
          <w:caps w:val="0"/>
          <w:sz w:val="22"/>
          <w:szCs w:val="22"/>
          <w:lang w:bidi="he-IL"/>
        </w:rPr>
      </w:pPr>
      <w:r>
        <w:fldChar w:fldCharType="begin"/>
      </w:r>
      <w:r>
        <w:instrText xml:space="preserve"> TOC \o "1-2" \h \z \u </w:instrText>
      </w:r>
      <w:r>
        <w:fldChar w:fldCharType="separate"/>
      </w:r>
      <w:hyperlink w:anchor="_Toc387147835" w:history="1">
        <w:r w:rsidR="0019041E" w:rsidRPr="004A0742">
          <w:rPr>
            <w:rStyle w:val="Hyperlink"/>
          </w:rPr>
          <w:t>I.</w:t>
        </w:r>
        <w:r w:rsidR="0019041E">
          <w:rPr>
            <w:rFonts w:asciiTheme="minorHAnsi" w:eastAsiaTheme="minorEastAsia" w:hAnsiTheme="minorHAnsi" w:cstheme="minorBidi"/>
            <w:caps w:val="0"/>
            <w:sz w:val="22"/>
            <w:szCs w:val="22"/>
            <w:lang w:bidi="he-IL"/>
          </w:rPr>
          <w:tab/>
        </w:r>
        <w:r w:rsidR="0019041E" w:rsidRPr="004A0742">
          <w:rPr>
            <w:rStyle w:val="Hyperlink"/>
          </w:rPr>
          <w:t>QUALIFICATIONS</w:t>
        </w:r>
        <w:r w:rsidR="0019041E">
          <w:rPr>
            <w:webHidden/>
          </w:rPr>
          <w:tab/>
        </w:r>
        <w:r w:rsidR="0019041E">
          <w:rPr>
            <w:webHidden/>
          </w:rPr>
          <w:fldChar w:fldCharType="begin"/>
        </w:r>
        <w:r w:rsidR="0019041E">
          <w:rPr>
            <w:webHidden/>
          </w:rPr>
          <w:instrText xml:space="preserve"> PAGEREF _Toc387147835 \h </w:instrText>
        </w:r>
        <w:r w:rsidR="0019041E">
          <w:rPr>
            <w:webHidden/>
          </w:rPr>
        </w:r>
        <w:r w:rsidR="0019041E">
          <w:rPr>
            <w:webHidden/>
          </w:rPr>
          <w:fldChar w:fldCharType="separate"/>
        </w:r>
        <w:r w:rsidR="00DD2A58">
          <w:rPr>
            <w:webHidden/>
          </w:rPr>
          <w:t>1</w:t>
        </w:r>
        <w:r w:rsidR="0019041E">
          <w:rPr>
            <w:webHidden/>
          </w:rPr>
          <w:fldChar w:fldCharType="end"/>
        </w:r>
      </w:hyperlink>
    </w:p>
    <w:p w:rsidR="0019041E" w:rsidRDefault="00D90228">
      <w:pPr>
        <w:pStyle w:val="TOC1"/>
        <w:rPr>
          <w:rFonts w:asciiTheme="minorHAnsi" w:eastAsiaTheme="minorEastAsia" w:hAnsiTheme="minorHAnsi" w:cstheme="minorBidi"/>
          <w:caps w:val="0"/>
          <w:sz w:val="22"/>
          <w:szCs w:val="22"/>
          <w:lang w:bidi="he-IL"/>
        </w:rPr>
      </w:pPr>
      <w:hyperlink w:anchor="_Toc387147836" w:history="1">
        <w:r w:rsidR="0019041E" w:rsidRPr="004A0742">
          <w:rPr>
            <w:rStyle w:val="Hyperlink"/>
          </w:rPr>
          <w:t xml:space="preserve">II.  </w:t>
        </w:r>
        <w:r w:rsidR="0019041E">
          <w:rPr>
            <w:rFonts w:asciiTheme="minorHAnsi" w:eastAsiaTheme="minorEastAsia" w:hAnsiTheme="minorHAnsi" w:cstheme="minorBidi"/>
            <w:caps w:val="0"/>
            <w:sz w:val="22"/>
            <w:szCs w:val="22"/>
            <w:lang w:bidi="he-IL"/>
          </w:rPr>
          <w:tab/>
        </w:r>
        <w:r w:rsidR="0019041E" w:rsidRPr="004A0742">
          <w:rPr>
            <w:rStyle w:val="Hyperlink"/>
            <w:rFonts w:eastAsia="Calibri"/>
          </w:rPr>
          <w:t>OVERVIEW AND SUMMARY</w:t>
        </w:r>
        <w:r w:rsidR="0019041E">
          <w:rPr>
            <w:webHidden/>
          </w:rPr>
          <w:tab/>
        </w:r>
        <w:r w:rsidR="0019041E">
          <w:rPr>
            <w:webHidden/>
          </w:rPr>
          <w:fldChar w:fldCharType="begin"/>
        </w:r>
        <w:r w:rsidR="0019041E">
          <w:rPr>
            <w:webHidden/>
          </w:rPr>
          <w:instrText xml:space="preserve"> PAGEREF _Toc387147836 \h </w:instrText>
        </w:r>
        <w:r w:rsidR="0019041E">
          <w:rPr>
            <w:webHidden/>
          </w:rPr>
        </w:r>
        <w:r w:rsidR="0019041E">
          <w:rPr>
            <w:webHidden/>
          </w:rPr>
          <w:fldChar w:fldCharType="separate"/>
        </w:r>
        <w:r w:rsidR="00DD2A58">
          <w:rPr>
            <w:webHidden/>
          </w:rPr>
          <w:t>4</w:t>
        </w:r>
        <w:r w:rsidR="0019041E">
          <w:rPr>
            <w:webHidden/>
          </w:rPr>
          <w:fldChar w:fldCharType="end"/>
        </w:r>
      </w:hyperlink>
    </w:p>
    <w:p w:rsidR="0019041E" w:rsidRDefault="00D90228">
      <w:pPr>
        <w:pStyle w:val="TOC2"/>
        <w:tabs>
          <w:tab w:val="left" w:pos="1440"/>
        </w:tabs>
        <w:rPr>
          <w:rFonts w:asciiTheme="minorHAnsi" w:eastAsiaTheme="minorEastAsia" w:hAnsiTheme="minorHAnsi" w:cstheme="minorBidi"/>
          <w:sz w:val="22"/>
          <w:szCs w:val="22"/>
          <w:lang w:bidi="he-IL"/>
        </w:rPr>
      </w:pPr>
      <w:hyperlink w:anchor="_Toc387147837" w:history="1">
        <w:r w:rsidR="0019041E" w:rsidRPr="004A0742">
          <w:rPr>
            <w:rStyle w:val="Hyperlink"/>
          </w:rPr>
          <w:t>A.</w:t>
        </w:r>
        <w:r w:rsidR="0019041E">
          <w:rPr>
            <w:rFonts w:asciiTheme="minorHAnsi" w:eastAsiaTheme="minorEastAsia" w:hAnsiTheme="minorHAnsi" w:cstheme="minorBidi"/>
            <w:sz w:val="22"/>
            <w:szCs w:val="22"/>
            <w:lang w:bidi="he-IL"/>
          </w:rPr>
          <w:tab/>
        </w:r>
        <w:r w:rsidR="0019041E" w:rsidRPr="004A0742">
          <w:rPr>
            <w:rStyle w:val="Hyperlink"/>
          </w:rPr>
          <w:t>Purpose of Testimony</w:t>
        </w:r>
        <w:r w:rsidR="0019041E">
          <w:rPr>
            <w:webHidden/>
          </w:rPr>
          <w:tab/>
        </w:r>
        <w:r w:rsidR="0019041E">
          <w:rPr>
            <w:webHidden/>
          </w:rPr>
          <w:fldChar w:fldCharType="begin"/>
        </w:r>
        <w:r w:rsidR="0019041E">
          <w:rPr>
            <w:webHidden/>
          </w:rPr>
          <w:instrText xml:space="preserve"> PAGEREF _Toc387147837 \h </w:instrText>
        </w:r>
        <w:r w:rsidR="0019041E">
          <w:rPr>
            <w:webHidden/>
          </w:rPr>
        </w:r>
        <w:r w:rsidR="0019041E">
          <w:rPr>
            <w:webHidden/>
          </w:rPr>
          <w:fldChar w:fldCharType="separate"/>
        </w:r>
        <w:r w:rsidR="00DD2A58">
          <w:rPr>
            <w:webHidden/>
          </w:rPr>
          <w:t>4</w:t>
        </w:r>
        <w:r w:rsidR="0019041E">
          <w:rPr>
            <w:webHidden/>
          </w:rPr>
          <w:fldChar w:fldCharType="end"/>
        </w:r>
      </w:hyperlink>
    </w:p>
    <w:p w:rsidR="0019041E" w:rsidRDefault="00D90228">
      <w:pPr>
        <w:pStyle w:val="TOC2"/>
        <w:tabs>
          <w:tab w:val="left" w:pos="1440"/>
        </w:tabs>
        <w:rPr>
          <w:rFonts w:asciiTheme="minorHAnsi" w:eastAsiaTheme="minorEastAsia" w:hAnsiTheme="minorHAnsi" w:cstheme="minorBidi"/>
          <w:sz w:val="22"/>
          <w:szCs w:val="22"/>
          <w:lang w:bidi="he-IL"/>
        </w:rPr>
      </w:pPr>
      <w:hyperlink w:anchor="_Toc387147838" w:history="1">
        <w:r w:rsidR="0019041E" w:rsidRPr="004A0742">
          <w:rPr>
            <w:rStyle w:val="Hyperlink"/>
          </w:rPr>
          <w:t>B.</w:t>
        </w:r>
        <w:r w:rsidR="0019041E">
          <w:rPr>
            <w:rFonts w:asciiTheme="minorHAnsi" w:eastAsiaTheme="minorEastAsia" w:hAnsiTheme="minorHAnsi" w:cstheme="minorBidi"/>
            <w:sz w:val="22"/>
            <w:szCs w:val="22"/>
            <w:lang w:bidi="he-IL"/>
          </w:rPr>
          <w:tab/>
        </w:r>
        <w:r w:rsidR="0019041E" w:rsidRPr="004A0742">
          <w:rPr>
            <w:rStyle w:val="Hyperlink"/>
          </w:rPr>
          <w:t>Organization of Testimony</w:t>
        </w:r>
        <w:r w:rsidR="0019041E">
          <w:rPr>
            <w:webHidden/>
          </w:rPr>
          <w:tab/>
        </w:r>
        <w:r w:rsidR="0019041E">
          <w:rPr>
            <w:webHidden/>
          </w:rPr>
          <w:fldChar w:fldCharType="begin"/>
        </w:r>
        <w:r w:rsidR="0019041E">
          <w:rPr>
            <w:webHidden/>
          </w:rPr>
          <w:instrText xml:space="preserve"> PAGEREF _Toc387147838 \h </w:instrText>
        </w:r>
        <w:r w:rsidR="0019041E">
          <w:rPr>
            <w:webHidden/>
          </w:rPr>
        </w:r>
        <w:r w:rsidR="0019041E">
          <w:rPr>
            <w:webHidden/>
          </w:rPr>
          <w:fldChar w:fldCharType="separate"/>
        </w:r>
        <w:r w:rsidR="00DD2A58">
          <w:rPr>
            <w:webHidden/>
          </w:rPr>
          <w:t>15</w:t>
        </w:r>
        <w:r w:rsidR="0019041E">
          <w:rPr>
            <w:webHidden/>
          </w:rPr>
          <w:fldChar w:fldCharType="end"/>
        </w:r>
      </w:hyperlink>
    </w:p>
    <w:p w:rsidR="0019041E" w:rsidRDefault="00D90228">
      <w:pPr>
        <w:pStyle w:val="TOC1"/>
        <w:rPr>
          <w:rFonts w:asciiTheme="minorHAnsi" w:eastAsiaTheme="minorEastAsia" w:hAnsiTheme="minorHAnsi" w:cstheme="minorBidi"/>
          <w:caps w:val="0"/>
          <w:sz w:val="22"/>
          <w:szCs w:val="22"/>
          <w:lang w:bidi="he-IL"/>
        </w:rPr>
      </w:pPr>
      <w:hyperlink w:anchor="_Toc387147839" w:history="1">
        <w:r w:rsidR="0019041E" w:rsidRPr="004A0742">
          <w:rPr>
            <w:rStyle w:val="Hyperlink"/>
          </w:rPr>
          <w:t xml:space="preserve">III.  </w:t>
        </w:r>
        <w:r w:rsidR="0019041E">
          <w:rPr>
            <w:rFonts w:asciiTheme="minorHAnsi" w:eastAsiaTheme="minorEastAsia" w:hAnsiTheme="minorHAnsi" w:cstheme="minorBidi"/>
            <w:caps w:val="0"/>
            <w:sz w:val="22"/>
            <w:szCs w:val="22"/>
            <w:lang w:bidi="he-IL"/>
          </w:rPr>
          <w:tab/>
        </w:r>
        <w:r w:rsidR="0019041E" w:rsidRPr="004A0742">
          <w:rPr>
            <w:rStyle w:val="Hyperlink"/>
            <w:rFonts w:eastAsia="Calibri"/>
          </w:rPr>
          <w:t>THE ESP VS. MRO TEST</w:t>
        </w:r>
        <w:r w:rsidR="0019041E">
          <w:rPr>
            <w:webHidden/>
          </w:rPr>
          <w:tab/>
        </w:r>
        <w:r w:rsidR="0019041E">
          <w:rPr>
            <w:webHidden/>
          </w:rPr>
          <w:fldChar w:fldCharType="begin"/>
        </w:r>
        <w:r w:rsidR="0019041E">
          <w:rPr>
            <w:webHidden/>
          </w:rPr>
          <w:instrText xml:space="preserve"> PAGEREF _Toc387147839 \h </w:instrText>
        </w:r>
        <w:r w:rsidR="0019041E">
          <w:rPr>
            <w:webHidden/>
          </w:rPr>
        </w:r>
        <w:r w:rsidR="0019041E">
          <w:rPr>
            <w:webHidden/>
          </w:rPr>
          <w:fldChar w:fldCharType="separate"/>
        </w:r>
        <w:r w:rsidR="00DD2A58">
          <w:rPr>
            <w:webHidden/>
          </w:rPr>
          <w:t>15</w:t>
        </w:r>
        <w:r w:rsidR="0019041E">
          <w:rPr>
            <w:webHidden/>
          </w:rPr>
          <w:fldChar w:fldCharType="end"/>
        </w:r>
      </w:hyperlink>
    </w:p>
    <w:p w:rsidR="0019041E" w:rsidRDefault="00D90228">
      <w:pPr>
        <w:pStyle w:val="TOC2"/>
        <w:tabs>
          <w:tab w:val="left" w:pos="1440"/>
        </w:tabs>
        <w:rPr>
          <w:rFonts w:asciiTheme="minorHAnsi" w:eastAsiaTheme="minorEastAsia" w:hAnsiTheme="minorHAnsi" w:cstheme="minorBidi"/>
          <w:sz w:val="22"/>
          <w:szCs w:val="22"/>
          <w:lang w:bidi="he-IL"/>
        </w:rPr>
      </w:pPr>
      <w:hyperlink w:anchor="_Toc387147840" w:history="1">
        <w:r w:rsidR="0019041E" w:rsidRPr="004A0742">
          <w:rPr>
            <w:rStyle w:val="Hyperlink"/>
          </w:rPr>
          <w:t>A.</w:t>
        </w:r>
        <w:r w:rsidR="0019041E">
          <w:rPr>
            <w:rFonts w:asciiTheme="minorHAnsi" w:eastAsiaTheme="minorEastAsia" w:hAnsiTheme="minorHAnsi" w:cstheme="minorBidi"/>
            <w:sz w:val="22"/>
            <w:szCs w:val="22"/>
            <w:lang w:bidi="he-IL"/>
          </w:rPr>
          <w:tab/>
        </w:r>
        <w:r w:rsidR="0019041E" w:rsidRPr="004A0742">
          <w:rPr>
            <w:rStyle w:val="Hyperlink"/>
          </w:rPr>
          <w:t>The Statutory Test</w:t>
        </w:r>
        <w:r w:rsidR="0019041E">
          <w:rPr>
            <w:webHidden/>
          </w:rPr>
          <w:tab/>
        </w:r>
        <w:r w:rsidR="0019041E">
          <w:rPr>
            <w:webHidden/>
          </w:rPr>
          <w:fldChar w:fldCharType="begin"/>
        </w:r>
        <w:r w:rsidR="0019041E">
          <w:rPr>
            <w:webHidden/>
          </w:rPr>
          <w:instrText xml:space="preserve"> PAGEREF _Toc387147840 \h </w:instrText>
        </w:r>
        <w:r w:rsidR="0019041E">
          <w:rPr>
            <w:webHidden/>
          </w:rPr>
        </w:r>
        <w:r w:rsidR="0019041E">
          <w:rPr>
            <w:webHidden/>
          </w:rPr>
          <w:fldChar w:fldCharType="separate"/>
        </w:r>
        <w:r w:rsidR="00DD2A58">
          <w:rPr>
            <w:webHidden/>
          </w:rPr>
          <w:t>15</w:t>
        </w:r>
        <w:r w:rsidR="0019041E">
          <w:rPr>
            <w:webHidden/>
          </w:rPr>
          <w:fldChar w:fldCharType="end"/>
        </w:r>
      </w:hyperlink>
    </w:p>
    <w:p w:rsidR="0019041E" w:rsidRDefault="00D90228">
      <w:pPr>
        <w:pStyle w:val="TOC2"/>
        <w:tabs>
          <w:tab w:val="left" w:pos="1440"/>
        </w:tabs>
        <w:rPr>
          <w:rFonts w:asciiTheme="minorHAnsi" w:eastAsiaTheme="minorEastAsia" w:hAnsiTheme="minorHAnsi" w:cstheme="minorBidi"/>
          <w:sz w:val="22"/>
          <w:szCs w:val="22"/>
          <w:lang w:bidi="he-IL"/>
        </w:rPr>
      </w:pPr>
      <w:hyperlink w:anchor="_Toc387147841" w:history="1">
        <w:r w:rsidR="0019041E" w:rsidRPr="004A0742">
          <w:rPr>
            <w:rStyle w:val="Hyperlink"/>
          </w:rPr>
          <w:t>B.</w:t>
        </w:r>
        <w:r w:rsidR="0019041E">
          <w:rPr>
            <w:rFonts w:asciiTheme="minorHAnsi" w:eastAsiaTheme="minorEastAsia" w:hAnsiTheme="minorHAnsi" w:cstheme="minorBidi"/>
            <w:sz w:val="22"/>
            <w:szCs w:val="22"/>
            <w:lang w:bidi="he-IL"/>
          </w:rPr>
          <w:tab/>
        </w:r>
        <w:r w:rsidR="0019041E" w:rsidRPr="004A0742">
          <w:rPr>
            <w:rStyle w:val="Hyperlink"/>
          </w:rPr>
          <w:t>AEP Ohio’s Position</w:t>
        </w:r>
        <w:r w:rsidR="0019041E">
          <w:rPr>
            <w:webHidden/>
          </w:rPr>
          <w:tab/>
        </w:r>
        <w:r w:rsidR="0019041E">
          <w:rPr>
            <w:webHidden/>
          </w:rPr>
          <w:fldChar w:fldCharType="begin"/>
        </w:r>
        <w:r w:rsidR="0019041E">
          <w:rPr>
            <w:webHidden/>
          </w:rPr>
          <w:instrText xml:space="preserve"> PAGEREF _Toc387147841 \h </w:instrText>
        </w:r>
        <w:r w:rsidR="0019041E">
          <w:rPr>
            <w:webHidden/>
          </w:rPr>
        </w:r>
        <w:r w:rsidR="0019041E">
          <w:rPr>
            <w:webHidden/>
          </w:rPr>
          <w:fldChar w:fldCharType="separate"/>
        </w:r>
        <w:r w:rsidR="00DD2A58">
          <w:rPr>
            <w:webHidden/>
          </w:rPr>
          <w:t>19</w:t>
        </w:r>
        <w:r w:rsidR="0019041E">
          <w:rPr>
            <w:webHidden/>
          </w:rPr>
          <w:fldChar w:fldCharType="end"/>
        </w:r>
      </w:hyperlink>
    </w:p>
    <w:p w:rsidR="0019041E" w:rsidRDefault="00D90228">
      <w:pPr>
        <w:pStyle w:val="TOC2"/>
        <w:tabs>
          <w:tab w:val="left" w:pos="1440"/>
        </w:tabs>
        <w:rPr>
          <w:rFonts w:asciiTheme="minorHAnsi" w:eastAsiaTheme="minorEastAsia" w:hAnsiTheme="minorHAnsi" w:cstheme="minorBidi"/>
          <w:sz w:val="22"/>
          <w:szCs w:val="22"/>
          <w:lang w:bidi="he-IL"/>
        </w:rPr>
      </w:pPr>
      <w:hyperlink w:anchor="_Toc387147842" w:history="1">
        <w:r w:rsidR="0019041E" w:rsidRPr="004A0742">
          <w:rPr>
            <w:rStyle w:val="Hyperlink"/>
          </w:rPr>
          <w:t>C.</w:t>
        </w:r>
        <w:r w:rsidR="0019041E">
          <w:rPr>
            <w:rFonts w:asciiTheme="minorHAnsi" w:eastAsiaTheme="minorEastAsia" w:hAnsiTheme="minorHAnsi" w:cstheme="minorBidi"/>
            <w:sz w:val="22"/>
            <w:szCs w:val="22"/>
            <w:lang w:bidi="he-IL"/>
          </w:rPr>
          <w:tab/>
        </w:r>
        <w:r w:rsidR="0019041E" w:rsidRPr="004A0742">
          <w:rPr>
            <w:rStyle w:val="Hyperlink"/>
          </w:rPr>
          <w:t>Evaluation of the ESP versus MRO Test</w:t>
        </w:r>
        <w:r w:rsidR="0019041E">
          <w:rPr>
            <w:webHidden/>
          </w:rPr>
          <w:tab/>
        </w:r>
        <w:r w:rsidR="0019041E">
          <w:rPr>
            <w:webHidden/>
          </w:rPr>
          <w:fldChar w:fldCharType="begin"/>
        </w:r>
        <w:r w:rsidR="0019041E">
          <w:rPr>
            <w:webHidden/>
          </w:rPr>
          <w:instrText xml:space="preserve"> PAGEREF _Toc387147842 \h </w:instrText>
        </w:r>
        <w:r w:rsidR="0019041E">
          <w:rPr>
            <w:webHidden/>
          </w:rPr>
        </w:r>
        <w:r w:rsidR="0019041E">
          <w:rPr>
            <w:webHidden/>
          </w:rPr>
          <w:fldChar w:fldCharType="separate"/>
        </w:r>
        <w:r w:rsidR="00DD2A58">
          <w:rPr>
            <w:webHidden/>
          </w:rPr>
          <w:t>24</w:t>
        </w:r>
        <w:r w:rsidR="0019041E">
          <w:rPr>
            <w:webHidden/>
          </w:rPr>
          <w:fldChar w:fldCharType="end"/>
        </w:r>
      </w:hyperlink>
    </w:p>
    <w:p w:rsidR="0019041E" w:rsidRDefault="00D90228">
      <w:pPr>
        <w:pStyle w:val="TOC1"/>
        <w:rPr>
          <w:rFonts w:asciiTheme="minorHAnsi" w:eastAsiaTheme="minorEastAsia" w:hAnsiTheme="minorHAnsi" w:cstheme="minorBidi"/>
          <w:caps w:val="0"/>
          <w:sz w:val="22"/>
          <w:szCs w:val="22"/>
          <w:lang w:bidi="he-IL"/>
        </w:rPr>
      </w:pPr>
      <w:hyperlink w:anchor="_Toc387147843" w:history="1">
        <w:r w:rsidR="0019041E" w:rsidRPr="004A0742">
          <w:rPr>
            <w:rStyle w:val="Hyperlink"/>
          </w:rPr>
          <w:t>IV.</w:t>
        </w:r>
        <w:r w:rsidR="0019041E">
          <w:rPr>
            <w:rFonts w:asciiTheme="minorHAnsi" w:eastAsiaTheme="minorEastAsia" w:hAnsiTheme="minorHAnsi" w:cstheme="minorBidi"/>
            <w:caps w:val="0"/>
            <w:sz w:val="22"/>
            <w:szCs w:val="22"/>
            <w:lang w:bidi="he-IL"/>
          </w:rPr>
          <w:tab/>
        </w:r>
        <w:r w:rsidR="0019041E" w:rsidRPr="004A0742">
          <w:rPr>
            <w:rStyle w:val="Hyperlink"/>
          </w:rPr>
          <w:t>THE PURCHASE OF RECEIVABLES PROGRAM PROPOSAL</w:t>
        </w:r>
        <w:r w:rsidR="0019041E">
          <w:rPr>
            <w:webHidden/>
          </w:rPr>
          <w:tab/>
        </w:r>
        <w:r w:rsidR="0019041E">
          <w:rPr>
            <w:webHidden/>
          </w:rPr>
          <w:fldChar w:fldCharType="begin"/>
        </w:r>
        <w:r w:rsidR="0019041E">
          <w:rPr>
            <w:webHidden/>
          </w:rPr>
          <w:instrText xml:space="preserve"> PAGEREF _Toc387147843 \h </w:instrText>
        </w:r>
        <w:r w:rsidR="0019041E">
          <w:rPr>
            <w:webHidden/>
          </w:rPr>
        </w:r>
        <w:r w:rsidR="0019041E">
          <w:rPr>
            <w:webHidden/>
          </w:rPr>
          <w:fldChar w:fldCharType="separate"/>
        </w:r>
        <w:r w:rsidR="00DD2A58">
          <w:rPr>
            <w:webHidden/>
          </w:rPr>
          <w:t>31</w:t>
        </w:r>
        <w:r w:rsidR="0019041E">
          <w:rPr>
            <w:webHidden/>
          </w:rPr>
          <w:fldChar w:fldCharType="end"/>
        </w:r>
      </w:hyperlink>
    </w:p>
    <w:p w:rsidR="0019041E" w:rsidRDefault="00D90228">
      <w:pPr>
        <w:pStyle w:val="TOC1"/>
        <w:rPr>
          <w:rFonts w:asciiTheme="minorHAnsi" w:eastAsiaTheme="minorEastAsia" w:hAnsiTheme="minorHAnsi" w:cstheme="minorBidi"/>
          <w:caps w:val="0"/>
          <w:sz w:val="22"/>
          <w:szCs w:val="22"/>
          <w:lang w:bidi="he-IL"/>
        </w:rPr>
      </w:pPr>
      <w:hyperlink w:anchor="_Toc387147844" w:history="1">
        <w:r w:rsidR="0019041E" w:rsidRPr="004A0742">
          <w:rPr>
            <w:rStyle w:val="Hyperlink"/>
          </w:rPr>
          <w:t>V.</w:t>
        </w:r>
        <w:r w:rsidR="0019041E">
          <w:rPr>
            <w:rFonts w:asciiTheme="minorHAnsi" w:eastAsiaTheme="minorEastAsia" w:hAnsiTheme="minorHAnsi" w:cstheme="minorBidi"/>
            <w:caps w:val="0"/>
            <w:sz w:val="22"/>
            <w:szCs w:val="22"/>
            <w:lang w:bidi="he-IL"/>
          </w:rPr>
          <w:tab/>
        </w:r>
        <w:r w:rsidR="0019041E" w:rsidRPr="004A0742">
          <w:rPr>
            <w:rStyle w:val="Hyperlink"/>
          </w:rPr>
          <w:t>THE SSO POWER PROCUREMENT AND PRICING</w:t>
        </w:r>
        <w:r w:rsidR="0019041E">
          <w:rPr>
            <w:webHidden/>
          </w:rPr>
          <w:tab/>
        </w:r>
        <w:r w:rsidR="0019041E">
          <w:rPr>
            <w:webHidden/>
          </w:rPr>
          <w:fldChar w:fldCharType="begin"/>
        </w:r>
        <w:r w:rsidR="0019041E">
          <w:rPr>
            <w:webHidden/>
          </w:rPr>
          <w:instrText xml:space="preserve"> PAGEREF _Toc387147844 \h </w:instrText>
        </w:r>
        <w:r w:rsidR="0019041E">
          <w:rPr>
            <w:webHidden/>
          </w:rPr>
        </w:r>
        <w:r w:rsidR="0019041E">
          <w:rPr>
            <w:webHidden/>
          </w:rPr>
          <w:fldChar w:fldCharType="separate"/>
        </w:r>
        <w:r w:rsidR="00DD2A58">
          <w:rPr>
            <w:webHidden/>
          </w:rPr>
          <w:t>43</w:t>
        </w:r>
        <w:r w:rsidR="0019041E">
          <w:rPr>
            <w:webHidden/>
          </w:rPr>
          <w:fldChar w:fldCharType="end"/>
        </w:r>
      </w:hyperlink>
    </w:p>
    <w:p w:rsidR="0019041E" w:rsidRDefault="00D90228">
      <w:pPr>
        <w:pStyle w:val="TOC2"/>
        <w:tabs>
          <w:tab w:val="left" w:pos="1440"/>
        </w:tabs>
        <w:rPr>
          <w:rFonts w:asciiTheme="minorHAnsi" w:eastAsiaTheme="minorEastAsia" w:hAnsiTheme="minorHAnsi" w:cstheme="minorBidi"/>
          <w:sz w:val="22"/>
          <w:szCs w:val="22"/>
          <w:lang w:bidi="he-IL"/>
        </w:rPr>
      </w:pPr>
      <w:hyperlink w:anchor="_Toc387147845" w:history="1">
        <w:r w:rsidR="0019041E" w:rsidRPr="004A0742">
          <w:rPr>
            <w:rStyle w:val="Hyperlink"/>
          </w:rPr>
          <w:t>A.</w:t>
        </w:r>
        <w:r w:rsidR="0019041E">
          <w:rPr>
            <w:rFonts w:asciiTheme="minorHAnsi" w:eastAsiaTheme="minorEastAsia" w:hAnsiTheme="minorHAnsi" w:cstheme="minorBidi"/>
            <w:sz w:val="22"/>
            <w:szCs w:val="22"/>
            <w:lang w:bidi="he-IL"/>
          </w:rPr>
          <w:tab/>
        </w:r>
        <w:r w:rsidR="0019041E" w:rsidRPr="004A0742">
          <w:rPr>
            <w:rStyle w:val="Hyperlink"/>
          </w:rPr>
          <w:t>The Standard Service Offer Competitive Procurement Process</w:t>
        </w:r>
        <w:r w:rsidR="0019041E">
          <w:rPr>
            <w:webHidden/>
          </w:rPr>
          <w:tab/>
        </w:r>
        <w:r w:rsidR="0019041E">
          <w:rPr>
            <w:webHidden/>
          </w:rPr>
          <w:fldChar w:fldCharType="begin"/>
        </w:r>
        <w:r w:rsidR="0019041E">
          <w:rPr>
            <w:webHidden/>
          </w:rPr>
          <w:instrText xml:space="preserve"> PAGEREF _Toc387147845 \h </w:instrText>
        </w:r>
        <w:r w:rsidR="0019041E">
          <w:rPr>
            <w:webHidden/>
          </w:rPr>
        </w:r>
        <w:r w:rsidR="0019041E">
          <w:rPr>
            <w:webHidden/>
          </w:rPr>
          <w:fldChar w:fldCharType="separate"/>
        </w:r>
        <w:r w:rsidR="00DD2A58">
          <w:rPr>
            <w:webHidden/>
          </w:rPr>
          <w:t>43</w:t>
        </w:r>
        <w:r w:rsidR="0019041E">
          <w:rPr>
            <w:webHidden/>
          </w:rPr>
          <w:fldChar w:fldCharType="end"/>
        </w:r>
      </w:hyperlink>
    </w:p>
    <w:p w:rsidR="0019041E" w:rsidRDefault="00D90228">
      <w:pPr>
        <w:pStyle w:val="TOC2"/>
        <w:tabs>
          <w:tab w:val="left" w:pos="1440"/>
        </w:tabs>
        <w:rPr>
          <w:rFonts w:asciiTheme="minorHAnsi" w:eastAsiaTheme="minorEastAsia" w:hAnsiTheme="minorHAnsi" w:cstheme="minorBidi"/>
          <w:sz w:val="22"/>
          <w:szCs w:val="22"/>
          <w:lang w:bidi="he-IL"/>
        </w:rPr>
      </w:pPr>
      <w:hyperlink w:anchor="_Toc387147846" w:history="1">
        <w:r w:rsidR="0019041E" w:rsidRPr="004A0742">
          <w:rPr>
            <w:rStyle w:val="Hyperlink"/>
          </w:rPr>
          <w:t>B.</w:t>
        </w:r>
        <w:r w:rsidR="0019041E">
          <w:rPr>
            <w:rFonts w:asciiTheme="minorHAnsi" w:eastAsiaTheme="minorEastAsia" w:hAnsiTheme="minorHAnsi" w:cstheme="minorBidi"/>
            <w:sz w:val="22"/>
            <w:szCs w:val="22"/>
            <w:lang w:bidi="he-IL"/>
          </w:rPr>
          <w:tab/>
        </w:r>
        <w:r w:rsidR="0019041E" w:rsidRPr="004A0742">
          <w:rPr>
            <w:rStyle w:val="Hyperlink"/>
          </w:rPr>
          <w:t>Determination of Standard Service Offer Generation Supply Prices</w:t>
        </w:r>
        <w:r w:rsidR="0019041E">
          <w:rPr>
            <w:webHidden/>
          </w:rPr>
          <w:tab/>
        </w:r>
        <w:r w:rsidR="0019041E">
          <w:rPr>
            <w:webHidden/>
          </w:rPr>
          <w:fldChar w:fldCharType="begin"/>
        </w:r>
        <w:r w:rsidR="0019041E">
          <w:rPr>
            <w:webHidden/>
          </w:rPr>
          <w:instrText xml:space="preserve"> PAGEREF _Toc387147846 \h </w:instrText>
        </w:r>
        <w:r w:rsidR="0019041E">
          <w:rPr>
            <w:webHidden/>
          </w:rPr>
        </w:r>
        <w:r w:rsidR="0019041E">
          <w:rPr>
            <w:webHidden/>
          </w:rPr>
          <w:fldChar w:fldCharType="separate"/>
        </w:r>
        <w:r w:rsidR="00DD2A58">
          <w:rPr>
            <w:webHidden/>
          </w:rPr>
          <w:t>53</w:t>
        </w:r>
        <w:r w:rsidR="0019041E">
          <w:rPr>
            <w:webHidden/>
          </w:rPr>
          <w:fldChar w:fldCharType="end"/>
        </w:r>
      </w:hyperlink>
    </w:p>
    <w:p w:rsidR="00743C7F" w:rsidRDefault="00743C7F" w:rsidP="00743C7F">
      <w:pPr>
        <w:suppressLineNumbers/>
        <w:spacing w:after="240"/>
        <w:rPr>
          <w:rFonts w:eastAsia="Times New Roman" w:cs="Times New Roman"/>
          <w:noProof/>
          <w:szCs w:val="24"/>
        </w:rPr>
      </w:pPr>
      <w:r>
        <w:rPr>
          <w:rFonts w:eastAsia="Times New Roman" w:cs="Times New Roman"/>
          <w:noProof/>
          <w:szCs w:val="24"/>
        </w:rPr>
        <w:fldChar w:fldCharType="end"/>
      </w:r>
    </w:p>
    <w:p w:rsidR="004C7B89" w:rsidRPr="004C7B89" w:rsidRDefault="004C7B89" w:rsidP="00743C7F">
      <w:pPr>
        <w:suppressLineNumbers/>
        <w:spacing w:after="240"/>
        <w:rPr>
          <w:rFonts w:eastAsia="Times New Roman" w:cs="Times New Roman"/>
          <w:b/>
          <w:noProof/>
          <w:szCs w:val="24"/>
        </w:rPr>
      </w:pPr>
      <w:r w:rsidRPr="004C7B89">
        <w:rPr>
          <w:rFonts w:eastAsia="Times New Roman" w:cs="Times New Roman"/>
          <w:b/>
          <w:noProof/>
          <w:szCs w:val="24"/>
        </w:rPr>
        <w:t>ATTACHMENTS:</w:t>
      </w:r>
    </w:p>
    <w:p w:rsidR="004C7B89" w:rsidRDefault="004C7B89" w:rsidP="00C579C9">
      <w:pPr>
        <w:suppressLineNumbers/>
        <w:rPr>
          <w:rFonts w:eastAsia="Times New Roman" w:cs="Times New Roman"/>
          <w:noProof/>
          <w:szCs w:val="24"/>
        </w:rPr>
      </w:pPr>
      <w:r>
        <w:rPr>
          <w:rFonts w:eastAsia="Times New Roman" w:cs="Times New Roman"/>
          <w:noProof/>
          <w:szCs w:val="24"/>
        </w:rPr>
        <w:t>APPENDIX A</w:t>
      </w:r>
    </w:p>
    <w:p w:rsidR="00C579C9" w:rsidRDefault="00C579C9" w:rsidP="00C579C9">
      <w:pPr>
        <w:suppressLineNumbers/>
        <w:rPr>
          <w:rFonts w:eastAsia="Times New Roman" w:cs="Times New Roman"/>
          <w:noProof/>
          <w:szCs w:val="24"/>
        </w:rPr>
      </w:pPr>
      <w:r>
        <w:rPr>
          <w:rFonts w:eastAsia="Times New Roman" w:cs="Times New Roman"/>
          <w:noProof/>
          <w:szCs w:val="24"/>
        </w:rPr>
        <w:t>APPENDIX B</w:t>
      </w:r>
    </w:p>
    <w:p w:rsidR="00C579C9" w:rsidRDefault="00C579C9" w:rsidP="00C579C9">
      <w:pPr>
        <w:suppressLineNumbers/>
        <w:rPr>
          <w:rFonts w:eastAsia="Times New Roman" w:cs="Times New Roman"/>
          <w:noProof/>
          <w:szCs w:val="24"/>
        </w:rPr>
        <w:sectPr w:rsidR="00C579C9" w:rsidSect="00743C7F">
          <w:headerReference w:type="even" r:id="rId14"/>
          <w:headerReference w:type="default" r:id="rId15"/>
          <w:footerReference w:type="default" r:id="rId16"/>
          <w:headerReference w:type="first" r:id="rId17"/>
          <w:pgSz w:w="12240" w:h="15840" w:code="1"/>
          <w:pgMar w:top="1440" w:right="1800" w:bottom="1440" w:left="1800" w:header="720" w:footer="720" w:gutter="0"/>
          <w:pgNumType w:fmt="lowerRoman" w:start="1"/>
          <w:cols w:space="720"/>
          <w:docGrid w:linePitch="360"/>
        </w:sectPr>
      </w:pPr>
      <w:r>
        <w:rPr>
          <w:rFonts w:eastAsia="Times New Roman" w:cs="Times New Roman"/>
          <w:noProof/>
          <w:szCs w:val="24"/>
        </w:rPr>
        <w:t>APPENDIX C</w:t>
      </w:r>
    </w:p>
    <w:p w:rsidR="0056314D" w:rsidRDefault="005E3D15" w:rsidP="004F3FAF">
      <w:pPr>
        <w:pStyle w:val="Heading1"/>
        <w:spacing w:after="0"/>
      </w:pPr>
      <w:bookmarkStart w:id="13" w:name="_Toc385584287"/>
      <w:bookmarkStart w:id="14" w:name="_Toc387147835"/>
      <w:r>
        <w:lastRenderedPageBreak/>
        <w:t>I.</w:t>
      </w:r>
      <w:r w:rsidR="00063733" w:rsidRPr="00063733">
        <w:tab/>
      </w:r>
      <w:r w:rsidR="00C80298" w:rsidRPr="00063733">
        <w:t>QUALIFICATIONS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4F3FAF" w:rsidRPr="004F3FAF" w:rsidRDefault="004F3FAF" w:rsidP="004F3FAF">
      <w:pPr>
        <w:spacing w:line="480" w:lineRule="auto"/>
      </w:pPr>
    </w:p>
    <w:p w:rsidR="0056314D" w:rsidRPr="00063733" w:rsidRDefault="00063733" w:rsidP="004F3FAF">
      <w:pPr>
        <w:spacing w:line="480" w:lineRule="auto"/>
        <w:rPr>
          <w:b/>
          <w:i/>
        </w:rPr>
      </w:pPr>
      <w:r w:rsidRPr="00063733">
        <w:rPr>
          <w:b/>
          <w:i/>
        </w:rPr>
        <w:t>Q1.</w:t>
      </w:r>
      <w:r w:rsidRPr="00063733">
        <w:rPr>
          <w:b/>
          <w:i/>
        </w:rPr>
        <w:tab/>
      </w:r>
      <w:r w:rsidR="00C80298" w:rsidRPr="00063733">
        <w:rPr>
          <w:b/>
          <w:i/>
        </w:rPr>
        <w:t>PLEASE STATE YOUR NAME AND BUSINESS ADDRESS.</w:t>
      </w:r>
    </w:p>
    <w:p w:rsidR="0056314D" w:rsidRDefault="00BA583B" w:rsidP="00BC2113">
      <w:pPr>
        <w:pStyle w:val="DirectAnswer"/>
      </w:pPr>
      <w:r w:rsidRPr="00BC2113">
        <w:rPr>
          <w:b/>
          <w:bCs w:val="0"/>
          <w:i/>
          <w:iCs/>
        </w:rPr>
        <w:t>A1.</w:t>
      </w:r>
      <w:r w:rsidRPr="00BC2113">
        <w:tab/>
      </w:r>
      <w:r w:rsidR="00C80298" w:rsidRPr="00BC2113">
        <w:t>My name</w:t>
      </w:r>
      <w:r w:rsidR="00C80298">
        <w:t xml:space="preserve"> is Matthew I. Kahal.  I am employed as an independent consultant working in this case for the economic consulting firm Exeter Associates, Inc. (“Exeter”).  Exeter has been retained by the Office of the Ohio Consumers’ Counsel (“OCC”) to address certain issues in this docket.  Exeter’s business address is 10480 Little Patuxent Parkway, Suite 300, Columbia, Maryland 21044.</w:t>
      </w:r>
    </w:p>
    <w:p w:rsidR="00063733" w:rsidRPr="00063733" w:rsidRDefault="00063733" w:rsidP="004F3FAF">
      <w:pPr>
        <w:pStyle w:val="DirectNext"/>
        <w:spacing w:line="480" w:lineRule="auto"/>
      </w:pPr>
    </w:p>
    <w:p w:rsidR="0056314D" w:rsidRPr="00063733" w:rsidRDefault="00063733" w:rsidP="00C619CE">
      <w:pPr>
        <w:pStyle w:val="DIRECTQUESTION0"/>
      </w:pPr>
      <w:r w:rsidRPr="00063733">
        <w:t>Q2.</w:t>
      </w:r>
      <w:r w:rsidRPr="00063733">
        <w:tab/>
      </w:r>
      <w:r w:rsidR="00C80298" w:rsidRPr="00063733">
        <w:t>PLEASE STATE YOUR EDUCATIONAL BACKGROUND.</w:t>
      </w:r>
    </w:p>
    <w:p w:rsidR="0056314D" w:rsidRDefault="00BA583B" w:rsidP="00BC2113">
      <w:pPr>
        <w:pStyle w:val="DirectAnswer"/>
      </w:pPr>
      <w:r w:rsidRPr="00BA583B">
        <w:rPr>
          <w:b/>
          <w:i/>
          <w:iCs/>
        </w:rPr>
        <w:t>A2.</w:t>
      </w:r>
      <w:r>
        <w:tab/>
      </w:r>
      <w:r w:rsidR="00C80298">
        <w:t>I hold B.A. and M.A. degrees in economics from the University of Maryland and have completed course work and examination requirements for the Ph.D. degree in economics.  My areas of academic concentration included industrial organization, economic development, and econometrics.</w:t>
      </w:r>
    </w:p>
    <w:p w:rsidR="00063733" w:rsidRPr="00063733" w:rsidRDefault="00063733" w:rsidP="004F3FAF">
      <w:pPr>
        <w:pStyle w:val="DirectNext"/>
        <w:spacing w:line="480" w:lineRule="auto"/>
      </w:pPr>
    </w:p>
    <w:p w:rsidR="0056314D" w:rsidRDefault="00063733" w:rsidP="00C619CE">
      <w:pPr>
        <w:pStyle w:val="DIRECTQUESTION0"/>
      </w:pPr>
      <w:r>
        <w:t>Q3.</w:t>
      </w:r>
      <w:r>
        <w:tab/>
      </w:r>
      <w:r w:rsidR="00C80298">
        <w:t>WHAT IS YOUR PROFESSIONAL BACKGROUND?</w:t>
      </w:r>
    </w:p>
    <w:p w:rsidR="0056314D" w:rsidRDefault="00BA583B" w:rsidP="005E3D15">
      <w:pPr>
        <w:pStyle w:val="DirectAnswer"/>
      </w:pPr>
      <w:r w:rsidRPr="00BA583B">
        <w:rPr>
          <w:b/>
          <w:i/>
          <w:iCs/>
        </w:rPr>
        <w:t>A3.</w:t>
      </w:r>
      <w:r>
        <w:tab/>
      </w:r>
      <w:r w:rsidR="00C80298">
        <w:t>I have been employed in the area of energy, utility, and telecommunications consulting for the past 35 years, working on a wide range of topics.  Most of my work during my consulting career has focused on electric utility integrated planning, power plant licensing, environmental compliance issues, mergers, and utility financial issues.  I was a co-founder of Exeter, and from 1981 to 2001, I was employed at Exeter as a Senior Economist and Principal.  During that time, I</w:t>
      </w:r>
      <w:r w:rsidR="00027744">
        <w:t xml:space="preserve"> </w:t>
      </w:r>
      <w:r w:rsidR="00C80298">
        <w:t xml:space="preserve">took the lead role at Exeter in performing cost of capital and financial studies.  In </w:t>
      </w:r>
      <w:r w:rsidR="00C80298">
        <w:lastRenderedPageBreak/>
        <w:t xml:space="preserve">recent years, the focus of much of my professional work has expanded to include electric utility markets, power supply procurement, and industry restructuring.  </w:t>
      </w:r>
    </w:p>
    <w:p w:rsidR="0056314D" w:rsidRDefault="00C80298" w:rsidP="004C7B89">
      <w:pPr>
        <w:pStyle w:val="DirectNext"/>
        <w:spacing w:line="480" w:lineRule="auto"/>
        <w:ind w:firstLine="0"/>
      </w:pPr>
      <w:r>
        <w:t>Prior to entering consulting, I served on the Economics Department faculties at the University of Maryland (College Park) and Montgomery College, teaching courses on economic principles, develop</w:t>
      </w:r>
      <w:r w:rsidR="005E3D15">
        <w:t>ment economics, and business.</w:t>
      </w:r>
    </w:p>
    <w:p w:rsidR="00063733" w:rsidRDefault="00063733" w:rsidP="004C7B89">
      <w:pPr>
        <w:pStyle w:val="DirectNext"/>
        <w:spacing w:line="480" w:lineRule="auto"/>
        <w:ind w:firstLine="0"/>
      </w:pPr>
    </w:p>
    <w:p w:rsidR="0056314D" w:rsidRDefault="00C80298" w:rsidP="004C7B89">
      <w:pPr>
        <w:pStyle w:val="DirectNext"/>
        <w:spacing w:line="480" w:lineRule="auto"/>
        <w:ind w:firstLine="0"/>
      </w:pPr>
      <w:r>
        <w:t>A complete description of my professional background is provided in Appendix</w:t>
      </w:r>
      <w:r w:rsidR="00027744">
        <w:t xml:space="preserve"> </w:t>
      </w:r>
      <w:r>
        <w:t>A.</w:t>
      </w:r>
    </w:p>
    <w:p w:rsidR="00063733" w:rsidRDefault="00063733" w:rsidP="00743C7F">
      <w:pPr>
        <w:pStyle w:val="DirectNext"/>
        <w:spacing w:line="480" w:lineRule="auto"/>
        <w:ind w:firstLine="0"/>
      </w:pPr>
    </w:p>
    <w:p w:rsidR="0056314D" w:rsidRDefault="00063733" w:rsidP="00C619CE">
      <w:pPr>
        <w:pStyle w:val="DIRECTQUESTION0"/>
      </w:pPr>
      <w:r>
        <w:t>Q4.</w:t>
      </w:r>
      <w:r>
        <w:tab/>
      </w:r>
      <w:r w:rsidR="00C80298">
        <w:t>HAVE YOU PREVIOUSLY TESTIFIED AS AN EXPERT WITNESS BEFORE UTILITY REGULATORY COMMISSIONS?</w:t>
      </w:r>
    </w:p>
    <w:p w:rsidR="00706B71" w:rsidRPr="00706B71" w:rsidRDefault="00BA583B" w:rsidP="00BC2113">
      <w:pPr>
        <w:pStyle w:val="DirectAnswer"/>
      </w:pPr>
      <w:r w:rsidRPr="00BA583B">
        <w:rPr>
          <w:b/>
          <w:i/>
          <w:iCs/>
        </w:rPr>
        <w:t>A4.</w:t>
      </w:r>
      <w:r>
        <w:tab/>
      </w:r>
      <w:r w:rsidR="00C80298">
        <w:t>Yes.  I have testified before approximately two dozen state and federal utility commissions, federal courts, and the U.S. Congress in more than 400 separate regulatory cases.  My testimony has addressed a variety of subjects including fair rate of return, resource planning, financial assessments, load forecasting, competitive restructuring, rate design, purchased power contracts, environmental compliance, merger economics, and other regulatory policy issues.  These cases have involved electric, gas, water, and telephone utilities.  A list of these cases is set forth in Appendix B, with my statement of qualifications.</w:t>
      </w:r>
      <w:r w:rsidR="00706B71">
        <w:br w:type="page"/>
      </w:r>
    </w:p>
    <w:p w:rsidR="0056314D" w:rsidRDefault="00063733" w:rsidP="00C619CE">
      <w:pPr>
        <w:pStyle w:val="DIRECTQUESTION0"/>
      </w:pPr>
      <w:r>
        <w:t>Q5.</w:t>
      </w:r>
      <w:r>
        <w:tab/>
      </w:r>
      <w:r w:rsidR="00C80298">
        <w:t>WHAT PROFESSIONAL ACTIVITIES HAVE YOU ENGAGED IN SINCE LEAVING EXETER AS A PRINCIPAL IN 2001?</w:t>
      </w:r>
    </w:p>
    <w:p w:rsidR="0056314D" w:rsidRDefault="00BA583B" w:rsidP="00BC2113">
      <w:pPr>
        <w:pStyle w:val="DirectAnswer"/>
      </w:pPr>
      <w:r w:rsidRPr="00BA583B">
        <w:rPr>
          <w:b/>
          <w:i/>
          <w:iCs/>
        </w:rPr>
        <w:t>A5.</w:t>
      </w:r>
      <w:r w:rsidRPr="00BA583B">
        <w:rPr>
          <w:b/>
          <w:i/>
          <w:iCs/>
        </w:rPr>
        <w:tab/>
      </w:r>
      <w:r w:rsidR="00C80298">
        <w:t>Since 2001, I have worked on a variety of consulting assignments pertaining to electric restructuring, purchase power contracts, environmental controls, cost of capital, and other regulatory issues.  Current and recent clients include the U.S. Department of Justice, U.S. Air Force, U.S. Department of Energy, the Federal Energy Regulatory Commission, Connecticut Attorney General, Pennsylvania Office of Consumer Advocate, New Jersey Division of Rate Counsel, Rhode Island Division of Public Utilities, Louisiana Public Service Commission, Arkansas Public Service Commission, the Maryland Public Service Commission, the Maine Public Advocate, the New Hampshire Consumer Advocate, the Maryland Department of Natural Resources, the Maryland Energy Administration, and certain private clients.</w:t>
      </w:r>
    </w:p>
    <w:p w:rsidR="00063733" w:rsidRPr="00063733" w:rsidRDefault="00063733" w:rsidP="00BA583B">
      <w:pPr>
        <w:pStyle w:val="DirectNext"/>
        <w:spacing w:line="480" w:lineRule="auto"/>
      </w:pPr>
    </w:p>
    <w:p w:rsidR="0056314D" w:rsidRDefault="00BA583B" w:rsidP="00BA583B">
      <w:pPr>
        <w:pStyle w:val="DIRECTQUESTION0"/>
      </w:pPr>
      <w:r>
        <w:t>Q</w:t>
      </w:r>
      <w:r w:rsidR="00063733">
        <w:t>6</w:t>
      </w:r>
      <w:r>
        <w:t>.</w:t>
      </w:r>
      <w:r w:rsidR="00063733">
        <w:tab/>
      </w:r>
      <w:r w:rsidR="00C80298">
        <w:t>HAVE YOU PREVIOUSLY TESTIFIED ON THE SUBJECTS OF ELECTRIC RESTRUCTURING, TRANSITION TO COMPETITION, AND RETAIL DEFAULT SERVICE?</w:t>
      </w:r>
    </w:p>
    <w:p w:rsidR="002D06EA" w:rsidRDefault="00BA583B" w:rsidP="006F2B9D">
      <w:pPr>
        <w:pStyle w:val="DirectAnswer"/>
        <w:rPr>
          <w:bCs w:val="0"/>
        </w:rPr>
      </w:pPr>
      <w:r w:rsidRPr="00BA583B">
        <w:rPr>
          <w:b/>
          <w:i/>
          <w:iCs/>
        </w:rPr>
        <w:t>A6.</w:t>
      </w:r>
      <w:r>
        <w:tab/>
      </w:r>
      <w:r w:rsidR="00C80298">
        <w:t>Yes.  I have testified on these topics on numerous occasions during the past ten to fifteen years.  This includes the design of programs to provide generation supply service for those retail electric customers requiring default service.  Please see Appendix C for a listing of such cases.</w:t>
      </w:r>
      <w:r w:rsidR="002D06EA">
        <w:br w:type="page"/>
      </w:r>
    </w:p>
    <w:p w:rsidR="0056314D" w:rsidRDefault="00C80298" w:rsidP="002D06EA">
      <w:pPr>
        <w:pStyle w:val="Heading1"/>
        <w:spacing w:after="0"/>
        <w:rPr>
          <w:rFonts w:eastAsia="Calibri"/>
        </w:rPr>
      </w:pPr>
      <w:bookmarkStart w:id="15" w:name="_Toc385584288"/>
      <w:bookmarkStart w:id="16" w:name="_Toc387147836"/>
      <w:r>
        <w:t xml:space="preserve">II.  </w:t>
      </w:r>
      <w:r w:rsidR="00063733">
        <w:tab/>
      </w:r>
      <w:r>
        <w:rPr>
          <w:rFonts w:eastAsia="Calibri"/>
        </w:rPr>
        <w:t>OVERVIEW AND SUMMARY</w:t>
      </w:r>
      <w:bookmarkEnd w:id="15"/>
      <w:bookmarkEnd w:id="16"/>
    </w:p>
    <w:p w:rsidR="002D06EA" w:rsidRPr="002D06EA" w:rsidRDefault="002D06EA" w:rsidP="002D06EA">
      <w:pPr>
        <w:spacing w:line="480" w:lineRule="auto"/>
      </w:pPr>
    </w:p>
    <w:p w:rsidR="0056314D" w:rsidRDefault="00C80298" w:rsidP="002D06EA">
      <w:pPr>
        <w:pStyle w:val="Heading2"/>
      </w:pPr>
      <w:bookmarkStart w:id="17" w:name="_Toc385584289"/>
      <w:bookmarkStart w:id="18" w:name="_Toc387147837"/>
      <w:r>
        <w:t>Purpose of Testimony</w:t>
      </w:r>
      <w:bookmarkEnd w:id="17"/>
      <w:bookmarkEnd w:id="18"/>
    </w:p>
    <w:p w:rsidR="00063733" w:rsidRPr="00063733" w:rsidRDefault="00063733" w:rsidP="002D06EA">
      <w:pPr>
        <w:spacing w:line="480" w:lineRule="auto"/>
      </w:pPr>
    </w:p>
    <w:p w:rsidR="0056314D" w:rsidRDefault="00063733" w:rsidP="00C619CE">
      <w:pPr>
        <w:pStyle w:val="DIRECTQUESTION0"/>
      </w:pPr>
      <w:r>
        <w:t>Q7.</w:t>
      </w:r>
      <w:r>
        <w:tab/>
      </w:r>
      <w:r w:rsidR="00C80298">
        <w:t>WHAT IS THE PURPOSE OF YOUR DIRECT TESTIMONY?</w:t>
      </w:r>
    </w:p>
    <w:p w:rsidR="00E252A9" w:rsidRPr="00BC2113" w:rsidRDefault="00BA583B" w:rsidP="00CE3EA1">
      <w:pPr>
        <w:spacing w:line="480" w:lineRule="auto"/>
        <w:ind w:left="720" w:hanging="720"/>
      </w:pPr>
      <w:r w:rsidRPr="00BA583B">
        <w:rPr>
          <w:b/>
          <w:bCs/>
          <w:i/>
          <w:iCs/>
        </w:rPr>
        <w:t>A7.</w:t>
      </w:r>
      <w:r>
        <w:tab/>
      </w:r>
      <w:r w:rsidR="00E252A9">
        <w:t xml:space="preserve">The principal purpose of my testimony in this case is to evaluate the Utility’s assertion that the proposed ESP III passes the ESP versus MRO test.  In addition to the ESP versus MRO test, my testimony also addresses AEP Ohio’s proposed Purchase of Receivables (“POR”) program and certain aspects of its proposed </w:t>
      </w:r>
      <w:r w:rsidR="00E252A9" w:rsidRPr="00BC2113">
        <w:t>SSO power procurement process and the resulting SSO retail pricing.</w:t>
      </w:r>
    </w:p>
    <w:p w:rsidR="00E252A9" w:rsidRPr="00BC2113" w:rsidRDefault="00E252A9" w:rsidP="00BC2113">
      <w:pPr>
        <w:spacing w:line="480" w:lineRule="auto"/>
        <w:ind w:left="720" w:hanging="720"/>
      </w:pPr>
    </w:p>
    <w:p w:rsidR="0056314D" w:rsidRDefault="00C80298" w:rsidP="00BC2113">
      <w:pPr>
        <w:spacing w:line="480" w:lineRule="auto"/>
        <w:ind w:left="720"/>
      </w:pPr>
      <w:r w:rsidRPr="00BC2113">
        <w:t>On December 20, 2013, Ohio Power Company (referred to as “AEP Ohio” or “the Utility”) submitted an application to the Public Utilities Commission of Ohio (“PUCO”</w:t>
      </w:r>
      <w:r w:rsidR="009F01EC">
        <w:t xml:space="preserve"> or “Commission”</w:t>
      </w:r>
      <w:r>
        <w:t xml:space="preserve">) for PUCO’s approval of a new Electric Security Plan (“ESP”).  This would be the Utility’s third such plan, and it is therefore referred to as “ESP III.”  As discussed in the application and related filings made by AEP Ohio (“Application”), and summarized in my testimony, ESP III incorporates a plan for </w:t>
      </w:r>
      <w:r w:rsidR="00AF3DC5">
        <w:t xml:space="preserve">standard </w:t>
      </w:r>
      <w:r>
        <w:t>service</w:t>
      </w:r>
      <w:r w:rsidR="00AF3DC5">
        <w:t xml:space="preserve"> offer generation</w:t>
      </w:r>
      <w:r>
        <w:t>, along with  numerous “rate rider” cost recovery mechanisms pertaining to generation, transmission, and distribution.  The proposed ESP III covers the time period June 1, 2015 through May 31, 2018, a period of 36 months.</w:t>
      </w:r>
      <w:r w:rsidR="003137F0">
        <w:t xml:space="preserve"> </w:t>
      </w:r>
      <w:r w:rsidR="003137F0" w:rsidRPr="003137F0">
        <w:t xml:space="preserve"> </w:t>
      </w:r>
      <w:r w:rsidR="003137F0">
        <w:t>It should be noted that AEP Ohio also proposed an early termination provision that give it sole discretion to end the proposed ESP III after two years.</w:t>
      </w:r>
    </w:p>
    <w:p w:rsidR="00B20610" w:rsidRDefault="00C80298" w:rsidP="00D5402F">
      <w:pPr>
        <w:pStyle w:val="DirectNext"/>
        <w:spacing w:line="480" w:lineRule="auto"/>
        <w:ind w:firstLine="0"/>
        <w:rPr>
          <w:rFonts w:eastAsia="Calibri"/>
        </w:rPr>
      </w:pPr>
      <w:r>
        <w:rPr>
          <w:rFonts w:eastAsia="Calibri"/>
        </w:rPr>
        <w:t xml:space="preserve">As explained in the Application, Ohio statute requires that electric distribution utilities (“EDUs”) provide a standard service offer (“SSO”) for customers that do not take competitive generation service from entities other than EDUs, either through an ESP or a market rate offer (“MRO”).  As it has done in the past, AEP Ohio proposes for this case to meet its SSO obligation through the use of an ESP.  </w:t>
      </w:r>
      <w:r w:rsidR="00027744">
        <w:rPr>
          <w:rFonts w:eastAsia="Calibri"/>
        </w:rPr>
        <w:t>A</w:t>
      </w:r>
      <w:r>
        <w:rPr>
          <w:rFonts w:eastAsia="Calibri"/>
        </w:rPr>
        <w:t>pproval of an ESP by the PUCO requires that the Utility demonstrate that its proposed ESP is more favorable, in the aggregate for its customers, than the MRO alternative.  This has been referred to as the “ESP versus MRO test</w:t>
      </w:r>
      <w:r w:rsidR="003137F0">
        <w:rPr>
          <w:rFonts w:eastAsia="Calibri"/>
        </w:rPr>
        <w:t>,</w:t>
      </w:r>
      <w:r>
        <w:rPr>
          <w:rFonts w:eastAsia="Calibri"/>
        </w:rPr>
        <w:t>” and how the test is implemented has been a subject of much dispute in previous ESP cases.</w:t>
      </w:r>
      <w:r w:rsidR="0054110D">
        <w:rPr>
          <w:rFonts w:eastAsia="Calibri"/>
        </w:rPr>
        <w:t xml:space="preserve">  The </w:t>
      </w:r>
      <w:r w:rsidR="004D7546">
        <w:rPr>
          <w:rFonts w:eastAsia="Calibri"/>
        </w:rPr>
        <w:t xml:space="preserve">full </w:t>
      </w:r>
      <w:r w:rsidR="00633B4E">
        <w:rPr>
          <w:rFonts w:eastAsia="Calibri"/>
        </w:rPr>
        <w:t>wording of the test is stated in</w:t>
      </w:r>
      <w:r w:rsidR="0054110D">
        <w:rPr>
          <w:rFonts w:eastAsia="Calibri"/>
        </w:rPr>
        <w:t xml:space="preserve"> R.C. 4928.143(C)(1) </w:t>
      </w:r>
      <w:r w:rsidR="00750EED">
        <w:rPr>
          <w:rFonts w:eastAsia="Calibri"/>
        </w:rPr>
        <w:t>and is what I am referencing when I use shorter forms to state the test</w:t>
      </w:r>
      <w:r w:rsidR="00633B4E">
        <w:rPr>
          <w:rFonts w:eastAsia="Calibri"/>
        </w:rPr>
        <w:t>.</w:t>
      </w:r>
    </w:p>
    <w:p w:rsidR="0054110D" w:rsidRDefault="0054110D" w:rsidP="0054110D">
      <w:pPr>
        <w:pStyle w:val="DirectNext"/>
        <w:spacing w:line="480" w:lineRule="auto"/>
        <w:ind w:firstLine="0"/>
        <w:rPr>
          <w:rFonts w:eastAsia="Calibri"/>
        </w:rPr>
      </w:pPr>
    </w:p>
    <w:p w:rsidR="00F95A79" w:rsidRDefault="00C80298" w:rsidP="00F95A79">
      <w:pPr>
        <w:pStyle w:val="DirectNext"/>
        <w:spacing w:line="480" w:lineRule="auto"/>
        <w:ind w:firstLine="0"/>
        <w:rPr>
          <w:rFonts w:eastAsia="Calibri"/>
        </w:rPr>
      </w:pPr>
      <w:r>
        <w:rPr>
          <w:rFonts w:eastAsia="Calibri"/>
        </w:rPr>
        <w:t>AEP Ohio witness Allen presents testimony asserting that the proposed ESP III is more favorable, in the aggregate, for customers than an MRO, for both quantified customer cost savings and qualitative public policy reasons.  The principal purpose of my testimony in this case is to evaluate the Utility’s assertion that the proposed ESP III passes the ESP versus MRO test.  Since this test is a comprehensive analysis of the proposed ESP in the aggregate, I incorporate the findings and recommendations from other OCC witnesses that have a bearing on the merits of the proposed ESP III.</w:t>
      </w:r>
      <w:r w:rsidR="00F95A79">
        <w:rPr>
          <w:rFonts w:eastAsia="Calibri"/>
        </w:rPr>
        <w:br w:type="page"/>
      </w:r>
    </w:p>
    <w:p w:rsidR="0056314D" w:rsidRDefault="00C80298" w:rsidP="00465347">
      <w:pPr>
        <w:pStyle w:val="DirectNext"/>
        <w:spacing w:line="480" w:lineRule="auto"/>
        <w:ind w:firstLine="0"/>
        <w:rPr>
          <w:rFonts w:eastAsia="Calibri"/>
        </w:rPr>
      </w:pPr>
      <w:r>
        <w:rPr>
          <w:rFonts w:eastAsia="Calibri"/>
        </w:rPr>
        <w:t xml:space="preserve">In addition to the ESP versus MRO test, my testimony also addresses AEP Ohio’s proposed Purchase of Receivables (“POR”) program and certain aspects of its proposed SSO power procurement process and </w:t>
      </w:r>
      <w:r w:rsidR="003137F0">
        <w:rPr>
          <w:rFonts w:eastAsia="Calibri"/>
        </w:rPr>
        <w:t xml:space="preserve">the resulting </w:t>
      </w:r>
      <w:r>
        <w:rPr>
          <w:rFonts w:eastAsia="Calibri"/>
        </w:rPr>
        <w:t xml:space="preserve">SSO </w:t>
      </w:r>
      <w:r w:rsidR="003137F0">
        <w:rPr>
          <w:rFonts w:eastAsia="Calibri"/>
        </w:rPr>
        <w:t xml:space="preserve">retail </w:t>
      </w:r>
      <w:r>
        <w:rPr>
          <w:rFonts w:eastAsia="Calibri"/>
        </w:rPr>
        <w:t>pricing.</w:t>
      </w:r>
    </w:p>
    <w:p w:rsidR="00F95A79" w:rsidRDefault="00F95A79" w:rsidP="00465347">
      <w:pPr>
        <w:pStyle w:val="DirectNext"/>
        <w:spacing w:line="480" w:lineRule="auto"/>
        <w:ind w:firstLine="0"/>
        <w:rPr>
          <w:rFonts w:eastAsia="Calibri"/>
        </w:rPr>
      </w:pPr>
    </w:p>
    <w:p w:rsidR="0056314D" w:rsidRDefault="00465347" w:rsidP="00C619CE">
      <w:pPr>
        <w:pStyle w:val="DIRECTQUESTION0"/>
      </w:pPr>
      <w:r>
        <w:t>Q8.</w:t>
      </w:r>
      <w:r>
        <w:tab/>
      </w:r>
      <w:r w:rsidR="00C80298">
        <w:t>what issues in aep ohio’s Application are addressed by other occ witnesses?</w:t>
      </w:r>
    </w:p>
    <w:p w:rsidR="00B60316" w:rsidRDefault="00BA583B" w:rsidP="00B60316">
      <w:pPr>
        <w:pStyle w:val="DirectAnswer"/>
        <w:rPr>
          <w:b/>
          <w:i/>
          <w:caps/>
          <w:szCs w:val="24"/>
        </w:rPr>
      </w:pPr>
      <w:r w:rsidRPr="00BA583B">
        <w:rPr>
          <w:b/>
          <w:i/>
          <w:iCs/>
        </w:rPr>
        <w:t>A8.</w:t>
      </w:r>
      <w:r>
        <w:tab/>
      </w:r>
      <w:r w:rsidR="005C732A">
        <w:t xml:space="preserve">OCC witness </w:t>
      </w:r>
      <w:r w:rsidR="00C80298">
        <w:t xml:space="preserve">Mr. Jonathan Wallach addresses class cost allocation associated with certain proposed distribution-related riders.  </w:t>
      </w:r>
      <w:r w:rsidR="005C732A">
        <w:t xml:space="preserve">OCC witness </w:t>
      </w:r>
      <w:r w:rsidR="00C80298">
        <w:t xml:space="preserve">Dr. Randall Woolridge responds to </w:t>
      </w:r>
      <w:r w:rsidR="009F01EC">
        <w:t>Utility</w:t>
      </w:r>
      <w:r w:rsidR="00C80298">
        <w:t xml:space="preserve"> witness Dr. Avera on AEP Ohio’s cost of capital.  </w:t>
      </w:r>
      <w:r w:rsidR="005C732A">
        <w:t xml:space="preserve">OCC witness </w:t>
      </w:r>
      <w:r w:rsidR="00C80298">
        <w:t xml:space="preserve">Mr. James Wilson evaluates the </w:t>
      </w:r>
      <w:r w:rsidR="009F01EC">
        <w:t>Utility</w:t>
      </w:r>
      <w:r w:rsidR="00C80298">
        <w:t xml:space="preserve">’s proposal to include in </w:t>
      </w:r>
      <w:r w:rsidR="009F01EC">
        <w:t xml:space="preserve">customers’ </w:t>
      </w:r>
      <w:r w:rsidR="00C80298">
        <w:t xml:space="preserve">retail rates the potential costs and savings of its retained purchase power contract with the Ohio Valley Electric Corporation (“OVEC”).  </w:t>
      </w:r>
      <w:r w:rsidR="005C732A">
        <w:t xml:space="preserve">OCC witness </w:t>
      </w:r>
      <w:r w:rsidR="00C80298">
        <w:t>Mr. David Effron addresses the design and merits of certain distribution service-related rate riders proposed in this case.</w:t>
      </w:r>
      <w:r w:rsidR="00CE3EA1">
        <w:t xml:space="preserve"> </w:t>
      </w:r>
      <w:r w:rsidR="00C80298">
        <w:t xml:space="preserve"> </w:t>
      </w:r>
      <w:r w:rsidR="005C732A">
        <w:t xml:space="preserve">OCC witness </w:t>
      </w:r>
      <w:r w:rsidR="00E252A9">
        <w:t xml:space="preserve">Mr. Jim Williams testifies to </w:t>
      </w:r>
      <w:r w:rsidR="000E27E2">
        <w:t xml:space="preserve">how the rate increases in the application will affect affordability of service to customers. </w:t>
      </w:r>
      <w:r w:rsidR="001177CC">
        <w:t xml:space="preserve"> Mr. Williams also presents OCC’s general position on purchase of receivables.  </w:t>
      </w:r>
      <w:r w:rsidR="00C80298">
        <w:t>As discussed in my testimony, in evaluating the ESP versus MRO test, I incorporate the findings and recommendations of</w:t>
      </w:r>
      <w:r w:rsidR="005C732A">
        <w:t xml:space="preserve"> OCC </w:t>
      </w:r>
      <w:r w:rsidR="00C80298">
        <w:t xml:space="preserve">witnesses Wilson and Effron.  However, I conclude it is not necessary at this time to include the recommendations of </w:t>
      </w:r>
      <w:r w:rsidR="005C732A">
        <w:t>OCC witness</w:t>
      </w:r>
      <w:r w:rsidR="00C80298">
        <w:t xml:space="preserve"> Wallach or </w:t>
      </w:r>
      <w:r w:rsidR="005C732A">
        <w:t xml:space="preserve">OCC </w:t>
      </w:r>
      <w:r w:rsidR="00C619CE">
        <w:t>witness Woolridge</w:t>
      </w:r>
      <w:r w:rsidR="00C80298">
        <w:t xml:space="preserve"> directly as part of the ESP versus MRO test.  The recommendations </w:t>
      </w:r>
      <w:r w:rsidR="009F01EC">
        <w:t xml:space="preserve">of those two </w:t>
      </w:r>
      <w:r w:rsidR="00C80298">
        <w:t>OCC witnesses stand on their own even if the Commission approves an ESP in this case as being superior to the MRO.</w:t>
      </w:r>
      <w:r w:rsidR="00B60316">
        <w:br w:type="page"/>
      </w:r>
    </w:p>
    <w:p w:rsidR="0056314D" w:rsidRDefault="00465347" w:rsidP="00B60316">
      <w:pPr>
        <w:pStyle w:val="DIRECTQUESTION0"/>
      </w:pPr>
      <w:r>
        <w:t>Q9.</w:t>
      </w:r>
      <w:r>
        <w:tab/>
      </w:r>
      <w:r w:rsidR="00C80298">
        <w:t>how did the utility CONCLUDE that its proposed esp would be superior to an mro?</w:t>
      </w:r>
    </w:p>
    <w:p w:rsidR="0056314D" w:rsidRDefault="00BA583B" w:rsidP="00BC2113">
      <w:pPr>
        <w:pStyle w:val="DirectAnswer"/>
      </w:pPr>
      <w:r w:rsidRPr="00BA583B">
        <w:rPr>
          <w:b/>
          <w:i/>
          <w:iCs/>
        </w:rPr>
        <w:t>A9.</w:t>
      </w:r>
      <w:r>
        <w:tab/>
      </w:r>
      <w:r w:rsidR="00C80298">
        <w:t xml:space="preserve">This ESP versus MRO test is addressed only very briefly in the testimony of witness Allen.  His position is that the Utility’s proposed auction process would produce essentially the same SSO generation supply price (over the three-year </w:t>
      </w:r>
      <w:r w:rsidR="00636B76">
        <w:t>ESP</w:t>
      </w:r>
      <w:r w:rsidR="00C80298">
        <w:t>) as an MRO.  However, the Utility proposes to include in its ESP a continuation of the $14.6</w:t>
      </w:r>
      <w:r w:rsidR="00F2158E">
        <w:t>8</w:t>
      </w:r>
      <w:r w:rsidR="00C80298">
        <w:t>8 million per year residential distribution credit established in its last rate case and due to expire in May 2015.  Thus, over three years, Mr. Allen claims that the proposed ESP III provides a quantified savings, relative to the MRO, of approximately $44 million.</w:t>
      </w:r>
      <w:r w:rsidR="003137F0">
        <w:rPr>
          <w:rStyle w:val="FootnoteReference"/>
        </w:rPr>
        <w:footnoteReference w:id="2"/>
      </w:r>
      <w:r w:rsidR="00C80298">
        <w:t xml:space="preserve">  In addition, he asserts that other features of the proposed ESP III proposal provide non</w:t>
      </w:r>
      <w:r w:rsidR="009F01EC">
        <w:t>-</w:t>
      </w:r>
      <w:r w:rsidR="00C80298">
        <w:t>quantifiable benefits to customers.  He asserts that these qualitative benefits cannot be quantified.</w:t>
      </w:r>
      <w:r w:rsidR="003137F0">
        <w:rPr>
          <w:rStyle w:val="FootnoteReference"/>
        </w:rPr>
        <w:footnoteReference w:id="3"/>
      </w:r>
    </w:p>
    <w:p w:rsidR="00465347" w:rsidRPr="00465347" w:rsidRDefault="00465347" w:rsidP="00465347">
      <w:pPr>
        <w:pStyle w:val="DirectNext"/>
        <w:spacing w:line="480" w:lineRule="auto"/>
      </w:pPr>
    </w:p>
    <w:p w:rsidR="0056314D" w:rsidRDefault="00465347" w:rsidP="00C619CE">
      <w:pPr>
        <w:pStyle w:val="DIRECTQUESTION0"/>
      </w:pPr>
      <w:r>
        <w:t>Q10.</w:t>
      </w:r>
      <w:r>
        <w:tab/>
      </w:r>
      <w:r w:rsidR="00C80298">
        <w:t>did the puco approve and modify AEP Ohio’s current ESP?</w:t>
      </w:r>
    </w:p>
    <w:p w:rsidR="0056314D" w:rsidRDefault="00BA583B" w:rsidP="00BC2113">
      <w:pPr>
        <w:pStyle w:val="DirectAnswer"/>
      </w:pPr>
      <w:r w:rsidRPr="00BA583B">
        <w:rPr>
          <w:b/>
          <w:i/>
          <w:iCs/>
        </w:rPr>
        <w:t>A10.</w:t>
      </w:r>
      <w:r>
        <w:tab/>
      </w:r>
      <w:r w:rsidR="00C80298">
        <w:t>Yes.  The PUCO’s August 3, 2012 Opinion and Order approved AEP Ohio’s previous ESP Proposal (i.e., “ESP II”) in Case Nos. 11-346-EL-</w:t>
      </w:r>
      <w:r w:rsidR="009F01EC">
        <w:t>SSO et al.</w:t>
      </w:r>
      <w:r w:rsidR="00C80298">
        <w:t>, which is the ESP currently in place, and ruled that it passed the ESP versus MRO test, but only after making significant modifications.  In approving the modified ESP II, the Commission noted that a vitally important qualitative benefit is that the Utility’s plan, as modified by the PUCO, would facilitate a faster transition to a fully competitive SSO.</w:t>
      </w:r>
      <w:r w:rsidR="003137F0">
        <w:rPr>
          <w:rStyle w:val="FootnoteReference"/>
        </w:rPr>
        <w:footnoteReference w:id="4"/>
      </w:r>
      <w:r w:rsidR="00C80298">
        <w:t xml:space="preserve">  However, with AEP Ohio’s recent </w:t>
      </w:r>
      <w:r w:rsidR="00FB3FD5">
        <w:t xml:space="preserve">transfer </w:t>
      </w:r>
      <w:r w:rsidR="00C80298">
        <w:t xml:space="preserve">of its generation assets (except for OVEC), that transition has now been completed.  Therefore, it is now feasible and essentially necessary for AEP Ohio to fully supply generation for SSO service from the competitive wholesale market, as Mr. Allen seems to acknowledge and as has been proposed in this Application.  Hence, the context for evaluating the proposed ESP III is completely different from the context of the </w:t>
      </w:r>
      <w:r w:rsidR="00EF5F05">
        <w:t>PUCO’s</w:t>
      </w:r>
      <w:r w:rsidR="00C80298">
        <w:t xml:space="preserve"> review of ESP II</w:t>
      </w:r>
      <w:r w:rsidR="005C732A">
        <w:t>.</w:t>
      </w:r>
    </w:p>
    <w:p w:rsidR="00465347" w:rsidRDefault="00465347" w:rsidP="00465347">
      <w:pPr>
        <w:pStyle w:val="DirectNext"/>
        <w:spacing w:line="480" w:lineRule="auto"/>
        <w:ind w:firstLine="0"/>
      </w:pPr>
    </w:p>
    <w:p w:rsidR="006F2B9D" w:rsidRDefault="003137F0" w:rsidP="006F2B9D">
      <w:pPr>
        <w:pStyle w:val="DirectNext"/>
        <w:spacing w:line="480" w:lineRule="auto"/>
        <w:ind w:firstLine="0"/>
        <w:rPr>
          <w:rFonts w:eastAsia="Calibri" w:cs="Arial"/>
          <w:b/>
          <w:i/>
          <w:caps/>
        </w:rPr>
      </w:pPr>
      <w:r>
        <w:t xml:space="preserve">At the time of the ESP II case, AEP Ohio continued to own and operate its legacy generation assets, which could be used to provide SSO default generation service.  </w:t>
      </w:r>
      <w:r w:rsidR="006508B6">
        <w:t>A</w:t>
      </w:r>
      <w:r>
        <w:t xml:space="preserve">t issue in that case was what pricing would be appropriate for the SSO given both prevailing market conditions and AEP Ohio generation asset ownership.  </w:t>
      </w:r>
      <w:r w:rsidR="00EF5F05">
        <w:t>Also a</w:t>
      </w:r>
      <w:r>
        <w:t>t issue in that proceeding was how the Utility’s proposed pricing (and the PUCO’s modification of that proposal) compared with an MRO alternative.  By comparison, in this case, AEP Ohio owns no generation resources (other than the OVEC contract), and the Utility proposes that all SSO supply will be acquired at wholesale market prices through a series of competitive auctions.</w:t>
      </w:r>
      <w:r w:rsidR="006F2B9D">
        <w:br w:type="page"/>
      </w:r>
    </w:p>
    <w:p w:rsidR="0056314D" w:rsidRDefault="00465347" w:rsidP="00C619CE">
      <w:pPr>
        <w:pStyle w:val="DIRECTQUESTION0"/>
      </w:pPr>
      <w:r>
        <w:t>Q11.</w:t>
      </w:r>
      <w:r>
        <w:tab/>
      </w:r>
      <w:r w:rsidR="00C80298">
        <w:t>what do you conclude regarding the ESP versus MRO test in this case?</w:t>
      </w:r>
    </w:p>
    <w:p w:rsidR="0056314D" w:rsidRDefault="008035C4" w:rsidP="00BC2113">
      <w:pPr>
        <w:pStyle w:val="DirectAnswer"/>
      </w:pPr>
      <w:r w:rsidRPr="008035C4">
        <w:rPr>
          <w:b/>
          <w:i/>
          <w:iCs/>
        </w:rPr>
        <w:t>A11.</w:t>
      </w:r>
      <w:r>
        <w:tab/>
      </w:r>
      <w:r w:rsidR="00B51EB9">
        <w:t xml:space="preserve">My testimony demonstrates that AEP Ohio’s </w:t>
      </w:r>
      <w:r w:rsidR="00C80298">
        <w:t xml:space="preserve">proposed ESP III is </w:t>
      </w:r>
      <w:r w:rsidR="00B51EB9">
        <w:t>less</w:t>
      </w:r>
      <w:r w:rsidR="00C80298">
        <w:t xml:space="preserve"> favorable in the aggregate </w:t>
      </w:r>
      <w:r w:rsidR="00B51EB9">
        <w:t xml:space="preserve">than </w:t>
      </w:r>
      <w:r w:rsidR="00C80298">
        <w:t xml:space="preserve">an MRO, and therefore ESP III, as filed, should </w:t>
      </w:r>
      <w:r w:rsidR="00C80298">
        <w:rPr>
          <w:b/>
          <w:i/>
        </w:rPr>
        <w:t>not</w:t>
      </w:r>
      <w:r w:rsidR="00C80298">
        <w:rPr>
          <w:b/>
        </w:rPr>
        <w:t xml:space="preserve"> </w:t>
      </w:r>
      <w:r w:rsidR="00CE3EA1">
        <w:t>be approved.</w:t>
      </w:r>
    </w:p>
    <w:p w:rsidR="00465347" w:rsidRDefault="00465347" w:rsidP="00465347">
      <w:pPr>
        <w:pStyle w:val="DirectNext"/>
        <w:spacing w:line="480" w:lineRule="auto"/>
        <w:ind w:firstLine="0"/>
      </w:pPr>
    </w:p>
    <w:p w:rsidR="0037187E" w:rsidRDefault="00C80298" w:rsidP="00465347">
      <w:pPr>
        <w:pStyle w:val="DirectNext"/>
        <w:spacing w:line="480" w:lineRule="auto"/>
        <w:ind w:firstLine="0"/>
      </w:pPr>
      <w:r>
        <w:t>I agree with Mr. Allen that the proposed competitive procurement process for SSO supply in the proposed ESP is effectively the same as the procurement process under an MRO.  Hence, the question is whether, in the aggregate, customers benefit from the various proposed riders in ESP III, inclusive of the proposed OVEC purchase power rider, the proposed S</w:t>
      </w:r>
      <w:r w:rsidR="00674C74">
        <w:t xml:space="preserve">ustained and </w:t>
      </w:r>
      <w:r>
        <w:t>S</w:t>
      </w:r>
      <w:r w:rsidR="00674C74">
        <w:t xml:space="preserve">killed </w:t>
      </w:r>
      <w:r>
        <w:t>W</w:t>
      </w:r>
      <w:r w:rsidR="00674C74">
        <w:t>orkforce R</w:t>
      </w:r>
      <w:r>
        <w:t>ider</w:t>
      </w:r>
      <w:r w:rsidR="00D1677D">
        <w:t xml:space="preserve"> (“SSWR”)</w:t>
      </w:r>
      <w:r>
        <w:t>, other proposed riders or programs, and the $14.6</w:t>
      </w:r>
      <w:r w:rsidR="00F2158E">
        <w:t>8</w:t>
      </w:r>
      <w:r>
        <w:t>8 million per year residential distribution credit.</w:t>
      </w:r>
      <w:r w:rsidR="00A1294B">
        <w:t xml:space="preserve">  They do not.</w:t>
      </w:r>
    </w:p>
    <w:p w:rsidR="0037187E" w:rsidRDefault="0037187E" w:rsidP="00465347">
      <w:pPr>
        <w:pStyle w:val="DirectNext"/>
        <w:spacing w:line="480" w:lineRule="auto"/>
        <w:ind w:firstLine="0"/>
      </w:pPr>
    </w:p>
    <w:p w:rsidR="0037187E" w:rsidRDefault="00C80298" w:rsidP="00465347">
      <w:pPr>
        <w:pStyle w:val="DirectNext"/>
        <w:spacing w:line="480" w:lineRule="auto"/>
        <w:ind w:firstLine="0"/>
      </w:pPr>
      <w:r>
        <w:t>It appears that, in the aggregate, the ESP III proposal, even with the residential distribution credit, will produce higher customer rates than a stand-alone MRO.  While AEP Ohio</w:t>
      </w:r>
      <w:r w:rsidR="005C732A">
        <w:t>’s</w:t>
      </w:r>
      <w:r>
        <w:t xml:space="preserve"> witnesses assert there are qualitative benefits from the programs or resources funded by the various new (or amended) riders, they have failed to demonstrate why the same or similar benefits could not be obtained from pursuing the collection of those costs in standard  (traditional) base rate cases.  That is, whatever qualitative benefits are claimed for these riders could instead be more properly addressed as part of a standard base rate case, where AEP Ohio’s overall cost of service, rates, and utility earnings can be comprehensively evaluated by the PUCO in a base rate proceeding.</w:t>
      </w:r>
    </w:p>
    <w:p w:rsidR="00465347" w:rsidRDefault="0037187E" w:rsidP="00465347">
      <w:pPr>
        <w:pStyle w:val="DirectNext"/>
        <w:spacing w:line="480" w:lineRule="auto"/>
        <w:ind w:firstLine="0"/>
      </w:pPr>
      <w:r>
        <w:t>Moreover, t</w:t>
      </w:r>
      <w:r w:rsidR="004D2733">
        <w:t xml:space="preserve">he </w:t>
      </w:r>
      <w:r w:rsidR="00E76C4E">
        <w:t xml:space="preserve">outcome of the </w:t>
      </w:r>
      <w:r w:rsidR="004D2733">
        <w:t xml:space="preserve">test should be </w:t>
      </w:r>
      <w:r w:rsidR="00E76C4E">
        <w:t>determined</w:t>
      </w:r>
      <w:r w:rsidR="004D2733">
        <w:t xml:space="preserve"> using quantitative factors.</w:t>
      </w:r>
      <w:r>
        <w:t xml:space="preserve"> </w:t>
      </w:r>
      <w:r w:rsidR="007E2C03">
        <w:t xml:space="preserve"> </w:t>
      </w:r>
      <w:r>
        <w:t>The use of qualitative factors to reduce or cancel out a more objective quantitative anal</w:t>
      </w:r>
      <w:r w:rsidR="007E2C03">
        <w:t>ysis is problematic.</w:t>
      </w:r>
    </w:p>
    <w:p w:rsidR="00D5402F" w:rsidRDefault="00D5402F" w:rsidP="00465347">
      <w:pPr>
        <w:pStyle w:val="DirectNext"/>
        <w:spacing w:line="480" w:lineRule="auto"/>
        <w:ind w:firstLine="0"/>
      </w:pPr>
    </w:p>
    <w:p w:rsidR="0056314D" w:rsidRDefault="00465347" w:rsidP="00C619CE">
      <w:pPr>
        <w:pStyle w:val="DIRECTQUESTION0"/>
      </w:pPr>
      <w:r>
        <w:t>Q12.</w:t>
      </w:r>
      <w:r>
        <w:tab/>
      </w:r>
      <w:r w:rsidR="00C80298">
        <w:t xml:space="preserve">what is your recommendation concerning </w:t>
      </w:r>
      <w:r w:rsidR="00EF4AE5">
        <w:t xml:space="preserve">AEP OhIO’S </w:t>
      </w:r>
      <w:r w:rsidR="00C80298">
        <w:t>pURCHASE OF RECEIVaBLES proposal?</w:t>
      </w:r>
    </w:p>
    <w:p w:rsidR="0056314D" w:rsidRDefault="008035C4" w:rsidP="00BC2113">
      <w:pPr>
        <w:pStyle w:val="DirectAnswer"/>
      </w:pPr>
      <w:r w:rsidRPr="008035C4">
        <w:rPr>
          <w:b/>
          <w:i/>
          <w:iCs/>
        </w:rPr>
        <w:t>A12.</w:t>
      </w:r>
      <w:r>
        <w:tab/>
      </w:r>
      <w:r w:rsidR="00C80298">
        <w:t>The ESP III filing, through AEP Ohio witness Gabbard’s testimony, proposes the introduction of a POR in conjunction with a comprehensive Bad Debt Rider.  A key feature of this program is that AEP Ohio would purchase the receivables (with some limited exceptions) from the participating competitive retail electric service (“CRES”) suppliers at 100 cents on the dollar, i.e., no discount for potential non-collection of receivables of the CRES providers.  Instead, this cost of non-collection would be passed on to all customers (along with the SSO bad debt expense) in the proposed Bad Debt Rider.  The Utility believes such a program will greatly enhance CRES supplier participation in the AEP Ohio retail market, par</w:t>
      </w:r>
      <w:r w:rsidR="007E2C03">
        <w:t>ticularly for small customers.</w:t>
      </w:r>
    </w:p>
    <w:p w:rsidR="00465347" w:rsidRDefault="00465347" w:rsidP="00465347">
      <w:pPr>
        <w:pStyle w:val="DirectNext"/>
        <w:spacing w:line="480" w:lineRule="auto"/>
        <w:ind w:firstLine="0"/>
      </w:pPr>
    </w:p>
    <w:p w:rsidR="0056314D" w:rsidRDefault="00C80298" w:rsidP="00C619CE">
      <w:pPr>
        <w:pStyle w:val="DirectNext"/>
        <w:spacing w:line="480" w:lineRule="auto"/>
        <w:ind w:firstLine="0"/>
      </w:pPr>
      <w:r>
        <w:t xml:space="preserve">It is not the purpose of my testimony to address </w:t>
      </w:r>
      <w:r w:rsidR="0075633D">
        <w:t>whether</w:t>
      </w:r>
      <w:r>
        <w:t xml:space="preserve"> a POR program</w:t>
      </w:r>
      <w:r w:rsidR="0075633D">
        <w:t xml:space="preserve"> is appropriate</w:t>
      </w:r>
      <w:r>
        <w:t xml:space="preserve"> in general </w:t>
      </w:r>
      <w:r w:rsidR="005C732A">
        <w:t>because</w:t>
      </w:r>
      <w:r w:rsidR="00B426CB">
        <w:t xml:space="preserve"> </w:t>
      </w:r>
      <w:r>
        <w:t>that</w:t>
      </w:r>
      <w:r w:rsidR="001177CC">
        <w:t xml:space="preserve"> is being </w:t>
      </w:r>
      <w:r>
        <w:t>addressed by OCC</w:t>
      </w:r>
      <w:r w:rsidR="001177CC">
        <w:t xml:space="preserve"> Witness Williams.  </w:t>
      </w:r>
      <w:r w:rsidR="00BB05F9">
        <w:t xml:space="preserve">If the PUCO adopts </w:t>
      </w:r>
      <w:r w:rsidR="00B426CB">
        <w:t>a POR</w:t>
      </w:r>
      <w:r w:rsidR="00484FC8">
        <w:t xml:space="preserve"> despite OCC’s general recommendation against it</w:t>
      </w:r>
      <w:r>
        <w:t xml:space="preserve">, however, I do recommend </w:t>
      </w:r>
      <w:r w:rsidR="00537A4B">
        <w:t xml:space="preserve">that the PUCO reject </w:t>
      </w:r>
      <w:r>
        <w:t xml:space="preserve">AEP Ohio’s proposed zero discount design feature of the POR program.  Instead, a reasonable discount value should be built in so that utility payments to the participating CRES entities reflect a realistic estimate by AEP Ohio of CRES suppliers’ bad debt expenses.  My testimony explains why I believe this modification to the Utility’s proposal is essential to protect customers from bearing the burden of </w:t>
      </w:r>
      <w:r w:rsidR="00484FC8">
        <w:t xml:space="preserve">paying </w:t>
      </w:r>
      <w:r>
        <w:t>an improper subsidy to unregulated suppliers.  With this change in the POR program, the Utility’s propos</w:t>
      </w:r>
      <w:r w:rsidR="00484FC8">
        <w:t>al to charge customers for a</w:t>
      </w:r>
      <w:r>
        <w:t xml:space="preserve"> bad debt expense rider would not be needed.</w:t>
      </w:r>
    </w:p>
    <w:p w:rsidR="00465347" w:rsidRDefault="00465347" w:rsidP="00465347">
      <w:pPr>
        <w:pStyle w:val="DirectNext"/>
        <w:spacing w:line="480" w:lineRule="auto"/>
        <w:ind w:firstLine="0"/>
      </w:pPr>
    </w:p>
    <w:p w:rsidR="0056314D" w:rsidRDefault="00465347" w:rsidP="00C619CE">
      <w:pPr>
        <w:pStyle w:val="DIRECTQUESTION0"/>
      </w:pPr>
      <w:r>
        <w:t>Q13.</w:t>
      </w:r>
      <w:r>
        <w:tab/>
      </w:r>
      <w:r w:rsidR="00C80298">
        <w:t xml:space="preserve">how does aep ohio intend to acquire generation supply for </w:t>
      </w:r>
      <w:r w:rsidR="005C732A">
        <w:t>Standard service offer</w:t>
      </w:r>
      <w:r w:rsidR="00C80298">
        <w:t xml:space="preserve"> customers during the</w:t>
      </w:r>
      <w:r w:rsidR="002D347A">
        <w:t xml:space="preserve"> TERM </w:t>
      </w:r>
      <w:r w:rsidR="00C80298">
        <w:t xml:space="preserve">of the </w:t>
      </w:r>
      <w:r w:rsidR="00636B76">
        <w:t>ESP</w:t>
      </w:r>
      <w:r w:rsidR="00C80298">
        <w:t>?</w:t>
      </w:r>
    </w:p>
    <w:p w:rsidR="0056314D" w:rsidRDefault="008035C4" w:rsidP="00BC2113">
      <w:pPr>
        <w:pStyle w:val="DirectAnswer"/>
      </w:pPr>
      <w:r w:rsidRPr="008035C4">
        <w:rPr>
          <w:b/>
          <w:i/>
          <w:iCs/>
        </w:rPr>
        <w:t>A13.</w:t>
      </w:r>
      <w:r>
        <w:tab/>
      </w:r>
      <w:r w:rsidR="00C80298">
        <w:t>As described in detail by AEP Ohio witness Dr. LaCasse, the Utility intends to have an independent third party conduct a series of descending clock auctions (“</w:t>
      </w:r>
      <w:r w:rsidR="00074855">
        <w:t>auctions</w:t>
      </w:r>
      <w:r w:rsidR="00C80298">
        <w:t xml:space="preserve">”) to procure wholesale full requirements contracts (“FRCs”) to serve the entire SSO loads for this three-year </w:t>
      </w:r>
      <w:r w:rsidR="00636B76">
        <w:t>ESP</w:t>
      </w:r>
      <w:r w:rsidR="00C80298">
        <w:t xml:space="preserve">.  The auctions would be conducted twice per year beginning September 2014, or a total of six auctions.  The auctions would procure power through a mix of one-year and two-year contracts.  The Utility proposes that about two-thirds of supply for SSO load would be from one-year contracts, and the remaining one-third of the generation supply under two-year contracts.  The FRCs would include all required generation products, including energy, capacity, ancillary services, and certain market-related transmission products required by PJM.  AEP Ohio would provide the “nonmarket” transmission to all customers (SSO and shopping alike), principally </w:t>
      </w:r>
      <w:r w:rsidR="00B51EB9">
        <w:t xml:space="preserve">the </w:t>
      </w:r>
      <w:r w:rsidR="00C80298">
        <w:t>Network Integration Transmission Service (“NITS”)</w:t>
      </w:r>
      <w:r w:rsidR="005C732A">
        <w:t xml:space="preserve"> component</w:t>
      </w:r>
      <w:r w:rsidR="00C80298">
        <w:t>.</w:t>
      </w:r>
    </w:p>
    <w:p w:rsidR="0056314D" w:rsidRDefault="00C80298" w:rsidP="00465347">
      <w:pPr>
        <w:pStyle w:val="DirectNext"/>
        <w:spacing w:line="480" w:lineRule="auto"/>
        <w:ind w:firstLine="0"/>
      </w:pPr>
      <w:r>
        <w:t xml:space="preserve">Please note that the amount of “bundled generation” supplied under these </w:t>
      </w:r>
      <w:r w:rsidR="00D1677D">
        <w:t xml:space="preserve">proposed </w:t>
      </w:r>
      <w:r>
        <w:t>FRCs will depend entirely on the magnitude of the SSO load, which can change significantly over time.  There are no fixed charges (i.e., charges that do not vary with load served) in the FRCs, nor are there minimum or maximum generation supply amounts.  This means that wholesale suppliers who are successful bidders in the auctions must absorb the risks associated with unpredictable changes in SSO load.  This risk can be important when there are abrupt changes in customer participation in the SSO, and it inevitably will be priced into the auction supply bids.</w:t>
      </w:r>
    </w:p>
    <w:p w:rsidR="00465347" w:rsidRDefault="00465347" w:rsidP="00465347">
      <w:pPr>
        <w:pStyle w:val="DirectNext"/>
        <w:spacing w:line="480" w:lineRule="auto"/>
        <w:ind w:firstLine="0"/>
      </w:pPr>
    </w:p>
    <w:p w:rsidR="0056314D" w:rsidRDefault="00465347" w:rsidP="00C619CE">
      <w:pPr>
        <w:pStyle w:val="DIRECTQUESTION0"/>
      </w:pPr>
      <w:r>
        <w:t>Q14.</w:t>
      </w:r>
      <w:r>
        <w:tab/>
      </w:r>
      <w:r w:rsidR="00C80298">
        <w:t xml:space="preserve">how does aep Ohio propose to recover its </w:t>
      </w:r>
      <w:r w:rsidR="00C619CE">
        <w:t>standard service offer</w:t>
      </w:r>
      <w:r w:rsidR="00C80298">
        <w:t xml:space="preserve"> costs under </w:t>
      </w:r>
      <w:r w:rsidR="005C732A">
        <w:t>its electric security plan</w:t>
      </w:r>
      <w:r w:rsidR="00C80298">
        <w:t>?</w:t>
      </w:r>
    </w:p>
    <w:p w:rsidR="0056314D" w:rsidRDefault="008035C4" w:rsidP="00BC2113">
      <w:pPr>
        <w:pStyle w:val="DirectAnswer"/>
      </w:pPr>
      <w:r w:rsidRPr="008035C4">
        <w:rPr>
          <w:b/>
          <w:i/>
          <w:iCs/>
        </w:rPr>
        <w:t>A14.</w:t>
      </w:r>
      <w:r>
        <w:tab/>
      </w:r>
      <w:r w:rsidR="00C80298">
        <w:t xml:space="preserve">AEP Ohio proposes to use rate riders to recover the costs of the FRCs, any incremental costs associated with conducting the auctions, and (nonmarket) transmission costs (mainly NITS) on a dollar-for-dollar basis.  The generation rates would be set annually based on the auction clearing prices, with a reconciliation rider for any under/over cost recovery.  The SSO generation rates will be set by major customer classes, taking into account differences in class voltage and coincident peak demand load factors.  The Utility’s filing indicates that the residential class accounts for the vast majority of the SSO load (about two-thirds according to AEP Ohio).  AEP Ohio contends that the residential class has a higher line loss factor and a weaker (i.e., lower) coincident peak load factor than the nonresidential classes (as a whole).  AEP Ohio’s pricing methodology therefore assigns the residential class higher $-per-MWh prices than the nonresidential classes for SSO service.  </w:t>
      </w:r>
      <w:r w:rsidR="00D1677D">
        <w:t xml:space="preserve">Based on the data in the Utility’s filing, I estimate </w:t>
      </w:r>
      <w:r w:rsidR="00C80298">
        <w:t>this premium for residential versus nonresidential in year one to be roughly 15 percent.</w:t>
      </w:r>
    </w:p>
    <w:p w:rsidR="00465347" w:rsidRPr="00465347" w:rsidRDefault="00465347" w:rsidP="00465347">
      <w:pPr>
        <w:pStyle w:val="DirectNext"/>
        <w:spacing w:line="480" w:lineRule="auto"/>
      </w:pPr>
    </w:p>
    <w:p w:rsidR="0056314D" w:rsidRDefault="00465347" w:rsidP="00C619CE">
      <w:pPr>
        <w:pStyle w:val="DIRECTQUESTION0"/>
      </w:pPr>
      <w:r>
        <w:t>Q15.</w:t>
      </w:r>
      <w:r>
        <w:tab/>
      </w:r>
      <w:r w:rsidR="00C80298">
        <w:t xml:space="preserve">do you consider aep ohio’s proposed </w:t>
      </w:r>
      <w:r w:rsidR="005C732A">
        <w:t>standard service offer</w:t>
      </w:r>
      <w:r w:rsidR="00C80298">
        <w:t xml:space="preserve"> to be essentially a market rate offer?</w:t>
      </w:r>
    </w:p>
    <w:p w:rsidR="002D06EA" w:rsidRDefault="008035C4" w:rsidP="00BC2113">
      <w:pPr>
        <w:pStyle w:val="DirectAnswer"/>
      </w:pPr>
      <w:r w:rsidRPr="008035C4">
        <w:rPr>
          <w:b/>
          <w:i/>
          <w:iCs/>
        </w:rPr>
        <w:t>A15.</w:t>
      </w:r>
      <w:r>
        <w:tab/>
      </w:r>
      <w:r w:rsidR="00C80298">
        <w:t>Yes, as a general matter, I recognize this plan as being market-based, reflecting the prevailing conditions in the PJM region competitive wholesale market.  However, AEP Ohio’s translation of the FRC-blended prices into customer class-specific SSO prices is partly market-based and is partly derived from a nonmarket administrative formula.</w:t>
      </w:r>
    </w:p>
    <w:p w:rsidR="00D5402F" w:rsidRDefault="00D5402F" w:rsidP="00C619CE">
      <w:pPr>
        <w:pStyle w:val="DIRECTQUESTION0"/>
      </w:pPr>
    </w:p>
    <w:p w:rsidR="0056314D" w:rsidRDefault="00465347" w:rsidP="00C619CE">
      <w:pPr>
        <w:pStyle w:val="DIRECTQUESTION0"/>
      </w:pPr>
      <w:r>
        <w:t>Q16.</w:t>
      </w:r>
      <w:r>
        <w:tab/>
      </w:r>
      <w:r w:rsidR="00C80298">
        <w:t xml:space="preserve">what are your recommendations with respect to the utility’s </w:t>
      </w:r>
      <w:r w:rsidR="005C732A">
        <w:t>standard service offer supply</w:t>
      </w:r>
      <w:r w:rsidR="007E2C03">
        <w:t xml:space="preserve"> plan?</w:t>
      </w:r>
    </w:p>
    <w:p w:rsidR="0056314D" w:rsidRDefault="008035C4" w:rsidP="00BC2113">
      <w:pPr>
        <w:pStyle w:val="DirectAnswer"/>
      </w:pPr>
      <w:r w:rsidRPr="008035C4">
        <w:rPr>
          <w:b/>
          <w:i/>
          <w:iCs/>
        </w:rPr>
        <w:t>A16.</w:t>
      </w:r>
      <w:r>
        <w:tab/>
      </w:r>
      <w:r w:rsidR="00C80298">
        <w:t>In general, I find the</w:t>
      </w:r>
      <w:r w:rsidR="006D2643">
        <w:t xml:space="preserve"> SSO supply</w:t>
      </w:r>
      <w:r w:rsidR="00C80298">
        <w:t xml:space="preserve"> plan to be reasonable and technically sound.  However, I </w:t>
      </w:r>
      <w:r w:rsidR="006D2643">
        <w:t xml:space="preserve">recommend </w:t>
      </w:r>
      <w:r w:rsidR="00C80298">
        <w:t xml:space="preserve">two changes.  AEP Ohio proposes to procure a mix of one- and two-year FRCs, stating that such a portfolio is attractive to suppliers as compared to only procuring one-year contracts.  However, the Utility limits the procurement of two-year contracts to the first year, with 100 percent of generation supply in year three coming from one-year contracts, after the initial two-year contracts expire.  I recommend instead that additional two-year FRCs be procured in year two so that the SSO supply in year three will be based on a portfolio mix of one- and two-year contracts.  This modification would </w:t>
      </w:r>
      <w:r w:rsidR="001024DD">
        <w:t xml:space="preserve">reduce potential price </w:t>
      </w:r>
      <w:r w:rsidR="00A16AD5">
        <w:t xml:space="preserve">volatility </w:t>
      </w:r>
      <w:r w:rsidR="00C80298">
        <w:t>as compared to the Utility’s propos</w:t>
      </w:r>
      <w:r w:rsidR="00BF1BF2">
        <w:t>ed</w:t>
      </w:r>
      <w:r w:rsidR="00C80298">
        <w:t xml:space="preserve"> contract structure.</w:t>
      </w:r>
    </w:p>
    <w:p w:rsidR="002D06EA" w:rsidRDefault="002D06EA" w:rsidP="00465347">
      <w:pPr>
        <w:pStyle w:val="DirectNext"/>
        <w:spacing w:line="480" w:lineRule="auto"/>
        <w:ind w:firstLine="0"/>
      </w:pPr>
    </w:p>
    <w:p w:rsidR="002D06EA" w:rsidRDefault="00C80298" w:rsidP="00465347">
      <w:pPr>
        <w:pStyle w:val="DirectNext"/>
        <w:spacing w:line="480" w:lineRule="auto"/>
        <w:ind w:firstLine="0"/>
      </w:pPr>
      <w:r>
        <w:t xml:space="preserve">My second recommendation pertains to the Utility assigning the residential class an SSO price premium based on a weaker coincident peak demand load factor.  (Note that I do not contest the higher residential price due to a higher loss factor.)  Based on my experience, the residential class SSO load tends to be more stable over time (i.e., more gradual migration to competitive service) than the nonresidential classes.  This residential load stability or low “migration risk” has considerable value to wholesale suppliers under the FRC contract structure, and this risk attribute is undoubtedly priced into the auction bids.  Since AEP Ohio’s proposed </w:t>
      </w:r>
      <w:r w:rsidR="00E235AF">
        <w:t>auction</w:t>
      </w:r>
      <w:r>
        <w:t xml:space="preserve"> acquires a single uniform product for all customer classes collectively, this means that all customer classes will enjoy the price</w:t>
      </w:r>
      <w:r w:rsidR="00F210C7">
        <w:t>-</w:t>
      </w:r>
      <w:r>
        <w:t xml:space="preserve">reducing benefit provided by the residential customer class’s large size and stability.  </w:t>
      </w:r>
      <w:r w:rsidR="00F210C7">
        <w:t xml:space="preserve">A </w:t>
      </w:r>
      <w:r>
        <w:t>reasonable way of accounting for this beneficial spillover of cost savings provided by residential SSO customers would be to not charge residential customers a price premium due to the lower class load factor.  In my opinion, the Utility’s customer class pricing method does not fully reflect market requirements and</w:t>
      </w:r>
      <w:r w:rsidR="00F210C7">
        <w:t xml:space="preserve"> it</w:t>
      </w:r>
      <w:r>
        <w:t xml:space="preserve"> overcharges residential customers for </w:t>
      </w:r>
      <w:r w:rsidR="00F210C7">
        <w:t xml:space="preserve">the </w:t>
      </w:r>
      <w:r>
        <w:t xml:space="preserve">SSO.  Alternatively, separate </w:t>
      </w:r>
      <w:r w:rsidR="00E235AF">
        <w:t>FCAs</w:t>
      </w:r>
      <w:r>
        <w:t xml:space="preserve"> could be acquired in the </w:t>
      </w:r>
      <w:r w:rsidR="00E235AF">
        <w:t>auctions</w:t>
      </w:r>
      <w:r>
        <w:t xml:space="preserve"> for the residential and the non-residential classes, and the charges for each customer class could be established according to those separate market-clearing price results.</w:t>
      </w:r>
    </w:p>
    <w:p w:rsidR="00465347" w:rsidRDefault="00465347" w:rsidP="00465347">
      <w:pPr>
        <w:pStyle w:val="DirectNext"/>
        <w:spacing w:line="480" w:lineRule="auto"/>
        <w:ind w:firstLine="0"/>
      </w:pPr>
    </w:p>
    <w:p w:rsidR="0056314D" w:rsidRDefault="00C80298" w:rsidP="007973EE">
      <w:pPr>
        <w:pStyle w:val="Heading2"/>
        <w:numPr>
          <w:ilvl w:val="0"/>
          <w:numId w:val="51"/>
        </w:numPr>
      </w:pPr>
      <w:bookmarkStart w:id="19" w:name="_Toc385584291"/>
      <w:bookmarkStart w:id="20" w:name="_Toc387147838"/>
      <w:r>
        <w:t>Organization of Testimony</w:t>
      </w:r>
      <w:bookmarkEnd w:id="19"/>
      <w:bookmarkEnd w:id="20"/>
    </w:p>
    <w:p w:rsidR="00465347" w:rsidRPr="00465347" w:rsidRDefault="00465347" w:rsidP="00465347">
      <w:pPr>
        <w:spacing w:line="480" w:lineRule="auto"/>
      </w:pPr>
    </w:p>
    <w:p w:rsidR="0056314D" w:rsidRDefault="00465347" w:rsidP="00C619CE">
      <w:pPr>
        <w:pStyle w:val="DIRECTQUESTION0"/>
      </w:pPr>
      <w:r>
        <w:t>Q17.</w:t>
      </w:r>
      <w:r>
        <w:tab/>
      </w:r>
      <w:r w:rsidR="00C80298">
        <w:t>How is the remainder of your testimony organized?</w:t>
      </w:r>
    </w:p>
    <w:p w:rsidR="002D06EA" w:rsidRDefault="008035C4" w:rsidP="006F2B9D">
      <w:pPr>
        <w:pStyle w:val="DirectAnswer"/>
      </w:pPr>
      <w:r w:rsidRPr="008035C4">
        <w:rPr>
          <w:b/>
          <w:i/>
          <w:iCs/>
        </w:rPr>
        <w:t>A17.</w:t>
      </w:r>
      <w:r>
        <w:tab/>
      </w:r>
      <w:r w:rsidR="00C80298">
        <w:t>Section III provides a general description of the proposed ESP III and my evaluation of the ESP versus MRO test.  Section IV discusses the proposed POR program (and associated Bad Debt Rider) and how I believe that program should be modified.  Section V addresses the planned SSO competitive procurement and retail pricing and my recommended modifications.</w:t>
      </w:r>
    </w:p>
    <w:p w:rsidR="006F2B9D" w:rsidRPr="006F2B9D" w:rsidRDefault="006F2B9D" w:rsidP="006F2B9D">
      <w:pPr>
        <w:pStyle w:val="DirectNext"/>
        <w:spacing w:line="480" w:lineRule="auto"/>
      </w:pPr>
    </w:p>
    <w:p w:rsidR="0056314D" w:rsidRDefault="00C80298" w:rsidP="006F2B9D">
      <w:pPr>
        <w:pStyle w:val="Heading1"/>
        <w:spacing w:after="0"/>
        <w:rPr>
          <w:rFonts w:eastAsia="Calibri"/>
        </w:rPr>
      </w:pPr>
      <w:bookmarkStart w:id="21" w:name="_Toc385584292"/>
      <w:bookmarkStart w:id="22" w:name="_Toc387147839"/>
      <w:r>
        <w:t xml:space="preserve">III.  </w:t>
      </w:r>
      <w:r w:rsidR="00465347">
        <w:tab/>
      </w:r>
      <w:r>
        <w:rPr>
          <w:rFonts w:eastAsia="Calibri"/>
        </w:rPr>
        <w:t>THE ESP VS. MRO TEST</w:t>
      </w:r>
      <w:bookmarkEnd w:id="21"/>
      <w:bookmarkEnd w:id="22"/>
    </w:p>
    <w:p w:rsidR="00465347" w:rsidRPr="00465347" w:rsidRDefault="00465347" w:rsidP="00465347">
      <w:pPr>
        <w:spacing w:line="480" w:lineRule="auto"/>
      </w:pPr>
    </w:p>
    <w:p w:rsidR="0056314D" w:rsidRDefault="00C80298" w:rsidP="002D06EA">
      <w:pPr>
        <w:pStyle w:val="Heading2"/>
        <w:numPr>
          <w:ilvl w:val="0"/>
          <w:numId w:val="48"/>
        </w:numPr>
        <w:ind w:left="1440" w:hanging="720"/>
      </w:pPr>
      <w:bookmarkStart w:id="23" w:name="_Toc387147840"/>
      <w:r>
        <w:t>The Statutory Test</w:t>
      </w:r>
      <w:bookmarkEnd w:id="23"/>
    </w:p>
    <w:p w:rsidR="00465347" w:rsidRPr="00465347" w:rsidRDefault="00465347" w:rsidP="00465347">
      <w:pPr>
        <w:spacing w:line="480" w:lineRule="auto"/>
      </w:pPr>
    </w:p>
    <w:p w:rsidR="0056314D" w:rsidRDefault="00465347" w:rsidP="00C619CE">
      <w:pPr>
        <w:pStyle w:val="DIRECTQUESTION0"/>
      </w:pPr>
      <w:r>
        <w:t>Q18.</w:t>
      </w:r>
      <w:r>
        <w:tab/>
      </w:r>
      <w:r w:rsidR="00C80298">
        <w:t>What is your understanding of the statutory requirement for puco approval of an esp?</w:t>
      </w:r>
    </w:p>
    <w:p w:rsidR="0056314D" w:rsidRDefault="008035C4" w:rsidP="007E2C03">
      <w:pPr>
        <w:pStyle w:val="DirectAnswer"/>
      </w:pPr>
      <w:r w:rsidRPr="008035C4">
        <w:rPr>
          <w:b/>
          <w:i/>
          <w:iCs/>
        </w:rPr>
        <w:t>A18.</w:t>
      </w:r>
      <w:r>
        <w:tab/>
      </w:r>
      <w:r w:rsidR="00C80298">
        <w:t xml:space="preserve">As acknowledged by the Utility in its Application, electric distribution utilities may satisfy the requirement to provide a standard service offer either through an ESP or an MRO.  (Ohio Revised Code, Section 4928.141(A).)  The requirements for an MRO include a competitive bid process (“CBP”) that adheres to certain standards, procedures, and criteria specified in Ohio Revised Code, Section 4928.142.  The requirements and potential features of an ESP are specified in Ohio Revised Code, Section 4928.143.  That section addresses the establishment of SSO generation rates </w:t>
      </w:r>
      <w:r w:rsidR="005C732A">
        <w:t>and</w:t>
      </w:r>
      <w:r w:rsidR="00C80298">
        <w:t xml:space="preserve"> a number of other aspects of electric service, including “distribution infrastructure and modernization,” which are not part of</w:t>
      </w:r>
      <w:r w:rsidR="007E2C03">
        <w:t xml:space="preserve"> the MRO provision of the Code.</w:t>
      </w:r>
    </w:p>
    <w:p w:rsidR="00465347" w:rsidRPr="00465347" w:rsidRDefault="00465347" w:rsidP="00BC2113">
      <w:pPr>
        <w:pStyle w:val="DirectNext"/>
        <w:spacing w:line="480" w:lineRule="auto"/>
        <w:ind w:hanging="720"/>
      </w:pPr>
    </w:p>
    <w:p w:rsidR="0056314D" w:rsidRDefault="00C80298" w:rsidP="005E3D15">
      <w:pPr>
        <w:pStyle w:val="DirectNext"/>
        <w:spacing w:line="480" w:lineRule="auto"/>
        <w:ind w:firstLine="0"/>
      </w:pPr>
      <w:r>
        <w:t>The ESP section of the statute also specifies the test that an electric distribution utility must pass to obtain PUCO approval of an ESP.  If the utility proposes an ESP, the PUCO</w:t>
      </w:r>
    </w:p>
    <w:p w:rsidR="0056314D" w:rsidRDefault="00C80298" w:rsidP="007E2C03">
      <w:pPr>
        <w:pStyle w:val="DirectNext"/>
        <w:spacing w:line="480" w:lineRule="auto"/>
        <w:ind w:left="1440" w:right="720" w:firstLine="0"/>
      </w:pPr>
      <w:r>
        <w:t>“…shall approve or modify and approve an application filed under division (A) of this section if it finds that the electric security plan so approved, including its pricing and all other terms and conditions, including any deferrals and any future recovery of deferrals, is more favorable in the aggregate as compared to the expected results that would otherwise apply under section 4928.142 of the Revised Code.”  (Ohio Revised Code 4928.143(C)(1))</w:t>
      </w:r>
    </w:p>
    <w:p w:rsidR="007E2C03" w:rsidRDefault="007E2C03" w:rsidP="007E2C03">
      <w:pPr>
        <w:pStyle w:val="DirectNext"/>
        <w:spacing w:line="480" w:lineRule="auto"/>
        <w:ind w:left="1440" w:right="720" w:firstLine="0"/>
      </w:pPr>
    </w:p>
    <w:p w:rsidR="006F2B9D" w:rsidRDefault="00C80298" w:rsidP="006F2B9D">
      <w:pPr>
        <w:pStyle w:val="DirectNext"/>
        <w:spacing w:line="480" w:lineRule="auto"/>
        <w:ind w:right="1440" w:firstLine="0"/>
        <w:rPr>
          <w:rFonts w:eastAsia="Calibri" w:cs="Arial"/>
          <w:b/>
          <w:i/>
          <w:caps/>
        </w:rPr>
      </w:pPr>
      <w:r>
        <w:t>The statute further states that the utility has the burden of proof under this provision.  (</w:t>
      </w:r>
      <w:r w:rsidRPr="00F16FBE">
        <w:rPr>
          <w:i/>
        </w:rPr>
        <w:t>Id</w:t>
      </w:r>
      <w:r>
        <w:t>.)</w:t>
      </w:r>
      <w:r w:rsidR="006F2B9D">
        <w:br w:type="page"/>
      </w:r>
    </w:p>
    <w:p w:rsidR="0056314D" w:rsidRDefault="00465347" w:rsidP="00C619CE">
      <w:pPr>
        <w:pStyle w:val="DIRECTQUESTION0"/>
      </w:pPr>
      <w:r>
        <w:t>Q19.</w:t>
      </w:r>
      <w:r>
        <w:tab/>
      </w:r>
      <w:r w:rsidR="00C80298">
        <w:t>how did the puco apply the statutory test in aep ohio’s previous esp case?</w:t>
      </w:r>
    </w:p>
    <w:p w:rsidR="006F2B9D" w:rsidRDefault="008035C4" w:rsidP="006F2B9D">
      <w:pPr>
        <w:pStyle w:val="DirectAnswer"/>
        <w:rPr>
          <w:b/>
          <w:i/>
          <w:caps/>
          <w:szCs w:val="24"/>
        </w:rPr>
      </w:pPr>
      <w:r w:rsidRPr="008035C4">
        <w:rPr>
          <w:b/>
          <w:i/>
          <w:iCs/>
        </w:rPr>
        <w:t>A19.</w:t>
      </w:r>
      <w:r>
        <w:tab/>
      </w:r>
      <w:r w:rsidR="00C80298">
        <w:t>In the Utility’s ESP II case, the PUCO conducted the statutory ESP versus MRO test after making several modifications to the AEP Ohio filed case.</w:t>
      </w:r>
      <w:r w:rsidR="00C80298">
        <w:rPr>
          <w:rStyle w:val="FootnoteReference"/>
        </w:rPr>
        <w:footnoteReference w:id="5"/>
      </w:r>
      <w:r w:rsidR="00C80298">
        <w:t xml:space="preserve">  The PUCO first considered the ESP generation price, as modified in its order, then other quantifiable and non-quantifiable attributes of all proposed ESP terms and conditions.  The PUCO determined that the proposed ESP price, as modified, would provide a net customer benefit of $9.8</w:t>
      </w:r>
      <w:r w:rsidR="008165C4">
        <w:t> </w:t>
      </w:r>
      <w:r w:rsidR="00C80298">
        <w:t>million.</w:t>
      </w:r>
      <w:r w:rsidR="00C80298">
        <w:rPr>
          <w:rStyle w:val="FootnoteReference"/>
        </w:rPr>
        <w:footnoteReference w:id="6"/>
      </w:r>
      <w:r w:rsidR="00C80298">
        <w:t xml:space="preserve">  The PUCO then identified other quantifiable </w:t>
      </w:r>
      <w:r w:rsidR="00695F54">
        <w:t xml:space="preserve">costs of the ESP </w:t>
      </w:r>
      <w:r w:rsidR="00C80298">
        <w:t>to be $386</w:t>
      </w:r>
      <w:r w:rsidR="008165C4">
        <w:t> </w:t>
      </w:r>
      <w:r w:rsidR="00C80298">
        <w:t>million</w:t>
      </w:r>
      <w:r w:rsidR="00695F54">
        <w:t xml:space="preserve">, such that </w:t>
      </w:r>
      <w:r w:rsidR="001B297F">
        <w:t xml:space="preserve">it believed </w:t>
      </w:r>
      <w:r w:rsidR="00695F54">
        <w:t xml:space="preserve">the MRO </w:t>
      </w:r>
      <w:r w:rsidR="001B297F">
        <w:t xml:space="preserve">to be </w:t>
      </w:r>
      <w:r w:rsidR="00695F54">
        <w:t>more favorable by $386 million</w:t>
      </w:r>
      <w:r w:rsidR="00C80298">
        <w:t>.</w:t>
      </w:r>
      <w:r w:rsidR="00C80298">
        <w:rPr>
          <w:rStyle w:val="FootnoteReference"/>
        </w:rPr>
        <w:footnoteReference w:id="7"/>
      </w:r>
      <w:r w:rsidR="00C80298">
        <w:t xml:space="preserve">  Finally, the PUCO concluded that the qualitative benefits of the modified ESP </w:t>
      </w:r>
      <w:r w:rsidR="00D1677D">
        <w:t xml:space="preserve">significantly outweighed the cost of the ESP, </w:t>
      </w:r>
      <w:r w:rsidR="00C80298">
        <w:t xml:space="preserve">with the “most significant of the non-quantifiable benefits” for the ESP being the accelerated transition </w:t>
      </w:r>
      <w:r w:rsidR="002942AE">
        <w:t>(</w:t>
      </w:r>
      <w:r w:rsidR="00C80298">
        <w:t>by June 1, 2015</w:t>
      </w:r>
      <w:r w:rsidR="002942AE">
        <w:t>)</w:t>
      </w:r>
      <w:r w:rsidR="00C80298">
        <w:t xml:space="preserve"> to a full market-based pricing for the SSO generation supply.</w:t>
      </w:r>
      <w:r w:rsidR="00C80298">
        <w:rPr>
          <w:rStyle w:val="FootnoteReference"/>
        </w:rPr>
        <w:footnoteReference w:id="8"/>
      </w:r>
      <w:r w:rsidR="006F2B9D">
        <w:br w:type="page"/>
      </w:r>
    </w:p>
    <w:p w:rsidR="0056314D" w:rsidRDefault="00465347" w:rsidP="00C619CE">
      <w:pPr>
        <w:pStyle w:val="DIRECTQUESTION0"/>
      </w:pPr>
      <w:r>
        <w:t>Q20.</w:t>
      </w:r>
      <w:r>
        <w:tab/>
      </w:r>
      <w:r w:rsidR="00C80298">
        <w:t>is the puco’s decision in aep ohio’s last esp case applicable to the current case?</w:t>
      </w:r>
    </w:p>
    <w:p w:rsidR="0056314D" w:rsidRDefault="008035C4" w:rsidP="005E0AD2">
      <w:pPr>
        <w:pStyle w:val="DirectAnswer"/>
      </w:pPr>
      <w:r w:rsidRPr="008035C4">
        <w:rPr>
          <w:b/>
          <w:i/>
          <w:iCs/>
        </w:rPr>
        <w:t>A20.</w:t>
      </w:r>
      <w:r>
        <w:tab/>
      </w:r>
      <w:r w:rsidR="00C80298">
        <w:t xml:space="preserve">While the statutory criteria and standards used in the last case for the ESP versus MRO test obviously have not changed, AEP Ohio’s circumstances have changed.  As discussed below, the SSO generation price is not at issue in the ESP III case </w:t>
      </w:r>
      <w:r w:rsidR="005C732A">
        <w:t>because</w:t>
      </w:r>
      <w:r w:rsidR="00C80298">
        <w:t xml:space="preserve"> the Utility concedes it would be essentially identical under both the proposed ESP and an MRO.  The PUCO placed considerable weight in its decision in the last case on its finding that the approved ESP (with PUCO modifications) fostered a prompt transition to a full market price as being the most significant benefit.  That qualitative benefit</w:t>
      </w:r>
      <w:r w:rsidR="00CD7373">
        <w:t xml:space="preserve"> that was important to the PUCO</w:t>
      </w:r>
      <w:r w:rsidR="00C80298">
        <w:t xml:space="preserve"> is moot in this case, as there will be a full market-determined price for SSO generation under either the ESP or MRO options.</w:t>
      </w:r>
    </w:p>
    <w:p w:rsidR="005E0AD2" w:rsidRPr="005E0AD2" w:rsidRDefault="005E0AD2" w:rsidP="005E0AD2">
      <w:pPr>
        <w:pStyle w:val="DirectNext"/>
        <w:spacing w:line="480" w:lineRule="auto"/>
        <w:ind w:firstLine="0"/>
      </w:pPr>
    </w:p>
    <w:p w:rsidR="006F2B9D" w:rsidRDefault="00C80298" w:rsidP="006F2B9D">
      <w:pPr>
        <w:pStyle w:val="DirectNext"/>
        <w:spacing w:line="480" w:lineRule="auto"/>
        <w:ind w:firstLine="0"/>
        <w:rPr>
          <w:rFonts w:eastAsiaTheme="majorEastAsia"/>
          <w:b/>
          <w:szCs w:val="26"/>
        </w:rPr>
      </w:pPr>
      <w:r>
        <w:t xml:space="preserve">Given the important changes in circumstances and context since the last case, a completely new ESP versus MRO test is required. </w:t>
      </w:r>
      <w:r w:rsidR="006F2B9D">
        <w:br w:type="page"/>
      </w:r>
    </w:p>
    <w:p w:rsidR="0056314D" w:rsidRDefault="00C80298" w:rsidP="002D06EA">
      <w:pPr>
        <w:pStyle w:val="Heading2"/>
        <w:numPr>
          <w:ilvl w:val="0"/>
          <w:numId w:val="48"/>
        </w:numPr>
        <w:ind w:left="1440" w:hanging="720"/>
      </w:pPr>
      <w:bookmarkStart w:id="24" w:name="_Toc387147841"/>
      <w:r>
        <w:t>AEP Ohio’s Position</w:t>
      </w:r>
      <w:bookmarkEnd w:id="24"/>
    </w:p>
    <w:p w:rsidR="00145BB1" w:rsidRPr="00145BB1" w:rsidRDefault="00145BB1" w:rsidP="00145BB1">
      <w:pPr>
        <w:spacing w:line="480" w:lineRule="auto"/>
      </w:pPr>
    </w:p>
    <w:p w:rsidR="0056314D" w:rsidRDefault="00145BB1" w:rsidP="005E0AD2">
      <w:pPr>
        <w:pStyle w:val="DIRECTQUESTION0"/>
      </w:pPr>
      <w:r>
        <w:t>Q21.</w:t>
      </w:r>
      <w:r>
        <w:tab/>
      </w:r>
      <w:r w:rsidR="00C80298">
        <w:t xml:space="preserve">how has aep ohio attempted to show that its proposed </w:t>
      </w:r>
      <w:r w:rsidR="005C732A">
        <w:t>electric security plan</w:t>
      </w:r>
      <w:r w:rsidR="00C80298">
        <w:t xml:space="preserve"> in this case passes the statutory test of being more favorable in the aggregate than the m</w:t>
      </w:r>
      <w:r w:rsidR="005C732A">
        <w:t xml:space="preserve">arket rate offer </w:t>
      </w:r>
      <w:r w:rsidR="00C80298">
        <w:t>alternative?</w:t>
      </w:r>
    </w:p>
    <w:p w:rsidR="0056314D" w:rsidRDefault="008035C4" w:rsidP="00BC2113">
      <w:pPr>
        <w:pStyle w:val="DirectAnswer"/>
      </w:pPr>
      <w:r w:rsidRPr="008035C4">
        <w:rPr>
          <w:b/>
          <w:i/>
          <w:iCs/>
        </w:rPr>
        <w:t>A21.</w:t>
      </w:r>
      <w:r>
        <w:tab/>
      </w:r>
      <w:r w:rsidR="00C80298">
        <w:t xml:space="preserve">AEP Ohio witness Allen presents testimony </w:t>
      </w:r>
      <w:r w:rsidR="005C732A">
        <w:t xml:space="preserve">alleging </w:t>
      </w:r>
      <w:r w:rsidR="00C80298">
        <w:t>that the proposed ESP III is more favorable in the aggregate than what would be expected under an MRO, which he refers to as being “narrowly focused.”  His testimony acknowledges that “there is no quantifiable difference in the commodity prices that would be assumed under an ESP or MRO.”</w:t>
      </w:r>
      <w:r w:rsidR="00C80298">
        <w:rPr>
          <w:rStyle w:val="FootnoteReference"/>
        </w:rPr>
        <w:footnoteReference w:id="9"/>
      </w:r>
      <w:r w:rsidR="00C80298">
        <w:t xml:space="preserve">  This finding is further confirmed in Utility responses to OCC-INT-3-23 and OCC-INT-3-24.  The responses indicate that AEP Ohio would use the same generation supply procurement process under both an ESP and an MRO.</w:t>
      </w:r>
    </w:p>
    <w:p w:rsidR="00145BB1" w:rsidRPr="00145BB1" w:rsidRDefault="00145BB1" w:rsidP="005E0AD2">
      <w:pPr>
        <w:pStyle w:val="DirectNext"/>
        <w:spacing w:line="480" w:lineRule="auto"/>
        <w:ind w:firstLine="0"/>
      </w:pPr>
    </w:p>
    <w:p w:rsidR="0056314D" w:rsidRDefault="00145BB1" w:rsidP="00C619CE">
      <w:pPr>
        <w:pStyle w:val="DIRECTQUESTION0"/>
      </w:pPr>
      <w:r>
        <w:t>Q22.</w:t>
      </w:r>
      <w:r>
        <w:tab/>
      </w:r>
      <w:r w:rsidR="00C80298">
        <w:t xml:space="preserve">does witness allen quantify an overall customer benefit from the proposed </w:t>
      </w:r>
      <w:r w:rsidR="005C732A">
        <w:t>electric security plan</w:t>
      </w:r>
      <w:r w:rsidR="00C80298">
        <w:t>?</w:t>
      </w:r>
    </w:p>
    <w:p w:rsidR="002D06EA" w:rsidRDefault="008035C4" w:rsidP="00BC2113">
      <w:pPr>
        <w:pStyle w:val="DirectAnswer"/>
      </w:pPr>
      <w:r w:rsidRPr="008035C4">
        <w:rPr>
          <w:b/>
          <w:i/>
          <w:iCs/>
        </w:rPr>
        <w:t>A22.</w:t>
      </w:r>
      <w:r>
        <w:tab/>
      </w:r>
      <w:r w:rsidR="00C80298">
        <w:t xml:space="preserve">Yes, although the only quantified benefit (as compared to the MRO) asserted by </w:t>
      </w:r>
      <w:r w:rsidR="005C732A">
        <w:t>w</w:t>
      </w:r>
      <w:r w:rsidR="00C80298">
        <w:t>itness Allen is the Utility’s voluntary offer to continue</w:t>
      </w:r>
      <w:r w:rsidR="009B3E5D">
        <w:t>,</w:t>
      </w:r>
      <w:r w:rsidR="00C80298">
        <w:t xml:space="preserve"> until May 31, 2018</w:t>
      </w:r>
      <w:r w:rsidR="009B3E5D">
        <w:t>,</w:t>
      </w:r>
      <w:r w:rsidR="00C80298">
        <w:t xml:space="preserve"> the current Residential Distribution Credit Rider, which is due to expire on May 31, 2015.  This rate credit has an annualized value of $14.6</w:t>
      </w:r>
      <w:r w:rsidR="00F2158E">
        <w:t>8</w:t>
      </w:r>
      <w:r w:rsidR="00C80298">
        <w:t xml:space="preserve">8 million, or about $44 million for the full three-year term of the proposed </w:t>
      </w:r>
      <w:r w:rsidR="00D1677D">
        <w:t>ESP, or about $29 million if AEP Ohio exercises its asserted right to terminate the ESP after two years</w:t>
      </w:r>
      <w:r w:rsidR="00C80298">
        <w:t xml:space="preserve">.  He states that this rate credit would not be provided under an </w:t>
      </w:r>
      <w:r w:rsidR="00D1677D">
        <w:t>MRO,</w:t>
      </w:r>
      <w:r w:rsidR="00C80298">
        <w:t xml:space="preserve"> and therefore, it is a benefit only associated with the proposed ESP.  The Utility acknowledges that this $44 million </w:t>
      </w:r>
      <w:r w:rsidR="00D1677D">
        <w:t xml:space="preserve">(or possibly $29 million) </w:t>
      </w:r>
      <w:r w:rsidR="00C80298">
        <w:t>rate credit is the only benefit that it has quantified under its proposal.  (Response to OCC-INT-3-25</w:t>
      </w:r>
      <w:r w:rsidR="005E3D15">
        <w:t>.</w:t>
      </w:r>
      <w:r w:rsidR="00C80298">
        <w:t>)</w:t>
      </w:r>
    </w:p>
    <w:p w:rsidR="002D06EA" w:rsidRPr="002D06EA" w:rsidRDefault="002D06EA" w:rsidP="002D06EA">
      <w:pPr>
        <w:pStyle w:val="DirectNext"/>
        <w:spacing w:line="480" w:lineRule="auto"/>
      </w:pPr>
    </w:p>
    <w:p w:rsidR="0056314D" w:rsidRDefault="00145BB1" w:rsidP="005E3D15">
      <w:pPr>
        <w:pStyle w:val="DIRECTQUESTION0"/>
      </w:pPr>
      <w:r>
        <w:t>Q23.</w:t>
      </w:r>
      <w:r>
        <w:tab/>
      </w:r>
      <w:r w:rsidR="00C80298">
        <w:t>has Mr. allen presented a discussion of the asserted qualitative benefits associated with the proposed e</w:t>
      </w:r>
      <w:r w:rsidR="005C732A">
        <w:t>lectric security plan</w:t>
      </w:r>
      <w:r w:rsidR="00C80298">
        <w:t xml:space="preserve"> III?</w:t>
      </w:r>
    </w:p>
    <w:p w:rsidR="0056314D" w:rsidRDefault="008035C4" w:rsidP="005E3D15">
      <w:pPr>
        <w:pStyle w:val="DirectAnswer"/>
      </w:pPr>
      <w:r w:rsidRPr="008035C4">
        <w:rPr>
          <w:b/>
          <w:i/>
          <w:iCs/>
        </w:rPr>
        <w:t>A23.</w:t>
      </w:r>
      <w:r>
        <w:tab/>
      </w:r>
      <w:r w:rsidR="00C80298">
        <w:t xml:space="preserve">Yes, his testimony briefly reviews some of the key elements of the Utility’s proposal, other than the CBP sponsored by Dr. LaCasse, and identifies what </w:t>
      </w:r>
      <w:r w:rsidR="005C732A">
        <w:t>he alleges are</w:t>
      </w:r>
      <w:r w:rsidR="00C80298">
        <w:t xml:space="preserve"> the salient qualitative benefits as compared to the MRO.</w:t>
      </w:r>
    </w:p>
    <w:p w:rsidR="0056314D" w:rsidRDefault="00C80298" w:rsidP="005E3D15">
      <w:pPr>
        <w:pStyle w:val="DirectNext"/>
        <w:numPr>
          <w:ilvl w:val="0"/>
          <w:numId w:val="36"/>
        </w:numPr>
        <w:spacing w:line="480" w:lineRule="auto"/>
        <w:ind w:right="720" w:hanging="720"/>
      </w:pPr>
      <w:r>
        <w:rPr>
          <w:u w:val="single"/>
        </w:rPr>
        <w:t>The Distribution Investment Rider (</w:t>
      </w:r>
      <w:r w:rsidR="00636B76">
        <w:rPr>
          <w:u w:val="single"/>
        </w:rPr>
        <w:t>“</w:t>
      </w:r>
      <w:r>
        <w:rPr>
          <w:u w:val="single"/>
        </w:rPr>
        <w:t>DIR</w:t>
      </w:r>
      <w:r w:rsidR="00636B76">
        <w:rPr>
          <w:u w:val="single"/>
        </w:rPr>
        <w:t>”</w:t>
      </w:r>
      <w:r>
        <w:rPr>
          <w:u w:val="single"/>
        </w:rPr>
        <w:t>) and Enhanced Service Reliability Rider</w:t>
      </w:r>
      <w:r w:rsidR="00636B76">
        <w:rPr>
          <w:u w:val="single"/>
        </w:rPr>
        <w:t xml:space="preserve"> (“ESRR”)</w:t>
      </w:r>
      <w:r>
        <w:t>.  He argues that these riders will allow the Utility to invest in distribution infrastructure and will improve reliability while avoiding the “higher costs” and “complexities” of rate cases.  He strongly implies that approving these (and other) riders will allow the Utility to “maintain distribution rates constant” until May 31, 2018.</w:t>
      </w:r>
      <w:r>
        <w:rPr>
          <w:rStyle w:val="FootnoteReference"/>
        </w:rPr>
        <w:footnoteReference w:id="10"/>
      </w:r>
    </w:p>
    <w:p w:rsidR="0056314D" w:rsidRDefault="00C80298" w:rsidP="005E3D15">
      <w:pPr>
        <w:pStyle w:val="DirectNext"/>
        <w:numPr>
          <w:ilvl w:val="0"/>
          <w:numId w:val="36"/>
        </w:numPr>
        <w:spacing w:line="480" w:lineRule="auto"/>
        <w:ind w:right="720" w:hanging="720"/>
      </w:pPr>
      <w:r>
        <w:rPr>
          <w:u w:val="single"/>
        </w:rPr>
        <w:t>Purchase of Receivables Program</w:t>
      </w:r>
      <w:r>
        <w:t>.  The proposal for a POR program is sponsored by Utility witness Gabbard</w:t>
      </w:r>
      <w:r w:rsidR="005C732A">
        <w:t>.  W</w:t>
      </w:r>
      <w:r>
        <w:t xml:space="preserve">itness Allen </w:t>
      </w:r>
      <w:r w:rsidR="005C732A">
        <w:t>alleges</w:t>
      </w:r>
      <w:r>
        <w:t xml:space="preserve"> that this voluntary program will benefit customers by enhancing retail supplier market activity and providing customer convenience benefits.  I address this program proposal in detail in Section IV of my testimony.</w:t>
      </w:r>
    </w:p>
    <w:p w:rsidR="0056314D" w:rsidRDefault="00C80298" w:rsidP="005E3D15">
      <w:pPr>
        <w:pStyle w:val="DirectNext"/>
        <w:numPr>
          <w:ilvl w:val="0"/>
          <w:numId w:val="36"/>
        </w:numPr>
        <w:spacing w:line="480" w:lineRule="auto"/>
        <w:ind w:right="720" w:hanging="720"/>
      </w:pPr>
      <w:r>
        <w:rPr>
          <w:u w:val="single"/>
        </w:rPr>
        <w:t>The OVEC PPA Rider</w:t>
      </w:r>
      <w:r>
        <w:t>.  While AEP Ohio is not at this time asserting any quantified customer savings from the OVEC contract, it argues that including this PPA in rates will enhance customer rate stability.  The PPA Rider and the attributes of the OVEC contract are evaluated by OCC witness Wilson.</w:t>
      </w:r>
    </w:p>
    <w:p w:rsidR="005E0AD2" w:rsidRDefault="005E0AD2" w:rsidP="005E0AD2">
      <w:pPr>
        <w:pStyle w:val="DirectNext"/>
        <w:spacing w:line="480" w:lineRule="auto"/>
        <w:ind w:left="0" w:right="720" w:firstLine="0"/>
      </w:pPr>
    </w:p>
    <w:p w:rsidR="0056314D" w:rsidRDefault="00C80298" w:rsidP="005E3D15">
      <w:pPr>
        <w:pStyle w:val="DirectNext"/>
        <w:spacing w:line="480" w:lineRule="auto"/>
        <w:ind w:firstLine="0"/>
      </w:pPr>
      <w:r>
        <w:t xml:space="preserve">The Utility in this case has proposed a number of other new riders or modifications to existing riders, but Mr. Allen is not claiming any qualitative benefits under the ESP versus MRO test.  (Response to OCC-INT-12-285.)  For example, the Utility is proposing </w:t>
      </w:r>
      <w:r w:rsidR="00C97C9E">
        <w:t xml:space="preserve">the </w:t>
      </w:r>
      <w:r w:rsidR="00BB7E3B">
        <w:t>Sustained and Skilled Workforce Rider (“</w:t>
      </w:r>
      <w:r w:rsidR="00C97C9E">
        <w:t>SSWR</w:t>
      </w:r>
      <w:r w:rsidR="00BB7E3B">
        <w:t>”)</w:t>
      </w:r>
      <w:r>
        <w:t>, but this is not included in Mr. Allen’s discussion of the test.</w:t>
      </w:r>
    </w:p>
    <w:p w:rsidR="00145BB1" w:rsidRDefault="00145BB1" w:rsidP="00145BB1">
      <w:pPr>
        <w:pStyle w:val="DirectNext"/>
        <w:spacing w:line="480" w:lineRule="auto"/>
        <w:ind w:firstLine="0"/>
      </w:pPr>
    </w:p>
    <w:p w:rsidR="0056314D" w:rsidRDefault="00145BB1" w:rsidP="00C619CE">
      <w:pPr>
        <w:pStyle w:val="DIRECTQUESTION0"/>
      </w:pPr>
      <w:r>
        <w:t>Q24.</w:t>
      </w:r>
      <w:r>
        <w:tab/>
      </w:r>
      <w:r w:rsidR="00C80298">
        <w:t xml:space="preserve">is avoidance of a base rate case during the </w:t>
      </w:r>
      <w:r w:rsidR="00E42960">
        <w:t>TERM OF THE</w:t>
      </w:r>
      <w:r w:rsidR="00C80298">
        <w:t xml:space="preserve"> </w:t>
      </w:r>
      <w:r w:rsidR="005C732A">
        <w:t xml:space="preserve">electric security plan </w:t>
      </w:r>
      <w:r w:rsidR="00C80298">
        <w:t>an important benefit?</w:t>
      </w:r>
    </w:p>
    <w:p w:rsidR="0056314D" w:rsidRDefault="008035C4" w:rsidP="00BC2113">
      <w:pPr>
        <w:pStyle w:val="DirectAnswer"/>
      </w:pPr>
      <w:r w:rsidRPr="008035C4">
        <w:rPr>
          <w:b/>
          <w:i/>
          <w:iCs/>
        </w:rPr>
        <w:t>A24.</w:t>
      </w:r>
      <w:r>
        <w:tab/>
      </w:r>
      <w:r w:rsidR="00C80298">
        <w:t>No, not necessarily, as I will explain below and as is discussed in OCC witness Effron’s testimony.  At the outset, although it may appear that witness Allen is suggesting a rate case stay</w:t>
      </w:r>
      <w:r w:rsidR="00985A47">
        <w:t>-</w:t>
      </w:r>
      <w:r w:rsidR="00C80298">
        <w:t>out if ESP III, with its proposed riders, is approved, the Utility is making no such commitment.  AEP Ohio witness Vegas only goes so far as to state that, absent approval of the DIR, a base rate case “would be needed</w:t>
      </w:r>
      <w:r w:rsidR="00B85B3E">
        <w:t>.</w:t>
      </w:r>
      <w:r w:rsidR="00C80298">
        <w:t>”</w:t>
      </w:r>
      <w:r w:rsidR="00C80298">
        <w:rPr>
          <w:rStyle w:val="FootnoteReference"/>
        </w:rPr>
        <w:footnoteReference w:id="11"/>
      </w:r>
      <w:r w:rsidR="00C80298">
        <w:t xml:space="preserve">  The response to OCC-INT-9-142 is rather vague about prospects for a base rate case between now and 2018.  While the response suggests that, absent the DIR, a rate case is likely, the response also admits that such a filing may take place even with the DIR approval.  The response also states that the need for rate cases, absent approval of the proposed riders, has not yet been evaluated.</w:t>
      </w:r>
    </w:p>
    <w:p w:rsidR="002D06EA" w:rsidRPr="002D06EA" w:rsidRDefault="002D06EA" w:rsidP="002D06EA">
      <w:pPr>
        <w:pStyle w:val="DirectNext"/>
        <w:spacing w:line="480" w:lineRule="auto"/>
      </w:pPr>
    </w:p>
    <w:p w:rsidR="0056314D" w:rsidRDefault="00145BB1" w:rsidP="00C619CE">
      <w:pPr>
        <w:pStyle w:val="DIRECTQUESTION0"/>
      </w:pPr>
      <w:r>
        <w:t>Q25.</w:t>
      </w:r>
      <w:r>
        <w:tab/>
      </w:r>
      <w:r w:rsidR="00C80298">
        <w:t>has the utility evaluated the rate impacts of its proposed riders?</w:t>
      </w:r>
    </w:p>
    <w:p w:rsidR="0056314D" w:rsidRDefault="008035C4" w:rsidP="00BC2113">
      <w:pPr>
        <w:pStyle w:val="DirectAnswer"/>
      </w:pPr>
      <w:r w:rsidRPr="008035C4">
        <w:rPr>
          <w:b/>
          <w:i/>
          <w:iCs/>
        </w:rPr>
        <w:t>A25.</w:t>
      </w:r>
      <w:r>
        <w:tab/>
      </w:r>
      <w:r w:rsidR="00C80298">
        <w:t>Yes.  This is presented in the testimony of AEP Ohio witness Roush.  His Exhibit DMR-1 shows the rate impacts of all existing and proposed riders for each year of the three-year ESP</w:t>
      </w:r>
      <w:r>
        <w:t>.</w:t>
      </w:r>
      <w:r w:rsidR="00C80298">
        <w:t xml:space="preserve"> </w:t>
      </w:r>
      <w:r>
        <w:t xml:space="preserve"> </w:t>
      </w:r>
      <w:r w:rsidR="00C80298">
        <w:t>His exhibit compares those prospective impacts during ESP III to the current or near-term rate level of each rider.  In each case, his rate impacts are shown in $-per-MWh.  Please note that his exhibit shows that there will be no change over the ESP III period for many of these riders, as compared to current rate levels (with known cha</w:t>
      </w:r>
      <w:r w:rsidR="00EF5F05">
        <w:t>n</w:t>
      </w:r>
      <w:r w:rsidR="00C80298">
        <w:t>ges) except for the DIR, SSWR, ESRR, and A</w:t>
      </w:r>
      <w:r w:rsidR="00202C50">
        <w:t xml:space="preserve">uction </w:t>
      </w:r>
      <w:r w:rsidR="00C80298">
        <w:t>C</w:t>
      </w:r>
      <w:r w:rsidR="00202C50">
        <w:t xml:space="preserve">ost </w:t>
      </w:r>
      <w:r w:rsidR="00C80298">
        <w:t>R</w:t>
      </w:r>
      <w:r w:rsidR="00202C50">
        <w:t xml:space="preserve">econciliation </w:t>
      </w:r>
      <w:r w:rsidR="00C80298">
        <w:t>R</w:t>
      </w:r>
      <w:r w:rsidR="00202C50">
        <w:t>ider (“ACRR”)</w:t>
      </w:r>
      <w:r w:rsidR="00C80298">
        <w:t>.  (</w:t>
      </w:r>
      <w:r w:rsidR="00202C50">
        <w:t xml:space="preserve">The </w:t>
      </w:r>
      <w:r w:rsidR="00C80298">
        <w:t>ACRR, which includes the incremental costs of running the auctions, should be omitted from this discussion because it would be identical under both the ESP and MRO.)</w:t>
      </w:r>
    </w:p>
    <w:p w:rsidR="00145BB1" w:rsidRPr="00145BB1" w:rsidRDefault="00145BB1" w:rsidP="00145BB1">
      <w:pPr>
        <w:pStyle w:val="DirectNext"/>
        <w:spacing w:line="480" w:lineRule="auto"/>
      </w:pPr>
    </w:p>
    <w:p w:rsidR="0056314D" w:rsidRDefault="00145BB1" w:rsidP="00C619CE">
      <w:pPr>
        <w:pStyle w:val="DIRECTQUESTION0"/>
      </w:pPr>
      <w:r>
        <w:t>Q26.</w:t>
      </w:r>
      <w:r>
        <w:tab/>
      </w:r>
      <w:r w:rsidR="00C80298">
        <w:t xml:space="preserve">for the riders proposed under </w:t>
      </w:r>
      <w:r w:rsidR="00985A47">
        <w:t xml:space="preserve">electric security plan </w:t>
      </w:r>
      <w:r w:rsidR="00C80298">
        <w:t>iii that are unrelated to generation supply for</w:t>
      </w:r>
      <w:r w:rsidR="00F12839">
        <w:t xml:space="preserve"> the</w:t>
      </w:r>
      <w:r w:rsidR="00C80298">
        <w:t xml:space="preserve"> </w:t>
      </w:r>
      <w:r w:rsidR="00985A47">
        <w:t>standard service offer</w:t>
      </w:r>
      <w:r w:rsidR="00C80298">
        <w:t>, what are mr. roush’s rate impacts?</w:t>
      </w:r>
    </w:p>
    <w:p w:rsidR="0056314D" w:rsidRDefault="008035C4" w:rsidP="00BC2113">
      <w:pPr>
        <w:pStyle w:val="DirectAnswer"/>
      </w:pPr>
      <w:r w:rsidRPr="008035C4">
        <w:rPr>
          <w:b/>
          <w:i/>
          <w:iCs/>
        </w:rPr>
        <w:t>A26.</w:t>
      </w:r>
      <w:r>
        <w:tab/>
      </w:r>
      <w:r w:rsidR="00C80298">
        <w:t>The table below shows the current or near-term rate impact, the projected June 1, 2015 to May 31, 2018 rate impact (based on a three-year average), and the net change for the DIR, SSWR, and ESRR, expressed in dollars-per-MWh as estimated by AEP Ohio.</w:t>
      </w:r>
      <w:r w:rsidR="00C80298">
        <w:rPr>
          <w:rStyle w:val="FootnoteReference"/>
        </w:rPr>
        <w:footnoteReference w:id="12"/>
      </w:r>
    </w:p>
    <w:p w:rsidR="0056314D" w:rsidRDefault="0056314D">
      <w:pPr>
        <w:pStyle w:val="DirectNext"/>
        <w:suppressLineNumbers/>
      </w:pPr>
    </w:p>
    <w:tbl>
      <w:tblPr>
        <w:tblStyle w:val="TableGrid"/>
        <w:tblpPr w:leftFromText="180" w:rightFromText="180" w:vertAnchor="text" w:tblpXSpec="center" w:tblpY="1"/>
        <w:tblOverlap w:val="never"/>
        <w:tblW w:w="0" w:type="auto"/>
        <w:tblBorders>
          <w:insideH w:val="none" w:sz="0" w:space="0" w:color="auto"/>
          <w:insideV w:val="none" w:sz="0" w:space="0" w:color="auto"/>
        </w:tblBorders>
        <w:tblLook w:val="04A0" w:firstRow="1" w:lastRow="0" w:firstColumn="1" w:lastColumn="0" w:noHBand="0" w:noVBand="1"/>
      </w:tblPr>
      <w:tblGrid>
        <w:gridCol w:w="888"/>
        <w:gridCol w:w="2690"/>
        <w:gridCol w:w="2376"/>
        <w:gridCol w:w="2766"/>
      </w:tblGrid>
      <w:tr w:rsidR="0056314D" w:rsidTr="00DE4453">
        <w:tc>
          <w:tcPr>
            <w:tcW w:w="0" w:type="auto"/>
            <w:vAlign w:val="bottom"/>
          </w:tcPr>
          <w:p w:rsidR="0056314D" w:rsidRDefault="00C80298" w:rsidP="00DE4453">
            <w:pPr>
              <w:pStyle w:val="DirectNext"/>
              <w:spacing w:line="240" w:lineRule="auto"/>
              <w:ind w:left="0" w:firstLine="0"/>
              <w:jc w:val="center"/>
              <w:rPr>
                <w:b/>
                <w:u w:val="single"/>
              </w:rPr>
            </w:pPr>
            <w:r>
              <w:rPr>
                <w:b/>
                <w:u w:val="single"/>
              </w:rPr>
              <w:t>Rider</w:t>
            </w:r>
          </w:p>
        </w:tc>
        <w:tc>
          <w:tcPr>
            <w:tcW w:w="2635" w:type="dxa"/>
            <w:vAlign w:val="bottom"/>
          </w:tcPr>
          <w:p w:rsidR="0056314D" w:rsidRDefault="00C80298" w:rsidP="00477F05">
            <w:pPr>
              <w:pStyle w:val="DirectNext"/>
              <w:spacing w:line="240" w:lineRule="auto"/>
              <w:ind w:left="642" w:firstLine="0"/>
              <w:jc w:val="center"/>
              <w:rPr>
                <w:b/>
                <w:u w:val="single"/>
              </w:rPr>
            </w:pPr>
            <w:r>
              <w:rPr>
                <w:b/>
                <w:u w:val="single"/>
              </w:rPr>
              <w:t>Current Rate</w:t>
            </w:r>
          </w:p>
        </w:tc>
        <w:tc>
          <w:tcPr>
            <w:tcW w:w="2328" w:type="dxa"/>
            <w:vAlign w:val="bottom"/>
          </w:tcPr>
          <w:p w:rsidR="0056314D" w:rsidRDefault="00C97C9E" w:rsidP="00477F05">
            <w:pPr>
              <w:pStyle w:val="DirectNext"/>
              <w:spacing w:line="240" w:lineRule="auto"/>
              <w:ind w:left="472" w:right="-22" w:firstLine="0"/>
              <w:jc w:val="center"/>
              <w:rPr>
                <w:b/>
                <w:u w:val="single"/>
              </w:rPr>
            </w:pPr>
            <w:r w:rsidRPr="00C97C9E">
              <w:rPr>
                <w:b/>
              </w:rPr>
              <w:t>3-Year Average</w:t>
            </w:r>
            <w:r>
              <w:rPr>
                <w:b/>
                <w:u w:val="single"/>
              </w:rPr>
              <w:br/>
            </w:r>
            <w:r w:rsidR="00C80298">
              <w:rPr>
                <w:b/>
                <w:u w:val="single"/>
              </w:rPr>
              <w:t>Projected Rate</w:t>
            </w:r>
          </w:p>
        </w:tc>
        <w:tc>
          <w:tcPr>
            <w:tcW w:w="2710" w:type="dxa"/>
            <w:vAlign w:val="bottom"/>
          </w:tcPr>
          <w:p w:rsidR="0056314D" w:rsidRDefault="00C80298" w:rsidP="00477F05">
            <w:pPr>
              <w:pStyle w:val="DirectNext"/>
              <w:spacing w:line="240" w:lineRule="auto"/>
              <w:ind w:left="346" w:firstLine="0"/>
              <w:jc w:val="center"/>
              <w:rPr>
                <w:b/>
                <w:u w:val="single"/>
              </w:rPr>
            </w:pPr>
            <w:r>
              <w:rPr>
                <w:b/>
                <w:u w:val="single"/>
              </w:rPr>
              <w:t>Net Change</w:t>
            </w:r>
          </w:p>
        </w:tc>
      </w:tr>
      <w:tr w:rsidR="0056314D" w:rsidTr="00DE4453">
        <w:tc>
          <w:tcPr>
            <w:tcW w:w="0" w:type="auto"/>
          </w:tcPr>
          <w:p w:rsidR="0056314D" w:rsidRDefault="00C80298" w:rsidP="00DE4453">
            <w:pPr>
              <w:pStyle w:val="DirectNext"/>
              <w:ind w:left="0" w:firstLine="0"/>
            </w:pPr>
            <w:r>
              <w:t>DIR</w:t>
            </w:r>
            <w:r>
              <w:rPr>
                <w:rStyle w:val="FootnoteReference"/>
              </w:rPr>
              <w:footnoteReference w:id="13"/>
            </w:r>
          </w:p>
        </w:tc>
        <w:tc>
          <w:tcPr>
            <w:tcW w:w="2635" w:type="dxa"/>
          </w:tcPr>
          <w:p w:rsidR="0056314D" w:rsidRDefault="00C80298" w:rsidP="00DE4453">
            <w:pPr>
              <w:pStyle w:val="DirectNext"/>
              <w:tabs>
                <w:tab w:val="decimal" w:pos="1204"/>
              </w:tabs>
              <w:ind w:left="0" w:firstLine="0"/>
            </w:pPr>
            <w:r>
              <w:t>$3.06</w:t>
            </w:r>
            <w:r w:rsidR="00477F05">
              <w:t>/MWh</w:t>
            </w:r>
          </w:p>
        </w:tc>
        <w:tc>
          <w:tcPr>
            <w:tcW w:w="2328" w:type="dxa"/>
          </w:tcPr>
          <w:p w:rsidR="0056314D" w:rsidRDefault="00C80298" w:rsidP="00DE4453">
            <w:pPr>
              <w:pStyle w:val="DirectNext"/>
              <w:tabs>
                <w:tab w:val="decimal" w:pos="1034"/>
              </w:tabs>
              <w:ind w:left="0" w:firstLine="0"/>
            </w:pPr>
            <w:r>
              <w:t>$4.89</w:t>
            </w:r>
            <w:r w:rsidR="00477F05">
              <w:t>/MWh</w:t>
            </w:r>
          </w:p>
        </w:tc>
        <w:tc>
          <w:tcPr>
            <w:tcW w:w="2710" w:type="dxa"/>
          </w:tcPr>
          <w:p w:rsidR="0056314D" w:rsidRDefault="00C80298" w:rsidP="00DE4453">
            <w:pPr>
              <w:pStyle w:val="DirectNext"/>
              <w:tabs>
                <w:tab w:val="decimal" w:pos="1268"/>
              </w:tabs>
              <w:ind w:left="0" w:firstLine="0"/>
            </w:pPr>
            <w:r>
              <w:t>+ $1.83</w:t>
            </w:r>
            <w:r w:rsidR="00477F05">
              <w:t>/MWh</w:t>
            </w:r>
          </w:p>
        </w:tc>
      </w:tr>
      <w:tr w:rsidR="0056314D" w:rsidTr="00DE4453">
        <w:tc>
          <w:tcPr>
            <w:tcW w:w="0" w:type="auto"/>
          </w:tcPr>
          <w:p w:rsidR="0056314D" w:rsidRDefault="00C80298" w:rsidP="00DE4453">
            <w:pPr>
              <w:pStyle w:val="DirectNext"/>
              <w:ind w:left="0" w:firstLine="0"/>
            </w:pPr>
            <w:r>
              <w:t>SSWR</w:t>
            </w:r>
          </w:p>
        </w:tc>
        <w:tc>
          <w:tcPr>
            <w:tcW w:w="2635" w:type="dxa"/>
          </w:tcPr>
          <w:p w:rsidR="0056314D" w:rsidRDefault="00C80298" w:rsidP="00DE4453">
            <w:pPr>
              <w:pStyle w:val="DirectNext"/>
              <w:tabs>
                <w:tab w:val="decimal" w:pos="1204"/>
              </w:tabs>
              <w:ind w:left="0" w:firstLine="0"/>
            </w:pPr>
            <w:r>
              <w:t>0.00</w:t>
            </w:r>
          </w:p>
        </w:tc>
        <w:tc>
          <w:tcPr>
            <w:tcW w:w="2328" w:type="dxa"/>
          </w:tcPr>
          <w:p w:rsidR="0056314D" w:rsidRDefault="00C80298" w:rsidP="00DE4453">
            <w:pPr>
              <w:pStyle w:val="DirectNext"/>
              <w:tabs>
                <w:tab w:val="decimal" w:pos="1034"/>
              </w:tabs>
              <w:ind w:left="0" w:firstLine="0"/>
            </w:pPr>
            <w:r>
              <w:t>0.14</w:t>
            </w:r>
          </w:p>
        </w:tc>
        <w:tc>
          <w:tcPr>
            <w:tcW w:w="2710" w:type="dxa"/>
          </w:tcPr>
          <w:p w:rsidR="0056314D" w:rsidRDefault="00C80298" w:rsidP="00DE4453">
            <w:pPr>
              <w:pStyle w:val="DirectNext"/>
              <w:tabs>
                <w:tab w:val="decimal" w:pos="1268"/>
              </w:tabs>
              <w:ind w:left="0" w:firstLine="0"/>
            </w:pPr>
            <w:r>
              <w:t>+  0.14</w:t>
            </w:r>
          </w:p>
        </w:tc>
      </w:tr>
      <w:tr w:rsidR="0056314D" w:rsidTr="00DE4453">
        <w:tc>
          <w:tcPr>
            <w:tcW w:w="0" w:type="auto"/>
          </w:tcPr>
          <w:p w:rsidR="0056314D" w:rsidRDefault="00C80298" w:rsidP="00DE4453">
            <w:pPr>
              <w:pStyle w:val="DirectNext"/>
              <w:ind w:left="0" w:firstLine="0"/>
            </w:pPr>
            <w:r>
              <w:t>ESRR</w:t>
            </w:r>
          </w:p>
        </w:tc>
        <w:tc>
          <w:tcPr>
            <w:tcW w:w="2635" w:type="dxa"/>
          </w:tcPr>
          <w:p w:rsidR="0056314D" w:rsidRDefault="00C80298" w:rsidP="00DE4453">
            <w:pPr>
              <w:pStyle w:val="DirectNext"/>
              <w:tabs>
                <w:tab w:val="decimal" w:pos="1204"/>
              </w:tabs>
              <w:ind w:left="0" w:firstLine="0"/>
            </w:pPr>
            <w:r>
              <w:t>0.79</w:t>
            </w:r>
          </w:p>
        </w:tc>
        <w:tc>
          <w:tcPr>
            <w:tcW w:w="2328" w:type="dxa"/>
          </w:tcPr>
          <w:p w:rsidR="0056314D" w:rsidRDefault="00C80298" w:rsidP="00DE4453">
            <w:pPr>
              <w:pStyle w:val="DirectNext"/>
              <w:tabs>
                <w:tab w:val="decimal" w:pos="1034"/>
              </w:tabs>
              <w:ind w:left="0" w:firstLine="0"/>
            </w:pPr>
            <w:r>
              <w:t>0.75</w:t>
            </w:r>
          </w:p>
        </w:tc>
        <w:tc>
          <w:tcPr>
            <w:tcW w:w="2710" w:type="dxa"/>
          </w:tcPr>
          <w:p w:rsidR="0056314D" w:rsidRDefault="00C80298" w:rsidP="00DE4453">
            <w:pPr>
              <w:pStyle w:val="DirectNext"/>
              <w:tabs>
                <w:tab w:val="decimal" w:pos="1268"/>
              </w:tabs>
              <w:ind w:left="0" w:firstLine="0"/>
              <w:rPr>
                <w:u w:val="single"/>
              </w:rPr>
            </w:pPr>
            <w:r>
              <w:rPr>
                <w:u w:val="single"/>
              </w:rPr>
              <w:t>(0.04)</w:t>
            </w:r>
          </w:p>
        </w:tc>
      </w:tr>
      <w:tr w:rsidR="0056314D" w:rsidTr="00DE4453">
        <w:trPr>
          <w:trHeight w:val="621"/>
        </w:trPr>
        <w:tc>
          <w:tcPr>
            <w:tcW w:w="0" w:type="auto"/>
          </w:tcPr>
          <w:p w:rsidR="0056314D" w:rsidRDefault="00C80298" w:rsidP="00DE4453">
            <w:pPr>
              <w:pStyle w:val="DirectNext"/>
              <w:ind w:left="0" w:firstLine="0"/>
              <w:rPr>
                <w:b/>
              </w:rPr>
            </w:pPr>
            <w:r>
              <w:rPr>
                <w:b/>
              </w:rPr>
              <w:t>Total</w:t>
            </w:r>
          </w:p>
        </w:tc>
        <w:tc>
          <w:tcPr>
            <w:tcW w:w="2635" w:type="dxa"/>
          </w:tcPr>
          <w:p w:rsidR="0056314D" w:rsidRDefault="0056314D" w:rsidP="00DE4453">
            <w:pPr>
              <w:pStyle w:val="DirectNext"/>
              <w:tabs>
                <w:tab w:val="decimal" w:pos="600"/>
              </w:tabs>
              <w:ind w:left="0" w:firstLine="0"/>
              <w:rPr>
                <w:b/>
              </w:rPr>
            </w:pPr>
          </w:p>
        </w:tc>
        <w:tc>
          <w:tcPr>
            <w:tcW w:w="2328" w:type="dxa"/>
          </w:tcPr>
          <w:p w:rsidR="0056314D" w:rsidRDefault="0056314D" w:rsidP="00DE4453">
            <w:pPr>
              <w:pStyle w:val="DirectNext"/>
              <w:tabs>
                <w:tab w:val="decimal" w:pos="651"/>
              </w:tabs>
              <w:ind w:left="0" w:firstLine="0"/>
              <w:rPr>
                <w:b/>
              </w:rPr>
            </w:pPr>
          </w:p>
        </w:tc>
        <w:tc>
          <w:tcPr>
            <w:tcW w:w="2710" w:type="dxa"/>
          </w:tcPr>
          <w:p w:rsidR="0056314D" w:rsidRDefault="00C80298" w:rsidP="00DE4453">
            <w:pPr>
              <w:pStyle w:val="DirectNext"/>
              <w:tabs>
                <w:tab w:val="decimal" w:pos="1268"/>
              </w:tabs>
              <w:ind w:left="0" w:firstLine="0"/>
              <w:rPr>
                <w:b/>
              </w:rPr>
            </w:pPr>
            <w:r>
              <w:rPr>
                <w:b/>
              </w:rPr>
              <w:t>+  $1.93</w:t>
            </w:r>
          </w:p>
        </w:tc>
      </w:tr>
      <w:tr w:rsidR="00C97C9E" w:rsidTr="00DE4453">
        <w:trPr>
          <w:trHeight w:val="270"/>
        </w:trPr>
        <w:tc>
          <w:tcPr>
            <w:tcW w:w="8720" w:type="dxa"/>
            <w:gridSpan w:val="4"/>
          </w:tcPr>
          <w:p w:rsidR="00C97C9E" w:rsidRPr="00C97C9E" w:rsidRDefault="00C97C9E" w:rsidP="00DE4453">
            <w:pPr>
              <w:pStyle w:val="DirectNext"/>
              <w:tabs>
                <w:tab w:val="decimal" w:pos="558"/>
              </w:tabs>
              <w:spacing w:line="240" w:lineRule="auto"/>
              <w:ind w:left="0" w:firstLine="0"/>
              <w:rPr>
                <w:sz w:val="20"/>
              </w:rPr>
            </w:pPr>
            <w:r w:rsidRPr="00C97C9E">
              <w:rPr>
                <w:sz w:val="20"/>
              </w:rPr>
              <w:t>Source: Derived from Roush Exhibit DMR-1.</w:t>
            </w:r>
          </w:p>
        </w:tc>
      </w:tr>
    </w:tbl>
    <w:p w:rsidR="0056314D" w:rsidRDefault="0056314D">
      <w:pPr>
        <w:pStyle w:val="DirectNext"/>
        <w:suppressLineNumbers/>
      </w:pPr>
    </w:p>
    <w:p w:rsidR="00706B71" w:rsidRDefault="00C80298" w:rsidP="00C619CE">
      <w:pPr>
        <w:pStyle w:val="DirectNext"/>
        <w:spacing w:line="480" w:lineRule="auto"/>
        <w:ind w:firstLine="0"/>
      </w:pPr>
      <w:r>
        <w:t>The ESP III (non</w:t>
      </w:r>
      <w:r w:rsidR="00C97C9E">
        <w:t>-</w:t>
      </w:r>
      <w:r>
        <w:t>generation supply) riders will result in a net rate increase</w:t>
      </w:r>
      <w:r w:rsidR="0044737C">
        <w:t xml:space="preserve"> of $1.93 per MWh</w:t>
      </w:r>
      <w:r>
        <w:t xml:space="preserve"> compared to current rates</w:t>
      </w:r>
      <w:r w:rsidR="0044737C">
        <w:t>.</w:t>
      </w:r>
      <w:r>
        <w:t xml:space="preserve">  Since Utility witness Kyle’s Exhibit MDK-1 projects AEP Ohio’s retail sales to be about 41.3 million MWh per year during ESP III, the $1.93 per MWh </w:t>
      </w:r>
      <w:r w:rsidR="00C97C9E">
        <w:t xml:space="preserve">rate increase </w:t>
      </w:r>
      <w:r>
        <w:t>would produce a cumulative three-year revenue increase from these riders of about $240 million.  AEP Ohio provides no demonstration that customer benefits from these riders will equal or exceed the $240 million cost increase during these three years, or that the collection of these additional revenues is warranted.</w:t>
      </w:r>
    </w:p>
    <w:p w:rsidR="00706B71" w:rsidRDefault="00706B71" w:rsidP="00C619CE">
      <w:pPr>
        <w:spacing w:line="480" w:lineRule="auto"/>
        <w:rPr>
          <w:rFonts w:eastAsia="Times New Roman" w:cs="Times New Roman"/>
          <w:szCs w:val="24"/>
        </w:rPr>
      </w:pPr>
    </w:p>
    <w:p w:rsidR="0056314D" w:rsidRDefault="00C80298" w:rsidP="00C619CE">
      <w:pPr>
        <w:pStyle w:val="Heading2"/>
        <w:numPr>
          <w:ilvl w:val="0"/>
          <w:numId w:val="48"/>
        </w:numPr>
        <w:ind w:left="1440" w:hanging="720"/>
      </w:pPr>
      <w:bookmarkStart w:id="25" w:name="_Toc387147842"/>
      <w:r>
        <w:t>Evaluation of the ESP versus MRO Test</w:t>
      </w:r>
      <w:bookmarkEnd w:id="25"/>
    </w:p>
    <w:p w:rsidR="00145BB1" w:rsidRPr="00145BB1" w:rsidRDefault="00145BB1" w:rsidP="00C619CE">
      <w:pPr>
        <w:spacing w:line="480" w:lineRule="auto"/>
      </w:pPr>
    </w:p>
    <w:p w:rsidR="0056314D" w:rsidRDefault="00145BB1" w:rsidP="00C619CE">
      <w:pPr>
        <w:pStyle w:val="DIRECTQUESTION0"/>
      </w:pPr>
      <w:r>
        <w:t>Q27.</w:t>
      </w:r>
      <w:r>
        <w:tab/>
      </w:r>
      <w:r w:rsidR="00C80298">
        <w:t>what is your response to mr. allen’s conclusions on the esp versus mro test?</w:t>
      </w:r>
    </w:p>
    <w:p w:rsidR="0056314D" w:rsidRDefault="008035C4" w:rsidP="00BC2113">
      <w:pPr>
        <w:pStyle w:val="DirectAnswer"/>
      </w:pPr>
      <w:r w:rsidRPr="008035C4">
        <w:rPr>
          <w:b/>
          <w:i/>
          <w:iCs/>
        </w:rPr>
        <w:t>A27.</w:t>
      </w:r>
      <w:r>
        <w:tab/>
      </w:r>
      <w:r w:rsidR="00556482">
        <w:t>While I am not recommending that the PUCO consider qualitative factors for the test, a</w:t>
      </w:r>
      <w:r w:rsidR="00C80298">
        <w:t xml:space="preserve">fter considering both the quantitative impacts on customers and the qualitative attributes </w:t>
      </w:r>
      <w:r w:rsidR="00C97C9E">
        <w:t xml:space="preserve">of the Utility’s proposal, I conclude that ESP III, </w:t>
      </w:r>
      <w:r w:rsidR="00C80298">
        <w:t xml:space="preserve">as proposed by AEP Ohio, </w:t>
      </w:r>
      <w:r w:rsidR="00C97C9E">
        <w:t xml:space="preserve">would be </w:t>
      </w:r>
      <w:r w:rsidR="00C80298">
        <w:t>less favorable to retail customers in the aggregate</w:t>
      </w:r>
      <w:r w:rsidR="00C97C9E">
        <w:t xml:space="preserve"> than the alternative of an MRO</w:t>
      </w:r>
      <w:r w:rsidR="00C80298">
        <w:t>.  I base this on the following considerations:</w:t>
      </w:r>
    </w:p>
    <w:p w:rsidR="0056314D" w:rsidRDefault="00C80298" w:rsidP="00145BB1">
      <w:pPr>
        <w:pStyle w:val="DirectNext"/>
        <w:numPr>
          <w:ilvl w:val="0"/>
          <w:numId w:val="43"/>
        </w:numPr>
        <w:spacing w:line="480" w:lineRule="auto"/>
        <w:ind w:right="720" w:hanging="720"/>
      </w:pPr>
      <w:r>
        <w:t>The CBP proposed by the Utility and described by Dr. LaCasse is a neutral factor since it would be essentially identical under both the ESP and MRO.  I am in agreement with Mr. Allen on this point.</w:t>
      </w:r>
    </w:p>
    <w:p w:rsidR="00BB7E3B" w:rsidRDefault="00C80298" w:rsidP="00D5402F">
      <w:pPr>
        <w:pStyle w:val="DirectNext"/>
        <w:numPr>
          <w:ilvl w:val="0"/>
          <w:numId w:val="43"/>
        </w:numPr>
        <w:spacing w:line="480" w:lineRule="auto"/>
        <w:ind w:right="720" w:hanging="720"/>
      </w:pPr>
      <w:r>
        <w:t xml:space="preserve">The role of the $44 million (three-year) residential distribution credit is unclear in the ESP versus MRO test.  </w:t>
      </w:r>
      <w:r w:rsidR="00BB7E3B">
        <w:t>It is highly questionable whether the $14.688 million per year rate credit is a quantifiable ESP III benefit, given the simultaneous presence in ESP III of the extended and expanded DIR.</w:t>
      </w:r>
    </w:p>
    <w:p w:rsidR="0056314D" w:rsidRDefault="00C80298" w:rsidP="00BB7E3B">
      <w:pPr>
        <w:pStyle w:val="DirectNext"/>
        <w:numPr>
          <w:ilvl w:val="0"/>
          <w:numId w:val="43"/>
        </w:numPr>
        <w:spacing w:line="480" w:lineRule="auto"/>
        <w:ind w:right="720" w:hanging="720"/>
      </w:pPr>
      <w:r>
        <w:t xml:space="preserve">The proposed extension and modification of the DIR, along with other proposed riders, will </w:t>
      </w:r>
      <w:r w:rsidR="00BB7E3B">
        <w:t xml:space="preserve">result in customers paying </w:t>
      </w:r>
      <w:r w:rsidR="00C97C9E">
        <w:t xml:space="preserve"> $240 </w:t>
      </w:r>
      <w:r>
        <w:t xml:space="preserve">million </w:t>
      </w:r>
      <w:r w:rsidR="00BB7E3B">
        <w:t xml:space="preserve"> more </w:t>
      </w:r>
      <w:r>
        <w:t xml:space="preserve">for the three-year </w:t>
      </w:r>
      <w:r w:rsidR="00C97C9E">
        <w:t>ESP, as noted above, before even considering the adverse rate impact of the OVEC contract</w:t>
      </w:r>
      <w:r>
        <w:t>.</w:t>
      </w:r>
    </w:p>
    <w:p w:rsidR="0056314D" w:rsidRDefault="00C80298" w:rsidP="00145BB1">
      <w:pPr>
        <w:pStyle w:val="DirectNext"/>
        <w:numPr>
          <w:ilvl w:val="0"/>
          <w:numId w:val="43"/>
        </w:numPr>
        <w:spacing w:line="480" w:lineRule="auto"/>
        <w:ind w:right="720" w:hanging="720"/>
      </w:pPr>
      <w:r>
        <w:t>The Utility’s plans for a rate case, even if its ESP III program is adopted as filed, is unclear.  While AEP Ohio testimony suggests a rate case stay</w:t>
      </w:r>
      <w:r w:rsidR="00985A47">
        <w:t>-</w:t>
      </w:r>
      <w:r>
        <w:t>out, there is no such actual commitment</w:t>
      </w:r>
      <w:r w:rsidR="000D45B5">
        <w:t xml:space="preserve"> and thus not a benefit for customers</w:t>
      </w:r>
      <w:r>
        <w:t>.</w:t>
      </w:r>
    </w:p>
    <w:p w:rsidR="0056314D" w:rsidRDefault="00C80298" w:rsidP="00145BB1">
      <w:pPr>
        <w:pStyle w:val="DirectNext"/>
        <w:numPr>
          <w:ilvl w:val="0"/>
          <w:numId w:val="43"/>
        </w:numPr>
        <w:spacing w:line="480" w:lineRule="auto"/>
        <w:ind w:right="720" w:hanging="720"/>
      </w:pPr>
      <w:r>
        <w:t xml:space="preserve">The proposed POR program will harm customers by forcing them to pay for </w:t>
      </w:r>
      <w:r w:rsidR="00116281">
        <w:t xml:space="preserve">(meaning subsidize) </w:t>
      </w:r>
      <w:r>
        <w:t>bad debt expense that is more properly the responsibility of CRES providers.  This is an actual dollar harm to customers.</w:t>
      </w:r>
    </w:p>
    <w:p w:rsidR="0056314D" w:rsidRDefault="00C80298" w:rsidP="00145BB1">
      <w:pPr>
        <w:pStyle w:val="DirectNext"/>
        <w:numPr>
          <w:ilvl w:val="0"/>
          <w:numId w:val="43"/>
        </w:numPr>
        <w:spacing w:line="480" w:lineRule="auto"/>
        <w:ind w:right="720" w:hanging="720"/>
      </w:pPr>
      <w:r>
        <w:t xml:space="preserve">While </w:t>
      </w:r>
      <w:r w:rsidR="00643FC4">
        <w:t xml:space="preserve">AEP </w:t>
      </w:r>
      <w:r w:rsidR="00076247">
        <w:t>witness</w:t>
      </w:r>
      <w:r>
        <w:t xml:space="preserve"> Roush’s analysis assumes no rate impact from charging customers for the OVEC contract, OCC witness Wilson demonstrates an expected three-year ratepayer cost of </w:t>
      </w:r>
      <w:r w:rsidRPr="0034299F">
        <w:t>about $1</w:t>
      </w:r>
      <w:r w:rsidR="00890F96">
        <w:t>17</w:t>
      </w:r>
      <w:r w:rsidRPr="0034299F">
        <w:t xml:space="preserve"> million.</w:t>
      </w:r>
      <w:r>
        <w:t xml:space="preserve">  Even if the residential distribution rate credit is viewed as a pure benefit, this would be swamped by the cost penalty of the OVEC contract.  Moreover, the rate stability benefit claimed by the Utility for including the OVEC contract in rates is questionable.</w:t>
      </w:r>
    </w:p>
    <w:p w:rsidR="00145BB1" w:rsidRDefault="00C80298" w:rsidP="00145BB1">
      <w:pPr>
        <w:pStyle w:val="DirectNext"/>
        <w:numPr>
          <w:ilvl w:val="0"/>
          <w:numId w:val="43"/>
        </w:numPr>
        <w:spacing w:line="480" w:lineRule="auto"/>
        <w:ind w:right="720" w:hanging="720"/>
      </w:pPr>
      <w:r>
        <w:t xml:space="preserve">As explained by OCC witness Effron, the implementation of </w:t>
      </w:r>
      <w:r w:rsidR="00C97C9E">
        <w:t xml:space="preserve">the </w:t>
      </w:r>
      <w:r>
        <w:t xml:space="preserve">SSWR and the proposed changes to the DIR (such as adding general plant) are inappropriate and potentially adverse to ratepayers.  The SSWR and </w:t>
      </w:r>
      <w:r w:rsidR="00C97C9E">
        <w:t xml:space="preserve">the </w:t>
      </w:r>
      <w:r>
        <w:t xml:space="preserve">DIR modifications are not addressed as qualitative benefits of the ESP III.  Above all, Mr. Allen has not made a convincing </w:t>
      </w:r>
      <w:r w:rsidR="00D37771">
        <w:t xml:space="preserve">argument </w:t>
      </w:r>
      <w:r>
        <w:t>concerning why it is appropriate to continue or increase DIR costs instead of seeking collection of costs in a base rate case.</w:t>
      </w:r>
    </w:p>
    <w:p w:rsidR="002D06EA" w:rsidRDefault="002D06EA" w:rsidP="002D06EA">
      <w:pPr>
        <w:pStyle w:val="DirectNext"/>
        <w:spacing w:line="480" w:lineRule="auto"/>
        <w:ind w:left="2160" w:right="720" w:firstLine="0"/>
      </w:pPr>
    </w:p>
    <w:p w:rsidR="0056314D" w:rsidRPr="002D06EA" w:rsidRDefault="002D06EA" w:rsidP="002D06EA">
      <w:pPr>
        <w:spacing w:line="480" w:lineRule="auto"/>
        <w:ind w:left="720" w:hanging="720"/>
        <w:rPr>
          <w:b/>
          <w:i/>
        </w:rPr>
      </w:pPr>
      <w:r w:rsidRPr="002D06EA">
        <w:rPr>
          <w:b/>
          <w:i/>
        </w:rPr>
        <w:t>Q28.</w:t>
      </w:r>
      <w:r w:rsidRPr="002D06EA">
        <w:rPr>
          <w:b/>
          <w:i/>
        </w:rPr>
        <w:tab/>
        <w:t>WHAT IS THE SOURCE OF THE ANNUALIZED $14.688 MILLION RESIDENTIAL DISTRIBUTION RATE CREDIT?</w:t>
      </w:r>
    </w:p>
    <w:p w:rsidR="002D06EA" w:rsidRDefault="008035C4" w:rsidP="00E3610F">
      <w:pPr>
        <w:pStyle w:val="DirectAnswer"/>
      </w:pPr>
      <w:r w:rsidRPr="008035C4">
        <w:rPr>
          <w:b/>
          <w:i/>
          <w:iCs/>
        </w:rPr>
        <w:t>A28.</w:t>
      </w:r>
      <w:r>
        <w:tab/>
      </w:r>
      <w:r w:rsidR="00C80298">
        <w:t>The rate credit rider resulted from a settlement in AEP Ohio’s most recent distribution base rate case.</w:t>
      </w:r>
      <w:r w:rsidR="00C80298">
        <w:rPr>
          <w:rStyle w:val="FootnoteReference"/>
        </w:rPr>
        <w:footnoteReference w:id="14"/>
      </w:r>
      <w:r w:rsidR="00C80298">
        <w:t xml:space="preserve">  The Stipulation reached in that case provides a zero net rate increase (Paragraph IV.A.) by first increasing rates by $46.7 million and then offsetting that increase with a rate credit rider extending to May 31, 2015 (Paragraph IV.A.4).  The Stipulation recognized that the DIR was </w:t>
      </w:r>
      <w:r w:rsidR="00643FC4">
        <w:t xml:space="preserve">being sought by AEP Ohio in the ESP II </w:t>
      </w:r>
      <w:r w:rsidR="00C97C9E">
        <w:t xml:space="preserve">case </w:t>
      </w:r>
      <w:r w:rsidR="00C80298">
        <w:t>with an initial year cap of $86 million.  Thus, “to prevent any potential excess collection of the DIR…,” the Stipulation included a $62.344 million total revenue credit.  (Id., paragraph (3).)  This includes the annualized $14.6</w:t>
      </w:r>
      <w:r w:rsidR="00F2158E">
        <w:t>8</w:t>
      </w:r>
      <w:r w:rsidR="00C80298">
        <w:t xml:space="preserve">8 million residential rate credit extending to May 31, 2015 referenced by witness Allen.  The $62.344 million rate credit was calculated by subtracting $23.656 million related to post-date </w:t>
      </w:r>
      <w:r w:rsidR="00643FC4">
        <w:t xml:space="preserve">certain </w:t>
      </w:r>
      <w:r w:rsidR="00C80298">
        <w:t>distribution investments identified in the rate case from the approved DIR cap of $8</w:t>
      </w:r>
      <w:r w:rsidR="00643FC4">
        <w:t>6</w:t>
      </w:r>
      <w:r w:rsidR="00C80298">
        <w:t xml:space="preserve"> million.  The rate credit had the effect of fully offsetting the authorized $46.7 million </w:t>
      </w:r>
      <w:r w:rsidR="00643FC4">
        <w:t xml:space="preserve">distribution </w:t>
      </w:r>
      <w:r w:rsidR="00C80298">
        <w:t xml:space="preserve">rate increase (i.e., the AEP Ohio revenue deficiency from the rate case) so as to provide a zero net base </w:t>
      </w:r>
      <w:r w:rsidR="00643FC4">
        <w:t xml:space="preserve">distribution </w:t>
      </w:r>
      <w:r w:rsidR="00C80298">
        <w:t>rate increase.  (Stipulation, paragraph 4</w:t>
      </w:r>
      <w:r w:rsidR="00E3610F">
        <w:t>.</w:t>
      </w:r>
      <w:r w:rsidR="00C80298">
        <w:t>)</w:t>
      </w:r>
    </w:p>
    <w:p w:rsidR="00145BB1" w:rsidRPr="00145BB1" w:rsidRDefault="00145BB1" w:rsidP="00BC2113">
      <w:pPr>
        <w:pStyle w:val="DirectAnswer"/>
      </w:pPr>
    </w:p>
    <w:p w:rsidR="0056314D" w:rsidRDefault="00C80298" w:rsidP="00145BB1">
      <w:pPr>
        <w:pStyle w:val="DirectNext"/>
        <w:spacing w:line="480" w:lineRule="auto"/>
        <w:ind w:firstLine="0"/>
      </w:pPr>
      <w:r>
        <w:t>The rate case settlement was effectively able to coordinate the Utility’s base rate case results with the revenues to be collected from customers through the DIR.  That is, the establishment of the rate credit was a means of addressing potential Utility overcollection from customers of distribution revenues from a combination of the conventional rate case and the DIR mechanism.</w:t>
      </w:r>
    </w:p>
    <w:p w:rsidR="00145BB1" w:rsidRDefault="00145BB1" w:rsidP="00145BB1">
      <w:pPr>
        <w:pStyle w:val="DirectNext"/>
        <w:spacing w:line="480" w:lineRule="auto"/>
        <w:ind w:firstLine="0"/>
      </w:pPr>
    </w:p>
    <w:p w:rsidR="0056314D" w:rsidRDefault="00145BB1" w:rsidP="00C619CE">
      <w:pPr>
        <w:pStyle w:val="DIRECTQUESTION0"/>
      </w:pPr>
      <w:r>
        <w:t>Q29.</w:t>
      </w:r>
      <w:r>
        <w:tab/>
      </w:r>
      <w:r w:rsidR="00C80298">
        <w:t>how does this background on the residential revenue credit relate to aep ohio’s proposal in this case?</w:t>
      </w:r>
    </w:p>
    <w:p w:rsidR="0056314D" w:rsidRDefault="008035C4" w:rsidP="00BC2113">
      <w:pPr>
        <w:pStyle w:val="DirectAnswer"/>
      </w:pPr>
      <w:r w:rsidRPr="008035C4">
        <w:rPr>
          <w:b/>
          <w:i/>
          <w:iCs/>
        </w:rPr>
        <w:t>A29.</w:t>
      </w:r>
      <w:r w:rsidRPr="008035C4">
        <w:rPr>
          <w:b/>
          <w:i/>
          <w:iCs/>
        </w:rPr>
        <w:tab/>
      </w:r>
      <w:r w:rsidR="00C80298">
        <w:t>Mr. Allen does not explain why the Utility is unilaterally and voluntarily proposing to extend the current residential distribution credit rider in this case.  He refers to this as an unambiguous benefit of ESP III and implies that it is nothing more than a voluntary transfer of wealth from shareholders to customers.</w:t>
      </w:r>
    </w:p>
    <w:p w:rsidR="00145BB1" w:rsidRDefault="00C80298" w:rsidP="00145BB1">
      <w:pPr>
        <w:pStyle w:val="DirectNext"/>
        <w:spacing w:line="480" w:lineRule="auto"/>
        <w:ind w:firstLine="0"/>
      </w:pPr>
      <w:r>
        <w:t xml:space="preserve">The stipulation from the last base rate case makes it clear that the residential revenue credit rider is the direct result of introducing the DIR and seeking to avoid </w:t>
      </w:r>
      <w:r w:rsidR="007665B9">
        <w:t>over</w:t>
      </w:r>
      <w:r>
        <w:t xml:space="preserve">collection of distribution costs.  In one sense, however, Mr. Allen is correct.  If the PUCO were to approve ESP III exactly as proposed, then ratepayers would be better off receiving this credit than not receiving this credit.  However, that is not the issue.  In its proposed ESP III, the Utility not only seeks to continue the DIR (which is what created the need for the </w:t>
      </w:r>
      <w:r w:rsidR="00C97C9E">
        <w:t xml:space="preserve">current </w:t>
      </w:r>
      <w:r>
        <w:t>residential rate credit), but it seeks to modify and expand it, with increased costs to customers, as documented by witness Roush’s rate projections.</w:t>
      </w:r>
    </w:p>
    <w:p w:rsidR="002D06EA" w:rsidRDefault="002D06EA" w:rsidP="002D06EA">
      <w:pPr>
        <w:pStyle w:val="DirectNext"/>
        <w:spacing w:line="480" w:lineRule="auto"/>
        <w:ind w:firstLine="0"/>
      </w:pPr>
    </w:p>
    <w:p w:rsidR="0056314D" w:rsidRPr="002D06EA" w:rsidRDefault="002D06EA" w:rsidP="002D06EA">
      <w:pPr>
        <w:spacing w:line="480" w:lineRule="auto"/>
        <w:rPr>
          <w:b/>
          <w:i/>
        </w:rPr>
      </w:pPr>
      <w:r w:rsidRPr="002D06EA">
        <w:rPr>
          <w:b/>
          <w:i/>
        </w:rPr>
        <w:t>Q30.</w:t>
      </w:r>
      <w:r w:rsidRPr="002D06EA">
        <w:rPr>
          <w:b/>
          <w:i/>
        </w:rPr>
        <w:tab/>
        <w:t>WHAT DOES ALL OF THIS SUGGEST?</w:t>
      </w:r>
    </w:p>
    <w:p w:rsidR="0056314D" w:rsidRDefault="008035C4" w:rsidP="00E3610F">
      <w:pPr>
        <w:pStyle w:val="DirectAnswer"/>
      </w:pPr>
      <w:r w:rsidRPr="008035C4">
        <w:rPr>
          <w:b/>
          <w:i/>
          <w:iCs/>
        </w:rPr>
        <w:t>A30.</w:t>
      </w:r>
      <w:r>
        <w:tab/>
      </w:r>
      <w:r w:rsidR="00C80298">
        <w:t>The $14.6</w:t>
      </w:r>
      <w:r w:rsidR="00697C29">
        <w:t>8</w:t>
      </w:r>
      <w:r w:rsidR="00C80298">
        <w:t>8 million per year rate credit is not a “windfall” or new benefit to customers, but rather this credit may be needed to correct excess revenue collections under the extended and expanded DIR.  I say “may” because, unlike the circumstances in 2011, there is no base rate case investigation taking place that would determine whether the $14.6</w:t>
      </w:r>
      <w:r w:rsidR="00697C29">
        <w:t>8</w:t>
      </w:r>
      <w:r w:rsidR="00C80298">
        <w:t>8 million annual credit is sufficient to prevent excess revenue collection that might occur absent a rate case.</w:t>
      </w:r>
    </w:p>
    <w:p w:rsidR="00E3610F" w:rsidRPr="00E3610F" w:rsidRDefault="00E3610F" w:rsidP="00E3610F">
      <w:pPr>
        <w:pStyle w:val="DirectNext"/>
        <w:spacing w:line="480" w:lineRule="auto"/>
      </w:pPr>
    </w:p>
    <w:p w:rsidR="00145BB1" w:rsidRDefault="00C80298" w:rsidP="006F2B9D">
      <w:pPr>
        <w:pStyle w:val="DirectNext"/>
        <w:spacing w:line="480" w:lineRule="auto"/>
        <w:ind w:firstLine="0"/>
      </w:pPr>
      <w:r>
        <w:t>My conclusion is that it is highly questionable at least as to whether it is proper to view the continuation of the $14.6</w:t>
      </w:r>
      <w:r w:rsidR="00697C29">
        <w:t>8</w:t>
      </w:r>
      <w:r>
        <w:t>8 million per year rate credit as a quantifiable ESP III benefit, given the</w:t>
      </w:r>
      <w:r w:rsidR="00985A47">
        <w:t xml:space="preserve"> concurrent proposal </w:t>
      </w:r>
      <w:r>
        <w:t xml:space="preserve">in ESP III </w:t>
      </w:r>
      <w:r w:rsidR="00985A47">
        <w:t xml:space="preserve">for an </w:t>
      </w:r>
      <w:r>
        <w:t>extended and expanded DIR.</w:t>
      </w:r>
    </w:p>
    <w:p w:rsidR="0056314D" w:rsidRDefault="00145BB1" w:rsidP="00C619CE">
      <w:pPr>
        <w:pStyle w:val="DIRECTQUESTION0"/>
      </w:pPr>
      <w:r>
        <w:t>Q31.</w:t>
      </w:r>
      <w:r>
        <w:tab/>
      </w:r>
      <w:r w:rsidR="00C80298">
        <w:t xml:space="preserve">has the utility presented any analysis demonstrating either benefits or cost effectiveness from </w:t>
      </w:r>
      <w:r w:rsidR="00985A47">
        <w:t xml:space="preserve">distribution investment rider </w:t>
      </w:r>
      <w:r w:rsidR="00C80298">
        <w:t>expenditures?</w:t>
      </w:r>
    </w:p>
    <w:p w:rsidR="002D06EA" w:rsidRDefault="008035C4" w:rsidP="00BC2113">
      <w:pPr>
        <w:pStyle w:val="DirectAnswer"/>
      </w:pPr>
      <w:r w:rsidRPr="008035C4">
        <w:rPr>
          <w:b/>
          <w:i/>
          <w:iCs/>
        </w:rPr>
        <w:t>A31.</w:t>
      </w:r>
      <w:r>
        <w:tab/>
      </w:r>
      <w:r w:rsidR="00C80298">
        <w:t>No, AEP Ohio has not provided such a demonstration.  Witness Dias, at page 16 of his testimony, presents a capital forecast for DIR-related investments averaging about $230</w:t>
      </w:r>
      <w:r w:rsidR="008165C4">
        <w:t> </w:t>
      </w:r>
      <w:r w:rsidR="00C80298">
        <w:t>million per year.  However, there is no documentation of benefits nor is there a demonstration that there will not be excess revenue collection.</w:t>
      </w:r>
    </w:p>
    <w:p w:rsidR="002D06EA" w:rsidRPr="002D06EA" w:rsidRDefault="002D06EA" w:rsidP="002D06EA">
      <w:pPr>
        <w:pStyle w:val="DirectNext"/>
        <w:spacing w:line="480" w:lineRule="auto"/>
      </w:pPr>
    </w:p>
    <w:p w:rsidR="0056314D" w:rsidRDefault="00145BB1" w:rsidP="00C619CE">
      <w:pPr>
        <w:pStyle w:val="DIRECTQUESTION0"/>
      </w:pPr>
      <w:r>
        <w:t>Q32.</w:t>
      </w:r>
      <w:r>
        <w:tab/>
      </w:r>
      <w:r w:rsidR="00C80298">
        <w:t>is the use of conventional rate cases a viable alternative to the d</w:t>
      </w:r>
      <w:r w:rsidR="00985A47">
        <w:t>istribution investment rider</w:t>
      </w:r>
      <w:r w:rsidR="00C80298">
        <w:t xml:space="preserve"> for collection of revenue for the planned infrastructure </w:t>
      </w:r>
      <w:r w:rsidR="00C80298" w:rsidRPr="00D5402F">
        <w:t>costs</w:t>
      </w:r>
      <w:r w:rsidR="00C80298">
        <w:t>?</w:t>
      </w:r>
    </w:p>
    <w:p w:rsidR="006F2B9D" w:rsidRDefault="008035C4" w:rsidP="006F2B9D">
      <w:pPr>
        <w:pStyle w:val="DirectAnswer"/>
        <w:rPr>
          <w:b/>
          <w:i/>
          <w:caps/>
          <w:szCs w:val="24"/>
        </w:rPr>
      </w:pPr>
      <w:r w:rsidRPr="008035C4">
        <w:rPr>
          <w:b/>
          <w:i/>
          <w:iCs/>
        </w:rPr>
        <w:t>A32.</w:t>
      </w:r>
      <w:r>
        <w:tab/>
      </w:r>
      <w:r w:rsidR="00C80298">
        <w:t xml:space="preserve">Yes, as Mr. Allen recognizes in his testimony and in his data responses.  </w:t>
      </w:r>
      <w:r w:rsidR="007665B9">
        <w:t>AEP Ohio’s</w:t>
      </w:r>
      <w:r w:rsidR="00C80298">
        <w:t xml:space="preserve"> argument against the use of base rate cases as the cost collection method is that rate cases are costly and complex.  (See also his response to OCC INT-9-142(a).)  However, Mr. Allen provides no estimate of</w:t>
      </w:r>
      <w:r w:rsidR="00C97C9E">
        <w:t xml:space="preserve"> the Utility’s</w:t>
      </w:r>
      <w:r w:rsidR="00C80298">
        <w:t xml:space="preserve"> rate case </w:t>
      </w:r>
      <w:r w:rsidR="00C97C9E">
        <w:t>expense</w:t>
      </w:r>
      <w:r w:rsidR="00C80298">
        <w:t>, and such costs are likely to be modest compared to the hundreds of millions of dollars propos</w:t>
      </w:r>
      <w:r w:rsidR="007665B9">
        <w:t>ed</w:t>
      </w:r>
      <w:r w:rsidR="00C80298">
        <w:t xml:space="preserve"> to be collected in the DIR.  Moreover, the Utility has not ruled out having a rate case at some</w:t>
      </w:r>
      <w:r w:rsidR="00985A47">
        <w:t xml:space="preserve"> future point</w:t>
      </w:r>
      <w:r w:rsidR="00C80298">
        <w:t xml:space="preserve"> during ESP III, even with the DIR.  Mr. Allen’s “complexity” and rate case litigation cost arguments are not persuasive.</w:t>
      </w:r>
      <w:r w:rsidR="006F2B9D">
        <w:br w:type="page"/>
      </w:r>
    </w:p>
    <w:p w:rsidR="0056314D" w:rsidRDefault="00145BB1" w:rsidP="005E3D15">
      <w:pPr>
        <w:pStyle w:val="DIRECTQUESTION0"/>
      </w:pPr>
      <w:r>
        <w:t>Q33.</w:t>
      </w:r>
      <w:r>
        <w:tab/>
      </w:r>
      <w:r w:rsidR="00C80298">
        <w:t>how do these issues pertain to the esp versus mro test?</w:t>
      </w:r>
    </w:p>
    <w:p w:rsidR="00D5402F" w:rsidRDefault="008035C4" w:rsidP="005E3D15">
      <w:pPr>
        <w:pStyle w:val="DirectAnswer"/>
      </w:pPr>
      <w:r w:rsidRPr="008035C4">
        <w:rPr>
          <w:b/>
          <w:i/>
          <w:iCs/>
        </w:rPr>
        <w:t>A33.</w:t>
      </w:r>
      <w:r>
        <w:tab/>
      </w:r>
      <w:r w:rsidR="00C80298">
        <w:t xml:space="preserve">Due to the absence of demonstrated benefits and the potential for excess cost collection from customers, the DIR in its proposed form should </w:t>
      </w:r>
      <w:r w:rsidR="00C80298">
        <w:rPr>
          <w:b/>
        </w:rPr>
        <w:t>not</w:t>
      </w:r>
      <w:r w:rsidR="00C80298">
        <w:t xml:space="preserve"> be regarded as a qualitative benefit for ESP III.  Nor is there any clear evidence that the $14.6</w:t>
      </w:r>
      <w:r w:rsidR="00697C29">
        <w:t>8</w:t>
      </w:r>
      <w:r w:rsidR="00C80298">
        <w:t xml:space="preserve">8 million residential revenue credit is an actual benefit when combined with the DIR proposal.  The potential excess revenue collection problem can only </w:t>
      </w:r>
      <w:r w:rsidR="00E3610F">
        <w:t>be tested in a base rate case.</w:t>
      </w:r>
    </w:p>
    <w:p w:rsidR="00D5402F" w:rsidRDefault="00D5402F" w:rsidP="00BC2113">
      <w:pPr>
        <w:pStyle w:val="DirectAnswer"/>
      </w:pPr>
    </w:p>
    <w:p w:rsidR="0056314D" w:rsidRDefault="00145BB1" w:rsidP="00C619CE">
      <w:pPr>
        <w:pStyle w:val="DIRECTQUESTION0"/>
      </w:pPr>
      <w:r>
        <w:t>Q34.</w:t>
      </w:r>
      <w:r>
        <w:tab/>
      </w:r>
      <w:r w:rsidR="00C80298">
        <w:t>please summarize your esp versus mro test findings.</w:t>
      </w:r>
    </w:p>
    <w:p w:rsidR="00D5402F" w:rsidRDefault="008035C4" w:rsidP="006E51C8">
      <w:pPr>
        <w:pStyle w:val="DirectAnswer"/>
        <w:rPr>
          <w:rFonts w:eastAsiaTheme="majorEastAsia" w:cs="Times New Roman"/>
          <w:b/>
          <w:szCs w:val="28"/>
        </w:rPr>
      </w:pPr>
      <w:r w:rsidRPr="008035C4">
        <w:rPr>
          <w:b/>
          <w:i/>
          <w:iCs/>
        </w:rPr>
        <w:t>A34.</w:t>
      </w:r>
      <w:r>
        <w:tab/>
      </w:r>
      <w:r w:rsidR="00C80298">
        <w:t xml:space="preserve">Both the Utility and I are in agreement that the SSO pricing would be the same under the ESP and MRO options.  While Mr. Allen asserts quantified net benefits of $44 million from the residential revenue credit, I </w:t>
      </w:r>
      <w:r w:rsidR="00CD1A65">
        <w:t xml:space="preserve">recommend that the PUCO find this alleged benefit to be </w:t>
      </w:r>
      <w:r w:rsidR="00C80298">
        <w:t>question</w:t>
      </w:r>
      <w:r w:rsidR="00CD1A65">
        <w:t>able</w:t>
      </w:r>
      <w:r w:rsidR="00C80298">
        <w:t xml:space="preserve"> since it is tied to a DIR mechanism that can potentially collect excess revenues.  What has been documented in this case is that the various new, expanded, or modified riders will increase delivery service revenues</w:t>
      </w:r>
      <w:r w:rsidR="00CD1A65">
        <w:t xml:space="preserve"> (meaning increase customer payments to AEP Ohio)</w:t>
      </w:r>
      <w:r w:rsidR="00C80298">
        <w:t xml:space="preserve"> by a three-year total of about $240 million.  In addition, witness Wilson has demonstrated a net cost to customers from the proposal for the OVEC contract of </w:t>
      </w:r>
      <w:r w:rsidR="00C80298" w:rsidRPr="007973EE">
        <w:t>about $1</w:t>
      </w:r>
      <w:r w:rsidR="00890F96">
        <w:t>17</w:t>
      </w:r>
      <w:r w:rsidR="00C80298" w:rsidRPr="007973EE">
        <w:t xml:space="preserve"> million,</w:t>
      </w:r>
      <w:r w:rsidR="00C80298">
        <w:t xml:space="preserve"> with only a modest benefit at best in terms of greater rate stability.  Finally, I do not agree that the proposed ESP provides qualitative benefits</w:t>
      </w:r>
      <w:r w:rsidR="00CD1A65">
        <w:t xml:space="preserve"> to customers</w:t>
      </w:r>
      <w:r w:rsidR="00C80298">
        <w:t>.  Ratepayers will be harmed by the POR program in its proposed form, and the SSWR is inappropriate, as explained by OCC witness Effron.</w:t>
      </w:r>
      <w:bookmarkStart w:id="26" w:name="_Toc385584293"/>
      <w:r w:rsidR="00D5402F">
        <w:br w:type="page"/>
      </w:r>
    </w:p>
    <w:p w:rsidR="0056314D" w:rsidRDefault="007F4212" w:rsidP="00145BB1">
      <w:pPr>
        <w:pStyle w:val="Heading1"/>
        <w:spacing w:after="0"/>
      </w:pPr>
      <w:bookmarkStart w:id="27" w:name="_Toc387147843"/>
      <w:r>
        <w:t>IV.</w:t>
      </w:r>
      <w:r w:rsidR="00145BB1">
        <w:tab/>
      </w:r>
      <w:r w:rsidR="00C80298">
        <w:t>THE P</w:t>
      </w:r>
      <w:r w:rsidR="00297D31">
        <w:t>URCHASE OF RECEIVABLES</w:t>
      </w:r>
      <w:r w:rsidR="00C80298">
        <w:t xml:space="preserve"> PROGRAM PROPOSAL</w:t>
      </w:r>
      <w:bookmarkEnd w:id="26"/>
      <w:bookmarkEnd w:id="27"/>
    </w:p>
    <w:p w:rsidR="00145BB1" w:rsidRPr="00145BB1" w:rsidRDefault="00145BB1" w:rsidP="00145BB1">
      <w:pPr>
        <w:spacing w:line="480" w:lineRule="auto"/>
      </w:pPr>
    </w:p>
    <w:p w:rsidR="0056314D" w:rsidRDefault="00145BB1" w:rsidP="00C619CE">
      <w:pPr>
        <w:pStyle w:val="DIRECTQUESTION0"/>
      </w:pPr>
      <w:r>
        <w:t>Q35.</w:t>
      </w:r>
      <w:r>
        <w:tab/>
      </w:r>
      <w:r w:rsidR="00C80298">
        <w:t>WHAT IS AEP OHIO’S PROPOSAL CONCERNING THE DESIGN AND IMPLEMENTATION OF A PURCHASE OF RECEIVABLES (“POR”) PROGRAM?</w:t>
      </w:r>
    </w:p>
    <w:p w:rsidR="0056314D" w:rsidRDefault="008035C4" w:rsidP="00BC2113">
      <w:pPr>
        <w:pStyle w:val="DirectAnswer"/>
      </w:pPr>
      <w:r w:rsidRPr="008035C4">
        <w:rPr>
          <w:b/>
          <w:i/>
          <w:iCs/>
        </w:rPr>
        <w:t>A35.</w:t>
      </w:r>
      <w:r>
        <w:tab/>
      </w:r>
      <w:r w:rsidR="00C80298">
        <w:t xml:space="preserve">This proposal is set forth in the Direct Testimony of Stacey D. Gabbard.  Witness Gabbard notes that the Utility was ordered by the PUCO </w:t>
      </w:r>
      <w:r w:rsidR="004C28E8">
        <w:t xml:space="preserve">in the ESP II decision </w:t>
      </w:r>
      <w:r w:rsidR="00C80298">
        <w:t>to evaluate a POR program, and he presents AEP Ohio’s POR proposal “in concert with a bad debt rider” in his testimony.</w:t>
      </w:r>
      <w:r w:rsidR="00C80298">
        <w:rPr>
          <w:rStyle w:val="FootnoteReference"/>
        </w:rPr>
        <w:footnoteReference w:id="15"/>
      </w:r>
      <w:r w:rsidR="00C80298">
        <w:t xml:space="preserve">  The program would involve those Competitive Retail Electric Service (“CRES”) suppliers that engage with AEP Ohio in consolidated billing, and it has the following major features:</w:t>
      </w:r>
    </w:p>
    <w:p w:rsidR="0056314D" w:rsidRDefault="00C80298" w:rsidP="00145BB1">
      <w:pPr>
        <w:pStyle w:val="DirectNext"/>
        <w:numPr>
          <w:ilvl w:val="0"/>
          <w:numId w:val="42"/>
        </w:numPr>
        <w:spacing w:line="480" w:lineRule="auto"/>
        <w:ind w:right="720" w:hanging="720"/>
      </w:pPr>
      <w:r>
        <w:t>For CRES suppliers participating in the POR program, AEP Ohio will pay those suppliers for their receivables incurred after the program’s inception.  Such payments will cover the “commodity”</w:t>
      </w:r>
      <w:r w:rsidR="004C28E8">
        <w:t xml:space="preserve"> or generation</w:t>
      </w:r>
      <w:r>
        <w:t xml:space="preserve"> portion of the receivables and not other charges (such as termination fees).</w:t>
      </w:r>
    </w:p>
    <w:p w:rsidR="0056314D" w:rsidRDefault="00C80298" w:rsidP="00145BB1">
      <w:pPr>
        <w:pStyle w:val="DirectNext"/>
        <w:numPr>
          <w:ilvl w:val="0"/>
          <w:numId w:val="42"/>
        </w:numPr>
        <w:spacing w:line="480" w:lineRule="auto"/>
        <w:ind w:right="720" w:hanging="720"/>
      </w:pPr>
      <w:r>
        <w:t xml:space="preserve">AEP Ohio proposes a zero discount on the payments to the CRES suppliers, which means that the CRES suppliers (going forward) will be insulated from bad debt expense.  Rather, AEP Ohio will incur that expense and </w:t>
      </w:r>
      <w:r w:rsidR="00600D73">
        <w:t xml:space="preserve">make its customers pay it </w:t>
      </w:r>
      <w:r>
        <w:t>dollar-for-dollar.  However, witness Gabbard leaves open the possibility of a non-zero discount in the future.</w:t>
      </w:r>
      <w:r>
        <w:rPr>
          <w:rStyle w:val="FootnoteReference"/>
        </w:rPr>
        <w:footnoteReference w:id="16"/>
      </w:r>
    </w:p>
    <w:p w:rsidR="0056314D" w:rsidRDefault="00C80298" w:rsidP="00145BB1">
      <w:pPr>
        <w:pStyle w:val="DirectNext"/>
        <w:numPr>
          <w:ilvl w:val="0"/>
          <w:numId w:val="42"/>
        </w:numPr>
        <w:spacing w:line="480" w:lineRule="auto"/>
        <w:ind w:right="720" w:hanging="720"/>
      </w:pPr>
      <w:r>
        <w:t>AEP Ohio proposes to charge the participating CRES suppliers for the POR program’s implementation and ongoing administrative costs.</w:t>
      </w:r>
    </w:p>
    <w:p w:rsidR="0056314D" w:rsidRDefault="00C80298" w:rsidP="007F4212">
      <w:pPr>
        <w:pStyle w:val="DirectNext"/>
        <w:numPr>
          <w:ilvl w:val="0"/>
          <w:numId w:val="42"/>
        </w:numPr>
        <w:spacing w:line="480" w:lineRule="auto"/>
        <w:ind w:right="720" w:hanging="720"/>
      </w:pPr>
      <w:r>
        <w:t>Witness Gabbard states that the timing of AEP Ohio’s payments to CRES providers under this program is such that it will be “as neutral as possible” for working capital.</w:t>
      </w:r>
      <w:r>
        <w:rPr>
          <w:rStyle w:val="FootnoteReference"/>
        </w:rPr>
        <w:footnoteReference w:id="17"/>
      </w:r>
      <w:r>
        <w:t xml:space="preserve">  That is, it would have no effect—positive or negative—on </w:t>
      </w:r>
      <w:r w:rsidR="00600D73">
        <w:t xml:space="preserve">AEP Ohio’s </w:t>
      </w:r>
      <w:r>
        <w:t>cash working capital requirements to be established in a rate case.</w:t>
      </w:r>
    </w:p>
    <w:p w:rsidR="007F4212" w:rsidRDefault="007F4212" w:rsidP="007F4212">
      <w:pPr>
        <w:pStyle w:val="DirectNext"/>
        <w:spacing w:line="480" w:lineRule="auto"/>
        <w:ind w:left="0" w:right="720" w:firstLine="0"/>
      </w:pPr>
    </w:p>
    <w:p w:rsidR="00145BB1" w:rsidRDefault="00C80298" w:rsidP="007F4212">
      <w:pPr>
        <w:pStyle w:val="DirectNext"/>
        <w:spacing w:line="480" w:lineRule="auto"/>
        <w:ind w:firstLine="0"/>
      </w:pPr>
      <w:r>
        <w:t xml:space="preserve">In addition to these </w:t>
      </w:r>
      <w:r w:rsidR="00985A47">
        <w:t>prominent</w:t>
      </w:r>
      <w:r>
        <w:t xml:space="preserve"> features, </w:t>
      </w:r>
      <w:r w:rsidR="00985A47">
        <w:t>w</w:t>
      </w:r>
      <w:r>
        <w:t>itness Gabbard proposes a dollar-for-dollar Bad Debt Rider</w:t>
      </w:r>
      <w:r w:rsidR="00600D73">
        <w:t xml:space="preserve"> to be paid by customers</w:t>
      </w:r>
      <w:r>
        <w:t xml:space="preserve">.  The rider not only provides AEP Ohio with </w:t>
      </w:r>
      <w:r w:rsidR="000236EB">
        <w:t>a way to charge all its customers for</w:t>
      </w:r>
      <w:r>
        <w:t xml:space="preserve"> </w:t>
      </w:r>
      <w:r w:rsidR="004C28E8">
        <w:t xml:space="preserve">competitive generation </w:t>
      </w:r>
      <w:r>
        <w:t xml:space="preserve">bad debt expense associated with the POR program, but also bad debt expense associated with distribution service and SSO </w:t>
      </w:r>
      <w:r w:rsidR="004C28E8">
        <w:t xml:space="preserve">generation </w:t>
      </w:r>
      <w:r>
        <w:t>customers, percentage of income payment plan (“PIPP”) payments not collected through the universal service fund rider (</w:t>
      </w:r>
      <w:r w:rsidR="004C28E8">
        <w:t>“</w:t>
      </w:r>
      <w:r>
        <w:t>USF</w:t>
      </w:r>
      <w:r w:rsidR="004C28E8">
        <w:t>”</w:t>
      </w:r>
      <w:r>
        <w:t>) and from customers net of any unused low-income credit funds.  In the case of distribution service, witness Gabbard states that distribution base rates already include $12.2 million</w:t>
      </w:r>
      <w:r w:rsidR="000236EB">
        <w:t xml:space="preserve"> that customers are paying</w:t>
      </w:r>
      <w:r>
        <w:t xml:space="preserve"> for bad debt expense, and therefore the proposed rider includes only the bad debt expense over and above that base figure, until completion of the next base rate case.  At that time, bad debt expense would be removed from base rates and </w:t>
      </w:r>
      <w:r w:rsidR="00181371">
        <w:t xml:space="preserve">charges to customers </w:t>
      </w:r>
      <w:r>
        <w:t xml:space="preserve">entirely </w:t>
      </w:r>
      <w:r w:rsidR="008F1F48">
        <w:t xml:space="preserve">through </w:t>
      </w:r>
      <w:r>
        <w:t>the rider.  Late payment fees collected by AEP Ohio under its proposal would be a revenue credit to this rider.</w:t>
      </w:r>
      <w:r>
        <w:rPr>
          <w:rStyle w:val="FootnoteReference"/>
        </w:rPr>
        <w:footnoteReference w:id="18"/>
      </w:r>
    </w:p>
    <w:p w:rsidR="00D5402F" w:rsidRDefault="00D5402F" w:rsidP="007F4212">
      <w:pPr>
        <w:pStyle w:val="DIRECTQUESTION0"/>
      </w:pPr>
    </w:p>
    <w:p w:rsidR="0056314D" w:rsidRPr="00D5402F" w:rsidRDefault="00145BB1" w:rsidP="007F4212">
      <w:pPr>
        <w:pStyle w:val="DIRECTQUESTION0"/>
        <w:rPr>
          <w:rFonts w:eastAsia="Times New Roman" w:cs="Times New Roman"/>
        </w:rPr>
      </w:pPr>
      <w:r>
        <w:t>Q36.</w:t>
      </w:r>
      <w:r>
        <w:tab/>
      </w:r>
      <w:r w:rsidR="00C80298">
        <w:t>have p</w:t>
      </w:r>
      <w:r w:rsidR="00985A47">
        <w:t xml:space="preserve">urchase of receivable </w:t>
      </w:r>
      <w:r w:rsidR="00C80298">
        <w:t>programs been PREVIOUSLY addressed by the occ?</w:t>
      </w:r>
    </w:p>
    <w:p w:rsidR="0056314D" w:rsidRDefault="008035C4" w:rsidP="007F4212">
      <w:pPr>
        <w:pStyle w:val="DirectAnswer"/>
      </w:pPr>
      <w:r w:rsidRPr="008035C4">
        <w:rPr>
          <w:b/>
          <w:i/>
          <w:iCs/>
        </w:rPr>
        <w:t>A36.</w:t>
      </w:r>
      <w:r>
        <w:tab/>
      </w:r>
      <w:r w:rsidR="00C80298">
        <w:t>Yes, they have.  In comments submitted by the OCC in PUCO Case No. 12-3151-EL-COL, the OCC opposed POR programs</w:t>
      </w:r>
      <w:r w:rsidR="008F1F48">
        <w:t>.  OCC opposed POR programs</w:t>
      </w:r>
      <w:r w:rsidR="00C80298">
        <w:t xml:space="preserve"> </w:t>
      </w:r>
      <w:r w:rsidR="00C844AB">
        <w:t xml:space="preserve">because it would impose costs on customers and may not produce more benefits </w:t>
      </w:r>
      <w:r w:rsidR="000E27E2">
        <w:t>for</w:t>
      </w:r>
      <w:r w:rsidR="00C844AB">
        <w:t xml:space="preserve"> customers.  OCC noted</w:t>
      </w:r>
      <w:r w:rsidR="00C80298">
        <w:t xml:space="preserve"> the lack of a demonstrated need for such programs to enhance retail competition</w:t>
      </w:r>
      <w:r w:rsidR="00C844AB">
        <w:t>.  OCC also argued that the POR</w:t>
      </w:r>
      <w:r w:rsidR="00C80298">
        <w:t xml:space="preserve"> </w:t>
      </w:r>
      <w:r w:rsidR="008F1F48">
        <w:t>program</w:t>
      </w:r>
      <w:r w:rsidR="00C844AB">
        <w:t xml:space="preserve"> causes </w:t>
      </w:r>
      <w:r w:rsidR="008F1F48">
        <w:t xml:space="preserve">customers </w:t>
      </w:r>
      <w:r w:rsidR="00C844AB">
        <w:t xml:space="preserve">to </w:t>
      </w:r>
      <w:r w:rsidR="008F1F48">
        <w:t>pay</w:t>
      </w:r>
      <w:r w:rsidR="00C844AB">
        <w:t xml:space="preserve"> a </w:t>
      </w:r>
      <w:r w:rsidR="00C80298">
        <w:t>regulatory subsid</w:t>
      </w:r>
      <w:r w:rsidR="00C844AB">
        <w:t xml:space="preserve">y </w:t>
      </w:r>
      <w:r w:rsidR="000E27E2">
        <w:t xml:space="preserve">to </w:t>
      </w:r>
      <w:r w:rsidR="00C844AB">
        <w:t>CRES providers</w:t>
      </w:r>
      <w:r w:rsidR="000E27E2">
        <w:t>, when regulatory subsidies are</w:t>
      </w:r>
      <w:r w:rsidR="00C80298">
        <w:t xml:space="preserve"> inappropriate in a deregulated market.  In particular, revenue and bad debt expense reflect the normal business risks associated with the unregulated market.</w:t>
      </w:r>
    </w:p>
    <w:p w:rsidR="00145BB1" w:rsidRDefault="00145BB1" w:rsidP="00145BB1">
      <w:pPr>
        <w:pStyle w:val="DirectNext"/>
        <w:spacing w:line="480" w:lineRule="auto"/>
        <w:ind w:firstLine="0"/>
      </w:pPr>
    </w:p>
    <w:p w:rsidR="0056314D" w:rsidRDefault="000E27E2" w:rsidP="007F4212">
      <w:pPr>
        <w:pStyle w:val="DirectNext"/>
        <w:spacing w:line="480" w:lineRule="auto"/>
        <w:ind w:firstLine="0"/>
      </w:pPr>
      <w:r>
        <w:t>I understand that the PUCO ruled that each electric distribution utility that does not currently offer a POR program should be encouraged to include such a program in its next distribution case or SSO application.  OCC Witness Jim Williams</w:t>
      </w:r>
      <w:r w:rsidR="001177CC">
        <w:t xml:space="preserve"> presents OCC’s general position which is that AEP Ohio should not have a POR program</w:t>
      </w:r>
      <w:r>
        <w:t xml:space="preserve">. </w:t>
      </w:r>
      <w:r w:rsidR="001177CC">
        <w:t xml:space="preserve"> My testimony </w:t>
      </w:r>
      <w:r w:rsidR="00C80298">
        <w:t xml:space="preserve">critiques the salient features of AEP Ohio’s proposal, </w:t>
      </w:r>
      <w:r w:rsidR="00FE407B">
        <w:t xml:space="preserve">in the event </w:t>
      </w:r>
      <w:r w:rsidR="00C80298">
        <w:t xml:space="preserve">that the PUCO </w:t>
      </w:r>
      <w:r w:rsidR="00FE407B">
        <w:t>decides to adopt</w:t>
      </w:r>
      <w:r w:rsidR="00C80298">
        <w:t xml:space="preserve"> a POR program in some form.</w:t>
      </w:r>
    </w:p>
    <w:p w:rsidR="00145BB1" w:rsidRDefault="00145BB1" w:rsidP="00145BB1">
      <w:pPr>
        <w:pStyle w:val="DirectNext"/>
        <w:spacing w:line="480" w:lineRule="auto"/>
        <w:ind w:firstLine="0"/>
      </w:pPr>
    </w:p>
    <w:p w:rsidR="0056314D" w:rsidRDefault="00145BB1" w:rsidP="00C619CE">
      <w:pPr>
        <w:pStyle w:val="DIRECTQUESTION0"/>
      </w:pPr>
      <w:r>
        <w:t>Q37.</w:t>
      </w:r>
      <w:r>
        <w:tab/>
      </w:r>
      <w:r w:rsidR="00C80298">
        <w:t>what is your conclusion concerning the salient features of aep ohio’s proposal?</w:t>
      </w:r>
    </w:p>
    <w:p w:rsidR="0056314D" w:rsidRDefault="008035C4" w:rsidP="00BC2113">
      <w:pPr>
        <w:pStyle w:val="DirectAnswer"/>
      </w:pPr>
      <w:r w:rsidRPr="008035C4">
        <w:rPr>
          <w:b/>
          <w:i/>
          <w:iCs/>
        </w:rPr>
        <w:t>A37.</w:t>
      </w:r>
      <w:r>
        <w:tab/>
      </w:r>
      <w:r w:rsidR="00A4128D">
        <w:t xml:space="preserve">In the event the PUCO decides to authorize </w:t>
      </w:r>
      <w:r w:rsidR="00C80298">
        <w:t xml:space="preserve">the Utility to implement a POR program as proposed in ESP III, I </w:t>
      </w:r>
      <w:r w:rsidR="00A4128D">
        <w:t xml:space="preserve">recommend </w:t>
      </w:r>
      <w:r w:rsidR="00C80298">
        <w:t>the following:</w:t>
      </w:r>
    </w:p>
    <w:p w:rsidR="00CD3C94" w:rsidRDefault="00C80298" w:rsidP="00CD3C94">
      <w:pPr>
        <w:pStyle w:val="DirectNext"/>
        <w:numPr>
          <w:ilvl w:val="0"/>
          <w:numId w:val="44"/>
        </w:numPr>
        <w:spacing w:line="480" w:lineRule="auto"/>
        <w:ind w:right="720" w:hanging="720"/>
      </w:pPr>
      <w:r>
        <w:t xml:space="preserve">I agree that the implementation and ongoing program administrative charges should be paid for entirely by the CRES suppliers.  </w:t>
      </w:r>
    </w:p>
    <w:p w:rsidR="0056314D" w:rsidRDefault="00C80298" w:rsidP="00CD3C94">
      <w:pPr>
        <w:pStyle w:val="DirectNext"/>
        <w:numPr>
          <w:ilvl w:val="0"/>
          <w:numId w:val="44"/>
        </w:numPr>
        <w:spacing w:line="480" w:lineRule="auto"/>
        <w:ind w:right="720" w:hanging="720"/>
      </w:pPr>
      <w:r>
        <w:t>I agree that the AEP Ohio payments to participating CRES providers should be designed to be “working capital neutral” such that no cash working capital due to the program need</w:t>
      </w:r>
      <w:r w:rsidR="00583182">
        <w:t>s to</w:t>
      </w:r>
      <w:r>
        <w:t xml:space="preserve"> be included in</w:t>
      </w:r>
      <w:r w:rsidR="00583182">
        <w:t xml:space="preserve"> the</w:t>
      </w:r>
      <w:r>
        <w:t xml:space="preserve"> base rates</w:t>
      </w:r>
      <w:r w:rsidR="00583182">
        <w:t xml:space="preserve"> that customers pay</w:t>
      </w:r>
      <w:r>
        <w:t>.</w:t>
      </w:r>
    </w:p>
    <w:p w:rsidR="0056314D" w:rsidRDefault="00C80298" w:rsidP="00495D45">
      <w:pPr>
        <w:pStyle w:val="DirectNext"/>
        <w:numPr>
          <w:ilvl w:val="0"/>
          <w:numId w:val="44"/>
        </w:numPr>
        <w:spacing w:line="480" w:lineRule="auto"/>
        <w:ind w:right="720" w:hanging="720"/>
      </w:pPr>
      <w:r>
        <w:t>I strongly oppose the Utility’s proposal to purchase receivables at a zero discount and to instead charge retail customers for what otherwise would be the CRES</w:t>
      </w:r>
      <w:r w:rsidR="00583182">
        <w:t xml:space="preserve"> suppliers’</w:t>
      </w:r>
      <w:r>
        <w:t xml:space="preserve"> bad debt expense.</w:t>
      </w:r>
    </w:p>
    <w:p w:rsidR="0056314D" w:rsidRDefault="00C80298" w:rsidP="007F4212">
      <w:pPr>
        <w:pStyle w:val="DirectNext"/>
        <w:numPr>
          <w:ilvl w:val="0"/>
          <w:numId w:val="44"/>
        </w:numPr>
        <w:spacing w:line="480" w:lineRule="auto"/>
        <w:ind w:right="720" w:hanging="720"/>
      </w:pPr>
      <w:r>
        <w:t>It appears that AEP Ohio has linked the bad debt expense rider with the zero discount proposal.  Hence, once the zero discount feature is removed, the bad debt expense rider is not needed</w:t>
      </w:r>
      <w:r w:rsidR="00583182">
        <w:t xml:space="preserve"> and should not be adopted</w:t>
      </w:r>
      <w:r>
        <w:t xml:space="preserve">.  Moreover, </w:t>
      </w:r>
      <w:r w:rsidR="00C854A4">
        <w:t>the bad debt expense rider</w:t>
      </w:r>
      <w:r>
        <w:t xml:space="preserve"> is improper,</w:t>
      </w:r>
      <w:r w:rsidR="00985A47">
        <w:t xml:space="preserve"> because</w:t>
      </w:r>
      <w:r>
        <w:t xml:space="preserve"> </w:t>
      </w:r>
      <w:r w:rsidR="00B439AE">
        <w:t>it</w:t>
      </w:r>
      <w:r>
        <w:t xml:space="preserve"> improperly shifts risk away from the Utility (and CRES providers) </w:t>
      </w:r>
      <w:r w:rsidR="004C28E8">
        <w:t xml:space="preserve">and places it </w:t>
      </w:r>
      <w:r>
        <w:t>entirely onto customers.</w:t>
      </w:r>
      <w:r w:rsidR="00B439AE">
        <w:t xml:space="preserve">  It is an inappropriate subsidy from customers to CRES providers.</w:t>
      </w:r>
    </w:p>
    <w:p w:rsidR="00495D45" w:rsidRDefault="00495D45" w:rsidP="002D06EA">
      <w:pPr>
        <w:pStyle w:val="DirectNext"/>
        <w:spacing w:line="480" w:lineRule="auto"/>
        <w:ind w:left="2160" w:right="720" w:firstLine="0"/>
      </w:pPr>
    </w:p>
    <w:p w:rsidR="0056314D" w:rsidRDefault="00495D45" w:rsidP="00C619CE">
      <w:pPr>
        <w:pStyle w:val="DIRECTQUESTION0"/>
      </w:pPr>
      <w:r>
        <w:t>Q38.</w:t>
      </w:r>
      <w:r>
        <w:tab/>
      </w:r>
      <w:r w:rsidR="00C80298">
        <w:t>do you have an alternative recommendation?</w:t>
      </w:r>
    </w:p>
    <w:p w:rsidR="0056314D" w:rsidRDefault="008035C4" w:rsidP="007F4212">
      <w:pPr>
        <w:pStyle w:val="DirectAnswer"/>
      </w:pPr>
      <w:r w:rsidRPr="008035C4">
        <w:rPr>
          <w:b/>
          <w:i/>
          <w:iCs/>
        </w:rPr>
        <w:t>A38.</w:t>
      </w:r>
      <w:r>
        <w:tab/>
      </w:r>
      <w:r w:rsidR="00C80298">
        <w:t>Yes.  I recommend that AEP Ohio’s POR program proposal not be approved by the PUCO.  If the PUCO concludes that a POR program is appropriate, it should incorporate a discount rate for Utility payments to CRES suppliers reflecting the Utility’s actual or best estimate of the CRES commodity-related bad debt expense.  This discount rate could be updated periodically based on actual experience with the program.  The Utility’s program should retain the proposed key features pertaining to collection of program costs from the participating CRES suppliers and being “working capital neutral.”</w:t>
      </w:r>
    </w:p>
    <w:p w:rsidR="007F4212" w:rsidRPr="007F4212" w:rsidRDefault="007F4212" w:rsidP="007F4212">
      <w:pPr>
        <w:pStyle w:val="DirectNext"/>
        <w:spacing w:line="480" w:lineRule="auto"/>
      </w:pPr>
    </w:p>
    <w:p w:rsidR="006E51C8" w:rsidRDefault="00C80298" w:rsidP="006E51C8">
      <w:pPr>
        <w:pStyle w:val="DirectNext"/>
        <w:spacing w:line="480" w:lineRule="auto"/>
        <w:ind w:firstLine="0"/>
        <w:rPr>
          <w:rFonts w:eastAsia="Calibri" w:cs="Arial"/>
          <w:b/>
          <w:i/>
          <w:caps/>
        </w:rPr>
      </w:pPr>
      <w:r>
        <w:t>In addition, I recommend</w:t>
      </w:r>
      <w:r w:rsidR="00E05805">
        <w:t xml:space="preserve"> that the PUCO protect customers by</w:t>
      </w:r>
      <w:r>
        <w:t xml:space="preserve"> reject</w:t>
      </w:r>
      <w:r w:rsidR="00E05805">
        <w:t>ing</w:t>
      </w:r>
      <w:r>
        <w:t xml:space="preserve"> the proposed bad debt expense rider.</w:t>
      </w:r>
      <w:r w:rsidR="006E51C8">
        <w:br w:type="page"/>
      </w:r>
    </w:p>
    <w:p w:rsidR="0056314D" w:rsidRDefault="00495D45" w:rsidP="00C619CE">
      <w:pPr>
        <w:pStyle w:val="DIRECTQUESTION0"/>
      </w:pPr>
      <w:r>
        <w:t>Q39.</w:t>
      </w:r>
      <w:r>
        <w:tab/>
      </w:r>
      <w:r w:rsidR="00C80298">
        <w:t>why do you conclude the proposed bad debt expense rider is not needed?</w:t>
      </w:r>
    </w:p>
    <w:p w:rsidR="0056314D" w:rsidRDefault="008035C4" w:rsidP="007F4212">
      <w:pPr>
        <w:pStyle w:val="DirectAnswer"/>
      </w:pPr>
      <w:r w:rsidRPr="008035C4">
        <w:rPr>
          <w:b/>
          <w:i/>
          <w:iCs/>
        </w:rPr>
        <w:t>A39.</w:t>
      </w:r>
      <w:r>
        <w:tab/>
      </w:r>
      <w:r w:rsidR="00CC68EA">
        <w:t xml:space="preserve">If the PUCO adopts a POR and </w:t>
      </w:r>
      <w:r w:rsidR="00C80298">
        <w:t>the zero discount rate feature is corrected to equal the actual bad debt expense, th</w:t>
      </w:r>
      <w:r w:rsidR="00BE754F">
        <w:t>is</w:t>
      </w:r>
      <w:r w:rsidR="00C80298">
        <w:t xml:space="preserve"> rider would no longer be needed.  The Utility’s proposal in this case concerning SSO cost collection includes a cost reconciliation rider, i.e., SSO costs and customer revenues are to be trued up, dollar-for-dollar, and this mechanism could be designed to fully account for bad debt expense.  As witness Gabbard points out, the Utility’s base distribution rates already collect bad debt expense</w:t>
      </w:r>
      <w:r w:rsidR="00BE754F">
        <w:t xml:space="preserve"> (i.e., the $12.2 million)</w:t>
      </w:r>
      <w:r w:rsidR="00C80298">
        <w:t>, as determined in the last rate case.  This amount can be updated in accordance with the Utility’s own decisions as to if and when to file base rate cases in accordance with its earnings position.</w:t>
      </w:r>
    </w:p>
    <w:p w:rsidR="007F4212" w:rsidRPr="007F4212" w:rsidRDefault="007F4212" w:rsidP="007F4212">
      <w:pPr>
        <w:pStyle w:val="DirectNext"/>
        <w:spacing w:line="480" w:lineRule="auto"/>
        <w:ind w:firstLine="0"/>
      </w:pPr>
    </w:p>
    <w:p w:rsidR="0056314D" w:rsidRDefault="00C80298" w:rsidP="007F4212">
      <w:pPr>
        <w:pStyle w:val="DirectNext"/>
        <w:spacing w:line="480" w:lineRule="auto"/>
        <w:ind w:firstLine="0"/>
      </w:pPr>
      <w:r>
        <w:t xml:space="preserve">The introduction of this bad debt expense rider </w:t>
      </w:r>
      <w:r w:rsidR="00E665A4">
        <w:t>is an example of</w:t>
      </w:r>
      <w:r w:rsidR="00B51EB9">
        <w:t xml:space="preserve"> improper</w:t>
      </w:r>
      <w:r w:rsidR="00E665A4">
        <w:t xml:space="preserve"> single issue ratemaking.  </w:t>
      </w:r>
      <w:r>
        <w:t>The proposed bad debt rider is simply not needed.</w:t>
      </w:r>
    </w:p>
    <w:p w:rsidR="0056314D" w:rsidRDefault="00C80298" w:rsidP="007F4212">
      <w:pPr>
        <w:pStyle w:val="DirectNext"/>
        <w:spacing w:line="480" w:lineRule="auto"/>
        <w:ind w:firstLine="0"/>
      </w:pPr>
      <w:r>
        <w:t>I note that witness Gabbard implies that there is a linkage between the POR program discount rate level and the presence of a utility bad debt expense rider.  At page 3 of his direct testimony (lines 17-19), witness Gabbard states:</w:t>
      </w:r>
    </w:p>
    <w:p w:rsidR="006E51C8" w:rsidRDefault="00C80298" w:rsidP="006E51C8">
      <w:pPr>
        <w:pStyle w:val="DirectNext"/>
        <w:spacing w:line="480" w:lineRule="auto"/>
        <w:ind w:left="1440" w:right="720" w:firstLine="0"/>
        <w:rPr>
          <w:rFonts w:eastAsia="Calibri" w:cs="Arial"/>
          <w:b/>
          <w:i/>
          <w:caps/>
        </w:rPr>
      </w:pPr>
      <w:r>
        <w:t>“Where POR programs are required, the discount rate is usually equal to the utility’s uncollectable or bad debt rate.  In that context, when a utility has a bad debt rider, the discount rate is usually zero, and the receivable is purchased at face value.”</w:t>
      </w:r>
      <w:r w:rsidR="006E51C8">
        <w:br w:type="page"/>
      </w:r>
    </w:p>
    <w:p w:rsidR="0056314D" w:rsidRDefault="00495D45" w:rsidP="00C619CE">
      <w:pPr>
        <w:pStyle w:val="DIRECTQUESTION0"/>
      </w:pPr>
      <w:r>
        <w:t>Q40.</w:t>
      </w:r>
      <w:r>
        <w:tab/>
      </w:r>
      <w:r w:rsidR="00C80298">
        <w:t>does witness gabbard assert there are benefits to the proposed p</w:t>
      </w:r>
      <w:r w:rsidR="00985A47">
        <w:t xml:space="preserve">urchase of receivables </w:t>
      </w:r>
      <w:r w:rsidR="00C80298">
        <w:t>program?</w:t>
      </w:r>
    </w:p>
    <w:p w:rsidR="006E51C8" w:rsidRDefault="008035C4" w:rsidP="006E51C8">
      <w:pPr>
        <w:pStyle w:val="DirectAnswer"/>
        <w:rPr>
          <w:b/>
          <w:i/>
          <w:caps/>
          <w:szCs w:val="24"/>
        </w:rPr>
      </w:pPr>
      <w:r w:rsidRPr="008035C4">
        <w:rPr>
          <w:b/>
          <w:i/>
          <w:iCs/>
        </w:rPr>
        <w:t>A40.</w:t>
      </w:r>
      <w:r>
        <w:tab/>
      </w:r>
      <w:r w:rsidR="00C80298">
        <w:t>Yes,</w:t>
      </w:r>
      <w:r w:rsidR="00985A47">
        <w:t xml:space="preserve"> witness Gabbard</w:t>
      </w:r>
      <w:r w:rsidR="00C80298">
        <w:t xml:space="preserve"> asserts that there </w:t>
      </w:r>
      <w:r w:rsidR="00985A47">
        <w:t>are</w:t>
      </w:r>
      <w:r w:rsidR="004C7B89">
        <w:t xml:space="preserve"> customer</w:t>
      </w:r>
      <w:r w:rsidR="00C80298">
        <w:t xml:space="preserve"> and other benefits associated with the proposed program, although the Utility has developed no quantification of the asserted program benefits.  (See response to OCC INT-10-163.)  The primary asserted benefit is that providing CRES suppliers with “a predictable revenue stream encourages [competitive retail] suppliers to market to customers in all customer classes, thus promoting an even more competitive Ohio Choice Market.”</w:t>
      </w:r>
      <w:r w:rsidR="00C80298">
        <w:rPr>
          <w:rStyle w:val="FootnoteReference"/>
        </w:rPr>
        <w:footnoteReference w:id="19"/>
      </w:r>
      <w:r w:rsidR="00C80298">
        <w:t xml:space="preserve">  In other words, it is asserted that the program enhances retail competition in some manner, thereby expanding choice for customers and improving CRES supplier offers.  Again, there is no quantification or even convincing documentation of this benefit.  Mr. Gabbard’s testimony goes on to list four other potential program benefits.  These include benefits to customers, CRES suppliers and/or the Utility, and they largely take the form of what I would describe as administrative convenience and streamlining.  For example, the program allows for budget or average monthly payment treatment for the customer’s entire bill instead of just the “wires” portions of the bill; it simplifies bill payment for customers, etc.  Again, there is no quantification of these asserted convenience and administrative streamlining types of benefits.</w:t>
      </w:r>
      <w:r w:rsidR="00C80298">
        <w:rPr>
          <w:rStyle w:val="FootnoteReference"/>
        </w:rPr>
        <w:footnoteReference w:id="20"/>
      </w:r>
      <w:r w:rsidR="006E51C8">
        <w:br w:type="page"/>
      </w:r>
    </w:p>
    <w:p w:rsidR="0056314D" w:rsidRDefault="00495D45" w:rsidP="005E3D15">
      <w:pPr>
        <w:pStyle w:val="DIRECTQUESTION0"/>
      </w:pPr>
      <w:r>
        <w:t>Q41.</w:t>
      </w:r>
      <w:r>
        <w:tab/>
      </w:r>
      <w:r w:rsidR="00C80298">
        <w:t>do you agree with witness gabbard’s position regarding the asserted benefits of the por program?</w:t>
      </w:r>
    </w:p>
    <w:p w:rsidR="0056314D" w:rsidRDefault="008035C4" w:rsidP="005E3D15">
      <w:pPr>
        <w:pStyle w:val="DirectAnswer"/>
      </w:pPr>
      <w:r w:rsidRPr="008035C4">
        <w:rPr>
          <w:b/>
          <w:i/>
          <w:iCs/>
        </w:rPr>
        <w:t>A41.</w:t>
      </w:r>
      <w:r>
        <w:tab/>
      </w:r>
      <w:r w:rsidR="00C80298">
        <w:t>No.  As stated above, it is not the purpose of my testimony to evaluate whether, in principle, a POR program, in combination with consolidated billing, can provide some administrative convenience and streamlining</w:t>
      </w:r>
      <w:r w:rsidR="00106207">
        <w:t xml:space="preserve">. </w:t>
      </w:r>
      <w:r w:rsidR="00C80298">
        <w:t xml:space="preserve"> </w:t>
      </w:r>
      <w:r w:rsidR="00106207">
        <w:t>R</w:t>
      </w:r>
      <w:r w:rsidR="00C80298">
        <w:t>ather</w:t>
      </w:r>
      <w:r w:rsidR="00106207">
        <w:t>, I considered</w:t>
      </w:r>
      <w:r w:rsidR="00C80298">
        <w:t xml:space="preserve"> whether AEP Ohio’s POR program proposal, with its zero discount, is beneficial, on balance, to customers.</w:t>
      </w:r>
      <w:r w:rsidR="00106207">
        <w:t xml:space="preserve">  It is not.</w:t>
      </w:r>
      <w:r w:rsidR="00C80298">
        <w:t xml:space="preserve"> I am not able to find </w:t>
      </w:r>
      <w:r w:rsidR="00C80298">
        <w:rPr>
          <w:b/>
        </w:rPr>
        <w:t>any</w:t>
      </w:r>
      <w:r w:rsidR="00C80298">
        <w:t xml:space="preserve"> substantiation or even argument in </w:t>
      </w:r>
      <w:r w:rsidR="00985A47">
        <w:t xml:space="preserve">witness </w:t>
      </w:r>
      <w:r w:rsidR="00C80298">
        <w:t>Gabbard’s testimony that this listing of administrative convenience streamlining set of benefits requires the POR program to have a zero discount factor.  Those same benefits would be available with the discount factor set at the actual CRES bad debt rate.</w:t>
      </w:r>
    </w:p>
    <w:p w:rsidR="00495D45" w:rsidRDefault="00495D45" w:rsidP="00495D45">
      <w:pPr>
        <w:pStyle w:val="DirectNext"/>
        <w:spacing w:line="480" w:lineRule="auto"/>
        <w:ind w:firstLine="0"/>
      </w:pPr>
    </w:p>
    <w:p w:rsidR="0056314D" w:rsidRDefault="00C80298" w:rsidP="00495D45">
      <w:pPr>
        <w:pStyle w:val="DirectNext"/>
        <w:spacing w:line="480" w:lineRule="auto"/>
        <w:ind w:firstLine="0"/>
      </w:pPr>
      <w:r>
        <w:t>At pages 5-6 of his direct testimony, Mr. Gabbard lists half a dozen benefits to CRES suppliers that, presumably in his view, encourage them to participate in the market.  He correctly states that the Utility’s proposal provides CRES providers with greater revenue stability and certainty, along with some administrative savings.  The problem with his presentation of CRES supplier benefits is that those same benefits would be present irrespective of the bad debt expense discount.  A POR program with an appropriate and defined discount rate also provides CRES suppliers with those same qualitative benefits</w:t>
      </w:r>
      <w:r w:rsidR="00985A47">
        <w:t>,</w:t>
      </w:r>
      <w:r>
        <w:t xml:space="preserve"> but at a reasonable cost and not </w:t>
      </w:r>
      <w:r w:rsidR="00BE754F">
        <w:t xml:space="preserve">through </w:t>
      </w:r>
      <w:r w:rsidR="00E9413D">
        <w:t>the</w:t>
      </w:r>
      <w:r>
        <w:t xml:space="preserve"> subsidy</w:t>
      </w:r>
      <w:r w:rsidR="00BE754F">
        <w:t xml:space="preserve"> from customers</w:t>
      </w:r>
      <w:r w:rsidR="00E9413D">
        <w:t xml:space="preserve"> that AEP Ohio’s proposal would create</w:t>
      </w:r>
      <w:r>
        <w:t>.  Again, his recitation of CRES supplier benefits does not support the zero discount proposal.</w:t>
      </w:r>
    </w:p>
    <w:p w:rsidR="0056314D" w:rsidRDefault="00C80298" w:rsidP="00495D45">
      <w:pPr>
        <w:pStyle w:val="DirectNext"/>
        <w:spacing w:line="480" w:lineRule="auto"/>
        <w:ind w:firstLine="0"/>
      </w:pPr>
      <w:r>
        <w:t xml:space="preserve">In addition, there is an implied assumption in </w:t>
      </w:r>
      <w:r w:rsidR="00D64E47">
        <w:t xml:space="preserve">Mr. Gabbard’s </w:t>
      </w:r>
      <w:r>
        <w:t>presentation that the AEP Ohio retail market development is inadequate and that customers lack competitive alternatives.  But there is no evidence presented that this is actually the case.  In fact, at page 9 of his testimony, witness Gabbard acknowledges that “over half of AEP Ohio’s customer load is now shopping and those numbers continue to increase.”  The response to OCC INT-10-190 states that, as of February 2014, there were 69 CRES suppliers registered in AEP Ohio’s service territory, with 46 being active</w:t>
      </w:r>
      <w:r w:rsidR="00985A47">
        <w:t>,</w:t>
      </w:r>
      <w:r>
        <w:t xml:space="preserve"> and 29 serving multiple residential customers.  This market development has taken place absent a POR program of any kind, let alone one with a zero discount factor.  There is no evidence of a lack of robust retail market development or competitive choice</w:t>
      </w:r>
      <w:r w:rsidR="008C1A4C">
        <w:t>,</w:t>
      </w:r>
      <w:r w:rsidR="00D64E47">
        <w:t xml:space="preserve"> </w:t>
      </w:r>
      <w:r w:rsidR="008C1A4C">
        <w:t>and thus no need to adopt a POR to address market development issues</w:t>
      </w:r>
      <w:r>
        <w:t>.</w:t>
      </w:r>
    </w:p>
    <w:p w:rsidR="00D5402F" w:rsidRDefault="00D5402F" w:rsidP="00C619CE">
      <w:pPr>
        <w:pStyle w:val="DIRECTQUESTION0"/>
      </w:pPr>
    </w:p>
    <w:p w:rsidR="0056314D" w:rsidRDefault="00495D45" w:rsidP="00C619CE">
      <w:pPr>
        <w:pStyle w:val="DIRECTQUESTION0"/>
      </w:pPr>
      <w:r>
        <w:t>Q42.</w:t>
      </w:r>
      <w:r>
        <w:tab/>
      </w:r>
      <w:r w:rsidR="00C80298">
        <w:t xml:space="preserve">you state that a zero discount is not needed for the type of benefits listed qualitatively in mr. gabbard’s testimony.  however, wouldn’t </w:t>
      </w:r>
      <w:r w:rsidR="00BE754F">
        <w:t>A ZERO</w:t>
      </w:r>
      <w:r w:rsidR="00C80298">
        <w:t xml:space="preserve"> discount provide greater cres benefits than setting the discount equal to the bad debt rate, as you suggest?</w:t>
      </w:r>
    </w:p>
    <w:p w:rsidR="0056314D" w:rsidRDefault="008035C4" w:rsidP="00BC2113">
      <w:pPr>
        <w:pStyle w:val="DirectAnswer"/>
      </w:pPr>
      <w:r w:rsidRPr="008035C4">
        <w:rPr>
          <w:b/>
          <w:i/>
          <w:iCs/>
        </w:rPr>
        <w:t>A42.</w:t>
      </w:r>
      <w:r>
        <w:tab/>
      </w:r>
      <w:r w:rsidR="00985A47">
        <w:t>Yes.  B</w:t>
      </w:r>
      <w:r w:rsidR="0009028D">
        <w:t>ut those “benefits” would only be achieved through an</w:t>
      </w:r>
      <w:r w:rsidR="00C80298">
        <w:t xml:space="preserve"> AEP Ohio propos</w:t>
      </w:r>
      <w:r w:rsidR="0009028D">
        <w:t>al for</w:t>
      </w:r>
      <w:r w:rsidR="00C80298">
        <w:t xml:space="preserve"> an outright subsidy</w:t>
      </w:r>
      <w:r w:rsidR="0009028D">
        <w:t>,</w:t>
      </w:r>
      <w:r w:rsidR="00C80298">
        <w:t xml:space="preserve"> </w:t>
      </w:r>
      <w:r w:rsidR="0009028D">
        <w:t xml:space="preserve">plain and simple, </w:t>
      </w:r>
      <w:r w:rsidR="00C80298">
        <w:t>to the competitive retail market, to be paid for by utility customers.  As Mr. Gabbard correctly states, AEP Ohio is held harmless under its proposal.  Market logic and long-held experience dictate that subsidies to private suppliers induce greater supply as well as introducing the potential for market distortion.  Subsidies are contrary to the notion of freely-functioning competitive markets.  Indeed</w:t>
      </w:r>
      <w:r w:rsidR="00BE754F">
        <w:t xml:space="preserve"> in an extreme sense</w:t>
      </w:r>
      <w:r w:rsidR="00C80298">
        <w:t>, we could benefit and thereby promote CRES supplier activity even further by amending AEP Ohio’s POR proposal to provide payments of 110</w:t>
      </w:r>
      <w:r w:rsidR="00BE754F">
        <w:t xml:space="preserve"> </w:t>
      </w:r>
      <w:r w:rsidR="00C80298">
        <w:t>percent of billed receivables instead of just 100 percent.  AEP Ohio’s proposal provides an explicit subsidy to unregulated companies, and one that is arbitrary at that.</w:t>
      </w:r>
      <w:r w:rsidR="008C528A">
        <w:t xml:space="preserve">  Additionally, subsidies such as this are contrary to the policy of the stat</w:t>
      </w:r>
      <w:r w:rsidR="005D3D5C">
        <w:t>e set forth in R.C. 4928.02(H).</w:t>
      </w:r>
    </w:p>
    <w:p w:rsidR="00495D45" w:rsidRDefault="00495D45" w:rsidP="00495D45">
      <w:pPr>
        <w:pStyle w:val="DirectNext"/>
        <w:spacing w:line="480" w:lineRule="auto"/>
        <w:ind w:firstLine="0"/>
      </w:pPr>
    </w:p>
    <w:p w:rsidR="0056314D" w:rsidRDefault="00C80298" w:rsidP="00495D45">
      <w:pPr>
        <w:pStyle w:val="DirectNext"/>
        <w:spacing w:line="480" w:lineRule="auto"/>
        <w:ind w:firstLine="0"/>
      </w:pPr>
      <w:r>
        <w:t>I am not suggesting that subsidies to markets or suppliers can never be justified.  There can be both economic and noneconomic arguments for subsidies both for social policy reasons and/or to correct market distortions.</w:t>
      </w:r>
      <w:r>
        <w:rPr>
          <w:rStyle w:val="FootnoteReference"/>
        </w:rPr>
        <w:footnoteReference w:id="21"/>
      </w:r>
      <w:r>
        <w:t xml:space="preserve">  But such arguments must be supported with a convincing public interest analysis and fully justified.  The argument for a CRES supplier subsidy</w:t>
      </w:r>
      <w:r w:rsidR="008D0823">
        <w:t>, paid by customers,</w:t>
      </w:r>
      <w:r>
        <w:t xml:space="preserve"> has not been set forth by AEP Ohio and does not seem credible.</w:t>
      </w:r>
    </w:p>
    <w:p w:rsidR="00495D45" w:rsidRDefault="00495D45" w:rsidP="00495D45">
      <w:pPr>
        <w:pStyle w:val="DirectNext"/>
        <w:spacing w:line="480" w:lineRule="auto"/>
        <w:ind w:firstLine="0"/>
      </w:pPr>
    </w:p>
    <w:p w:rsidR="0056314D" w:rsidRDefault="00495D45" w:rsidP="00C619CE">
      <w:pPr>
        <w:pStyle w:val="DIRECTQUESTION0"/>
      </w:pPr>
      <w:r>
        <w:t>Q43.</w:t>
      </w:r>
      <w:r>
        <w:tab/>
      </w:r>
      <w:r w:rsidR="00C80298">
        <w:t>will customers be harmed by aep ohio’s p</w:t>
      </w:r>
      <w:r w:rsidR="00985A47">
        <w:t xml:space="preserve">urchase of receivables </w:t>
      </w:r>
      <w:r w:rsidR="00C80298">
        <w:t>program proposal?</w:t>
      </w:r>
    </w:p>
    <w:p w:rsidR="0056314D" w:rsidRDefault="008035C4" w:rsidP="00BC2113">
      <w:pPr>
        <w:pStyle w:val="DirectAnswer"/>
      </w:pPr>
      <w:r w:rsidRPr="008035C4">
        <w:rPr>
          <w:b/>
          <w:i/>
          <w:iCs/>
        </w:rPr>
        <w:t>A43.</w:t>
      </w:r>
      <w:r>
        <w:tab/>
      </w:r>
      <w:r w:rsidR="00C80298">
        <w:t>Yes, because customers must bear the actual bad debt expense (through the proposed bad debt expense rider)</w:t>
      </w:r>
      <w:r w:rsidR="00985A47">
        <w:t xml:space="preserve">.  This charge should be rendered to </w:t>
      </w:r>
      <w:r w:rsidR="00C80298">
        <w:t>a CRES supplier</w:t>
      </w:r>
      <w:r w:rsidR="00985A47">
        <w:t xml:space="preserve"> as a cost </w:t>
      </w:r>
      <w:r w:rsidR="00C80298">
        <w:t>of doing business.  A defender of the program might argue that competitive forces may lead CRES suppliers to reduce their price offers, thereby offsetting the customer-imposed cost of the bad debt rider.  But there is no proof this would occur</w:t>
      </w:r>
      <w:r w:rsidR="00B37464">
        <w:t>,</w:t>
      </w:r>
      <w:r w:rsidR="00C80298">
        <w:t xml:space="preserve"> and there is no </w:t>
      </w:r>
      <w:r w:rsidR="00C80298" w:rsidRPr="0034299F">
        <w:t>guarantee that would occur.</w:t>
      </w:r>
    </w:p>
    <w:p w:rsidR="00495D45" w:rsidRDefault="00495D45" w:rsidP="00495D45">
      <w:pPr>
        <w:pStyle w:val="DirectNext"/>
        <w:spacing w:line="480" w:lineRule="auto"/>
        <w:ind w:firstLine="0"/>
      </w:pPr>
    </w:p>
    <w:p w:rsidR="0056314D" w:rsidRDefault="00C80298" w:rsidP="00495D45">
      <w:pPr>
        <w:pStyle w:val="DirectNext"/>
        <w:spacing w:line="480" w:lineRule="auto"/>
        <w:ind w:firstLine="0"/>
      </w:pPr>
      <w:r>
        <w:t>This “no harm to customers” argument, however, assumes a fully developed competitive market where competition always drives price down to cost (inclusive of a competitively-required return).  But if this were the case, then a POR program of any kind could not be justified to “jump start the market,” let alone one with a large subsidy.</w:t>
      </w:r>
    </w:p>
    <w:p w:rsidR="00495D45" w:rsidRDefault="00495D45" w:rsidP="00495D45">
      <w:pPr>
        <w:pStyle w:val="DirectNext"/>
        <w:spacing w:line="480" w:lineRule="auto"/>
        <w:ind w:firstLine="0"/>
      </w:pPr>
    </w:p>
    <w:p w:rsidR="006E51C8" w:rsidRDefault="00C80298" w:rsidP="006E51C8">
      <w:pPr>
        <w:pStyle w:val="DirectNext"/>
        <w:spacing w:line="480" w:lineRule="auto"/>
        <w:ind w:firstLine="0"/>
      </w:pPr>
      <w:r>
        <w:t>More realistically, CRES suppliers serving the retail market understand that, at least at this time, most residential customers</w:t>
      </w:r>
      <w:r w:rsidR="008C528A">
        <w:t xml:space="preserve"> continue to </w:t>
      </w:r>
      <w:r>
        <w:t xml:space="preserve">take SSO generation service.  Consequently, to attract customers and increase market share, CRES suppliers must compete against the SSO (as well as each other) and therefore must offer a price that provides savings </w:t>
      </w:r>
      <w:r w:rsidR="00B37464">
        <w:t xml:space="preserve">relative </w:t>
      </w:r>
      <w:r>
        <w:t>to the SSO rate in order to attract and/or retain customers.  A POR program, with or without a subsidy in the discount rate, has no effect on the determination of the SSO price.</w:t>
      </w:r>
      <w:r>
        <w:rPr>
          <w:rStyle w:val="FootnoteReference"/>
        </w:rPr>
        <w:footnoteReference w:id="22"/>
      </w:r>
      <w:r>
        <w:t xml:space="preserve">  Consequently, there is no reason to be confident that CRES suppliers would reduce their price offers accordingly to flow through the bad debt expense subsidy paid by utility customers due to the AEP Ohio </w:t>
      </w:r>
      <w:r w:rsidR="000E51EC">
        <w:t xml:space="preserve">POR </w:t>
      </w:r>
      <w:r>
        <w:t>program.</w:t>
      </w:r>
      <w:r w:rsidR="006E51C8">
        <w:br w:type="page"/>
      </w:r>
    </w:p>
    <w:p w:rsidR="0056314D" w:rsidRDefault="00C80298" w:rsidP="00495D45">
      <w:pPr>
        <w:pStyle w:val="DirectNext"/>
        <w:spacing w:line="480" w:lineRule="auto"/>
        <w:ind w:firstLine="0"/>
      </w:pPr>
      <w:r>
        <w:t xml:space="preserve">The end result is an overall net increase in customer costs by the amount of the subsidy embedded in AEP Ohio’s proposed POR program and bad debt expense rider.  Moreover, this is not offset by witness Gabbard’s list of administrative convenience/streamlining qualitative benefits </w:t>
      </w:r>
      <w:r w:rsidR="007D4548">
        <w:t>because</w:t>
      </w:r>
      <w:r>
        <w:t xml:space="preserve"> those benefits appear to be attainable without the zero discount feature and Bad Debt Rider.</w:t>
      </w:r>
    </w:p>
    <w:p w:rsidR="00495D45" w:rsidRDefault="00495D45" w:rsidP="00495D45">
      <w:pPr>
        <w:pStyle w:val="DirectNext"/>
        <w:spacing w:line="480" w:lineRule="auto"/>
        <w:ind w:firstLine="0"/>
      </w:pPr>
    </w:p>
    <w:p w:rsidR="0056314D" w:rsidRDefault="00495D45" w:rsidP="00C619CE">
      <w:pPr>
        <w:pStyle w:val="DIRECTQUESTION0"/>
      </w:pPr>
      <w:r>
        <w:t>Q44.</w:t>
      </w:r>
      <w:r>
        <w:tab/>
      </w:r>
      <w:r w:rsidR="00C80298">
        <w:t>please summarize your position on aep ohio’s proposal concerning a por program.</w:t>
      </w:r>
    </w:p>
    <w:p w:rsidR="0056314D" w:rsidRDefault="008035C4" w:rsidP="00BC2113">
      <w:pPr>
        <w:pStyle w:val="DirectQuestion"/>
      </w:pPr>
      <w:r w:rsidRPr="008035C4">
        <w:rPr>
          <w:b/>
          <w:i/>
          <w:iCs/>
        </w:rPr>
        <w:t>A44.</w:t>
      </w:r>
      <w:r>
        <w:tab/>
      </w:r>
      <w:r w:rsidR="00C80298">
        <w:t>AEP Ohio has not shown the need or quantified any benefits for a POR program.  However, if the PUCO is inclined to approve such a program</w:t>
      </w:r>
      <w:r w:rsidR="007D4548">
        <w:t xml:space="preserve"> for AEP Ohio</w:t>
      </w:r>
      <w:r w:rsidR="00C80298">
        <w:t>:</w:t>
      </w:r>
    </w:p>
    <w:p w:rsidR="0056314D" w:rsidRDefault="007D4548" w:rsidP="005D3D5C">
      <w:pPr>
        <w:pStyle w:val="DirectQuestion"/>
        <w:numPr>
          <w:ilvl w:val="0"/>
          <w:numId w:val="45"/>
        </w:numPr>
        <w:ind w:left="2160" w:right="720" w:hanging="720"/>
      </w:pPr>
      <w:r>
        <w:t xml:space="preserve">It </w:t>
      </w:r>
      <w:r w:rsidR="00C80298">
        <w:t xml:space="preserve">should </w:t>
      </w:r>
      <w:r w:rsidR="002F7052">
        <w:t xml:space="preserve">protect customers from </w:t>
      </w:r>
      <w:r w:rsidR="00C80298">
        <w:t>subsidiz</w:t>
      </w:r>
      <w:r w:rsidR="002F7052">
        <w:t>ing</w:t>
      </w:r>
      <w:r w:rsidR="00C80298">
        <w:t xml:space="preserve"> CRES suppliers and</w:t>
      </w:r>
      <w:r w:rsidR="002F7052">
        <w:t xml:space="preserve"> it</w:t>
      </w:r>
      <w:r w:rsidR="00C80298">
        <w:t xml:space="preserve"> instead should reflect a discount rate that </w:t>
      </w:r>
      <w:r>
        <w:t>includes AEP Ohio’s</w:t>
      </w:r>
      <w:r w:rsidR="00C80298">
        <w:t xml:space="preserve"> actual or estimated bad debt expense, as periodically updated.</w:t>
      </w:r>
    </w:p>
    <w:p w:rsidR="0056314D" w:rsidRDefault="00C80298" w:rsidP="005D3D5C">
      <w:pPr>
        <w:pStyle w:val="DirectQuestion"/>
        <w:numPr>
          <w:ilvl w:val="0"/>
          <w:numId w:val="45"/>
        </w:numPr>
        <w:ind w:left="2160" w:right="720" w:hanging="720"/>
      </w:pPr>
      <w:r>
        <w:t>It need not, nor should it, impose on customers a Bad Debt Rider.</w:t>
      </w:r>
    </w:p>
    <w:p w:rsidR="0056314D" w:rsidRDefault="00C80298" w:rsidP="005D3D5C">
      <w:pPr>
        <w:pStyle w:val="DirectQuestion"/>
        <w:numPr>
          <w:ilvl w:val="0"/>
          <w:numId w:val="45"/>
        </w:numPr>
        <w:ind w:left="2160" w:right="720" w:hanging="720"/>
      </w:pPr>
      <w:r>
        <w:t xml:space="preserve">It should incorporate CRES supplier charges for POR program costs, as proposed by </w:t>
      </w:r>
      <w:r w:rsidR="007D4548">
        <w:t>AEP Ohio</w:t>
      </w:r>
      <w:r>
        <w:t>.</w:t>
      </w:r>
    </w:p>
    <w:p w:rsidR="00D5402F" w:rsidRPr="006E51C8" w:rsidRDefault="00C80298" w:rsidP="006E51C8">
      <w:pPr>
        <w:pStyle w:val="DirectQuestion"/>
        <w:numPr>
          <w:ilvl w:val="0"/>
          <w:numId w:val="45"/>
        </w:numPr>
        <w:ind w:left="2160" w:right="720" w:hanging="720"/>
        <w:rPr>
          <w:rFonts w:eastAsiaTheme="majorEastAsia" w:cs="Times New Roman"/>
          <w:b/>
          <w:szCs w:val="28"/>
        </w:rPr>
      </w:pPr>
      <w:r>
        <w:t>It should be “working capital neutral,” to the extent feasible.</w:t>
      </w:r>
      <w:bookmarkStart w:id="28" w:name="_Toc385584294"/>
      <w:r w:rsidR="00D5402F">
        <w:br w:type="page"/>
      </w:r>
    </w:p>
    <w:p w:rsidR="0056314D" w:rsidRDefault="005D3D5C" w:rsidP="00495D45">
      <w:pPr>
        <w:pStyle w:val="Heading1"/>
        <w:spacing w:after="0"/>
      </w:pPr>
      <w:bookmarkStart w:id="29" w:name="_Toc387147844"/>
      <w:r>
        <w:t>V.</w:t>
      </w:r>
      <w:r w:rsidR="00495D45">
        <w:tab/>
      </w:r>
      <w:r w:rsidR="00C80298">
        <w:t>THE SSO POWER PROCUREMENT AND PRICING</w:t>
      </w:r>
      <w:bookmarkEnd w:id="28"/>
      <w:bookmarkEnd w:id="29"/>
    </w:p>
    <w:p w:rsidR="00495D45" w:rsidRPr="00495D45" w:rsidRDefault="00495D45" w:rsidP="00495D45">
      <w:pPr>
        <w:spacing w:line="480" w:lineRule="auto"/>
      </w:pPr>
    </w:p>
    <w:p w:rsidR="0056314D" w:rsidRDefault="00C80298" w:rsidP="002D06EA">
      <w:pPr>
        <w:pStyle w:val="Heading2"/>
        <w:numPr>
          <w:ilvl w:val="0"/>
          <w:numId w:val="49"/>
        </w:numPr>
      </w:pPr>
      <w:bookmarkStart w:id="30" w:name="_Toc385584295"/>
      <w:bookmarkStart w:id="31" w:name="_Toc387147845"/>
      <w:r>
        <w:t>The S</w:t>
      </w:r>
      <w:r w:rsidR="007D4548">
        <w:t xml:space="preserve">tandard Service Offer </w:t>
      </w:r>
      <w:r>
        <w:t>Competitive Procurement Process</w:t>
      </w:r>
      <w:bookmarkEnd w:id="30"/>
      <w:bookmarkEnd w:id="31"/>
    </w:p>
    <w:p w:rsidR="00495D45" w:rsidRPr="00495D45" w:rsidRDefault="00495D45" w:rsidP="00495D45">
      <w:pPr>
        <w:pStyle w:val="ListParagraph"/>
        <w:spacing w:line="480" w:lineRule="auto"/>
        <w:ind w:left="1440"/>
      </w:pPr>
    </w:p>
    <w:p w:rsidR="0056314D" w:rsidRDefault="00495D45" w:rsidP="00C619CE">
      <w:pPr>
        <w:pStyle w:val="DIRECTQUESTION0"/>
      </w:pPr>
      <w:r>
        <w:t>Q45.</w:t>
      </w:r>
      <w:r>
        <w:tab/>
      </w:r>
      <w:r w:rsidR="00C80298">
        <w:t xml:space="preserve">HOW DOES THE UTILITY INTEND TO OBTAIN GENERATION SUPPLY TO SERVE ITS </w:t>
      </w:r>
      <w:r w:rsidR="007D4548">
        <w:t xml:space="preserve">standard service offer </w:t>
      </w:r>
      <w:r w:rsidR="00C80298">
        <w:t xml:space="preserve">LOAD? </w:t>
      </w:r>
    </w:p>
    <w:p w:rsidR="0056314D" w:rsidRDefault="008035C4" w:rsidP="005D3D5C">
      <w:pPr>
        <w:pStyle w:val="DirectAnswer"/>
      </w:pPr>
      <w:r w:rsidRPr="008035C4">
        <w:rPr>
          <w:b/>
          <w:i/>
          <w:iCs/>
        </w:rPr>
        <w:t>A45.</w:t>
      </w:r>
      <w:r>
        <w:tab/>
      </w:r>
      <w:r w:rsidR="00C80298">
        <w:t xml:space="preserve">Until recently, AEP Ohio operated as a vertically-integrated utility, supplying its SSO load from its owned generation, as well as energy from the wholesale market.  The PUCO has authorized AEP Ohio to transfer its generation resources to an unregulated affiliate, with the exception of the OVEC contract, as discussed by OCC witness Wilson. </w:t>
      </w:r>
      <w:r w:rsidR="00D12C92">
        <w:t xml:space="preserve"> It is my understanding that this authorized transfer has been completed.  </w:t>
      </w:r>
      <w:r w:rsidR="00C80298">
        <w:t xml:space="preserve">With this generation </w:t>
      </w:r>
      <w:r w:rsidR="00FB3FD5">
        <w:t>transfer</w:t>
      </w:r>
      <w:r w:rsidR="00C80298">
        <w:t xml:space="preserve">, the Utility now must acquire the generation supply from the wholesale market to meet its SSO load requirements.  While it is possible that AEP Ohio could use the retained OVEC contract to serve a portion of its </w:t>
      </w:r>
      <w:r w:rsidR="000E51EC">
        <w:t>SSO</w:t>
      </w:r>
      <w:r w:rsidR="00C80298">
        <w:t xml:space="preserve"> load, it proposes not to do so.  Instead, the Utility proposes to charge all its customers (shopping and </w:t>
      </w:r>
      <w:r w:rsidR="000E51EC">
        <w:t>SSO</w:t>
      </w:r>
      <w:r w:rsidR="00C80298">
        <w:t xml:space="preserve"> alike) for the OVEC contract costs, sell the delivered OVEC supply into the PJM spot markets, and credit the revenues back to customers to offset</w:t>
      </w:r>
      <w:r w:rsidR="00D12C92">
        <w:t xml:space="preserve"> the</w:t>
      </w:r>
      <w:r w:rsidR="00C80298">
        <w:t xml:space="preserve"> contract costs.</w:t>
      </w:r>
    </w:p>
    <w:p w:rsidR="005D3D5C" w:rsidRPr="005D3D5C" w:rsidRDefault="005D3D5C" w:rsidP="005D3D5C">
      <w:pPr>
        <w:pStyle w:val="DirectNext"/>
        <w:spacing w:line="480" w:lineRule="auto"/>
        <w:ind w:firstLine="0"/>
      </w:pPr>
    </w:p>
    <w:p w:rsidR="0056314D" w:rsidRDefault="00C80298" w:rsidP="005D3D5C">
      <w:pPr>
        <w:pStyle w:val="DirectNext"/>
        <w:spacing w:line="480" w:lineRule="auto"/>
        <w:ind w:firstLine="0"/>
      </w:pPr>
      <w:r>
        <w:t xml:space="preserve">The Utility proposes to use a competitive process to acquire the power supply required to serve the SSO load, as described in detail in the direct testimony of Utility witness Dr. LaCasse.  The proposed competitive process covers the entire three-year term of ESP III, June 2015 through May 2018, and involves six separate descending clock auctions spread out over three years.  The products to be procured under the </w:t>
      </w:r>
      <w:r w:rsidR="00745DCE">
        <w:t>auctions</w:t>
      </w:r>
      <w:r>
        <w:t xml:space="preserve"> are full requirements contracts (</w:t>
      </w:r>
      <w:r w:rsidR="00D12C92">
        <w:t>“</w:t>
      </w:r>
      <w:r>
        <w:t>FRCs</w:t>
      </w:r>
      <w:r w:rsidR="00D12C92">
        <w:t>”</w:t>
      </w:r>
      <w:r>
        <w:t>) with terms of one and two years.</w:t>
      </w:r>
    </w:p>
    <w:p w:rsidR="00495D45" w:rsidRDefault="00495D45" w:rsidP="00495D45">
      <w:pPr>
        <w:pStyle w:val="DirectNext"/>
        <w:spacing w:line="480" w:lineRule="auto"/>
        <w:ind w:firstLine="0"/>
      </w:pPr>
    </w:p>
    <w:p w:rsidR="0056314D" w:rsidRDefault="00495D45" w:rsidP="005E3D15">
      <w:pPr>
        <w:pStyle w:val="DIRECTQUESTION0"/>
      </w:pPr>
      <w:r>
        <w:t>Q46.</w:t>
      </w:r>
      <w:r>
        <w:tab/>
      </w:r>
      <w:r w:rsidR="00C80298">
        <w:t xml:space="preserve">is the competitive process described by dr. lacasse typical of </w:t>
      </w:r>
      <w:r w:rsidR="00D12C92">
        <w:t>those</w:t>
      </w:r>
      <w:r w:rsidR="00C80298">
        <w:t xml:space="preserve"> used by</w:t>
      </w:r>
      <w:r w:rsidR="008C528A">
        <w:t xml:space="preserve"> Electric distribution </w:t>
      </w:r>
      <w:r w:rsidR="00C80298">
        <w:t xml:space="preserve">utilities to provide </w:t>
      </w:r>
      <w:r w:rsidR="000E51EC">
        <w:t>SSO</w:t>
      </w:r>
      <w:r w:rsidR="00C80298">
        <w:t xml:space="preserve"> generation service?</w:t>
      </w:r>
    </w:p>
    <w:p w:rsidR="0056314D" w:rsidRDefault="008035C4" w:rsidP="00BC2113">
      <w:pPr>
        <w:pStyle w:val="DirectAnswer"/>
      </w:pPr>
      <w:r w:rsidRPr="008035C4">
        <w:rPr>
          <w:b/>
          <w:i/>
          <w:iCs/>
        </w:rPr>
        <w:t>A46.</w:t>
      </w:r>
      <w:r>
        <w:tab/>
      </w:r>
      <w:r w:rsidR="00C80298">
        <w:t xml:space="preserve">In general, yes, although the details can differ materially among utilities and states.  Utilities typically use </w:t>
      </w:r>
      <w:r w:rsidR="00745DCE">
        <w:t>auctions</w:t>
      </w:r>
      <w:r w:rsidR="00C80298">
        <w:t xml:space="preserve"> or sealed-bid RFPs to procure generation supply competitively from the wholesale market.  Regardless of which procurement method is used, wholesale supply is most often in the form of FRCs, that normally range in terms of one to three years.  Utilities also follow the practice of procuring power to fill the required supply portfolio at multiple points in time, rather than a single procurement (e.g., one </w:t>
      </w:r>
      <w:r w:rsidR="001D1E7B">
        <w:t>auction</w:t>
      </w:r>
      <w:r w:rsidR="00C80298">
        <w:t xml:space="preserve">) in order to avoid or mitigate market timing risk.  As noted, Dr. LaCasse proposes six separate </w:t>
      </w:r>
      <w:r w:rsidR="001D1E7B">
        <w:t>auctions</w:t>
      </w:r>
      <w:r w:rsidR="00C80298">
        <w:t>, two per year, to be conducted over three years.</w:t>
      </w:r>
    </w:p>
    <w:p w:rsidR="00D5402F" w:rsidRDefault="00D5402F" w:rsidP="00C619CE">
      <w:pPr>
        <w:pStyle w:val="DIRECTQUESTION0"/>
      </w:pPr>
    </w:p>
    <w:p w:rsidR="0056314D" w:rsidRDefault="00495D45" w:rsidP="00C619CE">
      <w:pPr>
        <w:pStyle w:val="DIRECTQUESTION0"/>
      </w:pPr>
      <w:r>
        <w:t>Q47.</w:t>
      </w:r>
      <w:r>
        <w:tab/>
      </w:r>
      <w:r w:rsidR="00C80298">
        <w:t>what are the main attributes of the DESCENDING CLOCK AUCTION?</w:t>
      </w:r>
    </w:p>
    <w:p w:rsidR="0056314D" w:rsidRDefault="008035C4" w:rsidP="005D3D5C">
      <w:pPr>
        <w:pStyle w:val="DirectAnswer"/>
      </w:pPr>
      <w:r w:rsidRPr="008035C4">
        <w:rPr>
          <w:b/>
          <w:i/>
          <w:iCs/>
        </w:rPr>
        <w:t>A47.</w:t>
      </w:r>
      <w:r>
        <w:tab/>
      </w:r>
      <w:r w:rsidR="00C80298">
        <w:t xml:space="preserve">Under the descending clock auction structure, the default load is divided into “tranches” that wholesale suppliers may bid to serve.  Each tranche is defined as a fixed percentage of AEP Ohio’s total </w:t>
      </w:r>
      <w:r w:rsidR="000E51EC">
        <w:t>SSO</w:t>
      </w:r>
      <w:r w:rsidR="00C80298">
        <w:t xml:space="preserve"> load at each hour of the contract term.  Dr. LaCasse suggests that the auction process will solicit service for 100 tranches, meaning that each tranche represents one percent of AEP Ohio’s total hourly </w:t>
      </w:r>
      <w:r w:rsidR="00AF3DC5">
        <w:t>SSO</w:t>
      </w:r>
      <w:r w:rsidR="00C80298">
        <w:t xml:space="preserve"> load.  If a supplier is awarded an FRC for ten tranches, for example, the supplier would be responsible for providing generation supply for 10 percent of the </w:t>
      </w:r>
      <w:r w:rsidR="000E51EC">
        <w:t>SSO</w:t>
      </w:r>
      <w:r w:rsidR="00C80298">
        <w:t xml:space="preserve"> load in every hour of the term of the FRC, regardless of the </w:t>
      </w:r>
      <w:r w:rsidR="00E44688">
        <w:t xml:space="preserve">actual </w:t>
      </w:r>
      <w:r w:rsidR="00C80298">
        <w:t xml:space="preserve">MW-size of the </w:t>
      </w:r>
      <w:r w:rsidR="00E44688">
        <w:t xml:space="preserve">SSO </w:t>
      </w:r>
      <w:r w:rsidR="00C80298">
        <w:t xml:space="preserve">load.  The wholesale supplier’s responsibility to serve load therefore will vary hourly in accordance with the “load shape” of </w:t>
      </w:r>
      <w:r w:rsidR="000E51EC">
        <w:t>SSO</w:t>
      </w:r>
      <w:r w:rsidR="00C80298">
        <w:t xml:space="preserve"> customers.  It can also change over time, i.e., over the term of the FRC, as power demands of </w:t>
      </w:r>
      <w:r w:rsidR="000E51EC">
        <w:t>SSO</w:t>
      </w:r>
      <w:r w:rsidR="00C80298">
        <w:t xml:space="preserve"> customers change with economic conditions, weather, and other factors.  More importantly, it also can change unpredictably with changes in the number of </w:t>
      </w:r>
      <w:r w:rsidR="000E51EC">
        <w:t>SSO</w:t>
      </w:r>
      <w:r w:rsidR="00C80298">
        <w:t xml:space="preserve"> customers, as customers migrate to or away from CRES providers.  In other words, once the firm requirements contracts are awarded, the winning </w:t>
      </w:r>
      <w:r w:rsidR="007D4548">
        <w:t>suppliers</w:t>
      </w:r>
      <w:r w:rsidR="00C80298">
        <w:t xml:space="preserve"> must accept all risks associated with changes in the total </w:t>
      </w:r>
      <w:r w:rsidR="000E51EC">
        <w:t>SSO</w:t>
      </w:r>
      <w:r w:rsidR="00C80298">
        <w:t xml:space="preserve"> load for the terms of those FRCs.  It is also important to note that FRCs are fixed price (in dollars-per-MWh) for the full contract term.  There are no price adjustments for changes in market conditions, and therefore, suppliers must manage this market risk.</w:t>
      </w:r>
    </w:p>
    <w:p w:rsidR="005D3D5C" w:rsidRPr="005D3D5C" w:rsidRDefault="005D3D5C" w:rsidP="005D3D5C">
      <w:pPr>
        <w:pStyle w:val="DirectNext"/>
        <w:spacing w:line="480" w:lineRule="auto"/>
        <w:ind w:firstLine="0"/>
      </w:pPr>
    </w:p>
    <w:p w:rsidR="0056314D" w:rsidRDefault="00C80298" w:rsidP="005D3D5C">
      <w:pPr>
        <w:pStyle w:val="DirectNext"/>
        <w:spacing w:line="480" w:lineRule="auto"/>
        <w:ind w:firstLine="0"/>
      </w:pPr>
      <w:r>
        <w:t>The supply contracts are referred to as “full requirements” because the supplier is required to provide all necessary generation products “including energy, capacity, ancillary services, and certain transmission services.”</w:t>
      </w:r>
      <w:r>
        <w:rPr>
          <w:rStyle w:val="FootnoteReference"/>
        </w:rPr>
        <w:footnoteReference w:id="23"/>
      </w:r>
      <w:r>
        <w:t xml:space="preserve">  The suppliers are also required to adhere to all PJM requirements.  Under the FRCs, suppliers are paid a single “bundled” dollar-per-MWh price for generation supply, based on the auction clearing price for a given product.  Suppliers are not paid separately (nor do they receive separate prices) for each individual generation product that they supply.  Each descending clock auction  will produce its own clearing price (or prices), and each product type (i.e., one- or two-year contract) within the same auction will have its own clearing price applicable to all winning </w:t>
      </w:r>
      <w:r w:rsidR="007D4548">
        <w:t>suppliers</w:t>
      </w:r>
      <w:r>
        <w:t xml:space="preserve"> in that auction.</w:t>
      </w:r>
    </w:p>
    <w:p w:rsidR="00495D45" w:rsidRDefault="00495D45" w:rsidP="00495D45">
      <w:pPr>
        <w:pStyle w:val="DirectNext"/>
        <w:spacing w:line="480" w:lineRule="auto"/>
        <w:ind w:firstLine="0"/>
      </w:pPr>
    </w:p>
    <w:p w:rsidR="0056314D" w:rsidRDefault="00495D45" w:rsidP="00C619CE">
      <w:pPr>
        <w:pStyle w:val="DIRECTQUESTION0"/>
      </w:pPr>
      <w:r>
        <w:t>Q48.</w:t>
      </w:r>
      <w:r>
        <w:tab/>
      </w:r>
      <w:r w:rsidR="00C80298">
        <w:t>does the f</w:t>
      </w:r>
      <w:r w:rsidR="007D4548">
        <w:t>ull requirements contract</w:t>
      </w:r>
      <w:r w:rsidR="00C80298">
        <w:t xml:space="preserve"> include all </w:t>
      </w:r>
      <w:r w:rsidR="007D4548">
        <w:t>necessary</w:t>
      </w:r>
      <w:r w:rsidR="00C80298">
        <w:t xml:space="preserve"> transmission?</w:t>
      </w:r>
    </w:p>
    <w:p w:rsidR="0056314D" w:rsidRDefault="008035C4" w:rsidP="00BC2113">
      <w:pPr>
        <w:pStyle w:val="DirectAnswer"/>
      </w:pPr>
      <w:r w:rsidRPr="008035C4">
        <w:rPr>
          <w:b/>
          <w:i/>
          <w:iCs/>
        </w:rPr>
        <w:t>A48.</w:t>
      </w:r>
      <w:r>
        <w:tab/>
      </w:r>
      <w:r w:rsidR="00C80298">
        <w:t>No.  As Dr. LaCasse states, it only includes certain PJM transmission components that a wholesale generation supplier in PJM would incur (such as administrative fees associated with the PJM administ</w:t>
      </w:r>
      <w:r w:rsidR="00EF5F05">
        <w:t>ered</w:t>
      </w:r>
      <w:r w:rsidR="00C80298">
        <w:t xml:space="preserve"> markets).  AEP Ohio will charge its customers for “non-market” transmission.  This is primarily the fixed costs (and related O&amp;M expenses) associated with the transmission facilities located in the AEP Ohio transmission zone.  The revenue requirements for these facilities are determined by PJM and approved by FERC under its cost of service regulation.  These Utility transmission charges are totally separate from the FRCs and the competitive process described by Dr. LaCasse.</w:t>
      </w:r>
    </w:p>
    <w:p w:rsidR="00D5402F" w:rsidRDefault="00D5402F" w:rsidP="00C619CE">
      <w:pPr>
        <w:pStyle w:val="DIRECTQUESTION0"/>
      </w:pPr>
    </w:p>
    <w:p w:rsidR="0056314D" w:rsidRDefault="00495D45" w:rsidP="00C619CE">
      <w:pPr>
        <w:pStyle w:val="DIRECTQUESTION0"/>
      </w:pPr>
      <w:r>
        <w:t>Q49.</w:t>
      </w:r>
      <w:r>
        <w:tab/>
      </w:r>
      <w:r w:rsidR="00C80298">
        <w:t xml:space="preserve">under dr. lacasse’s proposal, when will the </w:t>
      </w:r>
      <w:r w:rsidR="00E26D19">
        <w:t>AUCTIONS</w:t>
      </w:r>
      <w:r w:rsidR="00C80298">
        <w:t xml:space="preserve"> be conducted?</w:t>
      </w:r>
    </w:p>
    <w:p w:rsidR="0056314D" w:rsidRDefault="008035C4" w:rsidP="00BC2113">
      <w:pPr>
        <w:pStyle w:val="DirectAnswer"/>
      </w:pPr>
      <w:r w:rsidRPr="008035C4">
        <w:rPr>
          <w:b/>
          <w:i/>
          <w:iCs/>
        </w:rPr>
        <w:t>A49.</w:t>
      </w:r>
      <w:r>
        <w:tab/>
      </w:r>
      <w:r w:rsidR="00C80298">
        <w:t xml:space="preserve">As shown on Dr. LaCasse’s Exhibit CL-10, </w:t>
      </w:r>
      <w:r w:rsidR="001C1921">
        <w:t>auctions</w:t>
      </w:r>
      <w:r w:rsidR="00C80298">
        <w:t xml:space="preserve"> will be conducted in September and March of each year, beginning in September 2014, with the final </w:t>
      </w:r>
      <w:r w:rsidR="001C1921">
        <w:t>auction</w:t>
      </w:r>
      <w:r w:rsidR="00C80298">
        <w:t xml:space="preserve"> under ESP III in March 2017.  For example, the </w:t>
      </w:r>
      <w:r w:rsidR="001C1921">
        <w:t>auctions</w:t>
      </w:r>
      <w:r w:rsidR="00C80298">
        <w:t xml:space="preserve"> in September 2014 and March 2015 will provide 100 percent of supply for the first year of ESP III, which covers the June 1, 2015 to May 30, 2016 service year.</w:t>
      </w:r>
      <w:r w:rsidR="00E63532">
        <w:t xml:space="preserve"> </w:t>
      </w:r>
      <w:r w:rsidR="00C80298">
        <w:t xml:space="preserve"> These two </w:t>
      </w:r>
      <w:r w:rsidR="001C1921">
        <w:t>auctions</w:t>
      </w:r>
      <w:r w:rsidR="00C80298">
        <w:t xml:space="preserve"> will procure 100 percent of the required tranches for that year.</w:t>
      </w:r>
    </w:p>
    <w:p w:rsidR="00495D45" w:rsidRDefault="00495D45" w:rsidP="00495D45">
      <w:pPr>
        <w:pStyle w:val="DirectNext"/>
        <w:spacing w:line="480" w:lineRule="auto"/>
        <w:ind w:firstLine="0"/>
      </w:pPr>
    </w:p>
    <w:p w:rsidR="0056314D" w:rsidRDefault="00C80298" w:rsidP="00495D45">
      <w:pPr>
        <w:pStyle w:val="DirectNext"/>
        <w:spacing w:line="480" w:lineRule="auto"/>
        <w:ind w:firstLine="0"/>
      </w:pPr>
      <w:r>
        <w:t xml:space="preserve">Under the first two auctions, half the tranches procured will be one-year FRCs and half will be two-year firm requirement contracts.  This means that a portion of the </w:t>
      </w:r>
      <w:r w:rsidR="000E51EC">
        <w:t>SSO</w:t>
      </w:r>
      <w:r>
        <w:t xml:space="preserve"> load supply for year two of ESP III will be procured in those first two auctions.  Under Dr. LaCasse’s proposal, after the September 2014 and March 2015 </w:t>
      </w:r>
      <w:r w:rsidR="00694323">
        <w:t>auctions</w:t>
      </w:r>
      <w:r>
        <w:t xml:space="preserve">, all FRCs procured will have a term of one year.  This means that for the entire three-year time period as a whole, about one-third of </w:t>
      </w:r>
      <w:r w:rsidR="000E51EC">
        <w:t>SSO</w:t>
      </w:r>
      <w:r>
        <w:t xml:space="preserve"> load would be served under </w:t>
      </w:r>
      <w:r w:rsidR="00A16AD5">
        <w:t>two-y</w:t>
      </w:r>
      <w:r>
        <w:t xml:space="preserve">ear firm requirement contracts, and about two-thirds would be served under one-year contracts.  (The one-third is an estimate calculated as (50%+50%+0%)/3 = </w:t>
      </w:r>
      <w:r w:rsidR="00EF5F05">
        <w:t>3</w:t>
      </w:r>
      <w:r>
        <w:t>3%.)</w:t>
      </w:r>
      <w:r w:rsidR="002258A3">
        <w:rPr>
          <w:rStyle w:val="FootnoteReference"/>
        </w:rPr>
        <w:footnoteReference w:id="24"/>
      </w:r>
    </w:p>
    <w:p w:rsidR="00495D45" w:rsidRDefault="00495D45" w:rsidP="00495D45">
      <w:pPr>
        <w:pStyle w:val="DirectNext"/>
        <w:spacing w:line="480" w:lineRule="auto"/>
        <w:ind w:firstLine="0"/>
      </w:pPr>
    </w:p>
    <w:p w:rsidR="00E44688" w:rsidRDefault="00E44688" w:rsidP="00495D45">
      <w:pPr>
        <w:pStyle w:val="DirectNext"/>
        <w:spacing w:line="480" w:lineRule="auto"/>
        <w:ind w:firstLine="0"/>
      </w:pPr>
      <w:r>
        <w:t xml:space="preserve">While not addressed in its supporting testimony, AEP Ohio may be structuring SSO supply contracts in this way due to its proposed right to terminate ESP III after two years.  This also may be the reason for not including any three-year FRCs.  The implications of the </w:t>
      </w:r>
      <w:r w:rsidR="00EA3943">
        <w:t xml:space="preserve">proposed </w:t>
      </w:r>
      <w:r>
        <w:t xml:space="preserve">two-year termination </w:t>
      </w:r>
      <w:r w:rsidR="00EA3943">
        <w:t xml:space="preserve">might </w:t>
      </w:r>
      <w:r>
        <w:t>have not been explained.</w:t>
      </w:r>
    </w:p>
    <w:p w:rsidR="00F95A79" w:rsidRDefault="00F95A79" w:rsidP="00495D45">
      <w:pPr>
        <w:pStyle w:val="DirectNext"/>
        <w:spacing w:line="480" w:lineRule="auto"/>
        <w:ind w:firstLine="0"/>
      </w:pPr>
    </w:p>
    <w:p w:rsidR="0056314D" w:rsidRDefault="00495D45" w:rsidP="00C619CE">
      <w:pPr>
        <w:pStyle w:val="DIRECTQUESTION0"/>
      </w:pPr>
      <w:r>
        <w:t>Q50.</w:t>
      </w:r>
      <w:r>
        <w:tab/>
      </w:r>
      <w:r w:rsidR="00C80298">
        <w:t xml:space="preserve">dr. lacasse explains in her testimony that the proposed competitive bidding process framework meets the statutory requirements for an </w:t>
      </w:r>
      <w:r w:rsidR="007D4548">
        <w:t>Market rate offer</w:t>
      </w:r>
      <w:r w:rsidR="00C80298">
        <w:t>.  do you agree?</w:t>
      </w:r>
    </w:p>
    <w:p w:rsidR="0056314D" w:rsidRDefault="008035C4" w:rsidP="005E3D15">
      <w:pPr>
        <w:pStyle w:val="DirectAnswer"/>
      </w:pPr>
      <w:r w:rsidRPr="008035C4">
        <w:rPr>
          <w:b/>
          <w:i/>
          <w:iCs/>
        </w:rPr>
        <w:t>A50.</w:t>
      </w:r>
      <w:r>
        <w:tab/>
      </w:r>
      <w:r w:rsidR="00C80298">
        <w:t>I do not take issue with her assertion.  At page 6 of her testimony, she lists the various statutory criteria that apply to an MRO, and she states that her recommended procurement process meets all of those requirements.  In other words, the proposed ESP III would provide for SSO rates that are essentially the same as if AEP Ohio had only filed an MRO.  AEP Ohio witness Allen and the Utility’s responses to OCC INT-3-023 and OCC INT-3-024 concede the same point.  The response to OCC INT-3-023 states:</w:t>
      </w:r>
    </w:p>
    <w:p w:rsidR="0056314D" w:rsidRDefault="00C80298" w:rsidP="00E63532">
      <w:pPr>
        <w:pStyle w:val="DirectNext"/>
        <w:spacing w:line="480" w:lineRule="auto"/>
        <w:ind w:left="1440" w:right="720" w:firstLine="0"/>
      </w:pPr>
      <w:r>
        <w:t>“The Company does not believe that the procurement methods, procedures, and/or products would need to change under the adoption of an MRO versus the Company’s proposed ESP.”</w:t>
      </w:r>
    </w:p>
    <w:p w:rsidR="0056314D" w:rsidRDefault="00C80298" w:rsidP="005E3D15">
      <w:pPr>
        <w:pStyle w:val="DirectNext"/>
        <w:spacing w:line="480" w:lineRule="auto"/>
        <w:ind w:firstLine="0"/>
      </w:pPr>
      <w:r>
        <w:t>The response to OCC INT-3-024 states:</w:t>
      </w:r>
    </w:p>
    <w:p w:rsidR="00F95A79" w:rsidRDefault="00C80298" w:rsidP="00F95A79">
      <w:pPr>
        <w:pStyle w:val="DirectNext"/>
        <w:spacing w:line="480" w:lineRule="auto"/>
        <w:ind w:left="1440" w:right="720" w:firstLine="0"/>
      </w:pPr>
      <w:r>
        <w:t>“AEP Ohio’s retail charges for the generation component of SSO rates could be the same under an ESP or an MRO.”</w:t>
      </w:r>
      <w:r w:rsidR="00F95A79">
        <w:br w:type="page"/>
      </w:r>
    </w:p>
    <w:p w:rsidR="00B60316" w:rsidRDefault="00C80298" w:rsidP="00F95A79">
      <w:pPr>
        <w:pStyle w:val="DirectNext"/>
        <w:spacing w:line="480" w:lineRule="auto"/>
        <w:ind w:firstLine="0"/>
      </w:pPr>
      <w:r>
        <w:t>The conclusion is that the AEP Ohio ESP III proposal provides no identified benefits relative to SSO generation costs and rates over and above what an MRO would provide.</w:t>
      </w:r>
    </w:p>
    <w:p w:rsidR="00F95A79" w:rsidRDefault="00F95A79" w:rsidP="00F95A79">
      <w:pPr>
        <w:pStyle w:val="DirectNext"/>
        <w:spacing w:line="480" w:lineRule="auto"/>
        <w:ind w:firstLine="0"/>
        <w:rPr>
          <w:rFonts w:eastAsia="Calibri" w:cs="Arial"/>
          <w:b/>
          <w:i/>
          <w:caps/>
        </w:rPr>
      </w:pPr>
    </w:p>
    <w:p w:rsidR="0056314D" w:rsidRDefault="00495D45" w:rsidP="00C619CE">
      <w:pPr>
        <w:pStyle w:val="DIRECTQUESTION0"/>
      </w:pPr>
      <w:r>
        <w:t>Q51.</w:t>
      </w:r>
      <w:r>
        <w:tab/>
      </w:r>
      <w:r w:rsidR="00C80298">
        <w:t>do you disagree with any aspect of dr. lacasse’s procurement process?</w:t>
      </w:r>
    </w:p>
    <w:p w:rsidR="0056314D" w:rsidRDefault="008035C4" w:rsidP="00BC2113">
      <w:pPr>
        <w:pStyle w:val="DirectAnswer"/>
      </w:pPr>
      <w:r w:rsidRPr="008035C4">
        <w:rPr>
          <w:b/>
          <w:i/>
          <w:iCs/>
        </w:rPr>
        <w:t>A51.</w:t>
      </w:r>
      <w:r>
        <w:tab/>
      </w:r>
      <w:r w:rsidR="00C80298">
        <w:t>Yes.  While I believe the use of a mix of one-year and two-year firm requirement contracts is acceptable, I question the proposal to restrict the procurement of two-year contracts to the initial two auctions in September 2014 and March 2015.  For the remaining four auctions, the Utility proposes that 100 percent of procurement will be one-year firm requirement contracts.</w:t>
      </w:r>
    </w:p>
    <w:p w:rsidR="00495D45" w:rsidRPr="00495D45" w:rsidRDefault="00495D45" w:rsidP="00495D45">
      <w:pPr>
        <w:pStyle w:val="DirectNext"/>
        <w:spacing w:line="480" w:lineRule="auto"/>
      </w:pPr>
    </w:p>
    <w:p w:rsidR="0056314D" w:rsidRDefault="00495D45" w:rsidP="00C619CE">
      <w:pPr>
        <w:pStyle w:val="DIRECTQUESTION0"/>
      </w:pPr>
      <w:r>
        <w:t>Q52.</w:t>
      </w:r>
      <w:r>
        <w:tab/>
      </w:r>
      <w:r w:rsidR="00C80298">
        <w:t>has dr. lacasse provided any explanation for the disproportionate reliance on one-year fIRM REQUIREMENT CONTRACTS?</w:t>
      </w:r>
    </w:p>
    <w:p w:rsidR="00F95A79" w:rsidRDefault="008035C4" w:rsidP="00F95A79">
      <w:pPr>
        <w:pStyle w:val="DirectAnswer"/>
        <w:rPr>
          <w:b/>
          <w:i/>
          <w:caps/>
          <w:szCs w:val="24"/>
        </w:rPr>
      </w:pPr>
      <w:r w:rsidRPr="008035C4">
        <w:rPr>
          <w:b/>
          <w:i/>
          <w:iCs/>
        </w:rPr>
        <w:t>A52.</w:t>
      </w:r>
      <w:r>
        <w:tab/>
      </w:r>
      <w:r w:rsidR="00C80298">
        <w:t>OCC INT-3-031 questioned Dr. LaCasse on the proposed two-thirds/one-year, one-third/two-year contract mix.  The response merely states that such a portfolio meets the criteria of being easy to understand and being clearly defined.  It further states that it is responsive to potential market requirements (i.e., attractive to potential bidders) in that suppliers may have differing preferences concerning bidding to supply one-year versus two-year supply contracts.  She provides no further substantiation.</w:t>
      </w:r>
      <w:r w:rsidR="00F95A79">
        <w:br w:type="page"/>
      </w:r>
    </w:p>
    <w:p w:rsidR="0056314D" w:rsidRDefault="00495D45" w:rsidP="00C619CE">
      <w:pPr>
        <w:pStyle w:val="DIRECTQUESTION0"/>
      </w:pPr>
      <w:r>
        <w:t>Q53.</w:t>
      </w:r>
      <w:r>
        <w:tab/>
      </w:r>
      <w:r w:rsidR="00C80298">
        <w:t>is this explanation adequate?</w:t>
      </w:r>
    </w:p>
    <w:p w:rsidR="0056314D" w:rsidRDefault="008035C4" w:rsidP="00BC2113">
      <w:pPr>
        <w:pStyle w:val="DirectAnswer"/>
      </w:pPr>
      <w:r w:rsidRPr="008035C4">
        <w:rPr>
          <w:b/>
          <w:i/>
          <w:iCs/>
        </w:rPr>
        <w:t>A53.</w:t>
      </w:r>
      <w:r>
        <w:tab/>
      </w:r>
      <w:r w:rsidR="00C80298">
        <w:t xml:space="preserve">Not entirely.  I agree that her proposed supply portfolio is easy for suppliers to understand and solicits a well-defined product.  Moreover, I concur that encouraging bidder participation contributes to a better pricing outcome for customers and is a valid criteria for designing the bid process.  That said, her explanation does not substantiate having zero procurement of two-year contracts after the second auction (in March 2015), and having 100 percent of </w:t>
      </w:r>
      <w:r w:rsidR="000E51EC">
        <w:t>SSO</w:t>
      </w:r>
      <w:r w:rsidR="00C80298">
        <w:t xml:space="preserve"> supply in year three of the proposed ESP III from one-year contracts.  In other words, the proposal is unduly skewed toward one-year contracts, and therefore may not be consistent with the goal of max</w:t>
      </w:r>
      <w:r w:rsidR="00E63532">
        <w:t>imizing supplier participation.</w:t>
      </w:r>
    </w:p>
    <w:p w:rsidR="00495D45" w:rsidRPr="00495D45" w:rsidRDefault="00495D45" w:rsidP="00495D45">
      <w:pPr>
        <w:pStyle w:val="DirectNext"/>
        <w:spacing w:line="480" w:lineRule="auto"/>
      </w:pPr>
    </w:p>
    <w:p w:rsidR="0056314D" w:rsidRDefault="00495D45" w:rsidP="00C619CE">
      <w:pPr>
        <w:pStyle w:val="DIRECTQUESTION0"/>
      </w:pPr>
      <w:r>
        <w:t>Q54.</w:t>
      </w:r>
      <w:r>
        <w:tab/>
      </w:r>
      <w:r w:rsidR="00C80298">
        <w:t>are there any other disadvantages to the proposed portfolio?</w:t>
      </w:r>
    </w:p>
    <w:p w:rsidR="0056314D" w:rsidRDefault="008035C4" w:rsidP="00E63532">
      <w:pPr>
        <w:pStyle w:val="DirectAnswer"/>
      </w:pPr>
      <w:r w:rsidRPr="008035C4">
        <w:rPr>
          <w:b/>
          <w:i/>
          <w:iCs/>
        </w:rPr>
        <w:t>A54.</w:t>
      </w:r>
      <w:r>
        <w:tab/>
      </w:r>
      <w:r w:rsidR="00C80298">
        <w:t xml:space="preserve">Yes.  The portfolio design provides the potential for greater rate </w:t>
      </w:r>
      <w:r w:rsidR="00FB3FD5">
        <w:t>volatility</w:t>
      </w:r>
      <w:r w:rsidR="00C80298">
        <w:t xml:space="preserve"> than is necessary due to risks associated with market timing.</w:t>
      </w:r>
      <w:r w:rsidR="00FB3FD5">
        <w:t xml:space="preserve">  </w:t>
      </w:r>
      <w:r w:rsidR="00C80298">
        <w:t>Under the Utility’s proposal, 100</w:t>
      </w:r>
      <w:r w:rsidR="00E63532">
        <w:t xml:space="preserve"> </w:t>
      </w:r>
      <w:r w:rsidR="00C80298">
        <w:t xml:space="preserve">percent of the supply would be procured for year one (i.e., the 12 months ending May 2016) on two days that are only about six months apart.  This 100 percent procurement within a period of about six months is unavoidable at the outset of ESP III because AEP Ohio is transitioning away from self-supply to 100 percent market supply in its ESP III.  In year two of the ESP III, Dr. LaCasse mitigates potential rate </w:t>
      </w:r>
      <w:r w:rsidR="00FB3FD5">
        <w:t>volatility</w:t>
      </w:r>
      <w:r w:rsidR="00C80298">
        <w:t xml:space="preserve"> because 50 percent of supply for that year will be from two-year firm requirement contracts acquired during the September 2014 and March 2015 auctions.  That is, supply for year two will come from four auctions spread over about two years.  At the end of year two, however, all of the two-year FRCs will expire, and AEP Ohio again would procure 100 percent of SSO supply from one-year contracts in two auctions about six months apart.  Finally, all supply contracts expire on May 31, 2018, and there is no provision for any </w:t>
      </w:r>
      <w:r w:rsidR="000E51EC">
        <w:t>SSO</w:t>
      </w:r>
      <w:r w:rsidR="00C80298">
        <w:t xml:space="preserve"> supply at all after that date.  This means that after year three, it seems inevitable that 100 percent of </w:t>
      </w:r>
      <w:r w:rsidR="000E51EC">
        <w:t>SSO</w:t>
      </w:r>
      <w:r w:rsidR="00C80298">
        <w:t xml:space="preserve"> supply for service beginning June 1, 2018</w:t>
      </w:r>
      <w:r w:rsidR="008B6FC1">
        <w:t>,</w:t>
      </w:r>
      <w:r w:rsidR="00C80298">
        <w:t xml:space="preserve"> must be procured within a relatively short period of time, creating the potential for rate </w:t>
      </w:r>
      <w:r w:rsidR="00FB3FD5">
        <w:t>volatility</w:t>
      </w:r>
      <w:r w:rsidR="00E63532">
        <w:t>.</w:t>
      </w:r>
    </w:p>
    <w:p w:rsidR="00495D45" w:rsidRDefault="00495D45" w:rsidP="00495D45">
      <w:pPr>
        <w:pStyle w:val="DirectNext"/>
        <w:spacing w:line="480" w:lineRule="auto"/>
        <w:ind w:firstLine="0"/>
      </w:pPr>
    </w:p>
    <w:p w:rsidR="0056314D" w:rsidRDefault="00C80298" w:rsidP="00495D45">
      <w:pPr>
        <w:pStyle w:val="DirectNext"/>
        <w:spacing w:line="480" w:lineRule="auto"/>
        <w:ind w:firstLine="0"/>
      </w:pPr>
      <w:r>
        <w:t xml:space="preserve">This portfolio structure runs the risk of introducing more rate </w:t>
      </w:r>
      <w:r w:rsidR="00FB3FD5">
        <w:t>volatility</w:t>
      </w:r>
      <w:r>
        <w:t xml:space="preserve"> than necessary, a problem that can be mitigated by having overlapping, multi-year supply contracts.</w:t>
      </w:r>
    </w:p>
    <w:p w:rsidR="00495D45" w:rsidRDefault="00495D45" w:rsidP="00495D45">
      <w:pPr>
        <w:pStyle w:val="DirectNext"/>
        <w:spacing w:line="480" w:lineRule="auto"/>
        <w:ind w:firstLine="0"/>
      </w:pPr>
    </w:p>
    <w:p w:rsidR="0056314D" w:rsidRDefault="00495D45" w:rsidP="00C619CE">
      <w:pPr>
        <w:pStyle w:val="DIRECTQUESTION0"/>
      </w:pPr>
      <w:r>
        <w:t>Q55.</w:t>
      </w:r>
      <w:r>
        <w:tab/>
      </w:r>
      <w:r w:rsidR="00C80298">
        <w:t>have other jurisdictions addressed this issue?</w:t>
      </w:r>
    </w:p>
    <w:p w:rsidR="00AD4D9E" w:rsidRDefault="008035C4" w:rsidP="00AD4D9E">
      <w:pPr>
        <w:pStyle w:val="DirectAnswer"/>
        <w:rPr>
          <w:b/>
          <w:i/>
          <w:caps/>
          <w:szCs w:val="24"/>
        </w:rPr>
      </w:pPr>
      <w:r w:rsidRPr="008035C4">
        <w:rPr>
          <w:b/>
          <w:i/>
          <w:iCs/>
        </w:rPr>
        <w:t>A55.</w:t>
      </w:r>
      <w:r>
        <w:tab/>
      </w:r>
      <w:r w:rsidR="00C80298">
        <w:t xml:space="preserve">Yes.  Maryland procures two-year overlapping supply contracts for residential </w:t>
      </w:r>
      <w:r w:rsidR="00AF3DC5">
        <w:t>SSO</w:t>
      </w:r>
      <w:r w:rsidR="00C80298">
        <w:t xml:space="preserve"> load, with twice-per-year procurements.  Under this portfolio, 25 percent of tranches are procured under two-year firm requirement contracts in each semi-annual procurement.  New Jersey procures three-year overlapping supply contracts with one-third of tranches filled in each annual procurement as old contracts expire.  These overlapping contract arrangements </w:t>
      </w:r>
      <w:r w:rsidR="00FB3FD5">
        <w:t>lessen potential rate volatility.</w:t>
      </w:r>
      <w:r w:rsidR="00AD4D9E">
        <w:br w:type="page"/>
      </w:r>
    </w:p>
    <w:p w:rsidR="0056314D" w:rsidRDefault="00495D45" w:rsidP="00C619CE">
      <w:pPr>
        <w:pStyle w:val="DIRECTQUESTION0"/>
      </w:pPr>
      <w:r>
        <w:t>Q56.</w:t>
      </w:r>
      <w:r>
        <w:tab/>
      </w:r>
      <w:r w:rsidR="00C80298">
        <w:t xml:space="preserve">has the puco expressed interest in fostering </w:t>
      </w:r>
      <w:r w:rsidR="00FB3FD5">
        <w:t>less rate volatility</w:t>
      </w:r>
      <w:r w:rsidR="00C80298">
        <w:t>?</w:t>
      </w:r>
    </w:p>
    <w:p w:rsidR="00495D45" w:rsidRPr="00495D45" w:rsidRDefault="008035C4" w:rsidP="00BC2113">
      <w:pPr>
        <w:pStyle w:val="DirectAnswer"/>
      </w:pPr>
      <w:r w:rsidRPr="008035C4">
        <w:rPr>
          <w:b/>
          <w:i/>
          <w:iCs/>
        </w:rPr>
        <w:t>A56.</w:t>
      </w:r>
      <w:r>
        <w:tab/>
      </w:r>
      <w:r w:rsidR="00FB3FD5">
        <w:t xml:space="preserve">Yes.  </w:t>
      </w:r>
      <w:r w:rsidR="00C80298">
        <w:t>In its 2012 ESP decision for the FirstEnergy utilities, the PUCO emphasized the importance of “laddering of products to smooth generation rates and provide price stability.”</w:t>
      </w:r>
      <w:r w:rsidR="00C80298">
        <w:rPr>
          <w:rStyle w:val="FootnoteReference"/>
        </w:rPr>
        <w:footnoteReference w:id="25"/>
      </w:r>
    </w:p>
    <w:p w:rsidR="00D5402F" w:rsidRDefault="00D5402F" w:rsidP="00C619CE">
      <w:pPr>
        <w:pStyle w:val="DIRECTQUESTION0"/>
      </w:pPr>
    </w:p>
    <w:p w:rsidR="0056314D" w:rsidRDefault="00495D45" w:rsidP="00C619CE">
      <w:pPr>
        <w:pStyle w:val="DIRECTQUESTION0"/>
      </w:pPr>
      <w:r>
        <w:t>Q57.</w:t>
      </w:r>
      <w:r>
        <w:tab/>
      </w:r>
      <w:r w:rsidR="00C80298">
        <w:t>do you have a proposed modification?</w:t>
      </w:r>
    </w:p>
    <w:p w:rsidR="0056314D" w:rsidRDefault="008035C4" w:rsidP="006F2B9D">
      <w:pPr>
        <w:pStyle w:val="DirectAnswer"/>
      </w:pPr>
      <w:r w:rsidRPr="008035C4">
        <w:rPr>
          <w:b/>
          <w:i/>
          <w:iCs/>
        </w:rPr>
        <w:t>A57.</w:t>
      </w:r>
      <w:r>
        <w:tab/>
      </w:r>
      <w:r w:rsidR="00C80298">
        <w:t xml:space="preserve">Yes.  A very simple remedy that would produce a 50/50 mix of one- and two-year contracts would involve changing the procurement in the fifth and sixth auctions.  Instead of procuring 100 percent one-year contracts in those two auctions (for supply in year three of ESP III), the solicited products would be a 50/50 mix of one-year and two-year contracts.  This would result </w:t>
      </w:r>
      <w:r w:rsidR="00DB0E61">
        <w:t xml:space="preserve">in </w:t>
      </w:r>
      <w:r w:rsidR="00C80298">
        <w:t xml:space="preserve">a </w:t>
      </w:r>
      <w:r w:rsidR="00534E0F">
        <w:t>SSO</w:t>
      </w:r>
      <w:r w:rsidR="00C80298">
        <w:t xml:space="preserve"> load being served by a portfolio consisting of one- and two-year contracts in all three years of ESP III.  In addition, procuring two-year supply contracts in the last two auctions will provide contract overlap (and therefore</w:t>
      </w:r>
      <w:r w:rsidR="00FB3FD5">
        <w:t xml:space="preserve"> lessen the potential for </w:t>
      </w:r>
      <w:r w:rsidR="00C80298">
        <w:t xml:space="preserve">rate </w:t>
      </w:r>
      <w:r w:rsidR="00FB3FD5">
        <w:t>volatility</w:t>
      </w:r>
      <w:r w:rsidR="00C80298">
        <w:t>) for the post-May 31, 2018 time period.</w:t>
      </w:r>
    </w:p>
    <w:p w:rsidR="006F2B9D" w:rsidRPr="006F2B9D" w:rsidRDefault="006F2B9D" w:rsidP="006F2B9D">
      <w:pPr>
        <w:pStyle w:val="DirectNext"/>
        <w:spacing w:line="480" w:lineRule="auto"/>
        <w:ind w:firstLine="0"/>
      </w:pPr>
    </w:p>
    <w:p w:rsidR="0056314D" w:rsidRDefault="00C80298" w:rsidP="006F2B9D">
      <w:pPr>
        <w:pStyle w:val="DirectNext"/>
        <w:spacing w:line="480" w:lineRule="auto"/>
        <w:ind w:firstLine="0"/>
      </w:pPr>
      <w:r>
        <w:t xml:space="preserve">An alternative that the PUCO may wish to consider would be a 50/50 procurement mix of one- and two-year contracts in each of the six auctions.  This would certainly be feasible and would help address rate </w:t>
      </w:r>
      <w:r w:rsidR="00FB3FD5">
        <w:t>volatility</w:t>
      </w:r>
      <w:r>
        <w:t>.  It would also shift the portfolio to a greater than 50/50 weighting on two-year contracts.</w:t>
      </w:r>
    </w:p>
    <w:p w:rsidR="00F95A79" w:rsidRDefault="00F95A79" w:rsidP="006F2B9D">
      <w:pPr>
        <w:pStyle w:val="DirectNext"/>
        <w:spacing w:line="480" w:lineRule="auto"/>
        <w:ind w:firstLine="0"/>
      </w:pPr>
    </w:p>
    <w:p w:rsidR="0056314D" w:rsidRDefault="00C80298" w:rsidP="002D06EA">
      <w:pPr>
        <w:pStyle w:val="Heading2"/>
        <w:numPr>
          <w:ilvl w:val="0"/>
          <w:numId w:val="49"/>
        </w:numPr>
      </w:pPr>
      <w:bookmarkStart w:id="32" w:name="_Toc385584296"/>
      <w:bookmarkStart w:id="33" w:name="_Toc387147846"/>
      <w:r>
        <w:t>Determination of S</w:t>
      </w:r>
      <w:r w:rsidR="003310D8">
        <w:t xml:space="preserve">tandard Service Offer </w:t>
      </w:r>
      <w:r>
        <w:t>Generation Supply Prices</w:t>
      </w:r>
      <w:bookmarkEnd w:id="32"/>
      <w:bookmarkEnd w:id="33"/>
    </w:p>
    <w:p w:rsidR="00495D45" w:rsidRPr="00495D45" w:rsidRDefault="00495D45" w:rsidP="00495D45">
      <w:pPr>
        <w:spacing w:line="480" w:lineRule="auto"/>
      </w:pPr>
    </w:p>
    <w:p w:rsidR="0056314D" w:rsidRDefault="00495D45" w:rsidP="00C619CE">
      <w:pPr>
        <w:pStyle w:val="DIRECTQUESTION0"/>
      </w:pPr>
      <w:r>
        <w:t>Q58.</w:t>
      </w:r>
      <w:r>
        <w:tab/>
      </w:r>
      <w:r w:rsidR="00C80298">
        <w:t>does aep ohio propose to set retail rates for s</w:t>
      </w:r>
      <w:r w:rsidR="003310D8">
        <w:t>tandard service offer customers</w:t>
      </w:r>
      <w:r w:rsidR="00C80298">
        <w:t xml:space="preserve"> based on the blended costs of the fIRM REQUIREMENT CONTRACTS procured in the auctions?</w:t>
      </w:r>
    </w:p>
    <w:p w:rsidR="0056314D" w:rsidRDefault="008035C4" w:rsidP="00BC2113">
      <w:pPr>
        <w:pStyle w:val="DirectAnswer"/>
      </w:pPr>
      <w:r w:rsidRPr="008035C4">
        <w:rPr>
          <w:b/>
          <w:i/>
          <w:iCs/>
        </w:rPr>
        <w:t>A58.</w:t>
      </w:r>
      <w:r>
        <w:tab/>
      </w:r>
      <w:r w:rsidR="00C80298">
        <w:t>Yes</w:t>
      </w:r>
      <w:r w:rsidR="00C90821">
        <w:t xml:space="preserve"> it does</w:t>
      </w:r>
      <w:r w:rsidR="00C80298">
        <w:t>, with certain adjustments and with the rates reset annually to reflect the expiration of old wholesale contracts and the start of new wholesale contracts.  The pricing method also includes a dollar-for-dollar reconciliation charge to true-up the difference</w:t>
      </w:r>
      <w:r w:rsidR="004512A8">
        <w:t>s</w:t>
      </w:r>
      <w:r w:rsidR="00C80298">
        <w:t xml:space="preserve"> between supply costs incurred (including the expenses incurred in running the auctions) and customer revenues for SSO supply.  The adjustments and pricing methodology are described in the testimony of AEP Ohio witness Roush.</w:t>
      </w:r>
    </w:p>
    <w:p w:rsidR="00495D45" w:rsidRPr="00495D45" w:rsidRDefault="00495D45" w:rsidP="00495D45">
      <w:pPr>
        <w:pStyle w:val="DirectNext"/>
        <w:spacing w:line="480" w:lineRule="auto"/>
      </w:pPr>
    </w:p>
    <w:p w:rsidR="0056314D" w:rsidRDefault="00495D45" w:rsidP="00C619CE">
      <w:pPr>
        <w:pStyle w:val="DIRECTQUESTION0"/>
      </w:pPr>
      <w:r>
        <w:t>Q59.</w:t>
      </w:r>
      <w:r>
        <w:tab/>
      </w:r>
      <w:r w:rsidR="00C80298">
        <w:t xml:space="preserve">what are the adjustments set forth by </w:t>
      </w:r>
      <w:r w:rsidR="003310D8">
        <w:t>witness rous</w:t>
      </w:r>
      <w:r w:rsidR="00C80298">
        <w:t>h?</w:t>
      </w:r>
    </w:p>
    <w:p w:rsidR="0056314D" w:rsidRDefault="008035C4" w:rsidP="00BC2113">
      <w:pPr>
        <w:pStyle w:val="DirectAnswer"/>
      </w:pPr>
      <w:r w:rsidRPr="008035C4">
        <w:rPr>
          <w:b/>
          <w:i/>
          <w:iCs/>
        </w:rPr>
        <w:t>A59.</w:t>
      </w:r>
      <w:r>
        <w:tab/>
      </w:r>
      <w:r w:rsidR="00C80298">
        <w:t xml:space="preserve">There are three main adjustments to the wholesale blended FRC costs used to derive the customers’ </w:t>
      </w:r>
      <w:r w:rsidR="004512A8">
        <w:t xml:space="preserve">SSO retail </w:t>
      </w:r>
      <w:r w:rsidR="00C80298">
        <w:t>rates.  Line loss factors are applied to adjust (i.e., increase) the FRC costs from generator level to meter level.  The loss factor varies by customer class because very large customers, such as large industrials, take service at higher voltages.  Those large customers therefore have much lower loss factors.  Next, prices are adjusted for a tax factor, 1.00435, which is the same factor for each customer class.  Finally, Mr. Roush adjusts the power supply costs for each customer class based on imputing a capacity cost component of power supply.  The development of this adjustment is shown on his Exhibit DMR-2.</w:t>
      </w:r>
    </w:p>
    <w:p w:rsidR="00D5402F" w:rsidRDefault="00D5402F" w:rsidP="00C619CE">
      <w:pPr>
        <w:pStyle w:val="DIRECTQUESTION0"/>
      </w:pPr>
    </w:p>
    <w:p w:rsidR="0056314D" w:rsidRDefault="00495D45" w:rsidP="00C619CE">
      <w:pPr>
        <w:pStyle w:val="DIRECTQUESTION0"/>
      </w:pPr>
      <w:r>
        <w:t>Q60.</w:t>
      </w:r>
      <w:r>
        <w:tab/>
      </w:r>
      <w:r w:rsidR="00C80298">
        <w:t xml:space="preserve">please explain how </w:t>
      </w:r>
      <w:r w:rsidR="003310D8">
        <w:t>witness roush</w:t>
      </w:r>
      <w:r w:rsidR="00C80298">
        <w:t xml:space="preserve"> calculates this Third adjustment.</w:t>
      </w:r>
    </w:p>
    <w:p w:rsidR="00AD4D9E" w:rsidRDefault="008035C4" w:rsidP="00AD4D9E">
      <w:pPr>
        <w:pStyle w:val="DirectAnswer"/>
        <w:rPr>
          <w:rFonts w:eastAsia="Times New Roman" w:cs="Times New Roman"/>
          <w:szCs w:val="24"/>
        </w:rPr>
      </w:pPr>
      <w:r w:rsidRPr="008035C4">
        <w:rPr>
          <w:b/>
          <w:i/>
          <w:iCs/>
        </w:rPr>
        <w:t>A60.</w:t>
      </w:r>
      <w:r>
        <w:tab/>
      </w:r>
      <w:r w:rsidR="00C80298">
        <w:t xml:space="preserve">At the outset, it must be noted that his adjustment calculations are only illustrative because the pricing results from the planned </w:t>
      </w:r>
      <w:r w:rsidR="001E36CF">
        <w:t>auctions</w:t>
      </w:r>
      <w:r w:rsidR="00C80298">
        <w:t xml:space="preserve"> are not yet available.  Consequently, he has used the auction procurement prices obtained recently by another utility, Duke </w:t>
      </w:r>
      <w:r w:rsidR="00534E0F">
        <w:t xml:space="preserve">Energy </w:t>
      </w:r>
      <w:r w:rsidR="00C80298">
        <w:t>Ohio, as a proxy.  In addition, the SSO loads cannot be known and must be assumed, with AEP Ohio employing a volume of 17 million MWh per year, about 62 percent of that being residential.</w:t>
      </w:r>
      <w:r w:rsidR="00B15D58">
        <w:rPr>
          <w:rStyle w:val="FootnoteReference"/>
        </w:rPr>
        <w:footnoteReference w:id="26"/>
      </w:r>
      <w:r w:rsidR="00C80298">
        <w:t xml:space="preserve">  As I noted earlier, the competitively-procured FRCs merely produce a blended dollars-per-MWh wholesale price.  The supply contracts do not specify separate prices for the capacity, energy, and other generation subproducts.  Mr. Roush calculates an implicit cost of capacity component for those wholesale contracts based on published PJM RPM capacity auction results.  He converts that capacity price to a dollars-per-MWh value and subtracts that from the bundled and blended FRC price assumed to result from the planned DCAs.  This produces implied, unbundled energy and capacity prices expressed in dollars-per-MWh.</w:t>
      </w:r>
      <w:r w:rsidR="00AD4D9E">
        <w:br w:type="page"/>
      </w:r>
    </w:p>
    <w:p w:rsidR="0056314D" w:rsidRDefault="00C80298" w:rsidP="006F2B9D">
      <w:pPr>
        <w:pStyle w:val="DirectNext"/>
        <w:spacing w:line="480" w:lineRule="auto"/>
        <w:ind w:firstLine="0"/>
      </w:pPr>
      <w:r>
        <w:t xml:space="preserve">Mr. Roush’s next step is to determine what the implicit capacity price </w:t>
      </w:r>
      <w:r>
        <w:rPr>
          <w:b/>
        </w:rPr>
        <w:t>should be</w:t>
      </w:r>
      <w:r>
        <w:t xml:space="preserve"> for each customer class.  This is determined using customer class load factor data.  For example, for year one of the ESP III, Mr. Roush’s overall capacity price for </w:t>
      </w:r>
      <w:r w:rsidR="00534E0F">
        <w:t>SSO</w:t>
      </w:r>
      <w:r>
        <w:t xml:space="preserve"> load is $11.48 per MWh but $14.51 for the residential class.</w:t>
      </w:r>
      <w:r w:rsidR="00B15D58">
        <w:rPr>
          <w:rStyle w:val="FootnoteReference"/>
        </w:rPr>
        <w:footnoteReference w:id="27"/>
      </w:r>
      <w:r>
        <w:t xml:space="preserve">  While a roughly $3 per MWh differential may not sound like much, given the more than 10 million MWh per year of residential </w:t>
      </w:r>
      <w:r w:rsidR="00AF3DC5">
        <w:t>SSO</w:t>
      </w:r>
      <w:r>
        <w:t xml:space="preserve"> sales, this is a cost premium for the residential class of over $30</w:t>
      </w:r>
      <w:r w:rsidR="00AF3DC5">
        <w:t xml:space="preserve"> </w:t>
      </w:r>
      <w:r>
        <w:t>million for that one year.</w:t>
      </w:r>
    </w:p>
    <w:p w:rsidR="006F71F4" w:rsidRDefault="006F71F4" w:rsidP="006F71F4">
      <w:pPr>
        <w:pStyle w:val="DirectNext"/>
        <w:spacing w:line="480" w:lineRule="auto"/>
        <w:ind w:firstLine="0"/>
      </w:pPr>
    </w:p>
    <w:p w:rsidR="0056314D" w:rsidRDefault="006F71F4" w:rsidP="00C619CE">
      <w:pPr>
        <w:pStyle w:val="DIRECTQUESTION0"/>
      </w:pPr>
      <w:r>
        <w:t>Q61.</w:t>
      </w:r>
      <w:r>
        <w:tab/>
      </w:r>
      <w:r w:rsidR="00C80298">
        <w:t>what is the end result customer class pricing under mr. roush’s methodology?</w:t>
      </w:r>
    </w:p>
    <w:p w:rsidR="00AD4D9E" w:rsidRDefault="001B22D4" w:rsidP="00AD4D9E">
      <w:pPr>
        <w:pStyle w:val="DirectAnswer"/>
        <w:rPr>
          <w:b/>
          <w:i/>
          <w:caps/>
          <w:szCs w:val="24"/>
        </w:rPr>
      </w:pPr>
      <w:r w:rsidRPr="001B22D4">
        <w:rPr>
          <w:b/>
          <w:i/>
          <w:iCs/>
        </w:rPr>
        <w:t>A61.</w:t>
      </w:r>
      <w:r>
        <w:tab/>
      </w:r>
      <w:r w:rsidR="00C80298">
        <w:t>Accounting for all adjustments, his Exhibit DMR-2, page 4 of 4, shows a residential price of $56.20 per MWh</w:t>
      </w:r>
      <w:r w:rsidR="003310D8">
        <w:t xml:space="preserve">, </w:t>
      </w:r>
      <w:r w:rsidR="00C80298">
        <w:t xml:space="preserve">and a range of nonresidential customer class prices of $41.63 per MWh to $52.19 per MWh.  All of these prices are for year one of ESP III.  Using the data on his exhibit, I calculate an average </w:t>
      </w:r>
      <w:r w:rsidR="00AF3DC5">
        <w:t>SSO</w:t>
      </w:r>
      <w:r w:rsidR="00C80298">
        <w:t xml:space="preserve"> price for all classes combined of $53.37 and an average </w:t>
      </w:r>
      <w:r w:rsidR="00AF3DC5">
        <w:t>SSO</w:t>
      </w:r>
      <w:r w:rsidR="00C80298">
        <w:t xml:space="preserve"> price for the entire nonresidential </w:t>
      </w:r>
      <w:r w:rsidR="00AF3DC5">
        <w:t>SSO</w:t>
      </w:r>
      <w:r w:rsidR="00C80298">
        <w:t xml:space="preserve"> load of $48.74 per MWh.  Thus, the residential premium relative to the overall </w:t>
      </w:r>
      <w:r w:rsidR="00AF3DC5">
        <w:t>SSO</w:t>
      </w:r>
      <w:r w:rsidR="00C80298">
        <w:t xml:space="preserve"> price is about 5.3 percent, and the residential premium compared to the overall nonresidential </w:t>
      </w:r>
      <w:r w:rsidR="00AF3DC5">
        <w:t>SSO</w:t>
      </w:r>
      <w:r w:rsidR="00C80298">
        <w:t xml:space="preserve"> price is 15.3</w:t>
      </w:r>
      <w:r w:rsidR="00AF3DC5">
        <w:t xml:space="preserve"> </w:t>
      </w:r>
      <w:r w:rsidR="00C80298">
        <w:t>percent.</w:t>
      </w:r>
      <w:r w:rsidR="00AD4D9E">
        <w:br w:type="page"/>
      </w:r>
    </w:p>
    <w:p w:rsidR="0056314D" w:rsidRDefault="006F71F4" w:rsidP="00C619CE">
      <w:pPr>
        <w:pStyle w:val="DIRECTQUESTION0"/>
      </w:pPr>
      <w:r>
        <w:t>Q62.</w:t>
      </w:r>
      <w:r>
        <w:tab/>
      </w:r>
      <w:r w:rsidR="00C80298">
        <w:t>are these pricing differentials justified?</w:t>
      </w:r>
    </w:p>
    <w:p w:rsidR="0056314D" w:rsidRDefault="001B22D4" w:rsidP="00BC2113">
      <w:pPr>
        <w:pStyle w:val="DirectAnswer"/>
      </w:pPr>
      <w:r w:rsidRPr="001B22D4">
        <w:rPr>
          <w:b/>
          <w:i/>
          <w:iCs/>
        </w:rPr>
        <w:t>A62.</w:t>
      </w:r>
      <w:r>
        <w:tab/>
      </w:r>
      <w:r w:rsidR="00B15D58">
        <w:t>No</w:t>
      </w:r>
      <w:r w:rsidR="00C90821">
        <w:t xml:space="preserve">. </w:t>
      </w:r>
      <w:r w:rsidR="00B15D58">
        <w:t xml:space="preserve"> I disagree, in part, </w:t>
      </w:r>
      <w:r w:rsidR="00C80298">
        <w:t xml:space="preserve">with the procedure used.  I do not question pricing differentials associated with loss factors since that is a physical reality and is consistent with the FRC structure.  The wholesale suppliers under the FRCs are paid for their power supply deliveries effectively at the generation level, not the customer end-use meter level.  My disagreement is charging residential customers a price premium for their load factor (Mr. Roush’s capacity adjustment).  This is an administratively-determined cost allocation technique, and it is not a result of </w:t>
      </w:r>
      <w:r w:rsidR="00AF3DC5">
        <w:t xml:space="preserve">the </w:t>
      </w:r>
      <w:r w:rsidR="00C80298">
        <w:t>competitive procurement process.  That is, setting aside line losses, there is nothing in the behavior of the bidders for the wholesale FRCs that demonstrates that there must be a price pre</w:t>
      </w:r>
      <w:r w:rsidR="006F2B9D">
        <w:t>mium for residential customers.</w:t>
      </w:r>
    </w:p>
    <w:p w:rsidR="006F71F4" w:rsidRPr="006F71F4" w:rsidRDefault="006F71F4" w:rsidP="006F2B9D">
      <w:pPr>
        <w:pStyle w:val="DirectNext"/>
        <w:spacing w:line="480" w:lineRule="auto"/>
        <w:ind w:firstLine="0"/>
      </w:pPr>
    </w:p>
    <w:p w:rsidR="0056314D" w:rsidRDefault="006F71F4" w:rsidP="00C619CE">
      <w:pPr>
        <w:pStyle w:val="DIRECTQUESTION0"/>
      </w:pPr>
      <w:r>
        <w:t>Q63.</w:t>
      </w:r>
      <w:r>
        <w:tab/>
      </w:r>
      <w:r w:rsidR="00C80298">
        <w:t xml:space="preserve">are you stating that wholesale suppliers are indifferent to the customer mix of </w:t>
      </w:r>
      <w:r w:rsidR="00AF3DC5">
        <w:t>SSO</w:t>
      </w:r>
      <w:r w:rsidR="00C80298">
        <w:t xml:space="preserve"> load?</w:t>
      </w:r>
    </w:p>
    <w:p w:rsidR="0056314D" w:rsidRDefault="00C579C9" w:rsidP="00BC2113">
      <w:pPr>
        <w:pStyle w:val="DirectAnswer"/>
      </w:pPr>
      <w:r w:rsidRPr="00C579C9">
        <w:rPr>
          <w:b/>
          <w:i/>
          <w:iCs/>
        </w:rPr>
        <w:t>A63.</w:t>
      </w:r>
      <w:r>
        <w:tab/>
      </w:r>
      <w:r w:rsidR="00C80298">
        <w:t xml:space="preserve">No, that is not my position.  All else equal, </w:t>
      </w:r>
      <w:r w:rsidR="00C90821">
        <w:t xml:space="preserve">my view is that </w:t>
      </w:r>
      <w:r w:rsidR="00C80298">
        <w:t xml:space="preserve">the low load factor for the residential customer class may well merit a pricing premium as compared to a higher load factor.  The problem is with the “all else equal” assumption.  There are two other critically important factors that affect pricing that Mr. Roush has not considered in setting class-specific rates.  First, Dr. LaCasse discusses the importance of the size of the </w:t>
      </w:r>
      <w:r w:rsidR="00AF3DC5">
        <w:t>SSO</w:t>
      </w:r>
      <w:r w:rsidR="00C80298">
        <w:t xml:space="preserve"> load in the </w:t>
      </w:r>
      <w:r w:rsidR="001E36CF">
        <w:t>auction</w:t>
      </w:r>
      <w:r w:rsidR="00C80298">
        <w:t xml:space="preserve">, with a large load attracting more bidders and therefore, more competition.  Mr. Roush’s method provides no recognition for the fact that the residential load accounts for about 62 percent of the total </w:t>
      </w:r>
      <w:r w:rsidR="00AF3DC5">
        <w:t>SSO</w:t>
      </w:r>
      <w:r w:rsidR="00C80298">
        <w:t xml:space="preserve"> load.  Absent the residential class, the </w:t>
      </w:r>
      <w:r w:rsidR="001E36CF">
        <w:t>auctions</w:t>
      </w:r>
      <w:r w:rsidR="00C80298">
        <w:t xml:space="preserve"> would involve much smaller loads, and therefore may</w:t>
      </w:r>
      <w:r w:rsidR="006F2B9D">
        <w:t xml:space="preserve"> be less attractive to bidders.</w:t>
      </w:r>
    </w:p>
    <w:p w:rsidR="006F71F4" w:rsidRDefault="006F71F4" w:rsidP="006F71F4">
      <w:pPr>
        <w:pStyle w:val="DirectNext"/>
        <w:spacing w:line="480" w:lineRule="auto"/>
        <w:ind w:firstLine="0"/>
      </w:pPr>
    </w:p>
    <w:p w:rsidR="00AD4D9E" w:rsidRDefault="00C80298" w:rsidP="00AD4D9E">
      <w:pPr>
        <w:pStyle w:val="DirectNext"/>
        <w:spacing w:line="480" w:lineRule="auto"/>
        <w:ind w:firstLine="0"/>
        <w:rPr>
          <w:rFonts w:eastAsia="Calibri" w:cs="Arial"/>
          <w:b/>
          <w:i/>
          <w:caps/>
        </w:rPr>
      </w:pPr>
      <w:r>
        <w:t xml:space="preserve">A second, and even more important consideration is “migration risk,” which I have previously discussed.  The wholesale bidders are exposed to unpredictable load changes over the contract term due to customer migration to or from competitive service, and this is a very difficult risk to manage.  This risk inevitably will be priced into their bids in the </w:t>
      </w:r>
      <w:r w:rsidR="008772AB">
        <w:t>auctions</w:t>
      </w:r>
      <w:r>
        <w:t xml:space="preserve">.  While all customer classes are permitted to (and do) migrate, nonresidential customers generally have a greater tendency to shop and, in that sense, are more “market sensitive.”  Residential customers over time may also move to competitive service, but </w:t>
      </w:r>
      <w:r w:rsidR="00B15D58">
        <w:t>such movements do</w:t>
      </w:r>
      <w:r>
        <w:t xml:space="preserve"> not tend to be as abrupt.  For example, for AEP Ohio, the majority of residential load at this time remains on </w:t>
      </w:r>
      <w:r w:rsidR="00AF3DC5">
        <w:t xml:space="preserve">the </w:t>
      </w:r>
      <w:r>
        <w:t>standard service</w:t>
      </w:r>
      <w:r w:rsidR="00AF3DC5">
        <w:t xml:space="preserve"> offer</w:t>
      </w:r>
      <w:r>
        <w:t xml:space="preserve">.  All of this suggests that, with respect to </w:t>
      </w:r>
      <w:r w:rsidR="00AF3DC5">
        <w:t>SSO</w:t>
      </w:r>
      <w:r>
        <w:t xml:space="preserve"> load, wholesale suppliers may perceive less migration risk in serving the residential class.  Hence, all else is not equal, and Mr. Roush’s capacity adjustment price premium for residential customers may be contrary to wholesale market requirements under the FRC construct recommended by Dr. LaCasse.  At a minimum, there is no showing by AEP Ohio that wholesale bidders in the </w:t>
      </w:r>
      <w:r w:rsidR="008772AB">
        <w:t>auctions</w:t>
      </w:r>
      <w:r>
        <w:t xml:space="preserve"> require a price premium to serve the residential class.</w:t>
      </w:r>
      <w:r w:rsidR="00AD4D9E">
        <w:br w:type="page"/>
      </w:r>
    </w:p>
    <w:p w:rsidR="0056314D" w:rsidRDefault="006F71F4" w:rsidP="00C619CE">
      <w:pPr>
        <w:pStyle w:val="DIRECTQUESTION0"/>
      </w:pPr>
      <w:r>
        <w:t>Q64.</w:t>
      </w:r>
      <w:r>
        <w:tab/>
      </w:r>
      <w:r w:rsidR="00C80298">
        <w:t>given your observations, what do you recommend?</w:t>
      </w:r>
    </w:p>
    <w:p w:rsidR="0056314D" w:rsidRDefault="00C579C9" w:rsidP="005E3D15">
      <w:pPr>
        <w:pStyle w:val="DirectAnswer"/>
      </w:pPr>
      <w:r w:rsidRPr="00C579C9">
        <w:rPr>
          <w:b/>
          <w:i/>
          <w:iCs/>
        </w:rPr>
        <w:t>A64.</w:t>
      </w:r>
      <w:r>
        <w:tab/>
      </w:r>
      <w:r w:rsidR="00C80298">
        <w:t>There are two possible remedies to this unwarranted price premium</w:t>
      </w:r>
      <w:r w:rsidR="00E60C6C">
        <w:t xml:space="preserve"> that AEP Ohio proposes to charge to residential customers</w:t>
      </w:r>
      <w:r w:rsidR="00C80298">
        <w:t>.  The most straightforward solution would be</w:t>
      </w:r>
      <w:r w:rsidR="00B15D58">
        <w:t xml:space="preserve"> simply</w:t>
      </w:r>
      <w:r w:rsidR="00C80298">
        <w:t xml:space="preserve"> to not include the capacity adjustment in the customer class pricing since there is no showing that the market actually requires a price premium when risk factors are included.  This would reduce the residential price in year one by about $3 per </w:t>
      </w:r>
      <w:r w:rsidR="002545C0">
        <w:t>MWh, using Mr. Roush’s data</w:t>
      </w:r>
      <w:r w:rsidR="00C80298">
        <w:t>.</w:t>
      </w:r>
    </w:p>
    <w:p w:rsidR="005E3D15" w:rsidRPr="005E3D15" w:rsidRDefault="005E3D15" w:rsidP="005E3D15">
      <w:pPr>
        <w:pStyle w:val="DirectNext"/>
        <w:spacing w:line="480" w:lineRule="auto"/>
      </w:pPr>
    </w:p>
    <w:p w:rsidR="0056314D" w:rsidRDefault="00C80298" w:rsidP="005E3D15">
      <w:pPr>
        <w:pStyle w:val="DirectNext"/>
        <w:spacing w:line="480" w:lineRule="auto"/>
        <w:ind w:firstLine="0"/>
      </w:pPr>
      <w:r>
        <w:t>A market-based alternative would be to have a separate procurement for the residential class.  This would not require a separate residential auction, but rather the auction could be conducted in the normal manner but with separate residential and nonresidential products identified.  Bidders would then have the flexibility to submit bids for residential tranches and/or nonresidential tranches within the same auction.  There would be separate clearing prices for residential and nonresidential FRCs, which would obviate the need for Mr. Roush’s capacity adjustments.</w:t>
      </w:r>
    </w:p>
    <w:p w:rsidR="006F71F4" w:rsidRDefault="006F71F4" w:rsidP="006F71F4">
      <w:pPr>
        <w:pStyle w:val="DirectNext"/>
        <w:spacing w:line="480" w:lineRule="auto"/>
        <w:ind w:firstLine="0"/>
      </w:pPr>
    </w:p>
    <w:p w:rsidR="006F71F4" w:rsidRDefault="00C80298" w:rsidP="00AD4D9E">
      <w:pPr>
        <w:pStyle w:val="DirectNext"/>
        <w:spacing w:line="480" w:lineRule="auto"/>
        <w:ind w:firstLine="0"/>
      </w:pPr>
      <w:r>
        <w:t xml:space="preserve">I recognize this second, market-based alternative, while feasible, does introduce some complexity.  In part, this is because some of the nonresidential customer classes have relatively small </w:t>
      </w:r>
      <w:r w:rsidR="00AF3DC5">
        <w:t xml:space="preserve">SSO </w:t>
      </w:r>
      <w:r>
        <w:t>loads, which may diminish further over time with migration.  This raises a question as to whether there should be a single nonresidential product in the auction proc</w:t>
      </w:r>
      <w:r w:rsidR="006F2B9D">
        <w:t>ess or one for each class.</w:t>
      </w:r>
    </w:p>
    <w:p w:rsidR="0056314D" w:rsidRDefault="00C80298" w:rsidP="006F71F4">
      <w:pPr>
        <w:pStyle w:val="DirectNext"/>
        <w:spacing w:line="480" w:lineRule="auto"/>
        <w:ind w:firstLine="0"/>
      </w:pPr>
      <w:r>
        <w:t>At this time, I submit the simpler and more pragmatic recommendation of simply eliminating Mr. Roush’s capacity allocation</w:t>
      </w:r>
      <w:r w:rsidR="002545C0">
        <w:t xml:space="preserve"> pricing</w:t>
      </w:r>
      <w:r>
        <w:t xml:space="preserve"> adjustment.</w:t>
      </w:r>
    </w:p>
    <w:p w:rsidR="00743C7F" w:rsidRDefault="00743C7F" w:rsidP="006F71F4">
      <w:pPr>
        <w:pStyle w:val="DirectNext"/>
        <w:spacing w:line="480" w:lineRule="auto"/>
        <w:ind w:firstLine="0"/>
      </w:pPr>
    </w:p>
    <w:p w:rsidR="0056314D" w:rsidRDefault="006F71F4" w:rsidP="00C619CE">
      <w:pPr>
        <w:pStyle w:val="DIRECTQUESTION0"/>
      </w:pPr>
      <w:r>
        <w:t>Q65.</w:t>
      </w:r>
      <w:r>
        <w:tab/>
      </w:r>
      <w:r w:rsidR="00C80298">
        <w:t>does this conclude your direct testimony?</w:t>
      </w:r>
    </w:p>
    <w:p w:rsidR="0056314D" w:rsidRDefault="00C579C9" w:rsidP="00BC2113">
      <w:pPr>
        <w:pStyle w:val="DirectAnswer"/>
      </w:pPr>
      <w:r w:rsidRPr="00C579C9">
        <w:rPr>
          <w:b/>
          <w:i/>
          <w:iCs/>
        </w:rPr>
        <w:t>A65.</w:t>
      </w:r>
      <w:r>
        <w:tab/>
      </w:r>
      <w:r w:rsidR="00C80298">
        <w:t>Yes, it does.</w:t>
      </w:r>
    </w:p>
    <w:p w:rsidR="009055F3" w:rsidRDefault="009055F3" w:rsidP="009055F3">
      <w:pPr>
        <w:pStyle w:val="DirectNext"/>
        <w:suppressLineNumbers/>
      </w:pPr>
    </w:p>
    <w:p w:rsidR="009055F3" w:rsidRPr="009055F3" w:rsidRDefault="009055F3" w:rsidP="009055F3">
      <w:pPr>
        <w:pStyle w:val="DirectNext"/>
        <w:suppressLineNumbers/>
      </w:pPr>
    </w:p>
    <w:p w:rsidR="00743C7F" w:rsidRDefault="00743C7F" w:rsidP="009055F3">
      <w:pPr>
        <w:suppressLineNumbers/>
        <w:rPr>
          <w:rFonts w:cs="Times New Roman"/>
          <w:sz w:val="18"/>
        </w:rPr>
      </w:pPr>
    </w:p>
    <w:p w:rsidR="00743C7F" w:rsidRDefault="00743C7F" w:rsidP="009055F3">
      <w:pPr>
        <w:suppressLineNumbers/>
        <w:rPr>
          <w:rFonts w:cs="Times New Roman"/>
          <w:sz w:val="22"/>
        </w:rPr>
        <w:sectPr w:rsidR="00743C7F" w:rsidSect="00063733">
          <w:headerReference w:type="even" r:id="rId18"/>
          <w:headerReference w:type="default" r:id="rId19"/>
          <w:footerReference w:type="default" r:id="rId20"/>
          <w:headerReference w:type="first" r:id="rId21"/>
          <w:pgSz w:w="12240" w:h="15840"/>
          <w:pgMar w:top="1440" w:right="1800" w:bottom="1440" w:left="1800" w:header="720" w:footer="720" w:gutter="0"/>
          <w:lnNumType w:countBy="1"/>
          <w:pgNumType w:start="1"/>
          <w:cols w:space="720"/>
          <w:docGrid w:linePitch="360"/>
        </w:sectPr>
      </w:pPr>
    </w:p>
    <w:p w:rsidR="00743C7F" w:rsidRDefault="00743C7F" w:rsidP="00743C7F">
      <w:pPr>
        <w:spacing w:line="480" w:lineRule="auto"/>
        <w:ind w:right="-90"/>
        <w:jc w:val="center"/>
      </w:pPr>
      <w:r>
        <w:rPr>
          <w:b/>
          <w:u w:val="single"/>
        </w:rPr>
        <w:t>CERTIFICATE OF SERVICE</w:t>
      </w:r>
    </w:p>
    <w:p w:rsidR="00743C7F" w:rsidRDefault="00743C7F" w:rsidP="00C619CE">
      <w:pPr>
        <w:suppressAutoHyphens/>
        <w:spacing w:line="480" w:lineRule="auto"/>
        <w:ind w:right="-90" w:firstLine="720"/>
        <w:rPr>
          <w:bCs/>
          <w:spacing w:val="-3"/>
        </w:rPr>
      </w:pPr>
      <w:r>
        <w:rPr>
          <w:bCs/>
          <w:spacing w:val="-3"/>
        </w:rPr>
        <w:t xml:space="preserve">It is hereby certified that a true copy of the foregoing </w:t>
      </w:r>
      <w:r>
        <w:rPr>
          <w:bCs/>
          <w:i/>
          <w:spacing w:val="-3"/>
        </w:rPr>
        <w:t xml:space="preserve">Direct Testimony </w:t>
      </w:r>
      <w:r w:rsidRPr="00743C7F">
        <w:rPr>
          <w:bCs/>
          <w:i/>
          <w:spacing w:val="-3"/>
        </w:rPr>
        <w:t xml:space="preserve">of Matthew I. </w:t>
      </w:r>
      <w:r>
        <w:rPr>
          <w:bCs/>
          <w:i/>
          <w:spacing w:val="-3"/>
        </w:rPr>
        <w:t>K</w:t>
      </w:r>
      <w:r w:rsidRPr="00743C7F">
        <w:rPr>
          <w:bCs/>
          <w:i/>
          <w:spacing w:val="-3"/>
        </w:rPr>
        <w:t>ahal</w:t>
      </w:r>
      <w:r>
        <w:rPr>
          <w:bCs/>
          <w:i/>
          <w:spacing w:val="-3"/>
        </w:rPr>
        <w:t xml:space="preserve"> on Behalf of The </w:t>
      </w:r>
      <w:r>
        <w:rPr>
          <w:bCs/>
          <w:i/>
          <w:iCs/>
          <w:spacing w:val="-3"/>
        </w:rPr>
        <w:t>Ohio Consumers’ Counsel</w:t>
      </w:r>
      <w:r>
        <w:rPr>
          <w:bCs/>
          <w:spacing w:val="-3"/>
        </w:rPr>
        <w:t xml:space="preserve"> was served via electronic transmission this 6</w:t>
      </w:r>
      <w:r>
        <w:rPr>
          <w:bCs/>
          <w:spacing w:val="-3"/>
          <w:u w:val="single"/>
          <w:vertAlign w:val="superscript"/>
        </w:rPr>
        <w:t>th</w:t>
      </w:r>
      <w:r>
        <w:rPr>
          <w:bCs/>
          <w:spacing w:val="-3"/>
        </w:rPr>
        <w:t xml:space="preserve"> day of May 2014.</w:t>
      </w:r>
    </w:p>
    <w:p w:rsidR="00743C7F" w:rsidRDefault="00743C7F" w:rsidP="00743C7F">
      <w:pPr>
        <w:pStyle w:val="EndnoteText"/>
        <w:widowControl/>
        <w:tabs>
          <w:tab w:val="left" w:pos="-720"/>
        </w:tabs>
        <w:suppressAutoHyphens/>
        <w:ind w:right="-90"/>
        <w:rPr>
          <w:rFonts w:ascii="Times New Roman" w:hAnsi="Times New Roman"/>
          <w:bCs/>
          <w:snapToGrid/>
          <w:spacing w:val="-3"/>
          <w:szCs w:val="24"/>
        </w:rPr>
      </w:pPr>
    </w:p>
    <w:p w:rsidR="00743C7F" w:rsidRPr="00141CDD" w:rsidRDefault="00743C7F" w:rsidP="00743C7F">
      <w:pPr>
        <w:tabs>
          <w:tab w:val="left" w:pos="4320"/>
        </w:tabs>
        <w:ind w:right="-90"/>
        <w:rPr>
          <w:rFonts w:eastAsia="Calibri"/>
          <w:i/>
          <w:iCs/>
          <w:u w:val="single"/>
        </w:rPr>
      </w:pPr>
      <w:r>
        <w:rPr>
          <w:rFonts w:eastAsia="Calibri"/>
          <w:i/>
          <w:iCs/>
        </w:rPr>
        <w:tab/>
      </w:r>
      <w:r w:rsidRPr="00141CDD">
        <w:rPr>
          <w:rFonts w:eastAsia="Calibri"/>
          <w:i/>
          <w:iCs/>
        </w:rPr>
        <w:t xml:space="preserve"> </w:t>
      </w:r>
      <w:r w:rsidRPr="00141CDD">
        <w:rPr>
          <w:rFonts w:eastAsia="Calibri"/>
          <w:i/>
          <w:iCs/>
          <w:u w:val="single"/>
        </w:rPr>
        <w:t>/s/ Maureen R. Grady</w:t>
      </w:r>
      <w:r w:rsidRPr="00141CDD">
        <w:rPr>
          <w:rFonts w:eastAsia="Calibri"/>
          <w:i/>
          <w:iCs/>
          <w:u w:val="single"/>
        </w:rPr>
        <w:tab/>
      </w:r>
      <w:r w:rsidRPr="00141CDD">
        <w:rPr>
          <w:rFonts w:eastAsia="Calibri"/>
          <w:i/>
          <w:iCs/>
          <w:u w:val="single"/>
        </w:rPr>
        <w:tab/>
      </w:r>
    </w:p>
    <w:p w:rsidR="00743C7F" w:rsidRDefault="00743C7F" w:rsidP="00743C7F">
      <w:pPr>
        <w:pStyle w:val="EndnoteText"/>
        <w:widowControl/>
        <w:ind w:right="-90"/>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Maureen R. Grady</w:t>
      </w:r>
    </w:p>
    <w:p w:rsidR="00743C7F" w:rsidRDefault="00743C7F" w:rsidP="00743C7F">
      <w:pPr>
        <w:pStyle w:val="EndnoteText"/>
        <w:widowControl/>
        <w:ind w:right="-90"/>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Assistant Consumers’ Counsel</w:t>
      </w:r>
    </w:p>
    <w:p w:rsidR="00743C7F" w:rsidRDefault="00743C7F" w:rsidP="00743C7F">
      <w:pPr>
        <w:pStyle w:val="EndnoteText"/>
        <w:widowControl/>
        <w:ind w:right="-90"/>
        <w:rPr>
          <w:rFonts w:ascii="Times New Roman" w:hAnsi="Times New Roman"/>
          <w:bCs/>
          <w:snapToGrid/>
          <w:szCs w:val="24"/>
        </w:rPr>
      </w:pPr>
      <w:r>
        <w:rPr>
          <w:rFonts w:ascii="Times New Roman" w:hAnsi="Times New Roman"/>
          <w:bCs/>
          <w:snapToGrid/>
          <w:szCs w:val="24"/>
        </w:rPr>
        <w:tab/>
      </w:r>
      <w:r>
        <w:rPr>
          <w:rFonts w:ascii="Times New Roman" w:hAnsi="Times New Roman"/>
          <w:bCs/>
          <w:snapToGrid/>
          <w:szCs w:val="24"/>
        </w:rPr>
        <w:tab/>
      </w:r>
      <w:r>
        <w:rPr>
          <w:rFonts w:ascii="Times New Roman" w:hAnsi="Times New Roman"/>
          <w:bCs/>
          <w:snapToGrid/>
          <w:szCs w:val="24"/>
        </w:rPr>
        <w:tab/>
      </w:r>
      <w:r>
        <w:rPr>
          <w:rFonts w:ascii="Times New Roman" w:hAnsi="Times New Roman"/>
          <w:bCs/>
          <w:snapToGrid/>
          <w:szCs w:val="24"/>
        </w:rPr>
        <w:tab/>
      </w:r>
      <w:r>
        <w:rPr>
          <w:rFonts w:ascii="Times New Roman" w:hAnsi="Times New Roman"/>
          <w:bCs/>
          <w:snapToGrid/>
          <w:szCs w:val="24"/>
        </w:rPr>
        <w:tab/>
      </w:r>
      <w:r>
        <w:rPr>
          <w:rFonts w:ascii="Times New Roman" w:hAnsi="Times New Roman"/>
          <w:bCs/>
          <w:snapToGrid/>
          <w:szCs w:val="24"/>
        </w:rPr>
        <w:tab/>
      </w:r>
    </w:p>
    <w:p w:rsidR="00743C7F" w:rsidRDefault="00743C7F" w:rsidP="00743C7F">
      <w:pPr>
        <w:pStyle w:val="EndnoteText"/>
        <w:widowControl/>
        <w:ind w:right="-90"/>
        <w:jc w:val="center"/>
        <w:rPr>
          <w:rFonts w:ascii="Times New Roman" w:hAnsi="Times New Roman"/>
          <w:b/>
          <w:bCs/>
          <w:snapToGrid/>
          <w:szCs w:val="24"/>
        </w:rPr>
      </w:pPr>
      <w:r>
        <w:rPr>
          <w:rFonts w:ascii="Times New Roman" w:hAnsi="Times New Roman"/>
          <w:b/>
          <w:bCs/>
          <w:snapToGrid/>
          <w:szCs w:val="24"/>
        </w:rPr>
        <w:t>PARTIES OF RECORD</w:t>
      </w:r>
    </w:p>
    <w:p w:rsidR="00743C7F" w:rsidRDefault="00743C7F" w:rsidP="00743C7F">
      <w:pPr>
        <w:jc w:val="center"/>
        <w:rPr>
          <w:rFonts w:eastAsia="Calibri"/>
          <w:b/>
          <w:szCs w:val="24"/>
          <w:u w:val="single"/>
        </w:rPr>
      </w:pPr>
    </w:p>
    <w:tbl>
      <w:tblPr>
        <w:tblW w:w="0" w:type="auto"/>
        <w:jc w:val="center"/>
        <w:tblLook w:val="01E0" w:firstRow="1" w:lastRow="1" w:firstColumn="1" w:lastColumn="1" w:noHBand="0" w:noVBand="0"/>
      </w:tblPr>
      <w:tblGrid>
        <w:gridCol w:w="4428"/>
        <w:gridCol w:w="4428"/>
      </w:tblGrid>
      <w:tr w:rsidR="00C619CE" w:rsidRPr="00B671C0" w:rsidTr="00C579C9">
        <w:trPr>
          <w:jc w:val="center"/>
        </w:trPr>
        <w:tc>
          <w:tcPr>
            <w:tcW w:w="4428" w:type="dxa"/>
          </w:tcPr>
          <w:p w:rsidR="00C619CE" w:rsidRPr="00B671C0" w:rsidRDefault="00C619CE" w:rsidP="00C619CE">
            <w:pPr>
              <w:autoSpaceDE w:val="0"/>
              <w:autoSpaceDN w:val="0"/>
              <w:adjustRightInd w:val="0"/>
              <w:rPr>
                <w:rFonts w:eastAsia="Calibri"/>
                <w:bCs/>
                <w:szCs w:val="24"/>
              </w:rPr>
            </w:pPr>
            <w:r w:rsidRPr="00B671C0">
              <w:rPr>
                <w:rFonts w:eastAsia="Calibri"/>
                <w:bCs/>
                <w:color w:val="0000FF"/>
                <w:szCs w:val="24"/>
                <w:u w:val="single"/>
              </w:rPr>
              <w:t>Devin.parram@puc.state.oh.us</w:t>
            </w:r>
          </w:p>
          <w:p w:rsidR="00C619CE" w:rsidRPr="00B671C0" w:rsidRDefault="00C619CE" w:rsidP="00C619CE">
            <w:pPr>
              <w:autoSpaceDE w:val="0"/>
              <w:autoSpaceDN w:val="0"/>
              <w:adjustRightInd w:val="0"/>
              <w:rPr>
                <w:rFonts w:eastAsia="Calibri"/>
                <w:bCs/>
                <w:szCs w:val="24"/>
              </w:rPr>
            </w:pPr>
            <w:r w:rsidRPr="00B671C0">
              <w:rPr>
                <w:rFonts w:eastAsia="Calibri"/>
                <w:bCs/>
                <w:color w:val="0000FF"/>
                <w:szCs w:val="24"/>
                <w:u w:val="single"/>
              </w:rPr>
              <w:t>Katie.johnson@puc.state.oh.us</w:t>
            </w:r>
          </w:p>
          <w:p w:rsidR="00C619CE" w:rsidRPr="00B671C0" w:rsidRDefault="00C619CE" w:rsidP="00C619CE">
            <w:pPr>
              <w:autoSpaceDE w:val="0"/>
              <w:autoSpaceDN w:val="0"/>
              <w:adjustRightInd w:val="0"/>
              <w:rPr>
                <w:rFonts w:eastAsia="Calibri"/>
                <w:bCs/>
                <w:szCs w:val="24"/>
              </w:rPr>
            </w:pPr>
            <w:r w:rsidRPr="00B671C0">
              <w:rPr>
                <w:rFonts w:eastAsia="Calibri"/>
                <w:bCs/>
                <w:color w:val="0000FF"/>
                <w:szCs w:val="24"/>
                <w:u w:val="single"/>
              </w:rPr>
              <w:t>Werner.margard@puc.state.oh.us</w:t>
            </w:r>
          </w:p>
          <w:p w:rsidR="00C619CE" w:rsidRPr="00B671C0" w:rsidRDefault="00C619CE" w:rsidP="00C619CE">
            <w:pPr>
              <w:autoSpaceDE w:val="0"/>
              <w:autoSpaceDN w:val="0"/>
              <w:adjustRightInd w:val="0"/>
              <w:rPr>
                <w:rFonts w:eastAsia="Calibri"/>
                <w:szCs w:val="24"/>
              </w:rPr>
            </w:pPr>
            <w:r w:rsidRPr="00B671C0">
              <w:rPr>
                <w:rFonts w:eastAsia="Calibri"/>
                <w:color w:val="0000FF"/>
                <w:szCs w:val="24"/>
                <w:u w:val="single"/>
              </w:rPr>
              <w:t>sam@mwncmh.com</w:t>
            </w:r>
          </w:p>
          <w:p w:rsidR="00C619CE" w:rsidRPr="00B671C0" w:rsidRDefault="00C619CE" w:rsidP="00C619CE">
            <w:pPr>
              <w:autoSpaceDE w:val="0"/>
              <w:autoSpaceDN w:val="0"/>
              <w:adjustRightInd w:val="0"/>
              <w:rPr>
                <w:rFonts w:eastAsia="Calibri"/>
                <w:szCs w:val="24"/>
              </w:rPr>
            </w:pPr>
            <w:r w:rsidRPr="00B671C0">
              <w:rPr>
                <w:rFonts w:eastAsia="Calibri"/>
                <w:color w:val="0000FF"/>
                <w:szCs w:val="24"/>
                <w:u w:val="single"/>
              </w:rPr>
              <w:t>fdarr@mwncmh.com</w:t>
            </w:r>
          </w:p>
          <w:p w:rsidR="00C619CE" w:rsidRPr="00B671C0" w:rsidRDefault="00C619CE" w:rsidP="00C619CE">
            <w:pPr>
              <w:autoSpaceDE w:val="0"/>
              <w:autoSpaceDN w:val="0"/>
              <w:adjustRightInd w:val="0"/>
              <w:rPr>
                <w:rFonts w:eastAsia="Calibri"/>
                <w:szCs w:val="24"/>
              </w:rPr>
            </w:pPr>
            <w:r w:rsidRPr="00B671C0">
              <w:rPr>
                <w:rFonts w:eastAsia="Calibri"/>
                <w:color w:val="0000FF"/>
                <w:szCs w:val="24"/>
                <w:u w:val="single"/>
              </w:rPr>
              <w:t>mpritchard@mwncmh.com</w:t>
            </w:r>
          </w:p>
          <w:p w:rsidR="00C619CE" w:rsidRPr="00B671C0" w:rsidRDefault="00C619CE" w:rsidP="00C619CE">
            <w:pPr>
              <w:autoSpaceDE w:val="0"/>
              <w:autoSpaceDN w:val="0"/>
              <w:adjustRightInd w:val="0"/>
              <w:rPr>
                <w:rFonts w:eastAsia="Calibri"/>
                <w:color w:val="0000FF"/>
                <w:szCs w:val="24"/>
              </w:rPr>
            </w:pPr>
            <w:r w:rsidRPr="00B671C0">
              <w:rPr>
                <w:rFonts w:eastAsia="Calibri"/>
                <w:color w:val="0000FF"/>
                <w:szCs w:val="24"/>
                <w:u w:val="single"/>
              </w:rPr>
              <w:t>Philip.Sineneng@ThompsonHine.com</w:t>
            </w:r>
          </w:p>
          <w:p w:rsidR="00C619CE" w:rsidRPr="00B671C0" w:rsidRDefault="00C619CE" w:rsidP="00C619CE">
            <w:pPr>
              <w:autoSpaceDE w:val="0"/>
              <w:autoSpaceDN w:val="0"/>
              <w:adjustRightInd w:val="0"/>
              <w:rPr>
                <w:rFonts w:eastAsia="Calibri"/>
                <w:color w:val="0000FF"/>
                <w:szCs w:val="24"/>
              </w:rPr>
            </w:pPr>
            <w:r w:rsidRPr="00B671C0">
              <w:rPr>
                <w:rFonts w:eastAsia="Calibri"/>
                <w:color w:val="0000FF"/>
                <w:szCs w:val="24"/>
                <w:u w:val="single"/>
              </w:rPr>
              <w:t>ricks@ohanet.org</w:t>
            </w:r>
          </w:p>
          <w:p w:rsidR="00C619CE" w:rsidRPr="00B671C0" w:rsidRDefault="00C619CE" w:rsidP="00C619CE">
            <w:pPr>
              <w:autoSpaceDE w:val="0"/>
              <w:autoSpaceDN w:val="0"/>
              <w:adjustRightInd w:val="0"/>
              <w:rPr>
                <w:rFonts w:eastAsia="Calibri"/>
                <w:color w:val="0000FF"/>
                <w:szCs w:val="24"/>
              </w:rPr>
            </w:pPr>
            <w:r w:rsidRPr="00B671C0">
              <w:rPr>
                <w:rFonts w:eastAsia="Calibri"/>
                <w:color w:val="0000FF"/>
                <w:szCs w:val="24"/>
                <w:u w:val="single"/>
              </w:rPr>
              <w:t>tobrien@bricker.com</w:t>
            </w:r>
          </w:p>
          <w:p w:rsidR="00C619CE" w:rsidRPr="00B671C0" w:rsidRDefault="00C619CE" w:rsidP="00C619CE">
            <w:pPr>
              <w:autoSpaceDE w:val="0"/>
              <w:autoSpaceDN w:val="0"/>
              <w:adjustRightInd w:val="0"/>
              <w:rPr>
                <w:rFonts w:eastAsia="Calibri"/>
                <w:color w:val="0000FF"/>
                <w:szCs w:val="24"/>
              </w:rPr>
            </w:pPr>
            <w:r w:rsidRPr="00B671C0">
              <w:rPr>
                <w:rFonts w:eastAsia="Calibri"/>
                <w:color w:val="0000FF"/>
                <w:szCs w:val="24"/>
                <w:u w:val="single"/>
              </w:rPr>
              <w:t>dborchers@bricker.com</w:t>
            </w:r>
          </w:p>
          <w:p w:rsidR="00C619CE" w:rsidRPr="006A4507" w:rsidRDefault="00C619CE" w:rsidP="00C619CE">
            <w:pPr>
              <w:autoSpaceDE w:val="0"/>
              <w:autoSpaceDN w:val="0"/>
              <w:adjustRightInd w:val="0"/>
              <w:rPr>
                <w:rFonts w:eastAsia="Calibri"/>
                <w:color w:val="0000FF"/>
                <w:szCs w:val="24"/>
                <w:u w:val="single"/>
              </w:rPr>
            </w:pPr>
            <w:r w:rsidRPr="00DD2A58">
              <w:rPr>
                <w:rFonts w:eastAsia="Calibri"/>
                <w:szCs w:val="24"/>
              </w:rPr>
              <w:t>Rocco.dascenzo@duke-energy.com</w:t>
            </w:r>
          </w:p>
          <w:p w:rsidR="00C619CE" w:rsidRPr="006A4507" w:rsidRDefault="00C619CE" w:rsidP="00C619CE">
            <w:pPr>
              <w:autoSpaceDE w:val="0"/>
              <w:autoSpaceDN w:val="0"/>
              <w:adjustRightInd w:val="0"/>
              <w:rPr>
                <w:rFonts w:eastAsia="Calibri"/>
                <w:color w:val="0000FF"/>
                <w:szCs w:val="24"/>
                <w:u w:val="single"/>
              </w:rPr>
            </w:pPr>
            <w:r w:rsidRPr="00DD2A58">
              <w:rPr>
                <w:rFonts w:eastAsia="Calibri"/>
                <w:szCs w:val="24"/>
              </w:rPr>
              <w:t>Elizabeth.watts@duke-energy.com</w:t>
            </w:r>
          </w:p>
          <w:p w:rsidR="00C619CE" w:rsidRPr="006A4507" w:rsidRDefault="00C619CE" w:rsidP="00C619CE">
            <w:pPr>
              <w:autoSpaceDE w:val="0"/>
              <w:autoSpaceDN w:val="0"/>
              <w:adjustRightInd w:val="0"/>
              <w:rPr>
                <w:rFonts w:eastAsia="Calibri"/>
                <w:color w:val="0000FF"/>
                <w:szCs w:val="24"/>
              </w:rPr>
            </w:pPr>
            <w:r w:rsidRPr="006A4507">
              <w:rPr>
                <w:rFonts w:eastAsia="Calibri"/>
                <w:color w:val="0000FF"/>
                <w:szCs w:val="24"/>
                <w:u w:val="single"/>
              </w:rPr>
              <w:t>BarthRoyer@aol.com</w:t>
            </w:r>
          </w:p>
          <w:p w:rsidR="00C619CE" w:rsidRPr="006A4507" w:rsidRDefault="00C619CE" w:rsidP="00C619CE">
            <w:pPr>
              <w:autoSpaceDE w:val="0"/>
              <w:autoSpaceDN w:val="0"/>
              <w:adjustRightInd w:val="0"/>
              <w:rPr>
                <w:rFonts w:eastAsia="Calibri"/>
                <w:color w:val="0000FF"/>
                <w:szCs w:val="24"/>
              </w:rPr>
            </w:pPr>
            <w:r w:rsidRPr="006A4507">
              <w:rPr>
                <w:rFonts w:eastAsia="Calibri"/>
                <w:color w:val="0000FF"/>
                <w:szCs w:val="24"/>
                <w:u w:val="single"/>
              </w:rPr>
              <w:t>dboehm@BKLlawfirm.com</w:t>
            </w:r>
          </w:p>
          <w:p w:rsidR="00C619CE" w:rsidRPr="006A4507" w:rsidRDefault="00C619CE" w:rsidP="00C619CE">
            <w:pPr>
              <w:autoSpaceDE w:val="0"/>
              <w:autoSpaceDN w:val="0"/>
              <w:adjustRightInd w:val="0"/>
              <w:rPr>
                <w:rFonts w:eastAsia="Calibri"/>
                <w:color w:val="0000FF"/>
                <w:szCs w:val="24"/>
              </w:rPr>
            </w:pPr>
            <w:r w:rsidRPr="006A4507">
              <w:rPr>
                <w:rFonts w:eastAsia="Calibri"/>
                <w:color w:val="0000FF"/>
                <w:szCs w:val="24"/>
                <w:u w:val="single"/>
              </w:rPr>
              <w:t>mkurtz@BKLlawfirm.com</w:t>
            </w:r>
          </w:p>
          <w:p w:rsidR="00C619CE" w:rsidRPr="006A4507" w:rsidRDefault="00C619CE" w:rsidP="00C619CE">
            <w:pPr>
              <w:autoSpaceDE w:val="0"/>
              <w:autoSpaceDN w:val="0"/>
              <w:adjustRightInd w:val="0"/>
              <w:rPr>
                <w:rFonts w:eastAsia="Calibri"/>
                <w:color w:val="0000FF"/>
                <w:szCs w:val="24"/>
              </w:rPr>
            </w:pPr>
            <w:r w:rsidRPr="006A4507">
              <w:rPr>
                <w:rFonts w:eastAsia="Calibri"/>
                <w:color w:val="0000FF"/>
                <w:szCs w:val="24"/>
                <w:u w:val="single"/>
              </w:rPr>
              <w:t>jkylercohn@BKLlawfirm.com</w:t>
            </w:r>
          </w:p>
          <w:p w:rsidR="00C619CE" w:rsidRPr="006A4507" w:rsidRDefault="00C619CE" w:rsidP="00C619CE">
            <w:pPr>
              <w:autoSpaceDE w:val="0"/>
              <w:autoSpaceDN w:val="0"/>
              <w:adjustRightInd w:val="0"/>
              <w:rPr>
                <w:rFonts w:eastAsia="Calibri"/>
                <w:color w:val="0000FF"/>
                <w:szCs w:val="24"/>
              </w:rPr>
            </w:pPr>
            <w:r w:rsidRPr="006A4507">
              <w:rPr>
                <w:rFonts w:eastAsia="Calibri"/>
                <w:color w:val="0000FF"/>
                <w:szCs w:val="24"/>
                <w:u w:val="single"/>
              </w:rPr>
              <w:t>myurick@taftlaw.com</w:t>
            </w:r>
          </w:p>
          <w:p w:rsidR="00C619CE" w:rsidRPr="006A4507" w:rsidRDefault="00C619CE" w:rsidP="00C619CE">
            <w:pPr>
              <w:autoSpaceDE w:val="0"/>
              <w:autoSpaceDN w:val="0"/>
              <w:adjustRightInd w:val="0"/>
              <w:rPr>
                <w:rFonts w:eastAsia="Calibri"/>
                <w:color w:val="0000FF"/>
                <w:szCs w:val="24"/>
              </w:rPr>
            </w:pPr>
            <w:r w:rsidRPr="006A4507">
              <w:rPr>
                <w:rFonts w:eastAsia="Calibri"/>
                <w:color w:val="0000FF"/>
                <w:szCs w:val="24"/>
                <w:u w:val="single"/>
              </w:rPr>
              <w:t>zkravitz@taftlaw.com</w:t>
            </w:r>
          </w:p>
          <w:p w:rsidR="00C619CE" w:rsidRPr="006A4507" w:rsidRDefault="00C619CE" w:rsidP="00C619CE">
            <w:pPr>
              <w:autoSpaceDE w:val="0"/>
              <w:autoSpaceDN w:val="0"/>
              <w:adjustRightInd w:val="0"/>
              <w:rPr>
                <w:rFonts w:eastAsia="Calibri"/>
                <w:color w:val="0000FF"/>
                <w:szCs w:val="24"/>
                <w:u w:val="single"/>
              </w:rPr>
            </w:pPr>
            <w:r w:rsidRPr="006A4507">
              <w:rPr>
                <w:rFonts w:eastAsia="Calibri"/>
                <w:color w:val="0000FF"/>
                <w:szCs w:val="24"/>
                <w:u w:val="single"/>
              </w:rPr>
              <w:t>tdougherty@theOEC.org</w:t>
            </w:r>
          </w:p>
          <w:p w:rsidR="00C619CE" w:rsidRPr="006A4507" w:rsidRDefault="00C619CE" w:rsidP="00C619CE">
            <w:pPr>
              <w:autoSpaceDE w:val="0"/>
              <w:autoSpaceDN w:val="0"/>
              <w:adjustRightInd w:val="0"/>
              <w:rPr>
                <w:rFonts w:eastAsia="Calibri"/>
                <w:color w:val="0000FF"/>
                <w:szCs w:val="24"/>
                <w:u w:val="single"/>
              </w:rPr>
            </w:pPr>
            <w:r w:rsidRPr="006A4507">
              <w:rPr>
                <w:rFonts w:eastAsia="Calibri"/>
                <w:color w:val="0000FF"/>
                <w:szCs w:val="24"/>
                <w:u w:val="single"/>
              </w:rPr>
              <w:t>msmalz@ohiopovertylaw.org</w:t>
            </w:r>
          </w:p>
          <w:p w:rsidR="00C619CE" w:rsidRPr="006A4507" w:rsidRDefault="00C619CE" w:rsidP="00C619CE">
            <w:pPr>
              <w:autoSpaceDE w:val="0"/>
              <w:autoSpaceDN w:val="0"/>
              <w:adjustRightInd w:val="0"/>
              <w:rPr>
                <w:rFonts w:eastAsia="Calibri"/>
                <w:color w:val="0000FF"/>
                <w:szCs w:val="24"/>
                <w:u w:val="single"/>
              </w:rPr>
            </w:pPr>
            <w:r w:rsidRPr="006A4507">
              <w:rPr>
                <w:rFonts w:eastAsia="Calibri"/>
                <w:color w:val="0000FF"/>
                <w:szCs w:val="24"/>
                <w:u w:val="single"/>
              </w:rPr>
              <w:t>mhpetricoff@vorys.com</w:t>
            </w:r>
          </w:p>
          <w:p w:rsidR="00C619CE" w:rsidRPr="006A4507" w:rsidRDefault="00C619CE" w:rsidP="00C619CE">
            <w:pPr>
              <w:autoSpaceDE w:val="0"/>
              <w:autoSpaceDN w:val="0"/>
              <w:adjustRightInd w:val="0"/>
              <w:rPr>
                <w:color w:val="0000FF"/>
                <w:szCs w:val="24"/>
              </w:rPr>
            </w:pPr>
            <w:r w:rsidRPr="006A4507">
              <w:rPr>
                <w:rFonts w:eastAsia="Calibri"/>
                <w:color w:val="0000FF"/>
                <w:szCs w:val="24"/>
                <w:u w:val="single"/>
              </w:rPr>
              <w:t>glpetrucci@vorys.com</w:t>
            </w:r>
          </w:p>
          <w:p w:rsidR="00C619CE" w:rsidRPr="006A4507" w:rsidRDefault="00C619CE" w:rsidP="00C619CE">
            <w:pPr>
              <w:autoSpaceDE w:val="0"/>
              <w:autoSpaceDN w:val="0"/>
              <w:adjustRightInd w:val="0"/>
              <w:rPr>
                <w:rFonts w:eastAsia="Calibri"/>
                <w:color w:val="0000FF"/>
                <w:szCs w:val="24"/>
              </w:rPr>
            </w:pPr>
            <w:r w:rsidRPr="006A4507">
              <w:rPr>
                <w:rFonts w:eastAsia="Calibri"/>
                <w:color w:val="0000FF"/>
                <w:szCs w:val="24"/>
                <w:u w:val="single"/>
              </w:rPr>
              <w:t>Stephanie.Chmiel@ThompsonHine.com</w:t>
            </w:r>
          </w:p>
          <w:p w:rsidR="00C619CE" w:rsidRPr="006A4507" w:rsidRDefault="00C619CE" w:rsidP="00C619CE">
            <w:pPr>
              <w:autoSpaceDE w:val="0"/>
              <w:autoSpaceDN w:val="0"/>
              <w:adjustRightInd w:val="0"/>
              <w:rPr>
                <w:rFonts w:eastAsia="Calibri"/>
                <w:color w:val="0000FF"/>
                <w:szCs w:val="24"/>
                <w:u w:val="single"/>
              </w:rPr>
            </w:pPr>
            <w:r w:rsidRPr="006A4507">
              <w:rPr>
                <w:rFonts w:eastAsia="Calibri"/>
                <w:color w:val="0000FF"/>
                <w:szCs w:val="24"/>
                <w:u w:val="single"/>
              </w:rPr>
              <w:t>swilliams@nrdc.org</w:t>
            </w:r>
          </w:p>
          <w:p w:rsidR="00C619CE" w:rsidRPr="006A4507" w:rsidRDefault="00C619CE" w:rsidP="00C619CE">
            <w:pPr>
              <w:autoSpaceDE w:val="0"/>
              <w:autoSpaceDN w:val="0"/>
              <w:adjustRightInd w:val="0"/>
              <w:rPr>
                <w:rFonts w:eastAsia="Calibri"/>
                <w:color w:val="0000FF"/>
                <w:szCs w:val="24"/>
                <w:u w:val="single"/>
              </w:rPr>
            </w:pPr>
            <w:r w:rsidRPr="00DD2A58">
              <w:rPr>
                <w:rFonts w:eastAsia="Calibri"/>
                <w:szCs w:val="24"/>
              </w:rPr>
              <w:t>tsiwo@bricker.com</w:t>
            </w:r>
          </w:p>
          <w:p w:rsidR="00C619CE" w:rsidRDefault="00C619CE" w:rsidP="00C619CE">
            <w:pPr>
              <w:autoSpaceDE w:val="0"/>
              <w:autoSpaceDN w:val="0"/>
              <w:adjustRightInd w:val="0"/>
              <w:rPr>
                <w:rFonts w:eastAsia="Calibri"/>
                <w:color w:val="0000FF"/>
                <w:szCs w:val="24"/>
                <w:u w:val="single"/>
              </w:rPr>
            </w:pPr>
          </w:p>
          <w:p w:rsidR="00C619CE" w:rsidRPr="00477EEA" w:rsidRDefault="00C619CE" w:rsidP="00C619CE">
            <w:pPr>
              <w:autoSpaceDE w:val="0"/>
              <w:autoSpaceDN w:val="0"/>
              <w:adjustRightInd w:val="0"/>
              <w:rPr>
                <w:rFonts w:eastAsia="Calibri"/>
                <w:szCs w:val="24"/>
              </w:rPr>
            </w:pPr>
            <w:r w:rsidRPr="00477EEA">
              <w:rPr>
                <w:rFonts w:eastAsia="Calibri"/>
                <w:szCs w:val="24"/>
              </w:rPr>
              <w:t>Attorney Examiner:</w:t>
            </w:r>
          </w:p>
          <w:p w:rsidR="00C619CE" w:rsidRDefault="00C619CE" w:rsidP="00C619CE">
            <w:pPr>
              <w:autoSpaceDE w:val="0"/>
              <w:autoSpaceDN w:val="0"/>
              <w:adjustRightInd w:val="0"/>
              <w:rPr>
                <w:rFonts w:eastAsia="Calibri"/>
                <w:color w:val="0000FF"/>
                <w:szCs w:val="24"/>
                <w:u w:val="single"/>
              </w:rPr>
            </w:pPr>
          </w:p>
          <w:p w:rsidR="00C619CE" w:rsidRPr="006A4507" w:rsidRDefault="00C619CE" w:rsidP="00C619CE">
            <w:pPr>
              <w:autoSpaceDE w:val="0"/>
              <w:autoSpaceDN w:val="0"/>
              <w:adjustRightInd w:val="0"/>
              <w:rPr>
                <w:rFonts w:eastAsia="Calibri"/>
                <w:color w:val="0000FF"/>
                <w:szCs w:val="24"/>
                <w:u w:val="single"/>
              </w:rPr>
            </w:pPr>
            <w:r w:rsidRPr="00DD2A58">
              <w:rPr>
                <w:rFonts w:eastAsia="Calibri"/>
                <w:szCs w:val="24"/>
              </w:rPr>
              <w:t>Sarah.parrot@puc.state.oh.us</w:t>
            </w:r>
          </w:p>
          <w:p w:rsidR="00C619CE" w:rsidRPr="00B671C0" w:rsidRDefault="00C619CE" w:rsidP="00C619CE">
            <w:pPr>
              <w:autoSpaceDE w:val="0"/>
              <w:autoSpaceDN w:val="0"/>
              <w:adjustRightInd w:val="0"/>
              <w:rPr>
                <w:rFonts w:eastAsia="Calibri"/>
                <w:bCs/>
                <w:szCs w:val="24"/>
              </w:rPr>
            </w:pPr>
          </w:p>
        </w:tc>
        <w:tc>
          <w:tcPr>
            <w:tcW w:w="4428" w:type="dxa"/>
          </w:tcPr>
          <w:p w:rsidR="00C619CE" w:rsidRPr="00B671C0" w:rsidRDefault="00C619CE" w:rsidP="00C619CE">
            <w:pPr>
              <w:autoSpaceDE w:val="0"/>
              <w:autoSpaceDN w:val="0"/>
              <w:adjustRightInd w:val="0"/>
              <w:rPr>
                <w:rFonts w:eastAsia="Calibri"/>
                <w:szCs w:val="24"/>
              </w:rPr>
            </w:pPr>
            <w:r w:rsidRPr="00B671C0">
              <w:rPr>
                <w:rFonts w:eastAsia="Calibri"/>
                <w:color w:val="0000FF"/>
                <w:szCs w:val="24"/>
                <w:u w:val="single"/>
              </w:rPr>
              <w:t>stnourse@aep.com</w:t>
            </w:r>
          </w:p>
          <w:p w:rsidR="00C619CE" w:rsidRPr="00B671C0" w:rsidRDefault="00C619CE" w:rsidP="00C619CE">
            <w:pPr>
              <w:autoSpaceDE w:val="0"/>
              <w:autoSpaceDN w:val="0"/>
              <w:adjustRightInd w:val="0"/>
              <w:rPr>
                <w:rFonts w:eastAsia="Calibri"/>
                <w:szCs w:val="24"/>
              </w:rPr>
            </w:pPr>
            <w:r w:rsidRPr="00B671C0">
              <w:rPr>
                <w:rFonts w:eastAsia="Calibri"/>
                <w:color w:val="0000FF"/>
                <w:szCs w:val="24"/>
                <w:u w:val="single"/>
              </w:rPr>
              <w:t>mjsatterwhite@aep.com</w:t>
            </w:r>
          </w:p>
          <w:p w:rsidR="00C619CE" w:rsidRPr="00B671C0" w:rsidRDefault="00C619CE" w:rsidP="00C619CE">
            <w:pPr>
              <w:autoSpaceDE w:val="0"/>
              <w:autoSpaceDN w:val="0"/>
              <w:adjustRightInd w:val="0"/>
              <w:rPr>
                <w:rFonts w:eastAsia="Calibri"/>
                <w:szCs w:val="24"/>
              </w:rPr>
            </w:pPr>
            <w:r w:rsidRPr="00B671C0">
              <w:rPr>
                <w:rFonts w:eastAsia="Calibri"/>
                <w:color w:val="0000FF"/>
                <w:szCs w:val="24"/>
                <w:u w:val="single"/>
              </w:rPr>
              <w:t>dconway@porterwright.com</w:t>
            </w:r>
          </w:p>
          <w:p w:rsidR="00C619CE" w:rsidRPr="00B671C0" w:rsidRDefault="00C619CE" w:rsidP="00C619CE">
            <w:pPr>
              <w:autoSpaceDE w:val="0"/>
              <w:autoSpaceDN w:val="0"/>
              <w:adjustRightInd w:val="0"/>
              <w:rPr>
                <w:rFonts w:eastAsia="Calibri"/>
                <w:szCs w:val="24"/>
              </w:rPr>
            </w:pPr>
            <w:r w:rsidRPr="00B671C0">
              <w:rPr>
                <w:rFonts w:eastAsia="Calibri"/>
                <w:color w:val="0000FF"/>
                <w:szCs w:val="24"/>
                <w:u w:val="single"/>
              </w:rPr>
              <w:t>Bojko@carpenterlipps.com</w:t>
            </w:r>
          </w:p>
          <w:p w:rsidR="00C619CE" w:rsidRPr="00B671C0" w:rsidRDefault="00C619CE" w:rsidP="00C619CE">
            <w:pPr>
              <w:rPr>
                <w:color w:val="0000FF"/>
                <w:szCs w:val="24"/>
                <w:u w:val="single"/>
              </w:rPr>
            </w:pPr>
            <w:r w:rsidRPr="00B671C0">
              <w:rPr>
                <w:rFonts w:eastAsia="Calibri"/>
                <w:color w:val="0000FF"/>
                <w:szCs w:val="24"/>
                <w:u w:val="single"/>
              </w:rPr>
              <w:t>Mohler@carpenterlipps.com</w:t>
            </w:r>
          </w:p>
          <w:p w:rsidR="00C619CE" w:rsidRPr="00B671C0" w:rsidRDefault="00C619CE" w:rsidP="00C619CE">
            <w:pPr>
              <w:autoSpaceDE w:val="0"/>
              <w:autoSpaceDN w:val="0"/>
              <w:adjustRightInd w:val="0"/>
              <w:rPr>
                <w:rFonts w:eastAsia="Calibri"/>
                <w:color w:val="0000FF"/>
                <w:szCs w:val="24"/>
              </w:rPr>
            </w:pPr>
            <w:r w:rsidRPr="00B671C0">
              <w:rPr>
                <w:rFonts w:eastAsia="Calibri"/>
                <w:color w:val="0000FF"/>
                <w:szCs w:val="24"/>
                <w:u w:val="single"/>
              </w:rPr>
              <w:t>haydenm@firstenergycorp.com</w:t>
            </w:r>
          </w:p>
          <w:p w:rsidR="00C619CE" w:rsidRPr="00B671C0" w:rsidRDefault="00C619CE" w:rsidP="00C619CE">
            <w:pPr>
              <w:autoSpaceDE w:val="0"/>
              <w:autoSpaceDN w:val="0"/>
              <w:adjustRightInd w:val="0"/>
              <w:rPr>
                <w:rFonts w:eastAsia="Calibri"/>
                <w:color w:val="0000FF"/>
                <w:szCs w:val="24"/>
              </w:rPr>
            </w:pPr>
            <w:r w:rsidRPr="00B671C0">
              <w:rPr>
                <w:rFonts w:eastAsia="Calibri"/>
                <w:color w:val="0000FF"/>
                <w:szCs w:val="24"/>
                <w:u w:val="single"/>
              </w:rPr>
              <w:t>jmcdermott@firstenergycorp.com</w:t>
            </w:r>
          </w:p>
          <w:p w:rsidR="00C619CE" w:rsidRPr="00B671C0" w:rsidRDefault="00C619CE" w:rsidP="00C619CE">
            <w:pPr>
              <w:autoSpaceDE w:val="0"/>
              <w:autoSpaceDN w:val="0"/>
              <w:adjustRightInd w:val="0"/>
              <w:rPr>
                <w:rFonts w:eastAsia="Calibri"/>
                <w:color w:val="0000FF"/>
                <w:szCs w:val="24"/>
              </w:rPr>
            </w:pPr>
            <w:r w:rsidRPr="00B671C0">
              <w:rPr>
                <w:rFonts w:eastAsia="Calibri"/>
                <w:color w:val="0000FF"/>
                <w:szCs w:val="24"/>
                <w:u w:val="single"/>
              </w:rPr>
              <w:t>scasto@firstenergycorp.com</w:t>
            </w:r>
          </w:p>
          <w:p w:rsidR="00C619CE" w:rsidRPr="00B671C0" w:rsidRDefault="00C619CE" w:rsidP="00C619CE">
            <w:pPr>
              <w:autoSpaceDE w:val="0"/>
              <w:autoSpaceDN w:val="0"/>
              <w:adjustRightInd w:val="0"/>
              <w:rPr>
                <w:rFonts w:eastAsia="Calibri"/>
                <w:szCs w:val="24"/>
              </w:rPr>
            </w:pPr>
            <w:r w:rsidRPr="00B671C0">
              <w:rPr>
                <w:rFonts w:eastAsia="Calibri"/>
                <w:color w:val="0000FF"/>
                <w:szCs w:val="24"/>
                <w:u w:val="single"/>
              </w:rPr>
              <w:t>whitt@whitt-sturtevant.com</w:t>
            </w:r>
          </w:p>
          <w:p w:rsidR="00C619CE" w:rsidRPr="00B671C0" w:rsidRDefault="00C619CE" w:rsidP="00C619CE">
            <w:pPr>
              <w:autoSpaceDE w:val="0"/>
              <w:autoSpaceDN w:val="0"/>
              <w:adjustRightInd w:val="0"/>
              <w:rPr>
                <w:rFonts w:eastAsia="Calibri"/>
                <w:szCs w:val="24"/>
              </w:rPr>
            </w:pPr>
            <w:r w:rsidRPr="00B671C0">
              <w:rPr>
                <w:rFonts w:eastAsia="Calibri"/>
                <w:color w:val="0000FF"/>
                <w:szCs w:val="24"/>
                <w:u w:val="single"/>
              </w:rPr>
              <w:t>campbell@whitt-sturtevant.com</w:t>
            </w:r>
          </w:p>
          <w:p w:rsidR="00C619CE" w:rsidRPr="00B671C0" w:rsidRDefault="00C619CE" w:rsidP="00C619CE">
            <w:pPr>
              <w:rPr>
                <w:color w:val="0000FF"/>
                <w:szCs w:val="24"/>
                <w:u w:val="single"/>
              </w:rPr>
            </w:pPr>
            <w:r w:rsidRPr="00B671C0">
              <w:rPr>
                <w:rFonts w:eastAsia="Calibri"/>
                <w:color w:val="0000FF"/>
                <w:szCs w:val="24"/>
                <w:u w:val="single"/>
              </w:rPr>
              <w:t>williams@whitt-sturtevant.com</w:t>
            </w:r>
          </w:p>
          <w:p w:rsidR="00C619CE" w:rsidRPr="00B671C0" w:rsidRDefault="00C619CE" w:rsidP="00C619CE">
            <w:pPr>
              <w:autoSpaceDE w:val="0"/>
              <w:autoSpaceDN w:val="0"/>
              <w:adjustRightInd w:val="0"/>
              <w:rPr>
                <w:rFonts w:eastAsia="Calibri"/>
                <w:szCs w:val="24"/>
              </w:rPr>
            </w:pPr>
            <w:r w:rsidRPr="00B671C0">
              <w:rPr>
                <w:rFonts w:eastAsia="Calibri"/>
                <w:color w:val="0000FF"/>
                <w:szCs w:val="24"/>
                <w:u w:val="single"/>
              </w:rPr>
              <w:t>vparisi@igsenergy.com</w:t>
            </w:r>
          </w:p>
          <w:p w:rsidR="00C619CE" w:rsidRPr="00B671C0" w:rsidRDefault="00C619CE" w:rsidP="00C619CE">
            <w:pPr>
              <w:autoSpaceDE w:val="0"/>
              <w:autoSpaceDN w:val="0"/>
              <w:adjustRightInd w:val="0"/>
              <w:rPr>
                <w:rFonts w:eastAsia="Calibri"/>
                <w:szCs w:val="24"/>
              </w:rPr>
            </w:pPr>
            <w:r w:rsidRPr="00B671C0">
              <w:rPr>
                <w:rFonts w:eastAsia="Calibri"/>
                <w:color w:val="0000FF"/>
                <w:szCs w:val="24"/>
                <w:u w:val="single"/>
              </w:rPr>
              <w:t>lfriedeman@igsenergy.com</w:t>
            </w:r>
          </w:p>
          <w:p w:rsidR="00C619CE" w:rsidRPr="00B671C0" w:rsidRDefault="00C619CE" w:rsidP="00C619CE">
            <w:pPr>
              <w:rPr>
                <w:color w:val="0000FF"/>
                <w:szCs w:val="24"/>
                <w:u w:val="single"/>
              </w:rPr>
            </w:pPr>
            <w:r w:rsidRPr="00B671C0">
              <w:rPr>
                <w:rFonts w:eastAsia="Calibri"/>
                <w:color w:val="0000FF"/>
                <w:szCs w:val="24"/>
                <w:u w:val="single"/>
              </w:rPr>
              <w:t>mswhite@igsenergy.com</w:t>
            </w:r>
          </w:p>
          <w:p w:rsidR="00C619CE" w:rsidRPr="00B671C0" w:rsidRDefault="00C619CE" w:rsidP="00C619CE">
            <w:pPr>
              <w:autoSpaceDE w:val="0"/>
              <w:autoSpaceDN w:val="0"/>
              <w:adjustRightInd w:val="0"/>
              <w:rPr>
                <w:rFonts w:eastAsia="Calibri"/>
                <w:szCs w:val="24"/>
              </w:rPr>
            </w:pPr>
            <w:r w:rsidRPr="00B671C0">
              <w:rPr>
                <w:rFonts w:eastAsia="Calibri"/>
                <w:color w:val="0000FF"/>
                <w:szCs w:val="24"/>
                <w:u w:val="single"/>
              </w:rPr>
              <w:t>Gary.A.Jeffries@dom.com</w:t>
            </w:r>
          </w:p>
          <w:p w:rsidR="00C619CE" w:rsidRPr="00B671C0" w:rsidRDefault="00C619CE" w:rsidP="00C619CE">
            <w:pPr>
              <w:autoSpaceDE w:val="0"/>
              <w:autoSpaceDN w:val="0"/>
              <w:adjustRightInd w:val="0"/>
              <w:rPr>
                <w:rFonts w:eastAsia="Calibri"/>
                <w:szCs w:val="24"/>
              </w:rPr>
            </w:pPr>
            <w:r w:rsidRPr="00B671C0">
              <w:rPr>
                <w:rFonts w:eastAsia="Calibri"/>
                <w:color w:val="0000FF"/>
                <w:szCs w:val="24"/>
                <w:u w:val="single"/>
              </w:rPr>
              <w:t>Judi.sobecki@aes.com</w:t>
            </w:r>
          </w:p>
          <w:p w:rsidR="00C619CE" w:rsidRPr="00B671C0" w:rsidRDefault="00C619CE" w:rsidP="00C619CE">
            <w:pPr>
              <w:autoSpaceDE w:val="0"/>
              <w:autoSpaceDN w:val="0"/>
              <w:adjustRightInd w:val="0"/>
              <w:rPr>
                <w:rFonts w:eastAsia="Calibri"/>
                <w:color w:val="0000FF"/>
                <w:szCs w:val="24"/>
              </w:rPr>
            </w:pPr>
            <w:r w:rsidRPr="00B671C0">
              <w:rPr>
                <w:rFonts w:eastAsia="Calibri"/>
                <w:color w:val="0000FF"/>
                <w:szCs w:val="24"/>
                <w:u w:val="single"/>
              </w:rPr>
              <w:t>cmooney@ohiopartners.org</w:t>
            </w:r>
          </w:p>
          <w:p w:rsidR="00C619CE" w:rsidRPr="00B671C0" w:rsidRDefault="00C619CE" w:rsidP="00C619CE">
            <w:pPr>
              <w:autoSpaceDE w:val="0"/>
              <w:autoSpaceDN w:val="0"/>
              <w:adjustRightInd w:val="0"/>
              <w:rPr>
                <w:rFonts w:eastAsia="Calibri"/>
                <w:color w:val="0000FF"/>
                <w:szCs w:val="24"/>
              </w:rPr>
            </w:pPr>
            <w:r w:rsidRPr="00B671C0">
              <w:rPr>
                <w:rFonts w:eastAsia="Calibri"/>
                <w:color w:val="0000FF"/>
                <w:szCs w:val="24"/>
                <w:u w:val="single"/>
              </w:rPr>
              <w:t>cloucas@ohiopartners.org</w:t>
            </w:r>
          </w:p>
          <w:p w:rsidR="00C619CE" w:rsidRPr="00B671C0" w:rsidRDefault="00C619CE" w:rsidP="00C619CE">
            <w:pPr>
              <w:rPr>
                <w:color w:val="0000FF"/>
                <w:szCs w:val="24"/>
                <w:u w:val="single"/>
              </w:rPr>
            </w:pPr>
            <w:r w:rsidRPr="00B671C0">
              <w:rPr>
                <w:rFonts w:eastAsia="Calibri"/>
                <w:color w:val="0000FF"/>
                <w:szCs w:val="24"/>
                <w:u w:val="single"/>
              </w:rPr>
              <w:t>jfinnigan@edf.org</w:t>
            </w:r>
          </w:p>
          <w:p w:rsidR="00C619CE" w:rsidRPr="00B671C0" w:rsidRDefault="00C619CE" w:rsidP="00C619CE">
            <w:pPr>
              <w:rPr>
                <w:rFonts w:eastAsia="Calibri"/>
                <w:color w:val="0000FF"/>
                <w:szCs w:val="24"/>
              </w:rPr>
            </w:pPr>
            <w:r w:rsidRPr="00B671C0">
              <w:rPr>
                <w:rFonts w:eastAsia="Calibri"/>
                <w:color w:val="0000FF"/>
                <w:szCs w:val="24"/>
                <w:u w:val="single"/>
              </w:rPr>
              <w:t>joseph.clark@directenergy.com</w:t>
            </w:r>
          </w:p>
          <w:p w:rsidR="00C619CE" w:rsidRPr="00B671C0" w:rsidRDefault="00C619CE" w:rsidP="00C619CE">
            <w:pPr>
              <w:rPr>
                <w:rFonts w:eastAsia="Calibri"/>
                <w:szCs w:val="24"/>
              </w:rPr>
            </w:pPr>
            <w:r w:rsidRPr="00B671C0">
              <w:rPr>
                <w:rFonts w:eastAsia="Calibri"/>
                <w:color w:val="0000FF"/>
                <w:szCs w:val="24"/>
                <w:u w:val="single"/>
              </w:rPr>
              <w:t>NMcDaniel@elpc.org</w:t>
            </w:r>
          </w:p>
          <w:p w:rsidR="00C619CE" w:rsidRPr="00B671C0" w:rsidRDefault="00C619CE" w:rsidP="00C619CE">
            <w:pPr>
              <w:rPr>
                <w:rFonts w:eastAsia="Calibri"/>
                <w:szCs w:val="24"/>
              </w:rPr>
            </w:pPr>
            <w:r w:rsidRPr="00B671C0">
              <w:rPr>
                <w:rFonts w:eastAsia="Calibri"/>
                <w:color w:val="0000FF"/>
                <w:szCs w:val="24"/>
                <w:u w:val="single"/>
              </w:rPr>
              <w:t>lhawrot@spilmanlaw.com</w:t>
            </w:r>
          </w:p>
          <w:p w:rsidR="00C619CE" w:rsidRPr="006A4507" w:rsidRDefault="00C619CE" w:rsidP="00C619CE">
            <w:pPr>
              <w:rPr>
                <w:rFonts w:eastAsia="Calibri"/>
                <w:color w:val="0000FF"/>
                <w:szCs w:val="24"/>
                <w:u w:val="single"/>
              </w:rPr>
            </w:pPr>
            <w:r w:rsidRPr="00DD2A58">
              <w:rPr>
                <w:rFonts w:eastAsia="Calibri"/>
                <w:szCs w:val="24"/>
              </w:rPr>
              <w:t>dwilliamson@spilmanlaw.com</w:t>
            </w:r>
          </w:p>
          <w:p w:rsidR="00C619CE" w:rsidRPr="006A4507" w:rsidRDefault="00C619CE" w:rsidP="00C619CE">
            <w:pPr>
              <w:rPr>
                <w:color w:val="0000FF"/>
                <w:szCs w:val="24"/>
                <w:u w:val="single"/>
              </w:rPr>
            </w:pPr>
            <w:r w:rsidRPr="00DD2A58">
              <w:rPr>
                <w:szCs w:val="24"/>
              </w:rPr>
              <w:t>tshadrick@spilmanlaw.com</w:t>
            </w:r>
          </w:p>
          <w:p w:rsidR="00C619CE" w:rsidRPr="006A4507" w:rsidRDefault="00C619CE" w:rsidP="00C619CE">
            <w:pPr>
              <w:rPr>
                <w:rFonts w:eastAsia="Calibri"/>
                <w:bCs/>
                <w:color w:val="0000FF"/>
                <w:szCs w:val="24"/>
                <w:u w:val="single"/>
              </w:rPr>
            </w:pPr>
            <w:r w:rsidRPr="00DD2A58">
              <w:rPr>
                <w:rFonts w:eastAsia="Calibri"/>
                <w:bCs/>
                <w:szCs w:val="24"/>
              </w:rPr>
              <w:t>gpoulos@enernoc.com</w:t>
            </w:r>
          </w:p>
          <w:p w:rsidR="00C619CE" w:rsidRPr="006A4507" w:rsidRDefault="00C619CE" w:rsidP="00C619CE">
            <w:pPr>
              <w:rPr>
                <w:rFonts w:eastAsia="Calibri"/>
                <w:bCs/>
                <w:color w:val="0000FF"/>
                <w:szCs w:val="24"/>
                <w:u w:val="single"/>
              </w:rPr>
            </w:pPr>
            <w:r w:rsidRPr="00DD2A58">
              <w:rPr>
                <w:rFonts w:eastAsia="Calibri"/>
                <w:bCs/>
                <w:szCs w:val="24"/>
              </w:rPr>
              <w:t>Schmidt@sppgrp.com</w:t>
            </w:r>
          </w:p>
          <w:p w:rsidR="00C619CE" w:rsidRPr="00B671C0" w:rsidRDefault="00C619CE" w:rsidP="00C619CE">
            <w:pPr>
              <w:rPr>
                <w:rFonts w:eastAsia="Calibri"/>
                <w:bCs/>
                <w:szCs w:val="24"/>
              </w:rPr>
            </w:pPr>
          </w:p>
        </w:tc>
      </w:tr>
    </w:tbl>
    <w:p w:rsidR="00743C7F" w:rsidRDefault="00743C7F" w:rsidP="00743C7F">
      <w:pPr>
        <w:pStyle w:val="EndnoteText"/>
        <w:widowControl/>
        <w:ind w:right="-90"/>
      </w:pPr>
      <w:r>
        <w:rPr>
          <w:rFonts w:ascii="Times New Roman" w:hAnsi="Times New Roman"/>
          <w:bCs/>
          <w:snapToGrid/>
          <w:szCs w:val="24"/>
        </w:rPr>
        <w:t xml:space="preserve"> </w:t>
      </w:r>
    </w:p>
    <w:p w:rsidR="00F826FC" w:rsidRDefault="00F826FC" w:rsidP="009055F3">
      <w:pPr>
        <w:suppressLineNumbers/>
        <w:rPr>
          <w:rFonts w:cs="Times New Roman"/>
          <w:sz w:val="22"/>
        </w:rPr>
        <w:sectPr w:rsidR="00F826FC">
          <w:headerReference w:type="even" r:id="rId22"/>
          <w:headerReference w:type="default" r:id="rId23"/>
          <w:headerReference w:type="first" r:id="rId24"/>
          <w:footerReference w:type="first" r:id="rId25"/>
          <w:pgSz w:w="12240" w:h="15840" w:code="1"/>
          <w:pgMar w:top="1440" w:right="1800" w:bottom="1440" w:left="1800" w:header="720" w:footer="720" w:gutter="0"/>
          <w:cols w:space="720"/>
          <w:titlePg/>
          <w:docGrid w:linePitch="360"/>
        </w:sect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Pr="00930D77" w:rsidRDefault="00F826FC" w:rsidP="00F826FC">
      <w:pPr>
        <w:pStyle w:val="NormalWeb"/>
        <w:shd w:val="clear" w:color="auto" w:fill="FFFFFF"/>
        <w:jc w:val="center"/>
        <w:rPr>
          <w:b/>
          <w:color w:val="000000"/>
          <w:sz w:val="28"/>
        </w:rPr>
      </w:pPr>
      <w:r>
        <w:rPr>
          <w:b/>
          <w:color w:val="000000"/>
          <w:sz w:val="28"/>
        </w:rPr>
        <w:t>APPENDIX A</w:t>
      </w:r>
    </w:p>
    <w:p w:rsidR="00F826FC" w:rsidRPr="00930D77" w:rsidRDefault="00F826FC" w:rsidP="00F826FC">
      <w:pPr>
        <w:pStyle w:val="NormalWeb"/>
        <w:shd w:val="clear" w:color="auto" w:fill="FFFFFF"/>
        <w:jc w:val="center"/>
        <w:rPr>
          <w:b/>
          <w:color w:val="282828"/>
          <w:sz w:val="28"/>
        </w:rPr>
      </w:pPr>
    </w:p>
    <w:p w:rsidR="00F826FC" w:rsidRPr="00930D77" w:rsidRDefault="00F826FC" w:rsidP="00F826FC">
      <w:pPr>
        <w:pStyle w:val="NormalWeb"/>
        <w:shd w:val="clear" w:color="auto" w:fill="FFFFFF"/>
        <w:jc w:val="center"/>
        <w:rPr>
          <w:b/>
          <w:color w:val="282828"/>
          <w:sz w:val="28"/>
        </w:rPr>
      </w:pPr>
    </w:p>
    <w:p w:rsidR="00F826FC" w:rsidRPr="00930D77" w:rsidRDefault="00F826FC" w:rsidP="00F826FC">
      <w:pPr>
        <w:pStyle w:val="NormalWeb"/>
        <w:shd w:val="clear" w:color="auto" w:fill="FFFFFF"/>
        <w:jc w:val="center"/>
        <w:rPr>
          <w:b/>
          <w:color w:val="282828"/>
          <w:sz w:val="28"/>
        </w:rPr>
      </w:pPr>
      <w:r>
        <w:rPr>
          <w:b/>
          <w:color w:val="000000"/>
          <w:sz w:val="28"/>
        </w:rPr>
        <w:t xml:space="preserve">QUALIFICATIONS OF </w:t>
      </w:r>
    </w:p>
    <w:p w:rsidR="00F826FC" w:rsidRPr="00930D77" w:rsidRDefault="00F826FC" w:rsidP="00F826FC">
      <w:pPr>
        <w:pStyle w:val="NormalWeb"/>
        <w:shd w:val="clear" w:color="auto" w:fill="FFFFFF"/>
        <w:jc w:val="center"/>
        <w:rPr>
          <w:b/>
          <w:color w:val="282828"/>
          <w:sz w:val="28"/>
        </w:rPr>
      </w:pPr>
    </w:p>
    <w:p w:rsidR="00F826FC" w:rsidRPr="00930D77" w:rsidRDefault="00F826FC" w:rsidP="00F826FC">
      <w:pPr>
        <w:pStyle w:val="NormalWeb"/>
        <w:shd w:val="clear" w:color="auto" w:fill="FFFFFF"/>
        <w:jc w:val="center"/>
        <w:rPr>
          <w:b/>
          <w:color w:val="282828"/>
          <w:sz w:val="28"/>
        </w:rPr>
      </w:pPr>
      <w:r w:rsidRPr="00930D77">
        <w:rPr>
          <w:b/>
          <w:color w:val="000000"/>
          <w:sz w:val="28"/>
        </w:rPr>
        <w:t>MATTHEW I. KAHAL</w:t>
      </w:r>
    </w:p>
    <w:p w:rsidR="00F826FC" w:rsidRPr="00930D77" w:rsidRDefault="00F826FC" w:rsidP="00F826FC">
      <w:pPr>
        <w:jc w:val="center"/>
        <w:rPr>
          <w:b/>
          <w:sz w:val="22"/>
          <w:lang w:val="en-CA"/>
        </w:rPr>
      </w:pPr>
    </w:p>
    <w:p w:rsidR="00F826FC" w:rsidRDefault="00F826FC" w:rsidP="00F826FC">
      <w:pPr>
        <w:jc w:val="center"/>
        <w:rPr>
          <w:lang w:val="en-CA"/>
        </w:rPr>
        <w:sectPr w:rsidR="00F826FC" w:rsidSect="0019041E">
          <w:pgSz w:w="12240" w:h="15840" w:code="1"/>
          <w:pgMar w:top="1440" w:right="1440" w:bottom="1440" w:left="1440" w:header="1440" w:footer="1440" w:gutter="0"/>
          <w:pgBorders>
            <w:top w:val="single" w:sz="12" w:space="1" w:color="auto" w:shadow="1"/>
            <w:left w:val="single" w:sz="12" w:space="4" w:color="auto" w:shadow="1"/>
            <w:bottom w:val="single" w:sz="12" w:space="1" w:color="auto" w:shadow="1"/>
            <w:right w:val="single" w:sz="12" w:space="4" w:color="auto" w:shadow="1"/>
          </w:pgBorders>
          <w:cols w:space="720"/>
          <w:docGrid w:linePitch="272"/>
        </w:sectPr>
      </w:pPr>
    </w:p>
    <w:p w:rsidR="00F826FC" w:rsidRDefault="00F826FC" w:rsidP="00F826FC">
      <w:pPr>
        <w:jc w:val="center"/>
        <w:rPr>
          <w:lang w:val="en-CA"/>
        </w:rPr>
      </w:pPr>
    </w:p>
    <w:p w:rsidR="00F826FC" w:rsidRDefault="00F826FC" w:rsidP="00F826FC">
      <w:pPr>
        <w:spacing w:before="120"/>
        <w:jc w:val="center"/>
        <w:rPr>
          <w:szCs w:val="24"/>
        </w:rPr>
      </w:pPr>
      <w:r>
        <w:rPr>
          <w:lang w:val="en-CA"/>
        </w:rPr>
        <w:fldChar w:fldCharType="begin"/>
      </w:r>
      <w:r>
        <w:rPr>
          <w:lang w:val="en-CA"/>
        </w:rPr>
        <w:instrText xml:space="preserve"> SEQ CHAPTER \h \r 1</w:instrText>
      </w:r>
      <w:r>
        <w:rPr>
          <w:lang w:val="en-CA"/>
        </w:rPr>
        <w:fldChar w:fldCharType="end"/>
      </w:r>
      <w:r>
        <w:rPr>
          <w:b/>
          <w:bCs/>
          <w:szCs w:val="24"/>
        </w:rPr>
        <w:t>MATTHEW I. KAHAL</w:t>
      </w:r>
    </w:p>
    <w:p w:rsidR="00F826FC" w:rsidRDefault="00F826FC" w:rsidP="00F826FC">
      <w:pPr>
        <w:rPr>
          <w:szCs w:val="24"/>
        </w:rPr>
      </w:pPr>
    </w:p>
    <w:p w:rsidR="00F826FC" w:rsidRDefault="00F826FC" w:rsidP="00F826FC">
      <w:pPr>
        <w:rPr>
          <w:szCs w:val="24"/>
        </w:rPr>
      </w:pPr>
      <w:r>
        <w:rPr>
          <w:szCs w:val="24"/>
        </w:rPr>
        <w:t xml:space="preserve">Since 2001, Mr. Kahal has worked as an independent consulting economist, specializing in energy economics, public utility regulation, and utility financial studies.  Over the past three decades, his work has encompassed electric utility integrated resource planning (IRP), power plant licensing, environmental compliance, and utility financial issues.  In the financial area, he has conducted numerous cost of capital studies and addressed other financial issues for electric, gas, telephone, and water utilities.  Mr. Kahal’s work in recent years has expanded to electric power markets, mergers, and various aspects of regulation. </w:t>
      </w:r>
    </w:p>
    <w:p w:rsidR="00F826FC" w:rsidRDefault="00F826FC" w:rsidP="00F826FC">
      <w:pPr>
        <w:rPr>
          <w:szCs w:val="24"/>
        </w:rPr>
      </w:pPr>
    </w:p>
    <w:p w:rsidR="00F826FC" w:rsidRDefault="00F826FC" w:rsidP="00F826FC">
      <w:pPr>
        <w:rPr>
          <w:szCs w:val="24"/>
        </w:rPr>
      </w:pPr>
      <w:r>
        <w:rPr>
          <w:szCs w:val="24"/>
        </w:rPr>
        <w:t>Mr. Kahal has provided expert testimony in approximately 400 cases before state and federal regulatory commissions, federal courts, and the U.S. Congress.  His testimony has covered need for power, integrated resource planning, cost of capital, purchased power practices and contracts, merger economics, industry restructuring, and various other regulatory and public policy issues.</w:t>
      </w:r>
    </w:p>
    <w:p w:rsidR="00F826FC" w:rsidRPr="00941D5B" w:rsidRDefault="00F826FC" w:rsidP="00F826FC">
      <w:pPr>
        <w:rPr>
          <w:sz w:val="18"/>
          <w:szCs w:val="18"/>
        </w:rPr>
      </w:pPr>
    </w:p>
    <w:p w:rsidR="00F826FC" w:rsidRPr="00941D5B" w:rsidRDefault="00F826FC" w:rsidP="00F826FC">
      <w:pPr>
        <w:rPr>
          <w:sz w:val="18"/>
          <w:szCs w:val="18"/>
        </w:rPr>
      </w:pPr>
    </w:p>
    <w:p w:rsidR="00F826FC" w:rsidRPr="00941D5B" w:rsidRDefault="00F826FC" w:rsidP="00F826FC">
      <w:pPr>
        <w:rPr>
          <w:szCs w:val="24"/>
        </w:rPr>
      </w:pPr>
      <w:r w:rsidRPr="00941D5B">
        <w:rPr>
          <w:bCs/>
          <w:szCs w:val="24"/>
          <w:u w:val="single"/>
        </w:rPr>
        <w:t>Education</w:t>
      </w:r>
    </w:p>
    <w:p w:rsidR="00F826FC" w:rsidRDefault="00F826FC" w:rsidP="00F826FC">
      <w:pPr>
        <w:rPr>
          <w:szCs w:val="24"/>
        </w:rPr>
      </w:pPr>
    </w:p>
    <w:p w:rsidR="00F826FC" w:rsidRDefault="00F826FC" w:rsidP="00F826FC">
      <w:pPr>
        <w:rPr>
          <w:szCs w:val="24"/>
        </w:rPr>
      </w:pPr>
      <w:r>
        <w:rPr>
          <w:szCs w:val="24"/>
        </w:rPr>
        <w:tab/>
        <w:t>B.A. (Economics) – University of Maryland, 1971</w:t>
      </w:r>
    </w:p>
    <w:p w:rsidR="00F826FC" w:rsidRDefault="00F826FC" w:rsidP="00F826FC">
      <w:pPr>
        <w:rPr>
          <w:szCs w:val="24"/>
        </w:rPr>
      </w:pPr>
      <w:r>
        <w:rPr>
          <w:szCs w:val="24"/>
        </w:rPr>
        <w:tab/>
      </w:r>
    </w:p>
    <w:p w:rsidR="00F826FC" w:rsidRDefault="00F826FC" w:rsidP="00F826FC">
      <w:pPr>
        <w:rPr>
          <w:szCs w:val="24"/>
        </w:rPr>
      </w:pPr>
      <w:r>
        <w:rPr>
          <w:szCs w:val="24"/>
        </w:rPr>
        <w:tab/>
        <w:t>M.A. (Economics) – University of Maryland, 1974</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r>
        <w:rPr>
          <w:szCs w:val="24"/>
        </w:rPr>
        <w:t>Ph.D. candidacy – University of Maryland, completed all course work and qualifying examinations.</w:t>
      </w:r>
    </w:p>
    <w:p w:rsidR="00F826FC" w:rsidRPr="00941D5B"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F826FC" w:rsidRPr="00941D5B"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F826FC" w:rsidRPr="00941D5B"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941D5B">
        <w:rPr>
          <w:bCs/>
          <w:szCs w:val="24"/>
          <w:u w:val="single"/>
        </w:rPr>
        <w:t>Previous Employment</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t xml:space="preserve">1981-2001 </w:t>
      </w:r>
      <w:r>
        <w:rPr>
          <w:szCs w:val="24"/>
        </w:rPr>
        <w:tab/>
        <w:t>Founding Principal, Vice President, and President</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Pr>
          <w:szCs w:val="24"/>
        </w:rPr>
        <w:tab/>
      </w:r>
      <w:r>
        <w:rPr>
          <w:szCs w:val="24"/>
        </w:rPr>
        <w:tab/>
        <w:t xml:space="preserve">Exeter Associates, Inc. </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Pr>
          <w:szCs w:val="24"/>
        </w:rPr>
        <w:tab/>
      </w:r>
      <w:r>
        <w:rPr>
          <w:szCs w:val="24"/>
        </w:rPr>
        <w:tab/>
        <w:t>Bethesda, MD</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t xml:space="preserve">1980-1981 </w:t>
      </w:r>
      <w:r>
        <w:rPr>
          <w:szCs w:val="24"/>
        </w:rPr>
        <w:tab/>
        <w:t>Member of the Economic Evaluation Directorate</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Pr>
          <w:szCs w:val="24"/>
        </w:rPr>
        <w:tab/>
      </w:r>
      <w:r>
        <w:rPr>
          <w:szCs w:val="24"/>
        </w:rPr>
        <w:tab/>
        <w:t>The Aerospace Corporation</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Pr>
          <w:szCs w:val="24"/>
        </w:rPr>
        <w:tab/>
      </w:r>
      <w:r>
        <w:rPr>
          <w:szCs w:val="24"/>
        </w:rPr>
        <w:tab/>
        <w:t xml:space="preserve">Washington, D.C. </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t xml:space="preserve">1977-1980 </w:t>
      </w:r>
      <w:r>
        <w:rPr>
          <w:szCs w:val="24"/>
        </w:rPr>
        <w:tab/>
        <w:t>Economist</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Pr>
          <w:szCs w:val="24"/>
        </w:rPr>
        <w:tab/>
      </w:r>
      <w:r>
        <w:rPr>
          <w:szCs w:val="24"/>
        </w:rPr>
        <w:tab/>
        <w:t>Washington, D.C. consulting firm</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t xml:space="preserve">1972-1977 </w:t>
      </w:r>
      <w:r>
        <w:rPr>
          <w:szCs w:val="24"/>
        </w:rPr>
        <w:tab/>
        <w:t>Research/Teaching Assistant and Instructor</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Pr>
          <w:szCs w:val="24"/>
        </w:rPr>
        <w:tab/>
      </w:r>
      <w:r>
        <w:rPr>
          <w:szCs w:val="24"/>
        </w:rPr>
        <w:tab/>
        <w:t>Department of Economics, University of Maryland (College Park)</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Pr>
          <w:szCs w:val="24"/>
        </w:rPr>
        <w:tab/>
      </w:r>
      <w:r>
        <w:rPr>
          <w:szCs w:val="24"/>
        </w:rPr>
        <w:tab/>
        <w:t>Lecturer in Business and Economics</w:t>
      </w:r>
    </w:p>
    <w:p w:rsidR="00F826FC" w:rsidRPr="00941D5B"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Pr>
          <w:szCs w:val="24"/>
        </w:rPr>
        <w:tab/>
      </w:r>
      <w:r>
        <w:rPr>
          <w:szCs w:val="24"/>
        </w:rPr>
        <w:tab/>
      </w:r>
      <w:r>
        <w:rPr>
          <w:szCs w:val="24"/>
        </w:rPr>
        <w:tab/>
        <w:t>Montgomery College (Rockville, MD)</w:t>
      </w:r>
    </w:p>
    <w:p w:rsidR="00F826FC" w:rsidRDefault="00F826FC" w:rsidP="00F826FC">
      <w:pPr>
        <w:spacing w:after="200" w:line="276" w:lineRule="auto"/>
        <w:rPr>
          <w:sz w:val="18"/>
          <w:szCs w:val="18"/>
        </w:rPr>
      </w:pPr>
      <w:r>
        <w:rPr>
          <w:sz w:val="18"/>
          <w:szCs w:val="18"/>
        </w:rPr>
        <w:br w:type="page"/>
      </w:r>
    </w:p>
    <w:p w:rsidR="00F826FC" w:rsidRPr="00941D5B"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941D5B">
        <w:rPr>
          <w:bCs/>
          <w:szCs w:val="24"/>
          <w:u w:val="single"/>
        </w:rPr>
        <w:t>Professional Experience</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Mr. Kahal has more than thirty years’ experience managing and conducting consulting assignments relating to public utility economics and regulation.  In 1981, he and five colleagues founded the firm of Exeter Associates, Inc., and for the next 20 years he served as a Principal and corporate officer of the firm.  During that time, he supervised multi-million dollar support contracts with the State of Maryland and directed the technical work conducted by both Exeter professional staff and numerous subcontractors.  Additionally, Mr. Kahal took the lead role at Exeter in consulting to the firm’s other governmental and private clients in the areas of financial analysis, utility mergers, electric restructuring, and utility purchase power contracts.</w:t>
      </w:r>
    </w:p>
    <w:p w:rsidR="00F826FC" w:rsidRPr="007C04C2"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At the Aerospace Corporation, Mr. Kahal served as an economic consultant to the Strategic Petroleum Reserve (SPR).  In that capacity, he participated in a detailed financial assessment of the SPR, and developed an econometric forecasting model of U.S. petroleum industry inventories.  That study has been used to determine the extent to which private sector petroleum stocks can be expected to protect the U.S. from the impacts of oil import interruptions.</w:t>
      </w:r>
    </w:p>
    <w:p w:rsidR="00F826FC" w:rsidRPr="007C04C2"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Before entering consulting, Mr. Kahal held faculty positions with the Department of Economics at the University of Maryland and with Montgomery College, teaching courses on economic principles, business, and economic development. </w:t>
      </w:r>
    </w:p>
    <w:p w:rsidR="00F826FC" w:rsidRPr="007C04C2"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Pr="001268C5"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268C5">
        <w:rPr>
          <w:bCs/>
          <w:szCs w:val="24"/>
          <w:u w:val="single"/>
        </w:rPr>
        <w:t>Publications and Consulting Reports</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Projected Electric Power Demands of the Baltimore Gas and Electric Company</w:t>
      </w:r>
      <w:r>
        <w:rPr>
          <w:szCs w:val="24"/>
        </w:rPr>
        <w:t>, Maryland Power Plant Siting Program, 1979.</w:t>
      </w:r>
    </w:p>
    <w:p w:rsidR="00F826FC" w:rsidRPr="007C04C2"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Projected Electric Power Demands of the Allegheny Power System</w:t>
      </w:r>
      <w:r>
        <w:rPr>
          <w:szCs w:val="24"/>
        </w:rPr>
        <w:t>, Maryland Power Plant Siting Program, January 1980.</w:t>
      </w:r>
    </w:p>
    <w:p w:rsidR="00F826FC" w:rsidRPr="007C04C2"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An Econometric Forecast of Electric Energy and Peak Demand on the Delmarva Peninsula</w:t>
      </w:r>
      <w:r>
        <w:rPr>
          <w:szCs w:val="24"/>
        </w:rPr>
        <w:t>, Maryland Power Plant Siting Program, March 1980 (with Ralph E. Miller).</w:t>
      </w:r>
    </w:p>
    <w:p w:rsidR="00F826FC" w:rsidRPr="007C04C2"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A Benefit/Cost Methodology of the Marginal Cost Pricing of Tennessee Valley Authority Electricity</w:t>
      </w:r>
      <w:r>
        <w:rPr>
          <w:szCs w:val="24"/>
        </w:rPr>
        <w:t>, prepared for the Board of Directors of the Tennessee Valley Authority, April 1980.</w:t>
      </w:r>
    </w:p>
    <w:p w:rsidR="00F826FC" w:rsidRPr="007C04C2"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An Evaluation of the Delmarva Power and Light Company Generating Capacity Profile and Expansion Plan</w:t>
      </w:r>
      <w:r>
        <w:rPr>
          <w:szCs w:val="24"/>
        </w:rPr>
        <w:t>, (Interim Report), prepared for the Delaware Office of the Public Advocate, July 1980 (with Sharon L. Mason).</w:t>
      </w:r>
    </w:p>
    <w:p w:rsidR="00F826FC" w:rsidRPr="007C04C2"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Rhode Island-DOE Electric Utilities Demonstration Project, Third Interim Report on Preliminary Analysis of the Experimental Results</w:t>
      </w:r>
      <w:r>
        <w:rPr>
          <w:szCs w:val="24"/>
        </w:rPr>
        <w:t>, prepared for the Economic Regulatory Administration, U.S. Department of Energy, July 1980.</w:t>
      </w:r>
    </w:p>
    <w:p w:rsidR="00F826FC" w:rsidRPr="007C04C2"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Petroleum Inventories and the Strategic Petroleum Reserve</w:t>
      </w:r>
      <w:r>
        <w:rPr>
          <w:szCs w:val="24"/>
        </w:rPr>
        <w:t>, The Aerospace Corporation, prepared for the Strategic Petroleum Reserve Office, U.S. Department of Energy, December 1980.</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Alternatives to Central Station Coal and Nuclear Power Generation</w:t>
      </w:r>
      <w:r>
        <w:rPr>
          <w:szCs w:val="24"/>
        </w:rPr>
        <w:t>, prepared for Argonne National Laboratory and the Office of Utility Systems, U.S. Department of Energy, August 1981.</w:t>
      </w:r>
    </w:p>
    <w:p w:rsidR="00F826FC" w:rsidRPr="007C04C2"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“An Econometric Methodology for Forecasting Power Demands,” </w:t>
      </w:r>
      <w:r>
        <w:rPr>
          <w:szCs w:val="24"/>
          <w:u w:val="single"/>
        </w:rPr>
        <w:t>Conducting Need-for-Power Review for Nuclear Power Plants</w:t>
      </w:r>
      <w:r>
        <w:rPr>
          <w:szCs w:val="24"/>
        </w:rPr>
        <w:t xml:space="preserve"> (D.A. Nash, ed.), U.S. Nuclear Regulatory Commission, NUREG-0942, December 1982.</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State Regulatory Attitudes Toward Fuel Expense Issues</w:t>
      </w:r>
      <w:r>
        <w:rPr>
          <w:szCs w:val="24"/>
        </w:rPr>
        <w:t>, prepared for the Electric Power Research Institute, July 1983 (with Dale E. Swan).</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“Problems in the Use of Econometric Methods in Load Forecasting,” </w:t>
      </w:r>
      <w:r>
        <w:rPr>
          <w:szCs w:val="24"/>
          <w:u w:val="single"/>
        </w:rPr>
        <w:t>Adjusting to Regulatory, Pricing and Marketing Realities</w:t>
      </w:r>
      <w:r>
        <w:rPr>
          <w:szCs w:val="24"/>
        </w:rPr>
        <w:t xml:space="preserve"> (Harry Trebing, ed.), Institute of Public Utilities, Michigan State University, 1983.</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Proceedings of the Maryland Conference on Electric Load Forecasting</w:t>
      </w:r>
      <w:r>
        <w:rPr>
          <w:szCs w:val="24"/>
        </w:rPr>
        <w:t xml:space="preserve"> (editor and contributing author), Maryland Power Plant Siting Program, PPES-83-4, October 1983.</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“The Impacts of Utility-Sponsored Weatherization Programs: The Case of Maryland Utilities” (with others), in </w:t>
      </w:r>
      <w:r>
        <w:rPr>
          <w:szCs w:val="24"/>
          <w:u w:val="single"/>
        </w:rPr>
        <w:t>Government and Energy Policy</w:t>
      </w:r>
      <w:r>
        <w:rPr>
          <w:szCs w:val="24"/>
        </w:rPr>
        <w:t xml:space="preserve"> (Richard L. Itteilag, ed.), 1983.</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Power Plant Cumulative Environmental Impact Report</w:t>
      </w:r>
      <w:r>
        <w:rPr>
          <w:szCs w:val="24"/>
        </w:rPr>
        <w:t>, contributing author (Paul E. Miller, ed.) Maryland Department of Natural Resources, January 1984.</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Projected Electric Power Demands for the Potomac Electric Power Company</w:t>
      </w:r>
      <w:r>
        <w:rPr>
          <w:szCs w:val="24"/>
        </w:rPr>
        <w:t>, three volumes (with Steven L. Estomin), prepared for the Maryland Power Plant Siting Program, March 1984.</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“An Assessment of the State-of-the-Art of Gas Utility Load Forecasting” (with Thomas Bacon, Jr. and Steven L. Estomin), published in the </w:t>
      </w:r>
      <w:r>
        <w:rPr>
          <w:szCs w:val="24"/>
          <w:u w:val="single"/>
        </w:rPr>
        <w:t>Proceedings of the Fourth NARUC Biennial Regulatory Information Conference</w:t>
      </w:r>
      <w:r>
        <w:rPr>
          <w:szCs w:val="24"/>
        </w:rPr>
        <w:t>, 1984.</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“Nuclear Power and Investor Perceptions of Risk” (with Ralph E. Miller), published in </w:t>
      </w:r>
      <w:r>
        <w:rPr>
          <w:szCs w:val="24"/>
          <w:u w:val="single"/>
        </w:rPr>
        <w:t>The Energy Industries in Transition: 1985-2000</w:t>
      </w:r>
      <w:r>
        <w:rPr>
          <w:szCs w:val="24"/>
        </w:rPr>
        <w:t xml:space="preserve"> (John P. Weyant and Dorothy Sheffield, eds.), 1984.</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The Financial Impact of Potential Department of Energy Rate Recommendations on the Commonwealth Edison Company</w:t>
      </w:r>
      <w:r>
        <w:rPr>
          <w:szCs w:val="24"/>
        </w:rPr>
        <w:t>, prepared for the U.S. Department of Energy, October 1984.</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“Discussion Comments,” published in </w:t>
      </w:r>
      <w:r>
        <w:rPr>
          <w:szCs w:val="24"/>
          <w:u w:val="single"/>
        </w:rPr>
        <w:t>Impact of Deregulation and Market Forces on Public Utilities: The Future of Regulation</w:t>
      </w:r>
      <w:r>
        <w:rPr>
          <w:szCs w:val="24"/>
        </w:rPr>
        <w:t xml:space="preserve"> (Harry Trebing, ed.), Institute of Public Utilities, Michigan State University, 1985.</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An Econometric Forecast of the Electric Power Loads of Baltimore Gas and Electric Company</w:t>
      </w:r>
      <w:r>
        <w:rPr>
          <w:szCs w:val="24"/>
        </w:rPr>
        <w:t>, two volumes (with others), prepared for the Maryland Power Plant Siting Program, 1985.</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A Survey and Evaluation of Demand Forecast Methods in the Gas Utility Industry</w:t>
      </w:r>
      <w:r>
        <w:rPr>
          <w:szCs w:val="24"/>
        </w:rPr>
        <w:t>, prepared for the Public Utilities Commission of Ohio, Forecasting Division, November 1985 (with Terence Manuel).</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Pr="00B31A2E"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r>
        <w:rPr>
          <w:szCs w:val="24"/>
          <w:u w:val="single"/>
        </w:rPr>
        <w:t>A Review and Evaluation of the Load Forecasts of Houston Lighting &amp; Power Company and Central Power &amp; Light Company – Past and Present</w:t>
      </w:r>
      <w:r>
        <w:rPr>
          <w:szCs w:val="24"/>
        </w:rPr>
        <w:t>, prepared for the Texas Public Utility Commission, December 1985 (with Marvin H. Kahn).</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Power Plant Cumulative Environmental Impact Report for Maryland</w:t>
      </w:r>
      <w:r>
        <w:rPr>
          <w:szCs w:val="24"/>
        </w:rPr>
        <w:t>, principal author of three of the eight chapters in the report (Paul E. Miller, ed.), PPSP-CEIR-5, March 1986.</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“Potential Emissions Reduction from Conservation, Load Management, and Alternative Power,” published in </w:t>
      </w:r>
      <w:r>
        <w:rPr>
          <w:szCs w:val="24"/>
          <w:u w:val="single"/>
        </w:rPr>
        <w:t>Acid Deposition in Maryland: A Report to the Governor and General Assembly</w:t>
      </w:r>
      <w:r>
        <w:rPr>
          <w:szCs w:val="24"/>
        </w:rPr>
        <w:t>, Maryland Power Plant Research Program, AD-87-1, January 1987.</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Determination of Retrofit Costs at the Oyster Creek Nuclear Generating Station</w:t>
      </w:r>
      <w:r>
        <w:rPr>
          <w:szCs w:val="24"/>
        </w:rPr>
        <w:t>, March 1988, prepared for Versar, Inc., New Jersey Department of Environmental Protection.</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Excess Deferred Taxes and the Telephone Utility Industry</w:t>
      </w:r>
      <w:r>
        <w:rPr>
          <w:szCs w:val="24"/>
        </w:rPr>
        <w:t>, April 1988, prepared on behalf of the National Association of State Utility Consumer Advocates.</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Toward a Proposed Federal Policy for Independent Power Producers</w:t>
      </w:r>
      <w:r>
        <w:rPr>
          <w:szCs w:val="24"/>
        </w:rPr>
        <w:t>, comments prepared on behalf of the Indiana Consumer Counselor, FERC Docket EL87-67-000, November 1987.</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Review and Discussion of Regulations Governing Bidding Programs</w:t>
      </w:r>
      <w:r>
        <w:rPr>
          <w:szCs w:val="24"/>
        </w:rPr>
        <w:t>, prepared for the Pennsylvania Office of Consumer Advocate, June 1988.</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A Review of the Proposed Revisions to the FERC Administrative Rules on Avoided Costs and Related Issues</w:t>
      </w:r>
      <w:r>
        <w:rPr>
          <w:szCs w:val="24"/>
        </w:rPr>
        <w:t>, prepared for the Pennsylvania Office of Consumer Advocate, April 1988.</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Review and Comments on the FERC NOPR Concerning Independent Power Producers</w:t>
      </w:r>
      <w:r>
        <w:rPr>
          <w:szCs w:val="24"/>
        </w:rPr>
        <w:t>, prepared for the Pennsylvania Office of Consumer Advocate, June 1988.</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Pr="00B31A2E"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r>
        <w:rPr>
          <w:szCs w:val="24"/>
          <w:u w:val="single"/>
        </w:rPr>
        <w:t>The Costs to Maryland Utilities and Ratepayers of an Acid Rain Control Strategy – An Updated Analysis</w:t>
      </w:r>
      <w:r>
        <w:rPr>
          <w:szCs w:val="24"/>
        </w:rPr>
        <w:t>, prepared for the Maryland Power Plant Research Program, October 1987, AD-88-4.</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“Comments,” in </w:t>
      </w:r>
      <w:r>
        <w:rPr>
          <w:szCs w:val="24"/>
          <w:u w:val="single"/>
        </w:rPr>
        <w:t>New Regulatory and Management Strategies in a Changing Market Environment</w:t>
      </w:r>
      <w:r>
        <w:rPr>
          <w:szCs w:val="24"/>
        </w:rPr>
        <w:t xml:space="preserve"> (Harry M. Trebing and Patrick C. Mann, editors), Proceedings of the Institute of Public Utilities Eighteenth Annual Conference, 1987.</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Electric Power Resource Planning for the Potomac Electric Power Company</w:t>
      </w:r>
      <w:r>
        <w:rPr>
          <w:szCs w:val="24"/>
        </w:rPr>
        <w:t>, prepared for the Maryland Power Plant Research Program, July 1988.</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Power Plant Cumulative Environmental Impact Report for Maryland</w:t>
      </w:r>
      <w:r>
        <w:rPr>
          <w:szCs w:val="24"/>
        </w:rPr>
        <w:t xml:space="preserve"> (Thomas E. Magette, ed.), authored two chapters, November 1988, PPRP-CEIR-6.</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Resource Planning and Competitive Bidding for Delmarva Power &amp; Light Company</w:t>
      </w:r>
      <w:r>
        <w:rPr>
          <w:szCs w:val="24"/>
        </w:rPr>
        <w:t>, October 1990, prepared for the Maryland Department of Natural Resources (with M. Fullenbaum).</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Electric Power Rate Increases and the Cleveland Area Economy</w:t>
      </w:r>
      <w:r>
        <w:rPr>
          <w:szCs w:val="24"/>
        </w:rPr>
        <w:t>, prepared for the Northeast Ohio Areawide Coordinating Agency, October 1988.</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An Economic and Need for Power Evaluation of Baltimore Gas &amp; Electric Company’s Perryman Plant</w:t>
      </w:r>
      <w:r>
        <w:rPr>
          <w:szCs w:val="24"/>
        </w:rPr>
        <w:t>, May 1991, prepared for the Maryland Department of Natural Resources (with M. Fullenbaum).</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The Cost of Equity Capital for the Bell Local Exchange Companies in a New Era of Regulation</w:t>
      </w:r>
      <w:r>
        <w:rPr>
          <w:szCs w:val="24"/>
        </w:rPr>
        <w:t>, October 1991, presented at the Atlantic Economic Society 32</w:t>
      </w:r>
      <w:r w:rsidRPr="00B31A2E">
        <w:rPr>
          <w:szCs w:val="24"/>
          <w:vertAlign w:val="superscript"/>
        </w:rPr>
        <w:t>nd</w:t>
      </w:r>
      <w:r>
        <w:rPr>
          <w:szCs w:val="24"/>
        </w:rPr>
        <w:t xml:space="preserve"> Conference, Washington, D.C.</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A Need for Power Review of Delmarva Power &amp; Light Company’s Dorchester Unit 1 Power Plant</w:t>
      </w:r>
      <w:r>
        <w:rPr>
          <w:szCs w:val="24"/>
        </w:rPr>
        <w:t>, March 1993, prepared for the Maryland Department of National Resources (with M. Fullenbaum).</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The AES Warrior Run Project: Impact on Western Maryland Economic Activity and Electric Rates</w:t>
      </w:r>
      <w:r>
        <w:rPr>
          <w:szCs w:val="24"/>
        </w:rPr>
        <w:t>, February 1993, prepared for the Maryland Power Plant Research Program (with Peter Hall).</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An Economic Perspective on Competition and the Electric Utility Industry</w:t>
      </w:r>
      <w:r>
        <w:rPr>
          <w:szCs w:val="24"/>
        </w:rPr>
        <w:t>, November 1994, prepared for the Electric Consumers’ Alliance.</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PEPCO’s Clean Air Act Compliance Plan: Status Report</w:t>
      </w:r>
      <w:r>
        <w:rPr>
          <w:szCs w:val="24"/>
        </w:rPr>
        <w:t>, prepared for the Maryland Power Plant Research Plan, January 1995 (w/Diane Mountain, Environmental Resources Management, Inc.).</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The FERC Open Access Rulemaking: A Review of the Issues</w:t>
      </w:r>
      <w:r>
        <w:rPr>
          <w:szCs w:val="24"/>
        </w:rPr>
        <w:t>, prepared for the Indiana Office of Utility Consumer Counselor and the Pennsylvania Office of Consumer Advocate, June 1995.</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A Status Report on Electric Utility Restructuring: Issues for Maryland</w:t>
      </w:r>
      <w:r>
        <w:rPr>
          <w:szCs w:val="24"/>
        </w:rPr>
        <w:t>, prepared for the Maryland Power Plant Research Program, November 1995 (with Daphne Psacharopoulos).</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Modeling the Financial Impacts on the Bell Regional Holding Companies from Changes in Access Rates</w:t>
      </w:r>
      <w:r>
        <w:rPr>
          <w:szCs w:val="24"/>
        </w:rPr>
        <w:t>, prepared for MCI Corporation, May 1996.</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The CSEF Electric Deregulation Study:  Economic Miracle or the Economists’ Cold Fusion?</w:t>
      </w:r>
      <w:r>
        <w:rPr>
          <w:szCs w:val="24"/>
        </w:rPr>
        <w:t>, prepared for the Electric Consumers’ Alliance, Indianapolis, Indiana, October 1996.</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Reducing Rates for Interstate Access Service: Financial Impacts on the Bell Regional Holding Companies</w:t>
      </w:r>
      <w:r>
        <w:rPr>
          <w:szCs w:val="24"/>
        </w:rPr>
        <w:t>, prepared for MCI Corporation, May 1997.</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The New Hampshire Retail Competition Pilot Program: A Preliminary Evaluation</w:t>
      </w:r>
      <w:r>
        <w:rPr>
          <w:szCs w:val="24"/>
        </w:rPr>
        <w:t>, July 1997, prepared for the Electric Consumers’ Alliance (with Jerome D. Mierzwa).</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Electric Restructuring and the Environment: Issue Identification for Maryland</w:t>
      </w:r>
      <w:r>
        <w:rPr>
          <w:szCs w:val="24"/>
        </w:rPr>
        <w:t>, March 1997, prepared for the Maryland Power Plant Research Program (with Environmental Resource Management, Inc.).</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An Analysis of Electric Utility Embedded Power Supply Costs</w:t>
      </w:r>
      <w:r>
        <w:rPr>
          <w:szCs w:val="24"/>
        </w:rPr>
        <w:t>, prepared for Power-Gen International Conference, Dallas, Texas, December 1997.</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Market Power Outlook for Generation Supply in Louisiana</w:t>
      </w:r>
      <w:r>
        <w:rPr>
          <w:szCs w:val="24"/>
        </w:rPr>
        <w:t>, December 2000, prepared for the Louisiana Public Service Commission (with others).</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u w:val="single"/>
        </w:rPr>
        <w:t>A Review of Issues Concerning Electric Power Capacity Markets</w:t>
      </w:r>
      <w:r>
        <w:rPr>
          <w:szCs w:val="24"/>
        </w:rPr>
        <w:t>, prepared for the Maryland Power Plant Research Program, December 2001 (with B. Hobbs and J. Inon).</w:t>
      </w:r>
    </w:p>
    <w:p w:rsidR="00F826FC" w:rsidRDefault="00F826FC" w:rsidP="00F826F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u w:val="single"/>
        </w:rPr>
        <w:t>The Economic Feasibility of Air Emissions Controls at the Brandon Shores and Morgantown Coal-fired Power Plants</w:t>
      </w:r>
      <w:r>
        <w:rPr>
          <w:szCs w:val="24"/>
        </w:rPr>
        <w:t>, February 2005 (prepared for the Chesapeake Bay Foundation).</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The Economic Feasibility of Power Plant Retirements on the Entergy System</w:t>
      </w:r>
      <w:r>
        <w:rPr>
          <w:szCs w:val="24"/>
        </w:rPr>
        <w:t>, September 2005, with Phil Hayet (prepared for the Louisiana Public Service Commission).</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Expert Report on Capital Structure, Equity and Debt Costs</w:t>
      </w:r>
      <w:r>
        <w:rPr>
          <w:szCs w:val="24"/>
        </w:rPr>
        <w:t>, prepared for the Edmonton Regional Water Customers Group, August 30, 2006.</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Maryland’s Options to Reduce and Stabilize Electric Power Prices Following Restructuring</w:t>
      </w:r>
      <w:r>
        <w:rPr>
          <w:szCs w:val="24"/>
        </w:rPr>
        <w:t>, with Steven L. Estomin, prepared for the Power Plant Research Program, Maryland Department of Natural Resources, September 2006.</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Pr="003D5288"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Expert Report of Matthew I. Kahal</w:t>
      </w:r>
      <w:r>
        <w:rPr>
          <w:szCs w:val="24"/>
        </w:rPr>
        <w:t xml:space="preserve">, on behalf of the U. S. Department of Justice, August 2008, Civil Action No. IP-99-1693C-MIS. </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Pr="00F55D9D"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F55D9D">
        <w:rPr>
          <w:bCs/>
          <w:szCs w:val="24"/>
          <w:u w:val="single"/>
        </w:rPr>
        <w:t>Conference and Workshop Presentations</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Workshop on State Load Forecasting Programs, sponsored by the Nuclear Regulatory Commission and Oak Ridge National Laboratory, February 1982 (presentation on forecasting methodology).</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Fourteenth Annual Conference of the Michigan State University Institute for Public Utilities, December 1982 (presentation on problems in forecasting).</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Conference on Conservation and Load Management, sponsored by the Massachusetts Energy Facilities Siting Council, May 1983 (presentation on cost-benefit criteria).</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Maryland Conference on Load Forecasting, sponsored by the Maryland Power Plant Siting Program and the Maryland Public Service Commission, June 1983 (presentation on overforecasting power demands).</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5th Annual Meetings of the International Association of Energy Economists, June 1983 (presentation on evaluating weatherization programs).</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NARUC Advanced Regulatory Studies Program (presented lectures on capacity planning for electric utilities), February 1984.</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16th Annual Conference of the Institute of Public Utilities, Michigan State University (discussant on phase-in and excess capacity), December 1984.</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U.S. Department of Energy Utilities Conference, Las Vegas, Nevada (presentation of current and future regulatory issues), May 1985.</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keepNext/>
        <w:keepLines/>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18th Annual Conference of the Institute of Public Utilities, Michigan State University, Williamsburg, Virginia, December 1986 (discussant on cogeneration).</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NRECA Conference on Load Forecasting, sponsored by the National Rural Electric Cooperative Association, New Orleans, Louisiana, December 1987 (presentation on load forecast accuracy).</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keepNext/>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Second Rutgers/New Jersey Department of Commerce Annual Conference on Energy Policy in the Middle Atlantic States, Rutgers University, April 1988 (presentation on spot pricing of electricity).</w:t>
      </w:r>
    </w:p>
    <w:p w:rsidR="00F826FC" w:rsidRDefault="00F826FC" w:rsidP="00F826FC">
      <w:pPr>
        <w:keepNext/>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NASUCA 1988 Mid-Year Meeting, Annapolis, Maryland, June 1988, sponsored by the National Association of State Utility Consumer Advocates (presentation on the FERC electricity avoided cost NOPRs).</w:t>
      </w:r>
      <w:r>
        <w:rPr>
          <w:szCs w:val="24"/>
        </w:rPr>
        <w:tab/>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Thirty-Second Atlantic Economic Society Conference, Washington, D.C., October 1991 (presentation of a paper on cost of capital issues for the Bell Operating Companies).</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NASUCA 1993 Mid-Year Meeting, St. Louis, Missouri, sponsored by the National Association of State Utility Consumer Advocates, June 1993 (presentation on regulatory issues concerning electric utility mergers).</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NASUCA and NARUC annual meetings in New York City, November 1993 (presentations and panel discussions on the emerging FERC policies on transmission pricing).</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NASUCA annual meetings in Reno, Nevada, November 1994 (presentation concerning the FERC NOPR on stranded cost recovery).</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U.S. Department of Energy Utilities/Energy Management Workshop, March 1995 (presentation concerning electric utility competition).</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1995 NASUCA Mid-Year Meeting, Breckenridge, Colorado, June 1995 (presentation concerning the FERC rulemaking on electric transmission open access).</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1996 NASUCA Mid-Year Meeting, Chicago, Illinois, June 1996 (presentation concerning electric utility merger issues).</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Conference on “Restructuring the Electric Industry,” sponsored by the National Consumers League and Electric Consumers Alliance, Washington, D.C., May 1997 (presentation on retail access pilot programs).</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1997 Mid-Atlantic Conference of Regulatory Utilities Commissioners (MARUC), Hot Springs, Virginia, July 1997 (presentation concerning electric deregulation issues).</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Power-Gen ‘97 International Conference, Dallas, Texas, December 1997 (presentation concerning utility embedded costs of generation supply).</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Consumer Summit on Electric Competition, sponsored by the National Consumers League and Electric Consumers’ Alliance, Washington, D.C., March 2001 (presentation concerning generation supply and reliability).</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National Association of State Utility Consumer Advocates, Mid-Year Meetings, Austin, Texas, June 16-17, 2002 (presenter and panelist on RTO/Standard Market Design issues).</w:t>
      </w:r>
    </w:p>
    <w:p w:rsidR="00F826FC" w:rsidRDefault="00F826FC" w:rsidP="00F82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826FC" w:rsidRDefault="00F826FC" w:rsidP="00F82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Louisiana State Bar Association, Public Utility Section, Baton Rouge, Louisiana, October 2, 2002 (presentation on Performance-Based Ratemaking and panelist on RTO issues).</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Virginia State Corporation Commission/Virginia State Bar, Twenty-Second National Regulatory Conference, Williamsburg, Virginia, May 10, 2004 (presentation on Electric Transmission System Planning).</w:t>
      </w:r>
    </w:p>
    <w:p w:rsidR="00F826FC"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826FC" w:rsidRDefault="00F826FC" w:rsidP="00F826FC">
      <w:pPr>
        <w:spacing w:after="200" w:line="276" w:lineRule="auto"/>
        <w:rPr>
          <w:sz w:val="16"/>
          <w:szCs w:val="16"/>
        </w:rPr>
      </w:pPr>
    </w:p>
    <w:p w:rsidR="00F826FC" w:rsidRDefault="00F826FC" w:rsidP="00F826FC">
      <w:pPr>
        <w:spacing w:after="200" w:line="276" w:lineRule="auto"/>
        <w:rPr>
          <w:sz w:val="16"/>
          <w:szCs w:val="16"/>
        </w:rPr>
      </w:pPr>
    </w:p>
    <w:p w:rsidR="00F826FC" w:rsidRDefault="00F826FC" w:rsidP="00F826FC">
      <w:pPr>
        <w:spacing w:after="200" w:line="276" w:lineRule="auto"/>
        <w:rPr>
          <w:sz w:val="16"/>
          <w:szCs w:val="16"/>
        </w:rPr>
      </w:pPr>
    </w:p>
    <w:p w:rsidR="00F826FC" w:rsidRDefault="00F826FC" w:rsidP="00F826FC">
      <w:pPr>
        <w:spacing w:after="200" w:line="276" w:lineRule="auto"/>
        <w:rPr>
          <w:sz w:val="16"/>
          <w:szCs w:val="16"/>
        </w:rPr>
      </w:pPr>
    </w:p>
    <w:p w:rsidR="00F826FC" w:rsidRDefault="00F826FC" w:rsidP="00F826FC">
      <w:pPr>
        <w:spacing w:after="200" w:line="276" w:lineRule="auto"/>
        <w:rPr>
          <w:sz w:val="16"/>
          <w:szCs w:val="16"/>
        </w:rPr>
      </w:pPr>
    </w:p>
    <w:p w:rsidR="00F826FC" w:rsidRDefault="00F826FC" w:rsidP="00F826FC">
      <w:pPr>
        <w:spacing w:after="200" w:line="276" w:lineRule="auto"/>
        <w:rPr>
          <w:sz w:val="16"/>
          <w:szCs w:val="16"/>
        </w:rPr>
      </w:pPr>
    </w:p>
    <w:p w:rsidR="00F826FC" w:rsidRDefault="00F826FC" w:rsidP="00F826FC">
      <w:pPr>
        <w:spacing w:after="200" w:line="276" w:lineRule="auto"/>
        <w:rPr>
          <w:sz w:val="16"/>
          <w:szCs w:val="16"/>
        </w:rPr>
      </w:pPr>
    </w:p>
    <w:p w:rsidR="00F826FC" w:rsidRDefault="00F826FC" w:rsidP="00F826FC">
      <w:pPr>
        <w:spacing w:after="200" w:line="276" w:lineRule="auto"/>
        <w:rPr>
          <w:sz w:val="16"/>
          <w:szCs w:val="16"/>
        </w:rPr>
      </w:pPr>
    </w:p>
    <w:p w:rsidR="00F826FC" w:rsidRDefault="00F826FC" w:rsidP="00F826FC">
      <w:pPr>
        <w:spacing w:after="200" w:line="276" w:lineRule="auto"/>
        <w:rPr>
          <w:sz w:val="16"/>
          <w:szCs w:val="16"/>
        </w:rPr>
      </w:pPr>
    </w:p>
    <w:p w:rsidR="00F826FC" w:rsidRDefault="00F826FC" w:rsidP="00F826FC">
      <w:pPr>
        <w:spacing w:after="200" w:line="276" w:lineRule="auto"/>
        <w:rPr>
          <w:sz w:val="16"/>
          <w:szCs w:val="16"/>
        </w:rPr>
        <w:sectPr w:rsidR="00F826FC" w:rsidSect="0019041E">
          <w:footerReference w:type="default" r:id="rId26"/>
          <w:pgSz w:w="12240" w:h="15840" w:code="1"/>
          <w:pgMar w:top="1440" w:right="1440" w:bottom="1440" w:left="1440" w:header="1440" w:footer="1440" w:gutter="0"/>
          <w:pgBorders>
            <w:top w:val="single" w:sz="12" w:space="1" w:color="auto" w:shadow="1"/>
            <w:left w:val="single" w:sz="12" w:space="4" w:color="auto" w:shadow="1"/>
            <w:bottom w:val="single" w:sz="12" w:space="1" w:color="auto" w:shadow="1"/>
            <w:right w:val="single" w:sz="12" w:space="4" w:color="auto" w:shadow="1"/>
          </w:pgBorders>
          <w:pgNumType w:start="1"/>
          <w:cols w:space="720"/>
          <w:docGrid w:linePitch="272"/>
        </w:sectPr>
      </w:pPr>
    </w:p>
    <w:p w:rsidR="00F826FC" w:rsidRDefault="00F826FC" w:rsidP="00F826FC">
      <w:pPr>
        <w:spacing w:after="200" w:line="276" w:lineRule="auto"/>
        <w:rPr>
          <w:sz w:val="16"/>
          <w:szCs w:val="16"/>
        </w:rPr>
      </w:pPr>
    </w:p>
    <w:p w:rsidR="00F826FC" w:rsidRDefault="00F826FC" w:rsidP="00F826FC">
      <w:pPr>
        <w:spacing w:after="200" w:line="276" w:lineRule="auto"/>
        <w:rPr>
          <w:sz w:val="16"/>
          <w:szCs w:val="16"/>
        </w:rPr>
      </w:pPr>
    </w:p>
    <w:p w:rsidR="00F826FC" w:rsidRDefault="00F826FC" w:rsidP="00F826FC">
      <w:pPr>
        <w:jc w:val="center"/>
        <w:rPr>
          <w:lang w:val="en-CA"/>
        </w:rPr>
      </w:pPr>
    </w:p>
    <w:p w:rsidR="00F826FC" w:rsidRDefault="00F826FC" w:rsidP="00F826FC">
      <w:pPr>
        <w:jc w:val="center"/>
        <w:rPr>
          <w:lang w:val="en-CA"/>
        </w:rPr>
      </w:pPr>
    </w:p>
    <w:p w:rsidR="00F826FC" w:rsidRDefault="00F826FC" w:rsidP="00F826FC">
      <w:pPr>
        <w:pStyle w:val="NormalWeb"/>
        <w:shd w:val="clear" w:color="auto" w:fill="FFFFFF"/>
        <w:jc w:val="center"/>
        <w:rPr>
          <w:rFonts w:ascii="Calibri" w:hAnsi="Calibri"/>
          <w:b/>
          <w:color w:val="000000"/>
        </w:rPr>
      </w:pPr>
    </w:p>
    <w:p w:rsidR="00F826FC" w:rsidRDefault="00F826FC" w:rsidP="00F826FC">
      <w:pPr>
        <w:pStyle w:val="NormalWeb"/>
        <w:shd w:val="clear" w:color="auto" w:fill="FFFFFF"/>
        <w:jc w:val="center"/>
        <w:rPr>
          <w:rFonts w:ascii="Calibri" w:hAnsi="Calibri"/>
          <w:b/>
          <w:color w:val="000000"/>
        </w:rPr>
      </w:pPr>
    </w:p>
    <w:p w:rsidR="00F826FC" w:rsidRDefault="00F826FC" w:rsidP="00F826FC">
      <w:pPr>
        <w:pStyle w:val="NormalWeb"/>
        <w:shd w:val="clear" w:color="auto" w:fill="FFFFFF"/>
        <w:jc w:val="center"/>
        <w:rPr>
          <w:rFonts w:ascii="Calibri" w:hAnsi="Calibri"/>
          <w:b/>
          <w:color w:val="000000"/>
        </w:rPr>
      </w:pPr>
    </w:p>
    <w:p w:rsidR="00F826FC" w:rsidRDefault="00F826FC" w:rsidP="00F826FC">
      <w:pPr>
        <w:pStyle w:val="NormalWeb"/>
        <w:shd w:val="clear" w:color="auto" w:fill="FFFFFF"/>
        <w:jc w:val="center"/>
        <w:rPr>
          <w:rFonts w:ascii="Calibri" w:hAnsi="Calibri"/>
          <w:b/>
          <w:color w:val="000000"/>
        </w:rPr>
      </w:pPr>
    </w:p>
    <w:p w:rsidR="00F826FC" w:rsidRDefault="00F826FC" w:rsidP="00F826FC">
      <w:pPr>
        <w:pStyle w:val="NormalWeb"/>
        <w:shd w:val="clear" w:color="auto" w:fill="FFFFFF"/>
        <w:jc w:val="center"/>
        <w:rPr>
          <w:rFonts w:ascii="Calibri" w:hAnsi="Calibri"/>
          <w:b/>
          <w:color w:val="000000"/>
        </w:rPr>
      </w:pPr>
    </w:p>
    <w:p w:rsidR="00F826FC" w:rsidRDefault="00F826FC" w:rsidP="00F826FC">
      <w:pPr>
        <w:pStyle w:val="NormalWeb"/>
        <w:shd w:val="clear" w:color="auto" w:fill="FFFFFF"/>
        <w:jc w:val="center"/>
        <w:rPr>
          <w:rFonts w:ascii="Calibri" w:hAnsi="Calibri"/>
          <w:b/>
          <w:color w:val="000000"/>
        </w:rPr>
      </w:pPr>
    </w:p>
    <w:p w:rsidR="00F826FC" w:rsidRDefault="00F826FC" w:rsidP="00F826FC">
      <w:pPr>
        <w:pStyle w:val="NormalWeb"/>
        <w:shd w:val="clear" w:color="auto" w:fill="FFFFFF"/>
        <w:jc w:val="center"/>
        <w:rPr>
          <w:rFonts w:ascii="Calibri" w:hAnsi="Calibri"/>
          <w:b/>
          <w:color w:val="000000"/>
        </w:rPr>
      </w:pPr>
    </w:p>
    <w:p w:rsidR="00F826FC" w:rsidRDefault="00F826FC" w:rsidP="00F826FC">
      <w:pPr>
        <w:pStyle w:val="NormalWeb"/>
        <w:shd w:val="clear" w:color="auto" w:fill="FFFFFF"/>
        <w:jc w:val="center"/>
        <w:rPr>
          <w:rFonts w:ascii="Calibri" w:hAnsi="Calibri"/>
          <w:b/>
          <w:color w:val="000000"/>
        </w:rPr>
      </w:pPr>
    </w:p>
    <w:p w:rsidR="00F826FC" w:rsidRDefault="00F826FC" w:rsidP="00F826FC">
      <w:pPr>
        <w:pStyle w:val="NormalWeb"/>
        <w:shd w:val="clear" w:color="auto" w:fill="FFFFFF"/>
        <w:jc w:val="center"/>
        <w:rPr>
          <w:rFonts w:ascii="Calibri" w:hAnsi="Calibri"/>
          <w:b/>
          <w:color w:val="000000"/>
        </w:rPr>
      </w:pPr>
    </w:p>
    <w:p w:rsidR="00F826FC" w:rsidRPr="00930D77" w:rsidRDefault="00F826FC" w:rsidP="00F826FC">
      <w:pPr>
        <w:pStyle w:val="NormalWeb"/>
        <w:shd w:val="clear" w:color="auto" w:fill="FFFFFF"/>
        <w:jc w:val="center"/>
        <w:rPr>
          <w:b/>
          <w:color w:val="000000"/>
          <w:sz w:val="28"/>
        </w:rPr>
      </w:pPr>
      <w:r w:rsidRPr="00930D77">
        <w:rPr>
          <w:b/>
          <w:color w:val="000000"/>
          <w:sz w:val="28"/>
        </w:rPr>
        <w:t>APPENDIX B</w:t>
      </w:r>
    </w:p>
    <w:p w:rsidR="00F826FC" w:rsidRPr="00930D77" w:rsidRDefault="00F826FC" w:rsidP="00F826FC">
      <w:pPr>
        <w:pStyle w:val="NormalWeb"/>
        <w:shd w:val="clear" w:color="auto" w:fill="FFFFFF"/>
        <w:jc w:val="center"/>
        <w:rPr>
          <w:b/>
          <w:color w:val="282828"/>
          <w:sz w:val="28"/>
        </w:rPr>
      </w:pPr>
    </w:p>
    <w:p w:rsidR="00F826FC" w:rsidRPr="00930D77" w:rsidRDefault="00F826FC" w:rsidP="00F826FC">
      <w:pPr>
        <w:pStyle w:val="NormalWeb"/>
        <w:shd w:val="clear" w:color="auto" w:fill="FFFFFF"/>
        <w:jc w:val="center"/>
        <w:rPr>
          <w:b/>
          <w:color w:val="282828"/>
          <w:sz w:val="28"/>
        </w:rPr>
      </w:pPr>
    </w:p>
    <w:p w:rsidR="00F826FC" w:rsidRPr="00930D77" w:rsidRDefault="00F826FC" w:rsidP="00F826FC">
      <w:pPr>
        <w:pStyle w:val="NormalWeb"/>
        <w:shd w:val="clear" w:color="auto" w:fill="FFFFFF"/>
        <w:jc w:val="center"/>
        <w:rPr>
          <w:b/>
          <w:color w:val="282828"/>
          <w:sz w:val="28"/>
        </w:rPr>
      </w:pPr>
      <w:r w:rsidRPr="00930D77">
        <w:rPr>
          <w:b/>
          <w:color w:val="000000"/>
          <w:sz w:val="28"/>
        </w:rPr>
        <w:t>LIST OF PAST TESTIMONY OF</w:t>
      </w:r>
    </w:p>
    <w:p w:rsidR="00F826FC" w:rsidRPr="00930D77" w:rsidRDefault="00F826FC" w:rsidP="00F826FC">
      <w:pPr>
        <w:pStyle w:val="NormalWeb"/>
        <w:shd w:val="clear" w:color="auto" w:fill="FFFFFF"/>
        <w:jc w:val="center"/>
        <w:rPr>
          <w:b/>
          <w:color w:val="282828"/>
          <w:sz w:val="28"/>
        </w:rPr>
      </w:pPr>
    </w:p>
    <w:p w:rsidR="00F826FC" w:rsidRPr="00930D77" w:rsidRDefault="00F826FC" w:rsidP="00F826FC">
      <w:pPr>
        <w:pStyle w:val="NormalWeb"/>
        <w:shd w:val="clear" w:color="auto" w:fill="FFFFFF"/>
        <w:jc w:val="center"/>
        <w:rPr>
          <w:b/>
          <w:color w:val="282828"/>
          <w:sz w:val="28"/>
        </w:rPr>
      </w:pPr>
      <w:r w:rsidRPr="00930D77">
        <w:rPr>
          <w:b/>
          <w:color w:val="000000"/>
          <w:sz w:val="28"/>
        </w:rPr>
        <w:t>MATTHEW I. KAHAL</w:t>
      </w:r>
    </w:p>
    <w:p w:rsidR="00F826FC" w:rsidRPr="00930D77" w:rsidRDefault="00F826FC" w:rsidP="00F826FC">
      <w:pPr>
        <w:jc w:val="center"/>
        <w:rPr>
          <w:b/>
          <w:sz w:val="22"/>
          <w:lang w:val="en-CA"/>
        </w:rPr>
      </w:pPr>
    </w:p>
    <w:p w:rsidR="00F826FC" w:rsidRPr="00930D77" w:rsidRDefault="00F826FC" w:rsidP="00F826FC">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sectPr w:rsidR="00F826FC" w:rsidRPr="00930D77" w:rsidSect="0019041E">
          <w:headerReference w:type="default" r:id="rId27"/>
          <w:footerReference w:type="default" r:id="rId28"/>
          <w:pgSz w:w="12240" w:h="15840" w:code="1"/>
          <w:pgMar w:top="1440" w:right="1440" w:bottom="1440" w:left="1440" w:header="1440" w:footer="1440" w:gutter="0"/>
          <w:pgBorders>
            <w:top w:val="single" w:sz="12" w:space="1" w:color="auto" w:shadow="1"/>
            <w:left w:val="single" w:sz="12" w:space="4" w:color="auto" w:shadow="1"/>
            <w:bottom w:val="single" w:sz="12" w:space="1" w:color="auto" w:shadow="1"/>
            <w:right w:val="single" w:sz="12" w:space="4" w:color="auto" w:shadow="1"/>
          </w:pgBorders>
          <w:pgNumType w:start="1"/>
          <w:cols w:space="720"/>
          <w:docGrid w:linePitch="272"/>
        </w:sect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 xml:space="preserve"> 1.</w:t>
      </w:r>
      <w:r>
        <w:rPr>
          <w:sz w:val="16"/>
          <w:szCs w:val="16"/>
        </w:rPr>
        <w:tab/>
        <w:t>27374 &amp; 27375</w:t>
      </w:r>
      <w:r>
        <w:rPr>
          <w:sz w:val="16"/>
          <w:szCs w:val="16"/>
        </w:rPr>
        <w:tab/>
        <w:t>Long Island Lighting Company</w:t>
      </w:r>
      <w:r>
        <w:rPr>
          <w:sz w:val="16"/>
          <w:szCs w:val="16"/>
        </w:rPr>
        <w:tab/>
        <w:t>New York Counties</w:t>
      </w:r>
      <w:r>
        <w:rPr>
          <w:sz w:val="16"/>
          <w:szCs w:val="16"/>
        </w:rPr>
        <w:tab/>
        <w:t>Nassau &amp; Suffolk</w:t>
      </w:r>
      <w:r>
        <w:rPr>
          <w:sz w:val="16"/>
          <w:szCs w:val="16"/>
        </w:rPr>
        <w:tab/>
        <w:t>Economic Impacts of Proposed</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October 1978</w:t>
      </w:r>
      <w:r>
        <w:rPr>
          <w:sz w:val="16"/>
          <w:szCs w:val="16"/>
        </w:rPr>
        <w:tab/>
      </w:r>
      <w:r>
        <w:rPr>
          <w:sz w:val="16"/>
          <w:szCs w:val="16"/>
        </w:rPr>
        <w:tab/>
      </w:r>
      <w:r>
        <w:rPr>
          <w:sz w:val="16"/>
          <w:szCs w:val="16"/>
        </w:rPr>
        <w:tab/>
      </w:r>
      <w:r>
        <w:rPr>
          <w:sz w:val="16"/>
          <w:szCs w:val="16"/>
        </w:rPr>
        <w:tab/>
      </w:r>
      <w:r>
        <w:rPr>
          <w:sz w:val="16"/>
          <w:szCs w:val="16"/>
        </w:rPr>
        <w:tab/>
        <w:t>Rate Increase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 xml:space="preserve"> 2.</w:t>
      </w:r>
      <w:r>
        <w:rPr>
          <w:sz w:val="16"/>
          <w:szCs w:val="16"/>
        </w:rPr>
        <w:tab/>
        <w:t>6807</w:t>
      </w:r>
      <w:r>
        <w:rPr>
          <w:sz w:val="16"/>
          <w:szCs w:val="16"/>
        </w:rPr>
        <w:tab/>
        <w:t>Generic</w:t>
      </w:r>
      <w:r>
        <w:rPr>
          <w:sz w:val="16"/>
          <w:szCs w:val="16"/>
        </w:rPr>
        <w:tab/>
        <w:t>Maryland</w:t>
      </w:r>
      <w:r>
        <w:rPr>
          <w:sz w:val="16"/>
          <w:szCs w:val="16"/>
        </w:rPr>
        <w:tab/>
        <w:t>MD Power Plant</w:t>
      </w:r>
      <w:r>
        <w:rPr>
          <w:sz w:val="16"/>
          <w:szCs w:val="16"/>
        </w:rPr>
        <w:tab/>
        <w:t>Load Forecasting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January 1978</w:t>
      </w:r>
      <w:r>
        <w:rPr>
          <w:sz w:val="16"/>
          <w:szCs w:val="16"/>
        </w:rPr>
        <w:tab/>
      </w:r>
      <w:r>
        <w:rPr>
          <w:sz w:val="16"/>
          <w:szCs w:val="16"/>
        </w:rPr>
        <w:tab/>
      </w:r>
      <w:r>
        <w:rPr>
          <w:sz w:val="16"/>
          <w:szCs w:val="16"/>
        </w:rPr>
        <w:tab/>
        <w:t xml:space="preserve">  </w:t>
      </w:r>
      <w:r>
        <w:rPr>
          <w:sz w:val="16"/>
          <w:szCs w:val="16"/>
        </w:rPr>
        <w:tab/>
        <w:t xml:space="preserve">  Siting Program</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 xml:space="preserve"> 3.</w:t>
      </w:r>
      <w:r>
        <w:rPr>
          <w:sz w:val="16"/>
          <w:szCs w:val="16"/>
        </w:rPr>
        <w:tab/>
        <w:t>78-676-EL-AIR</w:t>
      </w:r>
      <w:r>
        <w:rPr>
          <w:sz w:val="16"/>
          <w:szCs w:val="16"/>
        </w:rPr>
        <w:tab/>
        <w:t>Ohio Power Company</w:t>
      </w:r>
      <w:r>
        <w:rPr>
          <w:sz w:val="16"/>
          <w:szCs w:val="16"/>
        </w:rPr>
        <w:tab/>
        <w:t>Ohio</w:t>
      </w:r>
      <w:r>
        <w:rPr>
          <w:sz w:val="16"/>
          <w:szCs w:val="16"/>
        </w:rPr>
        <w:tab/>
        <w:t>Ohio Consumers’ Counsel</w:t>
      </w:r>
      <w:r>
        <w:rPr>
          <w:sz w:val="16"/>
          <w:szCs w:val="16"/>
        </w:rPr>
        <w:tab/>
        <w:t>Test Year Sales and Revenues</w:t>
      </w:r>
    </w:p>
    <w:p w:rsidR="00F826FC" w:rsidRDefault="00F826FC" w:rsidP="00F826FC">
      <w:pPr>
        <w:tabs>
          <w:tab w:val="left" w:pos="-1440"/>
          <w:tab w:val="left" w:pos="-720"/>
          <w:tab w:val="left" w:pos="0"/>
          <w:tab w:val="left" w:pos="600"/>
          <w:tab w:val="left" w:pos="2640"/>
          <w:tab w:val="left" w:pos="2880"/>
          <w:tab w:val="left" w:pos="5280"/>
          <w:tab w:val="left" w:pos="6489"/>
          <w:tab w:val="left" w:pos="7440"/>
          <w:tab w:val="left" w:pos="10200"/>
          <w:tab w:val="left" w:pos="10800"/>
          <w:tab w:val="left" w:pos="11520"/>
          <w:tab w:val="left" w:pos="12240"/>
        </w:tabs>
        <w:rPr>
          <w:sz w:val="16"/>
          <w:szCs w:val="16"/>
        </w:rPr>
      </w:pPr>
      <w:r>
        <w:rPr>
          <w:sz w:val="16"/>
          <w:szCs w:val="16"/>
        </w:rPr>
        <w:tab/>
        <w:t>February 1978</w:t>
      </w:r>
      <w:r>
        <w:rPr>
          <w:sz w:val="16"/>
          <w:szCs w:val="16"/>
        </w:rPr>
        <w:tab/>
      </w:r>
      <w:r>
        <w:rPr>
          <w:sz w:val="16"/>
          <w:szCs w:val="16"/>
        </w:rPr>
        <w:tab/>
      </w:r>
      <w:r>
        <w:rPr>
          <w:sz w:val="16"/>
          <w:szCs w:val="16"/>
        </w:rPr>
        <w:tab/>
      </w:r>
      <w:r>
        <w:rPr>
          <w:sz w:val="16"/>
          <w:szCs w:val="16"/>
        </w:rPr>
        <w:tab/>
      </w:r>
      <w:r>
        <w:rPr>
          <w:sz w:val="16"/>
          <w:szCs w:val="16"/>
        </w:rPr>
        <w:tab/>
        <w:t xml:space="preserve">           </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 xml:space="preserve"> 4.</w:t>
      </w:r>
      <w:r>
        <w:rPr>
          <w:sz w:val="16"/>
          <w:szCs w:val="16"/>
        </w:rPr>
        <w:tab/>
        <w:t>17667</w:t>
      </w:r>
      <w:r>
        <w:rPr>
          <w:sz w:val="16"/>
          <w:szCs w:val="16"/>
        </w:rPr>
        <w:tab/>
        <w:t>Alabama Power Company</w:t>
      </w:r>
      <w:r>
        <w:rPr>
          <w:sz w:val="16"/>
          <w:szCs w:val="16"/>
        </w:rPr>
        <w:tab/>
        <w:t>Alabama</w:t>
      </w:r>
      <w:r>
        <w:rPr>
          <w:sz w:val="16"/>
          <w:szCs w:val="16"/>
        </w:rPr>
        <w:tab/>
        <w:t>Attorney General</w:t>
      </w:r>
      <w:r>
        <w:rPr>
          <w:sz w:val="16"/>
          <w:szCs w:val="16"/>
        </w:rPr>
        <w:tab/>
        <w:t>Test Year Sales, Revenues, Costs,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1979</w:t>
      </w:r>
      <w:r>
        <w:rPr>
          <w:sz w:val="16"/>
          <w:szCs w:val="16"/>
        </w:rPr>
        <w:tab/>
      </w:r>
      <w:r>
        <w:rPr>
          <w:sz w:val="16"/>
          <w:szCs w:val="16"/>
        </w:rPr>
        <w:tab/>
      </w:r>
      <w:r>
        <w:rPr>
          <w:sz w:val="16"/>
          <w:szCs w:val="16"/>
        </w:rPr>
        <w:tab/>
      </w:r>
      <w:r>
        <w:rPr>
          <w:sz w:val="16"/>
          <w:szCs w:val="16"/>
        </w:rPr>
        <w:tab/>
      </w:r>
      <w:r>
        <w:rPr>
          <w:sz w:val="16"/>
          <w:szCs w:val="16"/>
        </w:rPr>
        <w:tab/>
        <w:t xml:space="preserve">and Load Forecasts </w:t>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 xml:space="preserve"> 5.</w:t>
      </w:r>
      <w:r>
        <w:rPr>
          <w:sz w:val="16"/>
          <w:szCs w:val="16"/>
        </w:rPr>
        <w:tab/>
        <w:t>None</w:t>
      </w:r>
      <w:r>
        <w:rPr>
          <w:sz w:val="16"/>
          <w:szCs w:val="16"/>
        </w:rPr>
        <w:tab/>
        <w:t>Tennessee Valley</w:t>
      </w:r>
      <w:r>
        <w:rPr>
          <w:sz w:val="16"/>
          <w:szCs w:val="16"/>
        </w:rPr>
        <w:tab/>
        <w:t>TVA Board</w:t>
      </w:r>
      <w:r>
        <w:rPr>
          <w:sz w:val="16"/>
          <w:szCs w:val="16"/>
        </w:rPr>
        <w:tab/>
        <w:t>League of Women Voters</w:t>
      </w:r>
      <w:r>
        <w:rPr>
          <w:sz w:val="16"/>
          <w:szCs w:val="16"/>
        </w:rPr>
        <w:tab/>
        <w:t>Time-of-Use Pricing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1980</w:t>
      </w:r>
      <w:r>
        <w:rPr>
          <w:sz w:val="16"/>
          <w:szCs w:val="16"/>
        </w:rPr>
        <w:tab/>
      </w:r>
      <w:r>
        <w:rPr>
          <w:sz w:val="16"/>
          <w:szCs w:val="16"/>
        </w:rPr>
        <w:tab/>
        <w:t>Authority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 xml:space="preserve"> 6.</w:t>
      </w:r>
      <w:r>
        <w:rPr>
          <w:sz w:val="16"/>
          <w:szCs w:val="16"/>
        </w:rPr>
        <w:tab/>
        <w:t>R-80021082</w:t>
      </w:r>
      <w:r>
        <w:rPr>
          <w:sz w:val="16"/>
          <w:szCs w:val="16"/>
        </w:rPr>
        <w:tab/>
        <w:t>West Penn Power Company</w:t>
      </w:r>
      <w:r>
        <w:rPr>
          <w:sz w:val="16"/>
          <w:szCs w:val="16"/>
        </w:rPr>
        <w:tab/>
        <w:t>Pennsylvania</w:t>
      </w:r>
      <w:r>
        <w:rPr>
          <w:sz w:val="16"/>
          <w:szCs w:val="16"/>
        </w:rPr>
        <w:tab/>
        <w:t>Office of Consumer Advocate</w:t>
      </w:r>
      <w:r>
        <w:rPr>
          <w:sz w:val="16"/>
          <w:szCs w:val="16"/>
        </w:rPr>
        <w:tab/>
        <w:t>Load Forecasting, Marginal Cost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pricing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 xml:space="preserve"> 7.</w:t>
      </w:r>
      <w:r>
        <w:rPr>
          <w:sz w:val="16"/>
          <w:szCs w:val="16"/>
        </w:rPr>
        <w:tab/>
        <w:t>7259 (Phase I)</w:t>
      </w:r>
      <w:r>
        <w:rPr>
          <w:sz w:val="16"/>
          <w:szCs w:val="16"/>
        </w:rPr>
        <w:tab/>
        <w:t>Potomac Edison Company</w:t>
      </w:r>
      <w:r>
        <w:rPr>
          <w:sz w:val="16"/>
          <w:szCs w:val="16"/>
        </w:rPr>
        <w:tab/>
        <w:t>Maryland</w:t>
      </w:r>
      <w:r>
        <w:rPr>
          <w:sz w:val="16"/>
          <w:szCs w:val="16"/>
        </w:rPr>
        <w:tab/>
        <w:t>MD Power Plant Siting Program</w:t>
      </w:r>
      <w:r>
        <w:rPr>
          <w:sz w:val="16"/>
          <w:szCs w:val="16"/>
        </w:rPr>
        <w:tab/>
        <w:t>Load Forecasting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October 1980</w:t>
      </w:r>
      <w:r>
        <w:rPr>
          <w:sz w:val="16"/>
          <w:szCs w:val="16"/>
        </w:rPr>
        <w:tab/>
      </w:r>
      <w:r>
        <w:rPr>
          <w:sz w:val="16"/>
          <w:szCs w:val="16"/>
        </w:rPr>
        <w:tab/>
      </w:r>
      <w:r>
        <w:rPr>
          <w:sz w:val="16"/>
          <w:szCs w:val="16"/>
        </w:rPr>
        <w:tab/>
      </w:r>
      <w:r>
        <w:rPr>
          <w:sz w:val="16"/>
          <w:szCs w:val="16"/>
        </w:rPr>
        <w:tab/>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 xml:space="preserve"> 8.</w:t>
      </w:r>
      <w:r>
        <w:rPr>
          <w:sz w:val="16"/>
          <w:szCs w:val="16"/>
        </w:rPr>
        <w:tab/>
        <w:t>7222</w:t>
      </w:r>
      <w:r>
        <w:rPr>
          <w:sz w:val="16"/>
          <w:szCs w:val="16"/>
        </w:rPr>
        <w:tab/>
        <w:t xml:space="preserve">Delmarva Power &amp; Light </w:t>
      </w:r>
      <w:r>
        <w:rPr>
          <w:sz w:val="16"/>
          <w:szCs w:val="16"/>
        </w:rPr>
        <w:tab/>
        <w:t>Maryland</w:t>
      </w:r>
      <w:r>
        <w:rPr>
          <w:sz w:val="16"/>
          <w:szCs w:val="16"/>
        </w:rPr>
        <w:tab/>
        <w:t>MD Power Plant Siting Program</w:t>
      </w:r>
      <w:r>
        <w:rPr>
          <w:sz w:val="16"/>
          <w:szCs w:val="16"/>
        </w:rPr>
        <w:tab/>
        <w:t xml:space="preserve">Need for Plant, Load </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December 1980</w:t>
      </w:r>
      <w:r>
        <w:rPr>
          <w:sz w:val="16"/>
          <w:szCs w:val="16"/>
        </w:rPr>
        <w:tab/>
      </w:r>
      <w:r>
        <w:rPr>
          <w:sz w:val="16"/>
          <w:szCs w:val="16"/>
        </w:rPr>
        <w:tab/>
        <w:t>Company</w:t>
      </w:r>
      <w:r>
        <w:rPr>
          <w:sz w:val="16"/>
          <w:szCs w:val="16"/>
        </w:rPr>
        <w:tab/>
      </w:r>
      <w:r>
        <w:rPr>
          <w:sz w:val="16"/>
          <w:szCs w:val="16"/>
        </w:rPr>
        <w:tab/>
      </w:r>
      <w:r>
        <w:rPr>
          <w:sz w:val="16"/>
          <w:szCs w:val="16"/>
        </w:rPr>
        <w:tab/>
        <w:t>Forecasting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 xml:space="preserve"> 9.</w:t>
      </w:r>
      <w:r>
        <w:rPr>
          <w:sz w:val="16"/>
          <w:szCs w:val="16"/>
        </w:rPr>
        <w:tab/>
        <w:t>7441</w:t>
      </w:r>
      <w:r>
        <w:rPr>
          <w:sz w:val="16"/>
          <w:szCs w:val="16"/>
        </w:rPr>
        <w:tab/>
        <w:t xml:space="preserve">Potomac Electric </w:t>
      </w:r>
      <w:r>
        <w:rPr>
          <w:sz w:val="16"/>
          <w:szCs w:val="16"/>
        </w:rPr>
        <w:tab/>
        <w:t>Maryland</w:t>
      </w:r>
      <w:r>
        <w:rPr>
          <w:sz w:val="16"/>
          <w:szCs w:val="16"/>
        </w:rPr>
        <w:tab/>
        <w:t>Commission Staff</w:t>
      </w:r>
      <w:r>
        <w:rPr>
          <w:sz w:val="16"/>
          <w:szCs w:val="16"/>
        </w:rPr>
        <w:tab/>
        <w:t>PURPA Standards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1981</w:t>
      </w:r>
      <w:r>
        <w:rPr>
          <w:sz w:val="16"/>
          <w:szCs w:val="16"/>
        </w:rPr>
        <w:tab/>
      </w:r>
      <w:r>
        <w:rPr>
          <w:sz w:val="16"/>
          <w:szCs w:val="16"/>
        </w:rPr>
        <w:tab/>
        <w:t>Power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10.</w:t>
      </w:r>
      <w:r>
        <w:rPr>
          <w:sz w:val="16"/>
          <w:szCs w:val="16"/>
        </w:rPr>
        <w:tab/>
        <w:t>7159</w:t>
      </w:r>
      <w:r>
        <w:rPr>
          <w:sz w:val="16"/>
          <w:szCs w:val="16"/>
        </w:rPr>
        <w:tab/>
        <w:t>Baltimore Gas &amp; Electric</w:t>
      </w:r>
      <w:r>
        <w:rPr>
          <w:sz w:val="16"/>
          <w:szCs w:val="16"/>
        </w:rPr>
        <w:tab/>
        <w:t>Maryland</w:t>
      </w:r>
      <w:r>
        <w:rPr>
          <w:sz w:val="16"/>
          <w:szCs w:val="16"/>
        </w:rPr>
        <w:tab/>
        <w:t>Commission Staff</w:t>
      </w:r>
      <w:r>
        <w:rPr>
          <w:sz w:val="16"/>
          <w:szCs w:val="16"/>
        </w:rPr>
        <w:tab/>
        <w:t>Time-of-Use Pricing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1980</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11.</w:t>
      </w:r>
      <w:r>
        <w:rPr>
          <w:sz w:val="16"/>
          <w:szCs w:val="16"/>
        </w:rPr>
        <w:tab/>
        <w:t>81-044-E-42T</w:t>
      </w:r>
      <w:r>
        <w:rPr>
          <w:sz w:val="16"/>
          <w:szCs w:val="16"/>
        </w:rPr>
        <w:tab/>
        <w:t>Monongahela Power</w:t>
      </w:r>
      <w:r>
        <w:rPr>
          <w:sz w:val="16"/>
          <w:szCs w:val="16"/>
        </w:rPr>
        <w:tab/>
        <w:t>West Virginia</w:t>
      </w:r>
      <w:r>
        <w:rPr>
          <w:sz w:val="16"/>
          <w:szCs w:val="16"/>
        </w:rPr>
        <w:tab/>
        <w:t>Commission Staff</w:t>
      </w:r>
      <w:r>
        <w:rPr>
          <w:sz w:val="16"/>
          <w:szCs w:val="16"/>
        </w:rPr>
        <w:tab/>
        <w:t>Time-of-Use Rates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12.</w:t>
      </w:r>
      <w:r>
        <w:rPr>
          <w:sz w:val="16"/>
          <w:szCs w:val="16"/>
        </w:rPr>
        <w:tab/>
        <w:t>7259 (Phase II)</w:t>
      </w:r>
      <w:r>
        <w:rPr>
          <w:sz w:val="16"/>
          <w:szCs w:val="16"/>
        </w:rPr>
        <w:tab/>
        <w:t>Potomac Edison Company</w:t>
      </w:r>
      <w:r>
        <w:rPr>
          <w:sz w:val="16"/>
          <w:szCs w:val="16"/>
        </w:rPr>
        <w:tab/>
        <w:t>Maryland</w:t>
      </w:r>
      <w:r>
        <w:rPr>
          <w:sz w:val="16"/>
          <w:szCs w:val="16"/>
        </w:rPr>
        <w:tab/>
        <w:t>MD Power Plant Siting Program</w:t>
      </w:r>
      <w:r>
        <w:rPr>
          <w:sz w:val="16"/>
          <w:szCs w:val="16"/>
        </w:rPr>
        <w:tab/>
        <w:t>Load Forecasting, Load</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1981</w:t>
      </w:r>
      <w:r>
        <w:rPr>
          <w:sz w:val="16"/>
          <w:szCs w:val="16"/>
        </w:rPr>
        <w:tab/>
      </w:r>
      <w:r>
        <w:rPr>
          <w:sz w:val="16"/>
          <w:szCs w:val="16"/>
        </w:rPr>
        <w:tab/>
      </w:r>
      <w:r>
        <w:rPr>
          <w:sz w:val="16"/>
          <w:szCs w:val="16"/>
        </w:rPr>
        <w:tab/>
      </w:r>
      <w:r>
        <w:rPr>
          <w:sz w:val="16"/>
          <w:szCs w:val="16"/>
        </w:rPr>
        <w:tab/>
      </w:r>
      <w:r>
        <w:rPr>
          <w:sz w:val="16"/>
          <w:szCs w:val="16"/>
        </w:rPr>
        <w:tab/>
        <w:t>Management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13.</w:t>
      </w:r>
      <w:r>
        <w:rPr>
          <w:sz w:val="16"/>
          <w:szCs w:val="16"/>
        </w:rPr>
        <w:tab/>
        <w:t>1606</w:t>
      </w:r>
      <w:r>
        <w:rPr>
          <w:sz w:val="16"/>
          <w:szCs w:val="16"/>
        </w:rPr>
        <w:tab/>
        <w:t>Blackstone Valley Electric</w:t>
      </w:r>
      <w:r>
        <w:rPr>
          <w:sz w:val="16"/>
          <w:szCs w:val="16"/>
        </w:rPr>
        <w:tab/>
        <w:t>Rhode Island</w:t>
      </w:r>
      <w:r>
        <w:rPr>
          <w:sz w:val="16"/>
          <w:szCs w:val="16"/>
        </w:rPr>
        <w:tab/>
        <w:t>Division of Public Utilities</w:t>
      </w:r>
      <w:r>
        <w:rPr>
          <w:sz w:val="16"/>
          <w:szCs w:val="16"/>
        </w:rPr>
        <w:tab/>
        <w:t>PURPA Standards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September 1981</w:t>
      </w:r>
      <w:r>
        <w:rPr>
          <w:sz w:val="16"/>
          <w:szCs w:val="16"/>
        </w:rPr>
        <w:tab/>
      </w:r>
      <w:r>
        <w:rPr>
          <w:sz w:val="16"/>
          <w:szCs w:val="16"/>
        </w:rPr>
        <w:tab/>
        <w:t>and Narragansett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14.</w:t>
      </w:r>
      <w:r>
        <w:rPr>
          <w:sz w:val="16"/>
          <w:szCs w:val="16"/>
        </w:rPr>
        <w:tab/>
        <w:t>RID 1819</w:t>
      </w:r>
      <w:r>
        <w:rPr>
          <w:sz w:val="16"/>
          <w:szCs w:val="16"/>
        </w:rPr>
        <w:tab/>
        <w:t>Pennsylvania Bell</w:t>
      </w:r>
      <w:r>
        <w:rPr>
          <w:sz w:val="16"/>
          <w:szCs w:val="16"/>
        </w:rPr>
        <w:tab/>
        <w:t>Pennsylvania</w:t>
      </w:r>
      <w:r>
        <w:rPr>
          <w:sz w:val="16"/>
          <w:szCs w:val="16"/>
        </w:rPr>
        <w:tab/>
        <w:t>Office of Consumer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1982</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15.</w:t>
      </w:r>
      <w:r>
        <w:rPr>
          <w:sz w:val="16"/>
          <w:szCs w:val="16"/>
        </w:rPr>
        <w:tab/>
        <w:t>82-0152</w:t>
      </w:r>
      <w:r>
        <w:rPr>
          <w:sz w:val="16"/>
          <w:szCs w:val="16"/>
        </w:rPr>
        <w:tab/>
        <w:t>Illinois Power Company</w:t>
      </w:r>
      <w:r>
        <w:rPr>
          <w:sz w:val="16"/>
          <w:szCs w:val="16"/>
        </w:rPr>
        <w:tab/>
        <w:t>Illinois</w:t>
      </w:r>
      <w:r>
        <w:rPr>
          <w:sz w:val="16"/>
          <w:szCs w:val="16"/>
        </w:rPr>
        <w:tab/>
        <w:t>U.S. Department of Defense</w:t>
      </w:r>
      <w:r>
        <w:rPr>
          <w:sz w:val="16"/>
          <w:szCs w:val="16"/>
        </w:rPr>
        <w:tab/>
        <w:t>Rate of Return, CWIP</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1982</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br w:type="page"/>
        <w:t>16.</w:t>
      </w:r>
      <w:r>
        <w:rPr>
          <w:sz w:val="16"/>
          <w:szCs w:val="16"/>
        </w:rPr>
        <w:tab/>
        <w:t>7559</w:t>
      </w:r>
      <w:r>
        <w:rPr>
          <w:sz w:val="16"/>
          <w:szCs w:val="16"/>
        </w:rPr>
        <w:tab/>
        <w:t>Potomac Edison Company</w:t>
      </w:r>
      <w:r>
        <w:rPr>
          <w:sz w:val="16"/>
          <w:szCs w:val="16"/>
        </w:rPr>
        <w:tab/>
        <w:t>Maryland</w:t>
      </w:r>
      <w:r>
        <w:rPr>
          <w:sz w:val="16"/>
          <w:szCs w:val="16"/>
        </w:rPr>
        <w:tab/>
        <w:t>Commission Staff</w:t>
      </w:r>
      <w:r>
        <w:rPr>
          <w:sz w:val="16"/>
          <w:szCs w:val="16"/>
        </w:rPr>
        <w:tab/>
        <w:t>Cogeneration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September 1982</w:t>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17.</w:t>
      </w:r>
      <w:r>
        <w:rPr>
          <w:sz w:val="16"/>
          <w:szCs w:val="16"/>
        </w:rPr>
        <w:tab/>
        <w:t>820150-EU</w:t>
      </w:r>
      <w:r>
        <w:rPr>
          <w:sz w:val="16"/>
          <w:szCs w:val="16"/>
        </w:rPr>
        <w:tab/>
        <w:t>Gulf Power Company</w:t>
      </w:r>
      <w:r>
        <w:rPr>
          <w:sz w:val="16"/>
          <w:szCs w:val="16"/>
        </w:rPr>
        <w:tab/>
        <w:t>Florida</w:t>
      </w:r>
      <w:r>
        <w:rPr>
          <w:sz w:val="16"/>
          <w:szCs w:val="16"/>
        </w:rPr>
        <w:tab/>
        <w:t>Federal Executive Agencies</w:t>
      </w:r>
      <w:r>
        <w:rPr>
          <w:sz w:val="16"/>
          <w:szCs w:val="16"/>
        </w:rPr>
        <w:tab/>
        <w:t>Rate of Return, CWIP</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September 1982</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18.</w:t>
      </w:r>
      <w:r>
        <w:rPr>
          <w:sz w:val="16"/>
          <w:szCs w:val="16"/>
        </w:rPr>
        <w:tab/>
        <w:t>82-057-15</w:t>
      </w:r>
      <w:r>
        <w:rPr>
          <w:sz w:val="16"/>
          <w:szCs w:val="16"/>
        </w:rPr>
        <w:tab/>
        <w:t>Mountain Fuel Supply Company</w:t>
      </w:r>
      <w:r>
        <w:rPr>
          <w:sz w:val="16"/>
          <w:szCs w:val="16"/>
        </w:rPr>
        <w:tab/>
        <w:t>Utah</w:t>
      </w:r>
      <w:r>
        <w:rPr>
          <w:sz w:val="16"/>
          <w:szCs w:val="16"/>
        </w:rPr>
        <w:tab/>
        <w:t>Federal Executive Agencies</w:t>
      </w:r>
      <w:r>
        <w:rPr>
          <w:sz w:val="16"/>
          <w:szCs w:val="16"/>
        </w:rPr>
        <w:tab/>
        <w:t xml:space="preserve">Rate of Return, Capital </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January 1983</w:t>
      </w:r>
      <w:r>
        <w:rPr>
          <w:sz w:val="16"/>
          <w:szCs w:val="16"/>
        </w:rPr>
        <w:tab/>
      </w:r>
      <w:r>
        <w:rPr>
          <w:sz w:val="16"/>
          <w:szCs w:val="16"/>
        </w:rPr>
        <w:tab/>
      </w:r>
      <w:r>
        <w:rPr>
          <w:sz w:val="16"/>
          <w:szCs w:val="16"/>
        </w:rPr>
        <w:tab/>
      </w:r>
      <w:r>
        <w:rPr>
          <w:sz w:val="16"/>
          <w:szCs w:val="16"/>
        </w:rPr>
        <w:tab/>
      </w:r>
      <w:r>
        <w:rPr>
          <w:sz w:val="16"/>
          <w:szCs w:val="16"/>
        </w:rPr>
        <w:tab/>
        <w:t>Structure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19.</w:t>
      </w:r>
      <w:r>
        <w:rPr>
          <w:sz w:val="16"/>
          <w:szCs w:val="16"/>
        </w:rPr>
        <w:tab/>
        <w:t>5200</w:t>
      </w:r>
      <w:r>
        <w:rPr>
          <w:sz w:val="16"/>
          <w:szCs w:val="16"/>
        </w:rPr>
        <w:tab/>
        <w:t xml:space="preserve">Texas Electric Service </w:t>
      </w:r>
      <w:r>
        <w:rPr>
          <w:sz w:val="16"/>
          <w:szCs w:val="16"/>
        </w:rPr>
        <w:tab/>
        <w:t>Texas</w:t>
      </w:r>
      <w:r>
        <w:rPr>
          <w:sz w:val="16"/>
          <w:szCs w:val="16"/>
        </w:rPr>
        <w:tab/>
        <w:t>Federal Executive Agencies</w:t>
      </w:r>
      <w:r>
        <w:rPr>
          <w:sz w:val="16"/>
          <w:szCs w:val="16"/>
        </w:rPr>
        <w:tab/>
        <w:t>Cost of Equity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1983</w:t>
      </w:r>
      <w:r>
        <w:rPr>
          <w:sz w:val="16"/>
          <w:szCs w:val="16"/>
        </w:rPr>
        <w:tab/>
      </w:r>
      <w:r>
        <w:rPr>
          <w:sz w:val="16"/>
          <w:szCs w:val="16"/>
        </w:rPr>
        <w:tab/>
        <w:t>Company</w:t>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20.</w:t>
      </w:r>
      <w:r>
        <w:rPr>
          <w:sz w:val="16"/>
          <w:szCs w:val="16"/>
        </w:rPr>
        <w:tab/>
        <w:t>28069</w:t>
      </w:r>
      <w:r>
        <w:rPr>
          <w:sz w:val="16"/>
          <w:szCs w:val="16"/>
        </w:rPr>
        <w:tab/>
        <w:t>Oklahoma Natural Gas</w:t>
      </w:r>
      <w:r>
        <w:rPr>
          <w:sz w:val="16"/>
          <w:szCs w:val="16"/>
        </w:rPr>
        <w:tab/>
        <w:t>Oklahoma</w:t>
      </w:r>
      <w:r>
        <w:rPr>
          <w:sz w:val="16"/>
          <w:szCs w:val="16"/>
        </w:rPr>
        <w:tab/>
        <w:t>Federal Executive Agencies</w:t>
      </w:r>
      <w:r>
        <w:rPr>
          <w:sz w:val="16"/>
          <w:szCs w:val="16"/>
        </w:rPr>
        <w:tab/>
        <w:t xml:space="preserve">Rate of Return, deferred taxes, </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1983</w:t>
      </w:r>
      <w:r>
        <w:rPr>
          <w:sz w:val="16"/>
          <w:szCs w:val="16"/>
        </w:rPr>
        <w:tab/>
      </w:r>
      <w:r>
        <w:rPr>
          <w:sz w:val="16"/>
          <w:szCs w:val="16"/>
        </w:rPr>
        <w:tab/>
      </w:r>
      <w:r>
        <w:rPr>
          <w:sz w:val="16"/>
          <w:szCs w:val="16"/>
        </w:rPr>
        <w:tab/>
      </w:r>
      <w:r>
        <w:rPr>
          <w:sz w:val="16"/>
          <w:szCs w:val="16"/>
        </w:rPr>
        <w:tab/>
      </w:r>
      <w:r>
        <w:rPr>
          <w:sz w:val="16"/>
          <w:szCs w:val="16"/>
        </w:rPr>
        <w:tab/>
        <w:t>capital structure, attrition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21.</w:t>
      </w:r>
      <w:r>
        <w:rPr>
          <w:sz w:val="16"/>
          <w:szCs w:val="16"/>
        </w:rPr>
        <w:tab/>
        <w:t>83-0537</w:t>
      </w:r>
      <w:r>
        <w:rPr>
          <w:sz w:val="16"/>
          <w:szCs w:val="16"/>
        </w:rPr>
        <w:tab/>
        <w:t>Commonwealth Edison Company</w:t>
      </w:r>
      <w:r>
        <w:rPr>
          <w:sz w:val="16"/>
          <w:szCs w:val="16"/>
        </w:rPr>
        <w:tab/>
        <w:t>Illinois</w:t>
      </w:r>
      <w:r>
        <w:rPr>
          <w:sz w:val="16"/>
          <w:szCs w:val="16"/>
        </w:rPr>
        <w:tab/>
        <w:t>U.S. Department of Energy</w:t>
      </w:r>
      <w:r>
        <w:rPr>
          <w:sz w:val="16"/>
          <w:szCs w:val="16"/>
        </w:rPr>
        <w:tab/>
        <w:t>Rate of Return, capital structure,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1984</w:t>
      </w:r>
      <w:r>
        <w:rPr>
          <w:sz w:val="16"/>
          <w:szCs w:val="16"/>
        </w:rPr>
        <w:tab/>
      </w:r>
      <w:r>
        <w:rPr>
          <w:sz w:val="16"/>
          <w:szCs w:val="16"/>
        </w:rPr>
        <w:tab/>
      </w:r>
      <w:r>
        <w:rPr>
          <w:sz w:val="16"/>
          <w:szCs w:val="16"/>
        </w:rPr>
        <w:tab/>
      </w:r>
      <w:r>
        <w:rPr>
          <w:sz w:val="16"/>
          <w:szCs w:val="16"/>
        </w:rPr>
        <w:tab/>
      </w:r>
      <w:r>
        <w:rPr>
          <w:sz w:val="16"/>
          <w:szCs w:val="16"/>
        </w:rPr>
        <w:tab/>
        <w:t>financial capability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22.</w:t>
      </w:r>
      <w:r>
        <w:rPr>
          <w:sz w:val="16"/>
          <w:szCs w:val="16"/>
        </w:rPr>
        <w:tab/>
        <w:t xml:space="preserve">84-035-01 </w:t>
      </w:r>
      <w:r>
        <w:rPr>
          <w:sz w:val="16"/>
          <w:szCs w:val="16"/>
        </w:rPr>
        <w:tab/>
        <w:t>Utah Power &amp; Light Company</w:t>
      </w:r>
      <w:r>
        <w:rPr>
          <w:sz w:val="16"/>
          <w:szCs w:val="16"/>
        </w:rPr>
        <w:tab/>
        <w:t>Utah</w:t>
      </w:r>
      <w:r>
        <w:rPr>
          <w:sz w:val="16"/>
          <w:szCs w:val="16"/>
        </w:rPr>
        <w:tab/>
        <w:t>Federal Executive Agencies</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1984</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23.</w:t>
      </w:r>
      <w:r>
        <w:rPr>
          <w:sz w:val="16"/>
          <w:szCs w:val="16"/>
        </w:rPr>
        <w:tab/>
        <w:t>U-1009-137</w:t>
      </w:r>
      <w:r>
        <w:rPr>
          <w:sz w:val="16"/>
          <w:szCs w:val="16"/>
        </w:rPr>
        <w:tab/>
        <w:t>Utah Power &amp; Light Company</w:t>
      </w:r>
      <w:r>
        <w:rPr>
          <w:sz w:val="16"/>
          <w:szCs w:val="16"/>
        </w:rPr>
        <w:tab/>
        <w:t>Idaho</w:t>
      </w:r>
      <w:r>
        <w:rPr>
          <w:sz w:val="16"/>
          <w:szCs w:val="16"/>
        </w:rPr>
        <w:tab/>
        <w:t>U.S. Department of Energy</w:t>
      </w:r>
      <w:r>
        <w:rPr>
          <w:sz w:val="16"/>
          <w:szCs w:val="16"/>
        </w:rPr>
        <w:tab/>
        <w:t>Rate of Return, financial</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 xml:space="preserve">    </w:t>
      </w:r>
      <w:r>
        <w:rPr>
          <w:sz w:val="16"/>
          <w:szCs w:val="16"/>
        </w:rPr>
        <w:tab/>
        <w:t>July 1984</w:t>
      </w:r>
      <w:r>
        <w:rPr>
          <w:sz w:val="16"/>
          <w:szCs w:val="16"/>
        </w:rPr>
        <w:tab/>
      </w:r>
      <w:r>
        <w:rPr>
          <w:sz w:val="16"/>
          <w:szCs w:val="16"/>
        </w:rPr>
        <w:tab/>
      </w:r>
      <w:r>
        <w:rPr>
          <w:sz w:val="16"/>
          <w:szCs w:val="16"/>
        </w:rPr>
        <w:tab/>
      </w:r>
      <w:r>
        <w:rPr>
          <w:sz w:val="16"/>
          <w:szCs w:val="16"/>
        </w:rPr>
        <w:tab/>
      </w:r>
      <w:r>
        <w:rPr>
          <w:sz w:val="16"/>
          <w:szCs w:val="16"/>
        </w:rPr>
        <w:tab/>
        <w:t>condition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24.</w:t>
      </w:r>
      <w:r>
        <w:rPr>
          <w:sz w:val="16"/>
          <w:szCs w:val="16"/>
        </w:rPr>
        <w:tab/>
        <w:t>R-842590</w:t>
      </w:r>
      <w:r>
        <w:rPr>
          <w:sz w:val="16"/>
          <w:szCs w:val="16"/>
        </w:rPr>
        <w:tab/>
        <w:t>Philadelphia Electric Company</w:t>
      </w:r>
      <w:r>
        <w:rPr>
          <w:sz w:val="16"/>
          <w:szCs w:val="16"/>
        </w:rPr>
        <w:tab/>
        <w:t>Pennsylvania</w:t>
      </w:r>
      <w:r>
        <w:rPr>
          <w:sz w:val="16"/>
          <w:szCs w:val="16"/>
        </w:rPr>
        <w:tab/>
        <w:t>Office of Consumer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1984</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25.</w:t>
      </w:r>
      <w:r>
        <w:rPr>
          <w:sz w:val="16"/>
          <w:szCs w:val="16"/>
        </w:rPr>
        <w:tab/>
        <w:t>840086-EI</w:t>
      </w:r>
      <w:r>
        <w:rPr>
          <w:sz w:val="16"/>
          <w:szCs w:val="16"/>
        </w:rPr>
        <w:tab/>
        <w:t>Gulf Power Company</w:t>
      </w:r>
      <w:r>
        <w:rPr>
          <w:sz w:val="16"/>
          <w:szCs w:val="16"/>
        </w:rPr>
        <w:tab/>
        <w:t>Florida</w:t>
      </w:r>
      <w:r>
        <w:rPr>
          <w:sz w:val="16"/>
          <w:szCs w:val="16"/>
        </w:rPr>
        <w:tab/>
        <w:t>Federal Executive Agencies</w:t>
      </w:r>
      <w:r>
        <w:rPr>
          <w:sz w:val="16"/>
          <w:szCs w:val="16"/>
        </w:rPr>
        <w:tab/>
        <w:t>Rate of Return, CWIP</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1984</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26.</w:t>
      </w:r>
      <w:r>
        <w:rPr>
          <w:sz w:val="16"/>
          <w:szCs w:val="16"/>
        </w:rPr>
        <w:tab/>
        <w:t>84-122-E</w:t>
      </w:r>
      <w:r>
        <w:rPr>
          <w:sz w:val="16"/>
          <w:szCs w:val="16"/>
        </w:rPr>
        <w:tab/>
        <w:t>Carolina Power &amp; Light</w:t>
      </w:r>
      <w:r>
        <w:rPr>
          <w:sz w:val="16"/>
          <w:szCs w:val="16"/>
        </w:rPr>
        <w:tab/>
        <w:t>South Carolina</w:t>
      </w:r>
      <w:r>
        <w:rPr>
          <w:sz w:val="16"/>
          <w:szCs w:val="16"/>
        </w:rPr>
        <w:tab/>
        <w:t xml:space="preserve">South Carolina Consumer </w:t>
      </w:r>
      <w:r>
        <w:rPr>
          <w:sz w:val="16"/>
          <w:szCs w:val="16"/>
        </w:rPr>
        <w:tab/>
        <w:t>Rate of Return, CWIP, load</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1984</w:t>
      </w:r>
      <w:r>
        <w:rPr>
          <w:sz w:val="16"/>
          <w:szCs w:val="16"/>
        </w:rPr>
        <w:tab/>
      </w:r>
      <w:r>
        <w:rPr>
          <w:sz w:val="16"/>
          <w:szCs w:val="16"/>
        </w:rPr>
        <w:tab/>
        <w:t>Company</w:t>
      </w:r>
      <w:r>
        <w:rPr>
          <w:sz w:val="16"/>
          <w:szCs w:val="16"/>
        </w:rPr>
        <w:tab/>
        <w:t xml:space="preserve">                   </w:t>
      </w:r>
      <w:r>
        <w:rPr>
          <w:sz w:val="16"/>
          <w:szCs w:val="16"/>
        </w:rPr>
        <w:tab/>
        <w:t>Advocate</w:t>
      </w:r>
      <w:r>
        <w:rPr>
          <w:sz w:val="16"/>
          <w:szCs w:val="16"/>
        </w:rPr>
        <w:tab/>
        <w:t>forecasting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27.</w:t>
      </w:r>
      <w:r>
        <w:rPr>
          <w:sz w:val="16"/>
          <w:szCs w:val="16"/>
        </w:rPr>
        <w:tab/>
        <w:t>CGC-83-G &amp; CGC-84-G</w:t>
      </w:r>
      <w:r>
        <w:rPr>
          <w:sz w:val="16"/>
          <w:szCs w:val="16"/>
        </w:rPr>
        <w:tab/>
        <w:t>Columbia Gas of Ohio</w:t>
      </w:r>
      <w:r>
        <w:rPr>
          <w:sz w:val="16"/>
          <w:szCs w:val="16"/>
        </w:rPr>
        <w:tab/>
        <w:t>Ohio</w:t>
      </w:r>
      <w:r>
        <w:rPr>
          <w:sz w:val="16"/>
          <w:szCs w:val="16"/>
        </w:rPr>
        <w:tab/>
        <w:t>Ohio Division of Energy</w:t>
      </w:r>
      <w:r>
        <w:rPr>
          <w:sz w:val="16"/>
          <w:szCs w:val="16"/>
        </w:rPr>
        <w:tab/>
        <w:t>Load forecasting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October 1984</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28.</w:t>
      </w:r>
      <w:r>
        <w:rPr>
          <w:sz w:val="16"/>
          <w:szCs w:val="16"/>
        </w:rPr>
        <w:tab/>
        <w:t>R-842621</w:t>
      </w:r>
      <w:r>
        <w:rPr>
          <w:sz w:val="16"/>
          <w:szCs w:val="16"/>
        </w:rPr>
        <w:tab/>
        <w:t>Western Pennsylvania Water</w:t>
      </w:r>
      <w:r>
        <w:rPr>
          <w:sz w:val="16"/>
          <w:szCs w:val="16"/>
        </w:rPr>
        <w:tab/>
        <w:t>Pennsylvania</w:t>
      </w:r>
      <w:r>
        <w:rPr>
          <w:sz w:val="16"/>
          <w:szCs w:val="16"/>
        </w:rPr>
        <w:tab/>
        <w:t>Office of Consumer Advocate</w:t>
      </w:r>
      <w:r>
        <w:rPr>
          <w:sz w:val="16"/>
          <w:szCs w:val="16"/>
        </w:rPr>
        <w:tab/>
        <w:t>Test year sales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October 1984</w:t>
      </w:r>
      <w:r>
        <w:rPr>
          <w:sz w:val="16"/>
          <w:szCs w:val="16"/>
        </w:rPr>
        <w:tab/>
      </w:r>
      <w:r>
        <w:rPr>
          <w:sz w:val="16"/>
          <w:szCs w:val="16"/>
        </w:rPr>
        <w:tab/>
        <w:t>Company</w:t>
      </w:r>
      <w:r>
        <w:rPr>
          <w:sz w:val="16"/>
          <w:szCs w:val="16"/>
        </w:rPr>
        <w:tab/>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29.</w:t>
      </w:r>
      <w:r>
        <w:rPr>
          <w:sz w:val="16"/>
          <w:szCs w:val="16"/>
        </w:rPr>
        <w:tab/>
        <w:t>R-842710</w:t>
      </w:r>
      <w:r>
        <w:rPr>
          <w:sz w:val="16"/>
          <w:szCs w:val="16"/>
        </w:rPr>
        <w:tab/>
        <w:t>ALLTEL Pennsylvania Inc.</w:t>
      </w:r>
      <w:r>
        <w:rPr>
          <w:sz w:val="16"/>
          <w:szCs w:val="16"/>
        </w:rPr>
        <w:tab/>
        <w:t>Pennsylvania</w:t>
      </w:r>
      <w:r>
        <w:rPr>
          <w:sz w:val="16"/>
          <w:szCs w:val="16"/>
        </w:rPr>
        <w:tab/>
        <w:t>Office of Consumer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January 1985</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30.</w:t>
      </w:r>
      <w:r>
        <w:rPr>
          <w:sz w:val="16"/>
          <w:szCs w:val="16"/>
        </w:rPr>
        <w:tab/>
        <w:t>ER-504</w:t>
      </w:r>
      <w:r>
        <w:rPr>
          <w:sz w:val="16"/>
          <w:szCs w:val="16"/>
        </w:rPr>
        <w:tab/>
        <w:t>Allegheny Generating Company</w:t>
      </w:r>
      <w:r>
        <w:rPr>
          <w:sz w:val="16"/>
          <w:szCs w:val="16"/>
        </w:rPr>
        <w:tab/>
        <w:t>FERC</w:t>
      </w:r>
      <w:r>
        <w:rPr>
          <w:sz w:val="16"/>
          <w:szCs w:val="16"/>
        </w:rPr>
        <w:tab/>
        <w:t>Office of Consumer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1985</w:t>
      </w:r>
      <w:r>
        <w:rPr>
          <w:sz w:val="16"/>
          <w:szCs w:val="16"/>
        </w:rPr>
        <w:br w:type="page"/>
        <w:t>31.</w:t>
      </w:r>
      <w:r>
        <w:rPr>
          <w:sz w:val="16"/>
          <w:szCs w:val="16"/>
        </w:rPr>
        <w:tab/>
        <w:t>R-842632</w:t>
      </w:r>
      <w:r>
        <w:rPr>
          <w:sz w:val="16"/>
          <w:szCs w:val="16"/>
        </w:rPr>
        <w:tab/>
        <w:t>West Penn Power Company</w:t>
      </w:r>
      <w:r>
        <w:rPr>
          <w:sz w:val="16"/>
          <w:szCs w:val="16"/>
        </w:rPr>
        <w:tab/>
        <w:t xml:space="preserve">Pennsylvania </w:t>
      </w:r>
      <w:r>
        <w:rPr>
          <w:sz w:val="16"/>
          <w:szCs w:val="16"/>
        </w:rPr>
        <w:tab/>
        <w:t>Office of Consumer Advocate</w:t>
      </w:r>
      <w:r>
        <w:rPr>
          <w:sz w:val="16"/>
          <w:szCs w:val="16"/>
        </w:rPr>
        <w:tab/>
        <w:t>Rate of Return, conservation,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1985</w:t>
      </w:r>
      <w:r>
        <w:rPr>
          <w:sz w:val="16"/>
          <w:szCs w:val="16"/>
        </w:rPr>
        <w:tab/>
      </w:r>
      <w:r>
        <w:rPr>
          <w:sz w:val="16"/>
          <w:szCs w:val="16"/>
        </w:rPr>
        <w:tab/>
      </w:r>
      <w:r>
        <w:rPr>
          <w:sz w:val="16"/>
          <w:szCs w:val="16"/>
        </w:rPr>
        <w:tab/>
      </w:r>
      <w:r>
        <w:rPr>
          <w:sz w:val="16"/>
          <w:szCs w:val="16"/>
        </w:rPr>
        <w:tab/>
      </w:r>
      <w:r>
        <w:rPr>
          <w:sz w:val="16"/>
          <w:szCs w:val="16"/>
        </w:rPr>
        <w:tab/>
        <w:t>time-of-use rates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32.</w:t>
      </w:r>
      <w:r>
        <w:rPr>
          <w:sz w:val="16"/>
          <w:szCs w:val="16"/>
        </w:rPr>
        <w:tab/>
        <w:t>83-0537 &amp; 84-0555</w:t>
      </w:r>
      <w:r>
        <w:rPr>
          <w:sz w:val="16"/>
          <w:szCs w:val="16"/>
        </w:rPr>
        <w:tab/>
        <w:t>Commonwealth Edison Company</w:t>
      </w:r>
      <w:r>
        <w:rPr>
          <w:sz w:val="16"/>
          <w:szCs w:val="16"/>
        </w:rPr>
        <w:tab/>
        <w:t>Illinois</w:t>
      </w:r>
      <w:r>
        <w:rPr>
          <w:sz w:val="16"/>
          <w:szCs w:val="16"/>
        </w:rPr>
        <w:tab/>
        <w:t>U.S. Department of Energy</w:t>
      </w:r>
      <w:r>
        <w:rPr>
          <w:sz w:val="16"/>
          <w:szCs w:val="16"/>
        </w:rPr>
        <w:tab/>
        <w:t>Rate of Return, incentive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1985</w:t>
      </w:r>
      <w:r>
        <w:rPr>
          <w:sz w:val="16"/>
          <w:szCs w:val="16"/>
        </w:rPr>
        <w:tab/>
      </w:r>
      <w:r>
        <w:rPr>
          <w:sz w:val="16"/>
          <w:szCs w:val="16"/>
        </w:rPr>
        <w:tab/>
      </w:r>
      <w:r>
        <w:rPr>
          <w:sz w:val="16"/>
          <w:szCs w:val="16"/>
        </w:rPr>
        <w:tab/>
      </w:r>
      <w:r>
        <w:rPr>
          <w:sz w:val="16"/>
          <w:szCs w:val="16"/>
        </w:rPr>
        <w:tab/>
      </w:r>
      <w:r>
        <w:rPr>
          <w:sz w:val="16"/>
          <w:szCs w:val="16"/>
        </w:rPr>
        <w:tab/>
        <w:t>rates, rate base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33.</w:t>
      </w:r>
      <w:r>
        <w:rPr>
          <w:sz w:val="16"/>
          <w:szCs w:val="16"/>
        </w:rPr>
        <w:tab/>
        <w:t>Rulemaking Docket</w:t>
      </w:r>
      <w:r>
        <w:rPr>
          <w:sz w:val="16"/>
          <w:szCs w:val="16"/>
        </w:rPr>
        <w:tab/>
        <w:t>Generic</w:t>
      </w:r>
      <w:r>
        <w:rPr>
          <w:sz w:val="16"/>
          <w:szCs w:val="16"/>
        </w:rPr>
        <w:tab/>
        <w:t>Delaware</w:t>
      </w:r>
      <w:r>
        <w:rPr>
          <w:sz w:val="16"/>
          <w:szCs w:val="16"/>
        </w:rPr>
        <w:tab/>
        <w:t>Delaware Commission Staff</w:t>
      </w:r>
      <w:r>
        <w:rPr>
          <w:sz w:val="16"/>
          <w:szCs w:val="16"/>
        </w:rPr>
        <w:tab/>
        <w:t>Interest rates on refunds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 11, May 1985</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34.</w:t>
      </w:r>
      <w:r>
        <w:rPr>
          <w:sz w:val="16"/>
          <w:szCs w:val="16"/>
        </w:rPr>
        <w:tab/>
        <w:t>29450</w:t>
      </w:r>
      <w:r>
        <w:rPr>
          <w:sz w:val="16"/>
          <w:szCs w:val="16"/>
        </w:rPr>
        <w:tab/>
        <w:t>Oklahoma Gas &amp; Electric</w:t>
      </w:r>
      <w:r>
        <w:rPr>
          <w:sz w:val="16"/>
          <w:szCs w:val="16"/>
        </w:rPr>
        <w:tab/>
        <w:t>Oklahoma</w:t>
      </w:r>
      <w:r>
        <w:rPr>
          <w:sz w:val="16"/>
          <w:szCs w:val="16"/>
        </w:rPr>
        <w:tab/>
        <w:t>Oklahoma Attorney General</w:t>
      </w:r>
      <w:r>
        <w:rPr>
          <w:sz w:val="16"/>
          <w:szCs w:val="16"/>
        </w:rPr>
        <w:tab/>
        <w:t xml:space="preserve">Rate of Return, CWIP in rate </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1985</w:t>
      </w:r>
      <w:r>
        <w:rPr>
          <w:sz w:val="16"/>
          <w:szCs w:val="16"/>
        </w:rPr>
        <w:tab/>
      </w:r>
      <w:r>
        <w:rPr>
          <w:sz w:val="16"/>
          <w:szCs w:val="16"/>
        </w:rPr>
        <w:tab/>
        <w:t>Company</w:t>
      </w:r>
      <w:r>
        <w:rPr>
          <w:sz w:val="16"/>
          <w:szCs w:val="16"/>
        </w:rPr>
        <w:tab/>
      </w:r>
      <w:r>
        <w:rPr>
          <w:sz w:val="16"/>
          <w:szCs w:val="16"/>
        </w:rPr>
        <w:tab/>
      </w:r>
      <w:r>
        <w:rPr>
          <w:sz w:val="16"/>
          <w:szCs w:val="16"/>
        </w:rPr>
        <w:tab/>
        <w:t>base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35.</w:t>
      </w:r>
      <w:r>
        <w:rPr>
          <w:sz w:val="16"/>
          <w:szCs w:val="16"/>
        </w:rPr>
        <w:tab/>
        <w:t>1811</w:t>
      </w:r>
      <w:r>
        <w:rPr>
          <w:sz w:val="16"/>
          <w:szCs w:val="16"/>
        </w:rPr>
        <w:tab/>
        <w:t>Bristol County Water Company</w:t>
      </w:r>
      <w:r>
        <w:rPr>
          <w:sz w:val="16"/>
          <w:szCs w:val="16"/>
        </w:rPr>
        <w:tab/>
        <w:t>Rhode Island</w:t>
      </w:r>
      <w:r>
        <w:rPr>
          <w:sz w:val="16"/>
          <w:szCs w:val="16"/>
        </w:rPr>
        <w:tab/>
        <w:t>Division of Public Utilities</w:t>
      </w:r>
      <w:r>
        <w:rPr>
          <w:sz w:val="16"/>
          <w:szCs w:val="16"/>
        </w:rPr>
        <w:tab/>
        <w:t>Rate of Return, capital</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1985</w:t>
      </w:r>
      <w:r>
        <w:rPr>
          <w:sz w:val="16"/>
          <w:szCs w:val="16"/>
        </w:rPr>
        <w:tab/>
      </w:r>
      <w:r>
        <w:rPr>
          <w:sz w:val="16"/>
          <w:szCs w:val="16"/>
        </w:rPr>
        <w:tab/>
      </w:r>
      <w:r>
        <w:rPr>
          <w:sz w:val="16"/>
          <w:szCs w:val="16"/>
        </w:rPr>
        <w:tab/>
      </w:r>
      <w:r>
        <w:rPr>
          <w:sz w:val="16"/>
          <w:szCs w:val="16"/>
        </w:rPr>
        <w:tab/>
      </w:r>
      <w:r>
        <w:rPr>
          <w:sz w:val="16"/>
          <w:szCs w:val="16"/>
        </w:rPr>
        <w:tab/>
        <w:t>Structure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36.</w:t>
      </w:r>
      <w:r>
        <w:rPr>
          <w:sz w:val="16"/>
          <w:szCs w:val="16"/>
        </w:rPr>
        <w:tab/>
        <w:t>R-850044 &amp; R-850045</w:t>
      </w:r>
      <w:r>
        <w:rPr>
          <w:sz w:val="16"/>
          <w:szCs w:val="16"/>
        </w:rPr>
        <w:tab/>
        <w:t>Quaker State &amp; Continental</w:t>
      </w:r>
      <w:r>
        <w:rPr>
          <w:sz w:val="16"/>
          <w:szCs w:val="16"/>
        </w:rPr>
        <w:tab/>
        <w:t>Pennsylvania</w:t>
      </w:r>
      <w:r>
        <w:rPr>
          <w:sz w:val="16"/>
          <w:szCs w:val="16"/>
        </w:rPr>
        <w:tab/>
        <w:t>Office of Consumer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1985</w:t>
      </w:r>
      <w:r>
        <w:rPr>
          <w:sz w:val="16"/>
          <w:szCs w:val="16"/>
        </w:rPr>
        <w:tab/>
      </w:r>
      <w:r>
        <w:rPr>
          <w:sz w:val="16"/>
          <w:szCs w:val="16"/>
        </w:rPr>
        <w:tab/>
        <w:t>Telephone Companies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37.</w:t>
      </w:r>
      <w:r>
        <w:rPr>
          <w:sz w:val="16"/>
          <w:szCs w:val="16"/>
        </w:rPr>
        <w:tab/>
        <w:t>R-850174</w:t>
      </w:r>
      <w:r>
        <w:rPr>
          <w:sz w:val="16"/>
          <w:szCs w:val="16"/>
        </w:rPr>
        <w:tab/>
        <w:t>Philadelphia Suburban</w:t>
      </w:r>
      <w:r>
        <w:rPr>
          <w:sz w:val="16"/>
          <w:szCs w:val="16"/>
        </w:rPr>
        <w:tab/>
        <w:t xml:space="preserve">Pennsylvania </w:t>
      </w:r>
      <w:r>
        <w:rPr>
          <w:sz w:val="16"/>
          <w:szCs w:val="16"/>
        </w:rPr>
        <w:tab/>
        <w:t>Office of Consumer Advocate</w:t>
      </w:r>
      <w:r>
        <w:rPr>
          <w:sz w:val="16"/>
          <w:szCs w:val="16"/>
        </w:rPr>
        <w:tab/>
        <w:t>Rate of Return, financial</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1985</w:t>
      </w:r>
      <w:r>
        <w:rPr>
          <w:sz w:val="16"/>
          <w:szCs w:val="16"/>
        </w:rPr>
        <w:tab/>
      </w:r>
      <w:r>
        <w:rPr>
          <w:sz w:val="16"/>
          <w:szCs w:val="16"/>
        </w:rPr>
        <w:tab/>
        <w:t>Water Company</w:t>
      </w:r>
      <w:r>
        <w:rPr>
          <w:sz w:val="16"/>
          <w:szCs w:val="16"/>
        </w:rPr>
        <w:tab/>
      </w:r>
      <w:r>
        <w:rPr>
          <w:sz w:val="16"/>
          <w:szCs w:val="16"/>
        </w:rPr>
        <w:tab/>
      </w:r>
      <w:r>
        <w:rPr>
          <w:sz w:val="16"/>
          <w:szCs w:val="16"/>
        </w:rPr>
        <w:tab/>
        <w:t>conditions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38.</w:t>
      </w:r>
      <w:r>
        <w:rPr>
          <w:sz w:val="16"/>
          <w:szCs w:val="16"/>
        </w:rPr>
        <w:tab/>
        <w:t>U-1006-265</w:t>
      </w:r>
      <w:r>
        <w:rPr>
          <w:sz w:val="16"/>
          <w:szCs w:val="16"/>
        </w:rPr>
        <w:tab/>
        <w:t>Idaho Power Company</w:t>
      </w:r>
      <w:r>
        <w:rPr>
          <w:sz w:val="16"/>
          <w:szCs w:val="16"/>
        </w:rPr>
        <w:tab/>
        <w:t>Idaho</w:t>
      </w:r>
      <w:r>
        <w:rPr>
          <w:sz w:val="16"/>
          <w:szCs w:val="16"/>
        </w:rPr>
        <w:tab/>
        <w:t>U.S. Department of Energy</w:t>
      </w:r>
      <w:r>
        <w:rPr>
          <w:sz w:val="16"/>
          <w:szCs w:val="16"/>
        </w:rPr>
        <w:tab/>
        <w:t>Power supply costs and models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1986</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39.</w:t>
      </w:r>
      <w:r>
        <w:rPr>
          <w:sz w:val="16"/>
          <w:szCs w:val="16"/>
        </w:rPr>
        <w:tab/>
        <w:t>EL-86-37 &amp; EL-86-38</w:t>
      </w:r>
      <w:r>
        <w:rPr>
          <w:sz w:val="16"/>
          <w:szCs w:val="16"/>
        </w:rPr>
        <w:tab/>
        <w:t>Allegheny Generating Company</w:t>
      </w:r>
      <w:r>
        <w:rPr>
          <w:sz w:val="16"/>
          <w:szCs w:val="16"/>
        </w:rPr>
        <w:tab/>
        <w:t>FERC</w:t>
      </w:r>
      <w:r>
        <w:rPr>
          <w:sz w:val="16"/>
          <w:szCs w:val="16"/>
        </w:rPr>
        <w:tab/>
        <w:t>PA Office of Consumer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September 1986</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40.</w:t>
      </w:r>
      <w:r>
        <w:rPr>
          <w:sz w:val="16"/>
          <w:szCs w:val="16"/>
        </w:rPr>
        <w:tab/>
        <w:t>R-850287</w:t>
      </w:r>
      <w:r>
        <w:rPr>
          <w:sz w:val="16"/>
          <w:szCs w:val="16"/>
        </w:rPr>
        <w:tab/>
        <w:t xml:space="preserve">National Fuel Gas </w:t>
      </w:r>
      <w:r>
        <w:rPr>
          <w:sz w:val="16"/>
          <w:szCs w:val="16"/>
        </w:rPr>
        <w:tab/>
        <w:t>Pennsylvania</w:t>
      </w:r>
      <w:r>
        <w:rPr>
          <w:sz w:val="16"/>
          <w:szCs w:val="16"/>
        </w:rPr>
        <w:tab/>
        <w:t>Office of Consumer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1986</w:t>
      </w:r>
      <w:r>
        <w:rPr>
          <w:sz w:val="16"/>
          <w:szCs w:val="16"/>
        </w:rPr>
        <w:tab/>
      </w:r>
      <w:r>
        <w:rPr>
          <w:sz w:val="16"/>
          <w:szCs w:val="16"/>
        </w:rPr>
        <w:tab/>
        <w:t>Distribution Corp.</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41.</w:t>
      </w:r>
      <w:r>
        <w:rPr>
          <w:sz w:val="16"/>
          <w:szCs w:val="16"/>
        </w:rPr>
        <w:tab/>
        <w:t>1849</w:t>
      </w:r>
      <w:r>
        <w:rPr>
          <w:sz w:val="16"/>
          <w:szCs w:val="16"/>
        </w:rPr>
        <w:tab/>
        <w:t>Blackstone Valley Electric</w:t>
      </w:r>
      <w:r>
        <w:rPr>
          <w:sz w:val="16"/>
          <w:szCs w:val="16"/>
        </w:rPr>
        <w:tab/>
        <w:t>Rhode Island</w:t>
      </w:r>
      <w:r>
        <w:rPr>
          <w:sz w:val="16"/>
          <w:szCs w:val="16"/>
        </w:rPr>
        <w:tab/>
        <w:t>Division of Public Utilities</w:t>
      </w:r>
      <w:r>
        <w:rPr>
          <w:sz w:val="16"/>
          <w:szCs w:val="16"/>
        </w:rPr>
        <w:tab/>
        <w:t>Rate of Return, financial</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1986</w:t>
      </w:r>
      <w:r>
        <w:rPr>
          <w:sz w:val="16"/>
          <w:szCs w:val="16"/>
        </w:rPr>
        <w:tab/>
      </w:r>
      <w:r>
        <w:rPr>
          <w:sz w:val="16"/>
          <w:szCs w:val="16"/>
        </w:rPr>
        <w:tab/>
      </w:r>
      <w:r>
        <w:rPr>
          <w:sz w:val="16"/>
          <w:szCs w:val="16"/>
        </w:rPr>
        <w:tab/>
      </w:r>
      <w:r>
        <w:rPr>
          <w:sz w:val="16"/>
          <w:szCs w:val="16"/>
        </w:rPr>
        <w:tab/>
      </w:r>
      <w:r>
        <w:rPr>
          <w:sz w:val="16"/>
          <w:szCs w:val="16"/>
        </w:rPr>
        <w:tab/>
        <w:t xml:space="preserve">  condition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42.</w:t>
      </w:r>
      <w:r>
        <w:rPr>
          <w:sz w:val="16"/>
          <w:szCs w:val="16"/>
        </w:rPr>
        <w:tab/>
        <w:t>86-297-GA-AIR</w:t>
      </w:r>
      <w:r>
        <w:rPr>
          <w:sz w:val="16"/>
          <w:szCs w:val="16"/>
        </w:rPr>
        <w:tab/>
        <w:t>East Ohio Gas Company</w:t>
      </w:r>
      <w:r>
        <w:rPr>
          <w:sz w:val="16"/>
          <w:szCs w:val="16"/>
        </w:rPr>
        <w:tab/>
        <w:t>Ohio</w:t>
      </w:r>
      <w:r>
        <w:rPr>
          <w:sz w:val="16"/>
          <w:szCs w:val="16"/>
        </w:rPr>
        <w:tab/>
        <w:t>Ohio Consumers’ Counsel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1986</w:t>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43.</w:t>
      </w:r>
      <w:r>
        <w:rPr>
          <w:sz w:val="16"/>
          <w:szCs w:val="16"/>
        </w:rPr>
        <w:tab/>
        <w:t>U-16945</w:t>
      </w:r>
      <w:r>
        <w:rPr>
          <w:sz w:val="16"/>
          <w:szCs w:val="16"/>
        </w:rPr>
        <w:tab/>
        <w:t xml:space="preserve">Louisiana Power &amp; Light </w:t>
      </w:r>
      <w:r>
        <w:rPr>
          <w:sz w:val="16"/>
          <w:szCs w:val="16"/>
        </w:rPr>
        <w:tab/>
        <w:t>Louisiana</w:t>
      </w:r>
      <w:r>
        <w:rPr>
          <w:sz w:val="16"/>
          <w:szCs w:val="16"/>
        </w:rPr>
        <w:tab/>
        <w:t>Public Service Commission</w:t>
      </w:r>
      <w:r>
        <w:rPr>
          <w:sz w:val="16"/>
          <w:szCs w:val="16"/>
        </w:rPr>
        <w:tab/>
        <w:t>Rate of Return, rate phase-in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December 1986</w:t>
      </w:r>
      <w:r>
        <w:rPr>
          <w:sz w:val="16"/>
          <w:szCs w:val="16"/>
        </w:rPr>
        <w:tab/>
      </w:r>
      <w:r>
        <w:rPr>
          <w:sz w:val="16"/>
          <w:szCs w:val="16"/>
        </w:rPr>
        <w:tab/>
        <w:t>Company</w:t>
      </w:r>
      <w:r>
        <w:rPr>
          <w:sz w:val="16"/>
          <w:szCs w:val="16"/>
        </w:rPr>
        <w:tab/>
      </w:r>
      <w:r>
        <w:rPr>
          <w:sz w:val="16"/>
          <w:szCs w:val="16"/>
        </w:rPr>
        <w:tab/>
      </w:r>
      <w:r>
        <w:rPr>
          <w:sz w:val="16"/>
          <w:szCs w:val="16"/>
        </w:rPr>
        <w:tab/>
        <w:t>plan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44.</w:t>
      </w:r>
      <w:r>
        <w:rPr>
          <w:sz w:val="16"/>
          <w:szCs w:val="16"/>
        </w:rPr>
        <w:tab/>
        <w:t>Case No. 7972</w:t>
      </w:r>
      <w:r>
        <w:rPr>
          <w:sz w:val="16"/>
          <w:szCs w:val="16"/>
        </w:rPr>
        <w:tab/>
        <w:t xml:space="preserve">Potomac Electric Power </w:t>
      </w:r>
      <w:r>
        <w:rPr>
          <w:sz w:val="16"/>
          <w:szCs w:val="16"/>
        </w:rPr>
        <w:tab/>
        <w:t>Maryland</w:t>
      </w:r>
      <w:r>
        <w:rPr>
          <w:sz w:val="16"/>
          <w:szCs w:val="16"/>
        </w:rPr>
        <w:tab/>
        <w:t>Commission Staff</w:t>
      </w:r>
      <w:r>
        <w:rPr>
          <w:sz w:val="16"/>
          <w:szCs w:val="16"/>
        </w:rPr>
        <w:tab/>
        <w:t>Generation capacity planning,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1987</w:t>
      </w:r>
      <w:r>
        <w:rPr>
          <w:sz w:val="16"/>
          <w:szCs w:val="16"/>
        </w:rPr>
        <w:tab/>
      </w:r>
      <w:r>
        <w:rPr>
          <w:sz w:val="16"/>
          <w:szCs w:val="16"/>
        </w:rPr>
        <w:tab/>
        <w:t>Company</w:t>
      </w:r>
      <w:r>
        <w:rPr>
          <w:sz w:val="16"/>
          <w:szCs w:val="16"/>
        </w:rPr>
        <w:tab/>
      </w:r>
      <w:r>
        <w:rPr>
          <w:sz w:val="16"/>
          <w:szCs w:val="16"/>
        </w:rPr>
        <w:tab/>
      </w:r>
      <w:r>
        <w:rPr>
          <w:sz w:val="16"/>
          <w:szCs w:val="16"/>
        </w:rPr>
        <w:tab/>
        <w:t xml:space="preserve">  purchased power contract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45.</w:t>
      </w:r>
      <w:r>
        <w:rPr>
          <w:sz w:val="16"/>
          <w:szCs w:val="16"/>
        </w:rPr>
        <w:tab/>
        <w:t>EL-86-58 &amp; EL-86-59</w:t>
      </w:r>
      <w:r>
        <w:rPr>
          <w:sz w:val="16"/>
          <w:szCs w:val="16"/>
        </w:rPr>
        <w:tab/>
        <w:t>System Energy Resources and</w:t>
      </w:r>
      <w:r>
        <w:rPr>
          <w:sz w:val="16"/>
          <w:szCs w:val="16"/>
        </w:rPr>
        <w:tab/>
        <w:t>FERC</w:t>
      </w:r>
      <w:r>
        <w:rPr>
          <w:sz w:val="16"/>
          <w:szCs w:val="16"/>
        </w:rPr>
        <w:tab/>
        <w:t>Louisiana PSC</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1987</w:t>
      </w:r>
      <w:r>
        <w:rPr>
          <w:sz w:val="16"/>
          <w:szCs w:val="16"/>
        </w:rPr>
        <w:tab/>
      </w:r>
      <w:r>
        <w:rPr>
          <w:sz w:val="16"/>
          <w:szCs w:val="16"/>
        </w:rPr>
        <w:tab/>
        <w:t>Middle South Services</w:t>
      </w:r>
      <w:r>
        <w:rPr>
          <w:sz w:val="16"/>
          <w:szCs w:val="16"/>
        </w:rPr>
        <w:br w:type="page"/>
        <w:t>46.</w:t>
      </w:r>
      <w:r>
        <w:rPr>
          <w:sz w:val="16"/>
          <w:szCs w:val="16"/>
        </w:rPr>
        <w:tab/>
        <w:t>ER-87-72-001</w:t>
      </w:r>
      <w:r>
        <w:rPr>
          <w:sz w:val="16"/>
          <w:szCs w:val="16"/>
        </w:rPr>
        <w:tab/>
        <w:t>Orange &amp; Rockland</w:t>
      </w:r>
      <w:r>
        <w:rPr>
          <w:sz w:val="16"/>
          <w:szCs w:val="16"/>
        </w:rPr>
        <w:tab/>
        <w:t>FERC</w:t>
      </w:r>
      <w:r>
        <w:rPr>
          <w:sz w:val="16"/>
          <w:szCs w:val="16"/>
        </w:rPr>
        <w:tab/>
        <w:t>PA Office of Consumer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1987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47.</w:t>
      </w:r>
      <w:r>
        <w:rPr>
          <w:sz w:val="16"/>
          <w:szCs w:val="16"/>
        </w:rPr>
        <w:tab/>
        <w:t>U-16945</w:t>
      </w:r>
      <w:r>
        <w:rPr>
          <w:sz w:val="16"/>
          <w:szCs w:val="16"/>
        </w:rPr>
        <w:tab/>
        <w:t>Louisiana Power &amp; Light</w:t>
      </w:r>
      <w:r>
        <w:rPr>
          <w:sz w:val="16"/>
          <w:szCs w:val="16"/>
        </w:rPr>
        <w:tab/>
        <w:t>Louisiana</w:t>
      </w:r>
      <w:r>
        <w:rPr>
          <w:sz w:val="16"/>
          <w:szCs w:val="16"/>
        </w:rPr>
        <w:tab/>
        <w:t>Commission Staff</w:t>
      </w:r>
      <w:r>
        <w:rPr>
          <w:sz w:val="16"/>
          <w:szCs w:val="16"/>
        </w:rPr>
        <w:tab/>
        <w:t>Revenue requirement update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1987</w:t>
      </w:r>
      <w:r>
        <w:rPr>
          <w:sz w:val="16"/>
          <w:szCs w:val="16"/>
        </w:rPr>
        <w:tab/>
      </w:r>
      <w:r>
        <w:rPr>
          <w:sz w:val="16"/>
          <w:szCs w:val="16"/>
        </w:rPr>
        <w:tab/>
        <w:t>Company</w:t>
      </w:r>
      <w:r>
        <w:rPr>
          <w:sz w:val="16"/>
          <w:szCs w:val="16"/>
        </w:rPr>
        <w:tab/>
      </w:r>
      <w:r>
        <w:rPr>
          <w:sz w:val="16"/>
          <w:szCs w:val="16"/>
        </w:rPr>
        <w:tab/>
      </w:r>
      <w:r>
        <w:rPr>
          <w:sz w:val="16"/>
          <w:szCs w:val="16"/>
        </w:rPr>
        <w:tab/>
        <w:t xml:space="preserve">  phase-in plan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48.</w:t>
      </w:r>
      <w:r>
        <w:rPr>
          <w:sz w:val="16"/>
          <w:szCs w:val="16"/>
        </w:rPr>
        <w:tab/>
        <w:t>P-870196</w:t>
      </w:r>
      <w:r>
        <w:rPr>
          <w:sz w:val="16"/>
          <w:szCs w:val="16"/>
        </w:rPr>
        <w:tab/>
        <w:t>Pennsylvania Electric Company</w:t>
      </w:r>
      <w:r>
        <w:rPr>
          <w:sz w:val="16"/>
          <w:szCs w:val="16"/>
        </w:rPr>
        <w:tab/>
        <w:t>Pennsylvania</w:t>
      </w:r>
      <w:r>
        <w:rPr>
          <w:sz w:val="16"/>
          <w:szCs w:val="16"/>
        </w:rPr>
        <w:tab/>
        <w:t>Office of Consumer Advocate</w:t>
      </w:r>
      <w:r>
        <w:rPr>
          <w:sz w:val="16"/>
          <w:szCs w:val="16"/>
        </w:rPr>
        <w:tab/>
        <w:t>Cogeneration contract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1987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49.</w:t>
      </w:r>
      <w:r>
        <w:rPr>
          <w:sz w:val="16"/>
          <w:szCs w:val="16"/>
        </w:rPr>
        <w:tab/>
        <w:t>86-2025-EL-AIR</w:t>
      </w:r>
      <w:r>
        <w:rPr>
          <w:sz w:val="16"/>
          <w:szCs w:val="16"/>
        </w:rPr>
        <w:tab/>
        <w:t xml:space="preserve">Cleveland Electric </w:t>
      </w:r>
      <w:r>
        <w:rPr>
          <w:sz w:val="16"/>
          <w:szCs w:val="16"/>
        </w:rPr>
        <w:tab/>
        <w:t>Ohio</w:t>
      </w:r>
      <w:r>
        <w:rPr>
          <w:sz w:val="16"/>
          <w:szCs w:val="16"/>
        </w:rPr>
        <w:tab/>
        <w:t>Ohio Consumers’ Counsel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1987</w:t>
      </w:r>
      <w:r>
        <w:rPr>
          <w:sz w:val="16"/>
          <w:szCs w:val="16"/>
        </w:rPr>
        <w:tab/>
      </w:r>
      <w:r>
        <w:rPr>
          <w:sz w:val="16"/>
          <w:szCs w:val="16"/>
        </w:rPr>
        <w:tab/>
        <w:t>Illuminating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50.</w:t>
      </w:r>
      <w:r>
        <w:rPr>
          <w:sz w:val="16"/>
          <w:szCs w:val="16"/>
        </w:rPr>
        <w:tab/>
        <w:t>86-2026-EL-AIR</w:t>
      </w:r>
      <w:r>
        <w:rPr>
          <w:sz w:val="16"/>
          <w:szCs w:val="16"/>
        </w:rPr>
        <w:tab/>
        <w:t>Toledo Edison Company</w:t>
      </w:r>
      <w:r>
        <w:rPr>
          <w:sz w:val="16"/>
          <w:szCs w:val="16"/>
        </w:rPr>
        <w:tab/>
        <w:t>Ohio</w:t>
      </w:r>
      <w:r>
        <w:rPr>
          <w:sz w:val="16"/>
          <w:szCs w:val="16"/>
        </w:rPr>
        <w:tab/>
        <w:t>Ohio Consumers’ Counsel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1987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51.</w:t>
      </w:r>
      <w:r>
        <w:rPr>
          <w:sz w:val="16"/>
          <w:szCs w:val="16"/>
        </w:rPr>
        <w:tab/>
        <w:t>87-4</w:t>
      </w:r>
      <w:r>
        <w:rPr>
          <w:sz w:val="16"/>
          <w:szCs w:val="16"/>
        </w:rPr>
        <w:tab/>
        <w:t xml:space="preserve">Delmarva Power &amp; Light </w:t>
      </w:r>
      <w:r>
        <w:rPr>
          <w:sz w:val="16"/>
          <w:szCs w:val="16"/>
        </w:rPr>
        <w:tab/>
        <w:t>Delaware</w:t>
      </w:r>
      <w:r>
        <w:rPr>
          <w:sz w:val="16"/>
          <w:szCs w:val="16"/>
        </w:rPr>
        <w:tab/>
        <w:t>Commission Staff</w:t>
      </w:r>
      <w:r>
        <w:rPr>
          <w:sz w:val="16"/>
          <w:szCs w:val="16"/>
        </w:rPr>
        <w:tab/>
        <w:t>Cogeneration/small power</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1987</w:t>
      </w:r>
      <w:r>
        <w:rPr>
          <w:sz w:val="16"/>
          <w:szCs w:val="16"/>
        </w:rPr>
        <w:tab/>
      </w:r>
      <w:r>
        <w:rPr>
          <w:sz w:val="16"/>
          <w:szCs w:val="16"/>
        </w:rPr>
        <w:tab/>
        <w:t>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52.</w:t>
      </w:r>
      <w:r>
        <w:rPr>
          <w:sz w:val="16"/>
          <w:szCs w:val="16"/>
        </w:rPr>
        <w:tab/>
        <w:t>1872</w:t>
      </w:r>
      <w:r>
        <w:rPr>
          <w:sz w:val="16"/>
          <w:szCs w:val="16"/>
        </w:rPr>
        <w:tab/>
        <w:t>Newport Electric Company</w:t>
      </w:r>
      <w:r>
        <w:rPr>
          <w:sz w:val="16"/>
          <w:szCs w:val="16"/>
        </w:rPr>
        <w:tab/>
        <w:t>Rhode Island</w:t>
      </w:r>
      <w:r>
        <w:rPr>
          <w:sz w:val="16"/>
          <w:szCs w:val="16"/>
        </w:rPr>
        <w:tab/>
        <w:t>Commission Staff</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1987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53.</w:t>
      </w:r>
      <w:r>
        <w:rPr>
          <w:sz w:val="16"/>
          <w:szCs w:val="16"/>
        </w:rPr>
        <w:tab/>
        <w:t>WO 8606654</w:t>
      </w:r>
      <w:r>
        <w:rPr>
          <w:sz w:val="16"/>
          <w:szCs w:val="16"/>
        </w:rPr>
        <w:tab/>
        <w:t xml:space="preserve">Atlantic City Sewerage </w:t>
      </w:r>
      <w:r>
        <w:rPr>
          <w:sz w:val="16"/>
          <w:szCs w:val="16"/>
        </w:rPr>
        <w:tab/>
        <w:t>New Jersey</w:t>
      </w:r>
      <w:r>
        <w:rPr>
          <w:sz w:val="16"/>
          <w:szCs w:val="16"/>
        </w:rPr>
        <w:tab/>
        <w:t>Resorts International</w:t>
      </w:r>
      <w:r>
        <w:rPr>
          <w:sz w:val="16"/>
          <w:szCs w:val="16"/>
        </w:rPr>
        <w:tab/>
        <w:t>Financial condition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1987</w:t>
      </w:r>
      <w:r>
        <w:rPr>
          <w:sz w:val="16"/>
          <w:szCs w:val="16"/>
        </w:rPr>
        <w:tab/>
      </w:r>
      <w:r>
        <w:rPr>
          <w:sz w:val="16"/>
          <w:szCs w:val="16"/>
        </w:rPr>
        <w:tab/>
        <w:t>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54.</w:t>
      </w:r>
      <w:r>
        <w:rPr>
          <w:sz w:val="16"/>
          <w:szCs w:val="16"/>
        </w:rPr>
        <w:tab/>
        <w:t>7510</w:t>
      </w:r>
      <w:r>
        <w:rPr>
          <w:sz w:val="16"/>
          <w:szCs w:val="16"/>
        </w:rPr>
        <w:tab/>
        <w:t>West Texas Utilities Company</w:t>
      </w:r>
      <w:r>
        <w:rPr>
          <w:sz w:val="16"/>
          <w:szCs w:val="16"/>
        </w:rPr>
        <w:tab/>
        <w:t>Texas</w:t>
      </w:r>
      <w:r>
        <w:rPr>
          <w:sz w:val="16"/>
          <w:szCs w:val="16"/>
        </w:rPr>
        <w:tab/>
        <w:t>Federal Executive Agencies</w:t>
      </w:r>
      <w:r>
        <w:rPr>
          <w:sz w:val="16"/>
          <w:szCs w:val="16"/>
        </w:rPr>
        <w:tab/>
        <w:t>Rate of Return, phase-in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1987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55.</w:t>
      </w:r>
      <w:r>
        <w:rPr>
          <w:sz w:val="16"/>
          <w:szCs w:val="16"/>
        </w:rPr>
        <w:tab/>
        <w:t>8063 Phase I</w:t>
      </w:r>
      <w:r>
        <w:rPr>
          <w:sz w:val="16"/>
          <w:szCs w:val="16"/>
        </w:rPr>
        <w:tab/>
        <w:t xml:space="preserve">Potomac Electric Power </w:t>
      </w:r>
      <w:r>
        <w:rPr>
          <w:sz w:val="16"/>
          <w:szCs w:val="16"/>
        </w:rPr>
        <w:tab/>
        <w:t>Maryland</w:t>
      </w:r>
      <w:r>
        <w:rPr>
          <w:sz w:val="16"/>
          <w:szCs w:val="16"/>
        </w:rPr>
        <w:tab/>
        <w:t>Power Plant Research Program</w:t>
      </w:r>
      <w:r>
        <w:rPr>
          <w:sz w:val="16"/>
          <w:szCs w:val="16"/>
        </w:rPr>
        <w:tab/>
        <w:t>Economics of power plant site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October 1987</w:t>
      </w:r>
      <w:r>
        <w:rPr>
          <w:sz w:val="16"/>
          <w:szCs w:val="16"/>
        </w:rPr>
        <w:tab/>
      </w:r>
      <w:r>
        <w:rPr>
          <w:sz w:val="16"/>
          <w:szCs w:val="16"/>
        </w:rPr>
        <w:tab/>
        <w:t>Company</w:t>
      </w:r>
      <w:r>
        <w:rPr>
          <w:sz w:val="16"/>
          <w:szCs w:val="16"/>
        </w:rPr>
        <w:tab/>
      </w:r>
      <w:r>
        <w:rPr>
          <w:sz w:val="16"/>
          <w:szCs w:val="16"/>
        </w:rPr>
        <w:tab/>
      </w:r>
      <w:r>
        <w:rPr>
          <w:sz w:val="16"/>
          <w:szCs w:val="16"/>
        </w:rPr>
        <w:tab/>
        <w:t xml:space="preserve">  selection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56.</w:t>
      </w:r>
      <w:r>
        <w:rPr>
          <w:sz w:val="16"/>
          <w:szCs w:val="16"/>
        </w:rPr>
        <w:tab/>
        <w:t>00439</w:t>
      </w:r>
      <w:r>
        <w:rPr>
          <w:sz w:val="16"/>
          <w:szCs w:val="16"/>
        </w:rPr>
        <w:tab/>
        <w:t>Oklahoma Gas &amp; Electric</w:t>
      </w:r>
      <w:r>
        <w:rPr>
          <w:sz w:val="16"/>
          <w:szCs w:val="16"/>
        </w:rPr>
        <w:tab/>
        <w:t>Oklahoma</w:t>
      </w:r>
      <w:r>
        <w:rPr>
          <w:sz w:val="16"/>
          <w:szCs w:val="16"/>
        </w:rPr>
        <w:tab/>
        <w:t>Smith Cogeneration</w:t>
      </w:r>
      <w:r>
        <w:rPr>
          <w:sz w:val="16"/>
          <w:szCs w:val="16"/>
        </w:rPr>
        <w:tab/>
        <w:t>Cogeneration economics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1987</w:t>
      </w:r>
      <w:r>
        <w:rPr>
          <w:sz w:val="16"/>
          <w:szCs w:val="16"/>
        </w:rPr>
        <w:tab/>
      </w:r>
      <w:r>
        <w:rPr>
          <w:sz w:val="16"/>
          <w:szCs w:val="16"/>
        </w:rPr>
        <w:tab/>
        <w:t>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57.</w:t>
      </w:r>
      <w:r>
        <w:rPr>
          <w:sz w:val="16"/>
          <w:szCs w:val="16"/>
        </w:rPr>
        <w:tab/>
        <w:t>RP-87-103</w:t>
      </w:r>
      <w:r>
        <w:rPr>
          <w:sz w:val="16"/>
          <w:szCs w:val="16"/>
        </w:rPr>
        <w:tab/>
        <w:t>Panhandle Eastern Pipe Line</w:t>
      </w:r>
      <w:r>
        <w:rPr>
          <w:sz w:val="16"/>
          <w:szCs w:val="16"/>
        </w:rPr>
        <w:tab/>
        <w:t>FERC</w:t>
      </w:r>
      <w:r>
        <w:rPr>
          <w:sz w:val="16"/>
          <w:szCs w:val="16"/>
        </w:rPr>
        <w:tab/>
        <w:t>Indiana Utility Consumer</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1988</w:t>
      </w:r>
      <w:r>
        <w:rPr>
          <w:sz w:val="16"/>
          <w:szCs w:val="16"/>
        </w:rPr>
        <w:tab/>
      </w:r>
      <w:r>
        <w:rPr>
          <w:sz w:val="16"/>
          <w:szCs w:val="16"/>
        </w:rPr>
        <w:tab/>
        <w:t>Company</w:t>
      </w:r>
      <w:r>
        <w:rPr>
          <w:sz w:val="16"/>
          <w:szCs w:val="16"/>
        </w:rPr>
        <w:tab/>
      </w:r>
      <w:r>
        <w:rPr>
          <w:sz w:val="16"/>
          <w:szCs w:val="16"/>
        </w:rPr>
        <w:tab/>
        <w:t xml:space="preserve">  Counselor</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58.</w:t>
      </w:r>
      <w:r>
        <w:rPr>
          <w:sz w:val="16"/>
          <w:szCs w:val="16"/>
        </w:rPr>
        <w:tab/>
        <w:t>EC-88-2-000</w:t>
      </w:r>
      <w:r>
        <w:rPr>
          <w:sz w:val="16"/>
          <w:szCs w:val="16"/>
        </w:rPr>
        <w:tab/>
        <w:t>Utah Power &amp; Light Co.</w:t>
      </w:r>
      <w:r>
        <w:rPr>
          <w:sz w:val="16"/>
          <w:szCs w:val="16"/>
        </w:rPr>
        <w:tab/>
        <w:t>FERC</w:t>
      </w:r>
      <w:r>
        <w:rPr>
          <w:sz w:val="16"/>
          <w:szCs w:val="16"/>
        </w:rPr>
        <w:tab/>
        <w:t>Nucor Steel</w:t>
      </w:r>
      <w:r>
        <w:rPr>
          <w:sz w:val="16"/>
          <w:szCs w:val="16"/>
        </w:rPr>
        <w:tab/>
        <w:t>Merger economics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1988</w:t>
      </w:r>
      <w:r>
        <w:rPr>
          <w:sz w:val="16"/>
          <w:szCs w:val="16"/>
        </w:rPr>
        <w:tab/>
      </w:r>
      <w:r>
        <w:rPr>
          <w:sz w:val="16"/>
          <w:szCs w:val="16"/>
        </w:rPr>
        <w:tab/>
        <w:t>PacifiCorp</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59.</w:t>
      </w:r>
      <w:r>
        <w:rPr>
          <w:sz w:val="16"/>
          <w:szCs w:val="16"/>
        </w:rPr>
        <w:tab/>
        <w:t>87-0427</w:t>
      </w:r>
      <w:r>
        <w:rPr>
          <w:sz w:val="16"/>
          <w:szCs w:val="16"/>
        </w:rPr>
        <w:tab/>
        <w:t>Commonwealth Edison Company</w:t>
      </w:r>
      <w:r>
        <w:rPr>
          <w:sz w:val="16"/>
          <w:szCs w:val="16"/>
        </w:rPr>
        <w:tab/>
        <w:t>Illinois</w:t>
      </w:r>
      <w:r>
        <w:rPr>
          <w:sz w:val="16"/>
          <w:szCs w:val="16"/>
        </w:rPr>
        <w:tab/>
        <w:t>Federal Executive Agencies</w:t>
      </w:r>
      <w:r>
        <w:rPr>
          <w:sz w:val="16"/>
          <w:szCs w:val="16"/>
        </w:rPr>
        <w:tab/>
        <w:t>Financial projections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1988</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60.</w:t>
      </w:r>
      <w:r>
        <w:rPr>
          <w:sz w:val="16"/>
          <w:szCs w:val="16"/>
        </w:rPr>
        <w:tab/>
        <w:t>870840</w:t>
      </w:r>
      <w:r>
        <w:rPr>
          <w:sz w:val="16"/>
          <w:szCs w:val="16"/>
        </w:rPr>
        <w:tab/>
        <w:t>Philadelphia Suburban Water</w:t>
      </w:r>
      <w:r>
        <w:rPr>
          <w:sz w:val="16"/>
          <w:szCs w:val="16"/>
        </w:rPr>
        <w:tab/>
        <w:t>Pennsylvania</w:t>
      </w:r>
      <w:r>
        <w:rPr>
          <w:sz w:val="16"/>
          <w:szCs w:val="16"/>
        </w:rPr>
        <w:tab/>
        <w:t>Office of Consumer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1988</w:t>
      </w:r>
      <w:r>
        <w:rPr>
          <w:sz w:val="16"/>
          <w:szCs w:val="16"/>
        </w:rPr>
        <w:tab/>
      </w:r>
      <w:r>
        <w:rPr>
          <w:sz w:val="16"/>
          <w:szCs w:val="16"/>
        </w:rPr>
        <w:tab/>
        <w:t>Company</w:t>
      </w:r>
      <w:r>
        <w:rPr>
          <w:sz w:val="16"/>
          <w:szCs w:val="16"/>
        </w:rPr>
        <w:br w:type="page"/>
        <w:t>61.</w:t>
      </w:r>
      <w:r>
        <w:rPr>
          <w:sz w:val="16"/>
          <w:szCs w:val="16"/>
        </w:rPr>
        <w:tab/>
        <w:t>870832</w:t>
      </w:r>
      <w:r>
        <w:rPr>
          <w:sz w:val="16"/>
          <w:szCs w:val="16"/>
        </w:rPr>
        <w:tab/>
        <w:t>Columbia Gas of Pennsylvania</w:t>
      </w:r>
      <w:r>
        <w:rPr>
          <w:sz w:val="16"/>
          <w:szCs w:val="16"/>
        </w:rPr>
        <w:tab/>
        <w:t>Pennsylvania</w:t>
      </w:r>
      <w:r>
        <w:rPr>
          <w:sz w:val="16"/>
          <w:szCs w:val="16"/>
        </w:rPr>
        <w:tab/>
        <w:t>Office of Consumer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1988</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62.</w:t>
      </w:r>
      <w:r>
        <w:rPr>
          <w:sz w:val="16"/>
          <w:szCs w:val="16"/>
        </w:rPr>
        <w:tab/>
        <w:t>8063 Phase II</w:t>
      </w:r>
      <w:r>
        <w:rPr>
          <w:sz w:val="16"/>
          <w:szCs w:val="16"/>
        </w:rPr>
        <w:tab/>
        <w:t xml:space="preserve">Potomac Electric Power </w:t>
      </w:r>
      <w:r>
        <w:rPr>
          <w:sz w:val="16"/>
          <w:szCs w:val="16"/>
        </w:rPr>
        <w:tab/>
        <w:t>Maryland</w:t>
      </w:r>
      <w:r>
        <w:rPr>
          <w:sz w:val="16"/>
          <w:szCs w:val="16"/>
        </w:rPr>
        <w:tab/>
        <w:t>Power Plant Research Program</w:t>
      </w:r>
      <w:r>
        <w:rPr>
          <w:sz w:val="16"/>
          <w:szCs w:val="16"/>
        </w:rPr>
        <w:tab/>
        <w:t>Power supply study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1988</w:t>
      </w:r>
      <w:r>
        <w:rPr>
          <w:sz w:val="16"/>
          <w:szCs w:val="16"/>
        </w:rPr>
        <w:tab/>
      </w:r>
      <w:r>
        <w:rPr>
          <w:sz w:val="16"/>
          <w:szCs w:val="16"/>
        </w:rPr>
        <w:tab/>
        <w:t>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63.</w:t>
      </w:r>
      <w:r>
        <w:rPr>
          <w:sz w:val="16"/>
          <w:szCs w:val="16"/>
        </w:rPr>
        <w:tab/>
        <w:t>8102</w:t>
      </w:r>
      <w:r>
        <w:rPr>
          <w:sz w:val="16"/>
          <w:szCs w:val="16"/>
        </w:rPr>
        <w:tab/>
        <w:t>Southern Maryland Electric</w:t>
      </w:r>
      <w:r>
        <w:rPr>
          <w:sz w:val="16"/>
          <w:szCs w:val="16"/>
        </w:rPr>
        <w:tab/>
        <w:t>Maryland</w:t>
      </w:r>
      <w:r>
        <w:rPr>
          <w:sz w:val="16"/>
          <w:szCs w:val="16"/>
        </w:rPr>
        <w:tab/>
        <w:t>Power Plant Research Program</w:t>
      </w:r>
      <w:r>
        <w:rPr>
          <w:sz w:val="16"/>
          <w:szCs w:val="16"/>
        </w:rPr>
        <w:tab/>
        <w:t>Power supply study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1988</w:t>
      </w:r>
      <w:r>
        <w:rPr>
          <w:sz w:val="16"/>
          <w:szCs w:val="16"/>
        </w:rPr>
        <w:tab/>
      </w:r>
      <w:r>
        <w:rPr>
          <w:sz w:val="16"/>
          <w:szCs w:val="16"/>
        </w:rPr>
        <w:tab/>
        <w:t>Cooperative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64.</w:t>
      </w:r>
      <w:r>
        <w:rPr>
          <w:sz w:val="16"/>
          <w:szCs w:val="16"/>
        </w:rPr>
        <w:tab/>
        <w:t>10105</w:t>
      </w:r>
      <w:r>
        <w:rPr>
          <w:sz w:val="16"/>
          <w:szCs w:val="16"/>
        </w:rPr>
        <w:tab/>
        <w:t>South Central Bell</w:t>
      </w:r>
      <w:r>
        <w:rPr>
          <w:sz w:val="16"/>
          <w:szCs w:val="16"/>
        </w:rPr>
        <w:tab/>
        <w:t>Kentucky</w:t>
      </w:r>
      <w:r>
        <w:rPr>
          <w:sz w:val="16"/>
          <w:szCs w:val="16"/>
        </w:rPr>
        <w:tab/>
        <w:t>Attorney General</w:t>
      </w:r>
      <w:r>
        <w:rPr>
          <w:sz w:val="16"/>
          <w:szCs w:val="16"/>
        </w:rPr>
        <w:tab/>
        <w:t>Rate of Return, incentive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1988</w:t>
      </w:r>
      <w:r>
        <w:rPr>
          <w:sz w:val="16"/>
          <w:szCs w:val="16"/>
        </w:rPr>
        <w:tab/>
      </w:r>
      <w:r>
        <w:rPr>
          <w:sz w:val="16"/>
          <w:szCs w:val="16"/>
        </w:rPr>
        <w:tab/>
        <w:t>Telephone Co.</w:t>
      </w:r>
      <w:r>
        <w:rPr>
          <w:sz w:val="16"/>
          <w:szCs w:val="16"/>
        </w:rPr>
        <w:tab/>
      </w:r>
      <w:r>
        <w:rPr>
          <w:sz w:val="16"/>
          <w:szCs w:val="16"/>
        </w:rPr>
        <w:tab/>
      </w:r>
      <w:r>
        <w:rPr>
          <w:sz w:val="16"/>
          <w:szCs w:val="16"/>
        </w:rPr>
        <w:tab/>
        <w:t xml:space="preserve">  regulation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65.</w:t>
      </w:r>
      <w:r>
        <w:rPr>
          <w:sz w:val="16"/>
          <w:szCs w:val="16"/>
        </w:rPr>
        <w:tab/>
        <w:t>00345</w:t>
      </w:r>
      <w:r>
        <w:rPr>
          <w:sz w:val="16"/>
          <w:szCs w:val="16"/>
        </w:rPr>
        <w:tab/>
        <w:t>Oklahoma Gas &amp; Electric</w:t>
      </w:r>
      <w:r>
        <w:rPr>
          <w:sz w:val="16"/>
          <w:szCs w:val="16"/>
        </w:rPr>
        <w:tab/>
        <w:t>Oklahoma</w:t>
      </w:r>
      <w:r>
        <w:rPr>
          <w:sz w:val="16"/>
          <w:szCs w:val="16"/>
        </w:rPr>
        <w:tab/>
        <w:t>Smith Cogeneration</w:t>
      </w:r>
      <w:r>
        <w:rPr>
          <w:sz w:val="16"/>
          <w:szCs w:val="16"/>
        </w:rPr>
        <w:tab/>
        <w:t>Need for power</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1988</w:t>
      </w:r>
      <w:r>
        <w:rPr>
          <w:sz w:val="16"/>
          <w:szCs w:val="16"/>
        </w:rPr>
        <w:tab/>
      </w:r>
      <w:r>
        <w:rPr>
          <w:sz w:val="16"/>
          <w:szCs w:val="16"/>
        </w:rPr>
        <w:tab/>
        <w:t>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66.</w:t>
      </w:r>
      <w:r>
        <w:rPr>
          <w:sz w:val="16"/>
          <w:szCs w:val="16"/>
        </w:rPr>
        <w:tab/>
        <w:t>U-17906</w:t>
      </w:r>
      <w:r>
        <w:rPr>
          <w:sz w:val="16"/>
          <w:szCs w:val="16"/>
        </w:rPr>
        <w:tab/>
        <w:t>Louisiana Power &amp; Light</w:t>
      </w:r>
      <w:r>
        <w:rPr>
          <w:sz w:val="16"/>
          <w:szCs w:val="16"/>
        </w:rPr>
        <w:tab/>
        <w:t>Louisiana</w:t>
      </w:r>
      <w:r>
        <w:rPr>
          <w:sz w:val="16"/>
          <w:szCs w:val="16"/>
        </w:rPr>
        <w:tab/>
        <w:t>Commission Staff</w:t>
      </w:r>
      <w:r>
        <w:rPr>
          <w:sz w:val="16"/>
          <w:szCs w:val="16"/>
        </w:rPr>
        <w:tab/>
        <w:t>Rate of Return, nuclear</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September 1988</w:t>
      </w:r>
      <w:r>
        <w:rPr>
          <w:sz w:val="16"/>
          <w:szCs w:val="16"/>
        </w:rPr>
        <w:tab/>
      </w:r>
      <w:r>
        <w:rPr>
          <w:sz w:val="16"/>
          <w:szCs w:val="16"/>
        </w:rPr>
        <w:tab/>
        <w:t>Company</w:t>
      </w:r>
      <w:r>
        <w:rPr>
          <w:sz w:val="16"/>
          <w:szCs w:val="16"/>
        </w:rPr>
        <w:tab/>
      </w:r>
      <w:r>
        <w:rPr>
          <w:sz w:val="16"/>
          <w:szCs w:val="16"/>
        </w:rPr>
        <w:tab/>
      </w:r>
      <w:r>
        <w:rPr>
          <w:sz w:val="16"/>
          <w:szCs w:val="16"/>
        </w:rPr>
        <w:tab/>
        <w:t xml:space="preserve">  power costs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Industrial contracts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67.</w:t>
      </w:r>
      <w:r>
        <w:rPr>
          <w:sz w:val="16"/>
          <w:szCs w:val="16"/>
        </w:rPr>
        <w:tab/>
        <w:t>88-170-EL-AIR</w:t>
      </w:r>
      <w:r>
        <w:rPr>
          <w:sz w:val="16"/>
          <w:szCs w:val="16"/>
        </w:rPr>
        <w:tab/>
        <w:t>Cleveland Electric</w:t>
      </w:r>
      <w:r>
        <w:rPr>
          <w:sz w:val="16"/>
          <w:szCs w:val="16"/>
        </w:rPr>
        <w:tab/>
        <w:t>Ohio</w:t>
      </w:r>
      <w:r>
        <w:rPr>
          <w:sz w:val="16"/>
          <w:szCs w:val="16"/>
        </w:rPr>
        <w:tab/>
        <w:t>Northeast-Ohio Areawide</w:t>
      </w:r>
      <w:r>
        <w:rPr>
          <w:sz w:val="16"/>
          <w:szCs w:val="16"/>
        </w:rPr>
        <w:tab/>
        <w:t>Economic impact study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October 1988</w:t>
      </w:r>
      <w:r>
        <w:rPr>
          <w:sz w:val="16"/>
          <w:szCs w:val="16"/>
        </w:rPr>
        <w:tab/>
      </w:r>
      <w:r>
        <w:rPr>
          <w:sz w:val="16"/>
          <w:szCs w:val="16"/>
        </w:rPr>
        <w:tab/>
        <w:t>Illuminating Co.</w:t>
      </w:r>
      <w:r>
        <w:rPr>
          <w:sz w:val="16"/>
          <w:szCs w:val="16"/>
        </w:rPr>
        <w:tab/>
      </w:r>
      <w:r>
        <w:rPr>
          <w:sz w:val="16"/>
          <w:szCs w:val="16"/>
        </w:rPr>
        <w:tab/>
        <w:t xml:space="preserve">  Coordinating Agency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68.</w:t>
      </w:r>
      <w:r>
        <w:rPr>
          <w:sz w:val="16"/>
          <w:szCs w:val="16"/>
        </w:rPr>
        <w:tab/>
        <w:t>1914</w:t>
      </w:r>
      <w:r>
        <w:rPr>
          <w:sz w:val="16"/>
          <w:szCs w:val="16"/>
        </w:rPr>
        <w:tab/>
        <w:t>Providence Gas Company</w:t>
      </w:r>
      <w:r>
        <w:rPr>
          <w:sz w:val="16"/>
          <w:szCs w:val="16"/>
        </w:rPr>
        <w:tab/>
        <w:t>Rhode Island</w:t>
      </w:r>
      <w:r>
        <w:rPr>
          <w:sz w:val="16"/>
          <w:szCs w:val="16"/>
        </w:rPr>
        <w:tab/>
        <w:t>Commission Staff</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December 1988</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69.</w:t>
      </w:r>
      <w:r>
        <w:rPr>
          <w:sz w:val="16"/>
          <w:szCs w:val="16"/>
        </w:rPr>
        <w:tab/>
        <w:t>U-12636 &amp; U-17649</w:t>
      </w:r>
      <w:r>
        <w:rPr>
          <w:sz w:val="16"/>
          <w:szCs w:val="16"/>
        </w:rPr>
        <w:tab/>
        <w:t>Louisiana Power &amp; Light</w:t>
      </w:r>
      <w:r>
        <w:rPr>
          <w:sz w:val="16"/>
          <w:szCs w:val="16"/>
        </w:rPr>
        <w:tab/>
        <w:t>Louisiana</w:t>
      </w:r>
      <w:r>
        <w:rPr>
          <w:sz w:val="16"/>
          <w:szCs w:val="16"/>
        </w:rPr>
        <w:tab/>
        <w:t>Commission Staff</w:t>
      </w:r>
      <w:r>
        <w:rPr>
          <w:sz w:val="16"/>
          <w:szCs w:val="16"/>
        </w:rPr>
        <w:tab/>
        <w:t>Disposition of litigation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1989</w:t>
      </w:r>
      <w:r>
        <w:rPr>
          <w:sz w:val="16"/>
          <w:szCs w:val="16"/>
        </w:rPr>
        <w:tab/>
      </w:r>
      <w:r>
        <w:rPr>
          <w:sz w:val="16"/>
          <w:szCs w:val="16"/>
        </w:rPr>
        <w:tab/>
        <w:t>Company</w:t>
      </w:r>
      <w:r>
        <w:rPr>
          <w:sz w:val="16"/>
          <w:szCs w:val="16"/>
        </w:rPr>
        <w:tab/>
      </w:r>
      <w:r>
        <w:rPr>
          <w:sz w:val="16"/>
          <w:szCs w:val="16"/>
        </w:rPr>
        <w:tab/>
      </w:r>
      <w:r>
        <w:rPr>
          <w:sz w:val="16"/>
          <w:szCs w:val="16"/>
        </w:rPr>
        <w:tab/>
        <w:t xml:space="preserve">  proceeds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70.</w:t>
      </w:r>
      <w:r>
        <w:rPr>
          <w:sz w:val="16"/>
          <w:szCs w:val="16"/>
        </w:rPr>
        <w:tab/>
        <w:t>00345</w:t>
      </w:r>
      <w:r>
        <w:rPr>
          <w:sz w:val="16"/>
          <w:szCs w:val="16"/>
        </w:rPr>
        <w:tab/>
        <w:t xml:space="preserve">Oklahoma Gas &amp; Electric </w:t>
      </w:r>
      <w:r>
        <w:rPr>
          <w:sz w:val="16"/>
          <w:szCs w:val="16"/>
        </w:rPr>
        <w:tab/>
        <w:t>Oklahoma</w:t>
      </w:r>
      <w:r>
        <w:rPr>
          <w:sz w:val="16"/>
          <w:szCs w:val="16"/>
        </w:rPr>
        <w:tab/>
        <w:t>Smith Cogeneration</w:t>
      </w:r>
      <w:r>
        <w:rPr>
          <w:sz w:val="16"/>
          <w:szCs w:val="16"/>
        </w:rPr>
        <w:tab/>
        <w:t>Load forecasting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1989</w:t>
      </w:r>
      <w:r>
        <w:rPr>
          <w:sz w:val="16"/>
          <w:szCs w:val="16"/>
        </w:rPr>
        <w:tab/>
      </w:r>
      <w:r>
        <w:rPr>
          <w:sz w:val="16"/>
          <w:szCs w:val="16"/>
        </w:rPr>
        <w:tab/>
        <w:t>Company</w:t>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71.</w:t>
      </w:r>
      <w:r>
        <w:rPr>
          <w:sz w:val="16"/>
          <w:szCs w:val="16"/>
        </w:rPr>
        <w:tab/>
        <w:t>RP88-209</w:t>
      </w:r>
      <w:r>
        <w:rPr>
          <w:sz w:val="16"/>
          <w:szCs w:val="16"/>
        </w:rPr>
        <w:tab/>
        <w:t>Natural Gas Pipeline</w:t>
      </w:r>
      <w:r>
        <w:rPr>
          <w:sz w:val="16"/>
          <w:szCs w:val="16"/>
        </w:rPr>
        <w:tab/>
        <w:t>FERC</w:t>
      </w:r>
      <w:r>
        <w:rPr>
          <w:sz w:val="16"/>
          <w:szCs w:val="16"/>
        </w:rPr>
        <w:tab/>
        <w:t>Indiana Utility Consumer</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1989</w:t>
      </w:r>
      <w:r>
        <w:rPr>
          <w:sz w:val="16"/>
          <w:szCs w:val="16"/>
        </w:rPr>
        <w:tab/>
      </w:r>
      <w:r>
        <w:rPr>
          <w:sz w:val="16"/>
          <w:szCs w:val="16"/>
        </w:rPr>
        <w:tab/>
        <w:t>of America</w:t>
      </w:r>
      <w:r>
        <w:rPr>
          <w:sz w:val="16"/>
          <w:szCs w:val="16"/>
        </w:rPr>
        <w:tab/>
      </w:r>
      <w:r>
        <w:rPr>
          <w:sz w:val="16"/>
          <w:szCs w:val="16"/>
        </w:rPr>
        <w:tab/>
        <w:t xml:space="preserve">  Counselor</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72.</w:t>
      </w:r>
      <w:r>
        <w:rPr>
          <w:sz w:val="16"/>
          <w:szCs w:val="16"/>
        </w:rPr>
        <w:tab/>
        <w:t>8425</w:t>
      </w:r>
      <w:r>
        <w:rPr>
          <w:sz w:val="16"/>
          <w:szCs w:val="16"/>
        </w:rPr>
        <w:tab/>
        <w:t>Houston Lighting &amp; Power</w:t>
      </w:r>
      <w:r>
        <w:rPr>
          <w:sz w:val="16"/>
          <w:szCs w:val="16"/>
        </w:rPr>
        <w:tab/>
        <w:t>Texas</w:t>
      </w:r>
      <w:r>
        <w:rPr>
          <w:sz w:val="16"/>
          <w:szCs w:val="16"/>
        </w:rPr>
        <w:tab/>
        <w:t>U.S. Department of Energy</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1989</w:t>
      </w:r>
      <w:r>
        <w:rPr>
          <w:sz w:val="16"/>
          <w:szCs w:val="16"/>
        </w:rPr>
        <w:tab/>
      </w:r>
      <w:r>
        <w:rPr>
          <w:sz w:val="16"/>
          <w:szCs w:val="16"/>
        </w:rPr>
        <w:tab/>
        <w:t>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73.</w:t>
      </w:r>
      <w:r>
        <w:rPr>
          <w:sz w:val="16"/>
          <w:szCs w:val="16"/>
        </w:rPr>
        <w:tab/>
        <w:t>EL89-30-000</w:t>
      </w:r>
      <w:r>
        <w:rPr>
          <w:sz w:val="16"/>
          <w:szCs w:val="16"/>
        </w:rPr>
        <w:tab/>
        <w:t>Central Illinois</w:t>
      </w:r>
      <w:r>
        <w:rPr>
          <w:sz w:val="16"/>
          <w:szCs w:val="16"/>
        </w:rPr>
        <w:tab/>
        <w:t>FERC</w:t>
      </w:r>
      <w:r>
        <w:rPr>
          <w:sz w:val="16"/>
          <w:szCs w:val="16"/>
        </w:rPr>
        <w:tab/>
        <w:t>Soyland Power Coop, Inc.</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1989</w:t>
      </w:r>
      <w:r>
        <w:rPr>
          <w:sz w:val="16"/>
          <w:szCs w:val="16"/>
        </w:rPr>
        <w:tab/>
      </w:r>
      <w:r>
        <w:rPr>
          <w:sz w:val="16"/>
          <w:szCs w:val="16"/>
        </w:rPr>
        <w:tab/>
        <w:t>Public Service Company</w:t>
      </w:r>
      <w:r>
        <w:rPr>
          <w:sz w:val="16"/>
          <w:szCs w:val="16"/>
        </w:rPr>
        <w:tab/>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74.</w:t>
      </w:r>
      <w:r>
        <w:rPr>
          <w:sz w:val="16"/>
          <w:szCs w:val="16"/>
        </w:rPr>
        <w:tab/>
        <w:t>R-891208</w:t>
      </w:r>
      <w:r>
        <w:rPr>
          <w:sz w:val="16"/>
          <w:szCs w:val="16"/>
        </w:rPr>
        <w:tab/>
        <w:t>Pennsylvania American</w:t>
      </w:r>
      <w:r>
        <w:rPr>
          <w:sz w:val="16"/>
          <w:szCs w:val="16"/>
        </w:rPr>
        <w:tab/>
        <w:t>Pennsylvania</w:t>
      </w:r>
      <w:r>
        <w:rPr>
          <w:sz w:val="16"/>
          <w:szCs w:val="16"/>
        </w:rPr>
        <w:tab/>
        <w:t>Office of Consumer</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1989</w:t>
      </w:r>
      <w:r>
        <w:rPr>
          <w:sz w:val="16"/>
          <w:szCs w:val="16"/>
        </w:rPr>
        <w:tab/>
      </w:r>
      <w:r>
        <w:rPr>
          <w:sz w:val="16"/>
          <w:szCs w:val="16"/>
        </w:rPr>
        <w:tab/>
        <w:t>Water Company</w:t>
      </w:r>
      <w:r>
        <w:rPr>
          <w:sz w:val="16"/>
          <w:szCs w:val="16"/>
        </w:rPr>
        <w:tab/>
      </w:r>
      <w:r>
        <w:rPr>
          <w:sz w:val="16"/>
          <w:szCs w:val="16"/>
        </w:rPr>
        <w:tab/>
        <w:t xml:space="preserve">  Advocate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br w:type="page"/>
        <w:t>75.</w:t>
      </w:r>
      <w:r>
        <w:rPr>
          <w:sz w:val="16"/>
          <w:szCs w:val="16"/>
        </w:rPr>
        <w:tab/>
        <w:t>89-0033</w:t>
      </w:r>
      <w:r>
        <w:rPr>
          <w:sz w:val="16"/>
          <w:szCs w:val="16"/>
        </w:rPr>
        <w:tab/>
        <w:t>Illinois Bell Telephone</w:t>
      </w:r>
      <w:r>
        <w:rPr>
          <w:sz w:val="16"/>
          <w:szCs w:val="16"/>
        </w:rPr>
        <w:tab/>
        <w:t>Illinois</w:t>
      </w:r>
      <w:r>
        <w:rPr>
          <w:sz w:val="16"/>
          <w:szCs w:val="16"/>
        </w:rPr>
        <w:tab/>
        <w:t>Citizens Utility Board</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1989</w:t>
      </w:r>
      <w:r>
        <w:rPr>
          <w:sz w:val="16"/>
          <w:szCs w:val="16"/>
        </w:rPr>
        <w:tab/>
      </w:r>
      <w:r>
        <w:rPr>
          <w:sz w:val="16"/>
          <w:szCs w:val="16"/>
        </w:rPr>
        <w:tab/>
        <w:t>Company</w:t>
      </w:r>
      <w:r>
        <w:rPr>
          <w:sz w:val="16"/>
          <w:szCs w:val="16"/>
        </w:rPr>
        <w:tab/>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76.</w:t>
      </w:r>
      <w:r>
        <w:rPr>
          <w:sz w:val="16"/>
          <w:szCs w:val="16"/>
        </w:rPr>
        <w:tab/>
        <w:t>881167-EI</w:t>
      </w:r>
      <w:r>
        <w:rPr>
          <w:sz w:val="16"/>
          <w:szCs w:val="16"/>
        </w:rPr>
        <w:tab/>
        <w:t>Gulf Power Company</w:t>
      </w:r>
      <w:r>
        <w:rPr>
          <w:sz w:val="16"/>
          <w:szCs w:val="16"/>
        </w:rPr>
        <w:tab/>
        <w:t>Florida</w:t>
      </w:r>
      <w:r>
        <w:rPr>
          <w:sz w:val="16"/>
          <w:szCs w:val="16"/>
        </w:rPr>
        <w:tab/>
        <w:t>Federal Executive Agencies</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1989</w:t>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77.</w:t>
      </w:r>
      <w:r>
        <w:rPr>
          <w:sz w:val="16"/>
          <w:szCs w:val="16"/>
        </w:rPr>
        <w:tab/>
        <w:t>R-891218</w:t>
      </w:r>
      <w:r>
        <w:rPr>
          <w:sz w:val="16"/>
          <w:szCs w:val="16"/>
        </w:rPr>
        <w:tab/>
        <w:t>National Fuel Gas</w:t>
      </w:r>
      <w:r>
        <w:rPr>
          <w:sz w:val="16"/>
          <w:szCs w:val="16"/>
        </w:rPr>
        <w:tab/>
        <w:t>Pennsylvania</w:t>
      </w:r>
      <w:r>
        <w:rPr>
          <w:sz w:val="16"/>
          <w:szCs w:val="16"/>
        </w:rPr>
        <w:tab/>
        <w:t>Office of Consumer Advocate</w:t>
      </w:r>
      <w:r>
        <w:rPr>
          <w:sz w:val="16"/>
          <w:szCs w:val="16"/>
        </w:rPr>
        <w:tab/>
        <w:t>Sales forecasting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1989</w:t>
      </w:r>
      <w:r>
        <w:rPr>
          <w:sz w:val="16"/>
          <w:szCs w:val="16"/>
        </w:rPr>
        <w:tab/>
      </w:r>
      <w:r>
        <w:rPr>
          <w:sz w:val="16"/>
          <w:szCs w:val="16"/>
        </w:rPr>
        <w:tab/>
        <w:t>Distribution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78.</w:t>
      </w:r>
      <w:r>
        <w:rPr>
          <w:sz w:val="16"/>
          <w:szCs w:val="16"/>
        </w:rPr>
        <w:tab/>
        <w:t>8063, Phase III</w:t>
      </w:r>
      <w:r>
        <w:rPr>
          <w:sz w:val="16"/>
          <w:szCs w:val="16"/>
        </w:rPr>
        <w:tab/>
        <w:t>Potomac Electric</w:t>
      </w:r>
      <w:r>
        <w:rPr>
          <w:sz w:val="16"/>
          <w:szCs w:val="16"/>
        </w:rPr>
        <w:tab/>
        <w:t>Maryland</w:t>
      </w:r>
      <w:r>
        <w:rPr>
          <w:sz w:val="16"/>
          <w:szCs w:val="16"/>
        </w:rPr>
        <w:tab/>
        <w:t>Depart. Natural Resources</w:t>
      </w:r>
      <w:r>
        <w:rPr>
          <w:sz w:val="16"/>
          <w:szCs w:val="16"/>
        </w:rPr>
        <w:tab/>
        <w:t>Emissions Controls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Sept. 1989</w:t>
      </w:r>
      <w:r>
        <w:rPr>
          <w:sz w:val="16"/>
          <w:szCs w:val="16"/>
        </w:rPr>
        <w:tab/>
      </w:r>
      <w:r>
        <w:rPr>
          <w:sz w:val="16"/>
          <w:szCs w:val="16"/>
        </w:rPr>
        <w:tab/>
        <w:t>Power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79.</w:t>
      </w:r>
      <w:r>
        <w:rPr>
          <w:sz w:val="16"/>
          <w:szCs w:val="16"/>
        </w:rPr>
        <w:tab/>
        <w:t>37414-S2</w:t>
      </w:r>
      <w:r>
        <w:rPr>
          <w:sz w:val="16"/>
          <w:szCs w:val="16"/>
        </w:rPr>
        <w:tab/>
        <w:t>Public Service Company</w:t>
      </w:r>
      <w:r>
        <w:rPr>
          <w:sz w:val="16"/>
          <w:szCs w:val="16"/>
        </w:rPr>
        <w:tab/>
        <w:t>Indiana</w:t>
      </w:r>
      <w:r>
        <w:rPr>
          <w:sz w:val="16"/>
          <w:szCs w:val="16"/>
        </w:rPr>
        <w:tab/>
        <w:t>Utility Consumer Counselor</w:t>
      </w:r>
      <w:r>
        <w:rPr>
          <w:sz w:val="16"/>
          <w:szCs w:val="16"/>
        </w:rPr>
        <w:tab/>
        <w:t>Rate of Return, DSM, off-</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October 1989</w:t>
      </w:r>
      <w:r>
        <w:rPr>
          <w:sz w:val="16"/>
          <w:szCs w:val="16"/>
        </w:rPr>
        <w:tab/>
      </w:r>
      <w:r>
        <w:rPr>
          <w:sz w:val="16"/>
          <w:szCs w:val="16"/>
        </w:rPr>
        <w:tab/>
        <w:t>of Indiana</w:t>
      </w:r>
      <w:r>
        <w:rPr>
          <w:sz w:val="16"/>
          <w:szCs w:val="16"/>
        </w:rPr>
        <w:tab/>
      </w:r>
      <w:r>
        <w:rPr>
          <w:sz w:val="16"/>
          <w:szCs w:val="16"/>
        </w:rPr>
        <w:tab/>
      </w:r>
      <w:r>
        <w:rPr>
          <w:sz w:val="16"/>
          <w:szCs w:val="16"/>
        </w:rPr>
        <w:tab/>
        <w:t xml:space="preserve">system sales, incentive </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regulation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80.</w:t>
      </w:r>
      <w:r>
        <w:rPr>
          <w:sz w:val="16"/>
          <w:szCs w:val="16"/>
        </w:rPr>
        <w:tab/>
        <w:t>October 1989</w:t>
      </w:r>
      <w:r>
        <w:rPr>
          <w:sz w:val="16"/>
          <w:szCs w:val="16"/>
        </w:rPr>
        <w:tab/>
        <w:t>Generic</w:t>
      </w:r>
      <w:r>
        <w:rPr>
          <w:sz w:val="16"/>
          <w:szCs w:val="16"/>
        </w:rPr>
        <w:tab/>
        <w:t>U.S. House of Reps.</w:t>
      </w:r>
      <w:r>
        <w:rPr>
          <w:sz w:val="16"/>
          <w:szCs w:val="16"/>
        </w:rPr>
        <w:tab/>
        <w:t>N/A</w:t>
      </w:r>
      <w:r>
        <w:rPr>
          <w:sz w:val="16"/>
          <w:szCs w:val="16"/>
        </w:rPr>
        <w:tab/>
        <w:t>Excess deferred</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r>
      <w:r>
        <w:rPr>
          <w:sz w:val="16"/>
          <w:szCs w:val="16"/>
        </w:rPr>
        <w:tab/>
      </w:r>
      <w:r>
        <w:rPr>
          <w:sz w:val="16"/>
          <w:szCs w:val="16"/>
        </w:rPr>
        <w:tab/>
      </w:r>
      <w:r>
        <w:rPr>
          <w:sz w:val="16"/>
          <w:szCs w:val="16"/>
        </w:rPr>
        <w:tab/>
        <w:t>Comm. on Ways &amp; Means</w:t>
      </w:r>
      <w:r>
        <w:rPr>
          <w:sz w:val="16"/>
          <w:szCs w:val="16"/>
        </w:rPr>
        <w:tab/>
      </w:r>
      <w:r>
        <w:rPr>
          <w:sz w:val="16"/>
          <w:szCs w:val="16"/>
        </w:rPr>
        <w:tab/>
        <w:t xml:space="preserve">  income tax</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81.</w:t>
      </w:r>
      <w:r>
        <w:rPr>
          <w:sz w:val="16"/>
          <w:szCs w:val="16"/>
        </w:rPr>
        <w:tab/>
        <w:t>38728</w:t>
      </w:r>
      <w:r>
        <w:rPr>
          <w:sz w:val="16"/>
          <w:szCs w:val="16"/>
        </w:rPr>
        <w:tab/>
        <w:t>Indiana Michigan</w:t>
      </w:r>
      <w:r>
        <w:rPr>
          <w:sz w:val="16"/>
          <w:szCs w:val="16"/>
        </w:rPr>
        <w:tab/>
        <w:t>Indiana</w:t>
      </w:r>
      <w:r>
        <w:rPr>
          <w:sz w:val="16"/>
          <w:szCs w:val="16"/>
        </w:rPr>
        <w:tab/>
        <w:t>Utility Consumer Counselor</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1989</w:t>
      </w:r>
      <w:r>
        <w:rPr>
          <w:sz w:val="16"/>
          <w:szCs w:val="16"/>
        </w:rPr>
        <w:tab/>
      </w:r>
      <w:r>
        <w:rPr>
          <w:sz w:val="16"/>
          <w:szCs w:val="16"/>
        </w:rPr>
        <w:tab/>
        <w:t>Power Company</w:t>
      </w:r>
      <w:r>
        <w:rPr>
          <w:sz w:val="16"/>
          <w:szCs w:val="16"/>
        </w:rPr>
        <w:tab/>
      </w:r>
      <w:r>
        <w:rPr>
          <w:sz w:val="16"/>
          <w:szCs w:val="16"/>
        </w:rPr>
        <w:tab/>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82.</w:t>
      </w:r>
      <w:r>
        <w:rPr>
          <w:sz w:val="16"/>
          <w:szCs w:val="16"/>
        </w:rPr>
        <w:tab/>
        <w:t>RP89-49-000</w:t>
      </w:r>
      <w:r>
        <w:rPr>
          <w:sz w:val="16"/>
          <w:szCs w:val="16"/>
        </w:rPr>
        <w:tab/>
        <w:t>National Fuel Gas</w:t>
      </w:r>
      <w:r>
        <w:rPr>
          <w:sz w:val="16"/>
          <w:szCs w:val="16"/>
        </w:rPr>
        <w:tab/>
        <w:t>FERC</w:t>
      </w:r>
      <w:r>
        <w:rPr>
          <w:sz w:val="16"/>
          <w:szCs w:val="16"/>
        </w:rPr>
        <w:tab/>
        <w:t>PA Office of Consumer</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December 1989</w:t>
      </w:r>
      <w:r>
        <w:rPr>
          <w:sz w:val="16"/>
          <w:szCs w:val="16"/>
        </w:rPr>
        <w:tab/>
      </w:r>
      <w:r>
        <w:rPr>
          <w:sz w:val="16"/>
          <w:szCs w:val="16"/>
        </w:rPr>
        <w:tab/>
        <w:t>Supply Corporation</w:t>
      </w:r>
      <w:r>
        <w:rPr>
          <w:sz w:val="16"/>
          <w:szCs w:val="16"/>
        </w:rPr>
        <w:tab/>
      </w:r>
      <w:r>
        <w:rPr>
          <w:sz w:val="16"/>
          <w:szCs w:val="16"/>
        </w:rPr>
        <w:tab/>
        <w:t xml:space="preserve">  Advocate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83.</w:t>
      </w:r>
      <w:r>
        <w:rPr>
          <w:sz w:val="16"/>
          <w:szCs w:val="16"/>
        </w:rPr>
        <w:tab/>
        <w:t>R-891364</w:t>
      </w:r>
      <w:r>
        <w:rPr>
          <w:sz w:val="16"/>
          <w:szCs w:val="16"/>
        </w:rPr>
        <w:tab/>
        <w:t>Philadelphia Electric</w:t>
      </w:r>
      <w:r>
        <w:rPr>
          <w:sz w:val="16"/>
          <w:szCs w:val="16"/>
        </w:rPr>
        <w:tab/>
        <w:t>Pennsylvania</w:t>
      </w:r>
      <w:r>
        <w:rPr>
          <w:sz w:val="16"/>
          <w:szCs w:val="16"/>
        </w:rPr>
        <w:tab/>
        <w:t>PA Office of Consumer</w:t>
      </w:r>
      <w:r>
        <w:rPr>
          <w:sz w:val="16"/>
          <w:szCs w:val="16"/>
        </w:rPr>
        <w:tab/>
        <w:t>Financial impacts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December 1989</w:t>
      </w:r>
      <w:r>
        <w:rPr>
          <w:sz w:val="16"/>
          <w:szCs w:val="16"/>
        </w:rPr>
        <w:tab/>
      </w:r>
      <w:r>
        <w:rPr>
          <w:sz w:val="16"/>
          <w:szCs w:val="16"/>
        </w:rPr>
        <w:tab/>
        <w:t>Company</w:t>
      </w:r>
      <w:r>
        <w:rPr>
          <w:sz w:val="16"/>
          <w:szCs w:val="16"/>
        </w:rPr>
        <w:tab/>
      </w:r>
      <w:r>
        <w:rPr>
          <w:sz w:val="16"/>
          <w:szCs w:val="16"/>
        </w:rPr>
        <w:tab/>
        <w:t xml:space="preserve">  Advocate</w:t>
      </w:r>
      <w:r>
        <w:rPr>
          <w:sz w:val="16"/>
          <w:szCs w:val="16"/>
        </w:rPr>
        <w:tab/>
        <w:t>(surrebuttal only)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84.</w:t>
      </w:r>
      <w:r>
        <w:rPr>
          <w:sz w:val="16"/>
          <w:szCs w:val="16"/>
        </w:rPr>
        <w:tab/>
        <w:t>RP89-160-000</w:t>
      </w:r>
      <w:r>
        <w:rPr>
          <w:sz w:val="16"/>
          <w:szCs w:val="16"/>
        </w:rPr>
        <w:tab/>
        <w:t>Trunkline Gas Company</w:t>
      </w:r>
      <w:r>
        <w:rPr>
          <w:sz w:val="16"/>
          <w:szCs w:val="16"/>
        </w:rPr>
        <w:tab/>
        <w:t>FERC</w:t>
      </w:r>
      <w:r>
        <w:rPr>
          <w:sz w:val="16"/>
          <w:szCs w:val="16"/>
        </w:rPr>
        <w:tab/>
        <w:t xml:space="preserve">Indiana Utility </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January 1990</w:t>
      </w:r>
      <w:r>
        <w:rPr>
          <w:sz w:val="16"/>
          <w:szCs w:val="16"/>
        </w:rPr>
        <w:tab/>
      </w:r>
      <w:r>
        <w:rPr>
          <w:sz w:val="16"/>
          <w:szCs w:val="16"/>
        </w:rPr>
        <w:tab/>
      </w:r>
      <w:r>
        <w:rPr>
          <w:sz w:val="16"/>
          <w:szCs w:val="16"/>
        </w:rPr>
        <w:tab/>
      </w:r>
      <w:r>
        <w:rPr>
          <w:sz w:val="16"/>
          <w:szCs w:val="16"/>
        </w:rPr>
        <w:tab/>
        <w:t xml:space="preserve">  Consumer Counselor</w:t>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85.</w:t>
      </w:r>
      <w:r>
        <w:rPr>
          <w:sz w:val="16"/>
          <w:szCs w:val="16"/>
        </w:rPr>
        <w:tab/>
        <w:t>EL90-16-000</w:t>
      </w:r>
      <w:r>
        <w:rPr>
          <w:sz w:val="16"/>
          <w:szCs w:val="16"/>
        </w:rPr>
        <w:tab/>
        <w:t>System Energy Resources,</w:t>
      </w:r>
      <w:r>
        <w:rPr>
          <w:sz w:val="16"/>
          <w:szCs w:val="16"/>
        </w:rPr>
        <w:tab/>
        <w:t>FERC</w:t>
      </w:r>
      <w:r>
        <w:rPr>
          <w:sz w:val="16"/>
          <w:szCs w:val="16"/>
        </w:rPr>
        <w:tab/>
        <w:t>Louisiana Public Service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1990</w:t>
      </w:r>
      <w:r>
        <w:rPr>
          <w:sz w:val="16"/>
          <w:szCs w:val="16"/>
        </w:rPr>
        <w:tab/>
      </w:r>
      <w:r>
        <w:rPr>
          <w:sz w:val="16"/>
          <w:szCs w:val="16"/>
        </w:rPr>
        <w:tab/>
        <w:t>Inc.</w:t>
      </w:r>
      <w:r>
        <w:rPr>
          <w:sz w:val="16"/>
          <w:szCs w:val="16"/>
        </w:rPr>
        <w:tab/>
      </w:r>
      <w:r>
        <w:rPr>
          <w:sz w:val="16"/>
          <w:szCs w:val="16"/>
        </w:rPr>
        <w:tab/>
        <w:t xml:space="preserve">  Commission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86.</w:t>
      </w:r>
      <w:r>
        <w:rPr>
          <w:sz w:val="16"/>
          <w:szCs w:val="16"/>
        </w:rPr>
        <w:tab/>
        <w:t>89-624</w:t>
      </w:r>
      <w:r>
        <w:rPr>
          <w:sz w:val="16"/>
          <w:szCs w:val="16"/>
        </w:rPr>
        <w:tab/>
        <w:t>Bell Atlantic</w:t>
      </w:r>
      <w:r>
        <w:rPr>
          <w:sz w:val="16"/>
          <w:szCs w:val="16"/>
        </w:rPr>
        <w:tab/>
        <w:t>FCC</w:t>
      </w:r>
      <w:r>
        <w:rPr>
          <w:sz w:val="16"/>
          <w:szCs w:val="16"/>
        </w:rPr>
        <w:tab/>
        <w:t>PA Office of Consumer</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1990</w:t>
      </w:r>
      <w:r>
        <w:rPr>
          <w:sz w:val="16"/>
          <w:szCs w:val="16"/>
        </w:rPr>
        <w:tab/>
      </w:r>
      <w:r>
        <w:rPr>
          <w:sz w:val="16"/>
          <w:szCs w:val="16"/>
        </w:rPr>
        <w:tab/>
      </w:r>
      <w:r>
        <w:rPr>
          <w:sz w:val="16"/>
          <w:szCs w:val="16"/>
        </w:rPr>
        <w:tab/>
      </w:r>
      <w:r>
        <w:rPr>
          <w:sz w:val="16"/>
          <w:szCs w:val="16"/>
        </w:rPr>
        <w:tab/>
        <w:t xml:space="preserve">  Advocate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87.</w:t>
      </w:r>
      <w:r>
        <w:rPr>
          <w:sz w:val="16"/>
          <w:szCs w:val="16"/>
        </w:rPr>
        <w:tab/>
        <w:t>8245</w:t>
      </w:r>
      <w:r>
        <w:rPr>
          <w:sz w:val="16"/>
          <w:szCs w:val="16"/>
        </w:rPr>
        <w:tab/>
        <w:t>Potomac Edison Company</w:t>
      </w:r>
      <w:r>
        <w:rPr>
          <w:sz w:val="16"/>
          <w:szCs w:val="16"/>
        </w:rPr>
        <w:tab/>
        <w:t>Maryland</w:t>
      </w:r>
      <w:r>
        <w:rPr>
          <w:sz w:val="16"/>
          <w:szCs w:val="16"/>
        </w:rPr>
        <w:tab/>
        <w:t>Depart. Natural Resources</w:t>
      </w:r>
      <w:r>
        <w:rPr>
          <w:sz w:val="16"/>
          <w:szCs w:val="16"/>
        </w:rPr>
        <w:tab/>
        <w:t>Avoided Cost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1990</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88.</w:t>
      </w:r>
      <w:r>
        <w:rPr>
          <w:sz w:val="16"/>
          <w:szCs w:val="16"/>
        </w:rPr>
        <w:tab/>
        <w:t>000586</w:t>
      </w:r>
      <w:r>
        <w:rPr>
          <w:sz w:val="16"/>
          <w:szCs w:val="16"/>
        </w:rPr>
        <w:tab/>
        <w:t>Public Service Company</w:t>
      </w:r>
      <w:r>
        <w:rPr>
          <w:sz w:val="16"/>
          <w:szCs w:val="16"/>
        </w:rPr>
        <w:tab/>
        <w:t>Oklahoma</w:t>
      </w:r>
      <w:r>
        <w:rPr>
          <w:sz w:val="16"/>
          <w:szCs w:val="16"/>
        </w:rPr>
        <w:tab/>
        <w:t>Smith Cogeneration Mgmt.</w:t>
      </w:r>
      <w:r>
        <w:rPr>
          <w:sz w:val="16"/>
          <w:szCs w:val="16"/>
        </w:rPr>
        <w:tab/>
        <w:t>Need for Power</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1990</w:t>
      </w:r>
      <w:r>
        <w:rPr>
          <w:sz w:val="16"/>
          <w:szCs w:val="16"/>
        </w:rPr>
        <w:tab/>
      </w:r>
      <w:r>
        <w:rPr>
          <w:sz w:val="16"/>
          <w:szCs w:val="16"/>
        </w:rPr>
        <w:tab/>
        <w:t>of Oklahoma</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br w:type="page"/>
        <w:t>89.</w:t>
      </w:r>
      <w:r>
        <w:rPr>
          <w:sz w:val="16"/>
          <w:szCs w:val="16"/>
        </w:rPr>
        <w:tab/>
        <w:t>38868</w:t>
      </w:r>
      <w:r>
        <w:rPr>
          <w:sz w:val="16"/>
          <w:szCs w:val="16"/>
        </w:rPr>
        <w:tab/>
        <w:t xml:space="preserve">Indianapolis Water </w:t>
      </w:r>
      <w:r>
        <w:rPr>
          <w:sz w:val="16"/>
          <w:szCs w:val="16"/>
        </w:rPr>
        <w:tab/>
        <w:t>Indiana</w:t>
      </w:r>
      <w:r>
        <w:rPr>
          <w:sz w:val="16"/>
          <w:szCs w:val="16"/>
        </w:rPr>
        <w:tab/>
        <w:t>Utility Consumer Counselor</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1990</w:t>
      </w:r>
      <w:r>
        <w:rPr>
          <w:sz w:val="16"/>
          <w:szCs w:val="16"/>
        </w:rPr>
        <w:tab/>
      </w:r>
      <w:r>
        <w:rPr>
          <w:sz w:val="16"/>
          <w:szCs w:val="16"/>
        </w:rPr>
        <w:tab/>
        <w:t>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90.</w:t>
      </w:r>
      <w:r>
        <w:rPr>
          <w:sz w:val="16"/>
          <w:szCs w:val="16"/>
        </w:rPr>
        <w:tab/>
        <w:t>1946</w:t>
      </w:r>
      <w:r>
        <w:rPr>
          <w:sz w:val="16"/>
          <w:szCs w:val="16"/>
        </w:rPr>
        <w:tab/>
        <w:t xml:space="preserve">Blackstone Valley </w:t>
      </w:r>
      <w:r>
        <w:rPr>
          <w:sz w:val="16"/>
          <w:szCs w:val="16"/>
        </w:rPr>
        <w:tab/>
      </w:r>
      <w:r>
        <w:rPr>
          <w:sz w:val="16"/>
          <w:szCs w:val="16"/>
        </w:rPr>
        <w:tab/>
        <w:t xml:space="preserve">Division of Public </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1990</w:t>
      </w:r>
      <w:r>
        <w:rPr>
          <w:sz w:val="16"/>
          <w:szCs w:val="16"/>
        </w:rPr>
        <w:tab/>
      </w:r>
      <w:r>
        <w:rPr>
          <w:sz w:val="16"/>
          <w:szCs w:val="16"/>
        </w:rPr>
        <w:tab/>
        <w:t>Electric Company</w:t>
      </w:r>
      <w:r>
        <w:rPr>
          <w:sz w:val="16"/>
          <w:szCs w:val="16"/>
        </w:rPr>
        <w:tab/>
        <w:t>Rhode Island</w:t>
      </w:r>
      <w:r>
        <w:rPr>
          <w:sz w:val="16"/>
          <w:szCs w:val="16"/>
        </w:rPr>
        <w:tab/>
        <w:t xml:space="preserve">  Utilities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91.</w:t>
      </w:r>
      <w:r>
        <w:rPr>
          <w:sz w:val="16"/>
          <w:szCs w:val="16"/>
        </w:rPr>
        <w:tab/>
        <w:t>000776</w:t>
      </w:r>
      <w:r>
        <w:rPr>
          <w:sz w:val="16"/>
          <w:szCs w:val="16"/>
        </w:rPr>
        <w:tab/>
        <w:t>Oklahoma Gas &amp; Electric</w:t>
      </w:r>
      <w:r>
        <w:rPr>
          <w:sz w:val="16"/>
          <w:szCs w:val="16"/>
        </w:rPr>
        <w:tab/>
        <w:t>Oklahoma</w:t>
      </w:r>
      <w:r>
        <w:rPr>
          <w:sz w:val="16"/>
          <w:szCs w:val="16"/>
        </w:rPr>
        <w:tab/>
        <w:t>Smith Cogeneration Mgmt.</w:t>
      </w:r>
      <w:r>
        <w:rPr>
          <w:sz w:val="16"/>
          <w:szCs w:val="16"/>
        </w:rPr>
        <w:tab/>
        <w:t>Need for Power</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1990</w:t>
      </w:r>
      <w:r>
        <w:rPr>
          <w:sz w:val="16"/>
          <w:szCs w:val="16"/>
        </w:rPr>
        <w:tab/>
      </w:r>
      <w:r>
        <w:rPr>
          <w:sz w:val="16"/>
          <w:szCs w:val="16"/>
        </w:rPr>
        <w:tab/>
        <w:t>Company</w:t>
      </w:r>
      <w:r>
        <w:rPr>
          <w:sz w:val="16"/>
          <w:szCs w:val="16"/>
        </w:rPr>
        <w:tab/>
      </w:r>
      <w:r>
        <w:rPr>
          <w:sz w:val="16"/>
          <w:szCs w:val="16"/>
        </w:rPr>
        <w:tab/>
      </w:r>
      <w:r>
        <w:rPr>
          <w:sz w:val="16"/>
          <w:szCs w:val="16"/>
        </w:rPr>
        <w:tab/>
      </w:r>
      <w:r>
        <w:rPr>
          <w:sz w:val="16"/>
          <w:szCs w:val="16"/>
        </w:rPr>
        <w:tab/>
      </w:r>
      <w:r>
        <w:rPr>
          <w:sz w:val="16"/>
          <w:szCs w:val="16"/>
        </w:rPr>
        <w:tab/>
        <w:t xml:space="preserve">  </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92.</w:t>
      </w:r>
      <w:r>
        <w:rPr>
          <w:sz w:val="16"/>
          <w:szCs w:val="16"/>
        </w:rPr>
        <w:tab/>
        <w:t>890366</w:t>
      </w:r>
      <w:r>
        <w:rPr>
          <w:sz w:val="16"/>
          <w:szCs w:val="16"/>
        </w:rPr>
        <w:tab/>
        <w:t>Metropolitan Edison</w:t>
      </w:r>
      <w:r>
        <w:rPr>
          <w:sz w:val="16"/>
          <w:szCs w:val="16"/>
        </w:rPr>
        <w:tab/>
        <w:t>Pennsylvania</w:t>
      </w:r>
      <w:r>
        <w:rPr>
          <w:sz w:val="16"/>
          <w:szCs w:val="16"/>
        </w:rPr>
        <w:tab/>
        <w:t>Office of Consumer</w:t>
      </w:r>
      <w:r>
        <w:rPr>
          <w:sz w:val="16"/>
          <w:szCs w:val="16"/>
        </w:rPr>
        <w:tab/>
        <w:t>Competitive Bidding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1990,</w:t>
      </w:r>
      <w:r>
        <w:rPr>
          <w:sz w:val="16"/>
          <w:szCs w:val="16"/>
        </w:rPr>
        <w:tab/>
      </w:r>
      <w:r>
        <w:rPr>
          <w:sz w:val="16"/>
          <w:szCs w:val="16"/>
        </w:rPr>
        <w:tab/>
        <w:t>Company</w:t>
      </w:r>
      <w:r>
        <w:rPr>
          <w:sz w:val="16"/>
          <w:szCs w:val="16"/>
        </w:rPr>
        <w:tab/>
      </w:r>
      <w:r>
        <w:rPr>
          <w:sz w:val="16"/>
          <w:szCs w:val="16"/>
        </w:rPr>
        <w:tab/>
        <w:t xml:space="preserve">  Advocate</w:t>
      </w:r>
      <w:r>
        <w:rPr>
          <w:sz w:val="16"/>
          <w:szCs w:val="16"/>
        </w:rPr>
        <w:tab/>
        <w:t>Program</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December 1990</w:t>
      </w:r>
      <w:r>
        <w:rPr>
          <w:sz w:val="16"/>
          <w:szCs w:val="16"/>
        </w:rPr>
        <w:tab/>
      </w:r>
      <w:r>
        <w:rPr>
          <w:sz w:val="16"/>
          <w:szCs w:val="16"/>
        </w:rPr>
        <w:tab/>
      </w:r>
      <w:r>
        <w:rPr>
          <w:sz w:val="16"/>
          <w:szCs w:val="16"/>
        </w:rPr>
        <w:tab/>
      </w:r>
      <w:r>
        <w:rPr>
          <w:sz w:val="16"/>
          <w:szCs w:val="16"/>
        </w:rPr>
        <w:tab/>
      </w:r>
      <w:r>
        <w:rPr>
          <w:sz w:val="16"/>
          <w:szCs w:val="16"/>
        </w:rPr>
        <w:tab/>
        <w:t>Avoided Costs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93.</w:t>
      </w:r>
      <w:r>
        <w:rPr>
          <w:sz w:val="16"/>
          <w:szCs w:val="16"/>
        </w:rPr>
        <w:tab/>
        <w:t>EC-90-10-000</w:t>
      </w:r>
      <w:r>
        <w:rPr>
          <w:sz w:val="16"/>
          <w:szCs w:val="16"/>
        </w:rPr>
        <w:tab/>
        <w:t>Northeast Utilities</w:t>
      </w:r>
      <w:r>
        <w:rPr>
          <w:sz w:val="16"/>
          <w:szCs w:val="16"/>
        </w:rPr>
        <w:tab/>
        <w:t>FERC</w:t>
      </w:r>
      <w:r>
        <w:rPr>
          <w:sz w:val="16"/>
          <w:szCs w:val="16"/>
        </w:rPr>
        <w:tab/>
        <w:t xml:space="preserve">Maine PUC, </w:t>
      </w:r>
      <w:r w:rsidRPr="00A036C3">
        <w:rPr>
          <w:sz w:val="16"/>
          <w:szCs w:val="16"/>
        </w:rPr>
        <w:t>et al</w:t>
      </w:r>
      <w:r>
        <w:rPr>
          <w:sz w:val="16"/>
          <w:szCs w:val="16"/>
        </w:rPr>
        <w:t>.</w:t>
      </w:r>
      <w:r>
        <w:rPr>
          <w:sz w:val="16"/>
          <w:szCs w:val="16"/>
        </w:rPr>
        <w:tab/>
        <w:t>Merger, Market Power,</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1990</w:t>
      </w:r>
      <w:r>
        <w:rPr>
          <w:sz w:val="16"/>
          <w:szCs w:val="16"/>
        </w:rPr>
        <w:tab/>
      </w:r>
      <w:r>
        <w:rPr>
          <w:sz w:val="16"/>
          <w:szCs w:val="16"/>
        </w:rPr>
        <w:tab/>
      </w:r>
      <w:r>
        <w:rPr>
          <w:sz w:val="16"/>
          <w:szCs w:val="16"/>
        </w:rPr>
        <w:tab/>
      </w:r>
      <w:r>
        <w:rPr>
          <w:sz w:val="16"/>
          <w:szCs w:val="16"/>
        </w:rPr>
        <w:tab/>
      </w:r>
      <w:r>
        <w:rPr>
          <w:sz w:val="16"/>
          <w:szCs w:val="16"/>
        </w:rPr>
        <w:tab/>
        <w:t>Transmission Access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94.</w:t>
      </w:r>
      <w:r>
        <w:rPr>
          <w:sz w:val="16"/>
          <w:szCs w:val="16"/>
        </w:rPr>
        <w:tab/>
        <w:t>ER-891109125</w:t>
      </w:r>
      <w:r>
        <w:rPr>
          <w:sz w:val="16"/>
          <w:szCs w:val="16"/>
        </w:rPr>
        <w:tab/>
        <w:t>Jersey Central Power</w:t>
      </w:r>
      <w:r>
        <w:rPr>
          <w:sz w:val="16"/>
          <w:szCs w:val="16"/>
        </w:rPr>
        <w:tab/>
        <w:t>New Jersey</w:t>
      </w:r>
      <w:r>
        <w:rPr>
          <w:sz w:val="16"/>
          <w:szCs w:val="16"/>
        </w:rPr>
        <w:tab/>
        <w:t>Rate Counsel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1990</w:t>
      </w:r>
      <w:r>
        <w:rPr>
          <w:sz w:val="16"/>
          <w:szCs w:val="16"/>
        </w:rPr>
        <w:tab/>
      </w:r>
      <w:r>
        <w:rPr>
          <w:sz w:val="16"/>
          <w:szCs w:val="16"/>
        </w:rPr>
        <w:tab/>
        <w:t>&amp; Light</w:t>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95.</w:t>
      </w:r>
      <w:r>
        <w:rPr>
          <w:sz w:val="16"/>
          <w:szCs w:val="16"/>
        </w:rPr>
        <w:tab/>
        <w:t>R-901670</w:t>
      </w:r>
      <w:r>
        <w:rPr>
          <w:sz w:val="16"/>
          <w:szCs w:val="16"/>
        </w:rPr>
        <w:tab/>
        <w:t>National Fuel Gas</w:t>
      </w:r>
      <w:r>
        <w:rPr>
          <w:sz w:val="16"/>
          <w:szCs w:val="16"/>
        </w:rPr>
        <w:tab/>
        <w:t>Pennsylvania</w:t>
      </w:r>
      <w:r>
        <w:rPr>
          <w:sz w:val="16"/>
          <w:szCs w:val="16"/>
        </w:rPr>
        <w:tab/>
        <w:t>Office of Consumer</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1990</w:t>
      </w:r>
      <w:r>
        <w:rPr>
          <w:sz w:val="16"/>
          <w:szCs w:val="16"/>
        </w:rPr>
        <w:tab/>
      </w:r>
      <w:r>
        <w:rPr>
          <w:sz w:val="16"/>
          <w:szCs w:val="16"/>
        </w:rPr>
        <w:tab/>
        <w:t>Distribution Corp.</w:t>
      </w:r>
      <w:r>
        <w:rPr>
          <w:sz w:val="16"/>
          <w:szCs w:val="16"/>
        </w:rPr>
        <w:tab/>
      </w:r>
      <w:r>
        <w:rPr>
          <w:sz w:val="16"/>
          <w:szCs w:val="16"/>
        </w:rPr>
        <w:tab/>
        <w:t xml:space="preserve">  Advocate</w:t>
      </w:r>
      <w:r>
        <w:rPr>
          <w:sz w:val="16"/>
          <w:szCs w:val="16"/>
        </w:rPr>
        <w:tab/>
        <w:t>Test year sales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96.</w:t>
      </w:r>
      <w:r>
        <w:rPr>
          <w:sz w:val="16"/>
          <w:szCs w:val="16"/>
        </w:rPr>
        <w:tab/>
        <w:t>8201</w:t>
      </w:r>
      <w:r>
        <w:rPr>
          <w:sz w:val="16"/>
          <w:szCs w:val="16"/>
        </w:rPr>
        <w:tab/>
        <w:t>Delmarva Power &amp; Light</w:t>
      </w:r>
      <w:r>
        <w:rPr>
          <w:sz w:val="16"/>
          <w:szCs w:val="16"/>
        </w:rPr>
        <w:tab/>
        <w:t>Maryland</w:t>
      </w:r>
      <w:r>
        <w:rPr>
          <w:sz w:val="16"/>
          <w:szCs w:val="16"/>
        </w:rPr>
        <w:tab/>
        <w:t>Depart. Natural Resources</w:t>
      </w:r>
      <w:r>
        <w:rPr>
          <w:sz w:val="16"/>
          <w:szCs w:val="16"/>
        </w:rPr>
        <w:tab/>
        <w:t>Competitive Bidding,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October 1990</w:t>
      </w:r>
      <w:r>
        <w:rPr>
          <w:sz w:val="16"/>
          <w:szCs w:val="16"/>
        </w:rPr>
        <w:tab/>
      </w:r>
      <w:r>
        <w:rPr>
          <w:sz w:val="16"/>
          <w:szCs w:val="16"/>
        </w:rPr>
        <w:tab/>
        <w:t>Company</w:t>
      </w:r>
      <w:r>
        <w:rPr>
          <w:sz w:val="16"/>
          <w:szCs w:val="16"/>
        </w:rPr>
        <w:tab/>
      </w:r>
      <w:r>
        <w:rPr>
          <w:sz w:val="16"/>
          <w:szCs w:val="16"/>
        </w:rPr>
        <w:tab/>
      </w:r>
      <w:r>
        <w:rPr>
          <w:sz w:val="16"/>
          <w:szCs w:val="16"/>
        </w:rPr>
        <w:tab/>
        <w:t>Resource Planning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97.</w:t>
      </w:r>
      <w:r>
        <w:rPr>
          <w:sz w:val="16"/>
          <w:szCs w:val="16"/>
        </w:rPr>
        <w:tab/>
        <w:t>EL90-45-000</w:t>
      </w:r>
      <w:r>
        <w:rPr>
          <w:sz w:val="16"/>
          <w:szCs w:val="16"/>
        </w:rPr>
        <w:tab/>
        <w:t>Entergy Services, Inc.</w:t>
      </w:r>
      <w:r>
        <w:rPr>
          <w:sz w:val="16"/>
          <w:szCs w:val="16"/>
        </w:rPr>
        <w:tab/>
        <w:t>FERC</w:t>
      </w:r>
      <w:r>
        <w:rPr>
          <w:sz w:val="16"/>
          <w:szCs w:val="16"/>
        </w:rPr>
        <w:tab/>
        <w:t>Louisiana PSC</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1991</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98.</w:t>
      </w:r>
      <w:r>
        <w:rPr>
          <w:sz w:val="16"/>
          <w:szCs w:val="16"/>
        </w:rPr>
        <w:tab/>
        <w:t>GR90080786J</w:t>
      </w:r>
      <w:r>
        <w:rPr>
          <w:sz w:val="16"/>
          <w:szCs w:val="16"/>
        </w:rPr>
        <w:tab/>
        <w:t xml:space="preserve">New Jersey </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January 1991</w:t>
      </w:r>
      <w:r>
        <w:rPr>
          <w:sz w:val="16"/>
          <w:szCs w:val="16"/>
        </w:rPr>
        <w:tab/>
      </w:r>
      <w:r>
        <w:rPr>
          <w:sz w:val="16"/>
          <w:szCs w:val="16"/>
        </w:rPr>
        <w:tab/>
        <w:t>Natural Gas</w:t>
      </w:r>
      <w:r>
        <w:rPr>
          <w:sz w:val="16"/>
          <w:szCs w:val="16"/>
        </w:rPr>
        <w:tab/>
        <w:t>New Jersey</w:t>
      </w:r>
      <w:r>
        <w:rPr>
          <w:sz w:val="16"/>
          <w:szCs w:val="16"/>
        </w:rPr>
        <w:tab/>
        <w:t>Rate Counsel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99.</w:t>
      </w:r>
      <w:r>
        <w:rPr>
          <w:sz w:val="16"/>
          <w:szCs w:val="16"/>
        </w:rPr>
        <w:tab/>
        <w:t>90-256</w:t>
      </w:r>
      <w:r>
        <w:rPr>
          <w:sz w:val="16"/>
          <w:szCs w:val="16"/>
        </w:rPr>
        <w:tab/>
        <w:t>South Central Bell</w:t>
      </w:r>
      <w:r>
        <w:rPr>
          <w:sz w:val="16"/>
          <w:szCs w:val="16"/>
        </w:rPr>
        <w:tab/>
        <w:t>Kentucky</w:t>
      </w:r>
      <w:r>
        <w:rPr>
          <w:sz w:val="16"/>
          <w:szCs w:val="16"/>
        </w:rPr>
        <w:tab/>
        <w:t>Attorney General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January 1991</w:t>
      </w:r>
      <w:r>
        <w:rPr>
          <w:sz w:val="16"/>
          <w:szCs w:val="16"/>
        </w:rPr>
        <w:tab/>
      </w:r>
      <w:r>
        <w:rPr>
          <w:sz w:val="16"/>
          <w:szCs w:val="16"/>
        </w:rPr>
        <w:tab/>
        <w:t>Telephone Company</w:t>
      </w:r>
      <w:r>
        <w:rPr>
          <w:sz w:val="16"/>
          <w:szCs w:val="16"/>
        </w:rPr>
        <w:tab/>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100.</w:t>
      </w:r>
      <w:r>
        <w:rPr>
          <w:sz w:val="16"/>
          <w:szCs w:val="16"/>
        </w:rPr>
        <w:tab/>
        <w:t>U-17949A</w:t>
      </w:r>
      <w:r>
        <w:rPr>
          <w:sz w:val="16"/>
          <w:szCs w:val="16"/>
        </w:rPr>
        <w:tab/>
        <w:t>South Central Bell</w:t>
      </w:r>
      <w:r>
        <w:rPr>
          <w:sz w:val="16"/>
          <w:szCs w:val="16"/>
        </w:rPr>
        <w:tab/>
        <w:t>Louisiana</w:t>
      </w:r>
      <w:r>
        <w:rPr>
          <w:sz w:val="16"/>
          <w:szCs w:val="16"/>
        </w:rPr>
        <w:tab/>
        <w:t>Louisiana PSC</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1991</w:t>
      </w:r>
      <w:r>
        <w:rPr>
          <w:sz w:val="16"/>
          <w:szCs w:val="16"/>
        </w:rPr>
        <w:tab/>
      </w:r>
      <w:r>
        <w:rPr>
          <w:sz w:val="16"/>
          <w:szCs w:val="16"/>
        </w:rPr>
        <w:tab/>
        <w:t>Telephone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101.</w:t>
      </w:r>
      <w:r>
        <w:rPr>
          <w:sz w:val="16"/>
          <w:szCs w:val="16"/>
        </w:rPr>
        <w:tab/>
        <w:t>ER90091090J</w:t>
      </w:r>
      <w:r>
        <w:rPr>
          <w:sz w:val="16"/>
          <w:szCs w:val="16"/>
        </w:rPr>
        <w:tab/>
        <w:t>Atlantic City</w:t>
      </w:r>
      <w:r>
        <w:rPr>
          <w:sz w:val="16"/>
          <w:szCs w:val="16"/>
        </w:rPr>
        <w:tab/>
        <w:t>New Jersey</w:t>
      </w:r>
      <w:r>
        <w:rPr>
          <w:sz w:val="16"/>
          <w:szCs w:val="16"/>
        </w:rPr>
        <w:tab/>
        <w:t>Rate Counsel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1991</w:t>
      </w:r>
      <w:r>
        <w:rPr>
          <w:sz w:val="16"/>
          <w:szCs w:val="16"/>
        </w:rPr>
        <w:tab/>
      </w:r>
      <w:r>
        <w:rPr>
          <w:sz w:val="16"/>
          <w:szCs w:val="16"/>
        </w:rPr>
        <w:tab/>
        <w:t>Electric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102.</w:t>
      </w:r>
      <w:r>
        <w:rPr>
          <w:sz w:val="16"/>
          <w:szCs w:val="16"/>
        </w:rPr>
        <w:tab/>
        <w:t>8241, Phase I</w:t>
      </w:r>
      <w:r>
        <w:rPr>
          <w:sz w:val="16"/>
          <w:szCs w:val="16"/>
        </w:rPr>
        <w:tab/>
        <w:t>Baltimore Gas &amp;</w:t>
      </w:r>
      <w:r>
        <w:rPr>
          <w:sz w:val="16"/>
          <w:szCs w:val="16"/>
        </w:rPr>
        <w:tab/>
        <w:t>Maryland</w:t>
      </w:r>
      <w:r>
        <w:rPr>
          <w:sz w:val="16"/>
          <w:szCs w:val="16"/>
        </w:rPr>
        <w:tab/>
        <w:t>Dept. of Natural</w:t>
      </w:r>
      <w:r>
        <w:rPr>
          <w:sz w:val="16"/>
          <w:szCs w:val="16"/>
        </w:rPr>
        <w:tab/>
        <w:t>Environmental controls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1991</w:t>
      </w:r>
      <w:r>
        <w:rPr>
          <w:sz w:val="16"/>
          <w:szCs w:val="16"/>
        </w:rPr>
        <w:tab/>
      </w:r>
      <w:r>
        <w:rPr>
          <w:sz w:val="16"/>
          <w:szCs w:val="16"/>
        </w:rPr>
        <w:tab/>
        <w:t>Electric Company</w:t>
      </w:r>
      <w:r>
        <w:rPr>
          <w:sz w:val="16"/>
          <w:szCs w:val="16"/>
        </w:rPr>
        <w:tab/>
      </w:r>
      <w:r>
        <w:rPr>
          <w:sz w:val="16"/>
          <w:szCs w:val="16"/>
        </w:rPr>
        <w:tab/>
        <w:t xml:space="preserve">  Resources</w:t>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br w:type="page"/>
        <w:t>103.</w:t>
      </w:r>
      <w:r>
        <w:rPr>
          <w:sz w:val="16"/>
          <w:szCs w:val="16"/>
        </w:rPr>
        <w:tab/>
        <w:t>8241, Phase II</w:t>
      </w:r>
      <w:r>
        <w:rPr>
          <w:sz w:val="16"/>
          <w:szCs w:val="16"/>
        </w:rPr>
        <w:tab/>
        <w:t>Baltimore Gas &amp;</w:t>
      </w:r>
      <w:r>
        <w:rPr>
          <w:sz w:val="16"/>
          <w:szCs w:val="16"/>
        </w:rPr>
        <w:tab/>
        <w:t>Maryland</w:t>
      </w:r>
      <w:r>
        <w:rPr>
          <w:sz w:val="16"/>
          <w:szCs w:val="16"/>
        </w:rPr>
        <w:tab/>
        <w:t>Dept. of Natural</w:t>
      </w:r>
      <w:r>
        <w:rPr>
          <w:sz w:val="16"/>
          <w:szCs w:val="16"/>
        </w:rPr>
        <w:tab/>
        <w:t>Need for Power,</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1991</w:t>
      </w:r>
      <w:r>
        <w:rPr>
          <w:sz w:val="16"/>
          <w:szCs w:val="16"/>
        </w:rPr>
        <w:tab/>
      </w:r>
      <w:r>
        <w:rPr>
          <w:sz w:val="16"/>
          <w:szCs w:val="16"/>
        </w:rPr>
        <w:tab/>
        <w:t>Electric Company</w:t>
      </w:r>
      <w:r>
        <w:rPr>
          <w:sz w:val="16"/>
          <w:szCs w:val="16"/>
        </w:rPr>
        <w:tab/>
      </w:r>
      <w:r>
        <w:rPr>
          <w:sz w:val="16"/>
          <w:szCs w:val="16"/>
        </w:rPr>
        <w:tab/>
        <w:t xml:space="preserve">  Resources</w:t>
      </w:r>
      <w:r>
        <w:rPr>
          <w:sz w:val="16"/>
          <w:szCs w:val="16"/>
        </w:rPr>
        <w:tab/>
        <w:t>Resource Planning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104.</w:t>
      </w:r>
      <w:r>
        <w:rPr>
          <w:sz w:val="16"/>
          <w:szCs w:val="16"/>
        </w:rPr>
        <w:tab/>
        <w:t>39128</w:t>
      </w:r>
      <w:r>
        <w:rPr>
          <w:sz w:val="16"/>
          <w:szCs w:val="16"/>
        </w:rPr>
        <w:tab/>
        <w:t>Indianapolis Water</w:t>
      </w:r>
      <w:r>
        <w:rPr>
          <w:sz w:val="16"/>
          <w:szCs w:val="16"/>
        </w:rPr>
        <w:tab/>
        <w:t xml:space="preserve">Indiana </w:t>
      </w:r>
      <w:r>
        <w:rPr>
          <w:sz w:val="16"/>
          <w:szCs w:val="16"/>
        </w:rPr>
        <w:tab/>
        <w:t>Utility Consumer</w:t>
      </w:r>
      <w:r>
        <w:rPr>
          <w:sz w:val="16"/>
          <w:szCs w:val="16"/>
        </w:rPr>
        <w:tab/>
        <w:t>Rate of Return, rate base,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1991</w:t>
      </w:r>
      <w:r>
        <w:rPr>
          <w:sz w:val="16"/>
          <w:szCs w:val="16"/>
        </w:rPr>
        <w:tab/>
      </w:r>
      <w:r>
        <w:rPr>
          <w:sz w:val="16"/>
          <w:szCs w:val="16"/>
        </w:rPr>
        <w:tab/>
        <w:t>Company</w:t>
      </w:r>
      <w:r>
        <w:rPr>
          <w:sz w:val="16"/>
          <w:szCs w:val="16"/>
        </w:rPr>
        <w:tab/>
      </w:r>
      <w:r>
        <w:rPr>
          <w:sz w:val="16"/>
          <w:szCs w:val="16"/>
        </w:rPr>
        <w:tab/>
        <w:t xml:space="preserve">  Counselor</w:t>
      </w:r>
      <w:r>
        <w:rPr>
          <w:sz w:val="16"/>
          <w:szCs w:val="16"/>
        </w:rPr>
        <w:tab/>
        <w:t xml:space="preserve">  financial planning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105.</w:t>
      </w:r>
      <w:r>
        <w:rPr>
          <w:sz w:val="16"/>
          <w:szCs w:val="16"/>
        </w:rPr>
        <w:tab/>
        <w:t>P-900485</w:t>
      </w:r>
      <w:r>
        <w:rPr>
          <w:sz w:val="16"/>
          <w:szCs w:val="16"/>
        </w:rPr>
        <w:tab/>
        <w:t>Duquesne Light</w:t>
      </w:r>
      <w:r>
        <w:rPr>
          <w:sz w:val="16"/>
          <w:szCs w:val="16"/>
        </w:rPr>
        <w:tab/>
        <w:t>Pennsylvania</w:t>
      </w:r>
      <w:r>
        <w:rPr>
          <w:sz w:val="16"/>
          <w:szCs w:val="16"/>
        </w:rPr>
        <w:tab/>
        <w:t>Office of Consumer</w:t>
      </w:r>
      <w:r>
        <w:rPr>
          <w:sz w:val="16"/>
          <w:szCs w:val="16"/>
        </w:rPr>
        <w:tab/>
        <w:t>Purchased power contract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1991</w:t>
      </w:r>
      <w:r>
        <w:rPr>
          <w:sz w:val="16"/>
          <w:szCs w:val="16"/>
        </w:rPr>
        <w:tab/>
      </w:r>
      <w:r>
        <w:rPr>
          <w:sz w:val="16"/>
          <w:szCs w:val="16"/>
        </w:rPr>
        <w:tab/>
        <w:t>Company</w:t>
      </w:r>
      <w:r>
        <w:rPr>
          <w:sz w:val="16"/>
          <w:szCs w:val="16"/>
        </w:rPr>
        <w:tab/>
      </w:r>
      <w:r>
        <w:rPr>
          <w:sz w:val="16"/>
          <w:szCs w:val="16"/>
        </w:rPr>
        <w:tab/>
        <w:t xml:space="preserve">  Advocate</w:t>
      </w:r>
      <w:r>
        <w:rPr>
          <w:sz w:val="16"/>
          <w:szCs w:val="16"/>
        </w:rPr>
        <w:tab/>
        <w:t xml:space="preserve">  and related ratemaking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106.</w:t>
      </w:r>
      <w:r>
        <w:rPr>
          <w:sz w:val="16"/>
          <w:szCs w:val="16"/>
        </w:rPr>
        <w:tab/>
        <w:t>G900240</w:t>
      </w:r>
      <w:r>
        <w:rPr>
          <w:sz w:val="16"/>
          <w:szCs w:val="16"/>
        </w:rPr>
        <w:tab/>
        <w:t>Metropolitan Edison Company</w:t>
      </w:r>
      <w:r>
        <w:rPr>
          <w:sz w:val="16"/>
          <w:szCs w:val="16"/>
        </w:rPr>
        <w:tab/>
        <w:t xml:space="preserve">Pennsylvania </w:t>
      </w:r>
      <w:r>
        <w:rPr>
          <w:sz w:val="16"/>
          <w:szCs w:val="16"/>
        </w:rPr>
        <w:tab/>
        <w:t>Office of Consumer</w:t>
      </w:r>
      <w:r>
        <w:rPr>
          <w:sz w:val="16"/>
          <w:szCs w:val="16"/>
        </w:rPr>
        <w:tab/>
        <w:t>Purchased power contract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P910502</w:t>
      </w:r>
      <w:r>
        <w:rPr>
          <w:sz w:val="16"/>
          <w:szCs w:val="16"/>
        </w:rPr>
        <w:tab/>
        <w:t xml:space="preserve">  </w:t>
      </w:r>
      <w:r>
        <w:rPr>
          <w:sz w:val="16"/>
          <w:szCs w:val="16"/>
        </w:rPr>
        <w:tab/>
      </w:r>
      <w:r>
        <w:rPr>
          <w:sz w:val="16"/>
          <w:szCs w:val="16"/>
        </w:rPr>
        <w:tab/>
      </w:r>
      <w:r>
        <w:rPr>
          <w:sz w:val="16"/>
          <w:szCs w:val="16"/>
        </w:rPr>
        <w:tab/>
        <w:t xml:space="preserve">  Advocate</w:t>
      </w:r>
      <w:r>
        <w:rPr>
          <w:sz w:val="16"/>
          <w:szCs w:val="16"/>
        </w:rPr>
        <w:tab/>
        <w:t xml:space="preserve">  and related ratemaking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1991</w:t>
      </w:r>
      <w:r>
        <w:rPr>
          <w:sz w:val="16"/>
          <w:szCs w:val="16"/>
        </w:rPr>
        <w:tab/>
        <w:t>Pennsylvania Electric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107.</w:t>
      </w:r>
      <w:r>
        <w:rPr>
          <w:sz w:val="16"/>
          <w:szCs w:val="16"/>
        </w:rPr>
        <w:tab/>
        <w:t>GR901213915</w:t>
      </w:r>
      <w:r>
        <w:rPr>
          <w:sz w:val="16"/>
          <w:szCs w:val="16"/>
        </w:rPr>
        <w:tab/>
        <w:t>Elizabethtown Gas Company</w:t>
      </w:r>
      <w:r>
        <w:rPr>
          <w:sz w:val="16"/>
          <w:szCs w:val="16"/>
        </w:rPr>
        <w:tab/>
        <w:t>New Jersey</w:t>
      </w:r>
      <w:r>
        <w:rPr>
          <w:sz w:val="16"/>
          <w:szCs w:val="16"/>
        </w:rPr>
        <w:tab/>
        <w:t>Rate Counsel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1991</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108.</w:t>
      </w:r>
      <w:r>
        <w:rPr>
          <w:sz w:val="16"/>
          <w:szCs w:val="16"/>
        </w:rPr>
        <w:tab/>
        <w:t>91-5032</w:t>
      </w:r>
      <w:r>
        <w:rPr>
          <w:sz w:val="16"/>
          <w:szCs w:val="16"/>
        </w:rPr>
        <w:tab/>
        <w:t>Nevada Power Company</w:t>
      </w:r>
      <w:r>
        <w:rPr>
          <w:sz w:val="16"/>
          <w:szCs w:val="16"/>
        </w:rPr>
        <w:tab/>
        <w:t>Nevada</w:t>
      </w:r>
      <w:r>
        <w:rPr>
          <w:sz w:val="16"/>
          <w:szCs w:val="16"/>
        </w:rPr>
        <w:tab/>
        <w:t>U.S. Dept. of Energy</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1991</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109.</w:t>
      </w:r>
      <w:r>
        <w:rPr>
          <w:sz w:val="16"/>
          <w:szCs w:val="16"/>
        </w:rPr>
        <w:tab/>
        <w:t>EL90-48-000</w:t>
      </w:r>
      <w:r>
        <w:rPr>
          <w:sz w:val="16"/>
          <w:szCs w:val="16"/>
        </w:rPr>
        <w:tab/>
        <w:t>Entergy Services</w:t>
      </w:r>
      <w:r>
        <w:rPr>
          <w:sz w:val="16"/>
          <w:szCs w:val="16"/>
        </w:rPr>
        <w:tab/>
        <w:t>FERC</w:t>
      </w:r>
      <w:r>
        <w:rPr>
          <w:sz w:val="16"/>
          <w:szCs w:val="16"/>
        </w:rPr>
        <w:tab/>
        <w:t>Louisiana PSC</w:t>
      </w:r>
      <w:r>
        <w:rPr>
          <w:sz w:val="16"/>
          <w:szCs w:val="16"/>
        </w:rPr>
        <w:tab/>
        <w:t>Capacity transfer</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1991</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110.</w:t>
      </w:r>
      <w:r>
        <w:rPr>
          <w:sz w:val="16"/>
          <w:szCs w:val="16"/>
        </w:rPr>
        <w:tab/>
        <w:t>000662</w:t>
      </w:r>
      <w:r>
        <w:rPr>
          <w:sz w:val="16"/>
          <w:szCs w:val="16"/>
        </w:rPr>
        <w:tab/>
        <w:t>Southwestern Bell</w:t>
      </w:r>
      <w:r>
        <w:rPr>
          <w:sz w:val="16"/>
          <w:szCs w:val="16"/>
        </w:rPr>
        <w:tab/>
        <w:t>Oklahoma</w:t>
      </w:r>
      <w:r>
        <w:rPr>
          <w:sz w:val="16"/>
          <w:szCs w:val="16"/>
        </w:rPr>
        <w:tab/>
        <w:t>Attorney General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September 1991</w:t>
      </w:r>
      <w:r>
        <w:rPr>
          <w:sz w:val="16"/>
          <w:szCs w:val="16"/>
        </w:rPr>
        <w:tab/>
      </w:r>
      <w:r>
        <w:rPr>
          <w:sz w:val="16"/>
          <w:szCs w:val="16"/>
        </w:rPr>
        <w:tab/>
        <w:t>Telephone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111.</w:t>
      </w:r>
      <w:r>
        <w:rPr>
          <w:sz w:val="16"/>
          <w:szCs w:val="16"/>
        </w:rPr>
        <w:tab/>
        <w:t>U-19236</w:t>
      </w:r>
      <w:r>
        <w:rPr>
          <w:sz w:val="16"/>
          <w:szCs w:val="16"/>
        </w:rPr>
        <w:tab/>
        <w:t>Arkansas Louisiana</w:t>
      </w:r>
      <w:r>
        <w:rPr>
          <w:sz w:val="16"/>
          <w:szCs w:val="16"/>
        </w:rPr>
        <w:tab/>
        <w:t>Louisiana</w:t>
      </w:r>
      <w:r>
        <w:rPr>
          <w:sz w:val="16"/>
          <w:szCs w:val="16"/>
        </w:rPr>
        <w:tab/>
        <w:t xml:space="preserve">Louisiana PSC Staff </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October 1991</w:t>
      </w:r>
      <w:r>
        <w:rPr>
          <w:sz w:val="16"/>
          <w:szCs w:val="16"/>
        </w:rPr>
        <w:tab/>
      </w:r>
      <w:r>
        <w:rPr>
          <w:sz w:val="16"/>
          <w:szCs w:val="16"/>
        </w:rPr>
        <w:tab/>
        <w:t>Gas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112.</w:t>
      </w:r>
      <w:r>
        <w:rPr>
          <w:sz w:val="16"/>
          <w:szCs w:val="16"/>
        </w:rPr>
        <w:tab/>
        <w:t xml:space="preserve">U-19237    </w:t>
      </w:r>
      <w:r>
        <w:rPr>
          <w:sz w:val="16"/>
          <w:szCs w:val="16"/>
        </w:rPr>
        <w:tab/>
        <w:t xml:space="preserve">Louisiana Gas </w:t>
      </w:r>
      <w:r>
        <w:rPr>
          <w:sz w:val="16"/>
          <w:szCs w:val="16"/>
        </w:rPr>
        <w:tab/>
        <w:t>Louisiana</w:t>
      </w:r>
      <w:r>
        <w:rPr>
          <w:sz w:val="16"/>
          <w:szCs w:val="16"/>
        </w:rPr>
        <w:tab/>
        <w:t>Louisiana PSC Staff</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December 1991</w:t>
      </w:r>
      <w:r>
        <w:rPr>
          <w:sz w:val="16"/>
          <w:szCs w:val="16"/>
        </w:rPr>
        <w:tab/>
      </w:r>
      <w:r>
        <w:rPr>
          <w:sz w:val="16"/>
          <w:szCs w:val="16"/>
        </w:rPr>
        <w:tab/>
        <w:t>Service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113.</w:t>
      </w:r>
      <w:r>
        <w:rPr>
          <w:sz w:val="16"/>
          <w:szCs w:val="16"/>
        </w:rPr>
        <w:tab/>
        <w:t>ER91030356J</w:t>
      </w:r>
      <w:r>
        <w:rPr>
          <w:sz w:val="16"/>
          <w:szCs w:val="16"/>
        </w:rPr>
        <w:tab/>
        <w:t>Rockland Electric</w:t>
      </w:r>
      <w:r>
        <w:rPr>
          <w:sz w:val="16"/>
          <w:szCs w:val="16"/>
        </w:rPr>
        <w:tab/>
        <w:t>New Jersey</w:t>
      </w:r>
      <w:r>
        <w:rPr>
          <w:sz w:val="16"/>
          <w:szCs w:val="16"/>
        </w:rPr>
        <w:tab/>
        <w:t xml:space="preserve">Rate Counsel    </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October 1991</w:t>
      </w:r>
      <w:r>
        <w:rPr>
          <w:sz w:val="16"/>
          <w:szCs w:val="16"/>
        </w:rPr>
        <w:tab/>
      </w:r>
      <w:r>
        <w:rPr>
          <w:sz w:val="16"/>
          <w:szCs w:val="16"/>
        </w:rPr>
        <w:tab/>
        <w:t xml:space="preserve">Company  </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114.</w:t>
      </w:r>
      <w:r>
        <w:rPr>
          <w:sz w:val="16"/>
          <w:szCs w:val="16"/>
        </w:rPr>
        <w:tab/>
        <w:t>GR91071243J</w:t>
      </w:r>
      <w:r>
        <w:rPr>
          <w:sz w:val="16"/>
          <w:szCs w:val="16"/>
        </w:rPr>
        <w:tab/>
        <w:t xml:space="preserve">South Jersey Gas  </w:t>
      </w:r>
      <w:r>
        <w:rPr>
          <w:sz w:val="16"/>
          <w:szCs w:val="16"/>
        </w:rPr>
        <w:tab/>
        <w:t>New Jersey</w:t>
      </w:r>
      <w:r>
        <w:rPr>
          <w:sz w:val="16"/>
          <w:szCs w:val="16"/>
        </w:rPr>
        <w:tab/>
        <w:t xml:space="preserve">Rate Counsel </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1992</w:t>
      </w:r>
      <w:r>
        <w:rPr>
          <w:sz w:val="16"/>
          <w:szCs w:val="16"/>
        </w:rPr>
        <w:tab/>
      </w:r>
      <w:r>
        <w:rPr>
          <w:sz w:val="16"/>
          <w:szCs w:val="16"/>
        </w:rPr>
        <w:tab/>
        <w:t>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115.</w:t>
      </w:r>
      <w:r>
        <w:rPr>
          <w:sz w:val="16"/>
          <w:szCs w:val="16"/>
        </w:rPr>
        <w:tab/>
        <w:t>GR91081393J</w:t>
      </w:r>
      <w:r>
        <w:rPr>
          <w:sz w:val="16"/>
          <w:szCs w:val="16"/>
        </w:rPr>
        <w:tab/>
        <w:t>New Jersey Natural</w:t>
      </w:r>
      <w:r>
        <w:rPr>
          <w:sz w:val="16"/>
          <w:szCs w:val="16"/>
        </w:rPr>
        <w:tab/>
        <w:t>New Jersey</w:t>
      </w:r>
      <w:r>
        <w:rPr>
          <w:sz w:val="16"/>
          <w:szCs w:val="16"/>
        </w:rPr>
        <w:tab/>
        <w:t>Rate Counsel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1992</w:t>
      </w:r>
      <w:r>
        <w:rPr>
          <w:sz w:val="16"/>
          <w:szCs w:val="16"/>
        </w:rPr>
        <w:tab/>
      </w:r>
      <w:r>
        <w:rPr>
          <w:sz w:val="16"/>
          <w:szCs w:val="16"/>
        </w:rPr>
        <w:tab/>
        <w:t>Gas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116.</w:t>
      </w:r>
      <w:r>
        <w:rPr>
          <w:sz w:val="16"/>
          <w:szCs w:val="16"/>
        </w:rPr>
        <w:tab/>
        <w:t xml:space="preserve">P-870235, </w:t>
      </w:r>
      <w:r w:rsidRPr="00A036C3">
        <w:rPr>
          <w:sz w:val="16"/>
          <w:szCs w:val="16"/>
        </w:rPr>
        <w:t>et al.</w:t>
      </w:r>
      <w:r>
        <w:rPr>
          <w:sz w:val="16"/>
          <w:szCs w:val="16"/>
        </w:rPr>
        <w:tab/>
        <w:t>Pennsylvania Electric</w:t>
      </w:r>
      <w:r>
        <w:rPr>
          <w:sz w:val="16"/>
          <w:szCs w:val="16"/>
        </w:rPr>
        <w:tab/>
        <w:t>Pennsylvania</w:t>
      </w:r>
      <w:r>
        <w:rPr>
          <w:sz w:val="16"/>
          <w:szCs w:val="16"/>
        </w:rPr>
        <w:tab/>
        <w:t>Office of Consumer</w:t>
      </w:r>
      <w:r>
        <w:rPr>
          <w:sz w:val="16"/>
          <w:szCs w:val="16"/>
        </w:rPr>
        <w:tab/>
        <w:t>Cogeneration contracts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1992</w:t>
      </w:r>
      <w:r>
        <w:rPr>
          <w:sz w:val="16"/>
          <w:szCs w:val="16"/>
        </w:rPr>
        <w:tab/>
      </w:r>
      <w:r>
        <w:rPr>
          <w:sz w:val="16"/>
          <w:szCs w:val="16"/>
        </w:rPr>
        <w:tab/>
        <w:t>Company</w:t>
      </w:r>
      <w:r>
        <w:rPr>
          <w:sz w:val="16"/>
          <w:szCs w:val="16"/>
        </w:rPr>
        <w:tab/>
      </w:r>
      <w:r>
        <w:rPr>
          <w:sz w:val="16"/>
          <w:szCs w:val="16"/>
        </w:rPr>
        <w:tab/>
        <w:t>Advocate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br w:type="page"/>
        <w:t>117.</w:t>
      </w:r>
      <w:r>
        <w:rPr>
          <w:sz w:val="16"/>
          <w:szCs w:val="16"/>
        </w:rPr>
        <w:tab/>
        <w:t>8413</w:t>
      </w:r>
      <w:r>
        <w:rPr>
          <w:sz w:val="16"/>
          <w:szCs w:val="16"/>
        </w:rPr>
        <w:tab/>
        <w:t>Potomac Electric</w:t>
      </w:r>
      <w:r>
        <w:rPr>
          <w:sz w:val="16"/>
          <w:szCs w:val="16"/>
        </w:rPr>
        <w:tab/>
        <w:t>Maryland</w:t>
      </w:r>
      <w:r>
        <w:rPr>
          <w:sz w:val="16"/>
          <w:szCs w:val="16"/>
        </w:rPr>
        <w:tab/>
        <w:t>Dept. of Natural</w:t>
      </w:r>
      <w:r>
        <w:rPr>
          <w:sz w:val="16"/>
          <w:szCs w:val="16"/>
        </w:rPr>
        <w:tab/>
        <w:t>IPP purchased power</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1992</w:t>
      </w:r>
      <w:r>
        <w:rPr>
          <w:sz w:val="16"/>
          <w:szCs w:val="16"/>
        </w:rPr>
        <w:tab/>
      </w:r>
      <w:r>
        <w:rPr>
          <w:sz w:val="16"/>
          <w:szCs w:val="16"/>
        </w:rPr>
        <w:tab/>
        <w:t>Power Company</w:t>
      </w:r>
      <w:r>
        <w:rPr>
          <w:sz w:val="16"/>
          <w:szCs w:val="16"/>
        </w:rPr>
        <w:tab/>
      </w:r>
      <w:r>
        <w:rPr>
          <w:sz w:val="16"/>
          <w:szCs w:val="16"/>
        </w:rPr>
        <w:tab/>
        <w:t>Resources</w:t>
      </w:r>
      <w:r>
        <w:rPr>
          <w:sz w:val="16"/>
          <w:szCs w:val="16"/>
        </w:rPr>
        <w:tab/>
        <w:t xml:space="preserve">  contracts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118.</w:t>
      </w:r>
      <w:r>
        <w:rPr>
          <w:sz w:val="16"/>
          <w:szCs w:val="16"/>
        </w:rPr>
        <w:tab/>
        <w:t>39236</w:t>
      </w:r>
      <w:r>
        <w:rPr>
          <w:sz w:val="16"/>
          <w:szCs w:val="16"/>
        </w:rPr>
        <w:tab/>
        <w:t>Indianapolis Power &amp;</w:t>
      </w:r>
      <w:r>
        <w:rPr>
          <w:sz w:val="16"/>
          <w:szCs w:val="16"/>
        </w:rPr>
        <w:tab/>
        <w:t>Indiana</w:t>
      </w:r>
      <w:r>
        <w:rPr>
          <w:sz w:val="16"/>
          <w:szCs w:val="16"/>
        </w:rPr>
        <w:tab/>
        <w:t>Utility Consumer</w:t>
      </w:r>
      <w:r>
        <w:rPr>
          <w:sz w:val="16"/>
          <w:szCs w:val="16"/>
        </w:rPr>
        <w:tab/>
        <w:t>Least-cost planning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1992</w:t>
      </w:r>
      <w:r>
        <w:rPr>
          <w:sz w:val="16"/>
          <w:szCs w:val="16"/>
        </w:rPr>
        <w:tab/>
      </w:r>
      <w:r>
        <w:rPr>
          <w:sz w:val="16"/>
          <w:szCs w:val="16"/>
        </w:rPr>
        <w:tab/>
        <w:t>Light Company</w:t>
      </w:r>
      <w:r>
        <w:rPr>
          <w:sz w:val="16"/>
          <w:szCs w:val="16"/>
        </w:rPr>
        <w:tab/>
      </w:r>
      <w:r>
        <w:rPr>
          <w:sz w:val="16"/>
          <w:szCs w:val="16"/>
        </w:rPr>
        <w:tab/>
        <w:t>Counselor</w:t>
      </w:r>
      <w:r>
        <w:rPr>
          <w:sz w:val="16"/>
          <w:szCs w:val="16"/>
        </w:rPr>
        <w:tab/>
        <w:t xml:space="preserve">  Need for power</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119.</w:t>
      </w:r>
      <w:r>
        <w:rPr>
          <w:sz w:val="16"/>
          <w:szCs w:val="16"/>
        </w:rPr>
        <w:tab/>
        <w:t>R-912164</w:t>
      </w:r>
      <w:r>
        <w:rPr>
          <w:sz w:val="16"/>
          <w:szCs w:val="16"/>
        </w:rPr>
        <w:tab/>
        <w:t>Equitable Gas Company</w:t>
      </w:r>
      <w:r>
        <w:rPr>
          <w:sz w:val="16"/>
          <w:szCs w:val="16"/>
        </w:rPr>
        <w:tab/>
        <w:t>Pennsylvania</w:t>
      </w:r>
      <w:r>
        <w:rPr>
          <w:sz w:val="16"/>
          <w:szCs w:val="16"/>
        </w:rPr>
        <w:tab/>
        <w:t>Office of Consumer</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1992</w:t>
      </w:r>
      <w:r>
        <w:rPr>
          <w:sz w:val="16"/>
          <w:szCs w:val="16"/>
        </w:rPr>
        <w:tab/>
      </w:r>
      <w:r>
        <w:rPr>
          <w:sz w:val="16"/>
          <w:szCs w:val="16"/>
        </w:rPr>
        <w:tab/>
      </w:r>
      <w:r>
        <w:rPr>
          <w:sz w:val="16"/>
          <w:szCs w:val="16"/>
        </w:rPr>
        <w:tab/>
      </w:r>
      <w:r>
        <w:rPr>
          <w:sz w:val="16"/>
          <w:szCs w:val="16"/>
        </w:rPr>
        <w:tab/>
        <w:t>Advocate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120.</w:t>
      </w:r>
      <w:r>
        <w:rPr>
          <w:sz w:val="16"/>
          <w:szCs w:val="16"/>
        </w:rPr>
        <w:tab/>
        <w:t>ER-91111698J</w:t>
      </w:r>
      <w:r>
        <w:rPr>
          <w:sz w:val="16"/>
          <w:szCs w:val="16"/>
        </w:rPr>
        <w:tab/>
        <w:t>Public Service Electric</w:t>
      </w:r>
      <w:r>
        <w:rPr>
          <w:sz w:val="16"/>
          <w:szCs w:val="16"/>
        </w:rPr>
        <w:tab/>
        <w:t>New Jersey</w:t>
      </w:r>
      <w:r>
        <w:rPr>
          <w:sz w:val="16"/>
          <w:szCs w:val="16"/>
        </w:rPr>
        <w:tab/>
        <w:t>Rate Counsel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1992</w:t>
      </w:r>
      <w:r>
        <w:rPr>
          <w:sz w:val="16"/>
          <w:szCs w:val="16"/>
        </w:rPr>
        <w:tab/>
      </w:r>
      <w:r>
        <w:rPr>
          <w:sz w:val="16"/>
          <w:szCs w:val="16"/>
        </w:rPr>
        <w:tab/>
        <w:t>&amp; Gas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121.</w:t>
      </w:r>
      <w:r>
        <w:rPr>
          <w:sz w:val="16"/>
          <w:szCs w:val="16"/>
        </w:rPr>
        <w:tab/>
        <w:t>U-19631</w:t>
      </w:r>
      <w:r>
        <w:rPr>
          <w:sz w:val="16"/>
          <w:szCs w:val="16"/>
        </w:rPr>
        <w:tab/>
        <w:t>Trans Louisiana Gas</w:t>
      </w:r>
      <w:r>
        <w:rPr>
          <w:sz w:val="16"/>
          <w:szCs w:val="16"/>
        </w:rPr>
        <w:tab/>
        <w:t>Louisiana</w:t>
      </w:r>
      <w:r>
        <w:rPr>
          <w:sz w:val="16"/>
          <w:szCs w:val="16"/>
        </w:rPr>
        <w:tab/>
        <w:t>PSC Staff</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1992</w:t>
      </w:r>
      <w:r>
        <w:rPr>
          <w:sz w:val="16"/>
          <w:szCs w:val="16"/>
        </w:rPr>
        <w:tab/>
      </w:r>
      <w:r>
        <w:rPr>
          <w:sz w:val="16"/>
          <w:szCs w:val="16"/>
        </w:rPr>
        <w:tab/>
        <w:t>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122.</w:t>
      </w:r>
      <w:r>
        <w:rPr>
          <w:sz w:val="16"/>
          <w:szCs w:val="16"/>
        </w:rPr>
        <w:tab/>
        <w:t>ER-91121820J</w:t>
      </w:r>
      <w:r>
        <w:rPr>
          <w:sz w:val="16"/>
          <w:szCs w:val="16"/>
        </w:rPr>
        <w:tab/>
        <w:t>Jersey Central Power &amp;</w:t>
      </w:r>
      <w:r>
        <w:rPr>
          <w:sz w:val="16"/>
          <w:szCs w:val="16"/>
        </w:rPr>
        <w:tab/>
        <w:t>New Jersey</w:t>
      </w:r>
      <w:r>
        <w:rPr>
          <w:sz w:val="16"/>
          <w:szCs w:val="16"/>
        </w:rPr>
        <w:tab/>
        <w:t>Rate Counsel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1992</w:t>
      </w:r>
      <w:r>
        <w:rPr>
          <w:sz w:val="16"/>
          <w:szCs w:val="16"/>
        </w:rPr>
        <w:tab/>
      </w:r>
      <w:r>
        <w:rPr>
          <w:sz w:val="16"/>
          <w:szCs w:val="16"/>
        </w:rPr>
        <w:tab/>
        <w:t>Light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123.</w:t>
      </w:r>
      <w:r>
        <w:rPr>
          <w:sz w:val="16"/>
          <w:szCs w:val="16"/>
        </w:rPr>
        <w:tab/>
        <w:t>R-00922314</w:t>
      </w:r>
      <w:r>
        <w:rPr>
          <w:sz w:val="16"/>
          <w:szCs w:val="16"/>
        </w:rPr>
        <w:tab/>
        <w:t>Metropolitan Edison</w:t>
      </w:r>
      <w:r>
        <w:rPr>
          <w:sz w:val="16"/>
          <w:szCs w:val="16"/>
        </w:rPr>
        <w:tab/>
        <w:t>Pennsylvania</w:t>
      </w:r>
      <w:r>
        <w:rPr>
          <w:sz w:val="16"/>
          <w:szCs w:val="16"/>
        </w:rPr>
        <w:tab/>
        <w:t>Office of Consumer</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1992</w:t>
      </w:r>
      <w:r>
        <w:rPr>
          <w:sz w:val="16"/>
          <w:szCs w:val="16"/>
        </w:rPr>
        <w:tab/>
      </w:r>
      <w:r>
        <w:rPr>
          <w:sz w:val="16"/>
          <w:szCs w:val="16"/>
        </w:rPr>
        <w:tab/>
        <w:t>Company</w:t>
      </w:r>
      <w:r>
        <w:rPr>
          <w:sz w:val="16"/>
          <w:szCs w:val="16"/>
        </w:rPr>
        <w:tab/>
      </w:r>
      <w:r>
        <w:rPr>
          <w:sz w:val="16"/>
          <w:szCs w:val="16"/>
        </w:rPr>
        <w:tab/>
        <w:t xml:space="preserve">  Advocate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124.</w:t>
      </w:r>
      <w:r>
        <w:rPr>
          <w:sz w:val="16"/>
          <w:szCs w:val="16"/>
        </w:rPr>
        <w:tab/>
        <w:t>92-049-05</w:t>
      </w:r>
      <w:r>
        <w:rPr>
          <w:sz w:val="16"/>
          <w:szCs w:val="16"/>
        </w:rPr>
        <w:tab/>
        <w:t>US West Communications</w:t>
      </w:r>
      <w:r>
        <w:rPr>
          <w:sz w:val="16"/>
          <w:szCs w:val="16"/>
        </w:rPr>
        <w:tab/>
        <w:t>Utah</w:t>
      </w:r>
      <w:r>
        <w:rPr>
          <w:sz w:val="16"/>
          <w:szCs w:val="16"/>
        </w:rPr>
        <w:tab/>
        <w:t>Committee of Consumer</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September 1992</w:t>
      </w:r>
      <w:r>
        <w:rPr>
          <w:sz w:val="16"/>
          <w:szCs w:val="16"/>
        </w:rPr>
        <w:tab/>
      </w:r>
      <w:r>
        <w:rPr>
          <w:sz w:val="16"/>
          <w:szCs w:val="16"/>
        </w:rPr>
        <w:tab/>
      </w:r>
      <w:r>
        <w:rPr>
          <w:sz w:val="16"/>
          <w:szCs w:val="16"/>
        </w:rPr>
        <w:tab/>
      </w:r>
      <w:r>
        <w:rPr>
          <w:sz w:val="16"/>
          <w:szCs w:val="16"/>
        </w:rPr>
        <w:tab/>
        <w:t xml:space="preserve">  Services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125.</w:t>
      </w:r>
      <w:r>
        <w:rPr>
          <w:sz w:val="16"/>
          <w:szCs w:val="16"/>
        </w:rPr>
        <w:tab/>
        <w:t>92PUE0037</w:t>
      </w:r>
      <w:r>
        <w:rPr>
          <w:sz w:val="16"/>
          <w:szCs w:val="16"/>
        </w:rPr>
        <w:tab/>
        <w:t>Commonwealth Gas</w:t>
      </w:r>
      <w:r>
        <w:rPr>
          <w:sz w:val="16"/>
          <w:szCs w:val="16"/>
        </w:rPr>
        <w:tab/>
        <w:t>Virginia</w:t>
      </w:r>
      <w:r>
        <w:rPr>
          <w:sz w:val="16"/>
          <w:szCs w:val="16"/>
        </w:rPr>
        <w:tab/>
        <w:t>Attorney General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September 1992</w:t>
      </w:r>
      <w:r>
        <w:rPr>
          <w:sz w:val="16"/>
          <w:szCs w:val="16"/>
        </w:rPr>
        <w:tab/>
      </w:r>
      <w:r>
        <w:rPr>
          <w:sz w:val="16"/>
          <w:szCs w:val="16"/>
        </w:rPr>
        <w:tab/>
        <w:t>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126.</w:t>
      </w:r>
      <w:r>
        <w:rPr>
          <w:sz w:val="16"/>
          <w:szCs w:val="16"/>
        </w:rPr>
        <w:tab/>
        <w:t>EC92-21-000</w:t>
      </w:r>
      <w:r>
        <w:rPr>
          <w:sz w:val="16"/>
          <w:szCs w:val="16"/>
        </w:rPr>
        <w:tab/>
        <w:t>Entergy Services, Inc.</w:t>
      </w:r>
      <w:r>
        <w:rPr>
          <w:sz w:val="16"/>
          <w:szCs w:val="16"/>
        </w:rPr>
        <w:tab/>
        <w:t>FERC</w:t>
      </w:r>
      <w:r>
        <w:rPr>
          <w:sz w:val="16"/>
          <w:szCs w:val="16"/>
        </w:rPr>
        <w:tab/>
        <w:t>Louisiana PSC</w:t>
      </w:r>
      <w:r>
        <w:rPr>
          <w:sz w:val="16"/>
          <w:szCs w:val="16"/>
        </w:rPr>
        <w:tab/>
        <w:t>Merger Impacts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September 1992</w:t>
      </w:r>
      <w:r>
        <w:rPr>
          <w:sz w:val="16"/>
          <w:szCs w:val="16"/>
        </w:rPr>
        <w:tab/>
      </w:r>
      <w:r>
        <w:rPr>
          <w:sz w:val="16"/>
          <w:szCs w:val="16"/>
        </w:rPr>
        <w:tab/>
      </w:r>
      <w:r>
        <w:rPr>
          <w:sz w:val="16"/>
          <w:szCs w:val="16"/>
        </w:rPr>
        <w:tab/>
      </w:r>
      <w:r>
        <w:rPr>
          <w:sz w:val="16"/>
          <w:szCs w:val="16"/>
        </w:rPr>
        <w:tab/>
      </w:r>
      <w:r>
        <w:rPr>
          <w:sz w:val="16"/>
          <w:szCs w:val="16"/>
        </w:rPr>
        <w:tab/>
        <w:t>(Affidavit)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127.</w:t>
      </w:r>
      <w:r>
        <w:rPr>
          <w:sz w:val="16"/>
          <w:szCs w:val="16"/>
        </w:rPr>
        <w:tab/>
        <w:t>ER92-341-000</w:t>
      </w:r>
      <w:r>
        <w:rPr>
          <w:sz w:val="16"/>
          <w:szCs w:val="16"/>
        </w:rPr>
        <w:tab/>
        <w:t>System Energy Resources</w:t>
      </w:r>
      <w:r>
        <w:rPr>
          <w:sz w:val="16"/>
          <w:szCs w:val="16"/>
        </w:rPr>
        <w:tab/>
        <w:t>FERC</w:t>
      </w:r>
      <w:r>
        <w:rPr>
          <w:sz w:val="16"/>
          <w:szCs w:val="16"/>
        </w:rPr>
        <w:tab/>
        <w:t>Louisiana PSC</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December 1992</w:t>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128.</w:t>
      </w:r>
      <w:r>
        <w:rPr>
          <w:sz w:val="16"/>
          <w:szCs w:val="16"/>
        </w:rPr>
        <w:tab/>
        <w:t>U-19904</w:t>
      </w:r>
      <w:r>
        <w:rPr>
          <w:sz w:val="16"/>
          <w:szCs w:val="16"/>
        </w:rPr>
        <w:tab/>
        <w:t>Louisiana Power &amp;</w:t>
      </w:r>
      <w:r>
        <w:rPr>
          <w:sz w:val="16"/>
          <w:szCs w:val="16"/>
        </w:rPr>
        <w:tab/>
        <w:t>Louisiana</w:t>
      </w:r>
      <w:r>
        <w:rPr>
          <w:sz w:val="16"/>
          <w:szCs w:val="16"/>
        </w:rPr>
        <w:tab/>
        <w:t>Staff</w:t>
      </w:r>
      <w:r>
        <w:rPr>
          <w:sz w:val="16"/>
          <w:szCs w:val="16"/>
        </w:rPr>
        <w:tab/>
        <w:t>Merger analysis, competition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1992</w:t>
      </w:r>
      <w:r>
        <w:rPr>
          <w:sz w:val="16"/>
          <w:szCs w:val="16"/>
        </w:rPr>
        <w:tab/>
      </w:r>
      <w:r>
        <w:rPr>
          <w:sz w:val="16"/>
          <w:szCs w:val="16"/>
        </w:rPr>
        <w:tab/>
        <w:t>Light Company</w:t>
      </w:r>
      <w:r>
        <w:rPr>
          <w:sz w:val="16"/>
          <w:szCs w:val="16"/>
        </w:rPr>
        <w:tab/>
      </w:r>
      <w:r>
        <w:rPr>
          <w:sz w:val="16"/>
          <w:szCs w:val="16"/>
        </w:rPr>
        <w:tab/>
      </w:r>
      <w:r>
        <w:rPr>
          <w:sz w:val="16"/>
          <w:szCs w:val="16"/>
        </w:rPr>
        <w:tab/>
        <w:t>competition issues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129.</w:t>
      </w:r>
      <w:r>
        <w:rPr>
          <w:sz w:val="16"/>
          <w:szCs w:val="16"/>
        </w:rPr>
        <w:tab/>
        <w:t>8473</w:t>
      </w:r>
      <w:r>
        <w:rPr>
          <w:sz w:val="16"/>
          <w:szCs w:val="16"/>
        </w:rPr>
        <w:tab/>
        <w:t>Baltimore Gas &amp;</w:t>
      </w:r>
      <w:r>
        <w:rPr>
          <w:sz w:val="16"/>
          <w:szCs w:val="16"/>
        </w:rPr>
        <w:tab/>
        <w:t>Maryland</w:t>
      </w:r>
      <w:r>
        <w:rPr>
          <w:sz w:val="16"/>
          <w:szCs w:val="16"/>
        </w:rPr>
        <w:tab/>
        <w:t>Dept. of Natural</w:t>
      </w:r>
      <w:r>
        <w:rPr>
          <w:sz w:val="16"/>
          <w:szCs w:val="16"/>
        </w:rPr>
        <w:tab/>
        <w:t>QF contract evaluation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1992</w:t>
      </w:r>
      <w:r>
        <w:rPr>
          <w:sz w:val="16"/>
          <w:szCs w:val="16"/>
        </w:rPr>
        <w:tab/>
      </w:r>
      <w:r>
        <w:rPr>
          <w:sz w:val="16"/>
          <w:szCs w:val="16"/>
        </w:rPr>
        <w:tab/>
        <w:t>Electric Company</w:t>
      </w:r>
      <w:r>
        <w:rPr>
          <w:sz w:val="16"/>
          <w:szCs w:val="16"/>
        </w:rPr>
        <w:tab/>
      </w:r>
      <w:r>
        <w:rPr>
          <w:sz w:val="16"/>
          <w:szCs w:val="16"/>
        </w:rPr>
        <w:tab/>
        <w:t>Resources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130.</w:t>
      </w:r>
      <w:r>
        <w:rPr>
          <w:sz w:val="16"/>
          <w:szCs w:val="16"/>
        </w:rPr>
        <w:tab/>
        <w:t>IPC-E-92-25</w:t>
      </w:r>
      <w:r>
        <w:rPr>
          <w:sz w:val="16"/>
          <w:szCs w:val="16"/>
        </w:rPr>
        <w:tab/>
        <w:t>Idaho Power Company</w:t>
      </w:r>
      <w:r>
        <w:rPr>
          <w:sz w:val="16"/>
          <w:szCs w:val="16"/>
        </w:rPr>
        <w:tab/>
        <w:t>Idaho</w:t>
      </w:r>
      <w:r>
        <w:rPr>
          <w:sz w:val="16"/>
          <w:szCs w:val="16"/>
        </w:rPr>
        <w:tab/>
        <w:t>Federal Executive</w:t>
      </w:r>
      <w:r>
        <w:rPr>
          <w:sz w:val="16"/>
          <w:szCs w:val="16"/>
        </w:rPr>
        <w:tab/>
        <w:t>Power Supply Clause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January 1993</w:t>
      </w:r>
      <w:r>
        <w:rPr>
          <w:sz w:val="16"/>
          <w:szCs w:val="16"/>
        </w:rPr>
        <w:tab/>
      </w:r>
      <w:r>
        <w:rPr>
          <w:sz w:val="16"/>
          <w:szCs w:val="16"/>
        </w:rPr>
        <w:tab/>
      </w:r>
      <w:r>
        <w:rPr>
          <w:sz w:val="16"/>
          <w:szCs w:val="16"/>
        </w:rPr>
        <w:tab/>
      </w:r>
      <w:r>
        <w:rPr>
          <w:sz w:val="16"/>
          <w:szCs w:val="16"/>
        </w:rPr>
        <w:tab/>
        <w:t>Agencies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br w:type="page"/>
        <w:t>131.</w:t>
      </w:r>
      <w:r>
        <w:rPr>
          <w:sz w:val="16"/>
          <w:szCs w:val="16"/>
        </w:rPr>
        <w:tab/>
        <w:t>E002/GR-92-1185</w:t>
      </w:r>
      <w:r>
        <w:rPr>
          <w:sz w:val="16"/>
          <w:szCs w:val="16"/>
        </w:rPr>
        <w:tab/>
        <w:t>Northern States</w:t>
      </w:r>
      <w:r>
        <w:rPr>
          <w:sz w:val="16"/>
          <w:szCs w:val="16"/>
        </w:rPr>
        <w:tab/>
        <w:t>Minnesota</w:t>
      </w:r>
      <w:r>
        <w:rPr>
          <w:sz w:val="16"/>
          <w:szCs w:val="16"/>
        </w:rPr>
        <w:tab/>
        <w:t>Attorney General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1993</w:t>
      </w:r>
      <w:r>
        <w:rPr>
          <w:sz w:val="16"/>
          <w:szCs w:val="16"/>
        </w:rPr>
        <w:tab/>
      </w:r>
      <w:r>
        <w:rPr>
          <w:sz w:val="16"/>
          <w:szCs w:val="16"/>
        </w:rPr>
        <w:tab/>
        <w:t>Power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132.</w:t>
      </w:r>
      <w:r>
        <w:rPr>
          <w:sz w:val="16"/>
          <w:szCs w:val="16"/>
        </w:rPr>
        <w:tab/>
        <w:t>92-102, Phase II</w:t>
      </w:r>
      <w:r>
        <w:rPr>
          <w:sz w:val="16"/>
          <w:szCs w:val="16"/>
        </w:rPr>
        <w:tab/>
        <w:t>Central Maine</w:t>
      </w:r>
      <w:r>
        <w:rPr>
          <w:sz w:val="16"/>
          <w:szCs w:val="16"/>
        </w:rPr>
        <w:tab/>
        <w:t>Maine</w:t>
      </w:r>
      <w:r>
        <w:rPr>
          <w:sz w:val="16"/>
          <w:szCs w:val="16"/>
        </w:rPr>
        <w:tab/>
        <w:t>Staff</w:t>
      </w:r>
      <w:r>
        <w:rPr>
          <w:sz w:val="16"/>
          <w:szCs w:val="16"/>
        </w:rPr>
        <w:tab/>
        <w:t>QF contracts prudence and</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1992</w:t>
      </w:r>
      <w:r>
        <w:rPr>
          <w:sz w:val="16"/>
          <w:szCs w:val="16"/>
        </w:rPr>
        <w:tab/>
      </w:r>
      <w:r>
        <w:rPr>
          <w:sz w:val="16"/>
          <w:szCs w:val="16"/>
        </w:rPr>
        <w:tab/>
        <w:t>Power Company</w:t>
      </w:r>
      <w:r>
        <w:rPr>
          <w:sz w:val="16"/>
          <w:szCs w:val="16"/>
        </w:rPr>
        <w:tab/>
      </w:r>
      <w:r>
        <w:rPr>
          <w:sz w:val="16"/>
          <w:szCs w:val="16"/>
        </w:rPr>
        <w:tab/>
      </w:r>
      <w:r>
        <w:rPr>
          <w:sz w:val="16"/>
          <w:szCs w:val="16"/>
        </w:rPr>
        <w:tab/>
        <w:t>procurements practices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133.</w:t>
      </w:r>
      <w:r>
        <w:rPr>
          <w:sz w:val="16"/>
          <w:szCs w:val="16"/>
        </w:rPr>
        <w:tab/>
        <w:t>EC92-21-000</w:t>
      </w:r>
      <w:r>
        <w:rPr>
          <w:sz w:val="16"/>
          <w:szCs w:val="16"/>
        </w:rPr>
        <w:tab/>
        <w:t>Entergy Corporation</w:t>
      </w:r>
      <w:r>
        <w:rPr>
          <w:sz w:val="16"/>
          <w:szCs w:val="16"/>
        </w:rPr>
        <w:tab/>
        <w:t>FERC</w:t>
      </w:r>
      <w:r>
        <w:rPr>
          <w:sz w:val="16"/>
          <w:szCs w:val="16"/>
        </w:rPr>
        <w:tab/>
        <w:t xml:space="preserve">Louisiana PSC </w:t>
      </w:r>
      <w:r>
        <w:rPr>
          <w:sz w:val="16"/>
          <w:szCs w:val="16"/>
        </w:rPr>
        <w:tab/>
        <w:t>Merger Issues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1993</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134.</w:t>
      </w:r>
      <w:r>
        <w:rPr>
          <w:sz w:val="16"/>
          <w:szCs w:val="16"/>
        </w:rPr>
        <w:tab/>
        <w:t>8489</w:t>
      </w:r>
      <w:r>
        <w:rPr>
          <w:sz w:val="16"/>
          <w:szCs w:val="16"/>
        </w:rPr>
        <w:tab/>
        <w:t>Delmarva Power &amp;</w:t>
      </w:r>
      <w:r>
        <w:rPr>
          <w:sz w:val="16"/>
          <w:szCs w:val="16"/>
        </w:rPr>
        <w:tab/>
        <w:t>Maryland</w:t>
      </w:r>
      <w:r>
        <w:rPr>
          <w:sz w:val="16"/>
          <w:szCs w:val="16"/>
        </w:rPr>
        <w:tab/>
        <w:t>Dept. of Natural</w:t>
      </w:r>
      <w:r>
        <w:rPr>
          <w:sz w:val="16"/>
          <w:szCs w:val="16"/>
        </w:rPr>
        <w:tab/>
        <w:t>Power Plant Certification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1993</w:t>
      </w:r>
      <w:r>
        <w:rPr>
          <w:sz w:val="16"/>
          <w:szCs w:val="16"/>
        </w:rPr>
        <w:tab/>
      </w:r>
      <w:r>
        <w:rPr>
          <w:sz w:val="16"/>
          <w:szCs w:val="16"/>
        </w:rPr>
        <w:tab/>
        <w:t>Light Company</w:t>
      </w:r>
      <w:r>
        <w:rPr>
          <w:sz w:val="16"/>
          <w:szCs w:val="16"/>
        </w:rPr>
        <w:tab/>
      </w:r>
      <w:r>
        <w:rPr>
          <w:sz w:val="16"/>
          <w:szCs w:val="16"/>
        </w:rPr>
        <w:tab/>
        <w:t>Resources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135.</w:t>
      </w:r>
      <w:r>
        <w:rPr>
          <w:sz w:val="16"/>
          <w:szCs w:val="16"/>
        </w:rPr>
        <w:tab/>
        <w:t>11735</w:t>
      </w:r>
      <w:r>
        <w:rPr>
          <w:sz w:val="16"/>
          <w:szCs w:val="16"/>
        </w:rPr>
        <w:tab/>
        <w:t xml:space="preserve">Texas Electric </w:t>
      </w:r>
      <w:r>
        <w:rPr>
          <w:sz w:val="16"/>
          <w:szCs w:val="16"/>
        </w:rPr>
        <w:tab/>
        <w:t>Texas</w:t>
      </w:r>
      <w:r>
        <w:rPr>
          <w:sz w:val="16"/>
          <w:szCs w:val="16"/>
        </w:rPr>
        <w:tab/>
        <w:t xml:space="preserve">Federal Executives </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1993</w:t>
      </w:r>
      <w:r>
        <w:rPr>
          <w:sz w:val="16"/>
          <w:szCs w:val="16"/>
        </w:rPr>
        <w:tab/>
      </w:r>
      <w:r>
        <w:rPr>
          <w:sz w:val="16"/>
          <w:szCs w:val="16"/>
        </w:rPr>
        <w:tab/>
        <w:t>Utilities Company</w:t>
      </w:r>
      <w:r>
        <w:rPr>
          <w:sz w:val="16"/>
          <w:szCs w:val="16"/>
        </w:rPr>
        <w:tab/>
      </w:r>
      <w:r>
        <w:rPr>
          <w:sz w:val="16"/>
          <w:szCs w:val="16"/>
        </w:rPr>
        <w:tab/>
        <w:t>Agencies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136.</w:t>
      </w:r>
      <w:r>
        <w:rPr>
          <w:sz w:val="16"/>
          <w:szCs w:val="16"/>
        </w:rPr>
        <w:tab/>
        <w:t>2082</w:t>
      </w:r>
      <w:r>
        <w:rPr>
          <w:sz w:val="16"/>
          <w:szCs w:val="16"/>
        </w:rPr>
        <w:tab/>
        <w:t>Providence Gas</w:t>
      </w:r>
      <w:r>
        <w:rPr>
          <w:sz w:val="16"/>
          <w:szCs w:val="16"/>
        </w:rPr>
        <w:tab/>
        <w:t>Rhode Island</w:t>
      </w:r>
      <w:r>
        <w:rPr>
          <w:sz w:val="16"/>
          <w:szCs w:val="16"/>
        </w:rPr>
        <w:tab/>
        <w:t>Division of Public</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1993</w:t>
      </w:r>
      <w:r>
        <w:rPr>
          <w:sz w:val="16"/>
          <w:szCs w:val="16"/>
        </w:rPr>
        <w:tab/>
      </w:r>
      <w:r>
        <w:rPr>
          <w:sz w:val="16"/>
          <w:szCs w:val="16"/>
        </w:rPr>
        <w:tab/>
        <w:t>Company</w:t>
      </w:r>
      <w:r>
        <w:rPr>
          <w:sz w:val="16"/>
          <w:szCs w:val="16"/>
        </w:rPr>
        <w:tab/>
      </w:r>
      <w:r>
        <w:rPr>
          <w:sz w:val="16"/>
          <w:szCs w:val="16"/>
        </w:rPr>
        <w:tab/>
        <w:t>Utilities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137.</w:t>
      </w:r>
      <w:r>
        <w:rPr>
          <w:sz w:val="16"/>
          <w:szCs w:val="16"/>
        </w:rPr>
        <w:tab/>
        <w:t>P-00930715</w:t>
      </w:r>
      <w:r>
        <w:rPr>
          <w:sz w:val="16"/>
          <w:szCs w:val="16"/>
        </w:rPr>
        <w:tab/>
        <w:t>Bell Telephone Company</w:t>
      </w:r>
      <w:r>
        <w:rPr>
          <w:sz w:val="16"/>
          <w:szCs w:val="16"/>
        </w:rPr>
        <w:tab/>
        <w:t>Pennsylvania</w:t>
      </w:r>
      <w:r>
        <w:rPr>
          <w:sz w:val="16"/>
          <w:szCs w:val="16"/>
        </w:rPr>
        <w:tab/>
        <w:t>Office of Consumer</w:t>
      </w:r>
      <w:r>
        <w:rPr>
          <w:sz w:val="16"/>
          <w:szCs w:val="16"/>
        </w:rPr>
        <w:tab/>
        <w:t>Rate of Return, Financial</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December 1993</w:t>
      </w:r>
      <w:r>
        <w:rPr>
          <w:sz w:val="16"/>
          <w:szCs w:val="16"/>
        </w:rPr>
        <w:tab/>
      </w:r>
      <w:r>
        <w:rPr>
          <w:sz w:val="16"/>
          <w:szCs w:val="16"/>
        </w:rPr>
        <w:tab/>
        <w:t>of Pennsylvania</w:t>
      </w:r>
      <w:r>
        <w:rPr>
          <w:sz w:val="16"/>
          <w:szCs w:val="16"/>
        </w:rPr>
        <w:tab/>
      </w:r>
      <w:r>
        <w:rPr>
          <w:sz w:val="16"/>
          <w:szCs w:val="16"/>
        </w:rPr>
        <w:tab/>
        <w:t>Advocate</w:t>
      </w:r>
      <w:r>
        <w:rPr>
          <w:sz w:val="16"/>
          <w:szCs w:val="16"/>
        </w:rPr>
        <w:tab/>
        <w:t>Projections, Bell/TCI merger</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138.</w:t>
      </w:r>
      <w:r>
        <w:rPr>
          <w:sz w:val="16"/>
          <w:szCs w:val="16"/>
        </w:rPr>
        <w:tab/>
        <w:t>R-00932670</w:t>
      </w:r>
      <w:r>
        <w:rPr>
          <w:sz w:val="16"/>
          <w:szCs w:val="16"/>
        </w:rPr>
        <w:tab/>
        <w:t>Pennsylvania-American</w:t>
      </w:r>
      <w:r>
        <w:rPr>
          <w:sz w:val="16"/>
          <w:szCs w:val="16"/>
        </w:rPr>
        <w:tab/>
        <w:t>Pennsylvania</w:t>
      </w:r>
      <w:r>
        <w:rPr>
          <w:sz w:val="16"/>
          <w:szCs w:val="16"/>
        </w:rPr>
        <w:tab/>
        <w:t>Office of Consumer</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1994</w:t>
      </w:r>
      <w:r>
        <w:rPr>
          <w:sz w:val="16"/>
          <w:szCs w:val="16"/>
        </w:rPr>
        <w:tab/>
      </w:r>
      <w:r>
        <w:rPr>
          <w:sz w:val="16"/>
          <w:szCs w:val="16"/>
        </w:rPr>
        <w:tab/>
        <w:t>Water Company</w:t>
      </w:r>
      <w:r>
        <w:rPr>
          <w:sz w:val="16"/>
          <w:szCs w:val="16"/>
        </w:rPr>
        <w:tab/>
      </w:r>
      <w:r>
        <w:rPr>
          <w:sz w:val="16"/>
          <w:szCs w:val="16"/>
        </w:rPr>
        <w:tab/>
        <w:t>Advocate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139.</w:t>
      </w:r>
      <w:r>
        <w:rPr>
          <w:sz w:val="16"/>
          <w:szCs w:val="16"/>
        </w:rPr>
        <w:tab/>
        <w:t>8583</w:t>
      </w:r>
      <w:r>
        <w:rPr>
          <w:sz w:val="16"/>
          <w:szCs w:val="16"/>
        </w:rPr>
        <w:tab/>
        <w:t>Conowingo Power Company</w:t>
      </w:r>
      <w:r>
        <w:rPr>
          <w:sz w:val="16"/>
          <w:szCs w:val="16"/>
        </w:rPr>
        <w:tab/>
        <w:t>Maryland</w:t>
      </w:r>
      <w:r>
        <w:rPr>
          <w:sz w:val="16"/>
          <w:szCs w:val="16"/>
        </w:rPr>
        <w:tab/>
        <w:t>Dept. of Natural</w:t>
      </w:r>
      <w:r>
        <w:rPr>
          <w:sz w:val="16"/>
          <w:szCs w:val="16"/>
        </w:rPr>
        <w:tab/>
        <w:t>Competitive Bidding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1994</w:t>
      </w:r>
      <w:r>
        <w:rPr>
          <w:sz w:val="16"/>
          <w:szCs w:val="16"/>
        </w:rPr>
        <w:tab/>
      </w:r>
      <w:r>
        <w:rPr>
          <w:sz w:val="16"/>
          <w:szCs w:val="16"/>
        </w:rPr>
        <w:tab/>
      </w:r>
      <w:r>
        <w:rPr>
          <w:sz w:val="16"/>
          <w:szCs w:val="16"/>
        </w:rPr>
        <w:tab/>
      </w:r>
      <w:r>
        <w:rPr>
          <w:sz w:val="16"/>
          <w:szCs w:val="16"/>
        </w:rPr>
        <w:tab/>
        <w:t>Resources</w:t>
      </w:r>
      <w:r>
        <w:rPr>
          <w:sz w:val="16"/>
          <w:szCs w:val="16"/>
        </w:rPr>
        <w:tab/>
        <w:t>for Power Supplies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140.</w:t>
      </w:r>
      <w:r>
        <w:rPr>
          <w:sz w:val="16"/>
          <w:szCs w:val="16"/>
        </w:rPr>
        <w:tab/>
        <w:t>E-015/GR-94-001</w:t>
      </w:r>
      <w:r>
        <w:rPr>
          <w:sz w:val="16"/>
          <w:szCs w:val="16"/>
        </w:rPr>
        <w:tab/>
        <w:t>Minnesota Power &amp;</w:t>
      </w:r>
      <w:r>
        <w:rPr>
          <w:sz w:val="16"/>
          <w:szCs w:val="16"/>
        </w:rPr>
        <w:tab/>
        <w:t>Minnesota</w:t>
      </w:r>
      <w:r>
        <w:rPr>
          <w:sz w:val="16"/>
          <w:szCs w:val="16"/>
        </w:rPr>
        <w:tab/>
        <w:t>Attorney General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1994</w:t>
      </w:r>
      <w:r>
        <w:rPr>
          <w:sz w:val="16"/>
          <w:szCs w:val="16"/>
        </w:rPr>
        <w:tab/>
      </w:r>
      <w:r>
        <w:rPr>
          <w:sz w:val="16"/>
          <w:szCs w:val="16"/>
        </w:rPr>
        <w:tab/>
        <w:t>Light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141.</w:t>
      </w:r>
      <w:r>
        <w:rPr>
          <w:sz w:val="16"/>
          <w:szCs w:val="16"/>
        </w:rPr>
        <w:tab/>
        <w:t>CC Docket No. 94-1</w:t>
      </w:r>
      <w:r>
        <w:rPr>
          <w:sz w:val="16"/>
          <w:szCs w:val="16"/>
        </w:rPr>
        <w:tab/>
        <w:t>Generic Telephone</w:t>
      </w:r>
      <w:r>
        <w:rPr>
          <w:sz w:val="16"/>
          <w:szCs w:val="16"/>
        </w:rPr>
        <w:tab/>
        <w:t>FCC</w:t>
      </w:r>
      <w:r>
        <w:rPr>
          <w:sz w:val="16"/>
          <w:szCs w:val="16"/>
        </w:rPr>
        <w:tab/>
        <w:t>MCI Comm. Corp.</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1994</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142.</w:t>
      </w:r>
      <w:r>
        <w:rPr>
          <w:sz w:val="16"/>
          <w:szCs w:val="16"/>
        </w:rPr>
        <w:tab/>
        <w:t>92-345, Phase II</w:t>
      </w:r>
      <w:r>
        <w:rPr>
          <w:sz w:val="16"/>
          <w:szCs w:val="16"/>
        </w:rPr>
        <w:tab/>
        <w:t>Central Maine Power Company</w:t>
      </w:r>
      <w:r>
        <w:rPr>
          <w:sz w:val="16"/>
          <w:szCs w:val="16"/>
        </w:rPr>
        <w:tab/>
        <w:t>Maine</w:t>
      </w:r>
      <w:r>
        <w:rPr>
          <w:sz w:val="16"/>
          <w:szCs w:val="16"/>
        </w:rPr>
        <w:tab/>
        <w:t>Advocacy Staff</w:t>
      </w:r>
      <w:r>
        <w:rPr>
          <w:sz w:val="16"/>
          <w:szCs w:val="16"/>
        </w:rPr>
        <w:tab/>
        <w:t>Price Cap Regulation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1994</w:t>
      </w:r>
      <w:r>
        <w:rPr>
          <w:sz w:val="16"/>
          <w:szCs w:val="16"/>
        </w:rPr>
        <w:tab/>
      </w:r>
      <w:r>
        <w:rPr>
          <w:sz w:val="16"/>
          <w:szCs w:val="16"/>
        </w:rPr>
        <w:tab/>
      </w:r>
      <w:r>
        <w:rPr>
          <w:sz w:val="16"/>
          <w:szCs w:val="16"/>
        </w:rPr>
        <w:tab/>
      </w:r>
      <w:r>
        <w:rPr>
          <w:sz w:val="16"/>
          <w:szCs w:val="16"/>
        </w:rPr>
        <w:tab/>
      </w:r>
      <w:r>
        <w:rPr>
          <w:sz w:val="16"/>
          <w:szCs w:val="16"/>
        </w:rPr>
        <w:tab/>
        <w:t>Fuel Costs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143.</w:t>
      </w:r>
      <w:r>
        <w:rPr>
          <w:sz w:val="16"/>
          <w:szCs w:val="16"/>
        </w:rPr>
        <w:tab/>
        <w:t>93-11065</w:t>
      </w:r>
      <w:r>
        <w:rPr>
          <w:sz w:val="16"/>
          <w:szCs w:val="16"/>
        </w:rPr>
        <w:tab/>
        <w:t>Nevada Power Company</w:t>
      </w:r>
      <w:r>
        <w:rPr>
          <w:sz w:val="16"/>
          <w:szCs w:val="16"/>
        </w:rPr>
        <w:tab/>
        <w:t>Nevada</w:t>
      </w:r>
      <w:r>
        <w:rPr>
          <w:sz w:val="16"/>
          <w:szCs w:val="16"/>
        </w:rPr>
        <w:tab/>
        <w:t>Federal Executive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1994</w:t>
      </w:r>
      <w:r>
        <w:rPr>
          <w:sz w:val="16"/>
          <w:szCs w:val="16"/>
        </w:rPr>
        <w:tab/>
      </w:r>
      <w:r>
        <w:rPr>
          <w:sz w:val="16"/>
          <w:szCs w:val="16"/>
        </w:rPr>
        <w:tab/>
      </w:r>
      <w:r>
        <w:rPr>
          <w:sz w:val="16"/>
          <w:szCs w:val="16"/>
        </w:rPr>
        <w:tab/>
      </w:r>
      <w:r>
        <w:rPr>
          <w:sz w:val="16"/>
          <w:szCs w:val="16"/>
        </w:rPr>
        <w:tab/>
        <w:t>Agencies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144.</w:t>
      </w:r>
      <w:r>
        <w:rPr>
          <w:sz w:val="16"/>
          <w:szCs w:val="16"/>
        </w:rPr>
        <w:tab/>
        <w:t>94-0065</w:t>
      </w:r>
      <w:r>
        <w:rPr>
          <w:sz w:val="16"/>
          <w:szCs w:val="16"/>
        </w:rPr>
        <w:tab/>
        <w:t>Commonwealth Edison Company</w:t>
      </w:r>
      <w:r>
        <w:rPr>
          <w:sz w:val="16"/>
          <w:szCs w:val="16"/>
        </w:rPr>
        <w:tab/>
        <w:t>Illinois</w:t>
      </w:r>
      <w:r>
        <w:rPr>
          <w:sz w:val="16"/>
          <w:szCs w:val="16"/>
        </w:rPr>
        <w:tab/>
        <w:t>Federal Executive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1994</w:t>
      </w:r>
      <w:r>
        <w:rPr>
          <w:sz w:val="16"/>
          <w:szCs w:val="16"/>
        </w:rPr>
        <w:tab/>
      </w:r>
      <w:r>
        <w:rPr>
          <w:sz w:val="16"/>
          <w:szCs w:val="16"/>
        </w:rPr>
        <w:tab/>
      </w:r>
      <w:r>
        <w:rPr>
          <w:sz w:val="16"/>
          <w:szCs w:val="16"/>
        </w:rPr>
        <w:tab/>
      </w:r>
      <w:r>
        <w:rPr>
          <w:sz w:val="16"/>
          <w:szCs w:val="16"/>
        </w:rPr>
        <w:tab/>
        <w:t>Agencies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145.</w:t>
      </w:r>
      <w:r>
        <w:rPr>
          <w:sz w:val="16"/>
          <w:szCs w:val="16"/>
        </w:rPr>
        <w:tab/>
        <w:t>GR94010002J</w:t>
      </w:r>
      <w:r>
        <w:rPr>
          <w:sz w:val="16"/>
          <w:szCs w:val="16"/>
        </w:rPr>
        <w:tab/>
        <w:t>South Jersey Gas Company</w:t>
      </w:r>
      <w:r>
        <w:rPr>
          <w:sz w:val="16"/>
          <w:szCs w:val="16"/>
        </w:rPr>
        <w:tab/>
        <w:t>New Jersey</w:t>
      </w:r>
      <w:r>
        <w:rPr>
          <w:sz w:val="16"/>
          <w:szCs w:val="16"/>
        </w:rPr>
        <w:tab/>
        <w:t>Rate Counsel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1994</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br w:type="page"/>
        <w:t>146.</w:t>
      </w:r>
      <w:r>
        <w:rPr>
          <w:sz w:val="16"/>
          <w:szCs w:val="16"/>
        </w:rPr>
        <w:tab/>
        <w:t>WR94030059</w:t>
      </w:r>
      <w:r>
        <w:rPr>
          <w:sz w:val="16"/>
          <w:szCs w:val="16"/>
        </w:rPr>
        <w:tab/>
        <w:t>New Jersey-American</w:t>
      </w:r>
      <w:r>
        <w:rPr>
          <w:sz w:val="16"/>
          <w:szCs w:val="16"/>
        </w:rPr>
        <w:tab/>
        <w:t>New Jersey</w:t>
      </w:r>
      <w:r>
        <w:rPr>
          <w:sz w:val="16"/>
          <w:szCs w:val="16"/>
        </w:rPr>
        <w:tab/>
        <w:t>Rate Counsel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1994</w:t>
      </w:r>
      <w:r>
        <w:rPr>
          <w:sz w:val="16"/>
          <w:szCs w:val="16"/>
        </w:rPr>
        <w:tab/>
      </w:r>
      <w:r>
        <w:rPr>
          <w:sz w:val="16"/>
          <w:szCs w:val="16"/>
        </w:rPr>
        <w:tab/>
        <w:t>Water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147.</w:t>
      </w:r>
      <w:r>
        <w:rPr>
          <w:sz w:val="16"/>
          <w:szCs w:val="16"/>
        </w:rPr>
        <w:tab/>
        <w:t>RP91-203-000</w:t>
      </w:r>
      <w:r>
        <w:rPr>
          <w:sz w:val="16"/>
          <w:szCs w:val="16"/>
        </w:rPr>
        <w:tab/>
        <w:t>Tennessee Gas Pipeline</w:t>
      </w:r>
      <w:r>
        <w:rPr>
          <w:sz w:val="16"/>
          <w:szCs w:val="16"/>
        </w:rPr>
        <w:tab/>
        <w:t>FERC</w:t>
      </w:r>
      <w:r>
        <w:rPr>
          <w:sz w:val="16"/>
          <w:szCs w:val="16"/>
        </w:rPr>
        <w:tab/>
        <w:t>Customer Group</w:t>
      </w:r>
      <w:r>
        <w:rPr>
          <w:sz w:val="16"/>
          <w:szCs w:val="16"/>
        </w:rPr>
        <w:tab/>
        <w:t>Environmental Externalities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1994</w:t>
      </w:r>
      <w:r>
        <w:rPr>
          <w:sz w:val="16"/>
          <w:szCs w:val="16"/>
        </w:rPr>
        <w:tab/>
      </w:r>
      <w:r>
        <w:rPr>
          <w:sz w:val="16"/>
          <w:szCs w:val="16"/>
        </w:rPr>
        <w:tab/>
        <w:t>Company</w:t>
      </w:r>
      <w:r>
        <w:rPr>
          <w:sz w:val="16"/>
          <w:szCs w:val="16"/>
        </w:rPr>
        <w:tab/>
      </w:r>
      <w:r>
        <w:rPr>
          <w:sz w:val="16"/>
          <w:szCs w:val="16"/>
        </w:rPr>
        <w:tab/>
      </w:r>
      <w:r>
        <w:rPr>
          <w:sz w:val="16"/>
          <w:szCs w:val="16"/>
        </w:rPr>
        <w:tab/>
        <w:t>(oral testimony only)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148.</w:t>
      </w:r>
      <w:r>
        <w:rPr>
          <w:sz w:val="16"/>
          <w:szCs w:val="16"/>
        </w:rPr>
        <w:tab/>
        <w:t>ER94-998-000</w:t>
      </w:r>
      <w:r>
        <w:rPr>
          <w:sz w:val="16"/>
          <w:szCs w:val="16"/>
        </w:rPr>
        <w:tab/>
        <w:t>Ocean State Power</w:t>
      </w:r>
      <w:r>
        <w:rPr>
          <w:sz w:val="16"/>
          <w:szCs w:val="16"/>
        </w:rPr>
        <w:tab/>
        <w:t>FERC</w:t>
      </w:r>
      <w:r>
        <w:rPr>
          <w:sz w:val="16"/>
          <w:szCs w:val="16"/>
        </w:rPr>
        <w:tab/>
        <w:t>Boston Edison Company</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1994</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149.</w:t>
      </w:r>
      <w:r>
        <w:rPr>
          <w:sz w:val="16"/>
          <w:szCs w:val="16"/>
        </w:rPr>
        <w:tab/>
        <w:t>R-00942986</w:t>
      </w:r>
      <w:r>
        <w:rPr>
          <w:sz w:val="16"/>
          <w:szCs w:val="16"/>
        </w:rPr>
        <w:tab/>
        <w:t>West Penn Power Company</w:t>
      </w:r>
      <w:r>
        <w:rPr>
          <w:sz w:val="16"/>
          <w:szCs w:val="16"/>
        </w:rPr>
        <w:tab/>
        <w:t>Pennsylvania</w:t>
      </w:r>
      <w:r>
        <w:rPr>
          <w:sz w:val="16"/>
          <w:szCs w:val="16"/>
        </w:rPr>
        <w:tab/>
        <w:t>Office of Consumer</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1994</w:t>
      </w:r>
      <w:r>
        <w:rPr>
          <w:sz w:val="16"/>
          <w:szCs w:val="16"/>
        </w:rPr>
        <w:tab/>
      </w:r>
      <w:r>
        <w:rPr>
          <w:sz w:val="16"/>
          <w:szCs w:val="16"/>
        </w:rPr>
        <w:tab/>
      </w:r>
      <w:r>
        <w:rPr>
          <w:sz w:val="16"/>
          <w:szCs w:val="16"/>
        </w:rPr>
        <w:tab/>
      </w:r>
      <w:r>
        <w:rPr>
          <w:sz w:val="16"/>
          <w:szCs w:val="16"/>
        </w:rPr>
        <w:tab/>
        <w:t>Advocate</w:t>
      </w:r>
      <w:r>
        <w:rPr>
          <w:sz w:val="16"/>
          <w:szCs w:val="16"/>
        </w:rPr>
        <w:tab/>
        <w:t>Emission Allowances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150.</w:t>
      </w:r>
      <w:r>
        <w:rPr>
          <w:sz w:val="16"/>
          <w:szCs w:val="16"/>
        </w:rPr>
        <w:tab/>
        <w:t>94-121</w:t>
      </w:r>
      <w:r>
        <w:rPr>
          <w:sz w:val="16"/>
          <w:szCs w:val="16"/>
        </w:rPr>
        <w:tab/>
        <w:t>South Central Bell</w:t>
      </w:r>
      <w:r>
        <w:rPr>
          <w:sz w:val="16"/>
          <w:szCs w:val="16"/>
        </w:rPr>
        <w:tab/>
        <w:t>Kentucky</w:t>
      </w:r>
      <w:r>
        <w:rPr>
          <w:sz w:val="16"/>
          <w:szCs w:val="16"/>
        </w:rPr>
        <w:tab/>
        <w:t>Attorney General</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1994</w:t>
      </w:r>
      <w:r>
        <w:rPr>
          <w:sz w:val="16"/>
          <w:szCs w:val="16"/>
        </w:rPr>
        <w:tab/>
      </w:r>
      <w:r>
        <w:rPr>
          <w:sz w:val="16"/>
          <w:szCs w:val="16"/>
        </w:rPr>
        <w:tab/>
        <w:t>Telephone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151.</w:t>
      </w:r>
      <w:r>
        <w:rPr>
          <w:sz w:val="16"/>
          <w:szCs w:val="16"/>
        </w:rPr>
        <w:tab/>
        <w:t>35854-S2</w:t>
      </w:r>
      <w:r>
        <w:rPr>
          <w:sz w:val="16"/>
          <w:szCs w:val="16"/>
        </w:rPr>
        <w:tab/>
        <w:t>PSI Energy, Inc.</w:t>
      </w:r>
      <w:r>
        <w:rPr>
          <w:sz w:val="16"/>
          <w:szCs w:val="16"/>
        </w:rPr>
        <w:tab/>
        <w:t>Indiana</w:t>
      </w:r>
      <w:r>
        <w:rPr>
          <w:sz w:val="16"/>
          <w:szCs w:val="16"/>
        </w:rPr>
        <w:tab/>
        <w:t>Utility Consumer Counsel</w:t>
      </w:r>
      <w:r>
        <w:rPr>
          <w:sz w:val="16"/>
          <w:szCs w:val="16"/>
        </w:rPr>
        <w:tab/>
        <w:t>Merger Savings and</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1994</w:t>
      </w:r>
      <w:r>
        <w:rPr>
          <w:sz w:val="16"/>
          <w:szCs w:val="16"/>
        </w:rPr>
        <w:tab/>
      </w:r>
      <w:r>
        <w:rPr>
          <w:sz w:val="16"/>
          <w:szCs w:val="16"/>
        </w:rPr>
        <w:tab/>
      </w:r>
      <w:r>
        <w:rPr>
          <w:sz w:val="16"/>
          <w:szCs w:val="16"/>
        </w:rPr>
        <w:tab/>
      </w:r>
      <w:r>
        <w:rPr>
          <w:sz w:val="16"/>
          <w:szCs w:val="16"/>
        </w:rPr>
        <w:tab/>
      </w:r>
      <w:r>
        <w:rPr>
          <w:sz w:val="16"/>
          <w:szCs w:val="16"/>
        </w:rPr>
        <w:tab/>
        <w:t>Allocations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152.</w:t>
      </w:r>
      <w:r>
        <w:rPr>
          <w:sz w:val="16"/>
          <w:szCs w:val="16"/>
        </w:rPr>
        <w:tab/>
        <w:t>IPC-E-94-5</w:t>
      </w:r>
      <w:r>
        <w:rPr>
          <w:sz w:val="16"/>
          <w:szCs w:val="16"/>
        </w:rPr>
        <w:tab/>
        <w:t>Idaho Power Company</w:t>
      </w:r>
      <w:r>
        <w:rPr>
          <w:sz w:val="16"/>
          <w:szCs w:val="16"/>
        </w:rPr>
        <w:tab/>
        <w:t>Idaho</w:t>
      </w:r>
      <w:r>
        <w:rPr>
          <w:sz w:val="16"/>
          <w:szCs w:val="16"/>
        </w:rPr>
        <w:tab/>
        <w:t>Federal Executive Agencies</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1994</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153.</w:t>
      </w:r>
      <w:r>
        <w:rPr>
          <w:sz w:val="16"/>
          <w:szCs w:val="16"/>
        </w:rPr>
        <w:tab/>
        <w:t>November 1994</w:t>
      </w:r>
      <w:r>
        <w:rPr>
          <w:sz w:val="16"/>
          <w:szCs w:val="16"/>
        </w:rPr>
        <w:tab/>
        <w:t>Edmonton Water</w:t>
      </w:r>
      <w:r>
        <w:rPr>
          <w:sz w:val="16"/>
          <w:szCs w:val="16"/>
        </w:rPr>
        <w:tab/>
        <w:t>Alberta, Canada</w:t>
      </w:r>
      <w:r>
        <w:rPr>
          <w:sz w:val="16"/>
          <w:szCs w:val="16"/>
        </w:rPr>
        <w:tab/>
        <w:t>Regional Customer Group</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(Rebuttal Only)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154.</w:t>
      </w:r>
      <w:r>
        <w:rPr>
          <w:sz w:val="16"/>
          <w:szCs w:val="16"/>
        </w:rPr>
        <w:tab/>
        <w:t>90-256</w:t>
      </w:r>
      <w:r>
        <w:rPr>
          <w:sz w:val="16"/>
          <w:szCs w:val="16"/>
        </w:rPr>
        <w:tab/>
        <w:t>South Central Bell</w:t>
      </w:r>
      <w:r>
        <w:rPr>
          <w:sz w:val="16"/>
          <w:szCs w:val="16"/>
        </w:rPr>
        <w:tab/>
        <w:t>Kentucky</w:t>
      </w:r>
      <w:r>
        <w:rPr>
          <w:sz w:val="16"/>
          <w:szCs w:val="16"/>
        </w:rPr>
        <w:tab/>
        <w:t>Attorney General</w:t>
      </w:r>
      <w:r>
        <w:rPr>
          <w:sz w:val="16"/>
          <w:szCs w:val="16"/>
        </w:rPr>
        <w:tab/>
        <w:t>Incentive Plan True-Ups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December 1994</w:t>
      </w:r>
      <w:r>
        <w:rPr>
          <w:sz w:val="16"/>
          <w:szCs w:val="16"/>
        </w:rPr>
        <w:tab/>
      </w:r>
      <w:r>
        <w:rPr>
          <w:sz w:val="16"/>
          <w:szCs w:val="16"/>
        </w:rPr>
        <w:tab/>
        <w:t>Telephone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keepNext/>
        <w:keepLines/>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155.</w:t>
      </w:r>
      <w:r>
        <w:rPr>
          <w:sz w:val="16"/>
          <w:szCs w:val="16"/>
        </w:rPr>
        <w:tab/>
        <w:t>U-20925</w:t>
      </w:r>
      <w:r>
        <w:rPr>
          <w:sz w:val="16"/>
          <w:szCs w:val="16"/>
        </w:rPr>
        <w:tab/>
        <w:t>Louisiana Power &amp;</w:t>
      </w:r>
      <w:r>
        <w:rPr>
          <w:sz w:val="16"/>
          <w:szCs w:val="16"/>
        </w:rPr>
        <w:tab/>
        <w:t xml:space="preserve">Louisiana </w:t>
      </w:r>
      <w:r>
        <w:rPr>
          <w:sz w:val="16"/>
          <w:szCs w:val="16"/>
        </w:rPr>
        <w:tab/>
        <w:t>PSC Staff</w:t>
      </w:r>
      <w:r>
        <w:rPr>
          <w:sz w:val="16"/>
          <w:szCs w:val="16"/>
        </w:rPr>
        <w:tab/>
        <w:t>Rate of Return</w:t>
      </w:r>
    </w:p>
    <w:p w:rsidR="00F826FC" w:rsidRDefault="00F826FC" w:rsidP="00F826FC">
      <w:pPr>
        <w:keepNext/>
        <w:keepLines/>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1995</w:t>
      </w:r>
      <w:r>
        <w:rPr>
          <w:sz w:val="16"/>
          <w:szCs w:val="16"/>
        </w:rPr>
        <w:tab/>
      </w:r>
      <w:r>
        <w:rPr>
          <w:sz w:val="16"/>
          <w:szCs w:val="16"/>
        </w:rPr>
        <w:tab/>
        <w:t>Light Company</w:t>
      </w:r>
      <w:r>
        <w:rPr>
          <w:sz w:val="16"/>
          <w:szCs w:val="16"/>
        </w:rPr>
        <w:tab/>
      </w:r>
      <w:r>
        <w:rPr>
          <w:sz w:val="16"/>
          <w:szCs w:val="16"/>
        </w:rPr>
        <w:tab/>
      </w:r>
      <w:r>
        <w:rPr>
          <w:sz w:val="16"/>
          <w:szCs w:val="16"/>
        </w:rPr>
        <w:tab/>
        <w:t>Industrial Contracts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Trust Fund Earnings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156.</w:t>
      </w:r>
      <w:r>
        <w:rPr>
          <w:sz w:val="16"/>
          <w:szCs w:val="16"/>
        </w:rPr>
        <w:tab/>
        <w:t>R-00943231</w:t>
      </w:r>
      <w:r>
        <w:rPr>
          <w:sz w:val="16"/>
          <w:szCs w:val="16"/>
        </w:rPr>
        <w:tab/>
        <w:t>Pennsylvania-American</w:t>
      </w:r>
      <w:r>
        <w:rPr>
          <w:sz w:val="16"/>
          <w:szCs w:val="16"/>
        </w:rPr>
        <w:tab/>
        <w:t>Pennsylvania</w:t>
      </w:r>
      <w:r>
        <w:rPr>
          <w:sz w:val="16"/>
          <w:szCs w:val="16"/>
        </w:rPr>
        <w:tab/>
        <w:t>Consumer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1995</w:t>
      </w:r>
      <w:r>
        <w:rPr>
          <w:sz w:val="16"/>
          <w:szCs w:val="16"/>
        </w:rPr>
        <w:tab/>
      </w:r>
      <w:r>
        <w:rPr>
          <w:sz w:val="16"/>
          <w:szCs w:val="16"/>
        </w:rPr>
        <w:tab/>
        <w:t>Water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157.</w:t>
      </w:r>
      <w:r>
        <w:rPr>
          <w:sz w:val="16"/>
          <w:szCs w:val="16"/>
        </w:rPr>
        <w:tab/>
        <w:t>8678</w:t>
      </w:r>
      <w:r>
        <w:rPr>
          <w:sz w:val="16"/>
          <w:szCs w:val="16"/>
        </w:rPr>
        <w:tab/>
        <w:t>Generic</w:t>
      </w:r>
      <w:r>
        <w:rPr>
          <w:sz w:val="16"/>
          <w:szCs w:val="16"/>
        </w:rPr>
        <w:tab/>
        <w:t>Maryland</w:t>
      </w:r>
      <w:r>
        <w:rPr>
          <w:sz w:val="16"/>
          <w:szCs w:val="16"/>
        </w:rPr>
        <w:tab/>
        <w:t>Dept. Natural Resources</w:t>
      </w:r>
      <w:r>
        <w:rPr>
          <w:sz w:val="16"/>
          <w:szCs w:val="16"/>
        </w:rPr>
        <w:tab/>
        <w:t>Electric Competition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1995</w:t>
      </w:r>
      <w:r>
        <w:rPr>
          <w:sz w:val="16"/>
          <w:szCs w:val="16"/>
        </w:rPr>
        <w:tab/>
      </w:r>
      <w:r>
        <w:rPr>
          <w:sz w:val="16"/>
          <w:szCs w:val="16"/>
        </w:rPr>
        <w:tab/>
      </w:r>
      <w:r>
        <w:rPr>
          <w:sz w:val="16"/>
          <w:szCs w:val="16"/>
        </w:rPr>
        <w:tab/>
      </w:r>
      <w:r>
        <w:rPr>
          <w:sz w:val="16"/>
          <w:szCs w:val="16"/>
        </w:rPr>
        <w:tab/>
      </w:r>
      <w:r>
        <w:rPr>
          <w:sz w:val="16"/>
          <w:szCs w:val="16"/>
        </w:rPr>
        <w:tab/>
        <w:t>Incentive Regulation (oral only)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158.</w:t>
      </w:r>
      <w:r>
        <w:rPr>
          <w:sz w:val="16"/>
          <w:szCs w:val="16"/>
        </w:rPr>
        <w:tab/>
        <w:t>R-000943271</w:t>
      </w:r>
      <w:r>
        <w:rPr>
          <w:sz w:val="16"/>
          <w:szCs w:val="16"/>
        </w:rPr>
        <w:tab/>
        <w:t>Pennsylvania Power &amp;</w:t>
      </w:r>
      <w:r>
        <w:rPr>
          <w:sz w:val="16"/>
          <w:szCs w:val="16"/>
        </w:rPr>
        <w:tab/>
        <w:t>Pennsylvania</w:t>
      </w:r>
      <w:r>
        <w:rPr>
          <w:sz w:val="16"/>
          <w:szCs w:val="16"/>
        </w:rPr>
        <w:tab/>
        <w:t>Consumer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1995</w:t>
      </w:r>
      <w:r>
        <w:rPr>
          <w:sz w:val="16"/>
          <w:szCs w:val="16"/>
        </w:rPr>
        <w:tab/>
      </w:r>
      <w:r>
        <w:rPr>
          <w:sz w:val="16"/>
          <w:szCs w:val="16"/>
        </w:rPr>
        <w:tab/>
        <w:t>Light Company</w:t>
      </w:r>
      <w:r>
        <w:rPr>
          <w:sz w:val="16"/>
          <w:szCs w:val="16"/>
        </w:rPr>
        <w:tab/>
      </w:r>
      <w:r>
        <w:rPr>
          <w:sz w:val="16"/>
          <w:szCs w:val="16"/>
        </w:rPr>
        <w:tab/>
      </w:r>
      <w:r>
        <w:rPr>
          <w:sz w:val="16"/>
          <w:szCs w:val="16"/>
        </w:rPr>
        <w:tab/>
        <w:t>Nuclear decommissioning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Capacity Issues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159.</w:t>
      </w:r>
      <w:r>
        <w:rPr>
          <w:sz w:val="16"/>
          <w:szCs w:val="16"/>
        </w:rPr>
        <w:tab/>
        <w:t>U-20925</w:t>
      </w:r>
      <w:r>
        <w:rPr>
          <w:sz w:val="16"/>
          <w:szCs w:val="16"/>
        </w:rPr>
        <w:tab/>
        <w:t>Louisiana Power &amp;</w:t>
      </w:r>
      <w:r>
        <w:rPr>
          <w:sz w:val="16"/>
          <w:szCs w:val="16"/>
        </w:rPr>
        <w:tab/>
        <w:t>Louisiana</w:t>
      </w:r>
      <w:r>
        <w:rPr>
          <w:sz w:val="16"/>
          <w:szCs w:val="16"/>
        </w:rPr>
        <w:tab/>
        <w:t>Commission Staff</w:t>
      </w:r>
      <w:r>
        <w:rPr>
          <w:sz w:val="16"/>
          <w:szCs w:val="16"/>
        </w:rPr>
        <w:tab/>
        <w:t>Class Cost of Service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1995</w:t>
      </w:r>
      <w:r>
        <w:rPr>
          <w:sz w:val="16"/>
          <w:szCs w:val="16"/>
        </w:rPr>
        <w:tab/>
      </w:r>
      <w:r>
        <w:rPr>
          <w:sz w:val="16"/>
          <w:szCs w:val="16"/>
        </w:rPr>
        <w:tab/>
        <w:t>Light Company</w:t>
      </w:r>
      <w:r>
        <w:rPr>
          <w:sz w:val="16"/>
          <w:szCs w:val="16"/>
        </w:rPr>
        <w:tab/>
      </w:r>
      <w:r>
        <w:rPr>
          <w:sz w:val="16"/>
          <w:szCs w:val="16"/>
        </w:rPr>
        <w:tab/>
      </w:r>
      <w:r>
        <w:rPr>
          <w:sz w:val="16"/>
          <w:szCs w:val="16"/>
        </w:rPr>
        <w:tab/>
        <w:t>Issues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br w:type="page"/>
        <w:t>160.</w:t>
      </w:r>
      <w:r>
        <w:rPr>
          <w:sz w:val="16"/>
          <w:szCs w:val="16"/>
        </w:rPr>
        <w:tab/>
        <w:t>2290</w:t>
      </w:r>
      <w:r>
        <w:rPr>
          <w:sz w:val="16"/>
          <w:szCs w:val="16"/>
        </w:rPr>
        <w:tab/>
        <w:t>Narragansett</w:t>
      </w:r>
      <w:r>
        <w:rPr>
          <w:sz w:val="16"/>
          <w:szCs w:val="16"/>
        </w:rPr>
        <w:tab/>
        <w:t>Rhode Island</w:t>
      </w:r>
      <w:r>
        <w:rPr>
          <w:sz w:val="16"/>
          <w:szCs w:val="16"/>
        </w:rPr>
        <w:tab/>
        <w:t>Division Staff</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1995</w:t>
      </w:r>
      <w:r>
        <w:rPr>
          <w:sz w:val="16"/>
          <w:szCs w:val="16"/>
        </w:rPr>
        <w:tab/>
      </w:r>
      <w:r>
        <w:rPr>
          <w:sz w:val="16"/>
          <w:szCs w:val="16"/>
        </w:rPr>
        <w:tab/>
        <w:t>Electric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161.</w:t>
      </w:r>
      <w:r>
        <w:rPr>
          <w:sz w:val="16"/>
          <w:szCs w:val="16"/>
        </w:rPr>
        <w:tab/>
        <w:t>U-17949E</w:t>
      </w:r>
      <w:r>
        <w:rPr>
          <w:sz w:val="16"/>
          <w:szCs w:val="16"/>
        </w:rPr>
        <w:tab/>
        <w:t>South Central Bell</w:t>
      </w:r>
      <w:r>
        <w:rPr>
          <w:sz w:val="16"/>
          <w:szCs w:val="16"/>
        </w:rPr>
        <w:tab/>
        <w:t>Louisiana</w:t>
      </w:r>
      <w:r>
        <w:rPr>
          <w:sz w:val="16"/>
          <w:szCs w:val="16"/>
        </w:rPr>
        <w:tab/>
        <w:t>Commission Staff</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1995</w:t>
      </w:r>
      <w:r>
        <w:rPr>
          <w:sz w:val="16"/>
          <w:szCs w:val="16"/>
        </w:rPr>
        <w:tab/>
      </w:r>
      <w:r>
        <w:rPr>
          <w:sz w:val="16"/>
          <w:szCs w:val="16"/>
        </w:rPr>
        <w:tab/>
        <w:t>Telephone 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162.</w:t>
      </w:r>
      <w:r>
        <w:rPr>
          <w:sz w:val="16"/>
          <w:szCs w:val="16"/>
        </w:rPr>
        <w:tab/>
        <w:t>2304</w:t>
      </w:r>
      <w:r>
        <w:rPr>
          <w:sz w:val="16"/>
          <w:szCs w:val="16"/>
        </w:rPr>
        <w:tab/>
        <w:t>Providence Water Supply Board</w:t>
      </w:r>
      <w:r>
        <w:rPr>
          <w:sz w:val="16"/>
          <w:szCs w:val="16"/>
        </w:rPr>
        <w:tab/>
        <w:t>Rhode Island</w:t>
      </w:r>
      <w:r>
        <w:rPr>
          <w:sz w:val="16"/>
          <w:szCs w:val="16"/>
        </w:rPr>
        <w:tab/>
        <w:t>Division Staff</w:t>
      </w:r>
      <w:r>
        <w:rPr>
          <w:sz w:val="16"/>
          <w:szCs w:val="16"/>
        </w:rPr>
        <w:tab/>
        <w:t xml:space="preserve">Cost recovery of Capital Spending </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1995</w:t>
      </w:r>
      <w:r>
        <w:rPr>
          <w:sz w:val="16"/>
          <w:szCs w:val="16"/>
        </w:rPr>
        <w:tab/>
      </w:r>
      <w:r>
        <w:rPr>
          <w:sz w:val="16"/>
          <w:szCs w:val="16"/>
        </w:rPr>
        <w:tab/>
      </w:r>
      <w:r>
        <w:rPr>
          <w:sz w:val="16"/>
          <w:szCs w:val="16"/>
        </w:rPr>
        <w:tab/>
      </w:r>
      <w:r>
        <w:rPr>
          <w:sz w:val="16"/>
          <w:szCs w:val="16"/>
        </w:rPr>
        <w:tab/>
      </w:r>
      <w:r>
        <w:rPr>
          <w:sz w:val="16"/>
          <w:szCs w:val="16"/>
        </w:rPr>
        <w:tab/>
        <w:t>Program</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163.</w:t>
      </w:r>
      <w:r>
        <w:rPr>
          <w:sz w:val="16"/>
          <w:szCs w:val="16"/>
        </w:rPr>
        <w:tab/>
        <w:t xml:space="preserve">ER95-625-000, </w:t>
      </w:r>
      <w:r w:rsidRPr="0046743C">
        <w:rPr>
          <w:sz w:val="16"/>
          <w:szCs w:val="16"/>
        </w:rPr>
        <w:t>et al.</w:t>
      </w:r>
      <w:r>
        <w:rPr>
          <w:sz w:val="16"/>
          <w:szCs w:val="16"/>
        </w:rPr>
        <w:tab/>
        <w:t>PSI Energy, Inc.</w:t>
      </w:r>
      <w:r>
        <w:rPr>
          <w:sz w:val="16"/>
          <w:szCs w:val="16"/>
        </w:rPr>
        <w:tab/>
        <w:t>FERC</w:t>
      </w:r>
      <w:r>
        <w:rPr>
          <w:sz w:val="16"/>
          <w:szCs w:val="16"/>
        </w:rPr>
        <w:tab/>
        <w:t>Office of Utility Consumer Counselor</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1995</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164.</w:t>
      </w:r>
      <w:r>
        <w:rPr>
          <w:sz w:val="16"/>
          <w:szCs w:val="16"/>
        </w:rPr>
        <w:tab/>
        <w:t xml:space="preserve">P-00950915, </w:t>
      </w:r>
      <w:r w:rsidRPr="0046743C">
        <w:rPr>
          <w:sz w:val="16"/>
          <w:szCs w:val="16"/>
        </w:rPr>
        <w:t>et al.</w:t>
      </w:r>
      <w:r>
        <w:rPr>
          <w:sz w:val="16"/>
          <w:szCs w:val="16"/>
        </w:rPr>
        <w:tab/>
        <w:t>Paxton Creek</w:t>
      </w:r>
      <w:r>
        <w:rPr>
          <w:sz w:val="16"/>
          <w:szCs w:val="16"/>
        </w:rPr>
        <w:tab/>
        <w:t>Pennsylvania</w:t>
      </w:r>
      <w:r>
        <w:rPr>
          <w:sz w:val="16"/>
          <w:szCs w:val="16"/>
        </w:rPr>
        <w:tab/>
        <w:t>Office of Consumer Advocate</w:t>
      </w:r>
      <w:r>
        <w:rPr>
          <w:sz w:val="16"/>
          <w:szCs w:val="16"/>
        </w:rPr>
        <w:tab/>
        <w:t>Cogeneration Contract Amendment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September 1995</w:t>
      </w:r>
      <w:r>
        <w:rPr>
          <w:sz w:val="16"/>
          <w:szCs w:val="16"/>
        </w:rPr>
        <w:tab/>
      </w:r>
      <w:r>
        <w:rPr>
          <w:sz w:val="16"/>
          <w:szCs w:val="16"/>
        </w:rPr>
        <w:tab/>
        <w:t>Cogeneration Assoc.</w:t>
      </w:r>
      <w:r>
        <w:rPr>
          <w:sz w:val="16"/>
          <w:szCs w:val="16"/>
        </w:rPr>
        <w:tab/>
      </w:r>
      <w:r>
        <w:rPr>
          <w:sz w:val="16"/>
          <w:szCs w:val="16"/>
        </w:rPr>
        <w:tab/>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165.</w:t>
      </w:r>
      <w:r>
        <w:rPr>
          <w:sz w:val="16"/>
          <w:szCs w:val="16"/>
        </w:rPr>
        <w:tab/>
        <w:t>8702</w:t>
      </w:r>
      <w:r>
        <w:rPr>
          <w:sz w:val="16"/>
          <w:szCs w:val="16"/>
        </w:rPr>
        <w:tab/>
        <w:t>Potomac Edison Company</w:t>
      </w:r>
      <w:r>
        <w:rPr>
          <w:sz w:val="16"/>
          <w:szCs w:val="16"/>
        </w:rPr>
        <w:tab/>
        <w:t>Maryland</w:t>
      </w:r>
      <w:r>
        <w:rPr>
          <w:sz w:val="16"/>
          <w:szCs w:val="16"/>
        </w:rPr>
        <w:tab/>
        <w:t>Dept. of Natural Resources</w:t>
      </w:r>
      <w:r>
        <w:rPr>
          <w:sz w:val="16"/>
          <w:szCs w:val="16"/>
        </w:rPr>
        <w:tab/>
        <w:t>Allocation of DSM Costs (oral only)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September 1995</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166.</w:t>
      </w:r>
      <w:r>
        <w:rPr>
          <w:sz w:val="16"/>
          <w:szCs w:val="16"/>
        </w:rPr>
        <w:tab/>
        <w:t>ER95-533-001</w:t>
      </w:r>
      <w:r>
        <w:rPr>
          <w:sz w:val="16"/>
          <w:szCs w:val="16"/>
        </w:rPr>
        <w:tab/>
        <w:t>Ocean State Power</w:t>
      </w:r>
      <w:r>
        <w:rPr>
          <w:sz w:val="16"/>
          <w:szCs w:val="16"/>
        </w:rPr>
        <w:tab/>
        <w:t>FERC</w:t>
      </w:r>
      <w:r>
        <w:rPr>
          <w:sz w:val="16"/>
          <w:szCs w:val="16"/>
        </w:rPr>
        <w:tab/>
        <w:t>Boston Edison Co.</w:t>
      </w:r>
      <w:r>
        <w:rPr>
          <w:sz w:val="16"/>
          <w:szCs w:val="16"/>
        </w:rPr>
        <w:tab/>
        <w:t>Cost of Equity</w:t>
      </w:r>
    </w:p>
    <w:p w:rsidR="00F826FC" w:rsidRDefault="00F826FC" w:rsidP="00F826FC">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600"/>
        <w:rPr>
          <w:sz w:val="16"/>
          <w:szCs w:val="16"/>
        </w:rPr>
      </w:pPr>
      <w:r>
        <w:rPr>
          <w:sz w:val="16"/>
          <w:szCs w:val="16"/>
        </w:rPr>
        <w:t>September 1995</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167.</w:t>
      </w:r>
      <w:r>
        <w:rPr>
          <w:sz w:val="16"/>
          <w:szCs w:val="16"/>
        </w:rPr>
        <w:tab/>
        <w:t>40003</w:t>
      </w:r>
      <w:r>
        <w:rPr>
          <w:sz w:val="16"/>
          <w:szCs w:val="16"/>
        </w:rPr>
        <w:tab/>
        <w:t>PSI Energy, Inc.</w:t>
      </w:r>
      <w:r>
        <w:rPr>
          <w:sz w:val="16"/>
          <w:szCs w:val="16"/>
        </w:rPr>
        <w:tab/>
        <w:t>Indiana</w:t>
      </w:r>
      <w:r>
        <w:rPr>
          <w:sz w:val="16"/>
          <w:szCs w:val="16"/>
        </w:rPr>
        <w:tab/>
        <w:t>Utility Consumer Counselor</w:t>
      </w:r>
      <w:r>
        <w:rPr>
          <w:sz w:val="16"/>
          <w:szCs w:val="16"/>
        </w:rPr>
        <w:tab/>
        <w:t>Rate of Return</w:t>
      </w:r>
    </w:p>
    <w:p w:rsidR="00F826FC" w:rsidRDefault="00F826FC" w:rsidP="00F826FC">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10200" w:hanging="9600"/>
        <w:rPr>
          <w:sz w:val="16"/>
          <w:szCs w:val="16"/>
        </w:rPr>
      </w:pPr>
      <w:r>
        <w:rPr>
          <w:sz w:val="16"/>
          <w:szCs w:val="16"/>
        </w:rPr>
        <w:t>November 1995</w:t>
      </w:r>
      <w:r>
        <w:rPr>
          <w:sz w:val="16"/>
          <w:szCs w:val="16"/>
        </w:rPr>
        <w:tab/>
      </w:r>
      <w:r>
        <w:rPr>
          <w:sz w:val="16"/>
          <w:szCs w:val="16"/>
        </w:rPr>
        <w:tab/>
      </w:r>
      <w:r>
        <w:rPr>
          <w:sz w:val="16"/>
          <w:szCs w:val="16"/>
        </w:rPr>
        <w:tab/>
      </w:r>
      <w:r>
        <w:rPr>
          <w:sz w:val="16"/>
          <w:szCs w:val="16"/>
        </w:rPr>
        <w:tab/>
      </w:r>
      <w:r>
        <w:rPr>
          <w:sz w:val="16"/>
          <w:szCs w:val="16"/>
        </w:rPr>
        <w:tab/>
        <w:t>Retail wheeling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168.</w:t>
      </w:r>
      <w:r>
        <w:rPr>
          <w:sz w:val="16"/>
          <w:szCs w:val="16"/>
        </w:rPr>
        <w:tab/>
        <w:t>P-55, SUB 1013</w:t>
      </w:r>
      <w:r>
        <w:rPr>
          <w:sz w:val="16"/>
          <w:szCs w:val="16"/>
        </w:rPr>
        <w:tab/>
        <w:t>BellSouth</w:t>
      </w:r>
      <w:r>
        <w:rPr>
          <w:sz w:val="16"/>
          <w:szCs w:val="16"/>
        </w:rPr>
        <w:tab/>
        <w:t>North Carolina</w:t>
      </w:r>
      <w:r>
        <w:rPr>
          <w:sz w:val="16"/>
          <w:szCs w:val="16"/>
        </w:rPr>
        <w:tab/>
        <w:t>AT&amp;T</w:t>
      </w:r>
      <w:r>
        <w:rPr>
          <w:sz w:val="16"/>
          <w:szCs w:val="16"/>
        </w:rPr>
        <w:tab/>
        <w:t>Rate of Return</w:t>
      </w:r>
    </w:p>
    <w:p w:rsidR="00F826FC" w:rsidRDefault="00F826FC" w:rsidP="00F826FC">
      <w:pPr>
        <w:keepNext/>
        <w:keepLines/>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January 1996</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169.</w:t>
      </w:r>
      <w:r>
        <w:rPr>
          <w:sz w:val="16"/>
          <w:szCs w:val="16"/>
        </w:rPr>
        <w:tab/>
        <w:t>P-7, SUB 825</w:t>
      </w:r>
      <w:r>
        <w:rPr>
          <w:sz w:val="16"/>
          <w:szCs w:val="16"/>
        </w:rPr>
        <w:tab/>
        <w:t>Carolina Tel.</w:t>
      </w:r>
      <w:r>
        <w:rPr>
          <w:sz w:val="16"/>
          <w:szCs w:val="16"/>
        </w:rPr>
        <w:tab/>
        <w:t>North Carolina</w:t>
      </w:r>
      <w:r>
        <w:rPr>
          <w:sz w:val="16"/>
          <w:szCs w:val="16"/>
        </w:rPr>
        <w:tab/>
        <w:t>AT&amp;T</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January 1996</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170.</w:t>
      </w:r>
      <w:r>
        <w:rPr>
          <w:sz w:val="16"/>
          <w:szCs w:val="16"/>
        </w:rPr>
        <w:tab/>
        <w:t>February 1996</w:t>
      </w:r>
      <w:r>
        <w:rPr>
          <w:sz w:val="16"/>
          <w:szCs w:val="16"/>
        </w:rPr>
        <w:tab/>
        <w:t>Generic Telephone</w:t>
      </w:r>
      <w:r>
        <w:rPr>
          <w:sz w:val="16"/>
          <w:szCs w:val="16"/>
        </w:rPr>
        <w:tab/>
        <w:t>FCC</w:t>
      </w:r>
      <w:r>
        <w:rPr>
          <w:sz w:val="16"/>
          <w:szCs w:val="16"/>
        </w:rPr>
        <w:tab/>
        <w:t>MCI</w:t>
      </w:r>
      <w:r>
        <w:rPr>
          <w:sz w:val="16"/>
          <w:szCs w:val="16"/>
        </w:rPr>
        <w:tab/>
        <w:t>Cost of capital</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171.</w:t>
      </w:r>
      <w:r>
        <w:rPr>
          <w:sz w:val="16"/>
          <w:szCs w:val="16"/>
        </w:rPr>
        <w:tab/>
        <w:t>95A-531EG</w:t>
      </w:r>
      <w:r>
        <w:rPr>
          <w:sz w:val="16"/>
          <w:szCs w:val="16"/>
        </w:rPr>
        <w:tab/>
        <w:t>Public Service Company</w:t>
      </w:r>
      <w:r>
        <w:rPr>
          <w:sz w:val="16"/>
          <w:szCs w:val="16"/>
        </w:rPr>
        <w:tab/>
        <w:t>Colorado</w:t>
      </w:r>
      <w:r>
        <w:rPr>
          <w:sz w:val="16"/>
          <w:szCs w:val="16"/>
        </w:rPr>
        <w:tab/>
        <w:t>Federal Executive Agencies</w:t>
      </w:r>
      <w:r>
        <w:rPr>
          <w:sz w:val="16"/>
          <w:szCs w:val="16"/>
        </w:rPr>
        <w:tab/>
        <w:t>Merger issues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1996</w:t>
      </w:r>
      <w:r>
        <w:rPr>
          <w:sz w:val="16"/>
          <w:szCs w:val="16"/>
        </w:rPr>
        <w:tab/>
      </w:r>
      <w:r>
        <w:rPr>
          <w:sz w:val="16"/>
          <w:szCs w:val="16"/>
        </w:rPr>
        <w:tab/>
        <w:t>of Colorado</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172.</w:t>
      </w:r>
      <w:r>
        <w:rPr>
          <w:sz w:val="16"/>
          <w:szCs w:val="16"/>
        </w:rPr>
        <w:tab/>
        <w:t>ER96-399-000</w:t>
      </w:r>
      <w:r>
        <w:rPr>
          <w:sz w:val="16"/>
          <w:szCs w:val="16"/>
        </w:rPr>
        <w:tab/>
        <w:t>Northern Indiana Public</w:t>
      </w:r>
      <w:r>
        <w:rPr>
          <w:sz w:val="16"/>
          <w:szCs w:val="16"/>
        </w:rPr>
        <w:tab/>
        <w:t>FERC</w:t>
      </w:r>
      <w:r>
        <w:rPr>
          <w:sz w:val="16"/>
          <w:szCs w:val="16"/>
        </w:rPr>
        <w:tab/>
        <w:t>Indiana Office of Utility</w:t>
      </w:r>
      <w:r>
        <w:rPr>
          <w:sz w:val="16"/>
          <w:szCs w:val="16"/>
        </w:rPr>
        <w:tab/>
        <w:t>Cost of capital</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1996</w:t>
      </w:r>
      <w:r>
        <w:rPr>
          <w:sz w:val="16"/>
          <w:szCs w:val="16"/>
        </w:rPr>
        <w:tab/>
      </w:r>
      <w:r>
        <w:rPr>
          <w:sz w:val="16"/>
          <w:szCs w:val="16"/>
        </w:rPr>
        <w:tab/>
        <w:t>Service Company</w:t>
      </w:r>
      <w:r>
        <w:rPr>
          <w:sz w:val="16"/>
          <w:szCs w:val="16"/>
        </w:rPr>
        <w:tab/>
      </w:r>
      <w:r>
        <w:rPr>
          <w:sz w:val="16"/>
          <w:szCs w:val="16"/>
        </w:rPr>
        <w:tab/>
        <w:t>Consumer Counselor</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173.</w:t>
      </w:r>
      <w:r>
        <w:rPr>
          <w:sz w:val="16"/>
          <w:szCs w:val="16"/>
        </w:rPr>
        <w:tab/>
        <w:t>8716</w:t>
      </w:r>
      <w:r>
        <w:rPr>
          <w:sz w:val="16"/>
          <w:szCs w:val="16"/>
        </w:rPr>
        <w:tab/>
        <w:t>Delmarva Power &amp; Light</w:t>
      </w:r>
      <w:r>
        <w:rPr>
          <w:sz w:val="16"/>
          <w:szCs w:val="16"/>
        </w:rPr>
        <w:tab/>
        <w:t>Maryland</w:t>
      </w:r>
      <w:r>
        <w:rPr>
          <w:sz w:val="16"/>
          <w:szCs w:val="16"/>
        </w:rPr>
        <w:tab/>
        <w:t>Dept. of Natural Resources</w:t>
      </w:r>
      <w:r>
        <w:rPr>
          <w:sz w:val="16"/>
          <w:szCs w:val="16"/>
        </w:rPr>
        <w:tab/>
        <w:t>DSM programs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1996</w:t>
      </w:r>
      <w:r>
        <w:rPr>
          <w:sz w:val="16"/>
          <w:szCs w:val="16"/>
        </w:rPr>
        <w:tab/>
      </w:r>
      <w:r>
        <w:rPr>
          <w:sz w:val="16"/>
          <w:szCs w:val="16"/>
        </w:rPr>
        <w:tab/>
        <w:t>Company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174.</w:t>
      </w:r>
      <w:r>
        <w:rPr>
          <w:sz w:val="16"/>
          <w:szCs w:val="16"/>
        </w:rPr>
        <w:tab/>
        <w:t>8725</w:t>
      </w:r>
      <w:r>
        <w:rPr>
          <w:sz w:val="16"/>
          <w:szCs w:val="16"/>
        </w:rPr>
        <w:tab/>
        <w:t>BGE/PEPCO</w:t>
      </w:r>
      <w:r>
        <w:rPr>
          <w:sz w:val="16"/>
          <w:szCs w:val="16"/>
        </w:rPr>
        <w:tab/>
        <w:t>Maryland</w:t>
      </w:r>
      <w:r>
        <w:rPr>
          <w:sz w:val="16"/>
          <w:szCs w:val="16"/>
        </w:rPr>
        <w:tab/>
        <w:t>Md. Energy Admin.</w:t>
      </w:r>
      <w:r>
        <w:rPr>
          <w:sz w:val="16"/>
          <w:szCs w:val="16"/>
        </w:rPr>
        <w:tab/>
        <w:t>Merger Issues</w:t>
      </w:r>
    </w:p>
    <w:p w:rsidR="00F826FC" w:rsidRDefault="00F826FC" w:rsidP="00F826FC">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600"/>
        <w:rPr>
          <w:sz w:val="16"/>
          <w:szCs w:val="16"/>
        </w:rPr>
      </w:pPr>
      <w:r>
        <w:rPr>
          <w:sz w:val="16"/>
          <w:szCs w:val="16"/>
        </w:rPr>
        <w:t>July 1996</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br w:type="page"/>
        <w:t>175.</w:t>
      </w:r>
      <w:r>
        <w:rPr>
          <w:sz w:val="16"/>
          <w:szCs w:val="16"/>
        </w:rPr>
        <w:tab/>
        <w:t>U-20925</w:t>
      </w:r>
      <w:r>
        <w:rPr>
          <w:sz w:val="16"/>
          <w:szCs w:val="16"/>
        </w:rPr>
        <w:tab/>
        <w:t>Entergy Louisiana, Inc.</w:t>
      </w:r>
      <w:r>
        <w:rPr>
          <w:sz w:val="16"/>
          <w:szCs w:val="16"/>
        </w:rPr>
        <w:tab/>
        <w:t>Louisiana</w:t>
      </w:r>
      <w:r>
        <w:rPr>
          <w:sz w:val="16"/>
          <w:szCs w:val="16"/>
        </w:rPr>
        <w:tab/>
        <w:t>PSC Staff</w:t>
      </w:r>
      <w:r>
        <w:rPr>
          <w:sz w:val="16"/>
          <w:szCs w:val="16"/>
        </w:rPr>
        <w:tab/>
        <w:t>Rate of Return</w:t>
      </w:r>
    </w:p>
    <w:p w:rsidR="00F826FC" w:rsidRDefault="00F826FC" w:rsidP="00F826FC">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10200" w:hanging="9600"/>
        <w:rPr>
          <w:sz w:val="16"/>
          <w:szCs w:val="16"/>
        </w:rPr>
      </w:pPr>
      <w:r>
        <w:rPr>
          <w:sz w:val="16"/>
          <w:szCs w:val="16"/>
        </w:rPr>
        <w:t>August 1996</w:t>
      </w:r>
      <w:r>
        <w:rPr>
          <w:sz w:val="16"/>
          <w:szCs w:val="16"/>
        </w:rPr>
        <w:tab/>
      </w:r>
      <w:r>
        <w:rPr>
          <w:sz w:val="16"/>
          <w:szCs w:val="16"/>
        </w:rPr>
        <w:tab/>
      </w:r>
      <w:r>
        <w:rPr>
          <w:sz w:val="16"/>
          <w:szCs w:val="16"/>
        </w:rPr>
        <w:tab/>
      </w:r>
      <w:r>
        <w:rPr>
          <w:sz w:val="16"/>
          <w:szCs w:val="16"/>
        </w:rPr>
        <w:tab/>
      </w:r>
      <w:r>
        <w:rPr>
          <w:sz w:val="16"/>
          <w:szCs w:val="16"/>
        </w:rPr>
        <w:tab/>
        <w:t>Allocations</w:t>
      </w:r>
    </w:p>
    <w:p w:rsidR="00F826FC" w:rsidRDefault="00F826FC" w:rsidP="00F826FC">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10200"/>
        <w:rPr>
          <w:sz w:val="16"/>
          <w:szCs w:val="16"/>
        </w:rPr>
      </w:pPr>
      <w:r>
        <w:rPr>
          <w:sz w:val="16"/>
          <w:szCs w:val="16"/>
        </w:rPr>
        <w:t>Fuel Clause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176.</w:t>
      </w:r>
      <w:r>
        <w:rPr>
          <w:sz w:val="16"/>
          <w:szCs w:val="16"/>
        </w:rPr>
        <w:tab/>
        <w:t>EC96-10-000</w:t>
      </w:r>
      <w:r>
        <w:rPr>
          <w:sz w:val="16"/>
          <w:szCs w:val="16"/>
        </w:rPr>
        <w:tab/>
        <w:t>BGE/PEPCO</w:t>
      </w:r>
      <w:r>
        <w:rPr>
          <w:sz w:val="16"/>
          <w:szCs w:val="16"/>
        </w:rPr>
        <w:tab/>
        <w:t>FERC</w:t>
      </w:r>
      <w:r>
        <w:rPr>
          <w:sz w:val="16"/>
          <w:szCs w:val="16"/>
        </w:rPr>
        <w:tab/>
        <w:t>Md. Energy Admin.</w:t>
      </w:r>
      <w:r>
        <w:rPr>
          <w:sz w:val="16"/>
          <w:szCs w:val="16"/>
        </w:rPr>
        <w:tab/>
        <w:t>Merger issues</w:t>
      </w:r>
    </w:p>
    <w:p w:rsidR="00F826FC" w:rsidRDefault="00F826FC" w:rsidP="00F826FC">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10200" w:hanging="9600"/>
        <w:rPr>
          <w:sz w:val="16"/>
          <w:szCs w:val="16"/>
        </w:rPr>
      </w:pPr>
      <w:r>
        <w:rPr>
          <w:sz w:val="16"/>
          <w:szCs w:val="16"/>
        </w:rPr>
        <w:t>September 1996</w:t>
      </w:r>
      <w:r>
        <w:rPr>
          <w:sz w:val="16"/>
          <w:szCs w:val="16"/>
        </w:rPr>
        <w:tab/>
      </w:r>
      <w:r>
        <w:rPr>
          <w:sz w:val="16"/>
          <w:szCs w:val="16"/>
        </w:rPr>
        <w:tab/>
      </w:r>
      <w:r>
        <w:rPr>
          <w:sz w:val="16"/>
          <w:szCs w:val="16"/>
        </w:rPr>
        <w:tab/>
      </w:r>
      <w:r>
        <w:rPr>
          <w:sz w:val="16"/>
          <w:szCs w:val="16"/>
        </w:rPr>
        <w:tab/>
      </w:r>
      <w:r>
        <w:rPr>
          <w:sz w:val="16"/>
          <w:szCs w:val="16"/>
        </w:rPr>
        <w:tab/>
        <w:t>competition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177.</w:t>
      </w:r>
      <w:r>
        <w:rPr>
          <w:sz w:val="16"/>
          <w:szCs w:val="16"/>
        </w:rPr>
        <w:tab/>
        <w:t>EL95-53-000</w:t>
      </w:r>
      <w:r>
        <w:rPr>
          <w:sz w:val="16"/>
          <w:szCs w:val="16"/>
        </w:rPr>
        <w:tab/>
        <w:t>Entergy Services, Inc.</w:t>
      </w:r>
      <w:r>
        <w:rPr>
          <w:sz w:val="16"/>
          <w:szCs w:val="16"/>
        </w:rPr>
        <w:tab/>
        <w:t>FERC</w:t>
      </w:r>
      <w:r>
        <w:rPr>
          <w:sz w:val="16"/>
          <w:szCs w:val="16"/>
        </w:rPr>
        <w:tab/>
        <w:t>Louisiana PSC</w:t>
      </w:r>
      <w:r>
        <w:rPr>
          <w:sz w:val="16"/>
          <w:szCs w:val="16"/>
        </w:rPr>
        <w:tab/>
        <w:t>Nuclear Decommissioning</w:t>
      </w:r>
    </w:p>
    <w:p w:rsidR="00F826FC" w:rsidRDefault="00F826FC" w:rsidP="00F826FC">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600"/>
        <w:rPr>
          <w:sz w:val="16"/>
          <w:szCs w:val="16"/>
        </w:rPr>
      </w:pPr>
      <w:r>
        <w:rPr>
          <w:sz w:val="16"/>
          <w:szCs w:val="16"/>
        </w:rPr>
        <w:t>November 1996</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178.</w:t>
      </w:r>
      <w:r>
        <w:rPr>
          <w:sz w:val="16"/>
          <w:szCs w:val="16"/>
        </w:rPr>
        <w:tab/>
        <w:t>WR96100768</w:t>
      </w:r>
      <w:r>
        <w:rPr>
          <w:sz w:val="16"/>
          <w:szCs w:val="16"/>
        </w:rPr>
        <w:tab/>
        <w:t>Consumers NJ Water Company</w:t>
      </w:r>
      <w:r>
        <w:rPr>
          <w:sz w:val="16"/>
          <w:szCs w:val="16"/>
        </w:rPr>
        <w:tab/>
        <w:t>New Jersey</w:t>
      </w:r>
      <w:r>
        <w:rPr>
          <w:sz w:val="16"/>
          <w:szCs w:val="16"/>
        </w:rPr>
        <w:tab/>
        <w:t>Ratepayer Advocate</w:t>
      </w:r>
      <w:r>
        <w:rPr>
          <w:sz w:val="16"/>
          <w:szCs w:val="16"/>
        </w:rPr>
        <w:tab/>
        <w:t>Cost of Capital</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1997</w:t>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179.</w:t>
      </w:r>
      <w:r>
        <w:rPr>
          <w:sz w:val="16"/>
          <w:szCs w:val="16"/>
        </w:rPr>
        <w:tab/>
        <w:t>WR96110818</w:t>
      </w:r>
      <w:r>
        <w:rPr>
          <w:sz w:val="16"/>
          <w:szCs w:val="16"/>
        </w:rPr>
        <w:tab/>
        <w:t>Middlesex Water Co.</w:t>
      </w:r>
      <w:r>
        <w:rPr>
          <w:sz w:val="16"/>
          <w:szCs w:val="16"/>
        </w:rPr>
        <w:tab/>
        <w:t>New Jersey</w:t>
      </w:r>
      <w:r>
        <w:rPr>
          <w:sz w:val="16"/>
          <w:szCs w:val="16"/>
        </w:rPr>
        <w:tab/>
        <w:t>Ratepayer Advocate</w:t>
      </w:r>
      <w:r>
        <w:rPr>
          <w:sz w:val="16"/>
          <w:szCs w:val="16"/>
        </w:rPr>
        <w:tab/>
        <w:t>Cost of Capital</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1997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180.</w:t>
      </w:r>
      <w:r>
        <w:rPr>
          <w:sz w:val="16"/>
          <w:szCs w:val="16"/>
        </w:rPr>
        <w:tab/>
        <w:t>U-11366</w:t>
      </w:r>
      <w:r>
        <w:rPr>
          <w:sz w:val="16"/>
          <w:szCs w:val="16"/>
        </w:rPr>
        <w:tab/>
        <w:t xml:space="preserve">Ameritech Michigan </w:t>
      </w:r>
      <w:r>
        <w:rPr>
          <w:sz w:val="16"/>
          <w:szCs w:val="16"/>
        </w:rPr>
        <w:tab/>
        <w:t>Michigan</w:t>
      </w:r>
      <w:r>
        <w:rPr>
          <w:sz w:val="16"/>
          <w:szCs w:val="16"/>
        </w:rPr>
        <w:tab/>
        <w:t>MCI</w:t>
      </w:r>
      <w:r>
        <w:rPr>
          <w:sz w:val="16"/>
          <w:szCs w:val="16"/>
        </w:rPr>
        <w:tab/>
        <w:t>Access charge reform/financial condition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1997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181.</w:t>
      </w:r>
      <w:r>
        <w:rPr>
          <w:sz w:val="16"/>
          <w:szCs w:val="16"/>
        </w:rPr>
        <w:tab/>
        <w:t>97-074</w:t>
      </w:r>
      <w:r>
        <w:rPr>
          <w:sz w:val="16"/>
          <w:szCs w:val="16"/>
        </w:rPr>
        <w:tab/>
        <w:t>BellSouth</w:t>
      </w:r>
      <w:r>
        <w:rPr>
          <w:sz w:val="16"/>
          <w:szCs w:val="16"/>
        </w:rPr>
        <w:tab/>
        <w:t>Kentucky</w:t>
      </w:r>
      <w:r>
        <w:rPr>
          <w:sz w:val="16"/>
          <w:szCs w:val="16"/>
        </w:rPr>
        <w:tab/>
        <w:t xml:space="preserve">MCI </w:t>
      </w:r>
      <w:r>
        <w:rPr>
          <w:sz w:val="16"/>
          <w:szCs w:val="16"/>
        </w:rPr>
        <w:tab/>
        <w:t>Rate Rebalancing financial condition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keepNext/>
        <w:keepLines/>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182.</w:t>
      </w:r>
      <w:r>
        <w:rPr>
          <w:sz w:val="16"/>
          <w:szCs w:val="16"/>
        </w:rPr>
        <w:tab/>
        <w:t>2540</w:t>
      </w:r>
      <w:r>
        <w:rPr>
          <w:sz w:val="16"/>
          <w:szCs w:val="16"/>
        </w:rPr>
        <w:tab/>
        <w:t>New England Power</w:t>
      </w:r>
      <w:r>
        <w:rPr>
          <w:sz w:val="16"/>
          <w:szCs w:val="16"/>
        </w:rPr>
        <w:tab/>
        <w:t>Rhode Island</w:t>
      </w:r>
      <w:r>
        <w:rPr>
          <w:sz w:val="16"/>
          <w:szCs w:val="16"/>
        </w:rPr>
        <w:tab/>
        <w:t>PUC Staff</w:t>
      </w:r>
      <w:r>
        <w:rPr>
          <w:sz w:val="16"/>
          <w:szCs w:val="16"/>
        </w:rPr>
        <w:tab/>
        <w:t>Divestiture Plan</w:t>
      </w:r>
    </w:p>
    <w:p w:rsidR="00F826FC" w:rsidRDefault="00F826FC" w:rsidP="00F826FC">
      <w:pPr>
        <w:keepNext/>
        <w:keepLines/>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1997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183.</w:t>
      </w:r>
      <w:r>
        <w:rPr>
          <w:sz w:val="16"/>
          <w:szCs w:val="16"/>
        </w:rPr>
        <w:tab/>
        <w:t>96-336-TP-CSS</w:t>
      </w:r>
      <w:r>
        <w:rPr>
          <w:sz w:val="16"/>
          <w:szCs w:val="16"/>
        </w:rPr>
        <w:tab/>
        <w:t>Ameritech Ohio</w:t>
      </w:r>
      <w:r>
        <w:rPr>
          <w:sz w:val="16"/>
          <w:szCs w:val="16"/>
        </w:rPr>
        <w:tab/>
        <w:t>Ohio</w:t>
      </w:r>
      <w:r>
        <w:rPr>
          <w:sz w:val="16"/>
          <w:szCs w:val="16"/>
        </w:rPr>
        <w:tab/>
        <w:t>MCI</w:t>
      </w:r>
      <w:r>
        <w:rPr>
          <w:sz w:val="16"/>
          <w:szCs w:val="16"/>
        </w:rPr>
        <w:tab/>
        <w:t>Access Charge reform</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1997</w:t>
      </w:r>
      <w:r>
        <w:rPr>
          <w:sz w:val="16"/>
          <w:szCs w:val="16"/>
        </w:rPr>
        <w:tab/>
      </w:r>
      <w:r>
        <w:rPr>
          <w:sz w:val="16"/>
          <w:szCs w:val="16"/>
        </w:rPr>
        <w:tab/>
      </w:r>
      <w:r>
        <w:rPr>
          <w:sz w:val="16"/>
          <w:szCs w:val="16"/>
        </w:rPr>
        <w:tab/>
      </w:r>
      <w:r>
        <w:rPr>
          <w:sz w:val="16"/>
          <w:szCs w:val="16"/>
        </w:rPr>
        <w:tab/>
      </w:r>
      <w:r>
        <w:rPr>
          <w:sz w:val="16"/>
          <w:szCs w:val="16"/>
        </w:rPr>
        <w:tab/>
        <w:t>Economic impacts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184.</w:t>
      </w:r>
      <w:r>
        <w:rPr>
          <w:sz w:val="16"/>
          <w:szCs w:val="16"/>
        </w:rPr>
        <w:tab/>
        <w:t>WR97010052</w:t>
      </w:r>
      <w:r>
        <w:rPr>
          <w:sz w:val="16"/>
          <w:szCs w:val="16"/>
        </w:rPr>
        <w:tab/>
        <w:t>Maxim Sewerage Corp.</w:t>
      </w:r>
      <w:r>
        <w:rPr>
          <w:sz w:val="16"/>
          <w:szCs w:val="16"/>
        </w:rPr>
        <w:tab/>
        <w:t>New Jersey</w:t>
      </w:r>
      <w:r>
        <w:rPr>
          <w:sz w:val="16"/>
          <w:szCs w:val="16"/>
        </w:rPr>
        <w:tab/>
        <w:t>Ratepayer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1997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185.</w:t>
      </w:r>
      <w:r>
        <w:rPr>
          <w:sz w:val="16"/>
          <w:szCs w:val="16"/>
        </w:rPr>
        <w:tab/>
        <w:t>97-300</w:t>
      </w:r>
      <w:r>
        <w:rPr>
          <w:sz w:val="16"/>
          <w:szCs w:val="16"/>
        </w:rPr>
        <w:tab/>
        <w:t>LG&amp;E/KU</w:t>
      </w:r>
      <w:r>
        <w:rPr>
          <w:sz w:val="16"/>
          <w:szCs w:val="16"/>
        </w:rPr>
        <w:tab/>
        <w:t>Kentucky</w:t>
      </w:r>
      <w:r>
        <w:rPr>
          <w:sz w:val="16"/>
          <w:szCs w:val="16"/>
        </w:rPr>
        <w:tab/>
        <w:t>Attorney General</w:t>
      </w:r>
      <w:r>
        <w:rPr>
          <w:sz w:val="16"/>
          <w:szCs w:val="16"/>
        </w:rPr>
        <w:tab/>
        <w:t>Merger Plan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1997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186.</w:t>
      </w:r>
      <w:r>
        <w:rPr>
          <w:sz w:val="16"/>
          <w:szCs w:val="16"/>
        </w:rPr>
        <w:tab/>
        <w:t>Case No. 8738</w:t>
      </w:r>
      <w:r>
        <w:rPr>
          <w:sz w:val="16"/>
          <w:szCs w:val="16"/>
        </w:rPr>
        <w:tab/>
        <w:t>Generic</w:t>
      </w:r>
      <w:r>
        <w:rPr>
          <w:sz w:val="16"/>
          <w:szCs w:val="16"/>
        </w:rPr>
        <w:tab/>
        <w:t>Maryland</w:t>
      </w:r>
      <w:r>
        <w:rPr>
          <w:sz w:val="16"/>
          <w:szCs w:val="16"/>
        </w:rPr>
        <w:tab/>
        <w:t>Dept. of Natural Resources</w:t>
      </w:r>
      <w:r>
        <w:rPr>
          <w:sz w:val="16"/>
          <w:szCs w:val="16"/>
        </w:rPr>
        <w:tab/>
        <w:t>Electric Restructuring Policy</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1997</w:t>
      </w:r>
      <w:r>
        <w:rPr>
          <w:sz w:val="16"/>
          <w:szCs w:val="16"/>
        </w:rPr>
        <w:tab/>
        <w:t>(oral testimony only)</w:t>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187.</w:t>
      </w:r>
      <w:r>
        <w:rPr>
          <w:sz w:val="16"/>
          <w:szCs w:val="16"/>
        </w:rPr>
        <w:tab/>
        <w:t>Docket No. 2592</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September 1997</w:t>
      </w:r>
      <w:r>
        <w:rPr>
          <w:sz w:val="16"/>
          <w:szCs w:val="16"/>
        </w:rPr>
        <w:tab/>
        <w:t>Eastern Utilities</w:t>
      </w:r>
      <w:r>
        <w:rPr>
          <w:sz w:val="16"/>
          <w:szCs w:val="16"/>
        </w:rPr>
        <w:tab/>
        <w:t>Rhode Island</w:t>
      </w:r>
      <w:r>
        <w:rPr>
          <w:sz w:val="16"/>
          <w:szCs w:val="16"/>
        </w:rPr>
        <w:tab/>
        <w:t>PUC Staff</w:t>
      </w:r>
      <w:r>
        <w:rPr>
          <w:sz w:val="16"/>
          <w:szCs w:val="16"/>
        </w:rPr>
        <w:tab/>
        <w:t>Generation Divestiture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188.</w:t>
      </w:r>
      <w:r>
        <w:rPr>
          <w:sz w:val="16"/>
          <w:szCs w:val="16"/>
        </w:rPr>
        <w:tab/>
        <w:t>Case No.97-247</w:t>
      </w:r>
      <w:r>
        <w:rPr>
          <w:sz w:val="16"/>
          <w:szCs w:val="16"/>
        </w:rPr>
        <w:tab/>
        <w:t>Cincinnati Bell Telephone</w:t>
      </w:r>
      <w:r>
        <w:rPr>
          <w:sz w:val="16"/>
          <w:szCs w:val="16"/>
        </w:rPr>
        <w:tab/>
        <w:t xml:space="preserve">Kentucky </w:t>
      </w:r>
      <w:r>
        <w:rPr>
          <w:sz w:val="16"/>
          <w:szCs w:val="16"/>
        </w:rPr>
        <w:tab/>
        <w:t>MCI</w:t>
      </w:r>
      <w:r>
        <w:rPr>
          <w:sz w:val="16"/>
          <w:szCs w:val="16"/>
        </w:rPr>
        <w:tab/>
        <w:t>Financial Condition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September 1997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br w:type="page"/>
        <w:t>189.</w:t>
      </w:r>
      <w:r>
        <w:rPr>
          <w:sz w:val="16"/>
          <w:szCs w:val="16"/>
        </w:rPr>
        <w:tab/>
        <w:t>Docket No. U-20925</w:t>
      </w:r>
      <w:r>
        <w:rPr>
          <w:sz w:val="16"/>
          <w:szCs w:val="16"/>
        </w:rPr>
        <w:tab/>
        <w:t xml:space="preserve">Entergy Louisiana </w:t>
      </w:r>
      <w:r>
        <w:rPr>
          <w:sz w:val="16"/>
          <w:szCs w:val="16"/>
        </w:rPr>
        <w:tab/>
        <w:t xml:space="preserve">Louisiana </w:t>
      </w:r>
      <w:r>
        <w:rPr>
          <w:sz w:val="16"/>
          <w:szCs w:val="16"/>
        </w:rPr>
        <w:tab/>
        <w:t>PSC Staff</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1997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190.</w:t>
      </w:r>
      <w:r>
        <w:rPr>
          <w:sz w:val="16"/>
          <w:szCs w:val="16"/>
        </w:rPr>
        <w:tab/>
        <w:t>Docket No. D97.7.90</w:t>
      </w:r>
      <w:r>
        <w:rPr>
          <w:sz w:val="16"/>
          <w:szCs w:val="16"/>
        </w:rPr>
        <w:tab/>
        <w:t>Montana Power Co.</w:t>
      </w:r>
      <w:r>
        <w:rPr>
          <w:sz w:val="16"/>
          <w:szCs w:val="16"/>
        </w:rPr>
        <w:tab/>
        <w:t>Montana</w:t>
      </w:r>
      <w:r>
        <w:rPr>
          <w:sz w:val="16"/>
          <w:szCs w:val="16"/>
        </w:rPr>
        <w:tab/>
        <w:t>Montana Consumers Counsel</w:t>
      </w:r>
      <w:r>
        <w:rPr>
          <w:sz w:val="16"/>
          <w:szCs w:val="16"/>
        </w:rPr>
        <w:tab/>
        <w:t>Stranded Cost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1997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191.</w:t>
      </w:r>
      <w:r>
        <w:rPr>
          <w:sz w:val="16"/>
          <w:szCs w:val="16"/>
        </w:rPr>
        <w:tab/>
        <w:t>Docket No. EO97070459</w:t>
      </w:r>
      <w:r>
        <w:rPr>
          <w:sz w:val="16"/>
          <w:szCs w:val="16"/>
        </w:rPr>
        <w:tab/>
        <w:t>Jersey Central Power &amp; Light Co.</w:t>
      </w:r>
      <w:r>
        <w:rPr>
          <w:sz w:val="16"/>
          <w:szCs w:val="16"/>
        </w:rPr>
        <w:tab/>
        <w:t>New Jersey</w:t>
      </w:r>
      <w:r>
        <w:rPr>
          <w:sz w:val="16"/>
          <w:szCs w:val="16"/>
        </w:rPr>
        <w:tab/>
        <w:t>Ratepayer Advocate</w:t>
      </w:r>
      <w:r>
        <w:rPr>
          <w:sz w:val="16"/>
          <w:szCs w:val="16"/>
        </w:rPr>
        <w:tab/>
        <w:t>Stranded Cost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1997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192.</w:t>
      </w:r>
      <w:r>
        <w:rPr>
          <w:sz w:val="16"/>
          <w:szCs w:val="16"/>
        </w:rPr>
        <w:tab/>
        <w:t>Docket No. R-00974104</w:t>
      </w:r>
      <w:r>
        <w:rPr>
          <w:sz w:val="16"/>
          <w:szCs w:val="16"/>
        </w:rPr>
        <w:tab/>
        <w:t>Duquesne Light Co.</w:t>
      </w:r>
      <w:r>
        <w:rPr>
          <w:sz w:val="16"/>
          <w:szCs w:val="16"/>
        </w:rPr>
        <w:tab/>
        <w:t>Pennsylvania</w:t>
      </w:r>
      <w:r>
        <w:rPr>
          <w:sz w:val="16"/>
          <w:szCs w:val="16"/>
        </w:rPr>
        <w:tab/>
        <w:t>Office of Consumer Advocate</w:t>
      </w:r>
      <w:r>
        <w:rPr>
          <w:sz w:val="16"/>
          <w:szCs w:val="16"/>
        </w:rPr>
        <w:tab/>
        <w:t>Stranded Cost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1997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193.</w:t>
      </w:r>
      <w:r>
        <w:rPr>
          <w:sz w:val="16"/>
          <w:szCs w:val="16"/>
        </w:rPr>
        <w:tab/>
        <w:t>Docket No. R-00973981</w:t>
      </w:r>
      <w:r>
        <w:rPr>
          <w:sz w:val="16"/>
          <w:szCs w:val="16"/>
        </w:rPr>
        <w:tab/>
        <w:t>West Penn Power Co.</w:t>
      </w:r>
      <w:r>
        <w:rPr>
          <w:sz w:val="16"/>
          <w:szCs w:val="16"/>
        </w:rPr>
        <w:tab/>
        <w:t>Pennsylvania</w:t>
      </w:r>
      <w:r>
        <w:rPr>
          <w:sz w:val="16"/>
          <w:szCs w:val="16"/>
        </w:rPr>
        <w:tab/>
        <w:t>Office of Consumer Advocate</w:t>
      </w:r>
      <w:r>
        <w:rPr>
          <w:sz w:val="16"/>
          <w:szCs w:val="16"/>
        </w:rPr>
        <w:tab/>
        <w:t>Stranded Cost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1997</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194.</w:t>
      </w:r>
      <w:r>
        <w:rPr>
          <w:sz w:val="16"/>
          <w:szCs w:val="16"/>
        </w:rPr>
        <w:tab/>
        <w:t>Docket No. A-1101150F0015</w:t>
      </w:r>
      <w:r>
        <w:rPr>
          <w:sz w:val="16"/>
          <w:szCs w:val="16"/>
        </w:rPr>
        <w:tab/>
        <w:t>Allegheny Power System</w:t>
      </w:r>
      <w:r>
        <w:rPr>
          <w:sz w:val="16"/>
          <w:szCs w:val="16"/>
        </w:rPr>
        <w:tab/>
        <w:t>Pennsylvania</w:t>
      </w:r>
      <w:r>
        <w:rPr>
          <w:sz w:val="16"/>
          <w:szCs w:val="16"/>
        </w:rPr>
        <w:tab/>
        <w:t>Office of Consumer Advocate</w:t>
      </w:r>
      <w:r>
        <w:rPr>
          <w:sz w:val="16"/>
          <w:szCs w:val="16"/>
        </w:rPr>
        <w:tab/>
        <w:t>Merger Issues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November 1997</w:t>
      </w:r>
      <w:r>
        <w:rPr>
          <w:sz w:val="16"/>
          <w:szCs w:val="16"/>
        </w:rPr>
        <w:tab/>
      </w:r>
      <w:r>
        <w:rPr>
          <w:sz w:val="16"/>
          <w:szCs w:val="16"/>
        </w:rPr>
        <w:tab/>
        <w:t>DQE, Inc.</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195.</w:t>
      </w:r>
      <w:r>
        <w:rPr>
          <w:sz w:val="16"/>
          <w:szCs w:val="16"/>
        </w:rPr>
        <w:tab/>
        <w:t>Docket No. WR97080615</w:t>
      </w:r>
      <w:r>
        <w:rPr>
          <w:sz w:val="16"/>
          <w:szCs w:val="16"/>
        </w:rPr>
        <w:tab/>
        <w:t>Consumers NJ Water Company</w:t>
      </w:r>
      <w:r>
        <w:rPr>
          <w:sz w:val="16"/>
          <w:szCs w:val="16"/>
        </w:rPr>
        <w:tab/>
        <w:t xml:space="preserve">New Jersey </w:t>
      </w:r>
      <w:r>
        <w:rPr>
          <w:sz w:val="16"/>
          <w:szCs w:val="16"/>
        </w:rPr>
        <w:tab/>
        <w:t>Ratepayer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January 1998</w:t>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196.</w:t>
      </w:r>
      <w:r>
        <w:rPr>
          <w:sz w:val="16"/>
          <w:szCs w:val="16"/>
        </w:rPr>
        <w:tab/>
        <w:t>Docket No. R-00974149</w:t>
      </w:r>
      <w:r>
        <w:rPr>
          <w:sz w:val="16"/>
          <w:szCs w:val="16"/>
        </w:rPr>
        <w:tab/>
        <w:t>Pennsylvania Power Company</w:t>
      </w:r>
      <w:r>
        <w:rPr>
          <w:sz w:val="16"/>
          <w:szCs w:val="16"/>
        </w:rPr>
        <w:tab/>
        <w:t>Pennsylvania</w:t>
      </w:r>
      <w:r>
        <w:rPr>
          <w:sz w:val="16"/>
          <w:szCs w:val="16"/>
        </w:rPr>
        <w:tab/>
        <w:t>Office of Consumer Advocate</w:t>
      </w:r>
      <w:r>
        <w:rPr>
          <w:sz w:val="16"/>
          <w:szCs w:val="16"/>
        </w:rPr>
        <w:tab/>
        <w:t>Stranded Cost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January 1998</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197.</w:t>
      </w:r>
      <w:r>
        <w:rPr>
          <w:sz w:val="16"/>
          <w:szCs w:val="16"/>
        </w:rPr>
        <w:tab/>
        <w:t>Case No. 8774</w:t>
      </w:r>
      <w:r>
        <w:rPr>
          <w:sz w:val="16"/>
          <w:szCs w:val="16"/>
        </w:rPr>
        <w:tab/>
        <w:t>Allegheny Power System</w:t>
      </w:r>
      <w:r>
        <w:rPr>
          <w:sz w:val="16"/>
          <w:szCs w:val="16"/>
        </w:rPr>
        <w:tab/>
        <w:t>Maryland</w:t>
      </w:r>
      <w:r>
        <w:rPr>
          <w:sz w:val="16"/>
          <w:szCs w:val="16"/>
        </w:rPr>
        <w:tab/>
        <w:t>Dept. of Natural Resources</w:t>
      </w:r>
      <w:r>
        <w:rPr>
          <w:sz w:val="16"/>
          <w:szCs w:val="16"/>
        </w:rPr>
        <w:tab/>
        <w:t>Merger Issues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January 1998</w:t>
      </w:r>
      <w:r>
        <w:rPr>
          <w:sz w:val="16"/>
          <w:szCs w:val="16"/>
        </w:rPr>
        <w:tab/>
      </w:r>
      <w:r>
        <w:rPr>
          <w:sz w:val="16"/>
          <w:szCs w:val="16"/>
        </w:rPr>
        <w:tab/>
        <w:t>DQE, Inc.</w:t>
      </w:r>
      <w:r>
        <w:rPr>
          <w:sz w:val="16"/>
          <w:szCs w:val="16"/>
        </w:rPr>
        <w:tab/>
      </w:r>
      <w:r>
        <w:rPr>
          <w:sz w:val="16"/>
          <w:szCs w:val="16"/>
        </w:rPr>
        <w:tab/>
        <w:t>MD Energy Administration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198.</w:t>
      </w:r>
      <w:r>
        <w:rPr>
          <w:sz w:val="16"/>
          <w:szCs w:val="16"/>
        </w:rPr>
        <w:tab/>
        <w:t>Docket No. U-20925 (SC)</w:t>
      </w:r>
      <w:r>
        <w:rPr>
          <w:sz w:val="16"/>
          <w:szCs w:val="16"/>
        </w:rPr>
        <w:tab/>
        <w:t>Entergy Louisiana, Inc.</w:t>
      </w:r>
      <w:r>
        <w:rPr>
          <w:sz w:val="16"/>
          <w:szCs w:val="16"/>
        </w:rPr>
        <w:tab/>
        <w:t>Louisiana</w:t>
      </w:r>
      <w:r>
        <w:rPr>
          <w:sz w:val="16"/>
          <w:szCs w:val="16"/>
        </w:rPr>
        <w:tab/>
        <w:t>Commission Staff</w:t>
      </w:r>
      <w:r>
        <w:rPr>
          <w:sz w:val="16"/>
          <w:szCs w:val="16"/>
        </w:rPr>
        <w:tab/>
        <w:t>Restructuring, Stranded</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1998</w:t>
      </w:r>
      <w:r>
        <w:rPr>
          <w:sz w:val="16"/>
          <w:szCs w:val="16"/>
        </w:rPr>
        <w:tab/>
      </w:r>
      <w:r>
        <w:rPr>
          <w:sz w:val="16"/>
          <w:szCs w:val="16"/>
        </w:rPr>
        <w:tab/>
      </w:r>
      <w:r>
        <w:rPr>
          <w:sz w:val="16"/>
          <w:szCs w:val="16"/>
        </w:rPr>
        <w:tab/>
      </w:r>
      <w:r>
        <w:rPr>
          <w:sz w:val="16"/>
          <w:szCs w:val="16"/>
        </w:rPr>
        <w:tab/>
      </w:r>
      <w:r>
        <w:rPr>
          <w:sz w:val="16"/>
          <w:szCs w:val="16"/>
        </w:rPr>
        <w:tab/>
        <w:t>Costs, Market Prices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199.</w:t>
      </w:r>
      <w:r>
        <w:rPr>
          <w:sz w:val="16"/>
          <w:szCs w:val="16"/>
        </w:rPr>
        <w:tab/>
        <w:t>Docket No. U-22092 (SC)</w:t>
      </w:r>
      <w:r>
        <w:rPr>
          <w:sz w:val="16"/>
          <w:szCs w:val="16"/>
        </w:rPr>
        <w:tab/>
        <w:t>Entergy Gulf States, Inc.</w:t>
      </w:r>
      <w:r>
        <w:rPr>
          <w:sz w:val="16"/>
          <w:szCs w:val="16"/>
        </w:rPr>
        <w:tab/>
        <w:t>Louisiana</w:t>
      </w:r>
      <w:r>
        <w:rPr>
          <w:sz w:val="16"/>
          <w:szCs w:val="16"/>
        </w:rPr>
        <w:tab/>
        <w:t>Commission Staff</w:t>
      </w:r>
      <w:r>
        <w:rPr>
          <w:sz w:val="16"/>
          <w:szCs w:val="16"/>
        </w:rPr>
        <w:tab/>
        <w:t>Restructuring, Stranded</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1998</w:t>
      </w:r>
      <w:r>
        <w:rPr>
          <w:sz w:val="16"/>
          <w:szCs w:val="16"/>
        </w:rPr>
        <w:tab/>
      </w:r>
      <w:r>
        <w:rPr>
          <w:sz w:val="16"/>
          <w:szCs w:val="16"/>
        </w:rPr>
        <w:tab/>
      </w:r>
      <w:r>
        <w:rPr>
          <w:sz w:val="16"/>
          <w:szCs w:val="16"/>
        </w:rPr>
        <w:tab/>
      </w:r>
      <w:r>
        <w:rPr>
          <w:sz w:val="16"/>
          <w:szCs w:val="16"/>
        </w:rPr>
        <w:tab/>
      </w:r>
      <w:r>
        <w:rPr>
          <w:sz w:val="16"/>
          <w:szCs w:val="16"/>
        </w:rPr>
        <w:tab/>
        <w:t>Costs, Market Prices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200.</w:t>
      </w:r>
      <w:r>
        <w:rPr>
          <w:sz w:val="16"/>
          <w:szCs w:val="16"/>
        </w:rPr>
        <w:tab/>
        <w:t>Docket Nos. U-22092 (SC)</w:t>
      </w:r>
      <w:r>
        <w:rPr>
          <w:sz w:val="16"/>
          <w:szCs w:val="16"/>
        </w:rPr>
        <w:tab/>
        <w:t>Entergy Gulf States</w:t>
      </w:r>
      <w:r>
        <w:rPr>
          <w:sz w:val="16"/>
          <w:szCs w:val="16"/>
        </w:rPr>
        <w:tab/>
        <w:t>Louisiana</w:t>
      </w:r>
      <w:r>
        <w:rPr>
          <w:sz w:val="16"/>
          <w:szCs w:val="16"/>
        </w:rPr>
        <w:tab/>
        <w:t>Commission Staff</w:t>
      </w:r>
      <w:r>
        <w:rPr>
          <w:sz w:val="16"/>
          <w:szCs w:val="16"/>
        </w:rPr>
        <w:tab/>
        <w:t>Standby Rates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and U-20925(SC)</w:t>
      </w:r>
      <w:r>
        <w:rPr>
          <w:sz w:val="16"/>
          <w:szCs w:val="16"/>
        </w:rPr>
        <w:tab/>
      </w:r>
      <w:r>
        <w:rPr>
          <w:sz w:val="16"/>
          <w:szCs w:val="16"/>
        </w:rPr>
        <w:tab/>
        <w:t>and Entergy Louisiana</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1998</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201.</w:t>
      </w:r>
      <w:r>
        <w:rPr>
          <w:sz w:val="16"/>
          <w:szCs w:val="16"/>
        </w:rPr>
        <w:tab/>
        <w:t>Docket No. WR98010015</w:t>
      </w:r>
      <w:r>
        <w:rPr>
          <w:sz w:val="16"/>
          <w:szCs w:val="16"/>
        </w:rPr>
        <w:tab/>
        <w:t>NJ American Water Co.</w:t>
      </w:r>
      <w:r>
        <w:rPr>
          <w:sz w:val="16"/>
          <w:szCs w:val="16"/>
        </w:rPr>
        <w:tab/>
        <w:t>New Jersey</w:t>
      </w:r>
      <w:r>
        <w:rPr>
          <w:sz w:val="16"/>
          <w:szCs w:val="16"/>
        </w:rPr>
        <w:tab/>
        <w:t>Ratepayer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1998</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202.</w:t>
      </w:r>
      <w:r>
        <w:rPr>
          <w:sz w:val="16"/>
          <w:szCs w:val="16"/>
        </w:rPr>
        <w:tab/>
        <w:t>Case No. 8794</w:t>
      </w:r>
      <w:r>
        <w:rPr>
          <w:sz w:val="16"/>
          <w:szCs w:val="16"/>
        </w:rPr>
        <w:tab/>
        <w:t>Baltimore Gas &amp; Electric Co.</w:t>
      </w:r>
      <w:r>
        <w:rPr>
          <w:sz w:val="16"/>
          <w:szCs w:val="16"/>
        </w:rPr>
        <w:tab/>
        <w:t>Maryland</w:t>
      </w:r>
      <w:r>
        <w:rPr>
          <w:sz w:val="16"/>
          <w:szCs w:val="16"/>
        </w:rPr>
        <w:tab/>
        <w:t>MD Energy Admin./Dept. Of</w:t>
      </w:r>
      <w:r>
        <w:rPr>
          <w:sz w:val="16"/>
          <w:szCs w:val="16"/>
        </w:rPr>
        <w:tab/>
        <w:t>Stranded Cost/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December 1998</w:t>
      </w:r>
      <w:r>
        <w:rPr>
          <w:sz w:val="16"/>
          <w:szCs w:val="16"/>
        </w:rPr>
        <w:tab/>
      </w:r>
      <w:r>
        <w:rPr>
          <w:sz w:val="16"/>
          <w:szCs w:val="16"/>
        </w:rPr>
        <w:tab/>
      </w:r>
      <w:r>
        <w:rPr>
          <w:sz w:val="16"/>
          <w:szCs w:val="16"/>
        </w:rPr>
        <w:tab/>
      </w:r>
      <w:r>
        <w:rPr>
          <w:sz w:val="16"/>
          <w:szCs w:val="16"/>
        </w:rPr>
        <w:tab/>
        <w:t>Natural Resources</w:t>
      </w:r>
      <w:r>
        <w:rPr>
          <w:sz w:val="16"/>
          <w:szCs w:val="16"/>
        </w:rPr>
        <w:tab/>
        <w:t>Transition Plan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br w:type="page"/>
        <w:t>203.</w:t>
      </w:r>
      <w:r>
        <w:rPr>
          <w:sz w:val="16"/>
          <w:szCs w:val="16"/>
        </w:rPr>
        <w:tab/>
        <w:t>Case No. 8795</w:t>
      </w:r>
      <w:r>
        <w:rPr>
          <w:sz w:val="16"/>
          <w:szCs w:val="16"/>
        </w:rPr>
        <w:tab/>
        <w:t>Delmarva Power &amp; Light Co.</w:t>
      </w:r>
      <w:r>
        <w:rPr>
          <w:sz w:val="16"/>
          <w:szCs w:val="16"/>
        </w:rPr>
        <w:tab/>
        <w:t>Maryland</w:t>
      </w:r>
      <w:r>
        <w:rPr>
          <w:sz w:val="16"/>
          <w:szCs w:val="16"/>
        </w:rPr>
        <w:tab/>
        <w:t>MD Energy Admin./Dept. Of</w:t>
      </w:r>
      <w:r>
        <w:rPr>
          <w:sz w:val="16"/>
          <w:szCs w:val="16"/>
        </w:rPr>
        <w:tab/>
        <w:t>Stranded Cost/</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December 1998</w:t>
      </w:r>
      <w:r>
        <w:rPr>
          <w:sz w:val="16"/>
          <w:szCs w:val="16"/>
        </w:rPr>
        <w:tab/>
      </w:r>
      <w:r>
        <w:rPr>
          <w:sz w:val="16"/>
          <w:szCs w:val="16"/>
        </w:rPr>
        <w:tab/>
      </w:r>
      <w:r>
        <w:rPr>
          <w:sz w:val="16"/>
          <w:szCs w:val="16"/>
        </w:rPr>
        <w:tab/>
      </w:r>
      <w:r>
        <w:rPr>
          <w:sz w:val="16"/>
          <w:szCs w:val="16"/>
        </w:rPr>
        <w:tab/>
        <w:t>Natural Resources</w:t>
      </w:r>
      <w:r>
        <w:rPr>
          <w:sz w:val="16"/>
          <w:szCs w:val="16"/>
        </w:rPr>
        <w:tab/>
        <w:t>Transition Plan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204.</w:t>
      </w:r>
      <w:r>
        <w:rPr>
          <w:sz w:val="16"/>
          <w:szCs w:val="16"/>
        </w:rPr>
        <w:tab/>
        <w:t>Case No. 8797</w:t>
      </w:r>
      <w:r>
        <w:rPr>
          <w:sz w:val="16"/>
          <w:szCs w:val="16"/>
        </w:rPr>
        <w:tab/>
        <w:t>Potomac Edison Co.</w:t>
      </w:r>
      <w:r>
        <w:rPr>
          <w:sz w:val="16"/>
          <w:szCs w:val="16"/>
        </w:rPr>
        <w:tab/>
        <w:t>Maryland</w:t>
      </w:r>
      <w:r>
        <w:rPr>
          <w:sz w:val="16"/>
          <w:szCs w:val="16"/>
        </w:rPr>
        <w:tab/>
        <w:t>MD Energy Admin./Dept. Of</w:t>
      </w:r>
      <w:r>
        <w:rPr>
          <w:sz w:val="16"/>
          <w:szCs w:val="16"/>
        </w:rPr>
        <w:tab/>
        <w:t>Stranded Cost/</w:t>
      </w:r>
    </w:p>
    <w:p w:rsidR="00F826FC" w:rsidRDefault="00F826FC" w:rsidP="00F826FC">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10200" w:hanging="9600"/>
        <w:rPr>
          <w:sz w:val="16"/>
          <w:szCs w:val="16"/>
        </w:rPr>
      </w:pPr>
      <w:r>
        <w:rPr>
          <w:sz w:val="16"/>
          <w:szCs w:val="16"/>
        </w:rPr>
        <w:t>January 1998</w:t>
      </w:r>
      <w:r>
        <w:rPr>
          <w:sz w:val="16"/>
          <w:szCs w:val="16"/>
        </w:rPr>
        <w:tab/>
      </w:r>
      <w:r>
        <w:rPr>
          <w:sz w:val="16"/>
          <w:szCs w:val="16"/>
        </w:rPr>
        <w:tab/>
      </w:r>
      <w:r>
        <w:rPr>
          <w:sz w:val="16"/>
          <w:szCs w:val="16"/>
        </w:rPr>
        <w:tab/>
      </w:r>
      <w:r>
        <w:rPr>
          <w:sz w:val="16"/>
          <w:szCs w:val="16"/>
        </w:rPr>
        <w:tab/>
        <w:t>Natural Resources</w:t>
      </w:r>
      <w:r>
        <w:rPr>
          <w:sz w:val="16"/>
          <w:szCs w:val="16"/>
        </w:rPr>
        <w:tab/>
        <w:t>Transition Plan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205.</w:t>
      </w:r>
      <w:r>
        <w:rPr>
          <w:sz w:val="16"/>
          <w:szCs w:val="16"/>
        </w:rPr>
        <w:tab/>
        <w:t>Docket No. WR98090795</w:t>
      </w:r>
      <w:r>
        <w:rPr>
          <w:sz w:val="16"/>
          <w:szCs w:val="16"/>
        </w:rPr>
        <w:tab/>
        <w:t>Middlesex Water Co.</w:t>
      </w:r>
      <w:r>
        <w:rPr>
          <w:sz w:val="16"/>
          <w:szCs w:val="16"/>
        </w:rPr>
        <w:tab/>
        <w:t>New Jersey</w:t>
      </w:r>
      <w:r>
        <w:rPr>
          <w:sz w:val="16"/>
          <w:szCs w:val="16"/>
        </w:rPr>
        <w:tab/>
        <w:t>Ratepayer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March 1999</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206.</w:t>
      </w:r>
      <w:r>
        <w:rPr>
          <w:sz w:val="16"/>
          <w:szCs w:val="16"/>
        </w:rPr>
        <w:tab/>
        <w:t>Docket No. 99-02-05</w:t>
      </w:r>
      <w:r>
        <w:rPr>
          <w:sz w:val="16"/>
          <w:szCs w:val="16"/>
        </w:rPr>
        <w:tab/>
        <w:t>Connecticut Light &amp; Power</w:t>
      </w:r>
      <w:r>
        <w:rPr>
          <w:sz w:val="16"/>
          <w:szCs w:val="16"/>
        </w:rPr>
        <w:tab/>
        <w:t>Connecticut</w:t>
      </w:r>
      <w:r>
        <w:rPr>
          <w:sz w:val="16"/>
          <w:szCs w:val="16"/>
        </w:rPr>
        <w:tab/>
        <w:t>Attorney General</w:t>
      </w:r>
      <w:r>
        <w:rPr>
          <w:sz w:val="16"/>
          <w:szCs w:val="16"/>
        </w:rPr>
        <w:tab/>
        <w:t>Stranded Costs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April 1999</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207.</w:t>
      </w:r>
      <w:r>
        <w:rPr>
          <w:sz w:val="16"/>
          <w:szCs w:val="16"/>
        </w:rPr>
        <w:tab/>
        <w:t>Docket No. 99-03-04</w:t>
      </w:r>
      <w:r>
        <w:rPr>
          <w:sz w:val="16"/>
          <w:szCs w:val="16"/>
        </w:rPr>
        <w:tab/>
        <w:t>United Illuminating Company</w:t>
      </w:r>
      <w:r>
        <w:rPr>
          <w:sz w:val="16"/>
          <w:szCs w:val="16"/>
        </w:rPr>
        <w:tab/>
        <w:t>Connecticut</w:t>
      </w:r>
      <w:r>
        <w:rPr>
          <w:sz w:val="16"/>
          <w:szCs w:val="16"/>
        </w:rPr>
        <w:tab/>
        <w:t>Attorney General</w:t>
      </w:r>
      <w:r>
        <w:rPr>
          <w:sz w:val="16"/>
          <w:szCs w:val="16"/>
        </w:rPr>
        <w:tab/>
        <w:t>Stranded Costs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1999</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208.</w:t>
      </w:r>
      <w:r>
        <w:rPr>
          <w:sz w:val="16"/>
          <w:szCs w:val="16"/>
        </w:rPr>
        <w:tab/>
        <w:t>Docket No. U-20925 (FRP)</w:t>
      </w:r>
      <w:r>
        <w:rPr>
          <w:sz w:val="16"/>
          <w:szCs w:val="16"/>
        </w:rPr>
        <w:tab/>
        <w:t>Entergy Louisiana, Inc.</w:t>
      </w:r>
      <w:r>
        <w:rPr>
          <w:sz w:val="16"/>
          <w:szCs w:val="16"/>
        </w:rPr>
        <w:tab/>
        <w:t>Louisiana</w:t>
      </w:r>
      <w:r>
        <w:rPr>
          <w:sz w:val="16"/>
          <w:szCs w:val="16"/>
        </w:rPr>
        <w:tab/>
        <w:t>Staff</w:t>
      </w:r>
      <w:r>
        <w:rPr>
          <w:sz w:val="16"/>
          <w:szCs w:val="16"/>
        </w:rPr>
        <w:tab/>
        <w:t>Capital Structure</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1999</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209.</w:t>
      </w:r>
      <w:r>
        <w:rPr>
          <w:sz w:val="16"/>
          <w:szCs w:val="16"/>
        </w:rPr>
        <w:tab/>
        <w:t>Docket No. EC-98-40-000,</w:t>
      </w:r>
      <w:r>
        <w:rPr>
          <w:sz w:val="16"/>
          <w:szCs w:val="16"/>
        </w:rPr>
        <w:tab/>
        <w:t>American Electric Power/</w:t>
      </w:r>
      <w:r>
        <w:rPr>
          <w:sz w:val="16"/>
          <w:szCs w:val="16"/>
        </w:rPr>
        <w:tab/>
        <w:t>FERC</w:t>
      </w:r>
      <w:r>
        <w:rPr>
          <w:sz w:val="16"/>
          <w:szCs w:val="16"/>
        </w:rPr>
        <w:tab/>
        <w:t>Arkansas PSC</w:t>
      </w:r>
      <w:r>
        <w:rPr>
          <w:sz w:val="16"/>
          <w:szCs w:val="16"/>
        </w:rPr>
        <w:tab/>
        <w:t>Market Power</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r>
      <w:r>
        <w:rPr>
          <w:sz w:val="16"/>
          <w:szCs w:val="16"/>
          <w:u w:val="single"/>
        </w:rPr>
        <w:t>et</w:t>
      </w:r>
      <w:r>
        <w:rPr>
          <w:sz w:val="16"/>
          <w:szCs w:val="16"/>
        </w:rPr>
        <w:t xml:space="preserve"> </w:t>
      </w:r>
      <w:r>
        <w:rPr>
          <w:sz w:val="16"/>
          <w:szCs w:val="16"/>
          <w:u w:val="single"/>
        </w:rPr>
        <w:t>al</w:t>
      </w:r>
      <w:r>
        <w:rPr>
          <w:sz w:val="16"/>
          <w:szCs w:val="16"/>
        </w:rPr>
        <w:t>.</w:t>
      </w:r>
      <w:r>
        <w:rPr>
          <w:sz w:val="16"/>
          <w:szCs w:val="16"/>
        </w:rPr>
        <w:tab/>
      </w:r>
      <w:r>
        <w:rPr>
          <w:sz w:val="16"/>
          <w:szCs w:val="16"/>
        </w:rPr>
        <w:tab/>
        <w:t>Central &amp; Southwest</w:t>
      </w:r>
      <w:r>
        <w:rPr>
          <w:sz w:val="16"/>
          <w:szCs w:val="16"/>
        </w:rPr>
        <w:tab/>
      </w:r>
      <w:r>
        <w:rPr>
          <w:sz w:val="16"/>
          <w:szCs w:val="16"/>
        </w:rPr>
        <w:tab/>
      </w:r>
      <w:r>
        <w:rPr>
          <w:sz w:val="16"/>
          <w:szCs w:val="16"/>
        </w:rPr>
        <w:tab/>
        <w:t>Mitigation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1999</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210.</w:t>
      </w:r>
      <w:r>
        <w:rPr>
          <w:sz w:val="16"/>
          <w:szCs w:val="16"/>
        </w:rPr>
        <w:tab/>
        <w:t>Docket No. 99-03-35</w:t>
      </w:r>
      <w:r>
        <w:rPr>
          <w:sz w:val="16"/>
          <w:szCs w:val="16"/>
        </w:rPr>
        <w:tab/>
        <w:t>United Illuminating Company</w:t>
      </w:r>
      <w:r>
        <w:rPr>
          <w:sz w:val="16"/>
          <w:szCs w:val="16"/>
        </w:rPr>
        <w:tab/>
        <w:t>Connecticut</w:t>
      </w:r>
      <w:r>
        <w:rPr>
          <w:sz w:val="16"/>
          <w:szCs w:val="16"/>
        </w:rPr>
        <w:tab/>
        <w:t>Attorney General</w:t>
      </w:r>
      <w:r>
        <w:rPr>
          <w:sz w:val="16"/>
          <w:szCs w:val="16"/>
        </w:rPr>
        <w:tab/>
        <w:t>Restructuring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1999</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211.</w:t>
      </w:r>
      <w:r>
        <w:rPr>
          <w:sz w:val="16"/>
          <w:szCs w:val="16"/>
        </w:rPr>
        <w:tab/>
        <w:t>Docket No. 99-03-36</w:t>
      </w:r>
      <w:r>
        <w:rPr>
          <w:sz w:val="16"/>
          <w:szCs w:val="16"/>
        </w:rPr>
        <w:tab/>
        <w:t>Connecticut Light &amp; Power Co.</w:t>
      </w:r>
      <w:r>
        <w:rPr>
          <w:sz w:val="16"/>
          <w:szCs w:val="16"/>
        </w:rPr>
        <w:tab/>
        <w:t>Connecticut</w:t>
      </w:r>
      <w:r>
        <w:rPr>
          <w:sz w:val="16"/>
          <w:szCs w:val="16"/>
        </w:rPr>
        <w:tab/>
        <w:t xml:space="preserve">Attorney General </w:t>
      </w:r>
      <w:r>
        <w:rPr>
          <w:sz w:val="16"/>
          <w:szCs w:val="16"/>
        </w:rPr>
        <w:tab/>
        <w:t>Restructuring</w:t>
      </w:r>
    </w:p>
    <w:p w:rsidR="00F826FC" w:rsidRDefault="00F826FC" w:rsidP="00F826FC">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600"/>
        <w:rPr>
          <w:sz w:val="16"/>
          <w:szCs w:val="16"/>
        </w:rPr>
      </w:pPr>
      <w:r>
        <w:rPr>
          <w:sz w:val="16"/>
          <w:szCs w:val="16"/>
        </w:rPr>
        <w:t>July 1999</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212.</w:t>
      </w:r>
      <w:r>
        <w:rPr>
          <w:sz w:val="16"/>
          <w:szCs w:val="16"/>
        </w:rPr>
        <w:tab/>
        <w:t>WR99040249</w:t>
      </w:r>
      <w:r>
        <w:rPr>
          <w:sz w:val="16"/>
          <w:szCs w:val="16"/>
        </w:rPr>
        <w:tab/>
        <w:t>Environmental Disposal Corp.</w:t>
      </w:r>
      <w:r>
        <w:rPr>
          <w:sz w:val="16"/>
          <w:szCs w:val="16"/>
        </w:rPr>
        <w:tab/>
        <w:t>New Jersey</w:t>
      </w:r>
      <w:r>
        <w:rPr>
          <w:sz w:val="16"/>
          <w:szCs w:val="16"/>
        </w:rPr>
        <w:tab/>
        <w:t>Ratepayer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Oct. 1999</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213.</w:t>
      </w:r>
      <w:r>
        <w:rPr>
          <w:sz w:val="16"/>
          <w:szCs w:val="16"/>
        </w:rPr>
        <w:tab/>
        <w:t>2930</w:t>
      </w:r>
      <w:r>
        <w:rPr>
          <w:sz w:val="16"/>
          <w:szCs w:val="16"/>
        </w:rPr>
        <w:tab/>
        <w:t>NEES/EUA</w:t>
      </w:r>
      <w:r>
        <w:rPr>
          <w:sz w:val="16"/>
          <w:szCs w:val="16"/>
        </w:rPr>
        <w:tab/>
        <w:t>Rhode Island</w:t>
      </w:r>
      <w:r>
        <w:rPr>
          <w:sz w:val="16"/>
          <w:szCs w:val="16"/>
        </w:rPr>
        <w:tab/>
        <w:t>Division Staff</w:t>
      </w:r>
      <w:r>
        <w:rPr>
          <w:sz w:val="16"/>
          <w:szCs w:val="16"/>
        </w:rPr>
        <w:tab/>
        <w:t>Merger/Cost of Capital</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 1999</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214.</w:t>
      </w:r>
      <w:r>
        <w:rPr>
          <w:sz w:val="16"/>
          <w:szCs w:val="16"/>
        </w:rPr>
        <w:tab/>
        <w:t xml:space="preserve">DE99-099 </w:t>
      </w:r>
      <w:r>
        <w:rPr>
          <w:sz w:val="16"/>
          <w:szCs w:val="16"/>
        </w:rPr>
        <w:tab/>
        <w:t>Public Service New Hampshire</w:t>
      </w:r>
      <w:r>
        <w:rPr>
          <w:sz w:val="16"/>
          <w:szCs w:val="16"/>
        </w:rPr>
        <w:tab/>
        <w:t>New Hampshire</w:t>
      </w:r>
      <w:r>
        <w:rPr>
          <w:sz w:val="16"/>
          <w:szCs w:val="16"/>
        </w:rPr>
        <w:tab/>
        <w:t>Consumer Advocate</w:t>
      </w:r>
      <w:r>
        <w:rPr>
          <w:sz w:val="16"/>
          <w:szCs w:val="16"/>
        </w:rPr>
        <w:tab/>
        <w:t>Cost of Capital Issues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Nov. 1999</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215.</w:t>
      </w:r>
      <w:r>
        <w:rPr>
          <w:sz w:val="16"/>
          <w:szCs w:val="16"/>
        </w:rPr>
        <w:tab/>
        <w:t>00-01-11</w:t>
      </w:r>
      <w:r>
        <w:rPr>
          <w:sz w:val="16"/>
          <w:szCs w:val="16"/>
        </w:rPr>
        <w:tab/>
        <w:t>Con Ed/NU</w:t>
      </w:r>
      <w:r>
        <w:rPr>
          <w:sz w:val="16"/>
          <w:szCs w:val="16"/>
        </w:rPr>
        <w:tab/>
        <w:t>Connecticut</w:t>
      </w:r>
      <w:r>
        <w:rPr>
          <w:sz w:val="16"/>
          <w:szCs w:val="16"/>
        </w:rPr>
        <w:tab/>
        <w:t>Attorney General</w:t>
      </w:r>
      <w:r>
        <w:rPr>
          <w:sz w:val="16"/>
          <w:szCs w:val="16"/>
        </w:rPr>
        <w:tab/>
        <w:t>Merger Issues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 2000</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216.</w:t>
      </w:r>
      <w:r>
        <w:rPr>
          <w:sz w:val="16"/>
          <w:szCs w:val="16"/>
        </w:rPr>
        <w:tab/>
        <w:t>Case No. 8821</w:t>
      </w:r>
      <w:r>
        <w:rPr>
          <w:sz w:val="16"/>
          <w:szCs w:val="16"/>
        </w:rPr>
        <w:tab/>
        <w:t>Reliant/ODEC</w:t>
      </w:r>
      <w:r>
        <w:rPr>
          <w:sz w:val="16"/>
          <w:szCs w:val="16"/>
        </w:rPr>
        <w:tab/>
        <w:t>Maryland</w:t>
      </w:r>
      <w:r>
        <w:rPr>
          <w:sz w:val="16"/>
          <w:szCs w:val="16"/>
        </w:rPr>
        <w:tab/>
        <w:t>Dept. of Natural Resources</w:t>
      </w:r>
      <w:r>
        <w:rPr>
          <w:sz w:val="16"/>
          <w:szCs w:val="16"/>
        </w:rPr>
        <w:tab/>
        <w:t>Need for Power/Plant Operations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May 2000</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br w:type="page"/>
        <w:t>217.</w:t>
      </w:r>
      <w:r>
        <w:rPr>
          <w:sz w:val="16"/>
          <w:szCs w:val="16"/>
        </w:rPr>
        <w:tab/>
        <w:t>Case No. 8738</w:t>
      </w:r>
      <w:r>
        <w:rPr>
          <w:sz w:val="16"/>
          <w:szCs w:val="16"/>
        </w:rPr>
        <w:tab/>
        <w:t>Generic</w:t>
      </w:r>
      <w:r>
        <w:rPr>
          <w:sz w:val="16"/>
          <w:szCs w:val="16"/>
        </w:rPr>
        <w:tab/>
        <w:t>Maryland</w:t>
      </w:r>
      <w:r>
        <w:rPr>
          <w:sz w:val="16"/>
          <w:szCs w:val="16"/>
        </w:rPr>
        <w:tab/>
        <w:t>Dept. of Natural Resources</w:t>
      </w:r>
      <w:r>
        <w:rPr>
          <w:sz w:val="16"/>
          <w:szCs w:val="16"/>
        </w:rPr>
        <w:tab/>
        <w:t>DSM Funding</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2000</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218.</w:t>
      </w:r>
      <w:r>
        <w:rPr>
          <w:sz w:val="16"/>
          <w:szCs w:val="16"/>
        </w:rPr>
        <w:tab/>
        <w:t>Case No. U-23356</w:t>
      </w:r>
      <w:r>
        <w:rPr>
          <w:sz w:val="16"/>
          <w:szCs w:val="16"/>
        </w:rPr>
        <w:tab/>
        <w:t>Entergy Louisiana, Inc.</w:t>
      </w:r>
      <w:r>
        <w:rPr>
          <w:sz w:val="16"/>
          <w:szCs w:val="16"/>
        </w:rPr>
        <w:tab/>
        <w:t>Louisiana</w:t>
      </w:r>
      <w:r>
        <w:rPr>
          <w:sz w:val="16"/>
          <w:szCs w:val="16"/>
        </w:rPr>
        <w:tab/>
        <w:t>PSC Staff</w:t>
      </w:r>
      <w:r>
        <w:rPr>
          <w:sz w:val="16"/>
          <w:szCs w:val="16"/>
        </w:rPr>
        <w:tab/>
        <w:t>Fuel Prudence Issues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June 2000</w:t>
      </w:r>
      <w:r>
        <w:rPr>
          <w:sz w:val="16"/>
          <w:szCs w:val="16"/>
        </w:rPr>
        <w:tab/>
      </w:r>
      <w:r>
        <w:rPr>
          <w:sz w:val="16"/>
          <w:szCs w:val="16"/>
        </w:rPr>
        <w:tab/>
      </w:r>
      <w:r>
        <w:rPr>
          <w:sz w:val="16"/>
          <w:szCs w:val="16"/>
        </w:rPr>
        <w:tab/>
      </w:r>
      <w:r>
        <w:rPr>
          <w:sz w:val="16"/>
          <w:szCs w:val="16"/>
        </w:rPr>
        <w:tab/>
      </w:r>
      <w:r>
        <w:rPr>
          <w:sz w:val="16"/>
          <w:szCs w:val="16"/>
        </w:rPr>
        <w:tab/>
        <w:t>Purchased Power</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219.</w:t>
      </w:r>
      <w:r>
        <w:rPr>
          <w:sz w:val="16"/>
          <w:szCs w:val="16"/>
        </w:rPr>
        <w:tab/>
        <w:t xml:space="preserve">Case No. 21453, </w:t>
      </w:r>
      <w:r w:rsidRPr="0046743C">
        <w:rPr>
          <w:sz w:val="16"/>
          <w:szCs w:val="16"/>
        </w:rPr>
        <w:t>et al</w:t>
      </w:r>
      <w:r>
        <w:rPr>
          <w:sz w:val="16"/>
          <w:szCs w:val="16"/>
        </w:rPr>
        <w:t>.</w:t>
      </w:r>
      <w:r>
        <w:rPr>
          <w:sz w:val="16"/>
          <w:szCs w:val="16"/>
        </w:rPr>
        <w:tab/>
        <w:t>SWEPCO</w:t>
      </w:r>
      <w:r>
        <w:rPr>
          <w:sz w:val="16"/>
          <w:szCs w:val="16"/>
        </w:rPr>
        <w:tab/>
        <w:t>Louisiana</w:t>
      </w:r>
      <w:r>
        <w:rPr>
          <w:sz w:val="16"/>
          <w:szCs w:val="16"/>
        </w:rPr>
        <w:tab/>
        <w:t>PSC Staff</w:t>
      </w:r>
      <w:r>
        <w:rPr>
          <w:sz w:val="16"/>
          <w:szCs w:val="16"/>
        </w:rPr>
        <w:tab/>
        <w:t>Stranded Costs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2000</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220.</w:t>
      </w:r>
      <w:r>
        <w:rPr>
          <w:sz w:val="16"/>
          <w:szCs w:val="16"/>
        </w:rPr>
        <w:tab/>
        <w:t>Case No. 20925 (B)</w:t>
      </w:r>
      <w:r>
        <w:rPr>
          <w:sz w:val="16"/>
          <w:szCs w:val="16"/>
        </w:rPr>
        <w:tab/>
        <w:t>Entergy Louisiana</w:t>
      </w:r>
      <w:r>
        <w:rPr>
          <w:sz w:val="16"/>
          <w:szCs w:val="16"/>
        </w:rPr>
        <w:tab/>
        <w:t>Louisiana</w:t>
      </w:r>
      <w:r>
        <w:rPr>
          <w:sz w:val="16"/>
          <w:szCs w:val="16"/>
        </w:rPr>
        <w:tab/>
        <w:t>PSC Staff</w:t>
      </w:r>
      <w:r>
        <w:rPr>
          <w:sz w:val="16"/>
          <w:szCs w:val="16"/>
        </w:rPr>
        <w:tab/>
        <w:t>Purchase Power Contracts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July 2000</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221.</w:t>
      </w:r>
      <w:r>
        <w:rPr>
          <w:sz w:val="16"/>
          <w:szCs w:val="16"/>
        </w:rPr>
        <w:tab/>
        <w:t>Case No. 24889</w:t>
      </w:r>
      <w:r>
        <w:rPr>
          <w:sz w:val="16"/>
          <w:szCs w:val="16"/>
        </w:rPr>
        <w:tab/>
        <w:t>Entergy Louisiana</w:t>
      </w:r>
      <w:r>
        <w:rPr>
          <w:sz w:val="16"/>
          <w:szCs w:val="16"/>
        </w:rPr>
        <w:tab/>
        <w:t>Louisiana</w:t>
      </w:r>
      <w:r>
        <w:rPr>
          <w:sz w:val="16"/>
          <w:szCs w:val="16"/>
        </w:rPr>
        <w:tab/>
        <w:t>PSC Staff</w:t>
      </w:r>
      <w:r>
        <w:rPr>
          <w:sz w:val="16"/>
          <w:szCs w:val="16"/>
        </w:rPr>
        <w:tab/>
        <w:t>Purchase Power Contracts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August 2000</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222.</w:t>
      </w:r>
      <w:r>
        <w:rPr>
          <w:sz w:val="16"/>
          <w:szCs w:val="16"/>
        </w:rPr>
        <w:tab/>
        <w:t xml:space="preserve">Case No. 21453, </w:t>
      </w:r>
      <w:r w:rsidRPr="0046743C">
        <w:rPr>
          <w:sz w:val="16"/>
          <w:szCs w:val="16"/>
        </w:rPr>
        <w:t>et al.</w:t>
      </w:r>
      <w:r>
        <w:rPr>
          <w:sz w:val="16"/>
          <w:szCs w:val="16"/>
        </w:rPr>
        <w:tab/>
        <w:t>CLECO</w:t>
      </w:r>
      <w:r>
        <w:rPr>
          <w:sz w:val="16"/>
          <w:szCs w:val="16"/>
        </w:rPr>
        <w:tab/>
        <w:t>Louisiana</w:t>
      </w:r>
      <w:r>
        <w:rPr>
          <w:sz w:val="16"/>
          <w:szCs w:val="16"/>
        </w:rPr>
        <w:tab/>
        <w:t>PSC Staff</w:t>
      </w:r>
      <w:r>
        <w:rPr>
          <w:sz w:val="16"/>
          <w:szCs w:val="16"/>
        </w:rPr>
        <w:tab/>
        <w:t>Stranded Costs</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sz w:val="16"/>
          <w:szCs w:val="16"/>
        </w:rPr>
        <w:tab/>
        <w:t>February 2001</w:t>
      </w:r>
    </w:p>
    <w:p w:rsidR="00F826FC" w:rsidRDefault="00F826FC" w:rsidP="00F826FC">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40"/>
          <w:tab w:val="left" w:pos="10215"/>
          <w:tab w:val="left" w:pos="10800"/>
          <w:tab w:val="left" w:pos="11520"/>
          <w:tab w:val="left" w:pos="12240"/>
        </w:tabs>
        <w:rPr>
          <w:sz w:val="16"/>
          <w:szCs w:val="16"/>
        </w:rPr>
      </w:pPr>
      <w:r>
        <w:rPr>
          <w:sz w:val="16"/>
          <w:szCs w:val="16"/>
        </w:rPr>
        <w:t>223.</w:t>
      </w:r>
      <w:r>
        <w:rPr>
          <w:sz w:val="16"/>
          <w:szCs w:val="16"/>
        </w:rPr>
        <w:tab/>
        <w:t>P-00001860</w:t>
      </w:r>
      <w:r>
        <w:rPr>
          <w:sz w:val="16"/>
          <w:szCs w:val="16"/>
        </w:rPr>
        <w:tab/>
        <w:t>GPU Companies</w:t>
      </w:r>
      <w:r>
        <w:rPr>
          <w:sz w:val="16"/>
          <w:szCs w:val="16"/>
        </w:rPr>
        <w:tab/>
        <w:t>Pennsylvania</w:t>
      </w:r>
      <w:r>
        <w:rPr>
          <w:sz w:val="16"/>
          <w:szCs w:val="16"/>
        </w:rPr>
        <w:tab/>
        <w:t>Office of Consumer Advocate</w:t>
      </w:r>
      <w:r>
        <w:rPr>
          <w:sz w:val="16"/>
          <w:szCs w:val="16"/>
        </w:rPr>
        <w:tab/>
        <w:t>Rate of Return</w:t>
      </w:r>
    </w:p>
    <w:p w:rsidR="00F826FC" w:rsidRDefault="00F826FC" w:rsidP="00F826FC">
      <w:pPr>
        <w:tabs>
          <w:tab w:val="left" w:pos="-1440"/>
          <w:tab w:val="left" w:pos="-720"/>
          <w:tab w:val="left" w:pos="0"/>
          <w:tab w:val="left" w:pos="600"/>
          <w:tab w:val="left" w:pos="2640"/>
          <w:tab w:val="left" w:pos="2880"/>
          <w:tab w:val="left" w:pos="5280"/>
          <w:tab w:val="left" w:pos="7440"/>
          <w:tab w:val="left" w:pos="10080"/>
          <w:tab w:val="left" w:pos="10800"/>
          <w:tab w:val="left" w:pos="11520"/>
          <w:tab w:val="left" w:pos="12240"/>
        </w:tabs>
        <w:rPr>
          <w:sz w:val="16"/>
          <w:szCs w:val="16"/>
        </w:rPr>
      </w:pPr>
      <w:r>
        <w:rPr>
          <w:sz w:val="16"/>
          <w:szCs w:val="16"/>
        </w:rPr>
        <w:tab/>
        <w:t>and P-0000181</w:t>
      </w:r>
    </w:p>
    <w:p w:rsidR="00F826FC" w:rsidRDefault="00F826FC" w:rsidP="00F826FC">
      <w:pPr>
        <w:tabs>
          <w:tab w:val="left" w:pos="-1440"/>
          <w:tab w:val="left" w:pos="-720"/>
          <w:tab w:val="left" w:pos="0"/>
          <w:tab w:val="left" w:pos="600"/>
          <w:tab w:val="left" w:pos="2640"/>
          <w:tab w:val="left" w:pos="2880"/>
          <w:tab w:val="left" w:pos="5280"/>
          <w:tab w:val="left" w:pos="7440"/>
          <w:tab w:val="left" w:pos="10080"/>
          <w:tab w:val="left" w:pos="10800"/>
          <w:tab w:val="left" w:pos="11520"/>
          <w:tab w:val="left" w:pos="12240"/>
        </w:tabs>
        <w:rPr>
          <w:sz w:val="16"/>
          <w:szCs w:val="16"/>
        </w:rPr>
      </w:pPr>
      <w:r>
        <w:rPr>
          <w:sz w:val="16"/>
          <w:szCs w:val="16"/>
        </w:rPr>
        <w:tab/>
        <w:t>March 2001</w:t>
      </w:r>
    </w:p>
    <w:p w:rsidR="00F826FC" w:rsidRDefault="00F826FC" w:rsidP="00F826FC">
      <w:pPr>
        <w:tabs>
          <w:tab w:val="left" w:pos="-1440"/>
          <w:tab w:val="left" w:pos="-720"/>
          <w:tab w:val="left" w:pos="0"/>
          <w:tab w:val="left" w:pos="600"/>
          <w:tab w:val="left" w:pos="2640"/>
          <w:tab w:val="left" w:pos="2880"/>
          <w:tab w:val="left" w:pos="5280"/>
          <w:tab w:val="left" w:pos="7440"/>
          <w:tab w:val="left" w:pos="1008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70"/>
          <w:tab w:val="left" w:pos="10170"/>
          <w:tab w:val="left" w:pos="10800"/>
          <w:tab w:val="left" w:pos="11520"/>
          <w:tab w:val="left" w:pos="12240"/>
        </w:tabs>
        <w:rPr>
          <w:sz w:val="16"/>
          <w:szCs w:val="16"/>
        </w:rPr>
      </w:pPr>
      <w:r>
        <w:rPr>
          <w:sz w:val="16"/>
          <w:szCs w:val="16"/>
        </w:rPr>
        <w:t>224.</w:t>
      </w:r>
      <w:r>
        <w:rPr>
          <w:sz w:val="16"/>
          <w:szCs w:val="16"/>
        </w:rPr>
        <w:tab/>
        <w:t>CVOL-0505662-S</w:t>
      </w:r>
      <w:r>
        <w:rPr>
          <w:sz w:val="16"/>
          <w:szCs w:val="16"/>
        </w:rPr>
        <w:tab/>
        <w:t>ConEd/NU</w:t>
      </w:r>
      <w:r>
        <w:rPr>
          <w:sz w:val="16"/>
          <w:szCs w:val="16"/>
        </w:rPr>
        <w:tab/>
        <w:t>Connecticut Superior Court</w:t>
      </w:r>
      <w:r>
        <w:rPr>
          <w:sz w:val="16"/>
          <w:szCs w:val="16"/>
        </w:rPr>
        <w:tab/>
        <w:t>Attorney General</w:t>
      </w:r>
      <w:r>
        <w:rPr>
          <w:sz w:val="16"/>
          <w:szCs w:val="16"/>
        </w:rPr>
        <w:tab/>
        <w:t>Merger (Affidavit)</w:t>
      </w:r>
    </w:p>
    <w:p w:rsidR="00F826FC" w:rsidRDefault="00F826FC" w:rsidP="00F826FC">
      <w:pPr>
        <w:tabs>
          <w:tab w:val="left" w:pos="-1440"/>
          <w:tab w:val="left" w:pos="-720"/>
          <w:tab w:val="left" w:pos="0"/>
          <w:tab w:val="left" w:pos="600"/>
          <w:tab w:val="left" w:pos="2640"/>
          <w:tab w:val="left" w:pos="2880"/>
          <w:tab w:val="left" w:pos="5280"/>
          <w:tab w:val="left" w:pos="10170"/>
          <w:tab w:val="left" w:pos="10800"/>
          <w:tab w:val="left" w:pos="11520"/>
          <w:tab w:val="left" w:pos="12240"/>
        </w:tabs>
        <w:rPr>
          <w:sz w:val="16"/>
          <w:szCs w:val="16"/>
        </w:rPr>
      </w:pPr>
      <w:r>
        <w:rPr>
          <w:sz w:val="16"/>
          <w:szCs w:val="16"/>
        </w:rPr>
        <w:tab/>
        <w:t>March 2001</w:t>
      </w:r>
      <w:r>
        <w:rPr>
          <w:sz w:val="16"/>
          <w:szCs w:val="16"/>
        </w:rPr>
        <w:tab/>
      </w:r>
      <w:r>
        <w:rPr>
          <w:sz w:val="16"/>
          <w:szCs w:val="16"/>
        </w:rPr>
        <w:tab/>
      </w:r>
      <w:r>
        <w:rPr>
          <w:sz w:val="16"/>
          <w:szCs w:val="16"/>
        </w:rPr>
        <w:tab/>
      </w:r>
    </w:p>
    <w:p w:rsidR="00F826FC" w:rsidRDefault="00F826FC" w:rsidP="00F826FC">
      <w:pPr>
        <w:tabs>
          <w:tab w:val="left" w:pos="-1440"/>
          <w:tab w:val="left" w:pos="-720"/>
          <w:tab w:val="left" w:pos="0"/>
          <w:tab w:val="left" w:pos="600"/>
          <w:tab w:val="left" w:pos="2640"/>
          <w:tab w:val="left" w:pos="2880"/>
          <w:tab w:val="left" w:pos="5280"/>
          <w:tab w:val="left" w:pos="1017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70"/>
          <w:tab w:val="left" w:pos="10170"/>
          <w:tab w:val="left" w:pos="10800"/>
          <w:tab w:val="left" w:pos="11520"/>
          <w:tab w:val="left" w:pos="12240"/>
        </w:tabs>
        <w:rPr>
          <w:sz w:val="16"/>
          <w:szCs w:val="16"/>
        </w:rPr>
      </w:pPr>
      <w:r>
        <w:rPr>
          <w:sz w:val="16"/>
          <w:szCs w:val="16"/>
        </w:rPr>
        <w:t>225.</w:t>
      </w:r>
      <w:r>
        <w:rPr>
          <w:sz w:val="16"/>
          <w:szCs w:val="16"/>
        </w:rPr>
        <w:tab/>
        <w:t>U-20925 (SC)</w:t>
      </w:r>
      <w:r>
        <w:rPr>
          <w:sz w:val="16"/>
          <w:szCs w:val="16"/>
        </w:rPr>
        <w:tab/>
        <w:t>Entergy Louisiana</w:t>
      </w:r>
      <w:r>
        <w:rPr>
          <w:sz w:val="16"/>
          <w:szCs w:val="16"/>
        </w:rPr>
        <w:tab/>
        <w:t>Louisiana</w:t>
      </w:r>
      <w:r>
        <w:rPr>
          <w:sz w:val="16"/>
          <w:szCs w:val="16"/>
        </w:rPr>
        <w:tab/>
        <w:t>PSC Staff</w:t>
      </w:r>
      <w:r>
        <w:rPr>
          <w:sz w:val="16"/>
          <w:szCs w:val="16"/>
        </w:rPr>
        <w:tab/>
        <w:t>Stranded Costs</w:t>
      </w:r>
    </w:p>
    <w:p w:rsidR="00F826FC" w:rsidRDefault="00F826FC" w:rsidP="00F826FC">
      <w:pPr>
        <w:tabs>
          <w:tab w:val="left" w:pos="-1440"/>
          <w:tab w:val="left" w:pos="-720"/>
          <w:tab w:val="left" w:pos="0"/>
          <w:tab w:val="left" w:pos="600"/>
          <w:tab w:val="left" w:pos="2640"/>
          <w:tab w:val="left" w:pos="2880"/>
          <w:tab w:val="left" w:pos="5280"/>
          <w:tab w:val="left" w:pos="10170"/>
          <w:tab w:val="left" w:pos="10800"/>
          <w:tab w:val="left" w:pos="11520"/>
          <w:tab w:val="left" w:pos="12240"/>
        </w:tabs>
        <w:rPr>
          <w:sz w:val="16"/>
          <w:szCs w:val="16"/>
        </w:rPr>
      </w:pPr>
      <w:r>
        <w:rPr>
          <w:sz w:val="16"/>
          <w:szCs w:val="16"/>
        </w:rPr>
        <w:tab/>
        <w:t>March 2001</w:t>
      </w:r>
    </w:p>
    <w:p w:rsidR="00F826FC" w:rsidRDefault="00F826FC" w:rsidP="00F826FC">
      <w:pPr>
        <w:tabs>
          <w:tab w:val="left" w:pos="-1440"/>
          <w:tab w:val="left" w:pos="-720"/>
          <w:tab w:val="left" w:pos="0"/>
          <w:tab w:val="left" w:pos="600"/>
          <w:tab w:val="left" w:pos="2640"/>
          <w:tab w:val="left" w:pos="2880"/>
          <w:tab w:val="left" w:pos="5280"/>
          <w:tab w:val="left" w:pos="10170"/>
          <w:tab w:val="left" w:pos="10800"/>
          <w:tab w:val="left" w:pos="11520"/>
          <w:tab w:val="left" w:pos="12240"/>
        </w:tabs>
        <w:rPr>
          <w:sz w:val="16"/>
          <w:szCs w:val="16"/>
        </w:rPr>
      </w:pPr>
    </w:p>
    <w:p w:rsidR="00F826FC" w:rsidRDefault="00F826FC" w:rsidP="00F826FC">
      <w:pPr>
        <w:tabs>
          <w:tab w:val="left" w:pos="-1440"/>
          <w:tab w:val="left" w:pos="-720"/>
          <w:tab w:val="left" w:pos="0"/>
          <w:tab w:val="left" w:pos="600"/>
          <w:tab w:val="left" w:pos="2640"/>
          <w:tab w:val="left" w:pos="2880"/>
          <w:tab w:val="left" w:pos="5280"/>
          <w:tab w:val="left" w:pos="7470"/>
          <w:tab w:val="left" w:pos="10170"/>
          <w:tab w:val="left" w:pos="10800"/>
          <w:tab w:val="left" w:pos="11520"/>
          <w:tab w:val="left" w:pos="12240"/>
        </w:tabs>
        <w:rPr>
          <w:sz w:val="16"/>
          <w:szCs w:val="16"/>
        </w:rPr>
      </w:pPr>
      <w:r>
        <w:rPr>
          <w:sz w:val="16"/>
          <w:szCs w:val="16"/>
        </w:rPr>
        <w:t>226.</w:t>
      </w:r>
      <w:r>
        <w:rPr>
          <w:sz w:val="16"/>
          <w:szCs w:val="16"/>
        </w:rPr>
        <w:tab/>
        <w:t>U-22092 (SC)</w:t>
      </w:r>
      <w:r>
        <w:rPr>
          <w:sz w:val="16"/>
          <w:szCs w:val="16"/>
        </w:rPr>
        <w:tab/>
        <w:t>Entergy Gulf States</w:t>
      </w:r>
      <w:r>
        <w:rPr>
          <w:sz w:val="16"/>
          <w:szCs w:val="16"/>
        </w:rPr>
        <w:tab/>
        <w:t>Louisiana</w:t>
      </w:r>
      <w:r>
        <w:rPr>
          <w:sz w:val="16"/>
          <w:szCs w:val="16"/>
        </w:rPr>
        <w:tab/>
        <w:t>PSC Staff</w:t>
      </w:r>
      <w:r>
        <w:rPr>
          <w:sz w:val="16"/>
          <w:szCs w:val="16"/>
        </w:rPr>
        <w:tab/>
        <w:t>Stranded Costs</w:t>
      </w:r>
    </w:p>
    <w:p w:rsidR="00F826FC" w:rsidRDefault="00F826FC" w:rsidP="00F826FC">
      <w:pPr>
        <w:tabs>
          <w:tab w:val="left" w:pos="-1440"/>
          <w:tab w:val="left" w:pos="-720"/>
          <w:tab w:val="left" w:pos="0"/>
          <w:tab w:val="left" w:pos="600"/>
          <w:tab w:val="left" w:pos="2640"/>
          <w:tab w:val="left" w:pos="2880"/>
          <w:tab w:val="left" w:pos="5280"/>
          <w:tab w:val="left" w:pos="10170"/>
          <w:tab w:val="left" w:pos="10800"/>
          <w:tab w:val="left" w:pos="11520"/>
          <w:tab w:val="left" w:pos="12240"/>
        </w:tabs>
        <w:rPr>
          <w:sz w:val="16"/>
          <w:szCs w:val="16"/>
        </w:rPr>
      </w:pPr>
      <w:r>
        <w:rPr>
          <w:sz w:val="16"/>
          <w:szCs w:val="16"/>
        </w:rPr>
        <w:tab/>
        <w:t>March 2001</w:t>
      </w:r>
    </w:p>
    <w:p w:rsidR="00F826FC" w:rsidRDefault="00F826FC" w:rsidP="00F826FC">
      <w:pPr>
        <w:tabs>
          <w:tab w:val="left" w:pos="-1440"/>
          <w:tab w:val="left" w:pos="-720"/>
          <w:tab w:val="left" w:pos="0"/>
          <w:tab w:val="left" w:pos="600"/>
          <w:tab w:val="left" w:pos="2640"/>
          <w:tab w:val="left" w:pos="2880"/>
          <w:tab w:val="left" w:pos="5280"/>
          <w:tab w:val="left" w:pos="10170"/>
          <w:tab w:val="left" w:pos="10800"/>
          <w:tab w:val="left" w:pos="11520"/>
          <w:tab w:val="left" w:pos="12240"/>
        </w:tabs>
        <w:rPr>
          <w:sz w:val="16"/>
          <w:szCs w:val="16"/>
        </w:rPr>
      </w:pPr>
    </w:p>
    <w:p w:rsidR="00F826FC" w:rsidRDefault="00F826FC" w:rsidP="00F826FC">
      <w:pPr>
        <w:tabs>
          <w:tab w:val="left" w:pos="0"/>
          <w:tab w:val="left" w:pos="630"/>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620"/>
          <w:tab w:val="left" w:pos="10800"/>
          <w:tab w:val="left" w:pos="11520"/>
          <w:tab w:val="left" w:pos="12240"/>
        </w:tabs>
        <w:rPr>
          <w:sz w:val="16"/>
          <w:szCs w:val="16"/>
        </w:rPr>
      </w:pPr>
      <w:r>
        <w:rPr>
          <w:sz w:val="16"/>
          <w:szCs w:val="16"/>
        </w:rPr>
        <w:t>227.</w:t>
      </w:r>
      <w:r>
        <w:rPr>
          <w:sz w:val="16"/>
          <w:szCs w:val="16"/>
        </w:rPr>
        <w:tab/>
        <w:t>U-25533</w:t>
      </w:r>
      <w:r>
        <w:rPr>
          <w:sz w:val="16"/>
          <w:szCs w:val="16"/>
        </w:rPr>
        <w:tab/>
      </w:r>
      <w:r>
        <w:rPr>
          <w:sz w:val="16"/>
          <w:szCs w:val="16"/>
        </w:rPr>
        <w:tab/>
      </w:r>
      <w:r>
        <w:rPr>
          <w:sz w:val="16"/>
          <w:szCs w:val="16"/>
        </w:rPr>
        <w:tab/>
        <w:t>Entergy Louisiana/</w:t>
      </w:r>
      <w:r>
        <w:rPr>
          <w:sz w:val="16"/>
          <w:szCs w:val="16"/>
        </w:rPr>
        <w:tab/>
      </w:r>
      <w:r>
        <w:rPr>
          <w:sz w:val="16"/>
          <w:szCs w:val="16"/>
        </w:rPr>
        <w:tab/>
        <w:t>Louisiana</w:t>
      </w:r>
      <w:r>
        <w:rPr>
          <w:sz w:val="16"/>
          <w:szCs w:val="16"/>
        </w:rPr>
        <w:tab/>
      </w:r>
      <w:r>
        <w:rPr>
          <w:sz w:val="16"/>
          <w:szCs w:val="16"/>
        </w:rPr>
        <w:tab/>
        <w:t>PSC Staff</w:t>
      </w:r>
      <w:r>
        <w:rPr>
          <w:sz w:val="16"/>
          <w:szCs w:val="16"/>
        </w:rPr>
        <w:tab/>
      </w:r>
      <w:r>
        <w:rPr>
          <w:sz w:val="16"/>
          <w:szCs w:val="16"/>
        </w:rPr>
        <w:tab/>
      </w:r>
      <w:r>
        <w:rPr>
          <w:sz w:val="16"/>
          <w:szCs w:val="16"/>
        </w:rPr>
        <w:tab/>
        <w:t>Purchase Power</w:t>
      </w:r>
    </w:p>
    <w:p w:rsidR="00F826FC" w:rsidRDefault="00F826FC" w:rsidP="00F826FC">
      <w:pPr>
        <w:tabs>
          <w:tab w:val="left" w:pos="0"/>
          <w:tab w:val="left" w:pos="630"/>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May 2001</w:t>
      </w:r>
      <w:r>
        <w:rPr>
          <w:sz w:val="16"/>
          <w:szCs w:val="16"/>
        </w:rPr>
        <w:tab/>
        <w:t xml:space="preserve">  </w:t>
      </w:r>
      <w:r>
        <w:rPr>
          <w:sz w:val="16"/>
          <w:szCs w:val="16"/>
        </w:rPr>
        <w:tab/>
      </w:r>
      <w:r>
        <w:rPr>
          <w:sz w:val="16"/>
          <w:szCs w:val="16"/>
        </w:rPr>
        <w:tab/>
        <w:t xml:space="preserve">  Gulf States</w:t>
      </w:r>
      <w:r>
        <w:rPr>
          <w:sz w:val="16"/>
          <w:szCs w:val="16"/>
        </w:rPr>
        <w:tab/>
      </w:r>
      <w:r>
        <w:rPr>
          <w:sz w:val="16"/>
          <w:szCs w:val="16"/>
        </w:rPr>
        <w:tab/>
      </w:r>
      <w:r>
        <w:rPr>
          <w:sz w:val="16"/>
          <w:szCs w:val="16"/>
        </w:rPr>
        <w:tab/>
        <w:t>Interruptible Service</w:t>
      </w:r>
    </w:p>
    <w:p w:rsidR="00F826FC" w:rsidRDefault="00F826FC" w:rsidP="00F826FC">
      <w:pPr>
        <w:tabs>
          <w:tab w:val="left" w:pos="0"/>
          <w:tab w:val="left" w:pos="2610"/>
          <w:tab w:val="left" w:pos="531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0"/>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228.</w:t>
      </w:r>
      <w:r>
        <w:rPr>
          <w:sz w:val="16"/>
          <w:szCs w:val="16"/>
        </w:rPr>
        <w:tab/>
        <w:t>P-00011872</w:t>
      </w:r>
      <w:r>
        <w:rPr>
          <w:sz w:val="16"/>
          <w:szCs w:val="16"/>
        </w:rPr>
        <w:tab/>
      </w:r>
      <w:r>
        <w:rPr>
          <w:sz w:val="16"/>
          <w:szCs w:val="16"/>
        </w:rPr>
        <w:tab/>
      </w:r>
      <w:r>
        <w:rPr>
          <w:sz w:val="16"/>
          <w:szCs w:val="16"/>
        </w:rPr>
        <w:tab/>
        <w:t>Pike County Pike</w:t>
      </w:r>
      <w:r>
        <w:rPr>
          <w:sz w:val="16"/>
          <w:szCs w:val="16"/>
        </w:rPr>
        <w:tab/>
      </w:r>
      <w:r>
        <w:rPr>
          <w:sz w:val="16"/>
          <w:szCs w:val="16"/>
        </w:rPr>
        <w:tab/>
        <w:t>Pennsylvania</w:t>
      </w:r>
      <w:r>
        <w:rPr>
          <w:sz w:val="16"/>
          <w:szCs w:val="16"/>
        </w:rPr>
        <w:tab/>
      </w:r>
      <w:r>
        <w:rPr>
          <w:sz w:val="16"/>
          <w:szCs w:val="16"/>
        </w:rPr>
        <w:tab/>
        <w:t>Office of Consumer Advocate</w:t>
      </w:r>
      <w:r>
        <w:rPr>
          <w:sz w:val="16"/>
          <w:szCs w:val="16"/>
        </w:rPr>
        <w:tab/>
        <w:t>Rate of Return</w:t>
      </w:r>
    </w:p>
    <w:p w:rsidR="00F826FC" w:rsidRDefault="00F826FC" w:rsidP="00F826FC">
      <w:pPr>
        <w:tabs>
          <w:tab w:val="left" w:pos="-1440"/>
          <w:tab w:val="left" w:pos="-720"/>
          <w:tab w:val="left" w:pos="0"/>
          <w:tab w:val="left" w:pos="657"/>
          <w:tab w:val="left" w:pos="1440"/>
          <w:tab w:val="left" w:pos="2160"/>
          <w:tab w:val="left" w:pos="2610"/>
          <w:tab w:val="left" w:pos="2640"/>
          <w:tab w:val="left" w:pos="3600"/>
          <w:tab w:val="left" w:pos="4320"/>
          <w:tab w:val="left" w:pos="5280"/>
          <w:tab w:val="left" w:pos="5310"/>
          <w:tab w:val="left" w:pos="5760"/>
          <w:tab w:val="left" w:pos="6480"/>
          <w:tab w:val="left" w:pos="7470"/>
          <w:tab w:val="left" w:pos="7920"/>
          <w:tab w:val="left" w:pos="8640"/>
          <w:tab w:val="left" w:pos="9360"/>
          <w:tab w:val="left" w:pos="10170"/>
          <w:tab w:val="left" w:pos="10200"/>
          <w:tab w:val="left" w:pos="10800"/>
          <w:tab w:val="left" w:pos="11520"/>
          <w:tab w:val="left" w:pos="12240"/>
        </w:tabs>
        <w:rPr>
          <w:sz w:val="16"/>
          <w:szCs w:val="16"/>
        </w:rPr>
      </w:pPr>
      <w:r>
        <w:rPr>
          <w:sz w:val="16"/>
          <w:szCs w:val="16"/>
        </w:rPr>
        <w:tab/>
        <w:t>May 2001</w:t>
      </w:r>
    </w:p>
    <w:p w:rsidR="00F826FC" w:rsidRDefault="00F826FC" w:rsidP="00F826FC">
      <w:pPr>
        <w:tabs>
          <w:tab w:val="left" w:pos="-1440"/>
          <w:tab w:val="left" w:pos="-720"/>
          <w:tab w:val="left" w:pos="0"/>
          <w:tab w:val="left" w:pos="720"/>
          <w:tab w:val="left" w:pos="1440"/>
          <w:tab w:val="left" w:pos="2160"/>
          <w:tab w:val="left" w:pos="2610"/>
          <w:tab w:val="left" w:pos="2640"/>
          <w:tab w:val="left" w:pos="3600"/>
          <w:tab w:val="left" w:pos="4320"/>
          <w:tab w:val="left" w:pos="5280"/>
          <w:tab w:val="left" w:pos="5310"/>
          <w:tab w:val="left" w:pos="5760"/>
          <w:tab w:val="left" w:pos="6480"/>
          <w:tab w:val="left" w:pos="7470"/>
          <w:tab w:val="left" w:pos="7920"/>
          <w:tab w:val="left" w:pos="8640"/>
          <w:tab w:val="left" w:pos="9360"/>
          <w:tab w:val="left" w:pos="10170"/>
          <w:tab w:val="left" w:pos="10200"/>
          <w:tab w:val="left" w:pos="10800"/>
          <w:tab w:val="left" w:pos="11520"/>
          <w:tab w:val="left" w:pos="12240"/>
        </w:tabs>
        <w:rPr>
          <w:sz w:val="16"/>
          <w:szCs w:val="16"/>
        </w:rPr>
      </w:pPr>
    </w:p>
    <w:p w:rsidR="00F826FC" w:rsidRDefault="00F826FC" w:rsidP="00F826FC">
      <w:pPr>
        <w:tabs>
          <w:tab w:val="left" w:pos="0"/>
          <w:tab w:val="left" w:pos="657"/>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229.</w:t>
      </w:r>
      <w:r>
        <w:rPr>
          <w:sz w:val="16"/>
          <w:szCs w:val="16"/>
        </w:rPr>
        <w:tab/>
        <w:t>8893</w:t>
      </w:r>
      <w:r>
        <w:rPr>
          <w:sz w:val="16"/>
          <w:szCs w:val="16"/>
        </w:rPr>
        <w:tab/>
      </w:r>
      <w:r>
        <w:rPr>
          <w:sz w:val="16"/>
          <w:szCs w:val="16"/>
        </w:rPr>
        <w:tab/>
      </w:r>
      <w:r>
        <w:rPr>
          <w:sz w:val="16"/>
          <w:szCs w:val="16"/>
        </w:rPr>
        <w:tab/>
        <w:t>Baltimore Gas &amp; Electric Co.</w:t>
      </w:r>
      <w:r>
        <w:rPr>
          <w:sz w:val="16"/>
          <w:szCs w:val="16"/>
        </w:rPr>
        <w:tab/>
      </w:r>
      <w:r>
        <w:rPr>
          <w:sz w:val="16"/>
          <w:szCs w:val="16"/>
        </w:rPr>
        <w:tab/>
        <w:t>Maryland</w:t>
      </w:r>
      <w:r>
        <w:rPr>
          <w:sz w:val="16"/>
          <w:szCs w:val="16"/>
        </w:rPr>
        <w:tab/>
      </w:r>
      <w:r>
        <w:rPr>
          <w:sz w:val="16"/>
          <w:szCs w:val="16"/>
        </w:rPr>
        <w:tab/>
      </w:r>
      <w:r>
        <w:rPr>
          <w:sz w:val="16"/>
          <w:szCs w:val="16"/>
        </w:rPr>
        <w:tab/>
        <w:t>MD Energy Administration</w:t>
      </w:r>
      <w:r>
        <w:rPr>
          <w:sz w:val="16"/>
          <w:szCs w:val="16"/>
        </w:rPr>
        <w:tab/>
      </w:r>
      <w:r>
        <w:rPr>
          <w:sz w:val="16"/>
          <w:szCs w:val="16"/>
        </w:rPr>
        <w:tab/>
        <w:t>Corporate Restructuring</w:t>
      </w:r>
    </w:p>
    <w:p w:rsidR="00F826FC" w:rsidRDefault="00F826FC" w:rsidP="00F826FC">
      <w:pPr>
        <w:tabs>
          <w:tab w:val="left" w:pos="0"/>
          <w:tab w:val="left" w:pos="666"/>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2001</w:t>
      </w:r>
    </w:p>
    <w:p w:rsidR="00F826FC" w:rsidRDefault="00F826FC" w:rsidP="00F826FC">
      <w:pPr>
        <w:tabs>
          <w:tab w:val="left" w:pos="0"/>
          <w:tab w:val="left" w:pos="720"/>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230.</w:t>
      </w:r>
      <w:r>
        <w:rPr>
          <w:sz w:val="16"/>
          <w:szCs w:val="16"/>
        </w:rPr>
        <w:tab/>
        <w:t>8890</w:t>
      </w:r>
      <w:r>
        <w:rPr>
          <w:sz w:val="16"/>
          <w:szCs w:val="16"/>
        </w:rPr>
        <w:tab/>
      </w:r>
      <w:r>
        <w:rPr>
          <w:sz w:val="16"/>
          <w:szCs w:val="16"/>
        </w:rPr>
        <w:tab/>
      </w:r>
      <w:r>
        <w:rPr>
          <w:sz w:val="16"/>
          <w:szCs w:val="16"/>
        </w:rPr>
        <w:tab/>
        <w:t>Potomac Electric/Connectivity</w:t>
      </w:r>
      <w:r>
        <w:rPr>
          <w:sz w:val="16"/>
          <w:szCs w:val="16"/>
        </w:rPr>
        <w:tab/>
      </w:r>
      <w:r>
        <w:rPr>
          <w:sz w:val="16"/>
          <w:szCs w:val="16"/>
        </w:rPr>
        <w:tab/>
        <w:t>Maryland</w:t>
      </w:r>
      <w:r>
        <w:rPr>
          <w:sz w:val="16"/>
          <w:szCs w:val="16"/>
        </w:rPr>
        <w:tab/>
      </w:r>
      <w:r>
        <w:rPr>
          <w:sz w:val="16"/>
          <w:szCs w:val="16"/>
        </w:rPr>
        <w:tab/>
      </w:r>
      <w:r>
        <w:rPr>
          <w:sz w:val="16"/>
          <w:szCs w:val="16"/>
        </w:rPr>
        <w:tab/>
        <w:t>MD Energy Administration</w:t>
      </w:r>
      <w:r>
        <w:rPr>
          <w:sz w:val="16"/>
          <w:szCs w:val="16"/>
        </w:rPr>
        <w:tab/>
      </w:r>
      <w:r>
        <w:rPr>
          <w:sz w:val="16"/>
          <w:szCs w:val="16"/>
        </w:rPr>
        <w:tab/>
        <w:t>Merger Issues</w:t>
      </w:r>
    </w:p>
    <w:p w:rsidR="00F826FC" w:rsidRDefault="00F826FC" w:rsidP="00F826FC">
      <w:pPr>
        <w:tabs>
          <w:tab w:val="left" w:pos="0"/>
          <w:tab w:val="left" w:pos="684"/>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2001</w:t>
      </w:r>
    </w:p>
    <w:p w:rsidR="00F826FC" w:rsidRDefault="00F826FC" w:rsidP="00F826FC">
      <w:pPr>
        <w:tabs>
          <w:tab w:val="left" w:pos="0"/>
          <w:tab w:val="left" w:pos="720"/>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57"/>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br w:type="page"/>
        <w:t>231.</w:t>
      </w:r>
      <w:r>
        <w:rPr>
          <w:sz w:val="16"/>
          <w:szCs w:val="16"/>
        </w:rPr>
        <w:tab/>
        <w:t>U-25533</w:t>
      </w:r>
      <w:r>
        <w:rPr>
          <w:sz w:val="16"/>
          <w:szCs w:val="16"/>
        </w:rPr>
        <w:tab/>
      </w:r>
      <w:r>
        <w:rPr>
          <w:sz w:val="16"/>
          <w:szCs w:val="16"/>
        </w:rPr>
        <w:tab/>
      </w:r>
      <w:r>
        <w:rPr>
          <w:sz w:val="16"/>
          <w:szCs w:val="16"/>
        </w:rPr>
        <w:tab/>
        <w:t>Entergy Louisiana /</w:t>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Purchase Power Contracts</w:t>
      </w:r>
    </w:p>
    <w:p w:rsidR="00F826FC" w:rsidRDefault="00F826FC" w:rsidP="00F826FC">
      <w:pPr>
        <w:tabs>
          <w:tab w:val="left" w:pos="0"/>
          <w:tab w:val="left" w:pos="657"/>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August 2001</w:t>
      </w:r>
      <w:r>
        <w:rPr>
          <w:sz w:val="16"/>
          <w:szCs w:val="16"/>
        </w:rPr>
        <w:tab/>
      </w:r>
      <w:r>
        <w:rPr>
          <w:sz w:val="16"/>
          <w:szCs w:val="16"/>
        </w:rPr>
        <w:tab/>
        <w:t xml:space="preserve">  Gulf States</w:t>
      </w:r>
      <w:r>
        <w:rPr>
          <w:sz w:val="16"/>
          <w:szCs w:val="16"/>
        </w:rPr>
        <w:tab/>
      </w:r>
      <w:r>
        <w:rPr>
          <w:sz w:val="16"/>
          <w:szCs w:val="16"/>
        </w:rPr>
        <w:tab/>
      </w:r>
      <w:r>
        <w:rPr>
          <w:sz w:val="16"/>
          <w:szCs w:val="16"/>
        </w:rPr>
        <w:tab/>
      </w:r>
    </w:p>
    <w:p w:rsidR="00F826FC" w:rsidRDefault="00F826FC" w:rsidP="00F826FC">
      <w:pPr>
        <w:tabs>
          <w:tab w:val="left" w:pos="0"/>
          <w:tab w:val="left" w:pos="720"/>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232.</w:t>
      </w:r>
      <w:r>
        <w:rPr>
          <w:sz w:val="16"/>
          <w:szCs w:val="16"/>
        </w:rPr>
        <w:tab/>
        <w:t>U-25965</w:t>
      </w:r>
      <w:r>
        <w:rPr>
          <w:sz w:val="16"/>
          <w:szCs w:val="16"/>
        </w:rPr>
        <w:tab/>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Louisiana</w:t>
      </w:r>
      <w:r>
        <w:rPr>
          <w:sz w:val="16"/>
          <w:szCs w:val="16"/>
        </w:rPr>
        <w:tab/>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RTO Issues</w:t>
      </w:r>
    </w:p>
    <w:p w:rsidR="00F826FC" w:rsidRDefault="00F826FC" w:rsidP="00F826FC">
      <w:pPr>
        <w:tabs>
          <w:tab w:val="left" w:pos="-1440"/>
          <w:tab w:val="left" w:pos="-720"/>
          <w:tab w:val="left" w:pos="0"/>
          <w:tab w:val="left" w:pos="600"/>
          <w:tab w:val="left" w:pos="666"/>
          <w:tab w:val="left" w:pos="1440"/>
          <w:tab w:val="left" w:pos="2160"/>
          <w:tab w:val="left" w:pos="2610"/>
          <w:tab w:val="left" w:pos="2640"/>
          <w:tab w:val="left" w:pos="2880"/>
          <w:tab w:val="left" w:pos="3600"/>
          <w:tab w:val="left" w:pos="4320"/>
          <w:tab w:val="left" w:pos="5280"/>
          <w:tab w:val="left" w:pos="5310"/>
          <w:tab w:val="left" w:pos="5760"/>
          <w:tab w:val="left" w:pos="6480"/>
          <w:tab w:val="left" w:pos="7470"/>
          <w:tab w:val="left" w:pos="7920"/>
          <w:tab w:val="left" w:pos="8640"/>
          <w:tab w:val="left" w:pos="9360"/>
          <w:tab w:val="left" w:pos="10170"/>
          <w:tab w:val="left" w:pos="10200"/>
          <w:tab w:val="left" w:pos="10800"/>
          <w:tab w:val="left" w:pos="11520"/>
          <w:tab w:val="left" w:pos="12240"/>
        </w:tabs>
        <w:rPr>
          <w:sz w:val="16"/>
          <w:szCs w:val="16"/>
        </w:rPr>
      </w:pPr>
      <w:r>
        <w:rPr>
          <w:sz w:val="16"/>
          <w:szCs w:val="16"/>
        </w:rPr>
        <w:tab/>
      </w:r>
      <w:r>
        <w:rPr>
          <w:sz w:val="16"/>
          <w:szCs w:val="16"/>
        </w:rPr>
        <w:tab/>
        <w:t>November 2001</w:t>
      </w:r>
    </w:p>
    <w:p w:rsidR="00F826FC" w:rsidRDefault="00F826FC" w:rsidP="00F826FC">
      <w:pPr>
        <w:tabs>
          <w:tab w:val="left" w:pos="-1440"/>
          <w:tab w:val="left" w:pos="-720"/>
          <w:tab w:val="left" w:pos="0"/>
          <w:tab w:val="left" w:pos="600"/>
          <w:tab w:val="left" w:pos="720"/>
          <w:tab w:val="left" w:pos="1440"/>
          <w:tab w:val="left" w:pos="2160"/>
          <w:tab w:val="left" w:pos="2610"/>
          <w:tab w:val="left" w:pos="2640"/>
          <w:tab w:val="left" w:pos="2880"/>
          <w:tab w:val="left" w:pos="3600"/>
          <w:tab w:val="left" w:pos="4320"/>
          <w:tab w:val="left" w:pos="5280"/>
          <w:tab w:val="left" w:pos="5310"/>
          <w:tab w:val="left" w:pos="5760"/>
          <w:tab w:val="left" w:pos="6480"/>
          <w:tab w:val="left" w:pos="7470"/>
          <w:tab w:val="left" w:pos="7920"/>
          <w:tab w:val="left" w:pos="8640"/>
          <w:tab w:val="left" w:pos="9360"/>
          <w:tab w:val="left" w:pos="10170"/>
          <w:tab w:val="left" w:pos="10200"/>
          <w:tab w:val="left" w:pos="10800"/>
          <w:tab w:val="left" w:pos="11520"/>
          <w:tab w:val="left" w:pos="12240"/>
        </w:tabs>
        <w:rPr>
          <w:sz w:val="16"/>
          <w:szCs w:val="16"/>
        </w:rPr>
      </w:pPr>
    </w:p>
    <w:p w:rsidR="00F826FC" w:rsidRDefault="00F826FC" w:rsidP="00F826FC">
      <w:pPr>
        <w:tabs>
          <w:tab w:val="left" w:pos="0"/>
          <w:tab w:val="left" w:pos="657"/>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233.</w:t>
      </w:r>
      <w:r>
        <w:rPr>
          <w:sz w:val="16"/>
          <w:szCs w:val="16"/>
        </w:rPr>
        <w:tab/>
        <w:t>3401</w:t>
      </w:r>
      <w:r>
        <w:rPr>
          <w:sz w:val="16"/>
          <w:szCs w:val="16"/>
        </w:rPr>
        <w:tab/>
      </w:r>
      <w:r>
        <w:rPr>
          <w:sz w:val="16"/>
          <w:szCs w:val="16"/>
        </w:rPr>
        <w:tab/>
      </w:r>
      <w:r>
        <w:rPr>
          <w:sz w:val="16"/>
          <w:szCs w:val="16"/>
        </w:rPr>
        <w:tab/>
        <w:t>New England Gas Co.</w:t>
      </w:r>
      <w:r>
        <w:rPr>
          <w:sz w:val="16"/>
          <w:szCs w:val="16"/>
        </w:rPr>
        <w:tab/>
      </w:r>
      <w:r>
        <w:rPr>
          <w:sz w:val="16"/>
          <w:szCs w:val="16"/>
        </w:rPr>
        <w:tab/>
      </w:r>
      <w:r>
        <w:rPr>
          <w:sz w:val="16"/>
          <w:szCs w:val="16"/>
        </w:rPr>
        <w:tab/>
        <w:t>Rhode Island</w:t>
      </w:r>
      <w:r>
        <w:rPr>
          <w:sz w:val="16"/>
          <w:szCs w:val="16"/>
        </w:rPr>
        <w:tab/>
      </w:r>
      <w:r>
        <w:rPr>
          <w:sz w:val="16"/>
          <w:szCs w:val="16"/>
        </w:rPr>
        <w:tab/>
      </w:r>
      <w:r>
        <w:rPr>
          <w:sz w:val="16"/>
          <w:szCs w:val="16"/>
        </w:rPr>
        <w:tab/>
        <w:t>Division of Public Utilities</w:t>
      </w:r>
      <w:r>
        <w:rPr>
          <w:sz w:val="16"/>
          <w:szCs w:val="16"/>
        </w:rPr>
        <w:tab/>
      </w:r>
      <w:r>
        <w:rPr>
          <w:sz w:val="16"/>
          <w:szCs w:val="16"/>
        </w:rPr>
        <w:tab/>
        <w:t>Rate of Return</w:t>
      </w:r>
    </w:p>
    <w:p w:rsidR="00F826FC" w:rsidRDefault="00F826FC" w:rsidP="00F826FC">
      <w:pPr>
        <w:tabs>
          <w:tab w:val="left" w:pos="0"/>
          <w:tab w:val="left" w:pos="657"/>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2002</w:t>
      </w:r>
    </w:p>
    <w:p w:rsidR="00F826FC" w:rsidRDefault="00F826FC" w:rsidP="00F826FC">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84"/>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234.</w:t>
      </w:r>
      <w:r>
        <w:rPr>
          <w:sz w:val="16"/>
          <w:szCs w:val="16"/>
        </w:rPr>
        <w:tab/>
        <w:t>99-833-MJR</w:t>
      </w:r>
      <w:r>
        <w:rPr>
          <w:sz w:val="16"/>
          <w:szCs w:val="16"/>
        </w:rPr>
        <w:tab/>
      </w:r>
      <w:r>
        <w:rPr>
          <w:sz w:val="16"/>
          <w:szCs w:val="16"/>
        </w:rPr>
        <w:tab/>
        <w:t>Illinois Power Co.</w:t>
      </w:r>
      <w:r>
        <w:rPr>
          <w:sz w:val="16"/>
          <w:szCs w:val="16"/>
        </w:rPr>
        <w:tab/>
      </w:r>
      <w:r>
        <w:rPr>
          <w:sz w:val="16"/>
          <w:szCs w:val="16"/>
        </w:rPr>
        <w:tab/>
      </w:r>
      <w:r>
        <w:rPr>
          <w:sz w:val="16"/>
          <w:szCs w:val="16"/>
        </w:rPr>
        <w:tab/>
        <w:t>U.S. District Court</w:t>
      </w:r>
      <w:r>
        <w:rPr>
          <w:sz w:val="16"/>
          <w:szCs w:val="16"/>
        </w:rPr>
        <w:tab/>
      </w:r>
      <w:r>
        <w:rPr>
          <w:sz w:val="16"/>
          <w:szCs w:val="16"/>
        </w:rPr>
        <w:tab/>
        <w:t>U.S. Department of Justice</w:t>
      </w:r>
      <w:r>
        <w:rPr>
          <w:sz w:val="16"/>
          <w:szCs w:val="16"/>
        </w:rPr>
        <w:tab/>
      </w:r>
      <w:r>
        <w:rPr>
          <w:sz w:val="16"/>
          <w:szCs w:val="16"/>
        </w:rPr>
        <w:tab/>
        <w:t>New Source Review</w:t>
      </w:r>
    </w:p>
    <w:p w:rsidR="00F826FC" w:rsidRDefault="00F826FC" w:rsidP="00F826FC">
      <w:pPr>
        <w:tabs>
          <w:tab w:val="left" w:pos="0"/>
          <w:tab w:val="left" w:pos="684"/>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April 2002</w:t>
      </w:r>
    </w:p>
    <w:p w:rsidR="00F826FC" w:rsidRDefault="00F826FC" w:rsidP="00F826FC">
      <w:pPr>
        <w:tabs>
          <w:tab w:val="left" w:pos="0"/>
          <w:tab w:val="left" w:pos="684"/>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235.</w:t>
      </w:r>
      <w:r>
        <w:rPr>
          <w:sz w:val="16"/>
          <w:szCs w:val="16"/>
        </w:rPr>
        <w:tab/>
        <w:t>U-25533</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r>
      <w:r>
        <w:rPr>
          <w:sz w:val="16"/>
          <w:szCs w:val="16"/>
        </w:rPr>
        <w:tab/>
        <w:t>PSC Staff</w:t>
      </w:r>
      <w:r>
        <w:rPr>
          <w:sz w:val="16"/>
          <w:szCs w:val="16"/>
        </w:rPr>
        <w:tab/>
      </w:r>
      <w:r>
        <w:rPr>
          <w:sz w:val="16"/>
          <w:szCs w:val="16"/>
        </w:rPr>
        <w:tab/>
      </w:r>
      <w:r>
        <w:rPr>
          <w:sz w:val="16"/>
          <w:szCs w:val="16"/>
        </w:rPr>
        <w:tab/>
        <w:t>Nuclear Uprates</w:t>
      </w:r>
    </w:p>
    <w:p w:rsidR="00F826FC" w:rsidRDefault="00F826FC" w:rsidP="00F826FC">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2002</w:t>
      </w:r>
      <w:r>
        <w:rPr>
          <w:sz w:val="16"/>
          <w:szCs w:val="16"/>
        </w:rPr>
        <w:tab/>
      </w:r>
      <w:r>
        <w:rPr>
          <w:sz w:val="16"/>
          <w:szCs w:val="16"/>
        </w:rPr>
        <w:tab/>
        <w:t xml:space="preserve">  Gulf States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Purchase Power</w:t>
      </w:r>
    </w:p>
    <w:p w:rsidR="00F826FC" w:rsidRDefault="00F826FC" w:rsidP="00F826FC">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236.</w:t>
      </w:r>
      <w:r>
        <w:rPr>
          <w:sz w:val="16"/>
          <w:szCs w:val="16"/>
        </w:rPr>
        <w:tab/>
        <w:t>P-00011872</w:t>
      </w:r>
      <w:r>
        <w:rPr>
          <w:sz w:val="16"/>
          <w:szCs w:val="16"/>
        </w:rPr>
        <w:tab/>
      </w:r>
      <w:r>
        <w:rPr>
          <w:sz w:val="16"/>
          <w:szCs w:val="16"/>
        </w:rPr>
        <w:tab/>
        <w:t xml:space="preserve">Pike County Power </w:t>
      </w:r>
      <w:r>
        <w:rPr>
          <w:sz w:val="16"/>
          <w:szCs w:val="16"/>
        </w:rPr>
        <w:tab/>
      </w:r>
      <w:r>
        <w:rPr>
          <w:sz w:val="16"/>
          <w:szCs w:val="16"/>
        </w:rPr>
        <w:tab/>
      </w:r>
      <w:r>
        <w:rPr>
          <w:sz w:val="16"/>
          <w:szCs w:val="16"/>
        </w:rPr>
        <w:tab/>
        <w:t>Pennsylvania</w:t>
      </w:r>
      <w:r>
        <w:rPr>
          <w:sz w:val="16"/>
          <w:szCs w:val="16"/>
        </w:rPr>
        <w:tab/>
      </w:r>
      <w:r>
        <w:rPr>
          <w:sz w:val="16"/>
          <w:szCs w:val="16"/>
        </w:rPr>
        <w:tab/>
      </w:r>
      <w:r>
        <w:rPr>
          <w:sz w:val="16"/>
          <w:szCs w:val="16"/>
        </w:rPr>
        <w:tab/>
        <w:t>Consumer Advocate</w:t>
      </w:r>
      <w:r>
        <w:rPr>
          <w:sz w:val="16"/>
          <w:szCs w:val="16"/>
        </w:rPr>
        <w:tab/>
      </w:r>
      <w:r>
        <w:rPr>
          <w:sz w:val="16"/>
          <w:szCs w:val="16"/>
        </w:rPr>
        <w:tab/>
        <w:t>POLR Service Costs</w:t>
      </w:r>
    </w:p>
    <w:p w:rsidR="00F826FC" w:rsidRDefault="00F826FC" w:rsidP="00F826FC">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May 2002</w:t>
      </w:r>
      <w:r>
        <w:rPr>
          <w:sz w:val="16"/>
          <w:szCs w:val="16"/>
        </w:rPr>
        <w:tab/>
      </w:r>
      <w:r>
        <w:rPr>
          <w:sz w:val="16"/>
          <w:szCs w:val="16"/>
        </w:rPr>
        <w:tab/>
      </w:r>
      <w:r>
        <w:rPr>
          <w:sz w:val="16"/>
          <w:szCs w:val="16"/>
        </w:rPr>
        <w:tab/>
        <w:t>&amp; Light</w:t>
      </w:r>
    </w:p>
    <w:p w:rsidR="00F826FC" w:rsidRDefault="00F826FC" w:rsidP="00F826FC">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237.</w:t>
      </w:r>
      <w:r>
        <w:rPr>
          <w:sz w:val="16"/>
          <w:szCs w:val="16"/>
        </w:rPr>
        <w:tab/>
        <w:t>U-26361, Phase I</w:t>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r>
      <w:r>
        <w:rPr>
          <w:sz w:val="16"/>
          <w:szCs w:val="16"/>
        </w:rPr>
        <w:tab/>
        <w:t>PSC Staff</w:t>
      </w:r>
      <w:r>
        <w:rPr>
          <w:sz w:val="16"/>
          <w:szCs w:val="16"/>
        </w:rPr>
        <w:tab/>
      </w:r>
      <w:r>
        <w:rPr>
          <w:sz w:val="16"/>
          <w:szCs w:val="16"/>
        </w:rPr>
        <w:tab/>
      </w:r>
      <w:r>
        <w:rPr>
          <w:sz w:val="16"/>
          <w:szCs w:val="16"/>
        </w:rPr>
        <w:tab/>
        <w:t>Purchase Power Cost</w:t>
      </w:r>
    </w:p>
    <w:p w:rsidR="00F826FC" w:rsidRDefault="00F826FC" w:rsidP="00F826FC">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May 2002</w:t>
      </w:r>
      <w:r>
        <w:rPr>
          <w:sz w:val="16"/>
          <w:szCs w:val="16"/>
        </w:rPr>
        <w:tab/>
      </w:r>
      <w:r>
        <w:rPr>
          <w:sz w:val="16"/>
          <w:szCs w:val="16"/>
        </w:rPr>
        <w:tab/>
      </w:r>
      <w:r>
        <w:rPr>
          <w:sz w:val="16"/>
          <w:szCs w:val="16"/>
        </w:rPr>
        <w:tab/>
        <w:t xml:space="preserve">   Gulf States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Allocations</w:t>
      </w:r>
    </w:p>
    <w:p w:rsidR="00F826FC" w:rsidRDefault="00F826FC" w:rsidP="00F826FC">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238.</w:t>
      </w:r>
      <w:r>
        <w:rPr>
          <w:sz w:val="16"/>
          <w:szCs w:val="16"/>
        </w:rPr>
        <w:tab/>
        <w:t>R-00016849C001, et al.</w:t>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Pennsylvania</w:t>
      </w:r>
      <w:r>
        <w:rPr>
          <w:sz w:val="16"/>
          <w:szCs w:val="16"/>
        </w:rPr>
        <w:tab/>
      </w:r>
      <w:r>
        <w:rPr>
          <w:sz w:val="16"/>
          <w:szCs w:val="16"/>
        </w:rPr>
        <w:tab/>
      </w:r>
      <w:r>
        <w:rPr>
          <w:sz w:val="16"/>
          <w:szCs w:val="16"/>
        </w:rPr>
        <w:tab/>
        <w:t>Pennsylvania OCA</w:t>
      </w:r>
      <w:r>
        <w:rPr>
          <w:sz w:val="16"/>
          <w:szCs w:val="16"/>
        </w:rPr>
        <w:tab/>
      </w:r>
      <w:r>
        <w:rPr>
          <w:sz w:val="16"/>
          <w:szCs w:val="16"/>
        </w:rPr>
        <w:tab/>
        <w:t>Rate of Return</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2002</w:t>
      </w:r>
    </w:p>
    <w:p w:rsidR="00F826FC" w:rsidRDefault="00F826FC" w:rsidP="00F826FC">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239.</w:t>
      </w:r>
      <w:r>
        <w:rPr>
          <w:sz w:val="16"/>
          <w:szCs w:val="16"/>
        </w:rPr>
        <w:tab/>
        <w:t>U-26361, Phase II</w:t>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r>
      <w:r>
        <w:rPr>
          <w:sz w:val="16"/>
          <w:szCs w:val="16"/>
        </w:rPr>
        <w:tab/>
        <w:t>PSC Staff</w:t>
      </w:r>
      <w:r>
        <w:rPr>
          <w:sz w:val="16"/>
          <w:szCs w:val="16"/>
        </w:rPr>
        <w:tab/>
      </w:r>
      <w:r>
        <w:rPr>
          <w:sz w:val="16"/>
          <w:szCs w:val="16"/>
        </w:rPr>
        <w:tab/>
      </w:r>
      <w:r>
        <w:rPr>
          <w:sz w:val="16"/>
          <w:szCs w:val="16"/>
        </w:rPr>
        <w:tab/>
        <w:t>Purchase Power</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2002</w:t>
      </w:r>
      <w:r>
        <w:rPr>
          <w:sz w:val="16"/>
          <w:szCs w:val="16"/>
        </w:rPr>
        <w:tab/>
      </w:r>
      <w:r>
        <w:rPr>
          <w:sz w:val="16"/>
          <w:szCs w:val="16"/>
        </w:rPr>
        <w:tab/>
      </w:r>
      <w:r>
        <w:rPr>
          <w:sz w:val="16"/>
          <w:szCs w:val="16"/>
        </w:rPr>
        <w:tab/>
        <w:t xml:space="preserve">  Entergy Gulf States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Contracts</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fldChar w:fldCharType="begin"/>
      </w:r>
      <w:r>
        <w:rPr>
          <w:sz w:val="16"/>
          <w:szCs w:val="16"/>
        </w:rPr>
        <w:instrText xml:space="preserve"> SEQ CHAPTER \h \r 1</w:instrText>
      </w:r>
      <w:r>
        <w:rPr>
          <w:sz w:val="16"/>
          <w:szCs w:val="16"/>
        </w:rPr>
        <w:fldChar w:fldCharType="end"/>
      </w:r>
      <w:r>
        <w:rPr>
          <w:sz w:val="16"/>
          <w:szCs w:val="16"/>
        </w:rPr>
        <w:t>240.</w:t>
      </w:r>
      <w:r>
        <w:rPr>
          <w:sz w:val="16"/>
          <w:szCs w:val="16"/>
        </w:rPr>
        <w:tab/>
        <w:t>U-20925(B)</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r>
      <w:r>
        <w:rPr>
          <w:sz w:val="16"/>
          <w:szCs w:val="16"/>
        </w:rPr>
        <w:tab/>
        <w:t>PSC Staff</w:t>
      </w:r>
      <w:r>
        <w:rPr>
          <w:sz w:val="16"/>
          <w:szCs w:val="16"/>
        </w:rPr>
        <w:tab/>
      </w:r>
      <w:r>
        <w:rPr>
          <w:sz w:val="16"/>
          <w:szCs w:val="16"/>
        </w:rPr>
        <w:tab/>
      </w:r>
      <w:r>
        <w:rPr>
          <w:sz w:val="16"/>
          <w:szCs w:val="16"/>
        </w:rPr>
        <w:tab/>
        <w:t>Tax Issues</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August 2002</w:t>
      </w:r>
    </w:p>
    <w:p w:rsidR="00F826FC" w:rsidRDefault="00F826FC" w:rsidP="00F826FC">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241.</w:t>
      </w:r>
      <w:r>
        <w:rPr>
          <w:sz w:val="16"/>
          <w:szCs w:val="16"/>
        </w:rPr>
        <w:tab/>
        <w:t>U-26531</w:t>
      </w:r>
      <w:r>
        <w:rPr>
          <w:sz w:val="16"/>
          <w:szCs w:val="16"/>
        </w:rPr>
        <w:tab/>
      </w:r>
      <w:r>
        <w:rPr>
          <w:sz w:val="16"/>
          <w:szCs w:val="16"/>
        </w:rPr>
        <w:tab/>
      </w:r>
      <w:r>
        <w:rPr>
          <w:sz w:val="16"/>
          <w:szCs w:val="16"/>
        </w:rPr>
        <w:tab/>
        <w:t>SWEPCO</w:t>
      </w:r>
      <w:r>
        <w:rPr>
          <w:sz w:val="16"/>
          <w:szCs w:val="16"/>
        </w:rPr>
        <w:tab/>
      </w:r>
      <w:r>
        <w:rPr>
          <w:sz w:val="16"/>
          <w:szCs w:val="16"/>
        </w:rPr>
        <w:tab/>
      </w:r>
      <w:r>
        <w:rPr>
          <w:sz w:val="16"/>
          <w:szCs w:val="16"/>
        </w:rPr>
        <w:tab/>
      </w:r>
      <w:r>
        <w:rPr>
          <w:sz w:val="16"/>
          <w:szCs w:val="16"/>
        </w:rPr>
        <w:tab/>
        <w:t>Louisiana</w:t>
      </w:r>
      <w:r>
        <w:rPr>
          <w:sz w:val="16"/>
          <w:szCs w:val="16"/>
        </w:rPr>
        <w:tab/>
      </w:r>
      <w:r>
        <w:rPr>
          <w:sz w:val="16"/>
          <w:szCs w:val="16"/>
        </w:rPr>
        <w:tab/>
      </w:r>
      <w:r>
        <w:rPr>
          <w:sz w:val="16"/>
          <w:szCs w:val="16"/>
        </w:rPr>
        <w:tab/>
        <w:t>PSC Staff</w:t>
      </w:r>
      <w:r>
        <w:rPr>
          <w:sz w:val="16"/>
          <w:szCs w:val="16"/>
        </w:rPr>
        <w:tab/>
      </w:r>
      <w:r>
        <w:rPr>
          <w:sz w:val="16"/>
          <w:szCs w:val="16"/>
        </w:rPr>
        <w:tab/>
      </w:r>
      <w:r>
        <w:rPr>
          <w:sz w:val="16"/>
          <w:szCs w:val="16"/>
        </w:rPr>
        <w:tab/>
        <w:t>Purchase Power Contract</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2002</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242.</w:t>
      </w:r>
      <w:r>
        <w:rPr>
          <w:sz w:val="16"/>
          <w:szCs w:val="16"/>
        </w:rPr>
        <w:tab/>
        <w:t>8936</w:t>
      </w:r>
      <w:r>
        <w:rPr>
          <w:sz w:val="16"/>
          <w:szCs w:val="16"/>
        </w:rPr>
        <w:tab/>
      </w:r>
      <w:r>
        <w:rPr>
          <w:sz w:val="16"/>
          <w:szCs w:val="16"/>
        </w:rPr>
        <w:tab/>
      </w:r>
      <w:r>
        <w:rPr>
          <w:sz w:val="16"/>
          <w:szCs w:val="16"/>
        </w:rPr>
        <w:tab/>
        <w:t>Delmarva Power &amp; Light</w:t>
      </w:r>
      <w:r>
        <w:rPr>
          <w:sz w:val="16"/>
          <w:szCs w:val="16"/>
        </w:rPr>
        <w:tab/>
      </w:r>
      <w:r>
        <w:rPr>
          <w:sz w:val="16"/>
          <w:szCs w:val="16"/>
        </w:rPr>
        <w:tab/>
      </w:r>
      <w:r>
        <w:rPr>
          <w:sz w:val="16"/>
          <w:szCs w:val="16"/>
        </w:rPr>
        <w:tab/>
        <w:t>Maryland</w:t>
      </w:r>
      <w:r>
        <w:rPr>
          <w:sz w:val="16"/>
          <w:szCs w:val="16"/>
        </w:rPr>
        <w:tab/>
      </w:r>
      <w:r>
        <w:rPr>
          <w:sz w:val="16"/>
          <w:szCs w:val="16"/>
        </w:rPr>
        <w:tab/>
      </w:r>
      <w:r>
        <w:rPr>
          <w:sz w:val="16"/>
          <w:szCs w:val="16"/>
        </w:rPr>
        <w:tab/>
        <w:t>Energy Administration</w:t>
      </w:r>
      <w:r>
        <w:rPr>
          <w:sz w:val="16"/>
          <w:szCs w:val="16"/>
        </w:rPr>
        <w:tab/>
      </w:r>
      <w:r>
        <w:rPr>
          <w:sz w:val="16"/>
          <w:szCs w:val="16"/>
        </w:rPr>
        <w:tab/>
        <w:t>Standard Offer Service</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2002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Dept. Natural Resources</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243.</w:t>
      </w:r>
      <w:r>
        <w:rPr>
          <w:sz w:val="16"/>
          <w:szCs w:val="16"/>
        </w:rPr>
        <w:tab/>
        <w:t>U-25965</w:t>
      </w:r>
      <w:r>
        <w:rPr>
          <w:sz w:val="16"/>
          <w:szCs w:val="16"/>
        </w:rPr>
        <w:tab/>
      </w:r>
      <w:r>
        <w:rPr>
          <w:sz w:val="16"/>
          <w:szCs w:val="16"/>
        </w:rPr>
        <w:tab/>
      </w:r>
      <w:r>
        <w:rPr>
          <w:sz w:val="16"/>
          <w:szCs w:val="16"/>
        </w:rPr>
        <w:tab/>
        <w:t>SWEPCO/AEP</w:t>
      </w:r>
      <w:r>
        <w:rPr>
          <w:sz w:val="16"/>
          <w:szCs w:val="16"/>
        </w:rPr>
        <w:tab/>
      </w:r>
      <w:r>
        <w:rPr>
          <w:sz w:val="16"/>
          <w:szCs w:val="16"/>
        </w:rPr>
        <w:tab/>
      </w:r>
      <w:r>
        <w:rPr>
          <w:sz w:val="16"/>
          <w:szCs w:val="16"/>
        </w:rPr>
        <w:tab/>
        <w:t>Louisiana</w:t>
      </w:r>
      <w:r>
        <w:rPr>
          <w:sz w:val="16"/>
          <w:szCs w:val="16"/>
        </w:rPr>
        <w:tab/>
      </w:r>
      <w:r>
        <w:rPr>
          <w:sz w:val="16"/>
          <w:szCs w:val="16"/>
        </w:rPr>
        <w:tab/>
      </w:r>
      <w:r>
        <w:rPr>
          <w:sz w:val="16"/>
          <w:szCs w:val="16"/>
        </w:rPr>
        <w:tab/>
        <w:t>PSC Staff</w:t>
      </w:r>
      <w:r>
        <w:rPr>
          <w:sz w:val="16"/>
          <w:szCs w:val="16"/>
        </w:rPr>
        <w:tab/>
      </w:r>
      <w:r>
        <w:rPr>
          <w:sz w:val="16"/>
          <w:szCs w:val="16"/>
        </w:rPr>
        <w:tab/>
      </w:r>
      <w:r>
        <w:rPr>
          <w:sz w:val="16"/>
          <w:szCs w:val="16"/>
        </w:rPr>
        <w:tab/>
        <w:t>RTO Cost/Benefit</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2002</w:t>
      </w:r>
      <w:r>
        <w:rPr>
          <w:sz w:val="16"/>
          <w:szCs w:val="16"/>
        </w:rPr>
        <w:tab/>
      </w:r>
      <w:r>
        <w:rPr>
          <w:sz w:val="16"/>
          <w:szCs w:val="16"/>
        </w:rPr>
        <w:tab/>
      </w:r>
    </w:p>
    <w:p w:rsidR="00F826FC" w:rsidRDefault="00F826FC" w:rsidP="00F826FC">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244.</w:t>
      </w:r>
      <w:r>
        <w:rPr>
          <w:sz w:val="16"/>
          <w:szCs w:val="16"/>
        </w:rPr>
        <w:tab/>
        <w:t>8908 Phase I</w:t>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Maryland</w:t>
      </w:r>
      <w:r>
        <w:rPr>
          <w:sz w:val="16"/>
          <w:szCs w:val="16"/>
        </w:rPr>
        <w:tab/>
      </w:r>
      <w:r>
        <w:rPr>
          <w:sz w:val="16"/>
          <w:szCs w:val="16"/>
        </w:rPr>
        <w:tab/>
      </w:r>
      <w:r>
        <w:rPr>
          <w:sz w:val="16"/>
          <w:szCs w:val="16"/>
        </w:rPr>
        <w:tab/>
        <w:t>Energy Administration</w:t>
      </w:r>
      <w:r>
        <w:rPr>
          <w:sz w:val="16"/>
          <w:szCs w:val="16"/>
        </w:rPr>
        <w:tab/>
      </w:r>
      <w:r>
        <w:rPr>
          <w:sz w:val="16"/>
          <w:szCs w:val="16"/>
        </w:rPr>
        <w:tab/>
        <w:t>Standard Offer Service</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2002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Dept. Natural Resources</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245.</w:t>
      </w:r>
      <w:r>
        <w:rPr>
          <w:sz w:val="16"/>
          <w:szCs w:val="16"/>
        </w:rPr>
        <w:tab/>
        <w:t>02S-315EG</w:t>
      </w:r>
      <w:r>
        <w:rPr>
          <w:sz w:val="16"/>
          <w:szCs w:val="16"/>
        </w:rPr>
        <w:tab/>
      </w:r>
      <w:r>
        <w:rPr>
          <w:sz w:val="16"/>
          <w:szCs w:val="16"/>
        </w:rPr>
        <w:tab/>
      </w:r>
      <w:r>
        <w:rPr>
          <w:sz w:val="16"/>
          <w:szCs w:val="16"/>
        </w:rPr>
        <w:tab/>
        <w:t>Public Service Company</w:t>
      </w:r>
      <w:r>
        <w:rPr>
          <w:sz w:val="16"/>
          <w:szCs w:val="16"/>
        </w:rPr>
        <w:tab/>
      </w:r>
      <w:r>
        <w:rPr>
          <w:sz w:val="16"/>
          <w:szCs w:val="16"/>
        </w:rPr>
        <w:tab/>
      </w:r>
      <w:r>
        <w:rPr>
          <w:sz w:val="16"/>
          <w:szCs w:val="16"/>
        </w:rPr>
        <w:tab/>
        <w:t>Colorado</w:t>
      </w:r>
      <w:r>
        <w:rPr>
          <w:sz w:val="16"/>
          <w:szCs w:val="16"/>
        </w:rPr>
        <w:tab/>
      </w:r>
      <w:r>
        <w:rPr>
          <w:sz w:val="16"/>
          <w:szCs w:val="16"/>
        </w:rPr>
        <w:tab/>
      </w:r>
      <w:r>
        <w:rPr>
          <w:sz w:val="16"/>
          <w:szCs w:val="16"/>
        </w:rPr>
        <w:tab/>
        <w:t>Fed. Executive Agencies</w:t>
      </w:r>
      <w:r>
        <w:rPr>
          <w:sz w:val="16"/>
          <w:szCs w:val="16"/>
        </w:rPr>
        <w:tab/>
      </w:r>
      <w:r>
        <w:rPr>
          <w:sz w:val="16"/>
          <w:szCs w:val="16"/>
        </w:rPr>
        <w:tab/>
        <w:t>Rate of Return</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2002</w:t>
      </w:r>
      <w:r>
        <w:rPr>
          <w:sz w:val="16"/>
          <w:szCs w:val="16"/>
        </w:rPr>
        <w:tab/>
      </w:r>
      <w:r>
        <w:rPr>
          <w:sz w:val="16"/>
          <w:szCs w:val="16"/>
        </w:rPr>
        <w:tab/>
        <w:t xml:space="preserve">  of Colorado</w:t>
      </w:r>
      <w:r>
        <w:rPr>
          <w:sz w:val="16"/>
          <w:szCs w:val="16"/>
        </w:rPr>
        <w:tab/>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br w:type="page"/>
        <w:t>246.</w:t>
      </w:r>
      <w:r>
        <w:rPr>
          <w:sz w:val="16"/>
          <w:szCs w:val="16"/>
        </w:rPr>
        <w:tab/>
        <w:t>EL02-111-000</w:t>
      </w:r>
      <w:r>
        <w:rPr>
          <w:sz w:val="16"/>
          <w:szCs w:val="16"/>
        </w:rPr>
        <w:tab/>
      </w:r>
      <w:r>
        <w:rPr>
          <w:sz w:val="16"/>
          <w:szCs w:val="16"/>
        </w:rPr>
        <w:tab/>
        <w:t>PJM/MISO</w:t>
      </w:r>
      <w:r>
        <w:rPr>
          <w:sz w:val="16"/>
          <w:szCs w:val="16"/>
        </w:rPr>
        <w:tab/>
      </w:r>
      <w:r>
        <w:rPr>
          <w:sz w:val="16"/>
          <w:szCs w:val="16"/>
        </w:rPr>
        <w:tab/>
      </w:r>
      <w:r>
        <w:rPr>
          <w:sz w:val="16"/>
          <w:szCs w:val="16"/>
        </w:rPr>
        <w:tab/>
      </w:r>
      <w:r>
        <w:rPr>
          <w:sz w:val="16"/>
          <w:szCs w:val="16"/>
        </w:rPr>
        <w:tab/>
        <w:t>FERC</w:t>
      </w:r>
      <w:r>
        <w:rPr>
          <w:sz w:val="16"/>
          <w:szCs w:val="16"/>
        </w:rPr>
        <w:tab/>
      </w:r>
      <w:r>
        <w:rPr>
          <w:sz w:val="16"/>
          <w:szCs w:val="16"/>
        </w:rPr>
        <w:tab/>
      </w:r>
      <w:r>
        <w:rPr>
          <w:sz w:val="16"/>
          <w:szCs w:val="16"/>
        </w:rPr>
        <w:tab/>
      </w:r>
      <w:r>
        <w:rPr>
          <w:sz w:val="16"/>
          <w:szCs w:val="16"/>
        </w:rPr>
        <w:tab/>
        <w:t>MD PSC</w:t>
      </w:r>
      <w:r>
        <w:rPr>
          <w:sz w:val="16"/>
          <w:szCs w:val="16"/>
        </w:rPr>
        <w:tab/>
      </w:r>
      <w:r>
        <w:rPr>
          <w:sz w:val="16"/>
          <w:szCs w:val="16"/>
        </w:rPr>
        <w:tab/>
      </w:r>
      <w:r>
        <w:rPr>
          <w:sz w:val="16"/>
          <w:szCs w:val="16"/>
        </w:rPr>
        <w:tab/>
        <w:t>Transmission Ratemaking</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December 2002</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247.</w:t>
      </w:r>
      <w:r>
        <w:rPr>
          <w:sz w:val="16"/>
          <w:szCs w:val="16"/>
        </w:rPr>
        <w:tab/>
        <w:t>02-0479</w:t>
      </w:r>
      <w:r>
        <w:rPr>
          <w:sz w:val="16"/>
          <w:szCs w:val="16"/>
        </w:rPr>
        <w:tab/>
      </w:r>
      <w:r>
        <w:rPr>
          <w:sz w:val="16"/>
          <w:szCs w:val="16"/>
        </w:rPr>
        <w:tab/>
      </w:r>
      <w:r>
        <w:rPr>
          <w:sz w:val="16"/>
          <w:szCs w:val="16"/>
        </w:rPr>
        <w:tab/>
        <w:t>Commonwealth</w:t>
      </w:r>
      <w:r>
        <w:rPr>
          <w:sz w:val="16"/>
          <w:szCs w:val="16"/>
        </w:rPr>
        <w:tab/>
      </w:r>
      <w:r>
        <w:rPr>
          <w:sz w:val="16"/>
          <w:szCs w:val="16"/>
        </w:rPr>
        <w:tab/>
      </w:r>
      <w:r>
        <w:rPr>
          <w:sz w:val="16"/>
          <w:szCs w:val="16"/>
        </w:rPr>
        <w:tab/>
        <w:t>Illinois</w:t>
      </w:r>
      <w:r>
        <w:rPr>
          <w:sz w:val="16"/>
          <w:szCs w:val="16"/>
        </w:rPr>
        <w:tab/>
      </w:r>
      <w:r>
        <w:rPr>
          <w:sz w:val="16"/>
          <w:szCs w:val="16"/>
        </w:rPr>
        <w:tab/>
      </w:r>
      <w:r>
        <w:rPr>
          <w:sz w:val="16"/>
          <w:szCs w:val="16"/>
        </w:rPr>
        <w:tab/>
        <w:t>Dept. of Energy</w:t>
      </w:r>
      <w:r>
        <w:rPr>
          <w:sz w:val="16"/>
          <w:szCs w:val="16"/>
        </w:rPr>
        <w:tab/>
      </w:r>
      <w:r>
        <w:rPr>
          <w:sz w:val="16"/>
          <w:szCs w:val="16"/>
        </w:rPr>
        <w:tab/>
      </w:r>
      <w:r>
        <w:rPr>
          <w:sz w:val="16"/>
          <w:szCs w:val="16"/>
        </w:rPr>
        <w:tab/>
        <w:t>POLR Service</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2003</w:t>
      </w:r>
      <w:r>
        <w:rPr>
          <w:sz w:val="16"/>
          <w:szCs w:val="16"/>
        </w:rPr>
        <w:tab/>
      </w:r>
      <w:r>
        <w:rPr>
          <w:sz w:val="16"/>
          <w:szCs w:val="16"/>
        </w:rPr>
        <w:tab/>
        <w:t xml:space="preserve">  Edison</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248.</w:t>
      </w:r>
      <w:r>
        <w:rPr>
          <w:sz w:val="16"/>
          <w:szCs w:val="16"/>
        </w:rPr>
        <w:tab/>
        <w:t>PL03-1-000</w:t>
      </w:r>
      <w:r>
        <w:rPr>
          <w:sz w:val="16"/>
          <w:szCs w:val="16"/>
        </w:rPr>
        <w:tab/>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FERC</w:t>
      </w:r>
      <w:r>
        <w:rPr>
          <w:sz w:val="16"/>
          <w:szCs w:val="16"/>
        </w:rPr>
        <w:tab/>
      </w:r>
      <w:r>
        <w:rPr>
          <w:sz w:val="16"/>
          <w:szCs w:val="16"/>
        </w:rPr>
        <w:tab/>
      </w:r>
      <w:r>
        <w:rPr>
          <w:sz w:val="16"/>
          <w:szCs w:val="16"/>
        </w:rPr>
        <w:tab/>
      </w:r>
      <w:r>
        <w:rPr>
          <w:sz w:val="16"/>
          <w:szCs w:val="16"/>
        </w:rPr>
        <w:tab/>
        <w:t>NASUCA</w:t>
      </w:r>
      <w:r>
        <w:rPr>
          <w:sz w:val="16"/>
          <w:szCs w:val="16"/>
        </w:rPr>
        <w:tab/>
      </w:r>
      <w:r>
        <w:rPr>
          <w:sz w:val="16"/>
          <w:szCs w:val="16"/>
        </w:rPr>
        <w:tab/>
      </w:r>
      <w:r>
        <w:rPr>
          <w:sz w:val="16"/>
          <w:szCs w:val="16"/>
        </w:rPr>
        <w:tab/>
        <w:t xml:space="preserve">Transmission </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2003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Pricing (Affidavit)</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249.</w:t>
      </w:r>
      <w:r>
        <w:rPr>
          <w:sz w:val="16"/>
          <w:szCs w:val="16"/>
        </w:rPr>
        <w:tab/>
        <w:t>U-27136</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Purchase Power Contracts</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April 2003</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250.</w:t>
      </w:r>
      <w:r>
        <w:rPr>
          <w:sz w:val="16"/>
          <w:szCs w:val="16"/>
        </w:rPr>
        <w:tab/>
        <w:t>8908 Phase II</w:t>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Maryland</w:t>
      </w:r>
      <w:r>
        <w:rPr>
          <w:sz w:val="16"/>
          <w:szCs w:val="16"/>
        </w:rPr>
        <w:tab/>
      </w:r>
      <w:r>
        <w:rPr>
          <w:sz w:val="16"/>
          <w:szCs w:val="16"/>
        </w:rPr>
        <w:tab/>
      </w:r>
      <w:r>
        <w:rPr>
          <w:sz w:val="16"/>
          <w:szCs w:val="16"/>
        </w:rPr>
        <w:tab/>
        <w:t>Energy Administration</w:t>
      </w:r>
      <w:r>
        <w:rPr>
          <w:sz w:val="16"/>
          <w:szCs w:val="16"/>
        </w:rPr>
        <w:tab/>
      </w:r>
      <w:r>
        <w:rPr>
          <w:sz w:val="16"/>
          <w:szCs w:val="16"/>
        </w:rPr>
        <w:tab/>
        <w:t>Standard Offer Service</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2003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Dept. of Natural Resources</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251.</w:t>
      </w:r>
      <w:r>
        <w:rPr>
          <w:sz w:val="16"/>
          <w:szCs w:val="16"/>
        </w:rPr>
        <w:tab/>
        <w:t>U-27192</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r>
      <w:r>
        <w:rPr>
          <w:sz w:val="16"/>
          <w:szCs w:val="16"/>
        </w:rPr>
        <w:tab/>
        <w:t>LPSC Staff</w:t>
      </w:r>
      <w:r>
        <w:rPr>
          <w:sz w:val="16"/>
          <w:szCs w:val="16"/>
        </w:rPr>
        <w:tab/>
      </w:r>
      <w:r>
        <w:rPr>
          <w:sz w:val="16"/>
          <w:szCs w:val="16"/>
        </w:rPr>
        <w:tab/>
      </w:r>
      <w:r>
        <w:rPr>
          <w:sz w:val="16"/>
          <w:szCs w:val="16"/>
        </w:rPr>
        <w:tab/>
        <w:t xml:space="preserve">Purchase Power Contract </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2003</w:t>
      </w:r>
      <w:r>
        <w:rPr>
          <w:sz w:val="16"/>
          <w:szCs w:val="16"/>
        </w:rPr>
        <w:tab/>
      </w:r>
      <w:r>
        <w:rPr>
          <w:sz w:val="16"/>
          <w:szCs w:val="16"/>
        </w:rPr>
        <w:tab/>
      </w:r>
      <w:r>
        <w:rPr>
          <w:sz w:val="16"/>
          <w:szCs w:val="16"/>
        </w:rPr>
        <w:tab/>
        <w:t xml:space="preserve">  and Gulf States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Cost Recovery</w:t>
      </w:r>
    </w:p>
    <w:p w:rsidR="00F826FC" w:rsidRDefault="00F826FC" w:rsidP="00F826FC">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252.</w:t>
      </w:r>
      <w:r>
        <w:rPr>
          <w:sz w:val="16"/>
          <w:szCs w:val="16"/>
        </w:rPr>
        <w:tab/>
        <w:t>C2-99-1181</w:t>
      </w:r>
      <w:r>
        <w:rPr>
          <w:sz w:val="16"/>
          <w:szCs w:val="16"/>
        </w:rPr>
        <w:tab/>
      </w:r>
      <w:r>
        <w:rPr>
          <w:sz w:val="16"/>
          <w:szCs w:val="16"/>
        </w:rPr>
        <w:tab/>
      </w:r>
      <w:r>
        <w:rPr>
          <w:sz w:val="16"/>
          <w:szCs w:val="16"/>
        </w:rPr>
        <w:tab/>
        <w:t>Ohio Edison Company</w:t>
      </w:r>
      <w:r>
        <w:rPr>
          <w:sz w:val="16"/>
          <w:szCs w:val="16"/>
        </w:rPr>
        <w:tab/>
      </w:r>
      <w:r>
        <w:rPr>
          <w:sz w:val="16"/>
          <w:szCs w:val="16"/>
        </w:rPr>
        <w:tab/>
      </w:r>
      <w:r>
        <w:rPr>
          <w:sz w:val="16"/>
          <w:szCs w:val="16"/>
        </w:rPr>
        <w:tab/>
        <w:t>U.S. District Court</w:t>
      </w:r>
      <w:r>
        <w:rPr>
          <w:sz w:val="16"/>
          <w:szCs w:val="16"/>
        </w:rPr>
        <w:tab/>
      </w:r>
      <w:r>
        <w:rPr>
          <w:sz w:val="16"/>
          <w:szCs w:val="16"/>
        </w:rPr>
        <w:tab/>
        <w:t xml:space="preserve">U.S. Department of Justice, </w:t>
      </w:r>
      <w:r w:rsidRPr="00D838B5">
        <w:rPr>
          <w:sz w:val="16"/>
          <w:szCs w:val="16"/>
        </w:rPr>
        <w:t>et al.</w:t>
      </w:r>
      <w:r>
        <w:rPr>
          <w:sz w:val="16"/>
          <w:szCs w:val="16"/>
        </w:rPr>
        <w:tab/>
        <w:t>Clean Air Act Compliance</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2003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Economic Impact (Report)</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253.</w:t>
      </w:r>
      <w:r>
        <w:rPr>
          <w:sz w:val="16"/>
          <w:szCs w:val="16"/>
        </w:rPr>
        <w:tab/>
        <w:t>RP03-398-000</w:t>
      </w:r>
      <w:r>
        <w:rPr>
          <w:sz w:val="16"/>
          <w:szCs w:val="16"/>
        </w:rPr>
        <w:tab/>
      </w:r>
      <w:r>
        <w:rPr>
          <w:sz w:val="16"/>
          <w:szCs w:val="16"/>
        </w:rPr>
        <w:tab/>
        <w:t>Northern Natural Gas Co.</w:t>
      </w:r>
      <w:r>
        <w:rPr>
          <w:sz w:val="16"/>
          <w:szCs w:val="16"/>
        </w:rPr>
        <w:tab/>
      </w:r>
      <w:r>
        <w:rPr>
          <w:sz w:val="16"/>
          <w:szCs w:val="16"/>
        </w:rPr>
        <w:tab/>
      </w:r>
      <w:r>
        <w:rPr>
          <w:sz w:val="16"/>
          <w:szCs w:val="16"/>
        </w:rPr>
        <w:tab/>
        <w:t>FERC</w:t>
      </w:r>
      <w:r>
        <w:rPr>
          <w:sz w:val="16"/>
          <w:szCs w:val="16"/>
        </w:rPr>
        <w:tab/>
      </w:r>
      <w:r>
        <w:rPr>
          <w:sz w:val="16"/>
          <w:szCs w:val="16"/>
        </w:rPr>
        <w:tab/>
      </w:r>
      <w:r>
        <w:rPr>
          <w:sz w:val="16"/>
          <w:szCs w:val="16"/>
        </w:rPr>
        <w:tab/>
      </w:r>
      <w:r>
        <w:rPr>
          <w:sz w:val="16"/>
          <w:szCs w:val="16"/>
        </w:rPr>
        <w:tab/>
        <w:t>Municipal Distributors</w:t>
      </w:r>
      <w:r>
        <w:rPr>
          <w:sz w:val="16"/>
          <w:szCs w:val="16"/>
        </w:rPr>
        <w:tab/>
      </w:r>
      <w:r>
        <w:rPr>
          <w:sz w:val="16"/>
          <w:szCs w:val="16"/>
        </w:rPr>
        <w:tab/>
        <w:t>Rate of Return</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December 2003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Group/Gas Task Force</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254.</w:t>
      </w:r>
      <w:r>
        <w:rPr>
          <w:sz w:val="16"/>
          <w:szCs w:val="16"/>
        </w:rPr>
        <w:tab/>
        <w:t>8738</w:t>
      </w:r>
      <w:r>
        <w:rPr>
          <w:sz w:val="16"/>
          <w:szCs w:val="16"/>
        </w:rPr>
        <w:tab/>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Maryland</w:t>
      </w:r>
      <w:r>
        <w:rPr>
          <w:sz w:val="16"/>
          <w:szCs w:val="16"/>
        </w:rPr>
        <w:tab/>
      </w:r>
      <w:r>
        <w:rPr>
          <w:sz w:val="16"/>
          <w:szCs w:val="16"/>
        </w:rPr>
        <w:tab/>
      </w:r>
      <w:r>
        <w:rPr>
          <w:sz w:val="16"/>
          <w:szCs w:val="16"/>
        </w:rPr>
        <w:tab/>
        <w:t>Energy Admin Department</w:t>
      </w:r>
      <w:r>
        <w:rPr>
          <w:sz w:val="16"/>
          <w:szCs w:val="16"/>
        </w:rPr>
        <w:tab/>
      </w:r>
      <w:r>
        <w:rPr>
          <w:sz w:val="16"/>
          <w:szCs w:val="16"/>
        </w:rPr>
        <w:tab/>
        <w:t xml:space="preserve">Environmental Disclosure </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December 2003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of Natural Resources</w:t>
      </w:r>
      <w:r>
        <w:rPr>
          <w:sz w:val="16"/>
          <w:szCs w:val="16"/>
        </w:rPr>
        <w:tab/>
      </w:r>
      <w:r>
        <w:rPr>
          <w:sz w:val="16"/>
          <w:szCs w:val="16"/>
        </w:rPr>
        <w:tab/>
        <w:t>(oral only)</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255.</w:t>
      </w:r>
      <w:r>
        <w:rPr>
          <w:sz w:val="16"/>
          <w:szCs w:val="16"/>
        </w:rPr>
        <w:tab/>
        <w:t>U-27136</w:t>
      </w:r>
      <w:r>
        <w:rPr>
          <w:sz w:val="16"/>
          <w:szCs w:val="16"/>
        </w:rPr>
        <w:tab/>
      </w:r>
      <w:r>
        <w:rPr>
          <w:sz w:val="16"/>
          <w:szCs w:val="16"/>
        </w:rPr>
        <w:tab/>
      </w:r>
      <w:r>
        <w:rPr>
          <w:sz w:val="16"/>
          <w:szCs w:val="16"/>
        </w:rPr>
        <w:tab/>
        <w:t>Entergy Louisiana, Inc.</w:t>
      </w:r>
      <w:r>
        <w:rPr>
          <w:sz w:val="16"/>
          <w:szCs w:val="16"/>
        </w:rPr>
        <w:tab/>
      </w:r>
      <w:r>
        <w:rPr>
          <w:sz w:val="16"/>
          <w:szCs w:val="16"/>
        </w:rPr>
        <w:tab/>
      </w:r>
      <w:r>
        <w:rPr>
          <w:sz w:val="16"/>
          <w:szCs w:val="16"/>
        </w:rPr>
        <w:tab/>
        <w:t>Louisiana</w:t>
      </w:r>
      <w:r>
        <w:rPr>
          <w:sz w:val="16"/>
          <w:szCs w:val="16"/>
        </w:rPr>
        <w:tab/>
      </w:r>
      <w:r>
        <w:rPr>
          <w:sz w:val="16"/>
          <w:szCs w:val="16"/>
        </w:rPr>
        <w:tab/>
      </w:r>
      <w:r>
        <w:rPr>
          <w:sz w:val="16"/>
          <w:szCs w:val="16"/>
        </w:rPr>
        <w:tab/>
        <w:t>PSC Staff</w:t>
      </w:r>
      <w:r>
        <w:rPr>
          <w:sz w:val="16"/>
          <w:szCs w:val="16"/>
        </w:rPr>
        <w:tab/>
      </w:r>
      <w:r>
        <w:rPr>
          <w:sz w:val="16"/>
          <w:szCs w:val="16"/>
        </w:rPr>
        <w:tab/>
      </w:r>
      <w:r>
        <w:rPr>
          <w:sz w:val="16"/>
          <w:szCs w:val="16"/>
        </w:rPr>
        <w:tab/>
        <w:t>Purchase Power Contracts</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December 2003</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256.</w:t>
      </w:r>
      <w:r>
        <w:rPr>
          <w:sz w:val="16"/>
          <w:szCs w:val="16"/>
        </w:rPr>
        <w:tab/>
        <w:t>U-27192, Phase II</w:t>
      </w:r>
      <w:r>
        <w:rPr>
          <w:sz w:val="16"/>
          <w:szCs w:val="16"/>
        </w:rPr>
        <w:tab/>
      </w:r>
      <w:r>
        <w:rPr>
          <w:sz w:val="16"/>
          <w:szCs w:val="16"/>
        </w:rPr>
        <w:tab/>
        <w:t>Entergy Louisiana &amp;</w:t>
      </w:r>
      <w:r>
        <w:rPr>
          <w:sz w:val="16"/>
          <w:szCs w:val="16"/>
        </w:rPr>
        <w:tab/>
      </w:r>
      <w:r>
        <w:rPr>
          <w:sz w:val="16"/>
          <w:szCs w:val="16"/>
        </w:rPr>
        <w:tab/>
      </w:r>
      <w:r>
        <w:rPr>
          <w:sz w:val="16"/>
          <w:szCs w:val="16"/>
        </w:rPr>
        <w:tab/>
        <w:t>Louisiana</w:t>
      </w:r>
      <w:r>
        <w:rPr>
          <w:sz w:val="16"/>
          <w:szCs w:val="16"/>
        </w:rPr>
        <w:tab/>
      </w:r>
      <w:r>
        <w:rPr>
          <w:sz w:val="16"/>
          <w:szCs w:val="16"/>
        </w:rPr>
        <w:tab/>
      </w:r>
      <w:r>
        <w:rPr>
          <w:sz w:val="16"/>
          <w:szCs w:val="16"/>
        </w:rPr>
        <w:tab/>
        <w:t>PSC Staff</w:t>
      </w:r>
      <w:r>
        <w:rPr>
          <w:sz w:val="16"/>
          <w:szCs w:val="16"/>
        </w:rPr>
        <w:tab/>
      </w:r>
      <w:r>
        <w:rPr>
          <w:sz w:val="16"/>
          <w:szCs w:val="16"/>
        </w:rPr>
        <w:tab/>
      </w:r>
      <w:r>
        <w:rPr>
          <w:sz w:val="16"/>
          <w:szCs w:val="16"/>
        </w:rPr>
        <w:tab/>
        <w:t>Purchase Power Contracts</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October/December 2003</w:t>
      </w:r>
      <w:r>
        <w:rPr>
          <w:sz w:val="16"/>
          <w:szCs w:val="16"/>
        </w:rPr>
        <w:tab/>
        <w:t xml:space="preserve"> Entergy Gulf States</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257.</w:t>
      </w:r>
      <w:r>
        <w:rPr>
          <w:sz w:val="16"/>
          <w:szCs w:val="16"/>
        </w:rPr>
        <w:tab/>
        <w:t>WC  Docket 03-173</w:t>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FCC</w:t>
      </w:r>
      <w:r>
        <w:rPr>
          <w:sz w:val="16"/>
          <w:szCs w:val="16"/>
        </w:rPr>
        <w:tab/>
      </w:r>
      <w:r>
        <w:rPr>
          <w:sz w:val="16"/>
          <w:szCs w:val="16"/>
        </w:rPr>
        <w:tab/>
      </w:r>
      <w:r>
        <w:rPr>
          <w:sz w:val="16"/>
          <w:szCs w:val="16"/>
        </w:rPr>
        <w:tab/>
      </w:r>
      <w:r>
        <w:rPr>
          <w:sz w:val="16"/>
          <w:szCs w:val="16"/>
        </w:rPr>
        <w:tab/>
        <w:t>MCI</w:t>
      </w:r>
      <w:r>
        <w:rPr>
          <w:sz w:val="16"/>
          <w:szCs w:val="16"/>
        </w:rPr>
        <w:tab/>
      </w:r>
      <w:r>
        <w:rPr>
          <w:sz w:val="16"/>
          <w:szCs w:val="16"/>
        </w:rPr>
        <w:tab/>
      </w:r>
      <w:r>
        <w:rPr>
          <w:sz w:val="16"/>
          <w:szCs w:val="16"/>
        </w:rPr>
        <w:tab/>
      </w:r>
      <w:r>
        <w:rPr>
          <w:sz w:val="16"/>
          <w:szCs w:val="16"/>
        </w:rPr>
        <w:tab/>
        <w:t>Cost of Capital (TELRIC)</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December 2003</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258.</w:t>
      </w:r>
      <w:r>
        <w:rPr>
          <w:sz w:val="16"/>
          <w:szCs w:val="16"/>
        </w:rPr>
        <w:tab/>
        <w:t>ER 030 20110</w:t>
      </w:r>
      <w:r>
        <w:rPr>
          <w:sz w:val="16"/>
          <w:szCs w:val="16"/>
        </w:rPr>
        <w:tab/>
      </w:r>
      <w:r>
        <w:rPr>
          <w:sz w:val="16"/>
          <w:szCs w:val="16"/>
        </w:rPr>
        <w:tab/>
        <w:t>Atlantic City Electric</w:t>
      </w:r>
      <w:r>
        <w:rPr>
          <w:sz w:val="16"/>
          <w:szCs w:val="16"/>
        </w:rPr>
        <w:tab/>
      </w:r>
      <w:r>
        <w:rPr>
          <w:sz w:val="16"/>
          <w:szCs w:val="16"/>
        </w:rPr>
        <w:tab/>
      </w:r>
      <w:r>
        <w:rPr>
          <w:sz w:val="16"/>
          <w:szCs w:val="16"/>
        </w:rPr>
        <w:tab/>
        <w:t>New Jersey</w:t>
      </w:r>
      <w:r>
        <w:rPr>
          <w:sz w:val="16"/>
          <w:szCs w:val="16"/>
        </w:rPr>
        <w:tab/>
      </w:r>
      <w:r>
        <w:rPr>
          <w:sz w:val="16"/>
          <w:szCs w:val="16"/>
        </w:rPr>
        <w:tab/>
      </w:r>
      <w:r>
        <w:rPr>
          <w:sz w:val="16"/>
          <w:szCs w:val="16"/>
        </w:rPr>
        <w:tab/>
        <w:t>Ratepayer Advocate</w:t>
      </w:r>
      <w:r>
        <w:rPr>
          <w:sz w:val="16"/>
          <w:szCs w:val="16"/>
        </w:rPr>
        <w:tab/>
      </w:r>
      <w:r>
        <w:rPr>
          <w:sz w:val="16"/>
          <w:szCs w:val="16"/>
        </w:rPr>
        <w:tab/>
        <w:t>Rate of Return</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January 2004</w:t>
      </w:r>
    </w:p>
    <w:p w:rsidR="00F826FC" w:rsidRDefault="00F826FC" w:rsidP="00F826FC">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259.</w:t>
      </w:r>
      <w:r>
        <w:rPr>
          <w:sz w:val="16"/>
          <w:szCs w:val="16"/>
        </w:rPr>
        <w:tab/>
        <w:t>E-01345A-03-0437</w:t>
      </w:r>
      <w:r>
        <w:rPr>
          <w:sz w:val="16"/>
          <w:szCs w:val="16"/>
        </w:rPr>
        <w:tab/>
      </w:r>
      <w:r>
        <w:rPr>
          <w:sz w:val="16"/>
          <w:szCs w:val="16"/>
        </w:rPr>
        <w:tab/>
        <w:t>Arizona Public Service Company</w:t>
      </w:r>
      <w:r>
        <w:rPr>
          <w:sz w:val="16"/>
          <w:szCs w:val="16"/>
        </w:rPr>
        <w:tab/>
      </w:r>
      <w:r>
        <w:rPr>
          <w:sz w:val="16"/>
          <w:szCs w:val="16"/>
        </w:rPr>
        <w:tab/>
        <w:t>Arizona</w:t>
      </w:r>
      <w:r>
        <w:rPr>
          <w:sz w:val="16"/>
          <w:szCs w:val="16"/>
        </w:rPr>
        <w:tab/>
      </w:r>
      <w:r>
        <w:rPr>
          <w:sz w:val="16"/>
          <w:szCs w:val="16"/>
        </w:rPr>
        <w:tab/>
      </w:r>
      <w:r>
        <w:rPr>
          <w:sz w:val="16"/>
          <w:szCs w:val="16"/>
        </w:rPr>
        <w:tab/>
        <w:t>Federal Executive Agencies</w:t>
      </w:r>
      <w:r>
        <w:rPr>
          <w:sz w:val="16"/>
          <w:szCs w:val="16"/>
        </w:rPr>
        <w:tab/>
      </w:r>
      <w:r>
        <w:rPr>
          <w:sz w:val="16"/>
          <w:szCs w:val="16"/>
        </w:rPr>
        <w:tab/>
        <w:t>Rate of Return</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January 2004</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260.</w:t>
      </w:r>
      <w:r>
        <w:rPr>
          <w:sz w:val="16"/>
          <w:szCs w:val="16"/>
        </w:rPr>
        <w:tab/>
        <w:t>03-10001</w:t>
      </w:r>
      <w:r>
        <w:rPr>
          <w:sz w:val="16"/>
          <w:szCs w:val="16"/>
        </w:rPr>
        <w:tab/>
      </w:r>
      <w:r>
        <w:rPr>
          <w:sz w:val="16"/>
          <w:szCs w:val="16"/>
        </w:rPr>
        <w:tab/>
      </w:r>
      <w:r>
        <w:rPr>
          <w:sz w:val="16"/>
          <w:szCs w:val="16"/>
        </w:rPr>
        <w:tab/>
        <w:t>Nevada Power Company</w:t>
      </w:r>
      <w:r>
        <w:rPr>
          <w:sz w:val="16"/>
          <w:szCs w:val="16"/>
        </w:rPr>
        <w:tab/>
      </w:r>
      <w:r>
        <w:rPr>
          <w:sz w:val="16"/>
          <w:szCs w:val="16"/>
        </w:rPr>
        <w:tab/>
      </w:r>
      <w:r>
        <w:rPr>
          <w:sz w:val="16"/>
          <w:szCs w:val="16"/>
        </w:rPr>
        <w:tab/>
        <w:t>Nevada</w:t>
      </w:r>
      <w:r>
        <w:rPr>
          <w:sz w:val="16"/>
          <w:szCs w:val="16"/>
        </w:rPr>
        <w:tab/>
      </w:r>
      <w:r>
        <w:rPr>
          <w:sz w:val="16"/>
          <w:szCs w:val="16"/>
        </w:rPr>
        <w:tab/>
      </w:r>
      <w:r>
        <w:rPr>
          <w:sz w:val="16"/>
          <w:szCs w:val="16"/>
        </w:rPr>
        <w:tab/>
        <w:t>U.S. Dept. of Energy</w:t>
      </w:r>
      <w:r>
        <w:rPr>
          <w:sz w:val="16"/>
          <w:szCs w:val="16"/>
        </w:rPr>
        <w:tab/>
      </w:r>
      <w:r>
        <w:rPr>
          <w:sz w:val="16"/>
          <w:szCs w:val="16"/>
        </w:rPr>
        <w:tab/>
        <w:t>Rate of Return</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January 2004</w:t>
      </w:r>
      <w:r>
        <w:rPr>
          <w:sz w:val="16"/>
          <w:szCs w:val="16"/>
        </w:rPr>
        <w:tab/>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br w:type="page"/>
        <w:t>261.</w:t>
      </w:r>
      <w:r>
        <w:rPr>
          <w:sz w:val="16"/>
          <w:szCs w:val="16"/>
        </w:rPr>
        <w:tab/>
        <w:t>R-00049255</w:t>
      </w:r>
      <w:r>
        <w:rPr>
          <w:sz w:val="16"/>
          <w:szCs w:val="16"/>
        </w:rPr>
        <w:tab/>
      </w:r>
      <w:r>
        <w:rPr>
          <w:sz w:val="16"/>
          <w:szCs w:val="16"/>
        </w:rPr>
        <w:tab/>
      </w:r>
      <w:r>
        <w:rPr>
          <w:sz w:val="16"/>
          <w:szCs w:val="16"/>
        </w:rPr>
        <w:tab/>
        <w:t>PPL Elec. Utility</w:t>
      </w:r>
      <w:r>
        <w:rPr>
          <w:sz w:val="16"/>
          <w:szCs w:val="16"/>
        </w:rPr>
        <w:tab/>
      </w:r>
      <w:r>
        <w:rPr>
          <w:sz w:val="16"/>
          <w:szCs w:val="16"/>
        </w:rPr>
        <w:tab/>
      </w:r>
      <w:r>
        <w:rPr>
          <w:sz w:val="16"/>
          <w:szCs w:val="16"/>
        </w:rPr>
        <w:tab/>
        <w:t>Pennsylvania</w:t>
      </w:r>
      <w:r>
        <w:rPr>
          <w:sz w:val="16"/>
          <w:szCs w:val="16"/>
        </w:rPr>
        <w:tab/>
      </w:r>
      <w:r>
        <w:rPr>
          <w:sz w:val="16"/>
          <w:szCs w:val="16"/>
        </w:rPr>
        <w:tab/>
        <w:t>Office of Consumer Advocate</w:t>
      </w:r>
      <w:r>
        <w:rPr>
          <w:sz w:val="16"/>
          <w:szCs w:val="16"/>
        </w:rPr>
        <w:tab/>
        <w:t>Rate of Return</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2004</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262.</w:t>
      </w:r>
      <w:r>
        <w:rPr>
          <w:sz w:val="16"/>
          <w:szCs w:val="16"/>
        </w:rPr>
        <w:tab/>
        <w:t>U-20925</w:t>
      </w:r>
      <w:r>
        <w:rPr>
          <w:sz w:val="16"/>
          <w:szCs w:val="16"/>
        </w:rPr>
        <w:tab/>
      </w:r>
      <w:r>
        <w:rPr>
          <w:sz w:val="16"/>
          <w:szCs w:val="16"/>
        </w:rPr>
        <w:tab/>
      </w:r>
      <w:r>
        <w:rPr>
          <w:sz w:val="16"/>
          <w:szCs w:val="16"/>
        </w:rPr>
        <w:tab/>
        <w:t>Entergy Louisiana, Inc.</w:t>
      </w:r>
      <w:r>
        <w:rPr>
          <w:sz w:val="16"/>
          <w:szCs w:val="16"/>
        </w:rPr>
        <w:tab/>
      </w:r>
      <w:r>
        <w:rPr>
          <w:sz w:val="16"/>
          <w:szCs w:val="16"/>
        </w:rPr>
        <w:tab/>
      </w:r>
      <w:r>
        <w:rPr>
          <w:sz w:val="16"/>
          <w:szCs w:val="16"/>
        </w:rPr>
        <w:tab/>
        <w:t>Louisiana</w:t>
      </w:r>
      <w:r>
        <w:rPr>
          <w:sz w:val="16"/>
          <w:szCs w:val="16"/>
        </w:rPr>
        <w:tab/>
      </w:r>
      <w:r>
        <w:rPr>
          <w:sz w:val="16"/>
          <w:szCs w:val="16"/>
        </w:rPr>
        <w:tab/>
        <w:t>PSC Staff</w:t>
      </w:r>
      <w:r>
        <w:rPr>
          <w:sz w:val="16"/>
          <w:szCs w:val="16"/>
        </w:rPr>
        <w:tab/>
      </w:r>
      <w:r>
        <w:rPr>
          <w:sz w:val="16"/>
          <w:szCs w:val="16"/>
        </w:rPr>
        <w:tab/>
      </w:r>
      <w:r>
        <w:rPr>
          <w:sz w:val="16"/>
          <w:szCs w:val="16"/>
        </w:rPr>
        <w:tab/>
        <w:t>Rate of Return</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2004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Capacity Resources</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263.</w:t>
      </w:r>
      <w:r>
        <w:rPr>
          <w:sz w:val="16"/>
          <w:szCs w:val="16"/>
        </w:rPr>
        <w:tab/>
        <w:t>U-27866</w:t>
      </w:r>
      <w:r>
        <w:rPr>
          <w:sz w:val="16"/>
          <w:szCs w:val="16"/>
        </w:rPr>
        <w:tab/>
      </w:r>
      <w:r>
        <w:rPr>
          <w:sz w:val="16"/>
          <w:szCs w:val="16"/>
        </w:rPr>
        <w:tab/>
      </w:r>
      <w:r>
        <w:rPr>
          <w:sz w:val="16"/>
          <w:szCs w:val="16"/>
        </w:rPr>
        <w:tab/>
        <w:t>Southwest Electric  Power Co.</w:t>
      </w:r>
      <w:r>
        <w:rPr>
          <w:sz w:val="16"/>
          <w:szCs w:val="16"/>
        </w:rPr>
        <w:tab/>
      </w:r>
      <w:r>
        <w:rPr>
          <w:sz w:val="16"/>
          <w:szCs w:val="16"/>
        </w:rPr>
        <w:tab/>
        <w:t>Louisiana</w:t>
      </w:r>
      <w:r>
        <w:rPr>
          <w:sz w:val="16"/>
          <w:szCs w:val="16"/>
        </w:rPr>
        <w:tab/>
      </w:r>
      <w:r>
        <w:rPr>
          <w:sz w:val="16"/>
          <w:szCs w:val="16"/>
        </w:rPr>
        <w:tab/>
        <w:t>PSC Staff</w:t>
      </w:r>
      <w:r>
        <w:rPr>
          <w:sz w:val="16"/>
          <w:szCs w:val="16"/>
        </w:rPr>
        <w:tab/>
      </w:r>
      <w:r>
        <w:rPr>
          <w:sz w:val="16"/>
          <w:szCs w:val="16"/>
        </w:rPr>
        <w:tab/>
      </w:r>
      <w:r>
        <w:rPr>
          <w:sz w:val="16"/>
          <w:szCs w:val="16"/>
        </w:rPr>
        <w:tab/>
        <w:t>Purchase Power Contract</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2004</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264.</w:t>
      </w:r>
      <w:r>
        <w:rPr>
          <w:sz w:val="16"/>
          <w:szCs w:val="16"/>
        </w:rPr>
        <w:tab/>
        <w:t>U-27980</w:t>
      </w:r>
      <w:r>
        <w:rPr>
          <w:sz w:val="16"/>
          <w:szCs w:val="16"/>
        </w:rPr>
        <w:tab/>
      </w:r>
      <w:r>
        <w:rPr>
          <w:sz w:val="16"/>
          <w:szCs w:val="16"/>
        </w:rPr>
        <w:tab/>
      </w:r>
      <w:r>
        <w:rPr>
          <w:sz w:val="16"/>
          <w:szCs w:val="16"/>
        </w:rPr>
        <w:tab/>
        <w:t>Cleco Power</w:t>
      </w:r>
      <w:r>
        <w:rPr>
          <w:sz w:val="16"/>
          <w:szCs w:val="16"/>
        </w:rPr>
        <w:tab/>
      </w:r>
      <w:r>
        <w:rPr>
          <w:sz w:val="16"/>
          <w:szCs w:val="16"/>
        </w:rPr>
        <w:tab/>
      </w:r>
      <w:r>
        <w:rPr>
          <w:sz w:val="16"/>
          <w:szCs w:val="16"/>
        </w:rPr>
        <w:tab/>
      </w:r>
      <w:r>
        <w:rPr>
          <w:sz w:val="16"/>
          <w:szCs w:val="16"/>
        </w:rPr>
        <w:tab/>
        <w:t>Louisiana</w:t>
      </w:r>
      <w:r>
        <w:rPr>
          <w:sz w:val="16"/>
          <w:szCs w:val="16"/>
        </w:rPr>
        <w:tab/>
      </w:r>
      <w:r>
        <w:rPr>
          <w:sz w:val="16"/>
          <w:szCs w:val="16"/>
        </w:rPr>
        <w:tab/>
        <w:t>PSC Staff</w:t>
      </w:r>
      <w:r>
        <w:rPr>
          <w:sz w:val="16"/>
          <w:szCs w:val="16"/>
        </w:rPr>
        <w:tab/>
      </w:r>
      <w:r>
        <w:rPr>
          <w:sz w:val="16"/>
          <w:szCs w:val="16"/>
        </w:rPr>
        <w:tab/>
      </w:r>
      <w:r>
        <w:rPr>
          <w:sz w:val="16"/>
          <w:szCs w:val="16"/>
        </w:rPr>
        <w:tab/>
        <w:t>Purchase Power Contract</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2004</w:t>
      </w:r>
      <w:r>
        <w:rPr>
          <w:sz w:val="16"/>
          <w:szCs w:val="16"/>
        </w:rPr>
        <w:tab/>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265.</w:t>
      </w:r>
      <w:r>
        <w:rPr>
          <w:sz w:val="16"/>
          <w:szCs w:val="16"/>
        </w:rPr>
        <w:tab/>
        <w:t>U-27865</w:t>
      </w:r>
      <w:r>
        <w:rPr>
          <w:sz w:val="16"/>
          <w:szCs w:val="16"/>
        </w:rPr>
        <w:tab/>
      </w:r>
      <w:r>
        <w:rPr>
          <w:sz w:val="16"/>
          <w:szCs w:val="16"/>
        </w:rPr>
        <w:tab/>
      </w:r>
      <w:r>
        <w:rPr>
          <w:sz w:val="16"/>
          <w:szCs w:val="16"/>
        </w:rPr>
        <w:tab/>
        <w:t>Entergy Louisiana, Inc.</w:t>
      </w:r>
      <w:r>
        <w:rPr>
          <w:sz w:val="16"/>
          <w:szCs w:val="16"/>
        </w:rPr>
        <w:tab/>
      </w:r>
      <w:r>
        <w:rPr>
          <w:sz w:val="16"/>
          <w:szCs w:val="16"/>
        </w:rPr>
        <w:tab/>
      </w:r>
      <w:r>
        <w:rPr>
          <w:sz w:val="16"/>
          <w:szCs w:val="16"/>
        </w:rPr>
        <w:tab/>
        <w:t>Louisiana</w:t>
      </w:r>
      <w:r>
        <w:rPr>
          <w:sz w:val="16"/>
          <w:szCs w:val="16"/>
        </w:rPr>
        <w:tab/>
      </w:r>
      <w:r>
        <w:rPr>
          <w:sz w:val="16"/>
          <w:szCs w:val="16"/>
        </w:rPr>
        <w:tab/>
        <w:t>PSC Staff</w:t>
      </w:r>
      <w:r>
        <w:rPr>
          <w:sz w:val="16"/>
          <w:szCs w:val="16"/>
        </w:rPr>
        <w:tab/>
      </w:r>
      <w:r>
        <w:rPr>
          <w:sz w:val="16"/>
          <w:szCs w:val="16"/>
        </w:rPr>
        <w:tab/>
      </w:r>
      <w:r>
        <w:rPr>
          <w:sz w:val="16"/>
          <w:szCs w:val="16"/>
        </w:rPr>
        <w:tab/>
        <w:t>Purchase Power Contract</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2004</w:t>
      </w:r>
      <w:r>
        <w:rPr>
          <w:sz w:val="16"/>
          <w:szCs w:val="16"/>
        </w:rPr>
        <w:tab/>
      </w:r>
      <w:r>
        <w:rPr>
          <w:sz w:val="16"/>
          <w:szCs w:val="16"/>
        </w:rPr>
        <w:tab/>
        <w:t xml:space="preserve">  Entergy Gulf States</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keepLines/>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266.</w:t>
      </w:r>
      <w:r>
        <w:rPr>
          <w:sz w:val="16"/>
          <w:szCs w:val="16"/>
        </w:rPr>
        <w:tab/>
        <w:t>RP04-155</w:t>
      </w:r>
      <w:r>
        <w:rPr>
          <w:sz w:val="16"/>
          <w:szCs w:val="16"/>
        </w:rPr>
        <w:tab/>
      </w:r>
      <w:r>
        <w:rPr>
          <w:sz w:val="16"/>
          <w:szCs w:val="16"/>
        </w:rPr>
        <w:tab/>
      </w:r>
      <w:r>
        <w:rPr>
          <w:sz w:val="16"/>
          <w:szCs w:val="16"/>
        </w:rPr>
        <w:tab/>
        <w:t>Northern Natural</w:t>
      </w:r>
      <w:r>
        <w:rPr>
          <w:sz w:val="16"/>
          <w:szCs w:val="16"/>
        </w:rPr>
        <w:tab/>
      </w:r>
      <w:r>
        <w:rPr>
          <w:sz w:val="16"/>
          <w:szCs w:val="16"/>
        </w:rPr>
        <w:tab/>
      </w:r>
      <w:r>
        <w:rPr>
          <w:sz w:val="16"/>
          <w:szCs w:val="16"/>
        </w:rPr>
        <w:tab/>
        <w:t>FERC</w:t>
      </w:r>
      <w:r>
        <w:rPr>
          <w:sz w:val="16"/>
          <w:szCs w:val="16"/>
        </w:rPr>
        <w:tab/>
      </w:r>
      <w:r>
        <w:rPr>
          <w:sz w:val="16"/>
          <w:szCs w:val="16"/>
        </w:rPr>
        <w:tab/>
      </w:r>
      <w:r>
        <w:rPr>
          <w:sz w:val="16"/>
          <w:szCs w:val="16"/>
        </w:rPr>
        <w:tab/>
        <w:t>Municipal Distributors</w:t>
      </w:r>
      <w:r>
        <w:rPr>
          <w:sz w:val="16"/>
          <w:szCs w:val="16"/>
        </w:rPr>
        <w:tab/>
      </w:r>
      <w:r>
        <w:rPr>
          <w:sz w:val="16"/>
          <w:szCs w:val="16"/>
        </w:rPr>
        <w:tab/>
        <w:t>Rate of Return</w:t>
      </w:r>
    </w:p>
    <w:p w:rsidR="00F826FC" w:rsidRDefault="00F826FC" w:rsidP="00F826FC">
      <w:pPr>
        <w:keepLines/>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December 2004</w:t>
      </w:r>
      <w:r>
        <w:rPr>
          <w:sz w:val="16"/>
          <w:szCs w:val="16"/>
        </w:rPr>
        <w:tab/>
      </w:r>
      <w:r>
        <w:rPr>
          <w:sz w:val="16"/>
          <w:szCs w:val="16"/>
        </w:rPr>
        <w:tab/>
        <w:t xml:space="preserve">  Gas Company</w:t>
      </w:r>
      <w:r>
        <w:rPr>
          <w:sz w:val="16"/>
          <w:szCs w:val="16"/>
        </w:rPr>
        <w:tab/>
      </w:r>
      <w:r>
        <w:rPr>
          <w:sz w:val="16"/>
          <w:szCs w:val="16"/>
        </w:rPr>
        <w:tab/>
      </w:r>
      <w:r>
        <w:rPr>
          <w:sz w:val="16"/>
          <w:szCs w:val="16"/>
        </w:rPr>
        <w:tab/>
      </w:r>
      <w:r>
        <w:rPr>
          <w:sz w:val="16"/>
          <w:szCs w:val="16"/>
        </w:rPr>
        <w:tab/>
      </w:r>
      <w:r>
        <w:rPr>
          <w:sz w:val="16"/>
          <w:szCs w:val="16"/>
        </w:rPr>
        <w:tab/>
      </w:r>
      <w:r>
        <w:rPr>
          <w:sz w:val="16"/>
          <w:szCs w:val="16"/>
        </w:rPr>
        <w:tab/>
        <w:t>Group/Gas Task Force</w:t>
      </w:r>
      <w:r>
        <w:rPr>
          <w:sz w:val="16"/>
          <w:szCs w:val="16"/>
        </w:rPr>
        <w:tab/>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267.</w:t>
      </w:r>
      <w:r>
        <w:rPr>
          <w:sz w:val="16"/>
          <w:szCs w:val="16"/>
        </w:rPr>
        <w:tab/>
        <w:t>U-27836</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PSC Staff</w:t>
      </w:r>
      <w:r>
        <w:rPr>
          <w:sz w:val="16"/>
          <w:szCs w:val="16"/>
        </w:rPr>
        <w:tab/>
      </w:r>
      <w:r>
        <w:rPr>
          <w:sz w:val="16"/>
          <w:szCs w:val="16"/>
        </w:rPr>
        <w:tab/>
      </w:r>
      <w:r>
        <w:rPr>
          <w:sz w:val="16"/>
          <w:szCs w:val="16"/>
        </w:rPr>
        <w:tab/>
        <w:t xml:space="preserve">Power plant Purchase </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January 2005</w:t>
      </w:r>
      <w:r>
        <w:rPr>
          <w:sz w:val="16"/>
          <w:szCs w:val="16"/>
        </w:rPr>
        <w:tab/>
      </w:r>
      <w:r>
        <w:rPr>
          <w:sz w:val="16"/>
          <w:szCs w:val="16"/>
        </w:rPr>
        <w:tab/>
        <w:t>Gulf States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and Cost Recovery</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268.</w:t>
      </w:r>
      <w:r>
        <w:rPr>
          <w:sz w:val="16"/>
          <w:szCs w:val="16"/>
        </w:rPr>
        <w:tab/>
        <w:t>U-199040 et al.</w:t>
      </w:r>
      <w:r>
        <w:rPr>
          <w:sz w:val="16"/>
          <w:szCs w:val="16"/>
        </w:rPr>
        <w:tab/>
      </w:r>
      <w:r>
        <w:rPr>
          <w:sz w:val="16"/>
          <w:szCs w:val="16"/>
        </w:rPr>
        <w:tab/>
        <w:t>Entergy Gulf States/</w:t>
      </w:r>
      <w:r>
        <w:rPr>
          <w:sz w:val="16"/>
          <w:szCs w:val="16"/>
        </w:rPr>
        <w:tab/>
      </w:r>
      <w:r>
        <w:rPr>
          <w:sz w:val="16"/>
          <w:szCs w:val="16"/>
        </w:rPr>
        <w:tab/>
      </w:r>
      <w:r>
        <w:rPr>
          <w:sz w:val="16"/>
          <w:szCs w:val="16"/>
        </w:rPr>
        <w:tab/>
        <w:t>Louisiana</w:t>
      </w:r>
      <w:r>
        <w:rPr>
          <w:sz w:val="16"/>
          <w:szCs w:val="16"/>
        </w:rPr>
        <w:tab/>
      </w:r>
      <w:r>
        <w:rPr>
          <w:sz w:val="16"/>
          <w:szCs w:val="16"/>
        </w:rPr>
        <w:tab/>
        <w:t>PSC Staff</w:t>
      </w:r>
      <w:r>
        <w:rPr>
          <w:sz w:val="16"/>
          <w:szCs w:val="16"/>
        </w:rPr>
        <w:tab/>
      </w:r>
      <w:r>
        <w:rPr>
          <w:sz w:val="16"/>
          <w:szCs w:val="16"/>
        </w:rPr>
        <w:tab/>
      </w:r>
      <w:r>
        <w:rPr>
          <w:sz w:val="16"/>
          <w:szCs w:val="16"/>
        </w:rPr>
        <w:tab/>
        <w:t>Global Settlement,</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2005</w:t>
      </w:r>
      <w:r>
        <w:rPr>
          <w:sz w:val="16"/>
          <w:szCs w:val="16"/>
        </w:rPr>
        <w:tab/>
      </w:r>
      <w:r>
        <w:rPr>
          <w:sz w:val="16"/>
          <w:szCs w:val="16"/>
        </w:rPr>
        <w:tab/>
        <w:t>Louisiana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Multiple rate proceedings</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269.</w:t>
      </w:r>
      <w:r>
        <w:rPr>
          <w:sz w:val="16"/>
          <w:szCs w:val="16"/>
        </w:rPr>
        <w:tab/>
        <w:t>EF03070532</w:t>
      </w:r>
      <w:r>
        <w:rPr>
          <w:sz w:val="16"/>
          <w:szCs w:val="16"/>
        </w:rPr>
        <w:tab/>
      </w:r>
      <w:r>
        <w:rPr>
          <w:sz w:val="16"/>
          <w:szCs w:val="16"/>
        </w:rPr>
        <w:tab/>
        <w:t>Public Service Electric &amp; Gas</w:t>
      </w:r>
      <w:r>
        <w:rPr>
          <w:sz w:val="16"/>
          <w:szCs w:val="16"/>
        </w:rPr>
        <w:tab/>
      </w:r>
      <w:r>
        <w:rPr>
          <w:sz w:val="16"/>
          <w:szCs w:val="16"/>
        </w:rPr>
        <w:tab/>
        <w:t>New Jersey</w:t>
      </w:r>
      <w:r>
        <w:rPr>
          <w:sz w:val="16"/>
          <w:szCs w:val="16"/>
        </w:rPr>
        <w:tab/>
      </w:r>
      <w:r>
        <w:rPr>
          <w:sz w:val="16"/>
          <w:szCs w:val="16"/>
        </w:rPr>
        <w:tab/>
        <w:t>Ratepayers Advocate</w:t>
      </w:r>
      <w:r>
        <w:rPr>
          <w:sz w:val="16"/>
          <w:szCs w:val="16"/>
        </w:rPr>
        <w:tab/>
      </w:r>
      <w:r>
        <w:rPr>
          <w:sz w:val="16"/>
          <w:szCs w:val="16"/>
        </w:rPr>
        <w:tab/>
        <w:t>Securitization of Deferred Costs</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2005</w:t>
      </w:r>
      <w:r>
        <w:rPr>
          <w:sz w:val="16"/>
          <w:szCs w:val="16"/>
        </w:rPr>
        <w:tab/>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270.</w:t>
      </w:r>
      <w:r>
        <w:rPr>
          <w:sz w:val="16"/>
          <w:szCs w:val="16"/>
        </w:rPr>
        <w:tab/>
        <w:t>05-0159</w:t>
      </w:r>
      <w:r>
        <w:rPr>
          <w:sz w:val="16"/>
          <w:szCs w:val="16"/>
        </w:rPr>
        <w:tab/>
      </w:r>
      <w:r>
        <w:rPr>
          <w:sz w:val="16"/>
          <w:szCs w:val="16"/>
        </w:rPr>
        <w:tab/>
      </w:r>
      <w:r>
        <w:rPr>
          <w:sz w:val="16"/>
          <w:szCs w:val="16"/>
        </w:rPr>
        <w:tab/>
        <w:t>Commonwealth Edison</w:t>
      </w:r>
      <w:r>
        <w:rPr>
          <w:sz w:val="16"/>
          <w:szCs w:val="16"/>
        </w:rPr>
        <w:tab/>
      </w:r>
      <w:r>
        <w:rPr>
          <w:sz w:val="16"/>
          <w:szCs w:val="16"/>
        </w:rPr>
        <w:tab/>
      </w:r>
      <w:r>
        <w:rPr>
          <w:sz w:val="16"/>
          <w:szCs w:val="16"/>
        </w:rPr>
        <w:tab/>
        <w:t>Illinois</w:t>
      </w:r>
      <w:r>
        <w:rPr>
          <w:sz w:val="16"/>
          <w:szCs w:val="16"/>
        </w:rPr>
        <w:tab/>
      </w:r>
      <w:r>
        <w:rPr>
          <w:sz w:val="16"/>
          <w:szCs w:val="16"/>
        </w:rPr>
        <w:tab/>
        <w:t>Department of Energy</w:t>
      </w:r>
      <w:r>
        <w:rPr>
          <w:sz w:val="16"/>
          <w:szCs w:val="16"/>
        </w:rPr>
        <w:tab/>
      </w:r>
      <w:r>
        <w:rPr>
          <w:sz w:val="16"/>
          <w:szCs w:val="16"/>
        </w:rPr>
        <w:tab/>
        <w:t>POLR Service</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2005</w:t>
      </w:r>
      <w:r>
        <w:rPr>
          <w:sz w:val="16"/>
          <w:szCs w:val="16"/>
        </w:rPr>
        <w:tab/>
      </w:r>
      <w:r>
        <w:rPr>
          <w:sz w:val="16"/>
          <w:szCs w:val="16"/>
        </w:rPr>
        <w:tab/>
      </w:r>
      <w:r>
        <w:rPr>
          <w:sz w:val="16"/>
          <w:szCs w:val="16"/>
        </w:rPr>
        <w:tab/>
      </w:r>
      <w:r>
        <w:rPr>
          <w:sz w:val="16"/>
          <w:szCs w:val="16"/>
        </w:rPr>
        <w:tab/>
      </w:r>
      <w:r>
        <w:rPr>
          <w:sz w:val="16"/>
          <w:szCs w:val="16"/>
        </w:rPr>
        <w:tab/>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271.</w:t>
      </w:r>
      <w:r>
        <w:rPr>
          <w:sz w:val="16"/>
          <w:szCs w:val="16"/>
        </w:rPr>
        <w:tab/>
        <w:t>U-28804</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LPSC Staff</w:t>
      </w:r>
      <w:r>
        <w:rPr>
          <w:sz w:val="16"/>
          <w:szCs w:val="16"/>
        </w:rPr>
        <w:tab/>
      </w:r>
      <w:r>
        <w:rPr>
          <w:sz w:val="16"/>
          <w:szCs w:val="16"/>
        </w:rPr>
        <w:tab/>
      </w:r>
      <w:r>
        <w:rPr>
          <w:sz w:val="16"/>
          <w:szCs w:val="16"/>
        </w:rPr>
        <w:tab/>
        <w:t>QF Contract</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2005</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272.</w:t>
      </w:r>
      <w:r>
        <w:rPr>
          <w:sz w:val="16"/>
          <w:szCs w:val="16"/>
        </w:rPr>
        <w:tab/>
        <w:t>U-28805</w:t>
      </w:r>
      <w:r>
        <w:rPr>
          <w:sz w:val="16"/>
          <w:szCs w:val="16"/>
        </w:rPr>
        <w:tab/>
      </w:r>
      <w:r>
        <w:rPr>
          <w:sz w:val="16"/>
          <w:szCs w:val="16"/>
        </w:rPr>
        <w:tab/>
      </w:r>
      <w:r>
        <w:rPr>
          <w:sz w:val="16"/>
          <w:szCs w:val="16"/>
        </w:rPr>
        <w:tab/>
        <w:t>Entergy Gulf States</w:t>
      </w:r>
      <w:r>
        <w:rPr>
          <w:sz w:val="16"/>
          <w:szCs w:val="16"/>
        </w:rPr>
        <w:tab/>
      </w:r>
      <w:r>
        <w:rPr>
          <w:sz w:val="16"/>
          <w:szCs w:val="16"/>
        </w:rPr>
        <w:tab/>
      </w:r>
      <w:r>
        <w:rPr>
          <w:sz w:val="16"/>
          <w:szCs w:val="16"/>
        </w:rPr>
        <w:tab/>
        <w:t>Louisiana</w:t>
      </w:r>
      <w:r>
        <w:rPr>
          <w:sz w:val="16"/>
          <w:szCs w:val="16"/>
        </w:rPr>
        <w:tab/>
      </w:r>
      <w:r>
        <w:rPr>
          <w:sz w:val="16"/>
          <w:szCs w:val="16"/>
        </w:rPr>
        <w:tab/>
        <w:t>LPSC Staff</w:t>
      </w:r>
      <w:r>
        <w:rPr>
          <w:sz w:val="16"/>
          <w:szCs w:val="16"/>
        </w:rPr>
        <w:tab/>
      </w:r>
      <w:r>
        <w:rPr>
          <w:sz w:val="16"/>
          <w:szCs w:val="16"/>
        </w:rPr>
        <w:tab/>
      </w:r>
      <w:r>
        <w:rPr>
          <w:sz w:val="16"/>
          <w:szCs w:val="16"/>
        </w:rPr>
        <w:tab/>
        <w:t>QF Contract</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2005</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273.</w:t>
      </w:r>
      <w:r>
        <w:rPr>
          <w:sz w:val="16"/>
          <w:szCs w:val="16"/>
        </w:rPr>
        <w:tab/>
        <w:t>05-0045-EI</w:t>
      </w:r>
      <w:r>
        <w:rPr>
          <w:sz w:val="16"/>
          <w:szCs w:val="16"/>
        </w:rPr>
        <w:tab/>
      </w:r>
      <w:r>
        <w:rPr>
          <w:sz w:val="16"/>
          <w:szCs w:val="16"/>
        </w:rPr>
        <w:tab/>
      </w:r>
      <w:r>
        <w:rPr>
          <w:sz w:val="16"/>
          <w:szCs w:val="16"/>
        </w:rPr>
        <w:tab/>
        <w:t>Florida Power &amp; Lt.</w:t>
      </w:r>
      <w:r>
        <w:rPr>
          <w:sz w:val="16"/>
          <w:szCs w:val="16"/>
        </w:rPr>
        <w:tab/>
      </w:r>
      <w:r>
        <w:rPr>
          <w:sz w:val="16"/>
          <w:szCs w:val="16"/>
        </w:rPr>
        <w:tab/>
      </w:r>
      <w:r>
        <w:rPr>
          <w:sz w:val="16"/>
          <w:szCs w:val="16"/>
        </w:rPr>
        <w:tab/>
        <w:t>Florida</w:t>
      </w:r>
      <w:r>
        <w:rPr>
          <w:sz w:val="16"/>
          <w:szCs w:val="16"/>
        </w:rPr>
        <w:tab/>
      </w:r>
      <w:r>
        <w:rPr>
          <w:sz w:val="16"/>
          <w:szCs w:val="16"/>
        </w:rPr>
        <w:tab/>
        <w:t>Federal Executive Agencies</w:t>
      </w:r>
      <w:r>
        <w:rPr>
          <w:sz w:val="16"/>
          <w:szCs w:val="16"/>
        </w:rPr>
        <w:tab/>
      </w:r>
      <w:r>
        <w:rPr>
          <w:sz w:val="16"/>
          <w:szCs w:val="16"/>
        </w:rPr>
        <w:tab/>
        <w:t>Rate of Return</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2005</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274.</w:t>
      </w:r>
      <w:r>
        <w:rPr>
          <w:sz w:val="16"/>
          <w:szCs w:val="16"/>
        </w:rPr>
        <w:tab/>
        <w:t>9037</w:t>
      </w:r>
      <w:r>
        <w:rPr>
          <w:sz w:val="16"/>
          <w:szCs w:val="16"/>
        </w:rPr>
        <w:tab/>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Maryland</w:t>
      </w:r>
      <w:r>
        <w:rPr>
          <w:sz w:val="16"/>
          <w:szCs w:val="16"/>
        </w:rPr>
        <w:tab/>
      </w:r>
      <w:r>
        <w:rPr>
          <w:sz w:val="16"/>
          <w:szCs w:val="16"/>
        </w:rPr>
        <w:tab/>
        <w:t>MD. Energy Administration</w:t>
      </w:r>
      <w:r>
        <w:rPr>
          <w:sz w:val="16"/>
          <w:szCs w:val="16"/>
        </w:rPr>
        <w:tab/>
      </w:r>
      <w:r>
        <w:rPr>
          <w:sz w:val="16"/>
          <w:szCs w:val="16"/>
        </w:rPr>
        <w:tab/>
        <w:t>POLR Service</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2005</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275.</w:t>
      </w:r>
      <w:r>
        <w:rPr>
          <w:sz w:val="16"/>
          <w:szCs w:val="16"/>
        </w:rPr>
        <w:tab/>
        <w:t>U-28155</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LPSC Staff</w:t>
      </w:r>
      <w:r>
        <w:rPr>
          <w:sz w:val="16"/>
          <w:szCs w:val="16"/>
        </w:rPr>
        <w:tab/>
      </w:r>
      <w:r>
        <w:rPr>
          <w:sz w:val="16"/>
          <w:szCs w:val="16"/>
        </w:rPr>
        <w:tab/>
      </w:r>
      <w:r>
        <w:rPr>
          <w:sz w:val="16"/>
          <w:szCs w:val="16"/>
        </w:rPr>
        <w:tab/>
        <w:t>Independent Coordinator</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August 2005</w:t>
      </w:r>
      <w:r>
        <w:rPr>
          <w:sz w:val="16"/>
          <w:szCs w:val="16"/>
        </w:rPr>
        <w:tab/>
      </w:r>
      <w:r>
        <w:rPr>
          <w:sz w:val="16"/>
          <w:szCs w:val="16"/>
        </w:rPr>
        <w:tab/>
        <w:t xml:space="preserve">  Entergy Gulf States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of Transmission Plan</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br w:type="page"/>
        <w:t>276.</w:t>
      </w:r>
      <w:r>
        <w:rPr>
          <w:sz w:val="16"/>
          <w:szCs w:val="16"/>
        </w:rPr>
        <w:tab/>
        <w:t>U-27866-A</w:t>
      </w:r>
      <w:r>
        <w:rPr>
          <w:sz w:val="16"/>
          <w:szCs w:val="16"/>
        </w:rPr>
        <w:tab/>
      </w:r>
      <w:r>
        <w:rPr>
          <w:sz w:val="16"/>
          <w:szCs w:val="16"/>
        </w:rPr>
        <w:tab/>
      </w:r>
      <w:r>
        <w:rPr>
          <w:sz w:val="16"/>
          <w:szCs w:val="16"/>
        </w:rPr>
        <w:tab/>
        <w:t>Southwestern Electric</w:t>
      </w:r>
      <w:r>
        <w:rPr>
          <w:sz w:val="16"/>
          <w:szCs w:val="16"/>
        </w:rPr>
        <w:tab/>
      </w:r>
      <w:r>
        <w:rPr>
          <w:sz w:val="16"/>
          <w:szCs w:val="16"/>
        </w:rPr>
        <w:tab/>
      </w:r>
      <w:r>
        <w:rPr>
          <w:sz w:val="16"/>
          <w:szCs w:val="16"/>
        </w:rPr>
        <w:tab/>
        <w:t>Louisiana</w:t>
      </w:r>
      <w:r>
        <w:rPr>
          <w:sz w:val="16"/>
          <w:szCs w:val="16"/>
        </w:rPr>
        <w:tab/>
      </w:r>
      <w:r>
        <w:rPr>
          <w:sz w:val="16"/>
          <w:szCs w:val="16"/>
        </w:rPr>
        <w:tab/>
        <w:t>LPSC Staff</w:t>
      </w:r>
      <w:r>
        <w:rPr>
          <w:sz w:val="16"/>
          <w:szCs w:val="16"/>
        </w:rPr>
        <w:tab/>
      </w:r>
      <w:r>
        <w:rPr>
          <w:sz w:val="16"/>
          <w:szCs w:val="16"/>
        </w:rPr>
        <w:tab/>
      </w:r>
      <w:r>
        <w:rPr>
          <w:sz w:val="16"/>
          <w:szCs w:val="16"/>
        </w:rPr>
        <w:tab/>
        <w:t>Purchase Power Contract</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2005</w:t>
      </w:r>
      <w:r>
        <w:rPr>
          <w:sz w:val="16"/>
          <w:szCs w:val="16"/>
        </w:rPr>
        <w:tab/>
      </w:r>
      <w:r>
        <w:rPr>
          <w:sz w:val="16"/>
          <w:szCs w:val="16"/>
        </w:rPr>
        <w:tab/>
        <w:t xml:space="preserve">  Power Company</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277.</w:t>
      </w:r>
      <w:r>
        <w:rPr>
          <w:sz w:val="16"/>
          <w:szCs w:val="16"/>
        </w:rPr>
        <w:tab/>
        <w:t>U-28765</w:t>
      </w:r>
      <w:r>
        <w:rPr>
          <w:sz w:val="16"/>
          <w:szCs w:val="16"/>
        </w:rPr>
        <w:tab/>
      </w:r>
      <w:r>
        <w:rPr>
          <w:sz w:val="16"/>
          <w:szCs w:val="16"/>
        </w:rPr>
        <w:tab/>
      </w:r>
      <w:r>
        <w:rPr>
          <w:sz w:val="16"/>
          <w:szCs w:val="16"/>
        </w:rPr>
        <w:tab/>
        <w:t>Cleco Power LLC</w:t>
      </w:r>
      <w:r>
        <w:rPr>
          <w:sz w:val="16"/>
          <w:szCs w:val="16"/>
        </w:rPr>
        <w:tab/>
      </w:r>
      <w:r>
        <w:rPr>
          <w:sz w:val="16"/>
          <w:szCs w:val="16"/>
        </w:rPr>
        <w:tab/>
      </w:r>
      <w:r>
        <w:rPr>
          <w:sz w:val="16"/>
          <w:szCs w:val="16"/>
        </w:rPr>
        <w:tab/>
        <w:t>Louisiana</w:t>
      </w:r>
      <w:r>
        <w:rPr>
          <w:sz w:val="16"/>
          <w:szCs w:val="16"/>
        </w:rPr>
        <w:tab/>
      </w:r>
      <w:r>
        <w:rPr>
          <w:sz w:val="16"/>
          <w:szCs w:val="16"/>
        </w:rPr>
        <w:tab/>
        <w:t>LPSC Staff</w:t>
      </w:r>
      <w:r>
        <w:rPr>
          <w:sz w:val="16"/>
          <w:szCs w:val="16"/>
        </w:rPr>
        <w:tab/>
      </w:r>
      <w:r>
        <w:rPr>
          <w:sz w:val="16"/>
          <w:szCs w:val="16"/>
        </w:rPr>
        <w:tab/>
      </w:r>
      <w:r>
        <w:rPr>
          <w:sz w:val="16"/>
          <w:szCs w:val="16"/>
        </w:rPr>
        <w:tab/>
        <w:t>Purchase Power Contract</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2005</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278.</w:t>
      </w:r>
      <w:r>
        <w:rPr>
          <w:sz w:val="16"/>
          <w:szCs w:val="16"/>
        </w:rPr>
        <w:tab/>
        <w:t>U-27469</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LPSC Staff</w:t>
      </w:r>
      <w:r>
        <w:rPr>
          <w:sz w:val="16"/>
          <w:szCs w:val="16"/>
        </w:rPr>
        <w:tab/>
      </w:r>
      <w:r>
        <w:rPr>
          <w:sz w:val="16"/>
          <w:szCs w:val="16"/>
        </w:rPr>
        <w:tab/>
      </w:r>
      <w:r>
        <w:rPr>
          <w:sz w:val="16"/>
          <w:szCs w:val="16"/>
        </w:rPr>
        <w:tab/>
        <w:t>Avoided Cost Methodology</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2005</w:t>
      </w:r>
      <w:r>
        <w:rPr>
          <w:sz w:val="16"/>
          <w:szCs w:val="16"/>
        </w:rPr>
        <w:tab/>
      </w:r>
      <w:r>
        <w:rPr>
          <w:sz w:val="16"/>
          <w:szCs w:val="16"/>
        </w:rPr>
        <w:tab/>
        <w:t xml:space="preserve">  Entergy Gulf States</w:t>
      </w:r>
      <w:r>
        <w:rPr>
          <w:sz w:val="16"/>
          <w:szCs w:val="16"/>
        </w:rPr>
        <w:tab/>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279.</w:t>
      </w:r>
      <w:r>
        <w:rPr>
          <w:sz w:val="16"/>
          <w:szCs w:val="16"/>
        </w:rPr>
        <w:tab/>
        <w:t>A-313200F007</w:t>
      </w:r>
      <w:r>
        <w:rPr>
          <w:sz w:val="16"/>
          <w:szCs w:val="16"/>
        </w:rPr>
        <w:tab/>
      </w:r>
      <w:r>
        <w:rPr>
          <w:sz w:val="16"/>
          <w:szCs w:val="16"/>
        </w:rPr>
        <w:tab/>
        <w:t>Sprint</w:t>
      </w:r>
      <w:r>
        <w:rPr>
          <w:sz w:val="16"/>
          <w:szCs w:val="16"/>
        </w:rPr>
        <w:tab/>
      </w:r>
      <w:r>
        <w:rPr>
          <w:sz w:val="16"/>
          <w:szCs w:val="16"/>
        </w:rPr>
        <w:tab/>
      </w:r>
      <w:r>
        <w:rPr>
          <w:sz w:val="16"/>
          <w:szCs w:val="16"/>
        </w:rPr>
        <w:tab/>
      </w:r>
      <w:r>
        <w:rPr>
          <w:sz w:val="16"/>
          <w:szCs w:val="16"/>
        </w:rPr>
        <w:tab/>
        <w:t>Pennsylvania</w:t>
      </w:r>
      <w:r>
        <w:rPr>
          <w:sz w:val="16"/>
          <w:szCs w:val="16"/>
        </w:rPr>
        <w:tab/>
      </w:r>
      <w:r>
        <w:rPr>
          <w:sz w:val="16"/>
          <w:szCs w:val="16"/>
        </w:rPr>
        <w:tab/>
        <w:t>Office of Consumer Advocate</w:t>
      </w:r>
      <w:r>
        <w:rPr>
          <w:sz w:val="16"/>
          <w:szCs w:val="16"/>
        </w:rPr>
        <w:tab/>
        <w:t>Corporate Restructuring</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2005</w:t>
      </w:r>
      <w:r>
        <w:rPr>
          <w:sz w:val="16"/>
          <w:szCs w:val="16"/>
        </w:rPr>
        <w:tab/>
      </w:r>
      <w:r>
        <w:rPr>
          <w:sz w:val="16"/>
          <w:szCs w:val="16"/>
        </w:rPr>
        <w:tab/>
        <w:t xml:space="preserve">  (United of PA)</w:t>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280.</w:t>
      </w:r>
      <w:r>
        <w:rPr>
          <w:sz w:val="16"/>
          <w:szCs w:val="16"/>
        </w:rPr>
        <w:tab/>
        <w:t>EM05020106</w:t>
      </w:r>
      <w:r>
        <w:rPr>
          <w:sz w:val="16"/>
          <w:szCs w:val="16"/>
        </w:rPr>
        <w:tab/>
      </w:r>
      <w:r>
        <w:rPr>
          <w:sz w:val="16"/>
          <w:szCs w:val="16"/>
        </w:rPr>
        <w:tab/>
        <w:t>Public Service Electric</w:t>
      </w:r>
      <w:r>
        <w:rPr>
          <w:sz w:val="16"/>
          <w:szCs w:val="16"/>
        </w:rPr>
        <w:tab/>
      </w:r>
      <w:r>
        <w:rPr>
          <w:sz w:val="16"/>
          <w:szCs w:val="16"/>
        </w:rPr>
        <w:tab/>
      </w:r>
      <w:r>
        <w:rPr>
          <w:sz w:val="16"/>
          <w:szCs w:val="16"/>
        </w:rPr>
        <w:tab/>
        <w:t>New Jersey</w:t>
      </w:r>
      <w:r>
        <w:rPr>
          <w:sz w:val="16"/>
          <w:szCs w:val="16"/>
        </w:rPr>
        <w:tab/>
      </w:r>
      <w:r>
        <w:rPr>
          <w:sz w:val="16"/>
          <w:szCs w:val="16"/>
        </w:rPr>
        <w:tab/>
        <w:t>Ratepayer Advocate</w:t>
      </w:r>
      <w:r>
        <w:rPr>
          <w:sz w:val="16"/>
          <w:szCs w:val="16"/>
        </w:rPr>
        <w:tab/>
      </w:r>
      <w:r>
        <w:rPr>
          <w:sz w:val="16"/>
          <w:szCs w:val="16"/>
        </w:rPr>
        <w:tab/>
        <w:t>Merger Issues</w:t>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2005</w:t>
      </w:r>
      <w:r>
        <w:rPr>
          <w:sz w:val="16"/>
          <w:szCs w:val="16"/>
        </w:rPr>
        <w:tab/>
      </w:r>
      <w:r>
        <w:rPr>
          <w:sz w:val="16"/>
          <w:szCs w:val="16"/>
        </w:rPr>
        <w:tab/>
        <w:t xml:space="preserve">  &amp; Gas Company</w:t>
      </w:r>
    </w:p>
    <w:p w:rsidR="00F826FC" w:rsidRDefault="00F826FC" w:rsidP="00F826FC">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ind w:left="720" w:hanging="720"/>
        <w:rPr>
          <w:sz w:val="16"/>
          <w:szCs w:val="16"/>
        </w:rPr>
      </w:pPr>
      <w:r>
        <w:rPr>
          <w:sz w:val="16"/>
          <w:szCs w:val="16"/>
        </w:rPr>
        <w:t>281.</w:t>
      </w:r>
      <w:r>
        <w:rPr>
          <w:sz w:val="16"/>
          <w:szCs w:val="16"/>
        </w:rPr>
        <w:tab/>
        <w:t>U-28765</w:t>
      </w:r>
      <w:r>
        <w:rPr>
          <w:sz w:val="16"/>
          <w:szCs w:val="16"/>
        </w:rPr>
        <w:tab/>
      </w:r>
      <w:r>
        <w:rPr>
          <w:sz w:val="16"/>
          <w:szCs w:val="16"/>
        </w:rPr>
        <w:tab/>
      </w:r>
      <w:r>
        <w:rPr>
          <w:sz w:val="16"/>
          <w:szCs w:val="16"/>
        </w:rPr>
        <w:tab/>
        <w:t>Cleco Power LLC</w:t>
      </w:r>
      <w:r>
        <w:rPr>
          <w:sz w:val="16"/>
          <w:szCs w:val="16"/>
        </w:rPr>
        <w:tab/>
      </w:r>
      <w:r>
        <w:rPr>
          <w:sz w:val="16"/>
          <w:szCs w:val="16"/>
        </w:rPr>
        <w:tab/>
      </w:r>
      <w:r>
        <w:rPr>
          <w:sz w:val="16"/>
          <w:szCs w:val="16"/>
        </w:rPr>
        <w:tab/>
        <w:t>Louisiana</w:t>
      </w:r>
      <w:r>
        <w:rPr>
          <w:sz w:val="16"/>
          <w:szCs w:val="16"/>
        </w:rPr>
        <w:tab/>
      </w:r>
      <w:r>
        <w:rPr>
          <w:sz w:val="16"/>
          <w:szCs w:val="16"/>
        </w:rPr>
        <w:tab/>
        <w:t>LPSC Staff</w:t>
      </w:r>
      <w:r>
        <w:rPr>
          <w:sz w:val="16"/>
          <w:szCs w:val="16"/>
        </w:rPr>
        <w:tab/>
      </w:r>
      <w:r>
        <w:rPr>
          <w:sz w:val="16"/>
          <w:szCs w:val="16"/>
        </w:rPr>
        <w:tab/>
      </w:r>
      <w:r>
        <w:rPr>
          <w:sz w:val="16"/>
          <w:szCs w:val="16"/>
        </w:rPr>
        <w:tab/>
        <w:t>Plant Certification, Financing, Rate Plan</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December 2005</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282.</w:t>
      </w:r>
      <w:r>
        <w:rPr>
          <w:sz w:val="16"/>
          <w:szCs w:val="16"/>
        </w:rPr>
        <w:tab/>
        <w:t>U-29157</w:t>
      </w:r>
      <w:r>
        <w:rPr>
          <w:sz w:val="16"/>
          <w:szCs w:val="16"/>
        </w:rPr>
        <w:tab/>
      </w:r>
      <w:r>
        <w:rPr>
          <w:sz w:val="16"/>
          <w:szCs w:val="16"/>
        </w:rPr>
        <w:tab/>
      </w:r>
      <w:r>
        <w:rPr>
          <w:sz w:val="16"/>
          <w:szCs w:val="16"/>
        </w:rPr>
        <w:tab/>
        <w:t>Cleco Power LLC</w:t>
      </w:r>
      <w:r>
        <w:rPr>
          <w:sz w:val="16"/>
          <w:szCs w:val="16"/>
        </w:rPr>
        <w:tab/>
      </w:r>
      <w:r>
        <w:rPr>
          <w:sz w:val="16"/>
          <w:szCs w:val="16"/>
        </w:rPr>
        <w:tab/>
      </w:r>
      <w:r>
        <w:rPr>
          <w:sz w:val="16"/>
          <w:szCs w:val="16"/>
        </w:rPr>
        <w:tab/>
        <w:t>Louisiana</w:t>
      </w:r>
      <w:r>
        <w:rPr>
          <w:sz w:val="16"/>
          <w:szCs w:val="16"/>
        </w:rPr>
        <w:tab/>
      </w:r>
      <w:r>
        <w:rPr>
          <w:sz w:val="16"/>
          <w:szCs w:val="16"/>
        </w:rPr>
        <w:tab/>
        <w:t>LPSC Staff</w:t>
      </w:r>
      <w:r>
        <w:rPr>
          <w:sz w:val="16"/>
          <w:szCs w:val="16"/>
        </w:rPr>
        <w:tab/>
      </w:r>
      <w:r>
        <w:rPr>
          <w:sz w:val="16"/>
          <w:szCs w:val="16"/>
        </w:rPr>
        <w:tab/>
      </w:r>
      <w:r>
        <w:rPr>
          <w:sz w:val="16"/>
          <w:szCs w:val="16"/>
        </w:rPr>
        <w:tab/>
        <w:t>Storm Damage Financing</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2006</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283.</w:t>
      </w:r>
      <w:r>
        <w:rPr>
          <w:sz w:val="16"/>
          <w:szCs w:val="16"/>
        </w:rPr>
        <w:tab/>
        <w:t>U-29204</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LPSC Staff</w:t>
      </w:r>
      <w:r>
        <w:rPr>
          <w:sz w:val="16"/>
          <w:szCs w:val="16"/>
        </w:rPr>
        <w:tab/>
      </w:r>
      <w:r>
        <w:rPr>
          <w:sz w:val="16"/>
          <w:szCs w:val="16"/>
        </w:rPr>
        <w:tab/>
      </w:r>
      <w:r>
        <w:rPr>
          <w:sz w:val="16"/>
          <w:szCs w:val="16"/>
        </w:rPr>
        <w:tab/>
        <w:t>Purchase power contracts</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2006</w:t>
      </w:r>
      <w:r>
        <w:rPr>
          <w:sz w:val="16"/>
          <w:szCs w:val="16"/>
        </w:rPr>
        <w:tab/>
      </w:r>
      <w:r>
        <w:rPr>
          <w:sz w:val="16"/>
          <w:szCs w:val="16"/>
        </w:rPr>
        <w:tab/>
      </w:r>
      <w:r>
        <w:rPr>
          <w:sz w:val="16"/>
          <w:szCs w:val="16"/>
        </w:rPr>
        <w:tab/>
        <w:t xml:space="preserve">  Entergy Gulf States</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284.</w:t>
      </w:r>
      <w:r>
        <w:rPr>
          <w:sz w:val="16"/>
          <w:szCs w:val="16"/>
        </w:rPr>
        <w:tab/>
        <w:t>A-310325F006</w:t>
      </w:r>
      <w:r>
        <w:rPr>
          <w:sz w:val="16"/>
          <w:szCs w:val="16"/>
        </w:rPr>
        <w:tab/>
      </w:r>
      <w:r>
        <w:rPr>
          <w:sz w:val="16"/>
          <w:szCs w:val="16"/>
        </w:rPr>
        <w:tab/>
        <w:t>Alltel</w:t>
      </w:r>
      <w:r>
        <w:rPr>
          <w:sz w:val="16"/>
          <w:szCs w:val="16"/>
        </w:rPr>
        <w:tab/>
      </w:r>
      <w:r>
        <w:rPr>
          <w:sz w:val="16"/>
          <w:szCs w:val="16"/>
        </w:rPr>
        <w:tab/>
      </w:r>
      <w:r>
        <w:rPr>
          <w:sz w:val="16"/>
          <w:szCs w:val="16"/>
        </w:rPr>
        <w:tab/>
      </w:r>
      <w:r>
        <w:rPr>
          <w:sz w:val="16"/>
          <w:szCs w:val="16"/>
        </w:rPr>
        <w:tab/>
        <w:t>Pennsylvania</w:t>
      </w:r>
      <w:r>
        <w:rPr>
          <w:sz w:val="16"/>
          <w:szCs w:val="16"/>
        </w:rPr>
        <w:tab/>
      </w:r>
      <w:r>
        <w:rPr>
          <w:sz w:val="16"/>
          <w:szCs w:val="16"/>
        </w:rPr>
        <w:tab/>
        <w:t>Office of Consumer Advocate</w:t>
      </w:r>
      <w:r>
        <w:rPr>
          <w:sz w:val="16"/>
          <w:szCs w:val="16"/>
        </w:rPr>
        <w:tab/>
        <w:t>Merger, Corporate Restructuring</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2006</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285.</w:t>
      </w:r>
      <w:r>
        <w:rPr>
          <w:sz w:val="16"/>
          <w:szCs w:val="16"/>
        </w:rPr>
        <w:tab/>
        <w:t xml:space="preserve">9056 </w:t>
      </w:r>
      <w:r>
        <w:rPr>
          <w:sz w:val="16"/>
          <w:szCs w:val="16"/>
        </w:rPr>
        <w:tab/>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Maryland</w:t>
      </w:r>
      <w:r>
        <w:rPr>
          <w:sz w:val="16"/>
          <w:szCs w:val="16"/>
        </w:rPr>
        <w:tab/>
      </w:r>
      <w:r>
        <w:rPr>
          <w:sz w:val="16"/>
          <w:szCs w:val="16"/>
        </w:rPr>
        <w:tab/>
        <w:t xml:space="preserve">Maryland Energy </w:t>
      </w:r>
      <w:r>
        <w:rPr>
          <w:sz w:val="16"/>
          <w:szCs w:val="16"/>
        </w:rPr>
        <w:tab/>
      </w:r>
      <w:r>
        <w:rPr>
          <w:sz w:val="16"/>
          <w:szCs w:val="16"/>
        </w:rPr>
        <w:tab/>
      </w:r>
      <w:r>
        <w:rPr>
          <w:sz w:val="16"/>
          <w:szCs w:val="16"/>
        </w:rPr>
        <w:tab/>
        <w:t>Standard Offer Service</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2006</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Administration</w:t>
      </w:r>
      <w:r>
        <w:rPr>
          <w:sz w:val="16"/>
          <w:szCs w:val="16"/>
        </w:rPr>
        <w:tab/>
      </w:r>
      <w:r>
        <w:rPr>
          <w:sz w:val="16"/>
          <w:szCs w:val="16"/>
        </w:rPr>
        <w:tab/>
      </w:r>
      <w:r>
        <w:rPr>
          <w:sz w:val="16"/>
          <w:szCs w:val="16"/>
        </w:rPr>
        <w:tab/>
        <w:t>Structure</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286.</w:t>
      </w:r>
      <w:r>
        <w:rPr>
          <w:sz w:val="16"/>
          <w:szCs w:val="16"/>
        </w:rPr>
        <w:tab/>
        <w:t>C2-99-1182</w:t>
      </w:r>
      <w:r>
        <w:rPr>
          <w:sz w:val="16"/>
          <w:szCs w:val="16"/>
        </w:rPr>
        <w:tab/>
      </w:r>
      <w:r>
        <w:rPr>
          <w:sz w:val="16"/>
          <w:szCs w:val="16"/>
        </w:rPr>
        <w:tab/>
      </w:r>
      <w:r>
        <w:rPr>
          <w:sz w:val="16"/>
          <w:szCs w:val="16"/>
        </w:rPr>
        <w:tab/>
        <w:t>American Electric</w:t>
      </w:r>
      <w:r>
        <w:rPr>
          <w:sz w:val="16"/>
          <w:szCs w:val="16"/>
        </w:rPr>
        <w:tab/>
      </w:r>
      <w:r>
        <w:rPr>
          <w:sz w:val="16"/>
          <w:szCs w:val="16"/>
        </w:rPr>
        <w:tab/>
      </w:r>
      <w:r>
        <w:rPr>
          <w:sz w:val="16"/>
          <w:szCs w:val="16"/>
        </w:rPr>
        <w:tab/>
        <w:t>U. S. District Court</w:t>
      </w:r>
      <w:r>
        <w:rPr>
          <w:sz w:val="16"/>
          <w:szCs w:val="16"/>
        </w:rPr>
        <w:tab/>
        <w:t xml:space="preserve">U. S. Department of Justice </w:t>
      </w:r>
      <w:r>
        <w:rPr>
          <w:sz w:val="16"/>
          <w:szCs w:val="16"/>
        </w:rPr>
        <w:tab/>
      </w:r>
      <w:r>
        <w:rPr>
          <w:sz w:val="16"/>
          <w:szCs w:val="16"/>
        </w:rPr>
        <w:tab/>
        <w:t xml:space="preserve">New Source Review </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April 2006</w:t>
      </w:r>
      <w:r>
        <w:rPr>
          <w:sz w:val="16"/>
          <w:szCs w:val="16"/>
        </w:rPr>
        <w:tab/>
      </w:r>
      <w:r>
        <w:rPr>
          <w:sz w:val="16"/>
          <w:szCs w:val="16"/>
        </w:rPr>
        <w:tab/>
      </w:r>
      <w:r>
        <w:rPr>
          <w:sz w:val="16"/>
          <w:szCs w:val="16"/>
        </w:rPr>
        <w:tab/>
        <w:t xml:space="preserve">  Power Utilities</w:t>
      </w:r>
      <w:r>
        <w:rPr>
          <w:sz w:val="16"/>
          <w:szCs w:val="16"/>
        </w:rPr>
        <w:tab/>
      </w:r>
      <w:r>
        <w:rPr>
          <w:sz w:val="16"/>
          <w:szCs w:val="16"/>
        </w:rPr>
        <w:tab/>
      </w:r>
      <w:r>
        <w:rPr>
          <w:sz w:val="16"/>
          <w:szCs w:val="16"/>
        </w:rPr>
        <w:tab/>
        <w:t>Southern District, Ohio</w:t>
      </w:r>
      <w:r>
        <w:rPr>
          <w:sz w:val="16"/>
          <w:szCs w:val="16"/>
        </w:rPr>
        <w:tab/>
      </w:r>
      <w:r>
        <w:rPr>
          <w:sz w:val="16"/>
          <w:szCs w:val="16"/>
        </w:rPr>
        <w:tab/>
      </w:r>
      <w:r>
        <w:rPr>
          <w:sz w:val="16"/>
          <w:szCs w:val="16"/>
        </w:rPr>
        <w:tab/>
      </w:r>
      <w:r>
        <w:rPr>
          <w:sz w:val="16"/>
          <w:szCs w:val="16"/>
        </w:rPr>
        <w:tab/>
      </w:r>
      <w:r>
        <w:rPr>
          <w:sz w:val="16"/>
          <w:szCs w:val="16"/>
        </w:rPr>
        <w:tab/>
        <w:t>Enforcement (expert report)</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287.</w:t>
      </w:r>
      <w:r>
        <w:rPr>
          <w:sz w:val="16"/>
          <w:szCs w:val="16"/>
        </w:rPr>
        <w:tab/>
        <w:t>EM05121058</w:t>
      </w:r>
      <w:r>
        <w:rPr>
          <w:sz w:val="16"/>
          <w:szCs w:val="16"/>
        </w:rPr>
        <w:tab/>
      </w:r>
      <w:r>
        <w:rPr>
          <w:sz w:val="16"/>
          <w:szCs w:val="16"/>
        </w:rPr>
        <w:tab/>
        <w:t>Atlantic City</w:t>
      </w:r>
      <w:r>
        <w:rPr>
          <w:sz w:val="16"/>
          <w:szCs w:val="16"/>
        </w:rPr>
        <w:tab/>
      </w:r>
      <w:r>
        <w:rPr>
          <w:sz w:val="16"/>
          <w:szCs w:val="16"/>
        </w:rPr>
        <w:tab/>
      </w:r>
      <w:r>
        <w:rPr>
          <w:sz w:val="16"/>
          <w:szCs w:val="16"/>
        </w:rPr>
        <w:tab/>
      </w:r>
      <w:r>
        <w:rPr>
          <w:sz w:val="16"/>
          <w:szCs w:val="16"/>
        </w:rPr>
        <w:tab/>
        <w:t>New Jersey</w:t>
      </w:r>
      <w:r>
        <w:rPr>
          <w:sz w:val="16"/>
          <w:szCs w:val="16"/>
        </w:rPr>
        <w:tab/>
      </w:r>
      <w:r>
        <w:rPr>
          <w:sz w:val="16"/>
          <w:szCs w:val="16"/>
        </w:rPr>
        <w:tab/>
        <w:t>Ratepayer Advocate</w:t>
      </w:r>
      <w:r>
        <w:rPr>
          <w:sz w:val="16"/>
          <w:szCs w:val="16"/>
        </w:rPr>
        <w:tab/>
      </w:r>
      <w:r>
        <w:rPr>
          <w:sz w:val="16"/>
          <w:szCs w:val="16"/>
        </w:rPr>
        <w:tab/>
        <w:t>Power plant Sale</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April 2006</w:t>
      </w:r>
      <w:r>
        <w:rPr>
          <w:sz w:val="16"/>
          <w:szCs w:val="16"/>
        </w:rPr>
        <w:tab/>
      </w:r>
      <w:r>
        <w:rPr>
          <w:sz w:val="16"/>
          <w:szCs w:val="16"/>
        </w:rPr>
        <w:tab/>
      </w:r>
      <w:r>
        <w:rPr>
          <w:sz w:val="16"/>
          <w:szCs w:val="16"/>
        </w:rPr>
        <w:tab/>
        <w:t xml:space="preserve">  Electric</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288.</w:t>
      </w:r>
      <w:r>
        <w:rPr>
          <w:sz w:val="16"/>
          <w:szCs w:val="16"/>
        </w:rPr>
        <w:tab/>
        <w:t>ER05121018</w:t>
      </w:r>
      <w:r>
        <w:rPr>
          <w:sz w:val="16"/>
          <w:szCs w:val="16"/>
        </w:rPr>
        <w:tab/>
      </w:r>
      <w:r>
        <w:rPr>
          <w:sz w:val="16"/>
          <w:szCs w:val="16"/>
        </w:rPr>
        <w:tab/>
        <w:t>Jersey Central Power</w:t>
      </w:r>
      <w:r>
        <w:rPr>
          <w:sz w:val="16"/>
          <w:szCs w:val="16"/>
        </w:rPr>
        <w:tab/>
      </w:r>
      <w:r>
        <w:rPr>
          <w:sz w:val="16"/>
          <w:szCs w:val="16"/>
        </w:rPr>
        <w:tab/>
      </w:r>
      <w:r>
        <w:rPr>
          <w:sz w:val="16"/>
          <w:szCs w:val="16"/>
        </w:rPr>
        <w:tab/>
        <w:t>New Jersey</w:t>
      </w:r>
      <w:r>
        <w:rPr>
          <w:sz w:val="16"/>
          <w:szCs w:val="16"/>
        </w:rPr>
        <w:tab/>
      </w:r>
      <w:r>
        <w:rPr>
          <w:sz w:val="16"/>
          <w:szCs w:val="16"/>
        </w:rPr>
        <w:tab/>
        <w:t>Ratepayer Advocate</w:t>
      </w:r>
      <w:r>
        <w:rPr>
          <w:sz w:val="16"/>
          <w:szCs w:val="16"/>
        </w:rPr>
        <w:tab/>
      </w:r>
      <w:r>
        <w:rPr>
          <w:sz w:val="16"/>
          <w:szCs w:val="16"/>
        </w:rPr>
        <w:tab/>
        <w:t>NUG Contracts Cost Recovery</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2006</w:t>
      </w:r>
      <w:r>
        <w:rPr>
          <w:sz w:val="16"/>
          <w:szCs w:val="16"/>
        </w:rPr>
        <w:tab/>
      </w:r>
      <w:r>
        <w:rPr>
          <w:sz w:val="16"/>
          <w:szCs w:val="16"/>
        </w:rPr>
        <w:tab/>
      </w:r>
      <w:r>
        <w:rPr>
          <w:sz w:val="16"/>
          <w:szCs w:val="16"/>
        </w:rPr>
        <w:tab/>
        <w:t>&amp; Light Company</w:t>
      </w:r>
      <w:r>
        <w:rPr>
          <w:sz w:val="16"/>
          <w:szCs w:val="16"/>
        </w:rPr>
        <w:tab/>
      </w:r>
      <w:r>
        <w:rPr>
          <w:sz w:val="16"/>
          <w:szCs w:val="16"/>
        </w:rPr>
        <w:tab/>
      </w:r>
      <w:r>
        <w:rPr>
          <w:sz w:val="16"/>
          <w:szCs w:val="16"/>
        </w:rPr>
        <w:tab/>
      </w:r>
      <w:r>
        <w:rPr>
          <w:sz w:val="16"/>
          <w:szCs w:val="16"/>
        </w:rPr>
        <w:tab/>
      </w:r>
      <w:r>
        <w:rPr>
          <w:sz w:val="16"/>
          <w:szCs w:val="16"/>
        </w:rPr>
        <w:tab/>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289.</w:t>
      </w:r>
      <w:r>
        <w:rPr>
          <w:sz w:val="16"/>
          <w:szCs w:val="16"/>
        </w:rPr>
        <w:tab/>
        <w:t>U-21496, Subdocket C</w:t>
      </w:r>
      <w:r>
        <w:rPr>
          <w:sz w:val="16"/>
          <w:szCs w:val="16"/>
        </w:rPr>
        <w:tab/>
      </w:r>
      <w:r>
        <w:rPr>
          <w:sz w:val="16"/>
          <w:szCs w:val="16"/>
        </w:rPr>
        <w:tab/>
        <w:t>Cleco Power LLC</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Rate Stabilization Plan</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2006</w:t>
      </w:r>
      <w:r>
        <w:rPr>
          <w:sz w:val="16"/>
          <w:szCs w:val="16"/>
        </w:rPr>
        <w:tab/>
      </w:r>
      <w:r>
        <w:rPr>
          <w:sz w:val="16"/>
          <w:szCs w:val="16"/>
        </w:rPr>
        <w:tab/>
      </w:r>
      <w:r>
        <w:rPr>
          <w:sz w:val="16"/>
          <w:szCs w:val="16"/>
        </w:rPr>
        <w:tab/>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290.</w:t>
      </w:r>
      <w:r>
        <w:rPr>
          <w:sz w:val="16"/>
          <w:szCs w:val="16"/>
        </w:rPr>
        <w:tab/>
        <w:t>GR0510085</w:t>
      </w:r>
      <w:r>
        <w:rPr>
          <w:sz w:val="16"/>
          <w:szCs w:val="16"/>
        </w:rPr>
        <w:tab/>
      </w:r>
      <w:r>
        <w:rPr>
          <w:sz w:val="16"/>
          <w:szCs w:val="16"/>
        </w:rPr>
        <w:tab/>
      </w:r>
      <w:r>
        <w:rPr>
          <w:sz w:val="16"/>
          <w:szCs w:val="16"/>
        </w:rPr>
        <w:tab/>
        <w:t>Public Service Electric</w:t>
      </w:r>
      <w:r>
        <w:rPr>
          <w:sz w:val="16"/>
          <w:szCs w:val="16"/>
        </w:rPr>
        <w:tab/>
      </w:r>
      <w:r>
        <w:rPr>
          <w:sz w:val="16"/>
          <w:szCs w:val="16"/>
        </w:rPr>
        <w:tab/>
      </w:r>
      <w:r>
        <w:rPr>
          <w:sz w:val="16"/>
          <w:szCs w:val="16"/>
        </w:rPr>
        <w:tab/>
        <w:t>New Jersey</w:t>
      </w:r>
      <w:r>
        <w:rPr>
          <w:sz w:val="16"/>
          <w:szCs w:val="16"/>
        </w:rPr>
        <w:tab/>
      </w:r>
      <w:r>
        <w:rPr>
          <w:sz w:val="16"/>
          <w:szCs w:val="16"/>
        </w:rPr>
        <w:tab/>
        <w:t>Ratepayer Advocate</w:t>
      </w:r>
      <w:r>
        <w:rPr>
          <w:sz w:val="16"/>
          <w:szCs w:val="16"/>
        </w:rPr>
        <w:tab/>
      </w:r>
      <w:r>
        <w:rPr>
          <w:sz w:val="16"/>
          <w:szCs w:val="16"/>
        </w:rPr>
        <w:tab/>
        <w:t>Rate of Return (gas services)</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2006</w:t>
      </w:r>
      <w:r>
        <w:rPr>
          <w:sz w:val="16"/>
          <w:szCs w:val="16"/>
        </w:rPr>
        <w:tab/>
      </w:r>
      <w:r>
        <w:rPr>
          <w:sz w:val="16"/>
          <w:szCs w:val="16"/>
        </w:rPr>
        <w:tab/>
      </w:r>
      <w:r>
        <w:rPr>
          <w:sz w:val="16"/>
          <w:szCs w:val="16"/>
        </w:rPr>
        <w:tab/>
        <w:t xml:space="preserve">  &amp; Gas Company</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br w:type="page"/>
        <w:t>291.</w:t>
      </w:r>
      <w:r>
        <w:rPr>
          <w:sz w:val="16"/>
          <w:szCs w:val="16"/>
        </w:rPr>
        <w:tab/>
        <w:t>R-000061366</w:t>
      </w:r>
      <w:r>
        <w:rPr>
          <w:sz w:val="16"/>
          <w:szCs w:val="16"/>
        </w:rPr>
        <w:tab/>
      </w:r>
      <w:r>
        <w:rPr>
          <w:sz w:val="16"/>
          <w:szCs w:val="16"/>
        </w:rPr>
        <w:tab/>
        <w:t>Metropolitan Ed. Company</w:t>
      </w:r>
      <w:r>
        <w:rPr>
          <w:sz w:val="16"/>
          <w:szCs w:val="16"/>
        </w:rPr>
        <w:tab/>
      </w:r>
      <w:r>
        <w:rPr>
          <w:sz w:val="16"/>
          <w:szCs w:val="16"/>
        </w:rPr>
        <w:tab/>
        <w:t>Pennsylvania</w:t>
      </w:r>
      <w:r>
        <w:rPr>
          <w:sz w:val="16"/>
          <w:szCs w:val="16"/>
        </w:rPr>
        <w:tab/>
      </w:r>
      <w:r>
        <w:rPr>
          <w:sz w:val="16"/>
          <w:szCs w:val="16"/>
        </w:rPr>
        <w:tab/>
        <w:t>Office of Consumer Advocate</w:t>
      </w:r>
      <w:r>
        <w:rPr>
          <w:sz w:val="16"/>
          <w:szCs w:val="16"/>
        </w:rPr>
        <w:tab/>
        <w:t>Rate of Return</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2006</w:t>
      </w:r>
      <w:r>
        <w:rPr>
          <w:sz w:val="16"/>
          <w:szCs w:val="16"/>
        </w:rPr>
        <w:tab/>
      </w:r>
      <w:r>
        <w:rPr>
          <w:sz w:val="16"/>
          <w:szCs w:val="16"/>
        </w:rPr>
        <w:tab/>
      </w:r>
      <w:r>
        <w:rPr>
          <w:sz w:val="16"/>
          <w:szCs w:val="16"/>
        </w:rPr>
        <w:tab/>
        <w:t xml:space="preserve">  Penn. Electric Company</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292.</w:t>
      </w:r>
      <w:r>
        <w:rPr>
          <w:sz w:val="16"/>
          <w:szCs w:val="16"/>
        </w:rPr>
        <w:tab/>
        <w:t>9064</w:t>
      </w:r>
      <w:r>
        <w:rPr>
          <w:sz w:val="16"/>
          <w:szCs w:val="16"/>
        </w:rPr>
        <w:tab/>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Maryland</w:t>
      </w:r>
      <w:r>
        <w:rPr>
          <w:sz w:val="16"/>
          <w:szCs w:val="16"/>
        </w:rPr>
        <w:tab/>
      </w:r>
      <w:r>
        <w:rPr>
          <w:sz w:val="16"/>
          <w:szCs w:val="16"/>
        </w:rPr>
        <w:tab/>
        <w:t>Energy Administration</w:t>
      </w:r>
      <w:r>
        <w:rPr>
          <w:sz w:val="16"/>
          <w:szCs w:val="16"/>
        </w:rPr>
        <w:tab/>
      </w:r>
      <w:r>
        <w:rPr>
          <w:sz w:val="16"/>
          <w:szCs w:val="16"/>
        </w:rPr>
        <w:tab/>
        <w:t>Standard Offer Service</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2006</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293.</w:t>
      </w:r>
      <w:r>
        <w:rPr>
          <w:sz w:val="16"/>
          <w:szCs w:val="16"/>
        </w:rPr>
        <w:tab/>
        <w:t>U-29599</w:t>
      </w:r>
      <w:r>
        <w:rPr>
          <w:sz w:val="16"/>
          <w:szCs w:val="16"/>
        </w:rPr>
        <w:tab/>
      </w:r>
      <w:r>
        <w:rPr>
          <w:sz w:val="16"/>
          <w:szCs w:val="16"/>
        </w:rPr>
        <w:tab/>
      </w:r>
      <w:r>
        <w:rPr>
          <w:sz w:val="16"/>
          <w:szCs w:val="16"/>
        </w:rPr>
        <w:tab/>
        <w:t>Cleco Power LLC</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Purchase Power Contracts</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2006</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294.</w:t>
      </w:r>
      <w:r>
        <w:rPr>
          <w:sz w:val="16"/>
          <w:szCs w:val="16"/>
        </w:rPr>
        <w:tab/>
        <w:t>WR06030257</w:t>
      </w:r>
      <w:r>
        <w:rPr>
          <w:sz w:val="16"/>
          <w:szCs w:val="16"/>
        </w:rPr>
        <w:tab/>
      </w:r>
      <w:r>
        <w:rPr>
          <w:sz w:val="16"/>
          <w:szCs w:val="16"/>
        </w:rPr>
        <w:tab/>
        <w:t xml:space="preserve">New Jersey American Water </w:t>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Rate of Return</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2006</w:t>
      </w:r>
      <w:r>
        <w:rPr>
          <w:sz w:val="16"/>
          <w:szCs w:val="16"/>
        </w:rPr>
        <w:tab/>
      </w:r>
      <w:r>
        <w:rPr>
          <w:sz w:val="16"/>
          <w:szCs w:val="16"/>
        </w:rPr>
        <w:tab/>
        <w:t xml:space="preserve">  Company</w:t>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295.</w:t>
      </w:r>
      <w:r>
        <w:rPr>
          <w:sz w:val="16"/>
          <w:szCs w:val="16"/>
        </w:rPr>
        <w:tab/>
        <w:t>U-27866/U-29702</w:t>
      </w:r>
      <w:r>
        <w:rPr>
          <w:sz w:val="16"/>
          <w:szCs w:val="16"/>
        </w:rPr>
        <w:tab/>
      </w:r>
      <w:r>
        <w:rPr>
          <w:sz w:val="16"/>
          <w:szCs w:val="16"/>
        </w:rPr>
        <w:tab/>
        <w:t>Southwestern Electric Power</w:t>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Purchase Power/Power Plant Certification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2006</w:t>
      </w:r>
      <w:r>
        <w:rPr>
          <w:sz w:val="16"/>
          <w:szCs w:val="16"/>
        </w:rPr>
        <w:tab/>
      </w:r>
      <w:r>
        <w:rPr>
          <w:sz w:val="16"/>
          <w:szCs w:val="16"/>
        </w:rPr>
        <w:tab/>
        <w:t xml:space="preserve">  Company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296.</w:t>
      </w:r>
      <w:r>
        <w:rPr>
          <w:sz w:val="16"/>
          <w:szCs w:val="16"/>
        </w:rPr>
        <w:tab/>
        <w:t>9063</w:t>
      </w:r>
      <w:r>
        <w:rPr>
          <w:sz w:val="16"/>
          <w:szCs w:val="16"/>
        </w:rPr>
        <w:tab/>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Maryland</w:t>
      </w:r>
      <w:r>
        <w:rPr>
          <w:sz w:val="16"/>
          <w:szCs w:val="16"/>
        </w:rPr>
        <w:tab/>
      </w:r>
      <w:r>
        <w:rPr>
          <w:sz w:val="16"/>
          <w:szCs w:val="16"/>
        </w:rPr>
        <w:tab/>
        <w:t>Energy Administration</w:t>
      </w:r>
      <w:r>
        <w:rPr>
          <w:sz w:val="16"/>
          <w:szCs w:val="16"/>
        </w:rPr>
        <w:tab/>
      </w:r>
      <w:r>
        <w:rPr>
          <w:sz w:val="16"/>
          <w:szCs w:val="16"/>
        </w:rPr>
        <w:tab/>
        <w:t>Generation Supply Policies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2006</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Department of Natural Resources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297.</w:t>
      </w:r>
      <w:r>
        <w:rPr>
          <w:sz w:val="16"/>
          <w:szCs w:val="16"/>
        </w:rPr>
        <w:tab/>
        <w:t>EM06090638</w:t>
      </w:r>
      <w:r>
        <w:rPr>
          <w:sz w:val="16"/>
          <w:szCs w:val="16"/>
        </w:rPr>
        <w:tab/>
      </w:r>
      <w:r>
        <w:rPr>
          <w:sz w:val="16"/>
          <w:szCs w:val="16"/>
        </w:rPr>
        <w:tab/>
        <w:t>Atlantic City Electric</w:t>
      </w:r>
      <w:r>
        <w:rPr>
          <w:sz w:val="16"/>
          <w:szCs w:val="16"/>
        </w:rPr>
        <w:tab/>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Power Plant Sale</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2006</w:t>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298.</w:t>
      </w:r>
      <w:r>
        <w:rPr>
          <w:sz w:val="16"/>
          <w:szCs w:val="16"/>
        </w:rPr>
        <w:tab/>
        <w:t>C-2000065942</w:t>
      </w:r>
      <w:r>
        <w:rPr>
          <w:sz w:val="16"/>
          <w:szCs w:val="16"/>
        </w:rPr>
        <w:tab/>
      </w:r>
      <w:r>
        <w:rPr>
          <w:sz w:val="16"/>
          <w:szCs w:val="16"/>
        </w:rPr>
        <w:tab/>
        <w:t>Pike County Light &amp; Power</w:t>
      </w:r>
      <w:r>
        <w:rPr>
          <w:sz w:val="16"/>
          <w:szCs w:val="16"/>
        </w:rPr>
        <w:tab/>
      </w:r>
      <w:r>
        <w:rPr>
          <w:sz w:val="16"/>
          <w:szCs w:val="16"/>
        </w:rPr>
        <w:tab/>
        <w:t>Pennsylvania</w:t>
      </w:r>
      <w:r>
        <w:rPr>
          <w:sz w:val="16"/>
          <w:szCs w:val="16"/>
        </w:rPr>
        <w:tab/>
      </w:r>
      <w:r>
        <w:rPr>
          <w:sz w:val="16"/>
          <w:szCs w:val="16"/>
        </w:rPr>
        <w:tab/>
        <w:t>Consumer Advocate</w:t>
      </w:r>
      <w:r>
        <w:rPr>
          <w:sz w:val="16"/>
          <w:szCs w:val="16"/>
        </w:rPr>
        <w:tab/>
      </w:r>
      <w:r>
        <w:rPr>
          <w:sz w:val="16"/>
          <w:szCs w:val="16"/>
        </w:rPr>
        <w:tab/>
        <w:t>Generation Supply Service</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2006</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299.</w:t>
      </w:r>
      <w:r>
        <w:rPr>
          <w:sz w:val="16"/>
          <w:szCs w:val="16"/>
        </w:rPr>
        <w:tab/>
        <w:t>ER06060483</w:t>
      </w:r>
      <w:r>
        <w:rPr>
          <w:sz w:val="16"/>
          <w:szCs w:val="16"/>
        </w:rPr>
        <w:tab/>
      </w:r>
      <w:r>
        <w:rPr>
          <w:sz w:val="16"/>
          <w:szCs w:val="16"/>
        </w:rPr>
        <w:tab/>
      </w:r>
      <w:r>
        <w:rPr>
          <w:sz w:val="16"/>
          <w:szCs w:val="16"/>
        </w:rPr>
        <w:tab/>
        <w:t>Rockland Electric Company</w:t>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 xml:space="preserve">Rate of Return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2006</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300.</w:t>
      </w:r>
      <w:r>
        <w:rPr>
          <w:sz w:val="16"/>
          <w:szCs w:val="16"/>
        </w:rPr>
        <w:tab/>
        <w:t>A-110150F0035</w:t>
      </w:r>
      <w:r>
        <w:rPr>
          <w:sz w:val="16"/>
          <w:szCs w:val="16"/>
        </w:rPr>
        <w:tab/>
      </w:r>
      <w:r>
        <w:rPr>
          <w:sz w:val="16"/>
          <w:szCs w:val="16"/>
        </w:rPr>
        <w:tab/>
        <w:t>Duquesne Light Company</w:t>
      </w:r>
      <w:r>
        <w:rPr>
          <w:sz w:val="16"/>
          <w:szCs w:val="16"/>
        </w:rPr>
        <w:tab/>
      </w:r>
      <w:r>
        <w:rPr>
          <w:sz w:val="16"/>
          <w:szCs w:val="16"/>
        </w:rPr>
        <w:tab/>
      </w:r>
      <w:r>
        <w:rPr>
          <w:sz w:val="16"/>
          <w:szCs w:val="16"/>
        </w:rPr>
        <w:tab/>
        <w:t>Pennsylvania</w:t>
      </w:r>
      <w:r>
        <w:rPr>
          <w:sz w:val="16"/>
          <w:szCs w:val="16"/>
        </w:rPr>
        <w:tab/>
      </w:r>
      <w:r>
        <w:rPr>
          <w:sz w:val="16"/>
          <w:szCs w:val="16"/>
        </w:rPr>
        <w:tab/>
        <w:t>Consumer Advocate</w:t>
      </w:r>
      <w:r>
        <w:rPr>
          <w:sz w:val="16"/>
          <w:szCs w:val="16"/>
        </w:rPr>
        <w:tab/>
      </w:r>
      <w:r>
        <w:rPr>
          <w:sz w:val="16"/>
          <w:szCs w:val="16"/>
        </w:rPr>
        <w:tab/>
        <w:t>Merger Issues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December 2006</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301.</w:t>
      </w:r>
      <w:r>
        <w:rPr>
          <w:sz w:val="16"/>
          <w:szCs w:val="16"/>
        </w:rPr>
        <w:tab/>
        <w:t>U-29203, Phase II</w:t>
      </w:r>
      <w:r>
        <w:rPr>
          <w:sz w:val="16"/>
          <w:szCs w:val="16"/>
        </w:rPr>
        <w:tab/>
      </w:r>
      <w:r>
        <w:rPr>
          <w:sz w:val="16"/>
          <w:szCs w:val="16"/>
        </w:rPr>
        <w:tab/>
        <w:t>Entergy Gulf States</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Storm Damage Cost Allocation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January 2007</w:t>
      </w:r>
      <w:r>
        <w:rPr>
          <w:sz w:val="16"/>
          <w:szCs w:val="16"/>
        </w:rPr>
        <w:tab/>
      </w:r>
      <w:r>
        <w:rPr>
          <w:sz w:val="16"/>
          <w:szCs w:val="16"/>
        </w:rPr>
        <w:tab/>
        <w:t xml:space="preserve">  Entergy Louisiana</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302.</w:t>
      </w:r>
      <w:r>
        <w:rPr>
          <w:sz w:val="16"/>
          <w:szCs w:val="16"/>
        </w:rPr>
        <w:tab/>
        <w:t>06-11022</w:t>
      </w:r>
      <w:r>
        <w:rPr>
          <w:sz w:val="16"/>
          <w:szCs w:val="16"/>
        </w:rPr>
        <w:tab/>
      </w:r>
      <w:r>
        <w:rPr>
          <w:sz w:val="16"/>
          <w:szCs w:val="16"/>
        </w:rPr>
        <w:tab/>
      </w:r>
      <w:r>
        <w:rPr>
          <w:sz w:val="16"/>
          <w:szCs w:val="16"/>
        </w:rPr>
        <w:tab/>
        <w:t>Nevada Power Company</w:t>
      </w:r>
      <w:r>
        <w:rPr>
          <w:sz w:val="16"/>
          <w:szCs w:val="16"/>
        </w:rPr>
        <w:tab/>
      </w:r>
      <w:r>
        <w:rPr>
          <w:sz w:val="16"/>
          <w:szCs w:val="16"/>
        </w:rPr>
        <w:tab/>
      </w:r>
      <w:r>
        <w:rPr>
          <w:sz w:val="16"/>
          <w:szCs w:val="16"/>
        </w:rPr>
        <w:tab/>
        <w:t>Nevada</w:t>
      </w:r>
      <w:r>
        <w:rPr>
          <w:sz w:val="16"/>
          <w:szCs w:val="16"/>
        </w:rPr>
        <w:tab/>
      </w:r>
      <w:r>
        <w:rPr>
          <w:sz w:val="16"/>
          <w:szCs w:val="16"/>
        </w:rPr>
        <w:tab/>
        <w:t>U.S. Dept. of Energy</w:t>
      </w:r>
      <w:r>
        <w:rPr>
          <w:sz w:val="16"/>
          <w:szCs w:val="16"/>
        </w:rPr>
        <w:tab/>
      </w:r>
      <w:r>
        <w:rPr>
          <w:sz w:val="16"/>
          <w:szCs w:val="16"/>
        </w:rPr>
        <w:tab/>
        <w:t>Rate of Return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2007</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 xml:space="preserve">303. </w:t>
      </w:r>
      <w:r>
        <w:rPr>
          <w:sz w:val="16"/>
          <w:szCs w:val="16"/>
        </w:rPr>
        <w:tab/>
        <w:t>U-29526</w:t>
      </w:r>
      <w:r>
        <w:rPr>
          <w:sz w:val="16"/>
          <w:szCs w:val="16"/>
        </w:rPr>
        <w:tab/>
      </w:r>
      <w:r>
        <w:rPr>
          <w:sz w:val="16"/>
          <w:szCs w:val="16"/>
        </w:rPr>
        <w:tab/>
      </w:r>
      <w:r>
        <w:rPr>
          <w:sz w:val="16"/>
          <w:szCs w:val="16"/>
        </w:rPr>
        <w:tab/>
        <w:t>Cleco Power</w:t>
      </w:r>
      <w:r>
        <w:rPr>
          <w:sz w:val="16"/>
          <w:szCs w:val="16"/>
        </w:rPr>
        <w:tab/>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Affiliate Transactions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2007</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304.</w:t>
      </w:r>
      <w:r>
        <w:rPr>
          <w:sz w:val="16"/>
          <w:szCs w:val="16"/>
        </w:rPr>
        <w:tab/>
        <w:t>P-00072245</w:t>
      </w:r>
      <w:r>
        <w:rPr>
          <w:sz w:val="16"/>
          <w:szCs w:val="16"/>
        </w:rPr>
        <w:tab/>
      </w:r>
      <w:r>
        <w:rPr>
          <w:sz w:val="16"/>
          <w:szCs w:val="16"/>
        </w:rPr>
        <w:tab/>
      </w:r>
      <w:r>
        <w:rPr>
          <w:sz w:val="16"/>
          <w:szCs w:val="16"/>
        </w:rPr>
        <w:tab/>
        <w:t>Pike County Light &amp; Power</w:t>
      </w:r>
      <w:r>
        <w:rPr>
          <w:sz w:val="16"/>
          <w:szCs w:val="16"/>
        </w:rPr>
        <w:tab/>
      </w:r>
      <w:r>
        <w:rPr>
          <w:sz w:val="16"/>
          <w:szCs w:val="16"/>
        </w:rPr>
        <w:tab/>
        <w:t>Pennsylvania</w:t>
      </w:r>
      <w:r>
        <w:rPr>
          <w:sz w:val="16"/>
          <w:szCs w:val="16"/>
        </w:rPr>
        <w:tab/>
      </w:r>
      <w:r>
        <w:rPr>
          <w:sz w:val="16"/>
          <w:szCs w:val="16"/>
        </w:rPr>
        <w:tab/>
        <w:t>Consumer Advocate</w:t>
      </w:r>
      <w:r>
        <w:rPr>
          <w:sz w:val="16"/>
          <w:szCs w:val="16"/>
        </w:rPr>
        <w:tab/>
      </w:r>
      <w:r>
        <w:rPr>
          <w:sz w:val="16"/>
          <w:szCs w:val="16"/>
        </w:rPr>
        <w:tab/>
        <w:t>Provider of Last Resort Service</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2007</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305.</w:t>
      </w:r>
      <w:r>
        <w:rPr>
          <w:sz w:val="16"/>
          <w:szCs w:val="16"/>
        </w:rPr>
        <w:tab/>
        <w:t>P-00072247</w:t>
      </w:r>
      <w:r>
        <w:rPr>
          <w:sz w:val="16"/>
          <w:szCs w:val="16"/>
        </w:rPr>
        <w:tab/>
      </w:r>
      <w:r>
        <w:rPr>
          <w:sz w:val="16"/>
          <w:szCs w:val="16"/>
        </w:rPr>
        <w:tab/>
      </w:r>
      <w:r>
        <w:rPr>
          <w:sz w:val="16"/>
          <w:szCs w:val="16"/>
        </w:rPr>
        <w:tab/>
        <w:t>Duquesne Light Company</w:t>
      </w:r>
      <w:r>
        <w:rPr>
          <w:sz w:val="16"/>
          <w:szCs w:val="16"/>
        </w:rPr>
        <w:tab/>
      </w:r>
      <w:r>
        <w:rPr>
          <w:sz w:val="16"/>
          <w:szCs w:val="16"/>
        </w:rPr>
        <w:tab/>
      </w:r>
      <w:r>
        <w:rPr>
          <w:sz w:val="16"/>
          <w:szCs w:val="16"/>
        </w:rPr>
        <w:tab/>
        <w:t>Pennsylvania</w:t>
      </w:r>
      <w:r>
        <w:rPr>
          <w:sz w:val="16"/>
          <w:szCs w:val="16"/>
        </w:rPr>
        <w:tab/>
      </w:r>
      <w:r>
        <w:rPr>
          <w:sz w:val="16"/>
          <w:szCs w:val="16"/>
        </w:rPr>
        <w:tab/>
        <w:t>Consumer Advocate</w:t>
      </w:r>
      <w:r>
        <w:rPr>
          <w:sz w:val="16"/>
          <w:szCs w:val="16"/>
        </w:rPr>
        <w:tab/>
      </w:r>
      <w:r>
        <w:rPr>
          <w:sz w:val="16"/>
          <w:szCs w:val="16"/>
        </w:rPr>
        <w:tab/>
        <w:t>Provider of Last Resort Service</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2007</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br w:type="page"/>
        <w:t>306.</w:t>
      </w:r>
      <w:r>
        <w:rPr>
          <w:sz w:val="16"/>
          <w:szCs w:val="16"/>
        </w:rPr>
        <w:tab/>
        <w:t>EM07010026</w:t>
      </w:r>
      <w:r>
        <w:rPr>
          <w:sz w:val="16"/>
          <w:szCs w:val="16"/>
        </w:rPr>
        <w:tab/>
      </w:r>
      <w:r>
        <w:rPr>
          <w:sz w:val="16"/>
          <w:szCs w:val="16"/>
        </w:rPr>
        <w:tab/>
        <w:t>Jersey Central Power</w:t>
      </w:r>
      <w:r>
        <w:rPr>
          <w:sz w:val="16"/>
          <w:szCs w:val="16"/>
        </w:rPr>
        <w:tab/>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Power Plant Sale</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May 2007</w:t>
      </w:r>
      <w:r>
        <w:rPr>
          <w:sz w:val="16"/>
          <w:szCs w:val="16"/>
        </w:rPr>
        <w:tab/>
      </w:r>
      <w:r>
        <w:rPr>
          <w:sz w:val="16"/>
          <w:szCs w:val="16"/>
        </w:rPr>
        <w:tab/>
      </w:r>
      <w:r>
        <w:rPr>
          <w:sz w:val="16"/>
          <w:szCs w:val="16"/>
        </w:rPr>
        <w:tab/>
        <w:t xml:space="preserve">  &amp; Light Company</w:t>
      </w:r>
    </w:p>
    <w:p w:rsidR="00F826FC" w:rsidRDefault="00F826FC" w:rsidP="00F826FC">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307.</w:t>
      </w:r>
      <w:r>
        <w:rPr>
          <w:sz w:val="16"/>
          <w:szCs w:val="16"/>
        </w:rPr>
        <w:tab/>
        <w:t>U-30050</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Purchase Power Contract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2007</w:t>
      </w:r>
      <w:r>
        <w:rPr>
          <w:sz w:val="16"/>
          <w:szCs w:val="16"/>
        </w:rPr>
        <w:tab/>
      </w:r>
      <w:r>
        <w:rPr>
          <w:sz w:val="16"/>
          <w:szCs w:val="16"/>
        </w:rPr>
        <w:tab/>
      </w:r>
      <w:r>
        <w:rPr>
          <w:sz w:val="16"/>
          <w:szCs w:val="16"/>
        </w:rPr>
        <w:tab/>
        <w:t xml:space="preserve">  Entergy Gulf States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308.</w:t>
      </w:r>
      <w:r>
        <w:rPr>
          <w:sz w:val="16"/>
          <w:szCs w:val="16"/>
        </w:rPr>
        <w:tab/>
        <w:t>U-29956</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Black Start Unit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2007</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309.</w:t>
      </w:r>
      <w:r>
        <w:rPr>
          <w:sz w:val="16"/>
          <w:szCs w:val="16"/>
        </w:rPr>
        <w:tab/>
        <w:t>U-29702</w:t>
      </w:r>
      <w:r>
        <w:rPr>
          <w:sz w:val="16"/>
          <w:szCs w:val="16"/>
        </w:rPr>
        <w:tab/>
      </w:r>
      <w:r>
        <w:rPr>
          <w:sz w:val="16"/>
          <w:szCs w:val="16"/>
        </w:rPr>
        <w:tab/>
      </w:r>
      <w:r>
        <w:rPr>
          <w:sz w:val="16"/>
          <w:szCs w:val="16"/>
        </w:rPr>
        <w:tab/>
        <w:t>Southwestern Electric Power</w:t>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Power Plant Certification</w:t>
      </w:r>
    </w:p>
    <w:p w:rsidR="00F826FC" w:rsidRDefault="00F826FC" w:rsidP="00F826FC">
      <w:pPr>
        <w:keepNext/>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2007</w:t>
      </w:r>
      <w:r>
        <w:rPr>
          <w:sz w:val="16"/>
          <w:szCs w:val="16"/>
        </w:rPr>
        <w:tab/>
      </w:r>
      <w:r>
        <w:rPr>
          <w:sz w:val="16"/>
          <w:szCs w:val="16"/>
        </w:rPr>
        <w:tab/>
      </w:r>
      <w:r>
        <w:rPr>
          <w:sz w:val="16"/>
          <w:szCs w:val="16"/>
        </w:rPr>
        <w:tab/>
        <w:t xml:space="preserve">  Company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310.</w:t>
      </w:r>
      <w:r>
        <w:rPr>
          <w:sz w:val="16"/>
          <w:szCs w:val="16"/>
        </w:rPr>
        <w:tab/>
        <w:t>U-29955</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Purchase Power Contracts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2007</w:t>
      </w:r>
      <w:r>
        <w:rPr>
          <w:sz w:val="16"/>
          <w:szCs w:val="16"/>
        </w:rPr>
        <w:tab/>
      </w:r>
      <w:r>
        <w:rPr>
          <w:sz w:val="16"/>
          <w:szCs w:val="16"/>
        </w:rPr>
        <w:tab/>
      </w:r>
      <w:r>
        <w:rPr>
          <w:sz w:val="16"/>
          <w:szCs w:val="16"/>
        </w:rPr>
        <w:tab/>
        <w:t>Entergy Gulf States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311.</w:t>
      </w:r>
      <w:r>
        <w:rPr>
          <w:sz w:val="16"/>
          <w:szCs w:val="16"/>
        </w:rPr>
        <w:tab/>
        <w:t>2007-67</w:t>
      </w:r>
      <w:r>
        <w:rPr>
          <w:sz w:val="16"/>
          <w:szCs w:val="16"/>
        </w:rPr>
        <w:tab/>
      </w:r>
      <w:r>
        <w:rPr>
          <w:sz w:val="16"/>
          <w:szCs w:val="16"/>
        </w:rPr>
        <w:tab/>
      </w:r>
      <w:r>
        <w:rPr>
          <w:sz w:val="16"/>
          <w:szCs w:val="16"/>
        </w:rPr>
        <w:tab/>
        <w:t>FairPoint Communications</w:t>
      </w:r>
      <w:r>
        <w:rPr>
          <w:sz w:val="16"/>
          <w:szCs w:val="16"/>
        </w:rPr>
        <w:tab/>
      </w:r>
      <w:r>
        <w:rPr>
          <w:sz w:val="16"/>
          <w:szCs w:val="16"/>
        </w:rPr>
        <w:tab/>
        <w:t>Maine</w:t>
      </w:r>
      <w:r>
        <w:rPr>
          <w:sz w:val="16"/>
          <w:szCs w:val="16"/>
        </w:rPr>
        <w:tab/>
      </w:r>
      <w:r>
        <w:rPr>
          <w:sz w:val="16"/>
          <w:szCs w:val="16"/>
        </w:rPr>
        <w:tab/>
      </w:r>
      <w:r>
        <w:rPr>
          <w:sz w:val="16"/>
          <w:szCs w:val="16"/>
        </w:rPr>
        <w:tab/>
        <w:t>Office of Public Advocate</w:t>
      </w:r>
      <w:r>
        <w:rPr>
          <w:sz w:val="16"/>
          <w:szCs w:val="16"/>
        </w:rPr>
        <w:tab/>
      </w:r>
      <w:r>
        <w:rPr>
          <w:sz w:val="16"/>
          <w:szCs w:val="16"/>
        </w:rPr>
        <w:tab/>
        <w:t>Merger Financial Issues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2007</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312.</w:t>
      </w:r>
      <w:r>
        <w:rPr>
          <w:sz w:val="16"/>
          <w:szCs w:val="16"/>
        </w:rPr>
        <w:tab/>
        <w:t>P-00072259</w:t>
      </w:r>
      <w:r>
        <w:rPr>
          <w:sz w:val="16"/>
          <w:szCs w:val="16"/>
        </w:rPr>
        <w:tab/>
      </w:r>
      <w:r>
        <w:rPr>
          <w:sz w:val="16"/>
          <w:szCs w:val="16"/>
        </w:rPr>
        <w:tab/>
      </w:r>
      <w:r>
        <w:rPr>
          <w:sz w:val="16"/>
          <w:szCs w:val="16"/>
        </w:rPr>
        <w:tab/>
        <w:t>Metropolitan Edison Co.</w:t>
      </w:r>
      <w:r>
        <w:rPr>
          <w:sz w:val="16"/>
          <w:szCs w:val="16"/>
        </w:rPr>
        <w:tab/>
      </w:r>
      <w:r>
        <w:rPr>
          <w:sz w:val="16"/>
          <w:szCs w:val="16"/>
        </w:rPr>
        <w:tab/>
      </w:r>
      <w:r>
        <w:rPr>
          <w:sz w:val="16"/>
          <w:szCs w:val="16"/>
        </w:rPr>
        <w:tab/>
        <w:t>Pennsylvania</w:t>
      </w:r>
      <w:r>
        <w:rPr>
          <w:sz w:val="16"/>
          <w:szCs w:val="16"/>
        </w:rPr>
        <w:tab/>
      </w:r>
      <w:r>
        <w:rPr>
          <w:sz w:val="16"/>
          <w:szCs w:val="16"/>
        </w:rPr>
        <w:tab/>
        <w:t>Office of Consumer Advocate</w:t>
      </w:r>
      <w:r>
        <w:rPr>
          <w:sz w:val="16"/>
          <w:szCs w:val="16"/>
        </w:rPr>
        <w:tab/>
        <w:t>Purchase Power Contract Restructuring</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 xml:space="preserve">July 2007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313.</w:t>
      </w:r>
      <w:r>
        <w:rPr>
          <w:sz w:val="16"/>
          <w:szCs w:val="16"/>
        </w:rPr>
        <w:tab/>
        <w:t>EO07040278</w:t>
      </w:r>
      <w:r>
        <w:rPr>
          <w:sz w:val="16"/>
          <w:szCs w:val="16"/>
        </w:rPr>
        <w:tab/>
      </w:r>
      <w:r>
        <w:rPr>
          <w:sz w:val="16"/>
          <w:szCs w:val="16"/>
        </w:rPr>
        <w:tab/>
      </w:r>
      <w:r>
        <w:rPr>
          <w:sz w:val="16"/>
          <w:szCs w:val="16"/>
        </w:rPr>
        <w:tab/>
        <w:t>Public Service Electric &amp; Gas</w:t>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Solar Energy Program Financial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2007</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Issues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314.</w:t>
      </w:r>
      <w:r>
        <w:rPr>
          <w:sz w:val="16"/>
          <w:szCs w:val="16"/>
        </w:rPr>
        <w:tab/>
        <w:t>U-30192</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Power Plant Certification Ratemaking,</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2007</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Financing</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315.</w:t>
      </w:r>
      <w:r>
        <w:rPr>
          <w:sz w:val="16"/>
          <w:szCs w:val="16"/>
        </w:rPr>
        <w:tab/>
        <w:t>9117 (Phase II)</w:t>
      </w:r>
      <w:r>
        <w:rPr>
          <w:sz w:val="16"/>
          <w:szCs w:val="16"/>
        </w:rPr>
        <w:tab/>
      </w:r>
      <w:r>
        <w:rPr>
          <w:sz w:val="16"/>
          <w:szCs w:val="16"/>
        </w:rPr>
        <w:tab/>
        <w:t>Generic (Electric)</w:t>
      </w:r>
      <w:r>
        <w:rPr>
          <w:sz w:val="16"/>
          <w:szCs w:val="16"/>
        </w:rPr>
        <w:tab/>
      </w:r>
      <w:r>
        <w:rPr>
          <w:sz w:val="16"/>
          <w:szCs w:val="16"/>
        </w:rPr>
        <w:tab/>
      </w:r>
      <w:r>
        <w:rPr>
          <w:sz w:val="16"/>
          <w:szCs w:val="16"/>
        </w:rPr>
        <w:tab/>
        <w:t>Maryland</w:t>
      </w:r>
      <w:r>
        <w:rPr>
          <w:sz w:val="16"/>
          <w:szCs w:val="16"/>
        </w:rPr>
        <w:tab/>
      </w:r>
      <w:r>
        <w:rPr>
          <w:sz w:val="16"/>
          <w:szCs w:val="16"/>
        </w:rPr>
        <w:tab/>
        <w:t>Energy Administration</w:t>
      </w:r>
      <w:r>
        <w:rPr>
          <w:sz w:val="16"/>
          <w:szCs w:val="16"/>
        </w:rPr>
        <w:tab/>
      </w:r>
      <w:r>
        <w:rPr>
          <w:sz w:val="16"/>
          <w:szCs w:val="16"/>
        </w:rPr>
        <w:tab/>
        <w:t>Standard Offer Service Reliability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2007</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316.</w:t>
      </w:r>
      <w:r>
        <w:rPr>
          <w:sz w:val="16"/>
          <w:szCs w:val="16"/>
        </w:rPr>
        <w:tab/>
        <w:t>U-30050</w:t>
      </w:r>
      <w:r>
        <w:rPr>
          <w:sz w:val="16"/>
          <w:szCs w:val="16"/>
        </w:rPr>
        <w:tab/>
      </w:r>
      <w:r>
        <w:rPr>
          <w:sz w:val="16"/>
          <w:szCs w:val="16"/>
        </w:rPr>
        <w:tab/>
      </w:r>
      <w:r>
        <w:rPr>
          <w:sz w:val="16"/>
          <w:szCs w:val="16"/>
        </w:rPr>
        <w:tab/>
        <w:t>Entergy Gulf States</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Power Plant Acquisition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2007</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317.</w:t>
      </w:r>
      <w:r>
        <w:rPr>
          <w:sz w:val="16"/>
          <w:szCs w:val="16"/>
        </w:rPr>
        <w:tab/>
        <w:t>IPC-E-07-8</w:t>
      </w:r>
      <w:r>
        <w:rPr>
          <w:sz w:val="16"/>
          <w:szCs w:val="16"/>
        </w:rPr>
        <w:tab/>
      </w:r>
      <w:r>
        <w:rPr>
          <w:sz w:val="16"/>
          <w:szCs w:val="16"/>
        </w:rPr>
        <w:tab/>
      </w:r>
      <w:r>
        <w:rPr>
          <w:sz w:val="16"/>
          <w:szCs w:val="16"/>
        </w:rPr>
        <w:tab/>
        <w:t>Idaho Power Co.</w:t>
      </w:r>
      <w:r>
        <w:rPr>
          <w:sz w:val="16"/>
          <w:szCs w:val="16"/>
        </w:rPr>
        <w:tab/>
      </w:r>
      <w:r>
        <w:rPr>
          <w:sz w:val="16"/>
          <w:szCs w:val="16"/>
        </w:rPr>
        <w:tab/>
      </w:r>
      <w:r>
        <w:rPr>
          <w:sz w:val="16"/>
          <w:szCs w:val="16"/>
        </w:rPr>
        <w:tab/>
        <w:t>Idaho</w:t>
      </w:r>
      <w:r>
        <w:rPr>
          <w:sz w:val="16"/>
          <w:szCs w:val="16"/>
        </w:rPr>
        <w:tab/>
      </w:r>
      <w:r>
        <w:rPr>
          <w:sz w:val="16"/>
          <w:szCs w:val="16"/>
        </w:rPr>
        <w:tab/>
      </w:r>
      <w:r>
        <w:rPr>
          <w:sz w:val="16"/>
          <w:szCs w:val="16"/>
        </w:rPr>
        <w:tab/>
        <w:t>U.S. Department of Energy</w:t>
      </w:r>
      <w:r>
        <w:rPr>
          <w:sz w:val="16"/>
          <w:szCs w:val="16"/>
        </w:rPr>
        <w:tab/>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December 2007</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318.</w:t>
      </w:r>
      <w:r>
        <w:rPr>
          <w:sz w:val="16"/>
          <w:szCs w:val="16"/>
        </w:rPr>
        <w:tab/>
        <w:t>U-30422 (Phase I)</w:t>
      </w:r>
      <w:r>
        <w:rPr>
          <w:sz w:val="16"/>
          <w:szCs w:val="16"/>
        </w:rPr>
        <w:tab/>
      </w:r>
      <w:r>
        <w:rPr>
          <w:sz w:val="16"/>
          <w:szCs w:val="16"/>
        </w:rPr>
        <w:tab/>
        <w:t>Entergy Gulf States</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Purchase Power Contract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January 2008</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319.</w:t>
      </w:r>
      <w:r>
        <w:rPr>
          <w:sz w:val="16"/>
          <w:szCs w:val="16"/>
        </w:rPr>
        <w:tab/>
        <w:t>U-29702 (Phase II)</w:t>
      </w:r>
      <w:r>
        <w:rPr>
          <w:sz w:val="16"/>
          <w:szCs w:val="16"/>
        </w:rPr>
        <w:tab/>
      </w:r>
      <w:r>
        <w:rPr>
          <w:sz w:val="16"/>
          <w:szCs w:val="16"/>
        </w:rPr>
        <w:tab/>
        <w:t>Southwestern Electric</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Power Plant Certification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2008</w:t>
      </w:r>
      <w:r>
        <w:rPr>
          <w:sz w:val="16"/>
          <w:szCs w:val="16"/>
        </w:rPr>
        <w:tab/>
      </w:r>
      <w:r>
        <w:rPr>
          <w:sz w:val="16"/>
          <w:szCs w:val="16"/>
        </w:rPr>
        <w:tab/>
        <w:t>  Power Co.</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320.</w:t>
      </w:r>
      <w:r>
        <w:rPr>
          <w:sz w:val="16"/>
          <w:szCs w:val="16"/>
        </w:rPr>
        <w:tab/>
        <w:t>March 2008</w:t>
      </w:r>
      <w:r>
        <w:rPr>
          <w:sz w:val="16"/>
          <w:szCs w:val="16"/>
        </w:rPr>
        <w:tab/>
      </w:r>
      <w:r>
        <w:rPr>
          <w:sz w:val="16"/>
          <w:szCs w:val="16"/>
        </w:rPr>
        <w:tab/>
      </w:r>
      <w:r>
        <w:rPr>
          <w:sz w:val="16"/>
          <w:szCs w:val="16"/>
        </w:rPr>
        <w:tab/>
        <w:t>Delmarva Power &amp; Light</w:t>
      </w:r>
      <w:r>
        <w:rPr>
          <w:sz w:val="16"/>
          <w:szCs w:val="16"/>
        </w:rPr>
        <w:tab/>
      </w:r>
      <w:r>
        <w:rPr>
          <w:sz w:val="16"/>
          <w:szCs w:val="16"/>
        </w:rPr>
        <w:tab/>
      </w:r>
      <w:r>
        <w:rPr>
          <w:sz w:val="16"/>
          <w:szCs w:val="16"/>
        </w:rPr>
        <w:tab/>
        <w:t>Delaware State Senate</w:t>
      </w:r>
      <w:r>
        <w:rPr>
          <w:sz w:val="16"/>
          <w:szCs w:val="16"/>
        </w:rPr>
        <w:tab/>
        <w:t>Senate Committee</w:t>
      </w:r>
      <w:r>
        <w:rPr>
          <w:sz w:val="16"/>
          <w:szCs w:val="16"/>
        </w:rPr>
        <w:tab/>
      </w:r>
      <w:r>
        <w:rPr>
          <w:sz w:val="16"/>
          <w:szCs w:val="16"/>
        </w:rPr>
        <w:tab/>
        <w:t>Wind Energy Economics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321.</w:t>
      </w:r>
      <w:r>
        <w:rPr>
          <w:sz w:val="16"/>
          <w:szCs w:val="16"/>
        </w:rPr>
        <w:tab/>
        <w:t>U-30192 (Phase II)</w:t>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Cash CWIP Policy, Credit Ratings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2008</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 xml:space="preserve">322.  </w:t>
      </w:r>
      <w:r>
        <w:rPr>
          <w:sz w:val="16"/>
          <w:szCs w:val="16"/>
        </w:rPr>
        <w:tab/>
        <w:t>U-30422 (Phase II)</w:t>
      </w:r>
      <w:r>
        <w:rPr>
          <w:sz w:val="16"/>
          <w:szCs w:val="16"/>
        </w:rPr>
        <w:tab/>
      </w:r>
      <w:r>
        <w:rPr>
          <w:sz w:val="16"/>
          <w:szCs w:val="16"/>
        </w:rPr>
        <w:tab/>
        <w:t xml:space="preserve">Entergy Gulf States - LA </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 xml:space="preserve">Power Plant Acquisition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April 2008</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323.</w:t>
      </w:r>
      <w:r>
        <w:rPr>
          <w:sz w:val="16"/>
          <w:szCs w:val="16"/>
        </w:rPr>
        <w:tab/>
        <w:t>U-29955 (Phase II)</w:t>
      </w:r>
      <w:r>
        <w:rPr>
          <w:sz w:val="16"/>
          <w:szCs w:val="16"/>
        </w:rPr>
        <w:tab/>
      </w:r>
      <w:r>
        <w:rPr>
          <w:sz w:val="16"/>
          <w:szCs w:val="16"/>
        </w:rPr>
        <w:tab/>
        <w:t>Entergy Gulf States - LA</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Purchase Power Contract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April 2008</w:t>
      </w:r>
      <w:r>
        <w:rPr>
          <w:sz w:val="16"/>
          <w:szCs w:val="16"/>
        </w:rPr>
        <w:tab/>
      </w:r>
      <w:r>
        <w:rPr>
          <w:sz w:val="16"/>
          <w:szCs w:val="16"/>
        </w:rPr>
        <w:tab/>
      </w:r>
      <w:r>
        <w:rPr>
          <w:sz w:val="16"/>
          <w:szCs w:val="16"/>
        </w:rPr>
        <w:tab/>
        <w:t>Entergy Louisiana</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324.</w:t>
      </w:r>
      <w:r>
        <w:rPr>
          <w:sz w:val="16"/>
          <w:szCs w:val="16"/>
        </w:rPr>
        <w:tab/>
        <w:t>GR-070110889</w:t>
      </w:r>
      <w:r>
        <w:rPr>
          <w:sz w:val="16"/>
          <w:szCs w:val="16"/>
        </w:rPr>
        <w:tab/>
      </w:r>
      <w:r>
        <w:rPr>
          <w:sz w:val="16"/>
          <w:szCs w:val="16"/>
        </w:rPr>
        <w:tab/>
        <w:t xml:space="preserve">New Jersey Natural Gas </w:t>
      </w:r>
      <w:r>
        <w:rPr>
          <w:sz w:val="16"/>
          <w:szCs w:val="16"/>
        </w:rPr>
        <w:tab/>
      </w:r>
      <w:r>
        <w:rPr>
          <w:sz w:val="16"/>
          <w:szCs w:val="16"/>
        </w:rPr>
        <w:tab/>
      </w:r>
      <w:r>
        <w:rPr>
          <w:sz w:val="16"/>
          <w:szCs w:val="16"/>
        </w:rPr>
        <w:tab/>
        <w:t xml:space="preserve">New Jersey </w:t>
      </w:r>
      <w:r>
        <w:rPr>
          <w:sz w:val="16"/>
          <w:szCs w:val="16"/>
        </w:rPr>
        <w:tab/>
      </w:r>
      <w:r>
        <w:rPr>
          <w:sz w:val="16"/>
          <w:szCs w:val="16"/>
        </w:rPr>
        <w:tab/>
        <w:t>Rate Counsel</w:t>
      </w:r>
      <w:r>
        <w:rPr>
          <w:sz w:val="16"/>
          <w:szCs w:val="16"/>
        </w:rPr>
        <w:tab/>
      </w:r>
      <w:r>
        <w:rPr>
          <w:sz w:val="16"/>
          <w:szCs w:val="16"/>
        </w:rPr>
        <w:tab/>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April 2008</w:t>
      </w:r>
      <w:r>
        <w:rPr>
          <w:sz w:val="16"/>
          <w:szCs w:val="16"/>
        </w:rPr>
        <w:tab/>
      </w:r>
      <w:r>
        <w:rPr>
          <w:sz w:val="16"/>
          <w:szCs w:val="16"/>
        </w:rPr>
        <w:tab/>
      </w:r>
      <w:r>
        <w:rPr>
          <w:sz w:val="16"/>
          <w:szCs w:val="16"/>
        </w:rPr>
        <w:tab/>
        <w:t>  Company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325.</w:t>
      </w:r>
      <w:r>
        <w:rPr>
          <w:sz w:val="16"/>
          <w:szCs w:val="16"/>
        </w:rPr>
        <w:tab/>
        <w:t>WR-08010020</w:t>
      </w:r>
      <w:r>
        <w:rPr>
          <w:sz w:val="16"/>
          <w:szCs w:val="16"/>
        </w:rPr>
        <w:tab/>
      </w:r>
      <w:r>
        <w:rPr>
          <w:sz w:val="16"/>
          <w:szCs w:val="16"/>
        </w:rPr>
        <w:tab/>
        <w:t>New Jersey American</w:t>
      </w:r>
      <w:r>
        <w:rPr>
          <w:sz w:val="16"/>
          <w:szCs w:val="16"/>
        </w:rPr>
        <w:tab/>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2008</w:t>
      </w:r>
      <w:r>
        <w:rPr>
          <w:sz w:val="16"/>
          <w:szCs w:val="16"/>
        </w:rPr>
        <w:tab/>
      </w:r>
      <w:r>
        <w:rPr>
          <w:sz w:val="16"/>
          <w:szCs w:val="16"/>
        </w:rPr>
        <w:tab/>
      </w:r>
      <w:r>
        <w:rPr>
          <w:sz w:val="16"/>
          <w:szCs w:val="16"/>
        </w:rPr>
        <w:tab/>
        <w:t>  Water Company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326.</w:t>
      </w:r>
      <w:r>
        <w:rPr>
          <w:sz w:val="16"/>
          <w:szCs w:val="16"/>
        </w:rPr>
        <w:tab/>
        <w:t>U-28804-A</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Cogeneration Contract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August 2008</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327.</w:t>
      </w:r>
      <w:r>
        <w:rPr>
          <w:sz w:val="16"/>
          <w:szCs w:val="16"/>
        </w:rPr>
        <w:tab/>
        <w:t>IP-99-1693C-M/S</w:t>
      </w:r>
      <w:r>
        <w:rPr>
          <w:sz w:val="16"/>
          <w:szCs w:val="16"/>
        </w:rPr>
        <w:tab/>
      </w:r>
      <w:r>
        <w:rPr>
          <w:sz w:val="16"/>
          <w:szCs w:val="16"/>
        </w:rPr>
        <w:tab/>
        <w:t>Duke Energy Indiana</w:t>
      </w:r>
      <w:r>
        <w:rPr>
          <w:sz w:val="16"/>
          <w:szCs w:val="16"/>
        </w:rPr>
        <w:tab/>
      </w:r>
      <w:r>
        <w:rPr>
          <w:sz w:val="16"/>
          <w:szCs w:val="16"/>
        </w:rPr>
        <w:tab/>
      </w:r>
      <w:r>
        <w:rPr>
          <w:sz w:val="16"/>
          <w:szCs w:val="16"/>
        </w:rPr>
        <w:tab/>
        <w:t>Federal District</w:t>
      </w:r>
      <w:r>
        <w:rPr>
          <w:sz w:val="16"/>
          <w:szCs w:val="16"/>
        </w:rPr>
        <w:tab/>
      </w:r>
      <w:r>
        <w:rPr>
          <w:sz w:val="16"/>
          <w:szCs w:val="16"/>
        </w:rPr>
        <w:tab/>
        <w:t>U.S. Department of Justice/</w:t>
      </w:r>
      <w:r>
        <w:rPr>
          <w:sz w:val="16"/>
          <w:szCs w:val="16"/>
        </w:rPr>
        <w:tab/>
      </w:r>
      <w:r>
        <w:rPr>
          <w:sz w:val="16"/>
          <w:szCs w:val="16"/>
        </w:rPr>
        <w:tab/>
        <w:t>Clean Air Act Compliance</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August 2008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Court</w:t>
      </w:r>
      <w:r>
        <w:rPr>
          <w:sz w:val="16"/>
          <w:szCs w:val="16"/>
        </w:rPr>
        <w:tab/>
      </w:r>
      <w:r>
        <w:rPr>
          <w:sz w:val="16"/>
          <w:szCs w:val="16"/>
        </w:rPr>
        <w:tab/>
      </w:r>
      <w:r>
        <w:rPr>
          <w:sz w:val="16"/>
          <w:szCs w:val="16"/>
        </w:rPr>
        <w:tab/>
        <w:t>Environmental Protection Agency</w:t>
      </w:r>
      <w:r>
        <w:rPr>
          <w:sz w:val="16"/>
          <w:szCs w:val="16"/>
        </w:rPr>
        <w:tab/>
        <w:t>(Expert Report)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328.</w:t>
      </w:r>
      <w:r>
        <w:rPr>
          <w:sz w:val="16"/>
          <w:szCs w:val="16"/>
        </w:rPr>
        <w:tab/>
        <w:t>U-30670</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Nuclear Plant Equipment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2008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Replacement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329.</w:t>
      </w:r>
      <w:r>
        <w:rPr>
          <w:sz w:val="16"/>
          <w:szCs w:val="16"/>
        </w:rPr>
        <w:tab/>
        <w:t>9149</w:t>
      </w:r>
      <w:r>
        <w:rPr>
          <w:sz w:val="16"/>
          <w:szCs w:val="16"/>
        </w:rPr>
        <w:tab/>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Maryland</w:t>
      </w:r>
      <w:r>
        <w:rPr>
          <w:sz w:val="16"/>
          <w:szCs w:val="16"/>
        </w:rPr>
        <w:tab/>
      </w:r>
      <w:r>
        <w:rPr>
          <w:sz w:val="16"/>
          <w:szCs w:val="16"/>
        </w:rPr>
        <w:tab/>
        <w:t>Department of Natural Resources</w:t>
      </w:r>
      <w:r>
        <w:rPr>
          <w:sz w:val="16"/>
          <w:szCs w:val="16"/>
        </w:rPr>
        <w:tab/>
        <w:t>Capacity Adequacy/Reliability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2008</w:t>
      </w:r>
      <w:r>
        <w:rPr>
          <w:sz w:val="16"/>
          <w:szCs w:val="16"/>
        </w:rPr>
        <w:tab/>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330.</w:t>
      </w:r>
      <w:r>
        <w:rPr>
          <w:sz w:val="16"/>
          <w:szCs w:val="16"/>
        </w:rPr>
        <w:tab/>
        <w:t>IPC-E-08-10</w:t>
      </w:r>
      <w:r>
        <w:rPr>
          <w:sz w:val="16"/>
          <w:szCs w:val="16"/>
        </w:rPr>
        <w:tab/>
      </w:r>
      <w:r>
        <w:rPr>
          <w:sz w:val="16"/>
          <w:szCs w:val="16"/>
        </w:rPr>
        <w:tab/>
      </w:r>
      <w:r>
        <w:rPr>
          <w:sz w:val="16"/>
          <w:szCs w:val="16"/>
        </w:rPr>
        <w:tab/>
        <w:t>Idaho Power Company</w:t>
      </w:r>
      <w:r>
        <w:rPr>
          <w:sz w:val="16"/>
          <w:szCs w:val="16"/>
        </w:rPr>
        <w:tab/>
      </w:r>
      <w:r>
        <w:rPr>
          <w:sz w:val="16"/>
          <w:szCs w:val="16"/>
        </w:rPr>
        <w:tab/>
      </w:r>
      <w:r>
        <w:rPr>
          <w:sz w:val="16"/>
          <w:szCs w:val="16"/>
        </w:rPr>
        <w:tab/>
        <w:t>Idaho</w:t>
      </w:r>
      <w:r>
        <w:rPr>
          <w:sz w:val="16"/>
          <w:szCs w:val="16"/>
        </w:rPr>
        <w:tab/>
      </w:r>
      <w:r>
        <w:rPr>
          <w:sz w:val="16"/>
          <w:szCs w:val="16"/>
        </w:rPr>
        <w:tab/>
      </w:r>
      <w:r>
        <w:rPr>
          <w:sz w:val="16"/>
          <w:szCs w:val="16"/>
        </w:rPr>
        <w:tab/>
        <w:t>U.S. Department of Energy</w:t>
      </w:r>
      <w:r>
        <w:rPr>
          <w:sz w:val="16"/>
          <w:szCs w:val="16"/>
        </w:rPr>
        <w:tab/>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2008</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331.</w:t>
      </w:r>
      <w:r>
        <w:rPr>
          <w:sz w:val="16"/>
          <w:szCs w:val="16"/>
        </w:rPr>
        <w:tab/>
        <w:t>U-30727</w:t>
      </w:r>
      <w:r>
        <w:rPr>
          <w:sz w:val="16"/>
          <w:szCs w:val="16"/>
        </w:rPr>
        <w:tab/>
      </w:r>
      <w:r>
        <w:rPr>
          <w:sz w:val="16"/>
          <w:szCs w:val="16"/>
        </w:rPr>
        <w:tab/>
      </w:r>
      <w:r>
        <w:rPr>
          <w:sz w:val="16"/>
          <w:szCs w:val="16"/>
        </w:rPr>
        <w:tab/>
        <w:t>Cleco Power LLC</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 xml:space="preserve">Purchased Power Contract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2008</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332.</w:t>
      </w:r>
      <w:r>
        <w:rPr>
          <w:sz w:val="16"/>
          <w:szCs w:val="16"/>
        </w:rPr>
        <w:tab/>
        <w:t>U-30689-A</w:t>
      </w:r>
      <w:r>
        <w:rPr>
          <w:sz w:val="16"/>
          <w:szCs w:val="16"/>
        </w:rPr>
        <w:tab/>
      </w:r>
      <w:r>
        <w:rPr>
          <w:sz w:val="16"/>
          <w:szCs w:val="16"/>
        </w:rPr>
        <w:tab/>
      </w:r>
      <w:r>
        <w:rPr>
          <w:sz w:val="16"/>
          <w:szCs w:val="16"/>
        </w:rPr>
        <w:tab/>
        <w:t>Cleco Power LLC</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Transmission Upgrade Project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December 2008</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333.</w:t>
      </w:r>
      <w:r>
        <w:rPr>
          <w:sz w:val="16"/>
          <w:szCs w:val="16"/>
        </w:rPr>
        <w:tab/>
        <w:t>IP-99-1693C-M/S</w:t>
      </w:r>
      <w:r>
        <w:rPr>
          <w:sz w:val="16"/>
          <w:szCs w:val="16"/>
        </w:rPr>
        <w:tab/>
      </w:r>
      <w:r>
        <w:rPr>
          <w:sz w:val="16"/>
          <w:szCs w:val="16"/>
        </w:rPr>
        <w:tab/>
        <w:t>Duke Energy Indiana</w:t>
      </w:r>
      <w:r>
        <w:rPr>
          <w:sz w:val="16"/>
          <w:szCs w:val="16"/>
        </w:rPr>
        <w:tab/>
      </w:r>
      <w:r>
        <w:rPr>
          <w:sz w:val="16"/>
          <w:szCs w:val="16"/>
        </w:rPr>
        <w:tab/>
      </w:r>
      <w:r>
        <w:rPr>
          <w:sz w:val="16"/>
          <w:szCs w:val="16"/>
        </w:rPr>
        <w:tab/>
        <w:t>Federal District</w:t>
      </w:r>
      <w:r>
        <w:rPr>
          <w:sz w:val="16"/>
          <w:szCs w:val="16"/>
        </w:rPr>
        <w:tab/>
      </w:r>
      <w:r>
        <w:rPr>
          <w:sz w:val="16"/>
          <w:szCs w:val="16"/>
        </w:rPr>
        <w:tab/>
        <w:t>U.S. Department of Justice/EPA</w:t>
      </w:r>
      <w:r>
        <w:rPr>
          <w:sz w:val="16"/>
          <w:szCs w:val="16"/>
        </w:rPr>
        <w:tab/>
        <w:t>Clean Air Act Compliance</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2009</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Court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(Oral Testimony)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334.</w:t>
      </w:r>
      <w:r>
        <w:rPr>
          <w:sz w:val="16"/>
          <w:szCs w:val="16"/>
        </w:rPr>
        <w:tab/>
        <w:t>U-30192, Phase II</w:t>
      </w:r>
      <w:r>
        <w:rPr>
          <w:sz w:val="16"/>
          <w:szCs w:val="16"/>
        </w:rPr>
        <w:tab/>
      </w:r>
      <w:r>
        <w:rPr>
          <w:sz w:val="16"/>
          <w:szCs w:val="16"/>
        </w:rPr>
        <w:tab/>
        <w:t>Entergy Louisiana, LLC</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CWIP Rate Request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2009</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Plant Allocation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335.</w:t>
      </w:r>
      <w:r>
        <w:rPr>
          <w:sz w:val="16"/>
          <w:szCs w:val="16"/>
        </w:rPr>
        <w:tab/>
        <w:t>U-28805-B</w:t>
      </w:r>
      <w:r>
        <w:rPr>
          <w:sz w:val="16"/>
          <w:szCs w:val="16"/>
        </w:rPr>
        <w:tab/>
      </w:r>
      <w:r>
        <w:rPr>
          <w:sz w:val="16"/>
          <w:szCs w:val="16"/>
        </w:rPr>
        <w:tab/>
      </w:r>
      <w:r>
        <w:rPr>
          <w:sz w:val="16"/>
          <w:szCs w:val="16"/>
        </w:rPr>
        <w:tab/>
        <w:t>Entergy Gulf States, LLC</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Cogeneration Contract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2009</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336.</w:t>
      </w:r>
      <w:r>
        <w:rPr>
          <w:sz w:val="16"/>
          <w:szCs w:val="16"/>
        </w:rPr>
        <w:tab/>
        <w:t>P-2009-2093055, et al.</w:t>
      </w:r>
      <w:r>
        <w:rPr>
          <w:sz w:val="16"/>
          <w:szCs w:val="16"/>
        </w:rPr>
        <w:tab/>
      </w:r>
      <w:r>
        <w:rPr>
          <w:sz w:val="16"/>
          <w:szCs w:val="16"/>
        </w:rPr>
        <w:tab/>
        <w:t xml:space="preserve">Metropolitan Edison </w:t>
      </w:r>
      <w:r>
        <w:rPr>
          <w:sz w:val="16"/>
          <w:szCs w:val="16"/>
        </w:rPr>
        <w:tab/>
      </w:r>
      <w:r>
        <w:rPr>
          <w:sz w:val="16"/>
          <w:szCs w:val="16"/>
        </w:rPr>
        <w:tab/>
      </w:r>
      <w:r>
        <w:rPr>
          <w:sz w:val="16"/>
          <w:szCs w:val="16"/>
        </w:rPr>
        <w:tab/>
        <w:t>Pennsylvania</w:t>
      </w:r>
      <w:r>
        <w:rPr>
          <w:sz w:val="16"/>
          <w:szCs w:val="16"/>
        </w:rPr>
        <w:tab/>
      </w:r>
      <w:r>
        <w:rPr>
          <w:sz w:val="16"/>
          <w:szCs w:val="16"/>
        </w:rPr>
        <w:tab/>
        <w:t>Office of Consumer Advocate</w:t>
      </w:r>
      <w:r>
        <w:rPr>
          <w:sz w:val="16"/>
          <w:szCs w:val="16"/>
        </w:rPr>
        <w:tab/>
        <w:t>Default Service</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May 2009</w:t>
      </w:r>
      <w:r>
        <w:rPr>
          <w:sz w:val="16"/>
          <w:szCs w:val="16"/>
        </w:rPr>
        <w:tab/>
      </w:r>
      <w:r>
        <w:rPr>
          <w:sz w:val="16"/>
          <w:szCs w:val="16"/>
        </w:rPr>
        <w:tab/>
      </w:r>
      <w:r>
        <w:rPr>
          <w:sz w:val="16"/>
          <w:szCs w:val="16"/>
        </w:rPr>
        <w:tab/>
        <w:t>Pennsylvania Electric</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337.</w:t>
      </w:r>
      <w:r>
        <w:rPr>
          <w:sz w:val="16"/>
          <w:szCs w:val="16"/>
        </w:rPr>
        <w:tab/>
        <w:t>U-30958</w:t>
      </w:r>
      <w:r>
        <w:rPr>
          <w:sz w:val="16"/>
          <w:szCs w:val="16"/>
        </w:rPr>
        <w:tab/>
      </w:r>
      <w:r>
        <w:rPr>
          <w:sz w:val="16"/>
          <w:szCs w:val="16"/>
        </w:rPr>
        <w:tab/>
      </w:r>
      <w:r>
        <w:rPr>
          <w:sz w:val="16"/>
          <w:szCs w:val="16"/>
        </w:rPr>
        <w:tab/>
        <w:t>Cleco Power</w:t>
      </w:r>
      <w:r>
        <w:rPr>
          <w:sz w:val="16"/>
          <w:szCs w:val="16"/>
        </w:rPr>
        <w:tab/>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Purchase Power Contract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2009</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338.</w:t>
      </w:r>
      <w:r>
        <w:rPr>
          <w:sz w:val="16"/>
          <w:szCs w:val="16"/>
        </w:rPr>
        <w:tab/>
        <w:t>EO08050326</w:t>
      </w:r>
      <w:r>
        <w:rPr>
          <w:sz w:val="16"/>
          <w:szCs w:val="16"/>
        </w:rPr>
        <w:tab/>
      </w:r>
      <w:r>
        <w:rPr>
          <w:sz w:val="16"/>
          <w:szCs w:val="16"/>
        </w:rPr>
        <w:tab/>
      </w:r>
      <w:r>
        <w:rPr>
          <w:sz w:val="16"/>
          <w:szCs w:val="16"/>
        </w:rPr>
        <w:tab/>
        <w:t>Jersey Central Power Light Co.</w:t>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Demand Response Cost Recovery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August 2009</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339.</w:t>
      </w:r>
      <w:r>
        <w:rPr>
          <w:sz w:val="16"/>
          <w:szCs w:val="16"/>
        </w:rPr>
        <w:tab/>
        <w:t>GR09030195</w:t>
      </w:r>
      <w:r>
        <w:rPr>
          <w:sz w:val="16"/>
          <w:szCs w:val="16"/>
        </w:rPr>
        <w:tab/>
      </w:r>
      <w:r>
        <w:rPr>
          <w:sz w:val="16"/>
          <w:szCs w:val="16"/>
        </w:rPr>
        <w:tab/>
        <w:t>Elizabethtown Gas</w:t>
      </w:r>
      <w:r>
        <w:rPr>
          <w:sz w:val="16"/>
          <w:szCs w:val="16"/>
        </w:rPr>
        <w:tab/>
      </w:r>
      <w:r>
        <w:rPr>
          <w:sz w:val="16"/>
          <w:szCs w:val="16"/>
        </w:rPr>
        <w:tab/>
      </w:r>
      <w:r>
        <w:rPr>
          <w:sz w:val="16"/>
          <w:szCs w:val="16"/>
        </w:rPr>
        <w:tab/>
        <w:t>New Jersey</w:t>
      </w:r>
      <w:r>
        <w:rPr>
          <w:sz w:val="16"/>
          <w:szCs w:val="16"/>
        </w:rPr>
        <w:tab/>
      </w:r>
      <w:r>
        <w:rPr>
          <w:sz w:val="16"/>
          <w:szCs w:val="16"/>
        </w:rPr>
        <w:tab/>
        <w:t>New Jersey Rate Counsel</w:t>
      </w:r>
      <w:r>
        <w:rPr>
          <w:sz w:val="16"/>
          <w:szCs w:val="16"/>
        </w:rPr>
        <w:tab/>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August 2009</w:t>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 xml:space="preserve">340. </w:t>
      </w:r>
      <w:r>
        <w:rPr>
          <w:sz w:val="16"/>
          <w:szCs w:val="16"/>
        </w:rPr>
        <w:tab/>
        <w:t>U-30422-A</w:t>
      </w:r>
      <w:r>
        <w:rPr>
          <w:sz w:val="16"/>
          <w:szCs w:val="16"/>
        </w:rPr>
        <w:tab/>
      </w:r>
      <w:r>
        <w:rPr>
          <w:sz w:val="16"/>
          <w:szCs w:val="16"/>
        </w:rPr>
        <w:tab/>
      </w:r>
      <w:r>
        <w:rPr>
          <w:sz w:val="16"/>
          <w:szCs w:val="16"/>
        </w:rPr>
        <w:tab/>
        <w:t>Entergy Gulf States</w:t>
      </w:r>
      <w:r>
        <w:rPr>
          <w:sz w:val="16"/>
          <w:szCs w:val="16"/>
        </w:rPr>
        <w:tab/>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Generating Unit Purchase</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ab/>
        <w:t xml:space="preserve">August 2009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341.</w:t>
      </w:r>
      <w:r>
        <w:rPr>
          <w:sz w:val="16"/>
          <w:szCs w:val="16"/>
        </w:rPr>
        <w:tab/>
        <w:t>CV 1:99-01693</w:t>
      </w:r>
      <w:r>
        <w:rPr>
          <w:sz w:val="16"/>
          <w:szCs w:val="16"/>
        </w:rPr>
        <w:tab/>
      </w:r>
      <w:r>
        <w:rPr>
          <w:sz w:val="16"/>
          <w:szCs w:val="16"/>
        </w:rPr>
        <w:tab/>
        <w:t>Duke Energy Indiana</w:t>
      </w:r>
      <w:r>
        <w:rPr>
          <w:sz w:val="16"/>
          <w:szCs w:val="16"/>
        </w:rPr>
        <w:tab/>
      </w:r>
      <w:r>
        <w:rPr>
          <w:sz w:val="16"/>
          <w:szCs w:val="16"/>
        </w:rPr>
        <w:tab/>
      </w:r>
      <w:r>
        <w:rPr>
          <w:sz w:val="16"/>
          <w:szCs w:val="16"/>
        </w:rPr>
        <w:tab/>
        <w:t>Federal District</w:t>
      </w:r>
      <w:r>
        <w:rPr>
          <w:sz w:val="16"/>
          <w:szCs w:val="16"/>
        </w:rPr>
        <w:tab/>
      </w:r>
      <w:r>
        <w:rPr>
          <w:sz w:val="16"/>
          <w:szCs w:val="16"/>
        </w:rPr>
        <w:tab/>
        <w:t xml:space="preserve">U. S. DOJ/EPA, </w:t>
      </w:r>
      <w:r w:rsidRPr="00D838B5">
        <w:rPr>
          <w:sz w:val="16"/>
          <w:szCs w:val="16"/>
        </w:rPr>
        <w:t>et al.</w:t>
      </w:r>
      <w:r>
        <w:rPr>
          <w:sz w:val="16"/>
          <w:szCs w:val="16"/>
        </w:rPr>
        <w:tab/>
      </w:r>
      <w:r>
        <w:rPr>
          <w:sz w:val="16"/>
          <w:szCs w:val="16"/>
        </w:rPr>
        <w:tab/>
        <w:t>Environmental Compliance Rate</w:t>
      </w:r>
    </w:p>
    <w:p w:rsidR="00F826FC" w:rsidRPr="00A927B5"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ab/>
        <w:t>August 2009</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Court – Indiana</w:t>
      </w:r>
      <w:r>
        <w:rPr>
          <w:sz w:val="16"/>
          <w:szCs w:val="16"/>
        </w:rPr>
        <w:tab/>
      </w:r>
      <w:r>
        <w:rPr>
          <w:sz w:val="16"/>
          <w:szCs w:val="16"/>
        </w:rPr>
        <w:tab/>
      </w:r>
      <w:r>
        <w:rPr>
          <w:sz w:val="16"/>
          <w:szCs w:val="16"/>
        </w:rPr>
        <w:tab/>
      </w:r>
      <w:r>
        <w:rPr>
          <w:sz w:val="16"/>
          <w:szCs w:val="16"/>
        </w:rPr>
        <w:tab/>
      </w:r>
      <w:r>
        <w:rPr>
          <w:sz w:val="16"/>
          <w:szCs w:val="16"/>
        </w:rPr>
        <w:tab/>
      </w:r>
      <w:r>
        <w:rPr>
          <w:sz w:val="16"/>
          <w:szCs w:val="16"/>
        </w:rPr>
        <w:tab/>
        <w:t>Impacts (Expert Report)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342.</w:t>
      </w:r>
      <w:r>
        <w:rPr>
          <w:sz w:val="16"/>
          <w:szCs w:val="16"/>
        </w:rPr>
        <w:tab/>
        <w:t>4065</w:t>
      </w:r>
      <w:r>
        <w:rPr>
          <w:sz w:val="16"/>
          <w:szCs w:val="16"/>
        </w:rPr>
        <w:tab/>
      </w:r>
      <w:r>
        <w:rPr>
          <w:sz w:val="16"/>
          <w:szCs w:val="16"/>
        </w:rPr>
        <w:tab/>
      </w:r>
      <w:r>
        <w:rPr>
          <w:sz w:val="16"/>
          <w:szCs w:val="16"/>
        </w:rPr>
        <w:tab/>
        <w:t>Narragansett Electric</w:t>
      </w:r>
      <w:r>
        <w:rPr>
          <w:sz w:val="16"/>
          <w:szCs w:val="16"/>
        </w:rPr>
        <w:tab/>
      </w:r>
      <w:r>
        <w:rPr>
          <w:sz w:val="16"/>
          <w:szCs w:val="16"/>
        </w:rPr>
        <w:tab/>
      </w:r>
      <w:r>
        <w:rPr>
          <w:sz w:val="16"/>
          <w:szCs w:val="16"/>
        </w:rPr>
        <w:tab/>
        <w:t>Rhode Island</w:t>
      </w:r>
      <w:r>
        <w:rPr>
          <w:sz w:val="16"/>
          <w:szCs w:val="16"/>
        </w:rPr>
        <w:tab/>
      </w:r>
      <w:r>
        <w:rPr>
          <w:sz w:val="16"/>
          <w:szCs w:val="16"/>
        </w:rPr>
        <w:tab/>
        <w:t>Division Staff</w:t>
      </w:r>
      <w:r>
        <w:rPr>
          <w:sz w:val="16"/>
          <w:szCs w:val="16"/>
        </w:rPr>
        <w:tab/>
      </w:r>
      <w:r>
        <w:rPr>
          <w:sz w:val="16"/>
          <w:szCs w:val="16"/>
        </w:rPr>
        <w:tab/>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ab/>
        <w:t>September 2009</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343.</w:t>
      </w:r>
      <w:r>
        <w:rPr>
          <w:sz w:val="16"/>
          <w:szCs w:val="16"/>
        </w:rPr>
        <w:tab/>
        <w:t>U-30689</w:t>
      </w:r>
      <w:r>
        <w:rPr>
          <w:sz w:val="16"/>
          <w:szCs w:val="16"/>
        </w:rPr>
        <w:tab/>
      </w:r>
      <w:r>
        <w:rPr>
          <w:sz w:val="16"/>
          <w:szCs w:val="16"/>
        </w:rPr>
        <w:tab/>
      </w:r>
      <w:r>
        <w:rPr>
          <w:sz w:val="16"/>
          <w:szCs w:val="16"/>
        </w:rPr>
        <w:tab/>
        <w:t>Cleco Power</w:t>
      </w:r>
      <w:r>
        <w:rPr>
          <w:sz w:val="16"/>
          <w:szCs w:val="16"/>
        </w:rPr>
        <w:tab/>
      </w:r>
      <w:r>
        <w:rPr>
          <w:sz w:val="16"/>
          <w:szCs w:val="16"/>
        </w:rPr>
        <w:tab/>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Cost of Capital, Rate Design, Other</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ab/>
        <w:t>September 2009</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Rate Case Issues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344.</w:t>
      </w:r>
      <w:r>
        <w:rPr>
          <w:sz w:val="16"/>
          <w:szCs w:val="16"/>
        </w:rPr>
        <w:tab/>
        <w:t>U-31147</w:t>
      </w:r>
      <w:r>
        <w:rPr>
          <w:sz w:val="16"/>
          <w:szCs w:val="16"/>
        </w:rPr>
        <w:tab/>
      </w:r>
      <w:r>
        <w:rPr>
          <w:sz w:val="16"/>
          <w:szCs w:val="16"/>
        </w:rPr>
        <w:tab/>
      </w:r>
      <w:r>
        <w:rPr>
          <w:sz w:val="16"/>
          <w:szCs w:val="16"/>
        </w:rPr>
        <w:tab/>
        <w:t>Entergy Gulf States</w:t>
      </w:r>
      <w:r>
        <w:rPr>
          <w:sz w:val="16"/>
          <w:szCs w:val="16"/>
        </w:rPr>
        <w:tab/>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Purchase Power Contracts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ab/>
        <w:t>October 2009</w:t>
      </w:r>
      <w:r>
        <w:rPr>
          <w:sz w:val="16"/>
          <w:szCs w:val="16"/>
        </w:rPr>
        <w:tab/>
      </w:r>
      <w:r>
        <w:rPr>
          <w:sz w:val="16"/>
          <w:szCs w:val="16"/>
        </w:rPr>
        <w:tab/>
        <w:t>Entergy Louisiana</w:t>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345.</w:t>
      </w:r>
      <w:r>
        <w:rPr>
          <w:sz w:val="16"/>
          <w:szCs w:val="16"/>
        </w:rPr>
        <w:tab/>
        <w:t>U-30913</w:t>
      </w:r>
      <w:r>
        <w:rPr>
          <w:sz w:val="16"/>
          <w:szCs w:val="16"/>
        </w:rPr>
        <w:tab/>
      </w:r>
      <w:r>
        <w:rPr>
          <w:sz w:val="16"/>
          <w:szCs w:val="16"/>
        </w:rPr>
        <w:tab/>
      </w:r>
      <w:r>
        <w:rPr>
          <w:sz w:val="16"/>
          <w:szCs w:val="16"/>
        </w:rPr>
        <w:tab/>
        <w:t>Cleco Power</w:t>
      </w:r>
      <w:r>
        <w:rPr>
          <w:sz w:val="16"/>
          <w:szCs w:val="16"/>
        </w:rPr>
        <w:tab/>
      </w:r>
      <w:r>
        <w:rPr>
          <w:sz w:val="16"/>
          <w:szCs w:val="16"/>
        </w:rPr>
        <w:tab/>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Certification of Generating Unit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ab/>
        <w:t>November 2009</w:t>
      </w:r>
      <w:r>
        <w:rPr>
          <w:sz w:val="16"/>
          <w:szCs w:val="16"/>
        </w:rPr>
        <w:tab/>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346.</w:t>
      </w:r>
      <w:r>
        <w:rPr>
          <w:sz w:val="16"/>
          <w:szCs w:val="16"/>
        </w:rPr>
        <w:tab/>
        <w:t>M-2009-2123951</w:t>
      </w:r>
      <w:r>
        <w:rPr>
          <w:sz w:val="16"/>
          <w:szCs w:val="16"/>
        </w:rPr>
        <w:tab/>
      </w:r>
      <w:r>
        <w:rPr>
          <w:sz w:val="16"/>
          <w:szCs w:val="16"/>
        </w:rPr>
        <w:tab/>
        <w:t>West Penn Power</w:t>
      </w:r>
      <w:r>
        <w:rPr>
          <w:sz w:val="16"/>
          <w:szCs w:val="16"/>
        </w:rPr>
        <w:tab/>
      </w:r>
      <w:r>
        <w:rPr>
          <w:sz w:val="16"/>
          <w:szCs w:val="16"/>
        </w:rPr>
        <w:tab/>
      </w:r>
      <w:r>
        <w:rPr>
          <w:sz w:val="16"/>
          <w:szCs w:val="16"/>
        </w:rPr>
        <w:tab/>
        <w:t>Pennsylvania</w:t>
      </w:r>
      <w:r>
        <w:rPr>
          <w:sz w:val="16"/>
          <w:szCs w:val="16"/>
        </w:rPr>
        <w:tab/>
      </w:r>
      <w:r>
        <w:rPr>
          <w:sz w:val="16"/>
          <w:szCs w:val="16"/>
        </w:rPr>
        <w:tab/>
        <w:t>Office of Consumer Advocate</w:t>
      </w:r>
      <w:r>
        <w:rPr>
          <w:sz w:val="16"/>
          <w:szCs w:val="16"/>
        </w:rPr>
        <w:tab/>
        <w:t>Smart Meter 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ab/>
        <w:t>November 2009</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(Surrebuttal Only)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347.</w:t>
      </w:r>
      <w:r>
        <w:rPr>
          <w:sz w:val="16"/>
          <w:szCs w:val="16"/>
        </w:rPr>
        <w:tab/>
        <w:t>GR09050422</w:t>
      </w:r>
      <w:r>
        <w:rPr>
          <w:sz w:val="16"/>
          <w:szCs w:val="16"/>
        </w:rPr>
        <w:tab/>
      </w:r>
      <w:r>
        <w:rPr>
          <w:sz w:val="16"/>
          <w:szCs w:val="16"/>
        </w:rPr>
        <w:tab/>
        <w:t>Public Service</w:t>
      </w:r>
      <w:r>
        <w:rPr>
          <w:sz w:val="16"/>
          <w:szCs w:val="16"/>
        </w:rPr>
        <w:tab/>
      </w:r>
      <w:r>
        <w:rPr>
          <w:sz w:val="16"/>
          <w:szCs w:val="16"/>
        </w:rPr>
        <w:tab/>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ab/>
        <w:t>November 2009</w:t>
      </w:r>
      <w:r>
        <w:rPr>
          <w:sz w:val="16"/>
          <w:szCs w:val="16"/>
        </w:rPr>
        <w:tab/>
      </w:r>
      <w:r>
        <w:rPr>
          <w:sz w:val="16"/>
          <w:szCs w:val="16"/>
        </w:rPr>
        <w:tab/>
        <w:t>Electric &amp; Gas Company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sz w:val="16"/>
          <w:szCs w:val="16"/>
        </w:rPr>
        <w:t>348.</w:t>
      </w:r>
      <w:r>
        <w:rPr>
          <w:sz w:val="16"/>
          <w:szCs w:val="16"/>
        </w:rPr>
        <w:tab/>
        <w:t>D-09-49</w:t>
      </w:r>
      <w:r>
        <w:rPr>
          <w:sz w:val="16"/>
          <w:szCs w:val="16"/>
        </w:rPr>
        <w:tab/>
      </w:r>
      <w:r>
        <w:rPr>
          <w:sz w:val="16"/>
          <w:szCs w:val="16"/>
        </w:rPr>
        <w:tab/>
      </w:r>
      <w:r>
        <w:rPr>
          <w:sz w:val="16"/>
          <w:szCs w:val="16"/>
        </w:rPr>
        <w:tab/>
        <w:t>Narragansett Electric</w:t>
      </w:r>
      <w:r>
        <w:rPr>
          <w:sz w:val="16"/>
          <w:szCs w:val="16"/>
        </w:rPr>
        <w:tab/>
      </w:r>
      <w:r>
        <w:rPr>
          <w:sz w:val="16"/>
          <w:szCs w:val="16"/>
        </w:rPr>
        <w:tab/>
      </w:r>
      <w:r>
        <w:rPr>
          <w:sz w:val="16"/>
          <w:szCs w:val="16"/>
        </w:rPr>
        <w:tab/>
        <w:t>Rhode Island</w:t>
      </w:r>
      <w:r>
        <w:rPr>
          <w:sz w:val="16"/>
          <w:szCs w:val="16"/>
        </w:rPr>
        <w:tab/>
      </w:r>
      <w:r>
        <w:rPr>
          <w:sz w:val="16"/>
          <w:szCs w:val="16"/>
        </w:rPr>
        <w:tab/>
        <w:t>Division Staff</w:t>
      </w:r>
      <w:r>
        <w:rPr>
          <w:sz w:val="16"/>
          <w:szCs w:val="16"/>
        </w:rPr>
        <w:tab/>
      </w:r>
      <w:r>
        <w:rPr>
          <w:sz w:val="16"/>
          <w:szCs w:val="16"/>
        </w:rPr>
        <w:tab/>
      </w:r>
      <w:r>
        <w:rPr>
          <w:sz w:val="16"/>
          <w:szCs w:val="16"/>
        </w:rPr>
        <w:tab/>
        <w:t>Securities Issuances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2009</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349.</w:t>
      </w:r>
      <w:r>
        <w:rPr>
          <w:sz w:val="16"/>
          <w:szCs w:val="16"/>
        </w:rPr>
        <w:tab/>
        <w:t>U-29702, Phase II</w:t>
      </w:r>
      <w:r>
        <w:rPr>
          <w:sz w:val="16"/>
          <w:szCs w:val="16"/>
        </w:rPr>
        <w:tab/>
      </w:r>
      <w:r>
        <w:rPr>
          <w:sz w:val="16"/>
          <w:szCs w:val="16"/>
        </w:rPr>
        <w:tab/>
        <w:t>Southwestern Electric</w:t>
      </w:r>
      <w:r>
        <w:rPr>
          <w:sz w:val="16"/>
          <w:szCs w:val="16"/>
        </w:rPr>
        <w:tab/>
      </w:r>
      <w:r>
        <w:rPr>
          <w:sz w:val="16"/>
          <w:szCs w:val="16"/>
        </w:rPr>
        <w:tab/>
      </w:r>
      <w:r>
        <w:rPr>
          <w:sz w:val="16"/>
          <w:szCs w:val="16"/>
        </w:rPr>
        <w:tab/>
        <w:t xml:space="preserve">Louisiana </w:t>
      </w:r>
      <w:r>
        <w:rPr>
          <w:sz w:val="16"/>
          <w:szCs w:val="16"/>
        </w:rPr>
        <w:tab/>
      </w:r>
      <w:r>
        <w:rPr>
          <w:sz w:val="16"/>
          <w:szCs w:val="16"/>
        </w:rPr>
        <w:tab/>
        <w:t>Commission Staff</w:t>
      </w:r>
      <w:r>
        <w:rPr>
          <w:sz w:val="16"/>
          <w:szCs w:val="16"/>
        </w:rPr>
        <w:tab/>
      </w:r>
      <w:r>
        <w:rPr>
          <w:sz w:val="16"/>
          <w:szCs w:val="16"/>
        </w:rPr>
        <w:tab/>
      </w:r>
      <w:r>
        <w:rPr>
          <w:sz w:val="16"/>
          <w:szCs w:val="16"/>
        </w:rPr>
        <w:tab/>
        <w:t>Cash CWIP Recovery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2009</w:t>
      </w:r>
      <w:r>
        <w:rPr>
          <w:sz w:val="16"/>
          <w:szCs w:val="16"/>
        </w:rPr>
        <w:tab/>
      </w:r>
      <w:r>
        <w:rPr>
          <w:sz w:val="16"/>
          <w:szCs w:val="16"/>
        </w:rPr>
        <w:tab/>
        <w:t>Power Company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350.</w:t>
      </w:r>
      <w:r>
        <w:rPr>
          <w:sz w:val="16"/>
          <w:szCs w:val="16"/>
        </w:rPr>
        <w:tab/>
        <w:t>U-30981</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Storm Damage Cost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December 2009</w:t>
      </w:r>
      <w:r>
        <w:rPr>
          <w:sz w:val="16"/>
          <w:szCs w:val="16"/>
        </w:rPr>
        <w:tab/>
      </w:r>
      <w:r>
        <w:rPr>
          <w:sz w:val="16"/>
          <w:szCs w:val="16"/>
        </w:rPr>
        <w:tab/>
        <w:t>Entergy Gulf States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Allocation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351.</w:t>
      </w:r>
      <w:r>
        <w:rPr>
          <w:sz w:val="16"/>
          <w:szCs w:val="16"/>
        </w:rPr>
        <w:tab/>
        <w:t>U-31196 (ITA Phase)</w:t>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Purchase Power Contract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2010</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352.</w:t>
      </w:r>
      <w:r>
        <w:rPr>
          <w:sz w:val="16"/>
          <w:szCs w:val="16"/>
        </w:rPr>
        <w:tab/>
        <w:t>ER09080668</w:t>
      </w:r>
      <w:r>
        <w:rPr>
          <w:sz w:val="16"/>
          <w:szCs w:val="16"/>
        </w:rPr>
        <w:tab/>
      </w:r>
      <w:r>
        <w:rPr>
          <w:sz w:val="16"/>
          <w:szCs w:val="16"/>
        </w:rPr>
        <w:tab/>
      </w:r>
      <w:r>
        <w:rPr>
          <w:sz w:val="16"/>
          <w:szCs w:val="16"/>
        </w:rPr>
        <w:tab/>
        <w:t>Rockland Electric</w:t>
      </w:r>
      <w:r>
        <w:rPr>
          <w:sz w:val="16"/>
          <w:szCs w:val="16"/>
        </w:rPr>
        <w:tab/>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Rate of Return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2010</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353.</w:t>
      </w:r>
      <w:r>
        <w:rPr>
          <w:sz w:val="16"/>
          <w:szCs w:val="16"/>
        </w:rPr>
        <w:tab/>
        <w:t>GR10010035</w:t>
      </w:r>
      <w:r>
        <w:rPr>
          <w:sz w:val="16"/>
          <w:szCs w:val="16"/>
        </w:rPr>
        <w:tab/>
      </w:r>
      <w:r>
        <w:rPr>
          <w:sz w:val="16"/>
          <w:szCs w:val="16"/>
        </w:rPr>
        <w:tab/>
        <w:t>South Jersey Gas Co.</w:t>
      </w:r>
      <w:r>
        <w:rPr>
          <w:sz w:val="16"/>
          <w:szCs w:val="16"/>
        </w:rPr>
        <w:tab/>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Rate of Return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May 2010</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354.</w:t>
      </w:r>
      <w:r>
        <w:rPr>
          <w:sz w:val="16"/>
          <w:szCs w:val="16"/>
        </w:rPr>
        <w:tab/>
        <w:t>P-2010-2157862</w:t>
      </w:r>
      <w:r>
        <w:rPr>
          <w:sz w:val="16"/>
          <w:szCs w:val="16"/>
        </w:rPr>
        <w:tab/>
      </w:r>
      <w:r>
        <w:rPr>
          <w:sz w:val="16"/>
          <w:szCs w:val="16"/>
        </w:rPr>
        <w:tab/>
        <w:t>Pennsylvania Power Co.</w:t>
      </w:r>
      <w:r>
        <w:rPr>
          <w:sz w:val="16"/>
          <w:szCs w:val="16"/>
        </w:rPr>
        <w:tab/>
      </w:r>
      <w:r>
        <w:rPr>
          <w:sz w:val="16"/>
          <w:szCs w:val="16"/>
        </w:rPr>
        <w:tab/>
      </w:r>
      <w:r>
        <w:rPr>
          <w:sz w:val="16"/>
          <w:szCs w:val="16"/>
        </w:rPr>
        <w:tab/>
        <w:t>Pennsylvania</w:t>
      </w:r>
      <w:r>
        <w:rPr>
          <w:sz w:val="16"/>
          <w:szCs w:val="16"/>
        </w:rPr>
        <w:tab/>
      </w:r>
      <w:r>
        <w:rPr>
          <w:sz w:val="16"/>
          <w:szCs w:val="16"/>
        </w:rPr>
        <w:tab/>
        <w:t>Consumer Advocate</w:t>
      </w:r>
      <w:r>
        <w:rPr>
          <w:sz w:val="16"/>
          <w:szCs w:val="16"/>
        </w:rPr>
        <w:tab/>
      </w:r>
      <w:r>
        <w:rPr>
          <w:sz w:val="16"/>
          <w:szCs w:val="16"/>
        </w:rPr>
        <w:tab/>
        <w:t>Default Service Program</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 xml:space="preserve">May 2010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355.</w:t>
      </w:r>
      <w:r>
        <w:rPr>
          <w:sz w:val="16"/>
          <w:szCs w:val="16"/>
        </w:rPr>
        <w:tab/>
        <w:t>10-CV-2275</w:t>
      </w:r>
      <w:r>
        <w:rPr>
          <w:sz w:val="16"/>
          <w:szCs w:val="16"/>
        </w:rPr>
        <w:tab/>
      </w:r>
      <w:r>
        <w:rPr>
          <w:sz w:val="16"/>
          <w:szCs w:val="16"/>
        </w:rPr>
        <w:tab/>
      </w:r>
      <w:r>
        <w:rPr>
          <w:sz w:val="16"/>
          <w:szCs w:val="16"/>
        </w:rPr>
        <w:tab/>
        <w:t>Xcel Energy</w:t>
      </w:r>
      <w:r>
        <w:rPr>
          <w:sz w:val="16"/>
          <w:szCs w:val="16"/>
        </w:rPr>
        <w:tab/>
      </w:r>
      <w:r>
        <w:rPr>
          <w:sz w:val="16"/>
          <w:szCs w:val="16"/>
        </w:rPr>
        <w:tab/>
      </w:r>
      <w:r>
        <w:rPr>
          <w:sz w:val="16"/>
          <w:szCs w:val="16"/>
        </w:rPr>
        <w:tab/>
      </w:r>
      <w:r>
        <w:rPr>
          <w:sz w:val="16"/>
          <w:szCs w:val="16"/>
        </w:rPr>
        <w:tab/>
        <w:t>U.S. District Court</w:t>
      </w:r>
      <w:r>
        <w:rPr>
          <w:sz w:val="16"/>
          <w:szCs w:val="16"/>
        </w:rPr>
        <w:tab/>
        <w:t>U.S. Dept. Justice/EPA</w:t>
      </w:r>
      <w:r>
        <w:rPr>
          <w:sz w:val="16"/>
          <w:szCs w:val="16"/>
        </w:rPr>
        <w:tab/>
      </w:r>
      <w:r>
        <w:rPr>
          <w:sz w:val="16"/>
          <w:szCs w:val="16"/>
        </w:rPr>
        <w:tab/>
        <w:t>Clean Air Act Enforcement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2010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Minnesota</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356.</w:t>
      </w:r>
      <w:r>
        <w:rPr>
          <w:sz w:val="16"/>
          <w:szCs w:val="16"/>
        </w:rPr>
        <w:tab/>
        <w:t>WR09120987</w:t>
      </w:r>
      <w:r>
        <w:rPr>
          <w:sz w:val="16"/>
          <w:szCs w:val="16"/>
        </w:rPr>
        <w:tab/>
      </w:r>
      <w:r>
        <w:rPr>
          <w:sz w:val="16"/>
          <w:szCs w:val="16"/>
        </w:rPr>
        <w:tab/>
        <w:t>United Water New Jersey</w:t>
      </w:r>
      <w:r>
        <w:rPr>
          <w:sz w:val="16"/>
          <w:szCs w:val="16"/>
        </w:rPr>
        <w:tab/>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Rate of Return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2010</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357.</w:t>
      </w:r>
      <w:r>
        <w:rPr>
          <w:sz w:val="16"/>
          <w:szCs w:val="16"/>
        </w:rPr>
        <w:tab/>
        <w:t>U-30192, Phase III</w:t>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Power Plant Cancellation Costs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2010</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358.</w:t>
      </w:r>
      <w:r>
        <w:rPr>
          <w:sz w:val="16"/>
          <w:szCs w:val="16"/>
        </w:rPr>
        <w:tab/>
        <w:t>31299</w:t>
      </w:r>
      <w:r>
        <w:rPr>
          <w:sz w:val="16"/>
          <w:szCs w:val="16"/>
        </w:rPr>
        <w:tab/>
      </w:r>
      <w:r>
        <w:rPr>
          <w:sz w:val="16"/>
          <w:szCs w:val="16"/>
        </w:rPr>
        <w:tab/>
      </w:r>
      <w:r>
        <w:rPr>
          <w:sz w:val="16"/>
          <w:szCs w:val="16"/>
        </w:rPr>
        <w:tab/>
        <w:t>Cleco Power</w:t>
      </w:r>
      <w:r>
        <w:rPr>
          <w:sz w:val="16"/>
          <w:szCs w:val="16"/>
        </w:rPr>
        <w:tab/>
      </w:r>
      <w:r>
        <w:rPr>
          <w:sz w:val="16"/>
          <w:szCs w:val="16"/>
        </w:rPr>
        <w:tab/>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Securities Issuances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2010</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359.</w:t>
      </w:r>
      <w:r>
        <w:rPr>
          <w:sz w:val="16"/>
          <w:szCs w:val="16"/>
        </w:rPr>
        <w:tab/>
        <w:t>App. No. 1601162</w:t>
      </w:r>
      <w:r>
        <w:rPr>
          <w:sz w:val="16"/>
          <w:szCs w:val="16"/>
        </w:rPr>
        <w:tab/>
      </w:r>
      <w:r>
        <w:rPr>
          <w:sz w:val="16"/>
          <w:szCs w:val="16"/>
        </w:rPr>
        <w:tab/>
        <w:t>EPCOR Water</w:t>
      </w:r>
      <w:r>
        <w:rPr>
          <w:sz w:val="16"/>
          <w:szCs w:val="16"/>
        </w:rPr>
        <w:tab/>
      </w:r>
      <w:r>
        <w:rPr>
          <w:sz w:val="16"/>
          <w:szCs w:val="16"/>
        </w:rPr>
        <w:tab/>
      </w:r>
      <w:r>
        <w:rPr>
          <w:sz w:val="16"/>
          <w:szCs w:val="16"/>
        </w:rPr>
        <w:tab/>
      </w:r>
      <w:r>
        <w:rPr>
          <w:sz w:val="16"/>
          <w:szCs w:val="16"/>
        </w:rPr>
        <w:tab/>
        <w:t xml:space="preserve">Alberta, Canada </w:t>
      </w:r>
      <w:r>
        <w:rPr>
          <w:sz w:val="16"/>
          <w:szCs w:val="16"/>
        </w:rPr>
        <w:tab/>
      </w:r>
      <w:r>
        <w:rPr>
          <w:sz w:val="16"/>
          <w:szCs w:val="16"/>
        </w:rPr>
        <w:tab/>
        <w:t>Regional Customer Group</w:t>
      </w:r>
      <w:r>
        <w:rPr>
          <w:sz w:val="16"/>
          <w:szCs w:val="16"/>
        </w:rPr>
        <w:tab/>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2010</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360.</w:t>
      </w:r>
      <w:r>
        <w:rPr>
          <w:sz w:val="16"/>
          <w:szCs w:val="16"/>
        </w:rPr>
        <w:tab/>
        <w:t>U-31196</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Purchase Power Contract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2010</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361.</w:t>
      </w:r>
      <w:r>
        <w:rPr>
          <w:sz w:val="16"/>
          <w:szCs w:val="16"/>
        </w:rPr>
        <w:tab/>
        <w:t>2:10-CV-13101</w:t>
      </w:r>
      <w:r>
        <w:rPr>
          <w:sz w:val="16"/>
          <w:szCs w:val="16"/>
        </w:rPr>
        <w:tab/>
      </w:r>
      <w:r>
        <w:rPr>
          <w:sz w:val="16"/>
          <w:szCs w:val="16"/>
        </w:rPr>
        <w:tab/>
        <w:t>Detroit Edison</w:t>
      </w:r>
      <w:r>
        <w:rPr>
          <w:sz w:val="16"/>
          <w:szCs w:val="16"/>
        </w:rPr>
        <w:tab/>
      </w:r>
      <w:r>
        <w:rPr>
          <w:sz w:val="16"/>
          <w:szCs w:val="16"/>
        </w:rPr>
        <w:tab/>
      </w:r>
      <w:r>
        <w:rPr>
          <w:sz w:val="16"/>
          <w:szCs w:val="16"/>
        </w:rPr>
        <w:tab/>
      </w:r>
      <w:r>
        <w:rPr>
          <w:sz w:val="16"/>
          <w:szCs w:val="16"/>
        </w:rPr>
        <w:tab/>
        <w:t>U.S. District Court</w:t>
      </w:r>
      <w:r>
        <w:rPr>
          <w:sz w:val="16"/>
          <w:szCs w:val="16"/>
        </w:rPr>
        <w:tab/>
        <w:t>U.S. Dept. of Justice/EPA</w:t>
      </w:r>
      <w:r>
        <w:rPr>
          <w:sz w:val="16"/>
          <w:szCs w:val="16"/>
        </w:rPr>
        <w:tab/>
      </w:r>
      <w:r>
        <w:rPr>
          <w:sz w:val="16"/>
          <w:szCs w:val="16"/>
        </w:rPr>
        <w:tab/>
        <w:t xml:space="preserve">Clean Air Act Enforcement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August 2010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Eastern Michigan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362.</w:t>
      </w:r>
      <w:r>
        <w:rPr>
          <w:sz w:val="16"/>
          <w:szCs w:val="16"/>
        </w:rPr>
        <w:tab/>
        <w:t>U-31196</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Generating Unit Purchase and</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August 2010</w:t>
      </w:r>
      <w:r>
        <w:rPr>
          <w:sz w:val="16"/>
          <w:szCs w:val="16"/>
        </w:rPr>
        <w:tab/>
      </w:r>
      <w:r>
        <w:rPr>
          <w:sz w:val="16"/>
          <w:szCs w:val="16"/>
        </w:rPr>
        <w:tab/>
      </w:r>
      <w:r>
        <w:rPr>
          <w:sz w:val="16"/>
          <w:szCs w:val="16"/>
        </w:rPr>
        <w:tab/>
        <w:t>Entergy Gulf States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Cost Recovery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363.</w:t>
      </w:r>
      <w:r>
        <w:rPr>
          <w:sz w:val="16"/>
          <w:szCs w:val="16"/>
        </w:rPr>
        <w:tab/>
        <w:t>Case No. 9233</w:t>
      </w:r>
      <w:r>
        <w:rPr>
          <w:sz w:val="16"/>
          <w:szCs w:val="16"/>
        </w:rPr>
        <w:tab/>
      </w:r>
      <w:r>
        <w:rPr>
          <w:sz w:val="16"/>
          <w:szCs w:val="16"/>
        </w:rPr>
        <w:tab/>
        <w:t>Potomac Edison</w:t>
      </w:r>
      <w:r>
        <w:rPr>
          <w:sz w:val="16"/>
          <w:szCs w:val="16"/>
        </w:rPr>
        <w:tab/>
      </w:r>
      <w:r>
        <w:rPr>
          <w:sz w:val="16"/>
          <w:szCs w:val="16"/>
        </w:rPr>
        <w:tab/>
      </w:r>
      <w:r>
        <w:rPr>
          <w:sz w:val="16"/>
          <w:szCs w:val="16"/>
        </w:rPr>
        <w:tab/>
        <w:t>Maryland</w:t>
      </w:r>
      <w:r>
        <w:rPr>
          <w:sz w:val="16"/>
          <w:szCs w:val="16"/>
        </w:rPr>
        <w:tab/>
      </w:r>
      <w:r>
        <w:rPr>
          <w:sz w:val="16"/>
          <w:szCs w:val="16"/>
        </w:rPr>
        <w:tab/>
        <w:t>Energy Administration</w:t>
      </w:r>
      <w:r>
        <w:rPr>
          <w:sz w:val="16"/>
          <w:szCs w:val="16"/>
        </w:rPr>
        <w:tab/>
      </w:r>
      <w:r>
        <w:rPr>
          <w:sz w:val="16"/>
          <w:szCs w:val="16"/>
        </w:rPr>
        <w:tab/>
        <w:t>Merger Issues</w:t>
      </w:r>
    </w:p>
    <w:p w:rsidR="00F826FC" w:rsidRPr="009B2A30"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vertAlign w:val="subscript"/>
        </w:rPr>
      </w:pPr>
      <w:r>
        <w:rPr>
          <w:sz w:val="16"/>
          <w:szCs w:val="16"/>
        </w:rPr>
        <w:tab/>
        <w:t>October 2010</w:t>
      </w:r>
      <w:r>
        <w:rPr>
          <w:sz w:val="16"/>
          <w:szCs w:val="16"/>
        </w:rPr>
        <w:tab/>
      </w:r>
      <w:r>
        <w:rPr>
          <w:sz w:val="16"/>
          <w:szCs w:val="16"/>
        </w:rPr>
        <w:tab/>
        <w:t>Company</w:t>
      </w:r>
      <w:r>
        <w:rPr>
          <w:sz w:val="16"/>
          <w:szCs w:val="16"/>
        </w:rPr>
        <w:tab/>
      </w:r>
      <w:r>
        <w:rPr>
          <w:sz w:val="16"/>
          <w:szCs w:val="16"/>
        </w:rPr>
        <w:tab/>
      </w:r>
      <w:r>
        <w:rPr>
          <w:sz w:val="16"/>
          <w:szCs w:val="16"/>
        </w:rPr>
        <w:tab/>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364.</w:t>
      </w:r>
      <w:r>
        <w:rPr>
          <w:sz w:val="16"/>
          <w:szCs w:val="16"/>
        </w:rPr>
        <w:tab/>
        <w:t>2010-2194652</w:t>
      </w:r>
      <w:r>
        <w:rPr>
          <w:sz w:val="16"/>
          <w:szCs w:val="16"/>
        </w:rPr>
        <w:tab/>
      </w:r>
      <w:r>
        <w:rPr>
          <w:sz w:val="16"/>
          <w:szCs w:val="16"/>
        </w:rPr>
        <w:tab/>
        <w:t>Pike County Light &amp; Power</w:t>
      </w:r>
      <w:r>
        <w:rPr>
          <w:sz w:val="16"/>
          <w:szCs w:val="16"/>
        </w:rPr>
        <w:tab/>
      </w:r>
      <w:r>
        <w:rPr>
          <w:sz w:val="16"/>
          <w:szCs w:val="16"/>
        </w:rPr>
        <w:tab/>
        <w:t>Pennsylvania</w:t>
      </w:r>
      <w:r>
        <w:rPr>
          <w:sz w:val="16"/>
          <w:szCs w:val="16"/>
        </w:rPr>
        <w:tab/>
      </w:r>
      <w:r>
        <w:rPr>
          <w:sz w:val="16"/>
          <w:szCs w:val="16"/>
        </w:rPr>
        <w:tab/>
        <w:t>Consumer Advocate</w:t>
      </w:r>
      <w:r>
        <w:rPr>
          <w:sz w:val="16"/>
          <w:szCs w:val="16"/>
        </w:rPr>
        <w:tab/>
      </w:r>
      <w:r>
        <w:rPr>
          <w:sz w:val="16"/>
          <w:szCs w:val="16"/>
        </w:rPr>
        <w:tab/>
        <w:t xml:space="preserve">Default Service Plan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2010</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365.</w:t>
      </w:r>
      <w:r>
        <w:rPr>
          <w:sz w:val="16"/>
          <w:szCs w:val="16"/>
        </w:rPr>
        <w:tab/>
        <w:t>2010-2213369</w:t>
      </w:r>
      <w:r>
        <w:rPr>
          <w:sz w:val="16"/>
          <w:szCs w:val="16"/>
        </w:rPr>
        <w:tab/>
      </w:r>
      <w:r>
        <w:rPr>
          <w:sz w:val="16"/>
          <w:szCs w:val="16"/>
        </w:rPr>
        <w:tab/>
        <w:t>Duquesne Light Company</w:t>
      </w:r>
      <w:r>
        <w:rPr>
          <w:sz w:val="16"/>
          <w:szCs w:val="16"/>
        </w:rPr>
        <w:tab/>
      </w:r>
      <w:r>
        <w:rPr>
          <w:sz w:val="16"/>
          <w:szCs w:val="16"/>
        </w:rPr>
        <w:tab/>
      </w:r>
      <w:r>
        <w:rPr>
          <w:sz w:val="16"/>
          <w:szCs w:val="16"/>
        </w:rPr>
        <w:tab/>
        <w:t>Pennsylvania</w:t>
      </w:r>
      <w:r>
        <w:rPr>
          <w:sz w:val="16"/>
          <w:szCs w:val="16"/>
        </w:rPr>
        <w:tab/>
      </w:r>
      <w:r>
        <w:rPr>
          <w:sz w:val="16"/>
          <w:szCs w:val="16"/>
        </w:rPr>
        <w:tab/>
        <w:t>Consumer Advocate</w:t>
      </w:r>
      <w:r>
        <w:rPr>
          <w:sz w:val="16"/>
          <w:szCs w:val="16"/>
        </w:rPr>
        <w:tab/>
      </w:r>
      <w:r>
        <w:rPr>
          <w:sz w:val="16"/>
          <w:szCs w:val="16"/>
        </w:rPr>
        <w:tab/>
        <w:t>Merger Issues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April 2011</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366.</w:t>
      </w:r>
      <w:r>
        <w:rPr>
          <w:sz w:val="16"/>
          <w:szCs w:val="16"/>
        </w:rPr>
        <w:tab/>
        <w:t>U-31841</w:t>
      </w:r>
      <w:r>
        <w:rPr>
          <w:sz w:val="16"/>
          <w:szCs w:val="16"/>
        </w:rPr>
        <w:tab/>
      </w:r>
      <w:r>
        <w:rPr>
          <w:sz w:val="16"/>
          <w:szCs w:val="16"/>
        </w:rPr>
        <w:tab/>
      </w:r>
      <w:r>
        <w:rPr>
          <w:sz w:val="16"/>
          <w:szCs w:val="16"/>
        </w:rPr>
        <w:tab/>
        <w:t>Entergy Gulf States</w:t>
      </w:r>
      <w:r>
        <w:rPr>
          <w:sz w:val="16"/>
          <w:szCs w:val="16"/>
        </w:rPr>
        <w:tab/>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Purchase Power Agreement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May 2011</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367.</w:t>
      </w:r>
      <w:r>
        <w:rPr>
          <w:sz w:val="16"/>
          <w:szCs w:val="16"/>
        </w:rPr>
        <w:tab/>
        <w:t>11-06006</w:t>
      </w:r>
      <w:r>
        <w:rPr>
          <w:sz w:val="16"/>
          <w:szCs w:val="16"/>
        </w:rPr>
        <w:tab/>
      </w:r>
      <w:r>
        <w:rPr>
          <w:sz w:val="16"/>
          <w:szCs w:val="16"/>
        </w:rPr>
        <w:tab/>
      </w:r>
      <w:r>
        <w:rPr>
          <w:sz w:val="16"/>
          <w:szCs w:val="16"/>
        </w:rPr>
        <w:tab/>
        <w:t>Nevada Power</w:t>
      </w:r>
      <w:r>
        <w:rPr>
          <w:sz w:val="16"/>
          <w:szCs w:val="16"/>
        </w:rPr>
        <w:tab/>
      </w:r>
      <w:r>
        <w:rPr>
          <w:sz w:val="16"/>
          <w:szCs w:val="16"/>
        </w:rPr>
        <w:tab/>
      </w:r>
      <w:r>
        <w:rPr>
          <w:sz w:val="16"/>
          <w:szCs w:val="16"/>
        </w:rPr>
        <w:tab/>
      </w:r>
      <w:r>
        <w:rPr>
          <w:sz w:val="16"/>
          <w:szCs w:val="16"/>
        </w:rPr>
        <w:tab/>
        <w:t>Nevada</w:t>
      </w:r>
      <w:r>
        <w:rPr>
          <w:sz w:val="16"/>
          <w:szCs w:val="16"/>
        </w:rPr>
        <w:tab/>
      </w:r>
      <w:r>
        <w:rPr>
          <w:sz w:val="16"/>
          <w:szCs w:val="16"/>
        </w:rPr>
        <w:tab/>
        <w:t>U. S. Department of Energy</w:t>
      </w:r>
      <w:r>
        <w:rPr>
          <w:sz w:val="16"/>
          <w:szCs w:val="16"/>
        </w:rPr>
        <w:tab/>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2011</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 xml:space="preserve">368.  </w:t>
      </w:r>
      <w:r>
        <w:rPr>
          <w:sz w:val="16"/>
          <w:szCs w:val="16"/>
        </w:rPr>
        <w:tab/>
        <w:t>9271</w:t>
      </w:r>
      <w:r>
        <w:rPr>
          <w:sz w:val="16"/>
          <w:szCs w:val="16"/>
        </w:rPr>
        <w:tab/>
      </w:r>
      <w:r>
        <w:rPr>
          <w:sz w:val="16"/>
          <w:szCs w:val="16"/>
        </w:rPr>
        <w:tab/>
      </w:r>
      <w:r>
        <w:rPr>
          <w:sz w:val="16"/>
          <w:szCs w:val="16"/>
        </w:rPr>
        <w:tab/>
        <w:t>Exelon/Constellation</w:t>
      </w:r>
      <w:r>
        <w:rPr>
          <w:sz w:val="16"/>
          <w:szCs w:val="16"/>
        </w:rPr>
        <w:tab/>
      </w:r>
      <w:r>
        <w:rPr>
          <w:sz w:val="16"/>
          <w:szCs w:val="16"/>
        </w:rPr>
        <w:tab/>
      </w:r>
      <w:r>
        <w:rPr>
          <w:sz w:val="16"/>
          <w:szCs w:val="16"/>
        </w:rPr>
        <w:tab/>
        <w:t>Maryland</w:t>
      </w:r>
      <w:r>
        <w:rPr>
          <w:sz w:val="16"/>
          <w:szCs w:val="16"/>
        </w:rPr>
        <w:tab/>
      </w:r>
      <w:r>
        <w:rPr>
          <w:sz w:val="16"/>
          <w:szCs w:val="16"/>
        </w:rPr>
        <w:tab/>
        <w:t>MD Energy Administration</w:t>
      </w:r>
      <w:r>
        <w:rPr>
          <w:sz w:val="16"/>
          <w:szCs w:val="16"/>
        </w:rPr>
        <w:tab/>
      </w:r>
      <w:r>
        <w:rPr>
          <w:sz w:val="16"/>
          <w:szCs w:val="16"/>
        </w:rPr>
        <w:tab/>
        <w:t>Merger Savings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2011</w:t>
      </w:r>
      <w:r>
        <w:rPr>
          <w:sz w:val="16"/>
          <w:szCs w:val="16"/>
        </w:rPr>
        <w:tab/>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369.</w:t>
      </w:r>
      <w:r>
        <w:rPr>
          <w:sz w:val="16"/>
          <w:szCs w:val="16"/>
        </w:rPr>
        <w:tab/>
        <w:t>4255</w:t>
      </w:r>
      <w:r>
        <w:rPr>
          <w:sz w:val="16"/>
          <w:szCs w:val="16"/>
        </w:rPr>
        <w:tab/>
      </w:r>
      <w:r>
        <w:rPr>
          <w:sz w:val="16"/>
          <w:szCs w:val="16"/>
        </w:rPr>
        <w:tab/>
      </w:r>
      <w:r>
        <w:rPr>
          <w:sz w:val="16"/>
          <w:szCs w:val="16"/>
        </w:rPr>
        <w:tab/>
        <w:t>United Water Rhode Island</w:t>
      </w:r>
      <w:r>
        <w:rPr>
          <w:sz w:val="16"/>
          <w:szCs w:val="16"/>
        </w:rPr>
        <w:tab/>
      </w:r>
      <w:r>
        <w:rPr>
          <w:sz w:val="16"/>
          <w:szCs w:val="16"/>
        </w:rPr>
        <w:tab/>
        <w:t>Rhode Island</w:t>
      </w:r>
      <w:r>
        <w:rPr>
          <w:sz w:val="16"/>
          <w:szCs w:val="16"/>
        </w:rPr>
        <w:tab/>
      </w:r>
      <w:r>
        <w:rPr>
          <w:sz w:val="16"/>
          <w:szCs w:val="16"/>
        </w:rPr>
        <w:tab/>
        <w:t>Division of Public Utilities</w:t>
      </w:r>
      <w:r>
        <w:rPr>
          <w:sz w:val="16"/>
          <w:szCs w:val="16"/>
        </w:rPr>
        <w:tab/>
      </w:r>
      <w:r>
        <w:rPr>
          <w:sz w:val="16"/>
          <w:szCs w:val="16"/>
        </w:rPr>
        <w:tab/>
        <w:t>Rate of Return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2011</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370.</w:t>
      </w:r>
      <w:r>
        <w:rPr>
          <w:sz w:val="16"/>
          <w:szCs w:val="16"/>
        </w:rPr>
        <w:tab/>
        <w:t>P-2011-2252042</w:t>
      </w:r>
      <w:r>
        <w:rPr>
          <w:sz w:val="16"/>
          <w:szCs w:val="16"/>
        </w:rPr>
        <w:tab/>
      </w:r>
      <w:r>
        <w:rPr>
          <w:sz w:val="16"/>
          <w:szCs w:val="16"/>
        </w:rPr>
        <w:tab/>
        <w:t>Pike County</w:t>
      </w:r>
      <w:r>
        <w:rPr>
          <w:sz w:val="16"/>
          <w:szCs w:val="16"/>
        </w:rPr>
        <w:tab/>
      </w:r>
      <w:r>
        <w:rPr>
          <w:sz w:val="16"/>
          <w:szCs w:val="16"/>
        </w:rPr>
        <w:tab/>
      </w:r>
      <w:r>
        <w:rPr>
          <w:sz w:val="16"/>
          <w:szCs w:val="16"/>
        </w:rPr>
        <w:tab/>
      </w:r>
      <w:r>
        <w:rPr>
          <w:sz w:val="16"/>
          <w:szCs w:val="16"/>
        </w:rPr>
        <w:tab/>
        <w:t>Pennsylvania</w:t>
      </w:r>
      <w:r>
        <w:rPr>
          <w:sz w:val="16"/>
          <w:szCs w:val="16"/>
        </w:rPr>
        <w:tab/>
      </w:r>
      <w:r>
        <w:rPr>
          <w:sz w:val="16"/>
          <w:szCs w:val="16"/>
        </w:rPr>
        <w:tab/>
        <w:t>Consumer Advocate</w:t>
      </w:r>
      <w:r>
        <w:rPr>
          <w:sz w:val="16"/>
          <w:szCs w:val="16"/>
        </w:rPr>
        <w:tab/>
      </w:r>
      <w:r>
        <w:rPr>
          <w:sz w:val="16"/>
          <w:szCs w:val="16"/>
        </w:rPr>
        <w:tab/>
        <w:t>Default service plan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2011</w:t>
      </w:r>
      <w:r>
        <w:rPr>
          <w:sz w:val="16"/>
          <w:szCs w:val="16"/>
        </w:rPr>
        <w:tab/>
      </w:r>
      <w:r>
        <w:rPr>
          <w:sz w:val="16"/>
          <w:szCs w:val="16"/>
        </w:rPr>
        <w:tab/>
        <w:t>Light &amp; Power</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371.</w:t>
      </w:r>
      <w:r>
        <w:rPr>
          <w:sz w:val="16"/>
          <w:szCs w:val="16"/>
        </w:rPr>
        <w:tab/>
        <w:t>U-32095</w:t>
      </w:r>
      <w:r>
        <w:rPr>
          <w:sz w:val="16"/>
          <w:szCs w:val="16"/>
        </w:rPr>
        <w:tab/>
      </w:r>
      <w:r>
        <w:rPr>
          <w:sz w:val="16"/>
          <w:szCs w:val="16"/>
        </w:rPr>
        <w:tab/>
      </w:r>
      <w:r>
        <w:rPr>
          <w:sz w:val="16"/>
          <w:szCs w:val="16"/>
        </w:rPr>
        <w:tab/>
        <w:t>Southwestern Electric</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Wind energy contract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2011</w:t>
      </w:r>
      <w:r>
        <w:rPr>
          <w:sz w:val="16"/>
          <w:szCs w:val="16"/>
        </w:rPr>
        <w:tab/>
      </w:r>
      <w:r>
        <w:rPr>
          <w:sz w:val="16"/>
          <w:szCs w:val="16"/>
        </w:rPr>
        <w:tab/>
        <w:t>Power Company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372.</w:t>
      </w:r>
      <w:r>
        <w:rPr>
          <w:sz w:val="16"/>
          <w:szCs w:val="16"/>
        </w:rPr>
        <w:tab/>
        <w:t>U-32031</w:t>
      </w:r>
      <w:r>
        <w:rPr>
          <w:sz w:val="16"/>
          <w:szCs w:val="16"/>
        </w:rPr>
        <w:tab/>
      </w:r>
      <w:r>
        <w:rPr>
          <w:sz w:val="16"/>
          <w:szCs w:val="16"/>
        </w:rPr>
        <w:tab/>
      </w:r>
      <w:r>
        <w:rPr>
          <w:sz w:val="16"/>
          <w:szCs w:val="16"/>
        </w:rPr>
        <w:tab/>
        <w:t>Entergy Gulf States</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Purchased Power Contract</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2011</w:t>
      </w:r>
      <w:r>
        <w:rPr>
          <w:sz w:val="16"/>
          <w:szCs w:val="16"/>
        </w:rPr>
        <w:tab/>
      </w:r>
      <w:r>
        <w:rPr>
          <w:sz w:val="16"/>
          <w:szCs w:val="16"/>
        </w:rPr>
        <w:tab/>
        <w:t>Louisiana</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373.</w:t>
      </w:r>
      <w:r>
        <w:rPr>
          <w:sz w:val="16"/>
          <w:szCs w:val="16"/>
        </w:rPr>
        <w:tab/>
        <w:t>U-32088</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Coal plant evaluation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January 2012</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374.</w:t>
      </w:r>
      <w:r>
        <w:rPr>
          <w:sz w:val="16"/>
          <w:szCs w:val="16"/>
        </w:rPr>
        <w:tab/>
        <w:t>R-2011-2267958</w:t>
      </w:r>
      <w:r>
        <w:rPr>
          <w:sz w:val="16"/>
          <w:szCs w:val="16"/>
        </w:rPr>
        <w:tab/>
      </w:r>
      <w:r>
        <w:rPr>
          <w:sz w:val="16"/>
          <w:szCs w:val="16"/>
        </w:rPr>
        <w:tab/>
        <w:t>Aqua Pa.</w:t>
      </w:r>
      <w:r>
        <w:rPr>
          <w:sz w:val="16"/>
          <w:szCs w:val="16"/>
        </w:rPr>
        <w:tab/>
      </w:r>
      <w:r>
        <w:rPr>
          <w:sz w:val="16"/>
          <w:szCs w:val="16"/>
        </w:rPr>
        <w:tab/>
      </w:r>
      <w:r>
        <w:rPr>
          <w:sz w:val="16"/>
          <w:szCs w:val="16"/>
        </w:rPr>
        <w:tab/>
      </w:r>
      <w:r>
        <w:rPr>
          <w:sz w:val="16"/>
          <w:szCs w:val="16"/>
        </w:rPr>
        <w:tab/>
        <w:t>Pennsylvania</w:t>
      </w:r>
      <w:r>
        <w:rPr>
          <w:sz w:val="16"/>
          <w:szCs w:val="16"/>
        </w:rPr>
        <w:tab/>
      </w:r>
      <w:r>
        <w:rPr>
          <w:sz w:val="16"/>
          <w:szCs w:val="16"/>
        </w:rPr>
        <w:tab/>
        <w:t>Office of Consumer Advocate</w:t>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2012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375.</w:t>
      </w:r>
      <w:r>
        <w:rPr>
          <w:sz w:val="16"/>
          <w:szCs w:val="16"/>
        </w:rPr>
        <w:tab/>
        <w:t>P-2011-2273650</w:t>
      </w:r>
      <w:r>
        <w:rPr>
          <w:sz w:val="16"/>
          <w:szCs w:val="16"/>
        </w:rPr>
        <w:tab/>
      </w:r>
      <w:r>
        <w:rPr>
          <w:sz w:val="16"/>
          <w:szCs w:val="16"/>
        </w:rPr>
        <w:tab/>
        <w:t>FirstEnergy Companies</w:t>
      </w:r>
      <w:r>
        <w:rPr>
          <w:sz w:val="16"/>
          <w:szCs w:val="16"/>
        </w:rPr>
        <w:tab/>
      </w:r>
      <w:r>
        <w:rPr>
          <w:sz w:val="16"/>
          <w:szCs w:val="16"/>
        </w:rPr>
        <w:tab/>
      </w:r>
      <w:r>
        <w:rPr>
          <w:sz w:val="16"/>
          <w:szCs w:val="16"/>
        </w:rPr>
        <w:tab/>
        <w:t>Pennsylvania</w:t>
      </w:r>
      <w:r>
        <w:rPr>
          <w:sz w:val="16"/>
          <w:szCs w:val="16"/>
        </w:rPr>
        <w:tab/>
      </w:r>
      <w:r>
        <w:rPr>
          <w:sz w:val="16"/>
          <w:szCs w:val="16"/>
        </w:rPr>
        <w:tab/>
        <w:t>Office of Consumer Advocate</w:t>
      </w:r>
      <w:r>
        <w:rPr>
          <w:sz w:val="16"/>
          <w:szCs w:val="16"/>
        </w:rPr>
        <w:tab/>
        <w:t>Default service plan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2012</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376.</w:t>
      </w:r>
      <w:r>
        <w:rPr>
          <w:sz w:val="16"/>
          <w:szCs w:val="16"/>
        </w:rPr>
        <w:tab/>
        <w:t>U-32223</w:t>
      </w:r>
      <w:r>
        <w:rPr>
          <w:sz w:val="16"/>
          <w:szCs w:val="16"/>
        </w:rPr>
        <w:tab/>
      </w:r>
      <w:r>
        <w:rPr>
          <w:sz w:val="16"/>
          <w:szCs w:val="16"/>
        </w:rPr>
        <w:tab/>
      </w:r>
      <w:r>
        <w:rPr>
          <w:sz w:val="16"/>
          <w:szCs w:val="16"/>
        </w:rPr>
        <w:tab/>
        <w:t>Cleco Power</w:t>
      </w:r>
      <w:r>
        <w:rPr>
          <w:sz w:val="16"/>
          <w:szCs w:val="16"/>
        </w:rPr>
        <w:tab/>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 xml:space="preserve">Purchase Power Contract and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2012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Rate Recovery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377.</w:t>
      </w:r>
      <w:r>
        <w:rPr>
          <w:sz w:val="16"/>
          <w:szCs w:val="16"/>
        </w:rPr>
        <w:tab/>
        <w:t>U-32148</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RTO Membership</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2012</w:t>
      </w:r>
      <w:r>
        <w:rPr>
          <w:sz w:val="16"/>
          <w:szCs w:val="16"/>
        </w:rPr>
        <w:tab/>
      </w:r>
      <w:r>
        <w:rPr>
          <w:sz w:val="16"/>
          <w:szCs w:val="16"/>
        </w:rPr>
        <w:tab/>
      </w:r>
      <w:r>
        <w:rPr>
          <w:sz w:val="16"/>
          <w:szCs w:val="16"/>
        </w:rPr>
        <w:tab/>
        <w:t>Energy Gulf States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378.</w:t>
      </w:r>
      <w:r>
        <w:rPr>
          <w:sz w:val="16"/>
          <w:szCs w:val="16"/>
        </w:rPr>
        <w:tab/>
        <w:t>ER11080469</w:t>
      </w:r>
      <w:r>
        <w:rPr>
          <w:sz w:val="16"/>
          <w:szCs w:val="16"/>
        </w:rPr>
        <w:tab/>
      </w:r>
      <w:r>
        <w:rPr>
          <w:sz w:val="16"/>
          <w:szCs w:val="16"/>
        </w:rPr>
        <w:tab/>
      </w:r>
      <w:r>
        <w:rPr>
          <w:sz w:val="16"/>
          <w:szCs w:val="16"/>
        </w:rPr>
        <w:tab/>
        <w:t>Atlantic City Electric</w:t>
      </w:r>
      <w:r>
        <w:rPr>
          <w:sz w:val="16"/>
          <w:szCs w:val="16"/>
        </w:rPr>
        <w:tab/>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April 2012</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379.</w:t>
      </w:r>
      <w:r>
        <w:rPr>
          <w:sz w:val="16"/>
          <w:szCs w:val="16"/>
        </w:rPr>
        <w:tab/>
        <w:t>R-2012-2285985</w:t>
      </w:r>
      <w:r>
        <w:rPr>
          <w:sz w:val="16"/>
          <w:szCs w:val="16"/>
        </w:rPr>
        <w:tab/>
      </w:r>
      <w:r>
        <w:rPr>
          <w:sz w:val="16"/>
          <w:szCs w:val="16"/>
        </w:rPr>
        <w:tab/>
        <w:t xml:space="preserve">Peoples Natural Gas </w:t>
      </w:r>
      <w:r>
        <w:rPr>
          <w:sz w:val="16"/>
          <w:szCs w:val="16"/>
        </w:rPr>
        <w:tab/>
      </w:r>
      <w:r>
        <w:rPr>
          <w:sz w:val="16"/>
          <w:szCs w:val="16"/>
        </w:rPr>
        <w:tab/>
      </w:r>
      <w:r>
        <w:rPr>
          <w:sz w:val="16"/>
          <w:szCs w:val="16"/>
        </w:rPr>
        <w:tab/>
        <w:t>Pennsylvania</w:t>
      </w:r>
      <w:r>
        <w:rPr>
          <w:sz w:val="16"/>
          <w:szCs w:val="16"/>
        </w:rPr>
        <w:tab/>
      </w:r>
      <w:r>
        <w:rPr>
          <w:sz w:val="16"/>
          <w:szCs w:val="16"/>
        </w:rPr>
        <w:tab/>
        <w:t>Office of Consumer Advocate</w:t>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May 2012</w:t>
      </w:r>
      <w:r>
        <w:rPr>
          <w:sz w:val="16"/>
          <w:szCs w:val="16"/>
        </w:rPr>
        <w:tab/>
      </w:r>
      <w:r>
        <w:rPr>
          <w:sz w:val="16"/>
          <w:szCs w:val="16"/>
        </w:rPr>
        <w:tab/>
      </w:r>
      <w:r>
        <w:rPr>
          <w:sz w:val="16"/>
          <w:szCs w:val="16"/>
        </w:rPr>
        <w:tab/>
        <w:t>Company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380.</w:t>
      </w:r>
      <w:r>
        <w:rPr>
          <w:sz w:val="16"/>
          <w:szCs w:val="16"/>
        </w:rPr>
        <w:tab/>
        <w:t>U-32153</w:t>
      </w:r>
      <w:r>
        <w:rPr>
          <w:sz w:val="16"/>
          <w:szCs w:val="16"/>
        </w:rPr>
        <w:tab/>
      </w:r>
      <w:r>
        <w:rPr>
          <w:sz w:val="16"/>
          <w:szCs w:val="16"/>
        </w:rPr>
        <w:tab/>
      </w:r>
      <w:r>
        <w:rPr>
          <w:sz w:val="16"/>
          <w:szCs w:val="16"/>
        </w:rPr>
        <w:tab/>
        <w:t>Cleco Power</w:t>
      </w:r>
      <w:r>
        <w:rPr>
          <w:sz w:val="16"/>
          <w:szCs w:val="16"/>
        </w:rPr>
        <w:tab/>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 xml:space="preserve">Environmental Compliance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2012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Plan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381.</w:t>
      </w:r>
      <w:r>
        <w:rPr>
          <w:sz w:val="16"/>
          <w:szCs w:val="16"/>
        </w:rPr>
        <w:tab/>
        <w:t>U-32435</w:t>
      </w:r>
      <w:r>
        <w:rPr>
          <w:sz w:val="16"/>
          <w:szCs w:val="16"/>
        </w:rPr>
        <w:tab/>
      </w:r>
      <w:r>
        <w:rPr>
          <w:sz w:val="16"/>
          <w:szCs w:val="16"/>
        </w:rPr>
        <w:tab/>
      </w:r>
      <w:r>
        <w:rPr>
          <w:sz w:val="16"/>
          <w:szCs w:val="16"/>
        </w:rPr>
        <w:tab/>
        <w:t>Entergy Gulf States</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Cost of equity (gas)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August 2012</w:t>
      </w:r>
      <w:r>
        <w:rPr>
          <w:sz w:val="16"/>
          <w:szCs w:val="16"/>
        </w:rPr>
        <w:tab/>
      </w:r>
      <w:r>
        <w:rPr>
          <w:sz w:val="16"/>
          <w:szCs w:val="16"/>
        </w:rPr>
        <w:tab/>
      </w:r>
      <w:r>
        <w:rPr>
          <w:sz w:val="16"/>
          <w:szCs w:val="16"/>
        </w:rPr>
        <w:tab/>
        <w:t>Louisiana LLC</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382.</w:t>
      </w:r>
      <w:r>
        <w:rPr>
          <w:sz w:val="16"/>
          <w:szCs w:val="16"/>
        </w:rPr>
        <w:tab/>
        <w:t>ER-2012-0174</w:t>
      </w:r>
      <w:r>
        <w:rPr>
          <w:sz w:val="16"/>
          <w:szCs w:val="16"/>
        </w:rPr>
        <w:tab/>
      </w:r>
      <w:r>
        <w:rPr>
          <w:sz w:val="16"/>
          <w:szCs w:val="16"/>
        </w:rPr>
        <w:tab/>
        <w:t>Kansas City Power</w:t>
      </w:r>
      <w:r>
        <w:rPr>
          <w:sz w:val="16"/>
          <w:szCs w:val="16"/>
        </w:rPr>
        <w:tab/>
      </w:r>
      <w:r>
        <w:rPr>
          <w:sz w:val="16"/>
          <w:szCs w:val="16"/>
        </w:rPr>
        <w:tab/>
      </w:r>
      <w:r>
        <w:rPr>
          <w:sz w:val="16"/>
          <w:szCs w:val="16"/>
        </w:rPr>
        <w:tab/>
        <w:t>Missouri</w:t>
      </w:r>
      <w:r>
        <w:rPr>
          <w:sz w:val="16"/>
          <w:szCs w:val="16"/>
        </w:rPr>
        <w:tab/>
      </w:r>
      <w:r>
        <w:rPr>
          <w:sz w:val="16"/>
          <w:szCs w:val="16"/>
        </w:rPr>
        <w:tab/>
        <w:t>U. S. Department of Energy</w:t>
      </w:r>
      <w:r>
        <w:rPr>
          <w:sz w:val="16"/>
          <w:szCs w:val="16"/>
        </w:rPr>
        <w:tab/>
      </w:r>
      <w:r>
        <w:rPr>
          <w:sz w:val="16"/>
          <w:szCs w:val="16"/>
        </w:rPr>
        <w:tab/>
        <w:t>Rate of return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August 2012</w:t>
      </w:r>
      <w:r>
        <w:rPr>
          <w:sz w:val="16"/>
          <w:szCs w:val="16"/>
        </w:rPr>
        <w:tab/>
      </w:r>
      <w:r>
        <w:rPr>
          <w:sz w:val="16"/>
          <w:szCs w:val="16"/>
        </w:rPr>
        <w:tab/>
      </w:r>
      <w:r>
        <w:rPr>
          <w:sz w:val="16"/>
          <w:szCs w:val="16"/>
        </w:rPr>
        <w:tab/>
        <w:t>&amp; Light Company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383.</w:t>
      </w:r>
      <w:r>
        <w:rPr>
          <w:sz w:val="16"/>
          <w:szCs w:val="16"/>
        </w:rPr>
        <w:tab/>
        <w:t>U-31196</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 xml:space="preserve">Power Plant Joint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August 2012</w:t>
      </w:r>
      <w:r>
        <w:rPr>
          <w:sz w:val="16"/>
          <w:szCs w:val="16"/>
        </w:rPr>
        <w:tab/>
      </w:r>
      <w:r>
        <w:rPr>
          <w:sz w:val="16"/>
          <w:szCs w:val="16"/>
        </w:rPr>
        <w:tab/>
      </w:r>
      <w:r>
        <w:rPr>
          <w:sz w:val="16"/>
          <w:szCs w:val="16"/>
        </w:rPr>
        <w:tab/>
        <w:t>Entergy Gulf States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Ownership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384.</w:t>
      </w:r>
      <w:r>
        <w:rPr>
          <w:sz w:val="16"/>
          <w:szCs w:val="16"/>
        </w:rPr>
        <w:tab/>
        <w:t>ER-2012-0175</w:t>
      </w:r>
      <w:r>
        <w:rPr>
          <w:sz w:val="16"/>
          <w:szCs w:val="16"/>
        </w:rPr>
        <w:tab/>
      </w:r>
      <w:r>
        <w:rPr>
          <w:sz w:val="16"/>
          <w:szCs w:val="16"/>
        </w:rPr>
        <w:tab/>
        <w:t>KCP&amp;L Greater</w:t>
      </w:r>
      <w:r>
        <w:rPr>
          <w:sz w:val="16"/>
          <w:szCs w:val="16"/>
        </w:rPr>
        <w:tab/>
      </w:r>
      <w:r>
        <w:rPr>
          <w:sz w:val="16"/>
          <w:szCs w:val="16"/>
        </w:rPr>
        <w:tab/>
      </w:r>
      <w:r>
        <w:rPr>
          <w:sz w:val="16"/>
          <w:szCs w:val="16"/>
        </w:rPr>
        <w:tab/>
        <w:t>Missouri</w:t>
      </w:r>
      <w:r>
        <w:rPr>
          <w:sz w:val="16"/>
          <w:szCs w:val="16"/>
        </w:rPr>
        <w:tab/>
      </w:r>
      <w:r>
        <w:rPr>
          <w:sz w:val="16"/>
          <w:szCs w:val="16"/>
        </w:rPr>
        <w:tab/>
        <w:t>U.S. Department of Energy</w:t>
      </w:r>
      <w:r>
        <w:rPr>
          <w:sz w:val="16"/>
          <w:szCs w:val="16"/>
        </w:rPr>
        <w:tab/>
      </w:r>
      <w:r>
        <w:rPr>
          <w:sz w:val="16"/>
          <w:szCs w:val="16"/>
        </w:rPr>
        <w:tab/>
        <w:t>Rate of Return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August 2012</w:t>
      </w:r>
      <w:r>
        <w:rPr>
          <w:sz w:val="16"/>
          <w:szCs w:val="16"/>
        </w:rPr>
        <w:tab/>
      </w:r>
      <w:r>
        <w:rPr>
          <w:sz w:val="16"/>
          <w:szCs w:val="16"/>
        </w:rPr>
        <w:tab/>
      </w:r>
      <w:r>
        <w:rPr>
          <w:sz w:val="16"/>
          <w:szCs w:val="16"/>
        </w:rPr>
        <w:tab/>
        <w:t>Missouri Operations</w:t>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385.</w:t>
      </w:r>
      <w:r>
        <w:rPr>
          <w:sz w:val="16"/>
          <w:szCs w:val="16"/>
        </w:rPr>
        <w:tab/>
        <w:t>4323</w:t>
      </w:r>
      <w:r>
        <w:rPr>
          <w:sz w:val="16"/>
          <w:szCs w:val="16"/>
        </w:rPr>
        <w:tab/>
      </w:r>
      <w:r>
        <w:rPr>
          <w:sz w:val="16"/>
          <w:szCs w:val="16"/>
        </w:rPr>
        <w:tab/>
      </w:r>
      <w:r>
        <w:rPr>
          <w:sz w:val="16"/>
          <w:szCs w:val="16"/>
        </w:rPr>
        <w:tab/>
        <w:t>Narragansett Electric</w:t>
      </w:r>
      <w:r>
        <w:rPr>
          <w:sz w:val="16"/>
          <w:szCs w:val="16"/>
        </w:rPr>
        <w:tab/>
      </w:r>
      <w:r>
        <w:rPr>
          <w:sz w:val="16"/>
          <w:szCs w:val="16"/>
        </w:rPr>
        <w:tab/>
      </w:r>
      <w:r>
        <w:rPr>
          <w:sz w:val="16"/>
          <w:szCs w:val="16"/>
        </w:rPr>
        <w:tab/>
        <w:t>Rhode Island</w:t>
      </w:r>
      <w:r>
        <w:rPr>
          <w:sz w:val="16"/>
          <w:szCs w:val="16"/>
        </w:rPr>
        <w:tab/>
      </w:r>
      <w:r>
        <w:rPr>
          <w:sz w:val="16"/>
          <w:szCs w:val="16"/>
        </w:rPr>
        <w:tab/>
        <w:t>Division of Public Utilities</w:t>
      </w:r>
      <w:r>
        <w:rPr>
          <w:sz w:val="16"/>
          <w:szCs w:val="16"/>
        </w:rPr>
        <w:tab/>
      </w:r>
      <w:r>
        <w:rPr>
          <w:sz w:val="16"/>
          <w:szCs w:val="16"/>
        </w:rPr>
        <w:tab/>
        <w:t>Rate of Return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August 2012</w:t>
      </w:r>
      <w:r>
        <w:rPr>
          <w:sz w:val="16"/>
          <w:szCs w:val="16"/>
        </w:rPr>
        <w:tab/>
      </w:r>
      <w:r>
        <w:rPr>
          <w:sz w:val="16"/>
          <w:szCs w:val="16"/>
        </w:rPr>
        <w:tab/>
      </w:r>
      <w:r>
        <w:rPr>
          <w:sz w:val="16"/>
          <w:szCs w:val="16"/>
        </w:rPr>
        <w:tab/>
        <w:t>Company</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and Carriers</w:t>
      </w:r>
      <w:r>
        <w:rPr>
          <w:sz w:val="16"/>
          <w:szCs w:val="16"/>
        </w:rPr>
        <w:tab/>
      </w:r>
      <w:r>
        <w:rPr>
          <w:sz w:val="16"/>
          <w:szCs w:val="16"/>
        </w:rPr>
        <w:tab/>
      </w:r>
      <w:r>
        <w:rPr>
          <w:sz w:val="16"/>
          <w:szCs w:val="16"/>
        </w:rPr>
        <w:tab/>
        <w:t>(electric and gas)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386.</w:t>
      </w:r>
      <w:r>
        <w:rPr>
          <w:sz w:val="16"/>
          <w:szCs w:val="16"/>
        </w:rPr>
        <w:tab/>
        <w:t>D-12-049</w:t>
      </w:r>
      <w:r>
        <w:rPr>
          <w:sz w:val="16"/>
          <w:szCs w:val="16"/>
        </w:rPr>
        <w:tab/>
      </w:r>
      <w:r>
        <w:rPr>
          <w:sz w:val="16"/>
          <w:szCs w:val="16"/>
        </w:rPr>
        <w:tab/>
      </w:r>
      <w:r>
        <w:rPr>
          <w:sz w:val="16"/>
          <w:szCs w:val="16"/>
        </w:rPr>
        <w:tab/>
        <w:t>Narragansett Electric</w:t>
      </w:r>
      <w:r>
        <w:rPr>
          <w:sz w:val="16"/>
          <w:szCs w:val="16"/>
        </w:rPr>
        <w:tab/>
      </w:r>
      <w:r>
        <w:rPr>
          <w:sz w:val="16"/>
          <w:szCs w:val="16"/>
        </w:rPr>
        <w:tab/>
      </w:r>
      <w:r>
        <w:rPr>
          <w:sz w:val="16"/>
          <w:szCs w:val="16"/>
        </w:rPr>
        <w:tab/>
        <w:t>Rhode Island</w:t>
      </w:r>
      <w:r>
        <w:rPr>
          <w:sz w:val="16"/>
          <w:szCs w:val="16"/>
        </w:rPr>
        <w:tab/>
      </w:r>
      <w:r>
        <w:rPr>
          <w:sz w:val="16"/>
          <w:szCs w:val="16"/>
        </w:rPr>
        <w:tab/>
        <w:t>Division of Public Utilities</w:t>
      </w:r>
      <w:r>
        <w:rPr>
          <w:sz w:val="16"/>
          <w:szCs w:val="16"/>
        </w:rPr>
        <w:tab/>
      </w:r>
      <w:r>
        <w:rPr>
          <w:sz w:val="16"/>
          <w:szCs w:val="16"/>
        </w:rPr>
        <w:tab/>
        <w:t>Debt issue</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2012</w:t>
      </w:r>
      <w:r>
        <w:rPr>
          <w:sz w:val="16"/>
          <w:szCs w:val="16"/>
        </w:rPr>
        <w:tab/>
      </w:r>
      <w:r>
        <w:rPr>
          <w:sz w:val="16"/>
          <w:szCs w:val="16"/>
        </w:rPr>
        <w:tab/>
        <w:t>Company</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and Carriers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387.</w:t>
      </w:r>
      <w:r>
        <w:rPr>
          <w:sz w:val="16"/>
          <w:szCs w:val="16"/>
        </w:rPr>
        <w:tab/>
        <w:t>GO12070640</w:t>
      </w:r>
      <w:r>
        <w:rPr>
          <w:sz w:val="16"/>
          <w:szCs w:val="16"/>
        </w:rPr>
        <w:tab/>
      </w:r>
      <w:r>
        <w:rPr>
          <w:sz w:val="16"/>
          <w:szCs w:val="16"/>
        </w:rPr>
        <w:tab/>
        <w:t>New Jersey Natural</w:t>
      </w:r>
      <w:r>
        <w:rPr>
          <w:sz w:val="16"/>
          <w:szCs w:val="16"/>
        </w:rPr>
        <w:tab/>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2012</w:t>
      </w:r>
      <w:r>
        <w:rPr>
          <w:sz w:val="16"/>
          <w:szCs w:val="16"/>
        </w:rPr>
        <w:tab/>
      </w:r>
      <w:r>
        <w:rPr>
          <w:sz w:val="16"/>
          <w:szCs w:val="16"/>
        </w:rPr>
        <w:tab/>
        <w:t>Gas Company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388.</w:t>
      </w:r>
      <w:r>
        <w:rPr>
          <w:sz w:val="16"/>
          <w:szCs w:val="16"/>
        </w:rPr>
        <w:tab/>
        <w:t>GO12050363</w:t>
      </w:r>
      <w:r>
        <w:rPr>
          <w:sz w:val="16"/>
          <w:szCs w:val="16"/>
        </w:rPr>
        <w:tab/>
      </w:r>
      <w:r>
        <w:rPr>
          <w:sz w:val="16"/>
          <w:szCs w:val="16"/>
        </w:rPr>
        <w:tab/>
        <w:t>South Jersey</w:t>
      </w:r>
      <w:r>
        <w:rPr>
          <w:sz w:val="16"/>
          <w:szCs w:val="16"/>
        </w:rPr>
        <w:tab/>
      </w:r>
      <w:r>
        <w:rPr>
          <w:sz w:val="16"/>
          <w:szCs w:val="16"/>
        </w:rPr>
        <w:tab/>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2012</w:t>
      </w:r>
      <w:r>
        <w:rPr>
          <w:sz w:val="16"/>
          <w:szCs w:val="16"/>
        </w:rPr>
        <w:tab/>
      </w:r>
      <w:r>
        <w:rPr>
          <w:sz w:val="16"/>
          <w:szCs w:val="16"/>
        </w:rPr>
        <w:tab/>
        <w:t>Gas Company</w:t>
      </w:r>
      <w:r>
        <w:rPr>
          <w:sz w:val="16"/>
          <w:szCs w:val="16"/>
        </w:rPr>
        <w:tab/>
      </w:r>
      <w:r>
        <w:rPr>
          <w:sz w:val="16"/>
          <w:szCs w:val="16"/>
        </w:rPr>
        <w:tab/>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389.</w:t>
      </w:r>
      <w:r>
        <w:rPr>
          <w:sz w:val="16"/>
          <w:szCs w:val="16"/>
        </w:rPr>
        <w:tab/>
        <w:t>R-2012-2321748</w:t>
      </w:r>
      <w:r>
        <w:rPr>
          <w:sz w:val="16"/>
          <w:szCs w:val="16"/>
        </w:rPr>
        <w:tab/>
      </w:r>
      <w:r>
        <w:rPr>
          <w:sz w:val="16"/>
          <w:szCs w:val="16"/>
        </w:rPr>
        <w:tab/>
        <w:t>Columbia Gas</w:t>
      </w:r>
      <w:r>
        <w:rPr>
          <w:sz w:val="16"/>
          <w:szCs w:val="16"/>
        </w:rPr>
        <w:tab/>
      </w:r>
      <w:r>
        <w:rPr>
          <w:sz w:val="16"/>
          <w:szCs w:val="16"/>
        </w:rPr>
        <w:tab/>
      </w:r>
      <w:r>
        <w:rPr>
          <w:sz w:val="16"/>
          <w:szCs w:val="16"/>
        </w:rPr>
        <w:tab/>
      </w:r>
      <w:r>
        <w:rPr>
          <w:sz w:val="16"/>
          <w:szCs w:val="16"/>
        </w:rPr>
        <w:tab/>
        <w:t>Pennsylvania</w:t>
      </w:r>
      <w:r>
        <w:rPr>
          <w:sz w:val="16"/>
          <w:szCs w:val="16"/>
        </w:rPr>
        <w:tab/>
      </w:r>
      <w:r>
        <w:rPr>
          <w:sz w:val="16"/>
          <w:szCs w:val="16"/>
        </w:rPr>
        <w:tab/>
        <w:t>Office of Consumer Advocate</w:t>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January 2013</w:t>
      </w:r>
      <w:r>
        <w:rPr>
          <w:sz w:val="16"/>
          <w:szCs w:val="16"/>
        </w:rPr>
        <w:tab/>
      </w:r>
      <w:r>
        <w:rPr>
          <w:sz w:val="16"/>
          <w:szCs w:val="16"/>
        </w:rPr>
        <w:tab/>
        <w:t>of Pennsylvania</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390.</w:t>
      </w:r>
      <w:r>
        <w:rPr>
          <w:sz w:val="16"/>
          <w:szCs w:val="16"/>
        </w:rPr>
        <w:tab/>
        <w:t>U-32220</w:t>
      </w:r>
      <w:r>
        <w:rPr>
          <w:sz w:val="16"/>
          <w:szCs w:val="16"/>
        </w:rPr>
        <w:tab/>
      </w:r>
      <w:r>
        <w:rPr>
          <w:sz w:val="16"/>
          <w:szCs w:val="16"/>
        </w:rPr>
        <w:tab/>
      </w:r>
      <w:r>
        <w:rPr>
          <w:sz w:val="16"/>
          <w:szCs w:val="16"/>
        </w:rPr>
        <w:tab/>
        <w:t>Southwestern</w:t>
      </w:r>
      <w:r>
        <w:rPr>
          <w:sz w:val="16"/>
          <w:szCs w:val="16"/>
        </w:rPr>
        <w:tab/>
      </w:r>
      <w:r>
        <w:rPr>
          <w:sz w:val="16"/>
          <w:szCs w:val="16"/>
        </w:rPr>
        <w:tab/>
      </w:r>
      <w:r>
        <w:rPr>
          <w:sz w:val="16"/>
          <w:szCs w:val="16"/>
        </w:rPr>
        <w:tab/>
      </w:r>
      <w:r>
        <w:rPr>
          <w:sz w:val="16"/>
          <w:szCs w:val="16"/>
        </w:rPr>
        <w:tab/>
        <w:t>Louisiana</w:t>
      </w:r>
      <w:r>
        <w:rPr>
          <w:sz w:val="16"/>
          <w:szCs w:val="16"/>
        </w:rPr>
        <w:tab/>
      </w:r>
      <w:r>
        <w:rPr>
          <w:sz w:val="16"/>
          <w:szCs w:val="16"/>
        </w:rPr>
        <w:tab/>
        <w:t>Commission Staff</w:t>
      </w:r>
      <w:r>
        <w:rPr>
          <w:sz w:val="16"/>
          <w:szCs w:val="16"/>
        </w:rPr>
        <w:tab/>
      </w:r>
      <w:r>
        <w:rPr>
          <w:sz w:val="16"/>
          <w:szCs w:val="16"/>
        </w:rPr>
        <w:tab/>
      </w:r>
      <w:r>
        <w:rPr>
          <w:sz w:val="16"/>
          <w:szCs w:val="16"/>
        </w:rPr>
        <w:tab/>
        <w:t>Formula Rate Plan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2013</w:t>
      </w:r>
      <w:r>
        <w:rPr>
          <w:sz w:val="16"/>
          <w:szCs w:val="16"/>
        </w:rPr>
        <w:tab/>
      </w:r>
      <w:r>
        <w:rPr>
          <w:sz w:val="16"/>
          <w:szCs w:val="16"/>
        </w:rPr>
        <w:tab/>
        <w:t>Electric Power Co.</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391.</w:t>
      </w:r>
      <w:r>
        <w:rPr>
          <w:sz w:val="16"/>
          <w:szCs w:val="16"/>
        </w:rPr>
        <w:tab/>
        <w:t>CV No. 12-1286</w:t>
      </w:r>
      <w:r>
        <w:rPr>
          <w:sz w:val="16"/>
          <w:szCs w:val="16"/>
        </w:rPr>
        <w:tab/>
      </w:r>
      <w:r>
        <w:rPr>
          <w:sz w:val="16"/>
          <w:szCs w:val="16"/>
        </w:rPr>
        <w:tab/>
        <w:t xml:space="preserve">PPL </w:t>
      </w:r>
      <w:r w:rsidRPr="0031599B">
        <w:rPr>
          <w:sz w:val="16"/>
          <w:szCs w:val="16"/>
        </w:rPr>
        <w:t>et al</w:t>
      </w:r>
      <w:r>
        <w:rPr>
          <w:sz w:val="16"/>
          <w:szCs w:val="16"/>
        </w:rPr>
        <w:t>.</w:t>
      </w:r>
      <w:r>
        <w:rPr>
          <w:sz w:val="16"/>
          <w:szCs w:val="16"/>
        </w:rPr>
        <w:tab/>
      </w:r>
      <w:r>
        <w:rPr>
          <w:sz w:val="16"/>
          <w:szCs w:val="16"/>
        </w:rPr>
        <w:tab/>
      </w:r>
      <w:r>
        <w:rPr>
          <w:sz w:val="16"/>
          <w:szCs w:val="16"/>
        </w:rPr>
        <w:tab/>
      </w:r>
      <w:r>
        <w:rPr>
          <w:sz w:val="16"/>
          <w:szCs w:val="16"/>
        </w:rPr>
        <w:tab/>
        <w:t>Federal District</w:t>
      </w:r>
      <w:r>
        <w:rPr>
          <w:sz w:val="16"/>
          <w:szCs w:val="16"/>
        </w:rPr>
        <w:tab/>
      </w:r>
      <w:r>
        <w:rPr>
          <w:sz w:val="16"/>
          <w:szCs w:val="16"/>
        </w:rPr>
        <w:tab/>
        <w:t>MD Public Service</w:t>
      </w:r>
      <w:r>
        <w:rPr>
          <w:sz w:val="16"/>
          <w:szCs w:val="16"/>
        </w:rPr>
        <w:tab/>
      </w:r>
      <w:r>
        <w:rPr>
          <w:sz w:val="16"/>
          <w:szCs w:val="16"/>
        </w:rPr>
        <w:tab/>
        <w:t xml:space="preserve">PJM Market Impacts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2013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Court</w:t>
      </w:r>
      <w:r>
        <w:rPr>
          <w:sz w:val="16"/>
          <w:szCs w:val="16"/>
        </w:rPr>
        <w:tab/>
      </w:r>
      <w:r>
        <w:rPr>
          <w:sz w:val="16"/>
          <w:szCs w:val="16"/>
        </w:rPr>
        <w:tab/>
      </w:r>
      <w:r>
        <w:rPr>
          <w:sz w:val="16"/>
          <w:szCs w:val="16"/>
        </w:rPr>
        <w:tab/>
        <w:t>Commission</w:t>
      </w:r>
      <w:r>
        <w:rPr>
          <w:sz w:val="16"/>
          <w:szCs w:val="16"/>
        </w:rPr>
        <w:tab/>
      </w:r>
      <w:r>
        <w:rPr>
          <w:sz w:val="16"/>
          <w:szCs w:val="16"/>
        </w:rPr>
        <w:tab/>
      </w:r>
      <w:r>
        <w:rPr>
          <w:sz w:val="16"/>
          <w:szCs w:val="16"/>
        </w:rPr>
        <w:tab/>
        <w:t>(deposition)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392.</w:t>
      </w:r>
      <w:r>
        <w:rPr>
          <w:sz w:val="16"/>
          <w:szCs w:val="16"/>
        </w:rPr>
        <w:tab/>
        <w:t>EL13-48-000</w:t>
      </w:r>
      <w:r>
        <w:rPr>
          <w:sz w:val="16"/>
          <w:szCs w:val="16"/>
        </w:rPr>
        <w:tab/>
      </w:r>
      <w:r>
        <w:rPr>
          <w:sz w:val="16"/>
          <w:szCs w:val="16"/>
        </w:rPr>
        <w:tab/>
        <w:t>BGE, PHI</w:t>
      </w:r>
      <w:r>
        <w:rPr>
          <w:sz w:val="16"/>
          <w:szCs w:val="16"/>
        </w:rPr>
        <w:tab/>
      </w:r>
      <w:r>
        <w:rPr>
          <w:sz w:val="16"/>
          <w:szCs w:val="16"/>
        </w:rPr>
        <w:tab/>
      </w:r>
      <w:r>
        <w:rPr>
          <w:sz w:val="16"/>
          <w:szCs w:val="16"/>
        </w:rPr>
        <w:tab/>
      </w:r>
      <w:r>
        <w:rPr>
          <w:sz w:val="16"/>
          <w:szCs w:val="16"/>
        </w:rPr>
        <w:tab/>
        <w:t>FERC</w:t>
      </w:r>
      <w:r>
        <w:rPr>
          <w:sz w:val="16"/>
          <w:szCs w:val="16"/>
        </w:rPr>
        <w:tab/>
      </w:r>
      <w:r>
        <w:rPr>
          <w:sz w:val="16"/>
          <w:szCs w:val="16"/>
        </w:rPr>
        <w:tab/>
      </w:r>
      <w:r>
        <w:rPr>
          <w:sz w:val="16"/>
          <w:szCs w:val="16"/>
        </w:rPr>
        <w:tab/>
        <w:t>Joint Customer Group</w:t>
      </w:r>
      <w:r>
        <w:rPr>
          <w:sz w:val="16"/>
          <w:szCs w:val="16"/>
        </w:rPr>
        <w:tab/>
      </w:r>
      <w:r>
        <w:rPr>
          <w:sz w:val="16"/>
          <w:szCs w:val="16"/>
        </w:rPr>
        <w:tab/>
        <w:t xml:space="preserve">Transmission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2013</w:t>
      </w:r>
      <w:r>
        <w:rPr>
          <w:sz w:val="16"/>
          <w:szCs w:val="16"/>
        </w:rPr>
        <w:tab/>
      </w:r>
      <w:r>
        <w:rPr>
          <w:sz w:val="16"/>
          <w:szCs w:val="16"/>
        </w:rPr>
        <w:tab/>
        <w:t>subsidiaries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Cost of Equity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393.</w:t>
      </w:r>
      <w:r>
        <w:rPr>
          <w:sz w:val="16"/>
          <w:szCs w:val="16"/>
        </w:rPr>
        <w:tab/>
        <w:t>EO12080721</w:t>
      </w:r>
      <w:r>
        <w:rPr>
          <w:sz w:val="16"/>
          <w:szCs w:val="16"/>
        </w:rPr>
        <w:tab/>
      </w:r>
      <w:r>
        <w:rPr>
          <w:sz w:val="16"/>
          <w:szCs w:val="16"/>
        </w:rPr>
        <w:tab/>
      </w:r>
      <w:r>
        <w:rPr>
          <w:sz w:val="16"/>
          <w:szCs w:val="16"/>
        </w:rPr>
        <w:tab/>
        <w:t>Public Service</w:t>
      </w:r>
      <w:r>
        <w:rPr>
          <w:sz w:val="16"/>
          <w:szCs w:val="16"/>
        </w:rPr>
        <w:tab/>
      </w:r>
      <w:r>
        <w:rPr>
          <w:sz w:val="16"/>
          <w:szCs w:val="16"/>
        </w:rPr>
        <w:tab/>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Solar Tracker ROE</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2013</w:t>
      </w:r>
      <w:r>
        <w:rPr>
          <w:sz w:val="16"/>
          <w:szCs w:val="16"/>
        </w:rPr>
        <w:tab/>
      </w:r>
      <w:r>
        <w:rPr>
          <w:sz w:val="16"/>
          <w:szCs w:val="16"/>
        </w:rPr>
        <w:tab/>
      </w:r>
      <w:r>
        <w:rPr>
          <w:sz w:val="16"/>
          <w:szCs w:val="16"/>
        </w:rPr>
        <w:tab/>
        <w:t>Electric &amp; Gas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394.</w:t>
      </w:r>
      <w:r>
        <w:rPr>
          <w:sz w:val="16"/>
          <w:szCs w:val="16"/>
        </w:rPr>
        <w:tab/>
        <w:t>EO12080726</w:t>
      </w:r>
      <w:r>
        <w:rPr>
          <w:sz w:val="16"/>
          <w:szCs w:val="16"/>
        </w:rPr>
        <w:tab/>
      </w:r>
      <w:r>
        <w:rPr>
          <w:sz w:val="16"/>
          <w:szCs w:val="16"/>
        </w:rPr>
        <w:tab/>
      </w:r>
      <w:r>
        <w:rPr>
          <w:sz w:val="16"/>
          <w:szCs w:val="16"/>
        </w:rPr>
        <w:tab/>
        <w:t>Public Service</w:t>
      </w:r>
      <w:r>
        <w:rPr>
          <w:sz w:val="16"/>
          <w:szCs w:val="16"/>
        </w:rPr>
        <w:tab/>
      </w:r>
      <w:r>
        <w:rPr>
          <w:sz w:val="16"/>
          <w:szCs w:val="16"/>
        </w:rPr>
        <w:tab/>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Solar Tracker ROE</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2013</w:t>
      </w:r>
      <w:r>
        <w:rPr>
          <w:sz w:val="16"/>
          <w:szCs w:val="16"/>
        </w:rPr>
        <w:tab/>
      </w:r>
      <w:r>
        <w:rPr>
          <w:sz w:val="16"/>
          <w:szCs w:val="16"/>
        </w:rPr>
        <w:tab/>
      </w:r>
      <w:r>
        <w:rPr>
          <w:sz w:val="16"/>
          <w:szCs w:val="16"/>
        </w:rPr>
        <w:tab/>
        <w:t>Electric &amp; Gas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395.</w:t>
      </w:r>
      <w:r>
        <w:rPr>
          <w:sz w:val="16"/>
          <w:szCs w:val="16"/>
        </w:rPr>
        <w:tab/>
        <w:t>CV12-1286MJG</w:t>
      </w:r>
      <w:r>
        <w:rPr>
          <w:sz w:val="16"/>
          <w:szCs w:val="16"/>
        </w:rPr>
        <w:tab/>
      </w:r>
      <w:r>
        <w:rPr>
          <w:sz w:val="16"/>
          <w:szCs w:val="16"/>
        </w:rPr>
        <w:tab/>
        <w:t>PPL, PSEG</w:t>
      </w:r>
      <w:r>
        <w:rPr>
          <w:sz w:val="16"/>
          <w:szCs w:val="16"/>
        </w:rPr>
        <w:tab/>
      </w:r>
      <w:r>
        <w:rPr>
          <w:sz w:val="16"/>
          <w:szCs w:val="16"/>
        </w:rPr>
        <w:tab/>
      </w:r>
      <w:r>
        <w:rPr>
          <w:sz w:val="16"/>
          <w:szCs w:val="16"/>
        </w:rPr>
        <w:tab/>
      </w:r>
      <w:r>
        <w:rPr>
          <w:sz w:val="16"/>
          <w:szCs w:val="16"/>
        </w:rPr>
        <w:tab/>
        <w:t>U.S. District Court</w:t>
      </w:r>
      <w:r>
        <w:rPr>
          <w:sz w:val="16"/>
          <w:szCs w:val="16"/>
        </w:rPr>
        <w:tab/>
        <w:t>Md. Public Service Commission</w:t>
      </w:r>
      <w:r>
        <w:rPr>
          <w:sz w:val="16"/>
          <w:szCs w:val="16"/>
        </w:rPr>
        <w:tab/>
        <w:t>Capacity Market Issues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2013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for the District of Md.</w:t>
      </w:r>
      <w:r>
        <w:rPr>
          <w:sz w:val="16"/>
          <w:szCs w:val="16"/>
        </w:rPr>
        <w:tab/>
      </w:r>
      <w:r>
        <w:rPr>
          <w:sz w:val="16"/>
          <w:szCs w:val="16"/>
        </w:rPr>
        <w:tab/>
      </w:r>
      <w:r>
        <w:rPr>
          <w:sz w:val="16"/>
          <w:szCs w:val="16"/>
        </w:rPr>
        <w:tab/>
      </w:r>
      <w:r>
        <w:rPr>
          <w:sz w:val="16"/>
          <w:szCs w:val="16"/>
        </w:rPr>
        <w:tab/>
      </w:r>
      <w:r>
        <w:rPr>
          <w:sz w:val="16"/>
          <w:szCs w:val="16"/>
        </w:rPr>
        <w:tab/>
        <w:t>(trial testimony)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396.</w:t>
      </w:r>
      <w:r>
        <w:rPr>
          <w:sz w:val="16"/>
          <w:szCs w:val="16"/>
        </w:rPr>
        <w:tab/>
        <w:t>U-32628</w:t>
      </w:r>
      <w:r>
        <w:rPr>
          <w:sz w:val="16"/>
          <w:szCs w:val="16"/>
        </w:rPr>
        <w:tab/>
      </w:r>
      <w:r>
        <w:rPr>
          <w:sz w:val="16"/>
          <w:szCs w:val="16"/>
        </w:rPr>
        <w:tab/>
      </w:r>
      <w:r>
        <w:rPr>
          <w:sz w:val="16"/>
          <w:szCs w:val="16"/>
        </w:rPr>
        <w:tab/>
        <w:t>Entergy Louisiana and</w:t>
      </w:r>
      <w:r>
        <w:rPr>
          <w:sz w:val="16"/>
          <w:szCs w:val="16"/>
        </w:rPr>
        <w:tab/>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Avoided cost methodology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April 2013</w:t>
      </w:r>
      <w:r>
        <w:rPr>
          <w:sz w:val="16"/>
          <w:szCs w:val="16"/>
        </w:rPr>
        <w:tab/>
      </w:r>
      <w:r>
        <w:rPr>
          <w:sz w:val="16"/>
          <w:szCs w:val="16"/>
        </w:rPr>
        <w:tab/>
      </w:r>
      <w:r>
        <w:rPr>
          <w:sz w:val="16"/>
          <w:szCs w:val="16"/>
        </w:rPr>
        <w:tab/>
        <w:t>Gulf States Louisiana</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397.</w:t>
      </w:r>
      <w:r>
        <w:rPr>
          <w:sz w:val="16"/>
          <w:szCs w:val="16"/>
        </w:rPr>
        <w:tab/>
        <w:t>U-32675</w:t>
      </w:r>
      <w:r>
        <w:rPr>
          <w:sz w:val="16"/>
          <w:szCs w:val="16"/>
        </w:rPr>
        <w:tab/>
      </w:r>
      <w:r>
        <w:rPr>
          <w:sz w:val="16"/>
          <w:szCs w:val="16"/>
        </w:rPr>
        <w:tab/>
      </w:r>
      <w:r>
        <w:rPr>
          <w:sz w:val="16"/>
          <w:szCs w:val="16"/>
        </w:rPr>
        <w:tab/>
        <w:t xml:space="preserve">Entergy Louisiana and </w:t>
      </w:r>
      <w:r>
        <w:rPr>
          <w:sz w:val="16"/>
          <w:szCs w:val="16"/>
        </w:rPr>
        <w:tab/>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RTO Integration Issues</w:t>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2013</w:t>
      </w:r>
      <w:r>
        <w:rPr>
          <w:sz w:val="16"/>
          <w:szCs w:val="16"/>
        </w:rPr>
        <w:tab/>
      </w:r>
      <w:r>
        <w:rPr>
          <w:sz w:val="16"/>
          <w:szCs w:val="16"/>
        </w:rPr>
        <w:tab/>
      </w:r>
      <w:r>
        <w:rPr>
          <w:sz w:val="16"/>
          <w:szCs w:val="16"/>
        </w:rPr>
        <w:tab/>
        <w:t>Entergy Gulf States</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398.</w:t>
      </w:r>
      <w:r>
        <w:rPr>
          <w:sz w:val="16"/>
          <w:szCs w:val="16"/>
        </w:rPr>
        <w:tab/>
        <w:t>ER12111052</w:t>
      </w:r>
      <w:r>
        <w:rPr>
          <w:sz w:val="16"/>
          <w:szCs w:val="16"/>
        </w:rPr>
        <w:tab/>
      </w:r>
      <w:r>
        <w:rPr>
          <w:sz w:val="16"/>
          <w:szCs w:val="16"/>
        </w:rPr>
        <w:tab/>
      </w:r>
      <w:r>
        <w:rPr>
          <w:sz w:val="16"/>
          <w:szCs w:val="16"/>
        </w:rPr>
        <w:tab/>
        <w:t xml:space="preserve">Jersey Central Power </w:t>
      </w:r>
      <w:r>
        <w:rPr>
          <w:sz w:val="16"/>
          <w:szCs w:val="16"/>
        </w:rPr>
        <w:tab/>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2013</w:t>
      </w:r>
      <w:r>
        <w:rPr>
          <w:sz w:val="16"/>
          <w:szCs w:val="16"/>
        </w:rPr>
        <w:tab/>
      </w:r>
      <w:r>
        <w:rPr>
          <w:sz w:val="16"/>
          <w:szCs w:val="16"/>
        </w:rPr>
        <w:tab/>
      </w:r>
      <w:r>
        <w:rPr>
          <w:sz w:val="16"/>
          <w:szCs w:val="16"/>
        </w:rPr>
        <w:tab/>
        <w:t>&amp; Light Company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399.</w:t>
      </w:r>
      <w:r>
        <w:rPr>
          <w:sz w:val="16"/>
          <w:szCs w:val="16"/>
        </w:rPr>
        <w:tab/>
        <w:t>PUE-2013-00020</w:t>
      </w:r>
      <w:r>
        <w:rPr>
          <w:sz w:val="16"/>
          <w:szCs w:val="16"/>
        </w:rPr>
        <w:tab/>
      </w:r>
      <w:r>
        <w:rPr>
          <w:sz w:val="16"/>
          <w:szCs w:val="16"/>
        </w:rPr>
        <w:tab/>
        <w:t>Dominion Virginia</w:t>
      </w:r>
      <w:r>
        <w:rPr>
          <w:sz w:val="16"/>
          <w:szCs w:val="16"/>
        </w:rPr>
        <w:tab/>
      </w:r>
      <w:r>
        <w:rPr>
          <w:sz w:val="16"/>
          <w:szCs w:val="16"/>
        </w:rPr>
        <w:tab/>
      </w:r>
      <w:r>
        <w:rPr>
          <w:sz w:val="16"/>
          <w:szCs w:val="16"/>
        </w:rPr>
        <w:tab/>
        <w:t>Virginia</w:t>
      </w:r>
      <w:r>
        <w:rPr>
          <w:sz w:val="16"/>
          <w:szCs w:val="16"/>
        </w:rPr>
        <w:tab/>
      </w:r>
      <w:r>
        <w:rPr>
          <w:sz w:val="16"/>
          <w:szCs w:val="16"/>
        </w:rPr>
        <w:tab/>
        <w:t>Apartment &amp; Office Building</w:t>
      </w:r>
      <w:r>
        <w:rPr>
          <w:sz w:val="16"/>
          <w:szCs w:val="16"/>
        </w:rPr>
        <w:tab/>
        <w:t xml:space="preserve"> Cost of capital</w:t>
      </w:r>
      <w:r>
        <w:rPr>
          <w:sz w:val="16"/>
          <w:szCs w:val="16"/>
        </w:rPr>
        <w:tab/>
      </w:r>
      <w:r>
        <w:rPr>
          <w:sz w:val="16"/>
          <w:szCs w:val="16"/>
        </w:rPr>
        <w:tab/>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2013</w:t>
      </w:r>
      <w:r>
        <w:rPr>
          <w:sz w:val="16"/>
          <w:szCs w:val="16"/>
        </w:rPr>
        <w:tab/>
      </w:r>
      <w:r>
        <w:rPr>
          <w:sz w:val="16"/>
          <w:szCs w:val="16"/>
        </w:rPr>
        <w:tab/>
      </w:r>
      <w:r>
        <w:rPr>
          <w:sz w:val="16"/>
          <w:szCs w:val="16"/>
        </w:rPr>
        <w:tab/>
        <w:t>Power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Assoc. of Met. Washington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400.</w:t>
      </w:r>
      <w:r>
        <w:rPr>
          <w:sz w:val="16"/>
          <w:szCs w:val="16"/>
        </w:rPr>
        <w:tab/>
        <w:t>U-32766</w:t>
      </w:r>
      <w:r>
        <w:rPr>
          <w:sz w:val="16"/>
          <w:szCs w:val="16"/>
        </w:rPr>
        <w:tab/>
      </w:r>
      <w:r>
        <w:rPr>
          <w:sz w:val="16"/>
          <w:szCs w:val="16"/>
        </w:rPr>
        <w:tab/>
      </w:r>
      <w:r>
        <w:rPr>
          <w:sz w:val="16"/>
          <w:szCs w:val="16"/>
        </w:rPr>
        <w:tab/>
        <w:t>Cleco Power</w:t>
      </w:r>
      <w:r>
        <w:rPr>
          <w:sz w:val="16"/>
          <w:szCs w:val="16"/>
        </w:rPr>
        <w:tab/>
      </w:r>
      <w:r>
        <w:rPr>
          <w:sz w:val="16"/>
          <w:szCs w:val="16"/>
        </w:rPr>
        <w:tab/>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Power plant acquisition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August 2013</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401.</w:t>
      </w:r>
      <w:r>
        <w:rPr>
          <w:sz w:val="16"/>
          <w:szCs w:val="16"/>
        </w:rPr>
        <w:tab/>
        <w:t>U-32764</w:t>
      </w:r>
      <w:r>
        <w:rPr>
          <w:sz w:val="16"/>
          <w:szCs w:val="16"/>
        </w:rPr>
        <w:tab/>
      </w:r>
      <w:r>
        <w:rPr>
          <w:sz w:val="16"/>
          <w:szCs w:val="16"/>
        </w:rPr>
        <w:tab/>
      </w:r>
      <w:r>
        <w:rPr>
          <w:sz w:val="16"/>
          <w:szCs w:val="16"/>
        </w:rPr>
        <w:tab/>
        <w:t>Entergy Louisiana</w:t>
      </w:r>
      <w:r>
        <w:rPr>
          <w:sz w:val="16"/>
          <w:szCs w:val="16"/>
        </w:rPr>
        <w:tab/>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Storm Damage</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2013</w:t>
      </w:r>
      <w:r>
        <w:rPr>
          <w:sz w:val="16"/>
          <w:szCs w:val="16"/>
        </w:rPr>
        <w:tab/>
      </w:r>
      <w:r>
        <w:rPr>
          <w:sz w:val="16"/>
          <w:szCs w:val="16"/>
        </w:rPr>
        <w:tab/>
        <w:t>and Entergy Gulf States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Cost Allocation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402.</w:t>
      </w:r>
      <w:r>
        <w:rPr>
          <w:sz w:val="16"/>
          <w:szCs w:val="16"/>
        </w:rPr>
        <w:tab/>
        <w:t>P-2013-237-1666</w:t>
      </w:r>
      <w:r>
        <w:rPr>
          <w:sz w:val="16"/>
          <w:szCs w:val="16"/>
        </w:rPr>
        <w:tab/>
      </w:r>
      <w:r>
        <w:rPr>
          <w:sz w:val="16"/>
          <w:szCs w:val="16"/>
        </w:rPr>
        <w:tab/>
        <w:t>Pike County Light</w:t>
      </w:r>
      <w:r>
        <w:rPr>
          <w:sz w:val="16"/>
          <w:szCs w:val="16"/>
        </w:rPr>
        <w:tab/>
      </w:r>
      <w:r>
        <w:rPr>
          <w:sz w:val="16"/>
          <w:szCs w:val="16"/>
        </w:rPr>
        <w:tab/>
      </w:r>
      <w:r>
        <w:rPr>
          <w:sz w:val="16"/>
          <w:szCs w:val="16"/>
        </w:rPr>
        <w:tab/>
        <w:t>Pennsylvania</w:t>
      </w:r>
      <w:r>
        <w:rPr>
          <w:sz w:val="16"/>
          <w:szCs w:val="16"/>
        </w:rPr>
        <w:tab/>
      </w:r>
      <w:r>
        <w:rPr>
          <w:sz w:val="16"/>
          <w:szCs w:val="16"/>
        </w:rPr>
        <w:tab/>
        <w:t>Office of Consumer</w:t>
      </w:r>
      <w:r>
        <w:rPr>
          <w:sz w:val="16"/>
          <w:szCs w:val="16"/>
        </w:rPr>
        <w:tab/>
      </w:r>
      <w:r>
        <w:rPr>
          <w:sz w:val="16"/>
          <w:szCs w:val="16"/>
        </w:rPr>
        <w:tab/>
        <w:t>Default Generation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2013</w:t>
      </w:r>
      <w:r>
        <w:rPr>
          <w:sz w:val="16"/>
          <w:szCs w:val="16"/>
        </w:rPr>
        <w:tab/>
      </w:r>
      <w:r>
        <w:rPr>
          <w:sz w:val="16"/>
          <w:szCs w:val="16"/>
        </w:rPr>
        <w:tab/>
        <w:t>and Power Co.</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Advocate</w:t>
      </w:r>
      <w:r>
        <w:rPr>
          <w:sz w:val="16"/>
          <w:szCs w:val="16"/>
        </w:rPr>
        <w:tab/>
      </w:r>
      <w:r>
        <w:rPr>
          <w:sz w:val="16"/>
          <w:szCs w:val="16"/>
        </w:rPr>
        <w:tab/>
      </w:r>
      <w:r>
        <w:rPr>
          <w:sz w:val="16"/>
          <w:szCs w:val="16"/>
        </w:rPr>
        <w:tab/>
        <w:t>Service</w:t>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403.</w:t>
      </w:r>
      <w:r>
        <w:rPr>
          <w:sz w:val="16"/>
          <w:szCs w:val="16"/>
        </w:rPr>
        <w:tab/>
        <w:t>E013020155 and</w:t>
      </w:r>
      <w:r>
        <w:rPr>
          <w:sz w:val="16"/>
          <w:szCs w:val="16"/>
        </w:rPr>
        <w:tab/>
      </w:r>
      <w:r>
        <w:rPr>
          <w:sz w:val="16"/>
          <w:szCs w:val="16"/>
        </w:rPr>
        <w:tab/>
        <w:t>Public Service Electric</w:t>
      </w:r>
      <w:r>
        <w:rPr>
          <w:sz w:val="16"/>
          <w:szCs w:val="16"/>
        </w:rPr>
        <w:tab/>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G013020156</w:t>
      </w:r>
      <w:r>
        <w:rPr>
          <w:sz w:val="16"/>
          <w:szCs w:val="16"/>
        </w:rPr>
        <w:tab/>
      </w:r>
      <w:r>
        <w:rPr>
          <w:sz w:val="16"/>
          <w:szCs w:val="16"/>
        </w:rPr>
        <w:tab/>
      </w:r>
      <w:r>
        <w:rPr>
          <w:sz w:val="16"/>
          <w:szCs w:val="16"/>
        </w:rPr>
        <w:tab/>
        <w:t>and Gas Company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2013</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404.</w:t>
      </w:r>
      <w:r>
        <w:rPr>
          <w:sz w:val="16"/>
          <w:szCs w:val="16"/>
        </w:rPr>
        <w:tab/>
        <w:t>U-32507</w:t>
      </w:r>
      <w:r>
        <w:rPr>
          <w:sz w:val="16"/>
          <w:szCs w:val="16"/>
        </w:rPr>
        <w:tab/>
      </w:r>
      <w:r>
        <w:rPr>
          <w:sz w:val="16"/>
          <w:szCs w:val="16"/>
        </w:rPr>
        <w:tab/>
      </w:r>
      <w:r>
        <w:rPr>
          <w:sz w:val="16"/>
          <w:szCs w:val="16"/>
        </w:rPr>
        <w:tab/>
        <w:t>Cleco Power</w:t>
      </w:r>
      <w:r>
        <w:rPr>
          <w:sz w:val="16"/>
          <w:szCs w:val="16"/>
        </w:rPr>
        <w:tab/>
      </w:r>
      <w:r>
        <w:rPr>
          <w:sz w:val="16"/>
          <w:szCs w:val="16"/>
        </w:rPr>
        <w:tab/>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Environmental Compliance Plan</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2013</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405.</w:t>
      </w:r>
      <w:r>
        <w:rPr>
          <w:sz w:val="16"/>
          <w:szCs w:val="16"/>
        </w:rPr>
        <w:tab/>
        <w:t>DE11-250</w:t>
      </w:r>
      <w:r>
        <w:rPr>
          <w:sz w:val="16"/>
          <w:szCs w:val="16"/>
        </w:rPr>
        <w:tab/>
      </w:r>
      <w:r>
        <w:rPr>
          <w:sz w:val="16"/>
          <w:szCs w:val="16"/>
        </w:rPr>
        <w:tab/>
      </w:r>
      <w:r>
        <w:rPr>
          <w:sz w:val="16"/>
          <w:szCs w:val="16"/>
        </w:rPr>
        <w:tab/>
        <w:t>Public Service Co.</w:t>
      </w:r>
      <w:r>
        <w:rPr>
          <w:sz w:val="16"/>
          <w:szCs w:val="16"/>
        </w:rPr>
        <w:tab/>
      </w:r>
      <w:r>
        <w:rPr>
          <w:sz w:val="16"/>
          <w:szCs w:val="16"/>
        </w:rPr>
        <w:tab/>
      </w:r>
      <w:r>
        <w:rPr>
          <w:sz w:val="16"/>
          <w:szCs w:val="16"/>
        </w:rPr>
        <w:tab/>
        <w:t>New Hampshire</w:t>
      </w:r>
      <w:r>
        <w:rPr>
          <w:sz w:val="16"/>
          <w:szCs w:val="16"/>
        </w:rPr>
        <w:tab/>
      </w:r>
      <w:r>
        <w:rPr>
          <w:sz w:val="16"/>
          <w:szCs w:val="16"/>
        </w:rPr>
        <w:tab/>
        <w:t>Consumer Advocate</w:t>
      </w:r>
      <w:r>
        <w:rPr>
          <w:sz w:val="16"/>
          <w:szCs w:val="16"/>
        </w:rPr>
        <w:tab/>
      </w:r>
      <w:r>
        <w:rPr>
          <w:sz w:val="16"/>
          <w:szCs w:val="16"/>
        </w:rPr>
        <w:tab/>
        <w:t>Power plant investment prudence</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December 2013</w:t>
      </w:r>
      <w:r>
        <w:rPr>
          <w:sz w:val="16"/>
          <w:szCs w:val="16"/>
        </w:rPr>
        <w:tab/>
      </w:r>
      <w:r>
        <w:rPr>
          <w:sz w:val="16"/>
          <w:szCs w:val="16"/>
        </w:rPr>
        <w:tab/>
        <w:t>New Hampshire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406.</w:t>
      </w:r>
      <w:r>
        <w:rPr>
          <w:sz w:val="16"/>
          <w:szCs w:val="16"/>
        </w:rPr>
        <w:tab/>
        <w:t>4434</w:t>
      </w:r>
      <w:r>
        <w:rPr>
          <w:sz w:val="16"/>
          <w:szCs w:val="16"/>
        </w:rPr>
        <w:tab/>
      </w:r>
      <w:r>
        <w:rPr>
          <w:sz w:val="16"/>
          <w:szCs w:val="16"/>
        </w:rPr>
        <w:tab/>
      </w:r>
      <w:r>
        <w:rPr>
          <w:sz w:val="16"/>
          <w:szCs w:val="16"/>
        </w:rPr>
        <w:tab/>
        <w:t>United Water Rhode Island</w:t>
      </w:r>
      <w:r>
        <w:rPr>
          <w:sz w:val="16"/>
          <w:szCs w:val="16"/>
        </w:rPr>
        <w:tab/>
      </w:r>
      <w:r>
        <w:rPr>
          <w:sz w:val="16"/>
          <w:szCs w:val="16"/>
        </w:rPr>
        <w:tab/>
        <w:t>Rhode Island</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Cost of Capital</w:t>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2014</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407.</w:t>
      </w:r>
      <w:r>
        <w:rPr>
          <w:sz w:val="16"/>
          <w:szCs w:val="16"/>
        </w:rPr>
        <w:tab/>
        <w:t>U-32987</w:t>
      </w:r>
      <w:r>
        <w:rPr>
          <w:sz w:val="16"/>
          <w:szCs w:val="16"/>
        </w:rPr>
        <w:tab/>
      </w:r>
      <w:r>
        <w:rPr>
          <w:sz w:val="16"/>
          <w:szCs w:val="16"/>
        </w:rPr>
        <w:tab/>
      </w:r>
      <w:r>
        <w:rPr>
          <w:sz w:val="16"/>
          <w:szCs w:val="16"/>
        </w:rPr>
        <w:tab/>
        <w:t>Atmos Energy</w:t>
      </w:r>
      <w:r>
        <w:rPr>
          <w:sz w:val="16"/>
          <w:szCs w:val="16"/>
        </w:rPr>
        <w:tab/>
      </w:r>
      <w:r>
        <w:rPr>
          <w:sz w:val="16"/>
          <w:szCs w:val="16"/>
        </w:rPr>
        <w:tab/>
      </w:r>
      <w:r>
        <w:rPr>
          <w:sz w:val="16"/>
          <w:szCs w:val="16"/>
        </w:rPr>
        <w:tab/>
      </w:r>
      <w:r>
        <w:rPr>
          <w:sz w:val="16"/>
          <w:szCs w:val="16"/>
        </w:rPr>
        <w:tab/>
        <w:t>Louisiana</w:t>
      </w:r>
      <w:r>
        <w:rPr>
          <w:sz w:val="16"/>
          <w:szCs w:val="16"/>
        </w:rPr>
        <w:tab/>
      </w:r>
      <w:r>
        <w:rPr>
          <w:sz w:val="16"/>
          <w:szCs w:val="16"/>
        </w:rPr>
        <w:tab/>
        <w:t>Staff</w:t>
      </w:r>
      <w:r>
        <w:rPr>
          <w:sz w:val="16"/>
          <w:szCs w:val="16"/>
        </w:rPr>
        <w:tab/>
      </w:r>
      <w:r>
        <w:rPr>
          <w:sz w:val="16"/>
          <w:szCs w:val="16"/>
        </w:rPr>
        <w:tab/>
      </w:r>
      <w:r>
        <w:rPr>
          <w:sz w:val="16"/>
          <w:szCs w:val="16"/>
        </w:rPr>
        <w:tab/>
      </w:r>
      <w:r>
        <w:rPr>
          <w:sz w:val="16"/>
          <w:szCs w:val="16"/>
        </w:rPr>
        <w:tab/>
        <w:t>Cost of Capital</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2014</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408.</w:t>
      </w:r>
      <w:r>
        <w:rPr>
          <w:sz w:val="16"/>
          <w:szCs w:val="16"/>
        </w:rPr>
        <w:tab/>
        <w:t>EL 14-28-000</w:t>
      </w:r>
      <w:r>
        <w:rPr>
          <w:sz w:val="16"/>
          <w:szCs w:val="16"/>
        </w:rPr>
        <w:tab/>
      </w:r>
      <w:r>
        <w:rPr>
          <w:sz w:val="16"/>
          <w:szCs w:val="16"/>
        </w:rPr>
        <w:tab/>
        <w:t>Entergy Louisiana</w:t>
      </w:r>
      <w:r>
        <w:rPr>
          <w:sz w:val="16"/>
          <w:szCs w:val="16"/>
        </w:rPr>
        <w:tab/>
      </w:r>
      <w:r>
        <w:rPr>
          <w:sz w:val="16"/>
          <w:szCs w:val="16"/>
        </w:rPr>
        <w:tab/>
      </w:r>
      <w:r>
        <w:rPr>
          <w:sz w:val="16"/>
          <w:szCs w:val="16"/>
        </w:rPr>
        <w:tab/>
        <w:t>FERC</w:t>
      </w:r>
      <w:r>
        <w:rPr>
          <w:sz w:val="16"/>
          <w:szCs w:val="16"/>
        </w:rPr>
        <w:tab/>
      </w:r>
      <w:r>
        <w:rPr>
          <w:sz w:val="16"/>
          <w:szCs w:val="16"/>
        </w:rPr>
        <w:tab/>
      </w:r>
      <w:r>
        <w:rPr>
          <w:sz w:val="16"/>
          <w:szCs w:val="16"/>
        </w:rPr>
        <w:tab/>
        <w:t>LPSC</w:t>
      </w:r>
      <w:r>
        <w:rPr>
          <w:sz w:val="16"/>
          <w:szCs w:val="16"/>
        </w:rPr>
        <w:tab/>
      </w:r>
      <w:r>
        <w:rPr>
          <w:sz w:val="16"/>
          <w:szCs w:val="16"/>
        </w:rPr>
        <w:tab/>
      </w:r>
      <w:r>
        <w:rPr>
          <w:sz w:val="16"/>
          <w:szCs w:val="16"/>
        </w:rPr>
        <w:tab/>
      </w:r>
      <w:r>
        <w:rPr>
          <w:sz w:val="16"/>
          <w:szCs w:val="16"/>
        </w:rPr>
        <w:tab/>
        <w:t>Avoided Cost Methodology</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2014</w:t>
      </w:r>
      <w:r>
        <w:rPr>
          <w:sz w:val="16"/>
          <w:szCs w:val="16"/>
        </w:rPr>
        <w:tab/>
      </w:r>
      <w:r>
        <w:rPr>
          <w:sz w:val="16"/>
          <w:szCs w:val="16"/>
        </w:rPr>
        <w:tab/>
        <w:t>Entergy Gulf States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(affidavit)</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F826FC" w:rsidRDefault="00F826FC" w:rsidP="00F826FC">
      <w:pPr>
        <w:jc w:val="center"/>
        <w:rPr>
          <w:sz w:val="16"/>
          <w:szCs w:val="16"/>
        </w:rPr>
      </w:pPr>
    </w:p>
    <w:p w:rsidR="00F826FC" w:rsidRDefault="00F826FC" w:rsidP="00F826FC">
      <w:pPr>
        <w:spacing w:after="200" w:line="276" w:lineRule="auto"/>
        <w:rPr>
          <w:sz w:val="16"/>
          <w:szCs w:val="16"/>
        </w:rPr>
        <w:sectPr w:rsidR="00F826FC" w:rsidSect="0019041E">
          <w:headerReference w:type="default" r:id="rId29"/>
          <w:footerReference w:type="default" r:id="rId30"/>
          <w:pgSz w:w="15840" w:h="12240" w:orient="landscape" w:code="1"/>
          <w:pgMar w:top="1440" w:right="1440" w:bottom="1440" w:left="1440" w:header="1440" w:footer="1440" w:gutter="0"/>
          <w:pgBorders>
            <w:top w:val="single" w:sz="12" w:space="1" w:color="auto" w:shadow="1"/>
            <w:left w:val="single" w:sz="12" w:space="4" w:color="auto" w:shadow="1"/>
            <w:bottom w:val="single" w:sz="12" w:space="1" w:color="auto" w:shadow="1"/>
            <w:right w:val="single" w:sz="12" w:space="4" w:color="auto" w:shadow="1"/>
          </w:pgBorders>
          <w:pgNumType w:start="1"/>
          <w:cols w:space="720"/>
          <w:docGrid w:linePitch="272"/>
        </w:sectPr>
      </w:pPr>
      <w:r>
        <w:rPr>
          <w:sz w:val="16"/>
          <w:szCs w:val="16"/>
        </w:rPr>
        <w:br w:type="page"/>
      </w:r>
    </w:p>
    <w:p w:rsidR="00F826FC" w:rsidRDefault="00F826FC" w:rsidP="00F826FC">
      <w:pPr>
        <w:spacing w:after="200" w:line="276" w:lineRule="auto"/>
        <w:rPr>
          <w:sz w:val="16"/>
          <w:szCs w:val="16"/>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Default="00F826FC" w:rsidP="00F826FC">
      <w:pPr>
        <w:pStyle w:val="NormalWeb"/>
        <w:shd w:val="clear" w:color="auto" w:fill="FFFFFF"/>
        <w:jc w:val="center"/>
        <w:rPr>
          <w:b/>
          <w:color w:val="000000"/>
          <w:sz w:val="28"/>
        </w:rPr>
      </w:pPr>
    </w:p>
    <w:p w:rsidR="00F826FC" w:rsidRPr="00930D77" w:rsidRDefault="00F826FC" w:rsidP="00F826FC">
      <w:pPr>
        <w:pStyle w:val="NormalWeb"/>
        <w:shd w:val="clear" w:color="auto" w:fill="FFFFFF"/>
        <w:jc w:val="center"/>
        <w:rPr>
          <w:b/>
          <w:color w:val="000000"/>
          <w:sz w:val="28"/>
        </w:rPr>
      </w:pPr>
      <w:r>
        <w:rPr>
          <w:b/>
          <w:color w:val="000000"/>
          <w:sz w:val="28"/>
        </w:rPr>
        <w:t>APPENDIX C</w:t>
      </w:r>
    </w:p>
    <w:p w:rsidR="00F826FC" w:rsidRDefault="00F826FC" w:rsidP="00F826FC">
      <w:pPr>
        <w:pStyle w:val="NormalWeb"/>
        <w:shd w:val="clear" w:color="auto" w:fill="FFFFFF"/>
        <w:jc w:val="center"/>
        <w:rPr>
          <w:b/>
          <w:color w:val="282828"/>
          <w:sz w:val="28"/>
        </w:rPr>
      </w:pPr>
    </w:p>
    <w:p w:rsidR="00F826FC" w:rsidRPr="00930D77" w:rsidRDefault="00F826FC" w:rsidP="00F826FC">
      <w:pPr>
        <w:pStyle w:val="NormalWeb"/>
        <w:shd w:val="clear" w:color="auto" w:fill="FFFFFF"/>
        <w:jc w:val="center"/>
        <w:rPr>
          <w:b/>
          <w:color w:val="282828"/>
          <w:sz w:val="28"/>
        </w:rPr>
      </w:pPr>
    </w:p>
    <w:p w:rsidR="00F826FC" w:rsidRDefault="00F826FC" w:rsidP="00F826FC">
      <w:pPr>
        <w:pStyle w:val="NormalWeb"/>
        <w:shd w:val="clear" w:color="auto" w:fill="FFFFFF"/>
        <w:jc w:val="center"/>
        <w:rPr>
          <w:b/>
          <w:color w:val="000000"/>
          <w:sz w:val="28"/>
        </w:rPr>
      </w:pPr>
      <w:r>
        <w:rPr>
          <w:b/>
          <w:color w:val="000000"/>
          <w:sz w:val="28"/>
        </w:rPr>
        <w:t>P</w:t>
      </w:r>
      <w:r w:rsidRPr="002F767C">
        <w:rPr>
          <w:b/>
          <w:color w:val="000000"/>
          <w:sz w:val="28"/>
        </w:rPr>
        <w:t>AST TESTIMONY ON DEFAULT GENERATION SERVICE OF</w:t>
      </w:r>
    </w:p>
    <w:p w:rsidR="00F826FC" w:rsidRPr="002F767C" w:rsidRDefault="00F826FC" w:rsidP="00F826FC">
      <w:pPr>
        <w:pStyle w:val="NormalWeb"/>
        <w:shd w:val="clear" w:color="auto" w:fill="FFFFFF"/>
        <w:jc w:val="center"/>
        <w:rPr>
          <w:b/>
          <w:color w:val="000000"/>
          <w:sz w:val="28"/>
        </w:rPr>
      </w:pPr>
    </w:p>
    <w:p w:rsidR="00F826FC" w:rsidRPr="00930D77" w:rsidRDefault="00F826FC" w:rsidP="00F826FC">
      <w:pPr>
        <w:pStyle w:val="NormalWeb"/>
        <w:shd w:val="clear" w:color="auto" w:fill="FFFFFF"/>
        <w:jc w:val="center"/>
        <w:rPr>
          <w:b/>
          <w:color w:val="282828"/>
          <w:sz w:val="28"/>
        </w:rPr>
      </w:pPr>
      <w:r w:rsidRPr="00930D77">
        <w:rPr>
          <w:b/>
          <w:color w:val="000000"/>
          <w:sz w:val="28"/>
        </w:rPr>
        <w:t>MATTHEW I. KAHAL</w:t>
      </w:r>
    </w:p>
    <w:p w:rsidR="00F826FC" w:rsidRPr="00930D77" w:rsidRDefault="00F826FC" w:rsidP="00F826FC">
      <w:pPr>
        <w:jc w:val="center"/>
        <w:rPr>
          <w:b/>
          <w:sz w:val="22"/>
          <w:lang w:val="en-CA"/>
        </w:rPr>
      </w:pPr>
    </w:p>
    <w:p w:rsidR="00F826FC" w:rsidRDefault="00F826FC" w:rsidP="00F826FC"/>
    <w:p w:rsidR="00F826FC" w:rsidRDefault="00F826FC" w:rsidP="00F826FC">
      <w:pPr>
        <w:jc w:val="center"/>
        <w:rPr>
          <w:sz w:val="16"/>
          <w:szCs w:val="16"/>
        </w:rPr>
      </w:pPr>
    </w:p>
    <w:p w:rsidR="00F826FC" w:rsidRDefault="00F826FC" w:rsidP="00F826FC">
      <w:pPr>
        <w:spacing w:after="200" w:line="276" w:lineRule="auto"/>
        <w:rPr>
          <w:sz w:val="16"/>
          <w:szCs w:val="16"/>
        </w:rPr>
        <w:sectPr w:rsidR="00F826FC" w:rsidSect="0019041E">
          <w:footerReference w:type="default" r:id="rId31"/>
          <w:pgSz w:w="12240" w:h="15840" w:code="1"/>
          <w:pgMar w:top="1440" w:right="1440" w:bottom="1440" w:left="1440" w:header="1440" w:footer="1440" w:gutter="0"/>
          <w:pgBorders>
            <w:top w:val="single" w:sz="12" w:space="1" w:color="auto" w:shadow="1"/>
            <w:left w:val="single" w:sz="12" w:space="4" w:color="auto" w:shadow="1"/>
            <w:bottom w:val="single" w:sz="12" w:space="1" w:color="auto" w:shadow="1"/>
            <w:right w:val="single" w:sz="12" w:space="4" w:color="auto" w:shadow="1"/>
          </w:pgBorders>
          <w:pgNumType w:start="1"/>
          <w:cols w:space="720"/>
          <w:docGrid w:linePitch="272"/>
        </w:sectPr>
      </w:pPr>
    </w:p>
    <w:p w:rsidR="00F826FC" w:rsidRDefault="00F826FC" w:rsidP="00F826FC">
      <w:pPr>
        <w:jc w:val="center"/>
        <w:rPr>
          <w:sz w:val="16"/>
          <w:szCs w:val="16"/>
        </w:rPr>
      </w:pPr>
    </w:p>
    <w:p w:rsidR="00F826FC" w:rsidRDefault="00F826FC" w:rsidP="00F826FC">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236.</w:t>
      </w:r>
      <w:r>
        <w:rPr>
          <w:sz w:val="16"/>
          <w:szCs w:val="16"/>
        </w:rPr>
        <w:tab/>
        <w:t>P-00011872</w:t>
      </w:r>
      <w:r>
        <w:rPr>
          <w:sz w:val="16"/>
          <w:szCs w:val="16"/>
        </w:rPr>
        <w:tab/>
      </w:r>
      <w:r>
        <w:rPr>
          <w:sz w:val="16"/>
          <w:szCs w:val="16"/>
        </w:rPr>
        <w:tab/>
        <w:t xml:space="preserve">Pike County Power </w:t>
      </w:r>
      <w:r>
        <w:rPr>
          <w:sz w:val="16"/>
          <w:szCs w:val="16"/>
        </w:rPr>
        <w:tab/>
      </w:r>
      <w:r>
        <w:rPr>
          <w:sz w:val="16"/>
          <w:szCs w:val="16"/>
        </w:rPr>
        <w:tab/>
      </w:r>
      <w:r>
        <w:rPr>
          <w:sz w:val="16"/>
          <w:szCs w:val="16"/>
        </w:rPr>
        <w:tab/>
        <w:t>Pennsylvania</w:t>
      </w:r>
      <w:r>
        <w:rPr>
          <w:sz w:val="16"/>
          <w:szCs w:val="16"/>
        </w:rPr>
        <w:tab/>
      </w:r>
      <w:r>
        <w:rPr>
          <w:sz w:val="16"/>
          <w:szCs w:val="16"/>
        </w:rPr>
        <w:tab/>
      </w:r>
      <w:r>
        <w:rPr>
          <w:sz w:val="16"/>
          <w:szCs w:val="16"/>
        </w:rPr>
        <w:tab/>
        <w:t>Consumer Advocate</w:t>
      </w:r>
      <w:r>
        <w:rPr>
          <w:sz w:val="16"/>
          <w:szCs w:val="16"/>
        </w:rPr>
        <w:tab/>
      </w:r>
      <w:r>
        <w:rPr>
          <w:sz w:val="16"/>
          <w:szCs w:val="16"/>
        </w:rPr>
        <w:tab/>
      </w:r>
    </w:p>
    <w:p w:rsidR="00F826FC" w:rsidRDefault="00F826FC" w:rsidP="00F826FC">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May 2002</w:t>
      </w:r>
      <w:r>
        <w:rPr>
          <w:sz w:val="16"/>
          <w:szCs w:val="16"/>
        </w:rPr>
        <w:tab/>
      </w:r>
      <w:r>
        <w:rPr>
          <w:sz w:val="16"/>
          <w:szCs w:val="16"/>
        </w:rPr>
        <w:tab/>
      </w:r>
      <w:r>
        <w:rPr>
          <w:sz w:val="16"/>
          <w:szCs w:val="16"/>
        </w:rPr>
        <w:tab/>
        <w:t>&amp; Light</w:t>
      </w:r>
    </w:p>
    <w:p w:rsidR="00F826FC" w:rsidRDefault="00F826FC" w:rsidP="00F826FC">
      <w:pPr>
        <w:jc w:val="center"/>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242.</w:t>
      </w:r>
      <w:r>
        <w:rPr>
          <w:sz w:val="16"/>
          <w:szCs w:val="16"/>
        </w:rPr>
        <w:tab/>
        <w:t>8936</w:t>
      </w:r>
      <w:r>
        <w:rPr>
          <w:sz w:val="16"/>
          <w:szCs w:val="16"/>
        </w:rPr>
        <w:tab/>
      </w:r>
      <w:r>
        <w:rPr>
          <w:sz w:val="16"/>
          <w:szCs w:val="16"/>
        </w:rPr>
        <w:tab/>
      </w:r>
      <w:r>
        <w:rPr>
          <w:sz w:val="16"/>
          <w:szCs w:val="16"/>
        </w:rPr>
        <w:tab/>
        <w:t>Delmarva Power &amp; Light</w:t>
      </w:r>
      <w:r>
        <w:rPr>
          <w:sz w:val="16"/>
          <w:szCs w:val="16"/>
        </w:rPr>
        <w:tab/>
      </w:r>
      <w:r>
        <w:rPr>
          <w:sz w:val="16"/>
          <w:szCs w:val="16"/>
        </w:rPr>
        <w:tab/>
      </w:r>
      <w:r>
        <w:rPr>
          <w:sz w:val="16"/>
          <w:szCs w:val="16"/>
        </w:rPr>
        <w:tab/>
        <w:t>Maryland</w:t>
      </w:r>
      <w:r>
        <w:rPr>
          <w:sz w:val="16"/>
          <w:szCs w:val="16"/>
        </w:rPr>
        <w:tab/>
      </w:r>
      <w:r>
        <w:rPr>
          <w:sz w:val="16"/>
          <w:szCs w:val="16"/>
        </w:rPr>
        <w:tab/>
      </w:r>
      <w:r>
        <w:rPr>
          <w:sz w:val="16"/>
          <w:szCs w:val="16"/>
        </w:rPr>
        <w:tab/>
        <w:t>Energy Administration</w:t>
      </w:r>
      <w:r>
        <w:rPr>
          <w:sz w:val="16"/>
          <w:szCs w:val="16"/>
        </w:rPr>
        <w:tab/>
      </w:r>
      <w:r>
        <w:rPr>
          <w:sz w:val="16"/>
          <w:szCs w:val="16"/>
        </w:rPr>
        <w:tab/>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2002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Dept. Natural Resources</w:t>
      </w:r>
    </w:p>
    <w:p w:rsidR="00F826FC" w:rsidRDefault="00F826FC" w:rsidP="00F826FC">
      <w:pPr>
        <w:jc w:val="center"/>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244.</w:t>
      </w:r>
      <w:r>
        <w:rPr>
          <w:sz w:val="16"/>
          <w:szCs w:val="16"/>
        </w:rPr>
        <w:tab/>
        <w:t>8908 Phase I</w:t>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Maryland</w:t>
      </w:r>
      <w:r>
        <w:rPr>
          <w:sz w:val="16"/>
          <w:szCs w:val="16"/>
        </w:rPr>
        <w:tab/>
      </w:r>
      <w:r>
        <w:rPr>
          <w:sz w:val="16"/>
          <w:szCs w:val="16"/>
        </w:rPr>
        <w:tab/>
      </w:r>
      <w:r>
        <w:rPr>
          <w:sz w:val="16"/>
          <w:szCs w:val="16"/>
        </w:rPr>
        <w:tab/>
        <w:t>Energy Administration</w:t>
      </w:r>
      <w:r>
        <w:rPr>
          <w:sz w:val="16"/>
          <w:szCs w:val="16"/>
        </w:rPr>
        <w:tab/>
      </w:r>
      <w:r>
        <w:rPr>
          <w:sz w:val="16"/>
          <w:szCs w:val="16"/>
        </w:rPr>
        <w:tab/>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2002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Dept. Natural Resources</w:t>
      </w:r>
    </w:p>
    <w:p w:rsidR="00F826FC" w:rsidRDefault="00F826FC" w:rsidP="00F826FC">
      <w:pPr>
        <w:jc w:val="center"/>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247.</w:t>
      </w:r>
      <w:r>
        <w:rPr>
          <w:sz w:val="16"/>
          <w:szCs w:val="16"/>
        </w:rPr>
        <w:tab/>
        <w:t>02-0479</w:t>
      </w:r>
      <w:r>
        <w:rPr>
          <w:sz w:val="16"/>
          <w:szCs w:val="16"/>
        </w:rPr>
        <w:tab/>
      </w:r>
      <w:r>
        <w:rPr>
          <w:sz w:val="16"/>
          <w:szCs w:val="16"/>
        </w:rPr>
        <w:tab/>
      </w:r>
      <w:r>
        <w:rPr>
          <w:sz w:val="16"/>
          <w:szCs w:val="16"/>
        </w:rPr>
        <w:tab/>
        <w:t>Commonwealth</w:t>
      </w:r>
      <w:r>
        <w:rPr>
          <w:sz w:val="16"/>
          <w:szCs w:val="16"/>
        </w:rPr>
        <w:tab/>
      </w:r>
      <w:r>
        <w:rPr>
          <w:sz w:val="16"/>
          <w:szCs w:val="16"/>
        </w:rPr>
        <w:tab/>
      </w:r>
      <w:r>
        <w:rPr>
          <w:sz w:val="16"/>
          <w:szCs w:val="16"/>
        </w:rPr>
        <w:tab/>
        <w:t>Illinois</w:t>
      </w:r>
      <w:r>
        <w:rPr>
          <w:sz w:val="16"/>
          <w:szCs w:val="16"/>
        </w:rPr>
        <w:tab/>
      </w:r>
      <w:r>
        <w:rPr>
          <w:sz w:val="16"/>
          <w:szCs w:val="16"/>
        </w:rPr>
        <w:tab/>
      </w:r>
      <w:r>
        <w:rPr>
          <w:sz w:val="16"/>
          <w:szCs w:val="16"/>
        </w:rPr>
        <w:tab/>
        <w:t>Dept. of Energy</w:t>
      </w:r>
      <w:r>
        <w:rPr>
          <w:sz w:val="16"/>
          <w:szCs w:val="16"/>
        </w:rPr>
        <w:tab/>
      </w:r>
      <w:r>
        <w:rPr>
          <w:sz w:val="16"/>
          <w:szCs w:val="16"/>
        </w:rPr>
        <w:tab/>
      </w:r>
      <w:r>
        <w:rPr>
          <w:sz w:val="16"/>
          <w:szCs w:val="16"/>
        </w:rPr>
        <w:tab/>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2003</w:t>
      </w:r>
      <w:r>
        <w:rPr>
          <w:sz w:val="16"/>
          <w:szCs w:val="16"/>
        </w:rPr>
        <w:tab/>
      </w:r>
      <w:r>
        <w:rPr>
          <w:sz w:val="16"/>
          <w:szCs w:val="16"/>
        </w:rPr>
        <w:tab/>
        <w:t xml:space="preserve">  Edison</w:t>
      </w:r>
    </w:p>
    <w:p w:rsidR="00F826FC" w:rsidRDefault="00F826FC" w:rsidP="00F826FC">
      <w:pPr>
        <w:jc w:val="center"/>
        <w:rPr>
          <w:sz w:val="16"/>
          <w:szCs w:val="16"/>
        </w:rPr>
      </w:pP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250.</w:t>
      </w:r>
      <w:r>
        <w:rPr>
          <w:sz w:val="16"/>
          <w:szCs w:val="16"/>
        </w:rPr>
        <w:tab/>
        <w:t>8908 Phase II</w:t>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Maryland</w:t>
      </w:r>
      <w:r>
        <w:rPr>
          <w:sz w:val="16"/>
          <w:szCs w:val="16"/>
        </w:rPr>
        <w:tab/>
      </w:r>
      <w:r>
        <w:rPr>
          <w:sz w:val="16"/>
          <w:szCs w:val="16"/>
        </w:rPr>
        <w:tab/>
      </w:r>
      <w:r>
        <w:rPr>
          <w:sz w:val="16"/>
          <w:szCs w:val="16"/>
        </w:rPr>
        <w:tab/>
        <w:t>Energy Administration</w:t>
      </w:r>
      <w:r>
        <w:rPr>
          <w:sz w:val="16"/>
          <w:szCs w:val="16"/>
        </w:rPr>
        <w:tab/>
      </w:r>
      <w:r>
        <w:rPr>
          <w:sz w:val="16"/>
          <w:szCs w:val="16"/>
        </w:rPr>
        <w:tab/>
      </w:r>
    </w:p>
    <w:p w:rsidR="00F826FC" w:rsidRDefault="00F826FC" w:rsidP="00F826FC">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2003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Dept. of Natural Resources</w:t>
      </w:r>
    </w:p>
    <w:p w:rsidR="00F826FC" w:rsidRDefault="00F826FC" w:rsidP="00F826FC">
      <w:pPr>
        <w:jc w:val="center"/>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270.</w:t>
      </w:r>
      <w:r>
        <w:rPr>
          <w:sz w:val="16"/>
          <w:szCs w:val="16"/>
        </w:rPr>
        <w:tab/>
        <w:t>05-0159</w:t>
      </w:r>
      <w:r>
        <w:rPr>
          <w:sz w:val="16"/>
          <w:szCs w:val="16"/>
        </w:rPr>
        <w:tab/>
      </w:r>
      <w:r>
        <w:rPr>
          <w:sz w:val="16"/>
          <w:szCs w:val="16"/>
        </w:rPr>
        <w:tab/>
      </w:r>
      <w:r>
        <w:rPr>
          <w:sz w:val="16"/>
          <w:szCs w:val="16"/>
        </w:rPr>
        <w:tab/>
        <w:t>Commonwealth Edison</w:t>
      </w:r>
      <w:r>
        <w:rPr>
          <w:sz w:val="16"/>
          <w:szCs w:val="16"/>
        </w:rPr>
        <w:tab/>
      </w:r>
      <w:r>
        <w:rPr>
          <w:sz w:val="16"/>
          <w:szCs w:val="16"/>
        </w:rPr>
        <w:tab/>
      </w:r>
      <w:r>
        <w:rPr>
          <w:sz w:val="16"/>
          <w:szCs w:val="16"/>
        </w:rPr>
        <w:tab/>
        <w:t>Illinois</w:t>
      </w:r>
      <w:r>
        <w:rPr>
          <w:sz w:val="16"/>
          <w:szCs w:val="16"/>
        </w:rPr>
        <w:tab/>
      </w:r>
      <w:r>
        <w:rPr>
          <w:sz w:val="16"/>
          <w:szCs w:val="16"/>
        </w:rPr>
        <w:tab/>
        <w:t>Department of Energy</w:t>
      </w:r>
      <w:r>
        <w:rPr>
          <w:sz w:val="16"/>
          <w:szCs w:val="16"/>
        </w:rPr>
        <w:tab/>
      </w:r>
      <w:r>
        <w:rPr>
          <w:sz w:val="16"/>
          <w:szCs w:val="16"/>
        </w:rPr>
        <w:tab/>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June 2005</w:t>
      </w:r>
      <w:r>
        <w:rPr>
          <w:sz w:val="16"/>
          <w:szCs w:val="16"/>
        </w:rPr>
        <w:tab/>
      </w:r>
      <w:r>
        <w:rPr>
          <w:sz w:val="16"/>
          <w:szCs w:val="16"/>
        </w:rPr>
        <w:tab/>
      </w:r>
      <w:r>
        <w:rPr>
          <w:sz w:val="16"/>
          <w:szCs w:val="16"/>
        </w:rPr>
        <w:tab/>
      </w:r>
      <w:r>
        <w:rPr>
          <w:sz w:val="16"/>
          <w:szCs w:val="16"/>
        </w:rPr>
        <w:tab/>
      </w:r>
      <w:r>
        <w:rPr>
          <w:sz w:val="16"/>
          <w:szCs w:val="16"/>
        </w:rPr>
        <w:tab/>
      </w:r>
    </w:p>
    <w:p w:rsidR="00F826FC" w:rsidRDefault="00F826FC" w:rsidP="00F826FC">
      <w:pPr>
        <w:jc w:val="center"/>
        <w:rPr>
          <w:sz w:val="16"/>
          <w:szCs w:val="16"/>
        </w:rPr>
      </w:pP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274.</w:t>
      </w:r>
      <w:r>
        <w:rPr>
          <w:sz w:val="16"/>
          <w:szCs w:val="16"/>
        </w:rPr>
        <w:tab/>
        <w:t>9037</w:t>
      </w:r>
      <w:r>
        <w:rPr>
          <w:sz w:val="16"/>
          <w:szCs w:val="16"/>
        </w:rPr>
        <w:tab/>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Maryland</w:t>
      </w:r>
      <w:r>
        <w:rPr>
          <w:sz w:val="16"/>
          <w:szCs w:val="16"/>
        </w:rPr>
        <w:tab/>
      </w:r>
      <w:r>
        <w:rPr>
          <w:sz w:val="16"/>
          <w:szCs w:val="16"/>
        </w:rPr>
        <w:tab/>
        <w:t>MD. Energy Administration</w:t>
      </w:r>
      <w:r>
        <w:rPr>
          <w:sz w:val="16"/>
          <w:szCs w:val="16"/>
        </w:rPr>
        <w:tab/>
      </w:r>
      <w:r>
        <w:rPr>
          <w:sz w:val="16"/>
          <w:szCs w:val="16"/>
        </w:rPr>
        <w:tab/>
      </w:r>
    </w:p>
    <w:p w:rsidR="00F826FC" w:rsidRDefault="00F826FC" w:rsidP="00F826FC">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July 2005</w:t>
      </w:r>
    </w:p>
    <w:p w:rsidR="00F826FC" w:rsidRDefault="00F826FC" w:rsidP="00F826FC">
      <w:pPr>
        <w:jc w:val="center"/>
        <w:rPr>
          <w:sz w:val="16"/>
          <w:szCs w:val="16"/>
        </w:rPr>
      </w:pP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285.</w:t>
      </w:r>
      <w:r>
        <w:rPr>
          <w:sz w:val="16"/>
          <w:szCs w:val="16"/>
        </w:rPr>
        <w:tab/>
        <w:t xml:space="preserve">9056 </w:t>
      </w:r>
      <w:r>
        <w:rPr>
          <w:sz w:val="16"/>
          <w:szCs w:val="16"/>
        </w:rPr>
        <w:tab/>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Maryland</w:t>
      </w:r>
      <w:r>
        <w:rPr>
          <w:sz w:val="16"/>
          <w:szCs w:val="16"/>
        </w:rPr>
        <w:tab/>
      </w:r>
      <w:r>
        <w:rPr>
          <w:sz w:val="16"/>
          <w:szCs w:val="16"/>
        </w:rPr>
        <w:tab/>
        <w:t xml:space="preserve">Maryland Energy </w:t>
      </w:r>
      <w:r>
        <w:rPr>
          <w:sz w:val="16"/>
          <w:szCs w:val="16"/>
        </w:rPr>
        <w:tab/>
      </w:r>
      <w:r>
        <w:rPr>
          <w:sz w:val="16"/>
          <w:szCs w:val="16"/>
        </w:rPr>
        <w:tab/>
      </w:r>
      <w:r>
        <w:rPr>
          <w:sz w:val="16"/>
          <w:szCs w:val="16"/>
        </w:rPr>
        <w:tab/>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2006</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Administration</w:t>
      </w:r>
      <w:r>
        <w:rPr>
          <w:sz w:val="16"/>
          <w:szCs w:val="16"/>
        </w:rPr>
        <w:tab/>
      </w:r>
      <w:r>
        <w:rPr>
          <w:sz w:val="16"/>
          <w:szCs w:val="16"/>
        </w:rPr>
        <w:tab/>
      </w:r>
      <w:r>
        <w:rPr>
          <w:sz w:val="16"/>
          <w:szCs w:val="16"/>
        </w:rPr>
        <w:tab/>
      </w:r>
    </w:p>
    <w:p w:rsidR="00F826FC" w:rsidRDefault="00F826FC" w:rsidP="00F826FC">
      <w:pPr>
        <w:jc w:val="center"/>
        <w:rPr>
          <w:sz w:val="16"/>
          <w:szCs w:val="16"/>
        </w:rPr>
      </w:pP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292.</w:t>
      </w:r>
      <w:r>
        <w:rPr>
          <w:sz w:val="16"/>
          <w:szCs w:val="16"/>
        </w:rPr>
        <w:tab/>
        <w:t>9064</w:t>
      </w:r>
      <w:r>
        <w:rPr>
          <w:sz w:val="16"/>
          <w:szCs w:val="16"/>
        </w:rPr>
        <w:tab/>
      </w:r>
      <w:r>
        <w:rPr>
          <w:sz w:val="16"/>
          <w:szCs w:val="16"/>
        </w:rPr>
        <w:tab/>
      </w:r>
      <w:r>
        <w:rPr>
          <w:sz w:val="16"/>
          <w:szCs w:val="16"/>
        </w:rPr>
        <w:tab/>
        <w:t>Generic</w:t>
      </w:r>
      <w:r>
        <w:rPr>
          <w:sz w:val="16"/>
          <w:szCs w:val="16"/>
        </w:rPr>
        <w:tab/>
      </w:r>
      <w:r>
        <w:rPr>
          <w:sz w:val="16"/>
          <w:szCs w:val="16"/>
        </w:rPr>
        <w:tab/>
      </w:r>
      <w:r>
        <w:rPr>
          <w:sz w:val="16"/>
          <w:szCs w:val="16"/>
        </w:rPr>
        <w:tab/>
      </w:r>
      <w:r>
        <w:rPr>
          <w:sz w:val="16"/>
          <w:szCs w:val="16"/>
        </w:rPr>
        <w:tab/>
        <w:t>Maryland</w:t>
      </w:r>
      <w:r>
        <w:rPr>
          <w:sz w:val="16"/>
          <w:szCs w:val="16"/>
        </w:rPr>
        <w:tab/>
      </w:r>
      <w:r>
        <w:rPr>
          <w:sz w:val="16"/>
          <w:szCs w:val="16"/>
        </w:rPr>
        <w:tab/>
        <w:t>Energy Administration</w:t>
      </w:r>
      <w:r>
        <w:rPr>
          <w:sz w:val="16"/>
          <w:szCs w:val="16"/>
        </w:rPr>
        <w:tab/>
      </w:r>
      <w:r>
        <w:rPr>
          <w:sz w:val="16"/>
          <w:szCs w:val="16"/>
        </w:rPr>
        <w:tab/>
      </w:r>
    </w:p>
    <w:p w:rsidR="00F826FC" w:rsidRDefault="00F826FC" w:rsidP="00F826FC">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2006</w:t>
      </w:r>
    </w:p>
    <w:p w:rsidR="00F826FC" w:rsidRDefault="00F826FC" w:rsidP="00F826FC">
      <w:pPr>
        <w:jc w:val="center"/>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304.</w:t>
      </w:r>
      <w:r>
        <w:rPr>
          <w:sz w:val="16"/>
          <w:szCs w:val="16"/>
        </w:rPr>
        <w:tab/>
        <w:t>P-00072245</w:t>
      </w:r>
      <w:r>
        <w:rPr>
          <w:sz w:val="16"/>
          <w:szCs w:val="16"/>
        </w:rPr>
        <w:tab/>
      </w:r>
      <w:r>
        <w:rPr>
          <w:sz w:val="16"/>
          <w:szCs w:val="16"/>
        </w:rPr>
        <w:tab/>
      </w:r>
      <w:r>
        <w:rPr>
          <w:sz w:val="16"/>
          <w:szCs w:val="16"/>
        </w:rPr>
        <w:tab/>
        <w:t>Pike County Light &amp; Power</w:t>
      </w:r>
      <w:r>
        <w:rPr>
          <w:sz w:val="16"/>
          <w:szCs w:val="16"/>
        </w:rPr>
        <w:tab/>
      </w:r>
      <w:r>
        <w:rPr>
          <w:sz w:val="16"/>
          <w:szCs w:val="16"/>
        </w:rPr>
        <w:tab/>
        <w:t>Pennsylvania</w:t>
      </w:r>
      <w:r>
        <w:rPr>
          <w:sz w:val="16"/>
          <w:szCs w:val="16"/>
        </w:rPr>
        <w:tab/>
      </w:r>
      <w:r>
        <w:rPr>
          <w:sz w:val="16"/>
          <w:szCs w:val="16"/>
        </w:rPr>
        <w:tab/>
        <w:t>Consumer Advocate</w:t>
      </w:r>
      <w:r>
        <w:rPr>
          <w:sz w:val="16"/>
          <w:szCs w:val="16"/>
        </w:rPr>
        <w:tab/>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2007</w:t>
      </w:r>
    </w:p>
    <w:p w:rsidR="00F826FC" w:rsidRDefault="00F826FC" w:rsidP="00F826FC">
      <w:pPr>
        <w:jc w:val="center"/>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305.</w:t>
      </w:r>
      <w:r>
        <w:rPr>
          <w:sz w:val="16"/>
          <w:szCs w:val="16"/>
        </w:rPr>
        <w:tab/>
        <w:t>P-00072247</w:t>
      </w:r>
      <w:r>
        <w:rPr>
          <w:sz w:val="16"/>
          <w:szCs w:val="16"/>
        </w:rPr>
        <w:tab/>
      </w:r>
      <w:r>
        <w:rPr>
          <w:sz w:val="16"/>
          <w:szCs w:val="16"/>
        </w:rPr>
        <w:tab/>
      </w:r>
      <w:r>
        <w:rPr>
          <w:sz w:val="16"/>
          <w:szCs w:val="16"/>
        </w:rPr>
        <w:tab/>
        <w:t>Duquesne Light Company</w:t>
      </w:r>
      <w:r>
        <w:rPr>
          <w:sz w:val="16"/>
          <w:szCs w:val="16"/>
        </w:rPr>
        <w:tab/>
      </w:r>
      <w:r>
        <w:rPr>
          <w:sz w:val="16"/>
          <w:szCs w:val="16"/>
        </w:rPr>
        <w:tab/>
      </w:r>
      <w:r>
        <w:rPr>
          <w:sz w:val="16"/>
          <w:szCs w:val="16"/>
        </w:rPr>
        <w:tab/>
        <w:t>Pennsylvania</w:t>
      </w:r>
      <w:r>
        <w:rPr>
          <w:sz w:val="16"/>
          <w:szCs w:val="16"/>
        </w:rPr>
        <w:tab/>
      </w:r>
      <w:r>
        <w:rPr>
          <w:sz w:val="16"/>
          <w:szCs w:val="16"/>
        </w:rPr>
        <w:tab/>
        <w:t>Consumer Advocate</w:t>
      </w:r>
      <w:r>
        <w:rPr>
          <w:sz w:val="16"/>
          <w:szCs w:val="16"/>
        </w:rPr>
        <w:tab/>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March 2007</w:t>
      </w:r>
    </w:p>
    <w:p w:rsidR="00F826FC" w:rsidRDefault="00F826FC" w:rsidP="00F826FC">
      <w:pPr>
        <w:jc w:val="center"/>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315.</w:t>
      </w:r>
      <w:r>
        <w:rPr>
          <w:sz w:val="16"/>
          <w:szCs w:val="16"/>
        </w:rPr>
        <w:tab/>
        <w:t>9117 (Phase II)</w:t>
      </w:r>
      <w:r>
        <w:rPr>
          <w:sz w:val="16"/>
          <w:szCs w:val="16"/>
        </w:rPr>
        <w:tab/>
      </w:r>
      <w:r>
        <w:rPr>
          <w:sz w:val="16"/>
          <w:szCs w:val="16"/>
        </w:rPr>
        <w:tab/>
        <w:t>Generic (Electric)</w:t>
      </w:r>
      <w:r>
        <w:rPr>
          <w:sz w:val="16"/>
          <w:szCs w:val="16"/>
        </w:rPr>
        <w:tab/>
      </w:r>
      <w:r>
        <w:rPr>
          <w:sz w:val="16"/>
          <w:szCs w:val="16"/>
        </w:rPr>
        <w:tab/>
      </w:r>
      <w:r>
        <w:rPr>
          <w:sz w:val="16"/>
          <w:szCs w:val="16"/>
        </w:rPr>
        <w:tab/>
        <w:t>Maryland</w:t>
      </w:r>
      <w:r>
        <w:rPr>
          <w:sz w:val="16"/>
          <w:szCs w:val="16"/>
        </w:rPr>
        <w:tab/>
      </w:r>
      <w:r>
        <w:rPr>
          <w:sz w:val="16"/>
          <w:szCs w:val="16"/>
        </w:rPr>
        <w:tab/>
        <w:t>Energy Administration</w:t>
      </w:r>
      <w:r>
        <w:rPr>
          <w:sz w:val="16"/>
          <w:szCs w:val="16"/>
        </w:rPr>
        <w:tab/>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2007</w:t>
      </w:r>
    </w:p>
    <w:p w:rsidR="00F826FC" w:rsidRDefault="00F826FC" w:rsidP="00F826FC">
      <w:pPr>
        <w:jc w:val="center"/>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336.</w:t>
      </w:r>
      <w:r>
        <w:rPr>
          <w:sz w:val="16"/>
          <w:szCs w:val="16"/>
        </w:rPr>
        <w:tab/>
        <w:t>P-2009-2093055, et al.</w:t>
      </w:r>
      <w:r>
        <w:rPr>
          <w:sz w:val="16"/>
          <w:szCs w:val="16"/>
        </w:rPr>
        <w:tab/>
      </w:r>
      <w:r>
        <w:rPr>
          <w:sz w:val="16"/>
          <w:szCs w:val="16"/>
        </w:rPr>
        <w:tab/>
        <w:t xml:space="preserve">Metropolitan Edison </w:t>
      </w:r>
      <w:r>
        <w:rPr>
          <w:sz w:val="16"/>
          <w:szCs w:val="16"/>
        </w:rPr>
        <w:tab/>
      </w:r>
      <w:r>
        <w:rPr>
          <w:sz w:val="16"/>
          <w:szCs w:val="16"/>
        </w:rPr>
        <w:tab/>
      </w:r>
      <w:r>
        <w:rPr>
          <w:sz w:val="16"/>
          <w:szCs w:val="16"/>
        </w:rPr>
        <w:tab/>
        <w:t>Pennsylvania</w:t>
      </w:r>
      <w:r>
        <w:rPr>
          <w:sz w:val="16"/>
          <w:szCs w:val="16"/>
        </w:rPr>
        <w:tab/>
      </w:r>
      <w:r>
        <w:rPr>
          <w:sz w:val="16"/>
          <w:szCs w:val="16"/>
        </w:rPr>
        <w:tab/>
        <w:t>Office of Consumer</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May 2009</w:t>
      </w:r>
      <w:r>
        <w:rPr>
          <w:sz w:val="16"/>
          <w:szCs w:val="16"/>
        </w:rPr>
        <w:tab/>
      </w:r>
      <w:r>
        <w:rPr>
          <w:sz w:val="16"/>
          <w:szCs w:val="16"/>
        </w:rPr>
        <w:tab/>
      </w:r>
      <w:r>
        <w:rPr>
          <w:sz w:val="16"/>
          <w:szCs w:val="16"/>
        </w:rPr>
        <w:tab/>
        <w:t xml:space="preserve">Pennsylvania Electric </w:t>
      </w:r>
      <w:r>
        <w:rPr>
          <w:sz w:val="16"/>
          <w:szCs w:val="16"/>
        </w:rPr>
        <w:tab/>
      </w:r>
      <w:r>
        <w:rPr>
          <w:sz w:val="16"/>
          <w:szCs w:val="16"/>
        </w:rPr>
        <w:tab/>
      </w:r>
      <w:r>
        <w:rPr>
          <w:sz w:val="16"/>
          <w:szCs w:val="16"/>
        </w:rPr>
        <w:tab/>
      </w:r>
      <w:r>
        <w:rPr>
          <w:sz w:val="16"/>
          <w:szCs w:val="16"/>
        </w:rPr>
        <w:tab/>
      </w:r>
      <w:r>
        <w:rPr>
          <w:sz w:val="16"/>
          <w:szCs w:val="16"/>
        </w:rPr>
        <w:tab/>
      </w:r>
      <w:r>
        <w:rPr>
          <w:sz w:val="16"/>
          <w:szCs w:val="16"/>
        </w:rPr>
        <w:tab/>
        <w:t>Advocate</w:t>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r>
    </w:p>
    <w:p w:rsidR="00F826FC" w:rsidRDefault="00F826FC" w:rsidP="00F826FC">
      <w:pPr>
        <w:jc w:val="center"/>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354.</w:t>
      </w:r>
      <w:r>
        <w:rPr>
          <w:sz w:val="16"/>
          <w:szCs w:val="16"/>
        </w:rPr>
        <w:tab/>
        <w:t>P-2010-2157862</w:t>
      </w:r>
      <w:r>
        <w:rPr>
          <w:sz w:val="16"/>
          <w:szCs w:val="16"/>
        </w:rPr>
        <w:tab/>
      </w:r>
      <w:r>
        <w:rPr>
          <w:sz w:val="16"/>
          <w:szCs w:val="16"/>
        </w:rPr>
        <w:tab/>
        <w:t>Pennsylvania Power Co.</w:t>
      </w:r>
      <w:r>
        <w:rPr>
          <w:sz w:val="16"/>
          <w:szCs w:val="16"/>
        </w:rPr>
        <w:tab/>
      </w:r>
      <w:r>
        <w:rPr>
          <w:sz w:val="16"/>
          <w:szCs w:val="16"/>
        </w:rPr>
        <w:tab/>
      </w:r>
      <w:r>
        <w:rPr>
          <w:sz w:val="16"/>
          <w:szCs w:val="16"/>
        </w:rPr>
        <w:tab/>
        <w:t>Pennsylvania</w:t>
      </w:r>
      <w:r>
        <w:rPr>
          <w:sz w:val="16"/>
          <w:szCs w:val="16"/>
        </w:rPr>
        <w:tab/>
      </w:r>
      <w:r>
        <w:rPr>
          <w:sz w:val="16"/>
          <w:szCs w:val="16"/>
        </w:rPr>
        <w:tab/>
        <w:t>Consumer Advocate</w:t>
      </w:r>
      <w:r>
        <w:rPr>
          <w:sz w:val="16"/>
          <w:szCs w:val="16"/>
        </w:rPr>
        <w:tab/>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 xml:space="preserve">May 2010 </w:t>
      </w:r>
    </w:p>
    <w:p w:rsidR="00F826FC" w:rsidRDefault="00F826FC" w:rsidP="00F826FC">
      <w:pPr>
        <w:jc w:val="center"/>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364.</w:t>
      </w:r>
      <w:r>
        <w:rPr>
          <w:sz w:val="16"/>
          <w:szCs w:val="16"/>
        </w:rPr>
        <w:tab/>
        <w:t>2010-2194652</w:t>
      </w:r>
      <w:r>
        <w:rPr>
          <w:sz w:val="16"/>
          <w:szCs w:val="16"/>
        </w:rPr>
        <w:tab/>
      </w:r>
      <w:r>
        <w:rPr>
          <w:sz w:val="16"/>
          <w:szCs w:val="16"/>
        </w:rPr>
        <w:tab/>
        <w:t>Pike County Light &amp; Power</w:t>
      </w:r>
      <w:r>
        <w:rPr>
          <w:sz w:val="16"/>
          <w:szCs w:val="16"/>
        </w:rPr>
        <w:tab/>
      </w:r>
      <w:r>
        <w:rPr>
          <w:sz w:val="16"/>
          <w:szCs w:val="16"/>
        </w:rPr>
        <w:tab/>
        <w:t>Pennsylvania</w:t>
      </w:r>
      <w:r>
        <w:rPr>
          <w:sz w:val="16"/>
          <w:szCs w:val="16"/>
        </w:rPr>
        <w:tab/>
      </w:r>
      <w:r>
        <w:rPr>
          <w:sz w:val="16"/>
          <w:szCs w:val="16"/>
        </w:rPr>
        <w:tab/>
        <w:t>Consumer Advocate</w:t>
      </w:r>
      <w:r>
        <w:rPr>
          <w:sz w:val="16"/>
          <w:szCs w:val="16"/>
        </w:rPr>
        <w:tab/>
      </w:r>
      <w:r>
        <w:rPr>
          <w:sz w:val="16"/>
          <w:szCs w:val="16"/>
        </w:rPr>
        <w:tab/>
        <w:t xml:space="preserve">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2010</w:t>
      </w:r>
    </w:p>
    <w:p w:rsidR="00F826FC" w:rsidRDefault="00F826FC" w:rsidP="00F826FC">
      <w:pPr>
        <w:jc w:val="center"/>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370.</w:t>
      </w:r>
      <w:r>
        <w:rPr>
          <w:sz w:val="16"/>
          <w:szCs w:val="16"/>
        </w:rPr>
        <w:tab/>
        <w:t>P-2011-2252042</w:t>
      </w:r>
      <w:r>
        <w:rPr>
          <w:sz w:val="16"/>
          <w:szCs w:val="16"/>
        </w:rPr>
        <w:tab/>
      </w:r>
      <w:r>
        <w:rPr>
          <w:sz w:val="16"/>
          <w:szCs w:val="16"/>
        </w:rPr>
        <w:tab/>
        <w:t>Pike County</w:t>
      </w:r>
      <w:r>
        <w:rPr>
          <w:sz w:val="16"/>
          <w:szCs w:val="16"/>
        </w:rPr>
        <w:tab/>
      </w:r>
      <w:r>
        <w:rPr>
          <w:sz w:val="16"/>
          <w:szCs w:val="16"/>
        </w:rPr>
        <w:tab/>
      </w:r>
      <w:r>
        <w:rPr>
          <w:sz w:val="16"/>
          <w:szCs w:val="16"/>
        </w:rPr>
        <w:tab/>
      </w:r>
      <w:r>
        <w:rPr>
          <w:sz w:val="16"/>
          <w:szCs w:val="16"/>
        </w:rPr>
        <w:tab/>
        <w:t>Pennsylvania</w:t>
      </w:r>
      <w:r>
        <w:rPr>
          <w:sz w:val="16"/>
          <w:szCs w:val="16"/>
        </w:rPr>
        <w:tab/>
      </w:r>
      <w:r>
        <w:rPr>
          <w:sz w:val="16"/>
          <w:szCs w:val="16"/>
        </w:rPr>
        <w:tab/>
        <w:t>Consumer Advocate</w:t>
      </w:r>
      <w:r>
        <w:rPr>
          <w:sz w:val="16"/>
          <w:szCs w:val="16"/>
        </w:rPr>
        <w:tab/>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October 2011</w:t>
      </w:r>
      <w:r>
        <w:rPr>
          <w:sz w:val="16"/>
          <w:szCs w:val="16"/>
        </w:rPr>
        <w:tab/>
      </w:r>
      <w:r>
        <w:rPr>
          <w:sz w:val="16"/>
          <w:szCs w:val="16"/>
        </w:rPr>
        <w:tab/>
        <w:t>Light &amp; Power</w:t>
      </w:r>
    </w:p>
    <w:p w:rsidR="00F826FC" w:rsidRDefault="00F826FC" w:rsidP="00F826FC">
      <w:pPr>
        <w:jc w:val="center"/>
        <w:rPr>
          <w:sz w:val="16"/>
          <w:szCs w:val="16"/>
        </w:rPr>
      </w:pPr>
    </w:p>
    <w:p w:rsidR="00F826FC" w:rsidRDefault="00F826FC" w:rsidP="00F826FC">
      <w:pPr>
        <w:jc w:val="center"/>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375.</w:t>
      </w:r>
      <w:r>
        <w:rPr>
          <w:sz w:val="16"/>
          <w:szCs w:val="16"/>
        </w:rPr>
        <w:tab/>
        <w:t>P-2011-2273650</w:t>
      </w:r>
      <w:r>
        <w:rPr>
          <w:sz w:val="16"/>
          <w:szCs w:val="16"/>
        </w:rPr>
        <w:tab/>
      </w:r>
      <w:r>
        <w:rPr>
          <w:sz w:val="16"/>
          <w:szCs w:val="16"/>
        </w:rPr>
        <w:tab/>
        <w:t>FirstEnergy Companies</w:t>
      </w:r>
      <w:r>
        <w:rPr>
          <w:sz w:val="16"/>
          <w:szCs w:val="16"/>
        </w:rPr>
        <w:tab/>
      </w:r>
      <w:r>
        <w:rPr>
          <w:sz w:val="16"/>
          <w:szCs w:val="16"/>
        </w:rPr>
        <w:tab/>
      </w:r>
      <w:r>
        <w:rPr>
          <w:sz w:val="16"/>
          <w:szCs w:val="16"/>
        </w:rPr>
        <w:tab/>
        <w:t>Pennsylvania</w:t>
      </w:r>
      <w:r>
        <w:rPr>
          <w:sz w:val="16"/>
          <w:szCs w:val="16"/>
        </w:rPr>
        <w:tab/>
      </w:r>
      <w:r>
        <w:rPr>
          <w:sz w:val="16"/>
          <w:szCs w:val="16"/>
        </w:rPr>
        <w:tab/>
        <w:t xml:space="preserve">Office of Consumer </w:t>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February 2012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Advocate</w:t>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r>
    </w:p>
    <w:p w:rsidR="00F826FC" w:rsidRDefault="00F826FC" w:rsidP="00F826FC">
      <w:pPr>
        <w:jc w:val="center"/>
        <w:rPr>
          <w:sz w:val="16"/>
          <w:szCs w:val="16"/>
        </w:rPr>
      </w:pP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402.</w:t>
      </w:r>
      <w:r>
        <w:rPr>
          <w:sz w:val="16"/>
          <w:szCs w:val="16"/>
        </w:rPr>
        <w:tab/>
        <w:t>P-2013-237-1666</w:t>
      </w:r>
      <w:r>
        <w:rPr>
          <w:sz w:val="16"/>
          <w:szCs w:val="16"/>
        </w:rPr>
        <w:tab/>
      </w:r>
      <w:r>
        <w:rPr>
          <w:sz w:val="16"/>
          <w:szCs w:val="16"/>
        </w:rPr>
        <w:tab/>
        <w:t>Pike County Light</w:t>
      </w:r>
      <w:r>
        <w:rPr>
          <w:sz w:val="16"/>
          <w:szCs w:val="16"/>
        </w:rPr>
        <w:tab/>
      </w:r>
      <w:r>
        <w:rPr>
          <w:sz w:val="16"/>
          <w:szCs w:val="16"/>
        </w:rPr>
        <w:tab/>
      </w:r>
      <w:r>
        <w:rPr>
          <w:sz w:val="16"/>
          <w:szCs w:val="16"/>
        </w:rPr>
        <w:tab/>
        <w:t>Pennsylvania</w:t>
      </w:r>
      <w:r>
        <w:rPr>
          <w:sz w:val="16"/>
          <w:szCs w:val="16"/>
        </w:rPr>
        <w:tab/>
      </w:r>
      <w:r>
        <w:rPr>
          <w:sz w:val="16"/>
          <w:szCs w:val="16"/>
        </w:rPr>
        <w:tab/>
        <w:t>Office of Consumer</w:t>
      </w:r>
      <w:r>
        <w:rPr>
          <w:sz w:val="16"/>
          <w:szCs w:val="16"/>
        </w:rPr>
        <w:tab/>
      </w:r>
      <w:r>
        <w:rPr>
          <w:sz w:val="16"/>
          <w:szCs w:val="16"/>
        </w:rPr>
        <w:tab/>
      </w:r>
    </w:p>
    <w:p w:rsidR="00F826FC" w:rsidRDefault="00F826FC" w:rsidP="00F826FC">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2013</w:t>
      </w:r>
      <w:r>
        <w:rPr>
          <w:sz w:val="16"/>
          <w:szCs w:val="16"/>
        </w:rPr>
        <w:tab/>
      </w:r>
      <w:r>
        <w:rPr>
          <w:sz w:val="16"/>
          <w:szCs w:val="16"/>
        </w:rPr>
        <w:tab/>
        <w:t>and Power Co.</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Advocate</w:t>
      </w:r>
      <w:r>
        <w:rPr>
          <w:sz w:val="16"/>
          <w:szCs w:val="16"/>
        </w:rPr>
        <w:tab/>
      </w:r>
      <w:r>
        <w:rPr>
          <w:sz w:val="16"/>
          <w:szCs w:val="16"/>
        </w:rPr>
        <w:tab/>
      </w:r>
      <w:r>
        <w:rPr>
          <w:sz w:val="16"/>
          <w:szCs w:val="16"/>
        </w:rPr>
        <w:tab/>
      </w:r>
      <w:r>
        <w:rPr>
          <w:sz w:val="16"/>
          <w:szCs w:val="16"/>
        </w:rPr>
        <w:tab/>
      </w:r>
    </w:p>
    <w:p w:rsidR="00F826FC" w:rsidRPr="00C214E5" w:rsidRDefault="00F826FC" w:rsidP="00F826FC">
      <w:pPr>
        <w:jc w:val="center"/>
        <w:rPr>
          <w:sz w:val="16"/>
          <w:szCs w:val="16"/>
        </w:rPr>
      </w:pPr>
    </w:p>
    <w:p w:rsidR="00743C7F" w:rsidRDefault="00743C7F" w:rsidP="009055F3">
      <w:pPr>
        <w:suppressLineNumbers/>
        <w:rPr>
          <w:rFonts w:cs="Times New Roman"/>
          <w:sz w:val="22"/>
        </w:rPr>
      </w:pPr>
    </w:p>
    <w:sectPr w:rsidR="00743C7F" w:rsidSect="0019041E">
      <w:headerReference w:type="default" r:id="rId32"/>
      <w:footerReference w:type="default" r:id="rId33"/>
      <w:pgSz w:w="12240" w:h="15840" w:code="1"/>
      <w:pgMar w:top="1440" w:right="1440" w:bottom="1440" w:left="1440" w:header="1440" w:footer="1440" w:gutter="0"/>
      <w:pgBorders>
        <w:top w:val="single" w:sz="12" w:space="1" w:color="auto" w:shadow="1"/>
        <w:left w:val="single" w:sz="12" w:space="4" w:color="auto" w:shadow="1"/>
        <w:bottom w:val="single" w:sz="12" w:space="1" w:color="auto" w:shadow="1"/>
        <w:right w:val="single" w:sz="12" w:space="4" w:color="auto" w:shadow="1"/>
      </w:pgBorders>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41E" w:rsidRDefault="0019041E">
      <w:r>
        <w:separator/>
      </w:r>
    </w:p>
    <w:p w:rsidR="0019041E" w:rsidRDefault="0019041E"/>
  </w:endnote>
  <w:endnote w:type="continuationSeparator" w:id="0">
    <w:p w:rsidR="0019041E" w:rsidRDefault="0019041E">
      <w:r>
        <w:continuationSeparator/>
      </w:r>
    </w:p>
    <w:p w:rsidR="0019041E" w:rsidRDefault="00190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A58" w:rsidRDefault="00DD2A5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Default="0019041E">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Default="0019041E" w:rsidP="0019041E">
    <w:pPr>
      <w:jc w:val="right"/>
    </w:pPr>
    <w:r>
      <w:rPr>
        <w:rStyle w:val="PageNumber"/>
      </w:rPr>
      <w:fldChar w:fldCharType="begin"/>
    </w:r>
    <w:r>
      <w:rPr>
        <w:rStyle w:val="PageNumber"/>
      </w:rPr>
      <w:instrText xml:space="preserve"> PAGE </w:instrText>
    </w:r>
    <w:r>
      <w:rPr>
        <w:rStyle w:val="PageNumber"/>
      </w:rPr>
      <w:fldChar w:fldCharType="separate"/>
    </w:r>
    <w:r w:rsidR="00DD2A58">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A58" w:rsidRDefault="00DD2A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A58" w:rsidRDefault="00DD2A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054094"/>
      <w:docPartObj>
        <w:docPartGallery w:val="Page Numbers (Bottom of Page)"/>
        <w:docPartUnique/>
      </w:docPartObj>
    </w:sdtPr>
    <w:sdtEndPr>
      <w:rPr>
        <w:noProof/>
      </w:rPr>
    </w:sdtEndPr>
    <w:sdtContent>
      <w:p w:rsidR="0019041E" w:rsidRDefault="0019041E">
        <w:pPr>
          <w:pStyle w:val="Footer"/>
          <w:jc w:val="center"/>
        </w:pPr>
        <w:r>
          <w:fldChar w:fldCharType="begin"/>
        </w:r>
        <w:r>
          <w:instrText xml:space="preserve"> PAGE   \* MERGEFORMAT </w:instrText>
        </w:r>
        <w:r>
          <w:fldChar w:fldCharType="separate"/>
        </w:r>
        <w:r w:rsidR="00D90228">
          <w:rPr>
            <w:noProof/>
          </w:rPr>
          <w:t>i</w:t>
        </w:r>
        <w:r>
          <w:rPr>
            <w:noProof/>
          </w:rPr>
          <w:fldChar w:fldCharType="end"/>
        </w:r>
      </w:p>
    </w:sdtContent>
  </w:sdt>
  <w:p w:rsidR="0019041E" w:rsidRDefault="0019041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102953"/>
      <w:docPartObj>
        <w:docPartGallery w:val="Page Numbers (Bottom of Page)"/>
        <w:docPartUnique/>
      </w:docPartObj>
    </w:sdtPr>
    <w:sdtEndPr>
      <w:rPr>
        <w:noProof/>
      </w:rPr>
    </w:sdtEndPr>
    <w:sdtContent>
      <w:p w:rsidR="0019041E" w:rsidRDefault="0019041E">
        <w:pPr>
          <w:pStyle w:val="Footer"/>
          <w:jc w:val="center"/>
        </w:pPr>
        <w:r>
          <w:fldChar w:fldCharType="begin"/>
        </w:r>
        <w:r>
          <w:instrText xml:space="preserve"> PAGE   \* MERGEFORMAT </w:instrText>
        </w:r>
        <w:r>
          <w:fldChar w:fldCharType="separate"/>
        </w:r>
        <w:r w:rsidR="00D90228">
          <w:rPr>
            <w:noProof/>
          </w:rPr>
          <w:t>1</w:t>
        </w:r>
        <w:r>
          <w:rPr>
            <w:noProof/>
          </w:rPr>
          <w:fldChar w:fldCharType="end"/>
        </w:r>
      </w:p>
    </w:sdtContent>
  </w:sdt>
  <w:p w:rsidR="0019041E" w:rsidRDefault="0019041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Default="0019041E">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Default="0019041E">
    <w:pPr>
      <w:jc w:val="right"/>
    </w:pPr>
    <w:r>
      <w:rPr>
        <w:rStyle w:val="PageNumber"/>
      </w:rPr>
      <w:fldChar w:fldCharType="begin"/>
    </w:r>
    <w:r>
      <w:rPr>
        <w:rStyle w:val="PageNumber"/>
      </w:rPr>
      <w:instrText xml:space="preserve"> PAGE </w:instrText>
    </w:r>
    <w:r>
      <w:rPr>
        <w:rStyle w:val="PageNumber"/>
      </w:rPr>
      <w:fldChar w:fldCharType="separate"/>
    </w:r>
    <w:r w:rsidR="00DD2A58">
      <w:rPr>
        <w:rStyle w:val="PageNumber"/>
        <w:noProof/>
      </w:rPr>
      <w:t>8</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Default="0019041E">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Default="0019041E" w:rsidP="0019041E">
    <w:pPr>
      <w:jc w:val="right"/>
    </w:pPr>
    <w:r>
      <w:rPr>
        <w:rStyle w:val="PageNumber"/>
      </w:rPr>
      <w:fldChar w:fldCharType="begin"/>
    </w:r>
    <w:r>
      <w:rPr>
        <w:rStyle w:val="PageNumber"/>
      </w:rPr>
      <w:instrText xml:space="preserve"> PAGE </w:instrText>
    </w:r>
    <w:r>
      <w:rPr>
        <w:rStyle w:val="PageNumber"/>
      </w:rPr>
      <w:fldChar w:fldCharType="separate"/>
    </w:r>
    <w:r w:rsidR="00DD2A58">
      <w:rPr>
        <w:rStyle w:val="PageNumber"/>
        <w:noProof/>
      </w:rPr>
      <w:t>28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41E" w:rsidRDefault="0019041E">
      <w:r>
        <w:separator/>
      </w:r>
    </w:p>
  </w:footnote>
  <w:footnote w:type="continuationSeparator" w:id="0">
    <w:p w:rsidR="0019041E" w:rsidRDefault="0019041E">
      <w:r>
        <w:continuationSeparator/>
      </w:r>
    </w:p>
  </w:footnote>
  <w:footnote w:type="continuationNotice" w:id="1">
    <w:p w:rsidR="0019041E" w:rsidRDefault="0019041E"/>
  </w:footnote>
  <w:footnote w:id="2">
    <w:p w:rsidR="0019041E" w:rsidRDefault="0019041E" w:rsidP="00930C56">
      <w:pPr>
        <w:pStyle w:val="FootnoteText"/>
        <w:spacing w:after="120"/>
      </w:pPr>
      <w:r>
        <w:rPr>
          <w:rStyle w:val="FootnoteReference"/>
        </w:rPr>
        <w:footnoteRef/>
      </w:r>
      <w:r>
        <w:t xml:space="preserve"> Allen testimony, at 4.</w:t>
      </w:r>
    </w:p>
  </w:footnote>
  <w:footnote w:id="3">
    <w:p w:rsidR="0019041E" w:rsidRDefault="0019041E" w:rsidP="00930C56">
      <w:pPr>
        <w:pStyle w:val="FootnoteText"/>
        <w:spacing w:after="120"/>
      </w:pPr>
      <w:r>
        <w:rPr>
          <w:rStyle w:val="FootnoteReference"/>
        </w:rPr>
        <w:footnoteRef/>
      </w:r>
      <w:r>
        <w:t xml:space="preserve"> </w:t>
      </w:r>
      <w:r w:rsidRPr="003137F0">
        <w:rPr>
          <w:i/>
        </w:rPr>
        <w:t>Id.</w:t>
      </w:r>
      <w:r>
        <w:t>, at 5.</w:t>
      </w:r>
    </w:p>
  </w:footnote>
  <w:footnote w:id="4">
    <w:p w:rsidR="0019041E" w:rsidRDefault="0019041E" w:rsidP="00930C56">
      <w:pPr>
        <w:pStyle w:val="FootnoteText"/>
        <w:spacing w:after="120"/>
      </w:pPr>
      <w:r>
        <w:rPr>
          <w:rStyle w:val="FootnoteReference"/>
        </w:rPr>
        <w:footnoteRef/>
      </w:r>
      <w:r>
        <w:t xml:space="preserve"> </w:t>
      </w:r>
      <w:r>
        <w:rPr>
          <w:i/>
        </w:rPr>
        <w:t>In the Matter of the Application of Columbus Southern Power Company and Ohio Power Company for Authority to Establish a Standard Service Offer Pursuant to Section 4928.143 Revised Code, in the form of an Electric Security Plan, Opinion and Order</w:t>
      </w:r>
      <w:r>
        <w:t>, Case Nos. 11-346-EL-SSO and 11-348-EL-SSO, August 8, 2012, at 76.</w:t>
      </w:r>
    </w:p>
  </w:footnote>
  <w:footnote w:id="5">
    <w:p w:rsidR="0019041E" w:rsidRDefault="0019041E" w:rsidP="00930C56">
      <w:pPr>
        <w:pStyle w:val="FootnoteText"/>
        <w:spacing w:after="120"/>
      </w:pPr>
      <w:r>
        <w:rPr>
          <w:rStyle w:val="FootnoteReference"/>
        </w:rPr>
        <w:footnoteRef/>
      </w:r>
      <w:r>
        <w:t xml:space="preserve"> </w:t>
      </w:r>
      <w:r>
        <w:rPr>
          <w:i/>
        </w:rPr>
        <w:t>In the Matter of the Application of Columbus Southern Power Company and Ohio Power Company for Authority to Establish a Standard Service Offer Pursuant to Section 4928.143 Revised Code, in the form of an Electric Security Plan, Opinion and Order</w:t>
      </w:r>
      <w:r>
        <w:t>, Case Nos. 11-346-EL-SSO and 11-348-EL-SSO, August 8, 2012, at 70-77.</w:t>
      </w:r>
    </w:p>
  </w:footnote>
  <w:footnote w:id="6">
    <w:p w:rsidR="0019041E" w:rsidRPr="00D1677D" w:rsidRDefault="0019041E" w:rsidP="00930C56">
      <w:pPr>
        <w:pStyle w:val="FootnoteText"/>
        <w:spacing w:after="120"/>
      </w:pPr>
      <w:r>
        <w:rPr>
          <w:rStyle w:val="FootnoteReference"/>
        </w:rPr>
        <w:footnoteRef/>
      </w:r>
      <w:r>
        <w:rPr>
          <w:i/>
        </w:rPr>
        <w:t xml:space="preserve"> Id.</w:t>
      </w:r>
      <w:r>
        <w:t>, at 75.</w:t>
      </w:r>
    </w:p>
  </w:footnote>
  <w:footnote w:id="7">
    <w:p w:rsidR="0019041E" w:rsidRDefault="0019041E" w:rsidP="00930C56">
      <w:pPr>
        <w:pStyle w:val="FootnoteText"/>
        <w:spacing w:after="120"/>
      </w:pPr>
      <w:r>
        <w:rPr>
          <w:rStyle w:val="FootnoteReference"/>
        </w:rPr>
        <w:footnoteRef/>
      </w:r>
      <w:r>
        <w:t xml:space="preserve"> </w:t>
      </w:r>
      <w:r w:rsidRPr="004830D2">
        <w:rPr>
          <w:i/>
        </w:rPr>
        <w:t>Id.</w:t>
      </w:r>
    </w:p>
  </w:footnote>
  <w:footnote w:id="8">
    <w:p w:rsidR="0019041E" w:rsidRDefault="0019041E" w:rsidP="00930C56">
      <w:pPr>
        <w:pStyle w:val="FootnoteText"/>
        <w:spacing w:after="120"/>
      </w:pPr>
      <w:r>
        <w:rPr>
          <w:rStyle w:val="FootnoteReference"/>
        </w:rPr>
        <w:footnoteRef/>
      </w:r>
      <w:r>
        <w:t xml:space="preserve"> </w:t>
      </w:r>
      <w:r w:rsidRPr="004830D2">
        <w:rPr>
          <w:i/>
        </w:rPr>
        <w:t>Id.</w:t>
      </w:r>
      <w:r w:rsidRPr="004830D2">
        <w:t>,</w:t>
      </w:r>
      <w:r>
        <w:t xml:space="preserve"> at 76.</w:t>
      </w:r>
    </w:p>
  </w:footnote>
  <w:footnote w:id="9">
    <w:p w:rsidR="0019041E" w:rsidRDefault="0019041E" w:rsidP="00930C56">
      <w:pPr>
        <w:pStyle w:val="FootnoteText"/>
        <w:spacing w:after="120"/>
      </w:pPr>
      <w:r>
        <w:rPr>
          <w:rStyle w:val="FootnoteReference"/>
        </w:rPr>
        <w:footnoteRef/>
      </w:r>
      <w:r>
        <w:t xml:space="preserve"> Allen, direct testimony, at 4.</w:t>
      </w:r>
    </w:p>
  </w:footnote>
  <w:footnote w:id="10">
    <w:p w:rsidR="0019041E" w:rsidRDefault="0019041E" w:rsidP="00930C56">
      <w:pPr>
        <w:pStyle w:val="FootnoteText"/>
        <w:spacing w:after="120"/>
      </w:pPr>
      <w:r>
        <w:rPr>
          <w:rStyle w:val="FootnoteReference"/>
        </w:rPr>
        <w:footnoteRef/>
      </w:r>
      <w:r>
        <w:t xml:space="preserve"> </w:t>
      </w:r>
      <w:r w:rsidRPr="00F16FBE">
        <w:rPr>
          <w:i/>
        </w:rPr>
        <w:t>Id</w:t>
      </w:r>
      <w:r>
        <w:t>., at 4.</w:t>
      </w:r>
    </w:p>
  </w:footnote>
  <w:footnote w:id="11">
    <w:p w:rsidR="0019041E" w:rsidRDefault="0019041E" w:rsidP="00930C56">
      <w:pPr>
        <w:pStyle w:val="FootnoteText"/>
        <w:spacing w:after="120"/>
      </w:pPr>
      <w:r>
        <w:rPr>
          <w:rStyle w:val="FootnoteReference"/>
        </w:rPr>
        <w:footnoteRef/>
      </w:r>
      <w:r>
        <w:t xml:space="preserve"> Vegas, direct testimony, at 7-8.</w:t>
      </w:r>
    </w:p>
  </w:footnote>
  <w:footnote w:id="12">
    <w:p w:rsidR="0019041E" w:rsidRDefault="0019041E" w:rsidP="00930C56">
      <w:pPr>
        <w:pStyle w:val="FootnoteText"/>
        <w:spacing w:after="120"/>
      </w:pPr>
      <w:r>
        <w:rPr>
          <w:rStyle w:val="FootnoteReference"/>
        </w:rPr>
        <w:footnoteRef/>
      </w:r>
      <w:r>
        <w:t xml:space="preserve"> See Roush Exhibit DMR-1.</w:t>
      </w:r>
    </w:p>
  </w:footnote>
  <w:footnote w:id="13">
    <w:p w:rsidR="0019041E" w:rsidRDefault="0019041E" w:rsidP="00930C56">
      <w:pPr>
        <w:pStyle w:val="FootnoteText"/>
        <w:spacing w:after="120"/>
      </w:pPr>
      <w:r>
        <w:rPr>
          <w:rStyle w:val="FootnoteReference"/>
        </w:rPr>
        <w:footnoteRef/>
      </w:r>
      <w:r>
        <w:t xml:space="preserve"> For consistency with the Utility’s proposal, the DIR is adjusted to include Phase I of gridSMART.</w:t>
      </w:r>
    </w:p>
  </w:footnote>
  <w:footnote w:id="14">
    <w:p w:rsidR="0019041E" w:rsidRDefault="0019041E" w:rsidP="00930C56">
      <w:pPr>
        <w:pStyle w:val="FootnoteText"/>
        <w:spacing w:after="120"/>
      </w:pPr>
      <w:r>
        <w:rPr>
          <w:rStyle w:val="FootnoteReference"/>
        </w:rPr>
        <w:footnoteRef/>
      </w:r>
      <w:r>
        <w:t xml:space="preserve"> </w:t>
      </w:r>
      <w:r>
        <w:rPr>
          <w:i/>
        </w:rPr>
        <w:t>In the Matter of the Application of Columbus Southern Power Company and Ohio Power Company, Individually and if Their Proposed Merger is Approved as a Merged Company (collectively AEP Ohio) for an Increase in Distribution Rates</w:t>
      </w:r>
      <w:r>
        <w:t>, Joint Stipulation and Recommendation, Case Nos. 11-351-EL-AIR and 11-352-EL-AIR.</w:t>
      </w:r>
    </w:p>
  </w:footnote>
  <w:footnote w:id="15">
    <w:p w:rsidR="0019041E" w:rsidRDefault="0019041E" w:rsidP="00930C56">
      <w:pPr>
        <w:pStyle w:val="FootnoteText"/>
        <w:spacing w:after="120"/>
      </w:pPr>
      <w:r>
        <w:rPr>
          <w:rStyle w:val="FootnoteReference"/>
        </w:rPr>
        <w:footnoteRef/>
      </w:r>
      <w:r>
        <w:t xml:space="preserve"> Gabbard direct testimony, at 3.</w:t>
      </w:r>
    </w:p>
  </w:footnote>
  <w:footnote w:id="16">
    <w:p w:rsidR="0019041E" w:rsidRDefault="0019041E" w:rsidP="00930C56">
      <w:pPr>
        <w:pStyle w:val="FootnoteText"/>
        <w:spacing w:after="120"/>
      </w:pPr>
      <w:r>
        <w:rPr>
          <w:rStyle w:val="FootnoteReference"/>
        </w:rPr>
        <w:footnoteRef/>
      </w:r>
      <w:r>
        <w:t xml:space="preserve"> </w:t>
      </w:r>
      <w:r w:rsidRPr="00B37464">
        <w:rPr>
          <w:i/>
        </w:rPr>
        <w:t>Id.</w:t>
      </w:r>
      <w:r>
        <w:t>, at 7.</w:t>
      </w:r>
    </w:p>
  </w:footnote>
  <w:footnote w:id="17">
    <w:p w:rsidR="0019041E" w:rsidRDefault="0019041E" w:rsidP="00930C56">
      <w:pPr>
        <w:pStyle w:val="FootnoteText"/>
        <w:spacing w:after="120"/>
      </w:pPr>
      <w:r>
        <w:rPr>
          <w:rStyle w:val="FootnoteReference"/>
        </w:rPr>
        <w:footnoteRef/>
      </w:r>
      <w:r>
        <w:t xml:space="preserve"> </w:t>
      </w:r>
      <w:r w:rsidRPr="00B37464">
        <w:rPr>
          <w:i/>
        </w:rPr>
        <w:t>Id.</w:t>
      </w:r>
      <w:r>
        <w:t>, at 10.</w:t>
      </w:r>
    </w:p>
  </w:footnote>
  <w:footnote w:id="18">
    <w:p w:rsidR="0019041E" w:rsidRDefault="0019041E" w:rsidP="00930C56">
      <w:pPr>
        <w:pStyle w:val="FootnoteText"/>
        <w:spacing w:after="120"/>
      </w:pPr>
      <w:r>
        <w:rPr>
          <w:rStyle w:val="FootnoteReference"/>
        </w:rPr>
        <w:footnoteRef/>
      </w:r>
      <w:r>
        <w:t xml:space="preserve"> </w:t>
      </w:r>
      <w:r w:rsidRPr="00B37464">
        <w:rPr>
          <w:i/>
        </w:rPr>
        <w:t>Id</w:t>
      </w:r>
      <w:r>
        <w:t>., at  9.</w:t>
      </w:r>
    </w:p>
  </w:footnote>
  <w:footnote w:id="19">
    <w:p w:rsidR="0019041E" w:rsidRDefault="0019041E" w:rsidP="00930C56">
      <w:pPr>
        <w:pStyle w:val="FootnoteText"/>
        <w:spacing w:after="120"/>
      </w:pPr>
      <w:r>
        <w:rPr>
          <w:rStyle w:val="FootnoteReference"/>
        </w:rPr>
        <w:footnoteRef/>
      </w:r>
      <w:r>
        <w:t xml:space="preserve"> </w:t>
      </w:r>
      <w:r w:rsidRPr="00B37464">
        <w:rPr>
          <w:i/>
        </w:rPr>
        <w:t>Id</w:t>
      </w:r>
      <w:r>
        <w:t>., at 4.</w:t>
      </w:r>
    </w:p>
  </w:footnote>
  <w:footnote w:id="20">
    <w:p w:rsidR="0019041E" w:rsidRDefault="0019041E" w:rsidP="00930C56">
      <w:pPr>
        <w:pStyle w:val="FootnoteText"/>
        <w:spacing w:after="120"/>
      </w:pPr>
      <w:r>
        <w:rPr>
          <w:rStyle w:val="FootnoteReference"/>
        </w:rPr>
        <w:footnoteRef/>
      </w:r>
      <w:r>
        <w:t xml:space="preserve"> </w:t>
      </w:r>
      <w:r w:rsidRPr="00B37464">
        <w:rPr>
          <w:i/>
        </w:rPr>
        <w:t>Id</w:t>
      </w:r>
      <w:r>
        <w:t>., at 5-6.</w:t>
      </w:r>
    </w:p>
  </w:footnote>
  <w:footnote w:id="21">
    <w:p w:rsidR="0019041E" w:rsidRDefault="0019041E" w:rsidP="00930C56">
      <w:pPr>
        <w:pStyle w:val="FootnoteText"/>
        <w:spacing w:after="120"/>
      </w:pPr>
      <w:r>
        <w:rPr>
          <w:rStyle w:val="FootnoteReference"/>
        </w:rPr>
        <w:footnoteRef/>
      </w:r>
      <w:r>
        <w:t xml:space="preserve"> The economic case subsidies date back to the 18</w:t>
      </w:r>
      <w:r>
        <w:rPr>
          <w:vertAlign w:val="superscript"/>
        </w:rPr>
        <w:t>th</w:t>
      </w:r>
      <w:r>
        <w:t xml:space="preserve"> century “infant industry” argument of Alexander Hamilton.</w:t>
      </w:r>
    </w:p>
  </w:footnote>
  <w:footnote w:id="22">
    <w:p w:rsidR="0019041E" w:rsidRDefault="0019041E" w:rsidP="00930C56">
      <w:pPr>
        <w:pStyle w:val="FootnoteText"/>
        <w:spacing w:after="120"/>
      </w:pPr>
      <w:r>
        <w:rPr>
          <w:rStyle w:val="FootnoteReference"/>
        </w:rPr>
        <w:footnoteRef/>
      </w:r>
      <w:r>
        <w:t xml:space="preserve"> It is even possible that a highly subsidized POR program could increase SSO prices by creating uncertainty on the part of wholesale bidders in the Utility’s DCAs.  This is referred to as “volumetric risk,” which is priced into the DCA bids.</w:t>
      </w:r>
    </w:p>
  </w:footnote>
  <w:footnote w:id="23">
    <w:p w:rsidR="0019041E" w:rsidRDefault="0019041E" w:rsidP="00930C56">
      <w:pPr>
        <w:pStyle w:val="FootnoteText"/>
        <w:spacing w:after="120"/>
      </w:pPr>
      <w:r>
        <w:rPr>
          <w:rStyle w:val="FootnoteReference"/>
        </w:rPr>
        <w:footnoteRef/>
      </w:r>
      <w:r>
        <w:t xml:space="preserve"> LaCasse direct testimony, at 9.</w:t>
      </w:r>
    </w:p>
  </w:footnote>
  <w:footnote w:id="24">
    <w:p w:rsidR="0019041E" w:rsidRDefault="0019041E" w:rsidP="00930C56">
      <w:pPr>
        <w:pStyle w:val="FootnoteText"/>
        <w:spacing w:after="120"/>
      </w:pPr>
      <w:r>
        <w:rPr>
          <w:rStyle w:val="FootnoteReference"/>
        </w:rPr>
        <w:footnoteRef/>
      </w:r>
      <w:r>
        <w:t xml:space="preserve"> At page 11 of her testimony, Dr. LaCasse states that the proposed portfolio would be about 2/3 one-year contracts and one-third two-year contracts.  However, her Exhibit CL-10 seems to imply that this would just be in the first two years.  If that is in fact her proposal, than over the full three years, only about 22 percent of SSO load would be served with two-year contracts, making the portfolio even more skewed.  The Utility should clarify this ambiguity.</w:t>
      </w:r>
    </w:p>
  </w:footnote>
  <w:footnote w:id="25">
    <w:p w:rsidR="0019041E" w:rsidRDefault="0019041E" w:rsidP="00930C56">
      <w:pPr>
        <w:pStyle w:val="FootnoteText"/>
        <w:spacing w:after="120"/>
      </w:pPr>
      <w:r>
        <w:rPr>
          <w:rStyle w:val="FootnoteReference"/>
        </w:rPr>
        <w:footnoteRef/>
      </w:r>
      <w:r>
        <w:t xml:space="preserve"> </w:t>
      </w:r>
      <w:r>
        <w:rPr>
          <w:i/>
        </w:rPr>
        <w:t xml:space="preserve">In the Matter of Ohio Edison Company, the Cleveland Electric Illuminating Company, and the Toledo Edison Company for Authority to Provide for a Standard Service Offer Pursuant to Section 4928.143, Revised Code, in the form of an Electric Security Plan, Opinion and Order, </w:t>
      </w:r>
      <w:r w:rsidRPr="00EA3943">
        <w:t>July 18, 2012, at 56.</w:t>
      </w:r>
    </w:p>
  </w:footnote>
  <w:footnote w:id="26">
    <w:p w:rsidR="0019041E" w:rsidRDefault="0019041E" w:rsidP="00930C56">
      <w:pPr>
        <w:pStyle w:val="FootnoteText"/>
        <w:spacing w:after="120"/>
      </w:pPr>
      <w:r>
        <w:rPr>
          <w:rStyle w:val="FootnoteReference"/>
        </w:rPr>
        <w:footnoteRef/>
      </w:r>
      <w:r>
        <w:t xml:space="preserve"> Roush Exhibit DMR-2, page 3 of 4.  Line 5 shows residential sales of 10.5 million MWh per year out of a total of 17.0 million MWh.</w:t>
      </w:r>
    </w:p>
  </w:footnote>
  <w:footnote w:id="27">
    <w:p w:rsidR="0019041E" w:rsidRPr="00B15D58" w:rsidRDefault="0019041E" w:rsidP="00930C56">
      <w:pPr>
        <w:pStyle w:val="FootnoteText"/>
        <w:spacing w:after="120"/>
      </w:pPr>
      <w:r>
        <w:rPr>
          <w:rStyle w:val="FootnoteReference"/>
        </w:rPr>
        <w:footnoteRef/>
      </w:r>
      <w:r>
        <w:t xml:space="preserve"> </w:t>
      </w:r>
      <w:r>
        <w:rPr>
          <w:i/>
        </w:rPr>
        <w:t>Id</w:t>
      </w:r>
      <w:r>
        <w:t>., line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A58" w:rsidRDefault="00DD2A5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Default="0019041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Default="0019041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Default="0019041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Default="0019041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Pr="0029480B" w:rsidRDefault="0019041E" w:rsidP="0019041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Pr="00A036C3" w:rsidRDefault="0019041E" w:rsidP="0019041E">
    <w:pPr>
      <w:tabs>
        <w:tab w:val="left" w:pos="-1440"/>
        <w:tab w:val="left" w:pos="-720"/>
        <w:tab w:val="left" w:pos="1"/>
        <w:tab w:val="left" w:pos="720"/>
        <w:tab w:val="left" w:pos="1440"/>
        <w:tab w:val="left" w:pos="2160"/>
        <w:tab w:val="left" w:pos="29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1)" w:hAnsi="Times New (W1)" w:cs="Times New (W1)"/>
        <w:sz w:val="18"/>
        <w:szCs w:val="18"/>
      </w:rPr>
    </w:pPr>
    <w:r w:rsidRPr="00A036C3">
      <w:rPr>
        <w:rFonts w:ascii="Times New (W1)" w:hAnsi="Times New (W1)" w:cs="Times New (W1)"/>
        <w:sz w:val="18"/>
        <w:szCs w:val="18"/>
      </w:rPr>
      <w:t>Expert Testimony</w:t>
    </w:r>
  </w:p>
  <w:p w:rsidR="0019041E" w:rsidRDefault="0019041E" w:rsidP="0019041E">
    <w:pPr>
      <w:tabs>
        <w:tab w:val="left" w:pos="-1440"/>
        <w:tab w:val="left" w:pos="-720"/>
        <w:tab w:val="left" w:pos="0"/>
        <w:tab w:val="left" w:pos="720"/>
        <w:tab w:val="left" w:pos="1440"/>
        <w:tab w:val="left" w:pos="2160"/>
        <w:tab w:val="left" w:pos="29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szCs w:val="16"/>
      </w:rPr>
    </w:pPr>
    <w:r>
      <w:rPr>
        <w:rFonts w:ascii="Times New (W1)" w:hAnsi="Times New (W1)" w:cs="Times New (W1)"/>
        <w:sz w:val="18"/>
        <w:szCs w:val="18"/>
        <w:u w:val="single"/>
      </w:rPr>
      <w:t>of Matthew I. Kahal</w:t>
    </w:r>
  </w:p>
  <w:p w:rsidR="0019041E" w:rsidRDefault="0019041E" w:rsidP="0019041E">
    <w:pPr>
      <w:tabs>
        <w:tab w:val="left" w:pos="-1440"/>
        <w:tab w:val="left" w:pos="-720"/>
        <w:tab w:val="left" w:pos="0"/>
        <w:tab w:val="left" w:pos="720"/>
        <w:tab w:val="left" w:pos="1440"/>
        <w:tab w:val="left" w:pos="2160"/>
        <w:tab w:val="left" w:pos="29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19041E" w:rsidRPr="0029480B" w:rsidRDefault="0019041E" w:rsidP="0019041E">
    <w:pPr>
      <w:tabs>
        <w:tab w:val="left" w:pos="-1440"/>
        <w:tab w:val="left" w:pos="-720"/>
        <w:tab w:val="left" w:pos="600"/>
        <w:tab w:val="left" w:pos="2640"/>
        <w:tab w:val="left" w:pos="5280"/>
        <w:tab w:val="left" w:pos="6930"/>
        <w:tab w:val="left" w:pos="7470"/>
        <w:tab w:val="left" w:pos="9810"/>
        <w:tab w:val="left" w:pos="10170"/>
      </w:tabs>
      <w:rPr>
        <w:sz w:val="16"/>
        <w:szCs w:val="16"/>
      </w:rPr>
    </w:pPr>
    <w:r>
      <w:rPr>
        <w:sz w:val="16"/>
        <w:szCs w:val="16"/>
      </w:rPr>
      <w:tab/>
    </w:r>
    <w:r>
      <w:rPr>
        <w:sz w:val="16"/>
        <w:szCs w:val="16"/>
        <w:u w:val="single"/>
      </w:rPr>
      <w:t>Docket Number</w:t>
    </w:r>
    <w:r>
      <w:rPr>
        <w:sz w:val="16"/>
        <w:szCs w:val="16"/>
      </w:rPr>
      <w:tab/>
    </w:r>
    <w:r>
      <w:rPr>
        <w:sz w:val="16"/>
        <w:szCs w:val="16"/>
        <w:u w:val="single"/>
      </w:rPr>
      <w:t>Utility</w:t>
    </w:r>
    <w:r>
      <w:rPr>
        <w:sz w:val="16"/>
        <w:szCs w:val="16"/>
      </w:rPr>
      <w:tab/>
    </w:r>
    <w:r>
      <w:rPr>
        <w:sz w:val="16"/>
        <w:szCs w:val="16"/>
        <w:u w:val="single"/>
      </w:rPr>
      <w:t>Jurisdiction</w:t>
    </w:r>
    <w:r>
      <w:rPr>
        <w:sz w:val="16"/>
        <w:szCs w:val="16"/>
      </w:rPr>
      <w:tab/>
      <w:t xml:space="preserve"> </w:t>
    </w:r>
    <w:r>
      <w:rPr>
        <w:sz w:val="16"/>
        <w:szCs w:val="16"/>
      </w:rPr>
      <w:tab/>
    </w:r>
    <w:r>
      <w:rPr>
        <w:sz w:val="16"/>
        <w:szCs w:val="16"/>
        <w:u w:val="single"/>
      </w:rPr>
      <w:t>Client</w:t>
    </w:r>
    <w:r>
      <w:rPr>
        <w:sz w:val="16"/>
        <w:szCs w:val="16"/>
      </w:rPr>
      <w:tab/>
    </w:r>
    <w:r>
      <w:rPr>
        <w:sz w:val="16"/>
        <w:szCs w:val="16"/>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A58" w:rsidRDefault="00DD2A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A58" w:rsidRDefault="00DD2A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Default="0019041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Default="0019041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Default="0019041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Default="0019041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Pr="00C619CE" w:rsidRDefault="0019041E" w:rsidP="00C619CE">
    <w:pPr>
      <w:suppressLineNumbers/>
      <w:jc w:val="center"/>
      <w:rPr>
        <w:rFonts w:cs="Times New Roman"/>
        <w:bCs/>
        <w:i/>
        <w:iCs/>
      </w:rPr>
    </w:pPr>
    <w:r w:rsidRPr="00C619CE">
      <w:rPr>
        <w:rFonts w:cs="Times New Roman"/>
        <w:bCs/>
        <w:i/>
        <w:iCs/>
      </w:rPr>
      <w:t>Direct Testimony of Matthew I. Kahal</w:t>
    </w:r>
  </w:p>
  <w:p w:rsidR="0019041E" w:rsidRPr="00C619CE" w:rsidRDefault="0019041E" w:rsidP="00743C7F">
    <w:pPr>
      <w:suppressLineNumbers/>
      <w:jc w:val="center"/>
      <w:rPr>
        <w:rFonts w:cs="Times New Roman"/>
        <w:bCs/>
        <w:i/>
        <w:iCs/>
      </w:rPr>
    </w:pPr>
    <w:r w:rsidRPr="00C619CE">
      <w:rPr>
        <w:rFonts w:cs="Times New Roman"/>
        <w:bCs/>
        <w:i/>
        <w:iCs/>
      </w:rPr>
      <w:t>On Behalf of the Office of the Ohio Consumers’ Counsel</w:t>
    </w:r>
  </w:p>
  <w:p w:rsidR="0019041E" w:rsidRPr="00C619CE" w:rsidRDefault="0019041E" w:rsidP="00743C7F">
    <w:pPr>
      <w:suppressLineNumbers/>
      <w:jc w:val="center"/>
      <w:rPr>
        <w:rFonts w:cs="Times New Roman"/>
        <w:bCs/>
        <w:i/>
        <w:iCs/>
      </w:rPr>
    </w:pPr>
    <w:r w:rsidRPr="00C619CE">
      <w:rPr>
        <w:rFonts w:cs="Times New Roman"/>
        <w:bCs/>
        <w:i/>
        <w:iCs/>
      </w:rPr>
      <w:t>PUCO Case Nos. 13-2385-EL-SSO, et al.</w:t>
    </w:r>
  </w:p>
  <w:p w:rsidR="0019041E" w:rsidRDefault="0019041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Default="00190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E9914"/>
    <w:lvl w:ilvl="0">
      <w:start w:val="1"/>
      <w:numFmt w:val="decimal"/>
      <w:lvlText w:val="%1."/>
      <w:lvlJc w:val="left"/>
      <w:pPr>
        <w:tabs>
          <w:tab w:val="num" w:pos="1800"/>
        </w:tabs>
        <w:ind w:left="1800" w:hanging="360"/>
      </w:pPr>
    </w:lvl>
  </w:abstractNum>
  <w:abstractNum w:abstractNumId="1">
    <w:nsid w:val="FFFFFF7D"/>
    <w:multiLevelType w:val="singleLevel"/>
    <w:tmpl w:val="99E8DDA0"/>
    <w:lvl w:ilvl="0">
      <w:start w:val="1"/>
      <w:numFmt w:val="decimal"/>
      <w:lvlText w:val="%1."/>
      <w:lvlJc w:val="left"/>
      <w:pPr>
        <w:tabs>
          <w:tab w:val="num" w:pos="1440"/>
        </w:tabs>
        <w:ind w:left="1440" w:hanging="360"/>
      </w:pPr>
    </w:lvl>
  </w:abstractNum>
  <w:abstractNum w:abstractNumId="2">
    <w:nsid w:val="FFFFFF7E"/>
    <w:multiLevelType w:val="singleLevel"/>
    <w:tmpl w:val="EF425EDC"/>
    <w:lvl w:ilvl="0">
      <w:start w:val="1"/>
      <w:numFmt w:val="decimal"/>
      <w:lvlText w:val="%1."/>
      <w:lvlJc w:val="left"/>
      <w:pPr>
        <w:tabs>
          <w:tab w:val="num" w:pos="1080"/>
        </w:tabs>
        <w:ind w:left="1080" w:hanging="360"/>
      </w:pPr>
    </w:lvl>
  </w:abstractNum>
  <w:abstractNum w:abstractNumId="3">
    <w:nsid w:val="FFFFFF7F"/>
    <w:multiLevelType w:val="singleLevel"/>
    <w:tmpl w:val="153E6E24"/>
    <w:lvl w:ilvl="0">
      <w:start w:val="1"/>
      <w:numFmt w:val="decimal"/>
      <w:lvlText w:val="%1."/>
      <w:lvlJc w:val="left"/>
      <w:pPr>
        <w:tabs>
          <w:tab w:val="num" w:pos="720"/>
        </w:tabs>
        <w:ind w:left="720" w:hanging="360"/>
      </w:pPr>
    </w:lvl>
  </w:abstractNum>
  <w:abstractNum w:abstractNumId="4">
    <w:nsid w:val="FFFFFF80"/>
    <w:multiLevelType w:val="singleLevel"/>
    <w:tmpl w:val="2D02F9B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CE306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3C48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C4849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D66946"/>
    <w:lvl w:ilvl="0">
      <w:start w:val="1"/>
      <w:numFmt w:val="decimal"/>
      <w:lvlText w:val="%1."/>
      <w:lvlJc w:val="left"/>
      <w:pPr>
        <w:tabs>
          <w:tab w:val="num" w:pos="360"/>
        </w:tabs>
        <w:ind w:left="360" w:hanging="360"/>
      </w:pPr>
    </w:lvl>
  </w:abstractNum>
  <w:abstractNum w:abstractNumId="9">
    <w:nsid w:val="FFFFFF89"/>
    <w:multiLevelType w:val="singleLevel"/>
    <w:tmpl w:val="57CA7C50"/>
    <w:lvl w:ilvl="0">
      <w:start w:val="1"/>
      <w:numFmt w:val="bullet"/>
      <w:lvlText w:val=""/>
      <w:lvlJc w:val="left"/>
      <w:pPr>
        <w:tabs>
          <w:tab w:val="num" w:pos="360"/>
        </w:tabs>
        <w:ind w:left="360" w:hanging="360"/>
      </w:pPr>
      <w:rPr>
        <w:rFonts w:ascii="Symbol" w:hAnsi="Symbol" w:hint="default"/>
      </w:rPr>
    </w:lvl>
  </w:abstractNum>
  <w:abstractNum w:abstractNumId="10">
    <w:nsid w:val="0CD0458B"/>
    <w:multiLevelType w:val="multilevel"/>
    <w:tmpl w:val="EF60E95C"/>
    <w:lvl w:ilvl="0">
      <w:start w:val="1"/>
      <w:numFmt w:val="none"/>
      <w:lvlText w:val="Q."/>
      <w:lvlJc w:val="left"/>
      <w:pPr>
        <w:tabs>
          <w:tab w:val="num" w:pos="1440"/>
        </w:tabs>
        <w:ind w:left="1440" w:hanging="1440"/>
      </w:pPr>
      <w:rPr>
        <w:rFonts w:ascii="Times New Roman" w:hAnsi="Times New Roman" w:hint="default"/>
        <w:caps/>
        <w:strike w:val="0"/>
        <w:dstrike w:val="0"/>
        <w:outline w:val="0"/>
        <w:shadow w:val="0"/>
        <w:emboss w:val="0"/>
        <w:imprint w:val="0"/>
        <w:vanish w:val="0"/>
        <w:sz w:val="24"/>
        <w:vertAlign w:val="baseline"/>
      </w:rPr>
    </w:lvl>
    <w:lvl w:ilvl="1">
      <w:start w:val="1"/>
      <w:numFmt w:val="decimal"/>
      <w:lvlText w:val="A%2."/>
      <w:lvlJc w:val="left"/>
      <w:pPr>
        <w:tabs>
          <w:tab w:val="num" w:pos="810"/>
        </w:tabs>
        <w:ind w:left="810" w:hanging="720"/>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3."/>
      <w:lvlJc w:val="left"/>
      <w:pPr>
        <w:tabs>
          <w:tab w:val="num" w:pos="3528"/>
        </w:tabs>
        <w:ind w:left="3528" w:hanging="576"/>
      </w:pPr>
      <w:rPr>
        <w:rFonts w:hint="default"/>
      </w:rPr>
    </w:lvl>
    <w:lvl w:ilvl="3">
      <w:start w:val="1"/>
      <w:numFmt w:val="none"/>
      <w:lvlText w:val="(%4)"/>
      <w:lvlJc w:val="left"/>
      <w:pPr>
        <w:tabs>
          <w:tab w:val="num" w:pos="1800"/>
        </w:tabs>
        <w:ind w:left="1440" w:firstLine="0"/>
      </w:pPr>
      <w:rPr>
        <w:rFonts w:hint="default"/>
      </w:rPr>
    </w:lvl>
    <w:lvl w:ilvl="4">
      <w:start w:val="1"/>
      <w:numFmt w:val="none"/>
      <w:lvlText w:val="(%5)"/>
      <w:lvlJc w:val="left"/>
      <w:pPr>
        <w:tabs>
          <w:tab w:val="num" w:pos="2880"/>
        </w:tabs>
        <w:ind w:left="2880" w:hanging="936"/>
      </w:pPr>
      <w:rPr>
        <w:rFonts w:hint="default"/>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numFmt w:val="none"/>
      <w:lvlRestart w:val="2"/>
      <w:lvlText w:val="%1.%2.%3.%4.%5.%6.%7.%8.%9."/>
      <w:lvlJc w:val="left"/>
      <w:pPr>
        <w:tabs>
          <w:tab w:val="num" w:pos="4680"/>
        </w:tabs>
        <w:ind w:left="4320" w:hanging="1440"/>
      </w:pPr>
      <w:rPr>
        <w:rFonts w:hint="default"/>
      </w:rPr>
    </w:lvl>
  </w:abstractNum>
  <w:abstractNum w:abstractNumId="11">
    <w:nsid w:val="11680498"/>
    <w:multiLevelType w:val="hybridMultilevel"/>
    <w:tmpl w:val="D2D81F60"/>
    <w:lvl w:ilvl="0" w:tplc="1E4CB32E">
      <w:start w:val="1"/>
      <w:numFmt w:val="bullet"/>
      <w:lvlText w:val=""/>
      <w:lvlJc w:val="left"/>
      <w:pPr>
        <w:ind w:left="2160" w:hanging="360"/>
      </w:pPr>
      <w:rPr>
        <w:rFonts w:ascii="Symbol" w:hAnsi="Symbol"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1895F62"/>
    <w:multiLevelType w:val="hybridMultilevel"/>
    <w:tmpl w:val="F0DE2E46"/>
    <w:lvl w:ilvl="0" w:tplc="4788A8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E65D9F"/>
    <w:multiLevelType w:val="multilevel"/>
    <w:tmpl w:val="004A50A8"/>
    <w:lvl w:ilvl="0">
      <w:start w:val="1"/>
      <w:numFmt w:val="none"/>
      <w:lvlText w:val="A."/>
      <w:lvlJc w:val="left"/>
      <w:pPr>
        <w:tabs>
          <w:tab w:val="num" w:pos="720"/>
        </w:tabs>
        <w:ind w:left="720" w:hanging="720"/>
      </w:pPr>
      <w:rPr>
        <w:rFonts w:hint="default"/>
      </w:rPr>
    </w:lvl>
    <w:lvl w:ilvl="1">
      <w:start w:val="1"/>
      <w:numFmt w:val="none"/>
      <w:lvlText w:val=""/>
      <w:lvlJc w:val="left"/>
      <w:pPr>
        <w:tabs>
          <w:tab w:val="num" w:pos="3528"/>
        </w:tabs>
        <w:ind w:left="3528" w:hanging="648"/>
      </w:pPr>
      <w:rPr>
        <w:rFonts w:hint="default"/>
      </w:rPr>
    </w:lvl>
    <w:lvl w:ilvl="2">
      <w:start w:val="1"/>
      <w:numFmt w:val="bullet"/>
      <w:lvlText w:val=""/>
      <w:lvlJc w:val="left"/>
      <w:pPr>
        <w:tabs>
          <w:tab w:val="num" w:pos="3528"/>
        </w:tabs>
        <w:ind w:left="3528" w:hanging="648"/>
      </w:pPr>
      <w:rPr>
        <w:rFonts w:ascii="Symbol" w:hAnsi="Symbol"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5422051"/>
    <w:multiLevelType w:val="hybridMultilevel"/>
    <w:tmpl w:val="D9F0720A"/>
    <w:lvl w:ilvl="0" w:tplc="B7642116">
      <w:start w:val="1"/>
      <w:numFmt w:val="decimal"/>
      <w:lvlText w:val="%1."/>
      <w:lvlJc w:val="left"/>
      <w:pPr>
        <w:ind w:left="2160" w:hanging="360"/>
      </w:pPr>
      <w:rPr>
        <w:rFonts w:hint="default"/>
        <w:spacing w:val="20"/>
        <w:kern w:val="1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6623E2C"/>
    <w:multiLevelType w:val="hybridMultilevel"/>
    <w:tmpl w:val="B2FE442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297D622E"/>
    <w:multiLevelType w:val="multilevel"/>
    <w:tmpl w:val="2FE8599E"/>
    <w:lvl w:ilvl="0">
      <w:start w:val="1"/>
      <w:numFmt w:val="decimal"/>
      <w:pStyle w:val="DataRequest"/>
      <w:lvlText w:val="%1."/>
      <w:lvlJc w:val="left"/>
      <w:pPr>
        <w:tabs>
          <w:tab w:val="num" w:pos="720"/>
        </w:tabs>
        <w:ind w:left="720" w:hanging="720"/>
      </w:pPr>
      <w:rPr>
        <w:rFonts w:ascii="Times New Roman" w:hAnsi="Times New Roman" w:hint="default"/>
        <w:b w:val="0"/>
        <w:i w:val="0"/>
        <w:sz w:val="24"/>
      </w:rPr>
    </w:lvl>
    <w:lvl w:ilvl="1">
      <w:start w:val="1"/>
      <w:numFmt w:val="lowerLetter"/>
      <w:pStyle w:val="DataSubparts"/>
      <w:lvlText w:val="%2."/>
      <w:lvlJc w:val="left"/>
      <w:pPr>
        <w:tabs>
          <w:tab w:val="num" w:pos="1224"/>
        </w:tabs>
        <w:ind w:left="1224" w:hanging="504"/>
      </w:pPr>
      <w:rPr>
        <w:rFonts w:hint="default"/>
        <w:sz w:val="24"/>
      </w:rPr>
    </w:lvl>
    <w:lvl w:ilvl="2">
      <w:start w:val="1"/>
      <w:numFmt w:val="decimal"/>
      <w:lvlText w:val="(%3)"/>
      <w:lvlJc w:val="left"/>
      <w:pPr>
        <w:tabs>
          <w:tab w:val="num" w:pos="1944"/>
        </w:tabs>
        <w:ind w:left="1944" w:hanging="648"/>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17">
    <w:nsid w:val="2AF4087E"/>
    <w:multiLevelType w:val="hybridMultilevel"/>
    <w:tmpl w:val="EC6A5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C6B3DA3"/>
    <w:multiLevelType w:val="hybridMultilevel"/>
    <w:tmpl w:val="D806F206"/>
    <w:lvl w:ilvl="0" w:tplc="6E46FA88">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D85013"/>
    <w:multiLevelType w:val="multilevel"/>
    <w:tmpl w:val="2B5CEB84"/>
    <w:lvl w:ilvl="0">
      <w:start w:val="1"/>
      <w:numFmt w:val="none"/>
      <w:lvlText w:val="A."/>
      <w:lvlJc w:val="left"/>
      <w:pPr>
        <w:tabs>
          <w:tab w:val="num" w:pos="720"/>
        </w:tabs>
        <w:ind w:left="720" w:hanging="720"/>
      </w:pPr>
      <w:rPr>
        <w:rFonts w:hint="default"/>
      </w:rPr>
    </w:lvl>
    <w:lvl w:ilvl="1">
      <w:start w:val="1"/>
      <w:numFmt w:val="none"/>
      <w:lvlText w:val=""/>
      <w:lvlJc w:val="left"/>
      <w:pPr>
        <w:tabs>
          <w:tab w:val="num" w:pos="3528"/>
        </w:tabs>
        <w:ind w:left="3528" w:hanging="648"/>
      </w:pPr>
      <w:rPr>
        <w:rFonts w:hint="default"/>
      </w:rPr>
    </w:lvl>
    <w:lvl w:ilvl="2">
      <w:start w:val="1"/>
      <w:numFmt w:val="bullet"/>
      <w:lvlText w:val=""/>
      <w:lvlJc w:val="left"/>
      <w:pPr>
        <w:tabs>
          <w:tab w:val="num" w:pos="3528"/>
        </w:tabs>
        <w:ind w:left="3528" w:hanging="648"/>
      </w:pPr>
      <w:rPr>
        <w:rFonts w:ascii="Symbol" w:hAnsi="Symbol"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nsid w:val="36E34F9A"/>
    <w:multiLevelType w:val="hybridMultilevel"/>
    <w:tmpl w:val="F3D60F96"/>
    <w:lvl w:ilvl="0" w:tplc="1E4CB32E">
      <w:start w:val="1"/>
      <w:numFmt w:val="bullet"/>
      <w:lvlText w:val=""/>
      <w:lvlJc w:val="left"/>
      <w:pPr>
        <w:ind w:left="2160" w:hanging="360"/>
      </w:pPr>
      <w:rPr>
        <w:rFonts w:ascii="Symbol" w:hAnsi="Symbol"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E8771C0"/>
    <w:multiLevelType w:val="multilevel"/>
    <w:tmpl w:val="317CE7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4DE043C0"/>
    <w:multiLevelType w:val="hybridMultilevel"/>
    <w:tmpl w:val="9EA4A4E6"/>
    <w:lvl w:ilvl="0" w:tplc="1E4CB32E">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EDF165E"/>
    <w:multiLevelType w:val="hybridMultilevel"/>
    <w:tmpl w:val="AC5CC0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F5D5C3B"/>
    <w:multiLevelType w:val="hybridMultilevel"/>
    <w:tmpl w:val="123281D4"/>
    <w:lvl w:ilvl="0" w:tplc="3670B1B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2F7395"/>
    <w:multiLevelType w:val="multilevel"/>
    <w:tmpl w:val="D25CAC1C"/>
    <w:lvl w:ilvl="0">
      <w:start w:val="1"/>
      <w:numFmt w:val="decimal"/>
      <w:lvlText w:val="%1"/>
      <w:lvlJc w:val="left"/>
      <w:pPr>
        <w:ind w:left="432" w:hanging="432"/>
      </w:pPr>
      <w:rPr>
        <w:rFonts w:hint="default"/>
      </w:rPr>
    </w:lvl>
    <w:lvl w:ilvl="1">
      <w:start w:val="1"/>
      <w:numFmt w:val="upp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54C548FC"/>
    <w:multiLevelType w:val="hybridMultilevel"/>
    <w:tmpl w:val="73782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D0A19E5"/>
    <w:multiLevelType w:val="hybridMultilevel"/>
    <w:tmpl w:val="4C90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E068F"/>
    <w:multiLevelType w:val="hybridMultilevel"/>
    <w:tmpl w:val="B832EDB8"/>
    <w:lvl w:ilvl="0" w:tplc="994EC6A2">
      <w:start w:val="1"/>
      <w:numFmt w:val="upperLetter"/>
      <w:pStyle w:val="SubHead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D039F8"/>
    <w:multiLevelType w:val="hybridMultilevel"/>
    <w:tmpl w:val="06FA177A"/>
    <w:lvl w:ilvl="0" w:tplc="E804884E">
      <w:start w:val="1"/>
      <w:numFmt w:val="upperLetter"/>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BA7E55"/>
    <w:multiLevelType w:val="hybridMultilevel"/>
    <w:tmpl w:val="C5B06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9635425"/>
    <w:multiLevelType w:val="hybridMultilevel"/>
    <w:tmpl w:val="07CC5BE0"/>
    <w:lvl w:ilvl="0" w:tplc="1FF8E2EC">
      <w:start w:val="1"/>
      <w:numFmt w:val="decimal"/>
      <w:lvlText w:val="Q%1."/>
      <w:lvlJc w:val="left"/>
      <w:pPr>
        <w:ind w:left="720" w:hanging="360"/>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C47EA5"/>
    <w:multiLevelType w:val="hybridMultilevel"/>
    <w:tmpl w:val="CC403554"/>
    <w:lvl w:ilvl="0" w:tplc="1B90E45A">
      <w:start w:val="1"/>
      <w:numFmt w:val="bullet"/>
      <w:lvlText w:val=""/>
      <w:lvlJc w:val="left"/>
      <w:pPr>
        <w:ind w:left="1800" w:hanging="360"/>
      </w:pPr>
      <w:rPr>
        <w:rFonts w:ascii="Symbol" w:hAnsi="Symbol" w:hint="default"/>
        <w:sz w:val="20"/>
        <w:szCs w:val="20"/>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3">
    <w:nsid w:val="765E4587"/>
    <w:multiLevelType w:val="hybridMultilevel"/>
    <w:tmpl w:val="0CCC3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B292210"/>
    <w:multiLevelType w:val="hybridMultilevel"/>
    <w:tmpl w:val="49BE8DCE"/>
    <w:lvl w:ilvl="0" w:tplc="50264AB4">
      <w:start w:val="3"/>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E542108"/>
    <w:multiLevelType w:val="hybridMultilevel"/>
    <w:tmpl w:val="F44481BC"/>
    <w:lvl w:ilvl="0" w:tplc="1E4CB32E">
      <w:start w:val="1"/>
      <w:numFmt w:val="bullet"/>
      <w:lvlText w:val=""/>
      <w:lvlJc w:val="left"/>
      <w:pPr>
        <w:ind w:left="2160" w:hanging="360"/>
      </w:pPr>
      <w:rPr>
        <w:rFonts w:ascii="Symbol" w:hAnsi="Symbol"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FAE04DE"/>
    <w:multiLevelType w:val="multilevel"/>
    <w:tmpl w:val="9132BD48"/>
    <w:lvl w:ilvl="0">
      <w:start w:val="1"/>
      <w:numFmt w:val="decimal"/>
      <w:lvlText w:val="Q%1."/>
      <w:lvlJc w:val="left"/>
      <w:pPr>
        <w:tabs>
          <w:tab w:val="num" w:pos="1440"/>
        </w:tabs>
        <w:ind w:left="1440" w:hanging="1440"/>
      </w:pPr>
      <w:rPr>
        <w:rFonts w:hint="default"/>
        <w:caps/>
        <w:strike w:val="0"/>
        <w:dstrike w:val="0"/>
        <w:outline w:val="0"/>
        <w:shadow w:val="0"/>
        <w:emboss w:val="0"/>
        <w:imprint w:val="0"/>
        <w:vanish w:val="0"/>
        <w:sz w:val="24"/>
        <w:vertAlign w:val="baseline"/>
      </w:rPr>
    </w:lvl>
    <w:lvl w:ilvl="1">
      <w:start w:val="1"/>
      <w:numFmt w:val="none"/>
      <w:lvlRestart w:val="0"/>
      <w:lvlText w:val="%2A."/>
      <w:lvlJc w:val="left"/>
      <w:pPr>
        <w:tabs>
          <w:tab w:val="num" w:pos="720"/>
        </w:tabs>
        <w:ind w:left="720" w:hanging="720"/>
      </w:pPr>
      <w:rPr>
        <w:rFonts w:hint="default"/>
      </w:rPr>
    </w:lvl>
    <w:lvl w:ilvl="2">
      <w:start w:val="1"/>
      <w:numFmt w:val="none"/>
      <w:lvlText w:val="%3."/>
      <w:lvlJc w:val="left"/>
      <w:pPr>
        <w:tabs>
          <w:tab w:val="num" w:pos="3528"/>
        </w:tabs>
        <w:ind w:left="3528" w:hanging="576"/>
      </w:pPr>
      <w:rPr>
        <w:rFonts w:hint="default"/>
      </w:rPr>
    </w:lvl>
    <w:lvl w:ilvl="3">
      <w:start w:val="1"/>
      <w:numFmt w:val="none"/>
      <w:lvlText w:val="(%4)"/>
      <w:lvlJc w:val="left"/>
      <w:pPr>
        <w:tabs>
          <w:tab w:val="num" w:pos="1800"/>
        </w:tabs>
        <w:ind w:left="1440" w:firstLine="0"/>
      </w:pPr>
      <w:rPr>
        <w:rFonts w:hint="default"/>
      </w:rPr>
    </w:lvl>
    <w:lvl w:ilvl="4">
      <w:start w:val="1"/>
      <w:numFmt w:val="none"/>
      <w:lvlText w:val="(%5)"/>
      <w:lvlJc w:val="left"/>
      <w:pPr>
        <w:tabs>
          <w:tab w:val="num" w:pos="2880"/>
        </w:tabs>
        <w:ind w:left="2880" w:hanging="936"/>
      </w:pPr>
      <w:rPr>
        <w:rFonts w:hint="default"/>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numFmt w:val="none"/>
      <w:lvlRestart w:val="2"/>
      <w:lvlText w:val="%1.%2.%3.%4.%5.%6.%7.%8.%9."/>
      <w:lvlJc w:val="left"/>
      <w:pPr>
        <w:tabs>
          <w:tab w:val="num" w:pos="4680"/>
        </w:tabs>
        <w:ind w:left="4320" w:hanging="1440"/>
      </w:pPr>
      <w:rPr>
        <w:rFonts w:hint="default"/>
      </w:rPr>
    </w:lvl>
  </w:abstractNum>
  <w:num w:numId="1">
    <w:abstractNumId w:val="10"/>
  </w:num>
  <w:num w:numId="2">
    <w:abstractNumId w:val="36"/>
  </w:num>
  <w:num w:numId="3">
    <w:abstractNumId w:val="13"/>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21"/>
  </w:num>
  <w:num w:numId="12">
    <w:abstractNumId w:val="21"/>
  </w:num>
  <w:num w:numId="13">
    <w:abstractNumId w:val="21"/>
  </w:num>
  <w:num w:numId="14">
    <w:abstractNumId w:val="34"/>
  </w:num>
  <w:num w:numId="15">
    <w:abstractNumId w:val="15"/>
  </w:num>
  <w:num w:numId="16">
    <w:abstractNumId w:val="19"/>
  </w:num>
  <w:num w:numId="17">
    <w:abstractNumId w:val="17"/>
  </w:num>
  <w:num w:numId="18">
    <w:abstractNumId w:val="9"/>
  </w:num>
  <w:num w:numId="19">
    <w:abstractNumId w:val="32"/>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8"/>
  </w:num>
  <w:num w:numId="30">
    <w:abstractNumId w:val="19"/>
  </w:num>
  <w:num w:numId="31">
    <w:abstractNumId w:val="25"/>
  </w:num>
  <w:num w:numId="32">
    <w:abstractNumId w:val="31"/>
  </w:num>
  <w:num w:numId="33">
    <w:abstractNumId w:val="30"/>
  </w:num>
  <w:num w:numId="34">
    <w:abstractNumId w:val="23"/>
  </w:num>
  <w:num w:numId="35">
    <w:abstractNumId w:val="26"/>
  </w:num>
  <w:num w:numId="36">
    <w:abstractNumId w:val="14"/>
  </w:num>
  <w:num w:numId="37">
    <w:abstractNumId w:val="33"/>
  </w:num>
  <w:num w:numId="38">
    <w:abstractNumId w:val="10"/>
  </w:num>
  <w:num w:numId="39">
    <w:abstractNumId w:val="10"/>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11"/>
  </w:num>
  <w:num w:numId="44">
    <w:abstractNumId w:val="35"/>
  </w:num>
  <w:num w:numId="45">
    <w:abstractNumId w:val="22"/>
  </w:num>
  <w:num w:numId="46">
    <w:abstractNumId w:val="27"/>
  </w:num>
  <w:num w:numId="47">
    <w:abstractNumId w:val="29"/>
  </w:num>
  <w:num w:numId="48">
    <w:abstractNumId w:val="12"/>
  </w:num>
  <w:num w:numId="49">
    <w:abstractNumId w:val="24"/>
  </w:num>
  <w:num w:numId="50">
    <w:abstractNumId w:val="18"/>
  </w:num>
  <w:num w:numId="51">
    <w:abstractNumId w:val="18"/>
    <w:lvlOverride w:ilvl="0">
      <w:startOverride w:val="2"/>
    </w:lvlOverride>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ry Mierzwa">
    <w15:presenceInfo w15:providerId="AD" w15:userId="S-1-5-21-2098848029-93442397-2993180454-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4D"/>
    <w:rsid w:val="000062BB"/>
    <w:rsid w:val="000236EB"/>
    <w:rsid w:val="00027744"/>
    <w:rsid w:val="0005013E"/>
    <w:rsid w:val="00063733"/>
    <w:rsid w:val="00074855"/>
    <w:rsid w:val="00076247"/>
    <w:rsid w:val="0009028D"/>
    <w:rsid w:val="000A4492"/>
    <w:rsid w:val="000D45B5"/>
    <w:rsid w:val="000E1F3F"/>
    <w:rsid w:val="000E27E2"/>
    <w:rsid w:val="000E2B6F"/>
    <w:rsid w:val="000E3C7A"/>
    <w:rsid w:val="000E51EC"/>
    <w:rsid w:val="000F502F"/>
    <w:rsid w:val="001024DD"/>
    <w:rsid w:val="00106207"/>
    <w:rsid w:val="00116281"/>
    <w:rsid w:val="001177CC"/>
    <w:rsid w:val="00131DD6"/>
    <w:rsid w:val="00145BB1"/>
    <w:rsid w:val="001512C7"/>
    <w:rsid w:val="00181371"/>
    <w:rsid w:val="001875CE"/>
    <w:rsid w:val="0019041E"/>
    <w:rsid w:val="001B22D4"/>
    <w:rsid w:val="001B297F"/>
    <w:rsid w:val="001B3650"/>
    <w:rsid w:val="001C1921"/>
    <w:rsid w:val="001D1E7B"/>
    <w:rsid w:val="001E36CF"/>
    <w:rsid w:val="00202C50"/>
    <w:rsid w:val="00202EC4"/>
    <w:rsid w:val="002258A3"/>
    <w:rsid w:val="00225A1E"/>
    <w:rsid w:val="00236202"/>
    <w:rsid w:val="0024511E"/>
    <w:rsid w:val="002545C0"/>
    <w:rsid w:val="00280661"/>
    <w:rsid w:val="00291E6C"/>
    <w:rsid w:val="002942AE"/>
    <w:rsid w:val="00297D31"/>
    <w:rsid w:val="002D06EA"/>
    <w:rsid w:val="002D347A"/>
    <w:rsid w:val="002F7052"/>
    <w:rsid w:val="00302A4E"/>
    <w:rsid w:val="00302B98"/>
    <w:rsid w:val="003137F0"/>
    <w:rsid w:val="003310D8"/>
    <w:rsid w:val="0034299F"/>
    <w:rsid w:val="003432B6"/>
    <w:rsid w:val="00352A76"/>
    <w:rsid w:val="0037187E"/>
    <w:rsid w:val="0037208D"/>
    <w:rsid w:val="003E55A6"/>
    <w:rsid w:val="00422281"/>
    <w:rsid w:val="0043592A"/>
    <w:rsid w:val="00447336"/>
    <w:rsid w:val="0044737C"/>
    <w:rsid w:val="004512A8"/>
    <w:rsid w:val="00453D26"/>
    <w:rsid w:val="00465347"/>
    <w:rsid w:val="00477F05"/>
    <w:rsid w:val="00481389"/>
    <w:rsid w:val="004830D2"/>
    <w:rsid w:val="00484FC8"/>
    <w:rsid w:val="00495D45"/>
    <w:rsid w:val="004B1DBD"/>
    <w:rsid w:val="004B2EB7"/>
    <w:rsid w:val="004C28E8"/>
    <w:rsid w:val="004C7B89"/>
    <w:rsid w:val="004D2733"/>
    <w:rsid w:val="004D7546"/>
    <w:rsid w:val="004E7AE0"/>
    <w:rsid w:val="004F3FAF"/>
    <w:rsid w:val="005170CE"/>
    <w:rsid w:val="00534E0F"/>
    <w:rsid w:val="00537A4B"/>
    <w:rsid w:val="0054110D"/>
    <w:rsid w:val="00556482"/>
    <w:rsid w:val="0056314D"/>
    <w:rsid w:val="00565058"/>
    <w:rsid w:val="00583182"/>
    <w:rsid w:val="00583CE2"/>
    <w:rsid w:val="00590C0D"/>
    <w:rsid w:val="00592D9B"/>
    <w:rsid w:val="005977AD"/>
    <w:rsid w:val="005A5D45"/>
    <w:rsid w:val="005C732A"/>
    <w:rsid w:val="005D29CA"/>
    <w:rsid w:val="005D3D5C"/>
    <w:rsid w:val="005E0AD2"/>
    <w:rsid w:val="005E3D15"/>
    <w:rsid w:val="005E4DF2"/>
    <w:rsid w:val="005F3EE3"/>
    <w:rsid w:val="00600D73"/>
    <w:rsid w:val="00633B4E"/>
    <w:rsid w:val="006351DF"/>
    <w:rsid w:val="00636B76"/>
    <w:rsid w:val="00643FC4"/>
    <w:rsid w:val="006508B6"/>
    <w:rsid w:val="00672B0B"/>
    <w:rsid w:val="00674C74"/>
    <w:rsid w:val="00686455"/>
    <w:rsid w:val="00694323"/>
    <w:rsid w:val="00695F54"/>
    <w:rsid w:val="00697C29"/>
    <w:rsid w:val="006A77B3"/>
    <w:rsid w:val="006D2643"/>
    <w:rsid w:val="006E51C8"/>
    <w:rsid w:val="006F2B9D"/>
    <w:rsid w:val="006F71F4"/>
    <w:rsid w:val="00705794"/>
    <w:rsid w:val="00706B71"/>
    <w:rsid w:val="00741AD2"/>
    <w:rsid w:val="00742F7E"/>
    <w:rsid w:val="00743C7F"/>
    <w:rsid w:val="00745DCE"/>
    <w:rsid w:val="00750EED"/>
    <w:rsid w:val="0075633D"/>
    <w:rsid w:val="007665B9"/>
    <w:rsid w:val="00776E92"/>
    <w:rsid w:val="00790165"/>
    <w:rsid w:val="007973EE"/>
    <w:rsid w:val="007B2CA2"/>
    <w:rsid w:val="007B4771"/>
    <w:rsid w:val="007C71FE"/>
    <w:rsid w:val="007D164B"/>
    <w:rsid w:val="007D4548"/>
    <w:rsid w:val="007E2B70"/>
    <w:rsid w:val="007E2C03"/>
    <w:rsid w:val="007F4212"/>
    <w:rsid w:val="008035C4"/>
    <w:rsid w:val="008165C4"/>
    <w:rsid w:val="00822BAD"/>
    <w:rsid w:val="00831472"/>
    <w:rsid w:val="008772AB"/>
    <w:rsid w:val="00890F96"/>
    <w:rsid w:val="008A4726"/>
    <w:rsid w:val="008B6FC1"/>
    <w:rsid w:val="008C0EA8"/>
    <w:rsid w:val="008C1218"/>
    <w:rsid w:val="008C1A4C"/>
    <w:rsid w:val="008C528A"/>
    <w:rsid w:val="008D0823"/>
    <w:rsid w:val="008D13E0"/>
    <w:rsid w:val="008E5207"/>
    <w:rsid w:val="008F1F48"/>
    <w:rsid w:val="008F7474"/>
    <w:rsid w:val="009055F3"/>
    <w:rsid w:val="00922109"/>
    <w:rsid w:val="00930C56"/>
    <w:rsid w:val="009458C8"/>
    <w:rsid w:val="0095170E"/>
    <w:rsid w:val="00985A47"/>
    <w:rsid w:val="009B3E5D"/>
    <w:rsid w:val="009B7130"/>
    <w:rsid w:val="009D228A"/>
    <w:rsid w:val="009D4249"/>
    <w:rsid w:val="009F01EC"/>
    <w:rsid w:val="009F6AF6"/>
    <w:rsid w:val="00A12165"/>
    <w:rsid w:val="00A1294B"/>
    <w:rsid w:val="00A16AD5"/>
    <w:rsid w:val="00A309BF"/>
    <w:rsid w:val="00A4128D"/>
    <w:rsid w:val="00A831D1"/>
    <w:rsid w:val="00AC3C7F"/>
    <w:rsid w:val="00AD4D9E"/>
    <w:rsid w:val="00AF3DC5"/>
    <w:rsid w:val="00B00A76"/>
    <w:rsid w:val="00B15D58"/>
    <w:rsid w:val="00B20610"/>
    <w:rsid w:val="00B37464"/>
    <w:rsid w:val="00B426CB"/>
    <w:rsid w:val="00B439AE"/>
    <w:rsid w:val="00B51EB9"/>
    <w:rsid w:val="00B60316"/>
    <w:rsid w:val="00B85B3E"/>
    <w:rsid w:val="00B94448"/>
    <w:rsid w:val="00BA17F6"/>
    <w:rsid w:val="00BA583B"/>
    <w:rsid w:val="00BB05F9"/>
    <w:rsid w:val="00BB7E3B"/>
    <w:rsid w:val="00BC2113"/>
    <w:rsid w:val="00BE754F"/>
    <w:rsid w:val="00BF1BF2"/>
    <w:rsid w:val="00C02BA2"/>
    <w:rsid w:val="00C14EFF"/>
    <w:rsid w:val="00C21BB9"/>
    <w:rsid w:val="00C2479B"/>
    <w:rsid w:val="00C4345E"/>
    <w:rsid w:val="00C579C9"/>
    <w:rsid w:val="00C619CE"/>
    <w:rsid w:val="00C7322F"/>
    <w:rsid w:val="00C80298"/>
    <w:rsid w:val="00C8130A"/>
    <w:rsid w:val="00C83A27"/>
    <w:rsid w:val="00C844AB"/>
    <w:rsid w:val="00C854A4"/>
    <w:rsid w:val="00C90821"/>
    <w:rsid w:val="00C97C9E"/>
    <w:rsid w:val="00CC68EA"/>
    <w:rsid w:val="00CD1A65"/>
    <w:rsid w:val="00CD3C94"/>
    <w:rsid w:val="00CD7373"/>
    <w:rsid w:val="00CE3EA1"/>
    <w:rsid w:val="00D0253A"/>
    <w:rsid w:val="00D12C92"/>
    <w:rsid w:val="00D1677D"/>
    <w:rsid w:val="00D247A4"/>
    <w:rsid w:val="00D37771"/>
    <w:rsid w:val="00D4417C"/>
    <w:rsid w:val="00D5402F"/>
    <w:rsid w:val="00D64E47"/>
    <w:rsid w:val="00D8728D"/>
    <w:rsid w:val="00D90228"/>
    <w:rsid w:val="00DB0E61"/>
    <w:rsid w:val="00DC4477"/>
    <w:rsid w:val="00DD2A58"/>
    <w:rsid w:val="00DE4453"/>
    <w:rsid w:val="00E0224F"/>
    <w:rsid w:val="00E05805"/>
    <w:rsid w:val="00E22C3C"/>
    <w:rsid w:val="00E235AF"/>
    <w:rsid w:val="00E252A9"/>
    <w:rsid w:val="00E25A7C"/>
    <w:rsid w:val="00E26D19"/>
    <w:rsid w:val="00E31A6F"/>
    <w:rsid w:val="00E3610F"/>
    <w:rsid w:val="00E42960"/>
    <w:rsid w:val="00E44688"/>
    <w:rsid w:val="00E60C6C"/>
    <w:rsid w:val="00E63532"/>
    <w:rsid w:val="00E665A4"/>
    <w:rsid w:val="00E76C4E"/>
    <w:rsid w:val="00E9413D"/>
    <w:rsid w:val="00EA3943"/>
    <w:rsid w:val="00EE0C9F"/>
    <w:rsid w:val="00EF4AE5"/>
    <w:rsid w:val="00EF5F05"/>
    <w:rsid w:val="00F04C65"/>
    <w:rsid w:val="00F12839"/>
    <w:rsid w:val="00F16FBE"/>
    <w:rsid w:val="00F210C7"/>
    <w:rsid w:val="00F2158E"/>
    <w:rsid w:val="00F826FC"/>
    <w:rsid w:val="00F87513"/>
    <w:rsid w:val="00F95A79"/>
    <w:rsid w:val="00FB3FD5"/>
    <w:rsid w:val="00FC59EB"/>
    <w:rsid w:val="00FE40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733"/>
    <w:rPr>
      <w:rFonts w:ascii="Times New Roman" w:hAnsi="Times New Roman"/>
      <w:sz w:val="24"/>
    </w:rPr>
  </w:style>
  <w:style w:type="paragraph" w:styleId="Heading1">
    <w:name w:val="heading 1"/>
    <w:basedOn w:val="Normal"/>
    <w:next w:val="Normal"/>
    <w:link w:val="Heading1Char"/>
    <w:autoRedefine/>
    <w:uiPriority w:val="9"/>
    <w:qFormat/>
    <w:rsid w:val="00063733"/>
    <w:pPr>
      <w:keepNext/>
      <w:keepLines/>
      <w:spacing w:after="240" w:line="480" w:lineRule="auto"/>
      <w:ind w:left="720" w:hanging="720"/>
      <w:outlineLvl w:val="0"/>
    </w:pPr>
    <w:rPr>
      <w:rFonts w:eastAsiaTheme="majorEastAsia" w:cs="Times New Roman"/>
      <w:b/>
      <w:szCs w:val="28"/>
    </w:rPr>
  </w:style>
  <w:style w:type="paragraph" w:styleId="Heading2">
    <w:name w:val="heading 2"/>
    <w:basedOn w:val="Normal"/>
    <w:next w:val="Normal"/>
    <w:link w:val="Heading2Char"/>
    <w:autoRedefine/>
    <w:uiPriority w:val="9"/>
    <w:unhideWhenUsed/>
    <w:qFormat/>
    <w:rsid w:val="002D06EA"/>
    <w:pPr>
      <w:keepNext/>
      <w:keepLines/>
      <w:numPr>
        <w:numId w:val="50"/>
      </w:numPr>
      <w:spacing w:line="480" w:lineRule="auto"/>
      <w:ind w:left="1440" w:hanging="720"/>
      <w:outlineLvl w:val="1"/>
    </w:pPr>
    <w:rPr>
      <w:rFonts w:eastAsiaTheme="majorEastAsia" w:cs="Times New Roman"/>
      <w:b/>
      <w:szCs w:val="26"/>
    </w:rPr>
  </w:style>
  <w:style w:type="paragraph" w:styleId="Heading3">
    <w:name w:val="heading 3"/>
    <w:basedOn w:val="Normal"/>
    <w:next w:val="Normal"/>
    <w:link w:val="Heading3Char"/>
    <w:uiPriority w:val="9"/>
    <w:unhideWhenUsed/>
    <w:qFormat/>
    <w:pPr>
      <w:keepNext/>
      <w:keepLines/>
      <w:numPr>
        <w:ilvl w:val="2"/>
        <w:numId w:val="13"/>
      </w:numPr>
      <w:spacing w:before="200" w:after="240" w:line="276" w:lineRule="auto"/>
      <w:outlineLvl w:val="2"/>
    </w:pPr>
    <w:rPr>
      <w:rFonts w:asciiTheme="majorHAnsi" w:eastAsiaTheme="majorEastAsia" w:hAnsiTheme="majorHAnsi" w:cstheme="majorBidi"/>
      <w:b/>
      <w:color w:val="1F497D" w:themeColor="text2"/>
      <w:szCs w:val="24"/>
    </w:rPr>
  </w:style>
  <w:style w:type="paragraph" w:styleId="Heading4">
    <w:name w:val="heading 4"/>
    <w:basedOn w:val="Normal"/>
    <w:next w:val="Normal"/>
    <w:link w:val="Heading4Char"/>
    <w:qFormat/>
    <w:pPr>
      <w:keepNext/>
      <w:numPr>
        <w:ilvl w:val="3"/>
        <w:numId w:val="13"/>
      </w:numPr>
      <w:tabs>
        <w:tab w:val="left" w:pos="-1440"/>
        <w:tab w:val="left" w:pos="-720"/>
        <w:tab w:val="left" w:pos="600"/>
        <w:tab w:val="left" w:pos="2640"/>
        <w:tab w:val="left" w:pos="2880"/>
        <w:tab w:val="left" w:pos="5280"/>
        <w:tab w:val="left" w:pos="7440"/>
        <w:tab w:val="left" w:pos="10200"/>
      </w:tabs>
      <w:spacing w:line="200" w:lineRule="exact"/>
      <w:jc w:val="center"/>
      <w:outlineLvl w:val="3"/>
    </w:pPr>
    <w:rPr>
      <w:rFonts w:ascii="Dutch" w:eastAsia="Times New Roman" w:hAnsi="Dutch" w:cs="Times New Roman"/>
      <w:sz w:val="20"/>
      <w:szCs w:val="24"/>
      <w:u w:val="single"/>
    </w:rPr>
  </w:style>
  <w:style w:type="paragraph" w:styleId="Heading5">
    <w:name w:val="heading 5"/>
    <w:basedOn w:val="Normal"/>
    <w:next w:val="Normal"/>
    <w:link w:val="Heading5Char"/>
    <w:qFormat/>
    <w:pPr>
      <w:keepNext/>
      <w:numPr>
        <w:ilvl w:val="4"/>
        <w:numId w:val="13"/>
      </w:numPr>
      <w:autoSpaceDE w:val="0"/>
      <w:autoSpaceDN w:val="0"/>
      <w:adjustRightInd w:val="0"/>
      <w:spacing w:line="252" w:lineRule="exact"/>
      <w:jc w:val="center"/>
      <w:outlineLvl w:val="4"/>
    </w:pPr>
    <w:rPr>
      <w:rFonts w:eastAsia="Times New Roman" w:cs="Times New Roman"/>
      <w:b/>
      <w:bCs/>
      <w:szCs w:val="24"/>
      <w:u w:val="single"/>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ectAnswer">
    <w:name w:val="Direct Answer"/>
    <w:basedOn w:val="Normal"/>
    <w:next w:val="DirectNext"/>
    <w:autoRedefine/>
    <w:rsid w:val="00BC2113"/>
    <w:pPr>
      <w:spacing w:line="480" w:lineRule="auto"/>
      <w:ind w:left="720" w:hanging="720"/>
    </w:pPr>
    <w:rPr>
      <w:rFonts w:eastAsia="Calibri" w:cs="Arial"/>
      <w:bCs/>
      <w:szCs w:val="20"/>
    </w:rPr>
  </w:style>
  <w:style w:type="paragraph" w:customStyle="1" w:styleId="DirectNext">
    <w:name w:val="Direct Next"/>
    <w:basedOn w:val="Normal"/>
    <w:pPr>
      <w:spacing w:line="504" w:lineRule="exact"/>
      <w:ind w:left="720" w:firstLine="720"/>
    </w:pPr>
    <w:rPr>
      <w:rFonts w:eastAsia="Times New Roman" w:cs="Times New Roman"/>
      <w:szCs w:val="24"/>
    </w:rPr>
  </w:style>
  <w:style w:type="paragraph" w:customStyle="1" w:styleId="DirectQuestion">
    <w:name w:val="Direct Question"/>
    <w:basedOn w:val="DirectAnswer"/>
    <w:next w:val="DirectAnswer"/>
  </w:style>
  <w:style w:type="paragraph" w:customStyle="1" w:styleId="DataRequest">
    <w:name w:val="Data Request"/>
    <w:basedOn w:val="Normal"/>
    <w:qFormat/>
    <w:pPr>
      <w:numPr>
        <w:numId w:val="10"/>
      </w:numPr>
      <w:spacing w:after="120" w:line="360" w:lineRule="auto"/>
    </w:pPr>
    <w:rPr>
      <w:rFonts w:eastAsia="Times New Roman" w:cs="Times New Roman"/>
      <w:szCs w:val="24"/>
    </w:rPr>
  </w:style>
  <w:style w:type="paragraph" w:styleId="Footer">
    <w:name w:val="footer"/>
    <w:basedOn w:val="Normal"/>
    <w:link w:val="FooterChar"/>
    <w:uiPriority w:val="99"/>
    <w:unhideWhenUsed/>
    <w:pPr>
      <w:tabs>
        <w:tab w:val="center" w:pos="4680"/>
        <w:tab w:val="right" w:pos="9360"/>
      </w:tabs>
    </w:pPr>
    <w:rPr>
      <w:rFonts w:eastAsia="Times New Roman" w:cs="Times New Roman"/>
      <w:szCs w:val="24"/>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styleId="FootnoteReference">
    <w:name w:val="footnote reference"/>
    <w:semiHidden/>
    <w:rPr>
      <w:vertAlign w:val="superscript"/>
    </w:rPr>
  </w:style>
  <w:style w:type="paragraph" w:styleId="FootnoteText">
    <w:name w:val="footnote text"/>
    <w:basedOn w:val="Normal"/>
    <w:link w:val="FootnoteTextChar"/>
    <w:semiHidden/>
    <w:rPr>
      <w:rFonts w:eastAsia="Times New Roman" w:cs="Times New Roman"/>
      <w:sz w:val="20"/>
      <w:szCs w:val="20"/>
    </w:rPr>
  </w:style>
  <w:style w:type="character" w:customStyle="1" w:styleId="FootnoteTextChar">
    <w:name w:val="Footnote Text Char"/>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320"/>
        <w:tab w:val="right" w:pos="8640"/>
      </w:tabs>
    </w:pPr>
    <w:rPr>
      <w:rFonts w:eastAsia="Times New Roman" w:cs="Times New Roman"/>
      <w:szCs w:val="24"/>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63733"/>
    <w:rPr>
      <w:rFonts w:ascii="Times New Roman" w:eastAsiaTheme="majorEastAsia" w:hAnsi="Times New Roman" w:cs="Times New Roman"/>
      <w:b/>
      <w:sz w:val="24"/>
      <w:szCs w:val="28"/>
    </w:rPr>
  </w:style>
  <w:style w:type="character" w:customStyle="1" w:styleId="Heading2Char">
    <w:name w:val="Heading 2 Char"/>
    <w:basedOn w:val="DefaultParagraphFont"/>
    <w:link w:val="Heading2"/>
    <w:uiPriority w:val="9"/>
    <w:rsid w:val="002D06EA"/>
    <w:rPr>
      <w:rFonts w:ascii="Times New Roman" w:eastAsiaTheme="majorEastAsia" w:hAnsi="Times New Roman" w:cs="Times New Roman"/>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1F497D" w:themeColor="text2"/>
      <w:sz w:val="24"/>
      <w:szCs w:val="24"/>
    </w:rPr>
  </w:style>
  <w:style w:type="character" w:customStyle="1" w:styleId="Heading4Char">
    <w:name w:val="Heading 4 Char"/>
    <w:link w:val="Heading4"/>
    <w:rPr>
      <w:rFonts w:ascii="Dutch" w:eastAsia="Times New Roman" w:hAnsi="Dutch" w:cs="Times New Roman"/>
      <w:sz w:val="20"/>
      <w:szCs w:val="24"/>
      <w:u w:val="single"/>
    </w:rPr>
  </w:style>
  <w:style w:type="character" w:customStyle="1" w:styleId="Heading5Char">
    <w:name w:val="Heading 5 Char"/>
    <w:link w:val="Heading5"/>
    <w:rPr>
      <w:rFonts w:ascii="Times New Roman" w:eastAsia="Times New Roman" w:hAnsi="Times New Roman" w:cs="Times New Roman"/>
      <w:b/>
      <w:bCs/>
      <w:sz w:val="24"/>
      <w:szCs w:val="24"/>
      <w:u w:val="single"/>
    </w:rPr>
  </w:style>
  <w:style w:type="character" w:styleId="LineNumber">
    <w:name w:val="line number"/>
    <w:semiHidden/>
    <w:rPr>
      <w:rFonts w:ascii="Times New Roman" w:eastAsia="Times New Roman" w:hAnsi="Times New Roman" w:cs="Arial"/>
      <w:sz w:val="24"/>
      <w:szCs w:val="20"/>
    </w:rPr>
  </w:style>
  <w:style w:type="paragraph" w:styleId="List">
    <w:name w:val="List"/>
    <w:basedOn w:val="Normal"/>
    <w:uiPriority w:val="99"/>
    <w:unhideWhenUsed/>
    <w:pPr>
      <w:ind w:left="360" w:hanging="360"/>
      <w:contextualSpacing/>
    </w:pPr>
    <w:rPr>
      <w:rFonts w:eastAsia="Times New Roman" w:cs="Times New Roman"/>
      <w:szCs w:val="24"/>
    </w:rPr>
  </w:style>
  <w:style w:type="paragraph" w:styleId="List2">
    <w:name w:val="List 2"/>
    <w:basedOn w:val="Normal"/>
    <w:uiPriority w:val="99"/>
    <w:unhideWhenUsed/>
    <w:pPr>
      <w:ind w:hanging="360"/>
      <w:contextualSpacing/>
    </w:pPr>
    <w:rPr>
      <w:rFonts w:eastAsia="Times New Roman" w:cs="Times New Roman"/>
      <w:szCs w:val="24"/>
    </w:rPr>
  </w:style>
  <w:style w:type="paragraph" w:styleId="List3">
    <w:name w:val="List 3"/>
    <w:basedOn w:val="DirectAnswer"/>
    <w:uiPriority w:val="99"/>
    <w:unhideWhenUsed/>
  </w:style>
  <w:style w:type="paragraph" w:styleId="List4">
    <w:name w:val="List 4"/>
    <w:basedOn w:val="Normal"/>
    <w:uiPriority w:val="99"/>
    <w:unhideWhenUsed/>
    <w:pPr>
      <w:ind w:left="1440" w:hanging="360"/>
      <w:contextualSpacing/>
    </w:pPr>
    <w:rPr>
      <w:rFonts w:eastAsia="Times New Roman" w:cs="Times New Roman"/>
      <w:szCs w:val="24"/>
    </w:rPr>
  </w:style>
  <w:style w:type="character" w:styleId="PageNumber">
    <w:name w:val="page number"/>
    <w:aliases w:val="ES-Page Number"/>
    <w:basedOn w:val="DefaultParagraphFont"/>
    <w:uiPriority w:val="99"/>
  </w:style>
  <w:style w:type="paragraph" w:styleId="Title">
    <w:name w:val="Title"/>
    <w:basedOn w:val="Normal"/>
    <w:link w:val="TitleChar"/>
    <w:qFormat/>
    <w:pPr>
      <w:autoSpaceDE w:val="0"/>
      <w:autoSpaceDN w:val="0"/>
      <w:adjustRightInd w:val="0"/>
      <w:jc w:val="center"/>
    </w:pPr>
    <w:rPr>
      <w:rFonts w:eastAsia="Times New Roman" w:cs="Times New Roman"/>
      <w:b/>
      <w:bCs/>
      <w:szCs w:val="24"/>
    </w:rPr>
  </w:style>
  <w:style w:type="character" w:customStyle="1" w:styleId="TitleChar">
    <w:name w:val="Title Char"/>
    <w:link w:val="Title"/>
    <w:rPr>
      <w:rFonts w:ascii="Times New Roman" w:eastAsia="Times New Roman" w:hAnsi="Times New Roman" w:cs="Times New Roman"/>
      <w:b/>
      <w:bCs/>
      <w:sz w:val="24"/>
      <w:szCs w:val="24"/>
    </w:rPr>
  </w:style>
  <w:style w:type="paragraph" w:styleId="TOC1">
    <w:name w:val="toc 1"/>
    <w:basedOn w:val="Normal"/>
    <w:next w:val="Normal"/>
    <w:autoRedefine/>
    <w:uiPriority w:val="39"/>
    <w:qFormat/>
    <w:rsid w:val="00743C7F"/>
    <w:pPr>
      <w:suppressLineNumbers/>
      <w:tabs>
        <w:tab w:val="decimal" w:leader="dot" w:pos="8640"/>
      </w:tabs>
      <w:spacing w:after="240"/>
      <w:ind w:left="720" w:hanging="720"/>
    </w:pPr>
    <w:rPr>
      <w:rFonts w:eastAsia="Times New Roman" w:cs="Times New Roman"/>
      <w:caps/>
      <w:noProof/>
      <w:szCs w:val="24"/>
    </w:rPr>
  </w:style>
  <w:style w:type="paragraph" w:styleId="TOC2">
    <w:name w:val="toc 2"/>
    <w:basedOn w:val="Normal"/>
    <w:next w:val="Normal"/>
    <w:autoRedefine/>
    <w:uiPriority w:val="39"/>
    <w:qFormat/>
    <w:rsid w:val="00743C7F"/>
    <w:pPr>
      <w:tabs>
        <w:tab w:val="decimal" w:leader="dot" w:pos="8640"/>
      </w:tabs>
      <w:spacing w:after="240"/>
      <w:ind w:left="1440" w:hanging="720"/>
    </w:pPr>
    <w:rPr>
      <w:rFonts w:eastAsia="Times New Roman" w:cs="Times New Roman"/>
      <w:noProof/>
      <w:szCs w:val="24"/>
    </w:rPr>
  </w:style>
  <w:style w:type="paragraph" w:customStyle="1" w:styleId="DataSubparts">
    <w:name w:val="Data Subparts"/>
    <w:basedOn w:val="DataRequest"/>
    <w:next w:val="Normal"/>
    <w:link w:val="DataSubpartsChar"/>
    <w:qFormat/>
    <w:pPr>
      <w:numPr>
        <w:ilvl w:val="1"/>
        <w:numId w:val="7"/>
      </w:numPr>
      <w:spacing w:after="240" w:line="240" w:lineRule="auto"/>
    </w:pPr>
  </w:style>
  <w:style w:type="character" w:customStyle="1" w:styleId="DataSubpartsChar">
    <w:name w:val="Data Subparts Char"/>
    <w:basedOn w:val="DefaultParagraphFont"/>
    <w:link w:val="DataSubparts"/>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paragraph" w:customStyle="1" w:styleId="List1">
    <w:name w:val="List 1"/>
    <w:basedOn w:val="DirectAnswer"/>
    <w:qFormat/>
    <w:pPr>
      <w:tabs>
        <w:tab w:val="left" w:pos="1440"/>
      </w:tabs>
      <w:spacing w:line="276" w:lineRule="auto"/>
      <w:ind w:left="1440"/>
    </w:pPr>
    <w:rPr>
      <w:rFonts w:cs="Times New Roman"/>
      <w:bCs w:val="0"/>
      <w:szCs w:val="24"/>
    </w:rPr>
  </w:style>
  <w:style w:type="paragraph" w:customStyle="1" w:styleId="DIRECTQUESTION0">
    <w:name w:val="DIRECT QUESTION"/>
    <w:basedOn w:val="Normal"/>
    <w:next w:val="DirectAnswer"/>
    <w:link w:val="DIRECTQUESTIONChar"/>
    <w:autoRedefine/>
    <w:qFormat/>
    <w:rsid w:val="00C619CE"/>
    <w:pPr>
      <w:spacing w:line="480" w:lineRule="auto"/>
      <w:ind w:left="720" w:hanging="720"/>
    </w:pPr>
    <w:rPr>
      <w:rFonts w:eastAsia="Calibri" w:cs="Arial"/>
      <w:b/>
      <w:i/>
      <w:caps/>
      <w:szCs w:val="24"/>
    </w:rPr>
  </w:style>
  <w:style w:type="paragraph" w:customStyle="1" w:styleId="HEADING">
    <w:name w:val="HEADING"/>
    <w:basedOn w:val="Heading1"/>
    <w:qFormat/>
    <w:pPr>
      <w:ind w:firstLine="0"/>
    </w:pPr>
    <w:rPr>
      <w:rFonts w:cs="Arial"/>
      <w:szCs w:val="24"/>
    </w:rPr>
  </w:style>
  <w:style w:type="character" w:customStyle="1" w:styleId="DIRECTQUESTIONChar">
    <w:name w:val="DIRECT QUESTION Char"/>
    <w:basedOn w:val="DefaultParagraphFont"/>
    <w:link w:val="DIRECTQUESTION0"/>
    <w:rsid w:val="00C619CE"/>
    <w:rPr>
      <w:rFonts w:ascii="Times New Roman" w:eastAsia="Calibri" w:hAnsi="Times New Roman" w:cs="Arial"/>
      <w:b/>
      <w:i/>
      <w:caps/>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TOCHeading">
    <w:name w:val="TOC Heading"/>
    <w:basedOn w:val="Heading1"/>
    <w:next w:val="Normal"/>
    <w:uiPriority w:val="39"/>
    <w:semiHidden/>
    <w:unhideWhenUsed/>
    <w:qFormat/>
    <w:pPr>
      <w:spacing w:before="480" w:after="0"/>
      <w:ind w:left="0" w:firstLine="0"/>
      <w:outlineLvl w:val="9"/>
    </w:pPr>
    <w:rPr>
      <w:rFonts w:asciiTheme="majorHAnsi" w:hAnsiTheme="majorHAnsi"/>
      <w:bCs/>
      <w:color w:val="365F91" w:themeColor="accent1" w:themeShade="BF"/>
      <w:sz w:val="28"/>
      <w:lang w:eastAsia="ja-JP"/>
    </w:rPr>
  </w:style>
  <w:style w:type="character" w:styleId="Hyperlink">
    <w:name w:val="Hyperlink"/>
    <w:basedOn w:val="DefaultParagraphFont"/>
    <w:uiPriority w:val="99"/>
    <w:unhideWhenUsed/>
    <w:rPr>
      <w:color w:val="0000FF" w:themeColor="hyperlink"/>
      <w:u w:val="single"/>
    </w:rPr>
  </w:style>
  <w:style w:type="paragraph" w:styleId="BodyTextIndent2">
    <w:name w:val="Body Text Indent 2"/>
    <w:basedOn w:val="Normal"/>
    <w:link w:val="BodyTextIndent2Char"/>
    <w:semiHidden/>
    <w:pPr>
      <w:spacing w:line="504" w:lineRule="exact"/>
      <w:ind w:left="1440" w:hanging="1440"/>
    </w:pPr>
    <w:rPr>
      <w:rFonts w:eastAsia="Calibri" w:cs="Times New Roman"/>
      <w:szCs w:val="24"/>
    </w:rPr>
  </w:style>
  <w:style w:type="character" w:customStyle="1" w:styleId="BodyTextIndent2Char">
    <w:name w:val="Body Text Indent 2 Char"/>
    <w:basedOn w:val="DefaultParagraphFont"/>
    <w:link w:val="BodyTextIndent2"/>
    <w:semiHidden/>
    <w:rPr>
      <w:rFonts w:ascii="Times New Roman" w:eastAsia="Calibri" w:hAnsi="Times New Roman" w:cs="Times New Roman"/>
      <w:sz w:val="24"/>
      <w:szCs w:val="24"/>
    </w:rPr>
  </w:style>
  <w:style w:type="paragraph" w:customStyle="1" w:styleId="SubHeading">
    <w:name w:val="Sub Heading"/>
    <w:basedOn w:val="HEADING"/>
    <w:qFormat/>
    <w:pPr>
      <w:numPr>
        <w:numId w:val="29"/>
      </w:numPr>
      <w:ind w:left="360"/>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733"/>
    <w:pPr>
      <w:ind w:left="720"/>
      <w:contextualSpacing/>
    </w:pPr>
  </w:style>
  <w:style w:type="paragraph" w:styleId="EndnoteText">
    <w:name w:val="endnote text"/>
    <w:basedOn w:val="Normal"/>
    <w:link w:val="EndnoteTextChar"/>
    <w:semiHidden/>
    <w:rsid w:val="00743C7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semiHidden/>
    <w:rsid w:val="00743C7F"/>
    <w:rPr>
      <w:rFonts w:ascii="Courier New" w:eastAsia="Times New Roman" w:hAnsi="Courier New" w:cs="Times New Roman"/>
      <w:snapToGrid w:val="0"/>
      <w:sz w:val="24"/>
      <w:szCs w:val="20"/>
    </w:rPr>
  </w:style>
  <w:style w:type="paragraph" w:styleId="NormalWeb">
    <w:name w:val="Normal (Web)"/>
    <w:basedOn w:val="Normal"/>
    <w:uiPriority w:val="99"/>
    <w:semiHidden/>
    <w:unhideWhenUsed/>
    <w:rsid w:val="00F826FC"/>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733"/>
    <w:rPr>
      <w:rFonts w:ascii="Times New Roman" w:hAnsi="Times New Roman"/>
      <w:sz w:val="24"/>
    </w:rPr>
  </w:style>
  <w:style w:type="paragraph" w:styleId="Heading1">
    <w:name w:val="heading 1"/>
    <w:basedOn w:val="Normal"/>
    <w:next w:val="Normal"/>
    <w:link w:val="Heading1Char"/>
    <w:autoRedefine/>
    <w:uiPriority w:val="9"/>
    <w:qFormat/>
    <w:rsid w:val="00063733"/>
    <w:pPr>
      <w:keepNext/>
      <w:keepLines/>
      <w:spacing w:after="240" w:line="480" w:lineRule="auto"/>
      <w:ind w:left="720" w:hanging="720"/>
      <w:outlineLvl w:val="0"/>
    </w:pPr>
    <w:rPr>
      <w:rFonts w:eastAsiaTheme="majorEastAsia" w:cs="Times New Roman"/>
      <w:b/>
      <w:szCs w:val="28"/>
    </w:rPr>
  </w:style>
  <w:style w:type="paragraph" w:styleId="Heading2">
    <w:name w:val="heading 2"/>
    <w:basedOn w:val="Normal"/>
    <w:next w:val="Normal"/>
    <w:link w:val="Heading2Char"/>
    <w:autoRedefine/>
    <w:uiPriority w:val="9"/>
    <w:unhideWhenUsed/>
    <w:qFormat/>
    <w:rsid w:val="002D06EA"/>
    <w:pPr>
      <w:keepNext/>
      <w:keepLines/>
      <w:numPr>
        <w:numId w:val="50"/>
      </w:numPr>
      <w:spacing w:line="480" w:lineRule="auto"/>
      <w:ind w:left="1440" w:hanging="720"/>
      <w:outlineLvl w:val="1"/>
    </w:pPr>
    <w:rPr>
      <w:rFonts w:eastAsiaTheme="majorEastAsia" w:cs="Times New Roman"/>
      <w:b/>
      <w:szCs w:val="26"/>
    </w:rPr>
  </w:style>
  <w:style w:type="paragraph" w:styleId="Heading3">
    <w:name w:val="heading 3"/>
    <w:basedOn w:val="Normal"/>
    <w:next w:val="Normal"/>
    <w:link w:val="Heading3Char"/>
    <w:uiPriority w:val="9"/>
    <w:unhideWhenUsed/>
    <w:qFormat/>
    <w:pPr>
      <w:keepNext/>
      <w:keepLines/>
      <w:numPr>
        <w:ilvl w:val="2"/>
        <w:numId w:val="13"/>
      </w:numPr>
      <w:spacing w:before="200" w:after="240" w:line="276" w:lineRule="auto"/>
      <w:outlineLvl w:val="2"/>
    </w:pPr>
    <w:rPr>
      <w:rFonts w:asciiTheme="majorHAnsi" w:eastAsiaTheme="majorEastAsia" w:hAnsiTheme="majorHAnsi" w:cstheme="majorBidi"/>
      <w:b/>
      <w:color w:val="1F497D" w:themeColor="text2"/>
      <w:szCs w:val="24"/>
    </w:rPr>
  </w:style>
  <w:style w:type="paragraph" w:styleId="Heading4">
    <w:name w:val="heading 4"/>
    <w:basedOn w:val="Normal"/>
    <w:next w:val="Normal"/>
    <w:link w:val="Heading4Char"/>
    <w:qFormat/>
    <w:pPr>
      <w:keepNext/>
      <w:numPr>
        <w:ilvl w:val="3"/>
        <w:numId w:val="13"/>
      </w:numPr>
      <w:tabs>
        <w:tab w:val="left" w:pos="-1440"/>
        <w:tab w:val="left" w:pos="-720"/>
        <w:tab w:val="left" w:pos="600"/>
        <w:tab w:val="left" w:pos="2640"/>
        <w:tab w:val="left" w:pos="2880"/>
        <w:tab w:val="left" w:pos="5280"/>
        <w:tab w:val="left" w:pos="7440"/>
        <w:tab w:val="left" w:pos="10200"/>
      </w:tabs>
      <w:spacing w:line="200" w:lineRule="exact"/>
      <w:jc w:val="center"/>
      <w:outlineLvl w:val="3"/>
    </w:pPr>
    <w:rPr>
      <w:rFonts w:ascii="Dutch" w:eastAsia="Times New Roman" w:hAnsi="Dutch" w:cs="Times New Roman"/>
      <w:sz w:val="20"/>
      <w:szCs w:val="24"/>
      <w:u w:val="single"/>
    </w:rPr>
  </w:style>
  <w:style w:type="paragraph" w:styleId="Heading5">
    <w:name w:val="heading 5"/>
    <w:basedOn w:val="Normal"/>
    <w:next w:val="Normal"/>
    <w:link w:val="Heading5Char"/>
    <w:qFormat/>
    <w:pPr>
      <w:keepNext/>
      <w:numPr>
        <w:ilvl w:val="4"/>
        <w:numId w:val="13"/>
      </w:numPr>
      <w:autoSpaceDE w:val="0"/>
      <w:autoSpaceDN w:val="0"/>
      <w:adjustRightInd w:val="0"/>
      <w:spacing w:line="252" w:lineRule="exact"/>
      <w:jc w:val="center"/>
      <w:outlineLvl w:val="4"/>
    </w:pPr>
    <w:rPr>
      <w:rFonts w:eastAsia="Times New Roman" w:cs="Times New Roman"/>
      <w:b/>
      <w:bCs/>
      <w:szCs w:val="24"/>
      <w:u w:val="single"/>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ectAnswer">
    <w:name w:val="Direct Answer"/>
    <w:basedOn w:val="Normal"/>
    <w:next w:val="DirectNext"/>
    <w:autoRedefine/>
    <w:rsid w:val="00BC2113"/>
    <w:pPr>
      <w:spacing w:line="480" w:lineRule="auto"/>
      <w:ind w:left="720" w:hanging="720"/>
    </w:pPr>
    <w:rPr>
      <w:rFonts w:eastAsia="Calibri" w:cs="Arial"/>
      <w:bCs/>
      <w:szCs w:val="20"/>
    </w:rPr>
  </w:style>
  <w:style w:type="paragraph" w:customStyle="1" w:styleId="DirectNext">
    <w:name w:val="Direct Next"/>
    <w:basedOn w:val="Normal"/>
    <w:pPr>
      <w:spacing w:line="504" w:lineRule="exact"/>
      <w:ind w:left="720" w:firstLine="720"/>
    </w:pPr>
    <w:rPr>
      <w:rFonts w:eastAsia="Times New Roman" w:cs="Times New Roman"/>
      <w:szCs w:val="24"/>
    </w:rPr>
  </w:style>
  <w:style w:type="paragraph" w:customStyle="1" w:styleId="DirectQuestion">
    <w:name w:val="Direct Question"/>
    <w:basedOn w:val="DirectAnswer"/>
    <w:next w:val="DirectAnswer"/>
  </w:style>
  <w:style w:type="paragraph" w:customStyle="1" w:styleId="DataRequest">
    <w:name w:val="Data Request"/>
    <w:basedOn w:val="Normal"/>
    <w:qFormat/>
    <w:pPr>
      <w:numPr>
        <w:numId w:val="10"/>
      </w:numPr>
      <w:spacing w:after="120" w:line="360" w:lineRule="auto"/>
    </w:pPr>
    <w:rPr>
      <w:rFonts w:eastAsia="Times New Roman" w:cs="Times New Roman"/>
      <w:szCs w:val="24"/>
    </w:rPr>
  </w:style>
  <w:style w:type="paragraph" w:styleId="Footer">
    <w:name w:val="footer"/>
    <w:basedOn w:val="Normal"/>
    <w:link w:val="FooterChar"/>
    <w:uiPriority w:val="99"/>
    <w:unhideWhenUsed/>
    <w:pPr>
      <w:tabs>
        <w:tab w:val="center" w:pos="4680"/>
        <w:tab w:val="right" w:pos="9360"/>
      </w:tabs>
    </w:pPr>
    <w:rPr>
      <w:rFonts w:eastAsia="Times New Roman" w:cs="Times New Roman"/>
      <w:szCs w:val="24"/>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styleId="FootnoteReference">
    <w:name w:val="footnote reference"/>
    <w:semiHidden/>
    <w:rPr>
      <w:vertAlign w:val="superscript"/>
    </w:rPr>
  </w:style>
  <w:style w:type="paragraph" w:styleId="FootnoteText">
    <w:name w:val="footnote text"/>
    <w:basedOn w:val="Normal"/>
    <w:link w:val="FootnoteTextChar"/>
    <w:semiHidden/>
    <w:rPr>
      <w:rFonts w:eastAsia="Times New Roman" w:cs="Times New Roman"/>
      <w:sz w:val="20"/>
      <w:szCs w:val="20"/>
    </w:rPr>
  </w:style>
  <w:style w:type="character" w:customStyle="1" w:styleId="FootnoteTextChar">
    <w:name w:val="Footnote Text Char"/>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320"/>
        <w:tab w:val="right" w:pos="8640"/>
      </w:tabs>
    </w:pPr>
    <w:rPr>
      <w:rFonts w:eastAsia="Times New Roman" w:cs="Times New Roman"/>
      <w:szCs w:val="24"/>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63733"/>
    <w:rPr>
      <w:rFonts w:ascii="Times New Roman" w:eastAsiaTheme="majorEastAsia" w:hAnsi="Times New Roman" w:cs="Times New Roman"/>
      <w:b/>
      <w:sz w:val="24"/>
      <w:szCs w:val="28"/>
    </w:rPr>
  </w:style>
  <w:style w:type="character" w:customStyle="1" w:styleId="Heading2Char">
    <w:name w:val="Heading 2 Char"/>
    <w:basedOn w:val="DefaultParagraphFont"/>
    <w:link w:val="Heading2"/>
    <w:uiPriority w:val="9"/>
    <w:rsid w:val="002D06EA"/>
    <w:rPr>
      <w:rFonts w:ascii="Times New Roman" w:eastAsiaTheme="majorEastAsia" w:hAnsi="Times New Roman" w:cs="Times New Roman"/>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1F497D" w:themeColor="text2"/>
      <w:sz w:val="24"/>
      <w:szCs w:val="24"/>
    </w:rPr>
  </w:style>
  <w:style w:type="character" w:customStyle="1" w:styleId="Heading4Char">
    <w:name w:val="Heading 4 Char"/>
    <w:link w:val="Heading4"/>
    <w:rPr>
      <w:rFonts w:ascii="Dutch" w:eastAsia="Times New Roman" w:hAnsi="Dutch" w:cs="Times New Roman"/>
      <w:sz w:val="20"/>
      <w:szCs w:val="24"/>
      <w:u w:val="single"/>
    </w:rPr>
  </w:style>
  <w:style w:type="character" w:customStyle="1" w:styleId="Heading5Char">
    <w:name w:val="Heading 5 Char"/>
    <w:link w:val="Heading5"/>
    <w:rPr>
      <w:rFonts w:ascii="Times New Roman" w:eastAsia="Times New Roman" w:hAnsi="Times New Roman" w:cs="Times New Roman"/>
      <w:b/>
      <w:bCs/>
      <w:sz w:val="24"/>
      <w:szCs w:val="24"/>
      <w:u w:val="single"/>
    </w:rPr>
  </w:style>
  <w:style w:type="character" w:styleId="LineNumber">
    <w:name w:val="line number"/>
    <w:semiHidden/>
    <w:rPr>
      <w:rFonts w:ascii="Times New Roman" w:eastAsia="Times New Roman" w:hAnsi="Times New Roman" w:cs="Arial"/>
      <w:sz w:val="24"/>
      <w:szCs w:val="20"/>
    </w:rPr>
  </w:style>
  <w:style w:type="paragraph" w:styleId="List">
    <w:name w:val="List"/>
    <w:basedOn w:val="Normal"/>
    <w:uiPriority w:val="99"/>
    <w:unhideWhenUsed/>
    <w:pPr>
      <w:ind w:left="360" w:hanging="360"/>
      <w:contextualSpacing/>
    </w:pPr>
    <w:rPr>
      <w:rFonts w:eastAsia="Times New Roman" w:cs="Times New Roman"/>
      <w:szCs w:val="24"/>
    </w:rPr>
  </w:style>
  <w:style w:type="paragraph" w:styleId="List2">
    <w:name w:val="List 2"/>
    <w:basedOn w:val="Normal"/>
    <w:uiPriority w:val="99"/>
    <w:unhideWhenUsed/>
    <w:pPr>
      <w:ind w:hanging="360"/>
      <w:contextualSpacing/>
    </w:pPr>
    <w:rPr>
      <w:rFonts w:eastAsia="Times New Roman" w:cs="Times New Roman"/>
      <w:szCs w:val="24"/>
    </w:rPr>
  </w:style>
  <w:style w:type="paragraph" w:styleId="List3">
    <w:name w:val="List 3"/>
    <w:basedOn w:val="DirectAnswer"/>
    <w:uiPriority w:val="99"/>
    <w:unhideWhenUsed/>
  </w:style>
  <w:style w:type="paragraph" w:styleId="List4">
    <w:name w:val="List 4"/>
    <w:basedOn w:val="Normal"/>
    <w:uiPriority w:val="99"/>
    <w:unhideWhenUsed/>
    <w:pPr>
      <w:ind w:left="1440" w:hanging="360"/>
      <w:contextualSpacing/>
    </w:pPr>
    <w:rPr>
      <w:rFonts w:eastAsia="Times New Roman" w:cs="Times New Roman"/>
      <w:szCs w:val="24"/>
    </w:rPr>
  </w:style>
  <w:style w:type="character" w:styleId="PageNumber">
    <w:name w:val="page number"/>
    <w:aliases w:val="ES-Page Number"/>
    <w:basedOn w:val="DefaultParagraphFont"/>
    <w:uiPriority w:val="99"/>
  </w:style>
  <w:style w:type="paragraph" w:styleId="Title">
    <w:name w:val="Title"/>
    <w:basedOn w:val="Normal"/>
    <w:link w:val="TitleChar"/>
    <w:qFormat/>
    <w:pPr>
      <w:autoSpaceDE w:val="0"/>
      <w:autoSpaceDN w:val="0"/>
      <w:adjustRightInd w:val="0"/>
      <w:jc w:val="center"/>
    </w:pPr>
    <w:rPr>
      <w:rFonts w:eastAsia="Times New Roman" w:cs="Times New Roman"/>
      <w:b/>
      <w:bCs/>
      <w:szCs w:val="24"/>
    </w:rPr>
  </w:style>
  <w:style w:type="character" w:customStyle="1" w:styleId="TitleChar">
    <w:name w:val="Title Char"/>
    <w:link w:val="Title"/>
    <w:rPr>
      <w:rFonts w:ascii="Times New Roman" w:eastAsia="Times New Roman" w:hAnsi="Times New Roman" w:cs="Times New Roman"/>
      <w:b/>
      <w:bCs/>
      <w:sz w:val="24"/>
      <w:szCs w:val="24"/>
    </w:rPr>
  </w:style>
  <w:style w:type="paragraph" w:styleId="TOC1">
    <w:name w:val="toc 1"/>
    <w:basedOn w:val="Normal"/>
    <w:next w:val="Normal"/>
    <w:autoRedefine/>
    <w:uiPriority w:val="39"/>
    <w:qFormat/>
    <w:rsid w:val="00743C7F"/>
    <w:pPr>
      <w:suppressLineNumbers/>
      <w:tabs>
        <w:tab w:val="decimal" w:leader="dot" w:pos="8640"/>
      </w:tabs>
      <w:spacing w:after="240"/>
      <w:ind w:left="720" w:hanging="720"/>
    </w:pPr>
    <w:rPr>
      <w:rFonts w:eastAsia="Times New Roman" w:cs="Times New Roman"/>
      <w:caps/>
      <w:noProof/>
      <w:szCs w:val="24"/>
    </w:rPr>
  </w:style>
  <w:style w:type="paragraph" w:styleId="TOC2">
    <w:name w:val="toc 2"/>
    <w:basedOn w:val="Normal"/>
    <w:next w:val="Normal"/>
    <w:autoRedefine/>
    <w:uiPriority w:val="39"/>
    <w:qFormat/>
    <w:rsid w:val="00743C7F"/>
    <w:pPr>
      <w:tabs>
        <w:tab w:val="decimal" w:leader="dot" w:pos="8640"/>
      </w:tabs>
      <w:spacing w:after="240"/>
      <w:ind w:left="1440" w:hanging="720"/>
    </w:pPr>
    <w:rPr>
      <w:rFonts w:eastAsia="Times New Roman" w:cs="Times New Roman"/>
      <w:noProof/>
      <w:szCs w:val="24"/>
    </w:rPr>
  </w:style>
  <w:style w:type="paragraph" w:customStyle="1" w:styleId="DataSubparts">
    <w:name w:val="Data Subparts"/>
    <w:basedOn w:val="DataRequest"/>
    <w:next w:val="Normal"/>
    <w:link w:val="DataSubpartsChar"/>
    <w:qFormat/>
    <w:pPr>
      <w:numPr>
        <w:ilvl w:val="1"/>
        <w:numId w:val="7"/>
      </w:numPr>
      <w:spacing w:after="240" w:line="240" w:lineRule="auto"/>
    </w:pPr>
  </w:style>
  <w:style w:type="character" w:customStyle="1" w:styleId="DataSubpartsChar">
    <w:name w:val="Data Subparts Char"/>
    <w:basedOn w:val="DefaultParagraphFont"/>
    <w:link w:val="DataSubparts"/>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paragraph" w:customStyle="1" w:styleId="List1">
    <w:name w:val="List 1"/>
    <w:basedOn w:val="DirectAnswer"/>
    <w:qFormat/>
    <w:pPr>
      <w:tabs>
        <w:tab w:val="left" w:pos="1440"/>
      </w:tabs>
      <w:spacing w:line="276" w:lineRule="auto"/>
      <w:ind w:left="1440"/>
    </w:pPr>
    <w:rPr>
      <w:rFonts w:cs="Times New Roman"/>
      <w:bCs w:val="0"/>
      <w:szCs w:val="24"/>
    </w:rPr>
  </w:style>
  <w:style w:type="paragraph" w:customStyle="1" w:styleId="DIRECTQUESTION0">
    <w:name w:val="DIRECT QUESTION"/>
    <w:basedOn w:val="Normal"/>
    <w:next w:val="DirectAnswer"/>
    <w:link w:val="DIRECTQUESTIONChar"/>
    <w:autoRedefine/>
    <w:qFormat/>
    <w:rsid w:val="00C619CE"/>
    <w:pPr>
      <w:spacing w:line="480" w:lineRule="auto"/>
      <w:ind w:left="720" w:hanging="720"/>
    </w:pPr>
    <w:rPr>
      <w:rFonts w:eastAsia="Calibri" w:cs="Arial"/>
      <w:b/>
      <w:i/>
      <w:caps/>
      <w:szCs w:val="24"/>
    </w:rPr>
  </w:style>
  <w:style w:type="paragraph" w:customStyle="1" w:styleId="HEADING">
    <w:name w:val="HEADING"/>
    <w:basedOn w:val="Heading1"/>
    <w:qFormat/>
    <w:pPr>
      <w:ind w:firstLine="0"/>
    </w:pPr>
    <w:rPr>
      <w:rFonts w:cs="Arial"/>
      <w:szCs w:val="24"/>
    </w:rPr>
  </w:style>
  <w:style w:type="character" w:customStyle="1" w:styleId="DIRECTQUESTIONChar">
    <w:name w:val="DIRECT QUESTION Char"/>
    <w:basedOn w:val="DefaultParagraphFont"/>
    <w:link w:val="DIRECTQUESTION0"/>
    <w:rsid w:val="00C619CE"/>
    <w:rPr>
      <w:rFonts w:ascii="Times New Roman" w:eastAsia="Calibri" w:hAnsi="Times New Roman" w:cs="Arial"/>
      <w:b/>
      <w:i/>
      <w:caps/>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TOCHeading">
    <w:name w:val="TOC Heading"/>
    <w:basedOn w:val="Heading1"/>
    <w:next w:val="Normal"/>
    <w:uiPriority w:val="39"/>
    <w:semiHidden/>
    <w:unhideWhenUsed/>
    <w:qFormat/>
    <w:pPr>
      <w:spacing w:before="480" w:after="0"/>
      <w:ind w:left="0" w:firstLine="0"/>
      <w:outlineLvl w:val="9"/>
    </w:pPr>
    <w:rPr>
      <w:rFonts w:asciiTheme="majorHAnsi" w:hAnsiTheme="majorHAnsi"/>
      <w:bCs/>
      <w:color w:val="365F91" w:themeColor="accent1" w:themeShade="BF"/>
      <w:sz w:val="28"/>
      <w:lang w:eastAsia="ja-JP"/>
    </w:rPr>
  </w:style>
  <w:style w:type="character" w:styleId="Hyperlink">
    <w:name w:val="Hyperlink"/>
    <w:basedOn w:val="DefaultParagraphFont"/>
    <w:uiPriority w:val="99"/>
    <w:unhideWhenUsed/>
    <w:rPr>
      <w:color w:val="0000FF" w:themeColor="hyperlink"/>
      <w:u w:val="single"/>
    </w:rPr>
  </w:style>
  <w:style w:type="paragraph" w:styleId="BodyTextIndent2">
    <w:name w:val="Body Text Indent 2"/>
    <w:basedOn w:val="Normal"/>
    <w:link w:val="BodyTextIndent2Char"/>
    <w:semiHidden/>
    <w:pPr>
      <w:spacing w:line="504" w:lineRule="exact"/>
      <w:ind w:left="1440" w:hanging="1440"/>
    </w:pPr>
    <w:rPr>
      <w:rFonts w:eastAsia="Calibri" w:cs="Times New Roman"/>
      <w:szCs w:val="24"/>
    </w:rPr>
  </w:style>
  <w:style w:type="character" w:customStyle="1" w:styleId="BodyTextIndent2Char">
    <w:name w:val="Body Text Indent 2 Char"/>
    <w:basedOn w:val="DefaultParagraphFont"/>
    <w:link w:val="BodyTextIndent2"/>
    <w:semiHidden/>
    <w:rPr>
      <w:rFonts w:ascii="Times New Roman" w:eastAsia="Calibri" w:hAnsi="Times New Roman" w:cs="Times New Roman"/>
      <w:sz w:val="24"/>
      <w:szCs w:val="24"/>
    </w:rPr>
  </w:style>
  <w:style w:type="paragraph" w:customStyle="1" w:styleId="SubHeading">
    <w:name w:val="Sub Heading"/>
    <w:basedOn w:val="HEADING"/>
    <w:qFormat/>
    <w:pPr>
      <w:numPr>
        <w:numId w:val="29"/>
      </w:numPr>
      <w:ind w:left="360"/>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733"/>
    <w:pPr>
      <w:ind w:left="720"/>
      <w:contextualSpacing/>
    </w:pPr>
  </w:style>
  <w:style w:type="paragraph" w:styleId="EndnoteText">
    <w:name w:val="endnote text"/>
    <w:basedOn w:val="Normal"/>
    <w:link w:val="EndnoteTextChar"/>
    <w:semiHidden/>
    <w:rsid w:val="00743C7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semiHidden/>
    <w:rsid w:val="00743C7F"/>
    <w:rPr>
      <w:rFonts w:ascii="Courier New" w:eastAsia="Times New Roman" w:hAnsi="Courier New" w:cs="Times New Roman"/>
      <w:snapToGrid w:val="0"/>
      <w:sz w:val="24"/>
      <w:szCs w:val="20"/>
    </w:rPr>
  </w:style>
  <w:style w:type="paragraph" w:styleId="NormalWeb">
    <w:name w:val="Normal (Web)"/>
    <w:basedOn w:val="Normal"/>
    <w:uiPriority w:val="99"/>
    <w:semiHidden/>
    <w:unhideWhenUsed/>
    <w:rsid w:val="00F826F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2034">
      <w:bodyDiv w:val="1"/>
      <w:marLeft w:val="0"/>
      <w:marRight w:val="0"/>
      <w:marTop w:val="0"/>
      <w:marBottom w:val="0"/>
      <w:divBdr>
        <w:top w:val="none" w:sz="0" w:space="0" w:color="auto"/>
        <w:left w:val="none" w:sz="0" w:space="0" w:color="auto"/>
        <w:bottom w:val="none" w:sz="0" w:space="0" w:color="auto"/>
        <w:right w:val="none" w:sz="0" w:space="0" w:color="auto"/>
      </w:divBdr>
    </w:div>
    <w:div w:id="1782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15.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footer" Target="foot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21641</Words>
  <Characters>121781</Characters>
  <Application>Microsoft Office Word</Application>
  <DocSecurity>0</DocSecurity>
  <Lines>3102</Lines>
  <Paragraphs>1307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145754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2014-05-06T17:54:00Z</cp:lastPrinted>
  <dcterms:created xsi:type="dcterms:W3CDTF">2014-05-06T18:31:00Z</dcterms:created>
  <dcterms:modified xsi:type="dcterms:W3CDTF">2014-05-06T18:31:00Z</dcterms:modified>
  <cp:category> </cp:category>
  <cp:contentStatus> </cp:contentStatus>
</cp:coreProperties>
</file>