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F2CA6" w:rsidRPr="001E3926" w:rsidP="001F2CA6" w14:paraId="713256B2" w14:textId="25D1F595">
      <w:pPr>
        <w:jc w:val="right"/>
        <w:rPr>
          <w:b/>
          <w:bCs/>
          <w:i/>
          <w:iCs/>
        </w:rPr>
      </w:pPr>
      <w:r w:rsidRPr="001E3926">
        <w:rPr>
          <w:b/>
          <w:bCs/>
          <w:i/>
          <w:iCs/>
        </w:rPr>
        <w:t>OCC EXHIBIT_______</w:t>
      </w:r>
    </w:p>
    <w:p w:rsidR="001F2CA6" w:rsidRPr="001E3926" w:rsidP="001F2CA6" w14:paraId="3334F0B6" w14:textId="77777777">
      <w:pPr>
        <w:jc w:val="center"/>
      </w:pPr>
    </w:p>
    <w:p w:rsidR="001F2CA6" w:rsidRPr="001E3926" w:rsidP="001F2CA6" w14:paraId="11034E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E3926">
        <w:rPr>
          <w:b/>
          <w:bCs/>
        </w:rPr>
        <w:t>BEFORE</w:t>
      </w:r>
    </w:p>
    <w:p w:rsidR="001F2CA6" w:rsidRPr="001E3926" w:rsidP="001F2CA6" w14:paraId="46DFFE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E3926">
        <w:rPr>
          <w:b/>
          <w:bCs/>
        </w:rPr>
        <w:t>THE PUBLIC UTILITIES COMMISSION OF OHIO</w:t>
      </w:r>
    </w:p>
    <w:p w:rsidR="001F2CA6" w:rsidRPr="001E3926" w:rsidP="001F2CA6" w14:paraId="1A341B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8897" w:type="dxa"/>
        <w:tblInd w:w="0" w:type="dxa"/>
        <w:tblCellMar>
          <w:top w:w="0" w:type="dxa"/>
          <w:left w:w="108" w:type="dxa"/>
          <w:bottom w:w="0" w:type="dxa"/>
          <w:right w:w="108" w:type="dxa"/>
        </w:tblCellMar>
        <w:tblLook w:val="01E0"/>
      </w:tblPr>
      <w:tblGrid>
        <w:gridCol w:w="4577"/>
        <w:gridCol w:w="553"/>
        <w:gridCol w:w="3767"/>
      </w:tblGrid>
      <w:tr w14:paraId="227C4C97" w14:textId="77777777" w:rsidTr="009E5A41">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p w:rsidR="001F2CA6" w:rsidRPr="001E3926" w:rsidP="009E5A41" w14:paraId="5C154EEC" w14:textId="77777777">
            <w:pPr>
              <w:autoSpaceDE w:val="0"/>
              <w:autoSpaceDN w:val="0"/>
              <w:adjustRightInd w:val="0"/>
              <w:rPr>
                <w:sz w:val="24"/>
                <w:szCs w:val="24"/>
                <w:lang w:val="en-US" w:eastAsia="en-US" w:bidi="ar-SA"/>
              </w:rPr>
            </w:pPr>
            <w:r w:rsidRPr="001E3926">
              <w:rPr>
                <w:sz w:val="24"/>
                <w:szCs w:val="24"/>
                <w:lang w:val="en-US" w:eastAsia="en-US" w:bidi="ar-SA"/>
              </w:rPr>
              <w:t>In the Matter of the Application of Duke Energy Ohio, Inc., for Authority to Establish a Standard Service Offer Pursuant to Ohio Revised Code Section 4928.143 in the Form of an Electric Security Plan.</w:t>
            </w:r>
          </w:p>
          <w:p w:rsidR="001F2CA6" w:rsidRPr="001E3926" w:rsidP="009E5A41" w14:paraId="3881A69A" w14:textId="77777777">
            <w:pPr>
              <w:autoSpaceDE w:val="0"/>
              <w:autoSpaceDN w:val="0"/>
              <w:adjustRightInd w:val="0"/>
              <w:rPr>
                <w:sz w:val="24"/>
                <w:szCs w:val="24"/>
                <w:highlight w:val="cyan"/>
                <w:lang w:val="en-US" w:eastAsia="en-US" w:bidi="ar-SA"/>
              </w:rPr>
            </w:pPr>
          </w:p>
          <w:p w:rsidR="001F2CA6" w:rsidRPr="001E3926" w:rsidP="009E5A41" w14:paraId="60E126E1" w14:textId="77777777">
            <w:pPr>
              <w:autoSpaceDE w:val="0"/>
              <w:autoSpaceDN w:val="0"/>
              <w:adjustRightInd w:val="0"/>
              <w:rPr>
                <w:sz w:val="24"/>
                <w:szCs w:val="24"/>
                <w:lang w:val="en-US" w:eastAsia="en-US" w:bidi="ar-SA"/>
              </w:rPr>
            </w:pPr>
            <w:r w:rsidRPr="001E3926">
              <w:rPr>
                <w:sz w:val="24"/>
                <w:szCs w:val="24"/>
                <w:lang w:val="en-US" w:eastAsia="en-US" w:bidi="ar-SA"/>
              </w:rPr>
              <w:t>In the Matter of the Application of Duke Energy Ohio, Inc., for Authority to Amend Tariffs, including its Certified Supplier Tariff, P.U.C.O. No. 20 and to Implement New Tariffs.</w:t>
            </w:r>
          </w:p>
          <w:p w:rsidR="001F2CA6" w:rsidRPr="001E3926" w:rsidP="009E5A41" w14:paraId="389D63C6" w14:textId="77777777">
            <w:pPr>
              <w:autoSpaceDE w:val="0"/>
              <w:autoSpaceDN w:val="0"/>
              <w:adjustRightInd w:val="0"/>
              <w:rPr>
                <w:sz w:val="24"/>
                <w:szCs w:val="24"/>
                <w:highlight w:val="cyan"/>
                <w:lang w:val="en-US" w:eastAsia="en-US" w:bidi="ar-SA"/>
              </w:rPr>
            </w:pPr>
          </w:p>
          <w:p w:rsidR="001F2CA6" w:rsidRPr="001E3926" w:rsidP="009E5A41" w14:paraId="09097B33" w14:textId="77777777">
            <w:pPr>
              <w:autoSpaceDE w:val="0"/>
              <w:autoSpaceDN w:val="0"/>
              <w:adjustRightInd w:val="0"/>
              <w:rPr>
                <w:sz w:val="24"/>
                <w:szCs w:val="24"/>
                <w:highlight w:val="cyan"/>
                <w:lang w:val="en-US" w:eastAsia="en-US" w:bidi="ar-SA"/>
              </w:rPr>
            </w:pPr>
            <w:r w:rsidRPr="001E3926">
              <w:rPr>
                <w:sz w:val="24"/>
                <w:szCs w:val="24"/>
                <w:lang w:val="en-US" w:eastAsia="en-US" w:bidi="ar-SA"/>
              </w:rPr>
              <w:t>In the Matter of the Application of Duke Energy Ohio, Inc., for Accounting Authority, including any Necessary Deferrals.</w:t>
            </w:r>
          </w:p>
        </w:tc>
        <w:tc>
          <w:tcPr>
            <w:tcW w:w="553" w:type="dxa"/>
            <w:shd w:val="clear" w:color="auto" w:fill="auto"/>
          </w:tcPr>
          <w:p w:rsidR="001F2CA6" w:rsidRPr="001E3926" w:rsidP="009E5A41" w14:paraId="4BC805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539944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39F2FF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3A34C3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1547A65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78C584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4C6F05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5A269AA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160752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31FE93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0E698F5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02ADBE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5E6F14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6679B3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p w:rsidR="001F2CA6" w:rsidRPr="001E3926" w:rsidP="009E5A41" w14:paraId="65F686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w:t>
            </w:r>
          </w:p>
        </w:tc>
        <w:tc>
          <w:tcPr>
            <w:tcW w:w="3767" w:type="dxa"/>
            <w:shd w:val="clear" w:color="auto" w:fill="auto"/>
          </w:tcPr>
          <w:p w:rsidR="001F2CA6" w:rsidRPr="001E3926" w:rsidP="009E5A41" w14:paraId="3D9656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highlight w:val="cyan"/>
                <w:lang w:val="en-US" w:eastAsia="en-US" w:bidi="ar-SA"/>
              </w:rPr>
            </w:pPr>
          </w:p>
          <w:p w:rsidR="001F2CA6" w:rsidRPr="001E3926" w:rsidP="009E5A41" w14:paraId="4B8057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15A2A5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Case No. 24-278-EL-SSO</w:t>
            </w:r>
          </w:p>
          <w:p w:rsidR="001F2CA6" w:rsidRPr="001E3926" w:rsidP="009E5A41" w14:paraId="1BC082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436D2C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4E5009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6F8E40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3F3A2A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356B02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Case No. 24-279-EL-ATA</w:t>
            </w:r>
          </w:p>
          <w:p w:rsidR="001F2CA6" w:rsidRPr="001E3926" w:rsidP="009E5A41" w14:paraId="655BC9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0D5ECA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088AF0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552B10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p>
          <w:p w:rsidR="001F2CA6" w:rsidRPr="001E3926" w:rsidP="009E5A41" w14:paraId="7019A2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ar-SA"/>
              </w:rPr>
            </w:pPr>
            <w:r w:rsidRPr="001E3926">
              <w:rPr>
                <w:rFonts w:eastAsia="Courier New"/>
                <w:sz w:val="24"/>
                <w:szCs w:val="24"/>
                <w:lang w:val="en-US" w:eastAsia="en-US" w:bidi="ar-SA"/>
              </w:rPr>
              <w:t>Case No. 24-280-EL-AAM</w:t>
            </w:r>
          </w:p>
        </w:tc>
      </w:tr>
    </w:tbl>
    <w:p w:rsidR="006062D0" w:rsidRPr="001E3926" w14:paraId="47D68DB1" w14:textId="77777777">
      <w:pPr>
        <w:pStyle w:val="HTMLPreformatted"/>
        <w:jc w:val="center"/>
        <w:rPr>
          <w:rFonts w:ascii="Times New Roman" w:hAnsi="Times New Roman" w:cs="Times New Roman"/>
          <w:sz w:val="24"/>
          <w:szCs w:val="24"/>
        </w:rPr>
      </w:pPr>
    </w:p>
    <w:p w:rsidR="0085744F" w:rsidRPr="001E3926" w14:paraId="0D069193" w14:textId="77777777">
      <w:pPr>
        <w:pStyle w:val="HTMLPreformatted"/>
        <w:jc w:val="center"/>
        <w:rPr>
          <w:rFonts w:ascii="Times New Roman" w:hAnsi="Times New Roman" w:cs="Times New Roman"/>
          <w:sz w:val="24"/>
          <w:szCs w:val="24"/>
        </w:rPr>
      </w:pPr>
    </w:p>
    <w:p w:rsidR="00003F0B" w:rsidRPr="001E3926" w:rsidP="001F2CA6" w14:paraId="635FD8D1" w14:textId="77777777">
      <w:pPr>
        <w:pStyle w:val="HTMLPreformatted"/>
        <w:rPr>
          <w:rFonts w:ascii="Times New Roman" w:hAnsi="Times New Roman" w:cs="Times New Roman"/>
          <w:sz w:val="24"/>
          <w:szCs w:val="24"/>
        </w:rPr>
      </w:pPr>
    </w:p>
    <w:p w:rsidR="00003F0B" w:rsidRPr="001E3926" w14:paraId="6F0DC5C8" w14:textId="77777777">
      <w:pPr>
        <w:pStyle w:val="HTMLPreformatted"/>
        <w:jc w:val="center"/>
        <w:rPr>
          <w:rFonts w:ascii="Times New Roman" w:hAnsi="Times New Roman" w:cs="Times New Roman"/>
          <w:sz w:val="24"/>
          <w:szCs w:val="24"/>
        </w:rPr>
      </w:pPr>
    </w:p>
    <w:p w:rsidR="00A62560" w:rsidRPr="001E3926" w14:paraId="3A62321A" w14:textId="77777777">
      <w:pPr>
        <w:pStyle w:val="HTMLPreformatted"/>
        <w:jc w:val="center"/>
        <w:rPr>
          <w:rFonts w:ascii="Times New Roman" w:hAnsi="Times New Roman" w:cs="Times New Roman"/>
          <w:sz w:val="24"/>
          <w:szCs w:val="24"/>
        </w:rPr>
      </w:pPr>
    </w:p>
    <w:p w:rsidR="006062D0" w:rsidRPr="001E3926" w14:paraId="7E696D28" w14:textId="77777777">
      <w:pPr>
        <w:pStyle w:val="HTMLPreformatted"/>
        <w:jc w:val="center"/>
        <w:rPr>
          <w:rFonts w:ascii="Times New Roman" w:hAnsi="Times New Roman" w:cs="Times New Roman"/>
          <w:sz w:val="24"/>
          <w:szCs w:val="24"/>
        </w:rPr>
      </w:pPr>
    </w:p>
    <w:p w:rsidR="00083B6D" w:rsidRPr="001E3926" w:rsidP="00083B6D" w14:paraId="2D8DA021" w14:textId="77777777">
      <w:pPr>
        <w:jc w:val="center"/>
        <w:rPr>
          <w:b/>
        </w:rPr>
      </w:pPr>
      <w:r w:rsidRPr="001E3926">
        <w:rPr>
          <w:b/>
        </w:rPr>
        <w:t xml:space="preserve">DIRECT TESTIMONY </w:t>
      </w:r>
    </w:p>
    <w:p w:rsidR="00083B6D" w:rsidRPr="001E3926" w:rsidP="00083B6D" w14:paraId="2D44CA90" w14:textId="77777777">
      <w:pPr>
        <w:jc w:val="center"/>
        <w:rPr>
          <w:b/>
        </w:rPr>
      </w:pPr>
      <w:r w:rsidRPr="001E3926">
        <w:rPr>
          <w:b/>
        </w:rPr>
        <w:t xml:space="preserve">OF </w:t>
      </w:r>
    </w:p>
    <w:p w:rsidR="006062D0" w:rsidRPr="001E3926" w:rsidP="00743CDA" w14:paraId="28245CB7" w14:textId="136DAD8E">
      <w:pPr>
        <w:jc w:val="center"/>
        <w:rPr>
          <w:b/>
        </w:rPr>
      </w:pPr>
      <w:r w:rsidRPr="001E3926">
        <w:rPr>
          <w:b/>
        </w:rPr>
        <w:t>JOSEPH P. BUCKLEY</w:t>
      </w:r>
    </w:p>
    <w:p w:rsidR="006062D0" w:rsidRPr="001E3926" w14:paraId="16059AF2" w14:textId="77777777">
      <w:pPr>
        <w:jc w:val="center"/>
        <w:rPr>
          <w:b/>
          <w:bCs/>
        </w:rPr>
      </w:pPr>
    </w:p>
    <w:p w:rsidR="006062D0" w:rsidRPr="001E3926" w14:paraId="7015EDCF" w14:textId="77777777">
      <w:pPr>
        <w:jc w:val="center"/>
        <w:rPr>
          <w:b/>
          <w:bCs/>
        </w:rPr>
      </w:pPr>
    </w:p>
    <w:p w:rsidR="00E4626D" w:rsidRPr="001E3926" w14:paraId="14510B5F" w14:textId="77777777">
      <w:pPr>
        <w:jc w:val="center"/>
        <w:rPr>
          <w:b/>
          <w:bCs/>
        </w:rPr>
      </w:pPr>
    </w:p>
    <w:p w:rsidR="006062D0" w:rsidRPr="001E3926" w14:paraId="042E0804" w14:textId="77777777">
      <w:pPr>
        <w:jc w:val="center"/>
        <w:rPr>
          <w:b/>
          <w:bCs/>
        </w:rPr>
      </w:pPr>
    </w:p>
    <w:p w:rsidR="006062D0" w:rsidRPr="001E3926" w14:paraId="74F64662" w14:textId="77777777">
      <w:pPr>
        <w:jc w:val="center"/>
        <w:rPr>
          <w:b/>
          <w:bCs/>
        </w:rPr>
      </w:pPr>
      <w:r w:rsidRPr="001E3926">
        <w:rPr>
          <w:b/>
          <w:bCs/>
        </w:rPr>
        <w:t>On Behalf of</w:t>
      </w:r>
      <w:r w:rsidRPr="001E3926" w:rsidR="003A4A04">
        <w:rPr>
          <w:b/>
          <w:bCs/>
        </w:rPr>
        <w:t xml:space="preserve"> the</w:t>
      </w:r>
    </w:p>
    <w:p w:rsidR="006062D0" w:rsidRPr="001E3926" w14:paraId="26F72200" w14:textId="7CDE7534">
      <w:pPr>
        <w:jc w:val="center"/>
        <w:rPr>
          <w:b/>
          <w:bCs/>
          <w:caps/>
        </w:rPr>
      </w:pPr>
      <w:r w:rsidRPr="001E3926">
        <w:rPr>
          <w:b/>
          <w:bCs/>
        </w:rPr>
        <w:t>Office of the Ohio Consumers</w:t>
      </w:r>
      <w:r w:rsidR="001E3926">
        <w:rPr>
          <w:b/>
          <w:bCs/>
        </w:rPr>
        <w:t>’</w:t>
      </w:r>
      <w:r w:rsidRPr="001E3926">
        <w:rPr>
          <w:b/>
          <w:bCs/>
        </w:rPr>
        <w:t xml:space="preserve"> Counsel</w:t>
      </w:r>
    </w:p>
    <w:p w:rsidR="006062D0" w:rsidRPr="001E3926" w14:paraId="71E03256" w14:textId="77777777">
      <w:pPr>
        <w:jc w:val="center"/>
        <w:rPr>
          <w:i/>
          <w:iCs/>
        </w:rPr>
      </w:pPr>
      <w:r w:rsidRPr="001E3926">
        <w:rPr>
          <w:i/>
          <w:iCs/>
        </w:rPr>
        <w:t xml:space="preserve">65 East State Street, </w:t>
      </w:r>
      <w:r w:rsidRPr="001E3926" w:rsidR="007672CF">
        <w:rPr>
          <w:i/>
          <w:iCs/>
        </w:rPr>
        <w:t>Suite 700</w:t>
      </w:r>
    </w:p>
    <w:p w:rsidR="006062D0" w:rsidRPr="001E3926" w14:paraId="40F8135D" w14:textId="77777777">
      <w:pPr>
        <w:jc w:val="center"/>
        <w:rPr>
          <w:i/>
          <w:iCs/>
        </w:rPr>
      </w:pPr>
      <w:r w:rsidRPr="001E3926">
        <w:rPr>
          <w:i/>
          <w:iCs/>
        </w:rPr>
        <w:t>Columbus, Ohio 43215</w:t>
      </w:r>
    </w:p>
    <w:p w:rsidR="006062D0" w:rsidRPr="001E3926" w14:paraId="339622A1" w14:textId="77777777">
      <w:pPr>
        <w:jc w:val="center"/>
      </w:pPr>
    </w:p>
    <w:p w:rsidR="006062D0" w:rsidRPr="001E3926" w14:paraId="21BB3D54" w14:textId="77777777">
      <w:pPr>
        <w:jc w:val="center"/>
      </w:pPr>
    </w:p>
    <w:p w:rsidR="008169DA" w:rsidRPr="001E3926" w14:paraId="272C73E4" w14:textId="77777777">
      <w:pPr>
        <w:jc w:val="center"/>
        <w:rPr>
          <w:b/>
          <w:bCs/>
          <w:iCs/>
        </w:rPr>
      </w:pPr>
    </w:p>
    <w:p w:rsidR="008169DA" w:rsidRPr="001E3926" w14:paraId="6F66CA64" w14:textId="77777777">
      <w:pPr>
        <w:jc w:val="center"/>
        <w:rPr>
          <w:b/>
          <w:bCs/>
          <w:iCs/>
        </w:rPr>
      </w:pPr>
    </w:p>
    <w:p w:rsidR="006062D0" w:rsidRPr="001E3926" w14:paraId="556F52FE" w14:textId="6091DDD7">
      <w:pPr>
        <w:jc w:val="center"/>
        <w:rPr>
          <w:b/>
          <w:bCs/>
          <w:iCs/>
        </w:rPr>
        <w:sectPr w:rsidSect="00B538AF">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pPr>
      <w:r w:rsidRPr="001E3926">
        <w:rPr>
          <w:b/>
          <w:bCs/>
          <w:iCs/>
        </w:rPr>
        <w:t xml:space="preserve">October </w:t>
      </w:r>
      <w:r w:rsidRPr="001E3926" w:rsidR="009F527A">
        <w:rPr>
          <w:b/>
          <w:bCs/>
          <w:iCs/>
        </w:rPr>
        <w:t>30</w:t>
      </w:r>
      <w:r w:rsidRPr="001E3926" w:rsidR="00E3627E">
        <w:rPr>
          <w:b/>
          <w:bCs/>
          <w:iCs/>
        </w:rPr>
        <w:t>, 202</w:t>
      </w:r>
      <w:r w:rsidRPr="001E3926" w:rsidR="005146B0">
        <w:rPr>
          <w:b/>
          <w:bCs/>
          <w:iCs/>
        </w:rPr>
        <w:t>4</w:t>
      </w:r>
    </w:p>
    <w:p w:rsidR="006062D0" w:rsidRPr="001E3926" w14:paraId="2ACFAD12" w14:textId="77777777">
      <w:pPr>
        <w:jc w:val="center"/>
        <w:rPr>
          <w:b/>
          <w:bCs/>
          <w:u w:val="single"/>
        </w:rPr>
      </w:pPr>
      <w:r w:rsidRPr="001E3926">
        <w:rPr>
          <w:b/>
          <w:bCs/>
          <w:u w:val="single"/>
        </w:rPr>
        <w:t>TABLE OF CONTENTS</w:t>
      </w:r>
    </w:p>
    <w:p w:rsidR="00293AFD" w:rsidRPr="001E3926" w14:paraId="7C2F5A5C" w14:textId="77777777">
      <w:pPr>
        <w:jc w:val="center"/>
        <w:rPr>
          <w:b/>
          <w:bCs/>
          <w:u w:val="single"/>
        </w:rPr>
      </w:pPr>
    </w:p>
    <w:p w:rsidR="006062D0" w:rsidRPr="001E3926" w14:paraId="3FAA7EEC" w14:textId="77777777">
      <w:pPr>
        <w:jc w:val="right"/>
        <w:rPr>
          <w:b/>
        </w:rPr>
      </w:pPr>
      <w:r w:rsidRPr="001E3926">
        <w:rPr>
          <w:b/>
        </w:rPr>
        <w:t>PAGE</w:t>
      </w:r>
    </w:p>
    <w:p w:rsidR="006062D0" w:rsidRPr="001E3926" w14:paraId="0AD3F52F" w14:textId="77777777">
      <w:pPr>
        <w:jc w:val="right"/>
        <w:rPr>
          <w:b/>
          <w:u w:val="single"/>
        </w:rPr>
      </w:pPr>
    </w:p>
    <w:p w:rsidR="0032599F" w14:paraId="4BBB2F40" w14:textId="1DC00A7C">
      <w:pPr>
        <w:pStyle w:val="TOC1"/>
        <w:rPr>
          <w:rFonts w:asciiTheme="minorHAnsi" w:eastAsiaTheme="minorEastAsia" w:hAnsiTheme="minorHAnsi" w:cstheme="minorBidi"/>
          <w:caps w:val="0"/>
          <w:kern w:val="2"/>
          <w14:ligatures w14:val="standardContextual"/>
        </w:rPr>
      </w:pPr>
      <w:r w:rsidRPr="001E3926">
        <w:rPr>
          <w:b/>
          <w:bCs/>
        </w:rPr>
        <w:fldChar w:fldCharType="begin"/>
      </w:r>
      <w:r w:rsidRPr="001E3926">
        <w:rPr>
          <w:b/>
          <w:bCs/>
        </w:rPr>
        <w:instrText xml:space="preserve"> TOC \o "1-3" \h \z \u </w:instrText>
      </w:r>
      <w:r w:rsidRPr="001E3926">
        <w:rPr>
          <w:b/>
          <w:bCs/>
        </w:rPr>
        <w:fldChar w:fldCharType="separate"/>
      </w:r>
      <w:hyperlink w:anchor="_Toc181193286" w:history="1">
        <w:r w:rsidRPr="001B6103">
          <w:rPr>
            <w:rStyle w:val="Hyperlink"/>
          </w:rPr>
          <w:t>I.</w:t>
        </w:r>
        <w:r>
          <w:rPr>
            <w:rFonts w:asciiTheme="minorHAnsi" w:eastAsiaTheme="minorEastAsia" w:hAnsiTheme="minorHAnsi" w:cstheme="minorBidi"/>
            <w:caps w:val="0"/>
            <w:kern w:val="2"/>
            <w14:ligatures w14:val="standardContextual"/>
          </w:rPr>
          <w:tab/>
        </w:r>
        <w:r w:rsidRPr="001B6103">
          <w:rPr>
            <w:rStyle w:val="Hyperlink"/>
          </w:rPr>
          <w:t>INTRODUCTION</w:t>
        </w:r>
        <w:r>
          <w:rPr>
            <w:webHidden/>
          </w:rPr>
          <w:tab/>
        </w:r>
        <w:r>
          <w:rPr>
            <w:webHidden/>
          </w:rPr>
          <w:fldChar w:fldCharType="begin"/>
        </w:r>
        <w:r>
          <w:rPr>
            <w:webHidden/>
          </w:rPr>
          <w:instrText xml:space="preserve"> PAGEREF _Toc181193286 \h </w:instrText>
        </w:r>
        <w:r>
          <w:rPr>
            <w:webHidden/>
          </w:rPr>
          <w:fldChar w:fldCharType="separate"/>
        </w:r>
        <w:r>
          <w:rPr>
            <w:webHidden/>
          </w:rPr>
          <w:t>1</w:t>
        </w:r>
        <w:r>
          <w:rPr>
            <w:webHidden/>
          </w:rPr>
          <w:fldChar w:fldCharType="end"/>
        </w:r>
      </w:hyperlink>
    </w:p>
    <w:p w:rsidR="0032599F" w14:paraId="67107B9F" w14:textId="0F8C2D4D">
      <w:pPr>
        <w:pStyle w:val="TOC1"/>
        <w:rPr>
          <w:rFonts w:asciiTheme="minorHAnsi" w:eastAsiaTheme="minorEastAsia" w:hAnsiTheme="minorHAnsi" w:cstheme="minorBidi"/>
          <w:caps w:val="0"/>
          <w:kern w:val="2"/>
          <w14:ligatures w14:val="standardContextual"/>
        </w:rPr>
      </w:pPr>
      <w:hyperlink w:anchor="_Toc181193287" w:history="1">
        <w:r w:rsidRPr="001B6103">
          <w:rPr>
            <w:rStyle w:val="Hyperlink"/>
          </w:rPr>
          <w:t>II.</w:t>
        </w:r>
        <w:r>
          <w:rPr>
            <w:rFonts w:asciiTheme="minorHAnsi" w:eastAsiaTheme="minorEastAsia" w:hAnsiTheme="minorHAnsi" w:cstheme="minorBidi"/>
            <w:caps w:val="0"/>
            <w:kern w:val="2"/>
            <w14:ligatures w14:val="standardContextual"/>
          </w:rPr>
          <w:tab/>
        </w:r>
        <w:r w:rsidRPr="001B6103">
          <w:rPr>
            <w:rStyle w:val="Hyperlink"/>
          </w:rPr>
          <w:t>TRANSITIONING TO A COMPETITIVE RETAIL ELECTRIC MARKET</w:t>
        </w:r>
        <w:r>
          <w:rPr>
            <w:webHidden/>
          </w:rPr>
          <w:tab/>
        </w:r>
        <w:r>
          <w:rPr>
            <w:webHidden/>
          </w:rPr>
          <w:fldChar w:fldCharType="begin"/>
        </w:r>
        <w:r>
          <w:rPr>
            <w:webHidden/>
          </w:rPr>
          <w:instrText xml:space="preserve"> PAGEREF _Toc181193287 \h </w:instrText>
        </w:r>
        <w:r>
          <w:rPr>
            <w:webHidden/>
          </w:rPr>
          <w:fldChar w:fldCharType="separate"/>
        </w:r>
        <w:r>
          <w:rPr>
            <w:webHidden/>
          </w:rPr>
          <w:t>5</w:t>
        </w:r>
        <w:r>
          <w:rPr>
            <w:webHidden/>
          </w:rPr>
          <w:fldChar w:fldCharType="end"/>
        </w:r>
      </w:hyperlink>
    </w:p>
    <w:p w:rsidR="0032599F" w14:paraId="7E6366A3" w14:textId="1E0F82A9">
      <w:pPr>
        <w:pStyle w:val="TOC1"/>
        <w:rPr>
          <w:rFonts w:asciiTheme="minorHAnsi" w:eastAsiaTheme="minorEastAsia" w:hAnsiTheme="minorHAnsi" w:cstheme="minorBidi"/>
          <w:caps w:val="0"/>
          <w:kern w:val="2"/>
          <w14:ligatures w14:val="standardContextual"/>
        </w:rPr>
      </w:pPr>
      <w:hyperlink w:anchor="_Toc181193288" w:history="1">
        <w:r w:rsidRPr="001B6103">
          <w:rPr>
            <w:rStyle w:val="Hyperlink"/>
          </w:rPr>
          <w:t>III.</w:t>
        </w:r>
        <w:r>
          <w:rPr>
            <w:rFonts w:asciiTheme="minorHAnsi" w:eastAsiaTheme="minorEastAsia" w:hAnsiTheme="minorHAnsi" w:cstheme="minorBidi"/>
            <w:caps w:val="0"/>
            <w:kern w:val="2"/>
            <w14:ligatures w14:val="standardContextual"/>
          </w:rPr>
          <w:tab/>
        </w:r>
        <w:r w:rsidRPr="001B6103">
          <w:rPr>
            <w:rStyle w:val="Hyperlink"/>
          </w:rPr>
          <w:t>ADDITIONAL RESTRUCTURING LEGISLATION IN 2008</w:t>
        </w:r>
        <w:r>
          <w:rPr>
            <w:webHidden/>
          </w:rPr>
          <w:tab/>
        </w:r>
        <w:r>
          <w:rPr>
            <w:webHidden/>
          </w:rPr>
          <w:fldChar w:fldCharType="begin"/>
        </w:r>
        <w:r>
          <w:rPr>
            <w:webHidden/>
          </w:rPr>
          <w:instrText xml:space="preserve"> PAGEREF _Toc181193288 \h </w:instrText>
        </w:r>
        <w:r>
          <w:rPr>
            <w:webHidden/>
          </w:rPr>
          <w:fldChar w:fldCharType="separate"/>
        </w:r>
        <w:r>
          <w:rPr>
            <w:webHidden/>
          </w:rPr>
          <w:t>7</w:t>
        </w:r>
        <w:r>
          <w:rPr>
            <w:webHidden/>
          </w:rPr>
          <w:fldChar w:fldCharType="end"/>
        </w:r>
      </w:hyperlink>
    </w:p>
    <w:p w:rsidR="0032599F" w14:paraId="4665804A" w14:textId="4F39E25B">
      <w:pPr>
        <w:pStyle w:val="TOC1"/>
        <w:rPr>
          <w:rFonts w:asciiTheme="minorHAnsi" w:eastAsiaTheme="minorEastAsia" w:hAnsiTheme="minorHAnsi" w:cstheme="minorBidi"/>
          <w:caps w:val="0"/>
          <w:kern w:val="2"/>
          <w14:ligatures w14:val="standardContextual"/>
        </w:rPr>
      </w:pPr>
      <w:hyperlink w:anchor="_Toc181193289" w:history="1">
        <w:r w:rsidRPr="001B6103">
          <w:rPr>
            <w:rStyle w:val="Hyperlink"/>
          </w:rPr>
          <w:t>IV.</w:t>
        </w:r>
        <w:r>
          <w:rPr>
            <w:rFonts w:asciiTheme="minorHAnsi" w:eastAsiaTheme="minorEastAsia" w:hAnsiTheme="minorHAnsi" w:cstheme="minorBidi"/>
            <w:caps w:val="0"/>
            <w:kern w:val="2"/>
            <w14:ligatures w14:val="standardContextual"/>
          </w:rPr>
          <w:tab/>
        </w:r>
        <w:r w:rsidRPr="001B6103">
          <w:rPr>
            <w:rStyle w:val="Hyperlink"/>
          </w:rPr>
          <w:t>MARKET RATE OFFERS</w:t>
        </w:r>
        <w:r>
          <w:rPr>
            <w:webHidden/>
          </w:rPr>
          <w:tab/>
        </w:r>
        <w:r>
          <w:rPr>
            <w:webHidden/>
          </w:rPr>
          <w:fldChar w:fldCharType="begin"/>
        </w:r>
        <w:r>
          <w:rPr>
            <w:webHidden/>
          </w:rPr>
          <w:instrText xml:space="preserve"> PAGEREF _Toc181193289 \h </w:instrText>
        </w:r>
        <w:r>
          <w:rPr>
            <w:webHidden/>
          </w:rPr>
          <w:fldChar w:fldCharType="separate"/>
        </w:r>
        <w:r>
          <w:rPr>
            <w:webHidden/>
          </w:rPr>
          <w:t>9</w:t>
        </w:r>
        <w:r>
          <w:rPr>
            <w:webHidden/>
          </w:rPr>
          <w:fldChar w:fldCharType="end"/>
        </w:r>
      </w:hyperlink>
    </w:p>
    <w:p w:rsidR="0032599F" w14:paraId="3EF76123" w14:textId="2D4C695C">
      <w:pPr>
        <w:pStyle w:val="TOC1"/>
        <w:rPr>
          <w:rFonts w:asciiTheme="minorHAnsi" w:eastAsiaTheme="minorEastAsia" w:hAnsiTheme="minorHAnsi" w:cstheme="minorBidi"/>
          <w:caps w:val="0"/>
          <w:kern w:val="2"/>
          <w14:ligatures w14:val="standardContextual"/>
        </w:rPr>
      </w:pPr>
      <w:hyperlink w:anchor="_Toc181193290" w:history="1">
        <w:r w:rsidRPr="001B6103">
          <w:rPr>
            <w:rStyle w:val="Hyperlink"/>
          </w:rPr>
          <w:t>V.</w:t>
        </w:r>
        <w:r>
          <w:rPr>
            <w:rFonts w:asciiTheme="minorHAnsi" w:eastAsiaTheme="minorEastAsia" w:hAnsiTheme="minorHAnsi" w:cstheme="minorBidi"/>
            <w:caps w:val="0"/>
            <w:kern w:val="2"/>
            <w14:ligatures w14:val="standardContextual"/>
          </w:rPr>
          <w:tab/>
        </w:r>
        <w:r w:rsidRPr="001B6103">
          <w:rPr>
            <w:rStyle w:val="Hyperlink"/>
          </w:rPr>
          <w:t>“MORE FAVORABLE IN THE AGGREGATE” TEST</w:t>
        </w:r>
        <w:r>
          <w:rPr>
            <w:webHidden/>
          </w:rPr>
          <w:tab/>
        </w:r>
        <w:r>
          <w:rPr>
            <w:webHidden/>
          </w:rPr>
          <w:fldChar w:fldCharType="begin"/>
        </w:r>
        <w:r>
          <w:rPr>
            <w:webHidden/>
          </w:rPr>
          <w:instrText xml:space="preserve"> PAGEREF _Toc181193290 \h </w:instrText>
        </w:r>
        <w:r>
          <w:rPr>
            <w:webHidden/>
          </w:rPr>
          <w:fldChar w:fldCharType="separate"/>
        </w:r>
        <w:r>
          <w:rPr>
            <w:webHidden/>
          </w:rPr>
          <w:t>14</w:t>
        </w:r>
        <w:r>
          <w:rPr>
            <w:webHidden/>
          </w:rPr>
          <w:fldChar w:fldCharType="end"/>
        </w:r>
      </w:hyperlink>
    </w:p>
    <w:p w:rsidR="0032599F" w14:paraId="335655C8" w14:textId="39ABB047">
      <w:pPr>
        <w:pStyle w:val="TOC1"/>
        <w:rPr>
          <w:rFonts w:asciiTheme="minorHAnsi" w:eastAsiaTheme="minorEastAsia" w:hAnsiTheme="minorHAnsi" w:cstheme="minorBidi"/>
          <w:caps w:val="0"/>
          <w:kern w:val="2"/>
          <w14:ligatures w14:val="standardContextual"/>
        </w:rPr>
      </w:pPr>
      <w:hyperlink w:anchor="_Toc181193291" w:history="1">
        <w:r w:rsidRPr="001B6103">
          <w:rPr>
            <w:rStyle w:val="Hyperlink"/>
          </w:rPr>
          <w:t>VI.</w:t>
        </w:r>
        <w:r>
          <w:rPr>
            <w:rFonts w:asciiTheme="minorHAnsi" w:eastAsiaTheme="minorEastAsia" w:hAnsiTheme="minorHAnsi" w:cstheme="minorBidi"/>
            <w:caps w:val="0"/>
            <w:kern w:val="2"/>
            <w14:ligatures w14:val="standardContextual"/>
          </w:rPr>
          <w:tab/>
        </w:r>
        <w:r w:rsidRPr="001B6103">
          <w:rPr>
            <w:rStyle w:val="Hyperlink"/>
          </w:rPr>
          <w:t>CONCLUSION</w:t>
        </w:r>
        <w:r>
          <w:rPr>
            <w:webHidden/>
          </w:rPr>
          <w:tab/>
        </w:r>
        <w:r>
          <w:rPr>
            <w:webHidden/>
          </w:rPr>
          <w:fldChar w:fldCharType="begin"/>
        </w:r>
        <w:r>
          <w:rPr>
            <w:webHidden/>
          </w:rPr>
          <w:instrText xml:space="preserve"> PAGEREF _Toc181193291 \h </w:instrText>
        </w:r>
        <w:r>
          <w:rPr>
            <w:webHidden/>
          </w:rPr>
          <w:fldChar w:fldCharType="separate"/>
        </w:r>
        <w:r>
          <w:rPr>
            <w:webHidden/>
          </w:rPr>
          <w:t>20</w:t>
        </w:r>
        <w:r>
          <w:rPr>
            <w:webHidden/>
          </w:rPr>
          <w:fldChar w:fldCharType="end"/>
        </w:r>
      </w:hyperlink>
    </w:p>
    <w:p w:rsidR="001223D7" w:rsidRPr="001E3926" w:rsidP="00D921CD" w14:paraId="6138DFA8" w14:textId="122599DF">
      <w:pPr>
        <w:tabs>
          <w:tab w:val="left" w:pos="720"/>
          <w:tab w:val="left" w:pos="1440"/>
          <w:tab w:val="left" w:leader="dot" w:pos="8640"/>
        </w:tabs>
        <w:spacing w:line="480" w:lineRule="auto"/>
        <w:ind w:left="270"/>
        <w:jc w:val="both"/>
        <w:rPr>
          <w:b/>
          <w:bCs/>
        </w:rPr>
      </w:pPr>
      <w:r w:rsidRPr="001E3926">
        <w:rPr>
          <w:b/>
          <w:bCs/>
        </w:rPr>
        <w:fldChar w:fldCharType="end"/>
      </w:r>
    </w:p>
    <w:p w:rsidR="001223D7" w:rsidRPr="001E3926" w:rsidP="00C46FC8" w14:paraId="5DE91662" w14:textId="77777777">
      <w:pPr>
        <w:rPr>
          <w:b/>
        </w:rPr>
      </w:pPr>
    </w:p>
    <w:p w:rsidR="00E45C2D" w:rsidRPr="001E3926" w:rsidP="00B17821" w14:paraId="7905F6D0" w14:textId="77777777">
      <w:pPr>
        <w:ind w:left="2160" w:hanging="2160"/>
      </w:pPr>
      <w:bookmarkStart w:id="0" w:name="_Toc317859570"/>
      <w:bookmarkStart w:id="1" w:name="_Toc386462073"/>
      <w:bookmarkStart w:id="2" w:name="_Toc398624429"/>
      <w:bookmarkStart w:id="3" w:name="_Toc407798625"/>
    </w:p>
    <w:p w:rsidR="00E45C2D" w:rsidRPr="001E3926" w:rsidP="00B17821" w14:paraId="66EE1FAA" w14:textId="6D9747DD">
      <w:pPr>
        <w:ind w:left="2160" w:hanging="2160"/>
        <w:sectPr w:rsidSect="00B538AF">
          <w:headerReference w:type="even" r:id="rId12"/>
          <w:headerReference w:type="default" r:id="rId13"/>
          <w:footerReference w:type="default" r:id="rId14"/>
          <w:headerReference w:type="first" r:id="rId15"/>
          <w:pgSz w:w="12240" w:h="15840" w:code="1"/>
          <w:pgMar w:top="1440" w:right="1800" w:bottom="1440" w:left="1800" w:header="450" w:footer="720" w:gutter="0"/>
          <w:pgNumType w:start="1"/>
          <w:cols w:space="720"/>
          <w:docGrid w:linePitch="326"/>
        </w:sectPr>
      </w:pPr>
    </w:p>
    <w:p w:rsidR="00046AD3" w:rsidRPr="001E3926" w:rsidP="0046181B" w14:paraId="5841BD42" w14:textId="77777777">
      <w:pPr>
        <w:pStyle w:val="Heading1"/>
      </w:pPr>
      <w:bookmarkStart w:id="4" w:name="_Toc181193286"/>
      <w:bookmarkEnd w:id="0"/>
      <w:bookmarkEnd w:id="1"/>
      <w:bookmarkEnd w:id="2"/>
      <w:bookmarkEnd w:id="3"/>
      <w:r w:rsidRPr="001E3926">
        <w:t>INTRODUCTION</w:t>
      </w:r>
      <w:bookmarkEnd w:id="4"/>
    </w:p>
    <w:p w:rsidR="004C4BD9" w:rsidRPr="001E3926" w:rsidP="004C4BD9" w14:paraId="6D067A85" w14:textId="77777777">
      <w:pPr>
        <w:spacing w:line="480" w:lineRule="auto"/>
      </w:pPr>
    </w:p>
    <w:p w:rsidR="00046AD3" w:rsidRPr="001E3926" w:rsidP="00046AD3" w14:paraId="2C972F96" w14:textId="77777777">
      <w:pPr>
        <w:tabs>
          <w:tab w:val="left" w:pos="720"/>
          <w:tab w:val="left" w:pos="1440"/>
          <w:tab w:val="left" w:leader="dot" w:pos="8640"/>
        </w:tabs>
        <w:spacing w:line="480" w:lineRule="auto"/>
        <w:rPr>
          <w:b/>
          <w:bCs/>
          <w:i/>
          <w:iCs/>
        </w:rPr>
      </w:pPr>
      <w:r w:rsidRPr="001E3926">
        <w:rPr>
          <w:b/>
          <w:bCs/>
          <w:i/>
          <w:iCs/>
        </w:rPr>
        <w:t>Q1.</w:t>
      </w:r>
      <w:r w:rsidRPr="001E3926">
        <w:rPr>
          <w:b/>
          <w:bCs/>
          <w:i/>
          <w:iCs/>
        </w:rPr>
        <w:tab/>
        <w:t>PLEASE STATE YOUR NAME, BUSINESS ADDRESS, AND POSITION.</w:t>
      </w:r>
    </w:p>
    <w:p w:rsidR="00046AD3" w:rsidRPr="001E3926" w:rsidP="00046AD3" w14:paraId="3F095D4B" w14:textId="0FA38919">
      <w:pPr>
        <w:tabs>
          <w:tab w:val="left" w:pos="720"/>
          <w:tab w:val="left" w:pos="1440"/>
          <w:tab w:val="left" w:leader="dot" w:pos="8640"/>
        </w:tabs>
        <w:spacing w:line="480" w:lineRule="auto"/>
        <w:ind w:left="720" w:hanging="720"/>
      </w:pPr>
      <w:r w:rsidRPr="001E3926">
        <w:rPr>
          <w:b/>
          <w:bCs/>
          <w:i/>
          <w:iCs/>
        </w:rPr>
        <w:t>A1</w:t>
      </w:r>
      <w:r w:rsidRPr="001E3926">
        <w:rPr>
          <w:b/>
          <w:bCs/>
          <w:iCs/>
        </w:rPr>
        <w:t>.</w:t>
      </w:r>
      <w:r w:rsidRPr="001E3926">
        <w:tab/>
        <w:t>My name is Joseph P. Buckley. My business address is 65 East State Street, Suite 700, Columbus, Ohio 43215. I am an Analyst in the Analytical Services Department for the Office of the Ohio Consumers</w:t>
      </w:r>
      <w:r w:rsidR="001E3926">
        <w:t>’</w:t>
      </w:r>
      <w:r w:rsidRPr="001E3926">
        <w:t xml:space="preserve"> Counsel (</w:t>
      </w:r>
      <w:r w:rsidR="001E3926">
        <w:t>“</w:t>
      </w:r>
      <w:r w:rsidRPr="001E3926">
        <w:t>OCC</w:t>
      </w:r>
      <w:r w:rsidR="001E3926">
        <w:t>”</w:t>
      </w:r>
      <w:r w:rsidRPr="001E3926">
        <w:t>).</w:t>
      </w:r>
    </w:p>
    <w:p w:rsidR="00046AD3" w:rsidRPr="001E3926" w:rsidP="00962D07" w14:paraId="654CCAE1" w14:textId="77777777">
      <w:pPr>
        <w:tabs>
          <w:tab w:val="left" w:pos="720"/>
          <w:tab w:val="left" w:pos="1440"/>
          <w:tab w:val="left" w:leader="dot" w:pos="8640"/>
        </w:tabs>
        <w:spacing w:line="480" w:lineRule="auto"/>
      </w:pPr>
    </w:p>
    <w:p w:rsidR="00046AD3" w:rsidRPr="001E3926" w:rsidP="00046AD3" w14:paraId="4E100243" w14:textId="77777777">
      <w:pPr>
        <w:tabs>
          <w:tab w:val="left" w:pos="720"/>
          <w:tab w:val="left" w:pos="1440"/>
          <w:tab w:val="left" w:leader="dot" w:pos="8640"/>
        </w:tabs>
        <w:spacing w:line="480" w:lineRule="auto"/>
        <w:ind w:left="720" w:hanging="720"/>
        <w:rPr>
          <w:b/>
          <w:bCs/>
          <w:i/>
          <w:iCs/>
        </w:rPr>
      </w:pPr>
      <w:r w:rsidRPr="001E3926">
        <w:rPr>
          <w:b/>
          <w:bCs/>
          <w:i/>
          <w:iCs/>
        </w:rPr>
        <w:t>Q2.</w:t>
      </w:r>
      <w:r w:rsidRPr="001E3926">
        <w:rPr>
          <w:b/>
          <w:bCs/>
          <w:i/>
          <w:iCs/>
        </w:rPr>
        <w:tab/>
        <w:t>PLEASE SUMMARIZE YOUR EDUCATIONAL BACKGROUND</w:t>
      </w:r>
      <w:r w:rsidRPr="001E3926" w:rsidR="004E36DA">
        <w:rPr>
          <w:b/>
          <w:bCs/>
          <w:i/>
          <w:iCs/>
        </w:rPr>
        <w:t>.</w:t>
      </w:r>
    </w:p>
    <w:p w:rsidR="00046AD3" w:rsidRPr="001E3926" w:rsidP="00046AD3" w14:paraId="5733AD17" w14:textId="77777777">
      <w:pPr>
        <w:spacing w:line="480" w:lineRule="auto"/>
        <w:ind w:left="720" w:hanging="720"/>
      </w:pPr>
      <w:r w:rsidRPr="001E3926">
        <w:rPr>
          <w:b/>
          <w:bCs/>
          <w:i/>
          <w:iCs/>
        </w:rPr>
        <w:t>A2</w:t>
      </w:r>
      <w:r w:rsidRPr="001E3926">
        <w:rPr>
          <w:b/>
          <w:bCs/>
          <w:iCs/>
        </w:rPr>
        <w:t>.</w:t>
      </w:r>
      <w:r w:rsidRPr="001E3926">
        <w:tab/>
        <w:t>I earned a Bachelor of Science degree in Business Administration from The Ohio State University and a Master of Business Administration degree from the University of Dayton.</w:t>
      </w:r>
    </w:p>
    <w:p w:rsidR="00046AD3" w:rsidRPr="001E3926" w:rsidP="00046AD3" w14:paraId="748422A5" w14:textId="77777777">
      <w:pPr>
        <w:autoSpaceDE w:val="0"/>
        <w:autoSpaceDN w:val="0"/>
        <w:adjustRightInd w:val="0"/>
        <w:spacing w:line="480" w:lineRule="auto"/>
        <w:ind w:left="720" w:hanging="720"/>
      </w:pPr>
    </w:p>
    <w:p w:rsidR="00046AD3" w:rsidRPr="001E3926" w:rsidP="00046AD3" w14:paraId="0C32053D" w14:textId="77777777">
      <w:pPr>
        <w:autoSpaceDE w:val="0"/>
        <w:autoSpaceDN w:val="0"/>
        <w:adjustRightInd w:val="0"/>
        <w:ind w:left="720" w:hanging="720"/>
        <w:rPr>
          <w:b/>
          <w:bCs/>
          <w:i/>
          <w:iCs/>
        </w:rPr>
      </w:pPr>
      <w:r w:rsidRPr="001E3926">
        <w:rPr>
          <w:b/>
          <w:bCs/>
          <w:i/>
          <w:iCs/>
        </w:rPr>
        <w:t>Q3.</w:t>
      </w:r>
      <w:r w:rsidRPr="001E3926">
        <w:rPr>
          <w:b/>
          <w:bCs/>
          <w:i/>
          <w:iCs/>
        </w:rPr>
        <w:tab/>
        <w:t>PLEASE SUMMARIZE YOUR PROFESSIONAL</w:t>
      </w:r>
      <w:r w:rsidRPr="001E3926">
        <w:t xml:space="preserve"> </w:t>
      </w:r>
      <w:r w:rsidRPr="001E3926">
        <w:rPr>
          <w:b/>
          <w:bCs/>
          <w:i/>
          <w:iCs/>
        </w:rPr>
        <w:t>EXPERIENCE AS IT RELATES TO UTILITY REGULATION.</w:t>
      </w:r>
    </w:p>
    <w:p w:rsidR="00046AD3" w:rsidRPr="001E3926" w:rsidP="00046AD3" w14:paraId="75FF9AD9" w14:textId="77777777">
      <w:pPr>
        <w:autoSpaceDE w:val="0"/>
        <w:autoSpaceDN w:val="0"/>
        <w:adjustRightInd w:val="0"/>
        <w:ind w:left="720" w:hanging="720"/>
        <w:rPr>
          <w:b/>
          <w:bCs/>
          <w:i/>
          <w:iCs/>
        </w:rPr>
      </w:pPr>
    </w:p>
    <w:p w:rsidR="00046AD3" w:rsidRPr="001E3926" w:rsidP="00046AD3" w14:paraId="69E45EAE" w14:textId="5019D3AE">
      <w:pPr>
        <w:spacing w:line="480" w:lineRule="auto"/>
        <w:ind w:left="720" w:hanging="720"/>
      </w:pPr>
      <w:r w:rsidRPr="001E3926">
        <w:rPr>
          <w:b/>
          <w:bCs/>
          <w:i/>
          <w:iCs/>
        </w:rPr>
        <w:t>A3.</w:t>
      </w:r>
      <w:r w:rsidRPr="001E3926">
        <w:rPr>
          <w:b/>
          <w:bCs/>
          <w:i/>
          <w:iCs/>
        </w:rPr>
        <w:tab/>
      </w:r>
      <w:r w:rsidRPr="001E3926">
        <w:t>From July 1987 to July 2022, I was employed by the</w:t>
      </w:r>
      <w:r w:rsidRPr="001E3926" w:rsidR="003E52B1">
        <w:t xml:space="preserve"> </w:t>
      </w:r>
      <w:r w:rsidRPr="001E3926">
        <w:t>PUCO. During that time, I held several positions (</w:t>
      </w:r>
      <w:r w:rsidRPr="001E3926">
        <w:rPr>
          <w:i/>
          <w:iCs/>
        </w:rPr>
        <w:t>e.g</w:t>
      </w:r>
      <w:r w:rsidRPr="001E3926">
        <w:t>., Rate Analyst, Utility Specialist I and Utility Specialist 3) in various divisions and departments that focused on utility financial and accounting issues, including rate of return. In addition, I served on multiple federal/state joint audits and was Chairman and Vice Chairman of the Mid-Continent Independent System Operator (</w:t>
      </w:r>
      <w:r w:rsidR="001E3926">
        <w:t>“</w:t>
      </w:r>
      <w:r w:rsidRPr="001E3926">
        <w:t>MISO</w:t>
      </w:r>
      <w:r w:rsidR="001E3926">
        <w:t>”</w:t>
      </w:r>
      <w:r w:rsidRPr="001E3926">
        <w:t>), finance committee.</w:t>
      </w:r>
    </w:p>
    <w:p w:rsidR="00046AD3" w:rsidRPr="001E3926" w:rsidP="00046AD3" w14:paraId="7911301E" w14:textId="77777777">
      <w:pPr>
        <w:spacing w:line="480" w:lineRule="auto"/>
        <w:ind w:left="720" w:hanging="720"/>
      </w:pPr>
    </w:p>
    <w:p w:rsidR="00046AD3" w:rsidRPr="001E3926" w:rsidP="00046AD3" w14:paraId="236FF938" w14:textId="77777777">
      <w:pPr>
        <w:spacing w:line="480" w:lineRule="auto"/>
        <w:ind w:left="720"/>
      </w:pPr>
      <w:r w:rsidRPr="001E3926">
        <w:t>In 2000, I earned the Certified in Financial Management designation, awarded by the Institute of Management Accountants. In 2011, I was awarded the professional designation Certified Rate of Return Analyst by the Society of Utility and Regulatory Financial Analysts in recognition of my experience and successful completion of a written examination.</w:t>
      </w:r>
    </w:p>
    <w:p w:rsidR="00046AD3" w:rsidRPr="001E3926" w:rsidP="00046AD3" w14:paraId="19B898D0" w14:textId="77777777">
      <w:pPr>
        <w:spacing w:line="480" w:lineRule="auto"/>
        <w:ind w:left="720"/>
      </w:pPr>
    </w:p>
    <w:p w:rsidR="00046AD3" w:rsidRPr="001E3926" w:rsidP="00046AD3" w14:paraId="59CB1144" w14:textId="77777777">
      <w:pPr>
        <w:ind w:left="720" w:hanging="720"/>
        <w:rPr>
          <w:b/>
          <w:bCs/>
          <w:i/>
          <w:iCs/>
        </w:rPr>
      </w:pPr>
      <w:r w:rsidRPr="001E3926">
        <w:rPr>
          <w:b/>
          <w:bCs/>
          <w:i/>
          <w:iCs/>
        </w:rPr>
        <w:t>Q</w:t>
      </w:r>
      <w:r w:rsidRPr="001E3926" w:rsidR="009430F2">
        <w:rPr>
          <w:b/>
          <w:bCs/>
          <w:i/>
          <w:iCs/>
        </w:rPr>
        <w:t>4</w:t>
      </w:r>
      <w:r w:rsidRPr="001E3926">
        <w:rPr>
          <w:b/>
          <w:bCs/>
          <w:i/>
          <w:iCs/>
        </w:rPr>
        <w:t>.</w:t>
      </w:r>
      <w:r w:rsidRPr="001E3926">
        <w:rPr>
          <w:b/>
          <w:bCs/>
          <w:i/>
          <w:iCs/>
        </w:rPr>
        <w:tab/>
        <w:t>HAVE YOU PREVIOUSLY SUBMITTED TESTIMONY BEFORE THE PUCO?</w:t>
      </w:r>
    </w:p>
    <w:p w:rsidR="00046AD3" w:rsidRPr="001E3926" w:rsidP="00046AD3" w14:paraId="5E625643" w14:textId="77777777">
      <w:pPr>
        <w:ind w:left="720" w:hanging="720"/>
        <w:rPr>
          <w:b/>
          <w:bCs/>
          <w:i/>
          <w:iCs/>
        </w:rPr>
      </w:pPr>
    </w:p>
    <w:p w:rsidR="0097189B" w:rsidRPr="001E3926" w:rsidP="00046AD3" w14:paraId="7D942C24" w14:textId="76624C3E">
      <w:pPr>
        <w:autoSpaceDE w:val="0"/>
        <w:autoSpaceDN w:val="0"/>
        <w:adjustRightInd w:val="0"/>
        <w:spacing w:line="480" w:lineRule="auto"/>
        <w:ind w:left="720" w:hanging="720"/>
      </w:pPr>
      <w:r w:rsidRPr="001E3926">
        <w:rPr>
          <w:b/>
          <w:bCs/>
          <w:i/>
          <w:iCs/>
        </w:rPr>
        <w:t>A</w:t>
      </w:r>
      <w:r w:rsidRPr="001E3926" w:rsidR="009430F2">
        <w:rPr>
          <w:b/>
          <w:bCs/>
          <w:i/>
          <w:iCs/>
        </w:rPr>
        <w:t>4</w:t>
      </w:r>
      <w:r w:rsidRPr="001E3926">
        <w:rPr>
          <w:b/>
          <w:bCs/>
          <w:i/>
          <w:iCs/>
        </w:rPr>
        <w:t>.</w:t>
      </w:r>
      <w:r w:rsidRPr="001E3926">
        <w:rPr>
          <w:b/>
          <w:bCs/>
          <w:i/>
          <w:iCs/>
        </w:rPr>
        <w:tab/>
      </w:r>
      <w:r w:rsidRPr="001E3926">
        <w:t>Yes. When I worked at the PUCO, I testified on numerous occasions to advocate the positions of the PUCO Staff. Over the course of my career at the PUCO, I submitted testimony numerous times recommending rate of return ranges during rate proceedings. I also was responsible for other topics, including management and operations review (</w:t>
      </w:r>
      <w:r w:rsidR="001E3926">
        <w:t>“</w:t>
      </w:r>
      <w:r w:rsidRPr="001E3926">
        <w:t>M&amp;OR</w:t>
      </w:r>
      <w:r w:rsidR="001E3926">
        <w:t>”</w:t>
      </w:r>
      <w:r w:rsidRPr="001E3926">
        <w:t>), affiliate transactions, and significantly excessive earnings test (</w:t>
      </w:r>
      <w:r w:rsidR="001E3926">
        <w:t>“</w:t>
      </w:r>
      <w:r w:rsidRPr="001E3926">
        <w:t>SEET</w:t>
      </w:r>
      <w:r w:rsidR="001E3926">
        <w:t>”</w:t>
      </w:r>
      <w:r w:rsidRPr="001E3926">
        <w:t>), among others.</w:t>
      </w:r>
    </w:p>
    <w:p w:rsidR="00BF64EA" w:rsidRPr="001E3926" w:rsidP="00046AD3" w14:paraId="386E5F2F" w14:textId="77777777">
      <w:pPr>
        <w:autoSpaceDE w:val="0"/>
        <w:autoSpaceDN w:val="0"/>
        <w:adjustRightInd w:val="0"/>
        <w:spacing w:line="480" w:lineRule="auto"/>
        <w:ind w:left="720" w:hanging="720"/>
      </w:pPr>
    </w:p>
    <w:p w:rsidR="007A4A35" w:rsidRPr="001E3926" w:rsidP="00FF0B1A" w14:paraId="7D465C85" w14:textId="77777777">
      <w:pPr>
        <w:tabs>
          <w:tab w:val="left" w:pos="720"/>
          <w:tab w:val="left" w:pos="1440"/>
          <w:tab w:val="left" w:leader="dot" w:pos="8640"/>
        </w:tabs>
        <w:ind w:left="720" w:hanging="720"/>
        <w:rPr>
          <w:b/>
          <w:i/>
          <w:iCs/>
        </w:rPr>
      </w:pPr>
      <w:bookmarkStart w:id="5" w:name="_Hlk106798247"/>
      <w:r w:rsidRPr="001E3926">
        <w:rPr>
          <w:b/>
          <w:i/>
          <w:iCs/>
        </w:rPr>
        <w:t>Q</w:t>
      </w:r>
      <w:r w:rsidRPr="001E3926" w:rsidR="009430F2">
        <w:rPr>
          <w:b/>
          <w:i/>
          <w:iCs/>
        </w:rPr>
        <w:t>5</w:t>
      </w:r>
      <w:r w:rsidRPr="001E3926">
        <w:rPr>
          <w:b/>
        </w:rPr>
        <w:t>.</w:t>
      </w:r>
      <w:r w:rsidRPr="001E3926">
        <w:rPr>
          <w:b/>
        </w:rPr>
        <w:tab/>
      </w:r>
      <w:r w:rsidRPr="001E3926">
        <w:rPr>
          <w:b/>
          <w:i/>
          <w:iCs/>
        </w:rPr>
        <w:t xml:space="preserve">WHAT IS THE PURPOSE OF YOUR </w:t>
      </w:r>
      <w:r w:rsidRPr="001E3926" w:rsidR="00954E67">
        <w:rPr>
          <w:b/>
          <w:i/>
          <w:iCs/>
        </w:rPr>
        <w:t>T</w:t>
      </w:r>
      <w:r w:rsidRPr="001E3926">
        <w:rPr>
          <w:b/>
          <w:i/>
          <w:iCs/>
        </w:rPr>
        <w:t>ESTIMONY</w:t>
      </w:r>
      <w:r w:rsidRPr="001E3926" w:rsidR="00C951E3">
        <w:rPr>
          <w:b/>
          <w:i/>
          <w:iCs/>
        </w:rPr>
        <w:t xml:space="preserve"> IN THIS PROCEEDING</w:t>
      </w:r>
      <w:r w:rsidRPr="001E3926">
        <w:rPr>
          <w:b/>
          <w:i/>
          <w:iCs/>
        </w:rPr>
        <w:t>?</w:t>
      </w:r>
    </w:p>
    <w:p w:rsidR="00FF0B1A" w:rsidRPr="001E3926" w:rsidP="00FF0B1A" w14:paraId="0F586157" w14:textId="77777777">
      <w:pPr>
        <w:tabs>
          <w:tab w:val="left" w:pos="720"/>
          <w:tab w:val="left" w:pos="1440"/>
          <w:tab w:val="left" w:leader="dot" w:pos="8640"/>
        </w:tabs>
        <w:ind w:left="720" w:hanging="720"/>
        <w:rPr>
          <w:b/>
        </w:rPr>
      </w:pPr>
    </w:p>
    <w:p w:rsidR="001F5266" w:rsidRPr="001E3926" w:rsidP="00D818FE" w14:paraId="1E63310D" w14:textId="6237D021">
      <w:pPr>
        <w:spacing w:line="480" w:lineRule="auto"/>
        <w:ind w:left="720" w:hanging="720"/>
      </w:pPr>
      <w:r w:rsidRPr="001E3926">
        <w:rPr>
          <w:b/>
          <w:bCs/>
          <w:i/>
          <w:iCs/>
        </w:rPr>
        <w:t>A</w:t>
      </w:r>
      <w:r w:rsidRPr="001E3926" w:rsidR="009430F2">
        <w:rPr>
          <w:b/>
          <w:bCs/>
          <w:i/>
          <w:iCs/>
        </w:rPr>
        <w:t>5</w:t>
      </w:r>
      <w:r w:rsidRPr="001E3926">
        <w:rPr>
          <w:b/>
          <w:bCs/>
          <w:i/>
          <w:iCs/>
        </w:rPr>
        <w:t>.</w:t>
      </w:r>
      <w:r w:rsidRPr="001E3926">
        <w:tab/>
      </w:r>
      <w:bookmarkEnd w:id="5"/>
      <w:r w:rsidRPr="001E3926">
        <w:t xml:space="preserve"> To conduct an analysis of the ESP and MRO, weighing both quantitative and qualitative factors to determine the most advantageous option.</w:t>
      </w:r>
    </w:p>
    <w:p w:rsidR="0071224E" w:rsidRPr="001E3926" w:rsidP="00D818FE" w14:paraId="5491ECF9" w14:textId="77777777">
      <w:pPr>
        <w:spacing w:line="480" w:lineRule="auto"/>
        <w:ind w:left="720" w:hanging="720"/>
      </w:pPr>
    </w:p>
    <w:p w:rsidR="00495386" w:rsidRPr="001E3926" w:rsidP="00E94CD8" w14:paraId="72503417" w14:textId="77777777">
      <w:pPr>
        <w:tabs>
          <w:tab w:val="left" w:pos="720"/>
          <w:tab w:val="left" w:pos="1440"/>
          <w:tab w:val="left" w:leader="dot" w:pos="8640"/>
        </w:tabs>
        <w:ind w:left="720" w:hanging="720"/>
        <w:rPr>
          <w:b/>
          <w:bCs/>
          <w:i/>
          <w:iCs/>
        </w:rPr>
      </w:pPr>
      <w:r w:rsidRPr="001E3926">
        <w:rPr>
          <w:b/>
          <w:bCs/>
          <w:i/>
          <w:iCs/>
        </w:rPr>
        <w:t>Q</w:t>
      </w:r>
      <w:r w:rsidRPr="001E3926" w:rsidR="009430F2">
        <w:rPr>
          <w:b/>
          <w:bCs/>
          <w:i/>
          <w:iCs/>
        </w:rPr>
        <w:t>6</w:t>
      </w:r>
      <w:r w:rsidRPr="001E3926">
        <w:rPr>
          <w:b/>
          <w:bCs/>
          <w:i/>
          <w:iCs/>
        </w:rPr>
        <w:t>.</w:t>
      </w:r>
      <w:r w:rsidRPr="001E3926">
        <w:rPr>
          <w:b/>
          <w:bCs/>
        </w:rPr>
        <w:tab/>
      </w:r>
      <w:r w:rsidRPr="001E3926">
        <w:rPr>
          <w:b/>
          <w:bCs/>
          <w:i/>
          <w:iCs/>
        </w:rPr>
        <w:t xml:space="preserve">PLEASE EXPLAIN </w:t>
      </w:r>
      <w:r w:rsidRPr="001E3926" w:rsidR="003E171B">
        <w:rPr>
          <w:b/>
          <w:bCs/>
          <w:i/>
          <w:iCs/>
        </w:rPr>
        <w:t xml:space="preserve">THE </w:t>
      </w:r>
      <w:r w:rsidRPr="001E3926" w:rsidR="00311393">
        <w:rPr>
          <w:b/>
          <w:bCs/>
          <w:i/>
          <w:iCs/>
        </w:rPr>
        <w:t xml:space="preserve">GENERAL </w:t>
      </w:r>
      <w:r w:rsidRPr="001E3926" w:rsidR="003E171B">
        <w:rPr>
          <w:b/>
          <w:bCs/>
          <w:i/>
          <w:iCs/>
        </w:rPr>
        <w:t xml:space="preserve">BACKGROUND OF TRADITIONAL ELECTRIC UTILITY </w:t>
      </w:r>
      <w:r w:rsidRPr="001E3926" w:rsidR="00311393">
        <w:rPr>
          <w:b/>
          <w:bCs/>
          <w:i/>
          <w:iCs/>
        </w:rPr>
        <w:t>REGULATION</w:t>
      </w:r>
      <w:r w:rsidRPr="001E3926" w:rsidR="003E171B">
        <w:rPr>
          <w:b/>
          <w:bCs/>
          <w:i/>
          <w:iCs/>
        </w:rPr>
        <w:t>.</w:t>
      </w:r>
    </w:p>
    <w:p w:rsidR="00E94CD8" w:rsidRPr="001E3926" w:rsidP="00E94CD8" w14:paraId="09EB3E6F" w14:textId="77777777">
      <w:pPr>
        <w:tabs>
          <w:tab w:val="left" w:pos="720"/>
          <w:tab w:val="left" w:pos="1440"/>
          <w:tab w:val="left" w:leader="dot" w:pos="8640"/>
        </w:tabs>
        <w:ind w:left="720" w:hanging="720"/>
        <w:rPr>
          <w:b/>
          <w:bCs/>
          <w:i/>
          <w:iCs/>
        </w:rPr>
      </w:pPr>
    </w:p>
    <w:p w:rsidR="00B7443B" w:rsidRPr="001E3926" w:rsidP="005C2DD6" w14:paraId="20C6E757" w14:textId="77777777">
      <w:pPr>
        <w:tabs>
          <w:tab w:val="left" w:pos="720"/>
          <w:tab w:val="left" w:pos="1440"/>
          <w:tab w:val="left" w:leader="dot" w:pos="8640"/>
        </w:tabs>
        <w:spacing w:line="480" w:lineRule="auto"/>
        <w:ind w:left="720" w:hanging="720"/>
        <w:rPr>
          <w:rStyle w:val="Strong"/>
        </w:rPr>
      </w:pPr>
      <w:r w:rsidRPr="001E3926">
        <w:rPr>
          <w:b/>
          <w:bCs/>
          <w:i/>
          <w:iCs/>
        </w:rPr>
        <w:t>A</w:t>
      </w:r>
      <w:r w:rsidRPr="001E3926" w:rsidR="009430F2">
        <w:rPr>
          <w:b/>
          <w:bCs/>
          <w:i/>
          <w:iCs/>
        </w:rPr>
        <w:t>6</w:t>
      </w:r>
      <w:r w:rsidRPr="001E3926">
        <w:rPr>
          <w:b/>
          <w:bCs/>
          <w:i/>
          <w:iCs/>
        </w:rPr>
        <w:t>.</w:t>
      </w:r>
      <w:r w:rsidRPr="001E3926">
        <w:tab/>
      </w:r>
      <w:r w:rsidRPr="001E3926">
        <w:rPr>
          <w:rStyle w:val="Strong"/>
          <w:u w:val="single"/>
        </w:rPr>
        <w:t>The Traditional Electric Power Industry</w:t>
      </w:r>
    </w:p>
    <w:p w:rsidR="008A5B1C" w:rsidRPr="001E3926" w:rsidP="008A5B1C" w14:paraId="5E6F31C8" w14:textId="29653376">
      <w:pPr>
        <w:pStyle w:val="NormalWeb"/>
        <w:spacing w:before="0" w:beforeAutospacing="0" w:after="0" w:afterAutospacing="0" w:line="480" w:lineRule="auto"/>
        <w:ind w:left="720"/>
      </w:pPr>
      <w:r w:rsidRPr="001E3926">
        <w:t>A traditional vertically integrated electric company was a monopoly that controlled every aspect of the electricity supply chain, from generation to consumption.</w:t>
      </w:r>
      <w:r w:rsidRPr="001E3926">
        <w:br w:type="page"/>
      </w:r>
    </w:p>
    <w:p w:rsidR="001A0F7F" w:rsidRPr="001E3926" w:rsidP="00AC6DD9" w14:paraId="17A6EDD5" w14:textId="77777777">
      <w:pPr>
        <w:spacing w:line="480" w:lineRule="auto"/>
        <w:ind w:firstLine="720"/>
      </w:pPr>
      <w:r w:rsidRPr="001E3926">
        <w:t>This model dominated the electric power industry for much of the 20th century.</w:t>
      </w:r>
      <w:r w:rsidRPr="001E3926" w:rsidR="00903C2E">
        <w:t xml:space="preserve"> </w:t>
      </w:r>
    </w:p>
    <w:p w:rsidR="001A0F7F" w:rsidRPr="001E3926" w:rsidP="00AC6DD9" w14:paraId="79FECAE2" w14:textId="1A0C4C36">
      <w:pPr>
        <w:spacing w:line="480" w:lineRule="auto"/>
        <w:ind w:firstLine="720"/>
      </w:pPr>
      <w:r w:rsidRPr="001E3926">
        <w:t>Here</w:t>
      </w:r>
      <w:r w:rsidR="001E3926">
        <w:t>’</w:t>
      </w:r>
      <w:r w:rsidRPr="001E3926">
        <w:t>s a breakdown of how it worked:</w:t>
      </w:r>
    </w:p>
    <w:p w:rsidR="00777959" w:rsidRPr="001E3926" w:rsidP="00AC6DD9" w14:paraId="3EBA3D62" w14:textId="77777777">
      <w:pPr>
        <w:spacing w:line="480" w:lineRule="auto"/>
        <w:ind w:firstLine="720"/>
      </w:pPr>
    </w:p>
    <w:p w:rsidR="001A0F7F" w:rsidRPr="001E3926" w:rsidP="00997B8D" w14:paraId="09D1A70E" w14:textId="77777777">
      <w:pPr>
        <w:spacing w:line="480" w:lineRule="auto"/>
        <w:ind w:left="720"/>
        <w:rPr>
          <w:b/>
          <w:bCs/>
          <w:u w:val="single"/>
        </w:rPr>
      </w:pPr>
      <w:r w:rsidRPr="001E3926">
        <w:rPr>
          <w:b/>
          <w:bCs/>
          <w:u w:val="single"/>
        </w:rPr>
        <w:t>The Value Chain</w:t>
      </w:r>
    </w:p>
    <w:p w:rsidR="001A0F7F" w:rsidRPr="001E3926" w:rsidP="000F2FE9" w14:paraId="4B027E61" w14:textId="77777777">
      <w:pPr>
        <w:numPr>
          <w:ilvl w:val="0"/>
          <w:numId w:val="23"/>
        </w:numPr>
        <w:tabs>
          <w:tab w:val="clear" w:pos="1080"/>
        </w:tabs>
        <w:spacing w:line="480" w:lineRule="auto"/>
        <w:ind w:left="1440" w:hanging="720"/>
      </w:pPr>
      <w:r w:rsidRPr="001E3926">
        <w:rPr>
          <w:b/>
          <w:bCs/>
        </w:rPr>
        <w:t>Generation:</w:t>
      </w:r>
      <w:r w:rsidRPr="001E3926">
        <w:t xml:space="preserve"> The company owned and operated power plants, using various energy sources like coal, natural gas, nuclear, hydro, or renewable energy to produce electricity.</w:t>
      </w:r>
      <w:r w:rsidRPr="001E3926" w:rsidR="00903C2E">
        <w:t xml:space="preserve"> </w:t>
      </w:r>
    </w:p>
    <w:p w:rsidR="001A0F7F" w:rsidRPr="001E3926" w:rsidP="001A1ECE" w14:paraId="39B73537" w14:textId="77777777">
      <w:pPr>
        <w:numPr>
          <w:ilvl w:val="0"/>
          <w:numId w:val="23"/>
        </w:numPr>
        <w:tabs>
          <w:tab w:val="num" w:pos="720"/>
          <w:tab w:val="clear" w:pos="1080"/>
        </w:tabs>
        <w:spacing w:line="480" w:lineRule="auto"/>
        <w:ind w:left="1440" w:hanging="720"/>
      </w:pPr>
      <w:r w:rsidRPr="001E3926">
        <w:rPr>
          <w:b/>
          <w:bCs/>
        </w:rPr>
        <w:t>Transmission:</w:t>
      </w:r>
      <w:r w:rsidRPr="001E3926">
        <w:t xml:space="preserve"> The company built and maintained high-voltage power lines to transport electricity from power plants to distribution centers.</w:t>
      </w:r>
      <w:r w:rsidRPr="001E3926" w:rsidR="00903C2E">
        <w:t xml:space="preserve"> </w:t>
      </w:r>
    </w:p>
    <w:p w:rsidR="001A0F7F" w:rsidRPr="001E3926" w:rsidP="001A1ECE" w14:paraId="448160FD" w14:textId="77777777">
      <w:pPr>
        <w:numPr>
          <w:ilvl w:val="0"/>
          <w:numId w:val="23"/>
        </w:numPr>
        <w:tabs>
          <w:tab w:val="num" w:pos="720"/>
          <w:tab w:val="clear" w:pos="1080"/>
        </w:tabs>
        <w:spacing w:line="480" w:lineRule="auto"/>
        <w:ind w:left="1440" w:hanging="720"/>
      </w:pPr>
      <w:r w:rsidRPr="001E3926">
        <w:rPr>
          <w:b/>
          <w:bCs/>
        </w:rPr>
        <w:t>Distribution:</w:t>
      </w:r>
      <w:r w:rsidRPr="001E3926">
        <w:t xml:space="preserve"> The company owned and operated the local power lines that delivered electricity to homes, businesses, and industries.</w:t>
      </w:r>
      <w:r w:rsidRPr="001E3926" w:rsidR="00903C2E">
        <w:t xml:space="preserve"> </w:t>
      </w:r>
    </w:p>
    <w:p w:rsidR="00333BEA" w:rsidRPr="001E3926" w:rsidP="007A7EDB" w14:paraId="327293DE" w14:textId="77777777">
      <w:pPr>
        <w:numPr>
          <w:ilvl w:val="0"/>
          <w:numId w:val="23"/>
        </w:numPr>
        <w:tabs>
          <w:tab w:val="num" w:pos="720"/>
          <w:tab w:val="clear" w:pos="1080"/>
        </w:tabs>
        <w:spacing w:line="480" w:lineRule="auto"/>
        <w:ind w:left="1440" w:hanging="720"/>
      </w:pPr>
      <w:r w:rsidRPr="001E3926">
        <w:rPr>
          <w:b/>
          <w:bCs/>
        </w:rPr>
        <w:t>Retail:</w:t>
      </w:r>
      <w:r w:rsidRPr="001E3926">
        <w:t xml:space="preserve"> The company sold electricity directly to customers, setting rates and billing them.</w:t>
      </w:r>
      <w:r w:rsidRPr="001E3926" w:rsidR="00903C2E">
        <w:t xml:space="preserve"> </w:t>
      </w:r>
    </w:p>
    <w:p w:rsidR="00B07857" w:rsidRPr="001E3926" w:rsidP="00B07857" w14:paraId="709F69D6" w14:textId="77777777">
      <w:pPr>
        <w:spacing w:line="480" w:lineRule="auto"/>
        <w:ind w:left="1440"/>
      </w:pPr>
    </w:p>
    <w:p w:rsidR="001A0F7F" w:rsidRPr="001E3926" w:rsidP="00A00639" w14:paraId="2EAC2DCE" w14:textId="77777777">
      <w:pPr>
        <w:spacing w:line="480" w:lineRule="auto"/>
        <w:ind w:left="720"/>
        <w:rPr>
          <w:b/>
          <w:bCs/>
          <w:u w:val="single"/>
        </w:rPr>
      </w:pPr>
      <w:r w:rsidRPr="001E3926">
        <w:rPr>
          <w:b/>
          <w:bCs/>
          <w:u w:val="single"/>
        </w:rPr>
        <w:t>Key Characteristics</w:t>
      </w:r>
    </w:p>
    <w:p w:rsidR="001A0F7F" w:rsidRPr="001E3926" w:rsidP="00AC6DD9" w14:paraId="1E660371" w14:textId="77777777">
      <w:pPr>
        <w:numPr>
          <w:ilvl w:val="0"/>
          <w:numId w:val="24"/>
        </w:numPr>
        <w:spacing w:line="480" w:lineRule="auto"/>
      </w:pPr>
      <w:r w:rsidRPr="001E3926">
        <w:rPr>
          <w:b/>
          <w:bCs/>
        </w:rPr>
        <w:t>Monopoly Power:</w:t>
      </w:r>
      <w:r w:rsidRPr="001E3926">
        <w:t xml:space="preserve"> The company was the sole provider of electricity within its service territory, giving it significant market power.</w:t>
      </w:r>
      <w:r w:rsidRPr="001E3926" w:rsidR="00903C2E">
        <w:t xml:space="preserve"> </w:t>
      </w:r>
    </w:p>
    <w:p w:rsidR="001A0F7F" w:rsidRPr="001E3926" w:rsidP="00AC6DD9" w14:paraId="4A9EC417" w14:textId="77777777">
      <w:pPr>
        <w:numPr>
          <w:ilvl w:val="0"/>
          <w:numId w:val="24"/>
        </w:numPr>
        <w:spacing w:line="480" w:lineRule="auto"/>
      </w:pPr>
      <w:r w:rsidRPr="001E3926">
        <w:rPr>
          <w:b/>
          <w:bCs/>
        </w:rPr>
        <w:t>Regulation:</w:t>
      </w:r>
      <w:r w:rsidRPr="001E3926">
        <w:t xml:space="preserve"> To protect consumers from potential abuses of monopoly power, these companies were typically regulated by government agencies to ensure fair pricing and reliable service.</w:t>
      </w:r>
      <w:r w:rsidRPr="001E3926" w:rsidR="00903C2E">
        <w:t xml:space="preserve"> </w:t>
      </w:r>
    </w:p>
    <w:p w:rsidR="001A0F7F" w:rsidRPr="001E3926" w:rsidP="00AC6DD9" w14:paraId="47D58F7B" w14:textId="77777777">
      <w:pPr>
        <w:numPr>
          <w:ilvl w:val="0"/>
          <w:numId w:val="24"/>
        </w:numPr>
        <w:tabs>
          <w:tab w:val="num" w:pos="720"/>
        </w:tabs>
        <w:spacing w:line="480" w:lineRule="auto"/>
      </w:pPr>
      <w:r w:rsidRPr="001E3926">
        <w:rPr>
          <w:b/>
          <w:bCs/>
        </w:rPr>
        <w:t>Cost Recovery:</w:t>
      </w:r>
      <w:r w:rsidRPr="001E3926">
        <w:t xml:space="preserve"> The company </w:t>
      </w:r>
      <w:r w:rsidRPr="001E3926" w:rsidR="005C2DD6">
        <w:t xml:space="preserve">was </w:t>
      </w:r>
      <w:r w:rsidRPr="001E3926">
        <w:t xml:space="preserve">allowed to </w:t>
      </w:r>
      <w:r w:rsidRPr="001E3926" w:rsidR="00010FE9">
        <w:t xml:space="preserve">collect </w:t>
      </w:r>
      <w:r w:rsidRPr="001E3926">
        <w:t xml:space="preserve">its </w:t>
      </w:r>
      <w:r w:rsidRPr="001E3926" w:rsidR="005C2DD6">
        <w:t xml:space="preserve">appropriate </w:t>
      </w:r>
      <w:r w:rsidRPr="001E3926">
        <w:t>costs (including investments in generation, transmission, and distribution) through electricity rates charged to customers.</w:t>
      </w:r>
      <w:r w:rsidRPr="001E3926" w:rsidR="00903C2E">
        <w:t xml:space="preserve"> </w:t>
      </w:r>
      <w:r w:rsidRPr="001E3926" w:rsidR="005C2DD6">
        <w:t>Regulators were required to provide utilities with an opportunity to earn a reasonable rate of return on their assets, commensurate with the rate of return earned by like businesses facing similar risks</w:t>
      </w:r>
      <w:r w:rsidRPr="001E3926" w:rsidR="00943A6E">
        <w:t>.</w:t>
      </w:r>
    </w:p>
    <w:p w:rsidR="001A0F7F" w:rsidRPr="001E3926" w:rsidP="00AC6DD9" w14:paraId="66EE3574" w14:textId="77777777">
      <w:pPr>
        <w:pStyle w:val="first-token"/>
        <w:spacing w:before="0" w:beforeAutospacing="0" w:after="0" w:afterAutospacing="0" w:line="480" w:lineRule="auto"/>
        <w:rPr>
          <w:rStyle w:val="Strong"/>
        </w:rPr>
      </w:pPr>
    </w:p>
    <w:p w:rsidR="00B7443B" w:rsidRPr="001E3926" w:rsidP="00AC6DD9" w14:paraId="5B857FD3" w14:textId="77777777">
      <w:pPr>
        <w:pStyle w:val="NormalWeb"/>
        <w:spacing w:before="0" w:beforeAutospacing="0" w:after="0" w:afterAutospacing="0" w:line="480" w:lineRule="auto"/>
        <w:ind w:firstLine="720"/>
        <w:rPr>
          <w:u w:val="single"/>
        </w:rPr>
      </w:pPr>
      <w:r w:rsidRPr="001E3926">
        <w:rPr>
          <w:rStyle w:val="Strong"/>
          <w:u w:val="single"/>
        </w:rPr>
        <w:t>Restructuring the Industry</w:t>
      </w:r>
    </w:p>
    <w:p w:rsidR="00A63AC7" w:rsidRPr="001E3926" w:rsidP="00A63AC7" w14:paraId="2B85B5F1" w14:textId="5EF36148">
      <w:pPr>
        <w:pStyle w:val="NormalWeb"/>
        <w:spacing w:before="0" w:beforeAutospacing="0" w:after="0" w:afterAutospacing="0" w:line="480" w:lineRule="auto"/>
        <w:ind w:left="720"/>
      </w:pPr>
      <w:r w:rsidRPr="001E3926">
        <w:t>In response to economic challenges, technological advancements, and a growing desire for competition, many regions have undergone electric power industry restructuring. This involved separating the different components of the electricity value chain. While generation and retail sales have become more competitive markets in many areas, electricity distribution has largely remained a regulated monopoly.</w:t>
      </w:r>
      <w:r w:rsidRPr="001E3926" w:rsidR="00F7155A">
        <w:t xml:space="preserve"> </w:t>
      </w:r>
    </w:p>
    <w:p w:rsidR="008D0CAA" w:rsidRPr="001E3926" w:rsidP="00A63AC7" w14:paraId="43A1B4CB" w14:textId="77777777">
      <w:pPr>
        <w:pStyle w:val="NormalWeb"/>
        <w:spacing w:before="0" w:beforeAutospacing="0" w:after="0" w:afterAutospacing="0" w:line="480" w:lineRule="auto"/>
        <w:ind w:left="720"/>
      </w:pPr>
    </w:p>
    <w:p w:rsidR="00B7443B" w:rsidRPr="001E3926" w:rsidP="00AC6DD9" w14:paraId="2DA1AC36" w14:textId="77777777">
      <w:pPr>
        <w:pStyle w:val="NormalWeb"/>
        <w:spacing w:before="0" w:beforeAutospacing="0" w:after="0" w:afterAutospacing="0" w:line="480" w:lineRule="auto"/>
        <w:ind w:firstLine="720"/>
        <w:rPr>
          <w:u w:val="single"/>
        </w:rPr>
      </w:pPr>
      <w:r w:rsidRPr="001E3926">
        <w:rPr>
          <w:rStyle w:val="Strong"/>
          <w:u w:val="single"/>
        </w:rPr>
        <w:t>The Role of Distribution</w:t>
      </w:r>
    </w:p>
    <w:p w:rsidR="00B7443B" w:rsidRPr="001E3926" w:rsidP="00AC6DD9" w14:paraId="2E584CA4" w14:textId="77777777">
      <w:pPr>
        <w:pStyle w:val="NormalWeb"/>
        <w:spacing w:before="0" w:beforeAutospacing="0" w:after="0" w:afterAutospacing="0" w:line="480" w:lineRule="auto"/>
        <w:ind w:left="720"/>
      </w:pPr>
      <w:r w:rsidRPr="001E3926">
        <w:t>Electricity distribution, involving the network of poles, wires, and transformers that deliver power to consumers, is typically considered a natural monopoly. The high costs and inefficiencies of duplicating this infrastructure make it impractical to introduce competition. As such, distribution companies are often regulated to ensure fair prices and reliable service.</w:t>
      </w:r>
    </w:p>
    <w:p w:rsidR="0093422B" w:rsidRPr="001E3926" w:rsidP="00AC6DD9" w14:paraId="0C80EBD3" w14:textId="77777777">
      <w:pPr>
        <w:pStyle w:val="NormalWeb"/>
        <w:spacing w:before="0" w:beforeAutospacing="0" w:after="0" w:afterAutospacing="0" w:line="480" w:lineRule="auto"/>
        <w:ind w:left="720"/>
      </w:pPr>
    </w:p>
    <w:p w:rsidR="00A036A0" w:rsidRPr="001E3926" w:rsidP="00BB77A8" w14:paraId="3D46D09E" w14:textId="28891E05">
      <w:pPr>
        <w:tabs>
          <w:tab w:val="left" w:pos="720"/>
          <w:tab w:val="left" w:leader="dot" w:pos="8640"/>
        </w:tabs>
        <w:spacing w:line="480" w:lineRule="auto"/>
        <w:ind w:left="720" w:hanging="720"/>
      </w:pPr>
      <w:r w:rsidRPr="001E3926">
        <w:tab/>
      </w:r>
      <w:r w:rsidRPr="001E3926" w:rsidR="001C6E39">
        <w:t xml:space="preserve">This </w:t>
      </w:r>
      <w:r w:rsidRPr="001E3926" w:rsidR="00494869">
        <w:t xml:space="preserve">created the possibility </w:t>
      </w:r>
      <w:r w:rsidRPr="001E3926" w:rsidR="001C6E39">
        <w:t>of</w:t>
      </w:r>
      <w:r w:rsidRPr="001E3926" w:rsidR="00494869">
        <w:t xml:space="preserve"> a conflict of interest.</w:t>
      </w:r>
      <w:r w:rsidRPr="001E3926" w:rsidR="00903C2E">
        <w:t xml:space="preserve"> </w:t>
      </w:r>
      <w:r w:rsidRPr="001E3926" w:rsidR="00494869">
        <w:t>E</w:t>
      </w:r>
      <w:r w:rsidRPr="001E3926" w:rsidR="003C4FFD">
        <w:t xml:space="preserve">lectric utilities </w:t>
      </w:r>
      <w:r w:rsidRPr="001E3926" w:rsidR="00494869">
        <w:t>might</w:t>
      </w:r>
      <w:r w:rsidRPr="001E3926" w:rsidR="003C4FFD">
        <w:t xml:space="preserve"> </w:t>
      </w:r>
      <w:r w:rsidRPr="001E3926" w:rsidR="00494869">
        <w:t>use</w:t>
      </w:r>
      <w:r w:rsidRPr="001E3926" w:rsidR="003C4FFD">
        <w:t xml:space="preserve"> their transmission and distribution </w:t>
      </w:r>
      <w:r w:rsidRPr="001E3926" w:rsidR="00494869">
        <w:t>business</w:t>
      </w:r>
      <w:r w:rsidRPr="001E3926" w:rsidR="003C4FFD">
        <w:t xml:space="preserve"> t</w:t>
      </w:r>
      <w:r w:rsidRPr="001E3926" w:rsidR="00494869">
        <w:t>o</w:t>
      </w:r>
      <w:r w:rsidRPr="001E3926" w:rsidR="003C4FFD">
        <w:t xml:space="preserve"> subsidize </w:t>
      </w:r>
      <w:r w:rsidRPr="001E3926" w:rsidR="00494869">
        <w:t>the generating business operated by an affiliated company.</w:t>
      </w:r>
      <w:r w:rsidRPr="001E3926" w:rsidR="00903C2E">
        <w:t xml:space="preserve"> </w:t>
      </w:r>
      <w:r w:rsidRPr="001E3926" w:rsidR="003C4FFD">
        <w:t xml:space="preserve">This </w:t>
      </w:r>
      <w:r w:rsidRPr="001E3926" w:rsidR="001C6E39">
        <w:t>c</w:t>
      </w:r>
      <w:r w:rsidRPr="001E3926" w:rsidR="003C4FFD">
        <w:t>ould harm consumers b</w:t>
      </w:r>
      <w:r w:rsidRPr="001E3926" w:rsidR="00494869">
        <w:t>y</w:t>
      </w:r>
      <w:r w:rsidRPr="001E3926" w:rsidR="003C4FFD">
        <w:t xml:space="preserve"> suppress</w:t>
      </w:r>
      <w:r w:rsidRPr="001E3926" w:rsidR="00494869">
        <w:t>ing</w:t>
      </w:r>
      <w:r w:rsidRPr="001E3926" w:rsidR="003C4FFD">
        <w:t xml:space="preserve"> competition and </w:t>
      </w:r>
      <w:r w:rsidRPr="001E3926" w:rsidR="00494869">
        <w:t xml:space="preserve">forcing </w:t>
      </w:r>
      <w:r w:rsidRPr="001E3926" w:rsidR="003C4FFD">
        <w:t>consumers to pay for subsidies through transmission and distribution rates.</w:t>
      </w:r>
      <w:r w:rsidRPr="001E3926" w:rsidR="00903C2E">
        <w:t xml:space="preserve"> </w:t>
      </w:r>
      <w:r w:rsidR="001E3926">
        <w:t>“</w:t>
      </w:r>
      <w:r w:rsidRPr="001E3926" w:rsidR="003C4FFD">
        <w:t>Corporate separation</w:t>
      </w:r>
      <w:r w:rsidR="001E3926">
        <w:t>”</w:t>
      </w:r>
      <w:r w:rsidRPr="001E3926" w:rsidR="003C4FFD">
        <w:t xml:space="preserve"> refers to </w:t>
      </w:r>
      <w:r w:rsidRPr="001E3926" w:rsidR="00494869">
        <w:t>the</w:t>
      </w:r>
      <w:r w:rsidRPr="001E3926" w:rsidR="003C4FFD">
        <w:t xml:space="preserve"> laws and regulations </w:t>
      </w:r>
      <w:r w:rsidRPr="001E3926" w:rsidR="00494869">
        <w:t xml:space="preserve">that </w:t>
      </w:r>
      <w:r w:rsidRPr="001E3926" w:rsidR="001335EE">
        <w:t>protect consumers by prohibiting</w:t>
      </w:r>
      <w:r w:rsidRPr="001E3926" w:rsidR="00494869">
        <w:t xml:space="preserve"> </w:t>
      </w:r>
      <w:r w:rsidRPr="001E3926" w:rsidR="003C4FFD">
        <w:t xml:space="preserve">the non-competitive transmission and distribution business </w:t>
      </w:r>
      <w:r w:rsidRPr="001E3926" w:rsidR="00494869">
        <w:t>from subsidizing</w:t>
      </w:r>
      <w:r w:rsidRPr="001E3926" w:rsidR="003C4FFD">
        <w:t xml:space="preserve"> the competitive retail electric generation business.</w:t>
      </w:r>
    </w:p>
    <w:p w:rsidR="00957547" w:rsidRPr="001E3926" w:rsidP="00BB77A8" w14:paraId="1234D44A" w14:textId="77777777">
      <w:pPr>
        <w:tabs>
          <w:tab w:val="left" w:pos="720"/>
          <w:tab w:val="left" w:leader="dot" w:pos="8640"/>
        </w:tabs>
        <w:spacing w:line="480" w:lineRule="auto"/>
        <w:ind w:left="720" w:hanging="720"/>
      </w:pPr>
    </w:p>
    <w:p w:rsidR="00595784" w:rsidRPr="001E3926" w:rsidP="0046181B" w14:paraId="60BE0614" w14:textId="558F4899">
      <w:pPr>
        <w:pStyle w:val="Heading1"/>
      </w:pPr>
      <w:bookmarkStart w:id="6" w:name="_Toc181193287"/>
      <w:r w:rsidRPr="001E3926">
        <w:t xml:space="preserve">TRANSITIONING TO A </w:t>
      </w:r>
      <w:r w:rsidRPr="001E3926" w:rsidR="00957547">
        <w:t>COMPETITIVE RETAIL ELECTRIC MARKET</w:t>
      </w:r>
      <w:bookmarkEnd w:id="6"/>
    </w:p>
    <w:p w:rsidR="0047012D" w:rsidRPr="001E3926" w:rsidP="0047012D" w14:paraId="3C997425" w14:textId="77777777">
      <w:pPr>
        <w:spacing w:line="480" w:lineRule="auto"/>
      </w:pPr>
    </w:p>
    <w:p w:rsidR="00595784" w:rsidRPr="001E3926" w:rsidP="00F2082B" w14:paraId="74FC0E72" w14:textId="2B245A86">
      <w:pPr>
        <w:tabs>
          <w:tab w:val="left" w:pos="720"/>
          <w:tab w:val="left" w:pos="1440"/>
          <w:tab w:val="left" w:leader="dot" w:pos="8640"/>
        </w:tabs>
        <w:spacing w:line="480" w:lineRule="auto"/>
        <w:ind w:left="720" w:hanging="720"/>
        <w:rPr>
          <w:b/>
          <w:bCs/>
          <w:i/>
          <w:iCs/>
        </w:rPr>
      </w:pPr>
      <w:r w:rsidRPr="001E3926">
        <w:rPr>
          <w:b/>
          <w:bCs/>
          <w:i/>
          <w:iCs/>
        </w:rPr>
        <w:t>Q</w:t>
      </w:r>
      <w:r w:rsidRPr="001E3926" w:rsidR="004D5926">
        <w:rPr>
          <w:b/>
          <w:bCs/>
          <w:i/>
          <w:iCs/>
        </w:rPr>
        <w:t>7</w:t>
      </w:r>
      <w:r w:rsidRPr="001E3926">
        <w:rPr>
          <w:b/>
          <w:bCs/>
          <w:i/>
          <w:iCs/>
        </w:rPr>
        <w:t>.</w:t>
      </w:r>
      <w:r w:rsidRPr="001E3926">
        <w:rPr>
          <w:b/>
          <w:bCs/>
          <w:i/>
          <w:iCs/>
        </w:rPr>
        <w:tab/>
        <w:t xml:space="preserve">DID OHIO </w:t>
      </w:r>
      <w:r w:rsidRPr="001E3926" w:rsidR="00206783">
        <w:rPr>
          <w:b/>
          <w:bCs/>
          <w:i/>
          <w:iCs/>
        </w:rPr>
        <w:t>RESTRUCTURE ITS RETAIL ELECTRIC MARKET</w:t>
      </w:r>
      <w:r w:rsidRPr="001E3926">
        <w:rPr>
          <w:b/>
          <w:bCs/>
          <w:i/>
          <w:iCs/>
        </w:rPr>
        <w:t>?</w:t>
      </w:r>
    </w:p>
    <w:p w:rsidR="00BE01B7" w:rsidRPr="001E3926" w:rsidP="00BE01B7" w14:paraId="04C31BCF" w14:textId="46F36DD1">
      <w:pPr>
        <w:tabs>
          <w:tab w:val="left" w:pos="720"/>
          <w:tab w:val="left" w:pos="1440"/>
          <w:tab w:val="left" w:leader="dot" w:pos="8640"/>
        </w:tabs>
        <w:spacing w:line="480" w:lineRule="auto"/>
        <w:ind w:left="720" w:hanging="720"/>
      </w:pPr>
      <w:r w:rsidRPr="001E3926">
        <w:rPr>
          <w:b/>
          <w:bCs/>
          <w:i/>
          <w:iCs/>
        </w:rPr>
        <w:t>A</w:t>
      </w:r>
      <w:r w:rsidRPr="001E3926" w:rsidR="004D5926">
        <w:rPr>
          <w:b/>
          <w:bCs/>
          <w:i/>
          <w:iCs/>
        </w:rPr>
        <w:t>7</w:t>
      </w:r>
      <w:r w:rsidRPr="001E3926">
        <w:rPr>
          <w:b/>
          <w:bCs/>
          <w:i/>
          <w:iCs/>
        </w:rPr>
        <w:t>.</w:t>
      </w:r>
      <w:r w:rsidRPr="001E3926">
        <w:tab/>
        <w:t>Yes.</w:t>
      </w:r>
      <w:r w:rsidRPr="001E3926" w:rsidR="00903C2E">
        <w:t xml:space="preserve"> </w:t>
      </w:r>
      <w:r w:rsidRPr="001E3926">
        <w:t xml:space="preserve">In 1999, Ohio enacted </w:t>
      </w:r>
      <w:r w:rsidRPr="001E3926" w:rsidR="00981865">
        <w:t>Amended Substitute Senate Bill</w:t>
      </w:r>
      <w:r w:rsidRPr="001E3926">
        <w:t xml:space="preserve"> 3</w:t>
      </w:r>
      <w:r w:rsidRPr="001E3926" w:rsidR="00981865">
        <w:t xml:space="preserve"> (</w:t>
      </w:r>
      <w:r w:rsidR="001E3926">
        <w:t>“</w:t>
      </w:r>
      <w:r w:rsidRPr="001E3926" w:rsidR="00981865">
        <w:t>S</w:t>
      </w:r>
      <w:r w:rsidRPr="001E3926" w:rsidR="00AD1132">
        <w:t>.</w:t>
      </w:r>
      <w:r w:rsidRPr="001E3926" w:rsidR="00981865">
        <w:t>B</w:t>
      </w:r>
      <w:r w:rsidRPr="001E3926" w:rsidR="00AD1132">
        <w:t>.</w:t>
      </w:r>
      <w:r w:rsidRPr="001E3926" w:rsidR="00981865">
        <w:t xml:space="preserve"> 3</w:t>
      </w:r>
      <w:r w:rsidR="001E3926">
        <w:t>”</w:t>
      </w:r>
      <w:r w:rsidRPr="001E3926" w:rsidR="00981865">
        <w:t>)</w:t>
      </w:r>
      <w:r w:rsidRPr="001E3926">
        <w:t xml:space="preserve">, which was a comprehensive set of laws to restructure </w:t>
      </w:r>
      <w:r w:rsidRPr="001E3926" w:rsidR="00206783">
        <w:t>Ohio</w:t>
      </w:r>
      <w:r w:rsidR="001E3926">
        <w:t>’</w:t>
      </w:r>
      <w:r w:rsidRPr="001E3926" w:rsidR="00206783">
        <w:t>s</w:t>
      </w:r>
      <w:r w:rsidRPr="001E3926">
        <w:t xml:space="preserve"> retail electricity market.</w:t>
      </w:r>
      <w:r w:rsidRPr="001E3926" w:rsidR="00903C2E">
        <w:t xml:space="preserve"> </w:t>
      </w:r>
      <w:r w:rsidRPr="001E3926" w:rsidR="00981865">
        <w:t xml:space="preserve">Prior to restructuring, electric distribution utilities provided electric service to all consumers in their </w:t>
      </w:r>
      <w:r w:rsidRPr="001E3926" w:rsidR="00C219CC">
        <w:t>certified service territory.</w:t>
      </w:r>
      <w:r w:rsidRPr="001E3926" w:rsidR="00903C2E">
        <w:t xml:space="preserve"> </w:t>
      </w:r>
      <w:r w:rsidRPr="001E3926" w:rsidR="00C219CC">
        <w:t>Restructuring changed electric generation service into a competitive business that could be offered by other service providers.</w:t>
      </w:r>
      <w:r w:rsidRPr="001E3926" w:rsidR="00F7155A">
        <w:t xml:space="preserve"> </w:t>
      </w:r>
      <w:r w:rsidRPr="001E3926" w:rsidR="00D038B0">
        <w:t>Even though electric generation service became a competitive business, utilities were required to provide generation service for those consumers who did not switch to a competitive supplier or who returned to the utility for generation service after switching to a competitive supplier.</w:t>
      </w:r>
      <w:r w:rsidRPr="001E3926" w:rsidR="00F7155A">
        <w:t xml:space="preserve"> </w:t>
      </w:r>
      <w:r w:rsidRPr="001E3926" w:rsidR="00D038B0">
        <w:t xml:space="preserve">This obligation is known as the </w:t>
      </w:r>
      <w:r w:rsidR="001E3926">
        <w:t>“</w:t>
      </w:r>
      <w:r w:rsidRPr="001E3926" w:rsidR="00D038B0">
        <w:t>supplier of last resort</w:t>
      </w:r>
      <w:r w:rsidR="001E3926">
        <w:t>”</w:t>
      </w:r>
      <w:r w:rsidRPr="001E3926" w:rsidR="00D038B0">
        <w:t xml:space="preserve"> or </w:t>
      </w:r>
      <w:r w:rsidR="001E3926">
        <w:t>“</w:t>
      </w:r>
      <w:r w:rsidRPr="001E3926" w:rsidR="00D038B0">
        <w:t>default supplier.</w:t>
      </w:r>
      <w:r w:rsidR="001E3926">
        <w:t>”</w:t>
      </w:r>
      <w:r w:rsidRPr="001E3926" w:rsidR="00F7155A">
        <w:t xml:space="preserve"> </w:t>
      </w:r>
    </w:p>
    <w:p w:rsidR="008D47C2" w:rsidRPr="001E3926" w:rsidP="00BE01B7" w14:paraId="4C0E995C" w14:textId="77777777">
      <w:pPr>
        <w:tabs>
          <w:tab w:val="left" w:pos="720"/>
          <w:tab w:val="left" w:pos="1440"/>
          <w:tab w:val="left" w:leader="dot" w:pos="8640"/>
        </w:tabs>
        <w:spacing w:line="480" w:lineRule="auto"/>
        <w:ind w:left="720" w:hanging="720"/>
      </w:pPr>
    </w:p>
    <w:p w:rsidR="00E74911" w:rsidRPr="001E3926" w:rsidP="00B72E97" w14:paraId="18B0CF59" w14:textId="48DDDD1D">
      <w:pPr>
        <w:tabs>
          <w:tab w:val="left" w:pos="720"/>
          <w:tab w:val="left" w:pos="1440"/>
          <w:tab w:val="left" w:leader="dot" w:pos="8640"/>
        </w:tabs>
        <w:ind w:left="720" w:hanging="720"/>
        <w:rPr>
          <w:b/>
          <w:bCs/>
          <w:i/>
          <w:iCs/>
        </w:rPr>
      </w:pPr>
      <w:r w:rsidRPr="001E3926">
        <w:rPr>
          <w:b/>
          <w:bCs/>
          <w:i/>
          <w:iCs/>
        </w:rPr>
        <w:t>Q</w:t>
      </w:r>
      <w:r w:rsidRPr="001E3926" w:rsidR="004D5926">
        <w:rPr>
          <w:b/>
          <w:bCs/>
          <w:i/>
          <w:iCs/>
        </w:rPr>
        <w:t>8</w:t>
      </w:r>
      <w:r w:rsidRPr="001E3926">
        <w:rPr>
          <w:b/>
          <w:bCs/>
          <w:i/>
          <w:iCs/>
        </w:rPr>
        <w:t>.</w:t>
      </w:r>
      <w:r w:rsidRPr="001E3926">
        <w:rPr>
          <w:b/>
          <w:bCs/>
          <w:i/>
          <w:iCs/>
        </w:rPr>
        <w:tab/>
      </w:r>
      <w:r w:rsidRPr="001E3926" w:rsidR="001F5266">
        <w:rPr>
          <w:b/>
          <w:bCs/>
          <w:i/>
          <w:iCs/>
        </w:rPr>
        <w:t>WHAT WERE THE KEY FACTORS INFLUENCING OHIO</w:t>
      </w:r>
      <w:r w:rsidR="001E3926">
        <w:rPr>
          <w:b/>
          <w:bCs/>
          <w:i/>
          <w:iCs/>
        </w:rPr>
        <w:t>’</w:t>
      </w:r>
      <w:r w:rsidRPr="001E3926" w:rsidR="001F5266">
        <w:rPr>
          <w:b/>
          <w:bCs/>
          <w:i/>
          <w:iCs/>
        </w:rPr>
        <w:t>S ELECTRIC MARKET RESTRUCTURING, AND WHAT WERE THE RESULTING CHANGES</w:t>
      </w:r>
      <w:r w:rsidRPr="001E3926" w:rsidR="00F271F4">
        <w:rPr>
          <w:b/>
          <w:bCs/>
          <w:i/>
          <w:iCs/>
        </w:rPr>
        <w:t>?</w:t>
      </w:r>
    </w:p>
    <w:p w:rsidR="00B72E97" w:rsidRPr="001E3926" w:rsidP="00B72E97" w14:paraId="13D9C823" w14:textId="77777777">
      <w:pPr>
        <w:tabs>
          <w:tab w:val="left" w:pos="720"/>
          <w:tab w:val="left" w:pos="1440"/>
          <w:tab w:val="left" w:leader="dot" w:pos="8640"/>
        </w:tabs>
        <w:ind w:left="720" w:hanging="720"/>
        <w:rPr>
          <w:b/>
          <w:bCs/>
          <w:i/>
          <w:iCs/>
        </w:rPr>
      </w:pPr>
    </w:p>
    <w:p w:rsidR="00D038B0" w:rsidRPr="001E3926" w:rsidP="00BE01B7" w14:paraId="6E0EBBB2" w14:textId="7531CC94">
      <w:pPr>
        <w:tabs>
          <w:tab w:val="left" w:pos="720"/>
          <w:tab w:val="left" w:pos="1440"/>
          <w:tab w:val="left" w:leader="dot" w:pos="8640"/>
        </w:tabs>
        <w:spacing w:line="480" w:lineRule="auto"/>
        <w:ind w:left="720" w:hanging="720"/>
      </w:pPr>
      <w:r w:rsidRPr="001E3926">
        <w:rPr>
          <w:b/>
          <w:bCs/>
          <w:i/>
          <w:iCs/>
        </w:rPr>
        <w:t>A</w:t>
      </w:r>
      <w:r w:rsidRPr="001E3926" w:rsidR="004D5926">
        <w:rPr>
          <w:b/>
          <w:bCs/>
          <w:i/>
          <w:iCs/>
        </w:rPr>
        <w:t>8</w:t>
      </w:r>
      <w:r w:rsidRPr="001E3926">
        <w:rPr>
          <w:b/>
          <w:bCs/>
          <w:i/>
          <w:iCs/>
        </w:rPr>
        <w:t>.</w:t>
      </w:r>
      <w:r w:rsidRPr="001E3926">
        <w:rPr>
          <w:b/>
          <w:bCs/>
        </w:rPr>
        <w:tab/>
      </w:r>
      <w:r w:rsidRPr="001E3926">
        <w:t>The Legislature recognized that a competitive retail electric market would need time to develop.</w:t>
      </w:r>
      <w:r w:rsidRPr="001E3926" w:rsidR="00F7155A">
        <w:t xml:space="preserve"> </w:t>
      </w:r>
      <w:r w:rsidRPr="001E3926">
        <w:t>Accordingly, S</w:t>
      </w:r>
      <w:r w:rsidRPr="001E3926" w:rsidR="00AD1132">
        <w:t>.</w:t>
      </w:r>
      <w:r w:rsidRPr="001E3926">
        <w:t>B</w:t>
      </w:r>
      <w:r w:rsidRPr="001E3926" w:rsidR="00AD1132">
        <w:t>.</w:t>
      </w:r>
      <w:r w:rsidRPr="001E3926">
        <w:t xml:space="preserve"> 3 provided </w:t>
      </w:r>
      <w:r w:rsidRPr="001E3926" w:rsidR="008A0822">
        <w:t xml:space="preserve">for a five-year </w:t>
      </w:r>
      <w:r w:rsidR="001E3926">
        <w:t>“</w:t>
      </w:r>
      <w:r w:rsidRPr="001E3926" w:rsidR="008A0822">
        <w:t>market development period</w:t>
      </w:r>
      <w:r w:rsidR="001E3926">
        <w:t>”</w:t>
      </w:r>
      <w:r w:rsidRPr="001E3926" w:rsidR="008A0822">
        <w:t xml:space="preserve"> from 2001 through 2005.</w:t>
      </w:r>
      <w:r w:rsidRPr="001E3926" w:rsidR="00F7155A">
        <w:t xml:space="preserve"> </w:t>
      </w:r>
      <w:r w:rsidRPr="001E3926" w:rsidR="008A0822">
        <w:t>During th</w:t>
      </w:r>
      <w:r w:rsidRPr="001E3926" w:rsidR="00F271F4">
        <w:t>is time</w:t>
      </w:r>
      <w:r w:rsidRPr="001E3926" w:rsidR="008A0822">
        <w:t>, electric utilities were required to provide electric service at frozen rates.</w:t>
      </w:r>
      <w:r w:rsidRPr="001E3926" w:rsidR="00F7155A">
        <w:t xml:space="preserve"> </w:t>
      </w:r>
      <w:r w:rsidRPr="001E3926" w:rsidR="008A0822">
        <w:t>Utilities were also required to unbundle</w:t>
      </w:r>
      <w:r w:rsidRPr="001E3926" w:rsidR="00E43AB6">
        <w:t xml:space="preserve"> (separate)</w:t>
      </w:r>
      <w:r w:rsidRPr="001E3926" w:rsidR="008A0822">
        <w:t xml:space="preserve"> the generation portion of their business from the distribution and transmission segments.</w:t>
      </w:r>
      <w:r w:rsidRPr="001E3926" w:rsidR="00F7155A">
        <w:t xml:space="preserve"> </w:t>
      </w:r>
      <w:r w:rsidRPr="001E3926" w:rsidR="008A0822">
        <w:t xml:space="preserve">Utilities </w:t>
      </w:r>
      <w:r w:rsidRPr="001E3926" w:rsidR="00E43AB6">
        <w:t xml:space="preserve">also </w:t>
      </w:r>
      <w:r w:rsidRPr="001E3926" w:rsidR="008A0822">
        <w:t xml:space="preserve">unbundled their rates to establish </w:t>
      </w:r>
      <w:r w:rsidRPr="001E3926">
        <w:t>separate rate schedules</w:t>
      </w:r>
      <w:r w:rsidRPr="001E3926" w:rsidR="008A0822">
        <w:t xml:space="preserve"> for each distinct type of service.</w:t>
      </w:r>
      <w:r w:rsidRPr="001E3926" w:rsidR="00F7155A">
        <w:t xml:space="preserve"> </w:t>
      </w:r>
    </w:p>
    <w:p w:rsidR="00625735" w:rsidRPr="001E3926" w:rsidP="00BE01B7" w14:paraId="1DB19AF9" w14:textId="77777777">
      <w:pPr>
        <w:tabs>
          <w:tab w:val="left" w:pos="720"/>
          <w:tab w:val="left" w:pos="1440"/>
          <w:tab w:val="left" w:leader="dot" w:pos="8640"/>
        </w:tabs>
        <w:spacing w:line="480" w:lineRule="auto"/>
        <w:ind w:left="720" w:hanging="720"/>
        <w:rPr>
          <w:b/>
          <w:bCs/>
        </w:rPr>
      </w:pPr>
      <w:r w:rsidRPr="001E3926">
        <w:rPr>
          <w:b/>
          <w:bCs/>
        </w:rPr>
        <w:tab/>
      </w:r>
    </w:p>
    <w:p w:rsidR="00E74911" w:rsidRPr="001E3926" w:rsidP="00BE01B7" w14:paraId="074C79AB" w14:textId="3587FCBE">
      <w:pPr>
        <w:tabs>
          <w:tab w:val="left" w:pos="720"/>
          <w:tab w:val="left" w:pos="1440"/>
          <w:tab w:val="left" w:leader="dot" w:pos="8640"/>
        </w:tabs>
        <w:spacing w:line="480" w:lineRule="auto"/>
        <w:ind w:left="720" w:hanging="720"/>
      </w:pPr>
      <w:r w:rsidRPr="001E3926">
        <w:rPr>
          <w:b/>
          <w:bCs/>
        </w:rPr>
        <w:tab/>
      </w:r>
      <w:r w:rsidRPr="001E3926" w:rsidR="008A0822">
        <w:t>Competitive retail electric service (</w:t>
      </w:r>
      <w:r w:rsidR="001E3926">
        <w:t>“</w:t>
      </w:r>
      <w:r w:rsidRPr="001E3926" w:rsidR="008A0822">
        <w:t>CRES</w:t>
      </w:r>
      <w:r w:rsidR="001E3926">
        <w:t>”</w:t>
      </w:r>
      <w:r w:rsidRPr="001E3926" w:rsidR="008A0822">
        <w:t xml:space="preserve">) providers were </w:t>
      </w:r>
      <w:r w:rsidRPr="001E3926" w:rsidR="00D038B0">
        <w:t>allowed</w:t>
      </w:r>
      <w:r w:rsidRPr="001E3926" w:rsidR="008A0822">
        <w:t xml:space="preserve"> to </w:t>
      </w:r>
      <w:r w:rsidRPr="001E3926" w:rsidR="00D038B0">
        <w:t xml:space="preserve">compete by </w:t>
      </w:r>
      <w:r w:rsidRPr="001E3926" w:rsidR="008A0822">
        <w:t>sell</w:t>
      </w:r>
      <w:r w:rsidRPr="001E3926" w:rsidR="00D038B0">
        <w:t>ing</w:t>
      </w:r>
      <w:r w:rsidRPr="001E3926" w:rsidR="008A0822">
        <w:t xml:space="preserve"> generation services at unregulated prices.</w:t>
      </w:r>
      <w:r w:rsidRPr="001E3926" w:rsidR="00F7155A">
        <w:t xml:space="preserve"> </w:t>
      </w:r>
      <w:r w:rsidRPr="001E3926" w:rsidR="008A0822">
        <w:t xml:space="preserve">It was generally thought that this five-year market development period would </w:t>
      </w:r>
      <w:r w:rsidRPr="001E3926" w:rsidR="00623784">
        <w:t>provide enough time for a robust retail electric market to develop in Ohio.</w:t>
      </w:r>
    </w:p>
    <w:p w:rsidR="00623784" w:rsidRPr="001E3926" w:rsidP="001F3E85" w14:paraId="3EE86DA7" w14:textId="77777777">
      <w:pPr>
        <w:tabs>
          <w:tab w:val="left" w:pos="720"/>
          <w:tab w:val="left" w:pos="1440"/>
          <w:tab w:val="left" w:leader="dot" w:pos="8640"/>
        </w:tabs>
        <w:spacing w:line="480" w:lineRule="auto"/>
        <w:ind w:left="720" w:hanging="720"/>
      </w:pPr>
    </w:p>
    <w:p w:rsidR="001F3E85" w:rsidRPr="001E3926" w:rsidP="001F3E85" w14:paraId="4353EF15" w14:textId="5724FDD5">
      <w:pPr>
        <w:tabs>
          <w:tab w:val="left" w:pos="720"/>
          <w:tab w:val="left" w:pos="1440"/>
          <w:tab w:val="left" w:leader="dot" w:pos="8640"/>
        </w:tabs>
        <w:ind w:left="720" w:hanging="720"/>
        <w:rPr>
          <w:b/>
          <w:bCs/>
          <w:i/>
          <w:iCs/>
        </w:rPr>
      </w:pPr>
      <w:r w:rsidRPr="001E3926">
        <w:rPr>
          <w:b/>
          <w:bCs/>
          <w:i/>
          <w:iCs/>
        </w:rPr>
        <w:t>Q</w:t>
      </w:r>
      <w:r w:rsidRPr="001E3926" w:rsidR="004D5926">
        <w:rPr>
          <w:b/>
          <w:bCs/>
          <w:i/>
          <w:iCs/>
        </w:rPr>
        <w:t>9</w:t>
      </w:r>
      <w:r w:rsidRPr="001E3926">
        <w:rPr>
          <w:b/>
          <w:bCs/>
          <w:i/>
          <w:iCs/>
        </w:rPr>
        <w:t>.</w:t>
      </w:r>
      <w:r w:rsidRPr="001E3926">
        <w:rPr>
          <w:b/>
          <w:bCs/>
          <w:i/>
          <w:iCs/>
        </w:rPr>
        <w:tab/>
        <w:t>WERE ELECTRIC MARKETS UNDERGOING ANY OTHER STRUCTURAL CHANGES AT THIS TIME?</w:t>
      </w:r>
    </w:p>
    <w:p w:rsidR="001F3E85" w:rsidRPr="001E3926" w:rsidP="001F3E85" w14:paraId="2BA91778" w14:textId="77777777">
      <w:pPr>
        <w:tabs>
          <w:tab w:val="left" w:pos="720"/>
          <w:tab w:val="left" w:pos="1440"/>
          <w:tab w:val="left" w:leader="dot" w:pos="8640"/>
        </w:tabs>
        <w:ind w:left="720" w:hanging="720"/>
        <w:rPr>
          <w:b/>
          <w:bCs/>
          <w:i/>
          <w:iCs/>
        </w:rPr>
      </w:pPr>
    </w:p>
    <w:p w:rsidR="00BE4815" w:rsidRPr="001E3926" w:rsidP="00BE4815" w14:paraId="12D05239" w14:textId="47E9D3D9">
      <w:pPr>
        <w:tabs>
          <w:tab w:val="left" w:pos="720"/>
          <w:tab w:val="left" w:pos="1440"/>
          <w:tab w:val="left" w:leader="dot" w:pos="8640"/>
        </w:tabs>
        <w:spacing w:line="480" w:lineRule="auto"/>
        <w:ind w:left="720" w:hanging="720"/>
      </w:pPr>
      <w:r w:rsidRPr="001E3926">
        <w:rPr>
          <w:b/>
          <w:bCs/>
          <w:i/>
          <w:iCs/>
        </w:rPr>
        <w:t>A</w:t>
      </w:r>
      <w:r w:rsidRPr="001E3926" w:rsidR="004D5926">
        <w:rPr>
          <w:b/>
          <w:bCs/>
          <w:i/>
          <w:iCs/>
        </w:rPr>
        <w:t>9</w:t>
      </w:r>
      <w:r w:rsidRPr="001E3926">
        <w:rPr>
          <w:b/>
          <w:bCs/>
          <w:i/>
          <w:iCs/>
        </w:rPr>
        <w:t>.</w:t>
      </w:r>
      <w:r w:rsidRPr="001E3926">
        <w:rPr>
          <w:b/>
          <w:bCs/>
        </w:rPr>
        <w:tab/>
      </w:r>
      <w:r w:rsidRPr="001E3926">
        <w:t>Yes.</w:t>
      </w:r>
      <w:r w:rsidRPr="001E3926" w:rsidR="00F7155A">
        <w:t xml:space="preserve"> </w:t>
      </w:r>
      <w:r w:rsidRPr="001E3926">
        <w:t>Regional transmission organizations (</w:t>
      </w:r>
      <w:r w:rsidR="001E3926">
        <w:t>“</w:t>
      </w:r>
      <w:r w:rsidRPr="001E3926">
        <w:t>RTOs</w:t>
      </w:r>
      <w:r w:rsidR="001E3926">
        <w:t>”</w:t>
      </w:r>
      <w:r w:rsidRPr="001E3926">
        <w:t xml:space="preserve">) </w:t>
      </w:r>
      <w:r w:rsidRPr="001E3926" w:rsidR="0014195A">
        <w:t>established</w:t>
      </w:r>
      <w:r w:rsidRPr="001E3926" w:rsidR="0087286A">
        <w:t xml:space="preserve"> wholesale electric</w:t>
      </w:r>
      <w:r w:rsidRPr="001E3926" w:rsidR="0014195A">
        <w:t>ity</w:t>
      </w:r>
      <w:r w:rsidRPr="001E3926" w:rsidR="0087286A">
        <w:t xml:space="preserve"> markets</w:t>
      </w:r>
      <w:r w:rsidRPr="001E3926" w:rsidR="0014195A">
        <w:t xml:space="preserve"> </w:t>
      </w:r>
      <w:r w:rsidRPr="001E3926" w:rsidR="0087286A">
        <w:t xml:space="preserve">across multi-state </w:t>
      </w:r>
      <w:r w:rsidRPr="001E3926" w:rsidR="00596EA3">
        <w:t>regions</w:t>
      </w:r>
      <w:r w:rsidRPr="001E3926" w:rsidR="0087286A">
        <w:t>.</w:t>
      </w:r>
      <w:r w:rsidRPr="001E3926" w:rsidR="00F7155A">
        <w:t xml:space="preserve"> </w:t>
      </w:r>
      <w:r w:rsidRPr="001E3926" w:rsidR="00596EA3">
        <w:t>Ohio</w:t>
      </w:r>
      <w:r w:rsidR="001E3926">
        <w:t>’</w:t>
      </w:r>
      <w:r w:rsidRPr="001E3926" w:rsidR="00596EA3">
        <w:t xml:space="preserve">s four electric distribution utilities (Duke, AEP, FirstEnergy and </w:t>
      </w:r>
      <w:r w:rsidRPr="001E3926" w:rsidR="00681A4C">
        <w:t>AES</w:t>
      </w:r>
      <w:r w:rsidRPr="001E3926" w:rsidR="00596EA3">
        <w:t>) have belonged to one of two RTOs at various times – the Midcontinent Independent System Operator (</w:t>
      </w:r>
      <w:r w:rsidR="001E3926">
        <w:t>“</w:t>
      </w:r>
      <w:r w:rsidRPr="001E3926" w:rsidR="00596EA3">
        <w:t>MISO</w:t>
      </w:r>
      <w:r w:rsidR="001E3926">
        <w:t>”</w:t>
      </w:r>
      <w:r w:rsidRPr="001E3926" w:rsidR="00596EA3">
        <w:t xml:space="preserve"> – formerly known as the Midwest Independent System Operator) or PJM.</w:t>
      </w:r>
      <w:r w:rsidRPr="001E3926" w:rsidR="00F7155A">
        <w:t xml:space="preserve"> </w:t>
      </w:r>
      <w:r w:rsidRPr="001E3926" w:rsidR="0014195A">
        <w:t>Today Ohio</w:t>
      </w:r>
      <w:r w:rsidR="001E3926">
        <w:t>’</w:t>
      </w:r>
      <w:r w:rsidRPr="001E3926" w:rsidR="0014195A">
        <w:t xml:space="preserve">s electric distribution utilities fulfill their </w:t>
      </w:r>
      <w:r w:rsidR="001E3926">
        <w:t>“</w:t>
      </w:r>
      <w:r w:rsidRPr="001E3926" w:rsidR="0014195A">
        <w:t>default supply</w:t>
      </w:r>
      <w:r w:rsidR="001E3926">
        <w:t>”</w:t>
      </w:r>
      <w:r w:rsidRPr="001E3926" w:rsidR="0014195A">
        <w:t xml:space="preserve"> obligation by buying wholesale electricity from the PJM energy and capacity markets through a competitive bidding process.</w:t>
      </w:r>
      <w:r w:rsidRPr="001E3926">
        <w:br w:type="page"/>
      </w:r>
    </w:p>
    <w:p w:rsidR="00E43AB6" w:rsidRPr="001E3926" w:rsidP="00DC2F00" w14:paraId="435D7D2B" w14:textId="3A3E514E">
      <w:pPr>
        <w:tabs>
          <w:tab w:val="left" w:pos="720"/>
          <w:tab w:val="left" w:pos="1440"/>
          <w:tab w:val="left" w:leader="dot" w:pos="8640"/>
        </w:tabs>
        <w:ind w:left="720" w:hanging="720"/>
        <w:rPr>
          <w:b/>
          <w:bCs/>
          <w:i/>
          <w:iCs/>
        </w:rPr>
      </w:pPr>
      <w:r w:rsidRPr="001E3926">
        <w:rPr>
          <w:b/>
          <w:bCs/>
          <w:i/>
          <w:iCs/>
        </w:rPr>
        <w:t>Q1</w:t>
      </w:r>
      <w:r w:rsidRPr="001E3926" w:rsidR="004D5926">
        <w:rPr>
          <w:b/>
          <w:bCs/>
          <w:i/>
          <w:iCs/>
        </w:rPr>
        <w:t>0</w:t>
      </w:r>
      <w:r w:rsidRPr="001E3926">
        <w:rPr>
          <w:b/>
          <w:bCs/>
          <w:i/>
          <w:iCs/>
        </w:rPr>
        <w:t>.</w:t>
      </w:r>
      <w:r w:rsidRPr="001E3926">
        <w:rPr>
          <w:b/>
          <w:bCs/>
          <w:i/>
          <w:iCs/>
        </w:rPr>
        <w:tab/>
        <w:t>WHAT WAS THE CONDITION OF OHIO</w:t>
      </w:r>
      <w:r w:rsidR="001E3926">
        <w:rPr>
          <w:b/>
          <w:bCs/>
          <w:i/>
          <w:iCs/>
        </w:rPr>
        <w:t>’</w:t>
      </w:r>
      <w:r w:rsidRPr="001E3926">
        <w:rPr>
          <w:b/>
          <w:bCs/>
          <w:i/>
          <w:iCs/>
        </w:rPr>
        <w:t>S RETAIL ELECTRIC MARKET AS IT APPROACHED THE END OF THE MARKET DEVELOPMENT PERIOD (DECEMBER 31, 2005)?</w:t>
      </w:r>
    </w:p>
    <w:p w:rsidR="00DC2F00" w:rsidRPr="001E3926" w:rsidP="00DC2F00" w14:paraId="3E0A3499" w14:textId="77777777">
      <w:pPr>
        <w:tabs>
          <w:tab w:val="left" w:pos="720"/>
          <w:tab w:val="left" w:pos="1440"/>
          <w:tab w:val="left" w:leader="dot" w:pos="8640"/>
        </w:tabs>
        <w:ind w:left="720" w:hanging="720"/>
        <w:rPr>
          <w:b/>
          <w:bCs/>
          <w:i/>
          <w:iCs/>
        </w:rPr>
      </w:pPr>
    </w:p>
    <w:p w:rsidR="00E43AB6" w:rsidRPr="001E3926" w:rsidP="00BE01B7" w14:paraId="32C90EE1" w14:textId="2F325E56">
      <w:pPr>
        <w:tabs>
          <w:tab w:val="left" w:pos="720"/>
          <w:tab w:val="left" w:pos="1440"/>
          <w:tab w:val="left" w:leader="dot" w:pos="8640"/>
        </w:tabs>
        <w:spacing w:line="480" w:lineRule="auto"/>
        <w:ind w:left="720" w:hanging="720"/>
      </w:pPr>
      <w:r w:rsidRPr="001E3926">
        <w:rPr>
          <w:b/>
          <w:bCs/>
          <w:i/>
          <w:iCs/>
        </w:rPr>
        <w:t>A1</w:t>
      </w:r>
      <w:r w:rsidRPr="001E3926" w:rsidR="004D5926">
        <w:rPr>
          <w:b/>
          <w:bCs/>
          <w:i/>
          <w:iCs/>
        </w:rPr>
        <w:t>0</w:t>
      </w:r>
      <w:r w:rsidRPr="001E3926">
        <w:rPr>
          <w:b/>
          <w:bCs/>
          <w:i/>
          <w:iCs/>
        </w:rPr>
        <w:t>.</w:t>
      </w:r>
      <w:r w:rsidRPr="001E3926">
        <w:rPr>
          <w:b/>
          <w:bCs/>
        </w:rPr>
        <w:tab/>
      </w:r>
      <w:r w:rsidRPr="001E3926" w:rsidR="00D30AFF">
        <w:t>Despite expectations, Ohio</w:t>
      </w:r>
      <w:r w:rsidR="001E3926">
        <w:t>’</w:t>
      </w:r>
      <w:r w:rsidRPr="001E3926" w:rsidR="00D30AFF">
        <w:t xml:space="preserve">s retail electric market developed slowly during the market development period. Few customers switched suppliers, and generation auctions yielded no bids. Rising fuel and environmental costs, coupled with concerns about price volatility, led the PUCO to extend the market development plans beyond 2005 through rate stabilization plans. The Ohio Supreme Court discussed these challenges in detail in </w:t>
      </w:r>
      <w:r w:rsidRPr="001E3926" w:rsidR="00D30AFF">
        <w:rPr>
          <w:rStyle w:val="Emphasis"/>
        </w:rPr>
        <w:t>Ohio Consumers</w:t>
      </w:r>
      <w:r w:rsidR="001E3926">
        <w:rPr>
          <w:rStyle w:val="Emphasis"/>
        </w:rPr>
        <w:t>’</w:t>
      </w:r>
      <w:r w:rsidRPr="001E3926" w:rsidR="00D30AFF">
        <w:rPr>
          <w:rStyle w:val="Emphasis"/>
        </w:rPr>
        <w:t xml:space="preserve"> Counsel v. Pub. Util. Comm.</w:t>
      </w:r>
      <w:r w:rsidRPr="001E3926" w:rsidR="00D30AFF">
        <w:t xml:space="preserve"> (2007)</w:t>
      </w:r>
      <w:r w:rsidRPr="001E3926" w:rsidR="00AD1132">
        <w:t>,</w:t>
      </w:r>
      <w:r>
        <w:rPr>
          <w:rStyle w:val="FootnoteReference"/>
        </w:rPr>
        <w:footnoteReference w:id="2"/>
      </w:r>
      <w:r w:rsidRPr="001E3926" w:rsidR="00A56E85">
        <w:t xml:space="preserve"> </w:t>
      </w:r>
      <w:r w:rsidRPr="001E3926" w:rsidR="00D30AFF">
        <w:t>noting the need for continued legislative evaluation of market competition.</w:t>
      </w:r>
    </w:p>
    <w:p w:rsidR="00E43AB6" w:rsidRPr="001E3926" w:rsidP="00BE01B7" w14:paraId="447D9B55" w14:textId="77777777">
      <w:pPr>
        <w:tabs>
          <w:tab w:val="left" w:pos="720"/>
          <w:tab w:val="left" w:pos="1440"/>
          <w:tab w:val="left" w:leader="dot" w:pos="8640"/>
        </w:tabs>
        <w:spacing w:line="480" w:lineRule="auto"/>
        <w:ind w:left="720" w:hanging="720"/>
      </w:pPr>
    </w:p>
    <w:p w:rsidR="00957547" w:rsidRPr="001E3926" w:rsidP="0046181B" w14:paraId="51B85A9E" w14:textId="66C20546">
      <w:pPr>
        <w:pStyle w:val="Heading1"/>
      </w:pPr>
      <w:bookmarkStart w:id="7" w:name="_Toc181193288"/>
      <w:r w:rsidRPr="001E3926">
        <w:t>ADDITIONAL RESTRUCTURING LEGISLATION IN 2008</w:t>
      </w:r>
      <w:bookmarkEnd w:id="7"/>
    </w:p>
    <w:p w:rsidR="002D5FC7" w:rsidRPr="001E3926" w:rsidP="002D5FC7" w14:paraId="058DA43E" w14:textId="77777777">
      <w:pPr>
        <w:spacing w:line="480" w:lineRule="auto"/>
      </w:pPr>
    </w:p>
    <w:p w:rsidR="002D252C" w:rsidRPr="001E3926" w:rsidP="00325939" w14:paraId="760B8FE3" w14:textId="1E608C87">
      <w:pPr>
        <w:tabs>
          <w:tab w:val="left" w:pos="720"/>
          <w:tab w:val="left" w:pos="1440"/>
          <w:tab w:val="left" w:leader="dot" w:pos="8640"/>
        </w:tabs>
        <w:ind w:left="720" w:hanging="720"/>
        <w:rPr>
          <w:b/>
          <w:bCs/>
          <w:i/>
          <w:iCs/>
        </w:rPr>
      </w:pPr>
      <w:r w:rsidRPr="001E3926">
        <w:rPr>
          <w:b/>
          <w:bCs/>
          <w:i/>
          <w:iCs/>
        </w:rPr>
        <w:t>Q1</w:t>
      </w:r>
      <w:r w:rsidRPr="001E3926" w:rsidR="004D5926">
        <w:rPr>
          <w:b/>
          <w:bCs/>
          <w:i/>
          <w:iCs/>
        </w:rPr>
        <w:t>1</w:t>
      </w:r>
      <w:r w:rsidRPr="001E3926">
        <w:rPr>
          <w:b/>
          <w:bCs/>
          <w:i/>
          <w:iCs/>
        </w:rPr>
        <w:t>.</w:t>
      </w:r>
      <w:r w:rsidRPr="001E3926">
        <w:rPr>
          <w:b/>
          <w:bCs/>
          <w:i/>
          <w:iCs/>
        </w:rPr>
        <w:tab/>
        <w:t xml:space="preserve">DID OHIO ENACT ADDITIONAL LEGISLATION THAT </w:t>
      </w:r>
      <w:r w:rsidRPr="001E3926" w:rsidR="00782F77">
        <w:rPr>
          <w:b/>
          <w:bCs/>
          <w:i/>
          <w:iCs/>
        </w:rPr>
        <w:t>CHANGED THE RETAIL ELECTRIC MARKET?</w:t>
      </w:r>
    </w:p>
    <w:p w:rsidR="00325939" w:rsidRPr="001E3926" w:rsidP="00325939" w14:paraId="6D2EB63E" w14:textId="77777777">
      <w:pPr>
        <w:tabs>
          <w:tab w:val="left" w:pos="720"/>
          <w:tab w:val="left" w:pos="1440"/>
          <w:tab w:val="left" w:leader="dot" w:pos="8640"/>
        </w:tabs>
        <w:ind w:left="720" w:hanging="720"/>
        <w:rPr>
          <w:b/>
          <w:bCs/>
          <w:i/>
          <w:iCs/>
        </w:rPr>
      </w:pPr>
    </w:p>
    <w:p w:rsidR="00782F77" w:rsidRPr="001E3926" w:rsidP="00BE01B7" w14:paraId="01AF0300" w14:textId="1BD2BFD5">
      <w:pPr>
        <w:tabs>
          <w:tab w:val="left" w:pos="720"/>
          <w:tab w:val="left" w:pos="1440"/>
          <w:tab w:val="left" w:leader="dot" w:pos="8640"/>
        </w:tabs>
        <w:spacing w:line="480" w:lineRule="auto"/>
        <w:ind w:left="720" w:hanging="720"/>
      </w:pPr>
      <w:r w:rsidRPr="001E3926">
        <w:rPr>
          <w:b/>
          <w:bCs/>
          <w:i/>
          <w:iCs/>
        </w:rPr>
        <w:t>A1</w:t>
      </w:r>
      <w:r w:rsidRPr="001E3926" w:rsidR="004D5926">
        <w:rPr>
          <w:b/>
          <w:bCs/>
          <w:i/>
          <w:iCs/>
        </w:rPr>
        <w:t>1</w:t>
      </w:r>
      <w:r w:rsidRPr="001E3926">
        <w:rPr>
          <w:b/>
          <w:bCs/>
          <w:i/>
          <w:iCs/>
        </w:rPr>
        <w:t>.</w:t>
      </w:r>
      <w:r w:rsidRPr="001E3926">
        <w:rPr>
          <w:b/>
          <w:bCs/>
        </w:rPr>
        <w:tab/>
      </w:r>
      <w:r w:rsidRPr="001E3926">
        <w:t>Yes.</w:t>
      </w:r>
      <w:r w:rsidRPr="001E3926" w:rsidR="00F7155A">
        <w:t xml:space="preserve"> </w:t>
      </w:r>
      <w:r w:rsidRPr="001E3926">
        <w:t>In 2008, Ohio enacted Am.Sub.S.B. 221 (</w:t>
      </w:r>
      <w:r w:rsidR="001E3926">
        <w:t>“</w:t>
      </w:r>
      <w:r w:rsidRPr="001E3926">
        <w:t>S.B. 221</w:t>
      </w:r>
      <w:r w:rsidR="001E3926">
        <w:t>”</w:t>
      </w:r>
      <w:r w:rsidRPr="001E3926">
        <w:t>), which substantially changed the retail electric market.</w:t>
      </w:r>
      <w:r w:rsidRPr="001E3926" w:rsidR="00F7155A">
        <w:t xml:space="preserve"> </w:t>
      </w:r>
      <w:r w:rsidRPr="001E3926" w:rsidR="00251A4E">
        <w:t xml:space="preserve">S.B. 221 required electric distribution utilities to provide a </w:t>
      </w:r>
      <w:r w:rsidR="001E3926">
        <w:t>“</w:t>
      </w:r>
      <w:r w:rsidRPr="001E3926" w:rsidR="00251A4E">
        <w:t>standard service offer</w:t>
      </w:r>
      <w:r w:rsidR="001E3926">
        <w:t>”</w:t>
      </w:r>
      <w:r w:rsidRPr="001E3926" w:rsidR="00251A4E">
        <w:t xml:space="preserve"> that includes all competitive retail electric services needed for a firm supply of electric service.</w:t>
      </w:r>
      <w:r>
        <w:rPr>
          <w:rStyle w:val="FootnoteReference"/>
        </w:rPr>
        <w:footnoteReference w:id="3"/>
      </w:r>
      <w:r w:rsidRPr="001E3926" w:rsidR="00F7155A">
        <w:t xml:space="preserve"> </w:t>
      </w:r>
      <w:r w:rsidRPr="001E3926" w:rsidR="00251A4E">
        <w:t xml:space="preserve">Utilities could provide a standard service offer in the form of a </w:t>
      </w:r>
      <w:r w:rsidR="001E3926">
        <w:t>“</w:t>
      </w:r>
      <w:r w:rsidRPr="001E3926" w:rsidR="00251A4E">
        <w:t>market rate offer</w:t>
      </w:r>
      <w:r w:rsidR="001E3926">
        <w:t>”</w:t>
      </w:r>
      <w:r>
        <w:rPr>
          <w:rStyle w:val="FootnoteReference"/>
        </w:rPr>
        <w:footnoteReference w:id="4"/>
      </w:r>
      <w:r w:rsidRPr="001E3926" w:rsidR="00251A4E">
        <w:t xml:space="preserve"> or an </w:t>
      </w:r>
      <w:r w:rsidR="001E3926">
        <w:t>“</w:t>
      </w:r>
      <w:r w:rsidRPr="001E3926" w:rsidR="00251A4E">
        <w:t>electric security plan.</w:t>
      </w:r>
      <w:r w:rsidR="001E3926">
        <w:t>”</w:t>
      </w:r>
      <w:r>
        <w:rPr>
          <w:rStyle w:val="FootnoteReference"/>
        </w:rPr>
        <w:footnoteReference w:id="5"/>
      </w:r>
      <w:r w:rsidRPr="001E3926" w:rsidR="00F7155A">
        <w:t xml:space="preserve"> </w:t>
      </w:r>
      <w:r w:rsidRPr="001E3926" w:rsidR="00F557E3">
        <w:t>Electric security plans allowed utilities to use their own generating plants (or those owned by an affiliated company) to supply electricity to consumers.</w:t>
      </w:r>
      <w:r w:rsidRPr="001E3926" w:rsidR="00F7155A">
        <w:t xml:space="preserve"> </w:t>
      </w:r>
      <w:r w:rsidRPr="001E3926" w:rsidR="00F557E3">
        <w:t>S.B. 221 also required utilities to obtain PUCO approval before selling their generating plants or transferring ownership to an affiliated company.</w:t>
      </w:r>
      <w:r>
        <w:rPr>
          <w:rStyle w:val="FootnoteReference"/>
        </w:rPr>
        <w:footnoteReference w:id="6"/>
      </w:r>
    </w:p>
    <w:p w:rsidR="004B00C0" w:rsidRPr="001E3926" w:rsidP="00BE01B7" w14:paraId="01A8687E" w14:textId="77777777">
      <w:pPr>
        <w:tabs>
          <w:tab w:val="left" w:pos="720"/>
          <w:tab w:val="left" w:pos="1440"/>
          <w:tab w:val="left" w:leader="dot" w:pos="8640"/>
        </w:tabs>
        <w:spacing w:line="480" w:lineRule="auto"/>
        <w:ind w:left="720" w:hanging="720"/>
      </w:pPr>
    </w:p>
    <w:p w:rsidR="004B00C0" w:rsidRPr="001E3926" w:rsidP="00773644" w14:paraId="3A567F57" w14:textId="1E2DFF3E">
      <w:pPr>
        <w:tabs>
          <w:tab w:val="left" w:pos="720"/>
          <w:tab w:val="left" w:pos="1440"/>
          <w:tab w:val="left" w:leader="dot" w:pos="8640"/>
        </w:tabs>
        <w:ind w:left="720" w:hanging="720"/>
        <w:rPr>
          <w:b/>
          <w:bCs/>
          <w:i/>
          <w:iCs/>
        </w:rPr>
      </w:pPr>
      <w:r w:rsidRPr="001E3926">
        <w:rPr>
          <w:b/>
          <w:bCs/>
          <w:i/>
          <w:iCs/>
        </w:rPr>
        <w:t>Q1</w:t>
      </w:r>
      <w:r w:rsidRPr="001E3926" w:rsidR="004D2CAA">
        <w:rPr>
          <w:b/>
          <w:bCs/>
          <w:i/>
          <w:iCs/>
        </w:rPr>
        <w:t>2</w:t>
      </w:r>
      <w:r w:rsidRPr="001E3926">
        <w:rPr>
          <w:b/>
          <w:bCs/>
          <w:i/>
          <w:iCs/>
        </w:rPr>
        <w:t>.</w:t>
      </w:r>
      <w:r w:rsidRPr="001E3926">
        <w:rPr>
          <w:b/>
          <w:bCs/>
          <w:i/>
          <w:iCs/>
        </w:rPr>
        <w:tab/>
        <w:t>DO ELECTRIC DISTRIBUTION UTILITIES CONTINUE TO USE THEIR OWN GENERATING PLANTS (OR THOSE OWNED BY AN AFFILIATE) TO SUPPLY ELECTRICITY UNDER ELECTRIC SECURITY PLANS</w:t>
      </w:r>
      <w:r w:rsidRPr="001E3926" w:rsidR="00A55AEB">
        <w:rPr>
          <w:b/>
          <w:bCs/>
          <w:i/>
          <w:iCs/>
        </w:rPr>
        <w:t>?</w:t>
      </w:r>
    </w:p>
    <w:p w:rsidR="00773644" w:rsidRPr="001E3926" w:rsidP="00773644" w14:paraId="3F0CA96B" w14:textId="77777777">
      <w:pPr>
        <w:tabs>
          <w:tab w:val="left" w:pos="720"/>
          <w:tab w:val="left" w:pos="1440"/>
          <w:tab w:val="left" w:leader="dot" w:pos="8640"/>
        </w:tabs>
        <w:ind w:left="720" w:hanging="720"/>
        <w:rPr>
          <w:b/>
          <w:bCs/>
          <w:i/>
          <w:iCs/>
        </w:rPr>
      </w:pPr>
    </w:p>
    <w:p w:rsidR="00BC68F6" w:rsidRPr="001E3926" w:rsidP="00BC68F6" w14:paraId="6D5E616C" w14:textId="781063AD">
      <w:pPr>
        <w:tabs>
          <w:tab w:val="left" w:pos="720"/>
          <w:tab w:val="left" w:pos="1440"/>
          <w:tab w:val="left" w:leader="dot" w:pos="8640"/>
        </w:tabs>
        <w:spacing w:line="480" w:lineRule="auto"/>
        <w:ind w:left="720" w:hanging="720"/>
      </w:pPr>
      <w:r w:rsidRPr="001E3926">
        <w:rPr>
          <w:b/>
          <w:bCs/>
          <w:i/>
          <w:iCs/>
        </w:rPr>
        <w:t>A1</w:t>
      </w:r>
      <w:r w:rsidRPr="001E3926" w:rsidR="004D2CAA">
        <w:rPr>
          <w:b/>
          <w:bCs/>
          <w:i/>
          <w:iCs/>
        </w:rPr>
        <w:t>2</w:t>
      </w:r>
      <w:r w:rsidRPr="001E3926">
        <w:rPr>
          <w:b/>
          <w:bCs/>
          <w:i/>
          <w:iCs/>
        </w:rPr>
        <w:t>.</w:t>
      </w:r>
      <w:r w:rsidRPr="001E3926">
        <w:rPr>
          <w:b/>
          <w:bCs/>
        </w:rPr>
        <w:t xml:space="preserve"> </w:t>
      </w:r>
      <w:r w:rsidRPr="001E3926">
        <w:tab/>
        <w:t>No.</w:t>
      </w:r>
      <w:r w:rsidRPr="001E3926" w:rsidR="00F7155A">
        <w:t xml:space="preserve"> </w:t>
      </w:r>
      <w:r w:rsidRPr="001E3926">
        <w:t xml:space="preserve">The PUCO </w:t>
      </w:r>
      <w:r w:rsidRPr="001E3926" w:rsidR="00CB40D0">
        <w:t xml:space="preserve">has </w:t>
      </w:r>
      <w:r w:rsidRPr="001E3926">
        <w:t>ended this practice</w:t>
      </w:r>
      <w:r w:rsidRPr="001E3926" w:rsidR="00CB40D0">
        <w:t>.</w:t>
      </w:r>
      <w:r w:rsidRPr="001E3926" w:rsidR="00F7155A">
        <w:t xml:space="preserve"> </w:t>
      </w:r>
      <w:r w:rsidRPr="001E3926" w:rsidR="00CB40D0">
        <w:t xml:space="preserve">Electric distribution utilities began </w:t>
      </w:r>
      <w:r w:rsidRPr="001E3926" w:rsidR="004E07E1">
        <w:t xml:space="preserve">to provide electric security plans that </w:t>
      </w:r>
      <w:r w:rsidRPr="001E3926" w:rsidR="00CB40D0">
        <w:t>procur</w:t>
      </w:r>
      <w:r w:rsidRPr="001E3926" w:rsidR="004E07E1">
        <w:t>ed</w:t>
      </w:r>
      <w:r w:rsidRPr="001E3926" w:rsidR="00CB40D0">
        <w:t xml:space="preserve"> electricity through competitive auctions beginning with FirstEnergy in 2009.</w:t>
      </w:r>
      <w:r w:rsidRPr="001E3926" w:rsidR="00F7155A">
        <w:t xml:space="preserve"> </w:t>
      </w:r>
      <w:r w:rsidRPr="001E3926" w:rsidR="00CB40D0">
        <w:t>The other electric distribution utilities adopted this practice in subsequent years: Duke (2011)</w:t>
      </w:r>
      <w:r w:rsidRPr="001E3926" w:rsidR="006F2479">
        <w:t>,</w:t>
      </w:r>
      <w:r>
        <w:rPr>
          <w:rStyle w:val="FootnoteReference"/>
        </w:rPr>
        <w:footnoteReference w:id="7"/>
      </w:r>
      <w:r w:rsidRPr="001E3926" w:rsidR="00CB40D0">
        <w:t xml:space="preserve"> </w:t>
      </w:r>
      <w:r w:rsidRPr="001E3926" w:rsidR="00692814">
        <w:t>AES</w:t>
      </w:r>
      <w:r w:rsidRPr="001E3926" w:rsidR="00CB40D0">
        <w:t xml:space="preserve"> (2013) and AEP (2014).</w:t>
      </w:r>
      <w:r w:rsidRPr="001E3926" w:rsidR="00F7155A">
        <w:t xml:space="preserve"> </w:t>
      </w:r>
      <w:r w:rsidRPr="001E3926" w:rsidR="00CB40D0">
        <w:t>The timeline for adoption of competitive auctions is shown below:</w:t>
      </w:r>
    </w:p>
    <w:p w:rsidR="00BC68F6" w:rsidRPr="001E3926" w:rsidP="00BC68F6" w14:paraId="3C216196" w14:textId="77777777">
      <w:pPr>
        <w:suppressLineNumbers/>
        <w:tabs>
          <w:tab w:val="left" w:pos="720"/>
          <w:tab w:val="left" w:pos="1440"/>
          <w:tab w:val="left" w:leader="dot" w:pos="8640"/>
        </w:tabs>
        <w:ind w:left="720" w:hanging="720"/>
      </w:pPr>
    </w:p>
    <w:p w:rsidR="00BC68F6" w:rsidRPr="001E3926" w:rsidP="00BC68F6" w14:paraId="4E213ED8" w14:textId="17770D30">
      <w:pPr>
        <w:suppressLineNumbers/>
        <w:tabs>
          <w:tab w:val="left" w:pos="720"/>
          <w:tab w:val="left" w:pos="1440"/>
          <w:tab w:val="left" w:leader="dot" w:pos="8640"/>
        </w:tabs>
        <w:spacing w:line="480" w:lineRule="auto"/>
        <w:ind w:left="720" w:hanging="720"/>
        <w:jc w:val="center"/>
      </w:pPr>
      <w:r w:rsidRPr="001E3926">
        <w:rPr>
          <w:noProof/>
        </w:rPr>
        <w:drawing>
          <wp:inline distT="0" distB="0" distL="0" distR="0">
            <wp:extent cx="5486400" cy="3107055"/>
            <wp:effectExtent l="0" t="0" r="0" b="0"/>
            <wp:docPr id="2144306898"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06898" name="Picture 1" descr="Timeline&#10;&#10;Description automatically generated"/>
                    <pic:cNvPicPr/>
                  </pic:nvPicPr>
                  <pic:blipFill>
                    <a:blip xmlns:r="http://schemas.openxmlformats.org/officeDocument/2006/relationships" r:embed="rId16"/>
                    <a:stretch>
                      <a:fillRect/>
                    </a:stretch>
                  </pic:blipFill>
                  <pic:spPr>
                    <a:xfrm>
                      <a:off x="0" y="0"/>
                      <a:ext cx="5486400" cy="3107055"/>
                    </a:xfrm>
                    <a:prstGeom prst="rect">
                      <a:avLst/>
                    </a:prstGeom>
                  </pic:spPr>
                </pic:pic>
              </a:graphicData>
            </a:graphic>
          </wp:inline>
        </w:drawing>
      </w:r>
    </w:p>
    <w:p w:rsidR="00F61D40" w:rsidRPr="001E3926" w:rsidP="005F4CE1" w14:paraId="0D26C931" w14:textId="77777777">
      <w:pPr>
        <w:tabs>
          <w:tab w:val="left" w:pos="720"/>
          <w:tab w:val="left" w:pos="1440"/>
          <w:tab w:val="left" w:leader="dot" w:pos="8640"/>
        </w:tabs>
      </w:pPr>
    </w:p>
    <w:p w:rsidR="00E514E2" w:rsidRPr="001E3926" w:rsidP="0046181B" w14:paraId="485908E1" w14:textId="2D2EF758">
      <w:pPr>
        <w:pStyle w:val="Heading1"/>
      </w:pPr>
      <w:bookmarkStart w:id="8" w:name="_Toc181193289"/>
      <w:r w:rsidRPr="001E3926">
        <w:t>MARKET RATE OFFERS</w:t>
      </w:r>
      <w:bookmarkEnd w:id="8"/>
    </w:p>
    <w:p w:rsidR="00C21ED5" w:rsidRPr="001E3926" w:rsidP="00C21ED5" w14:paraId="7ACBF808" w14:textId="77777777">
      <w:pPr>
        <w:spacing w:line="480" w:lineRule="auto"/>
      </w:pPr>
    </w:p>
    <w:p w:rsidR="00F61D40" w:rsidRPr="001E3926" w:rsidP="00C21ED5" w14:paraId="2AB5F2F7" w14:textId="1899D6F3">
      <w:pPr>
        <w:tabs>
          <w:tab w:val="left" w:pos="720"/>
          <w:tab w:val="left" w:pos="1440"/>
          <w:tab w:val="left" w:leader="dot" w:pos="8640"/>
        </w:tabs>
        <w:ind w:left="720" w:hanging="720"/>
        <w:rPr>
          <w:b/>
          <w:bCs/>
          <w:i/>
          <w:iCs/>
        </w:rPr>
      </w:pPr>
      <w:r w:rsidRPr="001E3926">
        <w:rPr>
          <w:b/>
          <w:bCs/>
          <w:i/>
          <w:iCs/>
        </w:rPr>
        <w:t>Q1</w:t>
      </w:r>
      <w:r w:rsidRPr="001E3926" w:rsidR="00291EAF">
        <w:rPr>
          <w:b/>
          <w:bCs/>
          <w:i/>
          <w:iCs/>
        </w:rPr>
        <w:t>3</w:t>
      </w:r>
      <w:r w:rsidRPr="001E3926">
        <w:rPr>
          <w:b/>
          <w:bCs/>
          <w:i/>
          <w:iCs/>
        </w:rPr>
        <w:t>.</w:t>
      </w:r>
      <w:r w:rsidRPr="001E3926">
        <w:rPr>
          <w:b/>
          <w:bCs/>
          <w:i/>
          <w:iCs/>
        </w:rPr>
        <w:tab/>
        <w:t>HAVE ANY ELECTRIC DISTRIBUTION UTILITIES EVER FILED AN APPLICATION FOR APPROVAL OF A MARKET RATE OFFER?</w:t>
      </w:r>
    </w:p>
    <w:p w:rsidR="00C21ED5" w:rsidRPr="001E3926" w:rsidP="00C21ED5" w14:paraId="5EF6469F" w14:textId="77777777">
      <w:pPr>
        <w:tabs>
          <w:tab w:val="left" w:pos="720"/>
          <w:tab w:val="left" w:pos="1440"/>
          <w:tab w:val="left" w:leader="dot" w:pos="8640"/>
        </w:tabs>
        <w:ind w:left="720" w:hanging="720"/>
        <w:rPr>
          <w:b/>
          <w:bCs/>
          <w:i/>
          <w:iCs/>
        </w:rPr>
      </w:pPr>
    </w:p>
    <w:p w:rsidR="00DE288F" w:rsidRPr="001E3926" w:rsidP="00DE288F" w14:paraId="07205E86" w14:textId="56768A84">
      <w:pPr>
        <w:tabs>
          <w:tab w:val="left" w:pos="720"/>
          <w:tab w:val="left" w:pos="1440"/>
          <w:tab w:val="left" w:leader="dot" w:pos="8640"/>
        </w:tabs>
        <w:spacing w:line="480" w:lineRule="auto"/>
        <w:ind w:left="720" w:hanging="720"/>
      </w:pPr>
      <w:r w:rsidRPr="001E3926">
        <w:rPr>
          <w:b/>
          <w:bCs/>
          <w:i/>
          <w:iCs/>
        </w:rPr>
        <w:t>A1</w:t>
      </w:r>
      <w:r w:rsidRPr="001E3926" w:rsidR="00291EAF">
        <w:rPr>
          <w:b/>
          <w:bCs/>
          <w:i/>
          <w:iCs/>
        </w:rPr>
        <w:t>3</w:t>
      </w:r>
      <w:r w:rsidRPr="001E3926">
        <w:rPr>
          <w:b/>
          <w:bCs/>
          <w:i/>
          <w:iCs/>
        </w:rPr>
        <w:t>.</w:t>
      </w:r>
      <w:r w:rsidRPr="001E3926">
        <w:rPr>
          <w:b/>
          <w:bCs/>
        </w:rPr>
        <w:tab/>
      </w:r>
      <w:r w:rsidRPr="001E3926">
        <w:t>Yes.</w:t>
      </w:r>
      <w:r w:rsidRPr="001E3926" w:rsidR="00F7155A">
        <w:t xml:space="preserve"> </w:t>
      </w:r>
      <w:r w:rsidRPr="001E3926" w:rsidR="00C02CB3">
        <w:t xml:space="preserve">FirstEnergy </w:t>
      </w:r>
      <w:r w:rsidRPr="001E3926" w:rsidR="001B31B6">
        <w:t xml:space="preserve">filed </w:t>
      </w:r>
      <w:r w:rsidRPr="001E3926" w:rsidR="00C02CB3">
        <w:t xml:space="preserve">applications </w:t>
      </w:r>
      <w:r w:rsidRPr="001E3926" w:rsidR="001B31B6">
        <w:t>for approval of a market rate offe</w:t>
      </w:r>
      <w:r w:rsidRPr="001E3926" w:rsidR="00C02CB3">
        <w:t>r in 2008 and 2009, while Duke filed an application for approval of a market rate offer in 2010.</w:t>
      </w:r>
      <w:r>
        <w:rPr>
          <w:rStyle w:val="FootnoteReference"/>
        </w:rPr>
        <w:footnoteReference w:id="8"/>
      </w:r>
      <w:r w:rsidRPr="001E3926">
        <w:br w:type="page"/>
      </w:r>
    </w:p>
    <w:p w:rsidR="001B31B6" w:rsidRPr="001E3926" w:rsidP="00F2082B" w14:paraId="7B1FCA47" w14:textId="73B64BB6">
      <w:pPr>
        <w:tabs>
          <w:tab w:val="left" w:pos="720"/>
          <w:tab w:val="left" w:pos="1440"/>
          <w:tab w:val="left" w:leader="dot" w:pos="8640"/>
        </w:tabs>
        <w:spacing w:line="480" w:lineRule="auto"/>
        <w:ind w:left="720" w:hanging="720"/>
        <w:rPr>
          <w:b/>
          <w:bCs/>
          <w:i/>
          <w:iCs/>
        </w:rPr>
      </w:pPr>
      <w:r w:rsidRPr="001E3926">
        <w:rPr>
          <w:b/>
          <w:bCs/>
          <w:i/>
          <w:iCs/>
        </w:rPr>
        <w:t>Q1</w:t>
      </w:r>
      <w:r w:rsidRPr="001E3926" w:rsidR="00291EAF">
        <w:rPr>
          <w:b/>
          <w:bCs/>
          <w:i/>
          <w:iCs/>
        </w:rPr>
        <w:t>4</w:t>
      </w:r>
      <w:r w:rsidRPr="001E3926">
        <w:rPr>
          <w:b/>
          <w:bCs/>
          <w:i/>
          <w:iCs/>
        </w:rPr>
        <w:t>.</w:t>
      </w:r>
      <w:r w:rsidRPr="001E3926">
        <w:rPr>
          <w:b/>
          <w:bCs/>
          <w:i/>
          <w:iCs/>
        </w:rPr>
        <w:tab/>
        <w:t>DID FIRSTENERGY OR DUKE IMPLEMENT A MARKET RATE OFFER?</w:t>
      </w:r>
    </w:p>
    <w:p w:rsidR="00F13BC5" w:rsidRPr="001E3926" w:rsidP="00F13BC5" w14:paraId="02D1E0E5" w14:textId="06B2BFAB">
      <w:pPr>
        <w:tabs>
          <w:tab w:val="left" w:pos="720"/>
          <w:tab w:val="left" w:pos="1440"/>
          <w:tab w:val="left" w:leader="dot" w:pos="8640"/>
        </w:tabs>
        <w:spacing w:line="480" w:lineRule="auto"/>
        <w:ind w:left="720" w:hanging="720"/>
      </w:pPr>
      <w:r w:rsidRPr="001E3926">
        <w:rPr>
          <w:b/>
          <w:bCs/>
          <w:i/>
          <w:iCs/>
        </w:rPr>
        <w:t>A1</w:t>
      </w:r>
      <w:r w:rsidRPr="001E3926" w:rsidR="00291EAF">
        <w:rPr>
          <w:b/>
          <w:bCs/>
          <w:i/>
          <w:iCs/>
        </w:rPr>
        <w:t>4</w:t>
      </w:r>
      <w:r w:rsidRPr="001E3926">
        <w:rPr>
          <w:b/>
          <w:bCs/>
          <w:i/>
          <w:iCs/>
        </w:rPr>
        <w:t>.</w:t>
      </w:r>
      <w:r w:rsidRPr="001E3926">
        <w:rPr>
          <w:b/>
          <w:bCs/>
        </w:rPr>
        <w:tab/>
      </w:r>
      <w:r w:rsidRPr="001E3926">
        <w:t>No.</w:t>
      </w:r>
    </w:p>
    <w:p w:rsidR="005F1BD4" w:rsidRPr="001E3926" w:rsidP="00F13BC5" w14:paraId="16B892F1" w14:textId="77777777">
      <w:pPr>
        <w:tabs>
          <w:tab w:val="left" w:pos="720"/>
          <w:tab w:val="left" w:pos="1440"/>
          <w:tab w:val="left" w:leader="dot" w:pos="8640"/>
        </w:tabs>
        <w:spacing w:line="480" w:lineRule="auto"/>
        <w:ind w:left="720" w:hanging="720"/>
      </w:pPr>
    </w:p>
    <w:p w:rsidR="00D05F03" w:rsidRPr="001E3926" w:rsidP="00F13BC5" w14:paraId="31F93317" w14:textId="4F0B5749">
      <w:pPr>
        <w:tabs>
          <w:tab w:val="left" w:pos="720"/>
          <w:tab w:val="left" w:pos="1440"/>
          <w:tab w:val="left" w:leader="dot" w:pos="8640"/>
        </w:tabs>
        <w:ind w:left="720" w:hanging="720"/>
        <w:rPr>
          <w:b/>
          <w:bCs/>
          <w:i/>
          <w:iCs/>
        </w:rPr>
      </w:pPr>
      <w:r w:rsidRPr="001E3926">
        <w:rPr>
          <w:b/>
          <w:bCs/>
          <w:i/>
          <w:iCs/>
        </w:rPr>
        <w:t>Q1</w:t>
      </w:r>
      <w:r w:rsidRPr="001E3926" w:rsidR="00291EAF">
        <w:rPr>
          <w:b/>
          <w:bCs/>
          <w:i/>
          <w:iCs/>
        </w:rPr>
        <w:t>5</w:t>
      </w:r>
      <w:r w:rsidRPr="001E3926">
        <w:rPr>
          <w:b/>
          <w:bCs/>
          <w:i/>
          <w:iCs/>
        </w:rPr>
        <w:t>.</w:t>
      </w:r>
      <w:r w:rsidRPr="001E3926">
        <w:rPr>
          <w:b/>
          <w:bCs/>
          <w:i/>
          <w:iCs/>
        </w:rPr>
        <w:tab/>
        <w:t>WHEN DUKE FILED ITS APPLICATION FOR APPROVAL OF A MARKET RATE OFFER IN 2010, DID DUKE STATE WHETHER A MARKET RATE OFFER WAS APPROPRIATE UNDER THEN-EXISTING RETAIL MARKET CONDITIONS?</w:t>
      </w:r>
    </w:p>
    <w:p w:rsidR="005109BC" w:rsidRPr="001E3926" w:rsidP="00F13BC5" w14:paraId="3C548D73" w14:textId="77777777">
      <w:pPr>
        <w:tabs>
          <w:tab w:val="left" w:pos="720"/>
          <w:tab w:val="left" w:pos="1440"/>
          <w:tab w:val="left" w:leader="dot" w:pos="8640"/>
        </w:tabs>
        <w:ind w:left="720" w:hanging="720"/>
        <w:rPr>
          <w:b/>
          <w:bCs/>
          <w:i/>
          <w:iCs/>
        </w:rPr>
      </w:pPr>
    </w:p>
    <w:p w:rsidR="00D05F03" w:rsidRPr="001E3926" w:rsidP="00F2082B" w14:paraId="0B974FA4" w14:textId="6374B6B0">
      <w:pPr>
        <w:tabs>
          <w:tab w:val="left" w:pos="720"/>
          <w:tab w:val="left" w:pos="1440"/>
          <w:tab w:val="left" w:leader="dot" w:pos="8640"/>
        </w:tabs>
        <w:spacing w:line="480" w:lineRule="auto"/>
        <w:ind w:left="720" w:hanging="720"/>
      </w:pPr>
      <w:r w:rsidRPr="001E3926">
        <w:rPr>
          <w:b/>
          <w:bCs/>
          <w:i/>
          <w:iCs/>
        </w:rPr>
        <w:t>A1</w:t>
      </w:r>
      <w:r w:rsidRPr="001E3926" w:rsidR="00291EAF">
        <w:rPr>
          <w:b/>
          <w:bCs/>
          <w:i/>
          <w:iCs/>
        </w:rPr>
        <w:t>5</w:t>
      </w:r>
      <w:r w:rsidRPr="001E3926">
        <w:rPr>
          <w:b/>
          <w:bCs/>
          <w:i/>
          <w:iCs/>
        </w:rPr>
        <w:t>.</w:t>
      </w:r>
      <w:r w:rsidRPr="001E3926">
        <w:rPr>
          <w:b/>
          <w:bCs/>
        </w:rPr>
        <w:tab/>
      </w:r>
      <w:r w:rsidRPr="001E3926">
        <w:t>Yes.</w:t>
      </w:r>
      <w:r w:rsidRPr="001E3926" w:rsidR="00F7155A">
        <w:t xml:space="preserve"> </w:t>
      </w:r>
      <w:r w:rsidRPr="001E3926">
        <w:t>Duke filed testimony from J</w:t>
      </w:r>
      <w:r w:rsidRPr="001E3926" w:rsidR="008C5F4A">
        <w:t>ames E. Rogers</w:t>
      </w:r>
      <w:r w:rsidRPr="001E3926">
        <w:t>, its CEO, stating that the market conditions were suitable for a market rate offer.</w:t>
      </w:r>
      <w:r>
        <w:rPr>
          <w:rStyle w:val="FootnoteReference"/>
        </w:rPr>
        <w:footnoteReference w:id="9"/>
      </w:r>
    </w:p>
    <w:p w:rsidR="00515750" w:rsidRPr="001E3926" w:rsidP="00F2082B" w14:paraId="6FA96335" w14:textId="77777777">
      <w:pPr>
        <w:tabs>
          <w:tab w:val="left" w:pos="720"/>
          <w:tab w:val="left" w:pos="1440"/>
          <w:tab w:val="left" w:leader="dot" w:pos="8640"/>
        </w:tabs>
        <w:spacing w:line="480" w:lineRule="auto"/>
        <w:ind w:left="720" w:hanging="720"/>
      </w:pPr>
    </w:p>
    <w:p w:rsidR="00161E6C" w:rsidRPr="001E3926" w:rsidP="00F2082B" w14:paraId="5F0FFC11" w14:textId="6BD456A0">
      <w:pPr>
        <w:tabs>
          <w:tab w:val="left" w:pos="720"/>
          <w:tab w:val="left" w:pos="1440"/>
          <w:tab w:val="left" w:leader="dot" w:pos="8640"/>
        </w:tabs>
        <w:spacing w:line="480" w:lineRule="auto"/>
        <w:ind w:left="720" w:hanging="720"/>
      </w:pPr>
      <w:r w:rsidRPr="001E3926">
        <w:rPr>
          <w:b/>
          <w:bCs/>
          <w:i/>
          <w:iCs/>
        </w:rPr>
        <w:t>Q1</w:t>
      </w:r>
      <w:r w:rsidRPr="001E3926" w:rsidR="00291EAF">
        <w:rPr>
          <w:b/>
          <w:bCs/>
          <w:i/>
          <w:iCs/>
        </w:rPr>
        <w:t>6</w:t>
      </w:r>
      <w:r w:rsidRPr="001E3926">
        <w:rPr>
          <w:b/>
          <w:bCs/>
          <w:i/>
          <w:iCs/>
        </w:rPr>
        <w:t>.</w:t>
      </w:r>
      <w:r w:rsidRPr="001E3926">
        <w:rPr>
          <w:b/>
          <w:bCs/>
          <w:i/>
          <w:iCs/>
        </w:rPr>
        <w:tab/>
        <w:t>HOW DID THE PUCO REACT TO THE FILING?</w:t>
      </w:r>
    </w:p>
    <w:p w:rsidR="00161E6C" w:rsidRPr="001E3926" w:rsidP="00223D82" w14:paraId="0CA59476" w14:textId="55CEB2C6">
      <w:pPr>
        <w:spacing w:line="480" w:lineRule="auto"/>
        <w:ind w:left="720" w:hanging="720"/>
      </w:pPr>
      <w:r w:rsidRPr="001E3926">
        <w:rPr>
          <w:b/>
          <w:bCs/>
          <w:i/>
          <w:iCs/>
        </w:rPr>
        <w:t>A1</w:t>
      </w:r>
      <w:r w:rsidRPr="001E3926" w:rsidR="00291EAF">
        <w:rPr>
          <w:b/>
          <w:bCs/>
          <w:i/>
          <w:iCs/>
        </w:rPr>
        <w:t>6</w:t>
      </w:r>
      <w:r w:rsidRPr="001E3926">
        <w:rPr>
          <w:b/>
          <w:bCs/>
          <w:i/>
          <w:iCs/>
        </w:rPr>
        <w:t>.</w:t>
      </w:r>
      <w:r w:rsidRPr="001E3926">
        <w:rPr>
          <w:b/>
          <w:bCs/>
          <w:i/>
          <w:iCs/>
        </w:rPr>
        <w:tab/>
      </w:r>
      <w:r w:rsidRPr="001E3926">
        <w:t>The PUCO issued an order regarding Duke</w:t>
      </w:r>
      <w:r w:rsidR="001E3926">
        <w:t>’</w:t>
      </w:r>
      <w:r w:rsidRPr="001E3926">
        <w:t xml:space="preserve">s application for a </w:t>
      </w:r>
      <w:r w:rsidRPr="001E3926" w:rsidR="00726B32">
        <w:t>m</w:t>
      </w:r>
      <w:r w:rsidRPr="001E3926">
        <w:t xml:space="preserve">arket </w:t>
      </w:r>
      <w:r w:rsidRPr="001E3926" w:rsidR="00726B32">
        <w:t>r</w:t>
      </w:r>
      <w:r w:rsidRPr="001E3926">
        <w:t xml:space="preserve">ate </w:t>
      </w:r>
      <w:r w:rsidRPr="001E3926" w:rsidR="00726B32">
        <w:t>o</w:t>
      </w:r>
      <w:r w:rsidRPr="001E3926">
        <w:t>ffer. While the order does not explicitly state a final decision on Duke</w:t>
      </w:r>
      <w:r w:rsidR="001E3926">
        <w:t>’</w:t>
      </w:r>
      <w:r w:rsidRPr="001E3926">
        <w:t>s application, it provides valuable insights into the PUC</w:t>
      </w:r>
      <w:r w:rsidRPr="001E3926" w:rsidR="00F56B1B">
        <w:t>O</w:t>
      </w:r>
      <w:r w:rsidR="001E3926">
        <w:t>’</w:t>
      </w:r>
      <w:r w:rsidRPr="001E3926">
        <w:t xml:space="preserve">s approach to evaluating </w:t>
      </w:r>
      <w:r w:rsidRPr="001E3926" w:rsidR="00726B32">
        <w:t>market rate offers</w:t>
      </w:r>
      <w:r w:rsidRPr="001E3926">
        <w:t xml:space="preserve"> and the key issues at play in this case.</w:t>
      </w:r>
    </w:p>
    <w:p w:rsidR="00715F60" w:rsidRPr="001E3926" w:rsidP="00223D82" w14:paraId="0CE7A612" w14:textId="77777777">
      <w:pPr>
        <w:spacing w:line="480" w:lineRule="auto"/>
        <w:ind w:left="720" w:hanging="720"/>
      </w:pPr>
    </w:p>
    <w:p w:rsidR="00CF1793" w:rsidRPr="001E3926" w:rsidP="00EB6144" w14:paraId="0B157E5C" w14:textId="0D2ECD48">
      <w:pPr>
        <w:spacing w:line="480" w:lineRule="auto"/>
        <w:ind w:left="720"/>
        <w:rPr>
          <w:b/>
          <w:bCs/>
          <w:u w:val="single"/>
        </w:rPr>
      </w:pPr>
      <w:r w:rsidRPr="001E3926">
        <w:rPr>
          <w:b/>
          <w:bCs/>
          <w:u w:val="single"/>
        </w:rPr>
        <w:t>Key Findings and Considerations:</w:t>
      </w:r>
    </w:p>
    <w:p w:rsidR="00E55337" w:rsidRPr="001E3926" w:rsidP="009E1B7F" w14:paraId="77B53507" w14:textId="640B2BCF">
      <w:pPr>
        <w:numPr>
          <w:ilvl w:val="0"/>
          <w:numId w:val="32"/>
        </w:numPr>
        <w:tabs>
          <w:tab w:val="clear" w:pos="720"/>
        </w:tabs>
        <w:spacing w:line="480" w:lineRule="auto"/>
        <w:ind w:left="1080"/>
      </w:pPr>
      <w:r w:rsidRPr="001E3926">
        <w:rPr>
          <w:b/>
          <w:bCs/>
        </w:rPr>
        <w:t>Blending Price:</w:t>
      </w:r>
      <w:r w:rsidRPr="001E3926">
        <w:t xml:space="preserve"> The PUCO acknowledged the complexity of the requirement </w:t>
      </w:r>
      <w:r w:rsidRPr="001E3926" w:rsidR="00726B32">
        <w:t>to blend the price for the existing electric security plan and the new market rate offer during a transition period.</w:t>
      </w:r>
      <w:r w:rsidRPr="001E3926" w:rsidR="00D21A49">
        <w:t xml:space="preserve"> </w:t>
      </w:r>
      <w:r w:rsidRPr="001E3926" w:rsidR="00726B32">
        <w:t>The PUCO</w:t>
      </w:r>
      <w:r w:rsidRPr="001E3926">
        <w:t xml:space="preserve"> emphasized the need to balance the interests of consumers and Duke. The </w:t>
      </w:r>
      <w:r w:rsidRPr="001E3926" w:rsidR="00726B32">
        <w:t>PUCO</w:t>
      </w:r>
      <w:r w:rsidRPr="001E3926">
        <w:t xml:space="preserve"> indicated that it would carefully consider the appropriate percentages of market price and </w:t>
      </w:r>
      <w:r w:rsidRPr="001E3926" w:rsidR="00726B32">
        <w:t>electric security plan</w:t>
      </w:r>
      <w:r w:rsidRPr="001E3926">
        <w:t xml:space="preserve"> price to be included in the blended price.</w:t>
      </w:r>
    </w:p>
    <w:p w:rsidR="00726B32" w:rsidRPr="001E3926" w:rsidP="00820430" w14:paraId="39AB1228" w14:textId="00F6F497">
      <w:pPr>
        <w:numPr>
          <w:ilvl w:val="0"/>
          <w:numId w:val="32"/>
        </w:numPr>
        <w:tabs>
          <w:tab w:val="clear" w:pos="720"/>
        </w:tabs>
        <w:spacing w:line="480" w:lineRule="auto"/>
        <w:ind w:left="1080"/>
      </w:pPr>
      <w:r w:rsidRPr="001E3926">
        <w:rPr>
          <w:b/>
          <w:bCs/>
        </w:rPr>
        <w:t>Market Dynamics:</w:t>
      </w:r>
      <w:r w:rsidRPr="001E3926">
        <w:t xml:space="preserve"> The PUCO recognized the importance of a competitive market for the success of </w:t>
      </w:r>
      <w:r w:rsidRPr="001E3926">
        <w:t>market rate offers</w:t>
      </w:r>
      <w:r w:rsidRPr="001E3926">
        <w:t xml:space="preserve">. The </w:t>
      </w:r>
      <w:r w:rsidRPr="001E3926">
        <w:t>PUCO stated that it</w:t>
      </w:r>
      <w:r w:rsidRPr="001E3926">
        <w:t xml:space="preserve"> would assess market conditions, including factors like market power and market manipulation, to ensure a fair and efficient market.</w:t>
      </w:r>
    </w:p>
    <w:p w:rsidR="00726B32" w:rsidRPr="001E3926" w:rsidP="00BE4EEE" w14:paraId="69EAA640" w14:textId="0EA71A68">
      <w:pPr>
        <w:numPr>
          <w:ilvl w:val="0"/>
          <w:numId w:val="32"/>
        </w:numPr>
        <w:tabs>
          <w:tab w:val="clear" w:pos="720"/>
        </w:tabs>
        <w:spacing w:line="480" w:lineRule="auto"/>
        <w:ind w:left="1080"/>
      </w:pPr>
      <w:r w:rsidRPr="001E3926">
        <w:rPr>
          <w:b/>
          <w:bCs/>
        </w:rPr>
        <w:t>Consumer Protection:</w:t>
      </w:r>
      <w:r w:rsidRPr="001E3926">
        <w:t xml:space="preserve"> The PUCO reiterated its commitment to protecting consumers</w:t>
      </w:r>
      <w:r w:rsidR="001E3926">
        <w:t>’</w:t>
      </w:r>
      <w:r w:rsidRPr="001E3926" w:rsidR="006C7D9B">
        <w:t xml:space="preserve"> </w:t>
      </w:r>
      <w:r w:rsidRPr="001E3926">
        <w:t xml:space="preserve">interests. The </w:t>
      </w:r>
      <w:r w:rsidRPr="001E3926">
        <w:t>PUCO stated that it</w:t>
      </w:r>
      <w:r w:rsidRPr="001E3926">
        <w:t xml:space="preserve"> would monitor market developments and take appropriate actions to prevent unreasonable prices or unfair practices.</w:t>
      </w:r>
    </w:p>
    <w:p w:rsidR="00161E6C" w:rsidRPr="001E3926" w:rsidP="00811054" w14:paraId="0AEB866B" w14:textId="6EFFC8F8">
      <w:pPr>
        <w:numPr>
          <w:ilvl w:val="0"/>
          <w:numId w:val="32"/>
        </w:numPr>
        <w:tabs>
          <w:tab w:val="clear" w:pos="720"/>
        </w:tabs>
        <w:spacing w:line="480" w:lineRule="auto"/>
        <w:ind w:left="1080"/>
      </w:pPr>
      <w:r w:rsidRPr="001E3926">
        <w:rPr>
          <w:b/>
          <w:bCs/>
        </w:rPr>
        <w:t>Transfer of Generation Assets:</w:t>
      </w:r>
      <w:r w:rsidRPr="001E3926">
        <w:t xml:space="preserve"> The PUCO indicated that the transfer of Duke</w:t>
      </w:r>
      <w:r w:rsidR="001E3926">
        <w:t>’</w:t>
      </w:r>
      <w:r w:rsidRPr="001E3926">
        <w:t>s legacy generation assets to an affiliate would be addressed in a separate case. This decision suggests that the PUCO would carefully evaluate the potential impacts of the transfer on consumers and the competitive market.</w:t>
      </w:r>
    </w:p>
    <w:p w:rsidR="00811054" w:rsidRPr="001E3926" w:rsidP="00811054" w14:paraId="6457D03C" w14:textId="77777777">
      <w:pPr>
        <w:spacing w:line="480" w:lineRule="auto"/>
        <w:ind w:left="720"/>
        <w:rPr>
          <w:b/>
          <w:bCs/>
        </w:rPr>
      </w:pPr>
    </w:p>
    <w:p w:rsidR="00397433" w:rsidRPr="001E3926" w:rsidP="00397433" w14:paraId="5F8ABF67" w14:textId="04CCA1CC">
      <w:pPr>
        <w:spacing w:line="480" w:lineRule="auto"/>
        <w:ind w:left="720"/>
      </w:pPr>
      <w:r w:rsidRPr="001E3926">
        <w:rPr>
          <w:b/>
          <w:bCs/>
        </w:rPr>
        <w:t>Overall, the PUCO</w:t>
      </w:r>
      <w:r w:rsidR="001E3926">
        <w:rPr>
          <w:b/>
          <w:bCs/>
        </w:rPr>
        <w:t>’</w:t>
      </w:r>
      <w:r w:rsidRPr="001E3926">
        <w:rPr>
          <w:b/>
          <w:bCs/>
        </w:rPr>
        <w:t xml:space="preserve">s order demonstrates a balanced approach to evaluating </w:t>
      </w:r>
      <w:r w:rsidRPr="001E3926" w:rsidR="00726B32">
        <w:rPr>
          <w:b/>
          <w:bCs/>
        </w:rPr>
        <w:t>market rate offer</w:t>
      </w:r>
      <w:r w:rsidRPr="001E3926">
        <w:rPr>
          <w:b/>
          <w:bCs/>
        </w:rPr>
        <w:t xml:space="preserve"> applications.</w:t>
      </w:r>
      <w:r w:rsidRPr="001E3926">
        <w:t xml:space="preserve"> The </w:t>
      </w:r>
      <w:r w:rsidRPr="001E3926" w:rsidR="00726B32">
        <w:t>PUCO</w:t>
      </w:r>
      <w:r w:rsidRPr="001E3926">
        <w:t xml:space="preserve"> considered the key requirements of </w:t>
      </w:r>
      <w:r w:rsidRPr="001E3926" w:rsidR="00726B32">
        <w:t xml:space="preserve">R.C. </w:t>
      </w:r>
      <w:r w:rsidRPr="001E3926">
        <w:t xml:space="preserve">4928.141 and </w:t>
      </w:r>
      <w:r w:rsidRPr="001E3926" w:rsidR="00726B32">
        <w:t xml:space="preserve">R.C. </w:t>
      </w:r>
      <w:r w:rsidRPr="001E3926">
        <w:t xml:space="preserve">4928.142, while also acknowledging the complexities and challenges associated with </w:t>
      </w:r>
      <w:r w:rsidRPr="001E3926" w:rsidR="00726B32">
        <w:t>market rate offers</w:t>
      </w:r>
      <w:r w:rsidRPr="001E3926">
        <w:t>. The PUCO</w:t>
      </w:r>
      <w:r w:rsidR="001E3926">
        <w:t>’</w:t>
      </w:r>
      <w:r w:rsidRPr="001E3926">
        <w:t xml:space="preserve">s focus on consumer protection, market dynamics, and the appropriate blending price indicates that it </w:t>
      </w:r>
      <w:r w:rsidRPr="001E3926" w:rsidR="00726B32">
        <w:t>would</w:t>
      </w:r>
      <w:r w:rsidRPr="001E3926">
        <w:t xml:space="preserve"> carefully scrutinize Duke</w:t>
      </w:r>
      <w:r w:rsidR="001E3926">
        <w:t>’</w:t>
      </w:r>
      <w:r w:rsidRPr="001E3926" w:rsidR="00DD1DE2">
        <w:t>s</w:t>
      </w:r>
      <w:r w:rsidRPr="001E3926">
        <w:t xml:space="preserve"> application and make a decision that best serves the interests of Ohio</w:t>
      </w:r>
      <w:r w:rsidR="001E3926">
        <w:t>’</w:t>
      </w:r>
      <w:r w:rsidRPr="001E3926">
        <w:t>s consumers</w:t>
      </w:r>
      <w:r w:rsidRPr="001E3926">
        <w:t>.</w:t>
      </w:r>
      <w:r w:rsidRPr="001E3926">
        <w:br w:type="page"/>
      </w:r>
    </w:p>
    <w:p w:rsidR="006301A0" w:rsidRPr="001E3926" w:rsidP="00B876EB" w14:paraId="72FBED9E" w14:textId="0D3AA85B">
      <w:pPr>
        <w:tabs>
          <w:tab w:val="left" w:pos="720"/>
          <w:tab w:val="left" w:pos="1440"/>
          <w:tab w:val="left" w:leader="dot" w:pos="8640"/>
        </w:tabs>
        <w:ind w:left="720" w:hanging="720"/>
        <w:rPr>
          <w:b/>
          <w:bCs/>
          <w:i/>
          <w:iCs/>
        </w:rPr>
      </w:pPr>
      <w:r w:rsidRPr="001E3926">
        <w:rPr>
          <w:b/>
          <w:bCs/>
          <w:i/>
          <w:iCs/>
        </w:rPr>
        <w:t>Q1</w:t>
      </w:r>
      <w:r w:rsidRPr="001E3926" w:rsidR="008A6CA8">
        <w:rPr>
          <w:b/>
          <w:bCs/>
          <w:i/>
          <w:iCs/>
        </w:rPr>
        <w:t>7</w:t>
      </w:r>
      <w:r w:rsidRPr="001E3926">
        <w:rPr>
          <w:b/>
          <w:bCs/>
          <w:i/>
          <w:iCs/>
        </w:rPr>
        <w:t xml:space="preserve">. </w:t>
      </w:r>
      <w:r w:rsidRPr="001E3926">
        <w:rPr>
          <w:b/>
          <w:bCs/>
          <w:i/>
          <w:iCs/>
        </w:rPr>
        <w:tab/>
        <w:t>TODAY HAS THE RETAIL ELECTRIC MARKET REACHED THE POINT WHERE AN ELECTRIC DISTRIBUTION UTILITY COULD PROVIDE A STANDARD SERVICE OFFER IN THE FORM OF A MARKET RATE OFFER WITHOUT CAUSING VOLATILE PRICING AND RATE SHOCK FOR CONSUMERS?</w:t>
      </w:r>
    </w:p>
    <w:p w:rsidR="00B876EB" w:rsidRPr="001E3926" w:rsidP="00B876EB" w14:paraId="2FC349C5" w14:textId="77777777">
      <w:pPr>
        <w:tabs>
          <w:tab w:val="left" w:pos="720"/>
          <w:tab w:val="left" w:pos="1440"/>
          <w:tab w:val="left" w:leader="dot" w:pos="8640"/>
        </w:tabs>
        <w:ind w:left="720" w:hanging="720"/>
        <w:rPr>
          <w:b/>
          <w:bCs/>
          <w:i/>
          <w:iCs/>
        </w:rPr>
      </w:pPr>
    </w:p>
    <w:p w:rsidR="006301A0" w:rsidRPr="001E3926" w:rsidP="006301A0" w14:paraId="34A96E3F" w14:textId="6BFDB8B1">
      <w:pPr>
        <w:tabs>
          <w:tab w:val="left" w:pos="720"/>
          <w:tab w:val="left" w:pos="1440"/>
          <w:tab w:val="left" w:leader="dot" w:pos="8640"/>
        </w:tabs>
        <w:spacing w:line="480" w:lineRule="auto"/>
        <w:ind w:left="720" w:hanging="720"/>
      </w:pPr>
      <w:r w:rsidRPr="001E3926">
        <w:rPr>
          <w:b/>
          <w:bCs/>
          <w:i/>
          <w:iCs/>
        </w:rPr>
        <w:t>A1</w:t>
      </w:r>
      <w:r w:rsidRPr="001E3926" w:rsidR="008A6CA8">
        <w:rPr>
          <w:b/>
          <w:bCs/>
          <w:i/>
          <w:iCs/>
        </w:rPr>
        <w:t>7</w:t>
      </w:r>
      <w:r w:rsidRPr="001E3926">
        <w:rPr>
          <w:b/>
          <w:bCs/>
          <w:i/>
          <w:iCs/>
        </w:rPr>
        <w:t>.</w:t>
      </w:r>
      <w:r w:rsidRPr="001E3926">
        <w:rPr>
          <w:b/>
          <w:bCs/>
        </w:rPr>
        <w:tab/>
      </w:r>
      <w:r w:rsidRPr="001E3926">
        <w:t>Yes.</w:t>
      </w:r>
      <w:r w:rsidRPr="001E3926" w:rsidR="00F7155A">
        <w:t xml:space="preserve"> </w:t>
      </w:r>
      <w:r w:rsidRPr="001E3926">
        <w:t>Electric distribution utilities have been using competitive auctions to procure electricity for their electric supply plans since 2009.</w:t>
      </w:r>
      <w:r w:rsidRPr="001E3926" w:rsidR="00F7155A">
        <w:t xml:space="preserve"> </w:t>
      </w:r>
      <w:r w:rsidRPr="001E3926">
        <w:t>These competitive auctions generally attract many wholesale bidders and result in competitive prices.</w:t>
      </w:r>
      <w:r w:rsidRPr="001E3926" w:rsidR="00F7155A">
        <w:t xml:space="preserve"> </w:t>
      </w:r>
      <w:r w:rsidRPr="001E3926">
        <w:t>In addition, many competitive retail suppliers offer electricity at competitive prices.</w:t>
      </w:r>
    </w:p>
    <w:p w:rsidR="001B31B6" w:rsidRPr="001E3926" w:rsidP="00F2082B" w14:paraId="22B28104" w14:textId="77777777">
      <w:pPr>
        <w:tabs>
          <w:tab w:val="left" w:pos="720"/>
          <w:tab w:val="left" w:pos="1440"/>
          <w:tab w:val="left" w:leader="dot" w:pos="8640"/>
        </w:tabs>
        <w:spacing w:line="480" w:lineRule="auto"/>
        <w:ind w:left="720" w:hanging="720"/>
      </w:pPr>
    </w:p>
    <w:p w:rsidR="006301A0" w:rsidRPr="001E3926" w:rsidP="00723269" w14:paraId="146C3ADD" w14:textId="08CAE105">
      <w:pPr>
        <w:tabs>
          <w:tab w:val="left" w:pos="720"/>
          <w:tab w:val="left" w:pos="1440"/>
          <w:tab w:val="left" w:leader="dot" w:pos="8640"/>
        </w:tabs>
        <w:ind w:left="720" w:hanging="720"/>
        <w:rPr>
          <w:b/>
          <w:bCs/>
          <w:i/>
          <w:iCs/>
        </w:rPr>
      </w:pPr>
      <w:r w:rsidRPr="001E3926">
        <w:rPr>
          <w:b/>
          <w:bCs/>
          <w:i/>
          <w:iCs/>
        </w:rPr>
        <w:t>Q</w:t>
      </w:r>
      <w:r w:rsidRPr="001E3926" w:rsidR="004D5926">
        <w:rPr>
          <w:b/>
          <w:bCs/>
          <w:i/>
          <w:iCs/>
        </w:rPr>
        <w:t>1</w:t>
      </w:r>
      <w:r w:rsidRPr="001E3926" w:rsidR="008A6CA8">
        <w:rPr>
          <w:b/>
          <w:bCs/>
          <w:i/>
          <w:iCs/>
        </w:rPr>
        <w:t>8</w:t>
      </w:r>
      <w:r w:rsidRPr="001E3926">
        <w:rPr>
          <w:b/>
          <w:bCs/>
          <w:i/>
          <w:iCs/>
        </w:rPr>
        <w:t>.</w:t>
      </w:r>
      <w:r w:rsidRPr="001E3926">
        <w:rPr>
          <w:b/>
          <w:bCs/>
          <w:i/>
          <w:iCs/>
        </w:rPr>
        <w:tab/>
        <w:t>HAS THE PUCO STATED WHETHER THE RETAIL ELECTRIC MARKET IS COMPETITIVE?</w:t>
      </w:r>
    </w:p>
    <w:p w:rsidR="00723269" w:rsidRPr="001E3926" w:rsidP="00723269" w14:paraId="316097C1" w14:textId="77777777">
      <w:pPr>
        <w:tabs>
          <w:tab w:val="left" w:pos="720"/>
          <w:tab w:val="left" w:pos="1440"/>
          <w:tab w:val="left" w:leader="dot" w:pos="8640"/>
        </w:tabs>
        <w:ind w:left="720" w:hanging="720"/>
        <w:rPr>
          <w:b/>
          <w:bCs/>
          <w:i/>
          <w:iCs/>
        </w:rPr>
      </w:pPr>
    </w:p>
    <w:p w:rsidR="00B34AB3" w:rsidRPr="001E3926" w:rsidP="00B34AB3" w14:paraId="207FE7C8" w14:textId="3401A298">
      <w:pPr>
        <w:tabs>
          <w:tab w:val="left" w:pos="720"/>
          <w:tab w:val="left" w:pos="1440"/>
          <w:tab w:val="left" w:leader="dot" w:pos="8640"/>
        </w:tabs>
        <w:spacing w:line="480" w:lineRule="auto"/>
        <w:ind w:left="720" w:hanging="720"/>
      </w:pPr>
      <w:r w:rsidRPr="001E3926">
        <w:rPr>
          <w:b/>
          <w:bCs/>
          <w:i/>
          <w:iCs/>
        </w:rPr>
        <w:t>A</w:t>
      </w:r>
      <w:r w:rsidRPr="001E3926" w:rsidR="004D5926">
        <w:rPr>
          <w:b/>
          <w:bCs/>
          <w:i/>
          <w:iCs/>
        </w:rPr>
        <w:t>1</w:t>
      </w:r>
      <w:r w:rsidRPr="001E3926" w:rsidR="008A6CA8">
        <w:rPr>
          <w:b/>
          <w:bCs/>
          <w:i/>
          <w:iCs/>
        </w:rPr>
        <w:t>8</w:t>
      </w:r>
      <w:r w:rsidRPr="001E3926">
        <w:rPr>
          <w:b/>
          <w:bCs/>
          <w:i/>
          <w:iCs/>
        </w:rPr>
        <w:t>.</w:t>
      </w:r>
      <w:r w:rsidRPr="001E3926">
        <w:rPr>
          <w:b/>
          <w:bCs/>
        </w:rPr>
        <w:tab/>
      </w:r>
      <w:r w:rsidRPr="001E3926">
        <w:t>Yes.</w:t>
      </w:r>
      <w:r w:rsidRPr="001E3926" w:rsidR="00F7155A">
        <w:t xml:space="preserve"> </w:t>
      </w:r>
      <w:r w:rsidRPr="001E3926">
        <w:t>PUCO Chair Jenifer French has testified</w:t>
      </w:r>
      <w:r w:rsidRPr="001E3926" w:rsidR="00957547">
        <w:t xml:space="preserve">: </w:t>
      </w:r>
      <w:r w:rsidR="001E3926">
        <w:t>“</w:t>
      </w:r>
      <w:r w:rsidRPr="001E3926" w:rsidR="00957547">
        <w:t>Competitive wholesale and retail offerings that contribute to healthy and robust markets encourage choice and provide for a healthy environment to encourage economic development and job growth.</w:t>
      </w:r>
      <w:r w:rsidR="001E3926">
        <w:t>”</w:t>
      </w:r>
      <w:r>
        <w:rPr>
          <w:rStyle w:val="FootnoteReference"/>
        </w:rPr>
        <w:footnoteReference w:id="10"/>
      </w:r>
    </w:p>
    <w:p w:rsidR="0081661F" w:rsidRPr="001E3926" w:rsidP="00B34AB3" w14:paraId="23B62A87" w14:textId="77777777">
      <w:pPr>
        <w:tabs>
          <w:tab w:val="left" w:pos="720"/>
          <w:tab w:val="left" w:pos="1440"/>
          <w:tab w:val="left" w:leader="dot" w:pos="8640"/>
        </w:tabs>
        <w:spacing w:line="480" w:lineRule="auto"/>
        <w:ind w:left="720" w:hanging="720"/>
      </w:pPr>
    </w:p>
    <w:p w:rsidR="00103FBC" w:rsidRPr="001E3926" w:rsidP="00103FBC" w14:paraId="61680056" w14:textId="32B0C07F">
      <w:pPr>
        <w:tabs>
          <w:tab w:val="left" w:pos="720"/>
          <w:tab w:val="left" w:pos="1440"/>
          <w:tab w:val="left" w:leader="dot" w:pos="8640"/>
        </w:tabs>
        <w:spacing w:line="480" w:lineRule="auto"/>
        <w:ind w:left="720" w:hanging="720"/>
      </w:pPr>
      <w:r w:rsidRPr="001E3926">
        <w:rPr>
          <w:b/>
          <w:bCs/>
          <w:i/>
          <w:iCs/>
        </w:rPr>
        <w:t>Q</w:t>
      </w:r>
      <w:r w:rsidRPr="001E3926" w:rsidR="008A6CA8">
        <w:rPr>
          <w:b/>
          <w:bCs/>
          <w:i/>
          <w:iCs/>
        </w:rPr>
        <w:t>19</w:t>
      </w:r>
      <w:r w:rsidRPr="001E3926">
        <w:rPr>
          <w:b/>
          <w:bCs/>
          <w:i/>
          <w:iCs/>
        </w:rPr>
        <w:t>.</w:t>
      </w:r>
      <w:r w:rsidRPr="001E3926" w:rsidR="00C6272E">
        <w:rPr>
          <w:b/>
          <w:bCs/>
        </w:rPr>
        <w:tab/>
      </w:r>
      <w:r w:rsidRPr="001E3926">
        <w:rPr>
          <w:b/>
          <w:bCs/>
          <w:i/>
          <w:iCs/>
        </w:rPr>
        <w:t>ARE ELECTRIC SECURITY PLANS STILL NECESSARY?</w:t>
      </w:r>
    </w:p>
    <w:p w:rsidR="00941EF8" w:rsidRPr="001E3926" w:rsidP="00941EF8" w14:paraId="3B2CCD0A" w14:textId="55F3471A">
      <w:pPr>
        <w:tabs>
          <w:tab w:val="left" w:leader="dot" w:pos="8640"/>
        </w:tabs>
        <w:spacing w:line="480" w:lineRule="auto"/>
        <w:ind w:left="720" w:hanging="720"/>
      </w:pPr>
      <w:r w:rsidRPr="001E3926">
        <w:rPr>
          <w:b/>
          <w:bCs/>
          <w:i/>
          <w:iCs/>
        </w:rPr>
        <w:t>A</w:t>
      </w:r>
      <w:r w:rsidRPr="001E3926" w:rsidR="008A6CA8">
        <w:rPr>
          <w:b/>
          <w:bCs/>
          <w:i/>
          <w:iCs/>
        </w:rPr>
        <w:t>19</w:t>
      </w:r>
      <w:r w:rsidRPr="001E3926">
        <w:rPr>
          <w:b/>
          <w:bCs/>
          <w:i/>
          <w:iCs/>
        </w:rPr>
        <w:t>.</w:t>
      </w:r>
      <w:r w:rsidRPr="001E3926" w:rsidR="00C6272E">
        <w:tab/>
      </w:r>
      <w:r w:rsidRPr="001E3926">
        <w:t>I don</w:t>
      </w:r>
      <w:r w:rsidR="001E3926">
        <w:t>’</w:t>
      </w:r>
      <w:r w:rsidRPr="001E3926">
        <w:t>t believe they are. While they have served as a valuable tool during Ohio</w:t>
      </w:r>
      <w:r w:rsidR="001E3926">
        <w:t>’</w:t>
      </w:r>
      <w:r w:rsidRPr="001E3926">
        <w:t>s transition to a competitive electricity market, it</w:t>
      </w:r>
      <w:r w:rsidR="001E3926">
        <w:t>’</w:t>
      </w:r>
      <w:r w:rsidRPr="001E3926">
        <w:t xml:space="preserve">s time to reassess their necessity. The market has matured significantly, and the benefits of a full transition to </w:t>
      </w:r>
      <w:r w:rsidRPr="001E3926" w:rsidR="00A35584">
        <w:t>m</w:t>
      </w:r>
      <w:r w:rsidRPr="001E3926">
        <w:t xml:space="preserve">arket </w:t>
      </w:r>
      <w:r w:rsidRPr="001E3926" w:rsidR="00A35584">
        <w:t>r</w:t>
      </w:r>
      <w:r w:rsidRPr="001E3926">
        <w:t xml:space="preserve">ate </w:t>
      </w:r>
      <w:r w:rsidRPr="001E3926" w:rsidR="00A35584">
        <w:t>o</w:t>
      </w:r>
      <w:r w:rsidRPr="001E3926">
        <w:t>ffers</w:t>
      </w:r>
      <w:r w:rsidRPr="001E3926" w:rsidR="00D21A49">
        <w:t xml:space="preserve"> </w:t>
      </w:r>
      <w:r w:rsidRPr="001E3926">
        <w:t xml:space="preserve">now outweigh the potential risks associated with </w:t>
      </w:r>
      <w:r w:rsidRPr="001E3926" w:rsidR="00A35584">
        <w:t>electric security plans</w:t>
      </w:r>
      <w:r w:rsidRPr="001E3926">
        <w:t>.</w:t>
      </w:r>
      <w:r w:rsidRPr="001E3926">
        <w:br w:type="page"/>
      </w:r>
    </w:p>
    <w:p w:rsidR="00103FBC" w:rsidRPr="001E3926" w:rsidP="00103FBC" w14:paraId="0C80ADDE" w14:textId="24078101">
      <w:pPr>
        <w:tabs>
          <w:tab w:val="left" w:pos="720"/>
          <w:tab w:val="left" w:pos="1440"/>
          <w:tab w:val="left" w:leader="dot" w:pos="8640"/>
        </w:tabs>
        <w:spacing w:line="480" w:lineRule="auto"/>
        <w:ind w:left="720" w:hanging="720"/>
        <w:rPr>
          <w:u w:val="single"/>
        </w:rPr>
      </w:pPr>
      <w:r w:rsidRPr="001E3926">
        <w:rPr>
          <w:b/>
          <w:bCs/>
        </w:rPr>
        <w:tab/>
      </w:r>
      <w:r w:rsidRPr="001E3926">
        <w:rPr>
          <w:b/>
          <w:bCs/>
          <w:u w:val="single"/>
        </w:rPr>
        <w:t>Why Eliminate E</w:t>
      </w:r>
      <w:r w:rsidRPr="001E3926" w:rsidR="00A924D4">
        <w:rPr>
          <w:b/>
          <w:bCs/>
          <w:u w:val="single"/>
        </w:rPr>
        <w:t>lectric Security Plans</w:t>
      </w:r>
      <w:r w:rsidRPr="001E3926">
        <w:rPr>
          <w:b/>
          <w:bCs/>
          <w:u w:val="single"/>
        </w:rPr>
        <w:t>?</w:t>
      </w:r>
    </w:p>
    <w:p w:rsidR="00103FBC" w:rsidRPr="001E3926" w:rsidP="00E25694" w14:paraId="3F9AD4B9" w14:textId="77777777">
      <w:pPr>
        <w:numPr>
          <w:ilvl w:val="0"/>
          <w:numId w:val="31"/>
        </w:numPr>
        <w:tabs>
          <w:tab w:val="left" w:pos="8640"/>
        </w:tabs>
        <w:spacing w:line="480" w:lineRule="auto"/>
        <w:ind w:left="1440" w:hanging="720"/>
      </w:pPr>
      <w:r w:rsidRPr="001E3926">
        <w:rPr>
          <w:b/>
          <w:bCs/>
        </w:rPr>
        <w:t>Market Maturity:</w:t>
      </w:r>
      <w:r w:rsidRPr="001E3926">
        <w:t xml:space="preserve"> The Ohio electricity market has demonstrated its ability to function competitively. The initial concerns about market instability and consumer protection have largely been addressed.</w:t>
      </w:r>
    </w:p>
    <w:p w:rsidR="00103FBC" w:rsidRPr="001E3926" w:rsidP="00E25694" w14:paraId="31DF8417" w14:textId="5A3AEDB4">
      <w:pPr>
        <w:numPr>
          <w:ilvl w:val="0"/>
          <w:numId w:val="31"/>
        </w:numPr>
        <w:tabs>
          <w:tab w:val="left" w:pos="8640"/>
        </w:tabs>
        <w:spacing w:line="480" w:lineRule="auto"/>
        <w:ind w:left="1440" w:hanging="720"/>
      </w:pPr>
      <w:r w:rsidRPr="001E3926">
        <w:rPr>
          <w:b/>
          <w:bCs/>
        </w:rPr>
        <w:t>Reduced Need for Price Stability:</w:t>
      </w:r>
      <w:r w:rsidRPr="001E3926">
        <w:t xml:space="preserve"> </w:t>
      </w:r>
      <w:r w:rsidRPr="001E3926" w:rsidR="00A924D4">
        <w:t>Electric security plans</w:t>
      </w:r>
      <w:r w:rsidRPr="001E3926">
        <w:t xml:space="preserve"> were designed to provide price stability during a period of market transition. The market has matured, with </w:t>
      </w:r>
      <w:r w:rsidRPr="001E3926" w:rsidR="00966F0E">
        <w:t xml:space="preserve">robust </w:t>
      </w:r>
      <w:r w:rsidRPr="001E3926">
        <w:t>competitive auctions now occurring for the Duke-Oh</w:t>
      </w:r>
      <w:r w:rsidRPr="001E3926" w:rsidR="00A924D4">
        <w:t>io</w:t>
      </w:r>
      <w:r w:rsidRPr="001E3926">
        <w:t xml:space="preserve"> </w:t>
      </w:r>
      <w:r w:rsidRPr="001E3926" w:rsidR="00966F0E">
        <w:t>l</w:t>
      </w:r>
      <w:r w:rsidRPr="001E3926">
        <w:t>oad</w:t>
      </w:r>
      <w:r w:rsidRPr="001E3926" w:rsidR="00966F0E">
        <w:t>, with many</w:t>
      </w:r>
      <w:r w:rsidRPr="001E3926" w:rsidR="009E0744">
        <w:t xml:space="preserve"> </w:t>
      </w:r>
      <w:r w:rsidRPr="001E3926" w:rsidR="00966F0E">
        <w:t>participating bidders and resulting in competitive prices.</w:t>
      </w:r>
    </w:p>
    <w:p w:rsidR="00A924D4" w:rsidRPr="001E3926" w:rsidP="002305D9" w14:paraId="081D6964" w14:textId="089AE982">
      <w:pPr>
        <w:tabs>
          <w:tab w:val="left" w:pos="8640"/>
        </w:tabs>
        <w:spacing w:line="480" w:lineRule="auto"/>
        <w:ind w:left="1440" w:hanging="720"/>
      </w:pPr>
      <w:r w:rsidRPr="001E3926">
        <w:t>3</w:t>
      </w:r>
      <w:r w:rsidRPr="001E3926" w:rsidR="00435E77">
        <w:t>.</w:t>
      </w:r>
      <w:r w:rsidRPr="001E3926" w:rsidR="00435E77">
        <w:rPr>
          <w:b/>
          <w:bCs/>
        </w:rPr>
        <w:tab/>
      </w:r>
      <w:r w:rsidRPr="001E3926" w:rsidR="00103FBC">
        <w:rPr>
          <w:b/>
          <w:bCs/>
        </w:rPr>
        <w:t>Regional Transmission Organizations have matured</w:t>
      </w:r>
      <w:r w:rsidRPr="001E3926" w:rsidR="00980FB8">
        <w:rPr>
          <w:b/>
          <w:bCs/>
        </w:rPr>
        <w:t xml:space="preserve">: </w:t>
      </w:r>
      <w:r w:rsidRPr="001E3926" w:rsidR="00103FBC">
        <w:t>For example, PJM has fostered market transparency and efficiency through reforms to increase competition and reduce market power concentration.</w:t>
      </w:r>
      <w:r w:rsidRPr="001E3926" w:rsidR="00D21A49">
        <w:t xml:space="preserve"> </w:t>
      </w:r>
      <w:r w:rsidRPr="001E3926" w:rsidR="00532A4C">
        <w:t>Today PJM regularly holds competitive auctions to procure generation and transmission for 65 million consumers over a 13-state region</w:t>
      </w:r>
      <w:r w:rsidRPr="001E3926" w:rsidR="00A1691F">
        <w:t xml:space="preserve"> at competitive prices</w:t>
      </w:r>
      <w:r w:rsidRPr="001E3926" w:rsidR="00532A4C">
        <w:t>.</w:t>
      </w:r>
      <w:r>
        <w:rPr>
          <w:rStyle w:val="FootnoteReference"/>
        </w:rPr>
        <w:footnoteReference w:id="11"/>
      </w:r>
      <w:r w:rsidRPr="001E3926" w:rsidR="00D21A49">
        <w:t xml:space="preserve"> </w:t>
      </w:r>
      <w:r w:rsidRPr="001E3926" w:rsidR="00A1691F">
        <w:t>An independent market monitor oversees the market to make sure that the market participants follow competitive practices.</w:t>
      </w:r>
    </w:p>
    <w:p w:rsidR="00966F0E" w:rsidRPr="001E3926" w:rsidP="00A924D4" w14:paraId="126FD80A" w14:textId="4239AB78">
      <w:pPr>
        <w:tabs>
          <w:tab w:val="left" w:pos="8640"/>
        </w:tabs>
        <w:spacing w:line="480" w:lineRule="auto"/>
        <w:ind w:left="1440" w:hanging="720"/>
      </w:pPr>
      <w:r w:rsidRPr="001E3926">
        <w:t>4.</w:t>
      </w:r>
      <w:r w:rsidRPr="001E3926" w:rsidR="00222A66">
        <w:tab/>
      </w:r>
      <w:r w:rsidRPr="001E3926">
        <w:rPr>
          <w:b/>
          <w:bCs/>
        </w:rPr>
        <w:t>Electric Distribution Utilities no longer own generation:</w:t>
      </w:r>
      <w:r w:rsidRPr="001E3926" w:rsidR="00D21A49">
        <w:t xml:space="preserve"> </w:t>
      </w:r>
      <w:r w:rsidRPr="001E3926">
        <w:t>The original rationale for electric security plans was to allow electric distribution utilities to commit their own generating plants to supply consumers, as an alternative to a competitive auction.</w:t>
      </w:r>
      <w:r w:rsidRPr="001E3926" w:rsidR="00D21A49">
        <w:t xml:space="preserve"> </w:t>
      </w:r>
      <w:r w:rsidRPr="001E3926">
        <w:t>This rationale no longer exists because utilities no longer own generating plants.</w:t>
      </w:r>
      <w:r w:rsidRPr="001E3926" w:rsidR="00D21A49">
        <w:t xml:space="preserve"> </w:t>
      </w:r>
      <w:r w:rsidRPr="001E3926">
        <w:t>Today the generation for an electric security plan is procured through a competitive auction, so there is no difference between an electric security plan and a market rate offer as to how generation is procured to serve consumers.</w:t>
      </w:r>
      <w:r w:rsidRPr="001E3926" w:rsidR="00D21A49">
        <w:t xml:space="preserve"> </w:t>
      </w:r>
      <w:r w:rsidRPr="001E3926" w:rsidR="00161E6C">
        <w:t>In addition</w:t>
      </w:r>
      <w:r w:rsidRPr="001E3926" w:rsidR="000D039C">
        <w:t>,</w:t>
      </w:r>
      <w:r w:rsidRPr="001E3926" w:rsidR="00161E6C">
        <w:t xml:space="preserve"> this make</w:t>
      </w:r>
      <w:r w:rsidRPr="001E3926" w:rsidR="000D039C">
        <w:t>s</w:t>
      </w:r>
      <w:r w:rsidRPr="001E3926" w:rsidR="00161E6C">
        <w:t xml:space="preserve"> the concern about blending </w:t>
      </w:r>
      <w:r w:rsidRPr="001E3926" w:rsidR="000D039C">
        <w:t>the generation price for a market rate offer with the generation price of an electric security plan</w:t>
      </w:r>
      <w:r w:rsidRPr="001E3926" w:rsidR="00D21A49">
        <w:t xml:space="preserve"> </w:t>
      </w:r>
      <w:r w:rsidRPr="001E3926" w:rsidR="00161E6C">
        <w:t>moot.</w:t>
      </w:r>
    </w:p>
    <w:p w:rsidR="002305D9" w:rsidRPr="001E3926" w:rsidP="00A924D4" w14:paraId="74FC440A" w14:textId="7D1762A3">
      <w:pPr>
        <w:tabs>
          <w:tab w:val="left" w:pos="8640"/>
        </w:tabs>
        <w:spacing w:line="480" w:lineRule="auto"/>
        <w:ind w:left="1440" w:hanging="720"/>
      </w:pPr>
      <w:r w:rsidRPr="001E3926">
        <w:t>5.</w:t>
      </w:r>
      <w:r w:rsidRPr="001E3926">
        <w:tab/>
      </w:r>
      <w:r w:rsidRPr="001E3926">
        <w:rPr>
          <w:b/>
          <w:bCs/>
        </w:rPr>
        <w:t>Consumers have access to a wide variety of competitive offers from competitive suppliers</w:t>
      </w:r>
      <w:r w:rsidRPr="001E3926" w:rsidR="006A1462">
        <w:rPr>
          <w:b/>
          <w:bCs/>
        </w:rPr>
        <w:t>:</w:t>
      </w:r>
      <w:r w:rsidRPr="001E3926">
        <w:t xml:space="preserve"> the PUCO</w:t>
      </w:r>
      <w:r w:rsidR="001E3926">
        <w:t>’</w:t>
      </w:r>
      <w:r w:rsidRPr="001E3926">
        <w:t>s Apples-to-Apples web page shows th</w:t>
      </w:r>
      <w:r w:rsidRPr="001E3926" w:rsidR="008748BA">
        <w:t>at</w:t>
      </w:r>
      <w:r w:rsidRPr="001E3926">
        <w:t xml:space="preserve"> competitive suppliers have 150 different generation supply offers available to Duke residential consumers, all at competitive prices.</w:t>
      </w:r>
      <w:r>
        <w:rPr>
          <w:rStyle w:val="FootnoteReference"/>
        </w:rPr>
        <w:footnoteReference w:id="12"/>
      </w:r>
    </w:p>
    <w:p w:rsidR="00453064" w:rsidRPr="001E3926" w:rsidP="00A924D4" w14:paraId="39A66526" w14:textId="77777777">
      <w:pPr>
        <w:tabs>
          <w:tab w:val="left" w:pos="8640"/>
        </w:tabs>
        <w:spacing w:line="480" w:lineRule="auto"/>
        <w:ind w:left="1440" w:hanging="720"/>
      </w:pPr>
    </w:p>
    <w:p w:rsidR="00957547" w:rsidRPr="001E3926" w:rsidP="0046181B" w14:paraId="6A686573" w14:textId="1B348D12">
      <w:pPr>
        <w:pStyle w:val="Heading1"/>
      </w:pPr>
      <w:bookmarkStart w:id="9" w:name="_Toc181193290"/>
      <w:r>
        <w:t>“</w:t>
      </w:r>
      <w:r w:rsidRPr="001E3926" w:rsidR="00E514E2">
        <w:t>MORE FAVORABLE IN THE AGGREGATE</w:t>
      </w:r>
      <w:r>
        <w:t>”</w:t>
      </w:r>
      <w:r w:rsidRPr="001E3926" w:rsidR="00E514E2">
        <w:t xml:space="preserve"> TEST</w:t>
      </w:r>
      <w:bookmarkEnd w:id="9"/>
    </w:p>
    <w:p w:rsidR="00810BE3" w:rsidRPr="001E3926" w:rsidP="00810BE3" w14:paraId="7C5DFD56" w14:textId="77777777">
      <w:pPr>
        <w:spacing w:line="480" w:lineRule="auto"/>
      </w:pPr>
    </w:p>
    <w:p w:rsidR="00E514E2" w:rsidRPr="001E3926" w:rsidP="00E514E2" w14:paraId="356076D3" w14:textId="1CE47947">
      <w:pPr>
        <w:ind w:left="720" w:hanging="720"/>
        <w:rPr>
          <w:b/>
          <w:bCs/>
          <w:i/>
          <w:iCs/>
        </w:rPr>
      </w:pPr>
      <w:r w:rsidRPr="001E3926">
        <w:rPr>
          <w:b/>
          <w:bCs/>
          <w:i/>
          <w:iCs/>
        </w:rPr>
        <w:t>Q2</w:t>
      </w:r>
      <w:r w:rsidRPr="001E3926" w:rsidR="004D5926">
        <w:rPr>
          <w:b/>
          <w:bCs/>
          <w:i/>
          <w:iCs/>
        </w:rPr>
        <w:t>0</w:t>
      </w:r>
      <w:r w:rsidRPr="001E3926">
        <w:rPr>
          <w:b/>
          <w:bCs/>
          <w:i/>
          <w:iCs/>
        </w:rPr>
        <w:t>.</w:t>
      </w:r>
      <w:r w:rsidRPr="001E3926">
        <w:rPr>
          <w:b/>
          <w:bCs/>
          <w:i/>
          <w:iCs/>
        </w:rPr>
        <w:tab/>
        <w:t xml:space="preserve">PLEASE EXPLAIN THE STATUTORY </w:t>
      </w:r>
      <w:r w:rsidR="001E3926">
        <w:rPr>
          <w:b/>
          <w:bCs/>
          <w:i/>
          <w:iCs/>
        </w:rPr>
        <w:t>“</w:t>
      </w:r>
      <w:r w:rsidRPr="001E3926">
        <w:rPr>
          <w:b/>
          <w:bCs/>
          <w:i/>
          <w:iCs/>
        </w:rPr>
        <w:t>MORE FAVORABLE IN THE AGGREGATE</w:t>
      </w:r>
      <w:r w:rsidR="001E3926">
        <w:rPr>
          <w:b/>
          <w:bCs/>
          <w:i/>
          <w:iCs/>
        </w:rPr>
        <w:t>”</w:t>
      </w:r>
      <w:r w:rsidRPr="001E3926">
        <w:rPr>
          <w:b/>
          <w:bCs/>
          <w:i/>
          <w:iCs/>
        </w:rPr>
        <w:t xml:space="preserve"> TEST FOR DUKE</w:t>
      </w:r>
      <w:r w:rsidR="001E3926">
        <w:rPr>
          <w:b/>
          <w:bCs/>
          <w:i/>
          <w:iCs/>
        </w:rPr>
        <w:t>’</w:t>
      </w:r>
      <w:r w:rsidRPr="001E3926">
        <w:rPr>
          <w:b/>
          <w:bCs/>
          <w:i/>
          <w:iCs/>
        </w:rPr>
        <w:t>S ELECTRIC SECURITY PLAN.</w:t>
      </w:r>
    </w:p>
    <w:p w:rsidR="00E514E2" w:rsidRPr="001E3926" w:rsidP="00E514E2" w14:paraId="50BB57C4" w14:textId="77777777">
      <w:pPr>
        <w:rPr>
          <w:b/>
          <w:bCs/>
          <w:i/>
          <w:iCs/>
        </w:rPr>
      </w:pPr>
    </w:p>
    <w:p w:rsidR="00E514E2" w:rsidRPr="001E3926" w:rsidP="00E514E2" w14:paraId="3E22CF3F" w14:textId="0577BCA7">
      <w:pPr>
        <w:spacing w:line="480" w:lineRule="auto"/>
      </w:pPr>
      <w:r w:rsidRPr="001E3926">
        <w:rPr>
          <w:b/>
          <w:bCs/>
          <w:i/>
          <w:iCs/>
        </w:rPr>
        <w:t>A2</w:t>
      </w:r>
      <w:r w:rsidRPr="001E3926" w:rsidR="004D5926">
        <w:rPr>
          <w:b/>
          <w:bCs/>
          <w:i/>
          <w:iCs/>
        </w:rPr>
        <w:t>0</w:t>
      </w:r>
      <w:r w:rsidRPr="001E3926">
        <w:rPr>
          <w:b/>
          <w:bCs/>
          <w:i/>
          <w:iCs/>
        </w:rPr>
        <w:t>.</w:t>
      </w:r>
      <w:r w:rsidRPr="001E3926">
        <w:rPr>
          <w:b/>
          <w:bCs/>
          <w:i/>
          <w:iCs/>
        </w:rPr>
        <w:tab/>
      </w:r>
      <w:r w:rsidRPr="001E3926">
        <w:t>Under R.C. 4928.143(C)(1), the PUCO shall approve an electric security plan</w:t>
      </w:r>
    </w:p>
    <w:p w:rsidR="00432A93" w:rsidRPr="001E3926" w:rsidP="00432A93" w14:paraId="3960CD59" w14:textId="2FB22567">
      <w:pPr>
        <w:spacing w:after="240"/>
        <w:ind w:left="1440" w:right="1440"/>
      </w:pPr>
      <w:r w:rsidRPr="001E3926">
        <w:t xml:space="preserve">. . . </w:t>
      </w:r>
      <w:r w:rsidRPr="001E3926" w:rsidR="00E514E2">
        <w:t>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w:t>
      </w:r>
      <w:hyperlink r:id="rId17" w:history="1">
        <w:r w:rsidRPr="001E3926" w:rsidR="00E514E2">
          <w:rPr>
            <w:rStyle w:val="Hyperlink"/>
            <w:color w:val="auto"/>
          </w:rPr>
          <w:t>4928.142</w:t>
        </w:r>
      </w:hyperlink>
      <w:r w:rsidRPr="001E3926" w:rsidR="00E514E2">
        <w:t> of the Revised Code.</w:t>
      </w:r>
      <w:r>
        <w:rPr>
          <w:rStyle w:val="FootnoteReference"/>
        </w:rPr>
        <w:footnoteReference w:id="13"/>
      </w:r>
      <w:r w:rsidRPr="001E3926">
        <w:br w:type="page"/>
      </w:r>
    </w:p>
    <w:p w:rsidR="00E514E2" w:rsidRPr="001E3926" w:rsidP="00E514E2" w14:paraId="40385D88" w14:textId="74A8AF99">
      <w:pPr>
        <w:ind w:left="720" w:hanging="720"/>
        <w:rPr>
          <w:b/>
          <w:bCs/>
        </w:rPr>
      </w:pPr>
      <w:r w:rsidRPr="001E3926">
        <w:rPr>
          <w:b/>
          <w:bCs/>
          <w:i/>
          <w:iCs/>
        </w:rPr>
        <w:t>Q</w:t>
      </w:r>
      <w:r w:rsidRPr="001E3926" w:rsidR="004D5926">
        <w:rPr>
          <w:b/>
          <w:bCs/>
          <w:i/>
          <w:iCs/>
        </w:rPr>
        <w:t>21</w:t>
      </w:r>
      <w:r w:rsidRPr="001E3926">
        <w:rPr>
          <w:b/>
          <w:bCs/>
          <w:i/>
          <w:iCs/>
        </w:rPr>
        <w:t>.</w:t>
      </w:r>
      <w:r w:rsidRPr="001E3926">
        <w:rPr>
          <w:b/>
          <w:bCs/>
          <w:i/>
          <w:iCs/>
          <w:color w:val="474747"/>
        </w:rPr>
        <w:tab/>
      </w:r>
      <w:r w:rsidRPr="001E3926" w:rsidR="004D5926">
        <w:rPr>
          <w:b/>
          <w:bCs/>
          <w:i/>
          <w:iCs/>
        </w:rPr>
        <w:t>HOW DOES</w:t>
      </w:r>
      <w:r w:rsidRPr="001E3926">
        <w:rPr>
          <w:b/>
          <w:bCs/>
          <w:i/>
          <w:iCs/>
        </w:rPr>
        <w:t xml:space="preserve"> DUKE WITNESS SARAH LAWLER </w:t>
      </w:r>
      <w:r w:rsidRPr="001E3926" w:rsidR="004D5926">
        <w:rPr>
          <w:b/>
          <w:bCs/>
          <w:i/>
          <w:iCs/>
        </w:rPr>
        <w:t>EXPLAIN THAT</w:t>
      </w:r>
      <w:r w:rsidRPr="001E3926">
        <w:rPr>
          <w:b/>
          <w:bCs/>
          <w:i/>
          <w:iCs/>
        </w:rPr>
        <w:t xml:space="preserve"> THE </w:t>
      </w:r>
      <w:r w:rsidR="001E3926">
        <w:rPr>
          <w:b/>
          <w:bCs/>
          <w:i/>
          <w:iCs/>
        </w:rPr>
        <w:t>“</w:t>
      </w:r>
      <w:r w:rsidRPr="001E3926">
        <w:rPr>
          <w:b/>
          <w:bCs/>
          <w:i/>
          <w:iCs/>
        </w:rPr>
        <w:t>MORE FAVORABLE IN THE AGGREGATE</w:t>
      </w:r>
      <w:r w:rsidR="001E3926">
        <w:rPr>
          <w:b/>
          <w:bCs/>
          <w:i/>
          <w:iCs/>
        </w:rPr>
        <w:t>”</w:t>
      </w:r>
      <w:r w:rsidRPr="001E3926">
        <w:rPr>
          <w:b/>
          <w:bCs/>
          <w:i/>
          <w:iCs/>
        </w:rPr>
        <w:t xml:space="preserve"> TEST SHOULD BE APPLIED?</w:t>
      </w:r>
    </w:p>
    <w:p w:rsidR="00E514E2" w:rsidRPr="001E3926" w:rsidP="00E514E2" w14:paraId="68E292B0" w14:textId="77777777">
      <w:pPr>
        <w:ind w:left="720" w:hanging="720"/>
        <w:rPr>
          <w:b/>
          <w:bCs/>
          <w:i/>
          <w:iCs/>
        </w:rPr>
      </w:pPr>
    </w:p>
    <w:p w:rsidR="00647034" w:rsidP="004D5926" w14:paraId="08FD02D3" w14:textId="7A31C7D0">
      <w:pPr>
        <w:spacing w:line="480" w:lineRule="auto"/>
        <w:ind w:left="720" w:hanging="720"/>
      </w:pPr>
      <w:r w:rsidRPr="001E3926">
        <w:rPr>
          <w:b/>
          <w:bCs/>
          <w:i/>
          <w:iCs/>
        </w:rPr>
        <w:t>A</w:t>
      </w:r>
      <w:r w:rsidRPr="001E3926" w:rsidR="004D5926">
        <w:rPr>
          <w:b/>
          <w:bCs/>
          <w:i/>
          <w:iCs/>
        </w:rPr>
        <w:t>21.</w:t>
      </w:r>
      <w:r w:rsidRPr="001E3926">
        <w:rPr>
          <w:b/>
          <w:bCs/>
        </w:rPr>
        <w:tab/>
      </w:r>
      <w:r w:rsidRPr="001E3926">
        <w:t xml:space="preserve">Ms. Lawler states </w:t>
      </w:r>
      <w:r w:rsidRPr="001E3926" w:rsidR="00B21FFC">
        <w:t xml:space="preserve">at page 16 of her testimony that </w:t>
      </w:r>
      <w:r w:rsidRPr="001E3926">
        <w:t>the cost of generation under the electric security plan is equal to the cost of generation supply under a market rate offer because, in each case, a competitive auction would be used to procure generation supply.</w:t>
      </w:r>
      <w:r w:rsidRPr="001E3926" w:rsidR="00F7155A">
        <w:t xml:space="preserve"> </w:t>
      </w:r>
      <w:r w:rsidRPr="001E3926">
        <w:t>She next states that there are no quantitative differences between the electric security plan versus a market rate offer because, in the long run, the costs collected through the electric security plan</w:t>
      </w:r>
      <w:r w:rsidR="001E3926">
        <w:t>’</w:t>
      </w:r>
      <w:r w:rsidRPr="001E3926">
        <w:t xml:space="preserve">s distribution riders would equal the costs collected through distribution </w:t>
      </w:r>
      <w:r w:rsidRPr="001E3926" w:rsidR="0091026C">
        <w:t xml:space="preserve">base </w:t>
      </w:r>
      <w:r w:rsidRPr="001E3926">
        <w:t>rate</w:t>
      </w:r>
      <w:r w:rsidRPr="001E3926" w:rsidR="0091026C">
        <w:t xml:space="preserve"> case</w:t>
      </w:r>
      <w:r w:rsidRPr="001E3926">
        <w:t xml:space="preserve"> filings</w:t>
      </w:r>
      <w:r w:rsidRPr="001E3926" w:rsidR="0091026C">
        <w:t xml:space="preserve"> that Duke would make if it implemented a market rate offer.</w:t>
      </w:r>
      <w:r w:rsidRPr="001E3926" w:rsidR="00F7155A">
        <w:t xml:space="preserve"> </w:t>
      </w:r>
      <w:r w:rsidRPr="001E3926" w:rsidR="0091026C">
        <w:t xml:space="preserve">Finally, she testifies that certain qualitative differences make the electric security plan superior to a </w:t>
      </w:r>
      <w:r w:rsidR="001F7485">
        <w:t>market rate offer.</w:t>
      </w:r>
    </w:p>
    <w:p w:rsidR="00647034" w:rsidP="004D5926" w14:paraId="14CC8FA6" w14:textId="77777777">
      <w:pPr>
        <w:spacing w:line="480" w:lineRule="auto"/>
        <w:ind w:left="720" w:hanging="720"/>
        <w:rPr>
          <w:b/>
          <w:bCs/>
          <w:i/>
          <w:iCs/>
        </w:rPr>
      </w:pPr>
    </w:p>
    <w:p w:rsidR="004D5926" w:rsidRPr="001E3926" w:rsidP="004D5926" w14:paraId="2DB880BE" w14:textId="0904B626">
      <w:pPr>
        <w:spacing w:line="480" w:lineRule="auto"/>
        <w:ind w:left="720" w:hanging="720"/>
        <w:rPr>
          <w:b/>
          <w:bCs/>
          <w:i/>
          <w:iCs/>
        </w:rPr>
      </w:pPr>
      <w:r w:rsidRPr="001E3926">
        <w:rPr>
          <w:b/>
          <w:bCs/>
          <w:i/>
          <w:iCs/>
        </w:rPr>
        <w:t>Q22.</w:t>
      </w:r>
      <w:r w:rsidRPr="001E3926">
        <w:rPr>
          <w:b/>
          <w:bCs/>
          <w:i/>
          <w:iCs/>
        </w:rPr>
        <w:tab/>
        <w:t>DO YOU AGREE WITH MS. LAWLER?</w:t>
      </w:r>
    </w:p>
    <w:p w:rsidR="002A7BAC" w:rsidP="002A7BAC" w14:paraId="3BAFF855" w14:textId="08944B7E">
      <w:pPr>
        <w:spacing w:line="480" w:lineRule="auto"/>
        <w:ind w:left="720" w:hanging="720"/>
      </w:pPr>
      <w:r w:rsidRPr="001E3926">
        <w:rPr>
          <w:b/>
          <w:bCs/>
          <w:i/>
          <w:iCs/>
        </w:rPr>
        <w:t>A</w:t>
      </w:r>
      <w:r w:rsidRPr="001E3926" w:rsidR="004D5926">
        <w:rPr>
          <w:b/>
          <w:bCs/>
          <w:i/>
          <w:iCs/>
        </w:rPr>
        <w:t>22.</w:t>
      </w:r>
      <w:r w:rsidRPr="001E3926" w:rsidR="004D5926">
        <w:rPr>
          <w:b/>
          <w:bCs/>
        </w:rPr>
        <w:tab/>
      </w:r>
      <w:r w:rsidRPr="001E3926" w:rsidR="004D5926">
        <w:t>No.</w:t>
      </w:r>
      <w:r w:rsidRPr="001E3926" w:rsidR="00F7155A">
        <w:t xml:space="preserve"> </w:t>
      </w:r>
      <w:r w:rsidRPr="001E3926" w:rsidR="004D5926">
        <w:t>R.C. 4928.143(C)(1)</w:t>
      </w:r>
      <w:r w:rsidR="001E3926">
        <w:t xml:space="preserve"> </w:t>
      </w:r>
      <w:r w:rsidRPr="001E3926" w:rsidR="004D5926">
        <w:t>does not state that the PUCO should compare an electric security plan with its distribution riders versus a market rate offer with base distribution rate case filings.</w:t>
      </w:r>
      <w:r>
        <w:rPr>
          <w:rStyle w:val="FootnoteReference"/>
        </w:rPr>
        <w:footnoteReference w:id="14"/>
      </w:r>
      <w:r w:rsidRPr="001E3926" w:rsidR="00F7155A">
        <w:t xml:space="preserve"> </w:t>
      </w:r>
      <w:r w:rsidRPr="001E3926" w:rsidR="004D5926">
        <w:t>The test should compare an electric security plan with its distribution riders versus a market rate offer – period.</w:t>
      </w:r>
      <w:r w:rsidR="001E3926">
        <w:t xml:space="preserve"> </w:t>
      </w:r>
      <w:r w:rsidRPr="001E3926" w:rsidR="00666CE7">
        <w:t>Additionally, the statute does not expressly allow the PUCO to consider qualitative factors, so I disagree with that part of Ms. Lawler</w:t>
      </w:r>
      <w:r w:rsidR="001E3926">
        <w:t>’</w:t>
      </w:r>
      <w:r w:rsidRPr="001E3926" w:rsidR="00666CE7">
        <w:t xml:space="preserve">s analysis as well. </w:t>
      </w:r>
      <w:r>
        <w:br w:type="page"/>
      </w:r>
    </w:p>
    <w:p w:rsidR="003A52EA" w:rsidP="00A86364" w14:paraId="25C5542B" w14:textId="00C55FC5">
      <w:pPr>
        <w:spacing w:line="480" w:lineRule="auto"/>
        <w:ind w:left="720"/>
      </w:pPr>
      <w:r w:rsidRPr="001E3926">
        <w:t>I am aware</w:t>
      </w:r>
      <w:r w:rsidRPr="001E3926">
        <w:t>, however,</w:t>
      </w:r>
      <w:r w:rsidR="001E3926">
        <w:t xml:space="preserve"> </w:t>
      </w:r>
      <w:r w:rsidRPr="001E3926">
        <w:t xml:space="preserve">that the Supreme Court of Ohio </w:t>
      </w:r>
      <w:r w:rsidRPr="001E3926">
        <w:t>(in 2016)</w:t>
      </w:r>
      <w:r>
        <w:rPr>
          <w:rStyle w:val="FootnoteReference"/>
        </w:rPr>
        <w:footnoteReference w:id="15"/>
      </w:r>
      <w:r w:rsidRPr="001E3926">
        <w:t xml:space="preserve"> </w:t>
      </w:r>
      <w:r w:rsidRPr="001E3926">
        <w:t>interpreted R.C. 4928.143(C)(1) differently, to allow the comparison that Ms. Lawler adopts.</w:t>
      </w:r>
      <w:r w:rsidR="001E3926">
        <w:t xml:space="preserve"> </w:t>
      </w:r>
    </w:p>
    <w:p w:rsidR="00493DA8" w:rsidRPr="001E3926" w:rsidP="00A86364" w14:paraId="596055E1" w14:textId="77777777">
      <w:pPr>
        <w:spacing w:line="480" w:lineRule="auto"/>
        <w:ind w:left="720"/>
      </w:pPr>
    </w:p>
    <w:p w:rsidR="008F62F5" w:rsidRPr="001E3926" w:rsidP="00493DA8" w14:paraId="6BE07A17" w14:textId="544B63E5">
      <w:pPr>
        <w:ind w:left="720" w:hanging="720"/>
        <w:rPr>
          <w:b/>
          <w:bCs/>
          <w:i/>
          <w:iCs/>
        </w:rPr>
      </w:pPr>
      <w:r w:rsidRPr="001E3926">
        <w:rPr>
          <w:rStyle w:val="Strong"/>
          <w:i/>
          <w:iCs/>
        </w:rPr>
        <w:t>Q23</w:t>
      </w:r>
      <w:r w:rsidRPr="001E3926" w:rsidR="00BC267E">
        <w:rPr>
          <w:rStyle w:val="Strong"/>
          <w:i/>
          <w:iCs/>
        </w:rPr>
        <w:t>.</w:t>
      </w:r>
      <w:r w:rsidRPr="001E3926" w:rsidR="00BC267E">
        <w:rPr>
          <w:rStyle w:val="Strong"/>
          <w:i/>
          <w:iCs/>
        </w:rPr>
        <w:tab/>
      </w:r>
      <w:r w:rsidRPr="001E3926" w:rsidR="00CC4C37">
        <w:rPr>
          <w:b/>
          <w:bCs/>
          <w:i/>
          <w:iCs/>
        </w:rPr>
        <w:t>UNDER CURRENT MARKET CONDITIONS, WOULD YOUR INTERPRETATION RENDER THE STATUTE MEANINGLESS BY ALWAYS MAKING ELECTRIC SECURITY PLANS</w:t>
      </w:r>
      <w:r w:rsidRPr="001E3926" w:rsidR="00D21A49">
        <w:rPr>
          <w:b/>
          <w:bCs/>
          <w:i/>
          <w:iCs/>
        </w:rPr>
        <w:t xml:space="preserve"> </w:t>
      </w:r>
      <w:r w:rsidRPr="001E3926" w:rsidR="00CC4C37">
        <w:rPr>
          <w:b/>
          <w:bCs/>
          <w:i/>
          <w:iCs/>
        </w:rPr>
        <w:t>LESS FAVORABLE THAN MARKET RATE OFFERS?</w:t>
      </w:r>
    </w:p>
    <w:p w:rsidR="001076C8" w:rsidRPr="001E3926" w:rsidP="00BC267E" w14:paraId="450294AD" w14:textId="77777777">
      <w:pPr>
        <w:ind w:left="720" w:hanging="720"/>
      </w:pPr>
    </w:p>
    <w:p w:rsidR="001076C8" w:rsidRPr="001E3926" w:rsidP="001076C8" w14:paraId="1F38B165" w14:textId="5B73C1E5">
      <w:pPr>
        <w:pStyle w:val="NormalWeb"/>
        <w:spacing w:before="0" w:beforeAutospacing="0" w:after="0" w:afterAutospacing="0" w:line="480" w:lineRule="auto"/>
        <w:ind w:left="720" w:hanging="720"/>
      </w:pPr>
      <w:r w:rsidRPr="001E3926">
        <w:rPr>
          <w:rStyle w:val="Strong"/>
          <w:i/>
          <w:iCs/>
        </w:rPr>
        <w:t>A23</w:t>
      </w:r>
      <w:r w:rsidRPr="001E3926" w:rsidR="002375D3">
        <w:rPr>
          <w:rStyle w:val="Strong"/>
          <w:i/>
          <w:iCs/>
        </w:rPr>
        <w:t>.</w:t>
      </w:r>
      <w:r w:rsidRPr="001E3926" w:rsidR="002375D3">
        <w:rPr>
          <w:rStyle w:val="Strong"/>
        </w:rPr>
        <w:tab/>
      </w:r>
      <w:r w:rsidRPr="001E3926" w:rsidR="000D039C">
        <w:t>Yes, in</w:t>
      </w:r>
      <w:r w:rsidRPr="001E3926">
        <w:t xml:space="preserve"> today</w:t>
      </w:r>
      <w:r w:rsidR="001E3926">
        <w:t>’</w:t>
      </w:r>
      <w:r w:rsidRPr="001E3926">
        <w:t xml:space="preserve">s market, </w:t>
      </w:r>
      <w:r w:rsidRPr="001E3926" w:rsidR="000D039C">
        <w:t>electric security plans will never be more</w:t>
      </w:r>
      <w:r w:rsidRPr="001E3926">
        <w:t xml:space="preserve"> favorable </w:t>
      </w:r>
      <w:r w:rsidRPr="001E3926" w:rsidR="000D039C">
        <w:t xml:space="preserve">in the aggregate </w:t>
      </w:r>
      <w:r w:rsidRPr="001E3926">
        <w:t xml:space="preserve">than </w:t>
      </w:r>
      <w:r w:rsidRPr="001E3926" w:rsidR="000D039C">
        <w:t>market rate offer</w:t>
      </w:r>
      <w:r w:rsidRPr="001E3926">
        <w:t>s.</w:t>
      </w:r>
      <w:r w:rsidR="001E3926">
        <w:t xml:space="preserve"> </w:t>
      </w:r>
      <w:r w:rsidRPr="001E3926" w:rsidR="00FB114E">
        <w:t>This will not adversely impact consumers because today we have a well-functioning wholesale electric market.</w:t>
      </w:r>
    </w:p>
    <w:p w:rsidR="001076C8" w:rsidRPr="001E3926" w:rsidP="001076C8" w14:paraId="1078C9BC" w14:textId="77777777">
      <w:pPr>
        <w:pStyle w:val="NormalWeb"/>
        <w:spacing w:before="0" w:beforeAutospacing="0" w:after="0" w:afterAutospacing="0" w:line="480" w:lineRule="auto"/>
        <w:ind w:left="720" w:hanging="720"/>
      </w:pPr>
    </w:p>
    <w:p w:rsidR="0046576F" w:rsidRPr="001E3926" w:rsidP="001076C8" w14:paraId="64E606DE" w14:textId="43C8A13A">
      <w:pPr>
        <w:pStyle w:val="NormalWeb"/>
        <w:spacing w:before="0" w:beforeAutospacing="0" w:after="0" w:afterAutospacing="0" w:line="480" w:lineRule="auto"/>
        <w:ind w:left="720"/>
      </w:pPr>
      <w:r w:rsidRPr="001E3926">
        <w:t xml:space="preserve">Today there is </w:t>
      </w:r>
      <w:r w:rsidRPr="001E3926" w:rsidR="00511539">
        <w:t xml:space="preserve">also </w:t>
      </w:r>
      <w:r w:rsidRPr="001E3926">
        <w:t>a well-developed retail electric market and utilities no longer own generating plants</w:t>
      </w:r>
      <w:r w:rsidRPr="001E3926" w:rsidR="00CA15A5">
        <w:t>.</w:t>
      </w:r>
      <w:r w:rsidRPr="001E3926">
        <w:t xml:space="preserve"> </w:t>
      </w:r>
      <w:r w:rsidRPr="001E3926" w:rsidR="00CC4C37">
        <w:t xml:space="preserve">As a result, </w:t>
      </w:r>
      <w:r w:rsidRPr="001E3926">
        <w:t>electric security plans</w:t>
      </w:r>
      <w:r w:rsidRPr="001E3926" w:rsidR="00CC4C37">
        <w:t xml:space="preserve"> </w:t>
      </w:r>
      <w:r w:rsidRPr="001E3926">
        <w:t>use the same competitive auction process for procuring generation as would occur in a market rate offer. As a result, there is no difference in the generation component of an electric security plan versus a market rate offer.</w:t>
      </w:r>
    </w:p>
    <w:p w:rsidR="00AB2B50" w:rsidRPr="001E3926" w:rsidP="00AB2B50" w14:paraId="78B46CD2" w14:textId="77777777">
      <w:pPr>
        <w:pStyle w:val="NormalWeb"/>
        <w:spacing w:before="0" w:beforeAutospacing="0" w:after="0" w:afterAutospacing="0" w:line="480" w:lineRule="auto"/>
        <w:ind w:left="720"/>
      </w:pPr>
    </w:p>
    <w:p w:rsidR="00BE53C9" w:rsidRPr="001E3926" w:rsidP="00BE53C9" w14:paraId="6354A7C6" w14:textId="40FA49A9">
      <w:pPr>
        <w:pStyle w:val="NormalWeb"/>
        <w:spacing w:before="0" w:beforeAutospacing="0" w:after="0" w:afterAutospacing="0" w:line="480" w:lineRule="auto"/>
        <w:ind w:left="720"/>
      </w:pPr>
      <w:r w:rsidRPr="001E3926">
        <w:t>However, this wasn</w:t>
      </w:r>
      <w:r w:rsidR="001E3926">
        <w:t>’</w:t>
      </w:r>
      <w:r w:rsidRPr="001E3926">
        <w:t xml:space="preserve">t always the case. </w:t>
      </w:r>
      <w:r w:rsidRPr="001E3926" w:rsidR="001124A6">
        <w:t>W</w:t>
      </w:r>
      <w:r w:rsidRPr="001E3926">
        <w:t xml:space="preserve">hen </w:t>
      </w:r>
      <w:r w:rsidRPr="001E3926" w:rsidR="001124A6">
        <w:t xml:space="preserve">S.B. 221 was enacted in 2008, all four Ohio electric distribution </w:t>
      </w:r>
      <w:r w:rsidRPr="001E3926">
        <w:t>utilities</w:t>
      </w:r>
      <w:r w:rsidR="001E3926">
        <w:t xml:space="preserve"> </w:t>
      </w:r>
      <w:r w:rsidRPr="001E3926">
        <w:t>used their own generation for electric security plans</w:t>
      </w:r>
      <w:r w:rsidRPr="001E3926" w:rsidR="001124A6">
        <w:t>.</w:t>
      </w:r>
      <w:r w:rsidRPr="001E3926" w:rsidR="008B7918">
        <w:t xml:space="preserve"> </w:t>
      </w:r>
      <w:r w:rsidRPr="001E3926" w:rsidR="001124A6">
        <w:t>By using their own generating plants, the utilities</w:t>
      </w:r>
      <w:r w:rsidR="001E3926">
        <w:t xml:space="preserve"> </w:t>
      </w:r>
      <w:r w:rsidRPr="001E3926">
        <w:t xml:space="preserve">could offer more favorable terms, especially during the early development of the retail electric market. This provided stability and certainty that incentivized utilities to offer their own generation at competitive prices. </w:t>
      </w:r>
      <w:r w:rsidRPr="001E3926">
        <w:br w:type="page"/>
      </w:r>
    </w:p>
    <w:p w:rsidR="00CC4C37" w:rsidRPr="001E3926" w:rsidP="00344210" w14:paraId="7B4DD804" w14:textId="65F39181">
      <w:pPr>
        <w:pStyle w:val="NormalWeb"/>
        <w:spacing w:before="0" w:beforeAutospacing="0" w:after="0" w:afterAutospacing="0"/>
        <w:ind w:left="720" w:hanging="720"/>
        <w:rPr>
          <w:b/>
          <w:bCs/>
          <w:i/>
          <w:iCs/>
        </w:rPr>
      </w:pPr>
      <w:r w:rsidRPr="001E3926">
        <w:rPr>
          <w:b/>
          <w:bCs/>
          <w:i/>
          <w:iCs/>
        </w:rPr>
        <w:t>Q24.</w:t>
      </w:r>
      <w:r w:rsidRPr="001E3926">
        <w:rPr>
          <w:b/>
          <w:bCs/>
          <w:i/>
          <w:iCs/>
        </w:rPr>
        <w:tab/>
        <w:t>DOESN</w:t>
      </w:r>
      <w:r w:rsidR="001E3926">
        <w:rPr>
          <w:b/>
          <w:bCs/>
          <w:i/>
          <w:iCs/>
        </w:rPr>
        <w:t>’</w:t>
      </w:r>
      <w:r w:rsidRPr="001E3926">
        <w:rPr>
          <w:b/>
          <w:bCs/>
          <w:i/>
          <w:iCs/>
        </w:rPr>
        <w:t>T THE STATUTE REQUIRE THE PUCO TO WEIGH OTHER FACTORS (IN ADDITION TO THE GENERATION COMPONENT) IN DECIDING WHETHER AN ELECTRIC SECURITY PLAN IS MORE FAVORABLE IN THE AGGREGATE THAN A MARKET RATE OFFER?</w:t>
      </w:r>
    </w:p>
    <w:p w:rsidR="00344210" w:rsidRPr="001E3926" w:rsidP="00344210" w14:paraId="7CF823E6" w14:textId="77777777">
      <w:pPr>
        <w:pStyle w:val="NormalWeb"/>
        <w:spacing w:before="0" w:beforeAutospacing="0" w:after="0" w:afterAutospacing="0"/>
        <w:ind w:left="720" w:hanging="720"/>
        <w:rPr>
          <w:b/>
          <w:bCs/>
          <w:i/>
          <w:iCs/>
        </w:rPr>
      </w:pPr>
    </w:p>
    <w:p w:rsidR="005A56C1" w:rsidRPr="001E3926" w:rsidP="005A56C1" w14:paraId="4DFF4C56" w14:textId="74FFBFE6">
      <w:pPr>
        <w:pStyle w:val="NormalWeb"/>
        <w:spacing w:before="0" w:beforeAutospacing="0" w:after="0" w:afterAutospacing="0" w:line="480" w:lineRule="auto"/>
        <w:ind w:left="720" w:hanging="720"/>
      </w:pPr>
      <w:r w:rsidRPr="001E3926">
        <w:rPr>
          <w:b/>
          <w:bCs/>
          <w:i/>
          <w:iCs/>
        </w:rPr>
        <w:t>A24.</w:t>
      </w:r>
      <w:r w:rsidRPr="001E3926">
        <w:tab/>
        <w:t xml:space="preserve">Yes. </w:t>
      </w:r>
      <w:r w:rsidRPr="001E3926" w:rsidR="00B61EB2">
        <w:t>R.C.</w:t>
      </w:r>
      <w:r w:rsidRPr="001E3926" w:rsidR="0076711C">
        <w:t xml:space="preserve"> </w:t>
      </w:r>
      <w:r w:rsidRPr="001E3926" w:rsidR="0046576F">
        <w:t xml:space="preserve">4928.143(C)(1) states that the PUCO must consider </w:t>
      </w:r>
      <w:r w:rsidR="001E3926">
        <w:t>“</w:t>
      </w:r>
      <w:r w:rsidRPr="001E3926" w:rsidR="0046576F">
        <w:t>pricing and all other terms and conditions, including any deferrals and any future recovery of deferrals</w:t>
      </w:r>
      <w:r w:rsidR="001E3926">
        <w:t>”</w:t>
      </w:r>
      <w:r w:rsidRPr="001E3926" w:rsidR="0046576F">
        <w:t xml:space="preserve"> in deciding whether an electric security plan is more favorable in the aggregate than a market rate offer.</w:t>
      </w:r>
      <w:r w:rsidRPr="001E3926" w:rsidR="00D21A49">
        <w:t xml:space="preserve"> </w:t>
      </w:r>
      <w:r w:rsidRPr="001E3926">
        <w:t>A</w:t>
      </w:r>
      <w:r w:rsidRPr="001E3926" w:rsidR="0046576F">
        <w:t>n electric security plan</w:t>
      </w:r>
      <w:r w:rsidRPr="001E3926">
        <w:t xml:space="preserve"> can include various cost collection mechanisms</w:t>
      </w:r>
      <w:r w:rsidRPr="001E3926" w:rsidR="0046576F">
        <w:t>, such as distribution riders, that cannot be included in a market rate offer.</w:t>
      </w:r>
    </w:p>
    <w:p w:rsidR="00DF5A94" w:rsidRPr="001E3926" w:rsidP="005A56C1" w14:paraId="685D1A1B" w14:textId="77777777">
      <w:pPr>
        <w:pStyle w:val="NormalWeb"/>
        <w:spacing w:before="0" w:beforeAutospacing="0" w:after="0" w:afterAutospacing="0" w:line="480" w:lineRule="auto"/>
        <w:ind w:left="720" w:hanging="720"/>
      </w:pPr>
    </w:p>
    <w:p w:rsidR="00CC4C37" w:rsidRPr="001E3926" w:rsidP="002509D1" w14:paraId="0287B90E" w14:textId="631A1887">
      <w:pPr>
        <w:pStyle w:val="NormalWeb"/>
        <w:spacing w:before="0" w:beforeAutospacing="0" w:after="0" w:afterAutospacing="0"/>
        <w:ind w:left="720" w:hanging="720"/>
        <w:rPr>
          <w:b/>
          <w:bCs/>
          <w:i/>
          <w:iCs/>
        </w:rPr>
      </w:pPr>
      <w:r w:rsidRPr="001E3926">
        <w:rPr>
          <w:b/>
          <w:bCs/>
          <w:i/>
          <w:iCs/>
        </w:rPr>
        <w:t>Q25.</w:t>
      </w:r>
      <w:r w:rsidRPr="001E3926">
        <w:rPr>
          <w:b/>
          <w:bCs/>
          <w:i/>
          <w:iCs/>
        </w:rPr>
        <w:tab/>
        <w:t xml:space="preserve">HAS THE SUPREME COURT </w:t>
      </w:r>
      <w:r w:rsidRPr="001E3926" w:rsidR="008C191A">
        <w:rPr>
          <w:b/>
          <w:bCs/>
          <w:i/>
          <w:iCs/>
        </w:rPr>
        <w:t xml:space="preserve">RULED THAT THE PUCO </w:t>
      </w:r>
      <w:r w:rsidRPr="001E3926" w:rsidR="004E602B">
        <w:rPr>
          <w:b/>
          <w:bCs/>
          <w:i/>
          <w:iCs/>
        </w:rPr>
        <w:t>CAN</w:t>
      </w:r>
      <w:r w:rsidRPr="001E3926" w:rsidR="008C191A">
        <w:rPr>
          <w:b/>
          <w:bCs/>
          <w:i/>
          <w:iCs/>
        </w:rPr>
        <w:t xml:space="preserve"> DETERMINE WHETHER AN ELECTRIC SECURITY PLAN IS MORE FAVORABLE IN THE AGGREGATE THAN A MARKET RATE OPTION BY COMPARING AN ELECTRIC SECURITY PLAN WITH ITS VARIOUS COST-RECOVERY MECHANISMS VERSUS A MARKET RATE OFFER WITH HYPOTHETICAL DISTRIBUTION RATE CASE REVENUES?</w:t>
      </w:r>
    </w:p>
    <w:p w:rsidR="002509D1" w:rsidRPr="001E3926" w:rsidP="002509D1" w14:paraId="70E3EC4E" w14:textId="77777777">
      <w:pPr>
        <w:pStyle w:val="NormalWeb"/>
        <w:spacing w:before="0" w:beforeAutospacing="0" w:after="0" w:afterAutospacing="0"/>
        <w:ind w:left="720" w:hanging="720"/>
        <w:rPr>
          <w:b/>
          <w:bCs/>
          <w:i/>
          <w:iCs/>
        </w:rPr>
      </w:pPr>
    </w:p>
    <w:p w:rsidR="008C191A" w:rsidRPr="001E3926" w:rsidP="005F58EF" w14:paraId="24C3B455" w14:textId="49B1BB0D">
      <w:pPr>
        <w:pStyle w:val="NormalWeb"/>
        <w:spacing w:before="0" w:beforeAutospacing="0" w:after="0" w:afterAutospacing="0" w:line="480" w:lineRule="auto"/>
        <w:ind w:left="720" w:hanging="720"/>
      </w:pPr>
      <w:r w:rsidRPr="001E3926">
        <w:rPr>
          <w:b/>
          <w:bCs/>
          <w:i/>
          <w:iCs/>
        </w:rPr>
        <w:t>A25.</w:t>
      </w:r>
      <w:r w:rsidRPr="001E3926">
        <w:rPr>
          <w:b/>
          <w:bCs/>
        </w:rPr>
        <w:tab/>
      </w:r>
      <w:r w:rsidRPr="001E3926">
        <w:t>Yes.</w:t>
      </w:r>
      <w:r w:rsidRPr="001E3926" w:rsidR="00D21A49">
        <w:t xml:space="preserve"> </w:t>
      </w:r>
      <w:r w:rsidRPr="001E3926">
        <w:t>In</w:t>
      </w:r>
      <w:r w:rsidRPr="001E3926" w:rsidR="004E602B">
        <w:t xml:space="preserve"> </w:t>
      </w:r>
      <w:r w:rsidRPr="001E3926" w:rsidR="004E602B">
        <w:rPr>
          <w:i/>
          <w:iCs/>
        </w:rPr>
        <w:t>In re Application of Ohio Edison Co</w:t>
      </w:r>
      <w:r w:rsidRPr="001E3926">
        <w:t>, the Supreme Court ruled:</w:t>
      </w:r>
    </w:p>
    <w:p w:rsidR="00973A66" w:rsidP="00227A1D" w14:paraId="36748F69" w14:textId="542B82A8">
      <w:pPr>
        <w:pStyle w:val="NormalWeb"/>
        <w:spacing w:before="0" w:beforeAutospacing="0" w:after="0" w:afterAutospacing="0"/>
        <w:ind w:left="1440" w:right="1440"/>
      </w:pPr>
      <w:r w:rsidRPr="001E3926">
        <w:t>(¶ 25) On appeal, NOPEC argues that the MRO statute, R.C. 4928.142, does not permit the inclusion of hypothetical distribution-rate-case revenues as part of the MRO/ESP comparison. But NOPEC</w:t>
      </w:r>
      <w:r w:rsidR="001E3926">
        <w:t>’</w:t>
      </w:r>
      <w:r w:rsidRPr="001E3926">
        <w:t>s argument fails to recognize that unlike an MRO, an ESP will include all sorts of cost-recovery mechanisms at the outset, see R.C. 4928.143(B)(2)(a). Therefore, under NOPEC</w:t>
      </w:r>
      <w:r w:rsidR="001E3926">
        <w:t>’</w:t>
      </w:r>
      <w:r w:rsidRPr="001E3926">
        <w:t>s statutory interpretation, the MRO will always appear to be quantitatively more favorable but will never reflect the true cost of the MRO over time.</w:t>
      </w:r>
      <w:r>
        <w:rPr>
          <w:rStyle w:val="FootnoteReference"/>
        </w:rPr>
        <w:footnoteReference w:id="16"/>
      </w:r>
    </w:p>
    <w:p w:rsidR="00227A1D" w:rsidRPr="001E3926" w:rsidP="00227A1D" w14:paraId="03EF0B59" w14:textId="77777777">
      <w:pPr>
        <w:pStyle w:val="NormalWeb"/>
        <w:spacing w:before="0" w:beforeAutospacing="0" w:after="0" w:afterAutospacing="0" w:line="480" w:lineRule="auto"/>
        <w:ind w:left="1440" w:right="1440"/>
      </w:pPr>
    </w:p>
    <w:p w:rsidR="00EA1CFC" w:rsidRPr="001E3926" w:rsidP="00973A66" w14:paraId="34F55BC7" w14:textId="7FAE2C19">
      <w:pPr>
        <w:pStyle w:val="NormalWeb"/>
        <w:spacing w:before="0" w:beforeAutospacing="0" w:after="0" w:afterAutospacing="0" w:line="480" w:lineRule="auto"/>
        <w:ind w:left="720"/>
      </w:pPr>
      <w:r w:rsidRPr="001E3926">
        <w:t>While there was a period (2008-2014) when an electric security plan could, under specific circumstances, appear more favorable than a market rate offer for Duke, it</w:t>
      </w:r>
      <w:r w:rsidR="001E3926">
        <w:t>’</w:t>
      </w:r>
      <w:r w:rsidRPr="001E3926">
        <w:t>s important to recognize the significant evolution of the electricity market and RTOs since then. With the increased maturity of these markets, the potential for market-based solutions to effectively manage supply and demand has grown.</w:t>
      </w:r>
    </w:p>
    <w:p w:rsidR="0055123B" w:rsidRPr="001E3926" w:rsidP="0055123B" w14:paraId="3D7875FF" w14:textId="77777777">
      <w:pPr>
        <w:pStyle w:val="NormalWeb"/>
        <w:spacing w:before="0" w:beforeAutospacing="0" w:after="0" w:afterAutospacing="0" w:line="480" w:lineRule="auto"/>
        <w:ind w:left="720"/>
      </w:pPr>
    </w:p>
    <w:p w:rsidR="00EA1CFC" w:rsidRPr="001E3926" w:rsidP="0055123B" w14:paraId="43CEB477" w14:textId="6C015CAB">
      <w:pPr>
        <w:pStyle w:val="NormalWeb"/>
        <w:spacing w:before="0" w:beforeAutospacing="0" w:after="0" w:afterAutospacing="0" w:line="480" w:lineRule="auto"/>
        <w:ind w:left="720"/>
      </w:pPr>
      <w:r w:rsidRPr="001E3926">
        <w:t>While the Supreme Court</w:t>
      </w:r>
      <w:r w:rsidR="001E3926">
        <w:t>’</w:t>
      </w:r>
      <w:r w:rsidRPr="001E3926">
        <w:t xml:space="preserve">s ruling in </w:t>
      </w:r>
      <w:r w:rsidRPr="001E3926">
        <w:rPr>
          <w:i/>
          <w:iCs/>
        </w:rPr>
        <w:t>In re Application of Ohio Edison Co.</w:t>
      </w:r>
      <w:r>
        <w:rPr>
          <w:rStyle w:val="FootnoteReference"/>
          <w:i/>
          <w:iCs/>
        </w:rPr>
        <w:footnoteReference w:id="17"/>
      </w:r>
      <w:r w:rsidRPr="001E3926">
        <w:t xml:space="preserve"> provided valuable guidance at the time, it</w:t>
      </w:r>
      <w:r w:rsidR="001E3926">
        <w:t>’</w:t>
      </w:r>
      <w:r w:rsidRPr="001E3926">
        <w:t>s worth considering how the landscape has changed. Factors such as increased competition, more sophisticated market mechanisms, and enhanced RTO capabilities may influence the relative attractiveness of different supply arrangements for Duke.</w:t>
      </w:r>
    </w:p>
    <w:p w:rsidR="00DD0B81" w:rsidP="00A86364" w14:paraId="01200C7E" w14:textId="77777777">
      <w:pPr>
        <w:pStyle w:val="NormalWeb"/>
        <w:spacing w:before="0" w:beforeAutospacing="0" w:after="0" w:afterAutospacing="0" w:line="480" w:lineRule="auto"/>
        <w:ind w:left="720"/>
      </w:pPr>
    </w:p>
    <w:p w:rsidR="00EA1CFC" w:rsidRPr="001E3926" w:rsidP="00A86364" w14:paraId="232E4D39" w14:textId="30DBF3AD">
      <w:pPr>
        <w:pStyle w:val="NormalWeb"/>
        <w:spacing w:before="0" w:beforeAutospacing="0" w:after="0" w:afterAutospacing="0" w:line="480" w:lineRule="auto"/>
        <w:ind w:left="720"/>
      </w:pPr>
      <w:r w:rsidRPr="001E3926">
        <w:t>It</w:t>
      </w:r>
      <w:r w:rsidR="001E3926">
        <w:t>’</w:t>
      </w:r>
      <w:r w:rsidRPr="001E3926">
        <w:t xml:space="preserve">s essential to conduct a thorough analysis, considering the specific circumstances and regulatory environment, to determine the most advantageous approach for ensuring </w:t>
      </w:r>
      <w:r w:rsidRPr="001E3926" w:rsidR="0054589B">
        <w:t xml:space="preserve">a </w:t>
      </w:r>
      <w:r w:rsidRPr="001E3926">
        <w:t>reliable and affordable electricity supply for Duke</w:t>
      </w:r>
      <w:r w:rsidR="001E3926">
        <w:t xml:space="preserve"> </w:t>
      </w:r>
      <w:r w:rsidRPr="001E3926">
        <w:t>c</w:t>
      </w:r>
      <w:r w:rsidRPr="001E3926" w:rsidR="0054589B">
        <w:t>onsumers.</w:t>
      </w:r>
    </w:p>
    <w:p w:rsidR="000359F6" w:rsidRPr="001E3926" w:rsidP="007477CD" w14:paraId="7D79BC1D" w14:textId="77777777">
      <w:pPr>
        <w:pStyle w:val="NormalWeb"/>
        <w:spacing w:before="0" w:beforeAutospacing="0" w:after="0" w:afterAutospacing="0" w:line="480" w:lineRule="auto"/>
        <w:ind w:left="720" w:hanging="720"/>
      </w:pPr>
    </w:p>
    <w:p w:rsidR="00B12ACB" w:rsidRPr="001E3926" w:rsidP="000359F6" w14:paraId="1D6DC78F" w14:textId="209914C6">
      <w:pPr>
        <w:pStyle w:val="NormalWeb"/>
        <w:spacing w:before="0" w:beforeAutospacing="0" w:after="0" w:afterAutospacing="0"/>
        <w:ind w:left="720" w:hanging="720"/>
        <w:rPr>
          <w:b/>
          <w:bCs/>
          <w:i/>
          <w:iCs/>
        </w:rPr>
      </w:pPr>
      <w:r w:rsidRPr="001E3926">
        <w:rPr>
          <w:b/>
          <w:bCs/>
          <w:i/>
          <w:iCs/>
        </w:rPr>
        <w:t>Q26.</w:t>
      </w:r>
      <w:r w:rsidRPr="001E3926">
        <w:rPr>
          <w:b/>
          <w:bCs/>
          <w:i/>
          <w:iCs/>
        </w:rPr>
        <w:tab/>
        <w:t>DOES THE PUCO ALSO EVALUATE THE QUALITATIVE DIFFERENCES BETWEEN AN ELECTRIC SECURITY PLAN AND A MARKET RATE OFFER IN DECIDING WHETHER AN ELECTRIC SECURITY PLAN IS MORE FAVORABLE IN THE AGGREGATE THAN A MARKET RATE OFFER?</w:t>
      </w:r>
    </w:p>
    <w:p w:rsidR="00D4469B" w:rsidRPr="001E3926" w:rsidP="000359F6" w14:paraId="71E06F4B" w14:textId="77777777">
      <w:pPr>
        <w:pStyle w:val="NormalWeb"/>
        <w:spacing w:before="0" w:beforeAutospacing="0" w:after="0" w:afterAutospacing="0"/>
        <w:ind w:left="720" w:hanging="720"/>
        <w:rPr>
          <w:b/>
          <w:bCs/>
          <w:i/>
          <w:iCs/>
        </w:rPr>
      </w:pPr>
    </w:p>
    <w:p w:rsidR="00B12ACB" w:rsidRPr="001E3926" w:rsidP="00D4469B" w14:paraId="7407D1E0" w14:textId="555CD203">
      <w:pPr>
        <w:pStyle w:val="NormalWeb"/>
        <w:spacing w:before="0" w:beforeAutospacing="0" w:after="0" w:afterAutospacing="0" w:line="480" w:lineRule="auto"/>
        <w:ind w:left="720" w:hanging="720"/>
      </w:pPr>
      <w:r w:rsidRPr="001E3926">
        <w:rPr>
          <w:b/>
          <w:bCs/>
          <w:i/>
          <w:iCs/>
        </w:rPr>
        <w:t>A26.</w:t>
      </w:r>
      <w:r w:rsidRPr="001E3926">
        <w:rPr>
          <w:b/>
          <w:bCs/>
        </w:rPr>
        <w:tab/>
      </w:r>
      <w:r w:rsidRPr="001E3926">
        <w:t>Yes.</w:t>
      </w:r>
      <w:r w:rsidRPr="001E3926" w:rsidR="00D21A49">
        <w:t xml:space="preserve"> </w:t>
      </w:r>
      <w:r w:rsidRPr="001E3926">
        <w:t>This occurred in FirstEnergy</w:t>
      </w:r>
      <w:r w:rsidR="001E3926">
        <w:t>’</w:t>
      </w:r>
      <w:r w:rsidRPr="001E3926">
        <w:t>s most recent electric security plan case.</w:t>
      </w:r>
      <w:r>
        <w:rPr>
          <w:rStyle w:val="FootnoteReference"/>
        </w:rPr>
        <w:footnoteReference w:id="18"/>
      </w:r>
      <w:r w:rsidRPr="001E3926" w:rsidR="00D21A49">
        <w:t xml:space="preserve"> </w:t>
      </w:r>
      <w:r w:rsidRPr="001E3926">
        <w:t>The PUCO evaluated whether there were any quantitative differences and whether there were any qualitative differences in deciding whether an electric security plan was more favorable in the aggregate than a market rate offer.</w:t>
      </w:r>
      <w:r>
        <w:rPr>
          <w:rStyle w:val="FootnoteReference"/>
        </w:rPr>
        <w:footnoteReference w:id="19"/>
      </w:r>
    </w:p>
    <w:p w:rsidR="004E602B" w:rsidRPr="001E3926" w:rsidP="00D4469B" w14:paraId="1EDCF26C" w14:textId="77777777">
      <w:pPr>
        <w:pStyle w:val="NormalWeb"/>
        <w:spacing w:before="0" w:beforeAutospacing="0" w:after="0" w:afterAutospacing="0" w:line="480" w:lineRule="auto"/>
        <w:ind w:left="720" w:hanging="720"/>
      </w:pPr>
    </w:p>
    <w:p w:rsidR="008C191A" w:rsidRPr="001E3926" w:rsidP="00D4469B" w14:paraId="50D4441C" w14:textId="3FF62F08">
      <w:pPr>
        <w:pStyle w:val="NormalWeb"/>
        <w:spacing w:before="0" w:beforeAutospacing="0" w:after="0" w:afterAutospacing="0" w:line="480" w:lineRule="auto"/>
        <w:ind w:left="720" w:hanging="720"/>
        <w:rPr>
          <w:b/>
          <w:bCs/>
          <w:i/>
          <w:iCs/>
        </w:rPr>
      </w:pPr>
      <w:r w:rsidRPr="001E3926">
        <w:rPr>
          <w:b/>
          <w:bCs/>
          <w:i/>
          <w:iCs/>
        </w:rPr>
        <w:t xml:space="preserve">Q27. </w:t>
      </w:r>
      <w:r w:rsidRPr="001E3926">
        <w:rPr>
          <w:b/>
          <w:bCs/>
          <w:i/>
          <w:iCs/>
        </w:rPr>
        <w:tab/>
        <w:t>DO YOU AGREE WITH THIS APPROACH?</w:t>
      </w:r>
    </w:p>
    <w:p w:rsidR="00B12ACB" w:rsidRPr="001E3926" w:rsidP="00D4469B" w14:paraId="7169D970" w14:textId="71FC471A">
      <w:pPr>
        <w:pStyle w:val="NormalWeb"/>
        <w:spacing w:before="0" w:beforeAutospacing="0" w:after="0" w:afterAutospacing="0" w:line="480" w:lineRule="auto"/>
        <w:ind w:left="720" w:hanging="720"/>
      </w:pPr>
      <w:r w:rsidRPr="001E3926">
        <w:rPr>
          <w:b/>
          <w:bCs/>
          <w:i/>
          <w:iCs/>
        </w:rPr>
        <w:t>A27.</w:t>
      </w:r>
      <w:r w:rsidRPr="001E3926">
        <w:rPr>
          <w:b/>
          <w:bCs/>
        </w:rPr>
        <w:tab/>
      </w:r>
      <w:r w:rsidRPr="001E3926">
        <w:t>No.</w:t>
      </w:r>
      <w:r w:rsidRPr="001E3926" w:rsidR="00D21A49">
        <w:t xml:space="preserve"> </w:t>
      </w:r>
      <w:r w:rsidRPr="001E3926">
        <w:t>There is nothing in R.C. 4928.143(C)(1) that authorizes the PUCO to evaluate qualitative factors.</w:t>
      </w:r>
      <w:r w:rsidRPr="001E3926" w:rsidR="00D21A49">
        <w:t xml:space="preserve"> </w:t>
      </w:r>
      <w:r w:rsidRPr="001E3926">
        <w:t>The statute states that</w:t>
      </w:r>
      <w:r w:rsidRPr="001E3926" w:rsidR="007B29EA">
        <w:t xml:space="preserve"> the PUCO must evaluate</w:t>
      </w:r>
      <w:r w:rsidRPr="001E3926">
        <w:t xml:space="preserve"> </w:t>
      </w:r>
      <w:r w:rsidR="001E3926">
        <w:t>“</w:t>
      </w:r>
      <w:r w:rsidRPr="001E3926">
        <w:t>pricing and all other terms and conditions, including any deferrals and any future recovery of deferrals</w:t>
      </w:r>
      <w:r w:rsidR="001E3926">
        <w:t>”</w:t>
      </w:r>
      <w:r w:rsidRPr="001E3926" w:rsidR="00D21A49">
        <w:t xml:space="preserve"> </w:t>
      </w:r>
      <w:r w:rsidRPr="001E3926" w:rsidR="007B29EA">
        <w:t>These are all quantitative factors that can be compared to a market rate offer with hypothetical distribution rate case revenues.</w:t>
      </w:r>
      <w:r w:rsidRPr="001E3926" w:rsidR="00D21A49">
        <w:t xml:space="preserve"> </w:t>
      </w:r>
      <w:r w:rsidRPr="001E3926" w:rsidR="007B29EA">
        <w:t>There is nothing in the statute that authorizes the PUCO to evaluate qualitative factors in deciding whether an electric security plan is more favorable in the aggregate than a market rate offer.</w:t>
      </w:r>
    </w:p>
    <w:p w:rsidR="00AF68DC" w:rsidRPr="001E3926" w:rsidP="00D4469B" w14:paraId="1B91A0CE" w14:textId="77777777">
      <w:pPr>
        <w:pStyle w:val="NormalWeb"/>
        <w:spacing w:before="0" w:beforeAutospacing="0" w:after="0" w:afterAutospacing="0" w:line="480" w:lineRule="auto"/>
        <w:ind w:left="720" w:hanging="720"/>
      </w:pPr>
    </w:p>
    <w:p w:rsidR="007B29EA" w:rsidRPr="001E3926" w:rsidP="00AF68DC" w14:paraId="7BF41EF2" w14:textId="173ED3CF">
      <w:pPr>
        <w:pStyle w:val="NormalWeb"/>
        <w:spacing w:before="0" w:beforeAutospacing="0" w:after="0" w:afterAutospacing="0" w:line="480" w:lineRule="auto"/>
        <w:ind w:left="720"/>
      </w:pPr>
      <w:r w:rsidRPr="001E3926">
        <w:t>R.C.</w:t>
      </w:r>
      <w:r w:rsidRPr="001E3926">
        <w:t xml:space="preserve"> 4928.143(B)(2) lists the cost collection mechanisms that may be included in an electric security plan.</w:t>
      </w:r>
      <w:r w:rsidRPr="001E3926" w:rsidR="00D21A49">
        <w:t xml:space="preserve"> </w:t>
      </w:r>
      <w:r w:rsidRPr="001E3926">
        <w:t>The statute does not discuss qualitative factors that can be included in an electric security plan.</w:t>
      </w:r>
      <w:r w:rsidRPr="001E3926" w:rsidR="00D21A49">
        <w:t xml:space="preserve"> </w:t>
      </w:r>
      <w:r w:rsidRPr="001E3926">
        <w:t>By including an evaluation of qualitative factors, the PUCO goes beyond the plain language of the statute.</w:t>
      </w:r>
    </w:p>
    <w:p w:rsidR="001468E9" w:rsidRPr="001E3926" w:rsidP="00D7130D" w14:paraId="0C66DAFF" w14:textId="4DA6DDB8">
      <w:pPr>
        <w:spacing w:line="480" w:lineRule="auto"/>
      </w:pPr>
    </w:p>
    <w:p w:rsidR="00E514E2" w:rsidRPr="001E3926" w:rsidP="00E514E2" w14:paraId="5DB80772" w14:textId="06624E1C">
      <w:pPr>
        <w:ind w:left="720" w:hanging="720"/>
        <w:rPr>
          <w:b/>
          <w:bCs/>
          <w:i/>
          <w:iCs/>
        </w:rPr>
      </w:pPr>
      <w:r w:rsidRPr="001E3926">
        <w:rPr>
          <w:b/>
          <w:bCs/>
          <w:i/>
          <w:iCs/>
        </w:rPr>
        <w:t>Q</w:t>
      </w:r>
      <w:r w:rsidRPr="001E3926" w:rsidR="007E5872">
        <w:rPr>
          <w:b/>
          <w:bCs/>
          <w:i/>
          <w:iCs/>
        </w:rPr>
        <w:t>2</w:t>
      </w:r>
      <w:r w:rsidRPr="001E3926" w:rsidR="00291EAF">
        <w:rPr>
          <w:b/>
          <w:bCs/>
          <w:i/>
          <w:iCs/>
        </w:rPr>
        <w:t>8</w:t>
      </w:r>
      <w:r w:rsidRPr="001E3926" w:rsidR="007E5872">
        <w:rPr>
          <w:b/>
          <w:bCs/>
          <w:i/>
          <w:iCs/>
        </w:rPr>
        <w:t>.</w:t>
      </w:r>
      <w:r w:rsidRPr="001E3926" w:rsidR="007E5872">
        <w:rPr>
          <w:b/>
          <w:bCs/>
          <w:i/>
          <w:iCs/>
        </w:rPr>
        <w:tab/>
        <w:t xml:space="preserve">HOW SHOULD THE PUCO APPLY THE </w:t>
      </w:r>
      <w:r w:rsidR="001E3926">
        <w:rPr>
          <w:b/>
          <w:bCs/>
          <w:i/>
          <w:iCs/>
        </w:rPr>
        <w:t>“</w:t>
      </w:r>
      <w:r w:rsidRPr="001E3926" w:rsidR="007E5872">
        <w:rPr>
          <w:b/>
          <w:bCs/>
          <w:i/>
          <w:iCs/>
        </w:rPr>
        <w:t>MORE FAVORABLE IN THE AGGREGATE TEST</w:t>
      </w:r>
      <w:r w:rsidR="001E3926">
        <w:rPr>
          <w:b/>
          <w:bCs/>
          <w:i/>
          <w:iCs/>
        </w:rPr>
        <w:t>”</w:t>
      </w:r>
      <w:r w:rsidRPr="001E3926" w:rsidR="007E5872">
        <w:rPr>
          <w:b/>
          <w:bCs/>
          <w:i/>
          <w:iCs/>
        </w:rPr>
        <w:t xml:space="preserve"> IN THIS CASE?</w:t>
      </w:r>
    </w:p>
    <w:p w:rsidR="007E5872" w:rsidRPr="001E3926" w:rsidP="00E514E2" w14:paraId="2A16568D" w14:textId="77777777">
      <w:pPr>
        <w:ind w:left="720" w:hanging="720"/>
        <w:rPr>
          <w:b/>
          <w:bCs/>
          <w:i/>
          <w:iCs/>
        </w:rPr>
      </w:pPr>
    </w:p>
    <w:p w:rsidR="004B00C0" w:rsidRPr="001E3926" w:rsidP="00446F17" w14:paraId="7719A821" w14:textId="7C906708">
      <w:pPr>
        <w:spacing w:line="480" w:lineRule="auto"/>
        <w:ind w:left="720" w:hanging="720"/>
      </w:pPr>
      <w:r w:rsidRPr="001E3926">
        <w:rPr>
          <w:b/>
          <w:bCs/>
          <w:i/>
          <w:iCs/>
        </w:rPr>
        <w:t>A2</w:t>
      </w:r>
      <w:r w:rsidRPr="001E3926" w:rsidR="00291EAF">
        <w:rPr>
          <w:b/>
          <w:bCs/>
          <w:i/>
          <w:iCs/>
        </w:rPr>
        <w:t>8</w:t>
      </w:r>
      <w:r w:rsidRPr="001E3926">
        <w:rPr>
          <w:b/>
          <w:bCs/>
          <w:i/>
          <w:iCs/>
        </w:rPr>
        <w:t>.</w:t>
      </w:r>
      <w:r w:rsidRPr="001E3926">
        <w:rPr>
          <w:b/>
          <w:bCs/>
        </w:rPr>
        <w:tab/>
      </w:r>
      <w:r w:rsidRPr="001E3926">
        <w:t>For the reasons discussed above, the PUCO should conclude that the electric security plan is not more favorable in the aggregate than a market rate offer.</w:t>
      </w:r>
      <w:bookmarkStart w:id="10" w:name="_Toc109308965"/>
      <w:bookmarkStart w:id="11" w:name="_Hlk174611092"/>
    </w:p>
    <w:p w:rsidR="00F20EEF" w:rsidRPr="001E3926" w:rsidP="00343F70" w14:paraId="2E073FED" w14:textId="6DE47F13">
      <w:pPr>
        <w:pStyle w:val="Heading1"/>
      </w:pPr>
      <w:bookmarkStart w:id="12" w:name="_Toc181193291"/>
      <w:r w:rsidRPr="001E3926">
        <w:t>CONCLUSION</w:t>
      </w:r>
      <w:bookmarkEnd w:id="10"/>
      <w:bookmarkEnd w:id="11"/>
      <w:bookmarkEnd w:id="12"/>
    </w:p>
    <w:p w:rsidR="00D03AD5" w:rsidRPr="001E3926" w:rsidP="00BC2F51" w14:paraId="672C3A1E" w14:textId="77777777">
      <w:pPr>
        <w:spacing w:line="480" w:lineRule="auto"/>
        <w:rPr>
          <w:b/>
        </w:rPr>
      </w:pPr>
    </w:p>
    <w:p w:rsidR="006062D0" w:rsidRPr="001E3926" w:rsidP="00BC2F51" w14:paraId="26BE74A1" w14:textId="7B3E2BF2">
      <w:pPr>
        <w:pStyle w:val="Question"/>
        <w:rPr>
          <w:rFonts w:ascii="Times New Roman" w:hAnsi="Times New Roman"/>
        </w:rPr>
      </w:pPr>
      <w:r w:rsidRPr="001E3926">
        <w:rPr>
          <w:rFonts w:ascii="Times New Roman" w:hAnsi="Times New Roman"/>
        </w:rPr>
        <w:t>Q</w:t>
      </w:r>
      <w:r w:rsidRPr="001E3926" w:rsidR="00602933">
        <w:rPr>
          <w:rFonts w:ascii="Times New Roman" w:hAnsi="Times New Roman"/>
        </w:rPr>
        <w:t>2</w:t>
      </w:r>
      <w:r w:rsidRPr="001E3926" w:rsidR="00291EAF">
        <w:rPr>
          <w:rFonts w:ascii="Times New Roman" w:hAnsi="Times New Roman"/>
        </w:rPr>
        <w:t>9</w:t>
      </w:r>
      <w:r w:rsidRPr="001E3926">
        <w:rPr>
          <w:rFonts w:ascii="Times New Roman" w:hAnsi="Times New Roman"/>
        </w:rPr>
        <w:t>.</w:t>
      </w:r>
      <w:r w:rsidRPr="001E3926">
        <w:rPr>
          <w:rFonts w:ascii="Times New Roman" w:hAnsi="Times New Roman"/>
        </w:rPr>
        <w:tab/>
        <w:t>DOES THIS CONCLUDE YOUR TESTIMONY?</w:t>
      </w:r>
    </w:p>
    <w:p w:rsidR="006062D0" w:rsidRPr="001E3926" w:rsidP="00BC2F51" w14:paraId="738D1542" w14:textId="0D867FFF">
      <w:pPr>
        <w:pStyle w:val="BodyTextIndent3"/>
        <w:ind w:left="720" w:hanging="720"/>
        <w:sectPr w:rsidSect="00B538AF">
          <w:headerReference w:type="even" r:id="rId18"/>
          <w:headerReference w:type="default" r:id="rId19"/>
          <w:footerReference w:type="default" r:id="rId20"/>
          <w:headerReference w:type="first" r:id="rId21"/>
          <w:pgSz w:w="12240" w:h="15840" w:code="1"/>
          <w:pgMar w:top="1440" w:right="1800" w:bottom="1440" w:left="1800" w:header="450" w:footer="720" w:gutter="0"/>
          <w:lnNumType w:countBy="1"/>
          <w:pgNumType w:start="1"/>
          <w:cols w:space="720"/>
          <w:docGrid w:linePitch="326"/>
        </w:sectPr>
      </w:pPr>
      <w:r w:rsidRPr="001E3926">
        <w:rPr>
          <w:b/>
          <w:bCs/>
          <w:i/>
          <w:iCs/>
        </w:rPr>
        <w:t>A</w:t>
      </w:r>
      <w:r w:rsidRPr="001E3926" w:rsidR="00602933">
        <w:rPr>
          <w:b/>
          <w:bCs/>
          <w:i/>
          <w:iCs/>
        </w:rPr>
        <w:t>2</w:t>
      </w:r>
      <w:r w:rsidRPr="001E3926" w:rsidR="00291EAF">
        <w:rPr>
          <w:b/>
          <w:bCs/>
          <w:i/>
          <w:iCs/>
        </w:rPr>
        <w:t>9</w:t>
      </w:r>
      <w:r w:rsidRPr="001E3926">
        <w:rPr>
          <w:b/>
          <w:bCs/>
          <w:i/>
          <w:iCs/>
        </w:rPr>
        <w:t>.</w:t>
      </w:r>
      <w:r w:rsidRPr="001E3926">
        <w:rPr>
          <w:b/>
          <w:bCs/>
          <w:i/>
          <w:iCs/>
        </w:rPr>
        <w:tab/>
      </w:r>
      <w:r w:rsidRPr="001E3926">
        <w:t>Yes.</w:t>
      </w:r>
      <w:r w:rsidRPr="001E3926" w:rsidR="00BB6C4F">
        <w:t xml:space="preserve"> </w:t>
      </w:r>
      <w:r w:rsidRPr="001E3926">
        <w:t xml:space="preserve">However, I reserve the right to incorporate new information that may subsequently become available through outstanding discovery </w:t>
      </w:r>
      <w:r w:rsidRPr="001E3926" w:rsidR="001F05AB">
        <w:t xml:space="preserve">requests </w:t>
      </w:r>
      <w:r w:rsidRPr="001E3926">
        <w:t>or otherwise.</w:t>
      </w:r>
    </w:p>
    <w:p w:rsidR="006036C4" w:rsidRPr="001E3926" w:rsidP="006036C4" w14:paraId="27C0AD63" w14:textId="77777777">
      <w:pPr>
        <w:pStyle w:val="BodyA"/>
        <w:spacing w:line="480" w:lineRule="auto"/>
        <w:jc w:val="center"/>
        <w:rPr>
          <w:rFonts w:hAnsi="Times New Roman" w:cs="Times New Roman"/>
          <w:b/>
          <w:bCs/>
          <w:u w:val="single"/>
        </w:rPr>
      </w:pPr>
      <w:r w:rsidRPr="001E3926">
        <w:rPr>
          <w:rFonts w:hAnsi="Times New Roman" w:cs="Times New Roman"/>
          <w:b/>
          <w:bCs/>
          <w:u w:val="single"/>
        </w:rPr>
        <w:t>CERTIFICATE OF SERVICE</w:t>
      </w:r>
    </w:p>
    <w:p w:rsidR="006036C4" w:rsidRPr="001E3926" w:rsidP="006036C4" w14:paraId="25C88968" w14:textId="04F823FC">
      <w:pPr>
        <w:spacing w:line="480" w:lineRule="auto"/>
        <w:ind w:firstLine="720"/>
      </w:pPr>
      <w:r w:rsidRPr="001E3926">
        <w:t>I hereby certify that a copy of this Direct Testimony of Joseph P. Buckley on Behalf of the Office of the Ohio Consumers</w:t>
      </w:r>
      <w:r w:rsidR="001E3926">
        <w:t>’</w:t>
      </w:r>
      <w:r w:rsidRPr="001E3926">
        <w:t xml:space="preserve"> Counsel</w:t>
      </w:r>
      <w:r w:rsidRPr="001E3926">
        <w:rPr>
          <w:i/>
          <w:iCs/>
        </w:rPr>
        <w:t xml:space="preserve"> </w:t>
      </w:r>
      <w:r w:rsidRPr="001E3926">
        <w:t xml:space="preserve">was served on the persons stated below </w:t>
      </w:r>
      <w:r w:rsidRPr="001E3926">
        <w:rPr>
          <w:iCs/>
        </w:rPr>
        <w:t xml:space="preserve">via </w:t>
      </w:r>
      <w:r w:rsidRPr="001E3926">
        <w:t xml:space="preserve">electronic transmission, this </w:t>
      </w:r>
      <w:r w:rsidRPr="001E3926" w:rsidR="00FF7A82">
        <w:t>30</w:t>
      </w:r>
      <w:r w:rsidRPr="001E3926" w:rsidR="00FF7A82">
        <w:rPr>
          <w:vertAlign w:val="superscript"/>
        </w:rPr>
        <w:t>th</w:t>
      </w:r>
      <w:r w:rsidRPr="001E3926" w:rsidR="00FF7A82">
        <w:t xml:space="preserve"> </w:t>
      </w:r>
      <w:r w:rsidRPr="001E3926">
        <w:t>day of October 2024.</w:t>
      </w:r>
    </w:p>
    <w:p w:rsidR="006036C4" w:rsidRPr="001E3926" w:rsidP="006036C4" w14:paraId="194C177A" w14:textId="77777777">
      <w:pPr>
        <w:snapToGrid w:val="0"/>
        <w:ind w:firstLine="5040"/>
      </w:pPr>
      <w:r w:rsidRPr="001E3926">
        <w:rPr>
          <w:i/>
          <w:iCs/>
          <w:u w:val="single"/>
        </w:rPr>
        <w:t>/s/ John Finnigan</w:t>
      </w:r>
    </w:p>
    <w:p w:rsidR="006036C4" w:rsidRPr="001E3926" w:rsidP="006036C4" w14:paraId="172D5BBE" w14:textId="77777777">
      <w:pPr>
        <w:snapToGrid w:val="0"/>
        <w:ind w:firstLine="5040"/>
      </w:pPr>
      <w:r w:rsidRPr="001E3926">
        <w:t>John Finnigan</w:t>
      </w:r>
    </w:p>
    <w:p w:rsidR="006036C4" w:rsidRPr="001E3926" w:rsidP="006036C4" w14:paraId="4225593F" w14:textId="317AB98C">
      <w:pPr>
        <w:snapToGrid w:val="0"/>
      </w:pPr>
      <w:r w:rsidRPr="001E3926">
        <w:tab/>
      </w:r>
      <w:r w:rsidRPr="001E3926">
        <w:tab/>
      </w:r>
      <w:r w:rsidRPr="001E3926">
        <w:tab/>
      </w:r>
      <w:r w:rsidRPr="001E3926">
        <w:tab/>
      </w:r>
      <w:r w:rsidRPr="001E3926">
        <w:tab/>
      </w:r>
      <w:r w:rsidRPr="001E3926">
        <w:tab/>
      </w:r>
      <w:r w:rsidRPr="001E3926">
        <w:tab/>
        <w:t>Assistant Consumers</w:t>
      </w:r>
      <w:r w:rsidR="001E3926">
        <w:t>’</w:t>
      </w:r>
      <w:r w:rsidRPr="001E3926">
        <w:t xml:space="preserve"> Counsel</w:t>
      </w:r>
    </w:p>
    <w:p w:rsidR="006036C4" w:rsidRPr="001E3926" w:rsidP="006036C4" w14:paraId="2DDD9BD5" w14:textId="77777777">
      <w:pPr>
        <w:tabs>
          <w:tab w:val="left" w:pos="4320"/>
        </w:tabs>
      </w:pPr>
    </w:p>
    <w:p w:rsidR="006036C4" w:rsidRPr="001E3926" w:rsidP="006036C4" w14:paraId="29AFFAF8" w14:textId="778F018C">
      <w:r w:rsidRPr="001E3926">
        <w:t>The PUCO</w:t>
      </w:r>
      <w:r w:rsidR="001E3926">
        <w:t>’</w:t>
      </w:r>
      <w:r w:rsidRPr="001E3926">
        <w:t>s e-filing system will electronically serve notice of the filing of this document on the following parties:</w:t>
      </w:r>
    </w:p>
    <w:p w:rsidR="006036C4" w:rsidRPr="001E3926" w:rsidP="006036C4" w14:paraId="5F3BC599" w14:textId="77777777"/>
    <w:p w:rsidR="006036C4" w:rsidRPr="001E3926" w:rsidP="006036C4" w14:paraId="13185FB1" w14:textId="77777777">
      <w:pPr>
        <w:jc w:val="center"/>
        <w:rPr>
          <w:b/>
          <w:bCs/>
          <w:u w:val="single"/>
        </w:rPr>
      </w:pPr>
      <w:r w:rsidRPr="001E3926">
        <w:rPr>
          <w:b/>
          <w:bCs/>
          <w:u w:val="single"/>
        </w:rPr>
        <w:t>SERVICE LIST</w:t>
      </w:r>
    </w:p>
    <w:p w:rsidR="006036C4" w:rsidRPr="001E3926" w:rsidP="006036C4" w14:paraId="291BCC5D" w14:textId="77777777">
      <w:pPr>
        <w:jc w:val="center"/>
        <w:rPr>
          <w:b/>
          <w:bCs/>
          <w:u w:val="single"/>
        </w:rPr>
      </w:pPr>
    </w:p>
    <w:tbl>
      <w:tblPr>
        <w:tblW w:w="8640" w:type="dxa"/>
        <w:tblInd w:w="0" w:type="dxa"/>
        <w:tblCellMar>
          <w:top w:w="0" w:type="dxa"/>
          <w:left w:w="108" w:type="dxa"/>
          <w:bottom w:w="0" w:type="dxa"/>
          <w:right w:w="108" w:type="dxa"/>
        </w:tblCellMar>
        <w:tblLook w:val="04A0"/>
      </w:tblPr>
      <w:tblGrid>
        <w:gridCol w:w="4476"/>
        <w:gridCol w:w="4164"/>
      </w:tblGrid>
      <w:tr w14:paraId="0200BDAE" w14:textId="77777777" w:rsidTr="009E5A41">
        <w:tblPrEx>
          <w:tblW w:w="8640" w:type="dxa"/>
          <w:tblInd w:w="0" w:type="dxa"/>
          <w:tblCellMar>
            <w:top w:w="0" w:type="dxa"/>
            <w:left w:w="108" w:type="dxa"/>
            <w:bottom w:w="0" w:type="dxa"/>
            <w:right w:w="108" w:type="dxa"/>
          </w:tblCellMar>
          <w:tblLook w:val="04A0"/>
        </w:tblPrEx>
        <w:tc>
          <w:tcPr>
            <w:tcW w:w="4320" w:type="dxa"/>
            <w:shd w:val="clear" w:color="auto" w:fill="auto"/>
          </w:tcPr>
          <w:p w:rsidR="006036C4" w:rsidRPr="001E3926" w:rsidP="009E5A41" w14:paraId="2A7BD511" w14:textId="77777777">
            <w:pPr>
              <w:rPr>
                <w:sz w:val="24"/>
                <w:szCs w:val="24"/>
                <w:lang w:val="en-US" w:eastAsia="en-US" w:bidi="ar-SA"/>
              </w:rPr>
            </w:pPr>
            <w:hyperlink r:id="rId22" w:history="1">
              <w:r w:rsidRPr="001E3926">
                <w:rPr>
                  <w:color w:val="0000FF"/>
                  <w:sz w:val="24"/>
                  <w:szCs w:val="24"/>
                  <w:u w:val="single"/>
                  <w:lang w:val="en-US" w:eastAsia="en-US" w:bidi="ar-SA"/>
                </w:rPr>
                <w:t>ambrosia.wilson@ohioago.gov</w:t>
              </w:r>
            </w:hyperlink>
          </w:p>
          <w:p w:rsidR="006036C4" w:rsidRPr="001E3926" w:rsidP="009E5A41" w14:paraId="6BA9B960" w14:textId="77777777">
            <w:pPr>
              <w:rPr>
                <w:sz w:val="24"/>
                <w:szCs w:val="24"/>
                <w:lang w:val="en-US" w:eastAsia="en-US" w:bidi="ar-SA"/>
              </w:rPr>
            </w:pPr>
            <w:hyperlink r:id="rId23" w:history="1">
              <w:r w:rsidRPr="001E3926">
                <w:rPr>
                  <w:color w:val="0000FF"/>
                  <w:sz w:val="24"/>
                  <w:szCs w:val="24"/>
                  <w:u w:val="single"/>
                  <w:lang w:val="en-US" w:eastAsia="en-US" w:bidi="ar-SA"/>
                </w:rPr>
                <w:t>janet.gregory@ohioago.gov</w:t>
              </w:r>
            </w:hyperlink>
          </w:p>
          <w:p w:rsidR="006036C4" w:rsidRPr="001E3926" w:rsidP="009E5A41" w14:paraId="69398DA9" w14:textId="77777777">
            <w:pPr>
              <w:rPr>
                <w:bCs/>
                <w:color w:val="0000FF"/>
                <w:sz w:val="24"/>
                <w:szCs w:val="24"/>
                <w:u w:val="single"/>
                <w:lang w:val="en-US" w:eastAsia="en-US" w:bidi="ar-SA"/>
              </w:rPr>
            </w:pPr>
            <w:r w:rsidRPr="001E3926">
              <w:rPr>
                <w:bCs/>
                <w:color w:val="0000FF"/>
                <w:sz w:val="24"/>
                <w:szCs w:val="24"/>
                <w:u w:val="single"/>
                <w:lang w:val="en-US" w:eastAsia="en-US" w:bidi="ar-SA"/>
              </w:rPr>
              <w:t>connor.semple@ohioago.gov</w:t>
            </w:r>
          </w:p>
          <w:p w:rsidR="006036C4" w:rsidRPr="001E3926" w:rsidP="009E5A41" w14:paraId="5FFC7AEA" w14:textId="77777777">
            <w:pPr>
              <w:rPr>
                <w:sz w:val="24"/>
                <w:szCs w:val="24"/>
                <w:lang w:val="en-US" w:eastAsia="en-US" w:bidi="ar-SA"/>
              </w:rPr>
            </w:pPr>
            <w:hyperlink r:id="rId24" w:history="1">
              <w:r w:rsidRPr="001E3926">
                <w:rPr>
                  <w:color w:val="0000FF"/>
                  <w:sz w:val="24"/>
                  <w:szCs w:val="24"/>
                  <w:u w:val="single"/>
                  <w:lang w:val="en-US" w:eastAsia="en-US" w:bidi="ar-SA"/>
                </w:rPr>
                <w:t>knordstrom@theOEC.org</w:t>
              </w:r>
            </w:hyperlink>
          </w:p>
          <w:p w:rsidR="006036C4" w:rsidRPr="001E3926" w:rsidP="009E5A41" w14:paraId="740439C6" w14:textId="77777777">
            <w:pPr>
              <w:rPr>
                <w:color w:val="0000FF"/>
                <w:sz w:val="24"/>
                <w:szCs w:val="24"/>
                <w:u w:val="single"/>
                <w:lang w:val="en-US" w:eastAsia="en-US" w:bidi="ar-SA"/>
              </w:rPr>
            </w:pPr>
            <w:hyperlink r:id="rId25" w:history="1">
              <w:r w:rsidRPr="001E3926">
                <w:rPr>
                  <w:color w:val="0000FF"/>
                  <w:sz w:val="24"/>
                  <w:szCs w:val="24"/>
                  <w:u w:val="single"/>
                  <w:lang w:val="en-US" w:eastAsia="en-US" w:bidi="ar-SA"/>
                </w:rPr>
                <w:t>ctavenor@theOEC.org</w:t>
              </w:r>
            </w:hyperlink>
          </w:p>
          <w:p w:rsidR="006036C4" w:rsidRPr="001E3926" w:rsidP="009E5A41" w14:paraId="612947CE" w14:textId="77777777">
            <w:pPr>
              <w:rPr>
                <w:sz w:val="24"/>
                <w:szCs w:val="24"/>
                <w:lang w:val="en-US" w:eastAsia="en-US" w:bidi="ar-SA"/>
              </w:rPr>
            </w:pPr>
            <w:hyperlink r:id="rId26" w:history="1">
              <w:r w:rsidRPr="001E3926">
                <w:rPr>
                  <w:color w:val="0000FF"/>
                  <w:sz w:val="24"/>
                  <w:szCs w:val="24"/>
                  <w:u w:val="single"/>
                  <w:lang w:val="en-US" w:eastAsia="en-US" w:bidi="ar-SA"/>
                </w:rPr>
                <w:t>jdunn@oneenergyllc.com</w:t>
              </w:r>
            </w:hyperlink>
          </w:p>
          <w:p w:rsidR="006036C4" w:rsidRPr="001E3926" w:rsidP="009E5A41" w14:paraId="07B492D0" w14:textId="77777777">
            <w:pPr>
              <w:rPr>
                <w:color w:val="0000FF"/>
                <w:sz w:val="24"/>
                <w:szCs w:val="24"/>
                <w:u w:val="single"/>
                <w:lang w:val="en-US" w:eastAsia="en-US" w:bidi="ar-SA"/>
              </w:rPr>
            </w:pPr>
            <w:hyperlink r:id="rId27" w:history="1">
              <w:r w:rsidRPr="001E3926">
                <w:rPr>
                  <w:color w:val="0000FF"/>
                  <w:sz w:val="24"/>
                  <w:szCs w:val="24"/>
                  <w:u w:val="single"/>
                  <w:lang w:val="en-US" w:eastAsia="en-US" w:bidi="ar-SA"/>
                </w:rPr>
                <w:t>ktreadway@oneenergyllc.com</w:t>
              </w:r>
            </w:hyperlink>
          </w:p>
          <w:p w:rsidR="006036C4" w:rsidRPr="001E3926" w:rsidP="009E5A41" w14:paraId="3570FB66" w14:textId="77777777">
            <w:pPr>
              <w:rPr>
                <w:color w:val="0000FF"/>
                <w:sz w:val="24"/>
                <w:szCs w:val="24"/>
                <w:u w:val="single"/>
                <w:lang w:val="en-US" w:eastAsia="en-US" w:bidi="ar-SA"/>
              </w:rPr>
            </w:pPr>
            <w:hyperlink r:id="rId28" w:history="1">
              <w:r w:rsidRPr="001E3926">
                <w:rPr>
                  <w:color w:val="0000FF"/>
                  <w:sz w:val="24"/>
                  <w:szCs w:val="24"/>
                  <w:u w:val="single"/>
                  <w:lang w:val="en-US" w:eastAsia="en-US" w:bidi="ar-SA"/>
                </w:rPr>
                <w:t>emcconnell@elpc.org</w:t>
              </w:r>
            </w:hyperlink>
          </w:p>
          <w:p w:rsidR="006036C4" w:rsidRPr="001E3926" w:rsidP="009E5A41" w14:paraId="4A69369F" w14:textId="77777777">
            <w:pPr>
              <w:rPr>
                <w:color w:val="0000FF"/>
                <w:sz w:val="24"/>
                <w:szCs w:val="24"/>
                <w:u w:val="single"/>
                <w:lang w:val="en-US" w:eastAsia="en-US" w:bidi="ar-SA"/>
              </w:rPr>
            </w:pPr>
            <w:r w:rsidRPr="001E3926">
              <w:rPr>
                <w:color w:val="0000FF"/>
                <w:sz w:val="24"/>
                <w:szCs w:val="24"/>
                <w:u w:val="single"/>
                <w:lang w:val="en-US" w:eastAsia="en-US" w:bidi="ar-SA"/>
              </w:rPr>
              <w:t>EWalton@elpc.org</w:t>
            </w:r>
          </w:p>
          <w:p w:rsidR="006036C4" w:rsidRPr="001E3926" w:rsidP="009E5A41" w14:paraId="41613EF0" w14:textId="77777777">
            <w:pPr>
              <w:rPr>
                <w:color w:val="0000FF"/>
                <w:sz w:val="24"/>
                <w:szCs w:val="24"/>
                <w:u w:val="single"/>
                <w:lang w:val="en-US" w:eastAsia="en-US" w:bidi="ar-SA"/>
              </w:rPr>
            </w:pPr>
            <w:hyperlink r:id="rId29" w:history="1">
              <w:r w:rsidRPr="001E3926">
                <w:rPr>
                  <w:color w:val="0000FF"/>
                  <w:sz w:val="24"/>
                  <w:szCs w:val="24"/>
                  <w:u w:val="single"/>
                  <w:lang w:val="en-US" w:eastAsia="en-US" w:bidi="ar-SA"/>
                </w:rPr>
                <w:t>trent@hubaydougherty.com</w:t>
              </w:r>
            </w:hyperlink>
          </w:p>
          <w:p w:rsidR="006036C4" w:rsidRPr="001E3926" w:rsidP="009E5A41" w14:paraId="4AB85A79" w14:textId="77777777">
            <w:pPr>
              <w:rPr>
                <w:color w:val="0000FF"/>
                <w:sz w:val="24"/>
                <w:szCs w:val="24"/>
                <w:u w:val="single"/>
                <w:lang w:val="en-US" w:eastAsia="en-US" w:bidi="ar-SA"/>
              </w:rPr>
            </w:pPr>
            <w:hyperlink r:id="rId30" w:history="1">
              <w:r w:rsidRPr="001E3926">
                <w:rPr>
                  <w:color w:val="0000FF"/>
                  <w:sz w:val="24"/>
                  <w:szCs w:val="24"/>
                  <w:u w:val="single"/>
                  <w:lang w:val="en-US" w:eastAsia="en-US" w:bidi="ar-SA"/>
                </w:rPr>
                <w:t>Paul@carpenterlipps.com</w:t>
              </w:r>
            </w:hyperlink>
          </w:p>
          <w:p w:rsidR="006036C4" w:rsidRPr="001E3926" w:rsidP="009E5A41" w14:paraId="1D73B345" w14:textId="77777777">
            <w:pPr>
              <w:rPr>
                <w:color w:val="0000FF"/>
                <w:sz w:val="24"/>
                <w:szCs w:val="24"/>
                <w:u w:val="single"/>
                <w:lang w:val="en-US" w:eastAsia="en-US" w:bidi="ar-SA"/>
              </w:rPr>
            </w:pPr>
            <w:hyperlink r:id="rId31" w:history="1">
              <w:r w:rsidRPr="001E3926">
                <w:rPr>
                  <w:color w:val="0000FF"/>
                  <w:sz w:val="24"/>
                  <w:szCs w:val="24"/>
                  <w:u w:val="single"/>
                  <w:lang w:val="en-US" w:eastAsia="en-US" w:bidi="ar-SA"/>
                </w:rPr>
                <w:t>brian.gibbs@nationwideenergypartners.com</w:t>
              </w:r>
            </w:hyperlink>
          </w:p>
          <w:p w:rsidR="006036C4" w:rsidRPr="001E3926" w:rsidP="009E5A41" w14:paraId="7AB11356" w14:textId="77777777">
            <w:pPr>
              <w:rPr>
                <w:color w:val="0000FF"/>
                <w:sz w:val="24"/>
                <w:szCs w:val="24"/>
                <w:u w:val="single"/>
                <w:lang w:val="en-US" w:eastAsia="en-US" w:bidi="ar-SA"/>
              </w:rPr>
            </w:pPr>
            <w:hyperlink r:id="rId32" w:history="1">
              <w:r w:rsidRPr="001E3926">
                <w:rPr>
                  <w:color w:val="0000FF"/>
                  <w:sz w:val="24"/>
                  <w:szCs w:val="24"/>
                  <w:u w:val="single"/>
                  <w:lang w:val="en-US" w:eastAsia="en-US" w:bidi="ar-SA"/>
                </w:rPr>
                <w:t>kevin.frank@cincinnati-oh.gov</w:t>
              </w:r>
            </w:hyperlink>
          </w:p>
          <w:p w:rsidR="006036C4" w:rsidRPr="001E3926" w:rsidP="009E5A41" w14:paraId="763FD010" w14:textId="77777777">
            <w:pPr>
              <w:rPr>
                <w:sz w:val="24"/>
                <w:szCs w:val="24"/>
                <w:lang w:val="en-US" w:eastAsia="en-US" w:bidi="ar-SA"/>
              </w:rPr>
            </w:pPr>
            <w:hyperlink r:id="rId33" w:history="1">
              <w:r w:rsidRPr="001E3926">
                <w:rPr>
                  <w:color w:val="0000FF"/>
                  <w:sz w:val="24"/>
                  <w:szCs w:val="24"/>
                  <w:u w:val="single"/>
                  <w:lang w:val="en-US" w:eastAsia="en-US" w:bidi="ar-SA"/>
                </w:rPr>
                <w:t>mpritchard@mcneeslaw.com</w:t>
              </w:r>
            </w:hyperlink>
          </w:p>
          <w:p w:rsidR="006036C4" w:rsidRPr="001E3926" w:rsidP="009E5A41" w14:paraId="091DDF8A" w14:textId="77777777">
            <w:pPr>
              <w:rPr>
                <w:color w:val="0000FF"/>
                <w:sz w:val="24"/>
                <w:szCs w:val="24"/>
                <w:u w:val="single"/>
                <w:lang w:val="en-US" w:eastAsia="en-US" w:bidi="ar-SA"/>
              </w:rPr>
            </w:pPr>
            <w:r w:rsidRPr="001E3926">
              <w:rPr>
                <w:color w:val="0000FF"/>
                <w:sz w:val="24"/>
                <w:szCs w:val="24"/>
                <w:u w:val="single"/>
                <w:lang w:val="en-US" w:eastAsia="en-US" w:bidi="ar-SA"/>
              </w:rPr>
              <w:t>rdove@keglerbrown.com</w:t>
            </w:r>
          </w:p>
          <w:p w:rsidR="006036C4" w:rsidRPr="001E3926" w:rsidP="009E5A41" w14:paraId="5A156FFF" w14:textId="77777777">
            <w:pPr>
              <w:rPr>
                <w:sz w:val="24"/>
                <w:szCs w:val="24"/>
                <w:lang w:val="en-US" w:eastAsia="en-US" w:bidi="ar-SA"/>
              </w:rPr>
            </w:pPr>
          </w:p>
          <w:p w:rsidR="006036C4" w:rsidRPr="001E3926" w:rsidP="009E5A41" w14:paraId="037672B1" w14:textId="77777777">
            <w:pPr>
              <w:rPr>
                <w:sz w:val="24"/>
                <w:szCs w:val="24"/>
                <w:lang w:val="en-US" w:eastAsia="en-US" w:bidi="ar-SA"/>
              </w:rPr>
            </w:pPr>
            <w:r w:rsidRPr="001E3926">
              <w:rPr>
                <w:sz w:val="24"/>
                <w:szCs w:val="24"/>
                <w:lang w:val="en-US" w:eastAsia="en-US" w:bidi="ar-SA"/>
              </w:rPr>
              <w:t>Administrative Law Judges:</w:t>
            </w:r>
          </w:p>
          <w:p w:rsidR="006036C4" w:rsidRPr="001E3926" w:rsidP="009E5A41" w14:paraId="721A96BC" w14:textId="77777777">
            <w:pPr>
              <w:rPr>
                <w:sz w:val="24"/>
                <w:szCs w:val="24"/>
                <w:lang w:val="en-US" w:eastAsia="en-US" w:bidi="ar-SA"/>
              </w:rPr>
            </w:pPr>
            <w:hyperlink r:id="rId34" w:history="1">
              <w:r w:rsidRPr="001E3926">
                <w:rPr>
                  <w:color w:val="0000FF"/>
                  <w:sz w:val="24"/>
                  <w:szCs w:val="24"/>
                  <w:u w:val="single"/>
                  <w:lang w:val="en-US" w:eastAsia="en-US" w:bidi="ar-SA"/>
                </w:rPr>
                <w:t>matthew.sandor@puco.ohio.gov</w:t>
              </w:r>
            </w:hyperlink>
          </w:p>
          <w:p w:rsidR="006036C4" w:rsidRPr="001E3926" w:rsidP="009E5A41" w14:paraId="0115B179" w14:textId="77777777">
            <w:pPr>
              <w:rPr>
                <w:color w:val="0000FF"/>
                <w:sz w:val="24"/>
                <w:szCs w:val="24"/>
                <w:u w:val="single"/>
                <w:lang w:val="en-US" w:eastAsia="en-US" w:bidi="ar-SA"/>
              </w:rPr>
            </w:pPr>
            <w:hyperlink r:id="rId35" w:history="1">
              <w:r w:rsidRPr="001E3926">
                <w:rPr>
                  <w:color w:val="0000FF"/>
                  <w:sz w:val="24"/>
                  <w:szCs w:val="24"/>
                  <w:u w:val="single"/>
                  <w:lang w:val="en-US" w:eastAsia="en-US" w:bidi="ar-SA"/>
                </w:rPr>
                <w:t>nicholas.walstra@puco.ohio.gov</w:t>
              </w:r>
            </w:hyperlink>
          </w:p>
          <w:p w:rsidR="006036C4" w:rsidRPr="001E3926" w:rsidP="009E5A41" w14:paraId="38461625" w14:textId="77777777">
            <w:pPr>
              <w:rPr>
                <w:sz w:val="24"/>
                <w:szCs w:val="24"/>
                <w:lang w:val="en-US" w:eastAsia="en-US" w:bidi="ar-SA"/>
              </w:rPr>
            </w:pPr>
            <w:hyperlink r:id="rId36" w:history="1">
              <w:r w:rsidRPr="001E3926">
                <w:rPr>
                  <w:rStyle w:val="Hyperlink"/>
                  <w:color w:val="0000FF"/>
                  <w:sz w:val="24"/>
                  <w:szCs w:val="24"/>
                  <w:u w:val="single"/>
                  <w:lang w:val="en-US" w:eastAsia="en-US" w:bidi="ar-SA"/>
                </w:rPr>
                <w:t>clint.white@puco.ohio.gov</w:t>
              </w:r>
            </w:hyperlink>
          </w:p>
          <w:p w:rsidR="006036C4" w:rsidRPr="001E3926" w:rsidP="009E5A41" w14:paraId="73CC6334" w14:textId="77777777">
            <w:pPr>
              <w:rPr>
                <w:sz w:val="24"/>
                <w:szCs w:val="24"/>
                <w:lang w:val="en-US" w:eastAsia="en-US" w:bidi="ar-SA"/>
              </w:rPr>
            </w:pPr>
          </w:p>
          <w:p w:rsidR="006036C4" w:rsidRPr="001E3926" w:rsidP="009E5A41" w14:paraId="0306BE6D" w14:textId="77777777">
            <w:pPr>
              <w:rPr>
                <w:sz w:val="24"/>
                <w:szCs w:val="24"/>
                <w:lang w:val="en-US" w:eastAsia="en-US" w:bidi="ar-SA"/>
              </w:rPr>
            </w:pPr>
          </w:p>
          <w:p w:rsidR="006036C4" w:rsidRPr="001E3926" w:rsidP="009E5A41" w14:paraId="34C40AE1" w14:textId="77777777">
            <w:pPr>
              <w:rPr>
                <w:sz w:val="24"/>
                <w:szCs w:val="24"/>
                <w:lang w:val="en-US" w:eastAsia="en-US" w:bidi="ar-SA"/>
              </w:rPr>
            </w:pPr>
          </w:p>
          <w:p w:rsidR="006036C4" w:rsidRPr="001E3926" w:rsidP="009E5A41" w14:paraId="5FE224D1" w14:textId="77777777">
            <w:pPr>
              <w:rPr>
                <w:bCs/>
                <w:sz w:val="24"/>
                <w:szCs w:val="24"/>
                <w:lang w:val="en-US" w:eastAsia="en-US" w:bidi="ar-SA"/>
              </w:rPr>
            </w:pPr>
          </w:p>
          <w:p w:rsidR="006036C4" w:rsidRPr="001E3926" w:rsidP="009E5A41" w14:paraId="01AB56EC" w14:textId="77777777">
            <w:pPr>
              <w:rPr>
                <w:bCs/>
                <w:sz w:val="24"/>
                <w:szCs w:val="24"/>
                <w:lang w:val="en-US" w:eastAsia="en-US" w:bidi="ar-SA"/>
              </w:rPr>
            </w:pPr>
          </w:p>
        </w:tc>
        <w:tc>
          <w:tcPr>
            <w:tcW w:w="4320" w:type="dxa"/>
            <w:shd w:val="clear" w:color="auto" w:fill="auto"/>
          </w:tcPr>
          <w:p w:rsidR="006036C4" w:rsidRPr="001E3926" w:rsidP="009E5A41" w14:paraId="25324BEA" w14:textId="77777777">
            <w:pPr>
              <w:ind w:left="192"/>
              <w:rPr>
                <w:sz w:val="24"/>
                <w:szCs w:val="24"/>
                <w:lang w:val="en-US" w:eastAsia="en-US" w:bidi="ar-SA"/>
              </w:rPr>
            </w:pPr>
            <w:hyperlink r:id="rId37" w:history="1">
              <w:r w:rsidRPr="001E3926">
                <w:rPr>
                  <w:color w:val="0000FF"/>
                  <w:sz w:val="24"/>
                  <w:szCs w:val="24"/>
                  <w:u w:val="single"/>
                  <w:lang w:val="en-US" w:eastAsia="en-US" w:bidi="ar-SA"/>
                </w:rPr>
                <w:t>rocco.dascenzo@duke-energy.com</w:t>
              </w:r>
            </w:hyperlink>
          </w:p>
          <w:p w:rsidR="006036C4" w:rsidRPr="001E3926" w:rsidP="009E5A41" w14:paraId="159721FC" w14:textId="77777777">
            <w:pPr>
              <w:ind w:left="192"/>
              <w:rPr>
                <w:sz w:val="24"/>
                <w:szCs w:val="24"/>
                <w:lang w:val="en-US" w:eastAsia="en-US" w:bidi="ar-SA"/>
              </w:rPr>
            </w:pPr>
            <w:hyperlink r:id="rId38" w:history="1">
              <w:r w:rsidRPr="001E3926">
                <w:rPr>
                  <w:color w:val="0000FF"/>
                  <w:sz w:val="24"/>
                  <w:szCs w:val="24"/>
                  <w:u w:val="single"/>
                  <w:lang w:val="en-US" w:eastAsia="en-US" w:bidi="ar-SA"/>
                </w:rPr>
                <w:t>jeanne.kingery@duke-energy.com</w:t>
              </w:r>
            </w:hyperlink>
          </w:p>
          <w:p w:rsidR="006036C4" w:rsidRPr="001E3926" w:rsidP="009E5A41" w14:paraId="61FF8016" w14:textId="77777777">
            <w:pPr>
              <w:ind w:left="192"/>
              <w:rPr>
                <w:sz w:val="24"/>
                <w:szCs w:val="24"/>
                <w:lang w:val="en-US" w:eastAsia="en-US" w:bidi="ar-SA"/>
              </w:rPr>
            </w:pPr>
            <w:hyperlink r:id="rId39" w:history="1">
              <w:r w:rsidRPr="001E3926">
                <w:rPr>
                  <w:color w:val="0000FF"/>
                  <w:sz w:val="24"/>
                  <w:szCs w:val="24"/>
                  <w:u w:val="single"/>
                  <w:lang w:val="en-US" w:eastAsia="en-US" w:bidi="ar-SA"/>
                </w:rPr>
                <w:t>larisa.vaysman@duke-energy.com</w:t>
              </w:r>
            </w:hyperlink>
          </w:p>
          <w:p w:rsidR="006036C4" w:rsidRPr="001E3926" w:rsidP="009E5A41" w14:paraId="21E1A708" w14:textId="77777777">
            <w:pPr>
              <w:ind w:left="192"/>
              <w:rPr>
                <w:sz w:val="24"/>
                <w:szCs w:val="24"/>
                <w:lang w:val="en-US" w:eastAsia="en-US" w:bidi="ar-SA"/>
              </w:rPr>
            </w:pPr>
            <w:hyperlink r:id="rId40" w:history="1">
              <w:r w:rsidRPr="001E3926">
                <w:rPr>
                  <w:color w:val="0000FF"/>
                  <w:sz w:val="24"/>
                  <w:szCs w:val="24"/>
                  <w:u w:val="single"/>
                  <w:lang w:val="en-US" w:eastAsia="en-US" w:bidi="ar-SA"/>
                </w:rPr>
                <w:t>elyse.akhbari@duke-energy.com</w:t>
              </w:r>
            </w:hyperlink>
          </w:p>
          <w:p w:rsidR="006036C4" w:rsidRPr="001E3926" w:rsidP="009E5A41" w14:paraId="68D1ABFB" w14:textId="77777777">
            <w:pPr>
              <w:ind w:left="192"/>
              <w:rPr>
                <w:sz w:val="24"/>
                <w:szCs w:val="24"/>
                <w:lang w:val="en-US" w:eastAsia="en-US" w:bidi="ar-SA"/>
              </w:rPr>
            </w:pPr>
            <w:hyperlink r:id="rId41" w:history="1">
              <w:r w:rsidRPr="001E3926">
                <w:rPr>
                  <w:color w:val="0000FF"/>
                  <w:sz w:val="24"/>
                  <w:szCs w:val="24"/>
                  <w:u w:val="single"/>
                  <w:lang w:val="en-US" w:eastAsia="en-US" w:bidi="ar-SA"/>
                </w:rPr>
                <w:t>mkurtz@BKLlawfirm.com</w:t>
              </w:r>
            </w:hyperlink>
          </w:p>
          <w:p w:rsidR="006036C4" w:rsidRPr="001E3926" w:rsidP="009E5A41" w14:paraId="4EBFA05D" w14:textId="77777777">
            <w:pPr>
              <w:ind w:left="192"/>
              <w:rPr>
                <w:color w:val="0000FF"/>
                <w:sz w:val="24"/>
                <w:szCs w:val="24"/>
                <w:u w:val="single"/>
                <w:lang w:val="en-US" w:eastAsia="en-US" w:bidi="ar-SA"/>
              </w:rPr>
            </w:pPr>
            <w:hyperlink r:id="rId42" w:history="1">
              <w:r w:rsidRPr="001E3926">
                <w:rPr>
                  <w:color w:val="0000FF"/>
                  <w:sz w:val="24"/>
                  <w:szCs w:val="24"/>
                  <w:u w:val="single"/>
                  <w:lang w:val="en-US" w:eastAsia="en-US" w:bidi="ar-SA"/>
                </w:rPr>
                <w:t>jkylercohn@BKLlawfirm.com</w:t>
              </w:r>
            </w:hyperlink>
          </w:p>
          <w:p w:rsidR="006036C4" w:rsidRPr="001E3926" w:rsidP="009E5A41" w14:paraId="2877E402" w14:textId="77777777">
            <w:pPr>
              <w:ind w:left="192"/>
              <w:rPr>
                <w:sz w:val="24"/>
                <w:szCs w:val="24"/>
                <w:lang w:val="en-US" w:eastAsia="en-US" w:bidi="ar-SA"/>
              </w:rPr>
            </w:pPr>
            <w:hyperlink r:id="rId43" w:history="1">
              <w:r w:rsidRPr="001E3926">
                <w:rPr>
                  <w:color w:val="0000FF"/>
                  <w:sz w:val="24"/>
                  <w:szCs w:val="24"/>
                  <w:u w:val="single"/>
                  <w:lang w:val="en-US" w:eastAsia="en-US" w:bidi="ar-SA"/>
                </w:rPr>
                <w:t>dproano@bakerlaw.com</w:t>
              </w:r>
            </w:hyperlink>
          </w:p>
          <w:p w:rsidR="006036C4" w:rsidRPr="001E3926" w:rsidP="009E5A41" w14:paraId="1A72DA80" w14:textId="77777777">
            <w:pPr>
              <w:ind w:left="192"/>
              <w:rPr>
                <w:color w:val="0000FF"/>
                <w:sz w:val="24"/>
                <w:szCs w:val="24"/>
                <w:u w:val="single"/>
                <w:lang w:val="en-US" w:eastAsia="en-US" w:bidi="ar-SA"/>
              </w:rPr>
            </w:pPr>
            <w:hyperlink r:id="rId44" w:history="1">
              <w:r w:rsidRPr="001E3926">
                <w:rPr>
                  <w:color w:val="0000FF"/>
                  <w:sz w:val="24"/>
                  <w:szCs w:val="24"/>
                  <w:u w:val="single"/>
                  <w:lang w:val="en-US" w:eastAsia="en-US" w:bidi="ar-SA"/>
                </w:rPr>
                <w:t>pwillison@bakerlaw.com</w:t>
              </w:r>
            </w:hyperlink>
          </w:p>
          <w:p w:rsidR="006036C4" w:rsidRPr="001E3926" w:rsidP="009E5A41" w14:paraId="433515B3" w14:textId="77777777">
            <w:pPr>
              <w:ind w:left="192"/>
              <w:rPr>
                <w:sz w:val="24"/>
                <w:szCs w:val="24"/>
                <w:lang w:val="en-US" w:eastAsia="en-US" w:bidi="ar-SA"/>
              </w:rPr>
            </w:pPr>
            <w:hyperlink r:id="rId45" w:history="1">
              <w:r w:rsidRPr="001E3926">
                <w:rPr>
                  <w:color w:val="0000FF"/>
                  <w:sz w:val="24"/>
                  <w:szCs w:val="24"/>
                  <w:u w:val="single"/>
                  <w:lang w:val="en-US" w:eastAsia="en-US" w:bidi="ar-SA"/>
                </w:rPr>
                <w:t>bojko@carpenterlipps.com</w:t>
              </w:r>
            </w:hyperlink>
          </w:p>
          <w:p w:rsidR="006036C4" w:rsidRPr="001E3926" w:rsidP="009E5A41" w14:paraId="668E4C84" w14:textId="77777777">
            <w:pPr>
              <w:ind w:left="192"/>
              <w:rPr>
                <w:sz w:val="24"/>
                <w:szCs w:val="24"/>
                <w:lang w:val="en-US" w:eastAsia="en-US" w:bidi="ar-SA"/>
              </w:rPr>
            </w:pPr>
            <w:hyperlink r:id="rId46" w:history="1">
              <w:r w:rsidRPr="001E3926">
                <w:rPr>
                  <w:color w:val="0000FF"/>
                  <w:sz w:val="24"/>
                  <w:szCs w:val="24"/>
                  <w:u w:val="single"/>
                  <w:lang w:val="en-US" w:eastAsia="en-US" w:bidi="ar-SA"/>
                </w:rPr>
                <w:t>easley@carpenterlipps.com</w:t>
              </w:r>
            </w:hyperlink>
          </w:p>
          <w:p w:rsidR="006036C4" w:rsidRPr="001E3926" w:rsidP="009E5A41" w14:paraId="7C1A51A5" w14:textId="77777777">
            <w:pPr>
              <w:ind w:left="192"/>
              <w:rPr>
                <w:sz w:val="24"/>
                <w:szCs w:val="24"/>
                <w:lang w:val="en-US" w:eastAsia="en-US" w:bidi="ar-SA"/>
              </w:rPr>
            </w:pPr>
            <w:hyperlink r:id="rId47" w:history="1">
              <w:r w:rsidRPr="001E3926">
                <w:rPr>
                  <w:color w:val="0000FF"/>
                  <w:sz w:val="24"/>
                  <w:szCs w:val="24"/>
                  <w:u w:val="single"/>
                  <w:lang w:val="en-US" w:eastAsia="en-US" w:bidi="ar-SA"/>
                </w:rPr>
                <w:t>stacie.cathcart@igs.com</w:t>
              </w:r>
            </w:hyperlink>
          </w:p>
          <w:p w:rsidR="006036C4" w:rsidRPr="001E3926" w:rsidP="009E5A41" w14:paraId="18BB2426" w14:textId="77777777">
            <w:pPr>
              <w:ind w:left="192"/>
              <w:rPr>
                <w:color w:val="0000FF"/>
                <w:sz w:val="24"/>
                <w:szCs w:val="24"/>
                <w:u w:val="single"/>
                <w:lang w:val="en-US" w:eastAsia="en-US" w:bidi="ar-SA"/>
              </w:rPr>
            </w:pPr>
            <w:hyperlink r:id="rId48" w:history="1">
              <w:r w:rsidRPr="001E3926">
                <w:rPr>
                  <w:color w:val="0000FF"/>
                  <w:sz w:val="24"/>
                  <w:szCs w:val="24"/>
                  <w:u w:val="single"/>
                  <w:lang w:val="en-US" w:eastAsia="en-US" w:bidi="ar-SA"/>
                </w:rPr>
                <w:t>natalia.messenger@igs.com</w:t>
              </w:r>
            </w:hyperlink>
          </w:p>
          <w:p w:rsidR="006036C4" w:rsidRPr="001E3926" w:rsidP="009E5A41" w14:paraId="5E668D5C" w14:textId="77777777">
            <w:pPr>
              <w:ind w:left="192"/>
              <w:rPr>
                <w:color w:val="0000FF"/>
                <w:sz w:val="24"/>
                <w:szCs w:val="24"/>
                <w:u w:val="single"/>
                <w:lang w:val="en-US" w:eastAsia="en-US" w:bidi="ar-SA"/>
              </w:rPr>
            </w:pPr>
            <w:hyperlink r:id="rId49" w:history="1">
              <w:r w:rsidRPr="001E3926">
                <w:rPr>
                  <w:color w:val="0000FF"/>
                  <w:sz w:val="24"/>
                  <w:szCs w:val="24"/>
                  <w:u w:val="single"/>
                  <w:lang w:val="en-US" w:eastAsia="en-US" w:bidi="ar-SA"/>
                </w:rPr>
                <w:t>mjsettineri@vorys.com</w:t>
              </w:r>
            </w:hyperlink>
          </w:p>
          <w:p w:rsidR="006036C4" w:rsidRPr="001E3926" w:rsidP="009E5A41" w14:paraId="1F49EE2C" w14:textId="77777777">
            <w:pPr>
              <w:ind w:left="192"/>
              <w:rPr>
                <w:rFonts w:eastAsia="Calibri"/>
                <w:color w:val="0000FF"/>
                <w:sz w:val="24"/>
                <w:szCs w:val="24"/>
                <w:u w:val="single"/>
                <w:lang w:val="en-US" w:eastAsia="en-US" w:bidi="ar-SA"/>
              </w:rPr>
            </w:pPr>
            <w:hyperlink r:id="rId50" w:history="1">
              <w:r w:rsidRPr="001E3926">
                <w:rPr>
                  <w:rFonts w:eastAsia="Calibri"/>
                  <w:color w:val="0000FF"/>
                  <w:sz w:val="24"/>
                  <w:szCs w:val="24"/>
                  <w:u w:val="single"/>
                  <w:lang w:val="en-US" w:eastAsia="en-US" w:bidi="ar-SA"/>
                </w:rPr>
                <w:t>glpetrucci@vorys.com</w:t>
              </w:r>
            </w:hyperlink>
          </w:p>
          <w:p w:rsidR="006036C4" w:rsidRPr="001E3926" w:rsidP="009E5A41" w14:paraId="7242C91A" w14:textId="77777777">
            <w:pPr>
              <w:ind w:left="192"/>
              <w:rPr>
                <w:rFonts w:eastAsia="Calibri"/>
                <w:color w:val="0000FF"/>
                <w:sz w:val="24"/>
                <w:szCs w:val="24"/>
                <w:u w:val="single"/>
                <w:lang w:val="en-US" w:eastAsia="en-US" w:bidi="ar-SA"/>
              </w:rPr>
            </w:pPr>
            <w:hyperlink r:id="rId51" w:history="1">
              <w:r w:rsidRPr="001E3926">
                <w:rPr>
                  <w:rFonts w:eastAsia="Calibri"/>
                  <w:color w:val="0000FF"/>
                  <w:sz w:val="24"/>
                  <w:szCs w:val="24"/>
                  <w:u w:val="single"/>
                  <w:lang w:val="en-US" w:eastAsia="en-US" w:bidi="ar-SA"/>
                </w:rPr>
                <w:t>jreckert@vorys.com</w:t>
              </w:r>
            </w:hyperlink>
          </w:p>
          <w:p w:rsidR="006036C4" w:rsidRPr="001E3926" w:rsidP="009E5A41" w14:paraId="0729D05A" w14:textId="77777777">
            <w:pPr>
              <w:ind w:left="192"/>
              <w:rPr>
                <w:rFonts w:eastAsia="Calibri"/>
                <w:color w:val="0000FF"/>
                <w:sz w:val="24"/>
                <w:szCs w:val="24"/>
                <w:u w:val="single"/>
                <w:lang w:val="en-US" w:eastAsia="en-US" w:bidi="ar-SA"/>
              </w:rPr>
            </w:pPr>
            <w:hyperlink r:id="rId52" w:history="1">
              <w:r w:rsidRPr="001E3926">
                <w:rPr>
                  <w:rFonts w:eastAsia="Calibri"/>
                  <w:color w:val="0000FF"/>
                  <w:sz w:val="24"/>
                  <w:szCs w:val="24"/>
                  <w:u w:val="single"/>
                  <w:lang w:val="en-US" w:eastAsia="en-US" w:bidi="ar-SA"/>
                </w:rPr>
                <w:t>cgrundmann@spilmanlaw.com</w:t>
              </w:r>
            </w:hyperlink>
          </w:p>
          <w:p w:rsidR="006036C4" w:rsidRPr="001E3926" w:rsidP="009E5A41" w14:paraId="6A2AC15E" w14:textId="77777777">
            <w:pPr>
              <w:ind w:left="192"/>
              <w:rPr>
                <w:rFonts w:eastAsia="Calibri"/>
                <w:color w:val="0000FF"/>
                <w:sz w:val="24"/>
                <w:szCs w:val="24"/>
                <w:u w:val="single"/>
                <w:lang w:val="en-US" w:eastAsia="en-US" w:bidi="ar-SA"/>
              </w:rPr>
            </w:pPr>
            <w:hyperlink r:id="rId53" w:history="1">
              <w:r w:rsidRPr="001E3926">
                <w:rPr>
                  <w:rFonts w:eastAsia="Calibri"/>
                  <w:color w:val="0000FF"/>
                  <w:sz w:val="24"/>
                  <w:szCs w:val="24"/>
                  <w:u w:val="single"/>
                  <w:lang w:val="en-US" w:eastAsia="en-US" w:bidi="ar-SA"/>
                </w:rPr>
                <w:t>dwilliamson@spilmanlaw.com</w:t>
              </w:r>
            </w:hyperlink>
          </w:p>
          <w:p w:rsidR="006036C4" w:rsidRPr="001E3926" w:rsidP="009E5A41" w14:paraId="05492797" w14:textId="77777777">
            <w:pPr>
              <w:ind w:left="192"/>
              <w:rPr>
                <w:rFonts w:eastAsia="Calibri"/>
                <w:color w:val="0000FF"/>
                <w:sz w:val="24"/>
                <w:szCs w:val="24"/>
                <w:u w:val="single"/>
                <w:lang w:val="en-US" w:eastAsia="en-US" w:bidi="ar-SA"/>
              </w:rPr>
            </w:pPr>
            <w:hyperlink r:id="rId54" w:history="1">
              <w:r w:rsidRPr="001E3926">
                <w:rPr>
                  <w:rFonts w:eastAsia="Calibri"/>
                  <w:color w:val="0000FF"/>
                  <w:sz w:val="24"/>
                  <w:szCs w:val="24"/>
                  <w:u w:val="single"/>
                  <w:lang w:val="en-US" w:eastAsia="en-US" w:bidi="ar-SA"/>
                </w:rPr>
                <w:t>slee@spilmanlaw.com</w:t>
              </w:r>
            </w:hyperlink>
          </w:p>
          <w:p w:rsidR="006036C4" w:rsidRPr="001E3926" w:rsidP="009E5A41" w14:paraId="628089AB" w14:textId="77777777">
            <w:pPr>
              <w:rPr>
                <w:sz w:val="24"/>
                <w:szCs w:val="24"/>
                <w:lang w:val="en-US" w:eastAsia="en-US" w:bidi="ar-SA"/>
              </w:rPr>
            </w:pPr>
          </w:p>
          <w:p w:rsidR="006036C4" w:rsidRPr="001E3926" w:rsidP="009E5A41" w14:paraId="782E5FB3" w14:textId="77777777">
            <w:pPr>
              <w:rPr>
                <w:sz w:val="24"/>
                <w:szCs w:val="24"/>
                <w:lang w:val="en-US" w:eastAsia="en-US" w:bidi="ar-SA"/>
              </w:rPr>
            </w:pPr>
          </w:p>
          <w:p w:rsidR="006036C4" w:rsidRPr="001E3926" w:rsidP="009E5A41" w14:paraId="261A5C87" w14:textId="77777777">
            <w:pPr>
              <w:rPr>
                <w:sz w:val="24"/>
                <w:szCs w:val="24"/>
                <w:lang w:val="en-US" w:eastAsia="en-US" w:bidi="ar-SA"/>
              </w:rPr>
            </w:pPr>
          </w:p>
          <w:p w:rsidR="006036C4" w:rsidRPr="001E3926" w:rsidP="009E5A41" w14:paraId="5C5C5C51" w14:textId="77777777">
            <w:pPr>
              <w:rPr>
                <w:sz w:val="24"/>
                <w:szCs w:val="24"/>
                <w:lang w:val="en-US" w:eastAsia="en-US" w:bidi="ar-SA"/>
              </w:rPr>
            </w:pPr>
          </w:p>
          <w:p w:rsidR="006036C4" w:rsidRPr="001E3926" w:rsidP="009E5A41" w14:paraId="5E4E6EE2" w14:textId="77777777">
            <w:pPr>
              <w:rPr>
                <w:bCs/>
                <w:sz w:val="24"/>
                <w:szCs w:val="24"/>
                <w:lang w:val="en-US" w:eastAsia="en-US" w:bidi="ar-SA"/>
              </w:rPr>
            </w:pPr>
          </w:p>
        </w:tc>
      </w:tr>
    </w:tbl>
    <w:p w:rsidR="006062D0" w:rsidRPr="001E3926" w:rsidP="000D2801" w14:paraId="12C6F167" w14:textId="77777777">
      <w:pPr>
        <w:spacing w:before="240"/>
      </w:pPr>
    </w:p>
    <w:sectPr w:rsidSect="00B538AF">
      <w:headerReference w:type="even" r:id="rId55"/>
      <w:headerReference w:type="default" r:id="rId56"/>
      <w:headerReference w:type="first" r:id="rId57"/>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BE2" w14:paraId="6D62CF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rsidRPr="0025340E" w:rsidP="006062D0" w14:paraId="7BB7F889" w14:textId="77777777">
    <w:pPr>
      <w:pStyle w:val="Footer"/>
      <w:jc w:val="center"/>
    </w:pPr>
    <w:r w:rsidRPr="0025340E">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BE2" w14:paraId="3BF763F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119683"/>
      <w:docPartObj>
        <w:docPartGallery w:val="Page Numbers (Bottom of Page)"/>
        <w:docPartUnique/>
      </w:docPartObj>
    </w:sdtPr>
    <w:sdtEndPr>
      <w:rPr>
        <w:noProof/>
      </w:rPr>
    </w:sdtEndPr>
    <w:sdtContent>
      <w:p w:rsidR="00A47AD3" w:rsidRPr="0025340E" w14:paraId="3F160170" w14:textId="77777777">
        <w:pPr>
          <w:pStyle w:val="Footer"/>
          <w:jc w:val="center"/>
        </w:pPr>
        <w:r>
          <w:t>i</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0424275"/>
      <w:docPartObj>
        <w:docPartGallery w:val="Page Numbers (Bottom of Page)"/>
        <w:docPartUnique/>
      </w:docPartObj>
    </w:sdtPr>
    <w:sdtEndPr>
      <w:rPr>
        <w:noProof/>
      </w:rPr>
    </w:sdtEndPr>
    <w:sdtContent>
      <w:p w:rsidR="00A47AD3" w:rsidRPr="0025340E" w:rsidP="00813CA6" w14:paraId="23324248" w14:textId="7777777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495E" w14:paraId="58EF5812" w14:textId="77777777">
      <w:r>
        <w:separator/>
      </w:r>
    </w:p>
  </w:footnote>
  <w:footnote w:type="continuationSeparator" w:id="1">
    <w:p w:rsidR="0038495E" w14:paraId="715E6D06" w14:textId="77777777">
      <w:r>
        <w:continuationSeparator/>
      </w:r>
    </w:p>
  </w:footnote>
  <w:footnote w:id="2">
    <w:p w:rsidR="00AD1132" w14:paraId="1891116A" w14:textId="24DA899A">
      <w:pPr>
        <w:pStyle w:val="FootnoteText"/>
      </w:pPr>
      <w:r w:rsidRPr="00AD1132">
        <w:rPr>
          <w:rStyle w:val="FootnoteReference"/>
        </w:rPr>
        <w:footnoteRef/>
      </w:r>
      <w:r w:rsidRPr="00AD1132">
        <w:t xml:space="preserve"> </w:t>
      </w:r>
      <w:r w:rsidRPr="00226B68">
        <w:t>114 Ohio St.3d 340</w:t>
      </w:r>
      <w:r>
        <w:t xml:space="preserve">, </w:t>
      </w:r>
      <w:r w:rsidRPr="00226B68">
        <w:t>2007-Ohio-4276</w:t>
      </w:r>
      <w:r>
        <w:t>.</w:t>
      </w:r>
    </w:p>
  </w:footnote>
  <w:footnote w:id="3">
    <w:p w:rsidR="00251A4E" w:rsidRPr="00ED5BA1" w:rsidP="00ED5BA1" w14:paraId="28D5A9A9" w14:textId="74F82BD7">
      <w:pPr>
        <w:pStyle w:val="FootnoteText"/>
      </w:pPr>
      <w:r w:rsidRPr="00ED5BA1">
        <w:rPr>
          <w:rStyle w:val="FootnoteReference"/>
        </w:rPr>
        <w:footnoteRef/>
      </w:r>
      <w:r w:rsidRPr="00ED5BA1">
        <w:t xml:space="preserve"> R.C. 4928.141.</w:t>
      </w:r>
      <w:r w:rsidRPr="00ED5BA1" w:rsidR="00F7155A">
        <w:t xml:space="preserve"> </w:t>
      </w:r>
    </w:p>
  </w:footnote>
  <w:footnote w:id="4">
    <w:p w:rsidR="00251A4E" w:rsidRPr="00ED5BA1" w:rsidP="00ED5BA1" w14:paraId="202FD666" w14:textId="62152270">
      <w:pPr>
        <w:pStyle w:val="FootnoteText"/>
      </w:pPr>
      <w:r w:rsidRPr="00ED5BA1">
        <w:rPr>
          <w:rStyle w:val="FootnoteReference"/>
        </w:rPr>
        <w:footnoteRef/>
      </w:r>
      <w:r w:rsidRPr="00ED5BA1">
        <w:t xml:space="preserve"> R.C. 4928.142.</w:t>
      </w:r>
    </w:p>
  </w:footnote>
  <w:footnote w:id="5">
    <w:p w:rsidR="00251A4E" w:rsidRPr="00ED5BA1" w:rsidP="00ED5BA1" w14:paraId="5416CC73" w14:textId="3C3A29AC">
      <w:pPr>
        <w:pStyle w:val="FootnoteText"/>
      </w:pPr>
      <w:r w:rsidRPr="00ED5BA1">
        <w:rPr>
          <w:rStyle w:val="FootnoteReference"/>
        </w:rPr>
        <w:footnoteRef/>
      </w:r>
      <w:r w:rsidRPr="00ED5BA1">
        <w:t xml:space="preserve"> R.C. 4928.143.</w:t>
      </w:r>
    </w:p>
  </w:footnote>
  <w:footnote w:id="6">
    <w:p w:rsidR="00F557E3" w:rsidRPr="00ED5BA1" w:rsidP="00ED5BA1" w14:paraId="2543CB47" w14:textId="33363D2D">
      <w:pPr>
        <w:pStyle w:val="FootnoteText"/>
      </w:pPr>
      <w:r w:rsidRPr="00ED5BA1">
        <w:rPr>
          <w:rStyle w:val="FootnoteReference"/>
        </w:rPr>
        <w:footnoteRef/>
      </w:r>
      <w:r w:rsidRPr="00ED5BA1">
        <w:t xml:space="preserve"> R.C. 4928.17(E).</w:t>
      </w:r>
      <w:r w:rsidRPr="00ED5BA1" w:rsidR="00F7155A">
        <w:t xml:space="preserve"> </w:t>
      </w:r>
      <w:r w:rsidRPr="00ED5BA1">
        <w:rPr>
          <w:i/>
          <w:iCs/>
        </w:rPr>
        <w:t xml:space="preserve">See also In re Application of Columbus S. Power Co., </w:t>
      </w:r>
      <w:r w:rsidRPr="00ED5BA1">
        <w:t>128 Ohio St.3d 402, 2011-Ohio-958</w:t>
      </w:r>
      <w:r w:rsidR="00681B1C">
        <w:t xml:space="preserve"> </w:t>
      </w:r>
      <w:r w:rsidRPr="00ED5BA1">
        <w:t>at ¶</w:t>
      </w:r>
      <w:r w:rsidR="00A31BBB">
        <w:t>¶</w:t>
      </w:r>
      <w:r w:rsidRPr="00ED5BA1">
        <w:t xml:space="preserve"> 19-21.</w:t>
      </w:r>
    </w:p>
  </w:footnote>
  <w:footnote w:id="7">
    <w:p w:rsidR="008A78A7" w:rsidRPr="00ED5BA1" w:rsidP="008A78A7" w14:paraId="4943E0E4" w14:textId="53F92129">
      <w:pPr>
        <w:pStyle w:val="FootnoteText"/>
      </w:pPr>
      <w:r w:rsidRPr="00ED5BA1">
        <w:rPr>
          <w:rStyle w:val="FootnoteReference"/>
        </w:rPr>
        <w:footnoteRef/>
      </w:r>
      <w:r w:rsidRPr="00ED5BA1">
        <w:t xml:space="preserve"> News Release, </w:t>
      </w:r>
      <w:r w:rsidRPr="00ED5BA1">
        <w:rPr>
          <w:i/>
          <w:iCs/>
        </w:rPr>
        <w:t xml:space="preserve">Duke Energy to begin process to exit its Midwest generation business </w:t>
      </w:r>
      <w:r w:rsidRPr="00ED5BA1">
        <w:t xml:space="preserve">(Feb. 17, 2014). </w:t>
      </w:r>
      <w:r>
        <w:t>Duke owns a share of the Ohio Valley Electric Corporation (</w:t>
      </w:r>
      <w:r w:rsidR="001E3926">
        <w:t>“</w:t>
      </w:r>
      <w:r>
        <w:t>OVEC</w:t>
      </w:r>
      <w:r w:rsidR="001E3926">
        <w:t>”</w:t>
      </w:r>
      <w:r>
        <w:t>), which owns two coal plants.</w:t>
      </w:r>
      <w:r w:rsidR="00D21A49">
        <w:t xml:space="preserve"> </w:t>
      </w:r>
      <w:r>
        <w:t>Duke collects costs for its share of these two plants through the Legacy Generation Rider authorized by R.C. 4928.148.</w:t>
      </w:r>
    </w:p>
  </w:footnote>
  <w:footnote w:id="8">
    <w:p w:rsidR="00C02CB3" w:rsidRPr="00ED5BA1" w:rsidP="00ED5BA1" w14:paraId="5B7A5CFE" w14:textId="51EC1943">
      <w:pPr>
        <w:tabs>
          <w:tab w:val="left" w:pos="720"/>
          <w:tab w:val="left" w:pos="1440"/>
          <w:tab w:val="left" w:leader="dot" w:pos="8640"/>
        </w:tabs>
        <w:spacing w:after="120"/>
        <w:rPr>
          <w:sz w:val="20"/>
          <w:szCs w:val="20"/>
        </w:rPr>
      </w:pPr>
      <w:r w:rsidRPr="00ED5BA1">
        <w:rPr>
          <w:rStyle w:val="FootnoteReference"/>
          <w:sz w:val="20"/>
          <w:szCs w:val="20"/>
        </w:rPr>
        <w:footnoteRef/>
      </w:r>
      <w:r w:rsidRPr="00ED5BA1">
        <w:rPr>
          <w:sz w:val="20"/>
          <w:szCs w:val="20"/>
        </w:rPr>
        <w:t xml:space="preserve"> </w:t>
      </w:r>
      <w:r w:rsidRPr="00ED5BA1">
        <w:rPr>
          <w:i/>
          <w:iCs/>
          <w:sz w:val="20"/>
          <w:szCs w:val="20"/>
        </w:rPr>
        <w:t xml:space="preserve">In the </w:t>
      </w:r>
      <w:r w:rsidR="0062165D">
        <w:rPr>
          <w:i/>
          <w:iCs/>
          <w:sz w:val="20"/>
          <w:szCs w:val="20"/>
        </w:rPr>
        <w:t>M</w:t>
      </w:r>
      <w:r w:rsidRPr="00ED5BA1">
        <w:rPr>
          <w:i/>
          <w:iCs/>
          <w:sz w:val="20"/>
          <w:szCs w:val="20"/>
        </w:rPr>
        <w:t xml:space="preserve">atter of the </w:t>
      </w:r>
      <w:r w:rsidR="0062165D">
        <w:rPr>
          <w:i/>
          <w:iCs/>
          <w:sz w:val="20"/>
          <w:szCs w:val="20"/>
        </w:rPr>
        <w:t>A</w:t>
      </w:r>
      <w:r w:rsidRPr="00ED5BA1">
        <w:rPr>
          <w:i/>
          <w:iCs/>
          <w:sz w:val="20"/>
          <w:szCs w:val="20"/>
        </w:rPr>
        <w:t xml:space="preserve">pplication of Ohio Edison Company, The Cleveland Electric Illuminating Company and The Toledo Edison Company for </w:t>
      </w:r>
      <w:r w:rsidR="0062165D">
        <w:rPr>
          <w:i/>
          <w:iCs/>
          <w:sz w:val="20"/>
          <w:szCs w:val="20"/>
        </w:rPr>
        <w:t>A</w:t>
      </w:r>
      <w:r w:rsidRPr="00ED5BA1">
        <w:rPr>
          <w:i/>
          <w:iCs/>
          <w:sz w:val="20"/>
          <w:szCs w:val="20"/>
        </w:rPr>
        <w:t xml:space="preserve">pproval of a </w:t>
      </w:r>
      <w:r w:rsidR="0062165D">
        <w:rPr>
          <w:i/>
          <w:iCs/>
          <w:sz w:val="20"/>
          <w:szCs w:val="20"/>
        </w:rPr>
        <w:t>M</w:t>
      </w:r>
      <w:r w:rsidRPr="00ED5BA1">
        <w:rPr>
          <w:i/>
          <w:iCs/>
          <w:sz w:val="20"/>
          <w:szCs w:val="20"/>
        </w:rPr>
        <w:t xml:space="preserve">arket </w:t>
      </w:r>
      <w:r w:rsidR="0062165D">
        <w:rPr>
          <w:i/>
          <w:iCs/>
          <w:sz w:val="20"/>
          <w:szCs w:val="20"/>
        </w:rPr>
        <w:t>R</w:t>
      </w:r>
      <w:r w:rsidRPr="00ED5BA1">
        <w:rPr>
          <w:i/>
          <w:iCs/>
          <w:sz w:val="20"/>
          <w:szCs w:val="20"/>
        </w:rPr>
        <w:t xml:space="preserve">ate </w:t>
      </w:r>
      <w:r w:rsidR="0062165D">
        <w:rPr>
          <w:i/>
          <w:iCs/>
          <w:sz w:val="20"/>
          <w:szCs w:val="20"/>
        </w:rPr>
        <w:t>O</w:t>
      </w:r>
      <w:r w:rsidRPr="00ED5BA1">
        <w:rPr>
          <w:i/>
          <w:iCs/>
          <w:sz w:val="20"/>
          <w:szCs w:val="20"/>
        </w:rPr>
        <w:t xml:space="preserve">ffer to </w:t>
      </w:r>
      <w:r w:rsidR="0062165D">
        <w:rPr>
          <w:i/>
          <w:iCs/>
          <w:sz w:val="20"/>
          <w:szCs w:val="20"/>
        </w:rPr>
        <w:t>C</w:t>
      </w:r>
      <w:r w:rsidRPr="00ED5BA1">
        <w:rPr>
          <w:i/>
          <w:iCs/>
          <w:sz w:val="20"/>
          <w:szCs w:val="20"/>
        </w:rPr>
        <w:t xml:space="preserve">onduct a </w:t>
      </w:r>
      <w:r w:rsidR="0062165D">
        <w:rPr>
          <w:i/>
          <w:iCs/>
          <w:sz w:val="20"/>
          <w:szCs w:val="20"/>
        </w:rPr>
        <w:t>C</w:t>
      </w:r>
      <w:r w:rsidRPr="00ED5BA1">
        <w:rPr>
          <w:i/>
          <w:iCs/>
          <w:sz w:val="20"/>
          <w:szCs w:val="20"/>
        </w:rPr>
        <w:t>ompetitive</w:t>
      </w:r>
      <w:r w:rsidR="0062165D">
        <w:rPr>
          <w:i/>
          <w:iCs/>
          <w:sz w:val="20"/>
          <w:szCs w:val="20"/>
        </w:rPr>
        <w:t xml:space="preserve"> B</w:t>
      </w:r>
      <w:r w:rsidRPr="00ED5BA1">
        <w:rPr>
          <w:i/>
          <w:iCs/>
          <w:sz w:val="20"/>
          <w:szCs w:val="20"/>
        </w:rPr>
        <w:t xml:space="preserve">idding </w:t>
      </w:r>
      <w:r w:rsidR="0062165D">
        <w:rPr>
          <w:i/>
          <w:iCs/>
          <w:sz w:val="20"/>
          <w:szCs w:val="20"/>
        </w:rPr>
        <w:t>P</w:t>
      </w:r>
      <w:r w:rsidRPr="00ED5BA1">
        <w:rPr>
          <w:i/>
          <w:iCs/>
          <w:sz w:val="20"/>
          <w:szCs w:val="20"/>
        </w:rPr>
        <w:t xml:space="preserve">rocess for </w:t>
      </w:r>
      <w:r w:rsidR="0062165D">
        <w:rPr>
          <w:i/>
          <w:iCs/>
          <w:sz w:val="20"/>
          <w:szCs w:val="20"/>
        </w:rPr>
        <w:t>S</w:t>
      </w:r>
      <w:r w:rsidRPr="00ED5BA1">
        <w:rPr>
          <w:i/>
          <w:iCs/>
          <w:sz w:val="20"/>
          <w:szCs w:val="20"/>
        </w:rPr>
        <w:t xml:space="preserve">tandard </w:t>
      </w:r>
      <w:r w:rsidR="0062165D">
        <w:rPr>
          <w:i/>
          <w:iCs/>
          <w:sz w:val="20"/>
          <w:szCs w:val="20"/>
        </w:rPr>
        <w:t>S</w:t>
      </w:r>
      <w:r w:rsidRPr="00ED5BA1">
        <w:rPr>
          <w:i/>
          <w:iCs/>
          <w:sz w:val="20"/>
          <w:szCs w:val="20"/>
        </w:rPr>
        <w:t xml:space="preserve">ervice </w:t>
      </w:r>
      <w:r w:rsidR="0062165D">
        <w:rPr>
          <w:i/>
          <w:iCs/>
          <w:sz w:val="20"/>
          <w:szCs w:val="20"/>
        </w:rPr>
        <w:t>O</w:t>
      </w:r>
      <w:r w:rsidRPr="00ED5BA1">
        <w:rPr>
          <w:i/>
          <w:iCs/>
          <w:sz w:val="20"/>
          <w:szCs w:val="20"/>
        </w:rPr>
        <w:t xml:space="preserve">ffer </w:t>
      </w:r>
      <w:r w:rsidR="0062165D">
        <w:rPr>
          <w:i/>
          <w:iCs/>
          <w:sz w:val="20"/>
          <w:szCs w:val="20"/>
        </w:rPr>
        <w:t>E</w:t>
      </w:r>
      <w:r w:rsidRPr="00ED5BA1">
        <w:rPr>
          <w:i/>
          <w:iCs/>
          <w:sz w:val="20"/>
          <w:szCs w:val="20"/>
        </w:rPr>
        <w:t xml:space="preserve">lectric </w:t>
      </w:r>
      <w:r w:rsidR="0062165D">
        <w:rPr>
          <w:i/>
          <w:iCs/>
          <w:sz w:val="20"/>
          <w:szCs w:val="20"/>
        </w:rPr>
        <w:t>G</w:t>
      </w:r>
      <w:r w:rsidRPr="00ED5BA1">
        <w:rPr>
          <w:i/>
          <w:iCs/>
          <w:sz w:val="20"/>
          <w:szCs w:val="20"/>
        </w:rPr>
        <w:t xml:space="preserve">eneration </w:t>
      </w:r>
      <w:r w:rsidR="0062165D">
        <w:rPr>
          <w:i/>
          <w:iCs/>
          <w:sz w:val="20"/>
          <w:szCs w:val="20"/>
        </w:rPr>
        <w:t>S</w:t>
      </w:r>
      <w:r w:rsidRPr="00ED5BA1">
        <w:rPr>
          <w:i/>
          <w:iCs/>
          <w:sz w:val="20"/>
          <w:szCs w:val="20"/>
        </w:rPr>
        <w:t xml:space="preserve">upply, </w:t>
      </w:r>
      <w:r w:rsidR="0062165D">
        <w:rPr>
          <w:i/>
          <w:iCs/>
          <w:sz w:val="20"/>
          <w:szCs w:val="20"/>
        </w:rPr>
        <w:t>A</w:t>
      </w:r>
      <w:r w:rsidRPr="00ED5BA1">
        <w:rPr>
          <w:i/>
          <w:iCs/>
          <w:sz w:val="20"/>
          <w:szCs w:val="20"/>
        </w:rPr>
        <w:t xml:space="preserve">ccounting </w:t>
      </w:r>
      <w:r w:rsidR="0062165D">
        <w:rPr>
          <w:i/>
          <w:iCs/>
          <w:sz w:val="20"/>
          <w:szCs w:val="20"/>
        </w:rPr>
        <w:t>M</w:t>
      </w:r>
      <w:r w:rsidRPr="00ED5BA1">
        <w:rPr>
          <w:i/>
          <w:iCs/>
          <w:sz w:val="20"/>
          <w:szCs w:val="20"/>
        </w:rPr>
        <w:t xml:space="preserve">odifications </w:t>
      </w:r>
      <w:r w:rsidR="0062165D">
        <w:rPr>
          <w:i/>
          <w:iCs/>
          <w:sz w:val="20"/>
          <w:szCs w:val="20"/>
        </w:rPr>
        <w:t>A</w:t>
      </w:r>
      <w:r w:rsidRPr="00ED5BA1">
        <w:rPr>
          <w:i/>
          <w:iCs/>
          <w:sz w:val="20"/>
          <w:szCs w:val="20"/>
        </w:rPr>
        <w:t xml:space="preserve">ssociated with </w:t>
      </w:r>
      <w:r w:rsidR="0062165D">
        <w:rPr>
          <w:i/>
          <w:iCs/>
          <w:sz w:val="20"/>
          <w:szCs w:val="20"/>
        </w:rPr>
        <w:t>R</w:t>
      </w:r>
      <w:r w:rsidRPr="00ED5BA1">
        <w:rPr>
          <w:i/>
          <w:iCs/>
          <w:sz w:val="20"/>
          <w:szCs w:val="20"/>
        </w:rPr>
        <w:t xml:space="preserve">econciliation </w:t>
      </w:r>
      <w:r w:rsidR="0062165D">
        <w:rPr>
          <w:i/>
          <w:iCs/>
          <w:sz w:val="20"/>
          <w:szCs w:val="20"/>
        </w:rPr>
        <w:t>M</w:t>
      </w:r>
      <w:r w:rsidRPr="00ED5BA1">
        <w:rPr>
          <w:i/>
          <w:iCs/>
          <w:sz w:val="20"/>
          <w:szCs w:val="20"/>
        </w:rPr>
        <w:t xml:space="preserve">echanism, and </w:t>
      </w:r>
      <w:r w:rsidR="0062165D">
        <w:rPr>
          <w:i/>
          <w:iCs/>
          <w:sz w:val="20"/>
          <w:szCs w:val="20"/>
        </w:rPr>
        <w:t>T</w:t>
      </w:r>
      <w:r w:rsidRPr="00ED5BA1">
        <w:rPr>
          <w:i/>
          <w:iCs/>
          <w:sz w:val="20"/>
          <w:szCs w:val="20"/>
        </w:rPr>
        <w:t xml:space="preserve">ariffs for </w:t>
      </w:r>
      <w:r w:rsidR="0062165D">
        <w:rPr>
          <w:i/>
          <w:iCs/>
          <w:sz w:val="20"/>
          <w:szCs w:val="20"/>
        </w:rPr>
        <w:t>G</w:t>
      </w:r>
      <w:r w:rsidRPr="00ED5BA1">
        <w:rPr>
          <w:i/>
          <w:iCs/>
          <w:sz w:val="20"/>
          <w:szCs w:val="20"/>
        </w:rPr>
        <w:t xml:space="preserve">eneration </w:t>
      </w:r>
      <w:r w:rsidR="0062165D">
        <w:rPr>
          <w:i/>
          <w:iCs/>
          <w:sz w:val="20"/>
          <w:szCs w:val="20"/>
        </w:rPr>
        <w:t>S</w:t>
      </w:r>
      <w:r w:rsidRPr="00ED5BA1">
        <w:rPr>
          <w:i/>
          <w:iCs/>
          <w:sz w:val="20"/>
          <w:szCs w:val="20"/>
        </w:rPr>
        <w:t>ervice</w:t>
      </w:r>
      <w:r w:rsidRPr="00ED5BA1">
        <w:rPr>
          <w:sz w:val="20"/>
          <w:szCs w:val="20"/>
        </w:rPr>
        <w:t>, Case No. 08-936-EL-SSO, Application (July 31, 2008);</w:t>
      </w:r>
      <w:r w:rsidRPr="00585DCE" w:rsidR="00585DCE">
        <w:rPr>
          <w:i/>
          <w:iCs/>
          <w:sz w:val="20"/>
          <w:szCs w:val="20"/>
        </w:rPr>
        <w:t xml:space="preserve"> </w:t>
      </w:r>
      <w:r w:rsidRPr="00ED5BA1" w:rsidR="00585DCE">
        <w:rPr>
          <w:i/>
          <w:iCs/>
          <w:sz w:val="20"/>
          <w:szCs w:val="20"/>
        </w:rPr>
        <w:t xml:space="preserve">In the </w:t>
      </w:r>
      <w:r w:rsidR="00585DCE">
        <w:rPr>
          <w:i/>
          <w:iCs/>
          <w:sz w:val="20"/>
          <w:szCs w:val="20"/>
        </w:rPr>
        <w:t>M</w:t>
      </w:r>
      <w:r w:rsidRPr="00ED5BA1" w:rsidR="00585DCE">
        <w:rPr>
          <w:i/>
          <w:iCs/>
          <w:sz w:val="20"/>
          <w:szCs w:val="20"/>
        </w:rPr>
        <w:t xml:space="preserve">atter of the </w:t>
      </w:r>
      <w:r w:rsidR="00585DCE">
        <w:rPr>
          <w:i/>
          <w:iCs/>
          <w:sz w:val="20"/>
          <w:szCs w:val="20"/>
        </w:rPr>
        <w:t>A</w:t>
      </w:r>
      <w:r w:rsidRPr="00ED5BA1" w:rsidR="00585DCE">
        <w:rPr>
          <w:i/>
          <w:iCs/>
          <w:sz w:val="20"/>
          <w:szCs w:val="20"/>
        </w:rPr>
        <w:t xml:space="preserve">pplication of Ohio Edison Company, The Cleveland Electric Illuminating Company and The Toledo Edison Company for </w:t>
      </w:r>
      <w:r w:rsidR="00585DCE">
        <w:rPr>
          <w:i/>
          <w:iCs/>
          <w:sz w:val="20"/>
          <w:szCs w:val="20"/>
        </w:rPr>
        <w:t>A</w:t>
      </w:r>
      <w:r w:rsidRPr="00ED5BA1" w:rsidR="00585DCE">
        <w:rPr>
          <w:i/>
          <w:iCs/>
          <w:sz w:val="20"/>
          <w:szCs w:val="20"/>
        </w:rPr>
        <w:t xml:space="preserve">pproval of a </w:t>
      </w:r>
      <w:r w:rsidR="00585DCE">
        <w:rPr>
          <w:i/>
          <w:iCs/>
          <w:sz w:val="20"/>
          <w:szCs w:val="20"/>
        </w:rPr>
        <w:t>M</w:t>
      </w:r>
      <w:r w:rsidRPr="00ED5BA1" w:rsidR="00585DCE">
        <w:rPr>
          <w:i/>
          <w:iCs/>
          <w:sz w:val="20"/>
          <w:szCs w:val="20"/>
        </w:rPr>
        <w:t xml:space="preserve">arket </w:t>
      </w:r>
      <w:r w:rsidR="00585DCE">
        <w:rPr>
          <w:i/>
          <w:iCs/>
          <w:sz w:val="20"/>
          <w:szCs w:val="20"/>
        </w:rPr>
        <w:t>R</w:t>
      </w:r>
      <w:r w:rsidRPr="00ED5BA1" w:rsidR="00585DCE">
        <w:rPr>
          <w:i/>
          <w:iCs/>
          <w:sz w:val="20"/>
          <w:szCs w:val="20"/>
        </w:rPr>
        <w:t xml:space="preserve">ate </w:t>
      </w:r>
      <w:r w:rsidR="00585DCE">
        <w:rPr>
          <w:i/>
          <w:iCs/>
          <w:sz w:val="20"/>
          <w:szCs w:val="20"/>
        </w:rPr>
        <w:t>O</w:t>
      </w:r>
      <w:r w:rsidRPr="00ED5BA1" w:rsidR="00585DCE">
        <w:rPr>
          <w:i/>
          <w:iCs/>
          <w:sz w:val="20"/>
          <w:szCs w:val="20"/>
        </w:rPr>
        <w:t xml:space="preserve">ffer to </w:t>
      </w:r>
      <w:r w:rsidR="00585DCE">
        <w:rPr>
          <w:i/>
          <w:iCs/>
          <w:sz w:val="20"/>
          <w:szCs w:val="20"/>
        </w:rPr>
        <w:t>C</w:t>
      </w:r>
      <w:r w:rsidRPr="00ED5BA1" w:rsidR="00585DCE">
        <w:rPr>
          <w:i/>
          <w:iCs/>
          <w:sz w:val="20"/>
          <w:szCs w:val="20"/>
        </w:rPr>
        <w:t xml:space="preserve">onduct a </w:t>
      </w:r>
      <w:r w:rsidR="00585DCE">
        <w:rPr>
          <w:i/>
          <w:iCs/>
          <w:sz w:val="20"/>
          <w:szCs w:val="20"/>
        </w:rPr>
        <w:t>C</w:t>
      </w:r>
      <w:r w:rsidRPr="00ED5BA1" w:rsidR="00585DCE">
        <w:rPr>
          <w:i/>
          <w:iCs/>
          <w:sz w:val="20"/>
          <w:szCs w:val="20"/>
        </w:rPr>
        <w:t>ompetitive</w:t>
      </w:r>
      <w:r w:rsidR="00585DCE">
        <w:rPr>
          <w:i/>
          <w:iCs/>
          <w:sz w:val="20"/>
          <w:szCs w:val="20"/>
        </w:rPr>
        <w:t xml:space="preserve"> B</w:t>
      </w:r>
      <w:r w:rsidRPr="00ED5BA1" w:rsidR="00585DCE">
        <w:rPr>
          <w:i/>
          <w:iCs/>
          <w:sz w:val="20"/>
          <w:szCs w:val="20"/>
        </w:rPr>
        <w:t xml:space="preserve">idding </w:t>
      </w:r>
      <w:r w:rsidR="00585DCE">
        <w:rPr>
          <w:i/>
          <w:iCs/>
          <w:sz w:val="20"/>
          <w:szCs w:val="20"/>
        </w:rPr>
        <w:t>P</w:t>
      </w:r>
      <w:r w:rsidRPr="00ED5BA1" w:rsidR="00585DCE">
        <w:rPr>
          <w:i/>
          <w:iCs/>
          <w:sz w:val="20"/>
          <w:szCs w:val="20"/>
        </w:rPr>
        <w:t xml:space="preserve">rocess for </w:t>
      </w:r>
      <w:r w:rsidR="00585DCE">
        <w:rPr>
          <w:i/>
          <w:iCs/>
          <w:sz w:val="20"/>
          <w:szCs w:val="20"/>
        </w:rPr>
        <w:t>S</w:t>
      </w:r>
      <w:r w:rsidRPr="00ED5BA1" w:rsidR="00585DCE">
        <w:rPr>
          <w:i/>
          <w:iCs/>
          <w:sz w:val="20"/>
          <w:szCs w:val="20"/>
        </w:rPr>
        <w:t xml:space="preserve">tandard </w:t>
      </w:r>
      <w:r w:rsidR="00585DCE">
        <w:rPr>
          <w:i/>
          <w:iCs/>
          <w:sz w:val="20"/>
          <w:szCs w:val="20"/>
        </w:rPr>
        <w:t>S</w:t>
      </w:r>
      <w:r w:rsidRPr="00ED5BA1" w:rsidR="00585DCE">
        <w:rPr>
          <w:i/>
          <w:iCs/>
          <w:sz w:val="20"/>
          <w:szCs w:val="20"/>
        </w:rPr>
        <w:t xml:space="preserve">ervice </w:t>
      </w:r>
      <w:r w:rsidR="00585DCE">
        <w:rPr>
          <w:i/>
          <w:iCs/>
          <w:sz w:val="20"/>
          <w:szCs w:val="20"/>
        </w:rPr>
        <w:t>O</w:t>
      </w:r>
      <w:r w:rsidRPr="00ED5BA1" w:rsidR="00585DCE">
        <w:rPr>
          <w:i/>
          <w:iCs/>
          <w:sz w:val="20"/>
          <w:szCs w:val="20"/>
        </w:rPr>
        <w:t xml:space="preserve">ffer </w:t>
      </w:r>
      <w:r w:rsidR="00585DCE">
        <w:rPr>
          <w:i/>
          <w:iCs/>
          <w:sz w:val="20"/>
          <w:szCs w:val="20"/>
        </w:rPr>
        <w:t>E</w:t>
      </w:r>
      <w:r w:rsidRPr="00ED5BA1" w:rsidR="00585DCE">
        <w:rPr>
          <w:i/>
          <w:iCs/>
          <w:sz w:val="20"/>
          <w:szCs w:val="20"/>
        </w:rPr>
        <w:t xml:space="preserve">lectric </w:t>
      </w:r>
      <w:r w:rsidR="00585DCE">
        <w:rPr>
          <w:i/>
          <w:iCs/>
          <w:sz w:val="20"/>
          <w:szCs w:val="20"/>
        </w:rPr>
        <w:t>G</w:t>
      </w:r>
      <w:r w:rsidRPr="00ED5BA1" w:rsidR="00585DCE">
        <w:rPr>
          <w:i/>
          <w:iCs/>
          <w:sz w:val="20"/>
          <w:szCs w:val="20"/>
        </w:rPr>
        <w:t xml:space="preserve">eneration </w:t>
      </w:r>
      <w:r w:rsidR="00585DCE">
        <w:rPr>
          <w:i/>
          <w:iCs/>
          <w:sz w:val="20"/>
          <w:szCs w:val="20"/>
        </w:rPr>
        <w:t>S</w:t>
      </w:r>
      <w:r w:rsidRPr="00ED5BA1" w:rsidR="00585DCE">
        <w:rPr>
          <w:i/>
          <w:iCs/>
          <w:sz w:val="20"/>
          <w:szCs w:val="20"/>
        </w:rPr>
        <w:t xml:space="preserve">upply, </w:t>
      </w:r>
      <w:r w:rsidR="00585DCE">
        <w:rPr>
          <w:i/>
          <w:iCs/>
          <w:sz w:val="20"/>
          <w:szCs w:val="20"/>
        </w:rPr>
        <w:t>A</w:t>
      </w:r>
      <w:r w:rsidRPr="00ED5BA1" w:rsidR="00585DCE">
        <w:rPr>
          <w:i/>
          <w:iCs/>
          <w:sz w:val="20"/>
          <w:szCs w:val="20"/>
        </w:rPr>
        <w:t xml:space="preserve">ccounting </w:t>
      </w:r>
      <w:r w:rsidR="00585DCE">
        <w:rPr>
          <w:i/>
          <w:iCs/>
          <w:sz w:val="20"/>
          <w:szCs w:val="20"/>
        </w:rPr>
        <w:t>M</w:t>
      </w:r>
      <w:r w:rsidRPr="00ED5BA1" w:rsidR="00585DCE">
        <w:rPr>
          <w:i/>
          <w:iCs/>
          <w:sz w:val="20"/>
          <w:szCs w:val="20"/>
        </w:rPr>
        <w:t xml:space="preserve">odifications </w:t>
      </w:r>
      <w:r w:rsidR="00585DCE">
        <w:rPr>
          <w:i/>
          <w:iCs/>
          <w:sz w:val="20"/>
          <w:szCs w:val="20"/>
        </w:rPr>
        <w:t>A</w:t>
      </w:r>
      <w:r w:rsidRPr="00ED5BA1" w:rsidR="00585DCE">
        <w:rPr>
          <w:i/>
          <w:iCs/>
          <w:sz w:val="20"/>
          <w:szCs w:val="20"/>
        </w:rPr>
        <w:t xml:space="preserve">ssociated with </w:t>
      </w:r>
      <w:r w:rsidR="00585DCE">
        <w:rPr>
          <w:i/>
          <w:iCs/>
          <w:sz w:val="20"/>
          <w:szCs w:val="20"/>
        </w:rPr>
        <w:t>R</w:t>
      </w:r>
      <w:r w:rsidRPr="00ED5BA1" w:rsidR="00585DCE">
        <w:rPr>
          <w:i/>
          <w:iCs/>
          <w:sz w:val="20"/>
          <w:szCs w:val="20"/>
        </w:rPr>
        <w:t xml:space="preserve">econciliation </w:t>
      </w:r>
      <w:r w:rsidR="00585DCE">
        <w:rPr>
          <w:i/>
          <w:iCs/>
          <w:sz w:val="20"/>
          <w:szCs w:val="20"/>
        </w:rPr>
        <w:t>M</w:t>
      </w:r>
      <w:r w:rsidRPr="00ED5BA1" w:rsidR="00585DCE">
        <w:rPr>
          <w:i/>
          <w:iCs/>
          <w:sz w:val="20"/>
          <w:szCs w:val="20"/>
        </w:rPr>
        <w:t xml:space="preserve">echanism, and </w:t>
      </w:r>
      <w:r w:rsidR="00585DCE">
        <w:rPr>
          <w:i/>
          <w:iCs/>
          <w:sz w:val="20"/>
          <w:szCs w:val="20"/>
        </w:rPr>
        <w:t>T</w:t>
      </w:r>
      <w:r w:rsidRPr="00ED5BA1" w:rsidR="00585DCE">
        <w:rPr>
          <w:i/>
          <w:iCs/>
          <w:sz w:val="20"/>
          <w:szCs w:val="20"/>
        </w:rPr>
        <w:t xml:space="preserve">ariffs for </w:t>
      </w:r>
      <w:r w:rsidR="00585DCE">
        <w:rPr>
          <w:i/>
          <w:iCs/>
          <w:sz w:val="20"/>
          <w:szCs w:val="20"/>
        </w:rPr>
        <w:t>G</w:t>
      </w:r>
      <w:r w:rsidRPr="00ED5BA1" w:rsidR="00585DCE">
        <w:rPr>
          <w:i/>
          <w:iCs/>
          <w:sz w:val="20"/>
          <w:szCs w:val="20"/>
        </w:rPr>
        <w:t xml:space="preserve">eneration </w:t>
      </w:r>
      <w:r w:rsidR="00585DCE">
        <w:rPr>
          <w:i/>
          <w:iCs/>
          <w:sz w:val="20"/>
          <w:szCs w:val="20"/>
        </w:rPr>
        <w:t>S</w:t>
      </w:r>
      <w:r w:rsidRPr="00ED5BA1" w:rsidR="00585DCE">
        <w:rPr>
          <w:i/>
          <w:iCs/>
          <w:sz w:val="20"/>
          <w:szCs w:val="20"/>
        </w:rPr>
        <w:t>ervice</w:t>
      </w:r>
      <w:r w:rsidRPr="00ED5BA1">
        <w:rPr>
          <w:sz w:val="20"/>
          <w:szCs w:val="20"/>
        </w:rPr>
        <w:t>, Case No.</w:t>
      </w:r>
      <w:r w:rsidR="009C1865">
        <w:rPr>
          <w:sz w:val="20"/>
          <w:szCs w:val="20"/>
        </w:rPr>
        <w:t xml:space="preserve"> </w:t>
      </w:r>
      <w:r w:rsidR="00A35584">
        <w:rPr>
          <w:sz w:val="20"/>
          <w:szCs w:val="20"/>
        </w:rPr>
        <w:t>09-906-EL-SSO</w:t>
      </w:r>
      <w:r w:rsidRPr="00ED5BA1">
        <w:rPr>
          <w:sz w:val="20"/>
          <w:szCs w:val="20"/>
        </w:rPr>
        <w:t xml:space="preserve">, Application (Oct. 20, 2009); </w:t>
      </w:r>
      <w:r w:rsidRPr="00ED5BA1">
        <w:rPr>
          <w:i/>
          <w:iCs/>
          <w:sz w:val="20"/>
          <w:szCs w:val="20"/>
        </w:rPr>
        <w:t xml:space="preserve">In the </w:t>
      </w:r>
      <w:r w:rsidR="00235FE8">
        <w:rPr>
          <w:i/>
          <w:iCs/>
          <w:sz w:val="20"/>
          <w:szCs w:val="20"/>
        </w:rPr>
        <w:t>M</w:t>
      </w:r>
      <w:r w:rsidRPr="00ED5BA1">
        <w:rPr>
          <w:i/>
          <w:iCs/>
          <w:sz w:val="20"/>
          <w:szCs w:val="20"/>
        </w:rPr>
        <w:t xml:space="preserve">atter of the </w:t>
      </w:r>
      <w:r w:rsidR="00235FE8">
        <w:rPr>
          <w:i/>
          <w:iCs/>
          <w:sz w:val="20"/>
          <w:szCs w:val="20"/>
        </w:rPr>
        <w:t>A</w:t>
      </w:r>
      <w:r w:rsidRPr="00ED5BA1">
        <w:rPr>
          <w:i/>
          <w:iCs/>
          <w:sz w:val="20"/>
          <w:szCs w:val="20"/>
        </w:rPr>
        <w:t xml:space="preserve">pplication of Duke Energy Ohio for </w:t>
      </w:r>
      <w:r w:rsidR="00235FE8">
        <w:rPr>
          <w:i/>
          <w:iCs/>
          <w:sz w:val="20"/>
          <w:szCs w:val="20"/>
        </w:rPr>
        <w:t>A</w:t>
      </w:r>
      <w:r w:rsidRPr="00ED5BA1">
        <w:rPr>
          <w:i/>
          <w:iCs/>
          <w:sz w:val="20"/>
          <w:szCs w:val="20"/>
        </w:rPr>
        <w:t xml:space="preserve">pproval of a </w:t>
      </w:r>
      <w:r w:rsidR="00235FE8">
        <w:rPr>
          <w:i/>
          <w:iCs/>
          <w:sz w:val="20"/>
          <w:szCs w:val="20"/>
        </w:rPr>
        <w:t>M</w:t>
      </w:r>
      <w:r w:rsidRPr="00ED5BA1">
        <w:rPr>
          <w:i/>
          <w:iCs/>
          <w:sz w:val="20"/>
          <w:szCs w:val="20"/>
        </w:rPr>
        <w:t xml:space="preserve">arket </w:t>
      </w:r>
      <w:r w:rsidR="00235FE8">
        <w:rPr>
          <w:i/>
          <w:iCs/>
          <w:sz w:val="20"/>
          <w:szCs w:val="20"/>
        </w:rPr>
        <w:t>R</w:t>
      </w:r>
      <w:r w:rsidRPr="00ED5BA1">
        <w:rPr>
          <w:i/>
          <w:iCs/>
          <w:sz w:val="20"/>
          <w:szCs w:val="20"/>
        </w:rPr>
        <w:t xml:space="preserve">ate </w:t>
      </w:r>
      <w:r w:rsidR="00235FE8">
        <w:rPr>
          <w:i/>
          <w:iCs/>
          <w:sz w:val="20"/>
          <w:szCs w:val="20"/>
        </w:rPr>
        <w:t>O</w:t>
      </w:r>
      <w:r w:rsidRPr="00ED5BA1">
        <w:rPr>
          <w:i/>
          <w:iCs/>
          <w:sz w:val="20"/>
          <w:szCs w:val="20"/>
        </w:rPr>
        <w:t>ffer to</w:t>
      </w:r>
      <w:r w:rsidRPr="00235FE8" w:rsidR="00235FE8">
        <w:rPr>
          <w:i/>
          <w:iCs/>
          <w:sz w:val="20"/>
          <w:szCs w:val="20"/>
        </w:rPr>
        <w:t xml:space="preserve"> </w:t>
      </w:r>
      <w:r w:rsidR="00235FE8">
        <w:rPr>
          <w:i/>
          <w:iCs/>
          <w:sz w:val="20"/>
          <w:szCs w:val="20"/>
        </w:rPr>
        <w:t>C</w:t>
      </w:r>
      <w:r w:rsidRPr="00ED5BA1" w:rsidR="00235FE8">
        <w:rPr>
          <w:i/>
          <w:iCs/>
          <w:sz w:val="20"/>
          <w:szCs w:val="20"/>
        </w:rPr>
        <w:t xml:space="preserve">onduct a </w:t>
      </w:r>
      <w:r w:rsidR="00235FE8">
        <w:rPr>
          <w:i/>
          <w:iCs/>
          <w:sz w:val="20"/>
          <w:szCs w:val="20"/>
        </w:rPr>
        <w:t>C</w:t>
      </w:r>
      <w:r w:rsidRPr="00ED5BA1" w:rsidR="00235FE8">
        <w:rPr>
          <w:i/>
          <w:iCs/>
          <w:sz w:val="20"/>
          <w:szCs w:val="20"/>
        </w:rPr>
        <w:t>ompetitive</w:t>
      </w:r>
      <w:r w:rsidR="00235FE8">
        <w:rPr>
          <w:i/>
          <w:iCs/>
          <w:sz w:val="20"/>
          <w:szCs w:val="20"/>
        </w:rPr>
        <w:t xml:space="preserve"> B</w:t>
      </w:r>
      <w:r w:rsidRPr="00ED5BA1" w:rsidR="00235FE8">
        <w:rPr>
          <w:i/>
          <w:iCs/>
          <w:sz w:val="20"/>
          <w:szCs w:val="20"/>
        </w:rPr>
        <w:t xml:space="preserve">idding </w:t>
      </w:r>
      <w:r w:rsidR="00235FE8">
        <w:rPr>
          <w:i/>
          <w:iCs/>
          <w:sz w:val="20"/>
          <w:szCs w:val="20"/>
        </w:rPr>
        <w:t>P</w:t>
      </w:r>
      <w:r w:rsidRPr="00ED5BA1" w:rsidR="00235FE8">
        <w:rPr>
          <w:i/>
          <w:iCs/>
          <w:sz w:val="20"/>
          <w:szCs w:val="20"/>
        </w:rPr>
        <w:t xml:space="preserve">rocess for </w:t>
      </w:r>
      <w:r w:rsidR="00235FE8">
        <w:rPr>
          <w:i/>
          <w:iCs/>
          <w:sz w:val="20"/>
          <w:szCs w:val="20"/>
        </w:rPr>
        <w:t>S</w:t>
      </w:r>
      <w:r w:rsidRPr="00ED5BA1" w:rsidR="00235FE8">
        <w:rPr>
          <w:i/>
          <w:iCs/>
          <w:sz w:val="20"/>
          <w:szCs w:val="20"/>
        </w:rPr>
        <w:t xml:space="preserve">tandard </w:t>
      </w:r>
      <w:r w:rsidR="00235FE8">
        <w:rPr>
          <w:i/>
          <w:iCs/>
          <w:sz w:val="20"/>
          <w:szCs w:val="20"/>
        </w:rPr>
        <w:t>S</w:t>
      </w:r>
      <w:r w:rsidRPr="00ED5BA1" w:rsidR="00235FE8">
        <w:rPr>
          <w:i/>
          <w:iCs/>
          <w:sz w:val="20"/>
          <w:szCs w:val="20"/>
        </w:rPr>
        <w:t xml:space="preserve">ervice </w:t>
      </w:r>
      <w:r w:rsidR="00235FE8">
        <w:rPr>
          <w:i/>
          <w:iCs/>
          <w:sz w:val="20"/>
          <w:szCs w:val="20"/>
        </w:rPr>
        <w:t>O</w:t>
      </w:r>
      <w:r w:rsidRPr="00ED5BA1" w:rsidR="00235FE8">
        <w:rPr>
          <w:i/>
          <w:iCs/>
          <w:sz w:val="20"/>
          <w:szCs w:val="20"/>
        </w:rPr>
        <w:t xml:space="preserve">ffer </w:t>
      </w:r>
      <w:r w:rsidR="00235FE8">
        <w:rPr>
          <w:i/>
          <w:iCs/>
          <w:sz w:val="20"/>
          <w:szCs w:val="20"/>
        </w:rPr>
        <w:t>E</w:t>
      </w:r>
      <w:r w:rsidRPr="00ED5BA1" w:rsidR="00235FE8">
        <w:rPr>
          <w:i/>
          <w:iCs/>
          <w:sz w:val="20"/>
          <w:szCs w:val="20"/>
        </w:rPr>
        <w:t xml:space="preserve">lectric </w:t>
      </w:r>
      <w:r w:rsidR="00235FE8">
        <w:rPr>
          <w:i/>
          <w:iCs/>
          <w:sz w:val="20"/>
          <w:szCs w:val="20"/>
        </w:rPr>
        <w:t>G</w:t>
      </w:r>
      <w:r w:rsidRPr="00ED5BA1" w:rsidR="00235FE8">
        <w:rPr>
          <w:i/>
          <w:iCs/>
          <w:sz w:val="20"/>
          <w:szCs w:val="20"/>
        </w:rPr>
        <w:t xml:space="preserve">eneration </w:t>
      </w:r>
      <w:r w:rsidR="00235FE8">
        <w:rPr>
          <w:i/>
          <w:iCs/>
          <w:sz w:val="20"/>
          <w:szCs w:val="20"/>
        </w:rPr>
        <w:t>S</w:t>
      </w:r>
      <w:r w:rsidRPr="00ED5BA1" w:rsidR="00235FE8">
        <w:rPr>
          <w:i/>
          <w:iCs/>
          <w:sz w:val="20"/>
          <w:szCs w:val="20"/>
        </w:rPr>
        <w:t xml:space="preserve">upply, </w:t>
      </w:r>
      <w:r w:rsidR="00235FE8">
        <w:rPr>
          <w:i/>
          <w:iCs/>
          <w:sz w:val="20"/>
          <w:szCs w:val="20"/>
        </w:rPr>
        <w:t>A</w:t>
      </w:r>
      <w:r w:rsidRPr="00ED5BA1" w:rsidR="00235FE8">
        <w:rPr>
          <w:i/>
          <w:iCs/>
          <w:sz w:val="20"/>
          <w:szCs w:val="20"/>
        </w:rPr>
        <w:t xml:space="preserve">ccounting </w:t>
      </w:r>
      <w:r w:rsidR="00235FE8">
        <w:rPr>
          <w:i/>
          <w:iCs/>
          <w:sz w:val="20"/>
          <w:szCs w:val="20"/>
        </w:rPr>
        <w:t>M</w:t>
      </w:r>
      <w:r w:rsidRPr="00ED5BA1" w:rsidR="00235FE8">
        <w:rPr>
          <w:i/>
          <w:iCs/>
          <w:sz w:val="20"/>
          <w:szCs w:val="20"/>
        </w:rPr>
        <w:t>odifications</w:t>
      </w:r>
      <w:r w:rsidRPr="00ED5BA1">
        <w:rPr>
          <w:i/>
          <w:iCs/>
          <w:sz w:val="20"/>
          <w:szCs w:val="20"/>
        </w:rPr>
        <w:t xml:space="preserve">, and </w:t>
      </w:r>
      <w:r w:rsidR="00235FE8">
        <w:rPr>
          <w:i/>
          <w:iCs/>
          <w:sz w:val="20"/>
          <w:szCs w:val="20"/>
        </w:rPr>
        <w:t>T</w:t>
      </w:r>
      <w:r w:rsidRPr="00ED5BA1">
        <w:rPr>
          <w:i/>
          <w:iCs/>
          <w:sz w:val="20"/>
          <w:szCs w:val="20"/>
        </w:rPr>
        <w:t xml:space="preserve">ariffs for </w:t>
      </w:r>
      <w:r w:rsidR="00235FE8">
        <w:rPr>
          <w:i/>
          <w:iCs/>
          <w:sz w:val="20"/>
          <w:szCs w:val="20"/>
        </w:rPr>
        <w:t>G</w:t>
      </w:r>
      <w:r w:rsidRPr="00ED5BA1">
        <w:rPr>
          <w:i/>
          <w:iCs/>
          <w:sz w:val="20"/>
          <w:szCs w:val="20"/>
        </w:rPr>
        <w:t xml:space="preserve">eneration </w:t>
      </w:r>
      <w:r w:rsidR="00235FE8">
        <w:rPr>
          <w:i/>
          <w:iCs/>
          <w:sz w:val="20"/>
          <w:szCs w:val="20"/>
        </w:rPr>
        <w:t>S</w:t>
      </w:r>
      <w:r w:rsidRPr="00ED5BA1">
        <w:rPr>
          <w:i/>
          <w:iCs/>
          <w:sz w:val="20"/>
          <w:szCs w:val="20"/>
        </w:rPr>
        <w:t>ervice</w:t>
      </w:r>
      <w:r w:rsidRPr="00ED5BA1" w:rsidR="00D05F03">
        <w:rPr>
          <w:i/>
          <w:iCs/>
          <w:sz w:val="20"/>
          <w:szCs w:val="20"/>
        </w:rPr>
        <w:t xml:space="preserve">, </w:t>
      </w:r>
      <w:r w:rsidRPr="00ED5BA1" w:rsidR="00D05F03">
        <w:rPr>
          <w:sz w:val="20"/>
          <w:szCs w:val="20"/>
        </w:rPr>
        <w:t>Case No. 10-2586-EL-SSO, Application (Nov. 15, 2010).</w:t>
      </w:r>
    </w:p>
  </w:footnote>
  <w:footnote w:id="9">
    <w:p w:rsidR="000C56D5" w14:paraId="25C0EA75" w14:textId="55B4ABE7">
      <w:pPr>
        <w:pStyle w:val="FootnoteText"/>
      </w:pPr>
      <w:r>
        <w:rPr>
          <w:rStyle w:val="FootnoteReference"/>
        </w:rPr>
        <w:footnoteRef/>
      </w:r>
      <w:r>
        <w:t xml:space="preserve"> </w:t>
      </w:r>
      <w:r w:rsidRPr="00007B3B" w:rsidR="00007B3B">
        <w:rPr>
          <w:i/>
          <w:iCs/>
        </w:rPr>
        <w:t>In the Matter of the Application of Duke Energy Ohio, Inc. for Approval of a Market Rate Offer to Conduct a Competitive Bidding Process for a Standard Service Offer Electric Generation Supply, Accounting Modifications, and Tariffs for Generation Service</w:t>
      </w:r>
      <w:r w:rsidR="00007B3B">
        <w:t xml:space="preserve">, Case No. </w:t>
      </w:r>
      <w:r w:rsidRPr="000C56D5" w:rsidR="00007B3B">
        <w:t>10-2586-EL-SSO</w:t>
      </w:r>
      <w:r w:rsidR="00007B3B">
        <w:t xml:space="preserve">, </w:t>
      </w:r>
      <w:r w:rsidR="000E1C44">
        <w:t xml:space="preserve">Direct </w:t>
      </w:r>
      <w:r w:rsidRPr="000C56D5">
        <w:t>Testimony of James E. Rogers</w:t>
      </w:r>
      <w:r w:rsidR="00007B3B">
        <w:t xml:space="preserve"> (Nov. 15, 2010).</w:t>
      </w:r>
    </w:p>
  </w:footnote>
  <w:footnote w:id="10">
    <w:p w:rsidR="006301A0" w:rsidRPr="00ED5BA1" w:rsidP="00ED5BA1" w14:paraId="3D110E4B" w14:textId="353DF088">
      <w:pPr>
        <w:pStyle w:val="FootnoteText"/>
      </w:pPr>
      <w:r w:rsidRPr="00ED5BA1">
        <w:rPr>
          <w:rStyle w:val="FootnoteReference"/>
        </w:rPr>
        <w:footnoteRef/>
      </w:r>
      <w:r w:rsidRPr="00ED5BA1">
        <w:t xml:space="preserve"> Testimony of Jenifer French, </w:t>
      </w:r>
      <w:r w:rsidR="00AF4044">
        <w:t>PUCO Chair</w:t>
      </w:r>
      <w:r w:rsidRPr="00ED5BA1">
        <w:t>, to House Public Utilities Committee on Energy Reliability, Sustainability and Affordability</w:t>
      </w:r>
      <w:r w:rsidRPr="00ED5BA1" w:rsidR="00957547">
        <w:t xml:space="preserve"> at 3</w:t>
      </w:r>
      <w:r w:rsidRPr="00ED5BA1">
        <w:t xml:space="preserve"> (Feb. 1, 2024).</w:t>
      </w:r>
      <w:r w:rsidRPr="00ED5BA1" w:rsidR="00F7155A">
        <w:t xml:space="preserve"> </w:t>
      </w:r>
    </w:p>
  </w:footnote>
  <w:footnote w:id="11">
    <w:p w:rsidR="00376951" w14:paraId="38D4A937" w14:textId="41EB0430">
      <w:pPr>
        <w:pStyle w:val="FootnoteText"/>
      </w:pPr>
      <w:r>
        <w:rPr>
          <w:rStyle w:val="FootnoteReference"/>
        </w:rPr>
        <w:footnoteRef/>
      </w:r>
      <w:r>
        <w:t xml:space="preserve"> PJM Fact Sheet, available at: </w:t>
      </w:r>
      <w:hyperlink r:id="rId1" w:history="1">
        <w:r w:rsidRPr="000E3ED8">
          <w:rPr>
            <w:rStyle w:val="Hyperlink"/>
          </w:rPr>
          <w:t>https://www.pjm.com/-/media/about-pjm/newsroom/fact-sheets/pjm-at-a-glance.ashx</w:t>
        </w:r>
      </w:hyperlink>
      <w:r>
        <w:t>.</w:t>
      </w:r>
    </w:p>
  </w:footnote>
  <w:footnote w:id="12">
    <w:p w:rsidR="00486ECE" w14:paraId="4C266BB1" w14:textId="77CF59B7">
      <w:pPr>
        <w:pStyle w:val="FootnoteText"/>
      </w:pPr>
      <w:r>
        <w:rPr>
          <w:rStyle w:val="FootnoteReference"/>
        </w:rPr>
        <w:footnoteRef/>
      </w:r>
      <w:r>
        <w:t xml:space="preserve"> PUCO Apples-to-Apples web page, available at: </w:t>
      </w:r>
      <w:hyperlink r:id="rId2" w:history="1">
        <w:r w:rsidRPr="000E3ED8" w:rsidR="00A61271">
          <w:rPr>
            <w:rStyle w:val="Hyperlink"/>
          </w:rPr>
          <w:t>https://energychoice.ohio.gov/ApplesToApplesComparision.aspx?Category=Electric&amp;TerritoryId=4&amp;RateCode=1</w:t>
        </w:r>
      </w:hyperlink>
      <w:r w:rsidR="00754AC6">
        <w:t>.</w:t>
      </w:r>
    </w:p>
  </w:footnote>
  <w:footnote w:id="13">
    <w:p w:rsidR="00E514E2" w:rsidRPr="00ED5BA1" w:rsidP="00ED5BA1" w14:paraId="3880EAD7" w14:textId="23D773B4">
      <w:pPr>
        <w:pStyle w:val="FootnoteText"/>
      </w:pPr>
      <w:r w:rsidRPr="00ED5BA1">
        <w:rPr>
          <w:rStyle w:val="FootnoteReference"/>
        </w:rPr>
        <w:footnoteRef/>
      </w:r>
      <w:r w:rsidRPr="00ED5BA1">
        <w:t xml:space="preserve"> </w:t>
      </w:r>
      <w:r w:rsidR="00ED5BA1">
        <w:t>R.C.</w:t>
      </w:r>
      <w:r w:rsidRPr="00ED5BA1">
        <w:t xml:space="preserve"> 4928.143(C)(1).</w:t>
      </w:r>
    </w:p>
  </w:footnote>
  <w:footnote w:id="14">
    <w:p w:rsidR="00BC27B0" w14:paraId="00B67672" w14:textId="1219D250">
      <w:pPr>
        <w:pStyle w:val="FootnoteText"/>
      </w:pPr>
      <w:r>
        <w:rPr>
          <w:rStyle w:val="FootnoteReference"/>
        </w:rPr>
        <w:footnoteRef/>
      </w:r>
      <w:r>
        <w:t xml:space="preserve"> </w:t>
      </w:r>
      <w:r w:rsidRPr="00C14245" w:rsidR="00C14245">
        <w:rPr>
          <w:i/>
          <w:iCs/>
        </w:rPr>
        <w:t>Id.</w:t>
      </w:r>
    </w:p>
  </w:footnote>
  <w:footnote w:id="15">
    <w:p w:rsidR="00784180" w14:paraId="245046FD" w14:textId="27498AE2">
      <w:pPr>
        <w:pStyle w:val="FootnoteText"/>
      </w:pPr>
      <w:r>
        <w:rPr>
          <w:rStyle w:val="FootnoteReference"/>
        </w:rPr>
        <w:footnoteRef/>
      </w:r>
      <w:r>
        <w:t xml:space="preserve"> </w:t>
      </w:r>
      <w:r w:rsidRPr="00DB7A53">
        <w:rPr>
          <w:i/>
          <w:iCs/>
        </w:rPr>
        <w:t>In re Application of Ohio Edison Co</w:t>
      </w:r>
      <w:r>
        <w:rPr>
          <w:i/>
          <w:iCs/>
        </w:rPr>
        <w:t xml:space="preserve">., </w:t>
      </w:r>
      <w:r w:rsidRPr="008C191A">
        <w:t>146 Ohio St.3d 222, 2016-Ohio-3021</w:t>
      </w:r>
      <w:r>
        <w:t xml:space="preserve"> at ¶ 25.</w:t>
      </w:r>
    </w:p>
  </w:footnote>
  <w:footnote w:id="16">
    <w:p w:rsidR="008C191A" w14:paraId="29B5DB89" w14:textId="0ED8BB7A">
      <w:pPr>
        <w:pStyle w:val="FootnoteText"/>
      </w:pPr>
      <w:r>
        <w:rPr>
          <w:rStyle w:val="FootnoteReference"/>
        </w:rPr>
        <w:footnoteRef/>
      </w:r>
      <w:r>
        <w:t xml:space="preserve"> </w:t>
      </w:r>
      <w:r w:rsidRPr="00226B68">
        <w:rPr>
          <w:i/>
          <w:iCs/>
        </w:rPr>
        <w:t>I</w:t>
      </w:r>
      <w:r w:rsidR="00DE4FD2">
        <w:rPr>
          <w:i/>
          <w:iCs/>
        </w:rPr>
        <w:t>d.</w:t>
      </w:r>
    </w:p>
  </w:footnote>
  <w:footnote w:id="17">
    <w:p w:rsidR="006E0D0E" w:rsidRPr="00A86364" w14:paraId="7DBC6C6F" w14:textId="6B50C4AE">
      <w:pPr>
        <w:pStyle w:val="FootnoteText"/>
        <w:rPr>
          <w:i/>
          <w:iCs/>
        </w:rPr>
      </w:pPr>
      <w:r>
        <w:rPr>
          <w:rStyle w:val="FootnoteReference"/>
        </w:rPr>
        <w:footnoteRef/>
      </w:r>
      <w:r>
        <w:t xml:space="preserve"> </w:t>
      </w:r>
      <w:r>
        <w:rPr>
          <w:i/>
          <w:iCs/>
        </w:rPr>
        <w:t>Id.</w:t>
      </w:r>
    </w:p>
  </w:footnote>
  <w:footnote w:id="18">
    <w:p w:rsidR="00B12ACB" w14:paraId="4EA14A2C" w14:textId="45A5B6AA">
      <w:pPr>
        <w:pStyle w:val="FootnoteText"/>
      </w:pPr>
      <w:r>
        <w:rPr>
          <w:rStyle w:val="FootnoteReference"/>
        </w:rPr>
        <w:footnoteRef/>
      </w:r>
      <w:r>
        <w:t xml:space="preserve"> </w:t>
      </w:r>
      <w:r w:rsidRPr="00226B68">
        <w:rPr>
          <w:i/>
          <w:iCs/>
        </w:rPr>
        <w:t xml:space="preserve">In the Matter of the Application of Ohio Edison Company, </w:t>
      </w:r>
      <w:r w:rsidR="00135E1F">
        <w:rPr>
          <w:i/>
          <w:iCs/>
        </w:rPr>
        <w:t>T</w:t>
      </w:r>
      <w:r w:rsidRPr="00226B68">
        <w:rPr>
          <w:i/>
          <w:iCs/>
        </w:rPr>
        <w:t xml:space="preserve">he Cleveland Electric Illuminating Company, and </w:t>
      </w:r>
      <w:r w:rsidR="00135E1F">
        <w:rPr>
          <w:i/>
          <w:iCs/>
        </w:rPr>
        <w:t>T</w:t>
      </w:r>
      <w:r w:rsidRPr="00226B68">
        <w:rPr>
          <w:i/>
          <w:iCs/>
        </w:rPr>
        <w:t>he Toledo Edison Company for Authority to Establish a Standard Service Offer Pursuant to R.C. 4928.143 in the Form of an Electric Security Plan</w:t>
      </w:r>
      <w:r>
        <w:t xml:space="preserve">, Case No. 23-301-EL-SSO, Opinion and Order (May 15, 2024). </w:t>
      </w:r>
    </w:p>
  </w:footnote>
  <w:footnote w:id="19">
    <w:p w:rsidR="00B12ACB" w:rsidRPr="00B12ACB" w14:paraId="3BD0D743" w14:textId="64C2B337">
      <w:pPr>
        <w:pStyle w:val="FootnoteText"/>
      </w:pPr>
      <w:r>
        <w:rPr>
          <w:rStyle w:val="FootnoteReference"/>
        </w:rPr>
        <w:footnoteRef/>
      </w:r>
      <w:r>
        <w:t xml:space="preserve"> </w:t>
      </w:r>
      <w:r>
        <w:rPr>
          <w:i/>
          <w:iCs/>
        </w:rPr>
        <w:t xml:space="preserve">Id. </w:t>
      </w:r>
      <w:r>
        <w:t>at ¶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2BAA6E2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02" o:spid="_x0000_s2049" type="#_x0000_t136" style="width:548.55pt;height:60.45pt;margin-top:0;margin-left:0;mso-height-percent:0;mso-position-horizontal:center;mso-position-horizontal-relative:margin;mso-position-vertical:center;mso-position-vertical-relative:margin;mso-width-percent:0;mso-wrap-edited:f;position:absolute;rotation:315;z-index:-251656192" o:allowincell="f" fillcolor="#fabf8f" stroked="f">
          <v:fill opacity="0.5"/>
          <v:textpath style="font-family:'Times New Roman';font-size:1pt" string="CONFIDENTIAL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65AE9DC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11" o:spid="_x0000_s2051" type="#_x0000_t136" style="width:548.55pt;height:60.45pt;margin-top:0;margin-left:0;mso-height-percent:0;mso-position-horizontal:center;mso-position-horizontal-relative:margin;mso-position-vertical:center;mso-position-vertical-relative:margin;mso-width-percent:0;mso-wrap-edited:f;position:absolute;rotation:315;z-index:-251653120" o:allowincell="f" fillcolor="#fabf8f" stroked="f">
          <v:fill opacity="0.5"/>
          <v:textpath style="font-family:'Times New Roman';font-size:1pt" string="CONFIDENTIAL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55CEAFE5"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05E729B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10" o:spid="_x0000_s2052" type="#_x0000_t136" style="width:548.55pt;height:60.45pt;margin-top:0;margin-left:0;mso-height-percent:0;mso-position-horizontal:center;mso-position-horizontal-relative:margin;mso-position-vertical:center;mso-position-vertical-relative:margin;mso-width-percent:0;mso-wrap-edited:f;position:absolute;rotation:315;z-index:-251654144" o:allowincell="f" fillcolor="#fabf8f" stroked="f">
          <v:fill opacity="0.5"/>
          <v:textpath style="font-family:'Times New Roman';font-size:1pt" string="CONFIDENTIAL DRAFT"/>
          <w10:wrap anchorx="margin" anchory="margin"/>
        </v:shape>
      </w:pict>
    </w:r>
    <w:r w:rsidR="00F44C5C">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wps:spPr>
                    <wps:txbx>
                      <w:txbxContent>
                        <w:p w:rsidR="00A47AD3" w:rsidP="006062D0"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53"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o:lock v:ext="edit" shapetype="t"/>
              <v:textbox style="mso-fit-shape-to-text:t">
                <w:txbxContent>
                  <w:p w:rsidR="00A47AD3" w:rsidP="006062D0" w14:paraId="56D647CE" w14:textId="77777777">
                    <w:pPr>
                      <w:pStyle w:val="NormalWeb"/>
                      <w:spacing w:before="0" w:beforeAutospacing="0" w:after="0" w:afterAutospacing="0"/>
                      <w:jc w:val="cente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6A7D0A85"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03" o:spid="_x0000_s2050" type="#_x0000_t136" style="width:548.55pt;height:60.45pt;margin-top:0;margin-left:0;mso-height-percent:0;mso-position-horizontal:center;mso-position-horizontal-relative:margin;mso-position-vertical:center;mso-position-vertical-relative:margin;mso-width-percent:0;mso-wrap-edited:f;position:absolute;rotation:315;z-index:-251655168" o:allowincell="f" fillcolor="#fabf8f" stroked="f">
          <v:fill opacity="0.5"/>
          <v:textpath style="font-family:'Times New Roman';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BE2" w14:paraId="690C8F5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3FC5C77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145A5F95" w14:textId="77777777">
    <w:pPr>
      <w:pStyle w:val="Header"/>
      <w:jc w:val="center"/>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5E796C4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707C746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rsidRPr="0091061A" w:rsidP="006062D0" w14:paraId="0899C69C" w14:textId="77777777">
    <w:pPr>
      <w:pStyle w:val="Header"/>
      <w:jc w:val="center"/>
      <w:rPr>
        <w:i/>
        <w:iCs/>
      </w:rPr>
    </w:pPr>
    <w:r>
      <w:rPr>
        <w:i/>
        <w:iCs/>
      </w:rPr>
      <w:t xml:space="preserve">Direct </w:t>
    </w:r>
    <w:r w:rsidRPr="0091061A">
      <w:rPr>
        <w:i/>
        <w:iCs/>
      </w:rPr>
      <w:t xml:space="preserve">Testimony of </w:t>
    </w:r>
    <w:r w:rsidR="00FD7D89">
      <w:rPr>
        <w:i/>
        <w:iCs/>
      </w:rPr>
      <w:t>Joseph P. Buckley</w:t>
    </w:r>
  </w:p>
  <w:p w:rsidR="00A47AD3" w:rsidRPr="0091061A" w:rsidP="006062D0" w14:paraId="0E651422" w14:textId="34F300DF">
    <w:pPr>
      <w:pStyle w:val="Header"/>
      <w:jc w:val="center"/>
      <w:rPr>
        <w:i/>
        <w:iCs/>
      </w:rPr>
    </w:pPr>
    <w:r w:rsidRPr="0091061A">
      <w:rPr>
        <w:i/>
        <w:iCs/>
      </w:rPr>
      <w:t xml:space="preserve">On Behalf of </w:t>
    </w:r>
    <w:r w:rsidR="00C17787">
      <w:rPr>
        <w:i/>
        <w:iCs/>
      </w:rPr>
      <w:t xml:space="preserve">the </w:t>
    </w:r>
    <w:r w:rsidRPr="0091061A">
      <w:rPr>
        <w:i/>
        <w:iCs/>
      </w:rPr>
      <w:t>Office of the Ohio Consumers</w:t>
    </w:r>
    <w:r w:rsidR="001E3926">
      <w:rPr>
        <w:i/>
        <w:iCs/>
      </w:rPr>
      <w:t>’</w:t>
    </w:r>
    <w:r w:rsidRPr="0091061A">
      <w:rPr>
        <w:i/>
        <w:iCs/>
      </w:rPr>
      <w:t xml:space="preserve"> Counsel</w:t>
    </w:r>
  </w:p>
  <w:p w:rsidR="00AE7E8A" w:rsidRPr="003C57F6" w:rsidP="00AE7E8A" w14:paraId="0F3215F7" w14:textId="77777777">
    <w:pPr>
      <w:pStyle w:val="HTMLPreformatted"/>
      <w:jc w:val="center"/>
      <w:rPr>
        <w:rFonts w:ascii="Times New Roman" w:hAnsi="Times New Roman"/>
        <w:i/>
        <w:iCs/>
        <w:sz w:val="24"/>
        <w:szCs w:val="24"/>
      </w:rPr>
    </w:pPr>
    <w:r w:rsidRPr="003C57F6">
      <w:rPr>
        <w:rFonts w:ascii="Times New Roman" w:hAnsi="Times New Roman"/>
        <w:i/>
        <w:iCs/>
        <w:sz w:val="24"/>
        <w:szCs w:val="24"/>
      </w:rPr>
      <w:t xml:space="preserve">PUCO Case No. </w:t>
    </w:r>
    <w:r w:rsidRPr="00E44A0B">
      <w:rPr>
        <w:rFonts w:ascii="Times New Roman" w:hAnsi="Times New Roman"/>
        <w:i/>
        <w:iCs/>
        <w:sz w:val="24"/>
        <w:szCs w:val="24"/>
      </w:rPr>
      <w:t>24-278-EL-SSO</w:t>
    </w:r>
    <w:r>
      <w:rPr>
        <w:rFonts w:ascii="Times New Roman" w:hAnsi="Times New Roman"/>
        <w:i/>
        <w:iCs/>
        <w:sz w:val="24"/>
        <w:szCs w:val="24"/>
      </w:rPr>
      <w:t>, et al.</w:t>
    </w:r>
  </w:p>
  <w:p w:rsidR="0075409B" w14:paraId="70169077" w14:textId="77777777">
    <w:pPr>
      <w:pStyle w:val="Header"/>
      <w:jc w:val="cent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AD3" w14:paraId="6EA143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FFFFFFF"/>
    <w:lvl w:ilvl="0">
      <w:start w:val="1"/>
      <w:numFmt w:val="decimal"/>
      <w:lvlText w:val="%1."/>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80F69AF"/>
    <w:multiLevelType w:val="hybridMultilevel"/>
    <w:tmpl w:val="9162D584"/>
    <w:lvl w:ilvl="0">
      <w:start w:val="1"/>
      <w:numFmt w:val="upperRoman"/>
      <w:lvlText w:val="%1."/>
      <w:lvlJc w:val="left"/>
      <w:pPr>
        <w:ind w:left="990" w:hanging="720"/>
      </w:pPr>
      <w:rPr>
        <w:rFonts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9AE0A40"/>
    <w:multiLevelType w:val="multilevel"/>
    <w:tmpl w:val="C7882A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9645669"/>
    <w:multiLevelType w:val="multilevel"/>
    <w:tmpl w:val="97A2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B0B3C"/>
    <w:multiLevelType w:val="hybridMultilevel"/>
    <w:tmpl w:val="24589E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4768D"/>
    <w:multiLevelType w:val="multilevel"/>
    <w:tmpl w:val="AA784C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24307EA8"/>
    <w:multiLevelType w:val="hybridMultilevel"/>
    <w:tmpl w:val="F75C1F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031097"/>
    <w:multiLevelType w:val="multilevel"/>
    <w:tmpl w:val="6DEE9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A1A8B"/>
    <w:multiLevelType w:val="multilevel"/>
    <w:tmpl w:val="D6F647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66058A8"/>
    <w:multiLevelType w:val="hybridMultilevel"/>
    <w:tmpl w:val="EF96F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7E646D"/>
    <w:multiLevelType w:val="hybridMultilevel"/>
    <w:tmpl w:val="11B6E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D14154"/>
    <w:multiLevelType w:val="multilevel"/>
    <w:tmpl w:val="D1D44D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335C7CA0"/>
    <w:multiLevelType w:val="multilevel"/>
    <w:tmpl w:val="821284F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3B143DAC"/>
    <w:multiLevelType w:val="hybridMultilevel"/>
    <w:tmpl w:val="6DC6BC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2033BB8"/>
    <w:multiLevelType w:val="multilevel"/>
    <w:tmpl w:val="8FEC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47DFB"/>
    <w:multiLevelType w:val="hybridMultilevel"/>
    <w:tmpl w:val="537A02CC"/>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590D01"/>
    <w:multiLevelType w:val="hybridMultilevel"/>
    <w:tmpl w:val="C004D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E12594"/>
    <w:multiLevelType w:val="hybridMultilevel"/>
    <w:tmpl w:val="EC480F3C"/>
    <w:lvl w:ilvl="0">
      <w:start w:val="492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9C06D4"/>
    <w:multiLevelType w:val="hybridMultilevel"/>
    <w:tmpl w:val="300C9C8E"/>
    <w:lvl w:ilvl="0">
      <w:start w:val="492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541725"/>
    <w:multiLevelType w:val="hybridMultilevel"/>
    <w:tmpl w:val="96DE60AA"/>
    <w:lvl w:ilvl="0">
      <w:start w:val="1"/>
      <w:numFmt w:val="upperRoman"/>
      <w:lvlText w:val="%1."/>
      <w:lvlJc w:val="left"/>
      <w:pPr>
        <w:ind w:left="990" w:hanging="720"/>
      </w:pPr>
      <w:rPr>
        <w:rFonts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0">
    <w:nsid w:val="4CDA1909"/>
    <w:multiLevelType w:val="hybridMultilevel"/>
    <w:tmpl w:val="34F2785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E486E4E"/>
    <w:multiLevelType w:val="hybridMultilevel"/>
    <w:tmpl w:val="D5EC6A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19F0D92"/>
    <w:multiLevelType w:val="hybridMultilevel"/>
    <w:tmpl w:val="8A6E2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6D296B"/>
    <w:multiLevelType w:val="hybridMultilevel"/>
    <w:tmpl w:val="9BFEDA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4F6667"/>
    <w:multiLevelType w:val="hybridMultilevel"/>
    <w:tmpl w:val="B7FCDB0C"/>
    <w:lvl w:ilvl="0">
      <w:start w:val="492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BD3BF6"/>
    <w:multiLevelType w:val="hybridMultilevel"/>
    <w:tmpl w:val="0F300DA6"/>
    <w:lvl w:ilvl="0">
      <w:start w:val="1"/>
      <w:numFmt w:val="upperRoman"/>
      <w:pStyle w:val="Heading1"/>
      <w:lvlText w:val="%1."/>
      <w:lvlJc w:val="left"/>
      <w:pPr>
        <w:ind w:left="8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7C227B"/>
    <w:multiLevelType w:val="multilevel"/>
    <w:tmpl w:val="ED1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F851AF"/>
    <w:multiLevelType w:val="hybridMultilevel"/>
    <w:tmpl w:val="D910BF4A"/>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8">
    <w:nsid w:val="70757CA2"/>
    <w:multiLevelType w:val="multilevel"/>
    <w:tmpl w:val="69C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C3143B"/>
    <w:multiLevelType w:val="multilevel"/>
    <w:tmpl w:val="79A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E324F9"/>
    <w:multiLevelType w:val="multilevel"/>
    <w:tmpl w:val="5AB0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B2EFC"/>
    <w:multiLevelType w:val="hybridMultilevel"/>
    <w:tmpl w:val="60B6A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24"/>
  </w:num>
  <w:num w:numId="5">
    <w:abstractNumId w:val="17"/>
  </w:num>
  <w:num w:numId="6">
    <w:abstractNumId w:val="22"/>
  </w:num>
  <w:num w:numId="7">
    <w:abstractNumId w:val="9"/>
  </w:num>
  <w:num w:numId="8">
    <w:abstractNumId w:val="21"/>
  </w:num>
  <w:num w:numId="9">
    <w:abstractNumId w:val="27"/>
  </w:num>
  <w:num w:numId="10">
    <w:abstractNumId w:val="10"/>
  </w:num>
  <w:num w:numId="11">
    <w:abstractNumId w:val="26"/>
  </w:num>
  <w:num w:numId="12">
    <w:abstractNumId w:val="7"/>
  </w:num>
  <w:num w:numId="13">
    <w:abstractNumId w:val="16"/>
  </w:num>
  <w:num w:numId="14">
    <w:abstractNumId w:val="3"/>
  </w:num>
  <w:num w:numId="15">
    <w:abstractNumId w:val="28"/>
  </w:num>
  <w:num w:numId="16">
    <w:abstractNumId w:val="4"/>
  </w:num>
  <w:num w:numId="17">
    <w:abstractNumId w:val="15"/>
  </w:num>
  <w:num w:numId="18">
    <w:abstractNumId w:val="23"/>
  </w:num>
  <w:num w:numId="19">
    <w:abstractNumId w:val="6"/>
  </w:num>
  <w:num w:numId="20">
    <w:abstractNumId w:val="25"/>
  </w:num>
  <w:num w:numId="21">
    <w:abstractNumId w:val="1"/>
  </w:num>
  <w:num w:numId="22">
    <w:abstractNumId w:val="19"/>
  </w:num>
  <w:num w:numId="23">
    <w:abstractNumId w:val="12"/>
  </w:num>
  <w:num w:numId="24">
    <w:abstractNumId w:val="2"/>
  </w:num>
  <w:num w:numId="25">
    <w:abstractNumId w:val="8"/>
  </w:num>
  <w:num w:numId="26">
    <w:abstractNumId w:val="11"/>
  </w:num>
  <w:num w:numId="27">
    <w:abstractNumId w:val="5"/>
  </w:num>
  <w:num w:numId="28">
    <w:abstractNumId w:val="30"/>
  </w:num>
  <w:num w:numId="29">
    <w:abstractNumId w:val="31"/>
  </w:num>
  <w:num w:numId="30">
    <w:abstractNumId w:val="29"/>
  </w:num>
  <w:num w:numId="31">
    <w:abstractNumId w:val="0"/>
  </w:num>
  <w:num w:numId="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06"/>
    <w:rsid w:val="00000E78"/>
    <w:rsid w:val="00001D04"/>
    <w:rsid w:val="00002E08"/>
    <w:rsid w:val="00002FD2"/>
    <w:rsid w:val="00003F0B"/>
    <w:rsid w:val="000043E9"/>
    <w:rsid w:val="000045DC"/>
    <w:rsid w:val="000049C8"/>
    <w:rsid w:val="00004FA2"/>
    <w:rsid w:val="00005DD7"/>
    <w:rsid w:val="00006512"/>
    <w:rsid w:val="00007467"/>
    <w:rsid w:val="000074F6"/>
    <w:rsid w:val="00007B3B"/>
    <w:rsid w:val="00010988"/>
    <w:rsid w:val="00010FE9"/>
    <w:rsid w:val="000142C6"/>
    <w:rsid w:val="00014396"/>
    <w:rsid w:val="00014586"/>
    <w:rsid w:val="000174B6"/>
    <w:rsid w:val="00017516"/>
    <w:rsid w:val="00023ACD"/>
    <w:rsid w:val="0002466C"/>
    <w:rsid w:val="00032BEA"/>
    <w:rsid w:val="00032FD4"/>
    <w:rsid w:val="00034E16"/>
    <w:rsid w:val="00035299"/>
    <w:rsid w:val="000359F6"/>
    <w:rsid w:val="00037D24"/>
    <w:rsid w:val="00040B3B"/>
    <w:rsid w:val="00040EC4"/>
    <w:rsid w:val="0004118C"/>
    <w:rsid w:val="000414EF"/>
    <w:rsid w:val="00041677"/>
    <w:rsid w:val="0004213E"/>
    <w:rsid w:val="00042973"/>
    <w:rsid w:val="00046AD3"/>
    <w:rsid w:val="00046E78"/>
    <w:rsid w:val="000519EE"/>
    <w:rsid w:val="0005299A"/>
    <w:rsid w:val="00053275"/>
    <w:rsid w:val="00053560"/>
    <w:rsid w:val="000540B5"/>
    <w:rsid w:val="00056D49"/>
    <w:rsid w:val="000570AD"/>
    <w:rsid w:val="00061C50"/>
    <w:rsid w:val="00061EC2"/>
    <w:rsid w:val="00062F9C"/>
    <w:rsid w:val="00063171"/>
    <w:rsid w:val="0006365D"/>
    <w:rsid w:val="00063E68"/>
    <w:rsid w:val="000649D3"/>
    <w:rsid w:val="00064EDF"/>
    <w:rsid w:val="00065D6E"/>
    <w:rsid w:val="0006665F"/>
    <w:rsid w:val="00066CEF"/>
    <w:rsid w:val="0006757F"/>
    <w:rsid w:val="000706AD"/>
    <w:rsid w:val="00070C72"/>
    <w:rsid w:val="00071549"/>
    <w:rsid w:val="00071C81"/>
    <w:rsid w:val="0007312A"/>
    <w:rsid w:val="00073C0A"/>
    <w:rsid w:val="00073F6C"/>
    <w:rsid w:val="00073FD1"/>
    <w:rsid w:val="00074B7D"/>
    <w:rsid w:val="000755D5"/>
    <w:rsid w:val="00076992"/>
    <w:rsid w:val="0008204A"/>
    <w:rsid w:val="00083B6D"/>
    <w:rsid w:val="000845E2"/>
    <w:rsid w:val="0008693F"/>
    <w:rsid w:val="0008694D"/>
    <w:rsid w:val="00087144"/>
    <w:rsid w:val="00087C26"/>
    <w:rsid w:val="00087E95"/>
    <w:rsid w:val="00090392"/>
    <w:rsid w:val="00092165"/>
    <w:rsid w:val="00093060"/>
    <w:rsid w:val="00093C65"/>
    <w:rsid w:val="000942AB"/>
    <w:rsid w:val="000942F3"/>
    <w:rsid w:val="00096C75"/>
    <w:rsid w:val="00097C0D"/>
    <w:rsid w:val="000A0197"/>
    <w:rsid w:val="000A1401"/>
    <w:rsid w:val="000A2239"/>
    <w:rsid w:val="000A4D02"/>
    <w:rsid w:val="000A5BFB"/>
    <w:rsid w:val="000A66EE"/>
    <w:rsid w:val="000A6D93"/>
    <w:rsid w:val="000A7664"/>
    <w:rsid w:val="000B11B7"/>
    <w:rsid w:val="000B243E"/>
    <w:rsid w:val="000B2B47"/>
    <w:rsid w:val="000B31CB"/>
    <w:rsid w:val="000B3B93"/>
    <w:rsid w:val="000B7DEB"/>
    <w:rsid w:val="000C1CF0"/>
    <w:rsid w:val="000C2BEA"/>
    <w:rsid w:val="000C3BC6"/>
    <w:rsid w:val="000C454E"/>
    <w:rsid w:val="000C56D5"/>
    <w:rsid w:val="000C5CF7"/>
    <w:rsid w:val="000C7397"/>
    <w:rsid w:val="000D01A0"/>
    <w:rsid w:val="000D039C"/>
    <w:rsid w:val="000D25CA"/>
    <w:rsid w:val="000D2801"/>
    <w:rsid w:val="000D3551"/>
    <w:rsid w:val="000D6BCF"/>
    <w:rsid w:val="000D77D7"/>
    <w:rsid w:val="000E05CA"/>
    <w:rsid w:val="000E08DE"/>
    <w:rsid w:val="000E0A4F"/>
    <w:rsid w:val="000E1336"/>
    <w:rsid w:val="000E1488"/>
    <w:rsid w:val="000E1C44"/>
    <w:rsid w:val="000E3ED8"/>
    <w:rsid w:val="000E698C"/>
    <w:rsid w:val="000F067C"/>
    <w:rsid w:val="000F2FE9"/>
    <w:rsid w:val="000F367C"/>
    <w:rsid w:val="000F44F7"/>
    <w:rsid w:val="000F67F5"/>
    <w:rsid w:val="000F7066"/>
    <w:rsid w:val="001005CB"/>
    <w:rsid w:val="00100D81"/>
    <w:rsid w:val="00101CFB"/>
    <w:rsid w:val="00103030"/>
    <w:rsid w:val="00103DA0"/>
    <w:rsid w:val="00103FBC"/>
    <w:rsid w:val="00104195"/>
    <w:rsid w:val="001043EE"/>
    <w:rsid w:val="00104808"/>
    <w:rsid w:val="001060BE"/>
    <w:rsid w:val="001076C8"/>
    <w:rsid w:val="00107D0E"/>
    <w:rsid w:val="001100A5"/>
    <w:rsid w:val="00111301"/>
    <w:rsid w:val="00111991"/>
    <w:rsid w:val="001124A6"/>
    <w:rsid w:val="001139DA"/>
    <w:rsid w:val="00113B31"/>
    <w:rsid w:val="00113EDD"/>
    <w:rsid w:val="00115AD3"/>
    <w:rsid w:val="001165C4"/>
    <w:rsid w:val="001175AD"/>
    <w:rsid w:val="00117A5D"/>
    <w:rsid w:val="00117D67"/>
    <w:rsid w:val="00121A25"/>
    <w:rsid w:val="001223D7"/>
    <w:rsid w:val="00124D0D"/>
    <w:rsid w:val="00125434"/>
    <w:rsid w:val="001301CA"/>
    <w:rsid w:val="001308A0"/>
    <w:rsid w:val="00131466"/>
    <w:rsid w:val="00132E8F"/>
    <w:rsid w:val="001335EE"/>
    <w:rsid w:val="001335FF"/>
    <w:rsid w:val="0013424C"/>
    <w:rsid w:val="001354D3"/>
    <w:rsid w:val="001356D5"/>
    <w:rsid w:val="0013590C"/>
    <w:rsid w:val="00135E1F"/>
    <w:rsid w:val="0013778B"/>
    <w:rsid w:val="001377D4"/>
    <w:rsid w:val="00137F4B"/>
    <w:rsid w:val="0014024F"/>
    <w:rsid w:val="00140EC2"/>
    <w:rsid w:val="001410CB"/>
    <w:rsid w:val="0014195A"/>
    <w:rsid w:val="00145ABB"/>
    <w:rsid w:val="001468E9"/>
    <w:rsid w:val="001473E7"/>
    <w:rsid w:val="00150E6D"/>
    <w:rsid w:val="001516F3"/>
    <w:rsid w:val="001520FE"/>
    <w:rsid w:val="00152CEA"/>
    <w:rsid w:val="00152F11"/>
    <w:rsid w:val="001534BE"/>
    <w:rsid w:val="00161497"/>
    <w:rsid w:val="00161DDC"/>
    <w:rsid w:val="00161E6C"/>
    <w:rsid w:val="001629E7"/>
    <w:rsid w:val="00162E88"/>
    <w:rsid w:val="00164AA7"/>
    <w:rsid w:val="0016550B"/>
    <w:rsid w:val="00165FBE"/>
    <w:rsid w:val="0016667C"/>
    <w:rsid w:val="0016683C"/>
    <w:rsid w:val="00166B22"/>
    <w:rsid w:val="0017008E"/>
    <w:rsid w:val="001708B7"/>
    <w:rsid w:val="001708CD"/>
    <w:rsid w:val="00170F74"/>
    <w:rsid w:val="0017286A"/>
    <w:rsid w:val="001735FE"/>
    <w:rsid w:val="00173F74"/>
    <w:rsid w:val="0017474E"/>
    <w:rsid w:val="0017596F"/>
    <w:rsid w:val="00176836"/>
    <w:rsid w:val="00176DB8"/>
    <w:rsid w:val="00183507"/>
    <w:rsid w:val="00183A4F"/>
    <w:rsid w:val="001848F8"/>
    <w:rsid w:val="00184DA6"/>
    <w:rsid w:val="0018668F"/>
    <w:rsid w:val="00191848"/>
    <w:rsid w:val="00191F2E"/>
    <w:rsid w:val="00192345"/>
    <w:rsid w:val="00192E55"/>
    <w:rsid w:val="001933F2"/>
    <w:rsid w:val="00194069"/>
    <w:rsid w:val="0019630A"/>
    <w:rsid w:val="001967BB"/>
    <w:rsid w:val="001970F9"/>
    <w:rsid w:val="001A0F7F"/>
    <w:rsid w:val="001A1191"/>
    <w:rsid w:val="001A1ECE"/>
    <w:rsid w:val="001A2E57"/>
    <w:rsid w:val="001A3C83"/>
    <w:rsid w:val="001A646E"/>
    <w:rsid w:val="001A6CF9"/>
    <w:rsid w:val="001A7478"/>
    <w:rsid w:val="001A74BF"/>
    <w:rsid w:val="001A7D80"/>
    <w:rsid w:val="001B007E"/>
    <w:rsid w:val="001B04E9"/>
    <w:rsid w:val="001B06CA"/>
    <w:rsid w:val="001B0F75"/>
    <w:rsid w:val="001B2BB0"/>
    <w:rsid w:val="001B31B6"/>
    <w:rsid w:val="001B4B98"/>
    <w:rsid w:val="001B548C"/>
    <w:rsid w:val="001B59C9"/>
    <w:rsid w:val="001B6103"/>
    <w:rsid w:val="001B706B"/>
    <w:rsid w:val="001C005C"/>
    <w:rsid w:val="001C0C28"/>
    <w:rsid w:val="001C690B"/>
    <w:rsid w:val="001C6E39"/>
    <w:rsid w:val="001D00ED"/>
    <w:rsid w:val="001D09A2"/>
    <w:rsid w:val="001D1762"/>
    <w:rsid w:val="001D5812"/>
    <w:rsid w:val="001D6F86"/>
    <w:rsid w:val="001D717C"/>
    <w:rsid w:val="001D732F"/>
    <w:rsid w:val="001D7843"/>
    <w:rsid w:val="001E144E"/>
    <w:rsid w:val="001E19B7"/>
    <w:rsid w:val="001E1C3E"/>
    <w:rsid w:val="001E3763"/>
    <w:rsid w:val="001E3926"/>
    <w:rsid w:val="001E530D"/>
    <w:rsid w:val="001E555F"/>
    <w:rsid w:val="001F05AB"/>
    <w:rsid w:val="001F09F6"/>
    <w:rsid w:val="001F1247"/>
    <w:rsid w:val="001F15A6"/>
    <w:rsid w:val="001F2CA6"/>
    <w:rsid w:val="001F3A16"/>
    <w:rsid w:val="001F3C3F"/>
    <w:rsid w:val="001F3E85"/>
    <w:rsid w:val="001F4484"/>
    <w:rsid w:val="001F5266"/>
    <w:rsid w:val="001F6EB7"/>
    <w:rsid w:val="001F7297"/>
    <w:rsid w:val="001F7485"/>
    <w:rsid w:val="001F7A83"/>
    <w:rsid w:val="002019A1"/>
    <w:rsid w:val="00202897"/>
    <w:rsid w:val="00204035"/>
    <w:rsid w:val="0020501A"/>
    <w:rsid w:val="0020508F"/>
    <w:rsid w:val="0020522A"/>
    <w:rsid w:val="0020558C"/>
    <w:rsid w:val="00206078"/>
    <w:rsid w:val="0020613B"/>
    <w:rsid w:val="00206783"/>
    <w:rsid w:val="002075C4"/>
    <w:rsid w:val="00210B86"/>
    <w:rsid w:val="00210FD5"/>
    <w:rsid w:val="0021190D"/>
    <w:rsid w:val="00212023"/>
    <w:rsid w:val="0021321D"/>
    <w:rsid w:val="00213BE6"/>
    <w:rsid w:val="00216662"/>
    <w:rsid w:val="00216E10"/>
    <w:rsid w:val="00217295"/>
    <w:rsid w:val="002179DB"/>
    <w:rsid w:val="002208F6"/>
    <w:rsid w:val="00222A66"/>
    <w:rsid w:val="00223A33"/>
    <w:rsid w:val="00223D82"/>
    <w:rsid w:val="00224935"/>
    <w:rsid w:val="002257BD"/>
    <w:rsid w:val="00226B68"/>
    <w:rsid w:val="00226E07"/>
    <w:rsid w:val="0022712C"/>
    <w:rsid w:val="002271C1"/>
    <w:rsid w:val="0022784D"/>
    <w:rsid w:val="00227A1D"/>
    <w:rsid w:val="002304D4"/>
    <w:rsid w:val="002305D9"/>
    <w:rsid w:val="00230D14"/>
    <w:rsid w:val="00230E10"/>
    <w:rsid w:val="00231381"/>
    <w:rsid w:val="00232D7B"/>
    <w:rsid w:val="002334AD"/>
    <w:rsid w:val="00235FE8"/>
    <w:rsid w:val="00236233"/>
    <w:rsid w:val="0023630D"/>
    <w:rsid w:val="0023693B"/>
    <w:rsid w:val="00236BBA"/>
    <w:rsid w:val="00236E35"/>
    <w:rsid w:val="002375D3"/>
    <w:rsid w:val="0024065F"/>
    <w:rsid w:val="002417B0"/>
    <w:rsid w:val="00241990"/>
    <w:rsid w:val="00242498"/>
    <w:rsid w:val="00242A71"/>
    <w:rsid w:val="002450B6"/>
    <w:rsid w:val="00245EBD"/>
    <w:rsid w:val="00246CB7"/>
    <w:rsid w:val="00250101"/>
    <w:rsid w:val="002504F4"/>
    <w:rsid w:val="002509D1"/>
    <w:rsid w:val="00250FE2"/>
    <w:rsid w:val="002514E1"/>
    <w:rsid w:val="00251A4E"/>
    <w:rsid w:val="0025340E"/>
    <w:rsid w:val="002536BC"/>
    <w:rsid w:val="00254F64"/>
    <w:rsid w:val="002571B7"/>
    <w:rsid w:val="002572DF"/>
    <w:rsid w:val="0025797C"/>
    <w:rsid w:val="00260B6B"/>
    <w:rsid w:val="00260BFE"/>
    <w:rsid w:val="002611AA"/>
    <w:rsid w:val="00261248"/>
    <w:rsid w:val="00261DCF"/>
    <w:rsid w:val="002624E4"/>
    <w:rsid w:val="00262752"/>
    <w:rsid w:val="002627E9"/>
    <w:rsid w:val="00262C8C"/>
    <w:rsid w:val="00263880"/>
    <w:rsid w:val="00263A5B"/>
    <w:rsid w:val="00264036"/>
    <w:rsid w:val="002648EC"/>
    <w:rsid w:val="0026499B"/>
    <w:rsid w:val="00265264"/>
    <w:rsid w:val="002657E8"/>
    <w:rsid w:val="00266F9A"/>
    <w:rsid w:val="00267B13"/>
    <w:rsid w:val="0027134D"/>
    <w:rsid w:val="00271C90"/>
    <w:rsid w:val="00271E1C"/>
    <w:rsid w:val="0027237A"/>
    <w:rsid w:val="00272DD0"/>
    <w:rsid w:val="00273BE3"/>
    <w:rsid w:val="0027485D"/>
    <w:rsid w:val="00277299"/>
    <w:rsid w:val="00280478"/>
    <w:rsid w:val="002806AA"/>
    <w:rsid w:val="0028097C"/>
    <w:rsid w:val="00282125"/>
    <w:rsid w:val="00282641"/>
    <w:rsid w:val="00282BFC"/>
    <w:rsid w:val="0028499A"/>
    <w:rsid w:val="00284E17"/>
    <w:rsid w:val="00284E30"/>
    <w:rsid w:val="00285C24"/>
    <w:rsid w:val="002867C5"/>
    <w:rsid w:val="0028789C"/>
    <w:rsid w:val="0028790F"/>
    <w:rsid w:val="00291C46"/>
    <w:rsid w:val="00291EAF"/>
    <w:rsid w:val="0029309A"/>
    <w:rsid w:val="00293AFD"/>
    <w:rsid w:val="00297912"/>
    <w:rsid w:val="002A0511"/>
    <w:rsid w:val="002A2E82"/>
    <w:rsid w:val="002A4147"/>
    <w:rsid w:val="002A4D88"/>
    <w:rsid w:val="002A4DEA"/>
    <w:rsid w:val="002A6843"/>
    <w:rsid w:val="002A6D45"/>
    <w:rsid w:val="002A72B7"/>
    <w:rsid w:val="002A7BAC"/>
    <w:rsid w:val="002B02CA"/>
    <w:rsid w:val="002B467E"/>
    <w:rsid w:val="002B50D6"/>
    <w:rsid w:val="002B5431"/>
    <w:rsid w:val="002B5448"/>
    <w:rsid w:val="002B5A4B"/>
    <w:rsid w:val="002B6A43"/>
    <w:rsid w:val="002C1E19"/>
    <w:rsid w:val="002C2273"/>
    <w:rsid w:val="002C23B9"/>
    <w:rsid w:val="002C274A"/>
    <w:rsid w:val="002C2CE9"/>
    <w:rsid w:val="002C5A45"/>
    <w:rsid w:val="002C5F2A"/>
    <w:rsid w:val="002D2514"/>
    <w:rsid w:val="002D252C"/>
    <w:rsid w:val="002D2987"/>
    <w:rsid w:val="002D36B8"/>
    <w:rsid w:val="002D5FC7"/>
    <w:rsid w:val="002D625B"/>
    <w:rsid w:val="002D7459"/>
    <w:rsid w:val="002E038B"/>
    <w:rsid w:val="002E08E9"/>
    <w:rsid w:val="002E1044"/>
    <w:rsid w:val="002E1F1F"/>
    <w:rsid w:val="002E2237"/>
    <w:rsid w:val="002E253C"/>
    <w:rsid w:val="002E2836"/>
    <w:rsid w:val="002E5328"/>
    <w:rsid w:val="002E680C"/>
    <w:rsid w:val="002E6FDF"/>
    <w:rsid w:val="002F03F4"/>
    <w:rsid w:val="002F049C"/>
    <w:rsid w:val="002F09C6"/>
    <w:rsid w:val="002F2591"/>
    <w:rsid w:val="002F319D"/>
    <w:rsid w:val="002F4021"/>
    <w:rsid w:val="002F56EB"/>
    <w:rsid w:val="002F69A3"/>
    <w:rsid w:val="002F6BAA"/>
    <w:rsid w:val="003002CB"/>
    <w:rsid w:val="00303437"/>
    <w:rsid w:val="00306761"/>
    <w:rsid w:val="00306865"/>
    <w:rsid w:val="003071E8"/>
    <w:rsid w:val="00311393"/>
    <w:rsid w:val="0031240B"/>
    <w:rsid w:val="00313FC4"/>
    <w:rsid w:val="0031467D"/>
    <w:rsid w:val="00315FAA"/>
    <w:rsid w:val="003165C6"/>
    <w:rsid w:val="003166E3"/>
    <w:rsid w:val="003178E7"/>
    <w:rsid w:val="00317A65"/>
    <w:rsid w:val="0032054D"/>
    <w:rsid w:val="00320715"/>
    <w:rsid w:val="0032120C"/>
    <w:rsid w:val="00321607"/>
    <w:rsid w:val="00321F87"/>
    <w:rsid w:val="00322089"/>
    <w:rsid w:val="00323210"/>
    <w:rsid w:val="00323260"/>
    <w:rsid w:val="00323FE6"/>
    <w:rsid w:val="00324282"/>
    <w:rsid w:val="00325887"/>
    <w:rsid w:val="00325939"/>
    <w:rsid w:val="0032599F"/>
    <w:rsid w:val="00325F0B"/>
    <w:rsid w:val="00326CB7"/>
    <w:rsid w:val="003271AB"/>
    <w:rsid w:val="0033061F"/>
    <w:rsid w:val="00331671"/>
    <w:rsid w:val="0033170C"/>
    <w:rsid w:val="00332182"/>
    <w:rsid w:val="003323FB"/>
    <w:rsid w:val="00333BEA"/>
    <w:rsid w:val="00333D35"/>
    <w:rsid w:val="003348A9"/>
    <w:rsid w:val="00335846"/>
    <w:rsid w:val="00335E48"/>
    <w:rsid w:val="00337334"/>
    <w:rsid w:val="00337751"/>
    <w:rsid w:val="00337C08"/>
    <w:rsid w:val="00340182"/>
    <w:rsid w:val="00342A3F"/>
    <w:rsid w:val="00343F70"/>
    <w:rsid w:val="00344210"/>
    <w:rsid w:val="00344B85"/>
    <w:rsid w:val="00344C8A"/>
    <w:rsid w:val="00344D77"/>
    <w:rsid w:val="003456B6"/>
    <w:rsid w:val="00346114"/>
    <w:rsid w:val="003462D5"/>
    <w:rsid w:val="00346CE7"/>
    <w:rsid w:val="00350402"/>
    <w:rsid w:val="00350702"/>
    <w:rsid w:val="0035116C"/>
    <w:rsid w:val="0035310C"/>
    <w:rsid w:val="00353B92"/>
    <w:rsid w:val="0035485F"/>
    <w:rsid w:val="00354ABA"/>
    <w:rsid w:val="00355C30"/>
    <w:rsid w:val="00356AD2"/>
    <w:rsid w:val="003606DA"/>
    <w:rsid w:val="00360C89"/>
    <w:rsid w:val="00360D6E"/>
    <w:rsid w:val="00361E94"/>
    <w:rsid w:val="00362FE0"/>
    <w:rsid w:val="0036561E"/>
    <w:rsid w:val="0036641B"/>
    <w:rsid w:val="00370AD8"/>
    <w:rsid w:val="0037259F"/>
    <w:rsid w:val="00373144"/>
    <w:rsid w:val="003735A6"/>
    <w:rsid w:val="00374225"/>
    <w:rsid w:val="003742EF"/>
    <w:rsid w:val="00374A5E"/>
    <w:rsid w:val="00375C26"/>
    <w:rsid w:val="00376951"/>
    <w:rsid w:val="00377277"/>
    <w:rsid w:val="003801B9"/>
    <w:rsid w:val="00380CD8"/>
    <w:rsid w:val="00381E7D"/>
    <w:rsid w:val="003847AF"/>
    <w:rsid w:val="00384877"/>
    <w:rsid w:val="003848F4"/>
    <w:rsid w:val="0038495E"/>
    <w:rsid w:val="00385D04"/>
    <w:rsid w:val="003904B1"/>
    <w:rsid w:val="00390741"/>
    <w:rsid w:val="00391C2F"/>
    <w:rsid w:val="003925E3"/>
    <w:rsid w:val="00392C38"/>
    <w:rsid w:val="003938E0"/>
    <w:rsid w:val="00393C9F"/>
    <w:rsid w:val="003943E8"/>
    <w:rsid w:val="0039631A"/>
    <w:rsid w:val="0039689F"/>
    <w:rsid w:val="00396CE8"/>
    <w:rsid w:val="00396F08"/>
    <w:rsid w:val="00397433"/>
    <w:rsid w:val="00397AFC"/>
    <w:rsid w:val="003A4A04"/>
    <w:rsid w:val="003A4BAE"/>
    <w:rsid w:val="003A52EA"/>
    <w:rsid w:val="003A62FC"/>
    <w:rsid w:val="003A7290"/>
    <w:rsid w:val="003A72FE"/>
    <w:rsid w:val="003B01BA"/>
    <w:rsid w:val="003B1799"/>
    <w:rsid w:val="003B1A36"/>
    <w:rsid w:val="003B225A"/>
    <w:rsid w:val="003B2B44"/>
    <w:rsid w:val="003B2FEE"/>
    <w:rsid w:val="003B38CF"/>
    <w:rsid w:val="003B3D58"/>
    <w:rsid w:val="003B400D"/>
    <w:rsid w:val="003B42C3"/>
    <w:rsid w:val="003B5BAB"/>
    <w:rsid w:val="003B6A39"/>
    <w:rsid w:val="003B78E0"/>
    <w:rsid w:val="003C0CD8"/>
    <w:rsid w:val="003C0F0C"/>
    <w:rsid w:val="003C0F53"/>
    <w:rsid w:val="003C0FB4"/>
    <w:rsid w:val="003C15A4"/>
    <w:rsid w:val="003C38F2"/>
    <w:rsid w:val="003C391A"/>
    <w:rsid w:val="003C4254"/>
    <w:rsid w:val="003C4BA0"/>
    <w:rsid w:val="003C4BF0"/>
    <w:rsid w:val="003C4FFD"/>
    <w:rsid w:val="003C57F6"/>
    <w:rsid w:val="003D0398"/>
    <w:rsid w:val="003D05F0"/>
    <w:rsid w:val="003D0B8D"/>
    <w:rsid w:val="003D3090"/>
    <w:rsid w:val="003D4970"/>
    <w:rsid w:val="003D53D6"/>
    <w:rsid w:val="003D5B69"/>
    <w:rsid w:val="003D6872"/>
    <w:rsid w:val="003D6F36"/>
    <w:rsid w:val="003E00D1"/>
    <w:rsid w:val="003E0C7A"/>
    <w:rsid w:val="003E171B"/>
    <w:rsid w:val="003E259F"/>
    <w:rsid w:val="003E32E6"/>
    <w:rsid w:val="003E4B8F"/>
    <w:rsid w:val="003E5186"/>
    <w:rsid w:val="003E52B1"/>
    <w:rsid w:val="003E6922"/>
    <w:rsid w:val="003E6AED"/>
    <w:rsid w:val="003F009A"/>
    <w:rsid w:val="003F0347"/>
    <w:rsid w:val="003F2643"/>
    <w:rsid w:val="003F39F2"/>
    <w:rsid w:val="003F4474"/>
    <w:rsid w:val="003F55F0"/>
    <w:rsid w:val="003F6587"/>
    <w:rsid w:val="003F6A7E"/>
    <w:rsid w:val="004010E2"/>
    <w:rsid w:val="004021D8"/>
    <w:rsid w:val="00402598"/>
    <w:rsid w:val="00402FE1"/>
    <w:rsid w:val="00403A26"/>
    <w:rsid w:val="00405F5A"/>
    <w:rsid w:val="0040637F"/>
    <w:rsid w:val="00406AA4"/>
    <w:rsid w:val="00406E95"/>
    <w:rsid w:val="00407C8C"/>
    <w:rsid w:val="00407D7B"/>
    <w:rsid w:val="0041083B"/>
    <w:rsid w:val="00410C25"/>
    <w:rsid w:val="004112C5"/>
    <w:rsid w:val="004115BB"/>
    <w:rsid w:val="0041289A"/>
    <w:rsid w:val="004144D6"/>
    <w:rsid w:val="0041465A"/>
    <w:rsid w:val="00414A54"/>
    <w:rsid w:val="00414A74"/>
    <w:rsid w:val="00415105"/>
    <w:rsid w:val="00415759"/>
    <w:rsid w:val="0041597F"/>
    <w:rsid w:val="00415A57"/>
    <w:rsid w:val="00416288"/>
    <w:rsid w:val="004168D0"/>
    <w:rsid w:val="004171A2"/>
    <w:rsid w:val="0041725C"/>
    <w:rsid w:val="00420142"/>
    <w:rsid w:val="00420432"/>
    <w:rsid w:val="004218FE"/>
    <w:rsid w:val="00422D56"/>
    <w:rsid w:val="00423381"/>
    <w:rsid w:val="004233FA"/>
    <w:rsid w:val="0042372C"/>
    <w:rsid w:val="004246AC"/>
    <w:rsid w:val="00425446"/>
    <w:rsid w:val="00425616"/>
    <w:rsid w:val="00425ADA"/>
    <w:rsid w:val="00427885"/>
    <w:rsid w:val="00427C99"/>
    <w:rsid w:val="00430148"/>
    <w:rsid w:val="00432A93"/>
    <w:rsid w:val="00432EFD"/>
    <w:rsid w:val="004335B9"/>
    <w:rsid w:val="00434307"/>
    <w:rsid w:val="0043471C"/>
    <w:rsid w:val="004350DE"/>
    <w:rsid w:val="0043566D"/>
    <w:rsid w:val="00435E77"/>
    <w:rsid w:val="00436946"/>
    <w:rsid w:val="00436A5A"/>
    <w:rsid w:val="00441524"/>
    <w:rsid w:val="0044210C"/>
    <w:rsid w:val="00442F85"/>
    <w:rsid w:val="004431D9"/>
    <w:rsid w:val="00443266"/>
    <w:rsid w:val="00443729"/>
    <w:rsid w:val="00443D3E"/>
    <w:rsid w:val="00446F17"/>
    <w:rsid w:val="00447D4F"/>
    <w:rsid w:val="00447E87"/>
    <w:rsid w:val="00450AE7"/>
    <w:rsid w:val="004510A6"/>
    <w:rsid w:val="00451B7A"/>
    <w:rsid w:val="004528B0"/>
    <w:rsid w:val="00453064"/>
    <w:rsid w:val="00453493"/>
    <w:rsid w:val="00454320"/>
    <w:rsid w:val="00454A4D"/>
    <w:rsid w:val="0046023D"/>
    <w:rsid w:val="0046181B"/>
    <w:rsid w:val="00461D2E"/>
    <w:rsid w:val="00462D37"/>
    <w:rsid w:val="00464196"/>
    <w:rsid w:val="0046576F"/>
    <w:rsid w:val="004669E5"/>
    <w:rsid w:val="00466AE8"/>
    <w:rsid w:val="0047012D"/>
    <w:rsid w:val="004704C3"/>
    <w:rsid w:val="00470FBB"/>
    <w:rsid w:val="00471BDF"/>
    <w:rsid w:val="00474301"/>
    <w:rsid w:val="00474A2D"/>
    <w:rsid w:val="004753B0"/>
    <w:rsid w:val="00475EE5"/>
    <w:rsid w:val="00476CBC"/>
    <w:rsid w:val="0047708E"/>
    <w:rsid w:val="00477CB4"/>
    <w:rsid w:val="00480047"/>
    <w:rsid w:val="0048141C"/>
    <w:rsid w:val="004850EB"/>
    <w:rsid w:val="00486ECE"/>
    <w:rsid w:val="004870F7"/>
    <w:rsid w:val="00487FC4"/>
    <w:rsid w:val="004909FC"/>
    <w:rsid w:val="00491994"/>
    <w:rsid w:val="00492AD5"/>
    <w:rsid w:val="00493DA8"/>
    <w:rsid w:val="00494869"/>
    <w:rsid w:val="00495386"/>
    <w:rsid w:val="0049545A"/>
    <w:rsid w:val="004956AA"/>
    <w:rsid w:val="00497500"/>
    <w:rsid w:val="004A12E1"/>
    <w:rsid w:val="004A131C"/>
    <w:rsid w:val="004A3B11"/>
    <w:rsid w:val="004A6242"/>
    <w:rsid w:val="004B00C0"/>
    <w:rsid w:val="004B114A"/>
    <w:rsid w:val="004B15D4"/>
    <w:rsid w:val="004B1C5B"/>
    <w:rsid w:val="004B2387"/>
    <w:rsid w:val="004B2615"/>
    <w:rsid w:val="004B2C02"/>
    <w:rsid w:val="004B2DE5"/>
    <w:rsid w:val="004B3A37"/>
    <w:rsid w:val="004B48DC"/>
    <w:rsid w:val="004B5BC7"/>
    <w:rsid w:val="004B7954"/>
    <w:rsid w:val="004B7D15"/>
    <w:rsid w:val="004C2E05"/>
    <w:rsid w:val="004C3D09"/>
    <w:rsid w:val="004C4069"/>
    <w:rsid w:val="004C4384"/>
    <w:rsid w:val="004C4BD9"/>
    <w:rsid w:val="004C4EA6"/>
    <w:rsid w:val="004C580B"/>
    <w:rsid w:val="004C7E56"/>
    <w:rsid w:val="004D01F5"/>
    <w:rsid w:val="004D1FD2"/>
    <w:rsid w:val="004D2CAA"/>
    <w:rsid w:val="004D37E5"/>
    <w:rsid w:val="004D4921"/>
    <w:rsid w:val="004D5926"/>
    <w:rsid w:val="004D59DD"/>
    <w:rsid w:val="004D5B48"/>
    <w:rsid w:val="004D6B0F"/>
    <w:rsid w:val="004D7181"/>
    <w:rsid w:val="004D7BCE"/>
    <w:rsid w:val="004E07E1"/>
    <w:rsid w:val="004E0F8C"/>
    <w:rsid w:val="004E1DB1"/>
    <w:rsid w:val="004E1E67"/>
    <w:rsid w:val="004E20F9"/>
    <w:rsid w:val="004E2FA4"/>
    <w:rsid w:val="004E36DA"/>
    <w:rsid w:val="004E3CA9"/>
    <w:rsid w:val="004E486A"/>
    <w:rsid w:val="004E515B"/>
    <w:rsid w:val="004E5709"/>
    <w:rsid w:val="004E5EE3"/>
    <w:rsid w:val="004E602B"/>
    <w:rsid w:val="004E68C8"/>
    <w:rsid w:val="004E6BEF"/>
    <w:rsid w:val="004E71E9"/>
    <w:rsid w:val="004F1172"/>
    <w:rsid w:val="004F1B90"/>
    <w:rsid w:val="004F1E5A"/>
    <w:rsid w:val="004F2605"/>
    <w:rsid w:val="004F2F82"/>
    <w:rsid w:val="004F313E"/>
    <w:rsid w:val="004F3ED6"/>
    <w:rsid w:val="004F423F"/>
    <w:rsid w:val="004F4614"/>
    <w:rsid w:val="004F461E"/>
    <w:rsid w:val="004F4792"/>
    <w:rsid w:val="004F4859"/>
    <w:rsid w:val="004F609F"/>
    <w:rsid w:val="004F69CA"/>
    <w:rsid w:val="004F7712"/>
    <w:rsid w:val="004F7C5B"/>
    <w:rsid w:val="00501197"/>
    <w:rsid w:val="00501D5D"/>
    <w:rsid w:val="0050238B"/>
    <w:rsid w:val="00502969"/>
    <w:rsid w:val="00502C4C"/>
    <w:rsid w:val="00503DB4"/>
    <w:rsid w:val="0050405B"/>
    <w:rsid w:val="00504419"/>
    <w:rsid w:val="0050463A"/>
    <w:rsid w:val="00504F4A"/>
    <w:rsid w:val="0050610B"/>
    <w:rsid w:val="00507356"/>
    <w:rsid w:val="005109BC"/>
    <w:rsid w:val="00510AE1"/>
    <w:rsid w:val="00510C33"/>
    <w:rsid w:val="005114FE"/>
    <w:rsid w:val="00511539"/>
    <w:rsid w:val="00511B84"/>
    <w:rsid w:val="00512F95"/>
    <w:rsid w:val="0051367D"/>
    <w:rsid w:val="00513AB3"/>
    <w:rsid w:val="00513E77"/>
    <w:rsid w:val="005143F0"/>
    <w:rsid w:val="005146B0"/>
    <w:rsid w:val="00515750"/>
    <w:rsid w:val="005177BA"/>
    <w:rsid w:val="00521863"/>
    <w:rsid w:val="0052197C"/>
    <w:rsid w:val="00521CCA"/>
    <w:rsid w:val="00522B09"/>
    <w:rsid w:val="00524D5A"/>
    <w:rsid w:val="005251EB"/>
    <w:rsid w:val="00525487"/>
    <w:rsid w:val="00525561"/>
    <w:rsid w:val="00525CAC"/>
    <w:rsid w:val="00526AFC"/>
    <w:rsid w:val="005275E1"/>
    <w:rsid w:val="00527D78"/>
    <w:rsid w:val="005307A9"/>
    <w:rsid w:val="00530BFB"/>
    <w:rsid w:val="00530DAA"/>
    <w:rsid w:val="005314BE"/>
    <w:rsid w:val="0053209E"/>
    <w:rsid w:val="005327C5"/>
    <w:rsid w:val="00532A4C"/>
    <w:rsid w:val="00534B12"/>
    <w:rsid w:val="0053592F"/>
    <w:rsid w:val="00535F36"/>
    <w:rsid w:val="005361C4"/>
    <w:rsid w:val="00536C9F"/>
    <w:rsid w:val="00537BCB"/>
    <w:rsid w:val="005401E0"/>
    <w:rsid w:val="005402EA"/>
    <w:rsid w:val="005406A6"/>
    <w:rsid w:val="00541963"/>
    <w:rsid w:val="00541C6F"/>
    <w:rsid w:val="0054589B"/>
    <w:rsid w:val="00546A88"/>
    <w:rsid w:val="00547E57"/>
    <w:rsid w:val="005504B4"/>
    <w:rsid w:val="0055123B"/>
    <w:rsid w:val="005526FC"/>
    <w:rsid w:val="0055283B"/>
    <w:rsid w:val="00552BC7"/>
    <w:rsid w:val="00553A09"/>
    <w:rsid w:val="0055434B"/>
    <w:rsid w:val="0055703B"/>
    <w:rsid w:val="005575FA"/>
    <w:rsid w:val="005602D9"/>
    <w:rsid w:val="00561415"/>
    <w:rsid w:val="005617B4"/>
    <w:rsid w:val="005632D5"/>
    <w:rsid w:val="005637CA"/>
    <w:rsid w:val="0056541F"/>
    <w:rsid w:val="00565A1A"/>
    <w:rsid w:val="00567581"/>
    <w:rsid w:val="005703E9"/>
    <w:rsid w:val="0057109C"/>
    <w:rsid w:val="00571614"/>
    <w:rsid w:val="00572604"/>
    <w:rsid w:val="005745A7"/>
    <w:rsid w:val="005746BC"/>
    <w:rsid w:val="00574717"/>
    <w:rsid w:val="005764AE"/>
    <w:rsid w:val="005769A4"/>
    <w:rsid w:val="0058024E"/>
    <w:rsid w:val="00583EDD"/>
    <w:rsid w:val="005847EF"/>
    <w:rsid w:val="00584E43"/>
    <w:rsid w:val="00585DCE"/>
    <w:rsid w:val="00587714"/>
    <w:rsid w:val="005903DC"/>
    <w:rsid w:val="0059063A"/>
    <w:rsid w:val="005917DB"/>
    <w:rsid w:val="00592F39"/>
    <w:rsid w:val="00593076"/>
    <w:rsid w:val="00593A10"/>
    <w:rsid w:val="00594381"/>
    <w:rsid w:val="00595784"/>
    <w:rsid w:val="0059598A"/>
    <w:rsid w:val="0059616A"/>
    <w:rsid w:val="005969A5"/>
    <w:rsid w:val="00596EA3"/>
    <w:rsid w:val="005A2C53"/>
    <w:rsid w:val="005A3D95"/>
    <w:rsid w:val="005A56C1"/>
    <w:rsid w:val="005A610A"/>
    <w:rsid w:val="005A61C5"/>
    <w:rsid w:val="005A624B"/>
    <w:rsid w:val="005A6862"/>
    <w:rsid w:val="005A7253"/>
    <w:rsid w:val="005A76B4"/>
    <w:rsid w:val="005B05F2"/>
    <w:rsid w:val="005B2F8A"/>
    <w:rsid w:val="005B3750"/>
    <w:rsid w:val="005B4504"/>
    <w:rsid w:val="005B5962"/>
    <w:rsid w:val="005B5AD6"/>
    <w:rsid w:val="005B5DEF"/>
    <w:rsid w:val="005C0037"/>
    <w:rsid w:val="005C0E60"/>
    <w:rsid w:val="005C1B9C"/>
    <w:rsid w:val="005C1C8E"/>
    <w:rsid w:val="005C2DD6"/>
    <w:rsid w:val="005C33F9"/>
    <w:rsid w:val="005C3B55"/>
    <w:rsid w:val="005C40C4"/>
    <w:rsid w:val="005C4195"/>
    <w:rsid w:val="005C47A9"/>
    <w:rsid w:val="005C5150"/>
    <w:rsid w:val="005C546D"/>
    <w:rsid w:val="005C5727"/>
    <w:rsid w:val="005D65B1"/>
    <w:rsid w:val="005D66D7"/>
    <w:rsid w:val="005D698C"/>
    <w:rsid w:val="005D6DA1"/>
    <w:rsid w:val="005E0282"/>
    <w:rsid w:val="005E1307"/>
    <w:rsid w:val="005E1BB5"/>
    <w:rsid w:val="005E2DEF"/>
    <w:rsid w:val="005E4682"/>
    <w:rsid w:val="005E4FB4"/>
    <w:rsid w:val="005E5407"/>
    <w:rsid w:val="005E632C"/>
    <w:rsid w:val="005E6736"/>
    <w:rsid w:val="005E675A"/>
    <w:rsid w:val="005F1574"/>
    <w:rsid w:val="005F1846"/>
    <w:rsid w:val="005F1BD4"/>
    <w:rsid w:val="005F2547"/>
    <w:rsid w:val="005F353A"/>
    <w:rsid w:val="005F4CE1"/>
    <w:rsid w:val="005F58EF"/>
    <w:rsid w:val="005F60E0"/>
    <w:rsid w:val="005F783E"/>
    <w:rsid w:val="00601174"/>
    <w:rsid w:val="00601459"/>
    <w:rsid w:val="00601DE5"/>
    <w:rsid w:val="006021B1"/>
    <w:rsid w:val="00602933"/>
    <w:rsid w:val="00602DE3"/>
    <w:rsid w:val="006033E3"/>
    <w:rsid w:val="00603539"/>
    <w:rsid w:val="006036C4"/>
    <w:rsid w:val="0060587B"/>
    <w:rsid w:val="006062D0"/>
    <w:rsid w:val="00606BE3"/>
    <w:rsid w:val="00606C45"/>
    <w:rsid w:val="0061086E"/>
    <w:rsid w:val="00610A3A"/>
    <w:rsid w:val="006112AA"/>
    <w:rsid w:val="0061162A"/>
    <w:rsid w:val="00611D44"/>
    <w:rsid w:val="00612F4F"/>
    <w:rsid w:val="00613735"/>
    <w:rsid w:val="00616370"/>
    <w:rsid w:val="006164EA"/>
    <w:rsid w:val="00617843"/>
    <w:rsid w:val="006211AE"/>
    <w:rsid w:val="0062148A"/>
    <w:rsid w:val="0062165D"/>
    <w:rsid w:val="00621946"/>
    <w:rsid w:val="00622134"/>
    <w:rsid w:val="00622571"/>
    <w:rsid w:val="00622F25"/>
    <w:rsid w:val="00623784"/>
    <w:rsid w:val="00623912"/>
    <w:rsid w:val="00624633"/>
    <w:rsid w:val="00624877"/>
    <w:rsid w:val="00625735"/>
    <w:rsid w:val="006258DB"/>
    <w:rsid w:val="0062652F"/>
    <w:rsid w:val="00627A14"/>
    <w:rsid w:val="006301A0"/>
    <w:rsid w:val="00630D20"/>
    <w:rsid w:val="00632ECE"/>
    <w:rsid w:val="00633F1C"/>
    <w:rsid w:val="00634746"/>
    <w:rsid w:val="00635A28"/>
    <w:rsid w:val="00637F8B"/>
    <w:rsid w:val="006408D7"/>
    <w:rsid w:val="00641B63"/>
    <w:rsid w:val="00641F2D"/>
    <w:rsid w:val="006423CC"/>
    <w:rsid w:val="00642615"/>
    <w:rsid w:val="006447D8"/>
    <w:rsid w:val="0064485B"/>
    <w:rsid w:val="00644C83"/>
    <w:rsid w:val="00645849"/>
    <w:rsid w:val="00647034"/>
    <w:rsid w:val="00650749"/>
    <w:rsid w:val="00650995"/>
    <w:rsid w:val="00650E37"/>
    <w:rsid w:val="006511B5"/>
    <w:rsid w:val="00651930"/>
    <w:rsid w:val="00652122"/>
    <w:rsid w:val="006534C6"/>
    <w:rsid w:val="006538E5"/>
    <w:rsid w:val="006541ED"/>
    <w:rsid w:val="00654490"/>
    <w:rsid w:val="006550C8"/>
    <w:rsid w:val="00661D65"/>
    <w:rsid w:val="0066226E"/>
    <w:rsid w:val="006629F0"/>
    <w:rsid w:val="00662C7B"/>
    <w:rsid w:val="00663BCC"/>
    <w:rsid w:val="00664954"/>
    <w:rsid w:val="006657F2"/>
    <w:rsid w:val="006658F2"/>
    <w:rsid w:val="006664F5"/>
    <w:rsid w:val="00666CE7"/>
    <w:rsid w:val="00667F31"/>
    <w:rsid w:val="0067016A"/>
    <w:rsid w:val="006706D2"/>
    <w:rsid w:val="00672D8F"/>
    <w:rsid w:val="00672F58"/>
    <w:rsid w:val="00672FE0"/>
    <w:rsid w:val="006748E4"/>
    <w:rsid w:val="0067496A"/>
    <w:rsid w:val="00675750"/>
    <w:rsid w:val="00675DA7"/>
    <w:rsid w:val="00677583"/>
    <w:rsid w:val="00677CFA"/>
    <w:rsid w:val="00680087"/>
    <w:rsid w:val="00680119"/>
    <w:rsid w:val="00680FBD"/>
    <w:rsid w:val="00681396"/>
    <w:rsid w:val="0068192B"/>
    <w:rsid w:val="00681A4C"/>
    <w:rsid w:val="00681A5D"/>
    <w:rsid w:val="00681B1C"/>
    <w:rsid w:val="00682B30"/>
    <w:rsid w:val="00683E98"/>
    <w:rsid w:val="00683EA2"/>
    <w:rsid w:val="006842B9"/>
    <w:rsid w:val="00684E1F"/>
    <w:rsid w:val="00690989"/>
    <w:rsid w:val="00691875"/>
    <w:rsid w:val="00692814"/>
    <w:rsid w:val="00695AD1"/>
    <w:rsid w:val="00695F80"/>
    <w:rsid w:val="006A0121"/>
    <w:rsid w:val="006A11C6"/>
    <w:rsid w:val="006A1462"/>
    <w:rsid w:val="006A2474"/>
    <w:rsid w:val="006A54ED"/>
    <w:rsid w:val="006A63C3"/>
    <w:rsid w:val="006A7009"/>
    <w:rsid w:val="006A75DE"/>
    <w:rsid w:val="006A7F3A"/>
    <w:rsid w:val="006B0565"/>
    <w:rsid w:val="006B19D8"/>
    <w:rsid w:val="006B19FD"/>
    <w:rsid w:val="006B274A"/>
    <w:rsid w:val="006B2AEA"/>
    <w:rsid w:val="006B2C83"/>
    <w:rsid w:val="006B56BA"/>
    <w:rsid w:val="006C2374"/>
    <w:rsid w:val="006C2B4F"/>
    <w:rsid w:val="006C314B"/>
    <w:rsid w:val="006C4E20"/>
    <w:rsid w:val="006C5A95"/>
    <w:rsid w:val="006C60F0"/>
    <w:rsid w:val="006C7D9B"/>
    <w:rsid w:val="006D00CE"/>
    <w:rsid w:val="006D03F2"/>
    <w:rsid w:val="006D08DC"/>
    <w:rsid w:val="006D09F1"/>
    <w:rsid w:val="006D0D39"/>
    <w:rsid w:val="006D1709"/>
    <w:rsid w:val="006D2AC8"/>
    <w:rsid w:val="006D6B20"/>
    <w:rsid w:val="006D7915"/>
    <w:rsid w:val="006E0501"/>
    <w:rsid w:val="006E0D0E"/>
    <w:rsid w:val="006E431D"/>
    <w:rsid w:val="006E480B"/>
    <w:rsid w:val="006E4DD2"/>
    <w:rsid w:val="006E6556"/>
    <w:rsid w:val="006E6876"/>
    <w:rsid w:val="006E7468"/>
    <w:rsid w:val="006E74F3"/>
    <w:rsid w:val="006E779B"/>
    <w:rsid w:val="006F1C10"/>
    <w:rsid w:val="006F2479"/>
    <w:rsid w:val="006F7401"/>
    <w:rsid w:val="007000F0"/>
    <w:rsid w:val="007002D8"/>
    <w:rsid w:val="00700401"/>
    <w:rsid w:val="00701FAC"/>
    <w:rsid w:val="00702AD2"/>
    <w:rsid w:val="00702CC6"/>
    <w:rsid w:val="00703AE9"/>
    <w:rsid w:val="00704A91"/>
    <w:rsid w:val="0070747E"/>
    <w:rsid w:val="0071153D"/>
    <w:rsid w:val="00711B06"/>
    <w:rsid w:val="0071224E"/>
    <w:rsid w:val="0071367B"/>
    <w:rsid w:val="00713BA5"/>
    <w:rsid w:val="00713EA5"/>
    <w:rsid w:val="00714078"/>
    <w:rsid w:val="00714824"/>
    <w:rsid w:val="00715F60"/>
    <w:rsid w:val="007160E5"/>
    <w:rsid w:val="00720746"/>
    <w:rsid w:val="007214A6"/>
    <w:rsid w:val="007224F5"/>
    <w:rsid w:val="00722877"/>
    <w:rsid w:val="00722C86"/>
    <w:rsid w:val="00723269"/>
    <w:rsid w:val="00723B17"/>
    <w:rsid w:val="00724086"/>
    <w:rsid w:val="007241FE"/>
    <w:rsid w:val="0072524B"/>
    <w:rsid w:val="00725D9C"/>
    <w:rsid w:val="007264B0"/>
    <w:rsid w:val="00726B32"/>
    <w:rsid w:val="00727378"/>
    <w:rsid w:val="00727BAF"/>
    <w:rsid w:val="00732620"/>
    <w:rsid w:val="007335B6"/>
    <w:rsid w:val="007340CC"/>
    <w:rsid w:val="00735104"/>
    <w:rsid w:val="007362E9"/>
    <w:rsid w:val="0073630A"/>
    <w:rsid w:val="00741195"/>
    <w:rsid w:val="00741464"/>
    <w:rsid w:val="007422A3"/>
    <w:rsid w:val="0074247A"/>
    <w:rsid w:val="00742D05"/>
    <w:rsid w:val="00742EE0"/>
    <w:rsid w:val="00743CDA"/>
    <w:rsid w:val="007472A5"/>
    <w:rsid w:val="007477CD"/>
    <w:rsid w:val="00750CDE"/>
    <w:rsid w:val="0075229F"/>
    <w:rsid w:val="00752912"/>
    <w:rsid w:val="00752A7D"/>
    <w:rsid w:val="007539F7"/>
    <w:rsid w:val="00753C5D"/>
    <w:rsid w:val="00753FD7"/>
    <w:rsid w:val="0075409B"/>
    <w:rsid w:val="00754AC6"/>
    <w:rsid w:val="00757A8B"/>
    <w:rsid w:val="00760299"/>
    <w:rsid w:val="007602E0"/>
    <w:rsid w:val="0076143D"/>
    <w:rsid w:val="00761D2D"/>
    <w:rsid w:val="00762188"/>
    <w:rsid w:val="00762522"/>
    <w:rsid w:val="00762729"/>
    <w:rsid w:val="007635BC"/>
    <w:rsid w:val="0076711C"/>
    <w:rsid w:val="007672CF"/>
    <w:rsid w:val="00767A7C"/>
    <w:rsid w:val="00767EF6"/>
    <w:rsid w:val="007706AE"/>
    <w:rsid w:val="007717B5"/>
    <w:rsid w:val="00773644"/>
    <w:rsid w:val="007747CE"/>
    <w:rsid w:val="00774DF3"/>
    <w:rsid w:val="00775365"/>
    <w:rsid w:val="00775E43"/>
    <w:rsid w:val="00777005"/>
    <w:rsid w:val="00777959"/>
    <w:rsid w:val="00780AD3"/>
    <w:rsid w:val="00780FBC"/>
    <w:rsid w:val="007819E5"/>
    <w:rsid w:val="0078209C"/>
    <w:rsid w:val="00782F77"/>
    <w:rsid w:val="00782FF8"/>
    <w:rsid w:val="00784180"/>
    <w:rsid w:val="00785CB1"/>
    <w:rsid w:val="0078699B"/>
    <w:rsid w:val="007879C6"/>
    <w:rsid w:val="00791AB8"/>
    <w:rsid w:val="0079271C"/>
    <w:rsid w:val="00793757"/>
    <w:rsid w:val="00794C18"/>
    <w:rsid w:val="007957C6"/>
    <w:rsid w:val="00796139"/>
    <w:rsid w:val="0079650A"/>
    <w:rsid w:val="00796BC4"/>
    <w:rsid w:val="0079751D"/>
    <w:rsid w:val="00797814"/>
    <w:rsid w:val="007A02BC"/>
    <w:rsid w:val="007A067B"/>
    <w:rsid w:val="007A1E1B"/>
    <w:rsid w:val="007A1E42"/>
    <w:rsid w:val="007A200F"/>
    <w:rsid w:val="007A2BC0"/>
    <w:rsid w:val="007A3055"/>
    <w:rsid w:val="007A3C3C"/>
    <w:rsid w:val="007A4409"/>
    <w:rsid w:val="007A4A35"/>
    <w:rsid w:val="007A60A9"/>
    <w:rsid w:val="007A6633"/>
    <w:rsid w:val="007A6C74"/>
    <w:rsid w:val="007A7EDB"/>
    <w:rsid w:val="007B0CC8"/>
    <w:rsid w:val="007B1BD3"/>
    <w:rsid w:val="007B1FA3"/>
    <w:rsid w:val="007B29EA"/>
    <w:rsid w:val="007B2B9B"/>
    <w:rsid w:val="007B55B9"/>
    <w:rsid w:val="007B6335"/>
    <w:rsid w:val="007B7160"/>
    <w:rsid w:val="007C11DB"/>
    <w:rsid w:val="007C1CA4"/>
    <w:rsid w:val="007C37F0"/>
    <w:rsid w:val="007C3FDF"/>
    <w:rsid w:val="007C4D44"/>
    <w:rsid w:val="007C5635"/>
    <w:rsid w:val="007C61EE"/>
    <w:rsid w:val="007C650C"/>
    <w:rsid w:val="007C6A07"/>
    <w:rsid w:val="007D0720"/>
    <w:rsid w:val="007D0755"/>
    <w:rsid w:val="007D0776"/>
    <w:rsid w:val="007D2C4F"/>
    <w:rsid w:val="007D46DB"/>
    <w:rsid w:val="007D4D75"/>
    <w:rsid w:val="007D7108"/>
    <w:rsid w:val="007E0729"/>
    <w:rsid w:val="007E15D6"/>
    <w:rsid w:val="007E1936"/>
    <w:rsid w:val="007E2C19"/>
    <w:rsid w:val="007E35DF"/>
    <w:rsid w:val="007E3ABD"/>
    <w:rsid w:val="007E3F5E"/>
    <w:rsid w:val="007E5872"/>
    <w:rsid w:val="007E60C2"/>
    <w:rsid w:val="007E69A2"/>
    <w:rsid w:val="007E7382"/>
    <w:rsid w:val="007F22B1"/>
    <w:rsid w:val="007F23AB"/>
    <w:rsid w:val="007F248C"/>
    <w:rsid w:val="007F28BD"/>
    <w:rsid w:val="007F3153"/>
    <w:rsid w:val="007F46B3"/>
    <w:rsid w:val="007F4851"/>
    <w:rsid w:val="007F4E52"/>
    <w:rsid w:val="007F767A"/>
    <w:rsid w:val="00800A56"/>
    <w:rsid w:val="00802339"/>
    <w:rsid w:val="0080357B"/>
    <w:rsid w:val="008049CD"/>
    <w:rsid w:val="008056F5"/>
    <w:rsid w:val="00810BE3"/>
    <w:rsid w:val="00811054"/>
    <w:rsid w:val="00811A60"/>
    <w:rsid w:val="00811A9A"/>
    <w:rsid w:val="00812BD4"/>
    <w:rsid w:val="00813CA6"/>
    <w:rsid w:val="008141E6"/>
    <w:rsid w:val="0081661F"/>
    <w:rsid w:val="008168C5"/>
    <w:rsid w:val="008169DA"/>
    <w:rsid w:val="008171C8"/>
    <w:rsid w:val="008173EE"/>
    <w:rsid w:val="00820430"/>
    <w:rsid w:val="00821BE3"/>
    <w:rsid w:val="0082226F"/>
    <w:rsid w:val="00824DBA"/>
    <w:rsid w:val="008255B1"/>
    <w:rsid w:val="00825659"/>
    <w:rsid w:val="00825D4A"/>
    <w:rsid w:val="00826255"/>
    <w:rsid w:val="00830721"/>
    <w:rsid w:val="008314AD"/>
    <w:rsid w:val="008326B8"/>
    <w:rsid w:val="008328B8"/>
    <w:rsid w:val="00832E03"/>
    <w:rsid w:val="008337E3"/>
    <w:rsid w:val="00834B29"/>
    <w:rsid w:val="008352FF"/>
    <w:rsid w:val="008358D8"/>
    <w:rsid w:val="00840C1E"/>
    <w:rsid w:val="0084343A"/>
    <w:rsid w:val="0084363F"/>
    <w:rsid w:val="00845E3D"/>
    <w:rsid w:val="00846427"/>
    <w:rsid w:val="00846CF9"/>
    <w:rsid w:val="00847C45"/>
    <w:rsid w:val="00851C46"/>
    <w:rsid w:val="00852360"/>
    <w:rsid w:val="00852686"/>
    <w:rsid w:val="00852FF8"/>
    <w:rsid w:val="0085337D"/>
    <w:rsid w:val="00853C39"/>
    <w:rsid w:val="0085411D"/>
    <w:rsid w:val="00854D06"/>
    <w:rsid w:val="00854DBA"/>
    <w:rsid w:val="00856BBE"/>
    <w:rsid w:val="0085744F"/>
    <w:rsid w:val="0085790D"/>
    <w:rsid w:val="008623AB"/>
    <w:rsid w:val="00862B99"/>
    <w:rsid w:val="00862C16"/>
    <w:rsid w:val="00864634"/>
    <w:rsid w:val="00864CE8"/>
    <w:rsid w:val="00865E4F"/>
    <w:rsid w:val="00867337"/>
    <w:rsid w:val="00867B3F"/>
    <w:rsid w:val="00867EEA"/>
    <w:rsid w:val="00867F15"/>
    <w:rsid w:val="0087114E"/>
    <w:rsid w:val="008727B0"/>
    <w:rsid w:val="0087286A"/>
    <w:rsid w:val="00872FC4"/>
    <w:rsid w:val="00873117"/>
    <w:rsid w:val="008748BA"/>
    <w:rsid w:val="00874A13"/>
    <w:rsid w:val="00875F2E"/>
    <w:rsid w:val="00876B2F"/>
    <w:rsid w:val="008771AB"/>
    <w:rsid w:val="0088322C"/>
    <w:rsid w:val="00884FBD"/>
    <w:rsid w:val="008861DA"/>
    <w:rsid w:val="00887015"/>
    <w:rsid w:val="008872C3"/>
    <w:rsid w:val="00887AC8"/>
    <w:rsid w:val="00890325"/>
    <w:rsid w:val="008904C0"/>
    <w:rsid w:val="0089063C"/>
    <w:rsid w:val="008909DE"/>
    <w:rsid w:val="00890AC9"/>
    <w:rsid w:val="00891097"/>
    <w:rsid w:val="008912D7"/>
    <w:rsid w:val="00893C6A"/>
    <w:rsid w:val="00893EF9"/>
    <w:rsid w:val="00894B98"/>
    <w:rsid w:val="008960B5"/>
    <w:rsid w:val="00896D09"/>
    <w:rsid w:val="008979E3"/>
    <w:rsid w:val="00897AAF"/>
    <w:rsid w:val="008A027D"/>
    <w:rsid w:val="008A0822"/>
    <w:rsid w:val="008A0BED"/>
    <w:rsid w:val="008A1C08"/>
    <w:rsid w:val="008A1F44"/>
    <w:rsid w:val="008A4301"/>
    <w:rsid w:val="008A5B1C"/>
    <w:rsid w:val="008A645F"/>
    <w:rsid w:val="008A67AF"/>
    <w:rsid w:val="008A6CA8"/>
    <w:rsid w:val="008A7038"/>
    <w:rsid w:val="008A78A7"/>
    <w:rsid w:val="008B0D6B"/>
    <w:rsid w:val="008B0DBB"/>
    <w:rsid w:val="008B30E7"/>
    <w:rsid w:val="008B3D48"/>
    <w:rsid w:val="008B4087"/>
    <w:rsid w:val="008B6438"/>
    <w:rsid w:val="008B7472"/>
    <w:rsid w:val="008B7918"/>
    <w:rsid w:val="008C001A"/>
    <w:rsid w:val="008C01BE"/>
    <w:rsid w:val="008C191A"/>
    <w:rsid w:val="008C381F"/>
    <w:rsid w:val="008C4B0E"/>
    <w:rsid w:val="008C5E4C"/>
    <w:rsid w:val="008C5F4A"/>
    <w:rsid w:val="008C5F70"/>
    <w:rsid w:val="008C7E0A"/>
    <w:rsid w:val="008D01B9"/>
    <w:rsid w:val="008D0CAA"/>
    <w:rsid w:val="008D233B"/>
    <w:rsid w:val="008D29E7"/>
    <w:rsid w:val="008D47C2"/>
    <w:rsid w:val="008D47E4"/>
    <w:rsid w:val="008D6A85"/>
    <w:rsid w:val="008D7B97"/>
    <w:rsid w:val="008D7F28"/>
    <w:rsid w:val="008E1E7B"/>
    <w:rsid w:val="008E202E"/>
    <w:rsid w:val="008E24E5"/>
    <w:rsid w:val="008E3E30"/>
    <w:rsid w:val="008E5209"/>
    <w:rsid w:val="008E58F4"/>
    <w:rsid w:val="008E65E2"/>
    <w:rsid w:val="008E6868"/>
    <w:rsid w:val="008E6FFE"/>
    <w:rsid w:val="008E7415"/>
    <w:rsid w:val="008F0330"/>
    <w:rsid w:val="008F09AA"/>
    <w:rsid w:val="008F1D29"/>
    <w:rsid w:val="008F3754"/>
    <w:rsid w:val="008F46CF"/>
    <w:rsid w:val="008F53B5"/>
    <w:rsid w:val="008F54B4"/>
    <w:rsid w:val="008F62F5"/>
    <w:rsid w:val="008F7806"/>
    <w:rsid w:val="008F7E7E"/>
    <w:rsid w:val="00902343"/>
    <w:rsid w:val="00903C2E"/>
    <w:rsid w:val="00903C48"/>
    <w:rsid w:val="00903CDC"/>
    <w:rsid w:val="009046A5"/>
    <w:rsid w:val="009046D8"/>
    <w:rsid w:val="00905677"/>
    <w:rsid w:val="00906208"/>
    <w:rsid w:val="00906C3B"/>
    <w:rsid w:val="00907742"/>
    <w:rsid w:val="0091026C"/>
    <w:rsid w:val="0091061A"/>
    <w:rsid w:val="00910942"/>
    <w:rsid w:val="0091225A"/>
    <w:rsid w:val="00916D1F"/>
    <w:rsid w:val="009207D4"/>
    <w:rsid w:val="00923110"/>
    <w:rsid w:val="009233DE"/>
    <w:rsid w:val="00924379"/>
    <w:rsid w:val="009261EA"/>
    <w:rsid w:val="0093064B"/>
    <w:rsid w:val="00930960"/>
    <w:rsid w:val="00930986"/>
    <w:rsid w:val="00930BF5"/>
    <w:rsid w:val="00930E34"/>
    <w:rsid w:val="00931DBC"/>
    <w:rsid w:val="00931E47"/>
    <w:rsid w:val="009322DE"/>
    <w:rsid w:val="009330E7"/>
    <w:rsid w:val="0093422B"/>
    <w:rsid w:val="00935CA5"/>
    <w:rsid w:val="00935E80"/>
    <w:rsid w:val="009374B7"/>
    <w:rsid w:val="00941282"/>
    <w:rsid w:val="00941EF8"/>
    <w:rsid w:val="00941F6D"/>
    <w:rsid w:val="009420E8"/>
    <w:rsid w:val="00942357"/>
    <w:rsid w:val="009430F2"/>
    <w:rsid w:val="0094353C"/>
    <w:rsid w:val="00943A6E"/>
    <w:rsid w:val="00944126"/>
    <w:rsid w:val="00945246"/>
    <w:rsid w:val="00945A35"/>
    <w:rsid w:val="00945BD5"/>
    <w:rsid w:val="00946594"/>
    <w:rsid w:val="009478FE"/>
    <w:rsid w:val="009514FF"/>
    <w:rsid w:val="00952148"/>
    <w:rsid w:val="0095410D"/>
    <w:rsid w:val="00954D1A"/>
    <w:rsid w:val="00954E67"/>
    <w:rsid w:val="00956A8E"/>
    <w:rsid w:val="00956ECF"/>
    <w:rsid w:val="00957547"/>
    <w:rsid w:val="00960B45"/>
    <w:rsid w:val="009617F0"/>
    <w:rsid w:val="00962B16"/>
    <w:rsid w:val="00962D07"/>
    <w:rsid w:val="009662BE"/>
    <w:rsid w:val="00966F0E"/>
    <w:rsid w:val="00966F9C"/>
    <w:rsid w:val="00970BB6"/>
    <w:rsid w:val="00970C09"/>
    <w:rsid w:val="0097189B"/>
    <w:rsid w:val="0097210F"/>
    <w:rsid w:val="00973057"/>
    <w:rsid w:val="009736E5"/>
    <w:rsid w:val="00973A66"/>
    <w:rsid w:val="00975D6D"/>
    <w:rsid w:val="00980FB8"/>
    <w:rsid w:val="00981865"/>
    <w:rsid w:val="009820C9"/>
    <w:rsid w:val="009838F8"/>
    <w:rsid w:val="00983AD0"/>
    <w:rsid w:val="009851DE"/>
    <w:rsid w:val="0098622E"/>
    <w:rsid w:val="00986358"/>
    <w:rsid w:val="00987AEF"/>
    <w:rsid w:val="00987CA6"/>
    <w:rsid w:val="00987DAA"/>
    <w:rsid w:val="00990D9B"/>
    <w:rsid w:val="0099147F"/>
    <w:rsid w:val="00993094"/>
    <w:rsid w:val="0099314E"/>
    <w:rsid w:val="009939AA"/>
    <w:rsid w:val="009948E7"/>
    <w:rsid w:val="0099582D"/>
    <w:rsid w:val="009964DA"/>
    <w:rsid w:val="009975B3"/>
    <w:rsid w:val="00997635"/>
    <w:rsid w:val="00997B8D"/>
    <w:rsid w:val="009A0638"/>
    <w:rsid w:val="009A0CDA"/>
    <w:rsid w:val="009A2004"/>
    <w:rsid w:val="009A295F"/>
    <w:rsid w:val="009A2CFC"/>
    <w:rsid w:val="009A332D"/>
    <w:rsid w:val="009A3711"/>
    <w:rsid w:val="009A4B2D"/>
    <w:rsid w:val="009A4E88"/>
    <w:rsid w:val="009A5389"/>
    <w:rsid w:val="009A5AC0"/>
    <w:rsid w:val="009B143C"/>
    <w:rsid w:val="009B19F8"/>
    <w:rsid w:val="009B3A9A"/>
    <w:rsid w:val="009B5B81"/>
    <w:rsid w:val="009B5BEC"/>
    <w:rsid w:val="009B6143"/>
    <w:rsid w:val="009B63E7"/>
    <w:rsid w:val="009B72D5"/>
    <w:rsid w:val="009B7530"/>
    <w:rsid w:val="009C1865"/>
    <w:rsid w:val="009C1D52"/>
    <w:rsid w:val="009C372B"/>
    <w:rsid w:val="009C3B5F"/>
    <w:rsid w:val="009C4B3B"/>
    <w:rsid w:val="009C4FF0"/>
    <w:rsid w:val="009C570A"/>
    <w:rsid w:val="009C5D5C"/>
    <w:rsid w:val="009C647C"/>
    <w:rsid w:val="009C6F54"/>
    <w:rsid w:val="009C78A6"/>
    <w:rsid w:val="009D0CAC"/>
    <w:rsid w:val="009D0E64"/>
    <w:rsid w:val="009D2043"/>
    <w:rsid w:val="009D42F3"/>
    <w:rsid w:val="009D4AE8"/>
    <w:rsid w:val="009D5526"/>
    <w:rsid w:val="009D6DCF"/>
    <w:rsid w:val="009D7242"/>
    <w:rsid w:val="009D7ED2"/>
    <w:rsid w:val="009E01A0"/>
    <w:rsid w:val="009E0744"/>
    <w:rsid w:val="009E08DD"/>
    <w:rsid w:val="009E0C1E"/>
    <w:rsid w:val="009E0EBB"/>
    <w:rsid w:val="009E1253"/>
    <w:rsid w:val="009E13B3"/>
    <w:rsid w:val="009E195F"/>
    <w:rsid w:val="009E1971"/>
    <w:rsid w:val="009E1B7F"/>
    <w:rsid w:val="009E231B"/>
    <w:rsid w:val="009E2BD7"/>
    <w:rsid w:val="009E5521"/>
    <w:rsid w:val="009E575F"/>
    <w:rsid w:val="009E5A41"/>
    <w:rsid w:val="009E637C"/>
    <w:rsid w:val="009E6BE1"/>
    <w:rsid w:val="009E70F1"/>
    <w:rsid w:val="009F03A4"/>
    <w:rsid w:val="009F052D"/>
    <w:rsid w:val="009F1F32"/>
    <w:rsid w:val="009F3066"/>
    <w:rsid w:val="009F3DBD"/>
    <w:rsid w:val="009F4340"/>
    <w:rsid w:val="009F4730"/>
    <w:rsid w:val="009F5023"/>
    <w:rsid w:val="009F524B"/>
    <w:rsid w:val="009F527A"/>
    <w:rsid w:val="009F7EE5"/>
    <w:rsid w:val="00A00075"/>
    <w:rsid w:val="00A00639"/>
    <w:rsid w:val="00A00759"/>
    <w:rsid w:val="00A007DA"/>
    <w:rsid w:val="00A01175"/>
    <w:rsid w:val="00A01826"/>
    <w:rsid w:val="00A02413"/>
    <w:rsid w:val="00A03517"/>
    <w:rsid w:val="00A036A0"/>
    <w:rsid w:val="00A05783"/>
    <w:rsid w:val="00A07663"/>
    <w:rsid w:val="00A11079"/>
    <w:rsid w:val="00A12390"/>
    <w:rsid w:val="00A12751"/>
    <w:rsid w:val="00A12B01"/>
    <w:rsid w:val="00A139B7"/>
    <w:rsid w:val="00A13C58"/>
    <w:rsid w:val="00A13CD9"/>
    <w:rsid w:val="00A13EC2"/>
    <w:rsid w:val="00A13F9A"/>
    <w:rsid w:val="00A1691F"/>
    <w:rsid w:val="00A16F60"/>
    <w:rsid w:val="00A174B6"/>
    <w:rsid w:val="00A17D63"/>
    <w:rsid w:val="00A20F68"/>
    <w:rsid w:val="00A21FF0"/>
    <w:rsid w:val="00A225D9"/>
    <w:rsid w:val="00A232FC"/>
    <w:rsid w:val="00A23613"/>
    <w:rsid w:val="00A23B2C"/>
    <w:rsid w:val="00A2424A"/>
    <w:rsid w:val="00A242F4"/>
    <w:rsid w:val="00A2450A"/>
    <w:rsid w:val="00A2574E"/>
    <w:rsid w:val="00A25DCB"/>
    <w:rsid w:val="00A260AA"/>
    <w:rsid w:val="00A2691C"/>
    <w:rsid w:val="00A314FA"/>
    <w:rsid w:val="00A31BBB"/>
    <w:rsid w:val="00A322D3"/>
    <w:rsid w:val="00A329C4"/>
    <w:rsid w:val="00A34AED"/>
    <w:rsid w:val="00A35584"/>
    <w:rsid w:val="00A362EF"/>
    <w:rsid w:val="00A3681F"/>
    <w:rsid w:val="00A37CE2"/>
    <w:rsid w:val="00A413F8"/>
    <w:rsid w:val="00A42360"/>
    <w:rsid w:val="00A42D3C"/>
    <w:rsid w:val="00A437E4"/>
    <w:rsid w:val="00A447B7"/>
    <w:rsid w:val="00A45885"/>
    <w:rsid w:val="00A461E6"/>
    <w:rsid w:val="00A46464"/>
    <w:rsid w:val="00A46EB9"/>
    <w:rsid w:val="00A46FFA"/>
    <w:rsid w:val="00A47AD3"/>
    <w:rsid w:val="00A50A9C"/>
    <w:rsid w:val="00A51254"/>
    <w:rsid w:val="00A5235B"/>
    <w:rsid w:val="00A52CFF"/>
    <w:rsid w:val="00A53783"/>
    <w:rsid w:val="00A5425A"/>
    <w:rsid w:val="00A546B6"/>
    <w:rsid w:val="00A55037"/>
    <w:rsid w:val="00A55AEB"/>
    <w:rsid w:val="00A56E85"/>
    <w:rsid w:val="00A56FDD"/>
    <w:rsid w:val="00A61271"/>
    <w:rsid w:val="00A62560"/>
    <w:rsid w:val="00A63846"/>
    <w:rsid w:val="00A6388D"/>
    <w:rsid w:val="00A63AC7"/>
    <w:rsid w:val="00A64EB0"/>
    <w:rsid w:val="00A651E1"/>
    <w:rsid w:val="00A6591E"/>
    <w:rsid w:val="00A65CC7"/>
    <w:rsid w:val="00A71890"/>
    <w:rsid w:val="00A7264A"/>
    <w:rsid w:val="00A73779"/>
    <w:rsid w:val="00A73BB0"/>
    <w:rsid w:val="00A74004"/>
    <w:rsid w:val="00A741E1"/>
    <w:rsid w:val="00A76021"/>
    <w:rsid w:val="00A76028"/>
    <w:rsid w:val="00A77BC8"/>
    <w:rsid w:val="00A8084D"/>
    <w:rsid w:val="00A80EA0"/>
    <w:rsid w:val="00A81644"/>
    <w:rsid w:val="00A8167B"/>
    <w:rsid w:val="00A82CFD"/>
    <w:rsid w:val="00A837A9"/>
    <w:rsid w:val="00A86364"/>
    <w:rsid w:val="00A877C2"/>
    <w:rsid w:val="00A90103"/>
    <w:rsid w:val="00A90A0E"/>
    <w:rsid w:val="00A90F7A"/>
    <w:rsid w:val="00A916D9"/>
    <w:rsid w:val="00A917C5"/>
    <w:rsid w:val="00A924D4"/>
    <w:rsid w:val="00A929B6"/>
    <w:rsid w:val="00A94EAF"/>
    <w:rsid w:val="00A952B8"/>
    <w:rsid w:val="00A95EAD"/>
    <w:rsid w:val="00A9649C"/>
    <w:rsid w:val="00AA0647"/>
    <w:rsid w:val="00AA0C93"/>
    <w:rsid w:val="00AA0D48"/>
    <w:rsid w:val="00AA2A80"/>
    <w:rsid w:val="00AA3221"/>
    <w:rsid w:val="00AA35AB"/>
    <w:rsid w:val="00AA3635"/>
    <w:rsid w:val="00AA41A6"/>
    <w:rsid w:val="00AA558A"/>
    <w:rsid w:val="00AA7F1C"/>
    <w:rsid w:val="00AB1AD0"/>
    <w:rsid w:val="00AB1F70"/>
    <w:rsid w:val="00AB2417"/>
    <w:rsid w:val="00AB2B50"/>
    <w:rsid w:val="00AB4D3F"/>
    <w:rsid w:val="00AB526B"/>
    <w:rsid w:val="00AB65B2"/>
    <w:rsid w:val="00AB7525"/>
    <w:rsid w:val="00AB7863"/>
    <w:rsid w:val="00AC10B8"/>
    <w:rsid w:val="00AC117F"/>
    <w:rsid w:val="00AC22F2"/>
    <w:rsid w:val="00AC54CD"/>
    <w:rsid w:val="00AC6DD9"/>
    <w:rsid w:val="00AD0F31"/>
    <w:rsid w:val="00AD0F5B"/>
    <w:rsid w:val="00AD1132"/>
    <w:rsid w:val="00AD3154"/>
    <w:rsid w:val="00AD4957"/>
    <w:rsid w:val="00AD4D96"/>
    <w:rsid w:val="00AD7E94"/>
    <w:rsid w:val="00AD7F7A"/>
    <w:rsid w:val="00AE17CC"/>
    <w:rsid w:val="00AE1F81"/>
    <w:rsid w:val="00AE24ED"/>
    <w:rsid w:val="00AE3F80"/>
    <w:rsid w:val="00AE41B7"/>
    <w:rsid w:val="00AE7E8A"/>
    <w:rsid w:val="00AE7FD7"/>
    <w:rsid w:val="00AF0137"/>
    <w:rsid w:val="00AF06D5"/>
    <w:rsid w:val="00AF3AA3"/>
    <w:rsid w:val="00AF3BF4"/>
    <w:rsid w:val="00AF4044"/>
    <w:rsid w:val="00AF40F5"/>
    <w:rsid w:val="00AF56BD"/>
    <w:rsid w:val="00AF5960"/>
    <w:rsid w:val="00AF5DD8"/>
    <w:rsid w:val="00AF68DC"/>
    <w:rsid w:val="00AF6D6B"/>
    <w:rsid w:val="00AF7274"/>
    <w:rsid w:val="00AF7C59"/>
    <w:rsid w:val="00B0062F"/>
    <w:rsid w:val="00B008B7"/>
    <w:rsid w:val="00B04088"/>
    <w:rsid w:val="00B04EA9"/>
    <w:rsid w:val="00B07581"/>
    <w:rsid w:val="00B07857"/>
    <w:rsid w:val="00B07CD2"/>
    <w:rsid w:val="00B11506"/>
    <w:rsid w:val="00B11541"/>
    <w:rsid w:val="00B118B8"/>
    <w:rsid w:val="00B12291"/>
    <w:rsid w:val="00B12ACB"/>
    <w:rsid w:val="00B13716"/>
    <w:rsid w:val="00B13D25"/>
    <w:rsid w:val="00B13D86"/>
    <w:rsid w:val="00B146A7"/>
    <w:rsid w:val="00B1616E"/>
    <w:rsid w:val="00B16488"/>
    <w:rsid w:val="00B16F94"/>
    <w:rsid w:val="00B17821"/>
    <w:rsid w:val="00B2099B"/>
    <w:rsid w:val="00B218D1"/>
    <w:rsid w:val="00B21FFC"/>
    <w:rsid w:val="00B2240A"/>
    <w:rsid w:val="00B2251B"/>
    <w:rsid w:val="00B2279C"/>
    <w:rsid w:val="00B22F66"/>
    <w:rsid w:val="00B2463B"/>
    <w:rsid w:val="00B247B7"/>
    <w:rsid w:val="00B26917"/>
    <w:rsid w:val="00B26DAB"/>
    <w:rsid w:val="00B33377"/>
    <w:rsid w:val="00B33BE5"/>
    <w:rsid w:val="00B34349"/>
    <w:rsid w:val="00B345CD"/>
    <w:rsid w:val="00B34AB3"/>
    <w:rsid w:val="00B352E5"/>
    <w:rsid w:val="00B367F0"/>
    <w:rsid w:val="00B37115"/>
    <w:rsid w:val="00B37E08"/>
    <w:rsid w:val="00B42EE8"/>
    <w:rsid w:val="00B445F9"/>
    <w:rsid w:val="00B44685"/>
    <w:rsid w:val="00B46855"/>
    <w:rsid w:val="00B47D50"/>
    <w:rsid w:val="00B507ED"/>
    <w:rsid w:val="00B52629"/>
    <w:rsid w:val="00B538AF"/>
    <w:rsid w:val="00B53D8C"/>
    <w:rsid w:val="00B53F40"/>
    <w:rsid w:val="00B540FC"/>
    <w:rsid w:val="00B5425A"/>
    <w:rsid w:val="00B565C3"/>
    <w:rsid w:val="00B56C20"/>
    <w:rsid w:val="00B579C8"/>
    <w:rsid w:val="00B60E53"/>
    <w:rsid w:val="00B613CD"/>
    <w:rsid w:val="00B61EB2"/>
    <w:rsid w:val="00B64D17"/>
    <w:rsid w:val="00B660B1"/>
    <w:rsid w:val="00B70EC5"/>
    <w:rsid w:val="00B70ECF"/>
    <w:rsid w:val="00B724B3"/>
    <w:rsid w:val="00B72A9C"/>
    <w:rsid w:val="00B72E97"/>
    <w:rsid w:val="00B733EB"/>
    <w:rsid w:val="00B7443B"/>
    <w:rsid w:val="00B76C2C"/>
    <w:rsid w:val="00B80C1B"/>
    <w:rsid w:val="00B80E9C"/>
    <w:rsid w:val="00B81197"/>
    <w:rsid w:val="00B81C5B"/>
    <w:rsid w:val="00B82E21"/>
    <w:rsid w:val="00B834CD"/>
    <w:rsid w:val="00B83E13"/>
    <w:rsid w:val="00B83FE7"/>
    <w:rsid w:val="00B87487"/>
    <w:rsid w:val="00B876EB"/>
    <w:rsid w:val="00B87A50"/>
    <w:rsid w:val="00B91150"/>
    <w:rsid w:val="00B917B2"/>
    <w:rsid w:val="00B931BE"/>
    <w:rsid w:val="00B93522"/>
    <w:rsid w:val="00B93CF9"/>
    <w:rsid w:val="00B9723F"/>
    <w:rsid w:val="00B97AA8"/>
    <w:rsid w:val="00BA1A9C"/>
    <w:rsid w:val="00BA2979"/>
    <w:rsid w:val="00BA2D47"/>
    <w:rsid w:val="00BA3DA4"/>
    <w:rsid w:val="00BA4902"/>
    <w:rsid w:val="00BA5979"/>
    <w:rsid w:val="00BA5A47"/>
    <w:rsid w:val="00BA5FB5"/>
    <w:rsid w:val="00BA6649"/>
    <w:rsid w:val="00BA7D41"/>
    <w:rsid w:val="00BB1166"/>
    <w:rsid w:val="00BB3C9B"/>
    <w:rsid w:val="00BB4D13"/>
    <w:rsid w:val="00BB57DC"/>
    <w:rsid w:val="00BB6177"/>
    <w:rsid w:val="00BB6AED"/>
    <w:rsid w:val="00BB6C4F"/>
    <w:rsid w:val="00BB77A8"/>
    <w:rsid w:val="00BB78DE"/>
    <w:rsid w:val="00BB7D02"/>
    <w:rsid w:val="00BC1090"/>
    <w:rsid w:val="00BC1E2C"/>
    <w:rsid w:val="00BC267E"/>
    <w:rsid w:val="00BC27B0"/>
    <w:rsid w:val="00BC2F51"/>
    <w:rsid w:val="00BC3900"/>
    <w:rsid w:val="00BC4706"/>
    <w:rsid w:val="00BC6804"/>
    <w:rsid w:val="00BC68F6"/>
    <w:rsid w:val="00BC6934"/>
    <w:rsid w:val="00BC73B4"/>
    <w:rsid w:val="00BC791E"/>
    <w:rsid w:val="00BC7B0A"/>
    <w:rsid w:val="00BC7E0F"/>
    <w:rsid w:val="00BD06DD"/>
    <w:rsid w:val="00BD0E27"/>
    <w:rsid w:val="00BD1784"/>
    <w:rsid w:val="00BD31DA"/>
    <w:rsid w:val="00BD677D"/>
    <w:rsid w:val="00BD7314"/>
    <w:rsid w:val="00BD786B"/>
    <w:rsid w:val="00BD7A99"/>
    <w:rsid w:val="00BD7E1F"/>
    <w:rsid w:val="00BE01B7"/>
    <w:rsid w:val="00BE0A1E"/>
    <w:rsid w:val="00BE37AD"/>
    <w:rsid w:val="00BE3E5E"/>
    <w:rsid w:val="00BE4815"/>
    <w:rsid w:val="00BE4EEE"/>
    <w:rsid w:val="00BE53C9"/>
    <w:rsid w:val="00BE573A"/>
    <w:rsid w:val="00BE7908"/>
    <w:rsid w:val="00BF0C58"/>
    <w:rsid w:val="00BF1C32"/>
    <w:rsid w:val="00BF50B8"/>
    <w:rsid w:val="00BF5133"/>
    <w:rsid w:val="00BF547D"/>
    <w:rsid w:val="00BF64EA"/>
    <w:rsid w:val="00BF7490"/>
    <w:rsid w:val="00BF7584"/>
    <w:rsid w:val="00BF7A8B"/>
    <w:rsid w:val="00BF7E66"/>
    <w:rsid w:val="00C00EC4"/>
    <w:rsid w:val="00C0255E"/>
    <w:rsid w:val="00C0274E"/>
    <w:rsid w:val="00C02945"/>
    <w:rsid w:val="00C02CB3"/>
    <w:rsid w:val="00C05CE1"/>
    <w:rsid w:val="00C0622A"/>
    <w:rsid w:val="00C064F5"/>
    <w:rsid w:val="00C07B75"/>
    <w:rsid w:val="00C103C6"/>
    <w:rsid w:val="00C10A18"/>
    <w:rsid w:val="00C10BDF"/>
    <w:rsid w:val="00C11FBB"/>
    <w:rsid w:val="00C11FCE"/>
    <w:rsid w:val="00C12DB9"/>
    <w:rsid w:val="00C12E38"/>
    <w:rsid w:val="00C14245"/>
    <w:rsid w:val="00C15E6A"/>
    <w:rsid w:val="00C17006"/>
    <w:rsid w:val="00C17787"/>
    <w:rsid w:val="00C2086E"/>
    <w:rsid w:val="00C20E65"/>
    <w:rsid w:val="00C212C9"/>
    <w:rsid w:val="00C219CC"/>
    <w:rsid w:val="00C21ED5"/>
    <w:rsid w:val="00C239A8"/>
    <w:rsid w:val="00C24FC4"/>
    <w:rsid w:val="00C2580A"/>
    <w:rsid w:val="00C3030F"/>
    <w:rsid w:val="00C309F0"/>
    <w:rsid w:val="00C30E98"/>
    <w:rsid w:val="00C32C5F"/>
    <w:rsid w:val="00C33B98"/>
    <w:rsid w:val="00C33F75"/>
    <w:rsid w:val="00C34FF0"/>
    <w:rsid w:val="00C36030"/>
    <w:rsid w:val="00C36394"/>
    <w:rsid w:val="00C36DF9"/>
    <w:rsid w:val="00C40955"/>
    <w:rsid w:val="00C40A84"/>
    <w:rsid w:val="00C40D3F"/>
    <w:rsid w:val="00C41F8A"/>
    <w:rsid w:val="00C4253C"/>
    <w:rsid w:val="00C4326B"/>
    <w:rsid w:val="00C4329B"/>
    <w:rsid w:val="00C441C9"/>
    <w:rsid w:val="00C443DC"/>
    <w:rsid w:val="00C44E6F"/>
    <w:rsid w:val="00C46FC8"/>
    <w:rsid w:val="00C502BD"/>
    <w:rsid w:val="00C514DA"/>
    <w:rsid w:val="00C528FF"/>
    <w:rsid w:val="00C52F7A"/>
    <w:rsid w:val="00C539EE"/>
    <w:rsid w:val="00C542C7"/>
    <w:rsid w:val="00C55B34"/>
    <w:rsid w:val="00C56B16"/>
    <w:rsid w:val="00C5760A"/>
    <w:rsid w:val="00C57BC9"/>
    <w:rsid w:val="00C60E6C"/>
    <w:rsid w:val="00C619DB"/>
    <w:rsid w:val="00C62085"/>
    <w:rsid w:val="00C626CD"/>
    <w:rsid w:val="00C626DF"/>
    <w:rsid w:val="00C6272E"/>
    <w:rsid w:val="00C628DA"/>
    <w:rsid w:val="00C62B1F"/>
    <w:rsid w:val="00C642A8"/>
    <w:rsid w:val="00C644EE"/>
    <w:rsid w:val="00C64A4A"/>
    <w:rsid w:val="00C660D1"/>
    <w:rsid w:val="00C66C8D"/>
    <w:rsid w:val="00C66E81"/>
    <w:rsid w:val="00C67FC2"/>
    <w:rsid w:val="00C70053"/>
    <w:rsid w:val="00C70152"/>
    <w:rsid w:val="00C70563"/>
    <w:rsid w:val="00C71158"/>
    <w:rsid w:val="00C71C33"/>
    <w:rsid w:val="00C720B3"/>
    <w:rsid w:val="00C73058"/>
    <w:rsid w:val="00C73CEC"/>
    <w:rsid w:val="00C740F6"/>
    <w:rsid w:val="00C74517"/>
    <w:rsid w:val="00C75B86"/>
    <w:rsid w:val="00C769AC"/>
    <w:rsid w:val="00C77579"/>
    <w:rsid w:val="00C81B92"/>
    <w:rsid w:val="00C83243"/>
    <w:rsid w:val="00C83EEC"/>
    <w:rsid w:val="00C844E3"/>
    <w:rsid w:val="00C847B5"/>
    <w:rsid w:val="00C85219"/>
    <w:rsid w:val="00C858D0"/>
    <w:rsid w:val="00C86E2C"/>
    <w:rsid w:val="00C87085"/>
    <w:rsid w:val="00C870BF"/>
    <w:rsid w:val="00C9018C"/>
    <w:rsid w:val="00C90657"/>
    <w:rsid w:val="00C908AF"/>
    <w:rsid w:val="00C91351"/>
    <w:rsid w:val="00C92CE8"/>
    <w:rsid w:val="00C92EAC"/>
    <w:rsid w:val="00C93343"/>
    <w:rsid w:val="00C94C93"/>
    <w:rsid w:val="00C951E3"/>
    <w:rsid w:val="00C953BC"/>
    <w:rsid w:val="00C953D2"/>
    <w:rsid w:val="00C96892"/>
    <w:rsid w:val="00C97D70"/>
    <w:rsid w:val="00CA06C5"/>
    <w:rsid w:val="00CA0785"/>
    <w:rsid w:val="00CA0979"/>
    <w:rsid w:val="00CA15A5"/>
    <w:rsid w:val="00CA245F"/>
    <w:rsid w:val="00CA3B2E"/>
    <w:rsid w:val="00CA4199"/>
    <w:rsid w:val="00CA5C6D"/>
    <w:rsid w:val="00CA62C3"/>
    <w:rsid w:val="00CA663B"/>
    <w:rsid w:val="00CA72F8"/>
    <w:rsid w:val="00CB047D"/>
    <w:rsid w:val="00CB0BAC"/>
    <w:rsid w:val="00CB123C"/>
    <w:rsid w:val="00CB28DF"/>
    <w:rsid w:val="00CB3088"/>
    <w:rsid w:val="00CB40D0"/>
    <w:rsid w:val="00CB6B88"/>
    <w:rsid w:val="00CC0146"/>
    <w:rsid w:val="00CC0C82"/>
    <w:rsid w:val="00CC2B1C"/>
    <w:rsid w:val="00CC3A9C"/>
    <w:rsid w:val="00CC423F"/>
    <w:rsid w:val="00CC4C37"/>
    <w:rsid w:val="00CC52F5"/>
    <w:rsid w:val="00CC5884"/>
    <w:rsid w:val="00CC719D"/>
    <w:rsid w:val="00CD1296"/>
    <w:rsid w:val="00CD1447"/>
    <w:rsid w:val="00CD2451"/>
    <w:rsid w:val="00CD2BE3"/>
    <w:rsid w:val="00CD2C3C"/>
    <w:rsid w:val="00CD2F64"/>
    <w:rsid w:val="00CD4907"/>
    <w:rsid w:val="00CD5255"/>
    <w:rsid w:val="00CD5318"/>
    <w:rsid w:val="00CE08B6"/>
    <w:rsid w:val="00CE0CA6"/>
    <w:rsid w:val="00CE2A67"/>
    <w:rsid w:val="00CE2C5C"/>
    <w:rsid w:val="00CE3440"/>
    <w:rsid w:val="00CE536F"/>
    <w:rsid w:val="00CE5652"/>
    <w:rsid w:val="00CE573C"/>
    <w:rsid w:val="00CE5CF2"/>
    <w:rsid w:val="00CE6F29"/>
    <w:rsid w:val="00CE7850"/>
    <w:rsid w:val="00CF1742"/>
    <w:rsid w:val="00CF1793"/>
    <w:rsid w:val="00CF3533"/>
    <w:rsid w:val="00CF3FC9"/>
    <w:rsid w:val="00CF463C"/>
    <w:rsid w:val="00CF4F25"/>
    <w:rsid w:val="00CF658D"/>
    <w:rsid w:val="00CF665A"/>
    <w:rsid w:val="00D019CB"/>
    <w:rsid w:val="00D038B0"/>
    <w:rsid w:val="00D03AD5"/>
    <w:rsid w:val="00D0405C"/>
    <w:rsid w:val="00D0505D"/>
    <w:rsid w:val="00D055DC"/>
    <w:rsid w:val="00D05F03"/>
    <w:rsid w:val="00D066EF"/>
    <w:rsid w:val="00D06C81"/>
    <w:rsid w:val="00D07504"/>
    <w:rsid w:val="00D07D1E"/>
    <w:rsid w:val="00D11273"/>
    <w:rsid w:val="00D147B7"/>
    <w:rsid w:val="00D16F5A"/>
    <w:rsid w:val="00D17C24"/>
    <w:rsid w:val="00D20E74"/>
    <w:rsid w:val="00D217E1"/>
    <w:rsid w:val="00D21A49"/>
    <w:rsid w:val="00D22260"/>
    <w:rsid w:val="00D22836"/>
    <w:rsid w:val="00D23454"/>
    <w:rsid w:val="00D23C1B"/>
    <w:rsid w:val="00D24404"/>
    <w:rsid w:val="00D24BB5"/>
    <w:rsid w:val="00D2529C"/>
    <w:rsid w:val="00D30A33"/>
    <w:rsid w:val="00D30AFF"/>
    <w:rsid w:val="00D30F05"/>
    <w:rsid w:val="00D311EC"/>
    <w:rsid w:val="00D312A7"/>
    <w:rsid w:val="00D343D0"/>
    <w:rsid w:val="00D34731"/>
    <w:rsid w:val="00D349AC"/>
    <w:rsid w:val="00D34DD3"/>
    <w:rsid w:val="00D34E43"/>
    <w:rsid w:val="00D3536D"/>
    <w:rsid w:val="00D35A06"/>
    <w:rsid w:val="00D368B7"/>
    <w:rsid w:val="00D36ABA"/>
    <w:rsid w:val="00D36AF7"/>
    <w:rsid w:val="00D40905"/>
    <w:rsid w:val="00D4119B"/>
    <w:rsid w:val="00D41C0F"/>
    <w:rsid w:val="00D4469B"/>
    <w:rsid w:val="00D465D3"/>
    <w:rsid w:val="00D51B5A"/>
    <w:rsid w:val="00D536EA"/>
    <w:rsid w:val="00D53770"/>
    <w:rsid w:val="00D53814"/>
    <w:rsid w:val="00D54476"/>
    <w:rsid w:val="00D55050"/>
    <w:rsid w:val="00D56BBB"/>
    <w:rsid w:val="00D56EAB"/>
    <w:rsid w:val="00D60257"/>
    <w:rsid w:val="00D62BB1"/>
    <w:rsid w:val="00D64188"/>
    <w:rsid w:val="00D64E25"/>
    <w:rsid w:val="00D6728B"/>
    <w:rsid w:val="00D67A55"/>
    <w:rsid w:val="00D67D05"/>
    <w:rsid w:val="00D712A4"/>
    <w:rsid w:val="00D7130D"/>
    <w:rsid w:val="00D71D40"/>
    <w:rsid w:val="00D73E4A"/>
    <w:rsid w:val="00D74748"/>
    <w:rsid w:val="00D768AC"/>
    <w:rsid w:val="00D77DC0"/>
    <w:rsid w:val="00D77E9D"/>
    <w:rsid w:val="00D80D77"/>
    <w:rsid w:val="00D818FE"/>
    <w:rsid w:val="00D82AF7"/>
    <w:rsid w:val="00D839F3"/>
    <w:rsid w:val="00D85872"/>
    <w:rsid w:val="00D869CE"/>
    <w:rsid w:val="00D902C1"/>
    <w:rsid w:val="00D90F9A"/>
    <w:rsid w:val="00D91F06"/>
    <w:rsid w:val="00D92109"/>
    <w:rsid w:val="00D921CD"/>
    <w:rsid w:val="00D93524"/>
    <w:rsid w:val="00D939AC"/>
    <w:rsid w:val="00D97032"/>
    <w:rsid w:val="00D97686"/>
    <w:rsid w:val="00D977F7"/>
    <w:rsid w:val="00DA0046"/>
    <w:rsid w:val="00DA0920"/>
    <w:rsid w:val="00DA139C"/>
    <w:rsid w:val="00DA3200"/>
    <w:rsid w:val="00DA3327"/>
    <w:rsid w:val="00DA36DE"/>
    <w:rsid w:val="00DA4BDA"/>
    <w:rsid w:val="00DA4D3D"/>
    <w:rsid w:val="00DA6204"/>
    <w:rsid w:val="00DA7383"/>
    <w:rsid w:val="00DA7B3F"/>
    <w:rsid w:val="00DB088F"/>
    <w:rsid w:val="00DB21B6"/>
    <w:rsid w:val="00DB2BB4"/>
    <w:rsid w:val="00DB30B3"/>
    <w:rsid w:val="00DB51ED"/>
    <w:rsid w:val="00DB5E9E"/>
    <w:rsid w:val="00DB7A53"/>
    <w:rsid w:val="00DC15D7"/>
    <w:rsid w:val="00DC1DAD"/>
    <w:rsid w:val="00DC213F"/>
    <w:rsid w:val="00DC2514"/>
    <w:rsid w:val="00DC2E5F"/>
    <w:rsid w:val="00DC2F00"/>
    <w:rsid w:val="00DC302B"/>
    <w:rsid w:val="00DC5B7B"/>
    <w:rsid w:val="00DC5E1E"/>
    <w:rsid w:val="00DC772A"/>
    <w:rsid w:val="00DD0112"/>
    <w:rsid w:val="00DD03AE"/>
    <w:rsid w:val="00DD0560"/>
    <w:rsid w:val="00DD0B81"/>
    <w:rsid w:val="00DD0C2D"/>
    <w:rsid w:val="00DD1DE2"/>
    <w:rsid w:val="00DD2034"/>
    <w:rsid w:val="00DD310A"/>
    <w:rsid w:val="00DD4021"/>
    <w:rsid w:val="00DD480B"/>
    <w:rsid w:val="00DD6908"/>
    <w:rsid w:val="00DD6EBB"/>
    <w:rsid w:val="00DD6FF3"/>
    <w:rsid w:val="00DD7000"/>
    <w:rsid w:val="00DD7758"/>
    <w:rsid w:val="00DD7C0F"/>
    <w:rsid w:val="00DE1770"/>
    <w:rsid w:val="00DE1993"/>
    <w:rsid w:val="00DE288F"/>
    <w:rsid w:val="00DE4FD2"/>
    <w:rsid w:val="00DE5795"/>
    <w:rsid w:val="00DE6765"/>
    <w:rsid w:val="00DE6954"/>
    <w:rsid w:val="00DE7F16"/>
    <w:rsid w:val="00DF1F59"/>
    <w:rsid w:val="00DF2F7A"/>
    <w:rsid w:val="00DF31F8"/>
    <w:rsid w:val="00DF39E6"/>
    <w:rsid w:val="00DF47D2"/>
    <w:rsid w:val="00DF56D8"/>
    <w:rsid w:val="00DF5A94"/>
    <w:rsid w:val="00DF6300"/>
    <w:rsid w:val="00DF66B3"/>
    <w:rsid w:val="00DF6E0A"/>
    <w:rsid w:val="00DF6EF5"/>
    <w:rsid w:val="00E0075C"/>
    <w:rsid w:val="00E00F85"/>
    <w:rsid w:val="00E018B8"/>
    <w:rsid w:val="00E02BE2"/>
    <w:rsid w:val="00E02FEF"/>
    <w:rsid w:val="00E10143"/>
    <w:rsid w:val="00E11EF3"/>
    <w:rsid w:val="00E12298"/>
    <w:rsid w:val="00E162C4"/>
    <w:rsid w:val="00E2108F"/>
    <w:rsid w:val="00E21789"/>
    <w:rsid w:val="00E24F63"/>
    <w:rsid w:val="00E25694"/>
    <w:rsid w:val="00E25AF0"/>
    <w:rsid w:val="00E26672"/>
    <w:rsid w:val="00E26E73"/>
    <w:rsid w:val="00E30849"/>
    <w:rsid w:val="00E33185"/>
    <w:rsid w:val="00E348BA"/>
    <w:rsid w:val="00E349A4"/>
    <w:rsid w:val="00E34B2B"/>
    <w:rsid w:val="00E3562B"/>
    <w:rsid w:val="00E3627E"/>
    <w:rsid w:val="00E36757"/>
    <w:rsid w:val="00E36EAA"/>
    <w:rsid w:val="00E37181"/>
    <w:rsid w:val="00E37222"/>
    <w:rsid w:val="00E3767D"/>
    <w:rsid w:val="00E37F17"/>
    <w:rsid w:val="00E401D7"/>
    <w:rsid w:val="00E41DB9"/>
    <w:rsid w:val="00E42DED"/>
    <w:rsid w:val="00E42EA6"/>
    <w:rsid w:val="00E42F8E"/>
    <w:rsid w:val="00E42FB0"/>
    <w:rsid w:val="00E436EE"/>
    <w:rsid w:val="00E437E2"/>
    <w:rsid w:val="00E43AB6"/>
    <w:rsid w:val="00E44A0B"/>
    <w:rsid w:val="00E4580C"/>
    <w:rsid w:val="00E45C2D"/>
    <w:rsid w:val="00E4626D"/>
    <w:rsid w:val="00E4747E"/>
    <w:rsid w:val="00E514E2"/>
    <w:rsid w:val="00E520F4"/>
    <w:rsid w:val="00E525BC"/>
    <w:rsid w:val="00E5387C"/>
    <w:rsid w:val="00E547D2"/>
    <w:rsid w:val="00E55337"/>
    <w:rsid w:val="00E631FB"/>
    <w:rsid w:val="00E63328"/>
    <w:rsid w:val="00E63C34"/>
    <w:rsid w:val="00E656B6"/>
    <w:rsid w:val="00E65A58"/>
    <w:rsid w:val="00E663D7"/>
    <w:rsid w:val="00E66804"/>
    <w:rsid w:val="00E67148"/>
    <w:rsid w:val="00E67A03"/>
    <w:rsid w:val="00E71149"/>
    <w:rsid w:val="00E71DB9"/>
    <w:rsid w:val="00E722C0"/>
    <w:rsid w:val="00E73715"/>
    <w:rsid w:val="00E73962"/>
    <w:rsid w:val="00E7446C"/>
    <w:rsid w:val="00E74911"/>
    <w:rsid w:val="00E74F6A"/>
    <w:rsid w:val="00E75DC8"/>
    <w:rsid w:val="00E75F58"/>
    <w:rsid w:val="00E76310"/>
    <w:rsid w:val="00E76AA4"/>
    <w:rsid w:val="00E80164"/>
    <w:rsid w:val="00E80727"/>
    <w:rsid w:val="00E8326F"/>
    <w:rsid w:val="00E858CF"/>
    <w:rsid w:val="00E90C7E"/>
    <w:rsid w:val="00E914D1"/>
    <w:rsid w:val="00E915EF"/>
    <w:rsid w:val="00E925F5"/>
    <w:rsid w:val="00E9318B"/>
    <w:rsid w:val="00E94B6B"/>
    <w:rsid w:val="00E94CD8"/>
    <w:rsid w:val="00E97D35"/>
    <w:rsid w:val="00EA0974"/>
    <w:rsid w:val="00EA1CFC"/>
    <w:rsid w:val="00EA2141"/>
    <w:rsid w:val="00EA28F5"/>
    <w:rsid w:val="00EA2AB1"/>
    <w:rsid w:val="00EA39DD"/>
    <w:rsid w:val="00EA3B9A"/>
    <w:rsid w:val="00EA3CA0"/>
    <w:rsid w:val="00EA515A"/>
    <w:rsid w:val="00EA5864"/>
    <w:rsid w:val="00EA5FB2"/>
    <w:rsid w:val="00EB0C2B"/>
    <w:rsid w:val="00EB2493"/>
    <w:rsid w:val="00EB2EA3"/>
    <w:rsid w:val="00EB31F9"/>
    <w:rsid w:val="00EB5962"/>
    <w:rsid w:val="00EB6144"/>
    <w:rsid w:val="00EB6CBD"/>
    <w:rsid w:val="00EB7E16"/>
    <w:rsid w:val="00EC00E7"/>
    <w:rsid w:val="00EC0F3C"/>
    <w:rsid w:val="00EC1515"/>
    <w:rsid w:val="00EC1C7B"/>
    <w:rsid w:val="00EC3969"/>
    <w:rsid w:val="00EC3DE0"/>
    <w:rsid w:val="00EC4296"/>
    <w:rsid w:val="00EC44D1"/>
    <w:rsid w:val="00EC54FA"/>
    <w:rsid w:val="00EC68E4"/>
    <w:rsid w:val="00EC6FBC"/>
    <w:rsid w:val="00EC72A3"/>
    <w:rsid w:val="00ED1720"/>
    <w:rsid w:val="00ED20BF"/>
    <w:rsid w:val="00ED3FF6"/>
    <w:rsid w:val="00ED4B98"/>
    <w:rsid w:val="00ED5A06"/>
    <w:rsid w:val="00ED5BA1"/>
    <w:rsid w:val="00ED635D"/>
    <w:rsid w:val="00ED6F74"/>
    <w:rsid w:val="00ED7B2D"/>
    <w:rsid w:val="00EE28D1"/>
    <w:rsid w:val="00EE487B"/>
    <w:rsid w:val="00EE592C"/>
    <w:rsid w:val="00EE5DC5"/>
    <w:rsid w:val="00EE6300"/>
    <w:rsid w:val="00EE6E80"/>
    <w:rsid w:val="00EE72AE"/>
    <w:rsid w:val="00EE763E"/>
    <w:rsid w:val="00EE7A02"/>
    <w:rsid w:val="00EF236C"/>
    <w:rsid w:val="00EF254B"/>
    <w:rsid w:val="00EF3D98"/>
    <w:rsid w:val="00EF5301"/>
    <w:rsid w:val="00EF603D"/>
    <w:rsid w:val="00EF6378"/>
    <w:rsid w:val="00EF7888"/>
    <w:rsid w:val="00F01AEE"/>
    <w:rsid w:val="00F03608"/>
    <w:rsid w:val="00F05014"/>
    <w:rsid w:val="00F079E8"/>
    <w:rsid w:val="00F07BBB"/>
    <w:rsid w:val="00F07E67"/>
    <w:rsid w:val="00F10218"/>
    <w:rsid w:val="00F11ECE"/>
    <w:rsid w:val="00F11EE6"/>
    <w:rsid w:val="00F129C0"/>
    <w:rsid w:val="00F12B34"/>
    <w:rsid w:val="00F13BC5"/>
    <w:rsid w:val="00F14F44"/>
    <w:rsid w:val="00F1561A"/>
    <w:rsid w:val="00F17907"/>
    <w:rsid w:val="00F207A8"/>
    <w:rsid w:val="00F2082B"/>
    <w:rsid w:val="00F20EEF"/>
    <w:rsid w:val="00F23323"/>
    <w:rsid w:val="00F2527E"/>
    <w:rsid w:val="00F25569"/>
    <w:rsid w:val="00F271F4"/>
    <w:rsid w:val="00F27F6A"/>
    <w:rsid w:val="00F30693"/>
    <w:rsid w:val="00F31AA4"/>
    <w:rsid w:val="00F3260B"/>
    <w:rsid w:val="00F32D59"/>
    <w:rsid w:val="00F32DDF"/>
    <w:rsid w:val="00F34BE5"/>
    <w:rsid w:val="00F35AE8"/>
    <w:rsid w:val="00F37111"/>
    <w:rsid w:val="00F40ABD"/>
    <w:rsid w:val="00F41185"/>
    <w:rsid w:val="00F42298"/>
    <w:rsid w:val="00F4301B"/>
    <w:rsid w:val="00F4319E"/>
    <w:rsid w:val="00F431E9"/>
    <w:rsid w:val="00F43BD3"/>
    <w:rsid w:val="00F442F2"/>
    <w:rsid w:val="00F44BB5"/>
    <w:rsid w:val="00F44C5C"/>
    <w:rsid w:val="00F46B59"/>
    <w:rsid w:val="00F51E5C"/>
    <w:rsid w:val="00F525BD"/>
    <w:rsid w:val="00F52FEF"/>
    <w:rsid w:val="00F5458C"/>
    <w:rsid w:val="00F549FA"/>
    <w:rsid w:val="00F550A9"/>
    <w:rsid w:val="00F557E3"/>
    <w:rsid w:val="00F5698E"/>
    <w:rsid w:val="00F56B1B"/>
    <w:rsid w:val="00F579FE"/>
    <w:rsid w:val="00F6012B"/>
    <w:rsid w:val="00F61223"/>
    <w:rsid w:val="00F61D40"/>
    <w:rsid w:val="00F61FA9"/>
    <w:rsid w:val="00F62B15"/>
    <w:rsid w:val="00F62C04"/>
    <w:rsid w:val="00F62E49"/>
    <w:rsid w:val="00F63B18"/>
    <w:rsid w:val="00F64EDB"/>
    <w:rsid w:val="00F70509"/>
    <w:rsid w:val="00F7155A"/>
    <w:rsid w:val="00F72B43"/>
    <w:rsid w:val="00F7534E"/>
    <w:rsid w:val="00F76062"/>
    <w:rsid w:val="00F771E3"/>
    <w:rsid w:val="00F8029D"/>
    <w:rsid w:val="00F8154E"/>
    <w:rsid w:val="00F81D09"/>
    <w:rsid w:val="00F83A79"/>
    <w:rsid w:val="00F86B5F"/>
    <w:rsid w:val="00F87C6C"/>
    <w:rsid w:val="00F91572"/>
    <w:rsid w:val="00F921C3"/>
    <w:rsid w:val="00F92371"/>
    <w:rsid w:val="00F92D82"/>
    <w:rsid w:val="00F954C4"/>
    <w:rsid w:val="00F95F97"/>
    <w:rsid w:val="00F963C6"/>
    <w:rsid w:val="00F96FF4"/>
    <w:rsid w:val="00FA275C"/>
    <w:rsid w:val="00FA3284"/>
    <w:rsid w:val="00FA412B"/>
    <w:rsid w:val="00FA4A9F"/>
    <w:rsid w:val="00FA568B"/>
    <w:rsid w:val="00FA5FE0"/>
    <w:rsid w:val="00FA6033"/>
    <w:rsid w:val="00FA6322"/>
    <w:rsid w:val="00FB0C16"/>
    <w:rsid w:val="00FB114E"/>
    <w:rsid w:val="00FB145B"/>
    <w:rsid w:val="00FB17B0"/>
    <w:rsid w:val="00FB4766"/>
    <w:rsid w:val="00FB4FF5"/>
    <w:rsid w:val="00FB60E8"/>
    <w:rsid w:val="00FB7380"/>
    <w:rsid w:val="00FB7AE7"/>
    <w:rsid w:val="00FC0166"/>
    <w:rsid w:val="00FC01F8"/>
    <w:rsid w:val="00FC1247"/>
    <w:rsid w:val="00FC226E"/>
    <w:rsid w:val="00FC2C17"/>
    <w:rsid w:val="00FC4B12"/>
    <w:rsid w:val="00FC519C"/>
    <w:rsid w:val="00FC51A1"/>
    <w:rsid w:val="00FC694A"/>
    <w:rsid w:val="00FC6DFE"/>
    <w:rsid w:val="00FC7C37"/>
    <w:rsid w:val="00FD09CC"/>
    <w:rsid w:val="00FD31C2"/>
    <w:rsid w:val="00FD408B"/>
    <w:rsid w:val="00FD55E8"/>
    <w:rsid w:val="00FD58C4"/>
    <w:rsid w:val="00FD5E36"/>
    <w:rsid w:val="00FD6F53"/>
    <w:rsid w:val="00FD7592"/>
    <w:rsid w:val="00FD7D89"/>
    <w:rsid w:val="00FE0BB4"/>
    <w:rsid w:val="00FE0D01"/>
    <w:rsid w:val="00FE0EEF"/>
    <w:rsid w:val="00FE14F8"/>
    <w:rsid w:val="00FE21AA"/>
    <w:rsid w:val="00FE6447"/>
    <w:rsid w:val="00FF06BF"/>
    <w:rsid w:val="00FF0B1A"/>
    <w:rsid w:val="00FF0DF7"/>
    <w:rsid w:val="00FF100E"/>
    <w:rsid w:val="00FF46D2"/>
    <w:rsid w:val="00FF61B8"/>
    <w:rsid w:val="00FF75F1"/>
    <w:rsid w:val="00FF76A0"/>
    <w:rsid w:val="00FF7A82"/>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94B2302"/>
  <w15:docId w15:val="{0B3F4CF4-24CB-400A-91A7-FC2A95DE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8A7"/>
    <w:rPr>
      <w:sz w:val="24"/>
      <w:szCs w:val="24"/>
    </w:rPr>
  </w:style>
  <w:style w:type="paragraph" w:styleId="Heading1">
    <w:name w:val="heading 1"/>
    <w:basedOn w:val="ListParagraph"/>
    <w:next w:val="Normal"/>
    <w:link w:val="Heading1Char"/>
    <w:autoRedefine/>
    <w:uiPriority w:val="99"/>
    <w:qFormat/>
    <w:rsid w:val="0046181B"/>
    <w:pPr>
      <w:numPr>
        <w:numId w:val="20"/>
      </w:numPr>
      <w:spacing w:after="240"/>
      <w:ind w:left="720"/>
      <w:contextualSpacing w:val="0"/>
      <w:outlineLvl w:val="0"/>
    </w:pPr>
    <w:rPr>
      <w:b/>
      <w:bCs/>
    </w:rPr>
  </w:style>
  <w:style w:type="paragraph" w:styleId="Heading2">
    <w:name w:val="heading 2"/>
    <w:basedOn w:val="Normal"/>
    <w:next w:val="Normal"/>
    <w:link w:val="Heading2Char"/>
    <w:autoRedefine/>
    <w:uiPriority w:val="99"/>
    <w:qFormat/>
    <w:rsid w:val="00B7443B"/>
    <w:pPr>
      <w:spacing w:after="240"/>
      <w:ind w:right="810"/>
      <w:outlineLvl w:val="1"/>
    </w:pPr>
    <w:rPr>
      <w:b/>
      <w:i/>
      <w:iCs/>
      <w:caps/>
    </w:rPr>
  </w:style>
  <w:style w:type="paragraph" w:styleId="Heading3">
    <w:name w:val="heading 3"/>
    <w:basedOn w:val="Normal"/>
    <w:next w:val="Normal"/>
    <w:link w:val="Heading3Char"/>
    <w:unhideWhenUsed/>
    <w:locked/>
    <w:rsid w:val="002240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81B"/>
    <w:rPr>
      <w:b/>
      <w:bCs/>
      <w:sz w:val="24"/>
      <w:szCs w:val="24"/>
    </w:rPr>
  </w:style>
  <w:style w:type="character" w:customStyle="1" w:styleId="Heading2Char">
    <w:name w:val="Heading 2 Char"/>
    <w:link w:val="Heading2"/>
    <w:uiPriority w:val="99"/>
    <w:locked/>
    <w:rsid w:val="00B7443B"/>
    <w:rPr>
      <w:b/>
      <w:i/>
      <w:iCs/>
      <w:caps/>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semiHidden/>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locked/>
    <w:rsid w:val="00381778"/>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uiPriority w:val="99"/>
    <w:rsid w:val="00B81F70"/>
    <w:rPr>
      <w:sz w:val="20"/>
      <w:szCs w:val="20"/>
    </w:rPr>
  </w:style>
  <w:style w:type="character" w:customStyle="1" w:styleId="CommentTextChar">
    <w:name w:val="Comment Text Char"/>
    <w:link w:val="CommentText"/>
    <w:uiPriority w:val="99"/>
    <w:locked/>
    <w:rsid w:val="00B81F70"/>
    <w:rPr>
      <w:sz w:val="20"/>
      <w:szCs w:val="20"/>
    </w:rPr>
  </w:style>
  <w:style w:type="paragraph" w:styleId="CommentSubject">
    <w:name w:val="annotation subject"/>
    <w:basedOn w:val="CommentText"/>
    <w:next w:val="CommentText"/>
    <w:link w:val="CommentSubjectChar"/>
    <w:semiHidden/>
    <w:rsid w:val="00B81F70"/>
    <w:rPr>
      <w:b/>
      <w:bCs/>
    </w:rPr>
  </w:style>
  <w:style w:type="character" w:customStyle="1" w:styleId="CommentSubjectChar">
    <w:name w:val="Comment Subject Char"/>
    <w:link w:val="CommentSubject"/>
    <w:uiPriority w:val="99"/>
    <w:semiHidden/>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997B8D"/>
    <w:pPr>
      <w:tabs>
        <w:tab w:val="decimal" w:leader="dot" w:pos="936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6C0E0E"/>
    <w:pPr>
      <w:ind w:left="720"/>
      <w:contextualSpacing/>
    </w:pPr>
  </w:style>
  <w:style w:type="paragraph" w:styleId="TOC2">
    <w:name w:val="toc 2"/>
    <w:basedOn w:val="Normal"/>
    <w:next w:val="Normal"/>
    <w:autoRedefine/>
    <w:uiPriority w:val="39"/>
    <w:locked/>
    <w:rsid w:val="00997B8D"/>
    <w:pPr>
      <w:tabs>
        <w:tab w:val="decimal" w:leader="dot" w:pos="9360"/>
      </w:tabs>
      <w:spacing w:after="240"/>
      <w:ind w:left="1440" w:hanging="720"/>
    </w:pPr>
    <w:rPr>
      <w:caps/>
    </w:rPr>
  </w:style>
  <w:style w:type="paragraph" w:styleId="Revision">
    <w:name w:val="Revision"/>
    <w:hidden/>
    <w:uiPriority w:val="99"/>
    <w:semiHidden/>
    <w:rsid w:val="00423AC7"/>
    <w:rPr>
      <w:sz w:val="24"/>
      <w:szCs w:val="24"/>
    </w:rPr>
  </w:style>
  <w:style w:type="character" w:styleId="Emphasis">
    <w:name w:val="Emphasis"/>
    <w:basedOn w:val="DefaultParagraphFont"/>
    <w:uiPriority w:val="20"/>
    <w:qFormat/>
    <w:locked/>
    <w:rsid w:val="001970DC"/>
    <w:rPr>
      <w:i/>
      <w:iCs/>
    </w:rPr>
  </w:style>
  <w:style w:type="character" w:customStyle="1" w:styleId="Heading3Char">
    <w:name w:val="Heading 3 Char"/>
    <w:basedOn w:val="DefaultParagraphFont"/>
    <w:link w:val="Heading3"/>
    <w:rsid w:val="002240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link w:val="BodyAChar"/>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0B75C0"/>
    <w:pPr>
      <w:spacing w:after="100"/>
      <w:ind w:left="48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character" w:customStyle="1" w:styleId="UnresolvedMention2">
    <w:name w:val="Unresolved Mention2"/>
    <w:basedOn w:val="DefaultParagraphFont"/>
    <w:uiPriority w:val="99"/>
    <w:semiHidden/>
    <w:unhideWhenUsed/>
    <w:rsid w:val="009E231B"/>
    <w:rPr>
      <w:color w:val="605E5C"/>
      <w:shd w:val="clear" w:color="auto" w:fill="E1DFDD"/>
    </w:rPr>
  </w:style>
  <w:style w:type="paragraph" w:customStyle="1" w:styleId="TableParagraph">
    <w:name w:val="Table Paragraph"/>
    <w:basedOn w:val="Normal"/>
    <w:uiPriority w:val="1"/>
    <w:qFormat/>
    <w:rsid w:val="00004FA2"/>
    <w:pPr>
      <w:widowControl w:val="0"/>
      <w:autoSpaceDE w:val="0"/>
      <w:autoSpaceDN w:val="0"/>
    </w:pPr>
    <w:rPr>
      <w:sz w:val="22"/>
      <w:szCs w:val="22"/>
    </w:rPr>
  </w:style>
  <w:style w:type="paragraph" w:customStyle="1" w:styleId="first-paragraph">
    <w:name w:val="first-paragraph"/>
    <w:basedOn w:val="Normal"/>
    <w:rsid w:val="00AB1F70"/>
    <w:pPr>
      <w:spacing w:before="100" w:beforeAutospacing="1" w:after="100" w:afterAutospacing="1"/>
    </w:pPr>
  </w:style>
  <w:style w:type="paragraph" w:customStyle="1" w:styleId="first-token">
    <w:name w:val="first-token"/>
    <w:basedOn w:val="Normal"/>
    <w:rsid w:val="00B7443B"/>
    <w:pPr>
      <w:spacing w:before="100" w:beforeAutospacing="1" w:after="100" w:afterAutospacing="1"/>
    </w:pPr>
  </w:style>
  <w:style w:type="character" w:styleId="Strong">
    <w:name w:val="Strong"/>
    <w:basedOn w:val="DefaultParagraphFont"/>
    <w:uiPriority w:val="22"/>
    <w:qFormat/>
    <w:locked/>
    <w:rsid w:val="00B7443B"/>
    <w:rPr>
      <w:b/>
      <w:bCs/>
    </w:rPr>
  </w:style>
  <w:style w:type="paragraph" w:customStyle="1" w:styleId="comp">
    <w:name w:val="comp"/>
    <w:basedOn w:val="Normal"/>
    <w:rsid w:val="00BF0C58"/>
    <w:pPr>
      <w:spacing w:before="100" w:beforeAutospacing="1" w:after="100" w:afterAutospacing="1"/>
    </w:pPr>
  </w:style>
  <w:style w:type="character" w:customStyle="1" w:styleId="BodyAChar">
    <w:name w:val="Body A Char"/>
    <w:basedOn w:val="DefaultParagraphFont"/>
    <w:link w:val="BodyA"/>
    <w:rsid w:val="006036C4"/>
    <w:rPr>
      <w:rFonts w:eastAsia="Arial Unicode MS" w:hAnsi="Arial Unicode MS" w:cs="Arial Unicode MS"/>
      <w:color w:val="000000"/>
      <w:sz w:val="24"/>
      <w:szCs w:val="24"/>
      <w:u w:color="000000"/>
      <w:bdr w:val="nil"/>
    </w:rPr>
  </w:style>
  <w:style w:type="character" w:customStyle="1" w:styleId="UnresolvedMention">
    <w:name w:val="Unresolved Mention"/>
    <w:basedOn w:val="DefaultParagraphFont"/>
    <w:uiPriority w:val="99"/>
    <w:rsid w:val="001B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header" Target="header6.xml" /><Relationship Id="rId16" Type="http://schemas.openxmlformats.org/officeDocument/2006/relationships/image" Target="media/image1.png" /><Relationship Id="rId17" Type="http://schemas.openxmlformats.org/officeDocument/2006/relationships/hyperlink" Target="https://codes.ohio.gov/ohio-revised-code/section-4928.142" TargetMode="Externa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9.xml" /><Relationship Id="rId22" Type="http://schemas.openxmlformats.org/officeDocument/2006/relationships/hyperlink" Target="mailto:ambrosia.wilson@ohioago.gov" TargetMode="External" /><Relationship Id="rId23" Type="http://schemas.openxmlformats.org/officeDocument/2006/relationships/hyperlink" Target="mailto:janet.gregory@ohioago.gov" TargetMode="External" /><Relationship Id="rId24" Type="http://schemas.openxmlformats.org/officeDocument/2006/relationships/hyperlink" Target="mailto:knordstrom@theOEC.org" TargetMode="External" /><Relationship Id="rId25" Type="http://schemas.openxmlformats.org/officeDocument/2006/relationships/hyperlink" Target="mailto:ctavenor@theOEC.org" TargetMode="External" /><Relationship Id="rId26" Type="http://schemas.openxmlformats.org/officeDocument/2006/relationships/hyperlink" Target="mailto:jdunn@oneenergyllc.com" TargetMode="External" /><Relationship Id="rId27" Type="http://schemas.openxmlformats.org/officeDocument/2006/relationships/hyperlink" Target="mailto:ktreadway@oneenergyllc.com" TargetMode="External" /><Relationship Id="rId28" Type="http://schemas.openxmlformats.org/officeDocument/2006/relationships/hyperlink" Target="mailto:emcconnell@elpc.org" TargetMode="External" /><Relationship Id="rId29" Type="http://schemas.openxmlformats.org/officeDocument/2006/relationships/hyperlink" Target="mailto:trent@hubaydougherty.com" TargetMode="External" /><Relationship Id="rId3" Type="http://schemas.openxmlformats.org/officeDocument/2006/relationships/webSettings" Target="webSettings.xml" /><Relationship Id="rId30" Type="http://schemas.openxmlformats.org/officeDocument/2006/relationships/hyperlink" Target="mailto:Paul@carpenterlipps.com" TargetMode="External" /><Relationship Id="rId31" Type="http://schemas.openxmlformats.org/officeDocument/2006/relationships/hyperlink" Target="mailto:brian.gibbs@nationwideenergypartners.com" TargetMode="External" /><Relationship Id="rId32" Type="http://schemas.openxmlformats.org/officeDocument/2006/relationships/hyperlink" Target="mailto:kevin.frank@cincinnati-oh.gov" TargetMode="External" /><Relationship Id="rId33" Type="http://schemas.openxmlformats.org/officeDocument/2006/relationships/hyperlink" Target="mailto:mpritchard@mcneeslaw.com" TargetMode="External" /><Relationship Id="rId34" Type="http://schemas.openxmlformats.org/officeDocument/2006/relationships/hyperlink" Target="mailto:matthew.sandor@puco.ohio.gov" TargetMode="External" /><Relationship Id="rId35" Type="http://schemas.openxmlformats.org/officeDocument/2006/relationships/hyperlink" Target="mailto:nicholas.walstra@puco.ohio.gov" TargetMode="External" /><Relationship Id="rId36" Type="http://schemas.openxmlformats.org/officeDocument/2006/relationships/hyperlink" Target="mailto:clint.white@puco.ohio.gov" TargetMode="External" /><Relationship Id="rId37" Type="http://schemas.openxmlformats.org/officeDocument/2006/relationships/hyperlink" Target="mailto:rocco.dascenzo@duke-energy.com" TargetMode="External" /><Relationship Id="rId38" Type="http://schemas.openxmlformats.org/officeDocument/2006/relationships/hyperlink" Target="mailto:jeanne.kingery@duke-energy.com" TargetMode="External" /><Relationship Id="rId39" Type="http://schemas.openxmlformats.org/officeDocument/2006/relationships/hyperlink" Target="mailto:larisa.vaysman@duke-energy.com" TargetMode="External" /><Relationship Id="rId4" Type="http://schemas.openxmlformats.org/officeDocument/2006/relationships/fontTable" Target="fontTable.xml" /><Relationship Id="rId40" Type="http://schemas.openxmlformats.org/officeDocument/2006/relationships/hyperlink" Target="mailto:elyse.akhbari@duke-energy.com" TargetMode="External" /><Relationship Id="rId41" Type="http://schemas.openxmlformats.org/officeDocument/2006/relationships/hyperlink" Target="mailto:mkurtz@BKLlawfirm.com" TargetMode="External" /><Relationship Id="rId42" Type="http://schemas.openxmlformats.org/officeDocument/2006/relationships/hyperlink" Target="mailto:jkylercohn@BKLlawfirm.com" TargetMode="External" /><Relationship Id="rId43" Type="http://schemas.openxmlformats.org/officeDocument/2006/relationships/hyperlink" Target="mailto:dproano@bakerlaw.com" TargetMode="External" /><Relationship Id="rId44" Type="http://schemas.openxmlformats.org/officeDocument/2006/relationships/hyperlink" Target="mailto:pwillison@bakerlaw.com" TargetMode="External" /><Relationship Id="rId45" Type="http://schemas.openxmlformats.org/officeDocument/2006/relationships/hyperlink" Target="mailto:bojko@carpenterlipps.com" TargetMode="External" /><Relationship Id="rId46" Type="http://schemas.openxmlformats.org/officeDocument/2006/relationships/hyperlink" Target="mailto:easley@carpenterlipps.com" TargetMode="External" /><Relationship Id="rId47" Type="http://schemas.openxmlformats.org/officeDocument/2006/relationships/hyperlink" Target="mailto:stacie.cathcart@igs.com" TargetMode="External" /><Relationship Id="rId48" Type="http://schemas.openxmlformats.org/officeDocument/2006/relationships/hyperlink" Target="mailto:natalia.messenger@igs.com" TargetMode="External" /><Relationship Id="rId49" Type="http://schemas.openxmlformats.org/officeDocument/2006/relationships/hyperlink" Target="mailto:mjsettineri@vorys.com" TargetMode="External" /><Relationship Id="rId5" Type="http://schemas.openxmlformats.org/officeDocument/2006/relationships/customXml" Target="../customXml/item1.xml" /><Relationship Id="rId50" Type="http://schemas.openxmlformats.org/officeDocument/2006/relationships/hyperlink" Target="mailto:glpetrucci@vorys.com" TargetMode="External" /><Relationship Id="rId51" Type="http://schemas.openxmlformats.org/officeDocument/2006/relationships/hyperlink" Target="mailto:jreckert@vorys.com" TargetMode="External" /><Relationship Id="rId52" Type="http://schemas.openxmlformats.org/officeDocument/2006/relationships/hyperlink" Target="mailto:cgrundmann@spilmanlaw.com" TargetMode="External" /><Relationship Id="rId53" Type="http://schemas.openxmlformats.org/officeDocument/2006/relationships/hyperlink" Target="mailto:dwilliamson@spilmanlaw.com" TargetMode="External" /><Relationship Id="rId54" Type="http://schemas.openxmlformats.org/officeDocument/2006/relationships/hyperlink" Target="mailto:slee@spilmanlaw.com" TargetMode="External" /><Relationship Id="rId55" Type="http://schemas.openxmlformats.org/officeDocument/2006/relationships/header" Target="header10.xml" /><Relationship Id="rId56" Type="http://schemas.openxmlformats.org/officeDocument/2006/relationships/header" Target="header11.xml" /><Relationship Id="rId57" Type="http://schemas.openxmlformats.org/officeDocument/2006/relationships/header" Target="header12.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header" Target="header1.xml" /><Relationship Id="rId60" Type="http://schemas.openxmlformats.org/officeDocument/2006/relationships/styles" Target="styles.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jm.com/-/media/about-pjm/newsroom/fact-sheets/pjm-at-a-glance.ashx" TargetMode="External" /><Relationship Id="rId2" Type="http://schemas.openxmlformats.org/officeDocument/2006/relationships/hyperlink" Target="https://energychoice.ohio.gov/ApplesToApplesComparision.aspx?Category=Electric&amp;TerritoryId=4&amp;RateCode=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68D2-DA8D-4FA1-A3F5-FC07D20A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2024-10-30T19:08:37Z</dcterms:created>
  <dcterms:modified xsi:type="dcterms:W3CDTF">2024-10-30T19:08:37Z</dcterms:modified>
</cp:coreProperties>
</file>