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37094" w:rsidRPr="008C58EB" w:rsidP="00137094" w14:paraId="31C81954" w14:textId="77777777">
      <w:pPr>
        <w:spacing w:after="0" w:line="240" w:lineRule="auto"/>
        <w:jc w:val="center"/>
        <w:rPr>
          <w:rFonts w:ascii="Times New Roman" w:hAnsi="Times New Roman" w:cs="Times New Roman"/>
          <w:b/>
          <w:color w:val="000000"/>
          <w:sz w:val="24"/>
          <w:szCs w:val="24"/>
        </w:rPr>
      </w:pPr>
      <w:r w:rsidRPr="008C58EB">
        <w:rPr>
          <w:rFonts w:ascii="Times New Roman" w:hAnsi="Times New Roman" w:cs="Times New Roman"/>
          <w:b/>
          <w:bCs/>
          <w:color w:val="000000"/>
          <w:sz w:val="24"/>
          <w:szCs w:val="24"/>
        </w:rPr>
        <w:t>BEFORE</w:t>
      </w:r>
    </w:p>
    <w:p w:rsidR="00137094" w:rsidRPr="008C58EB" w:rsidP="00137094" w14:paraId="6480668F" w14:textId="77777777">
      <w:pPr>
        <w:spacing w:after="0" w:line="240" w:lineRule="auto"/>
        <w:jc w:val="center"/>
        <w:rPr>
          <w:rFonts w:ascii="Times New Roman" w:hAnsi="Times New Roman" w:cs="Times New Roman"/>
          <w:b/>
          <w:bCs/>
          <w:color w:val="000000"/>
          <w:sz w:val="24"/>
          <w:szCs w:val="24"/>
        </w:rPr>
      </w:pPr>
      <w:r w:rsidRPr="008C58EB">
        <w:rPr>
          <w:rFonts w:ascii="Times New Roman" w:hAnsi="Times New Roman" w:cs="Times New Roman"/>
          <w:b/>
          <w:bCs/>
          <w:color w:val="000000"/>
          <w:sz w:val="24"/>
          <w:szCs w:val="24"/>
        </w:rPr>
        <w:t>THE PUBLIC UTILITIES COMMISSION OF OHIO</w:t>
      </w:r>
    </w:p>
    <w:p w:rsidR="00137094" w:rsidRPr="008C58EB" w:rsidP="00137094" w14:paraId="2CEB5AE3" w14:textId="77777777">
      <w:pPr>
        <w:spacing w:after="0" w:line="240" w:lineRule="auto"/>
        <w:jc w:val="center"/>
        <w:rPr>
          <w:rFonts w:ascii="Times New Roman" w:hAnsi="Times New Roman" w:cs="Times New Roman"/>
          <w:b/>
          <w:bCs/>
          <w:color w:val="000000"/>
          <w:sz w:val="24"/>
          <w:szCs w:val="24"/>
        </w:rPr>
      </w:pPr>
    </w:p>
    <w:tbl>
      <w:tblPr>
        <w:tblW w:w="9092" w:type="dxa"/>
        <w:tblLook w:val="01E0"/>
      </w:tblPr>
      <w:tblGrid>
        <w:gridCol w:w="4230"/>
        <w:gridCol w:w="462"/>
        <w:gridCol w:w="4400"/>
      </w:tblGrid>
      <w:tr w14:paraId="6B2BDD1B" w14:textId="77777777" w:rsidTr="00ED1249">
        <w:tblPrEx>
          <w:tblW w:w="9092" w:type="dxa"/>
          <w:tblLook w:val="01E0"/>
        </w:tblPrEx>
        <w:trPr>
          <w:trHeight w:val="807"/>
        </w:trPr>
        <w:tc>
          <w:tcPr>
            <w:tcW w:w="4230" w:type="dxa"/>
            <w:shd w:val="clear" w:color="auto" w:fill="auto"/>
          </w:tcPr>
          <w:p w:rsidR="00137094" w:rsidRPr="008C58EB" w:rsidP="00137094" w14:paraId="5C0A6F42"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 xml:space="preserve">In the Matter of the Commission’s </w:t>
            </w:r>
          </w:p>
          <w:p w:rsidR="00137094" w:rsidRPr="008C58EB" w:rsidP="00137094" w14:paraId="175B2B0B"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 xml:space="preserve">Review of Chapter 4901:1-25 of the </w:t>
            </w:r>
          </w:p>
          <w:p w:rsidR="00137094" w:rsidRPr="008C58EB" w:rsidP="00137094" w14:paraId="1F8F0656"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Ohio Administrative Code.</w:t>
            </w:r>
          </w:p>
        </w:tc>
        <w:tc>
          <w:tcPr>
            <w:tcW w:w="462" w:type="dxa"/>
            <w:shd w:val="clear" w:color="auto" w:fill="auto"/>
          </w:tcPr>
          <w:p w:rsidR="00137094" w:rsidRPr="008C58EB" w:rsidP="00137094" w14:paraId="4CF2D3B4"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w:t>
            </w:r>
          </w:p>
          <w:p w:rsidR="00137094" w:rsidRPr="008C58EB" w:rsidP="00137094" w14:paraId="1AB07EA7"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w:t>
            </w:r>
          </w:p>
          <w:p w:rsidR="00137094" w:rsidRPr="008C58EB" w:rsidP="00137094" w14:paraId="7FF79379"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w:t>
            </w:r>
          </w:p>
        </w:tc>
        <w:tc>
          <w:tcPr>
            <w:tcW w:w="4400" w:type="dxa"/>
            <w:shd w:val="clear" w:color="auto" w:fill="auto"/>
          </w:tcPr>
          <w:p w:rsidR="00137094" w:rsidRPr="008C58EB" w:rsidP="00137094" w14:paraId="57E17BBF" w14:textId="77777777">
            <w:pPr>
              <w:spacing w:after="0" w:line="240" w:lineRule="auto"/>
              <w:rPr>
                <w:rFonts w:ascii="Times New Roman" w:eastAsia="Courier New" w:hAnsi="Times New Roman" w:cs="Times New Roman"/>
                <w:sz w:val="24"/>
                <w:szCs w:val="24"/>
              </w:rPr>
            </w:pPr>
          </w:p>
          <w:p w:rsidR="00137094" w:rsidRPr="008C58EB" w:rsidP="00137094" w14:paraId="005532B8" w14:textId="77777777">
            <w:pPr>
              <w:spacing w:after="0" w:line="240" w:lineRule="auto"/>
              <w:rPr>
                <w:rFonts w:ascii="Times New Roman" w:eastAsia="Courier New" w:hAnsi="Times New Roman" w:cs="Times New Roman"/>
                <w:sz w:val="24"/>
                <w:szCs w:val="24"/>
              </w:rPr>
            </w:pPr>
            <w:r w:rsidRPr="008C58EB">
              <w:rPr>
                <w:rFonts w:ascii="Times New Roman" w:eastAsia="Courier New" w:hAnsi="Times New Roman" w:cs="Times New Roman"/>
                <w:sz w:val="24"/>
                <w:szCs w:val="24"/>
              </w:rPr>
              <w:t>Case No. 21-478-EL-ORD</w:t>
            </w:r>
          </w:p>
          <w:p w:rsidR="00137094" w:rsidRPr="008C58EB" w:rsidP="00137094" w14:paraId="5F8778A3" w14:textId="77777777">
            <w:pPr>
              <w:spacing w:after="0" w:line="240" w:lineRule="auto"/>
              <w:rPr>
                <w:rFonts w:ascii="Times New Roman" w:eastAsia="Courier New" w:hAnsi="Times New Roman" w:cs="Times New Roman"/>
                <w:sz w:val="24"/>
                <w:szCs w:val="24"/>
              </w:rPr>
            </w:pPr>
          </w:p>
        </w:tc>
      </w:tr>
    </w:tbl>
    <w:p w:rsidR="00137094" w:rsidRPr="008C58EB" w:rsidP="00137094" w14:paraId="0CCE3F83" w14:textId="77777777">
      <w:pPr>
        <w:pBdr>
          <w:bottom w:val="single" w:sz="12" w:space="1" w:color="auto"/>
        </w:pBdr>
        <w:spacing w:after="0" w:line="240" w:lineRule="auto"/>
        <w:rPr>
          <w:rFonts w:ascii="Times New Roman" w:hAnsi="Times New Roman" w:cs="Times New Roman"/>
          <w:bCs/>
          <w:color w:val="000000"/>
          <w:sz w:val="24"/>
          <w:szCs w:val="24"/>
        </w:rPr>
      </w:pPr>
    </w:p>
    <w:p w:rsidR="00137094" w:rsidRPr="008C58EB" w:rsidP="00137094" w14:paraId="5F672AE0" w14:textId="77777777">
      <w:pPr>
        <w:spacing w:after="0" w:line="240" w:lineRule="auto"/>
        <w:rPr>
          <w:rFonts w:ascii="Times New Roman" w:eastAsia="Courier New" w:hAnsi="Times New Roman" w:cs="Times New Roman"/>
          <w:b/>
          <w:bCs/>
          <w:i/>
          <w:sz w:val="24"/>
          <w:szCs w:val="24"/>
        </w:rPr>
      </w:pPr>
    </w:p>
    <w:p w:rsidR="00137094" w:rsidRPr="008C58EB" w:rsidP="00137094" w14:paraId="3C48C751" w14:textId="4F135381">
      <w:pPr>
        <w:spacing w:after="0" w:line="240" w:lineRule="auto"/>
        <w:jc w:val="center"/>
        <w:rPr>
          <w:rFonts w:ascii="Times New Roman" w:hAnsi="Times New Roman" w:cs="Times New Roman"/>
          <w:b/>
          <w:bCs/>
          <w:sz w:val="24"/>
          <w:szCs w:val="24"/>
        </w:rPr>
      </w:pPr>
      <w:r w:rsidRPr="008C58EB">
        <w:rPr>
          <w:rFonts w:ascii="Times New Roman" w:hAnsi="Times New Roman" w:cs="Times New Roman"/>
          <w:b/>
          <w:bCs/>
          <w:sz w:val="24"/>
          <w:szCs w:val="24"/>
        </w:rPr>
        <w:t>MEMORANDUM CONTRA APPLICATION FOR REHEARING OF THE RETAIL ENERGY SUPPLY ASSOCIATION</w:t>
      </w:r>
    </w:p>
    <w:p w:rsidR="00137094" w:rsidRPr="008C58EB" w:rsidP="00137094" w14:paraId="4B8A5277" w14:textId="337756FA">
      <w:pPr>
        <w:spacing w:after="0" w:line="240" w:lineRule="auto"/>
        <w:jc w:val="center"/>
        <w:rPr>
          <w:rFonts w:ascii="Times New Roman" w:eastAsia="Courier New" w:hAnsi="Times New Roman" w:cs="Times New Roman"/>
          <w:b/>
          <w:bCs/>
          <w:sz w:val="24"/>
          <w:szCs w:val="24"/>
        </w:rPr>
      </w:pPr>
      <w:r w:rsidRPr="008C58EB">
        <w:rPr>
          <w:rFonts w:ascii="Times New Roman" w:eastAsia="Courier New" w:hAnsi="Times New Roman" w:cs="Times New Roman"/>
          <w:b/>
          <w:bCs/>
          <w:sz w:val="24"/>
          <w:szCs w:val="24"/>
        </w:rPr>
        <w:t>BY</w:t>
      </w:r>
    </w:p>
    <w:p w:rsidR="00137094" w:rsidRPr="008C58EB" w:rsidP="00137094" w14:paraId="148A7840" w14:textId="77777777">
      <w:pPr>
        <w:pBdr>
          <w:bottom w:val="single" w:sz="12" w:space="1" w:color="auto"/>
        </w:pBdr>
        <w:spacing w:after="0" w:line="240" w:lineRule="auto"/>
        <w:jc w:val="center"/>
        <w:rPr>
          <w:rFonts w:ascii="Times New Roman" w:eastAsia="Courier New" w:hAnsi="Times New Roman" w:cs="Times New Roman"/>
          <w:b/>
          <w:bCs/>
          <w:sz w:val="24"/>
          <w:szCs w:val="24"/>
        </w:rPr>
      </w:pPr>
      <w:r w:rsidRPr="008C58EB">
        <w:rPr>
          <w:rFonts w:ascii="Times New Roman" w:eastAsia="Courier New" w:hAnsi="Times New Roman" w:cs="Times New Roman"/>
          <w:b/>
          <w:bCs/>
          <w:sz w:val="24"/>
          <w:szCs w:val="24"/>
        </w:rPr>
        <w:t>OFFICE OF THE OHIO CONSUMERS' COUNSEL</w:t>
      </w:r>
    </w:p>
    <w:p w:rsidR="00137094" w:rsidRPr="008C58EB" w:rsidP="00137094" w14:paraId="1F33DAA3" w14:textId="77777777">
      <w:pPr>
        <w:pBdr>
          <w:bottom w:val="single" w:sz="12" w:space="1" w:color="auto"/>
        </w:pBdr>
        <w:spacing w:after="240" w:line="240" w:lineRule="auto"/>
        <w:jc w:val="center"/>
        <w:rPr>
          <w:rFonts w:ascii="Times New Roman" w:eastAsia="Courier New" w:hAnsi="Times New Roman" w:cs="Times New Roman"/>
          <w:b/>
          <w:bCs/>
          <w:sz w:val="24"/>
          <w:szCs w:val="24"/>
        </w:rPr>
      </w:pPr>
    </w:p>
    <w:p w:rsidR="00F828B2" w:rsidRPr="008C58EB" w:rsidP="009A6837" w14:paraId="706535D5" w14:textId="7908EDB4">
      <w:pPr>
        <w:pStyle w:val="Heading1"/>
      </w:pPr>
      <w:r w:rsidRPr="008C58EB">
        <w:t>I.</w:t>
      </w:r>
      <w:r w:rsidRPr="008C58EB">
        <w:tab/>
        <w:t>INTRODUCTION</w:t>
      </w:r>
    </w:p>
    <w:p w:rsidR="00CA06ED" w:rsidRPr="008C58EB" w:rsidP="004B4A9D" w14:paraId="6C5E857D" w14:textId="260F0961">
      <w:pPr>
        <w:spacing w:after="0" w:line="480" w:lineRule="auto"/>
        <w:rPr>
          <w:rFonts w:ascii="Times New Roman" w:hAnsi="Times New Roman" w:cs="Times New Roman"/>
          <w:sz w:val="24"/>
          <w:szCs w:val="24"/>
        </w:rPr>
      </w:pPr>
      <w:r w:rsidRPr="008C58EB">
        <w:rPr>
          <w:rFonts w:ascii="Times New Roman" w:hAnsi="Times New Roman" w:cs="Times New Roman"/>
          <w:sz w:val="24"/>
          <w:szCs w:val="24"/>
        </w:rPr>
        <w:tab/>
      </w:r>
      <w:r w:rsidRPr="008C58EB" w:rsidR="003913BE">
        <w:rPr>
          <w:rFonts w:ascii="Times New Roman" w:hAnsi="Times New Roman" w:cs="Times New Roman"/>
          <w:sz w:val="24"/>
          <w:szCs w:val="24"/>
        </w:rPr>
        <w:t>An energy marketer group (the Retail Energy Supply Association (“RESA” or “energy marketers”)) has applied for rehearing of a PUCO Order</w:t>
      </w:r>
      <w:r w:rsidRPr="008C58EB" w:rsidR="00926F7B">
        <w:rPr>
          <w:rFonts w:ascii="Times New Roman" w:hAnsi="Times New Roman" w:cs="Times New Roman"/>
          <w:sz w:val="24"/>
          <w:szCs w:val="24"/>
        </w:rPr>
        <w:t>,</w:t>
      </w:r>
      <w:r w:rsidRPr="008C58EB" w:rsidR="003913BE">
        <w:rPr>
          <w:rFonts w:ascii="Times New Roman" w:hAnsi="Times New Roman" w:cs="Times New Roman"/>
          <w:sz w:val="24"/>
          <w:szCs w:val="24"/>
        </w:rPr>
        <w:t xml:space="preserve"> in an unfortunate attempt to overturn protections for Ohio electricity consumers</w:t>
      </w:r>
      <w:r w:rsidRPr="008C58EB" w:rsidR="00926F7B">
        <w:rPr>
          <w:rFonts w:ascii="Times New Roman" w:hAnsi="Times New Roman" w:cs="Times New Roman"/>
          <w:sz w:val="24"/>
          <w:szCs w:val="24"/>
        </w:rPr>
        <w:t>.</w:t>
      </w:r>
      <w:r w:rsidRPr="008C58EB" w:rsidR="003913BE">
        <w:rPr>
          <w:rFonts w:ascii="Times New Roman" w:hAnsi="Times New Roman" w:cs="Times New Roman"/>
          <w:sz w:val="24"/>
          <w:szCs w:val="24"/>
        </w:rPr>
        <w:t xml:space="preserve"> </w:t>
      </w:r>
      <w:r w:rsidRPr="008C58EB" w:rsidR="00926F7B">
        <w:rPr>
          <w:rFonts w:ascii="Times New Roman" w:hAnsi="Times New Roman" w:cs="Times New Roman"/>
          <w:sz w:val="24"/>
          <w:szCs w:val="24"/>
        </w:rPr>
        <w:t xml:space="preserve">At issue is the </w:t>
      </w:r>
      <w:r w:rsidRPr="008C58EB" w:rsidR="00A641A1">
        <w:rPr>
          <w:rFonts w:ascii="Times New Roman" w:hAnsi="Times New Roman" w:cs="Times New Roman"/>
          <w:sz w:val="24"/>
          <w:szCs w:val="24"/>
        </w:rPr>
        <w:t>PUCO</w:t>
      </w:r>
      <w:r w:rsidRPr="008C58EB" w:rsidR="00926F7B">
        <w:rPr>
          <w:rFonts w:ascii="Times New Roman" w:hAnsi="Times New Roman" w:cs="Times New Roman"/>
          <w:sz w:val="24"/>
          <w:szCs w:val="24"/>
        </w:rPr>
        <w:t>’s</w:t>
      </w:r>
      <w:r w:rsidRPr="008C58EB" w:rsidR="00A641A1">
        <w:rPr>
          <w:rFonts w:ascii="Times New Roman" w:hAnsi="Times New Roman" w:cs="Times New Roman"/>
          <w:sz w:val="24"/>
          <w:szCs w:val="24"/>
        </w:rPr>
        <w:t xml:space="preserve"> </w:t>
      </w:r>
      <w:r w:rsidRPr="008C58EB" w:rsidR="00926F7B">
        <w:rPr>
          <w:rFonts w:ascii="Times New Roman" w:hAnsi="Times New Roman" w:cs="Times New Roman"/>
          <w:sz w:val="24"/>
          <w:szCs w:val="24"/>
        </w:rPr>
        <w:t>adoption of</w:t>
      </w:r>
      <w:r w:rsidRPr="008C58EB" w:rsidR="00A641A1">
        <w:rPr>
          <w:rFonts w:ascii="Times New Roman" w:hAnsi="Times New Roman" w:cs="Times New Roman"/>
          <w:sz w:val="24"/>
          <w:szCs w:val="24"/>
        </w:rPr>
        <w:t xml:space="preserve"> </w:t>
      </w:r>
      <w:r w:rsidRPr="008C58EB" w:rsidR="003913BE">
        <w:rPr>
          <w:rFonts w:ascii="Times New Roman" w:hAnsi="Times New Roman" w:cs="Times New Roman"/>
          <w:sz w:val="24"/>
          <w:szCs w:val="24"/>
        </w:rPr>
        <w:t xml:space="preserve">an OCC proposal for </w:t>
      </w:r>
      <w:r w:rsidRPr="008C58EB" w:rsidR="00926F7B">
        <w:rPr>
          <w:rFonts w:ascii="Times New Roman" w:hAnsi="Times New Roman" w:cs="Times New Roman"/>
          <w:sz w:val="24"/>
          <w:szCs w:val="24"/>
        </w:rPr>
        <w:t xml:space="preserve">sharing </w:t>
      </w:r>
      <w:r w:rsidRPr="008C58EB">
        <w:rPr>
          <w:rFonts w:ascii="Times New Roman" w:hAnsi="Times New Roman" w:cs="Times New Roman"/>
          <w:sz w:val="24"/>
          <w:szCs w:val="24"/>
        </w:rPr>
        <w:t xml:space="preserve">valuable </w:t>
      </w:r>
      <w:r w:rsidRPr="008C58EB" w:rsidR="009A4D26">
        <w:rPr>
          <w:rFonts w:ascii="Times New Roman" w:hAnsi="Times New Roman" w:cs="Times New Roman"/>
          <w:sz w:val="24"/>
          <w:szCs w:val="24"/>
        </w:rPr>
        <w:t>information with</w:t>
      </w:r>
      <w:r w:rsidRPr="008C58EB" w:rsidR="00F35686">
        <w:rPr>
          <w:rFonts w:ascii="Times New Roman" w:hAnsi="Times New Roman" w:cs="Times New Roman"/>
          <w:sz w:val="24"/>
          <w:szCs w:val="24"/>
        </w:rPr>
        <w:t xml:space="preserve"> the public</w:t>
      </w:r>
      <w:r w:rsidRPr="008C58EB">
        <w:rPr>
          <w:rFonts w:ascii="Times New Roman" w:hAnsi="Times New Roman" w:cs="Times New Roman"/>
          <w:sz w:val="24"/>
          <w:szCs w:val="24"/>
        </w:rPr>
        <w:t>. The</w:t>
      </w:r>
      <w:r w:rsidRPr="008C58EB" w:rsidR="00F35686">
        <w:rPr>
          <w:rFonts w:ascii="Times New Roman" w:hAnsi="Times New Roman" w:cs="Times New Roman"/>
          <w:sz w:val="24"/>
          <w:szCs w:val="24"/>
        </w:rPr>
        <w:t xml:space="preserve"> information that </w:t>
      </w:r>
      <w:r w:rsidRPr="008C58EB">
        <w:rPr>
          <w:rFonts w:ascii="Times New Roman" w:hAnsi="Times New Roman" w:cs="Times New Roman"/>
          <w:sz w:val="24"/>
          <w:szCs w:val="24"/>
        </w:rPr>
        <w:t xml:space="preserve">the energy marketers want the PUCO to deny sharing </w:t>
      </w:r>
      <w:r w:rsidRPr="008C58EB" w:rsidR="00F35686">
        <w:rPr>
          <w:rFonts w:ascii="Times New Roman" w:hAnsi="Times New Roman" w:cs="Times New Roman"/>
          <w:sz w:val="24"/>
          <w:szCs w:val="24"/>
        </w:rPr>
        <w:t>will help consumers mak</w:t>
      </w:r>
      <w:r w:rsidRPr="008C58EB">
        <w:rPr>
          <w:rFonts w:ascii="Times New Roman" w:hAnsi="Times New Roman" w:cs="Times New Roman"/>
          <w:sz w:val="24"/>
          <w:szCs w:val="24"/>
        </w:rPr>
        <w:t>e</w:t>
      </w:r>
      <w:r w:rsidRPr="008C58EB" w:rsidR="00F35686">
        <w:rPr>
          <w:rFonts w:ascii="Times New Roman" w:hAnsi="Times New Roman" w:cs="Times New Roman"/>
          <w:sz w:val="24"/>
          <w:szCs w:val="24"/>
        </w:rPr>
        <w:t xml:space="preserve"> informed choices</w:t>
      </w:r>
      <w:r w:rsidRPr="008C58EB">
        <w:rPr>
          <w:rFonts w:ascii="Times New Roman" w:hAnsi="Times New Roman" w:cs="Times New Roman"/>
          <w:sz w:val="24"/>
          <w:szCs w:val="24"/>
        </w:rPr>
        <w:t xml:space="preserve"> that could save them money</w:t>
      </w:r>
      <w:r w:rsidRPr="008C58EB" w:rsidR="00F35686">
        <w:rPr>
          <w:rFonts w:ascii="Times New Roman" w:hAnsi="Times New Roman" w:cs="Times New Roman"/>
          <w:sz w:val="24"/>
          <w:szCs w:val="24"/>
        </w:rPr>
        <w:t xml:space="preserve"> </w:t>
      </w:r>
      <w:r w:rsidRPr="008C58EB">
        <w:rPr>
          <w:rFonts w:ascii="Times New Roman" w:hAnsi="Times New Roman" w:cs="Times New Roman"/>
          <w:sz w:val="24"/>
          <w:szCs w:val="24"/>
        </w:rPr>
        <w:t>regarding their</w:t>
      </w:r>
      <w:r w:rsidRPr="008C58EB" w:rsidR="00F35686">
        <w:rPr>
          <w:rFonts w:ascii="Times New Roman" w:hAnsi="Times New Roman" w:cs="Times New Roman"/>
          <w:sz w:val="24"/>
          <w:szCs w:val="24"/>
        </w:rPr>
        <w:t xml:space="preserve"> electric</w:t>
      </w:r>
      <w:r w:rsidRPr="008C58EB">
        <w:rPr>
          <w:rFonts w:ascii="Times New Roman" w:hAnsi="Times New Roman" w:cs="Times New Roman"/>
          <w:sz w:val="24"/>
          <w:szCs w:val="24"/>
        </w:rPr>
        <w:t>ity purchases</w:t>
      </w:r>
      <w:r w:rsidRPr="008C58EB">
        <w:rPr>
          <w:rFonts w:ascii="Times New Roman" w:hAnsi="Times New Roman" w:cs="Times New Roman"/>
          <w:sz w:val="24"/>
          <w:szCs w:val="24"/>
        </w:rPr>
        <w:t xml:space="preserve">. </w:t>
      </w:r>
      <w:r w:rsidRPr="008C58EB">
        <w:rPr>
          <w:rFonts w:ascii="Times New Roman" w:hAnsi="Times New Roman" w:cs="Times New Roman"/>
          <w:sz w:val="24"/>
          <w:szCs w:val="24"/>
        </w:rPr>
        <w:t xml:space="preserve">The information that the PUCO wants consumers to have </w:t>
      </w:r>
      <w:r w:rsidRPr="008C58EB" w:rsidR="002B7A4F">
        <w:rPr>
          <w:rFonts w:ascii="Times New Roman" w:hAnsi="Times New Roman" w:cs="Times New Roman"/>
          <w:sz w:val="24"/>
          <w:szCs w:val="24"/>
        </w:rPr>
        <w:t xml:space="preserve">includes </w:t>
      </w:r>
      <w:r w:rsidRPr="008C58EB" w:rsidR="00F54C14">
        <w:rPr>
          <w:rFonts w:ascii="Times New Roman" w:hAnsi="Times New Roman" w:cs="Times New Roman"/>
          <w:sz w:val="24"/>
          <w:szCs w:val="24"/>
        </w:rPr>
        <w:t>energy marketer number of consumers, sales, and revenue.</w:t>
      </w:r>
    </w:p>
    <w:p w:rsidR="00F33642" w:rsidRPr="008C58EB" w:rsidP="00CA06ED" w14:paraId="49D71241" w14:textId="3181F9FD">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 xml:space="preserve">According to </w:t>
      </w:r>
      <w:r w:rsidRPr="008C58EB">
        <w:rPr>
          <w:rFonts w:ascii="Times New Roman" w:hAnsi="Times New Roman" w:cs="Times New Roman"/>
          <w:sz w:val="24"/>
          <w:szCs w:val="24"/>
        </w:rPr>
        <w:t>the energy marketers</w:t>
      </w:r>
      <w:r w:rsidRPr="008C58EB">
        <w:rPr>
          <w:rFonts w:ascii="Times New Roman" w:hAnsi="Times New Roman" w:cs="Times New Roman"/>
          <w:sz w:val="24"/>
          <w:szCs w:val="24"/>
        </w:rPr>
        <w:t>, Ohio c</w:t>
      </w:r>
      <w:r w:rsidRPr="008C58EB" w:rsidR="00F828B2">
        <w:rPr>
          <w:rFonts w:ascii="Times New Roman" w:hAnsi="Times New Roman" w:cs="Times New Roman"/>
          <w:sz w:val="24"/>
          <w:szCs w:val="24"/>
        </w:rPr>
        <w:t>onsumers are too “unsophisticated”</w:t>
      </w:r>
      <w:r w:rsidRPr="008C58EB">
        <w:rPr>
          <w:rFonts w:ascii="Times New Roman" w:hAnsi="Times New Roman" w:cs="Times New Roman"/>
          <w:sz w:val="24"/>
          <w:szCs w:val="24"/>
        </w:rPr>
        <w:t xml:space="preserve"> to use this information</w:t>
      </w:r>
      <w:r w:rsidRPr="008C58EB">
        <w:rPr>
          <w:rFonts w:ascii="Times New Roman" w:hAnsi="Times New Roman" w:cs="Times New Roman"/>
          <w:sz w:val="24"/>
          <w:szCs w:val="24"/>
        </w:rPr>
        <w:t xml:space="preserve"> about electricity</w:t>
      </w:r>
      <w:r w:rsidRPr="008C58EB" w:rsidR="009A4D26">
        <w:rPr>
          <w:rFonts w:ascii="Times New Roman" w:hAnsi="Times New Roman" w:cs="Times New Roman"/>
          <w:sz w:val="24"/>
          <w:szCs w:val="24"/>
        </w:rPr>
        <w:t xml:space="preserve"> </w:t>
      </w:r>
      <w:r w:rsidRPr="008C58EB" w:rsidR="00F54C14">
        <w:rPr>
          <w:rFonts w:ascii="Times New Roman" w:hAnsi="Times New Roman" w:cs="Times New Roman"/>
          <w:sz w:val="24"/>
          <w:szCs w:val="24"/>
        </w:rPr>
        <w:t>markets</w:t>
      </w:r>
      <w:r w:rsidRPr="008C58EB">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8C58EB" w:rsidR="00F828B2">
        <w:rPr>
          <w:rFonts w:ascii="Times New Roman" w:hAnsi="Times New Roman" w:cs="Times New Roman"/>
          <w:sz w:val="24"/>
          <w:szCs w:val="24"/>
        </w:rPr>
        <w:t xml:space="preserve"> </w:t>
      </w:r>
      <w:r w:rsidRPr="008C58EB">
        <w:rPr>
          <w:rFonts w:ascii="Times New Roman" w:hAnsi="Times New Roman" w:cs="Times New Roman"/>
          <w:sz w:val="24"/>
          <w:szCs w:val="24"/>
        </w:rPr>
        <w:t>Perhaps the energy marketers are really afraid that consumers will use this information toward getting better deals when purchasing electricity. In short, t</w:t>
      </w:r>
      <w:r w:rsidRPr="008C58EB" w:rsidR="00F828B2">
        <w:rPr>
          <w:rFonts w:ascii="Times New Roman" w:hAnsi="Times New Roman" w:cs="Times New Roman"/>
          <w:sz w:val="24"/>
          <w:szCs w:val="24"/>
        </w:rPr>
        <w:t>he information c</w:t>
      </w:r>
      <w:r w:rsidRPr="008C58EB" w:rsidR="0050200A">
        <w:rPr>
          <w:rFonts w:ascii="Times New Roman" w:hAnsi="Times New Roman" w:cs="Times New Roman"/>
          <w:sz w:val="24"/>
          <w:szCs w:val="24"/>
        </w:rPr>
        <w:t>an</w:t>
      </w:r>
      <w:r w:rsidRPr="008C58EB" w:rsidR="00F828B2">
        <w:rPr>
          <w:rFonts w:ascii="Times New Roman" w:hAnsi="Times New Roman" w:cs="Times New Roman"/>
          <w:sz w:val="24"/>
          <w:szCs w:val="24"/>
        </w:rPr>
        <w:t xml:space="preserve"> assist consumers </w:t>
      </w:r>
      <w:r w:rsidRPr="008C58EB" w:rsidR="0050200A">
        <w:rPr>
          <w:rFonts w:ascii="Times New Roman" w:hAnsi="Times New Roman" w:cs="Times New Roman"/>
          <w:sz w:val="24"/>
          <w:szCs w:val="24"/>
        </w:rPr>
        <w:t>in</w:t>
      </w:r>
      <w:r w:rsidRPr="008C58EB" w:rsidR="00F828B2">
        <w:rPr>
          <w:rFonts w:ascii="Times New Roman" w:hAnsi="Times New Roman" w:cs="Times New Roman"/>
          <w:sz w:val="24"/>
          <w:szCs w:val="24"/>
        </w:rPr>
        <w:t xml:space="preserve"> mak</w:t>
      </w:r>
      <w:r w:rsidRPr="008C58EB" w:rsidR="0050200A">
        <w:rPr>
          <w:rFonts w:ascii="Times New Roman" w:hAnsi="Times New Roman" w:cs="Times New Roman"/>
          <w:sz w:val="24"/>
          <w:szCs w:val="24"/>
        </w:rPr>
        <w:t>ing</w:t>
      </w:r>
      <w:r w:rsidRPr="008C58EB" w:rsidR="00F828B2">
        <w:rPr>
          <w:rFonts w:ascii="Times New Roman" w:hAnsi="Times New Roman" w:cs="Times New Roman"/>
          <w:sz w:val="24"/>
          <w:szCs w:val="24"/>
        </w:rPr>
        <w:t xml:space="preserve"> more informed decisions</w:t>
      </w:r>
      <w:r w:rsidRPr="008C58EB" w:rsidR="0050200A">
        <w:rPr>
          <w:rFonts w:ascii="Times New Roman" w:hAnsi="Times New Roman" w:cs="Times New Roman"/>
          <w:sz w:val="24"/>
          <w:szCs w:val="24"/>
        </w:rPr>
        <w:t xml:space="preserve"> about their electricity purchases</w:t>
      </w:r>
      <w:r w:rsidRPr="008C58EB" w:rsidR="00F828B2">
        <w:rPr>
          <w:rFonts w:ascii="Times New Roman" w:hAnsi="Times New Roman" w:cs="Times New Roman"/>
          <w:sz w:val="24"/>
          <w:szCs w:val="24"/>
        </w:rPr>
        <w:t>.</w:t>
      </w:r>
      <w:r w:rsidRPr="008C58EB">
        <w:rPr>
          <w:rFonts w:ascii="Times New Roman" w:hAnsi="Times New Roman" w:cs="Times New Roman"/>
          <w:sz w:val="24"/>
          <w:szCs w:val="24"/>
        </w:rPr>
        <w:t xml:space="preserve"> That’s a good thing. It’s especially good in a time of soaring energy prices and inflation.</w:t>
      </w:r>
      <w:r w:rsidRPr="008C58EB" w:rsidR="004B4A9D">
        <w:rPr>
          <w:rFonts w:ascii="Times New Roman" w:hAnsi="Times New Roman" w:cs="Times New Roman"/>
          <w:sz w:val="24"/>
          <w:szCs w:val="24"/>
        </w:rPr>
        <w:t xml:space="preserve"> </w:t>
      </w:r>
    </w:p>
    <w:p w:rsidR="003519D0" w:rsidP="00BD54BC" w14:paraId="358083E7" w14:textId="13704F88">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M</w:t>
      </w:r>
      <w:r w:rsidRPr="008C58EB" w:rsidR="004B4A9D">
        <w:rPr>
          <w:rFonts w:ascii="Times New Roman" w:hAnsi="Times New Roman" w:cs="Times New Roman"/>
          <w:sz w:val="24"/>
          <w:szCs w:val="24"/>
        </w:rPr>
        <w:t xml:space="preserve">aking the information available to consumers is </w:t>
      </w:r>
      <w:r w:rsidRPr="008C58EB">
        <w:rPr>
          <w:rFonts w:ascii="Times New Roman" w:hAnsi="Times New Roman" w:cs="Times New Roman"/>
          <w:sz w:val="24"/>
          <w:szCs w:val="24"/>
        </w:rPr>
        <w:t xml:space="preserve">both </w:t>
      </w:r>
      <w:r w:rsidRPr="008C58EB" w:rsidR="004B4A9D">
        <w:rPr>
          <w:rFonts w:ascii="Times New Roman" w:hAnsi="Times New Roman" w:cs="Times New Roman"/>
          <w:sz w:val="24"/>
          <w:szCs w:val="24"/>
        </w:rPr>
        <w:t xml:space="preserve">reasonable </w:t>
      </w:r>
      <w:r w:rsidRPr="008C58EB">
        <w:rPr>
          <w:rFonts w:ascii="Times New Roman" w:hAnsi="Times New Roman" w:cs="Times New Roman"/>
          <w:sz w:val="24"/>
          <w:szCs w:val="24"/>
        </w:rPr>
        <w:t>and</w:t>
      </w:r>
      <w:r w:rsidRPr="008C58EB" w:rsidR="004B4A9D">
        <w:rPr>
          <w:rFonts w:ascii="Times New Roman" w:hAnsi="Times New Roman" w:cs="Times New Roman"/>
          <w:sz w:val="24"/>
          <w:szCs w:val="24"/>
        </w:rPr>
        <w:t xml:space="preserve"> lawful. Accordingly, RESA’s Application for Rehearing should be </w:t>
      </w:r>
      <w:r w:rsidRPr="008C58EB" w:rsidR="00BD54BC">
        <w:rPr>
          <w:rFonts w:ascii="Times New Roman" w:hAnsi="Times New Roman" w:cs="Times New Roman"/>
          <w:sz w:val="24"/>
          <w:szCs w:val="24"/>
        </w:rPr>
        <w:t>denied,</w:t>
      </w:r>
      <w:r w:rsidRPr="008C58EB">
        <w:rPr>
          <w:rFonts w:ascii="Times New Roman" w:hAnsi="Times New Roman" w:cs="Times New Roman"/>
          <w:sz w:val="24"/>
          <w:szCs w:val="24"/>
        </w:rPr>
        <w:t xml:space="preserve"> and the PUCO should implement the plan to make the information public</w:t>
      </w:r>
      <w:r w:rsidRPr="008C58EB" w:rsidR="004B4A9D">
        <w:rPr>
          <w:rFonts w:ascii="Times New Roman" w:hAnsi="Times New Roman" w:cs="Times New Roman"/>
          <w:sz w:val="24"/>
          <w:szCs w:val="24"/>
        </w:rPr>
        <w:t>.</w:t>
      </w:r>
      <w:r w:rsidRPr="008C58EB" w:rsidR="0013572B">
        <w:rPr>
          <w:rFonts w:ascii="Times New Roman" w:hAnsi="Times New Roman" w:cs="Times New Roman"/>
          <w:sz w:val="24"/>
          <w:szCs w:val="24"/>
        </w:rPr>
        <w:t xml:space="preserve"> And more consumer protections are need</w:t>
      </w:r>
      <w:r w:rsidRPr="008C58EB" w:rsidR="00F54C14">
        <w:rPr>
          <w:rFonts w:ascii="Times New Roman" w:hAnsi="Times New Roman" w:cs="Times New Roman"/>
          <w:sz w:val="24"/>
          <w:szCs w:val="24"/>
        </w:rPr>
        <w:t>e</w:t>
      </w:r>
      <w:r w:rsidRPr="008C58EB" w:rsidR="0013572B">
        <w:rPr>
          <w:rFonts w:ascii="Times New Roman" w:hAnsi="Times New Roman" w:cs="Times New Roman"/>
          <w:sz w:val="24"/>
          <w:szCs w:val="24"/>
        </w:rPr>
        <w:t>d going forward.</w:t>
      </w:r>
    </w:p>
    <w:p w:rsidR="00BD54BC" w:rsidRPr="008C58EB" w:rsidP="00BD54BC" w14:paraId="56A7C209" w14:textId="77777777">
      <w:pPr>
        <w:spacing w:after="0" w:line="240" w:lineRule="auto"/>
        <w:ind w:firstLine="720"/>
        <w:rPr>
          <w:rFonts w:ascii="Times New Roman" w:hAnsi="Times New Roman" w:cs="Times New Roman"/>
          <w:sz w:val="24"/>
          <w:szCs w:val="24"/>
        </w:rPr>
      </w:pPr>
    </w:p>
    <w:p w:rsidR="004B4A9D" w:rsidRPr="008C58EB" w:rsidP="008C3064" w14:paraId="60A213C2" w14:textId="2EAAD725">
      <w:pPr>
        <w:pStyle w:val="Heading1"/>
      </w:pPr>
      <w:r w:rsidRPr="008C58EB">
        <w:t>II.</w:t>
      </w:r>
      <w:r w:rsidRPr="008C58EB">
        <w:tab/>
        <w:t>RECOMMENDATIONS</w:t>
      </w:r>
    </w:p>
    <w:p w:rsidR="004B4A9D" w:rsidRPr="008C58EB" w:rsidP="008C3064" w14:paraId="5A0DBB88" w14:textId="5FC96C3E">
      <w:pPr>
        <w:pStyle w:val="Heading2"/>
      </w:pPr>
      <w:r w:rsidRPr="008C58EB">
        <w:t>A.</w:t>
      </w:r>
      <w:r w:rsidRPr="008C58EB">
        <w:tab/>
      </w:r>
      <w:r w:rsidRPr="008C58EB">
        <w:t xml:space="preserve">To protect consumers, the PUCO should deny RESA’s Application for Rehearing </w:t>
      </w:r>
      <w:r w:rsidRPr="008C58EB" w:rsidR="0050200A">
        <w:t xml:space="preserve">and continue with </w:t>
      </w:r>
      <w:r w:rsidRPr="008C58EB" w:rsidR="00F33642">
        <w:t>the</w:t>
      </w:r>
      <w:r w:rsidRPr="008C58EB" w:rsidR="0050200A">
        <w:t xml:space="preserve"> plan for sharing with the public the </w:t>
      </w:r>
      <w:r w:rsidRPr="008C58EB">
        <w:t>information</w:t>
      </w:r>
      <w:r w:rsidRPr="008C58EB" w:rsidR="0050200A">
        <w:t xml:space="preserve"> (in the aggregate)</w:t>
      </w:r>
      <w:r w:rsidRPr="008C58EB">
        <w:t xml:space="preserve"> about the electric generation wholesale markets</w:t>
      </w:r>
      <w:r w:rsidRPr="008C58EB" w:rsidR="0050200A">
        <w:t>.</w:t>
      </w:r>
      <w:r w:rsidRPr="008C58EB">
        <w:t xml:space="preserve"> </w:t>
      </w:r>
    </w:p>
    <w:p w:rsidR="004B4A9D" w:rsidRPr="008C58EB" w:rsidP="004B4A9D" w14:paraId="445AB91A" w14:textId="169016E7">
      <w:pPr>
        <w:spacing w:after="0" w:line="480" w:lineRule="auto"/>
        <w:ind w:firstLine="720"/>
        <w:rPr>
          <w:rFonts w:ascii="Times New Roman" w:hAnsi="Times New Roman" w:cs="Times New Roman"/>
          <w:b/>
          <w:bCs/>
          <w:sz w:val="24"/>
          <w:szCs w:val="24"/>
        </w:rPr>
      </w:pPr>
      <w:r w:rsidRPr="008C58EB">
        <w:rPr>
          <w:rFonts w:ascii="Times New Roman" w:hAnsi="Times New Roman" w:cs="Times New Roman"/>
          <w:sz w:val="24"/>
          <w:szCs w:val="24"/>
        </w:rPr>
        <w:t xml:space="preserve">O.A.C. 4901:1-25 governs the reporting required by electric utilities, electric cooperatives, electric service companies, and government aggregators. The rule requires </w:t>
      </w:r>
      <w:r w:rsidRPr="008C58EB" w:rsidR="007617C6">
        <w:rPr>
          <w:rFonts w:ascii="Times New Roman" w:hAnsi="Times New Roman" w:cs="Times New Roman"/>
          <w:sz w:val="24"/>
          <w:szCs w:val="24"/>
        </w:rPr>
        <w:t xml:space="preserve">the reporting of </w:t>
      </w:r>
      <w:r w:rsidRPr="008C58EB">
        <w:rPr>
          <w:rFonts w:ascii="Times New Roman" w:hAnsi="Times New Roman" w:cs="Times New Roman"/>
          <w:sz w:val="24"/>
          <w:szCs w:val="24"/>
        </w:rPr>
        <w:t>information such as customer counts, billed revenue, and megawatt hours sold. Unfortunately, O.A.C. 4901:1-25 (A)(5) deems all of these reports confidential. OCC understands that some of the information that is reported should be considered confidential (especially specific consumer data). But as we explained in our initial and reply comments,</w:t>
      </w:r>
      <w:r w:rsidRPr="008C58EB" w:rsidR="0050200A">
        <w:rPr>
          <w:rFonts w:ascii="Times New Roman" w:hAnsi="Times New Roman" w:cs="Times New Roman"/>
          <w:sz w:val="24"/>
          <w:szCs w:val="24"/>
        </w:rPr>
        <w:t xml:space="preserve"> </w:t>
      </w:r>
      <w:r w:rsidRPr="008C58EB" w:rsidR="007617C6">
        <w:rPr>
          <w:rFonts w:ascii="Times New Roman" w:hAnsi="Times New Roman" w:cs="Times New Roman"/>
          <w:sz w:val="24"/>
          <w:szCs w:val="24"/>
        </w:rPr>
        <w:t xml:space="preserve">for the benefit of the public, </w:t>
      </w:r>
      <w:r w:rsidRPr="008C58EB">
        <w:rPr>
          <w:rFonts w:ascii="Times New Roman" w:hAnsi="Times New Roman" w:cs="Times New Roman"/>
          <w:sz w:val="24"/>
          <w:szCs w:val="24"/>
        </w:rPr>
        <w:t xml:space="preserve">the information should be aggregated </w:t>
      </w:r>
      <w:r w:rsidRPr="008C58EB" w:rsidR="007617C6">
        <w:rPr>
          <w:rFonts w:ascii="Times New Roman" w:hAnsi="Times New Roman" w:cs="Times New Roman"/>
          <w:sz w:val="24"/>
          <w:szCs w:val="24"/>
        </w:rPr>
        <w:t>and publicly disclosed</w:t>
      </w:r>
      <w:r w:rsidRPr="008C58EB">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8C58EB">
        <w:rPr>
          <w:rFonts w:ascii="Times New Roman" w:hAnsi="Times New Roman" w:cs="Times New Roman"/>
          <w:sz w:val="24"/>
          <w:szCs w:val="24"/>
        </w:rPr>
        <w:t xml:space="preserve"> Aggregated data of all entities’ reports could provide high level data about the electric generation wholesale market.</w:t>
      </w:r>
      <w:r>
        <w:rPr>
          <w:rStyle w:val="FootnoteReference"/>
          <w:rFonts w:ascii="Times New Roman" w:hAnsi="Times New Roman" w:cs="Times New Roman"/>
          <w:sz w:val="24"/>
          <w:szCs w:val="24"/>
        </w:rPr>
        <w:footnoteReference w:id="4"/>
      </w:r>
      <w:r w:rsidRPr="008C58EB">
        <w:rPr>
          <w:rFonts w:ascii="Times New Roman" w:hAnsi="Times New Roman" w:cs="Times New Roman"/>
          <w:sz w:val="24"/>
          <w:szCs w:val="24"/>
        </w:rPr>
        <w:t xml:space="preserve"> and be informational to </w:t>
      </w:r>
      <w:r w:rsidRPr="008C58EB" w:rsidR="00666475">
        <w:rPr>
          <w:rFonts w:ascii="Times New Roman" w:hAnsi="Times New Roman" w:cs="Times New Roman"/>
          <w:sz w:val="24"/>
          <w:szCs w:val="24"/>
        </w:rPr>
        <w:t>co</w:t>
      </w:r>
      <w:r w:rsidRPr="008C58EB" w:rsidR="007617C6">
        <w:rPr>
          <w:rFonts w:ascii="Times New Roman" w:hAnsi="Times New Roman" w:cs="Times New Roman"/>
          <w:sz w:val="24"/>
          <w:szCs w:val="24"/>
        </w:rPr>
        <w:t>nsumers</w:t>
      </w:r>
      <w:r w:rsidR="008C58EB">
        <w:rPr>
          <w:rFonts w:ascii="Times New Roman" w:hAnsi="Times New Roman" w:cs="Times New Roman"/>
          <w:sz w:val="24"/>
          <w:szCs w:val="24"/>
        </w:rPr>
        <w:t xml:space="preserve"> </w:t>
      </w:r>
      <w:r w:rsidRPr="008C58EB">
        <w:rPr>
          <w:rFonts w:ascii="Times New Roman" w:hAnsi="Times New Roman" w:cs="Times New Roman"/>
          <w:sz w:val="24"/>
          <w:szCs w:val="24"/>
        </w:rPr>
        <w:t xml:space="preserve">when making choices for their </w:t>
      </w:r>
      <w:r w:rsidRPr="008C58EB" w:rsidR="007617C6">
        <w:rPr>
          <w:rFonts w:ascii="Times New Roman" w:hAnsi="Times New Roman" w:cs="Times New Roman"/>
          <w:sz w:val="24"/>
          <w:szCs w:val="24"/>
        </w:rPr>
        <w:t xml:space="preserve">electric </w:t>
      </w:r>
      <w:r w:rsidRPr="008C58EB">
        <w:rPr>
          <w:rFonts w:ascii="Times New Roman" w:hAnsi="Times New Roman" w:cs="Times New Roman"/>
          <w:sz w:val="24"/>
          <w:szCs w:val="24"/>
        </w:rPr>
        <w:t>service.</w:t>
      </w:r>
      <w:r>
        <w:rPr>
          <w:rStyle w:val="FootnoteReference"/>
          <w:rFonts w:ascii="Times New Roman" w:hAnsi="Times New Roman" w:cs="Times New Roman"/>
          <w:sz w:val="24"/>
          <w:szCs w:val="24"/>
        </w:rPr>
        <w:footnoteReference w:id="5"/>
      </w:r>
      <w:r w:rsidRPr="008C58EB" w:rsidR="00137094">
        <w:rPr>
          <w:rFonts w:ascii="Times New Roman" w:hAnsi="Times New Roman" w:cs="Times New Roman"/>
          <w:sz w:val="24"/>
          <w:szCs w:val="24"/>
        </w:rPr>
        <w:t xml:space="preserve"> </w:t>
      </w:r>
    </w:p>
    <w:p w:rsidR="00C42FDC" w:rsidRPr="008C58EB" w:rsidP="004B4A9D" w14:paraId="0331B450" w14:textId="492B26B4">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The PUCO agreed, finding “merit” in our consumer protection proposal.</w:t>
      </w:r>
      <w:r>
        <w:rPr>
          <w:rStyle w:val="FootnoteReference"/>
          <w:rFonts w:ascii="Times New Roman" w:hAnsi="Times New Roman" w:cs="Times New Roman"/>
          <w:sz w:val="24"/>
          <w:szCs w:val="24"/>
        </w:rPr>
        <w:footnoteReference w:id="6"/>
      </w:r>
      <w:r w:rsidRPr="008C58EB">
        <w:rPr>
          <w:rFonts w:ascii="Times New Roman" w:hAnsi="Times New Roman" w:cs="Times New Roman"/>
          <w:sz w:val="24"/>
          <w:szCs w:val="24"/>
        </w:rPr>
        <w:t xml:space="preserve"> Explaining its rational</w:t>
      </w:r>
      <w:r w:rsidRPr="008C58EB" w:rsidR="000E5FC1">
        <w:rPr>
          <w:rFonts w:ascii="Times New Roman" w:hAnsi="Times New Roman" w:cs="Times New Roman"/>
          <w:sz w:val="24"/>
          <w:szCs w:val="24"/>
        </w:rPr>
        <w:t>e</w:t>
      </w:r>
      <w:r w:rsidRPr="008C58EB">
        <w:rPr>
          <w:rFonts w:ascii="Times New Roman" w:hAnsi="Times New Roman" w:cs="Times New Roman"/>
          <w:sz w:val="24"/>
          <w:szCs w:val="24"/>
        </w:rPr>
        <w:t>, the PUCO said:</w:t>
      </w:r>
    </w:p>
    <w:p w:rsidR="00C42FDC" w:rsidRPr="008C58EB" w:rsidP="00284BBE" w14:paraId="02E4DFBA" w14:textId="442A5B4F">
      <w:pPr>
        <w:spacing w:after="0" w:line="240" w:lineRule="auto"/>
        <w:ind w:left="1440" w:right="1440"/>
        <w:rPr>
          <w:rFonts w:ascii="Times New Roman" w:hAnsi="Times New Roman" w:cs="Times New Roman"/>
          <w:sz w:val="24"/>
          <w:szCs w:val="24"/>
        </w:rPr>
      </w:pPr>
      <w:r w:rsidRPr="008C58EB">
        <w:rPr>
          <w:rFonts w:ascii="Times New Roman" w:hAnsi="Times New Roman" w:cs="Times New Roman"/>
          <w:sz w:val="24"/>
          <w:szCs w:val="24"/>
        </w:rPr>
        <w:t>The Commission finds reasonable OCC’s proposal for aggregating market monitoring data and making such information available to the public. Notwithstanding RESA’s remarks, submission of confidential data by stakeholders does not prohibit the Commission from sharing such data in an aggregated manner. Staff will work with entities subject to these rules and endeavor to periodically post aggregated information on the Commission’s website to provide consumers with more information for assessing Ohio’s retail electric market.</w:t>
      </w:r>
      <w:r>
        <w:rPr>
          <w:rStyle w:val="FootnoteReference"/>
          <w:rFonts w:ascii="Times New Roman" w:hAnsi="Times New Roman" w:cs="Times New Roman"/>
          <w:sz w:val="24"/>
          <w:szCs w:val="24"/>
        </w:rPr>
        <w:footnoteReference w:id="7"/>
      </w:r>
    </w:p>
    <w:p w:rsidR="00C42FDC" w:rsidRPr="008C58EB" w:rsidP="00C42FDC" w14:paraId="27FDC17D" w14:textId="4CF49F71">
      <w:pPr>
        <w:spacing w:after="0" w:line="240" w:lineRule="auto"/>
        <w:rPr>
          <w:rFonts w:ascii="Times New Roman" w:hAnsi="Times New Roman" w:cs="Times New Roman"/>
          <w:sz w:val="24"/>
          <w:szCs w:val="24"/>
        </w:rPr>
      </w:pPr>
    </w:p>
    <w:p w:rsidR="00C42FDC" w:rsidRPr="008C58EB" w:rsidP="00E43EE0" w14:paraId="5F959362" w14:textId="46EF3486">
      <w:pPr>
        <w:spacing w:after="0" w:line="480" w:lineRule="auto"/>
        <w:rPr>
          <w:rFonts w:ascii="Times New Roman" w:hAnsi="Times New Roman" w:cs="Times New Roman"/>
          <w:sz w:val="24"/>
          <w:szCs w:val="24"/>
        </w:rPr>
      </w:pPr>
      <w:r w:rsidRPr="008C58EB">
        <w:rPr>
          <w:rFonts w:ascii="Times New Roman" w:hAnsi="Times New Roman" w:cs="Times New Roman"/>
          <w:sz w:val="24"/>
          <w:szCs w:val="24"/>
        </w:rPr>
        <w:tab/>
        <w:t xml:space="preserve">RESA would have the PUCO </w:t>
      </w:r>
      <w:r w:rsidRPr="008C58EB">
        <w:rPr>
          <w:rFonts w:ascii="Times New Roman" w:hAnsi="Times New Roman" w:cs="Times New Roman"/>
          <w:i/>
          <w:iCs/>
          <w:sz w:val="24"/>
          <w:szCs w:val="24"/>
        </w:rPr>
        <w:t>keep information from consumers.</w:t>
      </w:r>
      <w:r w:rsidRPr="008C58EB" w:rsidR="00E43EE0">
        <w:rPr>
          <w:rFonts w:ascii="Times New Roman" w:hAnsi="Times New Roman" w:cs="Times New Roman"/>
          <w:sz w:val="24"/>
          <w:szCs w:val="24"/>
        </w:rPr>
        <w:t xml:space="preserve"> It says that the PUCO’s decision “could be construed as directing Staff to publish unnecessary and misleading aggregated detailed information that includes aggregated CRES supplier revenue data.”</w:t>
      </w:r>
      <w:r>
        <w:rPr>
          <w:rStyle w:val="FootnoteReference"/>
          <w:rFonts w:ascii="Times New Roman" w:hAnsi="Times New Roman" w:cs="Times New Roman"/>
          <w:sz w:val="24"/>
          <w:szCs w:val="24"/>
        </w:rPr>
        <w:footnoteReference w:id="8"/>
      </w:r>
      <w:r w:rsidRPr="008C58EB" w:rsidR="00E43EE0">
        <w:rPr>
          <w:rFonts w:ascii="Times New Roman" w:hAnsi="Times New Roman" w:cs="Times New Roman"/>
          <w:sz w:val="24"/>
          <w:szCs w:val="24"/>
        </w:rPr>
        <w:t xml:space="preserve"> According to RESA, the decision “ignores that Staff already does this for relevant information, such as aggregate MWh and numbers of customers served by CRES providers.”</w:t>
      </w:r>
      <w:r>
        <w:rPr>
          <w:rStyle w:val="FootnoteReference"/>
          <w:rFonts w:ascii="Times New Roman" w:hAnsi="Times New Roman" w:cs="Times New Roman"/>
          <w:sz w:val="24"/>
          <w:szCs w:val="24"/>
        </w:rPr>
        <w:footnoteReference w:id="9"/>
      </w:r>
      <w:r w:rsidRPr="008C58EB" w:rsidR="00E43EE0">
        <w:rPr>
          <w:rFonts w:ascii="Times New Roman" w:hAnsi="Times New Roman" w:cs="Times New Roman"/>
          <w:sz w:val="24"/>
          <w:szCs w:val="24"/>
        </w:rPr>
        <w:t xml:space="preserve"> Further, RESA asserts that “aggregation and publication of misleading information under Ohio Adm. Code 4901:1-25- 02 serves no lawful purpose under R.C. 4928.06 or the policies of R.C. 4928.02.”</w:t>
      </w:r>
      <w:r>
        <w:rPr>
          <w:rStyle w:val="FootnoteReference"/>
          <w:rFonts w:ascii="Times New Roman" w:hAnsi="Times New Roman" w:cs="Times New Roman"/>
          <w:sz w:val="24"/>
          <w:szCs w:val="24"/>
        </w:rPr>
        <w:footnoteReference w:id="10"/>
      </w:r>
      <w:r w:rsidRPr="008C58EB" w:rsidR="00E43EE0">
        <w:rPr>
          <w:rFonts w:ascii="Times New Roman" w:hAnsi="Times New Roman" w:cs="Times New Roman"/>
          <w:sz w:val="24"/>
          <w:szCs w:val="24"/>
        </w:rPr>
        <w:t xml:space="preserve"> And the PUCO “is already publishing useful market information for customers to make informed decisions.”</w:t>
      </w:r>
      <w:r>
        <w:rPr>
          <w:rStyle w:val="FootnoteReference"/>
          <w:rFonts w:ascii="Times New Roman" w:hAnsi="Times New Roman" w:cs="Times New Roman"/>
          <w:sz w:val="24"/>
          <w:szCs w:val="24"/>
        </w:rPr>
        <w:footnoteReference w:id="11"/>
      </w:r>
      <w:r w:rsidRPr="008C58EB" w:rsidR="00E43EE0">
        <w:rPr>
          <w:rFonts w:ascii="Times New Roman" w:hAnsi="Times New Roman" w:cs="Times New Roman"/>
          <w:sz w:val="24"/>
          <w:szCs w:val="24"/>
        </w:rPr>
        <w:t xml:space="preserve"> In any event, according to RESA publishing aggregate information about wholesale markets “implicate[s] trade secret issues[.]”</w:t>
      </w:r>
      <w:r>
        <w:rPr>
          <w:rStyle w:val="FootnoteReference"/>
          <w:rFonts w:ascii="Times New Roman" w:hAnsi="Times New Roman" w:cs="Times New Roman"/>
          <w:sz w:val="24"/>
          <w:szCs w:val="24"/>
        </w:rPr>
        <w:footnoteReference w:id="12"/>
      </w:r>
      <w:r w:rsidRPr="008C58EB" w:rsidR="00E43EE0">
        <w:rPr>
          <w:rFonts w:ascii="Times New Roman" w:hAnsi="Times New Roman" w:cs="Times New Roman"/>
          <w:sz w:val="24"/>
          <w:szCs w:val="24"/>
        </w:rPr>
        <w:t xml:space="preserve"> RESA has not demonstrated that the PUCO’s consumer protection Finding and Order is unreasonable or unlawful. Its Application for Rehearing should be denied.</w:t>
      </w:r>
    </w:p>
    <w:p w:rsidR="00E43EE0" w:rsidRPr="008C58EB" w:rsidP="00E43EE0" w14:paraId="61BEDC7C" w14:textId="0C3A0B67">
      <w:pPr>
        <w:spacing w:after="0" w:line="480" w:lineRule="auto"/>
        <w:rPr>
          <w:rFonts w:ascii="Times New Roman" w:hAnsi="Times New Roman" w:cs="Times New Roman"/>
          <w:sz w:val="24"/>
          <w:szCs w:val="24"/>
        </w:rPr>
      </w:pPr>
      <w:r w:rsidRPr="008C58EB">
        <w:rPr>
          <w:rFonts w:ascii="Times New Roman" w:hAnsi="Times New Roman" w:cs="Times New Roman"/>
          <w:sz w:val="24"/>
          <w:szCs w:val="24"/>
        </w:rPr>
        <w:tab/>
        <w:t xml:space="preserve">First, </w:t>
      </w:r>
      <w:r w:rsidRPr="008C58EB" w:rsidR="00667ACE">
        <w:rPr>
          <w:rFonts w:ascii="Times New Roman" w:hAnsi="Times New Roman" w:cs="Times New Roman"/>
          <w:sz w:val="24"/>
          <w:szCs w:val="24"/>
        </w:rPr>
        <w:t xml:space="preserve">RESA is not charged with deciding what information is “unnecessary,” “misleading,” or “relevant.” </w:t>
      </w:r>
      <w:r w:rsidRPr="008C58EB" w:rsidR="00CA2876">
        <w:rPr>
          <w:rFonts w:ascii="Times New Roman" w:hAnsi="Times New Roman" w:cs="Times New Roman"/>
          <w:sz w:val="24"/>
          <w:szCs w:val="24"/>
        </w:rPr>
        <w:t xml:space="preserve">In fact, state policy focuses on the importance of </w:t>
      </w:r>
      <w:r w:rsidRPr="008C58EB" w:rsidR="00CA2876">
        <w:rPr>
          <w:rFonts w:ascii="Times New Roman" w:hAnsi="Times New Roman" w:cs="Times New Roman"/>
          <w:i/>
          <w:iCs/>
          <w:sz w:val="24"/>
          <w:szCs w:val="24"/>
        </w:rPr>
        <w:t xml:space="preserve">consumers </w:t>
      </w:r>
      <w:r w:rsidRPr="008C58EB" w:rsidR="00CA2876">
        <w:rPr>
          <w:rFonts w:ascii="Times New Roman" w:hAnsi="Times New Roman" w:cs="Times New Roman"/>
          <w:sz w:val="24"/>
          <w:szCs w:val="24"/>
        </w:rPr>
        <w:t xml:space="preserve">having the information available to them so that </w:t>
      </w:r>
      <w:r w:rsidRPr="008C58EB" w:rsidR="00CA2876">
        <w:rPr>
          <w:rFonts w:ascii="Times New Roman" w:hAnsi="Times New Roman" w:cs="Times New Roman"/>
          <w:i/>
          <w:iCs/>
          <w:sz w:val="24"/>
          <w:szCs w:val="24"/>
        </w:rPr>
        <w:t xml:space="preserve">they </w:t>
      </w:r>
      <w:r w:rsidRPr="008C58EB" w:rsidR="00CA2876">
        <w:rPr>
          <w:rFonts w:ascii="Times New Roman" w:hAnsi="Times New Roman" w:cs="Times New Roman"/>
          <w:sz w:val="24"/>
          <w:szCs w:val="24"/>
        </w:rPr>
        <w:t>are empowered to evaluate “</w:t>
      </w:r>
      <w:r w:rsidRPr="008C58EB" w:rsidR="00CA2876">
        <w:rPr>
          <w:rFonts w:ascii="Times New Roman" w:hAnsi="Times New Roman" w:cs="Times New Roman"/>
          <w:color w:val="333333"/>
          <w:sz w:val="24"/>
          <w:szCs w:val="24"/>
          <w:shd w:val="clear" w:color="auto" w:fill="FFFFFF"/>
        </w:rPr>
        <w:t>options they elect to meet their respective needs[.]”</w:t>
      </w:r>
      <w:r>
        <w:rPr>
          <w:rStyle w:val="FootnoteReference"/>
          <w:rFonts w:ascii="Times New Roman" w:hAnsi="Times New Roman" w:cs="Times New Roman"/>
          <w:color w:val="333333"/>
          <w:sz w:val="24"/>
          <w:szCs w:val="24"/>
          <w:shd w:val="clear" w:color="auto" w:fill="FFFFFF"/>
        </w:rPr>
        <w:footnoteReference w:id="13"/>
      </w:r>
      <w:r w:rsidRPr="008C58EB" w:rsidR="00CA2876">
        <w:rPr>
          <w:rFonts w:ascii="Times New Roman" w:hAnsi="Times New Roman" w:cs="Times New Roman"/>
          <w:color w:val="333333"/>
          <w:sz w:val="24"/>
          <w:szCs w:val="24"/>
          <w:shd w:val="clear" w:color="auto" w:fill="FFFFFF"/>
        </w:rPr>
        <w:t xml:space="preserve"> </w:t>
      </w:r>
      <w:r w:rsidRPr="008C58EB" w:rsidR="00CA2876">
        <w:rPr>
          <w:rFonts w:ascii="Times New Roman" w:hAnsi="Times New Roman" w:cs="Times New Roman"/>
          <w:sz w:val="24"/>
          <w:szCs w:val="24"/>
        </w:rPr>
        <w:t xml:space="preserve">Second, </w:t>
      </w:r>
      <w:r w:rsidRPr="008C58EB" w:rsidR="00667ACE">
        <w:rPr>
          <w:rFonts w:ascii="Times New Roman" w:hAnsi="Times New Roman" w:cs="Times New Roman"/>
          <w:sz w:val="24"/>
          <w:szCs w:val="24"/>
        </w:rPr>
        <w:t>Ohio’s electricity generation market is competitive. Making information available to consumers in a competitive market is important to the</w:t>
      </w:r>
      <w:r w:rsidRPr="008C58EB" w:rsidR="00870D59">
        <w:rPr>
          <w:rFonts w:ascii="Times New Roman" w:hAnsi="Times New Roman" w:cs="Times New Roman"/>
          <w:sz w:val="24"/>
          <w:szCs w:val="24"/>
        </w:rPr>
        <w:t xml:space="preserve"> proper functioning of the</w:t>
      </w:r>
      <w:r w:rsidRPr="008C58EB" w:rsidR="00667ACE">
        <w:rPr>
          <w:rFonts w:ascii="Times New Roman" w:hAnsi="Times New Roman" w:cs="Times New Roman"/>
          <w:sz w:val="24"/>
          <w:szCs w:val="24"/>
        </w:rPr>
        <w:t xml:space="preserve"> market. The PUCO is explicitly authorized to ensure competitive electric retail service.</w:t>
      </w:r>
      <w:r>
        <w:rPr>
          <w:rStyle w:val="FootnoteReference"/>
          <w:rFonts w:ascii="Times New Roman" w:hAnsi="Times New Roman" w:cs="Times New Roman"/>
          <w:sz w:val="24"/>
          <w:szCs w:val="24"/>
        </w:rPr>
        <w:footnoteReference w:id="14"/>
      </w:r>
      <w:r w:rsidRPr="008C58EB" w:rsidR="00667ACE">
        <w:rPr>
          <w:rFonts w:ascii="Times New Roman" w:hAnsi="Times New Roman" w:cs="Times New Roman"/>
          <w:sz w:val="24"/>
          <w:szCs w:val="24"/>
        </w:rPr>
        <w:t xml:space="preserve"> </w:t>
      </w:r>
      <w:r w:rsidRPr="008C58EB" w:rsidR="00CA2876">
        <w:rPr>
          <w:rFonts w:ascii="Times New Roman" w:hAnsi="Times New Roman" w:cs="Times New Roman"/>
          <w:sz w:val="24"/>
          <w:szCs w:val="24"/>
        </w:rPr>
        <w:t>Third</w:t>
      </w:r>
      <w:r w:rsidRPr="008C58EB" w:rsidR="00667ACE">
        <w:rPr>
          <w:rFonts w:ascii="Times New Roman" w:hAnsi="Times New Roman" w:cs="Times New Roman"/>
          <w:sz w:val="24"/>
          <w:szCs w:val="24"/>
        </w:rPr>
        <w:t>, making information available to consumers so that they can evaluate electric service options is consistent with numerous provisions of state policy.</w:t>
      </w:r>
      <w:r>
        <w:rPr>
          <w:rStyle w:val="FootnoteReference"/>
          <w:rFonts w:ascii="Times New Roman" w:hAnsi="Times New Roman" w:cs="Times New Roman"/>
          <w:sz w:val="24"/>
          <w:szCs w:val="24"/>
        </w:rPr>
        <w:footnoteReference w:id="15"/>
      </w:r>
      <w:r w:rsidRPr="008C58EB" w:rsidR="00CA2876">
        <w:rPr>
          <w:rFonts w:ascii="Times New Roman" w:hAnsi="Times New Roman" w:cs="Times New Roman"/>
          <w:sz w:val="24"/>
          <w:szCs w:val="24"/>
        </w:rPr>
        <w:t xml:space="preserve"> </w:t>
      </w:r>
      <w:r w:rsidRPr="008C58EB" w:rsidR="00C808E2">
        <w:rPr>
          <w:rFonts w:ascii="Times New Roman" w:hAnsi="Times New Roman" w:cs="Times New Roman"/>
          <w:sz w:val="24"/>
          <w:szCs w:val="24"/>
        </w:rPr>
        <w:t xml:space="preserve">This is not surprising. </w:t>
      </w:r>
      <w:r w:rsidRPr="008C58EB" w:rsidR="00666475">
        <w:rPr>
          <w:rFonts w:ascii="Times New Roman" w:hAnsi="Times New Roman" w:cs="Times New Roman"/>
          <w:sz w:val="24"/>
          <w:szCs w:val="24"/>
        </w:rPr>
        <w:t>As noted earlier, m</w:t>
      </w:r>
      <w:r w:rsidRPr="008C58EB" w:rsidR="00C808E2">
        <w:rPr>
          <w:rFonts w:ascii="Times New Roman" w:hAnsi="Times New Roman" w:cs="Times New Roman"/>
          <w:sz w:val="24"/>
          <w:szCs w:val="24"/>
        </w:rPr>
        <w:t xml:space="preserve">aking information available to consumers is </w:t>
      </w:r>
      <w:r w:rsidRPr="008C58EB" w:rsidR="00C808E2">
        <w:rPr>
          <w:rFonts w:ascii="Times New Roman" w:hAnsi="Times New Roman" w:cs="Times New Roman"/>
          <w:i/>
          <w:iCs/>
          <w:sz w:val="24"/>
          <w:szCs w:val="24"/>
        </w:rPr>
        <w:t xml:space="preserve">crucial </w:t>
      </w:r>
      <w:r w:rsidRPr="008C58EB" w:rsidR="00C808E2">
        <w:rPr>
          <w:rFonts w:ascii="Times New Roman" w:hAnsi="Times New Roman" w:cs="Times New Roman"/>
          <w:sz w:val="24"/>
          <w:szCs w:val="24"/>
        </w:rPr>
        <w:t>to a properly functioning competitive market. Fourth, as the PUCO pointed out, “submission of confidential data by stakeholders does not prohibit the Commission from sharing such data in an aggregated manner.”</w:t>
      </w:r>
      <w:r>
        <w:rPr>
          <w:rStyle w:val="FootnoteReference"/>
          <w:rFonts w:ascii="Times New Roman" w:hAnsi="Times New Roman" w:cs="Times New Roman"/>
          <w:sz w:val="24"/>
          <w:szCs w:val="24"/>
        </w:rPr>
        <w:footnoteReference w:id="16"/>
      </w:r>
      <w:r w:rsidRPr="008C58EB" w:rsidR="00C808E2">
        <w:rPr>
          <w:rFonts w:ascii="Times New Roman" w:hAnsi="Times New Roman" w:cs="Times New Roman"/>
          <w:sz w:val="24"/>
          <w:szCs w:val="24"/>
        </w:rPr>
        <w:t xml:space="preserve"> </w:t>
      </w:r>
      <w:bookmarkStart w:id="0" w:name="_Hlk127346453"/>
      <w:r w:rsidRPr="008C58EB" w:rsidR="00C808E2">
        <w:rPr>
          <w:rFonts w:ascii="Times New Roman" w:hAnsi="Times New Roman" w:cs="Times New Roman"/>
          <w:sz w:val="24"/>
          <w:szCs w:val="24"/>
        </w:rPr>
        <w:t>The PUCO</w:t>
      </w:r>
      <w:r w:rsidRPr="008C58EB" w:rsidR="00CF21A2">
        <w:rPr>
          <w:rFonts w:ascii="Times New Roman" w:hAnsi="Times New Roman" w:cs="Times New Roman"/>
          <w:sz w:val="24"/>
          <w:szCs w:val="24"/>
        </w:rPr>
        <w:t xml:space="preserve"> </w:t>
      </w:r>
      <w:r w:rsidRPr="008C58EB" w:rsidR="00870D59">
        <w:rPr>
          <w:rFonts w:ascii="Times New Roman" w:hAnsi="Times New Roman" w:cs="Times New Roman"/>
          <w:sz w:val="24"/>
          <w:szCs w:val="24"/>
        </w:rPr>
        <w:t xml:space="preserve">has </w:t>
      </w:r>
      <w:r w:rsidRPr="008C58EB" w:rsidR="00CF21A2">
        <w:rPr>
          <w:rFonts w:ascii="Times New Roman" w:hAnsi="Times New Roman" w:cs="Times New Roman"/>
          <w:sz w:val="24"/>
          <w:szCs w:val="24"/>
        </w:rPr>
        <w:t>long held that aggregate data does not implicate trade secret concerns and should be public.</w:t>
      </w:r>
      <w:r>
        <w:rPr>
          <w:rStyle w:val="FootnoteReference"/>
          <w:rFonts w:ascii="Times New Roman" w:hAnsi="Times New Roman" w:cs="Times New Roman"/>
          <w:sz w:val="24"/>
          <w:szCs w:val="24"/>
        </w:rPr>
        <w:footnoteReference w:id="17"/>
      </w:r>
      <w:r w:rsidRPr="008C58EB" w:rsidR="00C808E2">
        <w:rPr>
          <w:rFonts w:ascii="Times New Roman" w:hAnsi="Times New Roman" w:cs="Times New Roman"/>
          <w:sz w:val="24"/>
          <w:szCs w:val="24"/>
        </w:rPr>
        <w:t xml:space="preserve"> </w:t>
      </w:r>
      <w:bookmarkEnd w:id="0"/>
    </w:p>
    <w:p w:rsidR="00156A1F" w:rsidRPr="008C58EB" w:rsidP="006D1144" w14:paraId="1C98D50A" w14:textId="6A340091">
      <w:pPr>
        <w:spacing w:after="0" w:line="480" w:lineRule="auto"/>
        <w:rPr>
          <w:rFonts w:ascii="Times New Roman" w:hAnsi="Times New Roman" w:cs="Times New Roman"/>
          <w:sz w:val="24"/>
          <w:szCs w:val="24"/>
        </w:rPr>
      </w:pPr>
      <w:r w:rsidRPr="008C58EB">
        <w:rPr>
          <w:rFonts w:ascii="Times New Roman" w:hAnsi="Times New Roman" w:cs="Times New Roman"/>
          <w:sz w:val="24"/>
          <w:szCs w:val="24"/>
        </w:rPr>
        <w:tab/>
        <w:t>RESA believes that “unsophisticated” consumers should not be provided with aggregate information about the wholesale electric markets.</w:t>
      </w:r>
      <w:r>
        <w:rPr>
          <w:rStyle w:val="FootnoteReference"/>
          <w:rFonts w:ascii="Times New Roman" w:hAnsi="Times New Roman" w:cs="Times New Roman"/>
          <w:sz w:val="24"/>
          <w:szCs w:val="24"/>
        </w:rPr>
        <w:footnoteReference w:id="18"/>
      </w:r>
      <w:r w:rsidRPr="008C58EB">
        <w:rPr>
          <w:rFonts w:ascii="Times New Roman" w:hAnsi="Times New Roman" w:cs="Times New Roman"/>
          <w:sz w:val="24"/>
          <w:szCs w:val="24"/>
        </w:rPr>
        <w:t xml:space="preserve"> Instead, RESA believes that it should determine what is “unnecessary,” “misleading,” and “relevant.”</w:t>
      </w:r>
      <w:r>
        <w:rPr>
          <w:rStyle w:val="FootnoteReference"/>
          <w:rFonts w:ascii="Times New Roman" w:hAnsi="Times New Roman" w:cs="Times New Roman"/>
          <w:sz w:val="24"/>
          <w:szCs w:val="24"/>
        </w:rPr>
        <w:footnoteReference w:id="19"/>
      </w:r>
      <w:r w:rsidRPr="008C58EB" w:rsidR="00DF3FB2">
        <w:rPr>
          <w:rFonts w:ascii="Times New Roman" w:hAnsi="Times New Roman" w:cs="Times New Roman"/>
          <w:sz w:val="24"/>
          <w:szCs w:val="24"/>
        </w:rPr>
        <w:t xml:space="preserve"> RESA is wrong on both counts. The PUCO’s Finding and Order was reasonable and lawful. RESA’s Application for Rehearing should be rejected.</w:t>
      </w:r>
    </w:p>
    <w:p w:rsidR="00DF3FB2" w:rsidRPr="008C58EB" w:rsidP="00156A1F" w14:paraId="44334325" w14:textId="1A02DFE0">
      <w:pPr>
        <w:pStyle w:val="Heading2"/>
      </w:pPr>
      <w:r w:rsidRPr="008C58EB">
        <w:t>B.</w:t>
      </w:r>
      <w:r w:rsidRPr="008C58EB">
        <w:tab/>
        <w:t xml:space="preserve">Contrary to RESA’s assertions, the PUCO set forth its reasoning in its Finding and Order consistent with R.C. 4903.09. To protect consumers, RESA’s Application for Rehearing should be denied. </w:t>
      </w:r>
    </w:p>
    <w:p w:rsidR="00DF3FB2" w:rsidRPr="008C58EB" w:rsidP="008510CD" w14:paraId="0BCE9B1A" w14:textId="66726341">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RESA asserts that the PUCO did not comply with R.C. 4903.09 because the Finding and Order is “conclusory.”</w:t>
      </w:r>
      <w:r>
        <w:rPr>
          <w:rStyle w:val="FootnoteReference"/>
          <w:rFonts w:ascii="Times New Roman" w:hAnsi="Times New Roman" w:cs="Times New Roman"/>
          <w:sz w:val="24"/>
          <w:szCs w:val="24"/>
        </w:rPr>
        <w:footnoteReference w:id="20"/>
      </w:r>
      <w:r w:rsidRPr="008C58EB">
        <w:rPr>
          <w:rFonts w:ascii="Times New Roman" w:hAnsi="Times New Roman" w:cs="Times New Roman"/>
          <w:sz w:val="24"/>
          <w:szCs w:val="24"/>
        </w:rPr>
        <w:t xml:space="preserve"> RESA is wrong. Its Application for Rehearing should be denied.</w:t>
      </w:r>
    </w:p>
    <w:p w:rsidR="008510CD" w:rsidRPr="008C58EB" w:rsidP="008510CD" w14:paraId="4D569233" w14:textId="2ECC3252">
      <w:pPr>
        <w:autoSpaceDE w:val="0"/>
        <w:autoSpaceDN w:val="0"/>
        <w:adjustRightInd w:val="0"/>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R.C. 4903.09’s purpose is "to enable [the] court to review the action of the commission without reading the voluminous records in Public Utilities commission cases."</w:t>
      </w:r>
      <w:r>
        <w:rPr>
          <w:rStyle w:val="FootnoteReference"/>
          <w:rFonts w:ascii="Times New Roman" w:hAnsi="Times New Roman" w:cs="Times New Roman"/>
          <w:sz w:val="24"/>
          <w:szCs w:val="24"/>
        </w:rPr>
        <w:footnoteReference w:id="21"/>
      </w:r>
      <w:r w:rsidRPr="008C58EB">
        <w:rPr>
          <w:rFonts w:ascii="Times New Roman" w:hAnsi="Times New Roman" w:cs="Times New Roman"/>
          <w:sz w:val="24"/>
          <w:szCs w:val="24"/>
        </w:rPr>
        <w:t xml:space="preserve"> The purpose of the statute </w:t>
      </w:r>
      <w:r w:rsidRPr="008C58EB">
        <w:rPr>
          <w:rFonts w:ascii="Times New Roman" w:hAnsi="Times New Roman" w:cs="Times New Roman"/>
          <w:b/>
          <w:bCs/>
          <w:sz w:val="24"/>
          <w:szCs w:val="24"/>
        </w:rPr>
        <w:t xml:space="preserve">is not </w:t>
      </w:r>
      <w:r w:rsidRPr="008C58EB">
        <w:rPr>
          <w:rFonts w:ascii="Times New Roman" w:hAnsi="Times New Roman" w:cs="Times New Roman"/>
          <w:sz w:val="24"/>
          <w:szCs w:val="24"/>
        </w:rPr>
        <w:t>to bootstrap another attack on a PUCO order, simply because the PUCO did not eventually agree with a party. Further, R.C. 4905.09 specifically states that "substantial compliance by the public utilities commission with the requirements of Chapters ... 4903.... of the Revised Code is sufficient to give effect to all its rules and orders. Those rules and orders shall not be declared inoperative, illegal, or void for an omission of a technical nature." The PUCO’s Finding and Order meets this standard.</w:t>
      </w:r>
    </w:p>
    <w:p w:rsidR="008510CD" w:rsidRPr="008C58EB" w:rsidP="008510CD" w14:paraId="7AECB436" w14:textId="47871F3C">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Explaining its rational</w:t>
      </w:r>
      <w:r w:rsidRPr="008C58EB" w:rsidR="000E5FC1">
        <w:rPr>
          <w:rFonts w:ascii="Times New Roman" w:hAnsi="Times New Roman" w:cs="Times New Roman"/>
          <w:sz w:val="24"/>
          <w:szCs w:val="24"/>
        </w:rPr>
        <w:t>e</w:t>
      </w:r>
      <w:r w:rsidRPr="008C58EB">
        <w:rPr>
          <w:rFonts w:ascii="Times New Roman" w:hAnsi="Times New Roman" w:cs="Times New Roman"/>
          <w:sz w:val="24"/>
          <w:szCs w:val="24"/>
        </w:rPr>
        <w:t>, the PUCO said:</w:t>
      </w:r>
    </w:p>
    <w:p w:rsidR="008510CD" w:rsidP="0044469C" w14:paraId="65CA68F0" w14:textId="24D70473">
      <w:pPr>
        <w:spacing w:after="0" w:line="240" w:lineRule="auto"/>
        <w:ind w:left="1440" w:right="1440"/>
        <w:rPr>
          <w:rFonts w:ascii="Times New Roman" w:hAnsi="Times New Roman" w:cs="Times New Roman"/>
          <w:sz w:val="24"/>
          <w:szCs w:val="24"/>
        </w:rPr>
      </w:pPr>
      <w:r w:rsidRPr="008C58EB">
        <w:rPr>
          <w:rFonts w:ascii="Times New Roman" w:hAnsi="Times New Roman" w:cs="Times New Roman"/>
          <w:sz w:val="24"/>
          <w:szCs w:val="24"/>
        </w:rPr>
        <w:t>The Commission finds reasonable OCC’s proposal for aggregating market monitoring data and making such information available to the public. Notwithstanding RESA’s remarks, submission of confidential data by stakeholders does not prohibit the Commission from sharing such data in an aggregated manner. Staff will work with entities subject to these rules and endeavor to periodically post aggregated information on the Commission’s website to provide consumers with more information for assessing Ohio’s retail electric market.</w:t>
      </w:r>
      <w:r>
        <w:rPr>
          <w:rStyle w:val="FootnoteReference"/>
          <w:rFonts w:ascii="Times New Roman" w:hAnsi="Times New Roman" w:cs="Times New Roman"/>
          <w:sz w:val="24"/>
          <w:szCs w:val="24"/>
        </w:rPr>
        <w:footnoteReference w:id="22"/>
      </w:r>
    </w:p>
    <w:p w:rsidR="00370FA0" w:rsidRPr="008C58EB" w:rsidP="0044469C" w14:paraId="67D27AB4" w14:textId="77777777">
      <w:pPr>
        <w:spacing w:after="0" w:line="240" w:lineRule="auto"/>
        <w:ind w:left="1440" w:right="1440"/>
        <w:rPr>
          <w:rFonts w:ascii="Times New Roman" w:hAnsi="Times New Roman" w:cs="Times New Roman"/>
          <w:sz w:val="24"/>
          <w:szCs w:val="24"/>
        </w:rPr>
      </w:pPr>
    </w:p>
    <w:p w:rsidR="008510CD" w:rsidRPr="008C58EB" w:rsidP="009A4D26" w14:paraId="199ACBF6" w14:textId="44D1E925">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The Finding and Order incorporates OCC’s rational</w:t>
      </w:r>
      <w:r w:rsidRPr="008C58EB" w:rsidR="000E5FC1">
        <w:rPr>
          <w:rFonts w:ascii="Times New Roman" w:hAnsi="Times New Roman" w:cs="Times New Roman"/>
          <w:sz w:val="24"/>
          <w:szCs w:val="24"/>
        </w:rPr>
        <w:t>e</w:t>
      </w:r>
      <w:r w:rsidRPr="008C58EB">
        <w:rPr>
          <w:rFonts w:ascii="Times New Roman" w:hAnsi="Times New Roman" w:cs="Times New Roman"/>
          <w:sz w:val="24"/>
          <w:szCs w:val="24"/>
        </w:rPr>
        <w:t xml:space="preserve"> from our comments. It addresses RESA’s concerns regarding confidential data and (consistent with its long-standing precedent</w:t>
      </w:r>
      <w:r>
        <w:rPr>
          <w:rStyle w:val="FootnoteReference"/>
          <w:rFonts w:ascii="Times New Roman" w:hAnsi="Times New Roman" w:cs="Times New Roman"/>
          <w:sz w:val="24"/>
          <w:szCs w:val="24"/>
        </w:rPr>
        <w:footnoteReference w:id="23"/>
      </w:r>
      <w:r w:rsidRPr="008C58EB">
        <w:rPr>
          <w:rFonts w:ascii="Times New Roman" w:hAnsi="Times New Roman" w:cs="Times New Roman"/>
          <w:sz w:val="24"/>
          <w:szCs w:val="24"/>
        </w:rPr>
        <w:t>) rejects them. And it confirms the underlying rational</w:t>
      </w:r>
      <w:r w:rsidRPr="008C58EB" w:rsidR="000E5FC1">
        <w:rPr>
          <w:rFonts w:ascii="Times New Roman" w:hAnsi="Times New Roman" w:cs="Times New Roman"/>
          <w:sz w:val="24"/>
          <w:szCs w:val="24"/>
        </w:rPr>
        <w:t>e</w:t>
      </w:r>
      <w:r w:rsidRPr="008C58EB">
        <w:rPr>
          <w:rFonts w:ascii="Times New Roman" w:hAnsi="Times New Roman" w:cs="Times New Roman"/>
          <w:sz w:val="24"/>
          <w:szCs w:val="24"/>
        </w:rPr>
        <w:t xml:space="preserve"> – “to provide consumers with more information for assessing Ohio’s retail electric market.</w:t>
      </w:r>
      <w:r w:rsidRPr="008C58EB" w:rsidR="00727BC6">
        <w:rPr>
          <w:rFonts w:ascii="Times New Roman" w:hAnsi="Times New Roman" w:cs="Times New Roman"/>
          <w:sz w:val="24"/>
          <w:szCs w:val="24"/>
        </w:rPr>
        <w:t>” It stretches credulity to think this fails to meet R.C. 4903.09’s requirements.</w:t>
      </w:r>
      <w:r>
        <w:rPr>
          <w:rStyle w:val="FootnoteReference"/>
          <w:rFonts w:ascii="Times New Roman" w:hAnsi="Times New Roman" w:cs="Times New Roman"/>
          <w:sz w:val="24"/>
          <w:szCs w:val="24"/>
        </w:rPr>
        <w:footnoteReference w:id="24"/>
      </w:r>
    </w:p>
    <w:p w:rsidR="003D593B" w:rsidRPr="008C58EB" w:rsidP="003D593B" w14:paraId="68F2FFD7" w14:textId="77777777">
      <w:pPr>
        <w:spacing w:after="0" w:line="240" w:lineRule="auto"/>
        <w:rPr>
          <w:rFonts w:ascii="Times New Roman" w:hAnsi="Times New Roman" w:cs="Times New Roman"/>
          <w:sz w:val="24"/>
          <w:szCs w:val="24"/>
        </w:rPr>
      </w:pPr>
    </w:p>
    <w:p w:rsidR="00727BC6" w:rsidRPr="008C58EB" w:rsidP="003D593B" w14:paraId="55684B95" w14:textId="003B41D5">
      <w:pPr>
        <w:pStyle w:val="Heading2"/>
        <w:ind w:left="720"/>
      </w:pPr>
      <w:r w:rsidRPr="008C58EB">
        <w:t>III.</w:t>
      </w:r>
      <w:r w:rsidRPr="008C58EB">
        <w:tab/>
        <w:t>CONCLUSION</w:t>
      </w:r>
    </w:p>
    <w:p w:rsidR="00137A5F" w:rsidRPr="008C58EB" w:rsidP="00727BC6" w14:paraId="342B417E" w14:textId="69C8F95E">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 xml:space="preserve">Properly functioning competitive markets with </w:t>
      </w:r>
      <w:r w:rsidRPr="008C58EB" w:rsidR="00666475">
        <w:rPr>
          <w:rFonts w:ascii="Times New Roman" w:hAnsi="Times New Roman" w:cs="Times New Roman"/>
          <w:sz w:val="24"/>
          <w:szCs w:val="24"/>
        </w:rPr>
        <w:t xml:space="preserve">participation by </w:t>
      </w:r>
      <w:r w:rsidRPr="008C58EB">
        <w:rPr>
          <w:rFonts w:ascii="Times New Roman" w:hAnsi="Times New Roman" w:cs="Times New Roman"/>
          <w:sz w:val="24"/>
          <w:szCs w:val="24"/>
        </w:rPr>
        <w:t xml:space="preserve">informed consumers </w:t>
      </w:r>
      <w:r w:rsidRPr="008C58EB">
        <w:rPr>
          <w:rFonts w:ascii="Times New Roman" w:hAnsi="Times New Roman" w:cs="Times New Roman"/>
          <w:sz w:val="24"/>
          <w:szCs w:val="24"/>
        </w:rPr>
        <w:t xml:space="preserve">can </w:t>
      </w:r>
      <w:r w:rsidRPr="008C58EB">
        <w:rPr>
          <w:rFonts w:ascii="Times New Roman" w:hAnsi="Times New Roman" w:cs="Times New Roman"/>
          <w:sz w:val="24"/>
          <w:szCs w:val="24"/>
        </w:rPr>
        <w:t>result in benefits to Ohioans.</w:t>
      </w:r>
      <w:r w:rsidRPr="008C58EB">
        <w:rPr>
          <w:rFonts w:ascii="Times New Roman" w:hAnsi="Times New Roman" w:cs="Times New Roman"/>
          <w:sz w:val="24"/>
          <w:szCs w:val="24"/>
        </w:rPr>
        <w:t xml:space="preserve"> But there are perils for consumers in the retail electricity market.</w:t>
      </w:r>
      <w:r w:rsidRPr="008C58EB">
        <w:rPr>
          <w:rFonts w:ascii="Times New Roman" w:hAnsi="Times New Roman" w:cs="Times New Roman"/>
          <w:sz w:val="24"/>
          <w:szCs w:val="24"/>
        </w:rPr>
        <w:t xml:space="preserve"> </w:t>
      </w:r>
      <w:r w:rsidRPr="008C58EB">
        <w:rPr>
          <w:rFonts w:ascii="Times New Roman" w:hAnsi="Times New Roman" w:cs="Times New Roman"/>
          <w:sz w:val="24"/>
          <w:szCs w:val="24"/>
        </w:rPr>
        <w:t>Here, t</w:t>
      </w:r>
      <w:r w:rsidRPr="008C58EB">
        <w:rPr>
          <w:rFonts w:ascii="Times New Roman" w:hAnsi="Times New Roman" w:cs="Times New Roman"/>
          <w:sz w:val="24"/>
          <w:szCs w:val="24"/>
        </w:rPr>
        <w:t xml:space="preserve">he PUCO took the opportunity to </w:t>
      </w:r>
      <w:r w:rsidRPr="008C58EB" w:rsidR="00614536">
        <w:rPr>
          <w:rFonts w:ascii="Times New Roman" w:hAnsi="Times New Roman" w:cs="Times New Roman"/>
          <w:sz w:val="24"/>
          <w:szCs w:val="24"/>
        </w:rPr>
        <w:t>provide</w:t>
      </w:r>
      <w:r w:rsidRPr="008C58EB">
        <w:rPr>
          <w:rFonts w:ascii="Times New Roman" w:hAnsi="Times New Roman" w:cs="Times New Roman"/>
          <w:sz w:val="24"/>
          <w:szCs w:val="24"/>
        </w:rPr>
        <w:t xml:space="preserve"> better information to Ohio </w:t>
      </w:r>
      <w:r w:rsidRPr="008C58EB">
        <w:rPr>
          <w:rFonts w:ascii="Times New Roman" w:hAnsi="Times New Roman" w:cs="Times New Roman"/>
          <w:sz w:val="24"/>
          <w:szCs w:val="24"/>
        </w:rPr>
        <w:t>consumers</w:t>
      </w:r>
      <w:r w:rsidRPr="008C58EB">
        <w:rPr>
          <w:rFonts w:ascii="Times New Roman" w:hAnsi="Times New Roman" w:cs="Times New Roman"/>
          <w:sz w:val="24"/>
          <w:szCs w:val="24"/>
        </w:rPr>
        <w:t>, for their electricity purchases,</w:t>
      </w:r>
      <w:r w:rsidRPr="008C58EB">
        <w:rPr>
          <w:rFonts w:ascii="Times New Roman" w:hAnsi="Times New Roman" w:cs="Times New Roman"/>
          <w:sz w:val="24"/>
          <w:szCs w:val="24"/>
        </w:rPr>
        <w:t xml:space="preserve"> as it addressed market monitoring rules.</w:t>
      </w:r>
      <w:r w:rsidRPr="008C58EB">
        <w:rPr>
          <w:rFonts w:ascii="Times New Roman" w:hAnsi="Times New Roman" w:cs="Times New Roman"/>
          <w:sz w:val="24"/>
          <w:szCs w:val="24"/>
        </w:rPr>
        <w:t xml:space="preserve"> That’s a good thing, especially at this time of soaring energy prices and inflation.</w:t>
      </w:r>
      <w:r w:rsidRPr="008C58EB">
        <w:rPr>
          <w:rFonts w:ascii="Times New Roman" w:hAnsi="Times New Roman" w:cs="Times New Roman"/>
          <w:sz w:val="24"/>
          <w:szCs w:val="24"/>
        </w:rPr>
        <w:t xml:space="preserve"> </w:t>
      </w:r>
    </w:p>
    <w:p w:rsidR="00727BC6" w:rsidRPr="008C58EB" w:rsidP="00727BC6" w14:paraId="194C406F" w14:textId="2DB09A8F">
      <w:pPr>
        <w:spacing w:after="0" w:line="480" w:lineRule="auto"/>
        <w:ind w:firstLine="720"/>
        <w:rPr>
          <w:rFonts w:ascii="Times New Roman" w:hAnsi="Times New Roman" w:cs="Times New Roman"/>
          <w:sz w:val="24"/>
          <w:szCs w:val="24"/>
        </w:rPr>
      </w:pPr>
      <w:r w:rsidRPr="008C58EB">
        <w:rPr>
          <w:rFonts w:ascii="Times New Roman" w:hAnsi="Times New Roman" w:cs="Times New Roman"/>
          <w:sz w:val="24"/>
          <w:szCs w:val="24"/>
        </w:rPr>
        <w:t>The PUCO’s</w:t>
      </w:r>
      <w:r w:rsidRPr="008C58EB">
        <w:rPr>
          <w:rFonts w:ascii="Times New Roman" w:hAnsi="Times New Roman" w:cs="Times New Roman"/>
          <w:sz w:val="24"/>
          <w:szCs w:val="24"/>
        </w:rPr>
        <w:t xml:space="preserve"> Finding and Order was reasonable and lawful</w:t>
      </w:r>
      <w:r w:rsidRPr="008C58EB">
        <w:rPr>
          <w:rFonts w:ascii="Times New Roman" w:hAnsi="Times New Roman" w:cs="Times New Roman"/>
          <w:sz w:val="24"/>
          <w:szCs w:val="24"/>
        </w:rPr>
        <w:t>, and in the public interest on this issue</w:t>
      </w:r>
      <w:r w:rsidRPr="008C58EB">
        <w:rPr>
          <w:rFonts w:ascii="Times New Roman" w:hAnsi="Times New Roman" w:cs="Times New Roman"/>
          <w:sz w:val="24"/>
          <w:szCs w:val="24"/>
        </w:rPr>
        <w:t>. RESA’s Application for Rehearing should be denied.</w:t>
      </w:r>
      <w:r w:rsidRPr="008C58EB">
        <w:rPr>
          <w:rFonts w:ascii="Times New Roman" w:hAnsi="Times New Roman" w:cs="Times New Roman"/>
          <w:sz w:val="24"/>
          <w:szCs w:val="24"/>
        </w:rPr>
        <w:t xml:space="preserve"> This better information to help consumers save money in the energy market should be approved for sharing. And more consumer protections are need</w:t>
      </w:r>
      <w:r w:rsidRPr="008C58EB" w:rsidR="000E5FC1">
        <w:rPr>
          <w:rFonts w:ascii="Times New Roman" w:hAnsi="Times New Roman" w:cs="Times New Roman"/>
          <w:sz w:val="24"/>
          <w:szCs w:val="24"/>
        </w:rPr>
        <w:t>e</w:t>
      </w:r>
      <w:r w:rsidRPr="008C58EB">
        <w:rPr>
          <w:rFonts w:ascii="Times New Roman" w:hAnsi="Times New Roman" w:cs="Times New Roman"/>
          <w:sz w:val="24"/>
          <w:szCs w:val="24"/>
        </w:rPr>
        <w:t>d going forward.</w:t>
      </w:r>
    </w:p>
    <w:p w:rsidR="00F559D2" w:rsidRPr="008C58EB" w:rsidP="00F559D2" w14:paraId="7B4C2EF9" w14:textId="77777777">
      <w:pPr>
        <w:widowControl w:val="0"/>
        <w:spacing w:after="0" w:line="240" w:lineRule="auto"/>
        <w:ind w:left="360" w:right="-312" w:firstLine="3960"/>
        <w:rPr>
          <w:rFonts w:ascii="Times New Roman" w:hAnsi="Times New Roman" w:cs="Times New Roman"/>
          <w:sz w:val="24"/>
          <w:szCs w:val="24"/>
        </w:rPr>
      </w:pPr>
      <w:r w:rsidRPr="008C58EB">
        <w:rPr>
          <w:rFonts w:ascii="Times New Roman" w:hAnsi="Times New Roman" w:cs="Times New Roman"/>
          <w:sz w:val="24"/>
          <w:szCs w:val="24"/>
        </w:rPr>
        <w:t>Respectfully submitted,</w:t>
      </w:r>
    </w:p>
    <w:p w:rsidR="00F559D2" w:rsidRPr="008C58EB" w:rsidP="00F559D2" w14:paraId="34B30BE8" w14:textId="77777777">
      <w:pPr>
        <w:spacing w:after="0" w:line="240" w:lineRule="auto"/>
        <w:ind w:left="4320"/>
        <w:jc w:val="both"/>
        <w:rPr>
          <w:rFonts w:ascii="Times New Roman" w:hAnsi="Times New Roman" w:cs="Times New Roman"/>
          <w:bCs/>
          <w:color w:val="000000"/>
          <w:sz w:val="24"/>
          <w:szCs w:val="24"/>
        </w:rPr>
      </w:pPr>
    </w:p>
    <w:p w:rsidR="00F559D2" w:rsidRPr="008C58EB" w:rsidP="00F559D2" w14:paraId="53DC8A16" w14:textId="77777777">
      <w:pPr>
        <w:spacing w:after="0" w:line="240" w:lineRule="auto"/>
        <w:ind w:left="4320"/>
        <w:jc w:val="both"/>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Bruce Weston (0016973)</w:t>
      </w:r>
    </w:p>
    <w:p w:rsidR="00F559D2" w:rsidRPr="008C58EB" w:rsidP="00F559D2" w14:paraId="4EAA60C8" w14:textId="77777777">
      <w:pPr>
        <w:tabs>
          <w:tab w:val="left" w:pos="4320"/>
        </w:tabs>
        <w:spacing w:after="0" w:line="240" w:lineRule="auto"/>
        <w:ind w:left="4320" w:hanging="4320"/>
        <w:jc w:val="both"/>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b/>
        <w:t>Ohio Consumers’ Counsel</w:t>
      </w:r>
    </w:p>
    <w:p w:rsidR="00F559D2" w:rsidRPr="008C58EB" w:rsidP="00F559D2" w14:paraId="794FBCFB" w14:textId="77777777">
      <w:pPr>
        <w:tabs>
          <w:tab w:val="left" w:pos="4320"/>
        </w:tabs>
        <w:spacing w:after="0" w:line="240" w:lineRule="auto"/>
        <w:ind w:left="4320" w:hanging="4320"/>
        <w:jc w:val="both"/>
        <w:rPr>
          <w:rFonts w:ascii="Times New Roman" w:hAnsi="Times New Roman" w:cs="Times New Roman"/>
          <w:bCs/>
          <w:color w:val="000000"/>
          <w:sz w:val="24"/>
          <w:szCs w:val="24"/>
        </w:rPr>
      </w:pPr>
    </w:p>
    <w:p w:rsidR="00F559D2" w:rsidRPr="008C58EB" w:rsidP="00F559D2" w14:paraId="0311F1B5" w14:textId="77777777">
      <w:pPr>
        <w:tabs>
          <w:tab w:val="left" w:pos="4320"/>
        </w:tabs>
        <w:spacing w:after="0" w:line="240" w:lineRule="auto"/>
        <w:ind w:left="4320"/>
        <w:jc w:val="both"/>
        <w:rPr>
          <w:rFonts w:ascii="Times New Roman" w:hAnsi="Times New Roman" w:cs="Times New Roman"/>
          <w:bCs/>
          <w:i/>
          <w:iCs/>
          <w:color w:val="000000"/>
          <w:sz w:val="24"/>
          <w:szCs w:val="24"/>
          <w:u w:val="single"/>
        </w:rPr>
      </w:pPr>
      <w:r w:rsidRPr="008C58EB">
        <w:rPr>
          <w:rFonts w:ascii="Times New Roman" w:hAnsi="Times New Roman" w:cs="Times New Roman"/>
          <w:bCs/>
          <w:i/>
          <w:iCs/>
          <w:color w:val="000000"/>
          <w:sz w:val="24"/>
          <w:szCs w:val="24"/>
          <w:u w:val="single"/>
        </w:rPr>
        <w:t>/s/ William J. Michael</w:t>
      </w:r>
      <w:r w:rsidRPr="008C58EB">
        <w:rPr>
          <w:rFonts w:ascii="Times New Roman" w:hAnsi="Times New Roman" w:cs="Times New Roman"/>
          <w:bCs/>
          <w:i/>
          <w:iCs/>
          <w:color w:val="000000"/>
          <w:sz w:val="24"/>
          <w:szCs w:val="24"/>
          <w:u w:val="single"/>
        </w:rPr>
        <w:tab/>
      </w:r>
      <w:r w:rsidRPr="008C58EB">
        <w:rPr>
          <w:rFonts w:ascii="Times New Roman" w:hAnsi="Times New Roman" w:cs="Times New Roman"/>
          <w:bCs/>
          <w:i/>
          <w:iCs/>
          <w:color w:val="000000"/>
          <w:sz w:val="24"/>
          <w:szCs w:val="24"/>
          <w:u w:val="single"/>
        </w:rPr>
        <w:tab/>
      </w:r>
    </w:p>
    <w:p w:rsidR="00F559D2" w:rsidRPr="008C58EB" w:rsidP="00F559D2" w14:paraId="62725E6E" w14:textId="77777777">
      <w:pPr>
        <w:spacing w:after="0" w:line="240" w:lineRule="auto"/>
        <w:ind w:left="4320"/>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William J. Michael (0070921)</w:t>
      </w:r>
    </w:p>
    <w:p w:rsidR="00F559D2" w:rsidRPr="008C58EB" w:rsidP="00F559D2" w14:paraId="589D8C36" w14:textId="77777777">
      <w:pPr>
        <w:spacing w:after="0" w:line="240" w:lineRule="auto"/>
        <w:ind w:left="4320"/>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Counsel of Record</w:t>
      </w:r>
    </w:p>
    <w:p w:rsidR="00F559D2" w:rsidRPr="008C58EB" w:rsidP="00F559D2" w14:paraId="2F18D3D4" w14:textId="77777777">
      <w:pPr>
        <w:spacing w:after="0" w:line="240" w:lineRule="auto"/>
        <w:ind w:left="4320"/>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Assistant Consumers’ Counsel</w:t>
      </w:r>
    </w:p>
    <w:p w:rsidR="00F559D2" w:rsidRPr="008C58EB" w:rsidP="00F559D2" w14:paraId="6683282E" w14:textId="77777777">
      <w:pPr>
        <w:spacing w:after="0" w:line="240" w:lineRule="auto"/>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b/>
      </w:r>
    </w:p>
    <w:p w:rsidR="00F559D2" w:rsidRPr="008C58EB" w:rsidP="00F559D2" w14:paraId="50A96771" w14:textId="77777777">
      <w:pPr>
        <w:spacing w:after="0" w:line="240" w:lineRule="auto"/>
        <w:ind w:left="3600" w:firstLine="720"/>
        <w:rPr>
          <w:rFonts w:ascii="Times New Roman" w:hAnsi="Times New Roman" w:cs="Times New Roman"/>
          <w:b/>
          <w:color w:val="000000"/>
          <w:sz w:val="24"/>
          <w:szCs w:val="24"/>
        </w:rPr>
      </w:pPr>
      <w:r w:rsidRPr="008C58EB">
        <w:rPr>
          <w:rFonts w:ascii="Times New Roman" w:hAnsi="Times New Roman" w:cs="Times New Roman"/>
          <w:b/>
          <w:bCs/>
          <w:color w:val="000000"/>
          <w:sz w:val="24"/>
          <w:szCs w:val="24"/>
        </w:rPr>
        <w:t>Office of the Ohio Consumers’ Counsel</w:t>
      </w:r>
    </w:p>
    <w:p w:rsidR="00F559D2" w:rsidRPr="008C58EB" w:rsidP="00F559D2" w14:paraId="0DF24820" w14:textId="77777777">
      <w:pPr>
        <w:spacing w:after="0" w:line="240" w:lineRule="auto"/>
        <w:ind w:left="3600" w:firstLine="720"/>
        <w:rPr>
          <w:rFonts w:ascii="Times New Roman" w:hAnsi="Times New Roman" w:cs="Times New Roman"/>
          <w:b/>
          <w:bCs/>
          <w:color w:val="000000"/>
          <w:sz w:val="24"/>
          <w:szCs w:val="24"/>
        </w:rPr>
      </w:pPr>
      <w:r w:rsidRPr="008C58EB">
        <w:rPr>
          <w:rFonts w:ascii="Times New Roman" w:hAnsi="Times New Roman" w:cs="Times New Roman"/>
          <w:bCs/>
          <w:color w:val="000000"/>
          <w:sz w:val="24"/>
          <w:szCs w:val="24"/>
        </w:rPr>
        <w:t>65 East State Street, Suite 700</w:t>
      </w:r>
    </w:p>
    <w:p w:rsidR="00F559D2" w:rsidRPr="008C58EB" w:rsidP="00F559D2" w14:paraId="22C5A096" w14:textId="77777777">
      <w:pPr>
        <w:spacing w:after="0" w:line="240" w:lineRule="auto"/>
        <w:ind w:left="3600" w:firstLine="720"/>
        <w:rPr>
          <w:rFonts w:ascii="Times New Roman" w:hAnsi="Times New Roman" w:cs="Times New Roman"/>
          <w:b/>
          <w:bCs/>
          <w:color w:val="000000"/>
          <w:sz w:val="24"/>
          <w:szCs w:val="24"/>
        </w:rPr>
      </w:pPr>
      <w:r w:rsidRPr="008C58EB">
        <w:rPr>
          <w:rFonts w:ascii="Times New Roman" w:hAnsi="Times New Roman" w:cs="Times New Roman"/>
          <w:bCs/>
          <w:color w:val="000000"/>
          <w:sz w:val="24"/>
          <w:szCs w:val="24"/>
        </w:rPr>
        <w:t>Columbus, Ohio 43215</w:t>
      </w:r>
    </w:p>
    <w:p w:rsidR="00F559D2" w:rsidRPr="008C58EB" w:rsidP="00F559D2" w14:paraId="12AE4D5F" w14:textId="77777777">
      <w:pPr>
        <w:spacing w:after="0" w:line="240" w:lineRule="auto"/>
        <w:ind w:left="4320"/>
        <w:rPr>
          <w:rFonts w:ascii="Times New Roman" w:hAnsi="Times New Roman" w:cs="Times New Roman"/>
          <w:bCs/>
          <w:color w:val="0000FF"/>
          <w:sz w:val="24"/>
          <w:szCs w:val="24"/>
          <w:u w:val="single"/>
        </w:rPr>
      </w:pPr>
      <w:r w:rsidRPr="008C58EB">
        <w:rPr>
          <w:rFonts w:ascii="Times New Roman" w:hAnsi="Times New Roman" w:cs="Times New Roman"/>
          <w:bCs/>
          <w:color w:val="000000"/>
          <w:sz w:val="24"/>
          <w:szCs w:val="24"/>
        </w:rPr>
        <w:t>Telephone [Michael]: (614) 466-1291</w:t>
      </w:r>
      <w:r w:rsidRPr="008C58EB">
        <w:rPr>
          <w:rFonts w:ascii="Times New Roman" w:hAnsi="Times New Roman" w:cs="Times New Roman"/>
          <w:bCs/>
          <w:color w:val="000000"/>
          <w:sz w:val="24"/>
          <w:szCs w:val="24"/>
        </w:rPr>
        <w:br/>
      </w:r>
      <w:hyperlink r:id="rId6" w:history="1">
        <w:r w:rsidRPr="008C58EB">
          <w:rPr>
            <w:rFonts w:ascii="Times New Roman" w:hAnsi="Times New Roman" w:cs="Times New Roman"/>
            <w:bCs/>
            <w:color w:val="0000FF"/>
            <w:sz w:val="24"/>
            <w:szCs w:val="24"/>
            <w:u w:val="single"/>
          </w:rPr>
          <w:t>william.michael@occ.ohio.gov</w:t>
        </w:r>
      </w:hyperlink>
    </w:p>
    <w:p w:rsidR="00F559D2" w:rsidRPr="008C58EB" w:rsidP="00F559D2" w14:paraId="43DAF5CD" w14:textId="77777777">
      <w:pPr>
        <w:spacing w:after="0" w:line="240" w:lineRule="auto"/>
        <w:ind w:left="3600" w:firstLine="720"/>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(willing to accept service by email)</w:t>
      </w:r>
    </w:p>
    <w:p w:rsidR="00F559D2" w:rsidRPr="008C58EB" w:rsidP="00727BC6" w14:paraId="6F14234B" w14:textId="77777777">
      <w:pPr>
        <w:spacing w:after="0" w:line="480" w:lineRule="auto"/>
        <w:ind w:firstLine="720"/>
        <w:rPr>
          <w:rFonts w:ascii="Times New Roman" w:hAnsi="Times New Roman" w:cs="Times New Roman"/>
          <w:b/>
          <w:bCs/>
          <w:sz w:val="24"/>
          <w:szCs w:val="24"/>
        </w:rPr>
      </w:pPr>
    </w:p>
    <w:p w:rsidR="00F559D2" w:rsidRPr="008C58EB" w14:paraId="77C953E5" w14:textId="6567C6BC">
      <w:pPr>
        <w:rPr>
          <w:rFonts w:ascii="Times New Roman" w:hAnsi="Times New Roman" w:cs="Times New Roman"/>
          <w:b/>
          <w:bCs/>
          <w:sz w:val="24"/>
          <w:szCs w:val="24"/>
        </w:rPr>
      </w:pPr>
      <w:r w:rsidRPr="008C58EB">
        <w:rPr>
          <w:rFonts w:ascii="Times New Roman" w:hAnsi="Times New Roman" w:cs="Times New Roman"/>
          <w:b/>
          <w:bCs/>
          <w:sz w:val="24"/>
          <w:szCs w:val="24"/>
        </w:rPr>
        <w:br w:type="page"/>
      </w:r>
    </w:p>
    <w:p w:rsidR="00F559D2" w:rsidRPr="008C58EB" w:rsidP="00F559D2" w14:paraId="48BC6B35" w14:textId="77777777">
      <w:pPr>
        <w:spacing w:after="0" w:line="240" w:lineRule="auto"/>
        <w:jc w:val="center"/>
        <w:rPr>
          <w:rFonts w:ascii="Times New Roman" w:hAnsi="Times New Roman" w:cs="Times New Roman"/>
          <w:b/>
          <w:color w:val="000000"/>
          <w:sz w:val="24"/>
          <w:szCs w:val="24"/>
          <w:u w:val="single"/>
        </w:rPr>
      </w:pPr>
      <w:r w:rsidRPr="008C58EB">
        <w:rPr>
          <w:rFonts w:ascii="Times New Roman" w:hAnsi="Times New Roman" w:cs="Times New Roman"/>
          <w:b/>
          <w:bCs/>
          <w:color w:val="000000"/>
          <w:sz w:val="24"/>
          <w:szCs w:val="24"/>
          <w:u w:val="single"/>
        </w:rPr>
        <w:t>CERTIFICATE OF SERVICE</w:t>
      </w:r>
    </w:p>
    <w:p w:rsidR="00F559D2" w:rsidRPr="008C58EB" w:rsidP="00F559D2" w14:paraId="7F69A30C" w14:textId="2E24AB72">
      <w:pPr>
        <w:spacing w:after="0" w:line="480" w:lineRule="atLeast"/>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b/>
        <w:t xml:space="preserve">I hereby certify that a copy of this </w:t>
      </w:r>
      <w:r w:rsidRPr="008C58EB" w:rsidR="00584FEA">
        <w:rPr>
          <w:rFonts w:ascii="Times New Roman" w:hAnsi="Times New Roman" w:cs="Times New Roman"/>
          <w:bCs/>
          <w:color w:val="000000"/>
          <w:sz w:val="24"/>
          <w:szCs w:val="24"/>
        </w:rPr>
        <w:t xml:space="preserve">Memorandum Contra Application for Rehearing of the Retail Energy Supply Association </w:t>
      </w:r>
      <w:r w:rsidRPr="008C58EB">
        <w:rPr>
          <w:rFonts w:ascii="Times New Roman" w:hAnsi="Times New Roman" w:cs="Times New Roman"/>
          <w:bCs/>
          <w:color w:val="000000"/>
          <w:sz w:val="24"/>
          <w:szCs w:val="24"/>
        </w:rPr>
        <w:t>was served on the persons stated below</w:t>
      </w:r>
      <w:r w:rsidRPr="008C58EB">
        <w:rPr>
          <w:rFonts w:ascii="Times New Roman" w:hAnsi="Times New Roman" w:cs="Times New Roman"/>
          <w:bCs/>
          <w:iCs/>
          <w:color w:val="000000"/>
          <w:sz w:val="24"/>
          <w:szCs w:val="24"/>
        </w:rPr>
        <w:t xml:space="preserve"> via </w:t>
      </w:r>
      <w:r w:rsidRPr="008C58EB">
        <w:rPr>
          <w:rFonts w:ascii="Times New Roman" w:hAnsi="Times New Roman" w:cs="Times New Roman"/>
          <w:bCs/>
          <w:color w:val="000000"/>
          <w:sz w:val="24"/>
          <w:szCs w:val="24"/>
        </w:rPr>
        <w:t xml:space="preserve">electronic transmission, this </w:t>
      </w:r>
      <w:r w:rsidRPr="008C58EB" w:rsidR="00584FEA">
        <w:rPr>
          <w:rFonts w:ascii="Times New Roman" w:hAnsi="Times New Roman" w:cs="Times New Roman"/>
          <w:bCs/>
          <w:color w:val="000000"/>
          <w:sz w:val="24"/>
          <w:szCs w:val="24"/>
        </w:rPr>
        <w:t>21</w:t>
      </w:r>
      <w:r w:rsidRPr="008C58EB" w:rsidR="00584FEA">
        <w:rPr>
          <w:rFonts w:ascii="Times New Roman" w:hAnsi="Times New Roman" w:cs="Times New Roman"/>
          <w:bCs/>
          <w:color w:val="000000"/>
          <w:sz w:val="24"/>
          <w:szCs w:val="24"/>
          <w:vertAlign w:val="superscript"/>
        </w:rPr>
        <w:t>st</w:t>
      </w:r>
      <w:r w:rsidRPr="008C58EB" w:rsidR="00584FEA">
        <w:rPr>
          <w:rFonts w:ascii="Times New Roman" w:hAnsi="Times New Roman" w:cs="Times New Roman"/>
          <w:bCs/>
          <w:color w:val="000000"/>
          <w:sz w:val="24"/>
          <w:szCs w:val="24"/>
        </w:rPr>
        <w:t xml:space="preserve"> </w:t>
      </w:r>
      <w:r w:rsidRPr="008C58EB">
        <w:rPr>
          <w:rFonts w:ascii="Times New Roman" w:hAnsi="Times New Roman" w:cs="Times New Roman"/>
          <w:bCs/>
          <w:color w:val="000000"/>
          <w:sz w:val="24"/>
          <w:szCs w:val="24"/>
        </w:rPr>
        <w:t xml:space="preserve">day of </w:t>
      </w:r>
      <w:r w:rsidRPr="008C58EB" w:rsidR="00584FEA">
        <w:rPr>
          <w:rFonts w:ascii="Times New Roman" w:hAnsi="Times New Roman" w:cs="Times New Roman"/>
          <w:bCs/>
          <w:color w:val="000000"/>
          <w:sz w:val="24"/>
          <w:szCs w:val="24"/>
        </w:rPr>
        <w:t>February</w:t>
      </w:r>
      <w:r w:rsidRPr="008C58EB">
        <w:rPr>
          <w:rFonts w:ascii="Times New Roman" w:hAnsi="Times New Roman" w:cs="Times New Roman"/>
          <w:bCs/>
          <w:color w:val="000000"/>
          <w:sz w:val="24"/>
          <w:szCs w:val="24"/>
        </w:rPr>
        <w:t xml:space="preserve"> 202</w:t>
      </w:r>
      <w:r w:rsidRPr="008C58EB" w:rsidR="00584FEA">
        <w:rPr>
          <w:rFonts w:ascii="Times New Roman" w:hAnsi="Times New Roman" w:cs="Times New Roman"/>
          <w:bCs/>
          <w:color w:val="000000"/>
          <w:sz w:val="24"/>
          <w:szCs w:val="24"/>
        </w:rPr>
        <w:t>3</w:t>
      </w:r>
      <w:r w:rsidRPr="008C58EB">
        <w:rPr>
          <w:rFonts w:ascii="Times New Roman" w:hAnsi="Times New Roman" w:cs="Times New Roman"/>
          <w:bCs/>
          <w:color w:val="000000"/>
          <w:sz w:val="24"/>
          <w:szCs w:val="24"/>
        </w:rPr>
        <w:t>.</w:t>
      </w:r>
    </w:p>
    <w:p w:rsidR="00584FEA" w:rsidRPr="008C58EB" w:rsidP="00584FEA" w14:paraId="408EB467" w14:textId="77777777">
      <w:pPr>
        <w:spacing w:after="0" w:line="240" w:lineRule="auto"/>
        <w:rPr>
          <w:rFonts w:ascii="Times New Roman" w:hAnsi="Times New Roman" w:cs="Times New Roman"/>
          <w:bCs/>
          <w:color w:val="000000"/>
          <w:sz w:val="24"/>
          <w:szCs w:val="24"/>
        </w:rPr>
      </w:pPr>
    </w:p>
    <w:p w:rsidR="00F559D2" w:rsidRPr="008C58EB" w:rsidP="00F559D2" w14:paraId="12A0F88D" w14:textId="77777777">
      <w:pPr>
        <w:tabs>
          <w:tab w:val="left" w:pos="4320"/>
        </w:tabs>
        <w:spacing w:after="0" w:line="240" w:lineRule="auto"/>
        <w:rPr>
          <w:rFonts w:ascii="Times New Roman" w:hAnsi="Times New Roman" w:cs="Times New Roman"/>
          <w:bCs/>
          <w:i/>
          <w:iCs/>
          <w:color w:val="000000"/>
          <w:sz w:val="24"/>
          <w:szCs w:val="24"/>
          <w:u w:val="single"/>
        </w:rPr>
      </w:pPr>
      <w:r w:rsidRPr="008C58EB">
        <w:rPr>
          <w:rFonts w:ascii="Times New Roman" w:hAnsi="Times New Roman" w:cs="Times New Roman"/>
          <w:bCs/>
          <w:color w:val="000000"/>
          <w:sz w:val="24"/>
          <w:szCs w:val="24"/>
        </w:rPr>
        <w:tab/>
      </w:r>
      <w:r w:rsidRPr="008C58EB">
        <w:rPr>
          <w:rFonts w:ascii="Times New Roman" w:hAnsi="Times New Roman" w:cs="Times New Roman"/>
          <w:bCs/>
          <w:i/>
          <w:iCs/>
          <w:color w:val="000000"/>
          <w:sz w:val="24"/>
          <w:szCs w:val="24"/>
          <w:u w:val="single"/>
        </w:rPr>
        <w:t>/s/ William J. Michael</w:t>
      </w:r>
      <w:r w:rsidRPr="008C58EB">
        <w:rPr>
          <w:rFonts w:ascii="Times New Roman" w:hAnsi="Times New Roman" w:cs="Times New Roman"/>
          <w:bCs/>
          <w:i/>
          <w:iCs/>
          <w:color w:val="000000"/>
          <w:sz w:val="24"/>
          <w:szCs w:val="24"/>
          <w:u w:val="single"/>
        </w:rPr>
        <w:tab/>
      </w:r>
      <w:r w:rsidRPr="008C58EB">
        <w:rPr>
          <w:rFonts w:ascii="Times New Roman" w:hAnsi="Times New Roman" w:cs="Times New Roman"/>
          <w:bCs/>
          <w:i/>
          <w:iCs/>
          <w:color w:val="000000"/>
          <w:sz w:val="24"/>
          <w:szCs w:val="24"/>
          <w:u w:val="single"/>
        </w:rPr>
        <w:tab/>
      </w:r>
    </w:p>
    <w:p w:rsidR="00F559D2" w:rsidRPr="008C58EB" w:rsidP="00F559D2" w14:paraId="446BEFFF" w14:textId="77777777">
      <w:pPr>
        <w:tabs>
          <w:tab w:val="left" w:pos="4320"/>
        </w:tabs>
        <w:spacing w:after="0" w:line="240" w:lineRule="auto"/>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b/>
        <w:t>William J. Michael</w:t>
      </w:r>
    </w:p>
    <w:p w:rsidR="00F559D2" w:rsidRPr="008C58EB" w:rsidP="00F559D2" w14:paraId="7BE2DB01" w14:textId="77777777">
      <w:pPr>
        <w:tabs>
          <w:tab w:val="left" w:pos="4320"/>
        </w:tabs>
        <w:spacing w:after="0" w:line="240" w:lineRule="auto"/>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ab/>
        <w:t>Assistant Consumers’ Counsel</w:t>
      </w:r>
    </w:p>
    <w:p w:rsidR="00F559D2" w:rsidRPr="008C58EB" w:rsidP="00F559D2" w14:paraId="48F8BF9B" w14:textId="77777777">
      <w:pPr>
        <w:spacing w:after="0" w:line="240" w:lineRule="auto"/>
        <w:rPr>
          <w:rFonts w:ascii="Times New Roman" w:hAnsi="Times New Roman" w:cs="Times New Roman"/>
          <w:b/>
          <w:bCs/>
          <w:color w:val="000000"/>
          <w:sz w:val="24"/>
          <w:szCs w:val="24"/>
        </w:rPr>
      </w:pPr>
    </w:p>
    <w:p w:rsidR="00F559D2" w:rsidRPr="008C58EB" w:rsidP="00F559D2" w14:paraId="09DB7C19" w14:textId="77777777">
      <w:pPr>
        <w:spacing w:after="0" w:line="240" w:lineRule="auto"/>
        <w:rPr>
          <w:rFonts w:ascii="Times New Roman" w:hAnsi="Times New Roman" w:cs="Times New Roman"/>
          <w:bCs/>
          <w:color w:val="000000"/>
          <w:sz w:val="24"/>
          <w:szCs w:val="24"/>
        </w:rPr>
      </w:pPr>
      <w:r w:rsidRPr="008C58EB">
        <w:rPr>
          <w:rFonts w:ascii="Times New Roman" w:hAnsi="Times New Roman" w:cs="Times New Roman"/>
          <w:bCs/>
          <w:color w:val="000000"/>
          <w:sz w:val="24"/>
          <w:szCs w:val="24"/>
        </w:rPr>
        <w:t>The PUCO’s e-filing system will electronically serve notice of the filing of this document on the following parties:</w:t>
      </w:r>
    </w:p>
    <w:p w:rsidR="00F559D2" w:rsidRPr="008C58EB" w:rsidP="00F559D2" w14:paraId="443475F1" w14:textId="77777777">
      <w:pPr>
        <w:spacing w:after="0" w:line="240" w:lineRule="auto"/>
        <w:rPr>
          <w:rFonts w:ascii="Times New Roman" w:eastAsia="Times New Roman" w:hAnsi="Times New Roman" w:cs="Times New Roman"/>
          <w:sz w:val="24"/>
          <w:szCs w:val="24"/>
        </w:rPr>
      </w:pPr>
    </w:p>
    <w:p w:rsidR="00F559D2" w:rsidRPr="008C58EB" w:rsidP="00F559D2" w14:paraId="2B9D747F" w14:textId="77777777">
      <w:pPr>
        <w:spacing w:after="0" w:line="240" w:lineRule="auto"/>
        <w:jc w:val="center"/>
        <w:rPr>
          <w:rFonts w:ascii="Times New Roman" w:eastAsia="Times New Roman" w:hAnsi="Times New Roman" w:cs="Times New Roman"/>
          <w:b/>
          <w:sz w:val="24"/>
          <w:szCs w:val="24"/>
          <w:u w:val="single"/>
        </w:rPr>
      </w:pPr>
      <w:r w:rsidRPr="008C58EB">
        <w:rPr>
          <w:rFonts w:ascii="Times New Roman" w:eastAsia="Times New Roman" w:hAnsi="Times New Roman" w:cs="Times New Roman"/>
          <w:b/>
          <w:sz w:val="24"/>
          <w:szCs w:val="24"/>
          <w:u w:val="single"/>
        </w:rPr>
        <w:t>SERVICE LIST</w:t>
      </w:r>
    </w:p>
    <w:p w:rsidR="00F559D2" w:rsidRPr="008C58EB" w:rsidP="00F559D2" w14:paraId="528AECB9" w14:textId="77777777">
      <w:pPr>
        <w:spacing w:after="0" w:line="240" w:lineRule="auto"/>
        <w:jc w:val="center"/>
        <w:rPr>
          <w:rFonts w:ascii="Times New Roman" w:eastAsia="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5"/>
        <w:gridCol w:w="4515"/>
      </w:tblGrid>
      <w:tr w14:paraId="387217F2" w14:textId="77777777" w:rsidTr="009317D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F559D2" w:rsidRPr="008C58EB" w:rsidP="00F559D2" w14:paraId="36A86513" w14:textId="77777777">
            <w:pPr>
              <w:rPr>
                <w:bCs/>
                <w:color w:val="0000FF"/>
                <w:sz w:val="24"/>
                <w:szCs w:val="24"/>
                <w:u w:val="single"/>
              </w:rPr>
            </w:pPr>
            <w:hyperlink r:id="rId7" w:history="1">
              <w:r w:rsidRPr="008C58EB">
                <w:rPr>
                  <w:bCs/>
                  <w:color w:val="0000FF"/>
                  <w:sz w:val="24"/>
                  <w:szCs w:val="24"/>
                  <w:u w:val="single"/>
                </w:rPr>
                <w:t>john.jones@ohioAGO.gov</w:t>
              </w:r>
            </w:hyperlink>
          </w:p>
          <w:p w:rsidR="00F559D2" w:rsidRPr="008C58EB" w:rsidP="00F559D2" w14:paraId="65C04285" w14:textId="77777777">
            <w:pPr>
              <w:rPr>
                <w:sz w:val="24"/>
                <w:szCs w:val="24"/>
              </w:rPr>
            </w:pPr>
          </w:p>
          <w:p w:rsidR="00F559D2" w:rsidRPr="008C58EB" w:rsidP="00F559D2" w14:paraId="1BC4E1DA" w14:textId="77777777">
            <w:pPr>
              <w:rPr>
                <w:sz w:val="24"/>
                <w:szCs w:val="24"/>
              </w:rPr>
            </w:pPr>
            <w:r w:rsidRPr="008C58EB">
              <w:rPr>
                <w:bCs/>
                <w:sz w:val="24"/>
                <w:szCs w:val="24"/>
              </w:rPr>
              <w:t>Attorney Examiner:</w:t>
            </w:r>
          </w:p>
          <w:p w:rsidR="00F559D2" w:rsidRPr="008C58EB" w:rsidP="00F559D2" w14:paraId="6B19337F" w14:textId="77777777">
            <w:pPr>
              <w:rPr>
                <w:bCs/>
                <w:sz w:val="24"/>
                <w:szCs w:val="24"/>
              </w:rPr>
            </w:pPr>
            <w:hyperlink r:id="rId8" w:history="1">
              <w:r w:rsidRPr="008C58EB">
                <w:rPr>
                  <w:bCs/>
                  <w:color w:val="0000FF"/>
                  <w:sz w:val="24"/>
                  <w:szCs w:val="24"/>
                  <w:u w:val="single"/>
                </w:rPr>
                <w:t>james.lynn@puco.ohio.gov</w:t>
              </w:r>
            </w:hyperlink>
          </w:p>
          <w:p w:rsidR="00F559D2" w:rsidRPr="008C58EB" w:rsidP="00F559D2" w14:paraId="40D97E08" w14:textId="77777777">
            <w:pPr>
              <w:rPr>
                <w:bCs/>
                <w:color w:val="0000FF"/>
                <w:sz w:val="24"/>
                <w:szCs w:val="24"/>
                <w:u w:val="single"/>
              </w:rPr>
            </w:pPr>
          </w:p>
          <w:p w:rsidR="00F559D2" w:rsidRPr="008C58EB" w:rsidP="00F559D2" w14:paraId="72C4CC26" w14:textId="77777777">
            <w:pPr>
              <w:rPr>
                <w:sz w:val="24"/>
                <w:szCs w:val="24"/>
              </w:rPr>
            </w:pPr>
          </w:p>
        </w:tc>
        <w:tc>
          <w:tcPr>
            <w:tcW w:w="4675" w:type="dxa"/>
          </w:tcPr>
          <w:p w:rsidR="00F559D2" w:rsidP="00F559D2" w14:paraId="02D8C671" w14:textId="783B61E5">
            <w:pPr>
              <w:ind w:left="1062"/>
              <w:rPr>
                <w:bCs/>
                <w:color w:val="0000FF"/>
                <w:sz w:val="24"/>
                <w:szCs w:val="24"/>
                <w:u w:val="single"/>
              </w:rPr>
            </w:pPr>
            <w:hyperlink r:id="rId9" w:history="1">
              <w:r w:rsidRPr="008C58EB">
                <w:rPr>
                  <w:bCs/>
                  <w:color w:val="0000FF"/>
                  <w:sz w:val="24"/>
                  <w:szCs w:val="24"/>
                  <w:u w:val="single"/>
                </w:rPr>
                <w:t>stnourse@aep.com</w:t>
              </w:r>
            </w:hyperlink>
          </w:p>
          <w:p w:rsidR="00B4444D" w:rsidRPr="00397304" w:rsidP="00F559D2" w14:paraId="192779F1" w14:textId="4D4D0306">
            <w:pPr>
              <w:ind w:left="1062"/>
              <w:rPr>
                <w:bCs/>
                <w:color w:val="0000FF"/>
                <w:sz w:val="24"/>
                <w:szCs w:val="24"/>
              </w:rPr>
            </w:pPr>
            <w:hyperlink r:id="rId10" w:history="1">
              <w:r w:rsidRPr="00397304">
                <w:rPr>
                  <w:rStyle w:val="Hyperlink"/>
                  <w:bCs/>
                  <w:color w:val="0000FF"/>
                  <w:sz w:val="24"/>
                  <w:szCs w:val="24"/>
                </w:rPr>
                <w:t>mjschuler@aep.com</w:t>
              </w:r>
            </w:hyperlink>
          </w:p>
          <w:p w:rsidR="00CE713A" w:rsidRPr="008C58EB" w:rsidP="00CE713A" w14:paraId="2DCD6EAB" w14:textId="467FEDAC">
            <w:pPr>
              <w:ind w:left="1062"/>
              <w:rPr>
                <w:bCs/>
                <w:color w:val="0000FF"/>
                <w:sz w:val="24"/>
                <w:szCs w:val="24"/>
              </w:rPr>
            </w:pPr>
            <w:hyperlink r:id="rId11" w:history="1">
              <w:r w:rsidRPr="008C58EB">
                <w:rPr>
                  <w:rStyle w:val="Hyperlink"/>
                  <w:bCs/>
                  <w:color w:val="0000FF"/>
                  <w:sz w:val="24"/>
                  <w:szCs w:val="24"/>
                </w:rPr>
                <w:t>mpritchard@mcneeslaw.com</w:t>
              </w:r>
            </w:hyperlink>
          </w:p>
          <w:p w:rsidR="00CE713A" w:rsidRPr="008C58EB" w:rsidP="00CE713A" w14:paraId="3D1B720F" w14:textId="69E6184F">
            <w:pPr>
              <w:ind w:left="1062"/>
              <w:rPr>
                <w:bCs/>
                <w:color w:val="0000FF"/>
                <w:sz w:val="24"/>
                <w:szCs w:val="24"/>
              </w:rPr>
            </w:pPr>
            <w:hyperlink r:id="rId12" w:history="1">
              <w:r w:rsidRPr="008C58EB">
                <w:rPr>
                  <w:rStyle w:val="Hyperlink"/>
                  <w:bCs/>
                  <w:color w:val="0000FF"/>
                  <w:sz w:val="24"/>
                  <w:szCs w:val="24"/>
                </w:rPr>
                <w:t>bmckenney@mcneeslaw.com</w:t>
              </w:r>
            </w:hyperlink>
          </w:p>
          <w:p w:rsidR="00F559D2" w:rsidRPr="008C58EB" w:rsidP="00CE713A" w14:paraId="5DE1BF3B" w14:textId="47A9E608">
            <w:pPr>
              <w:ind w:left="1062"/>
              <w:rPr>
                <w:bCs/>
                <w:sz w:val="24"/>
                <w:szCs w:val="24"/>
              </w:rPr>
            </w:pPr>
            <w:hyperlink r:id="rId13" w:history="1">
              <w:r w:rsidRPr="008C58EB" w:rsidR="00CE713A">
                <w:rPr>
                  <w:rStyle w:val="Hyperlink"/>
                  <w:bCs/>
                  <w:color w:val="0000FF"/>
                  <w:sz w:val="24"/>
                  <w:szCs w:val="24"/>
                </w:rPr>
                <w:t>awalke@mcneeslaw.com</w:t>
              </w:r>
            </w:hyperlink>
          </w:p>
        </w:tc>
      </w:tr>
    </w:tbl>
    <w:p w:rsidR="00727BC6" w:rsidRPr="008C58EB" w:rsidP="00727BC6" w14:paraId="59401421" w14:textId="77777777">
      <w:pPr>
        <w:spacing w:after="0" w:line="480" w:lineRule="auto"/>
        <w:ind w:left="360"/>
        <w:rPr>
          <w:rFonts w:ascii="Times New Roman" w:hAnsi="Times New Roman" w:cs="Times New Roman"/>
          <w:b/>
          <w:bCs/>
          <w:sz w:val="24"/>
          <w:szCs w:val="24"/>
        </w:rPr>
      </w:pPr>
    </w:p>
    <w:p w:rsidR="008510CD" w:rsidRPr="008C58EB" w:rsidP="008510CD" w14:paraId="6AB34861" w14:textId="77777777">
      <w:pPr>
        <w:autoSpaceDE w:val="0"/>
        <w:autoSpaceDN w:val="0"/>
        <w:adjustRightInd w:val="0"/>
        <w:spacing w:after="0" w:line="480" w:lineRule="auto"/>
        <w:ind w:firstLine="720"/>
        <w:rPr>
          <w:rFonts w:ascii="Times New Roman" w:hAnsi="Times New Roman" w:cs="Times New Roman"/>
          <w:sz w:val="24"/>
          <w:szCs w:val="24"/>
        </w:rPr>
      </w:pPr>
    </w:p>
    <w:p w:rsidR="008510CD" w:rsidRPr="008C58EB" w:rsidP="008510CD" w14:paraId="53A54D53" w14:textId="77777777">
      <w:pPr>
        <w:autoSpaceDE w:val="0"/>
        <w:autoSpaceDN w:val="0"/>
        <w:adjustRightInd w:val="0"/>
        <w:spacing w:after="0" w:line="480" w:lineRule="auto"/>
        <w:ind w:firstLine="720"/>
        <w:rPr>
          <w:rFonts w:ascii="Times New Roman" w:hAnsi="Times New Roman" w:cs="Times New Roman"/>
          <w:sz w:val="24"/>
          <w:szCs w:val="24"/>
        </w:rPr>
      </w:pPr>
    </w:p>
    <w:sectPr w:rsidSect="00966349">
      <w:footerReference w:type="default" r:id="rId14"/>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1145037"/>
      <w:docPartObj>
        <w:docPartGallery w:val="Page Numbers (Bottom of Page)"/>
        <w:docPartUnique/>
      </w:docPartObj>
    </w:sdtPr>
    <w:sdtEndPr>
      <w:rPr>
        <w:rFonts w:ascii="Times New Roman" w:hAnsi="Times New Roman" w:cs="Times New Roman"/>
        <w:noProof/>
        <w:sz w:val="24"/>
        <w:szCs w:val="24"/>
      </w:rPr>
    </w:sdtEndPr>
    <w:sdtContent>
      <w:p w:rsidR="00966349" w:rsidRPr="00966349" w14:paraId="452261A8" w14:textId="32FCF10F">
        <w:pPr>
          <w:pStyle w:val="Footer"/>
          <w:jc w:val="center"/>
          <w:rPr>
            <w:rFonts w:ascii="Times New Roman" w:hAnsi="Times New Roman" w:cs="Times New Roman"/>
            <w:sz w:val="24"/>
            <w:szCs w:val="24"/>
          </w:rPr>
        </w:pPr>
        <w:r w:rsidRPr="00966349">
          <w:rPr>
            <w:rFonts w:ascii="Times New Roman" w:hAnsi="Times New Roman" w:cs="Times New Roman"/>
            <w:sz w:val="24"/>
            <w:szCs w:val="24"/>
          </w:rPr>
          <w:fldChar w:fldCharType="begin"/>
        </w:r>
        <w:r w:rsidRPr="00966349">
          <w:rPr>
            <w:rFonts w:ascii="Times New Roman" w:hAnsi="Times New Roman" w:cs="Times New Roman"/>
            <w:sz w:val="24"/>
            <w:szCs w:val="24"/>
          </w:rPr>
          <w:instrText xml:space="preserve"> PAGE   \* MERGEFORMAT </w:instrText>
        </w:r>
        <w:r w:rsidRPr="00966349">
          <w:rPr>
            <w:rFonts w:ascii="Times New Roman" w:hAnsi="Times New Roman" w:cs="Times New Roman"/>
            <w:sz w:val="24"/>
            <w:szCs w:val="24"/>
          </w:rPr>
          <w:fldChar w:fldCharType="separate"/>
        </w:r>
        <w:r w:rsidRPr="00966349">
          <w:rPr>
            <w:rFonts w:ascii="Times New Roman" w:hAnsi="Times New Roman" w:cs="Times New Roman"/>
            <w:noProof/>
            <w:sz w:val="24"/>
            <w:szCs w:val="24"/>
          </w:rPr>
          <w:t>2</w:t>
        </w:r>
        <w:r w:rsidRPr="0096634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5810" w:rsidP="00F828B2" w14:paraId="34EB81ED" w14:textId="77777777">
      <w:pPr>
        <w:spacing w:after="0" w:line="240" w:lineRule="auto"/>
      </w:pPr>
      <w:r>
        <w:separator/>
      </w:r>
    </w:p>
  </w:footnote>
  <w:footnote w:type="continuationSeparator" w:id="1">
    <w:p w:rsidR="00055810" w:rsidP="00F828B2" w14:paraId="52BBC61C" w14:textId="77777777">
      <w:pPr>
        <w:spacing w:after="0" w:line="240" w:lineRule="auto"/>
      </w:pPr>
      <w:r>
        <w:continuationSeparator/>
      </w:r>
    </w:p>
  </w:footnote>
  <w:footnote w:id="2">
    <w:p w:rsidR="00F828B2" w:rsidRPr="000F03F3" w:rsidP="00C36A04" w14:paraId="4473DC77" w14:textId="44C113B3">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e.g., id. </w:t>
      </w:r>
      <w:r w:rsidRPr="000F03F3">
        <w:rPr>
          <w:rFonts w:ascii="Times New Roman" w:hAnsi="Times New Roman" w:cs="Times New Roman"/>
        </w:rPr>
        <w:t>at 7-10.</w:t>
      </w:r>
    </w:p>
  </w:footnote>
  <w:footnote w:id="3">
    <w:p w:rsidR="004B4A9D" w:rsidRPr="000F03F3" w:rsidP="00C36A04" w14:paraId="42E95C51" w14:textId="21B62C87">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e.g., </w:t>
      </w:r>
      <w:r w:rsidRPr="000F03F3">
        <w:rPr>
          <w:rFonts w:ascii="Times New Roman" w:hAnsi="Times New Roman" w:cs="Times New Roman"/>
        </w:rPr>
        <w:t>OCC’s Initial Comments (January 7, 2022) at 2-4.</w:t>
      </w:r>
    </w:p>
  </w:footnote>
  <w:footnote w:id="4">
    <w:p w:rsidR="00C42FDC" w:rsidRPr="000F03F3" w:rsidP="00C36A04" w14:paraId="0E3BD167" w14:textId="12352945">
      <w:pPr>
        <w:pStyle w:val="FootnoteText"/>
        <w:spacing w:after="120"/>
        <w:rPr>
          <w:rFonts w:ascii="Times New Roman" w:hAnsi="Times New Roman" w:cs="Times New Roman"/>
          <w:i/>
          <w:iCs/>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See, e.g., id.</w:t>
      </w:r>
    </w:p>
  </w:footnote>
  <w:footnote w:id="5">
    <w:p w:rsidR="00C42FDC" w:rsidRPr="000F03F3" w:rsidP="00C36A04" w14:paraId="00F7AA9C" w14:textId="2A48B329">
      <w:pPr>
        <w:pStyle w:val="FootnoteText"/>
        <w:spacing w:after="120"/>
        <w:rPr>
          <w:rFonts w:ascii="Times New Roman" w:hAnsi="Times New Roman" w:cs="Times New Roman"/>
          <w:i/>
          <w:iCs/>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See, e.g., id.</w:t>
      </w:r>
    </w:p>
  </w:footnote>
  <w:footnote w:id="6">
    <w:p w:rsidR="00C42FDC" w:rsidRPr="000F03F3" w:rsidP="00C36A04" w14:paraId="79A8D37B" w14:textId="292E6623">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Finding and Order (January 11, 2023) at </w:t>
      </w:r>
      <w:r w:rsidRPr="000F03F3" w:rsidR="00ED1249">
        <w:rPr>
          <w:rFonts w:ascii="Times New Roman" w:hAnsi="Times New Roman" w:cs="Times New Roman"/>
        </w:rPr>
        <w:t>¶</w:t>
      </w:r>
      <w:r w:rsidRPr="000F03F3">
        <w:rPr>
          <w:rFonts w:ascii="Times New Roman" w:hAnsi="Times New Roman" w:cs="Times New Roman"/>
        </w:rPr>
        <w:t xml:space="preserve"> 31.</w:t>
      </w:r>
    </w:p>
  </w:footnote>
  <w:footnote w:id="7">
    <w:p w:rsidR="00C42FDC" w:rsidRPr="000F03F3" w:rsidP="00C36A04" w14:paraId="23AD190A" w14:textId="0F978DDF">
      <w:pPr>
        <w:pStyle w:val="FootnoteText"/>
        <w:spacing w:after="120"/>
        <w:rPr>
          <w:rFonts w:ascii="Times New Roman" w:hAnsi="Times New Roman" w:cs="Times New Roman"/>
          <w:i/>
          <w:iCs/>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Id.</w:t>
      </w:r>
    </w:p>
  </w:footnote>
  <w:footnote w:id="8">
    <w:p w:rsidR="00E43EE0" w:rsidRPr="000F03F3" w:rsidP="00C36A04" w14:paraId="5FFD1AD1" w14:textId="7BD65DE2">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Application for Rehearing at 4 (Assignment of Error No. 1).</w:t>
      </w:r>
    </w:p>
  </w:footnote>
  <w:footnote w:id="9">
    <w:p w:rsidR="00E43EE0" w:rsidRPr="000F03F3" w:rsidP="00C36A04" w14:paraId="3BC84AB7" w14:textId="47BA8BB5">
      <w:pPr>
        <w:pStyle w:val="FootnoteText"/>
        <w:spacing w:after="120"/>
        <w:rPr>
          <w:rFonts w:ascii="Times New Roman" w:hAnsi="Times New Roman" w:cs="Times New Roman"/>
          <w:i/>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rPr>
        <w:t>Id.</w:t>
      </w:r>
    </w:p>
  </w:footnote>
  <w:footnote w:id="10">
    <w:p w:rsidR="00E43EE0" w:rsidRPr="000F03F3" w:rsidP="00C36A04" w14:paraId="0125C265" w14:textId="755F1B6D">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Id. </w:t>
      </w:r>
      <w:r w:rsidRPr="000F03F3">
        <w:rPr>
          <w:rFonts w:ascii="Times New Roman" w:hAnsi="Times New Roman" w:cs="Times New Roman"/>
        </w:rPr>
        <w:t>at 10 (Assignment of Error No. 2).</w:t>
      </w:r>
    </w:p>
  </w:footnote>
  <w:footnote w:id="11">
    <w:p w:rsidR="00E43EE0" w:rsidRPr="000F03F3" w:rsidP="00C36A04" w14:paraId="1D2C2812" w14:textId="18418143">
      <w:pPr>
        <w:pStyle w:val="FootnoteText"/>
        <w:spacing w:after="120"/>
        <w:rPr>
          <w:rFonts w:ascii="Times New Roman" w:hAnsi="Times New Roman" w:cs="Times New Roman"/>
          <w:i/>
          <w:iCs/>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Id.</w:t>
      </w:r>
    </w:p>
  </w:footnote>
  <w:footnote w:id="12">
    <w:p w:rsidR="00E43EE0" w:rsidRPr="000F03F3" w:rsidP="00C36A04" w14:paraId="20AE1B8D" w14:textId="3CE72B2B">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Id. </w:t>
      </w:r>
      <w:r w:rsidRPr="000F03F3">
        <w:rPr>
          <w:rFonts w:ascii="Times New Roman" w:hAnsi="Times New Roman" w:cs="Times New Roman"/>
        </w:rPr>
        <w:t>at 11 (Assignment of Error No. 3).</w:t>
      </w:r>
    </w:p>
  </w:footnote>
  <w:footnote w:id="13">
    <w:p w:rsidR="00CA2876" w:rsidRPr="000F03F3" w:rsidP="00C36A04" w14:paraId="41816730" w14:textId="3AA8745A">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w:t>
      </w:r>
      <w:r w:rsidRPr="000F03F3">
        <w:rPr>
          <w:rFonts w:ascii="Times New Roman" w:hAnsi="Times New Roman" w:cs="Times New Roman"/>
        </w:rPr>
        <w:t>R.C. 4928.02(B).</w:t>
      </w:r>
    </w:p>
  </w:footnote>
  <w:footnote w:id="14">
    <w:p w:rsidR="00667ACE" w:rsidRPr="000F03F3" w:rsidP="00C36A04" w14:paraId="6781040C" w14:textId="63372D5D">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sidR="00EB1989">
        <w:rPr>
          <w:rFonts w:ascii="Times New Roman" w:hAnsi="Times New Roman" w:cs="Times New Roman"/>
        </w:rPr>
        <w:t xml:space="preserve"> </w:t>
      </w:r>
      <w:r w:rsidRPr="000F03F3">
        <w:rPr>
          <w:rFonts w:ascii="Times New Roman" w:hAnsi="Times New Roman" w:cs="Times New Roman"/>
        </w:rPr>
        <w:t>R.C. 4928.06.</w:t>
      </w:r>
    </w:p>
  </w:footnote>
  <w:footnote w:id="15">
    <w:p w:rsidR="00667ACE" w:rsidRPr="000F03F3" w:rsidP="00C36A04" w14:paraId="36792C2B" w14:textId="0AA958CD">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e.g., </w:t>
      </w:r>
      <w:r w:rsidRPr="000F03F3">
        <w:rPr>
          <w:rFonts w:ascii="Times New Roman" w:hAnsi="Times New Roman" w:cs="Times New Roman"/>
        </w:rPr>
        <w:t xml:space="preserve">R.C. 4928.02 (B), (C), (E), </w:t>
      </w:r>
      <w:r w:rsidRPr="000F03F3" w:rsidR="00CA2876">
        <w:rPr>
          <w:rFonts w:ascii="Times New Roman" w:hAnsi="Times New Roman" w:cs="Times New Roman"/>
        </w:rPr>
        <w:t>(O), and (P).</w:t>
      </w:r>
    </w:p>
  </w:footnote>
  <w:footnote w:id="16">
    <w:p w:rsidR="00C808E2" w:rsidRPr="000F03F3" w:rsidP="00C36A04" w14:paraId="4702B471" w14:textId="0F56EF66">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Finding and Order at </w:t>
      </w:r>
      <w:r w:rsidRPr="000F03F3" w:rsidR="00ED1249">
        <w:rPr>
          <w:rFonts w:ascii="Times New Roman" w:hAnsi="Times New Roman" w:cs="Times New Roman"/>
        </w:rPr>
        <w:t>¶</w:t>
      </w:r>
      <w:r w:rsidRPr="000F03F3">
        <w:rPr>
          <w:rFonts w:ascii="Times New Roman" w:hAnsi="Times New Roman" w:cs="Times New Roman"/>
        </w:rPr>
        <w:t xml:space="preserve"> 31; </w:t>
      </w:r>
      <w:r w:rsidRPr="000F03F3">
        <w:rPr>
          <w:rFonts w:ascii="Times New Roman" w:hAnsi="Times New Roman" w:cs="Times New Roman"/>
          <w:i/>
          <w:iCs/>
        </w:rPr>
        <w:t xml:space="preserve">see also </w:t>
      </w:r>
      <w:r w:rsidRPr="000F03F3">
        <w:rPr>
          <w:rFonts w:ascii="Times New Roman" w:hAnsi="Times New Roman" w:cs="Times New Roman"/>
        </w:rPr>
        <w:t>OCC’s Initial Comments at 2.</w:t>
      </w:r>
    </w:p>
  </w:footnote>
  <w:footnote w:id="17">
    <w:p w:rsidR="008510CD" w:rsidRPr="000F03F3" w:rsidP="00C36A04" w14:paraId="18877104" w14:textId="034189B0">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sidR="000F1CDF">
        <w:rPr>
          <w:rFonts w:ascii="Times New Roman" w:hAnsi="Times New Roman" w:cs="Times New Roman"/>
          <w:i/>
          <w:iCs/>
        </w:rPr>
        <w:t xml:space="preserve">See </w:t>
      </w:r>
      <w:r w:rsidRPr="000F03F3" w:rsidR="00950092">
        <w:rPr>
          <w:rFonts w:ascii="Times New Roman" w:hAnsi="Times New Roman" w:cs="Times New Roman"/>
          <w:i/>
          <w:iCs/>
        </w:rPr>
        <w:t xml:space="preserve">In the Matter of the Petition of Deborah Davis and Numerous Other Subscribers of the Mogadore Exchange of Ameritech Ohio v. Ameritech Ohio and Verizon North Incorporated, </w:t>
      </w:r>
      <w:r w:rsidRPr="000F03F3" w:rsidR="00950092">
        <w:rPr>
          <w:rFonts w:ascii="Times New Roman" w:hAnsi="Times New Roman" w:cs="Times New Roman"/>
        </w:rPr>
        <w:t xml:space="preserve">Case No. 02-1752-TP-TX, Entry (September 30, 2002) at 1-2; </w:t>
      </w:r>
      <w:r w:rsidRPr="000F03F3" w:rsidR="00950092">
        <w:rPr>
          <w:rFonts w:ascii="Times New Roman" w:hAnsi="Times New Roman" w:cs="Times New Roman"/>
          <w:i/>
          <w:iCs/>
        </w:rPr>
        <w:t>In the Matter of Dean Thomas and Numerous Other Subscribers of the Laura Exchange of Verizon North Inc. v. Verizon North Inc. and United Telephone Company of Ohio d/b/a/ Sprint</w:t>
      </w:r>
      <w:r w:rsidRPr="000F03F3" w:rsidR="00950092">
        <w:rPr>
          <w:rFonts w:ascii="Times New Roman" w:hAnsi="Times New Roman" w:cs="Times New Roman"/>
        </w:rPr>
        <w:t xml:space="preserve">, Case No. 02-880-TP-TXP, Entry (July 31, 2002) at 3; </w:t>
      </w:r>
      <w:r w:rsidRPr="000F03F3" w:rsidR="00950092">
        <w:rPr>
          <w:rFonts w:ascii="Times New Roman" w:hAnsi="Times New Roman" w:cs="Times New Roman"/>
          <w:i/>
          <w:iCs/>
        </w:rPr>
        <w:t xml:space="preserve">In the Matter of the Commission’s Promulgation of Rules for Market </w:t>
      </w:r>
      <w:r w:rsidR="007E107A">
        <w:rPr>
          <w:rFonts w:ascii="Times New Roman" w:hAnsi="Times New Roman" w:cs="Times New Roman"/>
          <w:i/>
          <w:iCs/>
        </w:rPr>
        <w:t>M</w:t>
      </w:r>
      <w:r w:rsidRPr="000F03F3" w:rsidR="00950092">
        <w:rPr>
          <w:rFonts w:ascii="Times New Roman" w:hAnsi="Times New Roman" w:cs="Times New Roman"/>
          <w:i/>
          <w:iCs/>
        </w:rPr>
        <w:t>onitoring Pursuant to Chapter 4928, Revised Code</w:t>
      </w:r>
      <w:r w:rsidRPr="000F03F3" w:rsidR="00950092">
        <w:rPr>
          <w:rFonts w:ascii="Times New Roman" w:hAnsi="Times New Roman" w:cs="Times New Roman"/>
        </w:rPr>
        <w:t>, Case No. 99-1612-EL-ORD, Finding and Order (March 30, 2000) at 6 (stating “The fact that the information is confidential, however, does not preclude the Commission or Commission Staff from publishing [] data in an aggregated form”).</w:t>
      </w:r>
    </w:p>
  </w:footnote>
  <w:footnote w:id="18">
    <w:p w:rsidR="00CF21A2" w:rsidRPr="000F03F3" w:rsidP="00C36A04" w14:paraId="68F4D47A" w14:textId="02078E96">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w:t>
      </w:r>
      <w:r w:rsidRPr="000F03F3">
        <w:rPr>
          <w:rFonts w:ascii="Times New Roman" w:hAnsi="Times New Roman" w:cs="Times New Roman"/>
        </w:rPr>
        <w:t xml:space="preserve">note 2, </w:t>
      </w:r>
      <w:r w:rsidRPr="000F03F3">
        <w:rPr>
          <w:rFonts w:ascii="Times New Roman" w:hAnsi="Times New Roman" w:cs="Times New Roman"/>
          <w:i/>
          <w:iCs/>
        </w:rPr>
        <w:t>supra</w:t>
      </w:r>
      <w:r w:rsidRPr="000F03F3">
        <w:rPr>
          <w:rFonts w:ascii="Times New Roman" w:hAnsi="Times New Roman" w:cs="Times New Roman"/>
        </w:rPr>
        <w:t>.</w:t>
      </w:r>
    </w:p>
  </w:footnote>
  <w:footnote w:id="19">
    <w:p w:rsidR="00CF21A2" w:rsidRPr="000F03F3" w:rsidP="00C36A04" w14:paraId="2998E55D" w14:textId="0D44E5E9">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w:t>
      </w:r>
      <w:r w:rsidRPr="000F03F3">
        <w:rPr>
          <w:rFonts w:ascii="Times New Roman" w:hAnsi="Times New Roman" w:cs="Times New Roman"/>
        </w:rPr>
        <w:t xml:space="preserve">notes 8 and 9, </w:t>
      </w:r>
      <w:r w:rsidRPr="000F03F3">
        <w:rPr>
          <w:rFonts w:ascii="Times New Roman" w:hAnsi="Times New Roman" w:cs="Times New Roman"/>
          <w:i/>
          <w:iCs/>
        </w:rPr>
        <w:t>supra</w:t>
      </w:r>
      <w:r w:rsidRPr="000F03F3">
        <w:rPr>
          <w:rFonts w:ascii="Times New Roman" w:hAnsi="Times New Roman" w:cs="Times New Roman"/>
        </w:rPr>
        <w:t>.</w:t>
      </w:r>
    </w:p>
  </w:footnote>
  <w:footnote w:id="20">
    <w:p w:rsidR="00910286" w:rsidRPr="000F03F3" w:rsidP="00C36A04" w14:paraId="499708F0" w14:textId="6EFAA67F">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Application for Rehearing at 12.</w:t>
      </w:r>
    </w:p>
  </w:footnote>
  <w:footnote w:id="21">
    <w:p w:rsidR="008510CD" w:rsidRPr="000F03F3" w:rsidP="00C36A04" w14:paraId="1A7E8C25" w14:textId="53E962BF">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MCI Telecommunications Corp. v. Pub. Util. Comm., </w:t>
      </w:r>
      <w:r w:rsidRPr="000F03F3">
        <w:rPr>
          <w:rFonts w:ascii="Times New Roman" w:hAnsi="Times New Roman" w:cs="Times New Roman"/>
        </w:rPr>
        <w:t xml:space="preserve">32 Ohio St.3d 306, 311, 513 N.E.2d 337 (1987) </w:t>
      </w:r>
      <w:r w:rsidRPr="000F03F3">
        <w:rPr>
          <w:rFonts w:ascii="Times New Roman" w:hAnsi="Times New Roman" w:cs="Times New Roman"/>
          <w:i/>
          <w:iCs/>
        </w:rPr>
        <w:t xml:space="preserve">(quoting Commercial Motor Freight, Inc. v. Pub. Util. Comm., </w:t>
      </w:r>
      <w:r w:rsidRPr="000F03F3">
        <w:rPr>
          <w:rFonts w:ascii="Times New Roman" w:hAnsi="Times New Roman" w:cs="Times New Roman"/>
        </w:rPr>
        <w:t>156 Ohio St. 360, 363-364, 102 N.E.2d 842 (1951)).</w:t>
      </w:r>
    </w:p>
  </w:footnote>
  <w:footnote w:id="22">
    <w:p w:rsidR="008510CD" w:rsidRPr="000F03F3" w:rsidP="00C36A04" w14:paraId="2D9A722F" w14:textId="77777777">
      <w:pPr>
        <w:pStyle w:val="FootnoteText"/>
        <w:spacing w:after="120"/>
        <w:rPr>
          <w:rFonts w:ascii="Times New Roman" w:hAnsi="Times New Roman" w:cs="Times New Roman"/>
          <w:i/>
          <w:iCs/>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Id.</w:t>
      </w:r>
    </w:p>
  </w:footnote>
  <w:footnote w:id="23">
    <w:p w:rsidR="008510CD" w:rsidRPr="000F03F3" w:rsidP="00C36A04" w14:paraId="4D39BB84" w14:textId="4CC8F6D0">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 xml:space="preserve">See </w:t>
      </w:r>
      <w:r w:rsidRPr="000F03F3">
        <w:rPr>
          <w:rFonts w:ascii="Times New Roman" w:hAnsi="Times New Roman" w:cs="Times New Roman"/>
        </w:rPr>
        <w:t xml:space="preserve">note 17, </w:t>
      </w:r>
      <w:r w:rsidRPr="000F03F3">
        <w:rPr>
          <w:rFonts w:ascii="Times New Roman" w:hAnsi="Times New Roman" w:cs="Times New Roman"/>
          <w:i/>
          <w:iCs/>
        </w:rPr>
        <w:t>supra</w:t>
      </w:r>
      <w:r w:rsidRPr="000F03F3">
        <w:rPr>
          <w:rFonts w:ascii="Times New Roman" w:hAnsi="Times New Roman" w:cs="Times New Roman"/>
        </w:rPr>
        <w:t xml:space="preserve">. </w:t>
      </w:r>
    </w:p>
  </w:footnote>
  <w:footnote w:id="24">
    <w:p w:rsidR="00727BC6" w:rsidRPr="000F03F3" w:rsidP="00C36A04" w14:paraId="6297A163" w14:textId="30F799CD">
      <w:pPr>
        <w:pStyle w:val="FootnoteText"/>
        <w:spacing w:after="120"/>
        <w:rPr>
          <w:rFonts w:ascii="Times New Roman" w:hAnsi="Times New Roman" w:cs="Times New Roman"/>
        </w:rPr>
      </w:pPr>
      <w:r w:rsidRPr="000F03F3">
        <w:rPr>
          <w:rStyle w:val="FootnoteReference"/>
          <w:rFonts w:ascii="Times New Roman" w:hAnsi="Times New Roman" w:cs="Times New Roman"/>
        </w:rPr>
        <w:footnoteRef/>
      </w:r>
      <w:r w:rsidRPr="000F03F3">
        <w:rPr>
          <w:rFonts w:ascii="Times New Roman" w:hAnsi="Times New Roman" w:cs="Times New Roman"/>
        </w:rPr>
        <w:t xml:space="preserve"> </w:t>
      </w:r>
      <w:r w:rsidRPr="000F03F3">
        <w:rPr>
          <w:rFonts w:ascii="Times New Roman" w:hAnsi="Times New Roman" w:cs="Times New Roman"/>
          <w:i/>
          <w:iCs/>
        </w:rPr>
        <w:t>See, e.g., In the Matter of the Application of Ohio Power Company for an Increase in Electric Distribution Rates</w:t>
      </w:r>
      <w:r w:rsidRPr="000F03F3">
        <w:rPr>
          <w:rFonts w:ascii="Times New Roman" w:hAnsi="Times New Roman" w:cs="Times New Roman"/>
        </w:rPr>
        <w:t>, Case No. 20-585-EL-AIR, Second Entry on Rehearing (February 8,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E22177"/>
    <w:multiLevelType w:val="hybridMultilevel"/>
    <w:tmpl w:val="898C549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B2"/>
    <w:rsid w:val="00052F35"/>
    <w:rsid w:val="000533D4"/>
    <w:rsid w:val="00055810"/>
    <w:rsid w:val="000E5FC1"/>
    <w:rsid w:val="000F03F3"/>
    <w:rsid w:val="000F1CDF"/>
    <w:rsid w:val="0013572B"/>
    <w:rsid w:val="00137094"/>
    <w:rsid w:val="00137A5F"/>
    <w:rsid w:val="00156A1F"/>
    <w:rsid w:val="00241FF6"/>
    <w:rsid w:val="00284BBE"/>
    <w:rsid w:val="002B7A4F"/>
    <w:rsid w:val="003068ED"/>
    <w:rsid w:val="00326F2A"/>
    <w:rsid w:val="003519D0"/>
    <w:rsid w:val="00370FA0"/>
    <w:rsid w:val="00371AA8"/>
    <w:rsid w:val="003913BE"/>
    <w:rsid w:val="003950ED"/>
    <w:rsid w:val="00397304"/>
    <w:rsid w:val="003D593B"/>
    <w:rsid w:val="003D6264"/>
    <w:rsid w:val="0044469C"/>
    <w:rsid w:val="004B4A9D"/>
    <w:rsid w:val="0050200A"/>
    <w:rsid w:val="00504D6C"/>
    <w:rsid w:val="00584FEA"/>
    <w:rsid w:val="00586E97"/>
    <w:rsid w:val="005B2F87"/>
    <w:rsid w:val="005B57D4"/>
    <w:rsid w:val="00614536"/>
    <w:rsid w:val="00666475"/>
    <w:rsid w:val="00667ACE"/>
    <w:rsid w:val="00682CEF"/>
    <w:rsid w:val="006A0026"/>
    <w:rsid w:val="006D1144"/>
    <w:rsid w:val="00727BC6"/>
    <w:rsid w:val="007617C6"/>
    <w:rsid w:val="007E107A"/>
    <w:rsid w:val="00810488"/>
    <w:rsid w:val="008510CD"/>
    <w:rsid w:val="008522AA"/>
    <w:rsid w:val="00857E40"/>
    <w:rsid w:val="00870D59"/>
    <w:rsid w:val="008C3064"/>
    <w:rsid w:val="008C58EB"/>
    <w:rsid w:val="00910286"/>
    <w:rsid w:val="00926F7B"/>
    <w:rsid w:val="00950092"/>
    <w:rsid w:val="00966349"/>
    <w:rsid w:val="009A4D26"/>
    <w:rsid w:val="009A6837"/>
    <w:rsid w:val="009B7C2A"/>
    <w:rsid w:val="009C021B"/>
    <w:rsid w:val="00A178FA"/>
    <w:rsid w:val="00A641A1"/>
    <w:rsid w:val="00AA0233"/>
    <w:rsid w:val="00B228D1"/>
    <w:rsid w:val="00B4444D"/>
    <w:rsid w:val="00BB0A6D"/>
    <w:rsid w:val="00BC6C36"/>
    <w:rsid w:val="00BD54BC"/>
    <w:rsid w:val="00BF0D99"/>
    <w:rsid w:val="00C15D4B"/>
    <w:rsid w:val="00C36A04"/>
    <w:rsid w:val="00C42FDC"/>
    <w:rsid w:val="00C441C2"/>
    <w:rsid w:val="00C808E2"/>
    <w:rsid w:val="00CA06ED"/>
    <w:rsid w:val="00CA2876"/>
    <w:rsid w:val="00CA2A55"/>
    <w:rsid w:val="00CD342E"/>
    <w:rsid w:val="00CD7904"/>
    <w:rsid w:val="00CE713A"/>
    <w:rsid w:val="00CF21A2"/>
    <w:rsid w:val="00D40B81"/>
    <w:rsid w:val="00D735DD"/>
    <w:rsid w:val="00D81BC4"/>
    <w:rsid w:val="00DF3FB2"/>
    <w:rsid w:val="00E235D9"/>
    <w:rsid w:val="00E43EE0"/>
    <w:rsid w:val="00E962D6"/>
    <w:rsid w:val="00EB1989"/>
    <w:rsid w:val="00EC0773"/>
    <w:rsid w:val="00ED1249"/>
    <w:rsid w:val="00ED55A0"/>
    <w:rsid w:val="00F33642"/>
    <w:rsid w:val="00F35686"/>
    <w:rsid w:val="00F54C14"/>
    <w:rsid w:val="00F559D2"/>
    <w:rsid w:val="00F828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837"/>
    <w:pPr>
      <w:spacing w:after="240" w:line="240" w:lineRule="auto"/>
      <w:ind w:left="720" w:hanging="720"/>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D81BC4"/>
    <w:pPr>
      <w:spacing w:after="240" w:line="240" w:lineRule="auto"/>
      <w:ind w:left="1440" w:hanging="72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8B2"/>
    <w:rPr>
      <w:sz w:val="20"/>
      <w:szCs w:val="20"/>
    </w:rPr>
  </w:style>
  <w:style w:type="character" w:styleId="FootnoteReference">
    <w:name w:val="footnote reference"/>
    <w:basedOn w:val="DefaultParagraphFont"/>
    <w:uiPriority w:val="99"/>
    <w:semiHidden/>
    <w:unhideWhenUsed/>
    <w:rsid w:val="00F828B2"/>
    <w:rPr>
      <w:vertAlign w:val="superscript"/>
    </w:rPr>
  </w:style>
  <w:style w:type="paragraph" w:styleId="ListParagraph">
    <w:name w:val="List Paragraph"/>
    <w:basedOn w:val="Normal"/>
    <w:uiPriority w:val="34"/>
    <w:qFormat/>
    <w:rsid w:val="004B4A9D"/>
    <w:pPr>
      <w:ind w:left="720"/>
      <w:contextualSpacing/>
    </w:pPr>
  </w:style>
  <w:style w:type="character" w:styleId="CommentReference">
    <w:name w:val="annotation reference"/>
    <w:basedOn w:val="DefaultParagraphFont"/>
    <w:uiPriority w:val="99"/>
    <w:semiHidden/>
    <w:unhideWhenUsed/>
    <w:rsid w:val="00CF21A2"/>
    <w:rPr>
      <w:sz w:val="16"/>
      <w:szCs w:val="16"/>
    </w:rPr>
  </w:style>
  <w:style w:type="paragraph" w:styleId="CommentText">
    <w:name w:val="annotation text"/>
    <w:basedOn w:val="Normal"/>
    <w:link w:val="CommentTextChar"/>
    <w:uiPriority w:val="99"/>
    <w:unhideWhenUsed/>
    <w:rsid w:val="00CF21A2"/>
    <w:pPr>
      <w:spacing w:line="240" w:lineRule="auto"/>
    </w:pPr>
    <w:rPr>
      <w:sz w:val="20"/>
      <w:szCs w:val="20"/>
    </w:rPr>
  </w:style>
  <w:style w:type="character" w:customStyle="1" w:styleId="CommentTextChar">
    <w:name w:val="Comment Text Char"/>
    <w:basedOn w:val="DefaultParagraphFont"/>
    <w:link w:val="CommentText"/>
    <w:uiPriority w:val="99"/>
    <w:rsid w:val="00CF21A2"/>
    <w:rPr>
      <w:sz w:val="20"/>
      <w:szCs w:val="20"/>
    </w:rPr>
  </w:style>
  <w:style w:type="paragraph" w:styleId="CommentSubject">
    <w:name w:val="annotation subject"/>
    <w:basedOn w:val="CommentText"/>
    <w:next w:val="CommentText"/>
    <w:link w:val="CommentSubjectChar"/>
    <w:uiPriority w:val="99"/>
    <w:semiHidden/>
    <w:unhideWhenUsed/>
    <w:rsid w:val="00CF21A2"/>
    <w:rPr>
      <w:b/>
      <w:bCs/>
    </w:rPr>
  </w:style>
  <w:style w:type="character" w:customStyle="1" w:styleId="CommentSubjectChar">
    <w:name w:val="Comment Subject Char"/>
    <w:basedOn w:val="CommentTextChar"/>
    <w:link w:val="CommentSubject"/>
    <w:uiPriority w:val="99"/>
    <w:semiHidden/>
    <w:rsid w:val="00CF21A2"/>
    <w:rPr>
      <w:b/>
      <w:bCs/>
      <w:sz w:val="20"/>
      <w:szCs w:val="20"/>
    </w:rPr>
  </w:style>
  <w:style w:type="character" w:customStyle="1" w:styleId="Heading1Char">
    <w:name w:val="Heading 1 Char"/>
    <w:basedOn w:val="DefaultParagraphFont"/>
    <w:link w:val="Heading1"/>
    <w:uiPriority w:val="9"/>
    <w:rsid w:val="009A6837"/>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81BC4"/>
    <w:rPr>
      <w:rFonts w:ascii="Times New Roman" w:hAnsi="Times New Roman" w:cs="Times New Roman"/>
      <w:b/>
      <w:bCs/>
      <w:sz w:val="24"/>
      <w:szCs w:val="24"/>
    </w:rPr>
  </w:style>
  <w:style w:type="table" w:styleId="TableGrid">
    <w:name w:val="Table Grid"/>
    <w:basedOn w:val="TableNormal"/>
    <w:rsid w:val="00F559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13A"/>
    <w:rPr>
      <w:color w:val="0563C1" w:themeColor="hyperlink"/>
      <w:u w:val="single"/>
    </w:rPr>
  </w:style>
  <w:style w:type="character" w:customStyle="1" w:styleId="UnresolvedMention">
    <w:name w:val="Unresolved Mention"/>
    <w:basedOn w:val="DefaultParagraphFont"/>
    <w:uiPriority w:val="99"/>
    <w:semiHidden/>
    <w:unhideWhenUsed/>
    <w:rsid w:val="00CE713A"/>
    <w:rPr>
      <w:color w:val="605E5C"/>
      <w:shd w:val="clear" w:color="auto" w:fill="E1DFDD"/>
    </w:rPr>
  </w:style>
  <w:style w:type="paragraph" w:styleId="Header">
    <w:name w:val="header"/>
    <w:basedOn w:val="Normal"/>
    <w:link w:val="HeaderChar"/>
    <w:uiPriority w:val="99"/>
    <w:unhideWhenUsed/>
    <w:rsid w:val="0096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49"/>
  </w:style>
  <w:style w:type="paragraph" w:styleId="Footer">
    <w:name w:val="footer"/>
    <w:basedOn w:val="Normal"/>
    <w:link w:val="FooterChar"/>
    <w:uiPriority w:val="99"/>
    <w:unhideWhenUsed/>
    <w:rsid w:val="0096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49"/>
  </w:style>
  <w:style w:type="paragraph" w:styleId="Revision">
    <w:name w:val="Revision"/>
    <w:hidden/>
    <w:uiPriority w:val="99"/>
    <w:semiHidden/>
    <w:rsid w:val="00CA2A55"/>
    <w:pPr>
      <w:spacing w:after="0" w:line="240" w:lineRule="auto"/>
    </w:pPr>
  </w:style>
  <w:style w:type="paragraph" w:styleId="BalloonText">
    <w:name w:val="Balloon Text"/>
    <w:basedOn w:val="Normal"/>
    <w:link w:val="BalloonTextChar"/>
    <w:uiPriority w:val="99"/>
    <w:semiHidden/>
    <w:unhideWhenUsed/>
    <w:rsid w:val="00CD79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79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jschuler@aep.com" TargetMode="External" /><Relationship Id="rId11" Type="http://schemas.openxmlformats.org/officeDocument/2006/relationships/hyperlink" Target="mailto:mpritchard@mcneeslaw.com" TargetMode="External" /><Relationship Id="rId12" Type="http://schemas.openxmlformats.org/officeDocument/2006/relationships/hyperlink" Target="mailto:bmckenney@mcneeslaw.com" TargetMode="External" /><Relationship Id="rId13" Type="http://schemas.openxmlformats.org/officeDocument/2006/relationships/hyperlink" Target="mailto:awalke@mcneeslaw.com"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jones@ohioAGO.gov" TargetMode="External" /><Relationship Id="rId8" Type="http://schemas.openxmlformats.org/officeDocument/2006/relationships/hyperlink" Target="mailto:james.lynn@puco.ohio.gov" TargetMode="External" /><Relationship Id="rId9" Type="http://schemas.openxmlformats.org/officeDocument/2006/relationships/hyperlink" Target="mailto:stnourse@ae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7798-BABD-4195-8C01-6605F733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2023-02-21T20:49:24Z</dcterms:created>
  <dcterms:modified xsi:type="dcterms:W3CDTF">2023-02-21T20:49:24Z</dcterms:modified>
</cp:coreProperties>
</file>