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26" w:rsidRPr="000B2B7C" w:rsidRDefault="00B43626" w:rsidP="00B43626">
      <w:pPr>
        <w:jc w:val="center"/>
        <w:outlineLvl w:val="0"/>
        <w:rPr>
          <w:b/>
          <w:sz w:val="22"/>
          <w:szCs w:val="22"/>
        </w:rPr>
      </w:pPr>
      <w:r w:rsidRPr="000B2B7C">
        <w:rPr>
          <w:b/>
          <w:sz w:val="22"/>
          <w:szCs w:val="22"/>
        </w:rPr>
        <w:t>BEFORE THE</w:t>
      </w:r>
    </w:p>
    <w:p w:rsidR="00B43626" w:rsidRPr="000B2B7C" w:rsidRDefault="00B43626" w:rsidP="00B43626">
      <w:pPr>
        <w:jc w:val="center"/>
        <w:outlineLvl w:val="0"/>
        <w:rPr>
          <w:b/>
          <w:sz w:val="22"/>
          <w:szCs w:val="22"/>
        </w:rPr>
      </w:pPr>
      <w:r w:rsidRPr="000B2B7C">
        <w:rPr>
          <w:b/>
          <w:sz w:val="22"/>
          <w:szCs w:val="22"/>
        </w:rPr>
        <w:t>PUBLIC UTILITY COMMISSION OF OHIO</w:t>
      </w:r>
    </w:p>
    <w:p w:rsidR="00B43626" w:rsidRPr="000B2B7C" w:rsidRDefault="00B43626" w:rsidP="00B43626">
      <w:pPr>
        <w:outlineLvl w:val="0"/>
        <w:rPr>
          <w:b/>
          <w:sz w:val="22"/>
          <w:szCs w:val="22"/>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28"/>
        <w:gridCol w:w="480"/>
        <w:gridCol w:w="3480"/>
      </w:tblGrid>
      <w:tr w:rsidR="00B43626" w:rsidRPr="000B2B7C" w:rsidTr="000B2B7C">
        <w:tc>
          <w:tcPr>
            <w:tcW w:w="6228" w:type="dxa"/>
          </w:tcPr>
          <w:p w:rsidR="00B43626" w:rsidRPr="000B2B7C" w:rsidRDefault="00B43626" w:rsidP="00151919">
            <w:pPr>
              <w:outlineLvl w:val="0"/>
              <w:rPr>
                <w:b/>
                <w:sz w:val="22"/>
                <w:szCs w:val="22"/>
              </w:rPr>
            </w:pPr>
            <w:bookmarkStart w:id="0" w:name="OLE_LINK1"/>
            <w:bookmarkStart w:id="1" w:name="OLE_LINK2"/>
            <w:r w:rsidRPr="000B2B7C">
              <w:rPr>
                <w:color w:val="000000"/>
                <w:sz w:val="22"/>
                <w:szCs w:val="22"/>
              </w:rPr>
              <w:t>In the Matter of the Application of Ohio Edison Company, The Cleveland Electric Illuminating Company, and The Toledo Edison Company For Approval of Their Energy Efficiency and Peak Demand Reduction Program Portfolio Plans for 2010 through 2012 and Associated Cost Recovery Mechanisms</w:t>
            </w:r>
          </w:p>
          <w:p w:rsidR="00B43626" w:rsidRPr="000B2B7C" w:rsidRDefault="00B43626" w:rsidP="00151919">
            <w:pPr>
              <w:outlineLvl w:val="0"/>
              <w:rPr>
                <w:b/>
                <w:sz w:val="22"/>
                <w:szCs w:val="22"/>
              </w:rPr>
            </w:pPr>
          </w:p>
          <w:p w:rsidR="00B43626" w:rsidRPr="000B2B7C" w:rsidRDefault="00B43626" w:rsidP="00151919">
            <w:pPr>
              <w:shd w:val="clear" w:color="auto" w:fill="FFFFFF"/>
              <w:autoSpaceDE w:val="0"/>
              <w:autoSpaceDN w:val="0"/>
              <w:adjustRightInd w:val="0"/>
              <w:rPr>
                <w:sz w:val="22"/>
                <w:szCs w:val="22"/>
              </w:rPr>
            </w:pPr>
            <w:r w:rsidRPr="000B2B7C">
              <w:rPr>
                <w:color w:val="000000"/>
                <w:sz w:val="22"/>
                <w:szCs w:val="22"/>
              </w:rPr>
              <w:t>In the Matter of the Application of Ohio Edison Company, The Cleveland Electric Illuminating Company, and The Toledo Edison Company For Approval of Their Initial Benchmark Reports.</w:t>
            </w:r>
          </w:p>
          <w:p w:rsidR="00B43626" w:rsidRPr="000B2B7C" w:rsidRDefault="00B43626" w:rsidP="00151919">
            <w:pPr>
              <w:outlineLvl w:val="0"/>
              <w:rPr>
                <w:b/>
                <w:sz w:val="22"/>
                <w:szCs w:val="22"/>
              </w:rPr>
            </w:pPr>
          </w:p>
          <w:p w:rsidR="00B43626" w:rsidRPr="000B2B7C" w:rsidRDefault="00B43626" w:rsidP="00151919">
            <w:pPr>
              <w:outlineLvl w:val="0"/>
              <w:rPr>
                <w:b/>
                <w:sz w:val="22"/>
                <w:szCs w:val="22"/>
              </w:rPr>
            </w:pPr>
            <w:r w:rsidRPr="000B2B7C">
              <w:rPr>
                <w:color w:val="000000"/>
                <w:sz w:val="22"/>
                <w:szCs w:val="22"/>
              </w:rPr>
              <w:t>In the Matter of the Energy Efficiency and Peak Demand Reduction Program Portfolio of Ohio Edison Company, The Cleveland Electric Illuminating Company, and The Toledo Edison Company.</w:t>
            </w:r>
          </w:p>
        </w:tc>
        <w:tc>
          <w:tcPr>
            <w:tcW w:w="480" w:type="dxa"/>
          </w:tcPr>
          <w:p w:rsidR="00B43626" w:rsidRPr="000B2B7C" w:rsidRDefault="00B43626" w:rsidP="00151919">
            <w:pPr>
              <w:outlineLvl w:val="0"/>
              <w:rPr>
                <w:b/>
                <w:sz w:val="22"/>
                <w:szCs w:val="22"/>
              </w:rPr>
            </w:pPr>
            <w:r w:rsidRPr="000B2B7C">
              <w:rPr>
                <w:b/>
                <w:sz w:val="22"/>
                <w:szCs w:val="22"/>
              </w:rPr>
              <w:t>:</w:t>
            </w:r>
            <w:r w:rsidRPr="000B2B7C">
              <w:rPr>
                <w:b/>
                <w:sz w:val="22"/>
                <w:szCs w:val="22"/>
              </w:rPr>
              <w:br/>
              <w:t>:</w:t>
            </w:r>
            <w:r w:rsidRPr="000B2B7C">
              <w:rPr>
                <w:b/>
                <w:sz w:val="22"/>
                <w:szCs w:val="22"/>
              </w:rPr>
              <w:br/>
              <w:t>:</w:t>
            </w:r>
            <w:r w:rsidRPr="000B2B7C">
              <w:rPr>
                <w:b/>
                <w:sz w:val="22"/>
                <w:szCs w:val="22"/>
              </w:rPr>
              <w:br/>
              <w:t>:</w:t>
            </w:r>
            <w:r w:rsidRPr="000B2B7C">
              <w:rPr>
                <w:b/>
                <w:sz w:val="22"/>
                <w:szCs w:val="22"/>
              </w:rPr>
              <w:br/>
              <w:t>:</w:t>
            </w:r>
          </w:p>
          <w:p w:rsidR="00B43626" w:rsidRPr="000B2B7C" w:rsidRDefault="00B43626" w:rsidP="00151919">
            <w:pPr>
              <w:outlineLvl w:val="0"/>
              <w:rPr>
                <w:b/>
                <w:sz w:val="22"/>
                <w:szCs w:val="22"/>
              </w:rPr>
            </w:pPr>
            <w:r w:rsidRPr="000B2B7C">
              <w:rPr>
                <w:b/>
                <w:sz w:val="22"/>
                <w:szCs w:val="22"/>
              </w:rPr>
              <w:t>:</w:t>
            </w:r>
          </w:p>
          <w:p w:rsidR="00B43626" w:rsidRPr="000B2B7C" w:rsidRDefault="00B43626" w:rsidP="00151919">
            <w:pPr>
              <w:outlineLvl w:val="0"/>
              <w:rPr>
                <w:b/>
                <w:sz w:val="22"/>
                <w:szCs w:val="22"/>
              </w:rPr>
            </w:pPr>
            <w:r w:rsidRPr="000B2B7C">
              <w:rPr>
                <w:b/>
                <w:sz w:val="22"/>
                <w:szCs w:val="22"/>
              </w:rPr>
              <w:t>:</w:t>
            </w:r>
          </w:p>
          <w:p w:rsidR="00B43626" w:rsidRPr="000B2B7C" w:rsidRDefault="00B43626" w:rsidP="00151919">
            <w:pPr>
              <w:outlineLvl w:val="0"/>
              <w:rPr>
                <w:b/>
                <w:sz w:val="22"/>
                <w:szCs w:val="22"/>
              </w:rPr>
            </w:pPr>
            <w:r w:rsidRPr="000B2B7C">
              <w:rPr>
                <w:b/>
                <w:sz w:val="22"/>
                <w:szCs w:val="22"/>
              </w:rPr>
              <w:t>:</w:t>
            </w:r>
            <w:r w:rsidRPr="000B2B7C">
              <w:rPr>
                <w:b/>
                <w:sz w:val="22"/>
                <w:szCs w:val="22"/>
              </w:rPr>
              <w:br/>
              <w:t>:</w:t>
            </w:r>
            <w:r w:rsidRPr="000B2B7C">
              <w:rPr>
                <w:b/>
                <w:sz w:val="22"/>
                <w:szCs w:val="22"/>
              </w:rPr>
              <w:br/>
              <w:t>:</w:t>
            </w:r>
            <w:r w:rsidRPr="000B2B7C">
              <w:rPr>
                <w:b/>
                <w:sz w:val="22"/>
                <w:szCs w:val="22"/>
              </w:rPr>
              <w:br/>
              <w:t>:</w:t>
            </w:r>
            <w:r w:rsidRPr="000B2B7C">
              <w:rPr>
                <w:b/>
                <w:sz w:val="22"/>
                <w:szCs w:val="22"/>
              </w:rPr>
              <w:br/>
              <w:t>:</w:t>
            </w:r>
            <w:r w:rsidRPr="000B2B7C">
              <w:rPr>
                <w:b/>
                <w:sz w:val="22"/>
                <w:szCs w:val="22"/>
              </w:rPr>
              <w:br/>
              <w:t>:</w:t>
            </w:r>
          </w:p>
        </w:tc>
        <w:tc>
          <w:tcPr>
            <w:tcW w:w="3480" w:type="dxa"/>
          </w:tcPr>
          <w:p w:rsidR="00B43626" w:rsidRPr="000B2B7C" w:rsidRDefault="00B43626" w:rsidP="00151919">
            <w:pPr>
              <w:outlineLvl w:val="0"/>
              <w:rPr>
                <w:color w:val="000000"/>
                <w:sz w:val="22"/>
                <w:szCs w:val="22"/>
              </w:rPr>
            </w:pPr>
            <w:r w:rsidRPr="000B2B7C">
              <w:rPr>
                <w:color w:val="000000"/>
                <w:sz w:val="22"/>
                <w:szCs w:val="22"/>
              </w:rPr>
              <w:t xml:space="preserve">Case Nos.   </w:t>
            </w:r>
            <w:r w:rsidRPr="000B2B7C">
              <w:rPr>
                <w:color w:val="000000"/>
                <w:sz w:val="22"/>
                <w:szCs w:val="22"/>
              </w:rPr>
              <w:tab/>
              <w:t>09-1947-EL-POR</w:t>
            </w:r>
          </w:p>
          <w:p w:rsidR="00B43626" w:rsidRPr="000B2B7C" w:rsidRDefault="00B43626" w:rsidP="00151919">
            <w:pPr>
              <w:outlineLvl w:val="0"/>
              <w:rPr>
                <w:color w:val="000000"/>
                <w:sz w:val="22"/>
                <w:szCs w:val="22"/>
              </w:rPr>
            </w:pPr>
            <w:r w:rsidRPr="000B2B7C">
              <w:rPr>
                <w:color w:val="000000"/>
                <w:sz w:val="22"/>
                <w:szCs w:val="22"/>
              </w:rPr>
              <w:tab/>
            </w:r>
            <w:r w:rsidRPr="000B2B7C">
              <w:rPr>
                <w:color w:val="000000"/>
                <w:sz w:val="22"/>
                <w:szCs w:val="22"/>
              </w:rPr>
              <w:tab/>
              <w:t>09-1948-EL-POR</w:t>
            </w:r>
          </w:p>
          <w:p w:rsidR="00B43626" w:rsidRPr="000B2B7C" w:rsidRDefault="00B43626" w:rsidP="00151919">
            <w:pPr>
              <w:outlineLvl w:val="0"/>
              <w:rPr>
                <w:color w:val="000000"/>
                <w:sz w:val="22"/>
                <w:szCs w:val="22"/>
              </w:rPr>
            </w:pPr>
            <w:r w:rsidRPr="000B2B7C">
              <w:rPr>
                <w:color w:val="000000"/>
                <w:sz w:val="22"/>
                <w:szCs w:val="22"/>
              </w:rPr>
              <w:tab/>
            </w:r>
            <w:r w:rsidRPr="000B2B7C">
              <w:rPr>
                <w:color w:val="000000"/>
                <w:sz w:val="22"/>
                <w:szCs w:val="22"/>
              </w:rPr>
              <w:tab/>
              <w:t>09- 1949-EL-POR</w:t>
            </w:r>
          </w:p>
          <w:p w:rsidR="00B43626" w:rsidRDefault="00B43626" w:rsidP="00151919">
            <w:pPr>
              <w:outlineLvl w:val="0"/>
              <w:rPr>
                <w:color w:val="000000"/>
                <w:sz w:val="22"/>
                <w:szCs w:val="22"/>
              </w:rPr>
            </w:pPr>
          </w:p>
          <w:p w:rsidR="000B2B7C" w:rsidRPr="000B2B7C" w:rsidRDefault="000B2B7C" w:rsidP="00151919">
            <w:pPr>
              <w:outlineLvl w:val="0"/>
              <w:rPr>
                <w:color w:val="000000"/>
                <w:sz w:val="22"/>
                <w:szCs w:val="22"/>
              </w:rPr>
            </w:pPr>
          </w:p>
          <w:p w:rsidR="00B43626" w:rsidRPr="000B2B7C" w:rsidRDefault="00B43626" w:rsidP="00151919">
            <w:pPr>
              <w:outlineLvl w:val="0"/>
              <w:rPr>
                <w:color w:val="000000"/>
                <w:sz w:val="22"/>
                <w:szCs w:val="22"/>
              </w:rPr>
            </w:pPr>
          </w:p>
          <w:p w:rsidR="00B43626" w:rsidRPr="000B2B7C" w:rsidRDefault="00B43626" w:rsidP="00151919">
            <w:pPr>
              <w:outlineLvl w:val="0"/>
              <w:rPr>
                <w:color w:val="000000"/>
                <w:sz w:val="22"/>
                <w:szCs w:val="22"/>
              </w:rPr>
            </w:pPr>
            <w:r w:rsidRPr="000B2B7C">
              <w:rPr>
                <w:color w:val="000000"/>
                <w:sz w:val="22"/>
                <w:szCs w:val="22"/>
              </w:rPr>
              <w:t xml:space="preserve">Case Nos.   </w:t>
            </w:r>
            <w:r w:rsidRPr="000B2B7C">
              <w:rPr>
                <w:color w:val="000000"/>
                <w:sz w:val="22"/>
                <w:szCs w:val="22"/>
              </w:rPr>
              <w:tab/>
              <w:t>09-1942-EL-EEC</w:t>
            </w:r>
          </w:p>
          <w:p w:rsidR="00B43626" w:rsidRPr="000B2B7C" w:rsidRDefault="00B43626" w:rsidP="00151919">
            <w:pPr>
              <w:outlineLvl w:val="0"/>
              <w:rPr>
                <w:color w:val="000000"/>
                <w:sz w:val="22"/>
                <w:szCs w:val="22"/>
              </w:rPr>
            </w:pPr>
            <w:r w:rsidRPr="000B2B7C">
              <w:rPr>
                <w:color w:val="000000"/>
                <w:sz w:val="22"/>
                <w:szCs w:val="22"/>
              </w:rPr>
              <w:tab/>
            </w:r>
            <w:r w:rsidRPr="000B2B7C">
              <w:rPr>
                <w:color w:val="000000"/>
                <w:sz w:val="22"/>
                <w:szCs w:val="22"/>
              </w:rPr>
              <w:tab/>
              <w:t>09-1943-EL-EEC</w:t>
            </w:r>
          </w:p>
          <w:p w:rsidR="00B43626" w:rsidRPr="000B2B7C" w:rsidRDefault="00B43626" w:rsidP="00151919">
            <w:pPr>
              <w:rPr>
                <w:color w:val="000000"/>
                <w:sz w:val="22"/>
                <w:szCs w:val="22"/>
              </w:rPr>
            </w:pPr>
            <w:r w:rsidRPr="000B2B7C">
              <w:rPr>
                <w:color w:val="000000"/>
                <w:sz w:val="22"/>
                <w:szCs w:val="22"/>
              </w:rPr>
              <w:tab/>
            </w:r>
            <w:r w:rsidRPr="000B2B7C">
              <w:rPr>
                <w:color w:val="000000"/>
                <w:sz w:val="22"/>
                <w:szCs w:val="22"/>
              </w:rPr>
              <w:tab/>
              <w:t>09-1944-BL-EEC</w:t>
            </w:r>
          </w:p>
          <w:p w:rsidR="00B43626" w:rsidRPr="000B2B7C" w:rsidRDefault="00B43626" w:rsidP="00151919">
            <w:pPr>
              <w:outlineLvl w:val="0"/>
              <w:rPr>
                <w:color w:val="000000"/>
                <w:sz w:val="22"/>
                <w:szCs w:val="22"/>
              </w:rPr>
            </w:pPr>
          </w:p>
          <w:p w:rsidR="00B43626" w:rsidRPr="000B2B7C" w:rsidRDefault="00B43626" w:rsidP="00151919">
            <w:pPr>
              <w:outlineLvl w:val="0"/>
              <w:rPr>
                <w:color w:val="000000"/>
                <w:sz w:val="22"/>
                <w:szCs w:val="22"/>
              </w:rPr>
            </w:pPr>
            <w:r w:rsidRPr="000B2B7C">
              <w:rPr>
                <w:color w:val="000000"/>
                <w:sz w:val="22"/>
                <w:szCs w:val="22"/>
              </w:rPr>
              <w:t xml:space="preserve">Case Nos.   </w:t>
            </w:r>
            <w:r w:rsidRPr="000B2B7C">
              <w:rPr>
                <w:color w:val="000000"/>
                <w:sz w:val="22"/>
                <w:szCs w:val="22"/>
              </w:rPr>
              <w:tab/>
              <w:t>09-580-EL-EEC</w:t>
            </w:r>
          </w:p>
          <w:p w:rsidR="00B43626" w:rsidRPr="000B2B7C" w:rsidRDefault="00B43626" w:rsidP="00151919">
            <w:pPr>
              <w:outlineLvl w:val="0"/>
              <w:rPr>
                <w:color w:val="000000"/>
                <w:sz w:val="22"/>
                <w:szCs w:val="22"/>
              </w:rPr>
            </w:pPr>
            <w:r w:rsidRPr="000B2B7C">
              <w:rPr>
                <w:color w:val="000000"/>
                <w:sz w:val="22"/>
                <w:szCs w:val="22"/>
              </w:rPr>
              <w:tab/>
            </w:r>
            <w:r w:rsidRPr="000B2B7C">
              <w:rPr>
                <w:color w:val="000000"/>
                <w:sz w:val="22"/>
                <w:szCs w:val="22"/>
              </w:rPr>
              <w:tab/>
              <w:t>09-581-EL-EEC</w:t>
            </w:r>
          </w:p>
          <w:p w:rsidR="00B43626" w:rsidRPr="000B2B7C" w:rsidRDefault="00B43626" w:rsidP="00151919">
            <w:pPr>
              <w:outlineLvl w:val="0"/>
              <w:rPr>
                <w:b/>
                <w:sz w:val="22"/>
                <w:szCs w:val="22"/>
              </w:rPr>
            </w:pPr>
            <w:r w:rsidRPr="000B2B7C">
              <w:rPr>
                <w:color w:val="000000"/>
                <w:sz w:val="22"/>
                <w:szCs w:val="22"/>
              </w:rPr>
              <w:tab/>
            </w:r>
            <w:r w:rsidRPr="000B2B7C">
              <w:rPr>
                <w:color w:val="000000"/>
                <w:sz w:val="22"/>
                <w:szCs w:val="22"/>
              </w:rPr>
              <w:tab/>
              <w:t>09-582-EL-EEC</w:t>
            </w:r>
          </w:p>
        </w:tc>
      </w:tr>
      <w:bookmarkEnd w:id="0"/>
      <w:bookmarkEnd w:id="1"/>
    </w:tbl>
    <w:p w:rsidR="00473DCD" w:rsidRDefault="00473DCD">
      <w:pPr>
        <w:rPr>
          <w:sz w:val="22"/>
          <w:szCs w:val="22"/>
        </w:rPr>
      </w:pPr>
    </w:p>
    <w:p w:rsidR="00B43626" w:rsidRPr="000B2B7C" w:rsidRDefault="00B43626" w:rsidP="00B43626">
      <w:pPr>
        <w:jc w:val="center"/>
        <w:rPr>
          <w:sz w:val="22"/>
          <w:szCs w:val="22"/>
          <w:u w:val="single"/>
        </w:rPr>
      </w:pP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p>
    <w:p w:rsidR="00B43626" w:rsidRPr="000B2B7C" w:rsidRDefault="00B43626" w:rsidP="00B43626">
      <w:pPr>
        <w:jc w:val="center"/>
        <w:rPr>
          <w:b/>
          <w:sz w:val="22"/>
          <w:szCs w:val="22"/>
        </w:rPr>
      </w:pPr>
    </w:p>
    <w:p w:rsidR="00B43626" w:rsidRPr="000B2B7C" w:rsidRDefault="00B43626" w:rsidP="00B43626">
      <w:pPr>
        <w:jc w:val="center"/>
        <w:rPr>
          <w:b/>
          <w:sz w:val="22"/>
          <w:szCs w:val="22"/>
        </w:rPr>
      </w:pPr>
      <w:r w:rsidRPr="000B2B7C">
        <w:rPr>
          <w:b/>
          <w:sz w:val="22"/>
          <w:szCs w:val="22"/>
        </w:rPr>
        <w:t>APPLICATION FOR REHEARING</w:t>
      </w:r>
    </w:p>
    <w:p w:rsidR="00B43626" w:rsidRPr="000B2B7C" w:rsidRDefault="00B43626" w:rsidP="00B43626">
      <w:pPr>
        <w:jc w:val="center"/>
        <w:rPr>
          <w:b/>
          <w:sz w:val="22"/>
          <w:szCs w:val="22"/>
        </w:rPr>
      </w:pPr>
      <w:r w:rsidRPr="000B2B7C">
        <w:rPr>
          <w:b/>
          <w:sz w:val="22"/>
          <w:szCs w:val="22"/>
        </w:rPr>
        <w:t>OF THE OHIO ENERGY GROUP</w:t>
      </w:r>
    </w:p>
    <w:p w:rsidR="00B43626" w:rsidRPr="000B2B7C" w:rsidRDefault="00B43626" w:rsidP="00B43626">
      <w:pPr>
        <w:jc w:val="center"/>
        <w:rPr>
          <w:sz w:val="22"/>
          <w:szCs w:val="22"/>
          <w:u w:val="single"/>
        </w:rPr>
      </w:pP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r w:rsidRPr="000B2B7C">
        <w:rPr>
          <w:sz w:val="22"/>
          <w:szCs w:val="22"/>
          <w:u w:val="single"/>
        </w:rPr>
        <w:tab/>
      </w:r>
    </w:p>
    <w:p w:rsidR="001C59C6" w:rsidRPr="000B2B7C" w:rsidRDefault="001C59C6">
      <w:pPr>
        <w:rPr>
          <w:sz w:val="22"/>
          <w:szCs w:val="22"/>
        </w:rPr>
      </w:pPr>
    </w:p>
    <w:p w:rsidR="00B214BD" w:rsidRDefault="00B43626" w:rsidP="000205C6">
      <w:pPr>
        <w:spacing w:before="120" w:after="120" w:line="480" w:lineRule="auto"/>
        <w:ind w:firstLine="720"/>
        <w:jc w:val="both"/>
        <w:rPr>
          <w:sz w:val="22"/>
          <w:szCs w:val="22"/>
        </w:rPr>
      </w:pPr>
      <w:r w:rsidRPr="000B2B7C">
        <w:rPr>
          <w:sz w:val="22"/>
          <w:szCs w:val="22"/>
        </w:rPr>
        <w:t>Pursuant to R.C. §4903.10</w:t>
      </w:r>
      <w:r w:rsidR="005E5137">
        <w:rPr>
          <w:sz w:val="22"/>
          <w:szCs w:val="22"/>
        </w:rPr>
        <w:t xml:space="preserve"> and Ohio Adm. Code </w:t>
      </w:r>
      <w:r w:rsidR="005E5137" w:rsidRPr="000B2B7C">
        <w:rPr>
          <w:sz w:val="22"/>
          <w:szCs w:val="22"/>
        </w:rPr>
        <w:t>§</w:t>
      </w:r>
      <w:r w:rsidR="005E5137">
        <w:rPr>
          <w:sz w:val="22"/>
          <w:szCs w:val="22"/>
        </w:rPr>
        <w:t xml:space="preserve">4901-1-35 </w:t>
      </w:r>
      <w:r w:rsidRPr="000B2B7C">
        <w:rPr>
          <w:sz w:val="22"/>
          <w:szCs w:val="22"/>
        </w:rPr>
        <w:t>,</w:t>
      </w:r>
      <w:r w:rsidR="00E6346D">
        <w:rPr>
          <w:sz w:val="22"/>
          <w:szCs w:val="22"/>
        </w:rPr>
        <w:t xml:space="preserve"> the Ohio Energy Group (“OEG”) </w:t>
      </w:r>
      <w:r w:rsidR="00304E97">
        <w:rPr>
          <w:sz w:val="22"/>
          <w:szCs w:val="22"/>
        </w:rPr>
        <w:t xml:space="preserve">hereby submits an application for rehearing of </w:t>
      </w:r>
      <w:r w:rsidRPr="000B2B7C">
        <w:rPr>
          <w:sz w:val="22"/>
          <w:szCs w:val="22"/>
        </w:rPr>
        <w:t>the Public Utilities Co</w:t>
      </w:r>
      <w:r w:rsidR="00304E97">
        <w:rPr>
          <w:sz w:val="22"/>
          <w:szCs w:val="22"/>
        </w:rPr>
        <w:t xml:space="preserve">mmission of Ohio’s (“Commission”) </w:t>
      </w:r>
      <w:r w:rsidR="00F33146">
        <w:rPr>
          <w:sz w:val="22"/>
          <w:szCs w:val="22"/>
        </w:rPr>
        <w:t>September 7</w:t>
      </w:r>
      <w:r w:rsidRPr="000B2B7C">
        <w:rPr>
          <w:sz w:val="22"/>
          <w:szCs w:val="22"/>
        </w:rPr>
        <w:t xml:space="preserve">, 2011 </w:t>
      </w:r>
      <w:r w:rsidR="009A7471">
        <w:rPr>
          <w:sz w:val="22"/>
          <w:szCs w:val="22"/>
        </w:rPr>
        <w:t>Entry on Rehearing</w:t>
      </w:r>
      <w:r w:rsidR="00F2598E">
        <w:rPr>
          <w:sz w:val="22"/>
          <w:szCs w:val="22"/>
        </w:rPr>
        <w:t xml:space="preserve"> (“Entry”)</w:t>
      </w:r>
      <w:r w:rsidRPr="000B2B7C">
        <w:rPr>
          <w:sz w:val="22"/>
          <w:szCs w:val="22"/>
        </w:rPr>
        <w:t xml:space="preserve"> in the above-captioned matter.  </w:t>
      </w:r>
      <w:r w:rsidR="00B97600">
        <w:rPr>
          <w:sz w:val="22"/>
          <w:szCs w:val="22"/>
        </w:rPr>
        <w:t>OEG do</w:t>
      </w:r>
      <w:r w:rsidR="00FD040F">
        <w:rPr>
          <w:sz w:val="22"/>
          <w:szCs w:val="22"/>
        </w:rPr>
        <w:t>es not request rehearing of the</w:t>
      </w:r>
      <w:r w:rsidR="00B97600">
        <w:rPr>
          <w:sz w:val="22"/>
          <w:szCs w:val="22"/>
        </w:rPr>
        <w:t xml:space="preserve"> issues </w:t>
      </w:r>
      <w:r w:rsidR="00FD040F">
        <w:rPr>
          <w:sz w:val="22"/>
          <w:szCs w:val="22"/>
        </w:rPr>
        <w:t xml:space="preserve">already </w:t>
      </w:r>
      <w:r w:rsidR="00244009">
        <w:rPr>
          <w:sz w:val="22"/>
          <w:szCs w:val="22"/>
        </w:rPr>
        <w:t>resolved</w:t>
      </w:r>
      <w:r w:rsidR="00FD040F">
        <w:rPr>
          <w:sz w:val="22"/>
          <w:szCs w:val="22"/>
        </w:rPr>
        <w:t xml:space="preserve"> </w:t>
      </w:r>
      <w:r w:rsidR="00B97600">
        <w:rPr>
          <w:sz w:val="22"/>
          <w:szCs w:val="22"/>
        </w:rPr>
        <w:t xml:space="preserve">in this case, but wishes to address a new issue </w:t>
      </w:r>
      <w:r w:rsidR="00A26F94">
        <w:rPr>
          <w:sz w:val="22"/>
          <w:szCs w:val="22"/>
        </w:rPr>
        <w:t>arising from</w:t>
      </w:r>
      <w:r w:rsidR="00B97600">
        <w:rPr>
          <w:sz w:val="22"/>
          <w:szCs w:val="22"/>
        </w:rPr>
        <w:t xml:space="preserve"> the Commission’s Entry. </w:t>
      </w:r>
      <w:r w:rsidR="004923D6" w:rsidRPr="000B2B7C">
        <w:rPr>
          <w:sz w:val="22"/>
          <w:szCs w:val="22"/>
        </w:rPr>
        <w:t xml:space="preserve">Specifically, </w:t>
      </w:r>
      <w:r w:rsidR="004D48C1" w:rsidRPr="000B2B7C">
        <w:rPr>
          <w:sz w:val="22"/>
          <w:szCs w:val="22"/>
        </w:rPr>
        <w:t xml:space="preserve">OEG contends that </w:t>
      </w:r>
      <w:r w:rsidR="006770D8" w:rsidRPr="000B2B7C">
        <w:rPr>
          <w:sz w:val="22"/>
          <w:szCs w:val="22"/>
        </w:rPr>
        <w:t xml:space="preserve">the Commission </w:t>
      </w:r>
      <w:r w:rsidR="00B214BD">
        <w:rPr>
          <w:sz w:val="22"/>
          <w:szCs w:val="22"/>
        </w:rPr>
        <w:t xml:space="preserve">erred </w:t>
      </w:r>
      <w:r w:rsidR="00F2598E">
        <w:rPr>
          <w:sz w:val="22"/>
          <w:szCs w:val="22"/>
        </w:rPr>
        <w:t>by</w:t>
      </w:r>
      <w:r w:rsidR="00424CF3">
        <w:rPr>
          <w:sz w:val="22"/>
          <w:szCs w:val="22"/>
        </w:rPr>
        <w:t xml:space="preserve"> </w:t>
      </w:r>
      <w:r w:rsidR="007E5C4C">
        <w:rPr>
          <w:sz w:val="22"/>
          <w:szCs w:val="22"/>
        </w:rPr>
        <w:t>establishing a new</w:t>
      </w:r>
      <w:r w:rsidR="005E729D">
        <w:rPr>
          <w:sz w:val="22"/>
          <w:szCs w:val="22"/>
        </w:rPr>
        <w:t xml:space="preserve"> </w:t>
      </w:r>
      <w:r w:rsidR="00424CF3">
        <w:rPr>
          <w:sz w:val="22"/>
          <w:szCs w:val="22"/>
        </w:rPr>
        <w:t xml:space="preserve">energy efficiency </w:t>
      </w:r>
      <w:r w:rsidR="005E729D">
        <w:rPr>
          <w:sz w:val="22"/>
          <w:szCs w:val="22"/>
        </w:rPr>
        <w:t>performance standard</w:t>
      </w:r>
      <w:r w:rsidR="004F79D9">
        <w:rPr>
          <w:sz w:val="22"/>
          <w:szCs w:val="22"/>
        </w:rPr>
        <w:t xml:space="preserve"> </w:t>
      </w:r>
      <w:r w:rsidR="00424CF3">
        <w:rPr>
          <w:sz w:val="22"/>
          <w:szCs w:val="22"/>
        </w:rPr>
        <w:t xml:space="preserve">for </w:t>
      </w:r>
      <w:r w:rsidR="004F79D9">
        <w:rPr>
          <w:sz w:val="22"/>
          <w:szCs w:val="22"/>
        </w:rPr>
        <w:t xml:space="preserve">electric distribution utilities </w:t>
      </w:r>
      <w:r w:rsidR="006725E3">
        <w:rPr>
          <w:sz w:val="22"/>
          <w:szCs w:val="22"/>
        </w:rPr>
        <w:t xml:space="preserve">beyond that established </w:t>
      </w:r>
      <w:r w:rsidR="004F79D9">
        <w:rPr>
          <w:sz w:val="22"/>
          <w:szCs w:val="22"/>
        </w:rPr>
        <w:t>under R.C. 4928.66</w:t>
      </w:r>
      <w:r w:rsidR="009C3595">
        <w:rPr>
          <w:sz w:val="22"/>
          <w:szCs w:val="22"/>
        </w:rPr>
        <w:t>(A)</w:t>
      </w:r>
      <w:r w:rsidR="004F79D9">
        <w:rPr>
          <w:sz w:val="22"/>
          <w:szCs w:val="22"/>
        </w:rPr>
        <w:t>.</w:t>
      </w:r>
      <w:r w:rsidR="00856FD6">
        <w:rPr>
          <w:sz w:val="22"/>
          <w:szCs w:val="22"/>
        </w:rPr>
        <w:t xml:space="preserve">  </w:t>
      </w:r>
      <w:r w:rsidR="00D02D6E">
        <w:rPr>
          <w:sz w:val="22"/>
          <w:szCs w:val="22"/>
        </w:rPr>
        <w:t xml:space="preserve">The reasons in support of OEG’s arguments are </w:t>
      </w:r>
      <w:r w:rsidR="004F41B9">
        <w:rPr>
          <w:sz w:val="22"/>
          <w:szCs w:val="22"/>
        </w:rPr>
        <w:t xml:space="preserve">set forth </w:t>
      </w:r>
      <w:r w:rsidR="00D02D6E">
        <w:rPr>
          <w:sz w:val="22"/>
          <w:szCs w:val="22"/>
        </w:rPr>
        <w:t>in the attached Memorandum in Support.</w:t>
      </w:r>
    </w:p>
    <w:p w:rsidR="000B2B7C" w:rsidRPr="000B2B7C" w:rsidRDefault="000B2B7C" w:rsidP="00C377DC">
      <w:pPr>
        <w:spacing w:line="480" w:lineRule="atLeast"/>
        <w:ind w:left="5040"/>
        <w:jc w:val="both"/>
        <w:rPr>
          <w:sz w:val="22"/>
          <w:szCs w:val="22"/>
        </w:rPr>
      </w:pPr>
      <w:r w:rsidRPr="000B2B7C">
        <w:rPr>
          <w:sz w:val="22"/>
          <w:szCs w:val="22"/>
        </w:rPr>
        <w:t>Respectfully submitted,</w:t>
      </w:r>
    </w:p>
    <w:p w:rsidR="000B2B7C" w:rsidRPr="000B2B7C" w:rsidRDefault="000B2B7C" w:rsidP="00C377DC">
      <w:pPr>
        <w:ind w:left="5040"/>
        <w:jc w:val="both"/>
        <w:rPr>
          <w:sz w:val="22"/>
          <w:szCs w:val="22"/>
        </w:rPr>
      </w:pPr>
    </w:p>
    <w:p w:rsidR="000B2B7C" w:rsidRPr="000B2B7C" w:rsidRDefault="000B2B7C" w:rsidP="00C377DC">
      <w:pPr>
        <w:ind w:left="5040"/>
        <w:jc w:val="both"/>
        <w:rPr>
          <w:sz w:val="22"/>
          <w:szCs w:val="22"/>
        </w:rPr>
      </w:pPr>
      <w:r w:rsidRPr="000B2B7C">
        <w:rPr>
          <w:sz w:val="22"/>
          <w:szCs w:val="22"/>
        </w:rPr>
        <w:t>_____________________________________</w:t>
      </w:r>
    </w:p>
    <w:p w:rsidR="000B2B7C" w:rsidRDefault="000B2B7C" w:rsidP="00C377DC">
      <w:pPr>
        <w:ind w:left="5040"/>
        <w:jc w:val="both"/>
        <w:rPr>
          <w:sz w:val="22"/>
          <w:szCs w:val="22"/>
        </w:rPr>
      </w:pPr>
      <w:r w:rsidRPr="000B2B7C">
        <w:rPr>
          <w:sz w:val="22"/>
          <w:szCs w:val="22"/>
        </w:rPr>
        <w:t>Michael L</w:t>
      </w:r>
      <w:r>
        <w:rPr>
          <w:sz w:val="22"/>
          <w:szCs w:val="22"/>
        </w:rPr>
        <w:t xml:space="preserve">. </w:t>
      </w:r>
      <w:r w:rsidRPr="000B2B7C">
        <w:rPr>
          <w:sz w:val="22"/>
          <w:szCs w:val="22"/>
        </w:rPr>
        <w:t>Kurtz, Esq.</w:t>
      </w:r>
    </w:p>
    <w:p w:rsidR="00325E09" w:rsidRDefault="00325E09" w:rsidP="00C377DC">
      <w:pPr>
        <w:ind w:left="5040"/>
        <w:jc w:val="both"/>
        <w:rPr>
          <w:sz w:val="22"/>
          <w:szCs w:val="22"/>
        </w:rPr>
      </w:pPr>
      <w:r>
        <w:rPr>
          <w:sz w:val="22"/>
          <w:szCs w:val="22"/>
        </w:rPr>
        <w:t>Kurt J. Boehm, Esq.</w:t>
      </w:r>
    </w:p>
    <w:p w:rsidR="00180129" w:rsidRPr="000B2B7C" w:rsidRDefault="00180129" w:rsidP="00C377DC">
      <w:pPr>
        <w:ind w:left="5040"/>
        <w:jc w:val="both"/>
        <w:rPr>
          <w:sz w:val="22"/>
          <w:szCs w:val="22"/>
        </w:rPr>
      </w:pPr>
      <w:r>
        <w:rPr>
          <w:sz w:val="22"/>
          <w:szCs w:val="22"/>
        </w:rPr>
        <w:t>Jody M. Kyler, Esq.</w:t>
      </w:r>
    </w:p>
    <w:p w:rsidR="000B2B7C" w:rsidRPr="000B2B7C" w:rsidRDefault="000B2B7C" w:rsidP="00C377DC">
      <w:pPr>
        <w:ind w:left="5040"/>
        <w:jc w:val="both"/>
        <w:rPr>
          <w:b/>
          <w:sz w:val="22"/>
          <w:szCs w:val="22"/>
        </w:rPr>
      </w:pPr>
      <w:r w:rsidRPr="000B2B7C">
        <w:rPr>
          <w:b/>
          <w:sz w:val="22"/>
          <w:szCs w:val="22"/>
        </w:rPr>
        <w:t>BOEHM, KURTZ &amp; LOWRY</w:t>
      </w:r>
    </w:p>
    <w:p w:rsidR="000B2B7C" w:rsidRPr="000B2B7C" w:rsidRDefault="000B2B7C" w:rsidP="00C377DC">
      <w:pPr>
        <w:ind w:left="5040"/>
        <w:jc w:val="both"/>
        <w:rPr>
          <w:sz w:val="22"/>
          <w:szCs w:val="22"/>
        </w:rPr>
      </w:pPr>
      <w:r w:rsidRPr="000B2B7C">
        <w:rPr>
          <w:sz w:val="22"/>
          <w:szCs w:val="22"/>
        </w:rPr>
        <w:t>36 East Seventh Street, Suite 1510</w:t>
      </w:r>
    </w:p>
    <w:p w:rsidR="000B2B7C" w:rsidRPr="000B2B7C" w:rsidRDefault="000B2B7C" w:rsidP="00C377DC">
      <w:pPr>
        <w:ind w:left="5040"/>
        <w:jc w:val="both"/>
        <w:rPr>
          <w:sz w:val="22"/>
          <w:szCs w:val="22"/>
        </w:rPr>
      </w:pPr>
      <w:r w:rsidRPr="000B2B7C">
        <w:rPr>
          <w:sz w:val="22"/>
          <w:szCs w:val="22"/>
        </w:rPr>
        <w:t>Cincinnati, Ohio 45202</w:t>
      </w:r>
    </w:p>
    <w:p w:rsidR="000B2B7C" w:rsidRPr="000B2B7C" w:rsidRDefault="000B2B7C" w:rsidP="00C377DC">
      <w:pPr>
        <w:ind w:left="5040"/>
        <w:jc w:val="both"/>
        <w:rPr>
          <w:sz w:val="22"/>
          <w:szCs w:val="22"/>
        </w:rPr>
      </w:pPr>
      <w:r w:rsidRPr="000B2B7C">
        <w:rPr>
          <w:sz w:val="22"/>
          <w:szCs w:val="22"/>
        </w:rPr>
        <w:t>Ph:  513.421.2255     Fax:  513.421.2764</w:t>
      </w:r>
    </w:p>
    <w:p w:rsidR="000B2B7C" w:rsidRPr="000B2B7C" w:rsidRDefault="000B2B7C" w:rsidP="00325E09">
      <w:pPr>
        <w:ind w:left="5040"/>
        <w:jc w:val="both"/>
        <w:rPr>
          <w:sz w:val="22"/>
          <w:szCs w:val="22"/>
        </w:rPr>
      </w:pPr>
      <w:r w:rsidRPr="000B2B7C">
        <w:rPr>
          <w:sz w:val="22"/>
          <w:szCs w:val="22"/>
        </w:rPr>
        <w:t xml:space="preserve">E-Mail: </w:t>
      </w:r>
      <w:hyperlink r:id="rId8" w:history="1">
        <w:r w:rsidR="00325E09" w:rsidRPr="007C32FE">
          <w:rPr>
            <w:rStyle w:val="Hyperlink"/>
            <w:sz w:val="22"/>
            <w:szCs w:val="22"/>
          </w:rPr>
          <w:t>mkurtz@BKLlawfirm.com</w:t>
        </w:r>
      </w:hyperlink>
      <w:r w:rsidRPr="000B2B7C">
        <w:rPr>
          <w:sz w:val="22"/>
          <w:szCs w:val="22"/>
        </w:rPr>
        <w:t xml:space="preserve"> </w:t>
      </w:r>
    </w:p>
    <w:p w:rsidR="000B2B7C" w:rsidRDefault="00F76343" w:rsidP="00C377DC">
      <w:pPr>
        <w:ind w:left="5040"/>
        <w:jc w:val="both"/>
      </w:pPr>
      <w:hyperlink r:id="rId9" w:history="1">
        <w:r w:rsidR="00325E09">
          <w:rPr>
            <w:rStyle w:val="Hyperlink"/>
            <w:sz w:val="22"/>
            <w:szCs w:val="22"/>
          </w:rPr>
          <w:t>k</w:t>
        </w:r>
        <w:r w:rsidR="00325E09" w:rsidRPr="000B2B7C">
          <w:rPr>
            <w:rStyle w:val="Hyperlink"/>
            <w:sz w:val="22"/>
            <w:szCs w:val="22"/>
          </w:rPr>
          <w:t>boehm@BKLlawfirm.com</w:t>
        </w:r>
      </w:hyperlink>
    </w:p>
    <w:p w:rsidR="00180129" w:rsidRPr="000B2B7C" w:rsidRDefault="001C59C6" w:rsidP="00C377DC">
      <w:pPr>
        <w:ind w:left="5040"/>
        <w:jc w:val="both"/>
        <w:rPr>
          <w:sz w:val="22"/>
          <w:szCs w:val="22"/>
        </w:rPr>
      </w:pPr>
      <w:hyperlink r:id="rId10" w:history="1">
        <w:r w:rsidRPr="009A5F33">
          <w:rPr>
            <w:rStyle w:val="Hyperlink"/>
          </w:rPr>
          <w:t>jkyler@BKLlawfirm.com</w:t>
        </w:r>
      </w:hyperlink>
      <w:r>
        <w:t xml:space="preserve"> </w:t>
      </w:r>
    </w:p>
    <w:p w:rsidR="000B2B7C" w:rsidRPr="000B2B7C" w:rsidRDefault="000B2B7C" w:rsidP="00C377DC">
      <w:pPr>
        <w:ind w:left="5040"/>
        <w:rPr>
          <w:sz w:val="22"/>
          <w:szCs w:val="22"/>
        </w:rPr>
      </w:pPr>
      <w:r w:rsidRPr="000B2B7C">
        <w:rPr>
          <w:b/>
          <w:sz w:val="22"/>
          <w:szCs w:val="22"/>
        </w:rPr>
        <w:t>COUNSEL FOR THE OHIO ENERGY GROUP</w:t>
      </w:r>
      <w:r w:rsidRPr="000B2B7C">
        <w:rPr>
          <w:sz w:val="22"/>
          <w:szCs w:val="22"/>
        </w:rPr>
        <w:br w:type="page"/>
      </w:r>
    </w:p>
    <w:p w:rsidR="00E956A2" w:rsidRPr="000B2B7C" w:rsidRDefault="00E956A2" w:rsidP="001C59C6">
      <w:pPr>
        <w:spacing w:before="120" w:after="360" w:line="480" w:lineRule="auto"/>
        <w:jc w:val="center"/>
        <w:rPr>
          <w:b/>
          <w:sz w:val="22"/>
          <w:szCs w:val="22"/>
          <w:u w:val="single"/>
        </w:rPr>
      </w:pPr>
      <w:r w:rsidRPr="000B2B7C">
        <w:rPr>
          <w:b/>
          <w:sz w:val="22"/>
          <w:szCs w:val="22"/>
          <w:u w:val="single"/>
        </w:rPr>
        <w:lastRenderedPageBreak/>
        <w:t>MEMORANDUM IN SUPPORT</w:t>
      </w:r>
    </w:p>
    <w:p w:rsidR="00060243" w:rsidRPr="00060243" w:rsidRDefault="00060243" w:rsidP="001C59C6">
      <w:pPr>
        <w:spacing w:before="120" w:after="120" w:line="480" w:lineRule="auto"/>
        <w:jc w:val="both"/>
        <w:rPr>
          <w:b/>
          <w:sz w:val="22"/>
          <w:szCs w:val="22"/>
          <w:u w:val="single"/>
        </w:rPr>
      </w:pPr>
      <w:r w:rsidRPr="00060243">
        <w:rPr>
          <w:b/>
          <w:sz w:val="22"/>
          <w:szCs w:val="22"/>
          <w:u w:val="single"/>
        </w:rPr>
        <w:t>The Commission erred by establishing a new energy efficiency performance standard for electric distribution utilities beyond that established under R.C. 4928.66</w:t>
      </w:r>
      <w:r w:rsidR="00871B98">
        <w:rPr>
          <w:b/>
          <w:sz w:val="22"/>
          <w:szCs w:val="22"/>
          <w:u w:val="single"/>
        </w:rPr>
        <w:t>(A).</w:t>
      </w:r>
    </w:p>
    <w:p w:rsidR="00E00576" w:rsidRDefault="00E00576" w:rsidP="001C59C6">
      <w:pPr>
        <w:spacing w:before="120" w:after="120" w:line="480" w:lineRule="auto"/>
        <w:ind w:firstLine="720"/>
        <w:jc w:val="both"/>
        <w:rPr>
          <w:sz w:val="22"/>
          <w:szCs w:val="22"/>
        </w:rPr>
      </w:pPr>
      <w:r>
        <w:rPr>
          <w:sz w:val="22"/>
          <w:szCs w:val="22"/>
        </w:rPr>
        <w:t>The Commission’s Entry provides:</w:t>
      </w:r>
    </w:p>
    <w:p w:rsidR="00E00576" w:rsidRDefault="00E00576" w:rsidP="001C59C6">
      <w:pPr>
        <w:spacing w:before="120" w:after="120"/>
        <w:ind w:left="1080" w:right="720"/>
        <w:jc w:val="both"/>
        <w:rPr>
          <w:sz w:val="22"/>
          <w:szCs w:val="22"/>
        </w:rPr>
      </w:pPr>
      <w:r w:rsidRPr="007D4C6F">
        <w:rPr>
          <w:sz w:val="22"/>
          <w:szCs w:val="22"/>
        </w:rPr>
        <w:t xml:space="preserve">In the absence of any regulatory, economic, or technological reasons beyond the Companies’ reasonable control, the Companies should seek to provide to their customers all available cost effective energy efficiency opportunities.  In order to maximize customer opportunities, utilities must seek the least cost means to achieve this standard.  </w:t>
      </w:r>
      <w:r w:rsidRPr="00C11073">
        <w:rPr>
          <w:i/>
          <w:sz w:val="22"/>
          <w:szCs w:val="22"/>
        </w:rPr>
        <w:t>This is the performance standard to be expected from Ohio’s electric utilities</w:t>
      </w:r>
      <w:r>
        <w:rPr>
          <w:sz w:val="22"/>
          <w:szCs w:val="22"/>
        </w:rPr>
        <w:t>.</w:t>
      </w:r>
      <w:r w:rsidR="002738AA">
        <w:rPr>
          <w:rStyle w:val="FootnoteReference"/>
          <w:sz w:val="22"/>
          <w:szCs w:val="22"/>
        </w:rPr>
        <w:footnoteReference w:id="1"/>
      </w:r>
    </w:p>
    <w:p w:rsidR="00891E16" w:rsidRDefault="00891E16" w:rsidP="001C59C6">
      <w:pPr>
        <w:spacing w:before="120" w:after="120"/>
        <w:jc w:val="both"/>
        <w:rPr>
          <w:sz w:val="22"/>
          <w:szCs w:val="22"/>
        </w:rPr>
      </w:pPr>
    </w:p>
    <w:p w:rsidR="003E3AD7" w:rsidRDefault="000E2379" w:rsidP="001C59C6">
      <w:pPr>
        <w:spacing w:before="120" w:after="120" w:line="480" w:lineRule="auto"/>
        <w:ind w:firstLine="720"/>
        <w:jc w:val="both"/>
        <w:rPr>
          <w:sz w:val="22"/>
          <w:szCs w:val="22"/>
        </w:rPr>
      </w:pPr>
      <w:r>
        <w:rPr>
          <w:sz w:val="22"/>
          <w:szCs w:val="22"/>
        </w:rPr>
        <w:t>This language appears to est</w:t>
      </w:r>
      <w:r w:rsidR="007D4C6F">
        <w:rPr>
          <w:sz w:val="22"/>
          <w:szCs w:val="22"/>
        </w:rPr>
        <w:t xml:space="preserve">ablish a </w:t>
      </w:r>
      <w:r w:rsidR="00C669B2">
        <w:rPr>
          <w:sz w:val="22"/>
          <w:szCs w:val="22"/>
        </w:rPr>
        <w:t xml:space="preserve">new </w:t>
      </w:r>
      <w:r w:rsidR="007D4C6F">
        <w:rPr>
          <w:sz w:val="22"/>
          <w:szCs w:val="22"/>
        </w:rPr>
        <w:t>energy efficiency performance standard that</w:t>
      </w:r>
      <w:r w:rsidR="004621D3">
        <w:rPr>
          <w:sz w:val="22"/>
          <w:szCs w:val="22"/>
        </w:rPr>
        <w:t xml:space="preserve"> could</w:t>
      </w:r>
      <w:r w:rsidR="007D4C6F">
        <w:rPr>
          <w:sz w:val="22"/>
          <w:szCs w:val="22"/>
        </w:rPr>
        <w:t xml:space="preserve"> </w:t>
      </w:r>
      <w:r w:rsidR="00D05D54">
        <w:rPr>
          <w:sz w:val="22"/>
          <w:szCs w:val="22"/>
        </w:rPr>
        <w:t xml:space="preserve">require Ohio utilities to </w:t>
      </w:r>
      <w:r w:rsidR="00193677">
        <w:rPr>
          <w:sz w:val="22"/>
          <w:szCs w:val="22"/>
        </w:rPr>
        <w:t>exceed</w:t>
      </w:r>
      <w:r w:rsidR="007D4C6F">
        <w:rPr>
          <w:sz w:val="22"/>
          <w:szCs w:val="22"/>
        </w:rPr>
        <w:t xml:space="preserve"> the current </w:t>
      </w:r>
      <w:r w:rsidR="004F44D0">
        <w:rPr>
          <w:sz w:val="22"/>
          <w:szCs w:val="22"/>
        </w:rPr>
        <w:t>benchmarks</w:t>
      </w:r>
      <w:r w:rsidR="0086798A">
        <w:rPr>
          <w:sz w:val="22"/>
          <w:szCs w:val="22"/>
        </w:rPr>
        <w:t xml:space="preserve"> established in </w:t>
      </w:r>
      <w:r w:rsidR="00CC55FD">
        <w:rPr>
          <w:sz w:val="22"/>
          <w:szCs w:val="22"/>
        </w:rPr>
        <w:t>R.C. 4928.66(A).</w:t>
      </w:r>
      <w:r w:rsidR="003641E1">
        <w:rPr>
          <w:sz w:val="22"/>
          <w:szCs w:val="22"/>
        </w:rPr>
        <w:t xml:space="preserve">  Increasing the utilit</w:t>
      </w:r>
      <w:r w:rsidR="0090765A">
        <w:rPr>
          <w:sz w:val="22"/>
          <w:szCs w:val="22"/>
        </w:rPr>
        <w:t>ies’</w:t>
      </w:r>
      <w:r w:rsidR="003641E1">
        <w:rPr>
          <w:sz w:val="22"/>
          <w:szCs w:val="22"/>
        </w:rPr>
        <w:t xml:space="preserve"> energy efficiency performance standard by requiring utilities to </w:t>
      </w:r>
      <w:r w:rsidR="00B618C6">
        <w:rPr>
          <w:sz w:val="22"/>
          <w:szCs w:val="22"/>
        </w:rPr>
        <w:t xml:space="preserve">immediately </w:t>
      </w:r>
      <w:r w:rsidR="003641E1">
        <w:rPr>
          <w:sz w:val="22"/>
          <w:szCs w:val="22"/>
        </w:rPr>
        <w:t>maximize their energy efficiency savings</w:t>
      </w:r>
      <w:r w:rsidR="00E00DAF">
        <w:rPr>
          <w:sz w:val="22"/>
          <w:szCs w:val="22"/>
        </w:rPr>
        <w:t xml:space="preserve"> </w:t>
      </w:r>
      <w:r w:rsidR="003641E1">
        <w:rPr>
          <w:sz w:val="22"/>
          <w:szCs w:val="22"/>
        </w:rPr>
        <w:t xml:space="preserve">could be </w:t>
      </w:r>
      <w:r w:rsidR="003840B6">
        <w:rPr>
          <w:sz w:val="22"/>
          <w:szCs w:val="22"/>
        </w:rPr>
        <w:t xml:space="preserve">very </w:t>
      </w:r>
      <w:r w:rsidR="003641E1">
        <w:rPr>
          <w:sz w:val="22"/>
          <w:szCs w:val="22"/>
        </w:rPr>
        <w:t>costly to Ohio customers</w:t>
      </w:r>
      <w:r w:rsidR="003B6A25">
        <w:rPr>
          <w:sz w:val="22"/>
          <w:szCs w:val="22"/>
        </w:rPr>
        <w:t>, particularly industrial customers</w:t>
      </w:r>
      <w:r w:rsidR="003840B6">
        <w:rPr>
          <w:sz w:val="22"/>
          <w:szCs w:val="22"/>
        </w:rPr>
        <w:t>, in the short-term</w:t>
      </w:r>
      <w:r w:rsidR="003641E1">
        <w:rPr>
          <w:sz w:val="22"/>
          <w:szCs w:val="22"/>
        </w:rPr>
        <w:t>.</w:t>
      </w:r>
      <w:r w:rsidR="003840B6">
        <w:rPr>
          <w:sz w:val="22"/>
          <w:szCs w:val="22"/>
        </w:rPr>
        <w:t xml:space="preserve">  Rather than </w:t>
      </w:r>
      <w:r w:rsidR="00E35CC2">
        <w:rPr>
          <w:sz w:val="22"/>
          <w:szCs w:val="22"/>
        </w:rPr>
        <w:t xml:space="preserve">gradually </w:t>
      </w:r>
      <w:r w:rsidR="003840B6">
        <w:rPr>
          <w:sz w:val="22"/>
          <w:szCs w:val="22"/>
        </w:rPr>
        <w:t>phasing</w:t>
      </w:r>
      <w:r w:rsidR="00D81FA3">
        <w:rPr>
          <w:sz w:val="22"/>
          <w:szCs w:val="22"/>
        </w:rPr>
        <w:t>-</w:t>
      </w:r>
      <w:r w:rsidR="003840B6">
        <w:rPr>
          <w:sz w:val="22"/>
          <w:szCs w:val="22"/>
        </w:rPr>
        <w:t>in the costs of new energy efficiency programs</w:t>
      </w:r>
      <w:r w:rsidR="00EF3E4C">
        <w:rPr>
          <w:sz w:val="22"/>
          <w:szCs w:val="22"/>
        </w:rPr>
        <w:t>,</w:t>
      </w:r>
      <w:r w:rsidR="0077043A">
        <w:rPr>
          <w:sz w:val="22"/>
          <w:szCs w:val="22"/>
        </w:rPr>
        <w:t xml:space="preserve"> as R.C. 4928.66(A) dictates,</w:t>
      </w:r>
      <w:r w:rsidR="0046612C">
        <w:rPr>
          <w:sz w:val="22"/>
          <w:szCs w:val="22"/>
        </w:rPr>
        <w:t xml:space="preserve"> </w:t>
      </w:r>
      <w:r w:rsidR="003840B6">
        <w:rPr>
          <w:sz w:val="22"/>
          <w:szCs w:val="22"/>
        </w:rPr>
        <w:t xml:space="preserve">the Commission’s </w:t>
      </w:r>
      <w:r w:rsidR="0093129A">
        <w:rPr>
          <w:sz w:val="22"/>
          <w:szCs w:val="22"/>
        </w:rPr>
        <w:t xml:space="preserve">new </w:t>
      </w:r>
      <w:r w:rsidR="003840B6">
        <w:rPr>
          <w:sz w:val="22"/>
          <w:szCs w:val="22"/>
        </w:rPr>
        <w:t xml:space="preserve">standard </w:t>
      </w:r>
      <w:r w:rsidR="00945138">
        <w:rPr>
          <w:sz w:val="22"/>
          <w:szCs w:val="22"/>
        </w:rPr>
        <w:t>w</w:t>
      </w:r>
      <w:r w:rsidR="003840B6">
        <w:rPr>
          <w:sz w:val="22"/>
          <w:szCs w:val="22"/>
        </w:rPr>
        <w:t xml:space="preserve">ould </w:t>
      </w:r>
      <w:r w:rsidR="00C277D4">
        <w:rPr>
          <w:sz w:val="22"/>
          <w:szCs w:val="22"/>
        </w:rPr>
        <w:t xml:space="preserve">appear to </w:t>
      </w:r>
      <w:r w:rsidR="003840B6">
        <w:rPr>
          <w:sz w:val="22"/>
          <w:szCs w:val="22"/>
        </w:rPr>
        <w:t xml:space="preserve">require customers to undertake the program costs of all cost-effective energy efficiency programs </w:t>
      </w:r>
      <w:r w:rsidR="00C40581">
        <w:rPr>
          <w:sz w:val="22"/>
          <w:szCs w:val="22"/>
        </w:rPr>
        <w:t>over a short time period</w:t>
      </w:r>
      <w:r w:rsidR="00BF5BA4">
        <w:rPr>
          <w:sz w:val="22"/>
          <w:szCs w:val="22"/>
        </w:rPr>
        <w:t xml:space="preserve"> in anticipation of savings</w:t>
      </w:r>
      <w:r w:rsidR="002A0D55">
        <w:rPr>
          <w:sz w:val="22"/>
          <w:szCs w:val="22"/>
        </w:rPr>
        <w:t xml:space="preserve"> over time</w:t>
      </w:r>
      <w:r w:rsidR="00C40581">
        <w:rPr>
          <w:sz w:val="22"/>
          <w:szCs w:val="22"/>
        </w:rPr>
        <w:t>.</w:t>
      </w:r>
      <w:r w:rsidR="000852F5">
        <w:rPr>
          <w:sz w:val="22"/>
          <w:szCs w:val="22"/>
        </w:rPr>
        <w:t xml:space="preserve">  </w:t>
      </w:r>
    </w:p>
    <w:p w:rsidR="00D9679B" w:rsidRDefault="00F323A2" w:rsidP="001C59C6">
      <w:pPr>
        <w:spacing w:before="120" w:after="120" w:line="480" w:lineRule="auto"/>
        <w:ind w:firstLine="720"/>
        <w:jc w:val="both"/>
        <w:rPr>
          <w:sz w:val="22"/>
          <w:szCs w:val="22"/>
        </w:rPr>
      </w:pPr>
      <w:r>
        <w:rPr>
          <w:sz w:val="22"/>
          <w:szCs w:val="22"/>
        </w:rPr>
        <w:t xml:space="preserve">The costs of the programs in the FirstEnergy companies’ </w:t>
      </w:r>
      <w:r w:rsidR="0086418D">
        <w:rPr>
          <w:sz w:val="22"/>
          <w:szCs w:val="22"/>
        </w:rPr>
        <w:t xml:space="preserve">energy efficiency and peak demand reduction </w:t>
      </w:r>
      <w:r>
        <w:rPr>
          <w:sz w:val="22"/>
          <w:szCs w:val="22"/>
        </w:rPr>
        <w:t xml:space="preserve">plans </w:t>
      </w:r>
      <w:r w:rsidR="005C0315">
        <w:rPr>
          <w:sz w:val="22"/>
          <w:szCs w:val="22"/>
        </w:rPr>
        <w:t xml:space="preserve">for 2010-12 </w:t>
      </w:r>
      <w:r>
        <w:rPr>
          <w:sz w:val="22"/>
          <w:szCs w:val="22"/>
        </w:rPr>
        <w:t>were estimated to be approximately $214 million.</w:t>
      </w:r>
      <w:r w:rsidR="005C0315">
        <w:rPr>
          <w:rStyle w:val="FootnoteReference"/>
          <w:sz w:val="22"/>
          <w:szCs w:val="22"/>
        </w:rPr>
        <w:footnoteReference w:id="2"/>
      </w:r>
      <w:r w:rsidR="003C3E4E">
        <w:rPr>
          <w:sz w:val="22"/>
          <w:szCs w:val="22"/>
        </w:rPr>
        <w:t xml:space="preserve">  </w:t>
      </w:r>
      <w:r w:rsidR="003C2662">
        <w:rPr>
          <w:sz w:val="22"/>
          <w:szCs w:val="22"/>
        </w:rPr>
        <w:t xml:space="preserve">Depending on the existence of additional cost-effective </w:t>
      </w:r>
      <w:r w:rsidR="00A00069">
        <w:rPr>
          <w:sz w:val="22"/>
          <w:szCs w:val="22"/>
        </w:rPr>
        <w:t>energy efficiency programs</w:t>
      </w:r>
      <w:r w:rsidR="00696EDB">
        <w:rPr>
          <w:sz w:val="22"/>
          <w:szCs w:val="22"/>
        </w:rPr>
        <w:t xml:space="preserve"> </w:t>
      </w:r>
      <w:r w:rsidR="00482E35">
        <w:rPr>
          <w:sz w:val="22"/>
          <w:szCs w:val="22"/>
        </w:rPr>
        <w:t>outside of what the companies have already proposed</w:t>
      </w:r>
      <w:r w:rsidR="00A00069">
        <w:rPr>
          <w:sz w:val="22"/>
          <w:szCs w:val="22"/>
        </w:rPr>
        <w:t>, t</w:t>
      </w:r>
      <w:r w:rsidR="003C3E4E">
        <w:rPr>
          <w:sz w:val="22"/>
          <w:szCs w:val="22"/>
        </w:rPr>
        <w:t xml:space="preserve">he new performance standard </w:t>
      </w:r>
      <w:r w:rsidR="008E5832">
        <w:rPr>
          <w:sz w:val="22"/>
          <w:szCs w:val="22"/>
        </w:rPr>
        <w:t>seemingly established</w:t>
      </w:r>
      <w:r w:rsidR="003C3E4E">
        <w:rPr>
          <w:sz w:val="22"/>
          <w:szCs w:val="22"/>
        </w:rPr>
        <w:t xml:space="preserve"> in the Commission’s Entry may significantly increase those costs</w:t>
      </w:r>
      <w:r w:rsidR="00E80820">
        <w:rPr>
          <w:sz w:val="22"/>
          <w:szCs w:val="22"/>
        </w:rPr>
        <w:t xml:space="preserve"> over a short period of time</w:t>
      </w:r>
      <w:r w:rsidR="003C3E4E">
        <w:rPr>
          <w:sz w:val="22"/>
          <w:szCs w:val="22"/>
        </w:rPr>
        <w:t>.</w:t>
      </w:r>
      <w:r w:rsidR="003E3AD7">
        <w:rPr>
          <w:sz w:val="22"/>
          <w:szCs w:val="22"/>
        </w:rPr>
        <w:t xml:space="preserve">  OEG is concerned about the potential for rate shock </w:t>
      </w:r>
      <w:r w:rsidR="001B18A1">
        <w:rPr>
          <w:sz w:val="22"/>
          <w:szCs w:val="22"/>
        </w:rPr>
        <w:t xml:space="preserve">that could </w:t>
      </w:r>
      <w:r w:rsidR="001B18A1" w:rsidRPr="008B5476">
        <w:rPr>
          <w:sz w:val="22"/>
          <w:szCs w:val="22"/>
        </w:rPr>
        <w:t xml:space="preserve">result </w:t>
      </w:r>
      <w:r w:rsidR="003E3AD7">
        <w:rPr>
          <w:sz w:val="22"/>
          <w:szCs w:val="22"/>
        </w:rPr>
        <w:t>from the</w:t>
      </w:r>
      <w:r w:rsidR="001B18A1">
        <w:rPr>
          <w:sz w:val="22"/>
          <w:szCs w:val="22"/>
        </w:rPr>
        <w:t xml:space="preserve"> </w:t>
      </w:r>
      <w:r w:rsidR="00E4069B">
        <w:rPr>
          <w:sz w:val="22"/>
          <w:szCs w:val="22"/>
        </w:rPr>
        <w:t xml:space="preserve">standard described in the </w:t>
      </w:r>
      <w:r w:rsidR="001B18A1">
        <w:rPr>
          <w:sz w:val="22"/>
          <w:szCs w:val="22"/>
        </w:rPr>
        <w:t xml:space="preserve">Commission’s </w:t>
      </w:r>
      <w:r w:rsidR="00CF0B4A">
        <w:rPr>
          <w:sz w:val="22"/>
          <w:szCs w:val="22"/>
        </w:rPr>
        <w:t>Entr</w:t>
      </w:r>
      <w:r w:rsidR="00E4069B">
        <w:rPr>
          <w:sz w:val="22"/>
          <w:szCs w:val="22"/>
        </w:rPr>
        <w:t>y</w:t>
      </w:r>
      <w:r w:rsidR="003E3AD7">
        <w:rPr>
          <w:sz w:val="22"/>
          <w:szCs w:val="22"/>
        </w:rPr>
        <w:t>.</w:t>
      </w:r>
      <w:r w:rsidR="00485E98">
        <w:rPr>
          <w:sz w:val="22"/>
          <w:szCs w:val="22"/>
        </w:rPr>
        <w:t xml:space="preserve">  </w:t>
      </w:r>
    </w:p>
    <w:p w:rsidR="00C90187" w:rsidRDefault="00485E98" w:rsidP="001C59C6">
      <w:pPr>
        <w:spacing w:before="120" w:after="120" w:line="480" w:lineRule="auto"/>
        <w:ind w:firstLine="720"/>
        <w:jc w:val="both"/>
        <w:rPr>
          <w:sz w:val="22"/>
          <w:szCs w:val="22"/>
        </w:rPr>
      </w:pPr>
      <w:r>
        <w:rPr>
          <w:sz w:val="22"/>
          <w:szCs w:val="22"/>
        </w:rPr>
        <w:t xml:space="preserve">The </w:t>
      </w:r>
      <w:r w:rsidR="00AC6721">
        <w:rPr>
          <w:sz w:val="22"/>
          <w:szCs w:val="22"/>
        </w:rPr>
        <w:t>current legal benchmarks</w:t>
      </w:r>
      <w:r>
        <w:rPr>
          <w:sz w:val="22"/>
          <w:szCs w:val="22"/>
        </w:rPr>
        <w:t xml:space="preserve"> for energy efficiency</w:t>
      </w:r>
      <w:r w:rsidR="00AC6721">
        <w:rPr>
          <w:sz w:val="22"/>
          <w:szCs w:val="22"/>
        </w:rPr>
        <w:t xml:space="preserve"> are already very aggressive and </w:t>
      </w:r>
      <w:r w:rsidR="00F5708B">
        <w:rPr>
          <w:sz w:val="22"/>
          <w:szCs w:val="22"/>
        </w:rPr>
        <w:t>lead to substantial costs</w:t>
      </w:r>
      <w:r w:rsidR="00AC6721">
        <w:rPr>
          <w:sz w:val="22"/>
          <w:szCs w:val="22"/>
        </w:rPr>
        <w:t xml:space="preserve"> </w:t>
      </w:r>
      <w:r w:rsidR="0076295A">
        <w:rPr>
          <w:sz w:val="22"/>
          <w:szCs w:val="22"/>
        </w:rPr>
        <w:t xml:space="preserve">for </w:t>
      </w:r>
      <w:r w:rsidR="00AC6721">
        <w:rPr>
          <w:sz w:val="22"/>
          <w:szCs w:val="22"/>
        </w:rPr>
        <w:t>customers</w:t>
      </w:r>
      <w:r w:rsidR="00033895">
        <w:rPr>
          <w:sz w:val="22"/>
          <w:szCs w:val="22"/>
        </w:rPr>
        <w:t xml:space="preserve">.  The Commission should not, either intentionally or unintentionally, </w:t>
      </w:r>
      <w:r w:rsidR="0073759E">
        <w:rPr>
          <w:sz w:val="22"/>
          <w:szCs w:val="22"/>
        </w:rPr>
        <w:t xml:space="preserve">establish even higher </w:t>
      </w:r>
      <w:r w:rsidR="00304943">
        <w:rPr>
          <w:sz w:val="22"/>
          <w:szCs w:val="22"/>
        </w:rPr>
        <w:lastRenderedPageBreak/>
        <w:t>performance standards</w:t>
      </w:r>
      <w:r w:rsidR="000C16DD">
        <w:rPr>
          <w:sz w:val="22"/>
          <w:szCs w:val="22"/>
        </w:rPr>
        <w:t xml:space="preserve">.  </w:t>
      </w:r>
      <w:r w:rsidR="00A7548E">
        <w:rPr>
          <w:sz w:val="22"/>
          <w:szCs w:val="22"/>
        </w:rPr>
        <w:t xml:space="preserve">Further, savings that customers </w:t>
      </w:r>
      <w:r w:rsidR="00991069">
        <w:rPr>
          <w:sz w:val="22"/>
          <w:szCs w:val="22"/>
        </w:rPr>
        <w:t>c</w:t>
      </w:r>
      <w:r w:rsidR="00A7548E">
        <w:rPr>
          <w:sz w:val="22"/>
          <w:szCs w:val="22"/>
        </w:rPr>
        <w:t>ould receive from energy efficiency programs are</w:t>
      </w:r>
      <w:r w:rsidR="002C140F">
        <w:rPr>
          <w:sz w:val="22"/>
          <w:szCs w:val="22"/>
        </w:rPr>
        <w:t xml:space="preserve"> </w:t>
      </w:r>
      <w:r w:rsidR="00BD61BC">
        <w:rPr>
          <w:sz w:val="22"/>
          <w:szCs w:val="22"/>
        </w:rPr>
        <w:t>related</w:t>
      </w:r>
      <w:r w:rsidR="00A7548E">
        <w:rPr>
          <w:sz w:val="22"/>
          <w:szCs w:val="22"/>
        </w:rPr>
        <w:t xml:space="preserve"> to the </w:t>
      </w:r>
      <w:r w:rsidR="00E430DE">
        <w:rPr>
          <w:sz w:val="22"/>
          <w:szCs w:val="22"/>
        </w:rPr>
        <w:t xml:space="preserve">actual </w:t>
      </w:r>
      <w:r w:rsidR="00A7548E">
        <w:rPr>
          <w:sz w:val="22"/>
          <w:szCs w:val="22"/>
        </w:rPr>
        <w:t>participation</w:t>
      </w:r>
      <w:r w:rsidR="006E3F9A">
        <w:rPr>
          <w:sz w:val="22"/>
          <w:szCs w:val="22"/>
        </w:rPr>
        <w:t xml:space="preserve"> of those customers</w:t>
      </w:r>
      <w:r w:rsidR="00A7548E">
        <w:rPr>
          <w:sz w:val="22"/>
          <w:szCs w:val="22"/>
        </w:rPr>
        <w:t xml:space="preserve"> in the energy efficiency programs.  For sop</w:t>
      </w:r>
      <w:r w:rsidR="00362891">
        <w:rPr>
          <w:sz w:val="22"/>
          <w:szCs w:val="22"/>
        </w:rPr>
        <w:t>histicated industrial customers</w:t>
      </w:r>
      <w:r w:rsidR="00A7548E">
        <w:rPr>
          <w:sz w:val="22"/>
          <w:szCs w:val="22"/>
        </w:rPr>
        <w:t xml:space="preserve"> who already carefully manage their energy consumption, </w:t>
      </w:r>
      <w:r w:rsidR="00CF7B22">
        <w:rPr>
          <w:sz w:val="22"/>
          <w:szCs w:val="22"/>
        </w:rPr>
        <w:t>a</w:t>
      </w:r>
      <w:r w:rsidR="00DB6242">
        <w:rPr>
          <w:sz w:val="22"/>
          <w:szCs w:val="22"/>
        </w:rPr>
        <w:t xml:space="preserve"> </w:t>
      </w:r>
      <w:r w:rsidR="00707F44">
        <w:rPr>
          <w:sz w:val="22"/>
          <w:szCs w:val="22"/>
        </w:rPr>
        <w:t xml:space="preserve">utility’s </w:t>
      </w:r>
      <w:r w:rsidR="00034056">
        <w:rPr>
          <w:sz w:val="22"/>
          <w:szCs w:val="22"/>
        </w:rPr>
        <w:t xml:space="preserve">implementation </w:t>
      </w:r>
      <w:r w:rsidR="005D1EA3">
        <w:rPr>
          <w:sz w:val="22"/>
          <w:szCs w:val="22"/>
        </w:rPr>
        <w:t xml:space="preserve">of every cost-effective energy efficiency program </w:t>
      </w:r>
      <w:r w:rsidR="00E6034C">
        <w:rPr>
          <w:sz w:val="22"/>
          <w:szCs w:val="22"/>
        </w:rPr>
        <w:t>possible</w:t>
      </w:r>
      <w:r w:rsidR="005D1EA3">
        <w:rPr>
          <w:sz w:val="22"/>
          <w:szCs w:val="22"/>
        </w:rPr>
        <w:t xml:space="preserve"> </w:t>
      </w:r>
      <w:r w:rsidR="00F070F2">
        <w:rPr>
          <w:sz w:val="22"/>
          <w:szCs w:val="22"/>
        </w:rPr>
        <w:t>may only</w:t>
      </w:r>
      <w:r w:rsidR="00FE2D4D">
        <w:rPr>
          <w:sz w:val="22"/>
          <w:szCs w:val="22"/>
        </w:rPr>
        <w:t xml:space="preserve"> impose </w:t>
      </w:r>
      <w:r w:rsidR="006A2975">
        <w:rPr>
          <w:sz w:val="22"/>
          <w:szCs w:val="22"/>
        </w:rPr>
        <w:t xml:space="preserve">more </w:t>
      </w:r>
      <w:r w:rsidR="00FE2D4D">
        <w:rPr>
          <w:sz w:val="22"/>
          <w:szCs w:val="22"/>
        </w:rPr>
        <w:t>costs</w:t>
      </w:r>
      <w:r w:rsidR="001D6A02">
        <w:rPr>
          <w:sz w:val="22"/>
          <w:szCs w:val="22"/>
        </w:rPr>
        <w:t xml:space="preserve"> </w:t>
      </w:r>
      <w:r w:rsidR="00C552F8">
        <w:rPr>
          <w:sz w:val="22"/>
          <w:szCs w:val="22"/>
        </w:rPr>
        <w:t xml:space="preserve">without </w:t>
      </w:r>
      <w:r w:rsidR="00DB4F36">
        <w:rPr>
          <w:sz w:val="22"/>
          <w:szCs w:val="22"/>
        </w:rPr>
        <w:t>providing</w:t>
      </w:r>
      <w:r w:rsidR="00A84E27">
        <w:rPr>
          <w:sz w:val="22"/>
          <w:szCs w:val="22"/>
        </w:rPr>
        <w:t xml:space="preserve"> </w:t>
      </w:r>
      <w:r w:rsidR="00CD57F9">
        <w:rPr>
          <w:sz w:val="22"/>
          <w:szCs w:val="22"/>
        </w:rPr>
        <w:t>additional</w:t>
      </w:r>
      <w:r w:rsidR="00C552F8">
        <w:rPr>
          <w:sz w:val="22"/>
          <w:szCs w:val="22"/>
        </w:rPr>
        <w:t xml:space="preserve"> savings</w:t>
      </w:r>
      <w:r w:rsidR="001C4BA7">
        <w:rPr>
          <w:sz w:val="22"/>
          <w:szCs w:val="22"/>
        </w:rPr>
        <w:t xml:space="preserve"> to those customers</w:t>
      </w:r>
      <w:r w:rsidR="000603EB">
        <w:rPr>
          <w:sz w:val="22"/>
          <w:szCs w:val="22"/>
        </w:rPr>
        <w:t xml:space="preserve">.  </w:t>
      </w:r>
      <w:r w:rsidR="00AF3DEF">
        <w:rPr>
          <w:sz w:val="22"/>
          <w:szCs w:val="22"/>
        </w:rPr>
        <w:t>This could have a negative impact on economic development in Ohio</w:t>
      </w:r>
      <w:r w:rsidR="00CB440B">
        <w:rPr>
          <w:sz w:val="22"/>
          <w:szCs w:val="22"/>
        </w:rPr>
        <w:t xml:space="preserve"> since large industrial customers may seek to avoid higher electric rates b</w:t>
      </w:r>
      <w:r w:rsidR="00F86E53">
        <w:rPr>
          <w:sz w:val="22"/>
          <w:szCs w:val="22"/>
        </w:rPr>
        <w:t>y</w:t>
      </w:r>
      <w:r w:rsidR="00CB440B">
        <w:rPr>
          <w:sz w:val="22"/>
          <w:szCs w:val="22"/>
        </w:rPr>
        <w:t xml:space="preserve"> relocating</w:t>
      </w:r>
      <w:r w:rsidR="00AF3DEF">
        <w:rPr>
          <w:sz w:val="22"/>
          <w:szCs w:val="22"/>
        </w:rPr>
        <w:t>.</w:t>
      </w:r>
      <w:r w:rsidR="00E12004">
        <w:rPr>
          <w:sz w:val="22"/>
          <w:szCs w:val="22"/>
        </w:rPr>
        <w:t xml:space="preserve">  </w:t>
      </w:r>
      <w:r w:rsidR="00DF53E1">
        <w:rPr>
          <w:sz w:val="22"/>
          <w:szCs w:val="22"/>
        </w:rPr>
        <w:t>Moreover, forcing customers who are already very energy efficien</w:t>
      </w:r>
      <w:r w:rsidR="00782913">
        <w:rPr>
          <w:sz w:val="22"/>
          <w:szCs w:val="22"/>
        </w:rPr>
        <w:t>t</w:t>
      </w:r>
      <w:r w:rsidR="00DF53E1">
        <w:rPr>
          <w:sz w:val="22"/>
          <w:szCs w:val="22"/>
        </w:rPr>
        <w:t xml:space="preserve"> to pay even more</w:t>
      </w:r>
      <w:r w:rsidR="00F32018">
        <w:rPr>
          <w:sz w:val="22"/>
          <w:szCs w:val="22"/>
        </w:rPr>
        <w:t xml:space="preserve"> money</w:t>
      </w:r>
      <w:r w:rsidR="00DF53E1">
        <w:rPr>
          <w:sz w:val="22"/>
          <w:szCs w:val="22"/>
        </w:rPr>
        <w:t xml:space="preserve"> to subsidize the energy efficiency of other </w:t>
      </w:r>
      <w:r w:rsidR="009E10FE">
        <w:rPr>
          <w:sz w:val="22"/>
          <w:szCs w:val="22"/>
        </w:rPr>
        <w:t xml:space="preserve">less energy-conscious </w:t>
      </w:r>
      <w:r w:rsidR="00DF53E1">
        <w:rPr>
          <w:sz w:val="22"/>
          <w:szCs w:val="22"/>
        </w:rPr>
        <w:t xml:space="preserve">customers, </w:t>
      </w:r>
      <w:r w:rsidR="00264FBA">
        <w:rPr>
          <w:sz w:val="22"/>
          <w:szCs w:val="22"/>
        </w:rPr>
        <w:t xml:space="preserve">who may </w:t>
      </w:r>
      <w:r w:rsidR="00737E70">
        <w:rPr>
          <w:sz w:val="22"/>
          <w:szCs w:val="22"/>
        </w:rPr>
        <w:t>includ</w:t>
      </w:r>
      <w:r w:rsidR="00264FBA">
        <w:rPr>
          <w:sz w:val="22"/>
          <w:szCs w:val="22"/>
        </w:rPr>
        <w:t>e</w:t>
      </w:r>
      <w:r w:rsidR="00737E70">
        <w:rPr>
          <w:sz w:val="22"/>
          <w:szCs w:val="22"/>
        </w:rPr>
        <w:t xml:space="preserve"> c</w:t>
      </w:r>
      <w:r w:rsidR="00DF53E1">
        <w:rPr>
          <w:sz w:val="22"/>
          <w:szCs w:val="22"/>
        </w:rPr>
        <w:t>ompetitors</w:t>
      </w:r>
      <w:r w:rsidR="00264FBA">
        <w:rPr>
          <w:sz w:val="22"/>
          <w:szCs w:val="22"/>
        </w:rPr>
        <w:t xml:space="preserve"> of those customers</w:t>
      </w:r>
      <w:r w:rsidR="00DF53E1">
        <w:rPr>
          <w:sz w:val="22"/>
          <w:szCs w:val="22"/>
        </w:rPr>
        <w:t xml:space="preserve">, is unreasonable.  </w:t>
      </w:r>
    </w:p>
    <w:p w:rsidR="003649E1" w:rsidRDefault="000603EB" w:rsidP="001C59C6">
      <w:pPr>
        <w:spacing w:before="120" w:after="120" w:line="480" w:lineRule="auto"/>
        <w:ind w:firstLine="720"/>
        <w:jc w:val="both"/>
        <w:rPr>
          <w:sz w:val="22"/>
          <w:szCs w:val="22"/>
        </w:rPr>
      </w:pPr>
      <w:r>
        <w:rPr>
          <w:sz w:val="22"/>
          <w:szCs w:val="22"/>
        </w:rPr>
        <w:t>OEG recommends against the</w:t>
      </w:r>
      <w:r w:rsidR="00ED6DE4">
        <w:rPr>
          <w:sz w:val="22"/>
          <w:szCs w:val="22"/>
        </w:rPr>
        <w:t xml:space="preserve"> establishme</w:t>
      </w:r>
      <w:r w:rsidR="006F2C55">
        <w:rPr>
          <w:sz w:val="22"/>
          <w:szCs w:val="22"/>
        </w:rPr>
        <w:t>nt</w:t>
      </w:r>
      <w:r>
        <w:rPr>
          <w:sz w:val="22"/>
          <w:szCs w:val="22"/>
        </w:rPr>
        <w:t xml:space="preserve"> of </w:t>
      </w:r>
      <w:r w:rsidR="00C277D4">
        <w:rPr>
          <w:sz w:val="22"/>
          <w:szCs w:val="22"/>
        </w:rPr>
        <w:t xml:space="preserve">a </w:t>
      </w:r>
      <w:r w:rsidR="001C59C6">
        <w:rPr>
          <w:sz w:val="22"/>
          <w:szCs w:val="22"/>
        </w:rPr>
        <w:t>new standard</w:t>
      </w:r>
      <w:r>
        <w:rPr>
          <w:sz w:val="22"/>
          <w:szCs w:val="22"/>
        </w:rPr>
        <w:t xml:space="preserve"> </w:t>
      </w:r>
      <w:r w:rsidR="00C277D4">
        <w:rPr>
          <w:sz w:val="22"/>
          <w:szCs w:val="22"/>
        </w:rPr>
        <w:t xml:space="preserve">developed </w:t>
      </w:r>
      <w:r>
        <w:rPr>
          <w:sz w:val="22"/>
          <w:szCs w:val="22"/>
        </w:rPr>
        <w:t>by the Commission</w:t>
      </w:r>
      <w:r w:rsidR="00ED2407">
        <w:rPr>
          <w:sz w:val="22"/>
          <w:szCs w:val="22"/>
        </w:rPr>
        <w:t>, which</w:t>
      </w:r>
      <w:r w:rsidR="00CB2A30">
        <w:rPr>
          <w:sz w:val="22"/>
          <w:szCs w:val="22"/>
        </w:rPr>
        <w:t xml:space="preserve"> could</w:t>
      </w:r>
      <w:r w:rsidR="00045780">
        <w:rPr>
          <w:sz w:val="22"/>
          <w:szCs w:val="22"/>
        </w:rPr>
        <w:t xml:space="preserve"> significantly increase short-term energy costs</w:t>
      </w:r>
      <w:r w:rsidR="002D402E">
        <w:rPr>
          <w:sz w:val="22"/>
          <w:szCs w:val="22"/>
        </w:rPr>
        <w:t xml:space="preserve"> for customers</w:t>
      </w:r>
      <w:r w:rsidR="00FE60C5">
        <w:rPr>
          <w:sz w:val="22"/>
          <w:szCs w:val="22"/>
        </w:rPr>
        <w:t>.</w:t>
      </w:r>
      <w:r w:rsidR="007F4402">
        <w:rPr>
          <w:sz w:val="22"/>
          <w:szCs w:val="22"/>
        </w:rPr>
        <w:t xml:space="preserve">  </w:t>
      </w:r>
      <w:r w:rsidR="00FA578A">
        <w:rPr>
          <w:sz w:val="22"/>
          <w:szCs w:val="22"/>
        </w:rPr>
        <w:t>In</w:t>
      </w:r>
      <w:r w:rsidR="002D402E">
        <w:rPr>
          <w:sz w:val="22"/>
          <w:szCs w:val="22"/>
        </w:rPr>
        <w:t xml:space="preserve">stead, the Commission should </w:t>
      </w:r>
      <w:r w:rsidR="00A8570F">
        <w:rPr>
          <w:sz w:val="22"/>
          <w:szCs w:val="22"/>
        </w:rPr>
        <w:t xml:space="preserve">abide by the </w:t>
      </w:r>
      <w:r w:rsidR="00222A8E">
        <w:rPr>
          <w:sz w:val="22"/>
          <w:szCs w:val="22"/>
        </w:rPr>
        <w:t>benchmarks</w:t>
      </w:r>
      <w:r w:rsidR="00A8570F">
        <w:rPr>
          <w:sz w:val="22"/>
          <w:szCs w:val="22"/>
        </w:rPr>
        <w:t xml:space="preserve"> outlined in R.C. 4928.66(A).</w:t>
      </w:r>
      <w:r w:rsidR="00FA578A">
        <w:rPr>
          <w:sz w:val="22"/>
          <w:szCs w:val="22"/>
        </w:rPr>
        <w:t xml:space="preserve"> </w:t>
      </w:r>
    </w:p>
    <w:p w:rsidR="006F2EAD" w:rsidRPr="000B2B7C" w:rsidRDefault="0079244B" w:rsidP="001C59C6">
      <w:pPr>
        <w:spacing w:before="360" w:after="360" w:line="480" w:lineRule="auto"/>
        <w:jc w:val="center"/>
        <w:rPr>
          <w:b/>
          <w:sz w:val="22"/>
          <w:szCs w:val="22"/>
          <w:u w:val="single"/>
        </w:rPr>
      </w:pPr>
      <w:r w:rsidRPr="000B2B7C">
        <w:rPr>
          <w:b/>
          <w:sz w:val="22"/>
          <w:szCs w:val="22"/>
          <w:u w:val="single"/>
        </w:rPr>
        <w:t>CONCLUSION</w:t>
      </w:r>
    </w:p>
    <w:p w:rsidR="000B3468" w:rsidRPr="000B2B7C" w:rsidRDefault="00A20076" w:rsidP="000B2B7C">
      <w:pPr>
        <w:spacing w:before="120" w:after="120" w:line="480" w:lineRule="auto"/>
        <w:ind w:firstLine="720"/>
        <w:jc w:val="both"/>
        <w:rPr>
          <w:sz w:val="22"/>
          <w:szCs w:val="22"/>
        </w:rPr>
      </w:pPr>
      <w:r w:rsidRPr="000B2B7C">
        <w:rPr>
          <w:sz w:val="22"/>
          <w:szCs w:val="22"/>
        </w:rPr>
        <w:t>OEG urges</w:t>
      </w:r>
      <w:r w:rsidR="00487727" w:rsidRPr="000B2B7C">
        <w:rPr>
          <w:sz w:val="22"/>
          <w:szCs w:val="22"/>
        </w:rPr>
        <w:t xml:space="preserve"> the Commission</w:t>
      </w:r>
      <w:r w:rsidR="000F305A" w:rsidRPr="000B2B7C">
        <w:rPr>
          <w:sz w:val="22"/>
          <w:szCs w:val="22"/>
        </w:rPr>
        <w:t xml:space="preserve"> to</w:t>
      </w:r>
      <w:r w:rsidR="00487727" w:rsidRPr="000B2B7C">
        <w:rPr>
          <w:sz w:val="22"/>
          <w:szCs w:val="22"/>
        </w:rPr>
        <w:t xml:space="preserve"> grant this </w:t>
      </w:r>
      <w:r w:rsidR="007F7BB2">
        <w:rPr>
          <w:sz w:val="22"/>
          <w:szCs w:val="22"/>
        </w:rPr>
        <w:t>Application</w:t>
      </w:r>
      <w:r w:rsidR="00487727" w:rsidRPr="000B2B7C">
        <w:rPr>
          <w:sz w:val="22"/>
          <w:szCs w:val="22"/>
        </w:rPr>
        <w:t xml:space="preserve"> for Rehearing in order to </w:t>
      </w:r>
      <w:r w:rsidR="00D923C4" w:rsidRPr="000B2B7C">
        <w:rPr>
          <w:sz w:val="22"/>
          <w:szCs w:val="22"/>
        </w:rPr>
        <w:t>redress this important issue.</w:t>
      </w:r>
    </w:p>
    <w:p w:rsidR="00C13791" w:rsidRPr="000B2B7C" w:rsidRDefault="00C13791" w:rsidP="00C377DC">
      <w:pPr>
        <w:spacing w:line="480" w:lineRule="atLeast"/>
        <w:ind w:left="5040"/>
        <w:jc w:val="both"/>
        <w:rPr>
          <w:sz w:val="22"/>
          <w:szCs w:val="22"/>
        </w:rPr>
      </w:pPr>
      <w:r w:rsidRPr="000B2B7C">
        <w:rPr>
          <w:sz w:val="22"/>
          <w:szCs w:val="22"/>
        </w:rPr>
        <w:t>Respectfully submitted,</w:t>
      </w:r>
    </w:p>
    <w:p w:rsidR="00C13791" w:rsidRDefault="00C13791" w:rsidP="00C377DC">
      <w:pPr>
        <w:ind w:left="5040"/>
        <w:jc w:val="both"/>
        <w:rPr>
          <w:sz w:val="22"/>
          <w:szCs w:val="22"/>
        </w:rPr>
      </w:pPr>
    </w:p>
    <w:p w:rsidR="001C59C6" w:rsidRDefault="001C59C6" w:rsidP="00C377DC">
      <w:pPr>
        <w:ind w:left="5040"/>
        <w:jc w:val="both"/>
        <w:rPr>
          <w:sz w:val="22"/>
          <w:szCs w:val="22"/>
        </w:rPr>
      </w:pPr>
    </w:p>
    <w:p w:rsidR="001C59C6" w:rsidRPr="000B2B7C" w:rsidRDefault="001C59C6" w:rsidP="00C377DC">
      <w:pPr>
        <w:ind w:left="5040"/>
        <w:jc w:val="both"/>
        <w:rPr>
          <w:sz w:val="22"/>
          <w:szCs w:val="22"/>
        </w:rPr>
      </w:pPr>
    </w:p>
    <w:p w:rsidR="00C13791" w:rsidRPr="000B2B7C" w:rsidRDefault="00C13791" w:rsidP="00C377DC">
      <w:pPr>
        <w:ind w:left="5040"/>
        <w:jc w:val="both"/>
        <w:rPr>
          <w:sz w:val="22"/>
          <w:szCs w:val="22"/>
        </w:rPr>
      </w:pPr>
      <w:r w:rsidRPr="000B2B7C">
        <w:rPr>
          <w:sz w:val="22"/>
          <w:szCs w:val="22"/>
        </w:rPr>
        <w:t>____________________________________</w:t>
      </w:r>
    </w:p>
    <w:p w:rsidR="00C13791" w:rsidRDefault="00C13791" w:rsidP="00C377DC">
      <w:pPr>
        <w:ind w:left="5040"/>
        <w:jc w:val="both"/>
        <w:rPr>
          <w:sz w:val="22"/>
          <w:szCs w:val="22"/>
        </w:rPr>
      </w:pPr>
      <w:r w:rsidRPr="000B2B7C">
        <w:rPr>
          <w:sz w:val="22"/>
          <w:szCs w:val="22"/>
        </w:rPr>
        <w:t>Michael L. Kurtz, Esq.</w:t>
      </w:r>
    </w:p>
    <w:p w:rsidR="00325E09" w:rsidRDefault="00325E09" w:rsidP="00C377DC">
      <w:pPr>
        <w:ind w:left="5040"/>
        <w:jc w:val="both"/>
        <w:rPr>
          <w:sz w:val="22"/>
          <w:szCs w:val="22"/>
        </w:rPr>
      </w:pPr>
      <w:r>
        <w:rPr>
          <w:sz w:val="22"/>
          <w:szCs w:val="22"/>
        </w:rPr>
        <w:t>Kurt J. Boehm, Esq.</w:t>
      </w:r>
    </w:p>
    <w:p w:rsidR="00EE4EFA" w:rsidRPr="000B2B7C" w:rsidRDefault="00EE4EFA" w:rsidP="00C377DC">
      <w:pPr>
        <w:ind w:left="5040"/>
        <w:jc w:val="both"/>
        <w:rPr>
          <w:sz w:val="22"/>
          <w:szCs w:val="22"/>
        </w:rPr>
      </w:pPr>
      <w:r>
        <w:rPr>
          <w:sz w:val="22"/>
          <w:szCs w:val="22"/>
        </w:rPr>
        <w:t>Jody M. Kyler, Esq.</w:t>
      </w:r>
    </w:p>
    <w:p w:rsidR="00C13791" w:rsidRPr="000B2B7C" w:rsidRDefault="00C13791" w:rsidP="00C377DC">
      <w:pPr>
        <w:ind w:left="5040"/>
        <w:jc w:val="both"/>
        <w:rPr>
          <w:b/>
          <w:sz w:val="22"/>
          <w:szCs w:val="22"/>
        </w:rPr>
      </w:pPr>
      <w:r w:rsidRPr="000B2B7C">
        <w:rPr>
          <w:b/>
          <w:sz w:val="22"/>
          <w:szCs w:val="22"/>
        </w:rPr>
        <w:t>BOEHM, KURTZ &amp; LOWRY</w:t>
      </w:r>
    </w:p>
    <w:p w:rsidR="00C13791" w:rsidRPr="000B2B7C" w:rsidRDefault="00C13791" w:rsidP="00C377DC">
      <w:pPr>
        <w:ind w:left="5040"/>
        <w:jc w:val="both"/>
        <w:rPr>
          <w:sz w:val="22"/>
          <w:szCs w:val="22"/>
        </w:rPr>
      </w:pPr>
      <w:r w:rsidRPr="000B2B7C">
        <w:rPr>
          <w:sz w:val="22"/>
          <w:szCs w:val="22"/>
        </w:rPr>
        <w:t>36 East Seventh Street, Suite 1510</w:t>
      </w:r>
    </w:p>
    <w:p w:rsidR="00C13791" w:rsidRPr="000B2B7C" w:rsidRDefault="00C13791" w:rsidP="00C377DC">
      <w:pPr>
        <w:ind w:left="5040"/>
        <w:jc w:val="both"/>
        <w:rPr>
          <w:sz w:val="22"/>
          <w:szCs w:val="22"/>
        </w:rPr>
      </w:pPr>
      <w:r w:rsidRPr="000B2B7C">
        <w:rPr>
          <w:sz w:val="22"/>
          <w:szCs w:val="22"/>
        </w:rPr>
        <w:t>Cincinnati, Ohio 45202</w:t>
      </w:r>
    </w:p>
    <w:p w:rsidR="00C13791" w:rsidRPr="000B2B7C" w:rsidRDefault="00C13791" w:rsidP="00C377DC">
      <w:pPr>
        <w:ind w:left="5040"/>
        <w:jc w:val="both"/>
        <w:rPr>
          <w:sz w:val="22"/>
          <w:szCs w:val="22"/>
        </w:rPr>
      </w:pPr>
      <w:r w:rsidRPr="000B2B7C">
        <w:rPr>
          <w:sz w:val="22"/>
          <w:szCs w:val="22"/>
        </w:rPr>
        <w:t>Ph:  513.421.2255     Fax:  513.421.2764</w:t>
      </w:r>
    </w:p>
    <w:p w:rsidR="00C13791" w:rsidRPr="000B2B7C" w:rsidRDefault="00C13791" w:rsidP="00C377DC">
      <w:pPr>
        <w:ind w:left="5040"/>
        <w:jc w:val="both"/>
        <w:rPr>
          <w:sz w:val="22"/>
          <w:szCs w:val="22"/>
        </w:rPr>
      </w:pPr>
      <w:r w:rsidRPr="000B2B7C">
        <w:rPr>
          <w:sz w:val="22"/>
          <w:szCs w:val="22"/>
        </w:rPr>
        <w:t xml:space="preserve">E-Mail: </w:t>
      </w:r>
      <w:hyperlink r:id="rId11" w:history="1">
        <w:r w:rsidR="00325E09" w:rsidRPr="007C32FE">
          <w:rPr>
            <w:rStyle w:val="Hyperlink"/>
            <w:sz w:val="22"/>
            <w:szCs w:val="22"/>
          </w:rPr>
          <w:t>mkurtz@BKLlawfirm.com</w:t>
        </w:r>
      </w:hyperlink>
      <w:r w:rsidRPr="000B2B7C">
        <w:rPr>
          <w:sz w:val="22"/>
          <w:szCs w:val="22"/>
        </w:rPr>
        <w:t xml:space="preserve"> </w:t>
      </w:r>
    </w:p>
    <w:p w:rsidR="00C13791" w:rsidRDefault="00F76343" w:rsidP="00C377DC">
      <w:pPr>
        <w:ind w:left="5040"/>
        <w:jc w:val="both"/>
      </w:pPr>
      <w:hyperlink r:id="rId12" w:history="1">
        <w:r w:rsidR="00C13791" w:rsidRPr="000B2B7C">
          <w:rPr>
            <w:rStyle w:val="Hyperlink"/>
            <w:sz w:val="22"/>
            <w:szCs w:val="22"/>
          </w:rPr>
          <w:t>kboehm@BKLlawfirm.com</w:t>
        </w:r>
      </w:hyperlink>
    </w:p>
    <w:p w:rsidR="00EE4EFA" w:rsidRDefault="00F76343" w:rsidP="00C377DC">
      <w:pPr>
        <w:ind w:left="5040"/>
        <w:jc w:val="both"/>
      </w:pPr>
      <w:hyperlink r:id="rId13" w:history="1">
        <w:r w:rsidR="00E3405C" w:rsidRPr="008F3742">
          <w:rPr>
            <w:rStyle w:val="Hyperlink"/>
          </w:rPr>
          <w:t>jkyler@BKLlawfirm.com</w:t>
        </w:r>
      </w:hyperlink>
    </w:p>
    <w:p w:rsidR="00C13791" w:rsidRPr="000B2B7C" w:rsidRDefault="00C13791" w:rsidP="00C377DC">
      <w:pPr>
        <w:ind w:left="5040"/>
        <w:jc w:val="both"/>
        <w:rPr>
          <w:sz w:val="22"/>
          <w:szCs w:val="22"/>
        </w:rPr>
      </w:pPr>
    </w:p>
    <w:p w:rsidR="00C13791" w:rsidRPr="000B2B7C" w:rsidRDefault="00C13791" w:rsidP="00C377DC">
      <w:pPr>
        <w:ind w:left="5040"/>
        <w:rPr>
          <w:b/>
          <w:sz w:val="22"/>
          <w:szCs w:val="22"/>
        </w:rPr>
      </w:pPr>
      <w:r w:rsidRPr="000B2B7C">
        <w:rPr>
          <w:b/>
          <w:sz w:val="22"/>
          <w:szCs w:val="22"/>
        </w:rPr>
        <w:t>COUNSEL FOR THE OHIO ENERGY GROUP</w:t>
      </w:r>
    </w:p>
    <w:p w:rsidR="00B43626" w:rsidRPr="000B2B7C" w:rsidRDefault="0069276A" w:rsidP="00C13791">
      <w:pPr>
        <w:spacing w:line="480" w:lineRule="auto"/>
        <w:jc w:val="both"/>
        <w:rPr>
          <w:sz w:val="22"/>
          <w:szCs w:val="22"/>
        </w:rPr>
      </w:pPr>
      <w:r>
        <w:rPr>
          <w:sz w:val="22"/>
          <w:szCs w:val="22"/>
        </w:rPr>
        <w:t>October 7</w:t>
      </w:r>
      <w:r w:rsidR="00C13791" w:rsidRPr="000B2B7C">
        <w:rPr>
          <w:sz w:val="22"/>
          <w:szCs w:val="22"/>
        </w:rPr>
        <w:t>, 2011</w:t>
      </w:r>
    </w:p>
    <w:sectPr w:rsidR="00B43626" w:rsidRPr="000B2B7C" w:rsidSect="00F8190B">
      <w:footerReference w:type="default" r:id="rId14"/>
      <w:pgSz w:w="12240" w:h="15840" w:code="1"/>
      <w:pgMar w:top="1080" w:right="108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4C5" w:rsidRDefault="00BE74C5" w:rsidP="004923D6">
      <w:r>
        <w:separator/>
      </w:r>
    </w:p>
  </w:endnote>
  <w:endnote w:type="continuationSeparator" w:id="0">
    <w:p w:rsidR="00BE74C5" w:rsidRDefault="00BE74C5" w:rsidP="0049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08208"/>
      <w:docPartObj>
        <w:docPartGallery w:val="Page Numbers (Bottom of Page)"/>
        <w:docPartUnique/>
      </w:docPartObj>
    </w:sdtPr>
    <w:sdtContent>
      <w:p w:rsidR="00F8190B" w:rsidRDefault="00F8190B">
        <w:pPr>
          <w:pStyle w:val="Footer"/>
          <w:jc w:val="center"/>
        </w:pPr>
      </w:p>
      <w:p w:rsidR="005775CE" w:rsidRDefault="00F76343">
        <w:pPr>
          <w:pStyle w:val="Footer"/>
          <w:jc w:val="center"/>
        </w:pPr>
        <w:r w:rsidRPr="00F8190B">
          <w:rPr>
            <w:sz w:val="18"/>
            <w:szCs w:val="18"/>
          </w:rPr>
          <w:fldChar w:fldCharType="begin"/>
        </w:r>
        <w:r w:rsidRPr="00F8190B">
          <w:rPr>
            <w:sz w:val="18"/>
            <w:szCs w:val="18"/>
          </w:rPr>
          <w:instrText xml:space="preserve"> PAGE   \* MERGEFORMAT </w:instrText>
        </w:r>
        <w:r w:rsidRPr="00F8190B">
          <w:rPr>
            <w:sz w:val="18"/>
            <w:szCs w:val="18"/>
          </w:rPr>
          <w:fldChar w:fldCharType="separate"/>
        </w:r>
        <w:r w:rsidR="00F8190B">
          <w:rPr>
            <w:noProof/>
            <w:sz w:val="18"/>
            <w:szCs w:val="18"/>
          </w:rPr>
          <w:t>3</w:t>
        </w:r>
        <w:r w:rsidRPr="00F8190B">
          <w:rPr>
            <w:sz w:val="18"/>
            <w:szCs w:val="18"/>
          </w:rPr>
          <w:fldChar w:fldCharType="end"/>
        </w:r>
      </w:p>
    </w:sdtContent>
  </w:sdt>
  <w:p w:rsidR="005775CE" w:rsidRDefault="00577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4C5" w:rsidRDefault="00BE74C5" w:rsidP="004923D6">
      <w:r>
        <w:separator/>
      </w:r>
    </w:p>
  </w:footnote>
  <w:footnote w:type="continuationSeparator" w:id="0">
    <w:p w:rsidR="00BE74C5" w:rsidRDefault="00BE74C5" w:rsidP="004923D6">
      <w:r>
        <w:continuationSeparator/>
      </w:r>
    </w:p>
  </w:footnote>
  <w:footnote w:id="1">
    <w:p w:rsidR="002738AA" w:rsidRDefault="002738AA">
      <w:pPr>
        <w:pStyle w:val="FootnoteText"/>
      </w:pPr>
      <w:r>
        <w:rPr>
          <w:rStyle w:val="FootnoteReference"/>
        </w:rPr>
        <w:footnoteRef/>
      </w:r>
      <w:r>
        <w:t xml:space="preserve"> Entry at 6</w:t>
      </w:r>
      <w:r w:rsidR="00C11073">
        <w:t xml:space="preserve"> (emphasis added).</w:t>
      </w:r>
    </w:p>
  </w:footnote>
  <w:footnote w:id="2">
    <w:p w:rsidR="005C0315" w:rsidRDefault="005C0315" w:rsidP="00E0359D">
      <w:pPr>
        <w:pStyle w:val="FootnoteText"/>
      </w:pPr>
      <w:r>
        <w:rPr>
          <w:rStyle w:val="FootnoteReference"/>
        </w:rPr>
        <w:footnoteRef/>
      </w:r>
      <w:r>
        <w:t xml:space="preserve"> </w:t>
      </w:r>
      <w:r w:rsidR="00944607">
        <w:t>Cleveland Electric Illuminating Co. E</w:t>
      </w:r>
      <w:r w:rsidR="00315DD7">
        <w:t>nergy Efficiency and Peak Demand Reduction</w:t>
      </w:r>
      <w:r w:rsidR="00944607">
        <w:t xml:space="preserve"> Program Portfolio and Initial Benchmark Repor</w:t>
      </w:r>
      <w:r w:rsidR="00E0359D">
        <w:t>t, Docket Nos. 09-1947-EL-POR, 09-1942-EL-EEC, and 09-580-EL-EEC</w:t>
      </w:r>
      <w:r>
        <w:t xml:space="preserve"> </w:t>
      </w:r>
      <w:r w:rsidR="00315DD7">
        <w:t xml:space="preserve">(Dec. 15, 2009) </w:t>
      </w:r>
      <w:r>
        <w:t>at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DCB"/>
    <w:multiLevelType w:val="hybridMultilevel"/>
    <w:tmpl w:val="02AE0CD6"/>
    <w:lvl w:ilvl="0" w:tplc="D5469CB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167655D"/>
    <w:multiLevelType w:val="multilevel"/>
    <w:tmpl w:val="48AC7D8A"/>
    <w:lvl w:ilvl="0">
      <w:start w:val="1"/>
      <w:numFmt w:val="upperRoman"/>
      <w:pStyle w:val="LITDL1"/>
      <w:lvlText w:val="%1."/>
      <w:lvlJc w:val="left"/>
      <w:pPr>
        <w:tabs>
          <w:tab w:val="num" w:pos="720"/>
        </w:tabs>
        <w:ind w:left="720" w:hanging="720"/>
      </w:pPr>
      <w:rPr>
        <w:rFonts w:ascii="Times New Roman" w:hAnsi="Times New Roman" w:cs="Times New Roman"/>
        <w:b/>
        <w:i w:val="0"/>
        <w:caps w:val="0"/>
        <w:sz w:val="24"/>
        <w:u w:val="none"/>
      </w:rPr>
    </w:lvl>
    <w:lvl w:ilvl="1">
      <w:start w:val="1"/>
      <w:numFmt w:val="upperLetter"/>
      <w:pStyle w:val="LITDL2"/>
      <w:lvlText w:val="%2."/>
      <w:lvlJc w:val="left"/>
      <w:pPr>
        <w:tabs>
          <w:tab w:val="num" w:pos="1260"/>
        </w:tabs>
        <w:ind w:left="1260" w:hanging="720"/>
      </w:pPr>
      <w:rPr>
        <w:rFonts w:ascii="Times New Roman" w:hAnsi="Times New Roman" w:cs="Times New Roman"/>
        <w:b/>
        <w:i w:val="0"/>
        <w:caps w:val="0"/>
        <w:sz w:val="24"/>
        <w:u w:val="none"/>
      </w:rPr>
    </w:lvl>
    <w:lvl w:ilvl="2">
      <w:start w:val="1"/>
      <w:numFmt w:val="lowerLetter"/>
      <w:pStyle w:val="LITDL3"/>
      <w:lvlText w:val="%3."/>
      <w:lvlJc w:val="left"/>
      <w:pPr>
        <w:tabs>
          <w:tab w:val="num" w:pos="2160"/>
        </w:tabs>
        <w:ind w:left="2160" w:hanging="720"/>
      </w:pPr>
      <w:rPr>
        <w:rFonts w:ascii="Times New Roman" w:eastAsia="Times New Roman" w:hAnsi="Times New Roman" w:cs="Times New Roman"/>
        <w:b/>
        <w:i w:val="0"/>
        <w:caps w:val="0"/>
        <w:sz w:val="24"/>
        <w:u w:val="none"/>
      </w:rPr>
    </w:lvl>
    <w:lvl w:ilvl="3">
      <w:start w:val="1"/>
      <w:numFmt w:val="lowerLetter"/>
      <w:pStyle w:val="LITDL4"/>
      <w:lvlText w:val="(%4)"/>
      <w:lvlJc w:val="left"/>
      <w:pPr>
        <w:tabs>
          <w:tab w:val="num" w:pos="2880"/>
        </w:tabs>
        <w:ind w:left="2880" w:hanging="720"/>
      </w:pPr>
      <w:rPr>
        <w:rFonts w:ascii="Times New Roman" w:hAnsi="Times New Roman" w:cs="Times New Roman"/>
        <w:b/>
        <w:i w:val="0"/>
        <w:caps w:val="0"/>
        <w:sz w:val="24"/>
        <w:u w:val="none"/>
      </w:rPr>
    </w:lvl>
    <w:lvl w:ilvl="4">
      <w:start w:val="1"/>
      <w:numFmt w:val="lowerRoman"/>
      <w:pStyle w:val="LITDL5"/>
      <w:lvlText w:val="(%5)"/>
      <w:lvlJc w:val="left"/>
      <w:pPr>
        <w:tabs>
          <w:tab w:val="num" w:pos="3600"/>
        </w:tabs>
        <w:ind w:left="3600" w:hanging="720"/>
      </w:pPr>
      <w:rPr>
        <w:rFonts w:ascii="Times New Roman" w:hAnsi="Times New Roman" w:cs="Times New Roman"/>
        <w:b/>
        <w:i w:val="0"/>
        <w:caps w:val="0"/>
        <w:sz w:val="24"/>
        <w:u w:val="none"/>
      </w:rPr>
    </w:lvl>
    <w:lvl w:ilvl="5">
      <w:start w:val="1"/>
      <w:numFmt w:val="decimal"/>
      <w:pStyle w:val="LITDL6"/>
      <w:lvlText w:val="(%6)"/>
      <w:lvlJc w:val="left"/>
      <w:pPr>
        <w:tabs>
          <w:tab w:val="num" w:pos="3600"/>
        </w:tabs>
        <w:ind w:left="3600" w:hanging="720"/>
      </w:pPr>
      <w:rPr>
        <w:rFonts w:ascii="Times New Roman" w:hAnsi="Times New Roman" w:cs="Times New Roman"/>
        <w:b/>
        <w:i w:val="0"/>
        <w:caps w:val="0"/>
        <w:sz w:val="24"/>
        <w:u w:val="none"/>
      </w:rPr>
    </w:lvl>
    <w:lvl w:ilvl="6">
      <w:start w:val="1"/>
      <w:numFmt w:val="upperLetter"/>
      <w:pStyle w:val="LITDL7"/>
      <w:lvlText w:val="(%7)"/>
      <w:lvlJc w:val="left"/>
      <w:pPr>
        <w:tabs>
          <w:tab w:val="num" w:pos="1440"/>
        </w:tabs>
        <w:ind w:left="1440" w:hanging="720"/>
      </w:pPr>
      <w:rPr>
        <w:rFonts w:ascii="Times New Roman" w:hAnsi="Times New Roman" w:cs="Times New Roman"/>
        <w:b/>
        <w:i w:val="0"/>
        <w:caps w:val="0"/>
        <w:sz w:val="24"/>
        <w:u w:val="none"/>
      </w:rPr>
    </w:lvl>
    <w:lvl w:ilvl="7">
      <w:start w:val="1"/>
      <w:numFmt w:val="lowerLetter"/>
      <w:pStyle w:val="LITDL8"/>
      <w:lvlText w:val="%8."/>
      <w:lvlJc w:val="left"/>
      <w:pPr>
        <w:tabs>
          <w:tab w:val="num" w:pos="2160"/>
        </w:tabs>
        <w:ind w:left="2160" w:hanging="720"/>
      </w:pPr>
      <w:rPr>
        <w:rFonts w:ascii="Times New Roman" w:hAnsi="Times New Roman" w:cs="Times New Roman"/>
        <w:b/>
        <w:i w:val="0"/>
        <w:caps w:val="0"/>
        <w:sz w:val="24"/>
        <w:u w:val="none"/>
      </w:rPr>
    </w:lvl>
    <w:lvl w:ilvl="8">
      <w:start w:val="1"/>
      <w:numFmt w:val="lowerRoman"/>
      <w:pStyle w:val="LITDL9"/>
      <w:lvlText w:val="%9."/>
      <w:lvlJc w:val="left"/>
      <w:pPr>
        <w:tabs>
          <w:tab w:val="num" w:pos="2880"/>
        </w:tabs>
        <w:ind w:left="2880" w:hanging="720"/>
      </w:pPr>
      <w:rPr>
        <w:rFonts w:ascii="Times New Roman" w:hAnsi="Times New Roman" w:cs="Times New Roman"/>
        <w:b/>
        <w:i w:val="0"/>
        <w:caps w:val="0"/>
        <w:sz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3626"/>
    <w:rsid w:val="00010C94"/>
    <w:rsid w:val="00014B59"/>
    <w:rsid w:val="0001634F"/>
    <w:rsid w:val="000205C6"/>
    <w:rsid w:val="00033895"/>
    <w:rsid w:val="00034056"/>
    <w:rsid w:val="00045780"/>
    <w:rsid w:val="00060243"/>
    <w:rsid w:val="000603EB"/>
    <w:rsid w:val="000852F5"/>
    <w:rsid w:val="00091772"/>
    <w:rsid w:val="000B2B7C"/>
    <w:rsid w:val="000B3468"/>
    <w:rsid w:val="000C0BD2"/>
    <w:rsid w:val="000C16DD"/>
    <w:rsid w:val="000E2379"/>
    <w:rsid w:val="000F305A"/>
    <w:rsid w:val="001156C2"/>
    <w:rsid w:val="0012167F"/>
    <w:rsid w:val="001253AD"/>
    <w:rsid w:val="00125DB9"/>
    <w:rsid w:val="00126B0C"/>
    <w:rsid w:val="00132FC7"/>
    <w:rsid w:val="00144B46"/>
    <w:rsid w:val="00151919"/>
    <w:rsid w:val="00171F88"/>
    <w:rsid w:val="00180129"/>
    <w:rsid w:val="00193677"/>
    <w:rsid w:val="001B051D"/>
    <w:rsid w:val="001B1110"/>
    <w:rsid w:val="001B18A1"/>
    <w:rsid w:val="001C4BA7"/>
    <w:rsid w:val="001C59C6"/>
    <w:rsid w:val="001D048B"/>
    <w:rsid w:val="001D4443"/>
    <w:rsid w:val="001D6A02"/>
    <w:rsid w:val="001E6DFC"/>
    <w:rsid w:val="001F1829"/>
    <w:rsid w:val="002044D2"/>
    <w:rsid w:val="0020552B"/>
    <w:rsid w:val="00211034"/>
    <w:rsid w:val="0021509D"/>
    <w:rsid w:val="00222A8E"/>
    <w:rsid w:val="00241638"/>
    <w:rsid w:val="00244009"/>
    <w:rsid w:val="00260383"/>
    <w:rsid w:val="00264FBA"/>
    <w:rsid w:val="00265701"/>
    <w:rsid w:val="002738AA"/>
    <w:rsid w:val="00276DB6"/>
    <w:rsid w:val="0028343F"/>
    <w:rsid w:val="002969B1"/>
    <w:rsid w:val="002A0D55"/>
    <w:rsid w:val="002C140F"/>
    <w:rsid w:val="002D402E"/>
    <w:rsid w:val="002E54DC"/>
    <w:rsid w:val="00304943"/>
    <w:rsid w:val="00304E97"/>
    <w:rsid w:val="003051A1"/>
    <w:rsid w:val="00305951"/>
    <w:rsid w:val="0031012F"/>
    <w:rsid w:val="00315DD7"/>
    <w:rsid w:val="00325E09"/>
    <w:rsid w:val="00326C3B"/>
    <w:rsid w:val="00333F28"/>
    <w:rsid w:val="00344F8E"/>
    <w:rsid w:val="00362891"/>
    <w:rsid w:val="003641E1"/>
    <w:rsid w:val="003649E1"/>
    <w:rsid w:val="00367EBB"/>
    <w:rsid w:val="003840B6"/>
    <w:rsid w:val="00387510"/>
    <w:rsid w:val="0039778F"/>
    <w:rsid w:val="003A7991"/>
    <w:rsid w:val="003B6A25"/>
    <w:rsid w:val="003C2662"/>
    <w:rsid w:val="003C3E4E"/>
    <w:rsid w:val="003E3AD7"/>
    <w:rsid w:val="00411850"/>
    <w:rsid w:val="0041205C"/>
    <w:rsid w:val="00421987"/>
    <w:rsid w:val="00424CF3"/>
    <w:rsid w:val="004375FF"/>
    <w:rsid w:val="004517ED"/>
    <w:rsid w:val="0045511E"/>
    <w:rsid w:val="004621D3"/>
    <w:rsid w:val="0046612C"/>
    <w:rsid w:val="00473DCD"/>
    <w:rsid w:val="00481F03"/>
    <w:rsid w:val="00482E35"/>
    <w:rsid w:val="00485045"/>
    <w:rsid w:val="00485754"/>
    <w:rsid w:val="00485E98"/>
    <w:rsid w:val="00487727"/>
    <w:rsid w:val="00491BA5"/>
    <w:rsid w:val="004923D6"/>
    <w:rsid w:val="004C4061"/>
    <w:rsid w:val="004C701F"/>
    <w:rsid w:val="004D48C1"/>
    <w:rsid w:val="004F41B9"/>
    <w:rsid w:val="004F44D0"/>
    <w:rsid w:val="004F5EF3"/>
    <w:rsid w:val="004F79D9"/>
    <w:rsid w:val="004F7A6E"/>
    <w:rsid w:val="00521240"/>
    <w:rsid w:val="00523D8A"/>
    <w:rsid w:val="005327E7"/>
    <w:rsid w:val="0054216D"/>
    <w:rsid w:val="0054268D"/>
    <w:rsid w:val="005516F8"/>
    <w:rsid w:val="00570061"/>
    <w:rsid w:val="00575CDD"/>
    <w:rsid w:val="005775CE"/>
    <w:rsid w:val="00587BAE"/>
    <w:rsid w:val="005A44EF"/>
    <w:rsid w:val="005A78A5"/>
    <w:rsid w:val="005B213E"/>
    <w:rsid w:val="005B7FA5"/>
    <w:rsid w:val="005C0315"/>
    <w:rsid w:val="005C4F57"/>
    <w:rsid w:val="005D1EA3"/>
    <w:rsid w:val="005D5026"/>
    <w:rsid w:val="005D7ACF"/>
    <w:rsid w:val="005E4BBD"/>
    <w:rsid w:val="005E5137"/>
    <w:rsid w:val="005E729D"/>
    <w:rsid w:val="00600259"/>
    <w:rsid w:val="00617DF1"/>
    <w:rsid w:val="0063668F"/>
    <w:rsid w:val="00637084"/>
    <w:rsid w:val="00651DCF"/>
    <w:rsid w:val="0066619F"/>
    <w:rsid w:val="00666425"/>
    <w:rsid w:val="006725E3"/>
    <w:rsid w:val="006770D8"/>
    <w:rsid w:val="006818A3"/>
    <w:rsid w:val="0069033F"/>
    <w:rsid w:val="00690A18"/>
    <w:rsid w:val="0069276A"/>
    <w:rsid w:val="00693457"/>
    <w:rsid w:val="00696EDB"/>
    <w:rsid w:val="006A0FAC"/>
    <w:rsid w:val="006A2975"/>
    <w:rsid w:val="006D759A"/>
    <w:rsid w:val="006E3F9A"/>
    <w:rsid w:val="006F2C55"/>
    <w:rsid w:val="006F2EAD"/>
    <w:rsid w:val="006F5CBB"/>
    <w:rsid w:val="00703B73"/>
    <w:rsid w:val="00707F44"/>
    <w:rsid w:val="007174E7"/>
    <w:rsid w:val="0073759E"/>
    <w:rsid w:val="00737E70"/>
    <w:rsid w:val="00744A21"/>
    <w:rsid w:val="0075607C"/>
    <w:rsid w:val="0076295A"/>
    <w:rsid w:val="007662B4"/>
    <w:rsid w:val="00766AF4"/>
    <w:rsid w:val="00770070"/>
    <w:rsid w:val="0077043A"/>
    <w:rsid w:val="00781238"/>
    <w:rsid w:val="00782913"/>
    <w:rsid w:val="0079244B"/>
    <w:rsid w:val="00797612"/>
    <w:rsid w:val="007A1D5D"/>
    <w:rsid w:val="007A30DE"/>
    <w:rsid w:val="007A6C88"/>
    <w:rsid w:val="007D0384"/>
    <w:rsid w:val="007D4C6F"/>
    <w:rsid w:val="007E2C0B"/>
    <w:rsid w:val="007E5C4C"/>
    <w:rsid w:val="007F4402"/>
    <w:rsid w:val="007F7BB2"/>
    <w:rsid w:val="00802E2E"/>
    <w:rsid w:val="00823F4D"/>
    <w:rsid w:val="00831D1E"/>
    <w:rsid w:val="0085442F"/>
    <w:rsid w:val="008568B2"/>
    <w:rsid w:val="00856FD6"/>
    <w:rsid w:val="0086418D"/>
    <w:rsid w:val="0086798A"/>
    <w:rsid w:val="00871B98"/>
    <w:rsid w:val="00874C80"/>
    <w:rsid w:val="008761A2"/>
    <w:rsid w:val="0088067F"/>
    <w:rsid w:val="00883DEC"/>
    <w:rsid w:val="00887981"/>
    <w:rsid w:val="00891E16"/>
    <w:rsid w:val="0089238E"/>
    <w:rsid w:val="008B1835"/>
    <w:rsid w:val="008B5476"/>
    <w:rsid w:val="008D7EE2"/>
    <w:rsid w:val="008E5832"/>
    <w:rsid w:val="008F59BB"/>
    <w:rsid w:val="008F5D16"/>
    <w:rsid w:val="00902238"/>
    <w:rsid w:val="0090765A"/>
    <w:rsid w:val="00913758"/>
    <w:rsid w:val="0093129A"/>
    <w:rsid w:val="00944607"/>
    <w:rsid w:val="00945138"/>
    <w:rsid w:val="009456F7"/>
    <w:rsid w:val="009760AE"/>
    <w:rsid w:val="00976CF1"/>
    <w:rsid w:val="00977516"/>
    <w:rsid w:val="00980A78"/>
    <w:rsid w:val="00983321"/>
    <w:rsid w:val="00991069"/>
    <w:rsid w:val="0099194D"/>
    <w:rsid w:val="00994102"/>
    <w:rsid w:val="009A7471"/>
    <w:rsid w:val="009C3595"/>
    <w:rsid w:val="009C4F2B"/>
    <w:rsid w:val="009E10FE"/>
    <w:rsid w:val="00A00069"/>
    <w:rsid w:val="00A106AE"/>
    <w:rsid w:val="00A20076"/>
    <w:rsid w:val="00A20400"/>
    <w:rsid w:val="00A26F94"/>
    <w:rsid w:val="00A318ED"/>
    <w:rsid w:val="00A32316"/>
    <w:rsid w:val="00A33211"/>
    <w:rsid w:val="00A7548E"/>
    <w:rsid w:val="00A8484A"/>
    <w:rsid w:val="00A84E27"/>
    <w:rsid w:val="00A8570F"/>
    <w:rsid w:val="00AC2262"/>
    <w:rsid w:val="00AC6721"/>
    <w:rsid w:val="00AD1128"/>
    <w:rsid w:val="00AF3DEF"/>
    <w:rsid w:val="00AF69D7"/>
    <w:rsid w:val="00B05A3A"/>
    <w:rsid w:val="00B17436"/>
    <w:rsid w:val="00B214BD"/>
    <w:rsid w:val="00B32C7D"/>
    <w:rsid w:val="00B42AF8"/>
    <w:rsid w:val="00B43626"/>
    <w:rsid w:val="00B43DDA"/>
    <w:rsid w:val="00B575A9"/>
    <w:rsid w:val="00B57755"/>
    <w:rsid w:val="00B618C6"/>
    <w:rsid w:val="00B75B9C"/>
    <w:rsid w:val="00B81119"/>
    <w:rsid w:val="00B918D4"/>
    <w:rsid w:val="00B97600"/>
    <w:rsid w:val="00BC5686"/>
    <w:rsid w:val="00BC676E"/>
    <w:rsid w:val="00BD61BC"/>
    <w:rsid w:val="00BD6476"/>
    <w:rsid w:val="00BE74C5"/>
    <w:rsid w:val="00BF1F66"/>
    <w:rsid w:val="00BF5BA4"/>
    <w:rsid w:val="00C11073"/>
    <w:rsid w:val="00C13791"/>
    <w:rsid w:val="00C2616B"/>
    <w:rsid w:val="00C277D4"/>
    <w:rsid w:val="00C32397"/>
    <w:rsid w:val="00C33652"/>
    <w:rsid w:val="00C377DC"/>
    <w:rsid w:val="00C40581"/>
    <w:rsid w:val="00C552F8"/>
    <w:rsid w:val="00C61EF9"/>
    <w:rsid w:val="00C669B2"/>
    <w:rsid w:val="00C72E37"/>
    <w:rsid w:val="00C86737"/>
    <w:rsid w:val="00C90187"/>
    <w:rsid w:val="00C90ED4"/>
    <w:rsid w:val="00CB2A30"/>
    <w:rsid w:val="00CB440B"/>
    <w:rsid w:val="00CC2CB5"/>
    <w:rsid w:val="00CC55FD"/>
    <w:rsid w:val="00CD57F9"/>
    <w:rsid w:val="00CD7711"/>
    <w:rsid w:val="00CF0B4A"/>
    <w:rsid w:val="00CF3B58"/>
    <w:rsid w:val="00CF7946"/>
    <w:rsid w:val="00CF7B22"/>
    <w:rsid w:val="00D01F34"/>
    <w:rsid w:val="00D02D6E"/>
    <w:rsid w:val="00D05D54"/>
    <w:rsid w:val="00D23413"/>
    <w:rsid w:val="00D5244C"/>
    <w:rsid w:val="00D81FA3"/>
    <w:rsid w:val="00D923C4"/>
    <w:rsid w:val="00D92692"/>
    <w:rsid w:val="00D9679B"/>
    <w:rsid w:val="00DA386A"/>
    <w:rsid w:val="00DA3F74"/>
    <w:rsid w:val="00DA585C"/>
    <w:rsid w:val="00DA5895"/>
    <w:rsid w:val="00DB112A"/>
    <w:rsid w:val="00DB4F36"/>
    <w:rsid w:val="00DB6242"/>
    <w:rsid w:val="00DB6FDA"/>
    <w:rsid w:val="00DD2BA6"/>
    <w:rsid w:val="00DD7255"/>
    <w:rsid w:val="00DE306F"/>
    <w:rsid w:val="00DF24BE"/>
    <w:rsid w:val="00DF53E1"/>
    <w:rsid w:val="00DF5FCC"/>
    <w:rsid w:val="00E00576"/>
    <w:rsid w:val="00E00DAF"/>
    <w:rsid w:val="00E0359D"/>
    <w:rsid w:val="00E061D4"/>
    <w:rsid w:val="00E12004"/>
    <w:rsid w:val="00E3405C"/>
    <w:rsid w:val="00E35CC2"/>
    <w:rsid w:val="00E4069B"/>
    <w:rsid w:val="00E430DE"/>
    <w:rsid w:val="00E435A2"/>
    <w:rsid w:val="00E6034C"/>
    <w:rsid w:val="00E6346D"/>
    <w:rsid w:val="00E80820"/>
    <w:rsid w:val="00E85A2A"/>
    <w:rsid w:val="00E956A2"/>
    <w:rsid w:val="00EA6437"/>
    <w:rsid w:val="00ED2407"/>
    <w:rsid w:val="00ED5412"/>
    <w:rsid w:val="00ED64E8"/>
    <w:rsid w:val="00ED6DE4"/>
    <w:rsid w:val="00EE4EFA"/>
    <w:rsid w:val="00EF11E6"/>
    <w:rsid w:val="00EF3E4C"/>
    <w:rsid w:val="00F070F2"/>
    <w:rsid w:val="00F07FD7"/>
    <w:rsid w:val="00F2598E"/>
    <w:rsid w:val="00F32018"/>
    <w:rsid w:val="00F323A2"/>
    <w:rsid w:val="00F33146"/>
    <w:rsid w:val="00F46648"/>
    <w:rsid w:val="00F5708B"/>
    <w:rsid w:val="00F71EE0"/>
    <w:rsid w:val="00F76343"/>
    <w:rsid w:val="00F76B98"/>
    <w:rsid w:val="00F8190B"/>
    <w:rsid w:val="00F86E53"/>
    <w:rsid w:val="00FA578A"/>
    <w:rsid w:val="00FC054E"/>
    <w:rsid w:val="00FD040F"/>
    <w:rsid w:val="00FD361E"/>
    <w:rsid w:val="00FD41CA"/>
    <w:rsid w:val="00FD5CA8"/>
    <w:rsid w:val="00FD7F2E"/>
    <w:rsid w:val="00FE22C6"/>
    <w:rsid w:val="00FE2D4D"/>
    <w:rsid w:val="00FE60C5"/>
    <w:rsid w:val="00FF7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6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54DC"/>
    <w:rPr>
      <w:strike w:val="0"/>
      <w:dstrike w:val="0"/>
      <w:color w:val="1E3C73"/>
      <w:u w:val="none"/>
      <w:effect w:val="none"/>
    </w:rPr>
  </w:style>
  <w:style w:type="paragraph" w:styleId="Header">
    <w:name w:val="header"/>
    <w:basedOn w:val="Normal"/>
    <w:link w:val="HeaderChar"/>
    <w:uiPriority w:val="99"/>
    <w:semiHidden/>
    <w:unhideWhenUsed/>
    <w:rsid w:val="004923D6"/>
    <w:pPr>
      <w:tabs>
        <w:tab w:val="center" w:pos="4680"/>
        <w:tab w:val="right" w:pos="9360"/>
      </w:tabs>
    </w:pPr>
  </w:style>
  <w:style w:type="character" w:customStyle="1" w:styleId="HeaderChar">
    <w:name w:val="Header Char"/>
    <w:basedOn w:val="DefaultParagraphFont"/>
    <w:link w:val="Header"/>
    <w:uiPriority w:val="99"/>
    <w:semiHidden/>
    <w:rsid w:val="00492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3D6"/>
    <w:pPr>
      <w:tabs>
        <w:tab w:val="center" w:pos="4680"/>
        <w:tab w:val="right" w:pos="9360"/>
      </w:tabs>
    </w:pPr>
  </w:style>
  <w:style w:type="character" w:customStyle="1" w:styleId="FooterChar">
    <w:name w:val="Footer Char"/>
    <w:basedOn w:val="DefaultParagraphFont"/>
    <w:link w:val="Footer"/>
    <w:uiPriority w:val="99"/>
    <w:rsid w:val="004923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3D6"/>
    <w:rPr>
      <w:rFonts w:ascii="Tahoma" w:hAnsi="Tahoma" w:cs="Tahoma"/>
      <w:sz w:val="16"/>
      <w:szCs w:val="16"/>
    </w:rPr>
  </w:style>
  <w:style w:type="character" w:customStyle="1" w:styleId="BalloonTextChar">
    <w:name w:val="Balloon Text Char"/>
    <w:basedOn w:val="DefaultParagraphFont"/>
    <w:link w:val="BalloonText"/>
    <w:uiPriority w:val="99"/>
    <w:semiHidden/>
    <w:rsid w:val="004923D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923D6"/>
    <w:rPr>
      <w:sz w:val="20"/>
      <w:szCs w:val="20"/>
    </w:rPr>
  </w:style>
  <w:style w:type="character" w:customStyle="1" w:styleId="FootnoteTextChar">
    <w:name w:val="Footnote Text Char"/>
    <w:basedOn w:val="DefaultParagraphFont"/>
    <w:link w:val="FootnoteText"/>
    <w:uiPriority w:val="99"/>
    <w:semiHidden/>
    <w:rsid w:val="004923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23D6"/>
    <w:rPr>
      <w:vertAlign w:val="superscript"/>
    </w:rPr>
  </w:style>
  <w:style w:type="paragraph" w:customStyle="1" w:styleId="LITDL1">
    <w:name w:val="LITD_L1"/>
    <w:basedOn w:val="Normal"/>
    <w:next w:val="BodyText"/>
    <w:rsid w:val="00B214BD"/>
    <w:pPr>
      <w:keepNext/>
      <w:keepLines/>
      <w:numPr>
        <w:numId w:val="1"/>
      </w:numPr>
      <w:spacing w:after="240"/>
      <w:outlineLvl w:val="0"/>
    </w:pPr>
    <w:rPr>
      <w:rFonts w:eastAsia="SimSun"/>
      <w:b/>
      <w:caps/>
      <w:szCs w:val="20"/>
    </w:rPr>
  </w:style>
  <w:style w:type="paragraph" w:customStyle="1" w:styleId="LITDL2">
    <w:name w:val="LITD_L2"/>
    <w:basedOn w:val="Normal"/>
    <w:next w:val="BodyText"/>
    <w:rsid w:val="00B214BD"/>
    <w:pPr>
      <w:keepNext/>
      <w:keepLines/>
      <w:numPr>
        <w:ilvl w:val="1"/>
        <w:numId w:val="1"/>
      </w:numPr>
      <w:spacing w:after="240"/>
      <w:outlineLvl w:val="1"/>
    </w:pPr>
    <w:rPr>
      <w:rFonts w:eastAsia="SimSun"/>
      <w:b/>
      <w:szCs w:val="20"/>
    </w:rPr>
  </w:style>
  <w:style w:type="paragraph" w:customStyle="1" w:styleId="LITDL3">
    <w:name w:val="LITD_L3"/>
    <w:basedOn w:val="Normal"/>
    <w:next w:val="BodyText"/>
    <w:rsid w:val="00B214BD"/>
    <w:pPr>
      <w:keepNext/>
      <w:keepLines/>
      <w:numPr>
        <w:ilvl w:val="2"/>
        <w:numId w:val="1"/>
      </w:numPr>
      <w:spacing w:after="240"/>
      <w:outlineLvl w:val="2"/>
    </w:pPr>
    <w:rPr>
      <w:rFonts w:eastAsia="SimSun"/>
      <w:b/>
      <w:szCs w:val="20"/>
    </w:rPr>
  </w:style>
  <w:style w:type="paragraph" w:customStyle="1" w:styleId="LITDL4">
    <w:name w:val="LITD_L4"/>
    <w:basedOn w:val="Normal"/>
    <w:next w:val="BodyText"/>
    <w:rsid w:val="00B214BD"/>
    <w:pPr>
      <w:keepNext/>
      <w:keepLines/>
      <w:numPr>
        <w:ilvl w:val="3"/>
        <w:numId w:val="1"/>
      </w:numPr>
      <w:spacing w:after="240"/>
      <w:outlineLvl w:val="3"/>
    </w:pPr>
    <w:rPr>
      <w:rFonts w:eastAsia="SimSun"/>
      <w:b/>
      <w:szCs w:val="20"/>
    </w:rPr>
  </w:style>
  <w:style w:type="paragraph" w:customStyle="1" w:styleId="LITDL5">
    <w:name w:val="LITD_L5"/>
    <w:basedOn w:val="Normal"/>
    <w:next w:val="BodyText"/>
    <w:rsid w:val="00B214BD"/>
    <w:pPr>
      <w:keepNext/>
      <w:keepLines/>
      <w:numPr>
        <w:ilvl w:val="4"/>
        <w:numId w:val="1"/>
      </w:numPr>
      <w:spacing w:after="240"/>
      <w:outlineLvl w:val="4"/>
    </w:pPr>
    <w:rPr>
      <w:rFonts w:eastAsia="SimSun"/>
      <w:b/>
      <w:szCs w:val="20"/>
    </w:rPr>
  </w:style>
  <w:style w:type="paragraph" w:customStyle="1" w:styleId="LITDL6">
    <w:name w:val="LITD_L6"/>
    <w:basedOn w:val="Normal"/>
    <w:next w:val="BodyText"/>
    <w:rsid w:val="00B214BD"/>
    <w:pPr>
      <w:keepNext/>
      <w:keepLines/>
      <w:numPr>
        <w:ilvl w:val="5"/>
        <w:numId w:val="1"/>
      </w:numPr>
      <w:spacing w:after="240"/>
      <w:outlineLvl w:val="5"/>
    </w:pPr>
    <w:rPr>
      <w:rFonts w:eastAsia="SimSun"/>
      <w:szCs w:val="20"/>
    </w:rPr>
  </w:style>
  <w:style w:type="paragraph" w:customStyle="1" w:styleId="LITDL7">
    <w:name w:val="LITD_L7"/>
    <w:basedOn w:val="LITDL6"/>
    <w:next w:val="BodyText"/>
    <w:rsid w:val="00B214BD"/>
    <w:pPr>
      <w:keepNext w:val="0"/>
      <w:keepLines w:val="0"/>
      <w:numPr>
        <w:ilvl w:val="6"/>
      </w:numPr>
      <w:outlineLvl w:val="6"/>
    </w:pPr>
    <w:rPr>
      <w:b/>
    </w:rPr>
  </w:style>
  <w:style w:type="paragraph" w:customStyle="1" w:styleId="LITDL8">
    <w:name w:val="LITD_L8"/>
    <w:basedOn w:val="LITDL7"/>
    <w:next w:val="BodyText"/>
    <w:rsid w:val="00B214BD"/>
    <w:pPr>
      <w:numPr>
        <w:ilvl w:val="7"/>
      </w:numPr>
      <w:outlineLvl w:val="7"/>
    </w:pPr>
  </w:style>
  <w:style w:type="paragraph" w:customStyle="1" w:styleId="LITDL9">
    <w:name w:val="LITD_L9"/>
    <w:basedOn w:val="LITDL8"/>
    <w:next w:val="BodyText"/>
    <w:rsid w:val="00B214BD"/>
    <w:pPr>
      <w:numPr>
        <w:ilvl w:val="8"/>
      </w:numPr>
      <w:outlineLvl w:val="8"/>
    </w:pPr>
  </w:style>
  <w:style w:type="paragraph" w:styleId="BodyText">
    <w:name w:val="Body Text"/>
    <w:basedOn w:val="Normal"/>
    <w:link w:val="BodyTextChar"/>
    <w:uiPriority w:val="99"/>
    <w:semiHidden/>
    <w:unhideWhenUsed/>
    <w:rsid w:val="00B214BD"/>
    <w:pPr>
      <w:spacing w:after="120"/>
    </w:pPr>
  </w:style>
  <w:style w:type="character" w:customStyle="1" w:styleId="BodyTextChar">
    <w:name w:val="Body Text Char"/>
    <w:basedOn w:val="DefaultParagraphFont"/>
    <w:link w:val="BodyText"/>
    <w:uiPriority w:val="99"/>
    <w:semiHidden/>
    <w:rsid w:val="00B214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532814">
      <w:bodyDiv w:val="1"/>
      <w:marLeft w:val="0"/>
      <w:marRight w:val="0"/>
      <w:marTop w:val="0"/>
      <w:marBottom w:val="0"/>
      <w:divBdr>
        <w:top w:val="none" w:sz="0" w:space="0" w:color="auto"/>
        <w:left w:val="none" w:sz="0" w:space="0" w:color="auto"/>
        <w:bottom w:val="none" w:sz="0" w:space="0" w:color="auto"/>
        <w:right w:val="none" w:sz="0" w:space="0" w:color="auto"/>
      </w:divBdr>
      <w:divsChild>
        <w:div w:id="428162270">
          <w:marLeft w:val="0"/>
          <w:marRight w:val="0"/>
          <w:marTop w:val="0"/>
          <w:marBottom w:val="0"/>
          <w:divBdr>
            <w:top w:val="none" w:sz="0" w:space="0" w:color="auto"/>
            <w:left w:val="none" w:sz="0" w:space="0" w:color="auto"/>
            <w:bottom w:val="none" w:sz="0" w:space="0" w:color="auto"/>
            <w:right w:val="none" w:sz="0" w:space="0" w:color="auto"/>
          </w:divBdr>
          <w:divsChild>
            <w:div w:id="1894657184">
              <w:marLeft w:val="0"/>
              <w:marRight w:val="0"/>
              <w:marTop w:val="0"/>
              <w:marBottom w:val="0"/>
              <w:divBdr>
                <w:top w:val="none" w:sz="0" w:space="0" w:color="auto"/>
                <w:left w:val="none" w:sz="0" w:space="0" w:color="auto"/>
                <w:bottom w:val="none" w:sz="0" w:space="0" w:color="auto"/>
                <w:right w:val="none" w:sz="0" w:space="0" w:color="auto"/>
              </w:divBdr>
              <w:divsChild>
                <w:div w:id="1731728071">
                  <w:marLeft w:val="0"/>
                  <w:marRight w:val="0"/>
                  <w:marTop w:val="0"/>
                  <w:marBottom w:val="0"/>
                  <w:divBdr>
                    <w:top w:val="none" w:sz="0" w:space="0" w:color="auto"/>
                    <w:left w:val="none" w:sz="0" w:space="0" w:color="auto"/>
                    <w:bottom w:val="none" w:sz="0" w:space="0" w:color="auto"/>
                    <w:right w:val="none" w:sz="0" w:space="0" w:color="auto"/>
                  </w:divBdr>
                  <w:divsChild>
                    <w:div w:id="1648322830">
                      <w:marLeft w:val="0"/>
                      <w:marRight w:val="0"/>
                      <w:marTop w:val="0"/>
                      <w:marBottom w:val="0"/>
                      <w:divBdr>
                        <w:top w:val="none" w:sz="0" w:space="0" w:color="auto"/>
                        <w:left w:val="none" w:sz="0" w:space="0" w:color="auto"/>
                        <w:bottom w:val="none" w:sz="0" w:space="0" w:color="auto"/>
                        <w:right w:val="none" w:sz="0" w:space="0" w:color="auto"/>
                      </w:divBdr>
                      <w:divsChild>
                        <w:div w:id="16556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urtz@BKLlawfirm.com" TargetMode="External"/><Relationship Id="rId13" Type="http://schemas.openxmlformats.org/officeDocument/2006/relationships/hyperlink" Target="mailto:jkyler@BKLlawfi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oehm@BKLlawfir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rtz@BKLlawfi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kyler@BKLlawfirm.com" TargetMode="External"/><Relationship Id="rId4" Type="http://schemas.openxmlformats.org/officeDocument/2006/relationships/settings" Target="settings.xml"/><Relationship Id="rId9" Type="http://schemas.openxmlformats.org/officeDocument/2006/relationships/hyperlink" Target="mailto:dboehm@BKLlawfir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04E8-8A9A-4E90-9476-D249B61B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KBoehm</dc:creator>
  <cp:lastModifiedBy>Kim Walton</cp:lastModifiedBy>
  <cp:revision>3</cp:revision>
  <cp:lastPrinted>2011-10-07T19:09:00Z</cp:lastPrinted>
  <dcterms:created xsi:type="dcterms:W3CDTF">2011-10-07T19:06:00Z</dcterms:created>
  <dcterms:modified xsi:type="dcterms:W3CDTF">2011-10-07T19:15:00Z</dcterms:modified>
</cp:coreProperties>
</file>