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F3EA1" w14:textId="4CADCFCF" w:rsidR="004552C9" w:rsidRDefault="009E752A">
      <w:pPr>
        <w:jc w:val="right"/>
        <w:rPr>
          <w:b/>
          <w:bCs/>
          <w:i/>
          <w:iCs/>
        </w:rPr>
      </w:pPr>
      <w:bookmarkStart w:id="0" w:name="_GoBack"/>
      <w:bookmarkEnd w:id="0"/>
      <w:r>
        <w:rPr>
          <w:b/>
          <w:bCs/>
          <w:i/>
          <w:iCs/>
        </w:rPr>
        <w:t>OCC EXHIBIT_______</w:t>
      </w:r>
    </w:p>
    <w:p w14:paraId="1F027BFC" w14:textId="77777777" w:rsidR="004552C9" w:rsidRDefault="004552C9"/>
    <w:p w14:paraId="3D5B2FB0" w14:textId="77777777" w:rsidR="004552C9" w:rsidRDefault="004552C9">
      <w:pPr>
        <w:jc w:val="center"/>
      </w:pPr>
    </w:p>
    <w:p w14:paraId="6E41552A" w14:textId="77777777" w:rsidR="004552C9" w:rsidRDefault="009E752A">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14:paraId="5B6D317B" w14:textId="77777777" w:rsidR="004552C9" w:rsidRDefault="009E752A">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14:paraId="07101407" w14:textId="77777777" w:rsidR="00566BBB" w:rsidRDefault="00566BBB">
      <w:pPr>
        <w:pStyle w:val="HTMLPreformatted"/>
        <w:jc w:val="center"/>
        <w:rPr>
          <w:rFonts w:ascii="Times New Roman" w:hAnsi="Times New Roman" w:cs="Times New Roman"/>
          <w:sz w:val="24"/>
          <w:szCs w:val="24"/>
        </w:rPr>
      </w:pPr>
    </w:p>
    <w:p w14:paraId="0EDD09F1" w14:textId="77777777" w:rsidR="004552C9" w:rsidRDefault="004552C9">
      <w:pPr>
        <w:pStyle w:val="HTMLPreformatted"/>
        <w:jc w:val="center"/>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26"/>
        <w:gridCol w:w="376"/>
        <w:gridCol w:w="4390"/>
      </w:tblGrid>
      <w:tr w:rsidR="004552C9" w14:paraId="4EEB275F" w14:textId="77777777">
        <w:trPr>
          <w:trHeight w:val="807"/>
        </w:trPr>
        <w:tc>
          <w:tcPr>
            <w:tcW w:w="4326" w:type="dxa"/>
          </w:tcPr>
          <w:p w14:paraId="50D31B45" w14:textId="77777777" w:rsidR="004552C9" w:rsidRPr="007A5C8A" w:rsidRDefault="009E752A" w:rsidP="00D62A0D">
            <w:pPr>
              <w:pStyle w:val="HTMLPreformatted"/>
              <w:rPr>
                <w:rFonts w:ascii="Times New Roman" w:hAnsi="Times New Roman" w:cs="Times New Roman"/>
                <w:sz w:val="24"/>
                <w:szCs w:val="24"/>
              </w:rPr>
            </w:pPr>
            <w:r w:rsidRPr="00AD3FF5">
              <w:rPr>
                <w:rFonts w:ascii="Times New Roman" w:hAnsi="Times New Roman" w:cs="Times New Roman"/>
                <w:sz w:val="24"/>
                <w:szCs w:val="24"/>
              </w:rPr>
              <w:t>In the Matter of the Application of</w:t>
            </w:r>
            <w:r w:rsidR="00075CC6" w:rsidRPr="00AD3FF5">
              <w:rPr>
                <w:rFonts w:ascii="Times New Roman" w:hAnsi="Times New Roman" w:cs="Times New Roman"/>
                <w:sz w:val="24"/>
                <w:szCs w:val="24"/>
              </w:rPr>
              <w:t xml:space="preserve"> </w:t>
            </w:r>
            <w:r w:rsidR="00D62A0D" w:rsidRPr="00AD3FF5">
              <w:rPr>
                <w:rFonts w:ascii="Times New Roman" w:hAnsi="Times New Roman" w:cs="Times New Roman"/>
                <w:sz w:val="24"/>
                <w:szCs w:val="24"/>
              </w:rPr>
              <w:t>Duke Energy of Ohio, Inc., for Approval of a Grid Modernization Opt-Out Tariff and for a Change in Accounting Procedures Including a Cost Recovery Mechanism.</w:t>
            </w:r>
          </w:p>
        </w:tc>
        <w:tc>
          <w:tcPr>
            <w:tcW w:w="376" w:type="dxa"/>
          </w:tcPr>
          <w:p w14:paraId="4DCA1329"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5C4DF7B7"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36250FEE"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46E0FF3E" w14:textId="77777777" w:rsidR="004552C9" w:rsidRDefault="00D944DF">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40ACC8F0" w14:textId="77777777" w:rsidR="007A5C8A" w:rsidRDefault="007A5C8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390" w:type="dxa"/>
          </w:tcPr>
          <w:p w14:paraId="3FA569BE" w14:textId="77777777" w:rsidR="00AE410A" w:rsidRDefault="00AE410A">
            <w:pPr>
              <w:pStyle w:val="HTMLPreformatted"/>
              <w:jc w:val="center"/>
              <w:rPr>
                <w:rFonts w:ascii="Times New Roman" w:hAnsi="Times New Roman" w:cs="Times New Roman"/>
                <w:sz w:val="24"/>
                <w:szCs w:val="24"/>
              </w:rPr>
            </w:pPr>
          </w:p>
          <w:p w14:paraId="47D66D99" w14:textId="77777777" w:rsidR="00D944DF" w:rsidRDefault="009E752A" w:rsidP="00D944DF">
            <w:pPr>
              <w:pStyle w:val="HTMLPreformatted"/>
              <w:rPr>
                <w:rFonts w:ascii="Times New Roman" w:hAnsi="Times New Roman" w:cs="Times New Roman"/>
                <w:sz w:val="24"/>
                <w:szCs w:val="24"/>
              </w:rPr>
            </w:pPr>
            <w:r>
              <w:rPr>
                <w:rFonts w:ascii="Times New Roman" w:hAnsi="Times New Roman" w:cs="Times New Roman"/>
                <w:sz w:val="24"/>
                <w:szCs w:val="24"/>
              </w:rPr>
              <w:t>Case No. 1</w:t>
            </w:r>
            <w:r w:rsidR="00C17348">
              <w:rPr>
                <w:rFonts w:ascii="Times New Roman" w:hAnsi="Times New Roman" w:cs="Times New Roman"/>
                <w:sz w:val="24"/>
                <w:szCs w:val="24"/>
              </w:rPr>
              <w:t>4</w:t>
            </w:r>
            <w:r>
              <w:rPr>
                <w:rFonts w:ascii="Times New Roman" w:hAnsi="Times New Roman" w:cs="Times New Roman"/>
                <w:sz w:val="24"/>
                <w:szCs w:val="24"/>
              </w:rPr>
              <w:t>-</w:t>
            </w:r>
            <w:r w:rsidR="00AE410A">
              <w:rPr>
                <w:rFonts w:ascii="Times New Roman" w:hAnsi="Times New Roman" w:cs="Times New Roman"/>
                <w:sz w:val="24"/>
                <w:szCs w:val="24"/>
              </w:rPr>
              <w:t>1</w:t>
            </w:r>
            <w:r w:rsidR="00D944DF">
              <w:rPr>
                <w:rFonts w:ascii="Times New Roman" w:hAnsi="Times New Roman" w:cs="Times New Roman"/>
                <w:sz w:val="24"/>
                <w:szCs w:val="24"/>
              </w:rPr>
              <w:t>160-EL-UNC</w:t>
            </w:r>
          </w:p>
          <w:p w14:paraId="08375CAE" w14:textId="77777777" w:rsidR="004552C9" w:rsidRPr="00566BBB" w:rsidRDefault="00D944DF" w:rsidP="00D944DF">
            <w:pPr>
              <w:pStyle w:val="HTMLPreformatted"/>
              <w:rPr>
                <w:rFonts w:ascii="Times New Roman" w:hAnsi="Times New Roman" w:cs="Times New Roman"/>
                <w:sz w:val="24"/>
                <w:szCs w:val="24"/>
              </w:rPr>
            </w:pPr>
            <w:r>
              <w:rPr>
                <w:rFonts w:ascii="Times New Roman" w:hAnsi="Times New Roman" w:cs="Times New Roman"/>
                <w:sz w:val="24"/>
                <w:szCs w:val="24"/>
              </w:rPr>
              <w:t>Case No. 14-1161-EL-AAM</w:t>
            </w:r>
          </w:p>
        </w:tc>
      </w:tr>
    </w:tbl>
    <w:p w14:paraId="2E524F24" w14:textId="77777777" w:rsidR="004552C9" w:rsidRDefault="004552C9">
      <w:pPr>
        <w:pStyle w:val="HTMLPreformatted"/>
        <w:jc w:val="center"/>
        <w:rPr>
          <w:rFonts w:ascii="Times New Roman" w:hAnsi="Times New Roman" w:cs="Times New Roman"/>
          <w:b/>
          <w:bCs/>
          <w:sz w:val="24"/>
          <w:szCs w:val="24"/>
        </w:rPr>
      </w:pPr>
    </w:p>
    <w:p w14:paraId="26B2D393" w14:textId="77777777" w:rsidR="004552C9" w:rsidRDefault="004552C9">
      <w:pPr>
        <w:pStyle w:val="HTMLPreformatted"/>
        <w:jc w:val="center"/>
        <w:rPr>
          <w:rFonts w:ascii="Times New Roman" w:hAnsi="Times New Roman" w:cs="Times New Roman"/>
          <w:b/>
          <w:bCs/>
          <w:sz w:val="24"/>
          <w:szCs w:val="24"/>
        </w:rPr>
      </w:pPr>
    </w:p>
    <w:p w14:paraId="356B6A6C" w14:textId="77777777" w:rsidR="004552C9" w:rsidRDefault="004552C9">
      <w:pPr>
        <w:pStyle w:val="HTMLPreformatted"/>
        <w:jc w:val="center"/>
        <w:rPr>
          <w:rFonts w:ascii="Times New Roman" w:hAnsi="Times New Roman" w:cs="Times New Roman"/>
          <w:b/>
          <w:bCs/>
          <w:sz w:val="24"/>
          <w:szCs w:val="24"/>
        </w:rPr>
      </w:pPr>
    </w:p>
    <w:p w14:paraId="74DE77AA" w14:textId="77777777" w:rsidR="004552C9" w:rsidRDefault="004552C9">
      <w:pPr>
        <w:pStyle w:val="HTMLPreformatted"/>
        <w:jc w:val="center"/>
        <w:rPr>
          <w:rFonts w:ascii="Times New Roman" w:hAnsi="Times New Roman" w:cs="Times New Roman"/>
          <w:b/>
          <w:bCs/>
          <w:sz w:val="24"/>
          <w:szCs w:val="24"/>
        </w:rPr>
      </w:pPr>
    </w:p>
    <w:p w14:paraId="15A1AB13" w14:textId="77777777" w:rsidR="004552C9" w:rsidRDefault="004552C9">
      <w:pPr>
        <w:pStyle w:val="HTMLPreformatted"/>
        <w:jc w:val="center"/>
        <w:rPr>
          <w:rFonts w:ascii="Times New Roman" w:hAnsi="Times New Roman" w:cs="Times New Roman"/>
          <w:b/>
          <w:bCs/>
          <w:sz w:val="24"/>
          <w:szCs w:val="24"/>
        </w:rPr>
      </w:pPr>
    </w:p>
    <w:p w14:paraId="762CA42F" w14:textId="77777777" w:rsidR="00717681" w:rsidRDefault="00717681" w:rsidP="00717681">
      <w:pPr>
        <w:autoSpaceDE w:val="0"/>
        <w:autoSpaceDN w:val="0"/>
        <w:adjustRightInd w:val="0"/>
        <w:rPr>
          <w:b/>
          <w:bCs/>
        </w:rPr>
      </w:pPr>
    </w:p>
    <w:p w14:paraId="29A38654" w14:textId="77777777" w:rsidR="00717681" w:rsidRDefault="00717681" w:rsidP="00717681">
      <w:pPr>
        <w:autoSpaceDE w:val="0"/>
        <w:autoSpaceDN w:val="0"/>
        <w:adjustRightInd w:val="0"/>
        <w:jc w:val="center"/>
        <w:rPr>
          <w:rFonts w:ascii="TimesNewRomanPS-BoldMT" w:hAnsi="TimesNewRomanPS-BoldMT" w:cs="TimesNewRomanPS-BoldMT"/>
          <w:b/>
          <w:bCs/>
        </w:rPr>
      </w:pPr>
    </w:p>
    <w:p w14:paraId="016503AF" w14:textId="77777777" w:rsidR="00717681" w:rsidRDefault="00717681" w:rsidP="00717681">
      <w:pPr>
        <w:autoSpaceDE w:val="0"/>
        <w:autoSpaceDN w:val="0"/>
        <w:adjustRightInd w:val="0"/>
        <w:jc w:val="center"/>
        <w:rPr>
          <w:rFonts w:ascii="TimesNewRomanPS-BoldMT" w:hAnsi="TimesNewRomanPS-BoldMT" w:cs="TimesNewRomanPS-BoldMT"/>
          <w:b/>
          <w:bCs/>
        </w:rPr>
      </w:pPr>
    </w:p>
    <w:p w14:paraId="1B4B08C6" w14:textId="77777777" w:rsidR="00717681" w:rsidRDefault="00717681" w:rsidP="00717681">
      <w:pPr>
        <w:autoSpaceDE w:val="0"/>
        <w:autoSpaceDN w:val="0"/>
        <w:adjustRightInd w:val="0"/>
        <w:jc w:val="center"/>
        <w:rPr>
          <w:rFonts w:ascii="TimesNewRomanPS-BoldMT" w:hAnsi="TimesNewRomanPS-BoldMT" w:cs="TimesNewRomanPS-BoldMT"/>
          <w:b/>
          <w:bCs/>
        </w:rPr>
      </w:pPr>
    </w:p>
    <w:p w14:paraId="289C5040" w14:textId="77777777" w:rsidR="00717681" w:rsidRDefault="00717681" w:rsidP="00936B6C">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TESTIMONY </w:t>
      </w:r>
    </w:p>
    <w:p w14:paraId="0FBF6EB3" w14:textId="77777777" w:rsidR="004552C9" w:rsidRPr="00AD3FF5" w:rsidRDefault="00566BBB">
      <w:pPr>
        <w:jc w:val="center"/>
        <w:rPr>
          <w:b/>
        </w:rPr>
      </w:pPr>
      <w:r w:rsidRPr="00AD3FF5">
        <w:rPr>
          <w:b/>
        </w:rPr>
        <w:t>OF</w:t>
      </w:r>
    </w:p>
    <w:p w14:paraId="3E0670C7" w14:textId="77777777" w:rsidR="004552C9" w:rsidRDefault="009E752A">
      <w:pPr>
        <w:jc w:val="center"/>
        <w:rPr>
          <w:b/>
          <w:bCs/>
        </w:rPr>
      </w:pPr>
      <w:r>
        <w:rPr>
          <w:b/>
          <w:bCs/>
        </w:rPr>
        <w:t>JAMES D. WILLIAMS</w:t>
      </w:r>
    </w:p>
    <w:p w14:paraId="182156C7" w14:textId="77777777" w:rsidR="004552C9" w:rsidRDefault="004552C9">
      <w:pPr>
        <w:jc w:val="center"/>
        <w:rPr>
          <w:b/>
          <w:bCs/>
        </w:rPr>
      </w:pPr>
    </w:p>
    <w:p w14:paraId="520ACF3B" w14:textId="77777777" w:rsidR="004552C9" w:rsidRDefault="004552C9">
      <w:pPr>
        <w:jc w:val="center"/>
        <w:rPr>
          <w:b/>
          <w:bCs/>
        </w:rPr>
      </w:pPr>
    </w:p>
    <w:p w14:paraId="03BCFA75" w14:textId="77777777" w:rsidR="00AE410A" w:rsidRDefault="00AE410A">
      <w:pPr>
        <w:jc w:val="center"/>
        <w:rPr>
          <w:b/>
          <w:bCs/>
        </w:rPr>
      </w:pPr>
    </w:p>
    <w:p w14:paraId="03E0FCD3" w14:textId="77777777" w:rsidR="00AE410A" w:rsidRDefault="00AE410A">
      <w:pPr>
        <w:jc w:val="center"/>
        <w:rPr>
          <w:b/>
          <w:bCs/>
        </w:rPr>
      </w:pPr>
    </w:p>
    <w:p w14:paraId="694FE578" w14:textId="77777777" w:rsidR="004552C9" w:rsidRDefault="004552C9"/>
    <w:p w14:paraId="39231CFD" w14:textId="77777777" w:rsidR="004552C9" w:rsidRDefault="009E752A">
      <w:pPr>
        <w:jc w:val="center"/>
        <w:rPr>
          <w:b/>
          <w:bCs/>
        </w:rPr>
      </w:pPr>
      <w:r>
        <w:rPr>
          <w:b/>
          <w:bCs/>
        </w:rPr>
        <w:t>On Behalf of</w:t>
      </w:r>
    </w:p>
    <w:p w14:paraId="131BDB12" w14:textId="77777777" w:rsidR="004552C9" w:rsidRDefault="009E752A">
      <w:pPr>
        <w:jc w:val="center"/>
        <w:rPr>
          <w:b/>
          <w:bCs/>
          <w:caps/>
        </w:rPr>
      </w:pPr>
      <w:r>
        <w:rPr>
          <w:b/>
          <w:bCs/>
        </w:rPr>
        <w:t>The Office of the Ohio Consumers' Counsel</w:t>
      </w:r>
    </w:p>
    <w:p w14:paraId="2EB00E1E" w14:textId="77777777" w:rsidR="004552C9" w:rsidRDefault="009E752A">
      <w:pPr>
        <w:jc w:val="center"/>
        <w:rPr>
          <w:i/>
          <w:iCs/>
        </w:rPr>
      </w:pPr>
      <w:r>
        <w:rPr>
          <w:i/>
          <w:iCs/>
        </w:rPr>
        <w:t>10 West Broad Street, Suite 1800</w:t>
      </w:r>
    </w:p>
    <w:p w14:paraId="331A60CD" w14:textId="77777777" w:rsidR="004552C9" w:rsidRDefault="009E752A">
      <w:pPr>
        <w:jc w:val="center"/>
        <w:rPr>
          <w:i/>
          <w:iCs/>
        </w:rPr>
      </w:pPr>
      <w:r>
        <w:rPr>
          <w:i/>
          <w:iCs/>
        </w:rPr>
        <w:t>Columbus, Ohio 43215-3485</w:t>
      </w:r>
    </w:p>
    <w:p w14:paraId="16007264" w14:textId="77777777" w:rsidR="004552C9" w:rsidRDefault="004552C9">
      <w:pPr>
        <w:jc w:val="center"/>
      </w:pPr>
    </w:p>
    <w:p w14:paraId="2A31189B" w14:textId="77777777" w:rsidR="00AE410A" w:rsidRDefault="00AE410A">
      <w:pPr>
        <w:jc w:val="center"/>
      </w:pPr>
    </w:p>
    <w:p w14:paraId="3889C794" w14:textId="77777777" w:rsidR="00AE410A" w:rsidRDefault="00AE410A">
      <w:pPr>
        <w:jc w:val="center"/>
      </w:pPr>
    </w:p>
    <w:p w14:paraId="18BA475E" w14:textId="77777777" w:rsidR="00AE410A" w:rsidRDefault="00AE410A">
      <w:pPr>
        <w:jc w:val="center"/>
      </w:pPr>
    </w:p>
    <w:p w14:paraId="3D50A961" w14:textId="77777777" w:rsidR="00AE410A" w:rsidRDefault="00AE410A">
      <w:pPr>
        <w:jc w:val="center"/>
      </w:pPr>
    </w:p>
    <w:p w14:paraId="5A7ECBF9" w14:textId="77777777" w:rsidR="00AE410A" w:rsidRDefault="00AE410A">
      <w:pPr>
        <w:jc w:val="center"/>
      </w:pPr>
    </w:p>
    <w:p w14:paraId="4D63F236" w14:textId="77777777" w:rsidR="00AE410A" w:rsidRDefault="00AE410A">
      <w:pPr>
        <w:jc w:val="center"/>
      </w:pPr>
    </w:p>
    <w:p w14:paraId="0E4FEAE5" w14:textId="77777777" w:rsidR="00AE410A" w:rsidRDefault="00AE410A">
      <w:pPr>
        <w:jc w:val="center"/>
      </w:pPr>
    </w:p>
    <w:p w14:paraId="2AF30E89" w14:textId="77777777" w:rsidR="004552C9" w:rsidRDefault="00D944DF">
      <w:pPr>
        <w:jc w:val="center"/>
        <w:rPr>
          <w:b/>
          <w:bCs/>
          <w:i/>
          <w:iCs/>
        </w:rPr>
        <w:sectPr w:rsidR="004552C9" w:rsidSect="00F95936">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pPr>
      <w:r>
        <w:rPr>
          <w:b/>
          <w:bCs/>
          <w:i/>
          <w:iCs/>
        </w:rPr>
        <w:t xml:space="preserve">September 18, </w:t>
      </w:r>
      <w:r w:rsidR="000A4CD2">
        <w:rPr>
          <w:b/>
          <w:bCs/>
          <w:i/>
          <w:iCs/>
        </w:rPr>
        <w:t>201</w:t>
      </w:r>
      <w:r w:rsidR="00717681">
        <w:rPr>
          <w:b/>
          <w:bCs/>
          <w:i/>
          <w:iCs/>
        </w:rPr>
        <w:t>5</w:t>
      </w:r>
    </w:p>
    <w:p w14:paraId="49817237" w14:textId="77777777" w:rsidR="004552C9" w:rsidRDefault="009E752A">
      <w:pPr>
        <w:jc w:val="center"/>
        <w:rPr>
          <w:b/>
          <w:bCs/>
          <w:u w:val="single"/>
        </w:rPr>
      </w:pPr>
      <w:r>
        <w:rPr>
          <w:b/>
          <w:bCs/>
          <w:u w:val="single"/>
        </w:rPr>
        <w:lastRenderedPageBreak/>
        <w:t>TABLE OF CONTENTS</w:t>
      </w:r>
    </w:p>
    <w:p w14:paraId="060776A9" w14:textId="77777777" w:rsidR="004552C9" w:rsidRDefault="004552C9"/>
    <w:p w14:paraId="675FDA3A" w14:textId="77777777" w:rsidR="004552C9" w:rsidRDefault="009E752A">
      <w:pPr>
        <w:jc w:val="right"/>
        <w:rPr>
          <w:b/>
          <w:u w:val="single"/>
        </w:rPr>
      </w:pPr>
      <w:r w:rsidRPr="00747123">
        <w:rPr>
          <w:b/>
          <w:u w:val="single"/>
        </w:rPr>
        <w:t>Page</w:t>
      </w:r>
    </w:p>
    <w:p w14:paraId="6343E30C" w14:textId="77777777" w:rsidR="00695757" w:rsidRPr="00747123" w:rsidRDefault="00695757">
      <w:pPr>
        <w:jc w:val="right"/>
        <w:rPr>
          <w:b/>
          <w:u w:val="single"/>
        </w:rPr>
      </w:pPr>
    </w:p>
    <w:p w14:paraId="4EB25608" w14:textId="77777777" w:rsidR="00C51B2A" w:rsidRPr="00C51B2A" w:rsidRDefault="00555B25" w:rsidP="00C51B2A">
      <w:pPr>
        <w:pStyle w:val="TOC1"/>
        <w:ind w:right="720"/>
        <w:rPr>
          <w:rFonts w:asciiTheme="minorHAnsi" w:eastAsiaTheme="minorEastAsia" w:hAnsiTheme="minorHAnsi" w:cstheme="minorBidi"/>
          <w:b w:val="0"/>
          <w:caps w:val="0"/>
          <w:sz w:val="22"/>
          <w:szCs w:val="22"/>
        </w:rPr>
      </w:pPr>
      <w:r w:rsidRPr="008D3AE2">
        <w:rPr>
          <w:b w:val="0"/>
        </w:rPr>
        <w:fldChar w:fldCharType="begin"/>
      </w:r>
      <w:r w:rsidRPr="008D3AE2">
        <w:rPr>
          <w:b w:val="0"/>
        </w:rPr>
        <w:instrText xml:space="preserve"> TOC \o "1-2" \h \z \u </w:instrText>
      </w:r>
      <w:r w:rsidRPr="008D3AE2">
        <w:rPr>
          <w:b w:val="0"/>
        </w:rPr>
        <w:fldChar w:fldCharType="separate"/>
      </w:r>
      <w:hyperlink w:anchor="_Toc430357075" w:history="1">
        <w:r w:rsidR="00C51B2A" w:rsidRPr="00C51B2A">
          <w:rPr>
            <w:rStyle w:val="Hyperlink"/>
            <w:b w:val="0"/>
          </w:rPr>
          <w:t>I.</w:t>
        </w:r>
        <w:r w:rsidR="00C51B2A" w:rsidRPr="00C51B2A">
          <w:rPr>
            <w:rFonts w:asciiTheme="minorHAnsi" w:eastAsiaTheme="minorEastAsia" w:hAnsiTheme="minorHAnsi" w:cstheme="minorBidi"/>
            <w:b w:val="0"/>
            <w:caps w:val="0"/>
            <w:sz w:val="22"/>
            <w:szCs w:val="22"/>
          </w:rPr>
          <w:tab/>
        </w:r>
        <w:r w:rsidR="00C51B2A" w:rsidRPr="00C51B2A">
          <w:rPr>
            <w:rStyle w:val="Hyperlink"/>
            <w:b w:val="0"/>
          </w:rPr>
          <w:t>INTRODUCTION</w:t>
        </w:r>
        <w:r w:rsidR="00C51B2A" w:rsidRPr="00C51B2A">
          <w:rPr>
            <w:b w:val="0"/>
            <w:webHidden/>
          </w:rPr>
          <w:tab/>
        </w:r>
        <w:r w:rsidR="00C51B2A" w:rsidRPr="00C51B2A">
          <w:rPr>
            <w:b w:val="0"/>
            <w:webHidden/>
          </w:rPr>
          <w:fldChar w:fldCharType="begin"/>
        </w:r>
        <w:r w:rsidR="00C51B2A" w:rsidRPr="00C51B2A">
          <w:rPr>
            <w:b w:val="0"/>
            <w:webHidden/>
          </w:rPr>
          <w:instrText xml:space="preserve"> PAGEREF _Toc430357075 \h </w:instrText>
        </w:r>
        <w:r w:rsidR="00C51B2A" w:rsidRPr="00C51B2A">
          <w:rPr>
            <w:b w:val="0"/>
            <w:webHidden/>
          </w:rPr>
        </w:r>
        <w:r w:rsidR="00C51B2A" w:rsidRPr="00C51B2A">
          <w:rPr>
            <w:b w:val="0"/>
            <w:webHidden/>
          </w:rPr>
          <w:fldChar w:fldCharType="separate"/>
        </w:r>
        <w:r w:rsidR="00963DED">
          <w:rPr>
            <w:b w:val="0"/>
            <w:webHidden/>
          </w:rPr>
          <w:t>1</w:t>
        </w:r>
        <w:r w:rsidR="00C51B2A" w:rsidRPr="00C51B2A">
          <w:rPr>
            <w:b w:val="0"/>
            <w:webHidden/>
          </w:rPr>
          <w:fldChar w:fldCharType="end"/>
        </w:r>
      </w:hyperlink>
    </w:p>
    <w:p w14:paraId="2A9B6306" w14:textId="77777777" w:rsidR="00C51B2A" w:rsidRPr="00C51B2A" w:rsidRDefault="0007580D" w:rsidP="00C51B2A">
      <w:pPr>
        <w:pStyle w:val="TOC1"/>
        <w:ind w:right="720"/>
        <w:rPr>
          <w:rFonts w:asciiTheme="minorHAnsi" w:eastAsiaTheme="minorEastAsia" w:hAnsiTheme="minorHAnsi" w:cstheme="minorBidi"/>
          <w:b w:val="0"/>
          <w:caps w:val="0"/>
          <w:sz w:val="22"/>
          <w:szCs w:val="22"/>
        </w:rPr>
      </w:pPr>
      <w:hyperlink w:anchor="_Toc430357076" w:history="1">
        <w:r w:rsidR="00C51B2A" w:rsidRPr="00C51B2A">
          <w:rPr>
            <w:rStyle w:val="Hyperlink"/>
            <w:b w:val="0"/>
          </w:rPr>
          <w:t>II.</w:t>
        </w:r>
        <w:r w:rsidR="00C51B2A" w:rsidRPr="00C51B2A">
          <w:rPr>
            <w:rFonts w:asciiTheme="minorHAnsi" w:eastAsiaTheme="minorEastAsia" w:hAnsiTheme="minorHAnsi" w:cstheme="minorBidi"/>
            <w:b w:val="0"/>
            <w:caps w:val="0"/>
            <w:sz w:val="22"/>
            <w:szCs w:val="22"/>
          </w:rPr>
          <w:tab/>
        </w:r>
        <w:r w:rsidR="00C51B2A" w:rsidRPr="00C51B2A">
          <w:rPr>
            <w:rStyle w:val="Hyperlink"/>
            <w:b w:val="0"/>
          </w:rPr>
          <w:t>PURPOSE OF MY TESTIMONY</w:t>
        </w:r>
        <w:r w:rsidR="00C51B2A" w:rsidRPr="00C51B2A">
          <w:rPr>
            <w:b w:val="0"/>
            <w:webHidden/>
          </w:rPr>
          <w:tab/>
        </w:r>
        <w:r w:rsidR="00C51B2A" w:rsidRPr="00C51B2A">
          <w:rPr>
            <w:b w:val="0"/>
            <w:webHidden/>
          </w:rPr>
          <w:fldChar w:fldCharType="begin"/>
        </w:r>
        <w:r w:rsidR="00C51B2A" w:rsidRPr="00C51B2A">
          <w:rPr>
            <w:b w:val="0"/>
            <w:webHidden/>
          </w:rPr>
          <w:instrText xml:space="preserve"> PAGEREF _Toc430357076 \h </w:instrText>
        </w:r>
        <w:r w:rsidR="00C51B2A" w:rsidRPr="00C51B2A">
          <w:rPr>
            <w:b w:val="0"/>
            <w:webHidden/>
          </w:rPr>
        </w:r>
        <w:r w:rsidR="00C51B2A" w:rsidRPr="00C51B2A">
          <w:rPr>
            <w:b w:val="0"/>
            <w:webHidden/>
          </w:rPr>
          <w:fldChar w:fldCharType="separate"/>
        </w:r>
        <w:r w:rsidR="00963DED">
          <w:rPr>
            <w:b w:val="0"/>
            <w:webHidden/>
          </w:rPr>
          <w:t>3</w:t>
        </w:r>
        <w:r w:rsidR="00C51B2A" w:rsidRPr="00C51B2A">
          <w:rPr>
            <w:b w:val="0"/>
            <w:webHidden/>
          </w:rPr>
          <w:fldChar w:fldCharType="end"/>
        </w:r>
      </w:hyperlink>
    </w:p>
    <w:p w14:paraId="2632A929" w14:textId="77777777" w:rsidR="00C51B2A" w:rsidRPr="00C51B2A" w:rsidRDefault="0007580D" w:rsidP="00C51B2A">
      <w:pPr>
        <w:pStyle w:val="TOC1"/>
        <w:ind w:right="720"/>
        <w:rPr>
          <w:rFonts w:asciiTheme="minorHAnsi" w:eastAsiaTheme="minorEastAsia" w:hAnsiTheme="minorHAnsi" w:cstheme="minorBidi"/>
          <w:b w:val="0"/>
          <w:caps w:val="0"/>
          <w:sz w:val="22"/>
          <w:szCs w:val="22"/>
        </w:rPr>
      </w:pPr>
      <w:hyperlink w:anchor="_Toc430357077" w:history="1">
        <w:r w:rsidR="00C51B2A" w:rsidRPr="00C51B2A">
          <w:rPr>
            <w:rStyle w:val="Hyperlink"/>
            <w:b w:val="0"/>
          </w:rPr>
          <w:t>III.</w:t>
        </w:r>
        <w:r w:rsidR="00C51B2A" w:rsidRPr="00C51B2A">
          <w:rPr>
            <w:rFonts w:asciiTheme="minorHAnsi" w:eastAsiaTheme="minorEastAsia" w:hAnsiTheme="minorHAnsi" w:cstheme="minorBidi"/>
            <w:b w:val="0"/>
            <w:caps w:val="0"/>
            <w:sz w:val="22"/>
            <w:szCs w:val="22"/>
          </w:rPr>
          <w:tab/>
        </w:r>
        <w:r w:rsidR="00C51B2A" w:rsidRPr="00C51B2A">
          <w:rPr>
            <w:rStyle w:val="Hyperlink"/>
            <w:b w:val="0"/>
          </w:rPr>
          <w:t>GENERAL DESCRIPTION OF THE APPLICATION</w:t>
        </w:r>
        <w:r w:rsidR="00C51B2A" w:rsidRPr="00C51B2A">
          <w:rPr>
            <w:b w:val="0"/>
            <w:webHidden/>
          </w:rPr>
          <w:tab/>
        </w:r>
        <w:r w:rsidR="00C51B2A" w:rsidRPr="00C51B2A">
          <w:rPr>
            <w:b w:val="0"/>
            <w:webHidden/>
          </w:rPr>
          <w:fldChar w:fldCharType="begin"/>
        </w:r>
        <w:r w:rsidR="00C51B2A" w:rsidRPr="00C51B2A">
          <w:rPr>
            <w:b w:val="0"/>
            <w:webHidden/>
          </w:rPr>
          <w:instrText xml:space="preserve"> PAGEREF _Toc430357077 \h </w:instrText>
        </w:r>
        <w:r w:rsidR="00C51B2A" w:rsidRPr="00C51B2A">
          <w:rPr>
            <w:b w:val="0"/>
            <w:webHidden/>
          </w:rPr>
        </w:r>
        <w:r w:rsidR="00C51B2A" w:rsidRPr="00C51B2A">
          <w:rPr>
            <w:b w:val="0"/>
            <w:webHidden/>
          </w:rPr>
          <w:fldChar w:fldCharType="separate"/>
        </w:r>
        <w:r w:rsidR="00963DED">
          <w:rPr>
            <w:b w:val="0"/>
            <w:webHidden/>
          </w:rPr>
          <w:t>3</w:t>
        </w:r>
        <w:r w:rsidR="00C51B2A" w:rsidRPr="00C51B2A">
          <w:rPr>
            <w:b w:val="0"/>
            <w:webHidden/>
          </w:rPr>
          <w:fldChar w:fldCharType="end"/>
        </w:r>
      </w:hyperlink>
    </w:p>
    <w:p w14:paraId="0090446B" w14:textId="77777777" w:rsidR="00C51B2A" w:rsidRPr="00C51B2A" w:rsidRDefault="0007580D" w:rsidP="00C51B2A">
      <w:pPr>
        <w:pStyle w:val="TOC1"/>
        <w:ind w:right="720"/>
        <w:rPr>
          <w:rFonts w:asciiTheme="minorHAnsi" w:eastAsiaTheme="minorEastAsia" w:hAnsiTheme="minorHAnsi" w:cstheme="minorBidi"/>
          <w:b w:val="0"/>
          <w:caps w:val="0"/>
          <w:sz w:val="22"/>
          <w:szCs w:val="22"/>
        </w:rPr>
      </w:pPr>
      <w:hyperlink w:anchor="_Toc430357078" w:history="1">
        <w:r w:rsidR="00C51B2A" w:rsidRPr="00C51B2A">
          <w:rPr>
            <w:rStyle w:val="Hyperlink"/>
            <w:b w:val="0"/>
          </w:rPr>
          <w:t>IV.</w:t>
        </w:r>
        <w:r w:rsidR="00C51B2A" w:rsidRPr="00C51B2A">
          <w:rPr>
            <w:rFonts w:asciiTheme="minorHAnsi" w:eastAsiaTheme="minorEastAsia" w:hAnsiTheme="minorHAnsi" w:cstheme="minorBidi"/>
            <w:b w:val="0"/>
            <w:caps w:val="0"/>
            <w:sz w:val="22"/>
            <w:szCs w:val="22"/>
          </w:rPr>
          <w:tab/>
        </w:r>
        <w:r w:rsidR="00C51B2A" w:rsidRPr="00C51B2A">
          <w:rPr>
            <w:rStyle w:val="Hyperlink"/>
            <w:b w:val="0"/>
          </w:rPr>
          <w:t>OBJECTIONS TO DUKE’S ADVANCED METER OPT-OUT TARIFF</w:t>
        </w:r>
        <w:r w:rsidR="00C51B2A" w:rsidRPr="00C51B2A">
          <w:rPr>
            <w:b w:val="0"/>
            <w:webHidden/>
          </w:rPr>
          <w:tab/>
        </w:r>
        <w:r w:rsidR="00C51B2A" w:rsidRPr="00C51B2A">
          <w:rPr>
            <w:b w:val="0"/>
            <w:webHidden/>
          </w:rPr>
          <w:fldChar w:fldCharType="begin"/>
        </w:r>
        <w:r w:rsidR="00C51B2A" w:rsidRPr="00C51B2A">
          <w:rPr>
            <w:b w:val="0"/>
            <w:webHidden/>
          </w:rPr>
          <w:instrText xml:space="preserve"> PAGEREF _Toc430357078 \h </w:instrText>
        </w:r>
        <w:r w:rsidR="00C51B2A" w:rsidRPr="00C51B2A">
          <w:rPr>
            <w:b w:val="0"/>
            <w:webHidden/>
          </w:rPr>
        </w:r>
        <w:r w:rsidR="00C51B2A" w:rsidRPr="00C51B2A">
          <w:rPr>
            <w:b w:val="0"/>
            <w:webHidden/>
          </w:rPr>
          <w:fldChar w:fldCharType="separate"/>
        </w:r>
        <w:r w:rsidR="00963DED">
          <w:rPr>
            <w:b w:val="0"/>
            <w:webHidden/>
          </w:rPr>
          <w:t>4</w:t>
        </w:r>
        <w:r w:rsidR="00C51B2A" w:rsidRPr="00C51B2A">
          <w:rPr>
            <w:b w:val="0"/>
            <w:webHidden/>
          </w:rPr>
          <w:fldChar w:fldCharType="end"/>
        </w:r>
      </w:hyperlink>
    </w:p>
    <w:p w14:paraId="399D6B07" w14:textId="77777777" w:rsidR="00C51B2A" w:rsidRPr="00C51B2A" w:rsidRDefault="0007580D" w:rsidP="00C51B2A">
      <w:pPr>
        <w:pStyle w:val="TOC1"/>
        <w:ind w:right="720"/>
        <w:rPr>
          <w:rFonts w:asciiTheme="minorHAnsi" w:eastAsiaTheme="minorEastAsia" w:hAnsiTheme="minorHAnsi" w:cstheme="minorBidi"/>
          <w:b w:val="0"/>
          <w:caps w:val="0"/>
          <w:sz w:val="22"/>
          <w:szCs w:val="22"/>
        </w:rPr>
      </w:pPr>
      <w:hyperlink w:anchor="_Toc430357079" w:history="1">
        <w:r w:rsidR="00C51B2A" w:rsidRPr="00C51B2A">
          <w:rPr>
            <w:rStyle w:val="Hyperlink"/>
            <w:b w:val="0"/>
          </w:rPr>
          <w:t>V.</w:t>
        </w:r>
        <w:r w:rsidR="00C51B2A" w:rsidRPr="00C51B2A">
          <w:rPr>
            <w:rFonts w:asciiTheme="minorHAnsi" w:eastAsiaTheme="minorEastAsia" w:hAnsiTheme="minorHAnsi" w:cstheme="minorBidi"/>
            <w:b w:val="0"/>
            <w:caps w:val="0"/>
            <w:sz w:val="22"/>
            <w:szCs w:val="22"/>
          </w:rPr>
          <w:tab/>
        </w:r>
        <w:r w:rsidR="00C51B2A" w:rsidRPr="00C51B2A">
          <w:rPr>
            <w:rStyle w:val="Hyperlink"/>
            <w:b w:val="0"/>
          </w:rPr>
          <w:t>RECOMMENDATIONS</w:t>
        </w:r>
        <w:r w:rsidR="00C51B2A" w:rsidRPr="00C51B2A">
          <w:rPr>
            <w:b w:val="0"/>
            <w:webHidden/>
          </w:rPr>
          <w:tab/>
        </w:r>
        <w:r w:rsidR="00C51B2A" w:rsidRPr="00C51B2A">
          <w:rPr>
            <w:b w:val="0"/>
            <w:webHidden/>
          </w:rPr>
          <w:fldChar w:fldCharType="begin"/>
        </w:r>
        <w:r w:rsidR="00C51B2A" w:rsidRPr="00C51B2A">
          <w:rPr>
            <w:b w:val="0"/>
            <w:webHidden/>
          </w:rPr>
          <w:instrText xml:space="preserve"> PAGEREF _Toc430357079 \h </w:instrText>
        </w:r>
        <w:r w:rsidR="00C51B2A" w:rsidRPr="00C51B2A">
          <w:rPr>
            <w:b w:val="0"/>
            <w:webHidden/>
          </w:rPr>
        </w:r>
        <w:r w:rsidR="00C51B2A" w:rsidRPr="00C51B2A">
          <w:rPr>
            <w:b w:val="0"/>
            <w:webHidden/>
          </w:rPr>
          <w:fldChar w:fldCharType="separate"/>
        </w:r>
        <w:r w:rsidR="00963DED">
          <w:rPr>
            <w:b w:val="0"/>
            <w:webHidden/>
          </w:rPr>
          <w:t>20</w:t>
        </w:r>
        <w:r w:rsidR="00C51B2A" w:rsidRPr="00C51B2A">
          <w:rPr>
            <w:b w:val="0"/>
            <w:webHidden/>
          </w:rPr>
          <w:fldChar w:fldCharType="end"/>
        </w:r>
      </w:hyperlink>
    </w:p>
    <w:p w14:paraId="671FC12F" w14:textId="77777777" w:rsidR="00C51B2A" w:rsidRDefault="0007580D" w:rsidP="00C51B2A">
      <w:pPr>
        <w:pStyle w:val="TOC1"/>
        <w:ind w:right="720"/>
        <w:rPr>
          <w:rFonts w:asciiTheme="minorHAnsi" w:eastAsiaTheme="minorEastAsia" w:hAnsiTheme="minorHAnsi" w:cstheme="minorBidi"/>
          <w:b w:val="0"/>
          <w:caps w:val="0"/>
          <w:sz w:val="22"/>
          <w:szCs w:val="22"/>
        </w:rPr>
      </w:pPr>
      <w:hyperlink w:anchor="_Toc430357080" w:history="1">
        <w:r w:rsidR="00C51B2A" w:rsidRPr="00C51B2A">
          <w:rPr>
            <w:rStyle w:val="Hyperlink"/>
            <w:b w:val="0"/>
          </w:rPr>
          <w:t>vI.</w:t>
        </w:r>
        <w:r w:rsidR="00C51B2A" w:rsidRPr="00C51B2A">
          <w:rPr>
            <w:rFonts w:asciiTheme="minorHAnsi" w:eastAsiaTheme="minorEastAsia" w:hAnsiTheme="minorHAnsi" w:cstheme="minorBidi"/>
            <w:b w:val="0"/>
            <w:caps w:val="0"/>
            <w:sz w:val="22"/>
            <w:szCs w:val="22"/>
          </w:rPr>
          <w:tab/>
        </w:r>
        <w:r w:rsidR="00C51B2A" w:rsidRPr="00C51B2A">
          <w:rPr>
            <w:rStyle w:val="Hyperlink"/>
            <w:b w:val="0"/>
          </w:rPr>
          <w:t>CONCLUSION</w:t>
        </w:r>
        <w:r w:rsidR="00C51B2A" w:rsidRPr="00C51B2A">
          <w:rPr>
            <w:b w:val="0"/>
            <w:webHidden/>
          </w:rPr>
          <w:tab/>
        </w:r>
        <w:r w:rsidR="00C51B2A" w:rsidRPr="00C51B2A">
          <w:rPr>
            <w:b w:val="0"/>
            <w:webHidden/>
          </w:rPr>
          <w:fldChar w:fldCharType="begin"/>
        </w:r>
        <w:r w:rsidR="00C51B2A" w:rsidRPr="00C51B2A">
          <w:rPr>
            <w:b w:val="0"/>
            <w:webHidden/>
          </w:rPr>
          <w:instrText xml:space="preserve"> PAGEREF _Toc430357080 \h </w:instrText>
        </w:r>
        <w:r w:rsidR="00C51B2A" w:rsidRPr="00C51B2A">
          <w:rPr>
            <w:b w:val="0"/>
            <w:webHidden/>
          </w:rPr>
        </w:r>
        <w:r w:rsidR="00C51B2A" w:rsidRPr="00C51B2A">
          <w:rPr>
            <w:b w:val="0"/>
            <w:webHidden/>
          </w:rPr>
          <w:fldChar w:fldCharType="separate"/>
        </w:r>
        <w:r w:rsidR="00963DED">
          <w:rPr>
            <w:b w:val="0"/>
            <w:webHidden/>
          </w:rPr>
          <w:t>21</w:t>
        </w:r>
        <w:r w:rsidR="00C51B2A" w:rsidRPr="00C51B2A">
          <w:rPr>
            <w:b w:val="0"/>
            <w:webHidden/>
          </w:rPr>
          <w:fldChar w:fldCharType="end"/>
        </w:r>
      </w:hyperlink>
    </w:p>
    <w:p w14:paraId="5B312E7D" w14:textId="77777777" w:rsidR="0009210E" w:rsidRDefault="00555B25" w:rsidP="00555B25">
      <w:pPr>
        <w:rPr>
          <w:b/>
        </w:rPr>
      </w:pPr>
      <w:r w:rsidRPr="008D3AE2">
        <w:rPr>
          <w:noProof/>
        </w:rPr>
        <w:fldChar w:fldCharType="end"/>
      </w:r>
    </w:p>
    <w:p w14:paraId="7F00BA6C" w14:textId="77777777" w:rsidR="004552C9" w:rsidRPr="00C41D98" w:rsidRDefault="009E752A" w:rsidP="00C41D98">
      <w:pPr>
        <w:pStyle w:val="TOC1"/>
      </w:pPr>
      <w:r w:rsidRPr="00C41D98">
        <w:t>ATTACHMENTS</w:t>
      </w:r>
    </w:p>
    <w:p w14:paraId="4A642DE7" w14:textId="3EE442C7" w:rsidR="00F82F84" w:rsidRDefault="009E752A" w:rsidP="003A3C1A">
      <w:pPr>
        <w:tabs>
          <w:tab w:val="left" w:pos="720"/>
          <w:tab w:val="left" w:pos="1440"/>
          <w:tab w:val="left" w:leader="dot" w:pos="8640"/>
        </w:tabs>
        <w:spacing w:after="120"/>
      </w:pPr>
      <w:r>
        <w:t>JDW-1</w:t>
      </w:r>
      <w:r>
        <w:tab/>
      </w:r>
      <w:r>
        <w:tab/>
        <w:t>List of Previous Testimony Filed at the PUCO by James Williams</w:t>
      </w:r>
    </w:p>
    <w:p w14:paraId="78B02B9C" w14:textId="55E292A6" w:rsidR="004552C9" w:rsidRDefault="00F82F84" w:rsidP="003A3C1A">
      <w:pPr>
        <w:tabs>
          <w:tab w:val="left" w:pos="720"/>
          <w:tab w:val="left" w:pos="1440"/>
          <w:tab w:val="left" w:leader="dot" w:pos="8640"/>
        </w:tabs>
        <w:spacing w:after="120"/>
      </w:pPr>
      <w:r>
        <w:t>JDW-2</w:t>
      </w:r>
      <w:r>
        <w:tab/>
      </w:r>
      <w:r>
        <w:tab/>
      </w:r>
      <w:r w:rsidR="00A622DC">
        <w:t>Duke response to OCC-INT-03-041</w:t>
      </w:r>
    </w:p>
    <w:p w14:paraId="44209B3C" w14:textId="41E9959F" w:rsidR="001428C0" w:rsidRDefault="004B63E0" w:rsidP="003A3C1A">
      <w:pPr>
        <w:tabs>
          <w:tab w:val="left" w:pos="720"/>
          <w:tab w:val="left" w:pos="1440"/>
          <w:tab w:val="left" w:leader="dot" w:pos="8640"/>
        </w:tabs>
        <w:spacing w:after="120"/>
        <w:ind w:left="1440" w:hanging="1440"/>
      </w:pPr>
      <w:r>
        <w:t>JDW-</w:t>
      </w:r>
      <w:r w:rsidR="00F82F84">
        <w:t>3</w:t>
      </w:r>
      <w:r w:rsidR="00787A22">
        <w:tab/>
      </w:r>
      <w:r w:rsidR="00452FB8">
        <w:tab/>
        <w:t xml:space="preserve">Fact Sheet from Duke’s website </w:t>
      </w:r>
      <w:r w:rsidR="00452FB8">
        <w:rPr>
          <w:i/>
        </w:rPr>
        <w:t>Reading Your Meter</w:t>
      </w:r>
      <w:r w:rsidR="00452FB8">
        <w:t xml:space="preserve"> </w:t>
      </w:r>
    </w:p>
    <w:p w14:paraId="62E7C554" w14:textId="391DC263" w:rsidR="004B63E0" w:rsidRDefault="001428C0" w:rsidP="003A3C1A">
      <w:pPr>
        <w:tabs>
          <w:tab w:val="left" w:pos="720"/>
          <w:tab w:val="left" w:pos="1440"/>
          <w:tab w:val="left" w:leader="dot" w:pos="8640"/>
        </w:tabs>
        <w:spacing w:after="120"/>
        <w:ind w:left="1440" w:hanging="1440"/>
      </w:pPr>
      <w:r>
        <w:t>JDW-4</w:t>
      </w:r>
      <w:r>
        <w:tab/>
      </w:r>
      <w:r w:rsidR="00452FB8">
        <w:tab/>
        <w:t>Duke response to OCC-INT-02-035</w:t>
      </w:r>
    </w:p>
    <w:p w14:paraId="7B0F1E75" w14:textId="45B730B2" w:rsidR="00695757" w:rsidRDefault="004B63E0" w:rsidP="003A3C1A">
      <w:pPr>
        <w:tabs>
          <w:tab w:val="left" w:pos="720"/>
          <w:tab w:val="left" w:pos="1440"/>
          <w:tab w:val="left" w:leader="dot" w:pos="8640"/>
        </w:tabs>
        <w:spacing w:after="120"/>
        <w:ind w:left="1440" w:hanging="1440"/>
      </w:pPr>
      <w:r>
        <w:t>JDW-</w:t>
      </w:r>
      <w:r w:rsidR="001428C0">
        <w:t>5</w:t>
      </w:r>
      <w:r>
        <w:tab/>
      </w:r>
      <w:r w:rsidR="00452FB8">
        <w:tab/>
        <w:t>Duke response to OCC-INT-02-034</w:t>
      </w:r>
    </w:p>
    <w:p w14:paraId="275CE88A" w14:textId="1FD4099D" w:rsidR="00452FB8" w:rsidRDefault="00695757" w:rsidP="003A3C1A">
      <w:pPr>
        <w:tabs>
          <w:tab w:val="left" w:pos="720"/>
          <w:tab w:val="left" w:pos="1440"/>
          <w:tab w:val="left" w:leader="dot" w:pos="8640"/>
        </w:tabs>
        <w:spacing w:after="120"/>
        <w:ind w:left="1440" w:hanging="1440"/>
      </w:pPr>
      <w:r>
        <w:t>JDW-6</w:t>
      </w:r>
      <w:r w:rsidR="004B63E0">
        <w:tab/>
      </w:r>
      <w:r w:rsidR="00452FB8">
        <w:tab/>
        <w:t>Duke response to Staff-DR-01-002</w:t>
      </w:r>
    </w:p>
    <w:p w14:paraId="020FB568" w14:textId="2481838F" w:rsidR="00452FB8" w:rsidRDefault="00452FB8" w:rsidP="003A3C1A">
      <w:pPr>
        <w:tabs>
          <w:tab w:val="left" w:pos="720"/>
          <w:tab w:val="left" w:pos="1440"/>
          <w:tab w:val="left" w:leader="dot" w:pos="8640"/>
        </w:tabs>
        <w:spacing w:after="120"/>
        <w:ind w:left="1440" w:hanging="1440"/>
      </w:pPr>
      <w:r>
        <w:t>JDW-7</w:t>
      </w:r>
      <w:r>
        <w:tab/>
      </w:r>
      <w:r>
        <w:tab/>
        <w:t>Duke response to OCC-INT-02-021</w:t>
      </w:r>
    </w:p>
    <w:p w14:paraId="6B541EB0" w14:textId="17A0CF48" w:rsidR="00452FB8" w:rsidRDefault="00452FB8" w:rsidP="003A3C1A">
      <w:pPr>
        <w:tabs>
          <w:tab w:val="left" w:pos="720"/>
          <w:tab w:val="left" w:pos="1440"/>
          <w:tab w:val="left" w:leader="dot" w:pos="8640"/>
        </w:tabs>
        <w:spacing w:after="120"/>
        <w:ind w:left="1440" w:hanging="1440"/>
      </w:pPr>
      <w:r>
        <w:t>JDW-8</w:t>
      </w:r>
      <w:r>
        <w:tab/>
      </w:r>
      <w:r>
        <w:tab/>
        <w:t>Duke response to OCC-INT-02-022</w:t>
      </w:r>
    </w:p>
    <w:p w14:paraId="10FCEE66" w14:textId="2764FC1C" w:rsidR="00452FB8" w:rsidRDefault="00452FB8" w:rsidP="003A3C1A">
      <w:pPr>
        <w:tabs>
          <w:tab w:val="left" w:pos="720"/>
          <w:tab w:val="left" w:pos="1440"/>
          <w:tab w:val="left" w:leader="dot" w:pos="8640"/>
        </w:tabs>
        <w:spacing w:after="120"/>
        <w:ind w:left="1440" w:hanging="1440"/>
      </w:pPr>
      <w:r>
        <w:t>JDW-9</w:t>
      </w:r>
      <w:r>
        <w:tab/>
      </w:r>
      <w:r>
        <w:tab/>
        <w:t>Duke response to Staff-DR-01-008</w:t>
      </w:r>
    </w:p>
    <w:p w14:paraId="40AFF531" w14:textId="68288B92" w:rsidR="00452FB8" w:rsidRDefault="00452FB8" w:rsidP="003A3C1A">
      <w:pPr>
        <w:tabs>
          <w:tab w:val="left" w:pos="720"/>
          <w:tab w:val="left" w:pos="1440"/>
          <w:tab w:val="left" w:leader="dot" w:pos="8640"/>
        </w:tabs>
        <w:spacing w:after="120"/>
        <w:ind w:left="1440" w:hanging="1440"/>
      </w:pPr>
      <w:r>
        <w:t>JDW-10</w:t>
      </w:r>
      <w:r>
        <w:tab/>
        <w:t>Duke response to OCC-INT-02-025</w:t>
      </w:r>
    </w:p>
    <w:p w14:paraId="395E1CFC" w14:textId="77777777" w:rsidR="00452FB8" w:rsidRDefault="00452FB8" w:rsidP="003A3C1A">
      <w:pPr>
        <w:tabs>
          <w:tab w:val="left" w:pos="720"/>
          <w:tab w:val="left" w:pos="1440"/>
          <w:tab w:val="left" w:leader="dot" w:pos="8640"/>
        </w:tabs>
        <w:spacing w:after="120"/>
        <w:ind w:left="1440" w:hanging="1440"/>
      </w:pPr>
      <w:r>
        <w:t>JDW-11</w:t>
      </w:r>
      <w:r>
        <w:tab/>
        <w:t>Duke response to OCC-INT-02-026</w:t>
      </w:r>
    </w:p>
    <w:p w14:paraId="6B0BD93C" w14:textId="767F523A" w:rsidR="00452FB8" w:rsidRDefault="00452FB8" w:rsidP="003A3C1A">
      <w:pPr>
        <w:tabs>
          <w:tab w:val="left" w:pos="720"/>
          <w:tab w:val="left" w:pos="1440"/>
          <w:tab w:val="left" w:leader="dot" w:pos="8640"/>
        </w:tabs>
        <w:spacing w:after="120"/>
        <w:ind w:left="1440" w:hanging="1440"/>
      </w:pPr>
      <w:r>
        <w:t>JDW-12</w:t>
      </w:r>
      <w:r>
        <w:tab/>
        <w:t>Duke response to OCC-INT-02-036</w:t>
      </w:r>
    </w:p>
    <w:p w14:paraId="67888106" w14:textId="6F7AB645" w:rsidR="00452FB8" w:rsidRDefault="00452FB8" w:rsidP="003A3C1A">
      <w:pPr>
        <w:tabs>
          <w:tab w:val="left" w:pos="720"/>
          <w:tab w:val="left" w:pos="1440"/>
          <w:tab w:val="left" w:leader="dot" w:pos="8640"/>
        </w:tabs>
        <w:spacing w:after="120"/>
        <w:ind w:left="1440" w:hanging="1440"/>
      </w:pPr>
      <w:r>
        <w:t>JDW-13</w:t>
      </w:r>
      <w:r>
        <w:tab/>
        <w:t>Duke response to Staff-DR-03-009</w:t>
      </w:r>
    </w:p>
    <w:p w14:paraId="4A38B783" w14:textId="51AF5892" w:rsidR="00452FB8" w:rsidRDefault="00452FB8" w:rsidP="003A3C1A">
      <w:pPr>
        <w:tabs>
          <w:tab w:val="left" w:pos="720"/>
          <w:tab w:val="left" w:pos="1440"/>
          <w:tab w:val="left" w:leader="dot" w:pos="8640"/>
        </w:tabs>
        <w:spacing w:after="120"/>
        <w:ind w:left="1440" w:hanging="1440"/>
      </w:pPr>
      <w:r>
        <w:t>JDW-14</w:t>
      </w:r>
      <w:r>
        <w:tab/>
        <w:t>Duke response to OCC-INT-01-009</w:t>
      </w:r>
    </w:p>
    <w:p w14:paraId="79CB493B" w14:textId="4EE5BB45" w:rsidR="008768C6" w:rsidRDefault="00452FB8" w:rsidP="003A3C1A">
      <w:pPr>
        <w:tabs>
          <w:tab w:val="left" w:pos="720"/>
          <w:tab w:val="left" w:pos="1440"/>
          <w:tab w:val="left" w:leader="dot" w:pos="8640"/>
        </w:tabs>
        <w:spacing w:after="120"/>
        <w:ind w:left="1440" w:hanging="1440"/>
      </w:pPr>
      <w:r>
        <w:t>JDW-15</w:t>
      </w:r>
      <w:r>
        <w:tab/>
        <w:t>Duke response to Staff</w:t>
      </w:r>
      <w:r w:rsidR="008768C6">
        <w:t>-DR-03-00</w:t>
      </w:r>
      <w:r>
        <w:t>8</w:t>
      </w:r>
    </w:p>
    <w:p w14:paraId="592151C2" w14:textId="5E4E24ED" w:rsidR="008768C6" w:rsidRDefault="008768C6" w:rsidP="003A3C1A">
      <w:pPr>
        <w:tabs>
          <w:tab w:val="left" w:pos="720"/>
          <w:tab w:val="left" w:pos="1440"/>
          <w:tab w:val="left" w:leader="dot" w:pos="8640"/>
        </w:tabs>
        <w:spacing w:after="120"/>
        <w:ind w:left="1440" w:hanging="1440"/>
      </w:pPr>
      <w:r>
        <w:t>JDW-16</w:t>
      </w:r>
      <w:r>
        <w:tab/>
        <w:t>Duke response to Staff-DR-03-010</w:t>
      </w:r>
    </w:p>
    <w:p w14:paraId="3798CFD8" w14:textId="76EB7049" w:rsidR="008768C6" w:rsidRDefault="008768C6" w:rsidP="003A3C1A">
      <w:pPr>
        <w:tabs>
          <w:tab w:val="left" w:pos="720"/>
          <w:tab w:val="left" w:pos="1440"/>
          <w:tab w:val="left" w:leader="dot" w:pos="8640"/>
        </w:tabs>
        <w:spacing w:after="120"/>
        <w:ind w:left="1440" w:hanging="1440"/>
      </w:pPr>
      <w:r>
        <w:t>JDW-17</w:t>
      </w:r>
      <w:r>
        <w:tab/>
        <w:t>Duke response to OCC-INT-01-003</w:t>
      </w:r>
    </w:p>
    <w:p w14:paraId="7C6A7259" w14:textId="77777777" w:rsidR="008768C6" w:rsidRDefault="008768C6" w:rsidP="003A3C1A">
      <w:pPr>
        <w:tabs>
          <w:tab w:val="left" w:pos="720"/>
          <w:tab w:val="left" w:pos="1440"/>
          <w:tab w:val="left" w:leader="dot" w:pos="8640"/>
        </w:tabs>
        <w:spacing w:after="120"/>
        <w:ind w:left="1440" w:hanging="1440"/>
      </w:pPr>
      <w:r>
        <w:t>JDW-18</w:t>
      </w:r>
      <w:r>
        <w:tab/>
        <w:t>Duke response to OCC-INT-02-030</w:t>
      </w:r>
    </w:p>
    <w:p w14:paraId="1AB1BB38" w14:textId="77777777" w:rsidR="004B63E0" w:rsidRDefault="004B63E0" w:rsidP="004B63E0">
      <w:pPr>
        <w:tabs>
          <w:tab w:val="left" w:pos="720"/>
          <w:tab w:val="left" w:pos="1440"/>
          <w:tab w:val="left" w:leader="dot" w:pos="8640"/>
        </w:tabs>
        <w:ind w:left="1440" w:hanging="1440"/>
        <w:rPr>
          <w:bCs/>
        </w:rPr>
      </w:pPr>
    </w:p>
    <w:p w14:paraId="2F6802A0" w14:textId="77777777" w:rsidR="004B63E0" w:rsidRDefault="004B63E0" w:rsidP="004B63E0">
      <w:pPr>
        <w:tabs>
          <w:tab w:val="left" w:pos="720"/>
          <w:tab w:val="left" w:pos="1440"/>
          <w:tab w:val="left" w:leader="dot" w:pos="8640"/>
        </w:tabs>
        <w:ind w:left="1440" w:hanging="1440"/>
        <w:rPr>
          <w:bCs/>
        </w:rPr>
      </w:pPr>
    </w:p>
    <w:p w14:paraId="44397F34" w14:textId="77777777" w:rsidR="004552C9" w:rsidRDefault="004552C9" w:rsidP="00783A02">
      <w:pPr>
        <w:tabs>
          <w:tab w:val="left" w:pos="720"/>
          <w:tab w:val="left" w:pos="1440"/>
          <w:tab w:val="left" w:leader="dot" w:pos="8640"/>
        </w:tabs>
        <w:sectPr w:rsidR="004552C9" w:rsidSect="00F95936">
          <w:headerReference w:type="even" r:id="rId14"/>
          <w:headerReference w:type="default" r:id="rId15"/>
          <w:footerReference w:type="default" r:id="rId16"/>
          <w:headerReference w:type="first" r:id="rId17"/>
          <w:pgSz w:w="12240" w:h="15840" w:code="1"/>
          <w:pgMar w:top="1440" w:right="1800" w:bottom="1440" w:left="1800" w:header="720" w:footer="720" w:gutter="0"/>
          <w:pgNumType w:fmt="lowerRoman" w:start="1"/>
          <w:cols w:space="720"/>
          <w:docGrid w:linePitch="360"/>
        </w:sectPr>
      </w:pPr>
    </w:p>
    <w:p w14:paraId="6CD1C7E1" w14:textId="77777777" w:rsidR="004552C9" w:rsidRPr="0009210E" w:rsidRDefault="009E752A" w:rsidP="0009210E">
      <w:pPr>
        <w:pStyle w:val="Heading1"/>
      </w:pPr>
      <w:bookmarkStart w:id="1" w:name="_Toc317859570"/>
      <w:bookmarkStart w:id="2" w:name="_Toc386462073"/>
      <w:bookmarkStart w:id="3" w:name="_Toc398624429"/>
      <w:bookmarkStart w:id="4" w:name="_Toc430357075"/>
      <w:r w:rsidRPr="0009210E">
        <w:lastRenderedPageBreak/>
        <w:t>I.</w:t>
      </w:r>
      <w:r w:rsidRPr="0009210E">
        <w:tab/>
        <w:t>INTRODUCTION</w:t>
      </w:r>
      <w:bookmarkEnd w:id="1"/>
      <w:bookmarkEnd w:id="2"/>
      <w:bookmarkEnd w:id="3"/>
      <w:bookmarkEnd w:id="4"/>
    </w:p>
    <w:p w14:paraId="46EDE259" w14:textId="77777777" w:rsidR="004552C9" w:rsidRDefault="004552C9" w:rsidP="0009210E">
      <w:pPr>
        <w:spacing w:line="480" w:lineRule="auto"/>
      </w:pPr>
    </w:p>
    <w:p w14:paraId="2F11417B" w14:textId="77777777" w:rsidR="004552C9" w:rsidRDefault="009E752A" w:rsidP="0009210E">
      <w:pPr>
        <w:tabs>
          <w:tab w:val="left" w:pos="720"/>
          <w:tab w:val="left" w:pos="1440"/>
          <w:tab w:val="left" w:leader="dot" w:pos="8640"/>
        </w:tabs>
        <w:spacing w:line="480" w:lineRule="auto"/>
        <w:rPr>
          <w:b/>
          <w:bCs/>
          <w:i/>
          <w:iCs/>
        </w:rPr>
      </w:pPr>
      <w:r w:rsidRPr="00F95936">
        <w:rPr>
          <w:b/>
          <w:bCs/>
          <w:i/>
          <w:iCs/>
        </w:rPr>
        <w:t>Q1.</w:t>
      </w:r>
      <w:r>
        <w:rPr>
          <w:b/>
          <w:bCs/>
          <w:i/>
          <w:iCs/>
        </w:rPr>
        <w:tab/>
        <w:t>PLEASE STATE YOUR NAME, BUSINESS ADDRESS, AND POSITION.</w:t>
      </w:r>
    </w:p>
    <w:p w14:paraId="4409DAA8" w14:textId="77777777" w:rsidR="004552C9" w:rsidRDefault="009E752A" w:rsidP="0009210E">
      <w:pPr>
        <w:tabs>
          <w:tab w:val="left" w:pos="720"/>
          <w:tab w:val="left" w:pos="1440"/>
          <w:tab w:val="left" w:leader="dot" w:pos="8640"/>
        </w:tabs>
        <w:spacing w:line="480" w:lineRule="auto"/>
        <w:ind w:left="720" w:hanging="720"/>
      </w:pPr>
      <w:r w:rsidRPr="00F95936">
        <w:rPr>
          <w:b/>
          <w:bCs/>
          <w:i/>
          <w:iCs/>
        </w:rPr>
        <w:t>A1</w:t>
      </w:r>
      <w:r>
        <w:rPr>
          <w:b/>
          <w:bCs/>
          <w:iCs/>
        </w:rPr>
        <w:t>.</w:t>
      </w:r>
      <w:r>
        <w:tab/>
        <w:t>My name is James D. Williams.  My business address is 10 West Broad Street, 18</w:t>
      </w:r>
      <w:r>
        <w:rPr>
          <w:vertAlign w:val="superscript"/>
        </w:rPr>
        <w:t>th</w:t>
      </w:r>
      <w:r w:rsidR="00470F27">
        <w:t xml:space="preserve"> Floor, Columbus,</w:t>
      </w:r>
      <w:r>
        <w:t xml:space="preserve"> Ohio 43215-3485.  I am employed by the Office of the Ohio Consumers’ Counsel (“OCC”) as a Senior </w:t>
      </w:r>
      <w:r w:rsidR="00F27B4A">
        <w:t xml:space="preserve">Utility </w:t>
      </w:r>
      <w:r>
        <w:t>Consumer P</w:t>
      </w:r>
      <w:r w:rsidR="00F27B4A">
        <w:t xml:space="preserve">olicy </w:t>
      </w:r>
      <w:r>
        <w:t>Analyst.</w:t>
      </w:r>
    </w:p>
    <w:p w14:paraId="49164A1B" w14:textId="77777777" w:rsidR="004552C9" w:rsidRDefault="004552C9" w:rsidP="0009210E">
      <w:pPr>
        <w:tabs>
          <w:tab w:val="left" w:pos="720"/>
          <w:tab w:val="left" w:pos="1440"/>
          <w:tab w:val="left" w:leader="dot" w:pos="8640"/>
        </w:tabs>
        <w:spacing w:line="480" w:lineRule="auto"/>
      </w:pPr>
    </w:p>
    <w:p w14:paraId="7725B6F0" w14:textId="77777777" w:rsidR="004552C9" w:rsidRDefault="009E752A" w:rsidP="0009210E">
      <w:pPr>
        <w:tabs>
          <w:tab w:val="left" w:pos="720"/>
          <w:tab w:val="left" w:pos="1440"/>
          <w:tab w:val="left" w:leader="dot" w:pos="8640"/>
        </w:tabs>
        <w:spacing w:line="480" w:lineRule="auto"/>
        <w:ind w:left="720" w:hanging="720"/>
        <w:rPr>
          <w:b/>
          <w:bCs/>
          <w:i/>
          <w:iCs/>
        </w:rPr>
      </w:pPr>
      <w:r w:rsidRPr="00F95936">
        <w:rPr>
          <w:b/>
          <w:bCs/>
          <w:i/>
          <w:iCs/>
        </w:rPr>
        <w:t>Q2.</w:t>
      </w:r>
      <w:r>
        <w:rPr>
          <w:b/>
          <w:bCs/>
          <w:i/>
          <w:iCs/>
        </w:rPr>
        <w:tab/>
        <w:t>PLEASE BRIEFLY SUMMARIZE YOUR EDUCATION AND PROFESSIONAL EXPERIENCE</w:t>
      </w:r>
    </w:p>
    <w:p w14:paraId="7CE7F9D0" w14:textId="76D14A67" w:rsidR="004552C9" w:rsidRDefault="009E752A" w:rsidP="0009210E">
      <w:pPr>
        <w:tabs>
          <w:tab w:val="left" w:pos="720"/>
          <w:tab w:val="left" w:pos="1440"/>
          <w:tab w:val="left" w:leader="dot" w:pos="8640"/>
        </w:tabs>
        <w:spacing w:line="480" w:lineRule="auto"/>
        <w:ind w:left="720" w:hanging="720"/>
      </w:pPr>
      <w:r w:rsidRPr="00F95936">
        <w:rPr>
          <w:b/>
          <w:bCs/>
          <w:i/>
          <w:iCs/>
        </w:rPr>
        <w:t>A2.</w:t>
      </w:r>
      <w:r>
        <w:tab/>
        <w:t xml:space="preserve">I am a 1994 graduate of Webster University, in St. Louis, Missouri, with a Master </w:t>
      </w:r>
      <w:r w:rsidR="0081143E">
        <w:t xml:space="preserve">of </w:t>
      </w:r>
      <w:r>
        <w:t xml:space="preserve">Business Administration, and a 1978 graduate of Franklin University, in Columbus, Ohio, with a Bachelor of Science, Engineering Technology.  My professional experience includes a career in the </w:t>
      </w:r>
      <w:r w:rsidR="00936B6C">
        <w:t xml:space="preserve">United States </w:t>
      </w:r>
      <w:r>
        <w:t>Air Force and over 1</w:t>
      </w:r>
      <w:r w:rsidR="00693979">
        <w:t>9</w:t>
      </w:r>
      <w:r>
        <w:t xml:space="preserve"> years of utility regu</w:t>
      </w:r>
      <w:r w:rsidR="00747123">
        <w:t>latory experience with the OCC.</w:t>
      </w:r>
    </w:p>
    <w:p w14:paraId="6A679EAA" w14:textId="77777777" w:rsidR="005500F6" w:rsidRDefault="005500F6" w:rsidP="0009210E">
      <w:pPr>
        <w:tabs>
          <w:tab w:val="left" w:pos="720"/>
          <w:tab w:val="left" w:pos="1440"/>
          <w:tab w:val="left" w:leader="dot" w:pos="8640"/>
        </w:tabs>
        <w:spacing w:line="480" w:lineRule="auto"/>
        <w:ind w:left="720" w:hanging="720"/>
      </w:pPr>
    </w:p>
    <w:p w14:paraId="243ED493" w14:textId="77777777" w:rsidR="00A32017" w:rsidRDefault="009E752A" w:rsidP="00747123">
      <w:pPr>
        <w:tabs>
          <w:tab w:val="left" w:pos="720"/>
          <w:tab w:val="left" w:pos="1440"/>
          <w:tab w:val="left" w:leader="dot" w:pos="8640"/>
        </w:tabs>
        <w:spacing w:line="480" w:lineRule="auto"/>
        <w:ind w:left="720"/>
      </w:pPr>
      <w:r>
        <w:t>Initially, I served as a compliance specialist with the OCC and my duties included the development of compliance programs for electric, natural gas</w:t>
      </w:r>
      <w:r w:rsidR="009B04BF">
        <w:t>,</w:t>
      </w:r>
      <w:r>
        <w:t xml:space="preserve"> and water industries.  Later, I was </w:t>
      </w:r>
      <w:r w:rsidR="00C76A4F">
        <w:t xml:space="preserve">designated </w:t>
      </w:r>
      <w:r>
        <w:t>to manage all of the agency</w:t>
      </w:r>
      <w:r w:rsidR="00E814A7">
        <w:t>’s</w:t>
      </w:r>
      <w:r>
        <w:t xml:space="preserve"> specialists who were developing compliance programs in each of the utility industries.  My role evolved into the management of the OCC consumer hotline, the direct service provided to consumers to resolve complaints and inquiries that involve</w:t>
      </w:r>
      <w:r w:rsidR="00E814A7">
        <w:t>d</w:t>
      </w:r>
      <w:r>
        <w:t xml:space="preserve"> Ohio utilities.  More recently</w:t>
      </w:r>
      <w:r w:rsidR="00E108C1">
        <w:t>,</w:t>
      </w:r>
      <w:r>
        <w:t xml:space="preserve"> </w:t>
      </w:r>
      <w:r w:rsidR="00014A7E">
        <w:t xml:space="preserve">following a stint as </w:t>
      </w:r>
      <w:r>
        <w:t xml:space="preserve">a Consumer Protection Research Analyst, I </w:t>
      </w:r>
      <w:r w:rsidR="00014A7E">
        <w:t xml:space="preserve">was promoted to a Senior Utility Consumer Policy Analyst.  </w:t>
      </w:r>
      <w:r w:rsidR="00AC756B">
        <w:t xml:space="preserve">In this </w:t>
      </w:r>
      <w:r w:rsidR="00AC756B">
        <w:lastRenderedPageBreak/>
        <w:t xml:space="preserve">role, I am responsible </w:t>
      </w:r>
      <w:r>
        <w:t xml:space="preserve">for </w:t>
      </w:r>
      <w:r w:rsidR="00AC756B">
        <w:t xml:space="preserve">developing </w:t>
      </w:r>
      <w:r>
        <w:t>and recommending policy positions on</w:t>
      </w:r>
      <w:r w:rsidR="00E3613E">
        <w:t xml:space="preserve"> utility</w:t>
      </w:r>
      <w:r>
        <w:t xml:space="preserve"> issues that affect residential consumers.</w:t>
      </w:r>
    </w:p>
    <w:p w14:paraId="196DC5B3" w14:textId="77777777" w:rsidR="00A32017" w:rsidRDefault="00A32017" w:rsidP="0009210E">
      <w:pPr>
        <w:tabs>
          <w:tab w:val="left" w:pos="720"/>
          <w:tab w:val="left" w:pos="1440"/>
          <w:tab w:val="left" w:leader="dot" w:pos="8640"/>
        </w:tabs>
        <w:spacing w:line="480" w:lineRule="auto"/>
        <w:ind w:left="720" w:hanging="720"/>
      </w:pPr>
    </w:p>
    <w:p w14:paraId="234623A5" w14:textId="77777777" w:rsidR="001970DC" w:rsidRDefault="009E752A" w:rsidP="00650047">
      <w:pPr>
        <w:tabs>
          <w:tab w:val="left" w:pos="720"/>
          <w:tab w:val="left" w:pos="1440"/>
          <w:tab w:val="left" w:leader="dot" w:pos="8640"/>
        </w:tabs>
        <w:spacing w:line="480" w:lineRule="auto"/>
        <w:ind w:left="720"/>
      </w:pPr>
      <w:r>
        <w:t xml:space="preserve">I have been directly involved in the development of comments in various rulemaking proceedings at the Public Utilities Commission of Ohio (“PUCO”) and the Ohio Development </w:t>
      </w:r>
      <w:r w:rsidR="00010099">
        <w:t>Services Agency</w:t>
      </w:r>
      <w:r w:rsidR="00C76A4F">
        <w:t xml:space="preserve">.  Those comments included </w:t>
      </w:r>
      <w:r>
        <w:t>advoca</w:t>
      </w:r>
      <w:r w:rsidR="00C76A4F">
        <w:t xml:space="preserve">cy for </w:t>
      </w:r>
      <w:r>
        <w:t>consumer protections, affordability</w:t>
      </w:r>
      <w:r w:rsidR="00206CE1">
        <w:t xml:space="preserve"> of utility rates</w:t>
      </w:r>
      <w:r>
        <w:t>, and the provision of reasonable access to essential utility services for residential consumers.</w:t>
      </w:r>
      <w:r w:rsidR="00A32017">
        <w:t xml:space="preserve">  </w:t>
      </w:r>
      <w:r w:rsidR="00C76A4F">
        <w:t xml:space="preserve">Additionally, </w:t>
      </w:r>
      <w:r w:rsidR="00A32017">
        <w:t>I helped formulate OCC</w:t>
      </w:r>
      <w:r w:rsidR="007A5C8A">
        <w:t>’s</w:t>
      </w:r>
      <w:r w:rsidR="00A32017">
        <w:t xml:space="preserve"> </w:t>
      </w:r>
      <w:r w:rsidR="00C76A4F">
        <w:t xml:space="preserve">comments </w:t>
      </w:r>
      <w:r w:rsidR="00A32017">
        <w:t xml:space="preserve">in the </w:t>
      </w:r>
      <w:r w:rsidR="00693979">
        <w:t>Electric Service and Safety Standards rules,</w:t>
      </w:r>
      <w:r w:rsidR="00A32017">
        <w:rPr>
          <w:rStyle w:val="FootnoteReference"/>
        </w:rPr>
        <w:footnoteReference w:id="1"/>
      </w:r>
      <w:r w:rsidR="00A32017">
        <w:t xml:space="preserve"> set forth in </w:t>
      </w:r>
      <w:r w:rsidR="00211F79">
        <w:t>Ohio Administrative Code</w:t>
      </w:r>
      <w:r w:rsidR="00A32017">
        <w:t xml:space="preserve"> 4901:1-1</w:t>
      </w:r>
      <w:r w:rsidR="00693979">
        <w:t>0</w:t>
      </w:r>
      <w:r w:rsidR="00A32017">
        <w:t>.</w:t>
      </w:r>
      <w:r w:rsidR="00D236D4">
        <w:t xml:space="preserve">  </w:t>
      </w:r>
      <w:r w:rsidR="007A5C8A">
        <w:t>I also was involved in preparing OCC’s Initial Objections that were filed in this case on August 27, 2014.</w:t>
      </w:r>
    </w:p>
    <w:p w14:paraId="54D22C95" w14:textId="77777777" w:rsidR="001970DC" w:rsidRDefault="001970DC" w:rsidP="000508A9">
      <w:pPr>
        <w:tabs>
          <w:tab w:val="left" w:pos="720"/>
          <w:tab w:val="left" w:pos="1440"/>
          <w:tab w:val="left" w:leader="dot" w:pos="8640"/>
        </w:tabs>
        <w:spacing w:line="480" w:lineRule="auto"/>
        <w:ind w:left="720"/>
      </w:pPr>
    </w:p>
    <w:p w14:paraId="1E054073" w14:textId="77777777" w:rsidR="004552C9" w:rsidRDefault="009E752A" w:rsidP="0009210E">
      <w:pPr>
        <w:tabs>
          <w:tab w:val="left" w:pos="720"/>
          <w:tab w:val="left" w:pos="1440"/>
          <w:tab w:val="left" w:leader="dot" w:pos="8640"/>
        </w:tabs>
        <w:spacing w:line="480" w:lineRule="auto"/>
        <w:ind w:left="720" w:hanging="720"/>
        <w:rPr>
          <w:b/>
          <w:bCs/>
          <w:i/>
          <w:iCs/>
        </w:rPr>
      </w:pPr>
      <w:r w:rsidRPr="00F95936">
        <w:rPr>
          <w:b/>
          <w:bCs/>
          <w:i/>
          <w:iCs/>
        </w:rPr>
        <w:t>Q3.</w:t>
      </w:r>
      <w:r>
        <w:rPr>
          <w:b/>
          <w:bCs/>
          <w:i/>
          <w:iCs/>
        </w:rPr>
        <w:tab/>
        <w:t>HAVE YOU PREVIOUSLY SUBMITTED TESTIMONY OR TESTIFIED BEFORE TH</w:t>
      </w:r>
      <w:r w:rsidR="00C00AE8">
        <w:rPr>
          <w:b/>
          <w:bCs/>
          <w:i/>
          <w:iCs/>
        </w:rPr>
        <w:t>E PU</w:t>
      </w:r>
      <w:r w:rsidR="001C0BA4">
        <w:rPr>
          <w:b/>
          <w:bCs/>
          <w:i/>
          <w:iCs/>
        </w:rPr>
        <w:t>C</w:t>
      </w:r>
      <w:r w:rsidR="00C00AE8">
        <w:rPr>
          <w:b/>
          <w:bCs/>
          <w:i/>
          <w:iCs/>
        </w:rPr>
        <w:t>O</w:t>
      </w:r>
      <w:r>
        <w:rPr>
          <w:b/>
          <w:bCs/>
          <w:i/>
          <w:iCs/>
        </w:rPr>
        <w:t>?</w:t>
      </w:r>
    </w:p>
    <w:p w14:paraId="4A8639F8" w14:textId="77777777" w:rsidR="004552C9" w:rsidRDefault="009E752A" w:rsidP="0009210E">
      <w:pPr>
        <w:autoSpaceDE w:val="0"/>
        <w:autoSpaceDN w:val="0"/>
        <w:adjustRightInd w:val="0"/>
        <w:spacing w:line="480" w:lineRule="auto"/>
        <w:ind w:left="720" w:hanging="720"/>
        <w:rPr>
          <w:i/>
          <w:iCs/>
        </w:rPr>
      </w:pPr>
      <w:r w:rsidRPr="00F95936">
        <w:rPr>
          <w:b/>
          <w:bCs/>
          <w:i/>
          <w:iCs/>
        </w:rPr>
        <w:t>A3</w:t>
      </w:r>
      <w:r>
        <w:rPr>
          <w:b/>
          <w:bCs/>
          <w:iCs/>
        </w:rPr>
        <w:t>.</w:t>
      </w:r>
      <w:r>
        <w:tab/>
        <w:t xml:space="preserve">Yes.  The cases in which I have submitted testimony and/or have testified before the </w:t>
      </w:r>
      <w:r w:rsidR="00C00AE8">
        <w:t>PUCO</w:t>
      </w:r>
      <w:r>
        <w:t xml:space="preserve"> ca</w:t>
      </w:r>
      <w:r w:rsidR="00922748">
        <w:t>n be found in A</w:t>
      </w:r>
      <w:r w:rsidR="00474133">
        <w:t>ttachment JDW-1.</w:t>
      </w:r>
    </w:p>
    <w:p w14:paraId="1A6AAFCB" w14:textId="77777777" w:rsidR="004552C9" w:rsidRDefault="004552C9" w:rsidP="0009210E">
      <w:pPr>
        <w:spacing w:line="480" w:lineRule="auto"/>
      </w:pPr>
      <w:bookmarkStart w:id="5" w:name="_Toc317859571"/>
    </w:p>
    <w:p w14:paraId="33D8D4F8" w14:textId="77777777" w:rsidR="003F15E4" w:rsidRDefault="003F15E4">
      <w:pPr>
        <w:rPr>
          <w:rFonts w:ascii="Times New Roman Bold" w:hAnsi="Times New Roman Bold" w:cs="Times New Roman Bold"/>
          <w:b/>
          <w:bCs/>
          <w:caps/>
          <w:kern w:val="32"/>
        </w:rPr>
      </w:pPr>
      <w:bookmarkStart w:id="6" w:name="_Toc386462074"/>
      <w:bookmarkStart w:id="7" w:name="_Toc398624430"/>
      <w:r>
        <w:br w:type="page"/>
      </w:r>
    </w:p>
    <w:p w14:paraId="09E6CA47" w14:textId="6F769902" w:rsidR="004552C9" w:rsidRDefault="009E752A" w:rsidP="0009210E">
      <w:pPr>
        <w:pStyle w:val="Heading1"/>
      </w:pPr>
      <w:bookmarkStart w:id="8" w:name="_Toc430357076"/>
      <w:r>
        <w:t>II.</w:t>
      </w:r>
      <w:r>
        <w:tab/>
        <w:t>PURPOSE</w:t>
      </w:r>
      <w:bookmarkEnd w:id="5"/>
      <w:r>
        <w:t xml:space="preserve"> OF MY TESTIMONY</w:t>
      </w:r>
      <w:bookmarkEnd w:id="6"/>
      <w:bookmarkEnd w:id="7"/>
      <w:bookmarkEnd w:id="8"/>
    </w:p>
    <w:p w14:paraId="75EABCDD" w14:textId="77777777" w:rsidR="004552C9" w:rsidRDefault="004552C9" w:rsidP="0009210E">
      <w:pPr>
        <w:spacing w:line="480" w:lineRule="auto"/>
      </w:pPr>
    </w:p>
    <w:p w14:paraId="495C5788" w14:textId="77777777" w:rsidR="004552C9" w:rsidRDefault="009E752A" w:rsidP="0009210E">
      <w:pPr>
        <w:tabs>
          <w:tab w:val="left" w:pos="720"/>
          <w:tab w:val="left" w:pos="1440"/>
          <w:tab w:val="left" w:leader="dot" w:pos="8640"/>
        </w:tabs>
        <w:spacing w:line="480" w:lineRule="auto"/>
        <w:ind w:left="720" w:hanging="720"/>
        <w:rPr>
          <w:b/>
          <w:bCs/>
          <w:i/>
          <w:iCs/>
        </w:rPr>
      </w:pPr>
      <w:r w:rsidRPr="00F95936">
        <w:rPr>
          <w:b/>
          <w:bCs/>
          <w:i/>
          <w:iCs/>
        </w:rPr>
        <w:t>Q4</w:t>
      </w:r>
      <w:r>
        <w:rPr>
          <w:b/>
          <w:bCs/>
          <w:iCs/>
        </w:rPr>
        <w:t>.</w:t>
      </w:r>
      <w:r>
        <w:rPr>
          <w:b/>
          <w:bCs/>
          <w:i/>
          <w:iCs/>
        </w:rPr>
        <w:tab/>
        <w:t>WHAT IS THE PURPOSE OF YOUR TESTIMONY IN THIS PROCEEDING?</w:t>
      </w:r>
    </w:p>
    <w:p w14:paraId="7696CFF3" w14:textId="10901843" w:rsidR="004724DC" w:rsidRDefault="009E752A" w:rsidP="00474133">
      <w:pPr>
        <w:spacing w:line="480" w:lineRule="auto"/>
        <w:ind w:left="720" w:right="720" w:hanging="720"/>
        <w:rPr>
          <w:iCs/>
        </w:rPr>
      </w:pPr>
      <w:r w:rsidRPr="005D475F">
        <w:rPr>
          <w:b/>
          <w:bCs/>
          <w:i/>
          <w:iCs/>
        </w:rPr>
        <w:t>A4</w:t>
      </w:r>
      <w:r w:rsidRPr="005D475F">
        <w:rPr>
          <w:i/>
          <w:iCs/>
        </w:rPr>
        <w:t>.</w:t>
      </w:r>
      <w:r w:rsidRPr="005D475F">
        <w:rPr>
          <w:i/>
          <w:iCs/>
        </w:rPr>
        <w:tab/>
      </w:r>
      <w:r w:rsidR="00714225">
        <w:rPr>
          <w:iCs/>
        </w:rPr>
        <w:t xml:space="preserve">The purpose of my testimony is to </w:t>
      </w:r>
      <w:r w:rsidR="00422F3C">
        <w:t>make recommendations to the PUCO that are fair for consumers in response to Duke’s application to establish</w:t>
      </w:r>
      <w:r w:rsidR="002E78C2">
        <w:rPr>
          <w:iCs/>
        </w:rPr>
        <w:t xml:space="preserve"> </w:t>
      </w:r>
      <w:r w:rsidR="006B0D41">
        <w:rPr>
          <w:iCs/>
        </w:rPr>
        <w:t>a</w:t>
      </w:r>
      <w:r w:rsidR="007A5C8A">
        <w:rPr>
          <w:iCs/>
        </w:rPr>
        <w:t xml:space="preserve"> tariff</w:t>
      </w:r>
      <w:r w:rsidR="007A5C8A" w:rsidDel="007A5C8A">
        <w:rPr>
          <w:iCs/>
        </w:rPr>
        <w:t xml:space="preserve"> </w:t>
      </w:r>
      <w:r w:rsidR="00C01A5F">
        <w:rPr>
          <w:iCs/>
        </w:rPr>
        <w:t xml:space="preserve">for </w:t>
      </w:r>
      <w:r w:rsidR="00C66D23">
        <w:rPr>
          <w:iCs/>
        </w:rPr>
        <w:t xml:space="preserve">consumers </w:t>
      </w:r>
      <w:r w:rsidR="00C01A5F">
        <w:rPr>
          <w:iCs/>
        </w:rPr>
        <w:t xml:space="preserve">who </w:t>
      </w:r>
      <w:r w:rsidR="00422F3C">
        <w:rPr>
          <w:iCs/>
        </w:rPr>
        <w:t xml:space="preserve">want to maintain a traditional (not advanced) </w:t>
      </w:r>
      <w:r w:rsidR="00C01A5F">
        <w:rPr>
          <w:iCs/>
        </w:rPr>
        <w:t xml:space="preserve">meter </w:t>
      </w:r>
      <w:r w:rsidR="00422F3C">
        <w:rPr>
          <w:iCs/>
        </w:rPr>
        <w:t xml:space="preserve">in </w:t>
      </w:r>
      <w:r w:rsidR="00C01A5F">
        <w:rPr>
          <w:iCs/>
        </w:rPr>
        <w:t>their homes</w:t>
      </w:r>
      <w:r w:rsidR="00A96FD6">
        <w:rPr>
          <w:iCs/>
        </w:rPr>
        <w:t>.</w:t>
      </w:r>
      <w:r w:rsidR="00444CC2">
        <w:rPr>
          <w:rStyle w:val="FootnoteReference"/>
          <w:iCs/>
        </w:rPr>
        <w:footnoteReference w:id="2"/>
      </w:r>
    </w:p>
    <w:p w14:paraId="12B48B6D" w14:textId="77777777" w:rsidR="00A83E45" w:rsidRDefault="00A83E45" w:rsidP="00474133">
      <w:pPr>
        <w:spacing w:line="480" w:lineRule="auto"/>
        <w:ind w:left="720" w:right="720" w:hanging="720"/>
        <w:rPr>
          <w:b/>
          <w:i/>
          <w:iCs/>
        </w:rPr>
      </w:pPr>
    </w:p>
    <w:p w14:paraId="335588AD" w14:textId="77777777" w:rsidR="006B0D41" w:rsidRPr="003D403A" w:rsidRDefault="00A83E45" w:rsidP="00B82FEC">
      <w:pPr>
        <w:pStyle w:val="Heading1"/>
      </w:pPr>
      <w:bookmarkStart w:id="9" w:name="_Toc430357077"/>
      <w:r w:rsidRPr="003D403A">
        <w:t>III.</w:t>
      </w:r>
      <w:r w:rsidRPr="003D403A">
        <w:tab/>
        <w:t>GENERAL DESCRIPTION OF THE APPLICATION</w:t>
      </w:r>
      <w:bookmarkEnd w:id="9"/>
    </w:p>
    <w:p w14:paraId="73691189" w14:textId="77777777" w:rsidR="00A83E45" w:rsidRDefault="00A83E45" w:rsidP="00474133">
      <w:pPr>
        <w:spacing w:line="480" w:lineRule="auto"/>
        <w:ind w:left="720" w:right="720" w:hanging="720"/>
        <w:rPr>
          <w:b/>
          <w:i/>
          <w:iCs/>
        </w:rPr>
      </w:pPr>
    </w:p>
    <w:p w14:paraId="20D2B9EB" w14:textId="77777777" w:rsidR="004724DC" w:rsidRPr="00A14BFA" w:rsidRDefault="004724DC" w:rsidP="00474133">
      <w:pPr>
        <w:spacing w:line="480" w:lineRule="auto"/>
        <w:ind w:left="720" w:right="720" w:hanging="720"/>
        <w:rPr>
          <w:b/>
          <w:i/>
          <w:iCs/>
        </w:rPr>
      </w:pPr>
      <w:r w:rsidRPr="00A14BFA">
        <w:rPr>
          <w:b/>
          <w:i/>
          <w:iCs/>
        </w:rPr>
        <w:t>Q5.</w:t>
      </w:r>
      <w:r w:rsidRPr="00A14BFA">
        <w:rPr>
          <w:b/>
          <w:i/>
          <w:iCs/>
        </w:rPr>
        <w:tab/>
        <w:t xml:space="preserve">CAN YOU BRIEFLY DESCRIBE </w:t>
      </w:r>
      <w:r w:rsidR="009A421E">
        <w:rPr>
          <w:b/>
          <w:i/>
          <w:iCs/>
        </w:rPr>
        <w:t>DUKE</w:t>
      </w:r>
      <w:r w:rsidR="00EF3CF5">
        <w:rPr>
          <w:b/>
          <w:i/>
          <w:iCs/>
        </w:rPr>
        <w:t xml:space="preserve">’S ADVANCED METER OPT-OUT </w:t>
      </w:r>
      <w:r w:rsidR="009A421E">
        <w:rPr>
          <w:b/>
          <w:i/>
          <w:iCs/>
        </w:rPr>
        <w:t>APPLICATION</w:t>
      </w:r>
      <w:r w:rsidR="00A14BFA" w:rsidRPr="00A14BFA">
        <w:rPr>
          <w:b/>
          <w:i/>
          <w:iCs/>
        </w:rPr>
        <w:t>?</w:t>
      </w:r>
    </w:p>
    <w:p w14:paraId="4F333DAB" w14:textId="77777777" w:rsidR="004724DC" w:rsidRDefault="004724DC" w:rsidP="00474133">
      <w:pPr>
        <w:spacing w:line="480" w:lineRule="auto"/>
        <w:ind w:left="720" w:right="720" w:hanging="720"/>
        <w:rPr>
          <w:iCs/>
        </w:rPr>
      </w:pPr>
    </w:p>
    <w:p w14:paraId="7BD1A607" w14:textId="0C396205" w:rsidR="009B6835" w:rsidRPr="006F53E5" w:rsidRDefault="00F0301F" w:rsidP="00BD5CC8">
      <w:pPr>
        <w:spacing w:line="480" w:lineRule="auto"/>
        <w:ind w:left="720" w:right="720" w:hanging="720"/>
        <w:rPr>
          <w:iCs/>
        </w:rPr>
      </w:pPr>
      <w:r w:rsidRPr="003F15E4">
        <w:rPr>
          <w:b/>
          <w:i/>
          <w:iCs/>
        </w:rPr>
        <w:t>A5.</w:t>
      </w:r>
      <w:r>
        <w:rPr>
          <w:iCs/>
        </w:rPr>
        <w:tab/>
      </w:r>
      <w:r w:rsidR="00A14BFA" w:rsidRPr="00F0301F">
        <w:rPr>
          <w:iCs/>
        </w:rPr>
        <w:t xml:space="preserve">Yes.  </w:t>
      </w:r>
      <w:r w:rsidR="00222241" w:rsidRPr="00AE4A12">
        <w:rPr>
          <w:iCs/>
        </w:rPr>
        <w:t>Duke</w:t>
      </w:r>
      <w:r w:rsidR="00222241">
        <w:rPr>
          <w:iCs/>
        </w:rPr>
        <w:t xml:space="preserve"> ha</w:t>
      </w:r>
      <w:r w:rsidR="00222241" w:rsidRPr="00AE4A12">
        <w:rPr>
          <w:iCs/>
        </w:rPr>
        <w:t xml:space="preserve">s </w:t>
      </w:r>
      <w:r w:rsidR="00222241">
        <w:rPr>
          <w:iCs/>
        </w:rPr>
        <w:t xml:space="preserve">proposed a </w:t>
      </w:r>
      <w:r w:rsidR="00222241" w:rsidRPr="00AE4A12">
        <w:rPr>
          <w:iCs/>
        </w:rPr>
        <w:t xml:space="preserve">one-time charge </w:t>
      </w:r>
      <w:r w:rsidR="00222241">
        <w:rPr>
          <w:iCs/>
        </w:rPr>
        <w:t xml:space="preserve">that </w:t>
      </w:r>
      <w:r w:rsidR="00222241" w:rsidRPr="00AE4A12">
        <w:rPr>
          <w:iCs/>
        </w:rPr>
        <w:t xml:space="preserve">would apply to residential </w:t>
      </w:r>
      <w:r w:rsidR="00222241" w:rsidRPr="003D6E28">
        <w:rPr>
          <w:iCs/>
        </w:rPr>
        <w:t xml:space="preserve">customers who </w:t>
      </w:r>
      <w:r w:rsidR="00222241">
        <w:rPr>
          <w:iCs/>
        </w:rPr>
        <w:t xml:space="preserve">do not want their traditional </w:t>
      </w:r>
      <w:r w:rsidR="00222241" w:rsidRPr="003D6E28">
        <w:rPr>
          <w:iCs/>
        </w:rPr>
        <w:t xml:space="preserve">meter </w:t>
      </w:r>
      <w:r w:rsidR="00222241">
        <w:rPr>
          <w:iCs/>
        </w:rPr>
        <w:t xml:space="preserve">replaced with an advanced meter </w:t>
      </w:r>
      <w:r w:rsidR="00222241" w:rsidRPr="003D6E28">
        <w:rPr>
          <w:iCs/>
        </w:rPr>
        <w:t>as part of Duke</w:t>
      </w:r>
      <w:r w:rsidR="00222241">
        <w:rPr>
          <w:iCs/>
        </w:rPr>
        <w:t>’s Smart Grid program</w:t>
      </w:r>
      <w:r w:rsidR="00E8675B">
        <w:rPr>
          <w:iCs/>
        </w:rPr>
        <w:t>.</w:t>
      </w:r>
      <w:r w:rsidR="00CF528C">
        <w:rPr>
          <w:rStyle w:val="FootnoteReference"/>
          <w:iCs/>
        </w:rPr>
        <w:footnoteReference w:id="3"/>
      </w:r>
      <w:r w:rsidR="00E8675B">
        <w:rPr>
          <w:iCs/>
        </w:rPr>
        <w:t xml:space="preserve">  In addition, the charge would apply </w:t>
      </w:r>
      <w:r w:rsidR="00222241" w:rsidRPr="00EF3CF5">
        <w:rPr>
          <w:iCs/>
        </w:rPr>
        <w:t xml:space="preserve">to any customer who in the future requests to have an </w:t>
      </w:r>
      <w:r w:rsidR="00222241">
        <w:rPr>
          <w:iCs/>
        </w:rPr>
        <w:t xml:space="preserve">advanced </w:t>
      </w:r>
      <w:r w:rsidR="00222241" w:rsidRPr="00EF3CF5">
        <w:rPr>
          <w:iCs/>
        </w:rPr>
        <w:t xml:space="preserve">meter replaced with a </w:t>
      </w:r>
      <w:r w:rsidR="00222241">
        <w:rPr>
          <w:iCs/>
        </w:rPr>
        <w:t>non-advanced meter.</w:t>
      </w:r>
      <w:r w:rsidR="00444CC2">
        <w:rPr>
          <w:rStyle w:val="FootnoteReference"/>
          <w:iCs/>
        </w:rPr>
        <w:footnoteReference w:id="4"/>
      </w:r>
      <w:r w:rsidR="00222241">
        <w:rPr>
          <w:iCs/>
        </w:rPr>
        <w:t xml:space="preserve">  </w:t>
      </w:r>
      <w:r w:rsidR="00A96FD6" w:rsidRPr="00F0301F">
        <w:rPr>
          <w:iCs/>
        </w:rPr>
        <w:t>Duke propose</w:t>
      </w:r>
      <w:r w:rsidR="00444CC2">
        <w:rPr>
          <w:iCs/>
        </w:rPr>
        <w:t>s</w:t>
      </w:r>
      <w:r w:rsidR="00A96FD6" w:rsidRPr="00F0301F">
        <w:rPr>
          <w:iCs/>
        </w:rPr>
        <w:t xml:space="preserve"> </w:t>
      </w:r>
      <w:r w:rsidR="00F6667E" w:rsidRPr="00F0301F">
        <w:rPr>
          <w:iCs/>
        </w:rPr>
        <w:t xml:space="preserve">to </w:t>
      </w:r>
      <w:r w:rsidR="00A96FD6" w:rsidRPr="00F0301F">
        <w:rPr>
          <w:iCs/>
        </w:rPr>
        <w:t>charg</w:t>
      </w:r>
      <w:r w:rsidR="00F6667E" w:rsidRPr="00F0301F">
        <w:rPr>
          <w:iCs/>
        </w:rPr>
        <w:t xml:space="preserve">e </w:t>
      </w:r>
      <w:r w:rsidR="00E6537F">
        <w:rPr>
          <w:iCs/>
        </w:rPr>
        <w:t xml:space="preserve">residential </w:t>
      </w:r>
      <w:r w:rsidR="00A96FD6" w:rsidRPr="00F0301F">
        <w:rPr>
          <w:iCs/>
        </w:rPr>
        <w:t xml:space="preserve">customers </w:t>
      </w:r>
      <w:r w:rsidR="00F6667E" w:rsidRPr="006B0D41">
        <w:rPr>
          <w:iCs/>
        </w:rPr>
        <w:t xml:space="preserve">a </w:t>
      </w:r>
      <w:r w:rsidR="00444CC2">
        <w:rPr>
          <w:iCs/>
        </w:rPr>
        <w:t xml:space="preserve">one-time fee of </w:t>
      </w:r>
      <w:r w:rsidR="00A96FD6" w:rsidRPr="006B0D41">
        <w:rPr>
          <w:iCs/>
        </w:rPr>
        <w:t xml:space="preserve">$1,037.10 </w:t>
      </w:r>
      <w:r w:rsidR="00A96FD6" w:rsidRPr="00F0301F">
        <w:rPr>
          <w:iCs/>
        </w:rPr>
        <w:t xml:space="preserve">to </w:t>
      </w:r>
      <w:r w:rsidR="002E78C2" w:rsidRPr="00F0301F">
        <w:rPr>
          <w:iCs/>
        </w:rPr>
        <w:t xml:space="preserve">opt out of having </w:t>
      </w:r>
      <w:r w:rsidR="00A96FD6" w:rsidRPr="00F0301F">
        <w:rPr>
          <w:iCs/>
        </w:rPr>
        <w:t>an a</w:t>
      </w:r>
      <w:r w:rsidR="00A96FD6" w:rsidRPr="006B0D41">
        <w:rPr>
          <w:iCs/>
        </w:rPr>
        <w:t xml:space="preserve">dvanced meter </w:t>
      </w:r>
      <w:r w:rsidR="00E6537F">
        <w:rPr>
          <w:iCs/>
        </w:rPr>
        <w:t xml:space="preserve">at their homes </w:t>
      </w:r>
      <w:r w:rsidR="00BF5A3C" w:rsidRPr="00F74BFA">
        <w:rPr>
          <w:iCs/>
        </w:rPr>
        <w:t xml:space="preserve">and instead </w:t>
      </w:r>
      <w:r w:rsidR="004724DC" w:rsidRPr="00F74BFA">
        <w:rPr>
          <w:iCs/>
        </w:rPr>
        <w:t xml:space="preserve">to </w:t>
      </w:r>
      <w:r w:rsidR="00A14BFA" w:rsidRPr="00F74BFA">
        <w:rPr>
          <w:iCs/>
        </w:rPr>
        <w:t xml:space="preserve">have their electricity usage metered with a </w:t>
      </w:r>
      <w:r w:rsidR="00EF3CF5">
        <w:rPr>
          <w:iCs/>
        </w:rPr>
        <w:t xml:space="preserve">non-advanced </w:t>
      </w:r>
      <w:r w:rsidR="00BF5A3C" w:rsidRPr="00AE4A12">
        <w:rPr>
          <w:iCs/>
        </w:rPr>
        <w:t>meter</w:t>
      </w:r>
      <w:r w:rsidR="00A14BFA" w:rsidRPr="00AE4A12">
        <w:rPr>
          <w:iCs/>
        </w:rPr>
        <w:t xml:space="preserve">.  </w:t>
      </w:r>
      <w:r w:rsidR="006F53E5">
        <w:rPr>
          <w:iCs/>
        </w:rPr>
        <w:t>D</w:t>
      </w:r>
      <w:r w:rsidR="00424838" w:rsidRPr="00EF3CF5">
        <w:rPr>
          <w:iCs/>
        </w:rPr>
        <w:t xml:space="preserve">uke </w:t>
      </w:r>
      <w:r w:rsidR="00576721">
        <w:rPr>
          <w:iCs/>
        </w:rPr>
        <w:t xml:space="preserve">proposes to </w:t>
      </w:r>
      <w:r w:rsidR="00424838" w:rsidRPr="00EF3CF5">
        <w:rPr>
          <w:iCs/>
        </w:rPr>
        <w:t>lower the one-time charge to $126.70</w:t>
      </w:r>
      <w:r w:rsidR="006F53E5">
        <w:rPr>
          <w:iCs/>
        </w:rPr>
        <w:t xml:space="preserve"> if the PUCO authorizes deferral of the </w:t>
      </w:r>
      <w:r w:rsidR="00576721">
        <w:rPr>
          <w:iCs/>
        </w:rPr>
        <w:t xml:space="preserve">alleged </w:t>
      </w:r>
      <w:r w:rsidR="006F53E5">
        <w:rPr>
          <w:iCs/>
        </w:rPr>
        <w:t>implementation costs</w:t>
      </w:r>
      <w:r w:rsidR="00023E93">
        <w:rPr>
          <w:iCs/>
        </w:rPr>
        <w:t xml:space="preserve"> (meaning Duke could attempt to someday charge all customers)</w:t>
      </w:r>
      <w:r w:rsidR="00576721">
        <w:rPr>
          <w:iCs/>
        </w:rPr>
        <w:t>, which Duke claims to total $777,957.50</w:t>
      </w:r>
      <w:r w:rsidR="00424838" w:rsidRPr="00EF3CF5">
        <w:rPr>
          <w:iCs/>
        </w:rPr>
        <w:t>.</w:t>
      </w:r>
      <w:r w:rsidR="00576721">
        <w:rPr>
          <w:rStyle w:val="FootnoteReference"/>
          <w:iCs/>
        </w:rPr>
        <w:footnoteReference w:id="5"/>
      </w:r>
      <w:r w:rsidRPr="00EF3CF5">
        <w:rPr>
          <w:iCs/>
        </w:rPr>
        <w:t xml:space="preserve">  </w:t>
      </w:r>
      <w:r w:rsidR="00BF5A3C" w:rsidRPr="00EF3CF5">
        <w:rPr>
          <w:iCs/>
        </w:rPr>
        <w:t>Duke</w:t>
      </w:r>
      <w:r w:rsidRPr="00EF3CF5">
        <w:rPr>
          <w:iCs/>
        </w:rPr>
        <w:t xml:space="preserve"> also </w:t>
      </w:r>
      <w:r w:rsidR="00576721">
        <w:rPr>
          <w:iCs/>
        </w:rPr>
        <w:t>claims that it would incur $353,468.68 in “ongoing annual costs.”</w:t>
      </w:r>
      <w:r w:rsidR="00576721">
        <w:rPr>
          <w:rStyle w:val="FootnoteReference"/>
          <w:iCs/>
        </w:rPr>
        <w:footnoteReference w:id="6"/>
      </w:r>
      <w:r w:rsidR="00576721">
        <w:rPr>
          <w:iCs/>
        </w:rPr>
        <w:t xml:space="preserve">  </w:t>
      </w:r>
      <w:r w:rsidR="00930E2E">
        <w:rPr>
          <w:iCs/>
        </w:rPr>
        <w:t xml:space="preserve">Because of </w:t>
      </w:r>
      <w:r w:rsidR="00576721">
        <w:rPr>
          <w:iCs/>
        </w:rPr>
        <w:t xml:space="preserve">these alleged costs, Duke </w:t>
      </w:r>
      <w:r w:rsidR="00BF5A3C" w:rsidRPr="00EF3CF5">
        <w:rPr>
          <w:iCs/>
        </w:rPr>
        <w:t xml:space="preserve">proposes to </w:t>
      </w:r>
      <w:r w:rsidR="00576721">
        <w:rPr>
          <w:iCs/>
        </w:rPr>
        <w:t xml:space="preserve">charge each </w:t>
      </w:r>
      <w:r w:rsidR="004724DC" w:rsidRPr="00EF3CF5">
        <w:rPr>
          <w:iCs/>
        </w:rPr>
        <w:t>customer who opt</w:t>
      </w:r>
      <w:r w:rsidR="00576721">
        <w:rPr>
          <w:iCs/>
        </w:rPr>
        <w:t>s</w:t>
      </w:r>
      <w:r w:rsidR="00EB5A50">
        <w:rPr>
          <w:iCs/>
        </w:rPr>
        <w:t>-</w:t>
      </w:r>
      <w:r w:rsidR="004724DC" w:rsidRPr="00EF3CF5">
        <w:rPr>
          <w:iCs/>
        </w:rPr>
        <w:t xml:space="preserve">out </w:t>
      </w:r>
      <w:r w:rsidR="00A14BFA" w:rsidRPr="00EF3CF5">
        <w:rPr>
          <w:iCs/>
        </w:rPr>
        <w:t>of h</w:t>
      </w:r>
      <w:r w:rsidR="004724DC" w:rsidRPr="00EF3CF5">
        <w:rPr>
          <w:iCs/>
        </w:rPr>
        <w:t xml:space="preserve">aving an </w:t>
      </w:r>
      <w:r w:rsidR="00576721">
        <w:rPr>
          <w:iCs/>
        </w:rPr>
        <w:t xml:space="preserve">advanced </w:t>
      </w:r>
      <w:r w:rsidR="004724DC" w:rsidRPr="00EF3CF5">
        <w:rPr>
          <w:iCs/>
        </w:rPr>
        <w:t>meter</w:t>
      </w:r>
      <w:r w:rsidR="0081143E">
        <w:rPr>
          <w:iCs/>
        </w:rPr>
        <w:t xml:space="preserve"> </w:t>
      </w:r>
      <w:r w:rsidR="00A96FD6" w:rsidRPr="00EF3CF5">
        <w:rPr>
          <w:iCs/>
        </w:rPr>
        <w:t>$40.63</w:t>
      </w:r>
      <w:r w:rsidR="00BF5A3C" w:rsidRPr="00EF3CF5">
        <w:rPr>
          <w:iCs/>
        </w:rPr>
        <w:t xml:space="preserve"> </w:t>
      </w:r>
      <w:r w:rsidR="00576721">
        <w:rPr>
          <w:iCs/>
        </w:rPr>
        <w:t xml:space="preserve">each month </w:t>
      </w:r>
      <w:r w:rsidR="00BF5A3C" w:rsidRPr="00EF3CF5">
        <w:rPr>
          <w:iCs/>
        </w:rPr>
        <w:t xml:space="preserve">to </w:t>
      </w:r>
      <w:r w:rsidR="004724DC" w:rsidRPr="00EF3CF5">
        <w:rPr>
          <w:iCs/>
        </w:rPr>
        <w:t>perform a m</w:t>
      </w:r>
      <w:r w:rsidR="00BF5A3C" w:rsidRPr="00EF3CF5">
        <w:rPr>
          <w:iCs/>
        </w:rPr>
        <w:t>anual</w:t>
      </w:r>
      <w:r w:rsidR="00A16D20" w:rsidRPr="00EF3CF5">
        <w:rPr>
          <w:iCs/>
        </w:rPr>
        <w:t xml:space="preserve"> </w:t>
      </w:r>
      <w:r w:rsidR="004724DC" w:rsidRPr="00EF3CF5">
        <w:rPr>
          <w:iCs/>
        </w:rPr>
        <w:t xml:space="preserve">meter </w:t>
      </w:r>
      <w:r w:rsidR="00BF5A3C" w:rsidRPr="00EF3CF5">
        <w:rPr>
          <w:iCs/>
        </w:rPr>
        <w:t xml:space="preserve">read </w:t>
      </w:r>
      <w:r w:rsidR="004724DC" w:rsidRPr="00EF3CF5">
        <w:rPr>
          <w:iCs/>
        </w:rPr>
        <w:t xml:space="preserve">of the </w:t>
      </w:r>
      <w:r w:rsidR="00EF3CF5">
        <w:rPr>
          <w:iCs/>
        </w:rPr>
        <w:t xml:space="preserve">non-advanced meter.  </w:t>
      </w:r>
      <w:r w:rsidR="001970DC" w:rsidRPr="006F53E5">
        <w:rPr>
          <w:iCs/>
        </w:rPr>
        <w:t xml:space="preserve"> </w:t>
      </w:r>
    </w:p>
    <w:p w14:paraId="34DB63BD" w14:textId="77777777" w:rsidR="00A83E45" w:rsidRDefault="00A83E45" w:rsidP="00474133">
      <w:pPr>
        <w:spacing w:line="480" w:lineRule="auto"/>
        <w:ind w:left="720" w:right="720" w:hanging="720"/>
        <w:rPr>
          <w:b/>
          <w:bCs/>
          <w:i/>
          <w:iCs/>
        </w:rPr>
      </w:pPr>
    </w:p>
    <w:p w14:paraId="5F8E139D" w14:textId="77777777" w:rsidR="00A83E45" w:rsidRPr="003D403A" w:rsidRDefault="00A83E45" w:rsidP="00B82FEC">
      <w:pPr>
        <w:pStyle w:val="Heading1"/>
      </w:pPr>
      <w:bookmarkStart w:id="10" w:name="_Toc430357078"/>
      <w:r w:rsidRPr="003D403A">
        <w:t>IV.</w:t>
      </w:r>
      <w:r w:rsidRPr="003D403A">
        <w:tab/>
        <w:t>OBJECTIONS TO DUKE</w:t>
      </w:r>
      <w:r w:rsidR="00784D82" w:rsidRPr="003D403A">
        <w:t>’S</w:t>
      </w:r>
      <w:r w:rsidRPr="003D403A">
        <w:t xml:space="preserve"> ADVANCED METER OPT-OUT</w:t>
      </w:r>
      <w:r w:rsidR="00784D82" w:rsidRPr="003D403A">
        <w:t xml:space="preserve"> TARIFF</w:t>
      </w:r>
      <w:bookmarkEnd w:id="10"/>
    </w:p>
    <w:p w14:paraId="68935296" w14:textId="77777777" w:rsidR="00A83E45" w:rsidRDefault="00A83E45" w:rsidP="00474133">
      <w:pPr>
        <w:spacing w:line="480" w:lineRule="auto"/>
        <w:ind w:left="720" w:right="720" w:hanging="720"/>
        <w:rPr>
          <w:b/>
          <w:bCs/>
          <w:i/>
          <w:iCs/>
        </w:rPr>
      </w:pPr>
    </w:p>
    <w:p w14:paraId="76D43B8D" w14:textId="5BFEB2C1" w:rsidR="006B0D41" w:rsidRDefault="009B6835" w:rsidP="00474133">
      <w:pPr>
        <w:spacing w:line="480" w:lineRule="auto"/>
        <w:ind w:left="720" w:right="720" w:hanging="720"/>
        <w:rPr>
          <w:b/>
          <w:bCs/>
          <w:i/>
          <w:iCs/>
        </w:rPr>
      </w:pPr>
      <w:r>
        <w:rPr>
          <w:b/>
          <w:bCs/>
          <w:i/>
          <w:iCs/>
        </w:rPr>
        <w:t>Q</w:t>
      </w:r>
      <w:r w:rsidR="006B0D41">
        <w:rPr>
          <w:b/>
          <w:bCs/>
          <w:i/>
          <w:iCs/>
        </w:rPr>
        <w:t>6</w:t>
      </w:r>
      <w:r>
        <w:rPr>
          <w:b/>
          <w:bCs/>
          <w:i/>
          <w:iCs/>
        </w:rPr>
        <w:t xml:space="preserve">. </w:t>
      </w:r>
      <w:r>
        <w:rPr>
          <w:b/>
          <w:bCs/>
          <w:i/>
          <w:iCs/>
        </w:rPr>
        <w:tab/>
      </w:r>
      <w:r w:rsidR="00930E2E">
        <w:rPr>
          <w:b/>
          <w:bCs/>
          <w:i/>
          <w:iCs/>
        </w:rPr>
        <w:t xml:space="preserve">PLEASE </w:t>
      </w:r>
      <w:r w:rsidR="006F53E5">
        <w:rPr>
          <w:b/>
          <w:bCs/>
          <w:i/>
          <w:iCs/>
        </w:rPr>
        <w:t xml:space="preserve">PROVIDE A BRIEF </w:t>
      </w:r>
      <w:r w:rsidR="00056AA5">
        <w:rPr>
          <w:b/>
          <w:bCs/>
          <w:i/>
          <w:iCs/>
        </w:rPr>
        <w:t>SUMMAR</w:t>
      </w:r>
      <w:r w:rsidR="006F53E5">
        <w:rPr>
          <w:b/>
          <w:bCs/>
          <w:i/>
          <w:iCs/>
        </w:rPr>
        <w:t xml:space="preserve">Y OF </w:t>
      </w:r>
      <w:r w:rsidR="00E8675B">
        <w:rPr>
          <w:b/>
          <w:bCs/>
          <w:i/>
          <w:iCs/>
        </w:rPr>
        <w:t xml:space="preserve">OCC’s </w:t>
      </w:r>
      <w:r w:rsidR="006B0D41">
        <w:rPr>
          <w:b/>
          <w:bCs/>
          <w:i/>
          <w:iCs/>
        </w:rPr>
        <w:t xml:space="preserve">OBJECTIONS TO THE </w:t>
      </w:r>
      <w:r w:rsidR="00812C16">
        <w:rPr>
          <w:b/>
          <w:bCs/>
          <w:i/>
          <w:iCs/>
        </w:rPr>
        <w:t xml:space="preserve">DUKE </w:t>
      </w:r>
      <w:r w:rsidR="00EA4A88">
        <w:rPr>
          <w:b/>
          <w:bCs/>
          <w:i/>
          <w:iCs/>
        </w:rPr>
        <w:t>ADVANCED METER OPT</w:t>
      </w:r>
      <w:r w:rsidR="009705EA">
        <w:rPr>
          <w:b/>
          <w:bCs/>
          <w:i/>
          <w:iCs/>
        </w:rPr>
        <w:t>-</w:t>
      </w:r>
      <w:r w:rsidR="00EA4A88">
        <w:rPr>
          <w:b/>
          <w:bCs/>
          <w:i/>
          <w:iCs/>
        </w:rPr>
        <w:t>OUT A</w:t>
      </w:r>
      <w:r w:rsidR="006B0D41">
        <w:rPr>
          <w:b/>
          <w:bCs/>
          <w:i/>
          <w:iCs/>
        </w:rPr>
        <w:t>PPLICATION?</w:t>
      </w:r>
    </w:p>
    <w:p w14:paraId="06756FF9" w14:textId="10720F05" w:rsidR="00F6512A" w:rsidRDefault="006B0D41" w:rsidP="002C01CE">
      <w:pPr>
        <w:spacing w:line="480" w:lineRule="auto"/>
        <w:ind w:left="720" w:right="720" w:hanging="720"/>
        <w:rPr>
          <w:iCs/>
        </w:rPr>
      </w:pPr>
      <w:r w:rsidRPr="003F15E4">
        <w:rPr>
          <w:b/>
          <w:bCs/>
          <w:i/>
          <w:iCs/>
        </w:rPr>
        <w:t>A6.</w:t>
      </w:r>
      <w:r w:rsidRPr="00056AA5">
        <w:rPr>
          <w:bCs/>
          <w:iCs/>
        </w:rPr>
        <w:tab/>
      </w:r>
      <w:r w:rsidR="00056AA5">
        <w:rPr>
          <w:bCs/>
          <w:iCs/>
        </w:rPr>
        <w:t xml:space="preserve">Duke’s Application </w:t>
      </w:r>
      <w:r w:rsidR="00EA4A88">
        <w:rPr>
          <w:bCs/>
          <w:iCs/>
        </w:rPr>
        <w:t>does not result in charges</w:t>
      </w:r>
      <w:r w:rsidR="00485934">
        <w:rPr>
          <w:bCs/>
          <w:iCs/>
        </w:rPr>
        <w:t xml:space="preserve"> (for its customers to pay)</w:t>
      </w:r>
      <w:r w:rsidR="00EA4A88">
        <w:rPr>
          <w:bCs/>
          <w:iCs/>
        </w:rPr>
        <w:t xml:space="preserve"> that are just and reasonable</w:t>
      </w:r>
      <w:r w:rsidR="00E8675B">
        <w:rPr>
          <w:bCs/>
          <w:iCs/>
        </w:rPr>
        <w:t>.</w:t>
      </w:r>
      <w:r w:rsidR="00EA4A88">
        <w:rPr>
          <w:bCs/>
          <w:iCs/>
        </w:rPr>
        <w:t xml:space="preserve">  </w:t>
      </w:r>
      <w:r w:rsidR="00B637DF">
        <w:rPr>
          <w:bCs/>
          <w:iCs/>
        </w:rPr>
        <w:t xml:space="preserve">As shown later in this testimony, Duke’s estimate of the costs involved to implement and maintain the advanced meter opt-out program appear to be overstated and unsupported.  </w:t>
      </w:r>
      <w:r w:rsidR="00485934">
        <w:rPr>
          <w:iCs/>
        </w:rPr>
        <w:t>Authorization for u</w:t>
      </w:r>
      <w:r w:rsidR="001E5D44">
        <w:rPr>
          <w:iCs/>
        </w:rPr>
        <w:t>tility cost recovery</w:t>
      </w:r>
      <w:r w:rsidR="00485934">
        <w:rPr>
          <w:iCs/>
        </w:rPr>
        <w:t xml:space="preserve"> from customers</w:t>
      </w:r>
      <w:r w:rsidR="001E5D44">
        <w:rPr>
          <w:iCs/>
        </w:rPr>
        <w:t xml:space="preserve"> should </w:t>
      </w:r>
      <w:r w:rsidR="00485934">
        <w:rPr>
          <w:iCs/>
        </w:rPr>
        <w:t xml:space="preserve">only </w:t>
      </w:r>
      <w:r w:rsidR="001E5D44">
        <w:rPr>
          <w:iCs/>
        </w:rPr>
        <w:t xml:space="preserve">occur in an appropriate regulatory proceeding where </w:t>
      </w:r>
      <w:r w:rsidR="00E8675B">
        <w:rPr>
          <w:iCs/>
        </w:rPr>
        <w:t>all expenses and revenues of the utility are examined to ensure that the rates charged to customers are</w:t>
      </w:r>
      <w:r w:rsidR="001E5D44">
        <w:rPr>
          <w:iCs/>
        </w:rPr>
        <w:t xml:space="preserve"> just and reasonable.</w:t>
      </w:r>
      <w:r w:rsidR="001E5D44">
        <w:rPr>
          <w:rStyle w:val="FootnoteReference"/>
          <w:iCs/>
        </w:rPr>
        <w:footnoteReference w:id="7"/>
      </w:r>
      <w:r w:rsidR="001E5D44">
        <w:rPr>
          <w:iCs/>
        </w:rPr>
        <w:t xml:space="preserve"> </w:t>
      </w:r>
      <w:r w:rsidR="00DF268B">
        <w:rPr>
          <w:iCs/>
        </w:rPr>
        <w:t>The PUCO’s rules permit an electric utility to establish charges for customers opting</w:t>
      </w:r>
      <w:r w:rsidR="00EB5A50">
        <w:rPr>
          <w:iCs/>
        </w:rPr>
        <w:t>-</w:t>
      </w:r>
      <w:r w:rsidR="00DF268B">
        <w:rPr>
          <w:iCs/>
        </w:rPr>
        <w:t>out of an advanced meter.</w:t>
      </w:r>
      <w:r w:rsidR="00DF268B">
        <w:rPr>
          <w:rStyle w:val="FootnoteReference"/>
          <w:iCs/>
        </w:rPr>
        <w:footnoteReference w:id="8"/>
      </w:r>
      <w:r w:rsidR="00DF268B">
        <w:rPr>
          <w:iCs/>
        </w:rPr>
        <w:t xml:space="preserve"> But the rules also contemplate special tariff provisions related to circumstances that are not addressed by rules.</w:t>
      </w:r>
      <w:r w:rsidR="00DF268B">
        <w:rPr>
          <w:rStyle w:val="FootnoteReference"/>
          <w:iCs/>
        </w:rPr>
        <w:footnoteReference w:id="9"/>
      </w:r>
      <w:r w:rsidR="00DF268B">
        <w:rPr>
          <w:iCs/>
        </w:rPr>
        <w:t xml:space="preserve">  Because </w:t>
      </w:r>
      <w:r w:rsidR="009618FD">
        <w:rPr>
          <w:iCs/>
        </w:rPr>
        <w:t xml:space="preserve">Duke’s </w:t>
      </w:r>
      <w:r w:rsidR="00DF268B">
        <w:rPr>
          <w:iCs/>
        </w:rPr>
        <w:t xml:space="preserve">advanced meter deployment is </w:t>
      </w:r>
      <w:r w:rsidR="009618FD">
        <w:rPr>
          <w:iCs/>
        </w:rPr>
        <w:t xml:space="preserve">just now reaching completion, there has not been an opportunity for a full evaluation of the impact that the </w:t>
      </w:r>
      <w:r w:rsidR="00F6512A">
        <w:rPr>
          <w:iCs/>
        </w:rPr>
        <w:t xml:space="preserve">advanced meter deployment </w:t>
      </w:r>
      <w:r w:rsidR="009618FD">
        <w:rPr>
          <w:iCs/>
        </w:rPr>
        <w:t xml:space="preserve">had on reducing </w:t>
      </w:r>
      <w:r w:rsidR="00485934">
        <w:rPr>
          <w:iCs/>
        </w:rPr>
        <w:t xml:space="preserve">Duke’s </w:t>
      </w:r>
      <w:r w:rsidR="008B1C7F">
        <w:rPr>
          <w:iCs/>
        </w:rPr>
        <w:t xml:space="preserve">operating </w:t>
      </w:r>
      <w:r w:rsidR="009618FD">
        <w:rPr>
          <w:iCs/>
        </w:rPr>
        <w:t>costs.</w:t>
      </w:r>
      <w:r w:rsidR="00F6512A">
        <w:rPr>
          <w:iCs/>
        </w:rPr>
        <w:t xml:space="preserve">  Without </w:t>
      </w:r>
      <w:r w:rsidR="008B1C7F">
        <w:rPr>
          <w:iCs/>
        </w:rPr>
        <w:t xml:space="preserve">such an </w:t>
      </w:r>
      <w:r w:rsidR="00F6512A">
        <w:rPr>
          <w:iCs/>
        </w:rPr>
        <w:t>evaluation, there is no reason to believe that Duke is not already sufficiently recovering its costs through existing rates to provide customers with the ability to not have an advanced meter.</w:t>
      </w:r>
      <w:r w:rsidR="001E5D44">
        <w:rPr>
          <w:iCs/>
        </w:rPr>
        <w:t xml:space="preserve">  In fact, Duke is continuing to perform meter reads for customers</w:t>
      </w:r>
      <w:r w:rsidR="00E8675B">
        <w:rPr>
          <w:iCs/>
        </w:rPr>
        <w:t xml:space="preserve"> who have requested to not have an advanced meter</w:t>
      </w:r>
      <w:r w:rsidR="001E5D44">
        <w:rPr>
          <w:rStyle w:val="FootnoteReference"/>
          <w:iCs/>
        </w:rPr>
        <w:footnoteReference w:id="10"/>
      </w:r>
      <w:r w:rsidR="001E5D44">
        <w:rPr>
          <w:iCs/>
        </w:rPr>
        <w:t xml:space="preserve"> and to provide the option for customers to provide meter reads to the</w:t>
      </w:r>
      <w:r w:rsidR="00930E2E">
        <w:rPr>
          <w:iCs/>
        </w:rPr>
        <w:t xml:space="preserve"> utility</w:t>
      </w:r>
      <w:r w:rsidR="001E5D44">
        <w:rPr>
          <w:iCs/>
        </w:rPr>
        <w:t>.</w:t>
      </w:r>
      <w:r w:rsidR="001E5D44">
        <w:rPr>
          <w:rStyle w:val="FootnoteReference"/>
          <w:iCs/>
        </w:rPr>
        <w:footnoteReference w:id="11"/>
      </w:r>
      <w:r w:rsidR="009618FD">
        <w:rPr>
          <w:iCs/>
        </w:rPr>
        <w:t xml:space="preserve">  </w:t>
      </w:r>
    </w:p>
    <w:p w14:paraId="01DD5F01" w14:textId="3A50CDBB" w:rsidR="00A03E3E" w:rsidRPr="00A03E3E" w:rsidRDefault="00F6512A" w:rsidP="002C01CE">
      <w:pPr>
        <w:spacing w:line="480" w:lineRule="auto"/>
        <w:ind w:left="720" w:right="720" w:hanging="720"/>
        <w:rPr>
          <w:b/>
          <w:iCs/>
        </w:rPr>
      </w:pPr>
      <w:r w:rsidRPr="003D403A">
        <w:rPr>
          <w:b/>
          <w:i/>
          <w:iCs/>
        </w:rPr>
        <w:t>Q7.</w:t>
      </w:r>
      <w:r w:rsidRPr="00A03E3E">
        <w:rPr>
          <w:b/>
          <w:iCs/>
        </w:rPr>
        <w:tab/>
      </w:r>
      <w:r w:rsidRPr="003D403A">
        <w:rPr>
          <w:b/>
          <w:i/>
          <w:iCs/>
        </w:rPr>
        <w:t xml:space="preserve">IS THERE AN UPCOMING </w:t>
      </w:r>
      <w:r w:rsidR="008B1C7F" w:rsidRPr="003D403A">
        <w:rPr>
          <w:b/>
          <w:i/>
          <w:iCs/>
        </w:rPr>
        <w:t xml:space="preserve">CASE </w:t>
      </w:r>
      <w:r w:rsidRPr="003D403A">
        <w:rPr>
          <w:b/>
          <w:i/>
          <w:iCs/>
        </w:rPr>
        <w:t xml:space="preserve">WHERE THE </w:t>
      </w:r>
      <w:r w:rsidR="00A03E3E" w:rsidRPr="003D403A">
        <w:rPr>
          <w:b/>
          <w:i/>
          <w:iCs/>
        </w:rPr>
        <w:t xml:space="preserve">MATTER OF </w:t>
      </w:r>
      <w:r w:rsidR="00485934" w:rsidRPr="003D403A">
        <w:rPr>
          <w:b/>
          <w:i/>
          <w:iCs/>
        </w:rPr>
        <w:t xml:space="preserve">DUKE’S </w:t>
      </w:r>
      <w:r w:rsidR="00A03E3E" w:rsidRPr="003D403A">
        <w:rPr>
          <w:b/>
          <w:i/>
          <w:iCs/>
        </w:rPr>
        <w:t>COSTS</w:t>
      </w:r>
      <w:r w:rsidR="00485934" w:rsidRPr="003D403A">
        <w:rPr>
          <w:b/>
          <w:i/>
          <w:iCs/>
        </w:rPr>
        <w:t xml:space="preserve"> AND PROPOSED CHARGES TO CUSTOMERS</w:t>
      </w:r>
      <w:r w:rsidR="00A03E3E" w:rsidRPr="003D403A">
        <w:rPr>
          <w:b/>
          <w:i/>
          <w:iCs/>
        </w:rPr>
        <w:t xml:space="preserve"> TO IMPLEMENT THE ADVANCED METER OPT-OUT </w:t>
      </w:r>
      <w:r w:rsidR="003D626D" w:rsidRPr="003D403A">
        <w:rPr>
          <w:b/>
          <w:i/>
          <w:iCs/>
        </w:rPr>
        <w:t xml:space="preserve">IS </w:t>
      </w:r>
      <w:r w:rsidR="00A03E3E" w:rsidRPr="003D403A">
        <w:rPr>
          <w:b/>
          <w:i/>
          <w:iCs/>
        </w:rPr>
        <w:t xml:space="preserve">MORE </w:t>
      </w:r>
      <w:r w:rsidR="008B1C7F" w:rsidRPr="003D403A">
        <w:rPr>
          <w:b/>
          <w:i/>
          <w:iCs/>
        </w:rPr>
        <w:t xml:space="preserve">APPROPRIATELY </w:t>
      </w:r>
      <w:r w:rsidR="00A03E3E" w:rsidRPr="003D403A">
        <w:rPr>
          <w:b/>
          <w:i/>
          <w:iCs/>
        </w:rPr>
        <w:t>EXAMINED?</w:t>
      </w:r>
    </w:p>
    <w:p w14:paraId="24926336" w14:textId="5781C1E1" w:rsidR="00E97B5F" w:rsidRDefault="00A03E3E" w:rsidP="002C01CE">
      <w:pPr>
        <w:spacing w:line="480" w:lineRule="auto"/>
        <w:ind w:left="720" w:right="720" w:hanging="720"/>
        <w:rPr>
          <w:iCs/>
        </w:rPr>
      </w:pPr>
      <w:r w:rsidRPr="003F15E4">
        <w:rPr>
          <w:b/>
          <w:i/>
          <w:iCs/>
        </w:rPr>
        <w:t>A7.</w:t>
      </w:r>
      <w:r>
        <w:rPr>
          <w:iCs/>
        </w:rPr>
        <w:tab/>
        <w:t>Yes.  Duke is required to file an electric distribution rate case in the first year after completing its SmartGrid deployment.</w:t>
      </w:r>
      <w:r>
        <w:rPr>
          <w:rStyle w:val="FootnoteReference"/>
          <w:iCs/>
        </w:rPr>
        <w:footnoteReference w:id="12"/>
      </w:r>
      <w:r>
        <w:rPr>
          <w:iCs/>
        </w:rPr>
        <w:t xml:space="preserve">  </w:t>
      </w:r>
      <w:r w:rsidR="008B1C7F">
        <w:rPr>
          <w:iCs/>
        </w:rPr>
        <w:t xml:space="preserve">My understanding is that the deployment was to be completed by </w:t>
      </w:r>
      <w:r w:rsidR="00930E2E">
        <w:rPr>
          <w:iCs/>
        </w:rPr>
        <w:t xml:space="preserve">the middle of </w:t>
      </w:r>
      <w:r w:rsidR="008B1C7F">
        <w:rPr>
          <w:iCs/>
        </w:rPr>
        <w:t>2015</w:t>
      </w:r>
      <w:r w:rsidR="00020C3D">
        <w:rPr>
          <w:iCs/>
        </w:rPr>
        <w:t>.</w:t>
      </w:r>
      <w:r w:rsidR="00930E2E">
        <w:rPr>
          <w:rStyle w:val="FootnoteReference"/>
          <w:iCs/>
        </w:rPr>
        <w:footnoteReference w:id="13"/>
      </w:r>
      <w:r w:rsidR="00020C3D">
        <w:rPr>
          <w:iCs/>
        </w:rPr>
        <w:t xml:space="preserve">  </w:t>
      </w:r>
      <w:r w:rsidR="000E2098">
        <w:rPr>
          <w:iCs/>
        </w:rPr>
        <w:t xml:space="preserve">Based on recent information provided by Duke, the </w:t>
      </w:r>
      <w:r w:rsidR="00F65112">
        <w:rPr>
          <w:iCs/>
        </w:rPr>
        <w:t>large</w:t>
      </w:r>
      <w:r w:rsidR="00DE321A">
        <w:rPr>
          <w:iCs/>
        </w:rPr>
        <w:t>-</w:t>
      </w:r>
      <w:r w:rsidR="00F65112">
        <w:rPr>
          <w:iCs/>
        </w:rPr>
        <w:t xml:space="preserve">scale deployment of </w:t>
      </w:r>
      <w:r w:rsidR="00657162">
        <w:rPr>
          <w:iCs/>
        </w:rPr>
        <w:t xml:space="preserve">SmartGrid </w:t>
      </w:r>
      <w:r w:rsidR="00F65112">
        <w:rPr>
          <w:iCs/>
        </w:rPr>
        <w:t xml:space="preserve">was substantially complete </w:t>
      </w:r>
      <w:r w:rsidR="00DE321A">
        <w:rPr>
          <w:iCs/>
        </w:rPr>
        <w:t xml:space="preserve">as of </w:t>
      </w:r>
      <w:r w:rsidR="00F65112">
        <w:rPr>
          <w:iCs/>
        </w:rPr>
        <w:t>December 2014.</w:t>
      </w:r>
      <w:r w:rsidR="00F65112">
        <w:rPr>
          <w:rStyle w:val="FootnoteReference"/>
          <w:iCs/>
        </w:rPr>
        <w:footnoteReference w:id="14"/>
      </w:r>
      <w:r w:rsidR="00F65112">
        <w:rPr>
          <w:iCs/>
        </w:rPr>
        <w:t xml:space="preserve">  </w:t>
      </w:r>
      <w:r w:rsidR="00020C3D">
        <w:rPr>
          <w:iCs/>
        </w:rPr>
        <w:t xml:space="preserve">The test year to be used in the base rate application should reflect the reduced operating expenses that are attributable to the SmartGrid.  </w:t>
      </w:r>
      <w:r w:rsidR="00A24126">
        <w:rPr>
          <w:iCs/>
        </w:rPr>
        <w:t xml:space="preserve">These reductions in the operating expenses can be evaluated concurrent with the revenues Duke is collecting from customers to enable a more reasonable assessment of the </w:t>
      </w:r>
      <w:r w:rsidR="0051182E">
        <w:rPr>
          <w:iCs/>
        </w:rPr>
        <w:t xml:space="preserve">overall </w:t>
      </w:r>
      <w:r w:rsidR="00A24126">
        <w:rPr>
          <w:iCs/>
        </w:rPr>
        <w:t>costs involved in providing the advanced meter opt</w:t>
      </w:r>
      <w:r w:rsidR="00930E2E">
        <w:rPr>
          <w:iCs/>
        </w:rPr>
        <w:t xml:space="preserve"> </w:t>
      </w:r>
      <w:r w:rsidR="00A24126">
        <w:rPr>
          <w:iCs/>
        </w:rPr>
        <w:t xml:space="preserve">out.  </w:t>
      </w:r>
      <w:r w:rsidR="00F65112">
        <w:rPr>
          <w:iCs/>
        </w:rPr>
        <w:t xml:space="preserve">While the exact timing of the </w:t>
      </w:r>
      <w:r w:rsidR="009705EA">
        <w:rPr>
          <w:iCs/>
        </w:rPr>
        <w:t xml:space="preserve">future </w:t>
      </w:r>
      <w:r w:rsidR="00F65112">
        <w:rPr>
          <w:iCs/>
        </w:rPr>
        <w:t xml:space="preserve">rate case is </w:t>
      </w:r>
      <w:r w:rsidR="00DE321A">
        <w:rPr>
          <w:iCs/>
        </w:rPr>
        <w:t xml:space="preserve">currently </w:t>
      </w:r>
      <w:r w:rsidR="00F65112">
        <w:rPr>
          <w:iCs/>
        </w:rPr>
        <w:t>uncertain</w:t>
      </w:r>
      <w:r w:rsidR="00E97B5F">
        <w:rPr>
          <w:iCs/>
        </w:rPr>
        <w:t xml:space="preserve">, </w:t>
      </w:r>
      <w:r w:rsidR="00BD5CC8">
        <w:rPr>
          <w:iCs/>
        </w:rPr>
        <w:t xml:space="preserve">the </w:t>
      </w:r>
      <w:r w:rsidR="00DF268B">
        <w:rPr>
          <w:iCs/>
        </w:rPr>
        <w:t>PUCO should consider this to be a special circumstance</w:t>
      </w:r>
      <w:r w:rsidR="00E8675B">
        <w:rPr>
          <w:rStyle w:val="FootnoteReference"/>
          <w:iCs/>
        </w:rPr>
        <w:footnoteReference w:id="15"/>
      </w:r>
      <w:r w:rsidR="00DF268B">
        <w:rPr>
          <w:iCs/>
        </w:rPr>
        <w:t xml:space="preserve"> where separate charges on customers to opt</w:t>
      </w:r>
      <w:r w:rsidR="009705EA">
        <w:rPr>
          <w:iCs/>
        </w:rPr>
        <w:t>-</w:t>
      </w:r>
      <w:r w:rsidR="00DF268B">
        <w:rPr>
          <w:iCs/>
        </w:rPr>
        <w:t xml:space="preserve">out of the advanced meter should </w:t>
      </w:r>
      <w:r w:rsidR="009705EA">
        <w:rPr>
          <w:iCs/>
        </w:rPr>
        <w:t xml:space="preserve">not </w:t>
      </w:r>
      <w:r w:rsidR="00DF268B">
        <w:rPr>
          <w:iCs/>
        </w:rPr>
        <w:t xml:space="preserve">be </w:t>
      </w:r>
      <w:r w:rsidR="009705EA">
        <w:rPr>
          <w:iCs/>
        </w:rPr>
        <w:t xml:space="preserve">allowed </w:t>
      </w:r>
      <w:r w:rsidR="00DF268B">
        <w:rPr>
          <w:iCs/>
        </w:rPr>
        <w:t>at this time.</w:t>
      </w:r>
    </w:p>
    <w:p w14:paraId="0DC2DAEE" w14:textId="77777777" w:rsidR="0025196E" w:rsidRDefault="0025196E" w:rsidP="002C01CE">
      <w:pPr>
        <w:spacing w:line="480" w:lineRule="auto"/>
        <w:ind w:left="720" w:right="720" w:hanging="720"/>
        <w:rPr>
          <w:iCs/>
        </w:rPr>
      </w:pPr>
    </w:p>
    <w:p w14:paraId="30146C65" w14:textId="639AF951" w:rsidR="008703C9" w:rsidRPr="003D403A" w:rsidRDefault="008703C9" w:rsidP="002C01CE">
      <w:pPr>
        <w:spacing w:line="480" w:lineRule="auto"/>
        <w:ind w:left="720" w:right="720" w:hanging="720"/>
        <w:rPr>
          <w:b/>
          <w:bCs/>
          <w:i/>
          <w:iCs/>
        </w:rPr>
      </w:pPr>
      <w:r w:rsidRPr="003D403A">
        <w:rPr>
          <w:b/>
          <w:bCs/>
          <w:i/>
          <w:iCs/>
        </w:rPr>
        <w:t>Q8.</w:t>
      </w:r>
      <w:r>
        <w:rPr>
          <w:b/>
          <w:bCs/>
          <w:iCs/>
        </w:rPr>
        <w:tab/>
      </w:r>
      <w:r w:rsidRPr="003D403A">
        <w:rPr>
          <w:b/>
          <w:bCs/>
          <w:i/>
          <w:iCs/>
        </w:rPr>
        <w:t xml:space="preserve">ARE THERE OTHER REASONS </w:t>
      </w:r>
      <w:r w:rsidR="007D6CAB" w:rsidRPr="003D403A">
        <w:rPr>
          <w:b/>
          <w:bCs/>
          <w:i/>
          <w:iCs/>
        </w:rPr>
        <w:t xml:space="preserve">WHY </w:t>
      </w:r>
      <w:r w:rsidRPr="003D403A">
        <w:rPr>
          <w:b/>
          <w:bCs/>
          <w:i/>
          <w:iCs/>
        </w:rPr>
        <w:t xml:space="preserve">THE PUCO SHOULD </w:t>
      </w:r>
      <w:r w:rsidR="009705EA" w:rsidRPr="003D403A">
        <w:rPr>
          <w:b/>
          <w:bCs/>
          <w:i/>
          <w:iCs/>
        </w:rPr>
        <w:t xml:space="preserve">PROTECT CUSTOMERS FROM PAYING ADVANCED METER OPT-OUT </w:t>
      </w:r>
      <w:r w:rsidRPr="003D403A">
        <w:rPr>
          <w:b/>
          <w:bCs/>
          <w:i/>
          <w:iCs/>
        </w:rPr>
        <w:t>CHARGES AT THIS TIME?</w:t>
      </w:r>
    </w:p>
    <w:p w14:paraId="1A8F1D56" w14:textId="4EAD9890" w:rsidR="00D129E8" w:rsidRPr="00D129E8" w:rsidRDefault="008703C9" w:rsidP="002C01CE">
      <w:pPr>
        <w:spacing w:line="480" w:lineRule="auto"/>
        <w:ind w:left="720" w:right="720" w:hanging="720"/>
        <w:rPr>
          <w:bCs/>
          <w:iCs/>
        </w:rPr>
      </w:pPr>
      <w:r w:rsidRPr="003F15E4">
        <w:rPr>
          <w:b/>
          <w:bCs/>
          <w:i/>
          <w:iCs/>
        </w:rPr>
        <w:t>A8.</w:t>
      </w:r>
      <w:r w:rsidRPr="00D129E8">
        <w:rPr>
          <w:bCs/>
          <w:iCs/>
        </w:rPr>
        <w:tab/>
        <w:t>Yes.  As explained later in this testimony, Duke</w:t>
      </w:r>
      <w:r w:rsidR="007D6CAB">
        <w:rPr>
          <w:bCs/>
          <w:iCs/>
        </w:rPr>
        <w:t>’</w:t>
      </w:r>
      <w:r w:rsidRPr="00D129E8">
        <w:rPr>
          <w:bCs/>
          <w:iCs/>
        </w:rPr>
        <w:t xml:space="preserve">s cost estimates </w:t>
      </w:r>
      <w:r w:rsidR="0051182E">
        <w:rPr>
          <w:bCs/>
          <w:iCs/>
        </w:rPr>
        <w:t xml:space="preserve">for serving customers who wish to opt-out </w:t>
      </w:r>
      <w:r w:rsidRPr="00D129E8">
        <w:rPr>
          <w:bCs/>
          <w:iCs/>
        </w:rPr>
        <w:t xml:space="preserve">appear to </w:t>
      </w:r>
      <w:r w:rsidR="00D129E8" w:rsidRPr="00D129E8">
        <w:rPr>
          <w:bCs/>
          <w:iCs/>
        </w:rPr>
        <w:t xml:space="preserve">be inflated </w:t>
      </w:r>
      <w:r w:rsidR="007D6CAB">
        <w:rPr>
          <w:bCs/>
          <w:iCs/>
        </w:rPr>
        <w:t xml:space="preserve">because they include </w:t>
      </w:r>
      <w:r w:rsidR="00DE321A">
        <w:rPr>
          <w:bCs/>
          <w:iCs/>
        </w:rPr>
        <w:t xml:space="preserve">new rates </w:t>
      </w:r>
      <w:r w:rsidRPr="00D129E8">
        <w:rPr>
          <w:bCs/>
          <w:iCs/>
        </w:rPr>
        <w:t>for services that Duke currently provide</w:t>
      </w:r>
      <w:r w:rsidR="00D129E8" w:rsidRPr="00D129E8">
        <w:rPr>
          <w:bCs/>
          <w:iCs/>
        </w:rPr>
        <w:t xml:space="preserve">s </w:t>
      </w:r>
      <w:r w:rsidRPr="00D129E8">
        <w:rPr>
          <w:bCs/>
          <w:iCs/>
        </w:rPr>
        <w:t xml:space="preserve">to customers </w:t>
      </w:r>
      <w:r w:rsidR="00D129E8" w:rsidRPr="00D129E8">
        <w:rPr>
          <w:bCs/>
          <w:iCs/>
        </w:rPr>
        <w:t xml:space="preserve">without separate charges.  </w:t>
      </w:r>
      <w:r w:rsidR="007D6CAB">
        <w:rPr>
          <w:bCs/>
          <w:iCs/>
        </w:rPr>
        <w:t xml:space="preserve">In addition, </w:t>
      </w:r>
      <w:r w:rsidR="00D129E8" w:rsidRPr="00D129E8">
        <w:rPr>
          <w:bCs/>
          <w:iCs/>
        </w:rPr>
        <w:t xml:space="preserve">Duke’s </w:t>
      </w:r>
      <w:r w:rsidR="007D6CAB">
        <w:rPr>
          <w:bCs/>
          <w:iCs/>
        </w:rPr>
        <w:t xml:space="preserve">estimate </w:t>
      </w:r>
      <w:r w:rsidR="00D129E8" w:rsidRPr="00D129E8">
        <w:rPr>
          <w:bCs/>
          <w:iCs/>
        </w:rPr>
        <w:t xml:space="preserve">of the </w:t>
      </w:r>
      <w:r w:rsidR="0051182E">
        <w:rPr>
          <w:bCs/>
          <w:iCs/>
        </w:rPr>
        <w:t xml:space="preserve">initial </w:t>
      </w:r>
      <w:r w:rsidR="00D129E8" w:rsidRPr="00D129E8">
        <w:rPr>
          <w:bCs/>
          <w:iCs/>
        </w:rPr>
        <w:t xml:space="preserve">number of customers who might </w:t>
      </w:r>
      <w:r w:rsidR="007D6CAB">
        <w:rPr>
          <w:bCs/>
          <w:iCs/>
        </w:rPr>
        <w:t xml:space="preserve">choose not to have an </w:t>
      </w:r>
      <w:r w:rsidR="00D129E8" w:rsidRPr="00D129E8">
        <w:rPr>
          <w:bCs/>
          <w:iCs/>
        </w:rPr>
        <w:t xml:space="preserve">advanced meter </w:t>
      </w:r>
      <w:r w:rsidR="002A3586">
        <w:rPr>
          <w:bCs/>
          <w:iCs/>
        </w:rPr>
        <w:t xml:space="preserve">appears to be inaccurate.  </w:t>
      </w:r>
      <w:r w:rsidR="007D6CAB">
        <w:rPr>
          <w:bCs/>
          <w:iCs/>
        </w:rPr>
        <w:t xml:space="preserve">And the actual number of customers who would be subject to the advanced meter opt-out tariff </w:t>
      </w:r>
      <w:r w:rsidR="00D129E8" w:rsidRPr="00D129E8">
        <w:rPr>
          <w:bCs/>
          <w:iCs/>
        </w:rPr>
        <w:t xml:space="preserve">will likely </w:t>
      </w:r>
      <w:r w:rsidR="007D6CAB">
        <w:rPr>
          <w:bCs/>
          <w:iCs/>
        </w:rPr>
        <w:t xml:space="preserve">decrease </w:t>
      </w:r>
      <w:r w:rsidR="00D129E8" w:rsidRPr="00D129E8">
        <w:rPr>
          <w:bCs/>
          <w:iCs/>
        </w:rPr>
        <w:t xml:space="preserve">over time </w:t>
      </w:r>
      <w:r w:rsidR="007D6CAB">
        <w:rPr>
          <w:bCs/>
          <w:iCs/>
        </w:rPr>
        <w:t xml:space="preserve">if </w:t>
      </w:r>
      <w:r w:rsidR="00D129E8" w:rsidRPr="00D129E8">
        <w:rPr>
          <w:bCs/>
          <w:iCs/>
        </w:rPr>
        <w:t>Duke provide</w:t>
      </w:r>
      <w:r w:rsidR="007D6CAB">
        <w:rPr>
          <w:bCs/>
          <w:iCs/>
        </w:rPr>
        <w:t>s</w:t>
      </w:r>
      <w:r w:rsidR="00D129E8" w:rsidRPr="00D129E8">
        <w:rPr>
          <w:bCs/>
          <w:iCs/>
        </w:rPr>
        <w:t xml:space="preserve"> other alternatives to help address customer</w:t>
      </w:r>
      <w:r w:rsidR="007D6CAB">
        <w:rPr>
          <w:bCs/>
          <w:iCs/>
        </w:rPr>
        <w:t>-</w:t>
      </w:r>
      <w:r w:rsidR="00D129E8" w:rsidRPr="00D129E8">
        <w:rPr>
          <w:bCs/>
          <w:iCs/>
        </w:rPr>
        <w:t>specific concerns with</w:t>
      </w:r>
      <w:r w:rsidR="007D6CAB">
        <w:rPr>
          <w:bCs/>
          <w:iCs/>
        </w:rPr>
        <w:t xml:space="preserve"> advanced meters</w:t>
      </w:r>
      <w:r w:rsidR="00D129E8" w:rsidRPr="00D129E8">
        <w:rPr>
          <w:bCs/>
          <w:iCs/>
        </w:rPr>
        <w:t xml:space="preserve">.  Finally, the magnitude of the </w:t>
      </w:r>
      <w:r w:rsidRPr="00D129E8">
        <w:rPr>
          <w:bCs/>
          <w:iCs/>
        </w:rPr>
        <w:t xml:space="preserve">advanced meter opt-out </w:t>
      </w:r>
      <w:r w:rsidR="002A3586">
        <w:rPr>
          <w:bCs/>
          <w:iCs/>
        </w:rPr>
        <w:t xml:space="preserve">charges </w:t>
      </w:r>
      <w:r w:rsidR="00D129E8" w:rsidRPr="00D129E8">
        <w:rPr>
          <w:bCs/>
          <w:iCs/>
        </w:rPr>
        <w:t>as proposed b</w:t>
      </w:r>
      <w:r w:rsidRPr="00D129E8">
        <w:rPr>
          <w:bCs/>
          <w:iCs/>
        </w:rPr>
        <w:t xml:space="preserve">y Duke </w:t>
      </w:r>
      <w:r w:rsidR="00D129E8" w:rsidRPr="00D129E8">
        <w:rPr>
          <w:bCs/>
          <w:iCs/>
        </w:rPr>
        <w:t xml:space="preserve">could </w:t>
      </w:r>
      <w:r w:rsidR="00A5101B">
        <w:rPr>
          <w:bCs/>
          <w:iCs/>
        </w:rPr>
        <w:t xml:space="preserve">force </w:t>
      </w:r>
      <w:r w:rsidRPr="00D129E8">
        <w:rPr>
          <w:bCs/>
          <w:iCs/>
        </w:rPr>
        <w:t xml:space="preserve">customers into having </w:t>
      </w:r>
      <w:r w:rsidR="007D6CAB">
        <w:rPr>
          <w:bCs/>
          <w:iCs/>
        </w:rPr>
        <w:t xml:space="preserve">advanced meters </w:t>
      </w:r>
      <w:r w:rsidR="00D129E8" w:rsidRPr="00D129E8">
        <w:rPr>
          <w:bCs/>
          <w:iCs/>
        </w:rPr>
        <w:t>against their wishes.</w:t>
      </w:r>
    </w:p>
    <w:p w14:paraId="64A43158" w14:textId="4EB4199C" w:rsidR="006C431D" w:rsidRPr="003D403A" w:rsidRDefault="006C431D" w:rsidP="006C431D">
      <w:pPr>
        <w:spacing w:line="480" w:lineRule="auto"/>
        <w:ind w:left="720" w:right="720" w:hanging="720"/>
        <w:rPr>
          <w:b/>
          <w:bCs/>
          <w:i/>
          <w:iCs/>
        </w:rPr>
      </w:pPr>
      <w:r w:rsidRPr="003D403A">
        <w:rPr>
          <w:b/>
          <w:bCs/>
          <w:i/>
          <w:iCs/>
        </w:rPr>
        <w:t>Q9.</w:t>
      </w:r>
      <w:r w:rsidRPr="003D403A">
        <w:rPr>
          <w:b/>
          <w:bCs/>
          <w:i/>
          <w:iCs/>
        </w:rPr>
        <w:tab/>
        <w:t>DO DUKE’S PROPOSED CHARGES</w:t>
      </w:r>
      <w:r w:rsidR="0052360A" w:rsidRPr="003D403A">
        <w:rPr>
          <w:b/>
          <w:bCs/>
          <w:i/>
          <w:iCs/>
        </w:rPr>
        <w:t xml:space="preserve"> FOR CUSTOMERS TO PAY</w:t>
      </w:r>
      <w:r w:rsidRPr="003D403A">
        <w:rPr>
          <w:b/>
          <w:bCs/>
          <w:i/>
          <w:iCs/>
        </w:rPr>
        <w:t xml:space="preserve"> VIOLATE THE RATE DESIGN PRINCIPLE OF GRADUALISM? </w:t>
      </w:r>
    </w:p>
    <w:p w14:paraId="0A05DCCE" w14:textId="77777777" w:rsidR="006C431D" w:rsidRDefault="006C431D" w:rsidP="006C431D">
      <w:pPr>
        <w:spacing w:line="480" w:lineRule="auto"/>
        <w:ind w:left="720" w:right="720" w:hanging="720"/>
        <w:rPr>
          <w:bCs/>
          <w:iCs/>
        </w:rPr>
      </w:pPr>
      <w:r w:rsidRPr="003F15E4">
        <w:rPr>
          <w:b/>
          <w:bCs/>
          <w:i/>
          <w:iCs/>
        </w:rPr>
        <w:t>A9.</w:t>
      </w:r>
      <w:r>
        <w:rPr>
          <w:bCs/>
          <w:iCs/>
        </w:rPr>
        <w:tab/>
        <w:t xml:space="preserve">Yes. </w:t>
      </w:r>
    </w:p>
    <w:p w14:paraId="724D7E3D" w14:textId="77777777" w:rsidR="003F15E4" w:rsidRDefault="003F15E4" w:rsidP="006C431D">
      <w:pPr>
        <w:spacing w:line="480" w:lineRule="auto"/>
        <w:ind w:left="720" w:right="720" w:hanging="720"/>
        <w:rPr>
          <w:bCs/>
          <w:iCs/>
        </w:rPr>
      </w:pPr>
    </w:p>
    <w:p w14:paraId="49731FA7" w14:textId="0467B471" w:rsidR="006C431D" w:rsidRPr="003D403A" w:rsidRDefault="006C431D" w:rsidP="006C431D">
      <w:pPr>
        <w:spacing w:line="480" w:lineRule="auto"/>
        <w:ind w:left="720" w:right="720" w:hanging="720"/>
        <w:rPr>
          <w:b/>
          <w:bCs/>
          <w:i/>
          <w:iCs/>
        </w:rPr>
      </w:pPr>
      <w:r w:rsidRPr="003D403A">
        <w:rPr>
          <w:b/>
          <w:bCs/>
          <w:i/>
          <w:iCs/>
        </w:rPr>
        <w:t>Q10.</w:t>
      </w:r>
      <w:r w:rsidRPr="003D403A">
        <w:rPr>
          <w:b/>
          <w:bCs/>
          <w:i/>
          <w:iCs/>
        </w:rPr>
        <w:tab/>
        <w:t>PLEASE EXPLAIN.</w:t>
      </w:r>
    </w:p>
    <w:p w14:paraId="539728AA" w14:textId="3D79DF3F" w:rsidR="00A5101B" w:rsidRDefault="006C431D" w:rsidP="006C431D">
      <w:pPr>
        <w:spacing w:line="480" w:lineRule="auto"/>
        <w:ind w:left="720" w:right="720" w:hanging="720"/>
        <w:rPr>
          <w:bCs/>
          <w:iCs/>
        </w:rPr>
      </w:pPr>
      <w:r w:rsidRPr="003F15E4">
        <w:rPr>
          <w:b/>
          <w:bCs/>
          <w:i/>
          <w:iCs/>
        </w:rPr>
        <w:t>A10.</w:t>
      </w:r>
      <w:r>
        <w:rPr>
          <w:bCs/>
          <w:iCs/>
        </w:rPr>
        <w:tab/>
        <w:t>In establishing rates and charges, state utility commissions will often consider the magnitude of the proposed increase and the impact on customers.  When faced with the prospect of a hefty $1,037.10 one-time charge and a recurring monthly meter-reading charge of $40.63 (or $487.56 annually), I suspect that the 725 customers</w:t>
      </w:r>
      <w:r w:rsidR="005114BE">
        <w:rPr>
          <w:rStyle w:val="FootnoteReference"/>
          <w:bCs/>
          <w:iCs/>
        </w:rPr>
        <w:footnoteReference w:id="16"/>
      </w:r>
      <w:r>
        <w:rPr>
          <w:bCs/>
          <w:iCs/>
        </w:rPr>
        <w:t xml:space="preserve"> that Duke anticipates participating in the advanced meter opt-out will </w:t>
      </w:r>
      <w:r w:rsidR="00B637DF">
        <w:rPr>
          <w:bCs/>
          <w:iCs/>
        </w:rPr>
        <w:t xml:space="preserve">feel </w:t>
      </w:r>
      <w:r>
        <w:rPr>
          <w:bCs/>
          <w:iCs/>
        </w:rPr>
        <w:t>pressured into taking an advanced meter against their wishes.</w:t>
      </w:r>
    </w:p>
    <w:p w14:paraId="76800618" w14:textId="77777777" w:rsidR="00A5101B" w:rsidRDefault="00A5101B" w:rsidP="006C431D">
      <w:pPr>
        <w:spacing w:line="480" w:lineRule="auto"/>
        <w:ind w:left="720" w:right="720" w:hanging="720"/>
        <w:rPr>
          <w:bCs/>
          <w:iCs/>
        </w:rPr>
      </w:pPr>
    </w:p>
    <w:p w14:paraId="609235DD" w14:textId="214A771C" w:rsidR="006C431D" w:rsidRDefault="00A5101B" w:rsidP="009B05F5">
      <w:pPr>
        <w:spacing w:line="480" w:lineRule="auto"/>
        <w:ind w:left="720" w:right="720"/>
        <w:rPr>
          <w:bCs/>
          <w:iCs/>
        </w:rPr>
      </w:pPr>
      <w:r>
        <w:rPr>
          <w:bCs/>
          <w:iCs/>
        </w:rPr>
        <w:t>Duke’s attempt</w:t>
      </w:r>
      <w:r w:rsidR="009B05F5">
        <w:rPr>
          <w:bCs/>
          <w:iCs/>
        </w:rPr>
        <w:t>s</w:t>
      </w:r>
      <w:r>
        <w:rPr>
          <w:bCs/>
          <w:iCs/>
        </w:rPr>
        <w:t xml:space="preserve"> to force customers to subscribe to advanced meter technology is inconsistent with the PUCO rules.  T</w:t>
      </w:r>
      <w:r w:rsidR="006C431D">
        <w:rPr>
          <w:bCs/>
          <w:iCs/>
        </w:rPr>
        <w:t>he PUCO</w:t>
      </w:r>
      <w:r w:rsidR="0052360A">
        <w:rPr>
          <w:bCs/>
          <w:iCs/>
        </w:rPr>
        <w:t>’s</w:t>
      </w:r>
      <w:r w:rsidR="006C431D">
        <w:rPr>
          <w:bCs/>
          <w:iCs/>
        </w:rPr>
        <w:t xml:space="preserve"> rules give customers the option to decide if they want to have an advanced meter.  Ohio Adm. Code 4901:1-10-05(J)(1) requires:</w:t>
      </w:r>
    </w:p>
    <w:p w14:paraId="64294436" w14:textId="77777777" w:rsidR="006C431D" w:rsidRDefault="006C431D" w:rsidP="003F15E4">
      <w:pPr>
        <w:spacing w:line="480" w:lineRule="auto"/>
        <w:ind w:left="1440" w:right="720"/>
        <w:rPr>
          <w:bCs/>
          <w:iCs/>
        </w:rPr>
      </w:pPr>
      <w:r>
        <w:rPr>
          <w:bCs/>
          <w:iCs/>
        </w:rPr>
        <w:t xml:space="preserve">An electric utility shall provide customers with the </w:t>
      </w:r>
      <w:r w:rsidRPr="00B26FDE">
        <w:rPr>
          <w:bCs/>
          <w:i/>
          <w:iCs/>
        </w:rPr>
        <w:t>option</w:t>
      </w:r>
      <w:r>
        <w:rPr>
          <w:bCs/>
          <w:iCs/>
        </w:rPr>
        <w:t xml:space="preserve"> to remove an installed advanced meter and replace it with a traditional meter, and the </w:t>
      </w:r>
      <w:r w:rsidRPr="00B26FDE">
        <w:rPr>
          <w:bCs/>
          <w:i/>
          <w:iCs/>
        </w:rPr>
        <w:t>option</w:t>
      </w:r>
      <w:r>
        <w:rPr>
          <w:bCs/>
          <w:iCs/>
        </w:rPr>
        <w:t xml:space="preserve"> to decline installation of an advanced meter and retain a traditional meter …. (Emphasis added.)</w:t>
      </w:r>
    </w:p>
    <w:p w14:paraId="17A4D48E" w14:textId="42DD39FE" w:rsidR="00A5101B" w:rsidRDefault="00A5101B" w:rsidP="006C431D">
      <w:pPr>
        <w:spacing w:line="480" w:lineRule="auto"/>
        <w:ind w:left="720" w:right="720"/>
        <w:rPr>
          <w:bCs/>
          <w:iCs/>
        </w:rPr>
      </w:pPr>
      <w:r>
        <w:rPr>
          <w:bCs/>
          <w:iCs/>
        </w:rPr>
        <w:t>But, t</w:t>
      </w:r>
      <w:r w:rsidR="006C431D">
        <w:rPr>
          <w:bCs/>
          <w:iCs/>
        </w:rPr>
        <w:t>he high charges proposed by Duke</w:t>
      </w:r>
      <w:r w:rsidR="0052360A">
        <w:rPr>
          <w:bCs/>
          <w:iCs/>
        </w:rPr>
        <w:t xml:space="preserve"> are not reasonable and</w:t>
      </w:r>
      <w:r w:rsidR="006C431D">
        <w:rPr>
          <w:bCs/>
          <w:iCs/>
        </w:rPr>
        <w:t xml:space="preserve"> would impede many customers from exercising the option to not have an advanced meter</w:t>
      </w:r>
      <w:r w:rsidR="00C75090">
        <w:rPr>
          <w:bCs/>
          <w:iCs/>
        </w:rPr>
        <w:t xml:space="preserve"> as provided under the PUCO’s rules</w:t>
      </w:r>
      <w:r w:rsidR="006C431D">
        <w:rPr>
          <w:bCs/>
          <w:iCs/>
        </w:rPr>
        <w:t xml:space="preserve">.  Based on Duke’s rates that were in effect in July 2015, the average annual cost of electricity for a residential family using 750 kWh per month is approximately $1,144.08.  As proposed by Duke, the additional first year’s charges associated with the advanced meter opt-out would increase an average customer’s annual cost of electricity to $2,768.74 – </w:t>
      </w:r>
      <w:r w:rsidR="006C431D" w:rsidRPr="008C21AE">
        <w:rPr>
          <w:b/>
          <w:bCs/>
          <w:iCs/>
        </w:rPr>
        <w:t>a 142 percent increase</w:t>
      </w:r>
      <w:r w:rsidR="006C431D">
        <w:rPr>
          <w:b/>
          <w:bCs/>
          <w:iCs/>
        </w:rPr>
        <w:t>!</w:t>
      </w:r>
      <w:r w:rsidR="006C431D">
        <w:rPr>
          <w:bCs/>
          <w:iCs/>
        </w:rPr>
        <w:t xml:space="preserve">  Assuming no change in rates, the monthly meter reading charge in the advanced meter opt-out tariff would result in </w:t>
      </w:r>
      <w:r w:rsidR="006C431D" w:rsidRPr="008C21AE">
        <w:rPr>
          <w:b/>
          <w:bCs/>
          <w:iCs/>
        </w:rPr>
        <w:t>a 43 percent increase</w:t>
      </w:r>
      <w:r w:rsidR="006C431D">
        <w:rPr>
          <w:bCs/>
          <w:iCs/>
        </w:rPr>
        <w:t xml:space="preserve"> in an average customer’s annual cost of electricity after the initial year.  </w:t>
      </w:r>
      <w:r w:rsidR="00B637DF">
        <w:rPr>
          <w:bCs/>
          <w:iCs/>
        </w:rPr>
        <w:t xml:space="preserve">Gradualism requires </w:t>
      </w:r>
      <w:r w:rsidR="00CE6155">
        <w:rPr>
          <w:bCs/>
          <w:iCs/>
        </w:rPr>
        <w:t xml:space="preserve">changes to occur in gradual steps rather than in a single drastic change at one time.  </w:t>
      </w:r>
      <w:r w:rsidR="006C431D">
        <w:rPr>
          <w:bCs/>
          <w:iCs/>
        </w:rPr>
        <w:t xml:space="preserve">By ignoring the concept of gradualism, Duke is using the advanced meter opt-out as a way to coerce customers to have an advanced meter, even if they do not want one.  </w:t>
      </w:r>
      <w:r w:rsidR="00CE6155">
        <w:rPr>
          <w:bCs/>
          <w:iCs/>
        </w:rPr>
        <w:t xml:space="preserve"> </w:t>
      </w:r>
      <w:r w:rsidR="006C431D">
        <w:rPr>
          <w:bCs/>
          <w:iCs/>
        </w:rPr>
        <w:t xml:space="preserve"> </w:t>
      </w:r>
    </w:p>
    <w:p w14:paraId="7D1AB73B" w14:textId="297B0655" w:rsidR="006C431D" w:rsidRDefault="006C431D" w:rsidP="006C431D">
      <w:pPr>
        <w:spacing w:line="480" w:lineRule="auto"/>
        <w:ind w:left="720" w:right="720"/>
        <w:rPr>
          <w:bCs/>
          <w:iCs/>
        </w:rPr>
      </w:pPr>
      <w:r>
        <w:rPr>
          <w:bCs/>
          <w:iCs/>
        </w:rPr>
        <w:t xml:space="preserve">  </w:t>
      </w:r>
    </w:p>
    <w:p w14:paraId="04F45470" w14:textId="77777777" w:rsidR="00BD5CC8" w:rsidRPr="003D403A" w:rsidRDefault="00BD5CC8" w:rsidP="002C01CE">
      <w:pPr>
        <w:spacing w:line="480" w:lineRule="auto"/>
        <w:ind w:left="720" w:right="720" w:hanging="720"/>
        <w:rPr>
          <w:b/>
          <w:bCs/>
          <w:i/>
          <w:iCs/>
        </w:rPr>
      </w:pPr>
      <w:r w:rsidRPr="003D403A">
        <w:rPr>
          <w:b/>
          <w:bCs/>
          <w:i/>
          <w:iCs/>
        </w:rPr>
        <w:t>Q</w:t>
      </w:r>
      <w:r w:rsidR="006C431D" w:rsidRPr="003D403A">
        <w:rPr>
          <w:b/>
          <w:bCs/>
          <w:i/>
          <w:iCs/>
        </w:rPr>
        <w:t>11</w:t>
      </w:r>
      <w:r w:rsidRPr="003D403A">
        <w:rPr>
          <w:b/>
          <w:bCs/>
          <w:i/>
          <w:iCs/>
        </w:rPr>
        <w:t>.</w:t>
      </w:r>
      <w:r w:rsidRPr="003D403A">
        <w:rPr>
          <w:b/>
          <w:bCs/>
          <w:i/>
          <w:iCs/>
        </w:rPr>
        <w:tab/>
        <w:t>DO YOU HAVE AN OPINION ABOUT DUKE</w:t>
      </w:r>
      <w:r w:rsidR="003D626D" w:rsidRPr="003D403A">
        <w:rPr>
          <w:b/>
          <w:bCs/>
          <w:i/>
          <w:iCs/>
        </w:rPr>
        <w:t>’</w:t>
      </w:r>
      <w:r w:rsidRPr="003D403A">
        <w:rPr>
          <w:b/>
          <w:bCs/>
          <w:i/>
          <w:iCs/>
        </w:rPr>
        <w:t>S PROPOSED COSTS RELATED TO THE PROPOSED ADVANCED METER OPT-OUT APPLICATION?</w:t>
      </w:r>
    </w:p>
    <w:p w14:paraId="2C5805DC" w14:textId="551C8634" w:rsidR="00F12D26" w:rsidRDefault="00BD5CC8" w:rsidP="002C01CE">
      <w:pPr>
        <w:spacing w:line="480" w:lineRule="auto"/>
        <w:ind w:left="720" w:right="720" w:hanging="720"/>
        <w:rPr>
          <w:bCs/>
          <w:iCs/>
        </w:rPr>
      </w:pPr>
      <w:r w:rsidRPr="003F15E4">
        <w:rPr>
          <w:b/>
          <w:bCs/>
          <w:i/>
          <w:iCs/>
        </w:rPr>
        <w:t>A</w:t>
      </w:r>
      <w:r w:rsidR="005114BE" w:rsidRPr="003F15E4">
        <w:rPr>
          <w:b/>
          <w:bCs/>
          <w:i/>
          <w:iCs/>
        </w:rPr>
        <w:t>11</w:t>
      </w:r>
      <w:r w:rsidRPr="003F15E4">
        <w:rPr>
          <w:b/>
          <w:bCs/>
          <w:i/>
          <w:iCs/>
        </w:rPr>
        <w:t>.</w:t>
      </w:r>
      <w:r>
        <w:rPr>
          <w:bCs/>
          <w:iCs/>
        </w:rPr>
        <w:tab/>
        <w:t>Yes.  D</w:t>
      </w:r>
      <w:r w:rsidR="00EA4A88">
        <w:rPr>
          <w:bCs/>
          <w:iCs/>
        </w:rPr>
        <w:t xml:space="preserve">uke’s estimate of the costs </w:t>
      </w:r>
      <w:r w:rsidR="006F53E5">
        <w:rPr>
          <w:bCs/>
          <w:iCs/>
        </w:rPr>
        <w:t xml:space="preserve">involved to </w:t>
      </w:r>
      <w:r w:rsidR="00EA4A88">
        <w:rPr>
          <w:bCs/>
          <w:iCs/>
        </w:rPr>
        <w:t>implement</w:t>
      </w:r>
      <w:r w:rsidR="006F53E5">
        <w:rPr>
          <w:bCs/>
          <w:iCs/>
        </w:rPr>
        <w:t xml:space="preserve"> </w:t>
      </w:r>
      <w:r w:rsidR="0094757D">
        <w:rPr>
          <w:bCs/>
          <w:iCs/>
        </w:rPr>
        <w:t>and maintain</w:t>
      </w:r>
      <w:r w:rsidR="006F53E5">
        <w:rPr>
          <w:bCs/>
          <w:iCs/>
        </w:rPr>
        <w:t xml:space="preserve"> </w:t>
      </w:r>
      <w:r w:rsidR="00EA4A88">
        <w:rPr>
          <w:bCs/>
          <w:iCs/>
        </w:rPr>
        <w:t>the advanced meter opt</w:t>
      </w:r>
      <w:r w:rsidR="003D626D">
        <w:rPr>
          <w:bCs/>
          <w:iCs/>
        </w:rPr>
        <w:t>-</w:t>
      </w:r>
      <w:r w:rsidR="00EA4A88">
        <w:rPr>
          <w:bCs/>
          <w:iCs/>
        </w:rPr>
        <w:t xml:space="preserve">out </w:t>
      </w:r>
      <w:r w:rsidR="0094757D">
        <w:rPr>
          <w:bCs/>
          <w:iCs/>
        </w:rPr>
        <w:t xml:space="preserve">program </w:t>
      </w:r>
      <w:r w:rsidR="008C21AE">
        <w:rPr>
          <w:bCs/>
          <w:iCs/>
        </w:rPr>
        <w:t xml:space="preserve">appear to be </w:t>
      </w:r>
      <w:r w:rsidR="0094757D">
        <w:rPr>
          <w:bCs/>
          <w:iCs/>
        </w:rPr>
        <w:t xml:space="preserve">overstated </w:t>
      </w:r>
      <w:r w:rsidR="006F53E5">
        <w:rPr>
          <w:bCs/>
          <w:iCs/>
        </w:rPr>
        <w:t>and unsupported.  Further</w:t>
      </w:r>
      <w:r w:rsidR="002A3586">
        <w:rPr>
          <w:bCs/>
          <w:iCs/>
        </w:rPr>
        <w:t>more</w:t>
      </w:r>
      <w:r w:rsidR="006F53E5">
        <w:rPr>
          <w:bCs/>
          <w:iCs/>
        </w:rPr>
        <w:t xml:space="preserve">, the </w:t>
      </w:r>
      <w:r w:rsidR="0094757D">
        <w:rPr>
          <w:bCs/>
          <w:iCs/>
        </w:rPr>
        <w:t xml:space="preserve">proposed costs </w:t>
      </w:r>
      <w:r w:rsidR="002A3586">
        <w:rPr>
          <w:bCs/>
          <w:iCs/>
        </w:rPr>
        <w:t xml:space="preserve">do not appear to be </w:t>
      </w:r>
      <w:r w:rsidR="0094757D">
        <w:rPr>
          <w:bCs/>
          <w:iCs/>
        </w:rPr>
        <w:t xml:space="preserve">incremental to </w:t>
      </w:r>
      <w:r w:rsidR="00C75090">
        <w:rPr>
          <w:bCs/>
          <w:iCs/>
        </w:rPr>
        <w:t xml:space="preserve">and above </w:t>
      </w:r>
      <w:r w:rsidR="0094757D">
        <w:rPr>
          <w:bCs/>
          <w:iCs/>
        </w:rPr>
        <w:t xml:space="preserve">what </w:t>
      </w:r>
      <w:r w:rsidR="002A3586">
        <w:rPr>
          <w:bCs/>
          <w:iCs/>
        </w:rPr>
        <w:t xml:space="preserve">Duke </w:t>
      </w:r>
      <w:r w:rsidR="0094757D">
        <w:rPr>
          <w:bCs/>
          <w:iCs/>
        </w:rPr>
        <w:t xml:space="preserve">is already </w:t>
      </w:r>
      <w:r w:rsidR="003D626D">
        <w:rPr>
          <w:bCs/>
          <w:iCs/>
        </w:rPr>
        <w:t>collect</w:t>
      </w:r>
      <w:r w:rsidR="0052360A">
        <w:rPr>
          <w:bCs/>
          <w:iCs/>
        </w:rPr>
        <w:t>ing</w:t>
      </w:r>
      <w:r w:rsidR="003D626D">
        <w:rPr>
          <w:bCs/>
          <w:iCs/>
        </w:rPr>
        <w:t xml:space="preserve"> </w:t>
      </w:r>
      <w:r w:rsidR="0094757D">
        <w:rPr>
          <w:bCs/>
          <w:iCs/>
        </w:rPr>
        <w:t>from consumers in base rates</w:t>
      </w:r>
      <w:r w:rsidR="00E97B5F">
        <w:rPr>
          <w:bCs/>
          <w:iCs/>
        </w:rPr>
        <w:t xml:space="preserve"> and/ or through the grid modernization rider</w:t>
      </w:r>
      <w:r w:rsidR="0094757D">
        <w:rPr>
          <w:bCs/>
          <w:iCs/>
        </w:rPr>
        <w:t xml:space="preserve">.  </w:t>
      </w:r>
      <w:r w:rsidR="00056AA5">
        <w:rPr>
          <w:bCs/>
          <w:iCs/>
        </w:rPr>
        <w:t xml:space="preserve">Duke’s Application </w:t>
      </w:r>
      <w:r w:rsidR="002C6915">
        <w:rPr>
          <w:bCs/>
          <w:iCs/>
        </w:rPr>
        <w:t xml:space="preserve">results in a violation of </w:t>
      </w:r>
      <w:r w:rsidR="003D626D">
        <w:rPr>
          <w:bCs/>
          <w:iCs/>
        </w:rPr>
        <w:t xml:space="preserve">PUCO </w:t>
      </w:r>
      <w:r w:rsidR="00141D9D" w:rsidRPr="00056AA5">
        <w:rPr>
          <w:bCs/>
          <w:iCs/>
        </w:rPr>
        <w:t>rule</w:t>
      </w:r>
      <w:r w:rsidR="008C21AE">
        <w:rPr>
          <w:bCs/>
          <w:iCs/>
        </w:rPr>
        <w:t>s</w:t>
      </w:r>
      <w:r w:rsidR="00141D9D" w:rsidRPr="00056AA5">
        <w:rPr>
          <w:bCs/>
          <w:iCs/>
        </w:rPr>
        <w:t xml:space="preserve"> because the proposed deferral </w:t>
      </w:r>
      <w:r w:rsidR="008C21AE">
        <w:rPr>
          <w:bCs/>
          <w:iCs/>
        </w:rPr>
        <w:t xml:space="preserve">of costs </w:t>
      </w:r>
      <w:r w:rsidR="00141D9D" w:rsidRPr="00056AA5">
        <w:rPr>
          <w:bCs/>
          <w:iCs/>
        </w:rPr>
        <w:t xml:space="preserve">would </w:t>
      </w:r>
      <w:r w:rsidR="002C6915">
        <w:rPr>
          <w:bCs/>
          <w:iCs/>
        </w:rPr>
        <w:t>result in a</w:t>
      </w:r>
      <w:r w:rsidR="00141D9D" w:rsidRPr="00056AA5">
        <w:rPr>
          <w:bCs/>
          <w:iCs/>
        </w:rPr>
        <w:t xml:space="preserve">ll customers </w:t>
      </w:r>
      <w:r w:rsidR="002C6915">
        <w:rPr>
          <w:bCs/>
          <w:iCs/>
        </w:rPr>
        <w:t>paying for the advanced meter opt</w:t>
      </w:r>
      <w:r w:rsidR="003D626D">
        <w:rPr>
          <w:bCs/>
          <w:iCs/>
        </w:rPr>
        <w:t>-</w:t>
      </w:r>
      <w:r w:rsidR="002C6915">
        <w:rPr>
          <w:bCs/>
          <w:iCs/>
        </w:rPr>
        <w:t xml:space="preserve">out service and not just those customers who </w:t>
      </w:r>
      <w:r w:rsidR="00443F75">
        <w:rPr>
          <w:bCs/>
          <w:iCs/>
        </w:rPr>
        <w:t xml:space="preserve">have </w:t>
      </w:r>
      <w:r w:rsidR="00C75090">
        <w:rPr>
          <w:bCs/>
          <w:iCs/>
        </w:rPr>
        <w:t xml:space="preserve">caused the cost by </w:t>
      </w:r>
      <w:r w:rsidR="002C6915">
        <w:rPr>
          <w:bCs/>
          <w:iCs/>
        </w:rPr>
        <w:t>elect</w:t>
      </w:r>
      <w:r w:rsidR="00C75090">
        <w:rPr>
          <w:bCs/>
          <w:iCs/>
        </w:rPr>
        <w:t>ing</w:t>
      </w:r>
      <w:r w:rsidR="002C6915">
        <w:rPr>
          <w:bCs/>
          <w:iCs/>
        </w:rPr>
        <w:t xml:space="preserve"> to receive the service.</w:t>
      </w:r>
      <w:r w:rsidR="00A5101B">
        <w:rPr>
          <w:rStyle w:val="FootnoteReference"/>
          <w:bCs/>
          <w:iCs/>
        </w:rPr>
        <w:footnoteReference w:id="17"/>
      </w:r>
      <w:r w:rsidR="002C6915">
        <w:rPr>
          <w:bCs/>
          <w:iCs/>
        </w:rPr>
        <w:t xml:space="preserve"> </w:t>
      </w:r>
      <w:r w:rsidR="003C09B4">
        <w:rPr>
          <w:bCs/>
          <w:iCs/>
        </w:rPr>
        <w:t xml:space="preserve"> </w:t>
      </w:r>
    </w:p>
    <w:p w14:paraId="47E5931A" w14:textId="77777777" w:rsidR="003850CA" w:rsidRDefault="003850CA" w:rsidP="002C01CE">
      <w:pPr>
        <w:spacing w:line="480" w:lineRule="auto"/>
        <w:ind w:left="720" w:right="720" w:hanging="720"/>
        <w:rPr>
          <w:bCs/>
          <w:iCs/>
        </w:rPr>
      </w:pPr>
    </w:p>
    <w:p w14:paraId="4D491F8A" w14:textId="77777777" w:rsidR="003C09B4" w:rsidRPr="003D403A" w:rsidRDefault="002C6915" w:rsidP="002C01CE">
      <w:pPr>
        <w:spacing w:line="480" w:lineRule="auto"/>
        <w:ind w:left="720" w:right="720" w:hanging="720"/>
        <w:rPr>
          <w:b/>
          <w:bCs/>
          <w:i/>
          <w:iCs/>
        </w:rPr>
      </w:pPr>
      <w:r w:rsidRPr="003D403A">
        <w:rPr>
          <w:b/>
          <w:bCs/>
          <w:i/>
          <w:iCs/>
        </w:rPr>
        <w:t>Q</w:t>
      </w:r>
      <w:r w:rsidR="005114BE" w:rsidRPr="003D403A">
        <w:rPr>
          <w:b/>
          <w:bCs/>
          <w:i/>
          <w:iCs/>
        </w:rPr>
        <w:t>12</w:t>
      </w:r>
      <w:r w:rsidRPr="003D403A">
        <w:rPr>
          <w:b/>
          <w:bCs/>
          <w:i/>
          <w:iCs/>
        </w:rPr>
        <w:t>.</w:t>
      </w:r>
      <w:r w:rsidRPr="003D403A">
        <w:rPr>
          <w:b/>
          <w:bCs/>
          <w:i/>
          <w:iCs/>
        </w:rPr>
        <w:tab/>
      </w:r>
      <w:r w:rsidR="003C09B4" w:rsidRPr="003D403A">
        <w:rPr>
          <w:b/>
          <w:bCs/>
          <w:i/>
          <w:iCs/>
        </w:rPr>
        <w:t>PLEASE EXPLAIN HOW DUKE</w:t>
      </w:r>
      <w:r w:rsidR="00D23FE1" w:rsidRPr="003D403A">
        <w:rPr>
          <w:b/>
          <w:bCs/>
          <w:i/>
          <w:iCs/>
        </w:rPr>
        <w:t xml:space="preserve"> CALCULATED THE ONE-TIME CHARGE OF $1,037.10</w:t>
      </w:r>
      <w:r w:rsidR="00A24126" w:rsidRPr="003D403A">
        <w:rPr>
          <w:b/>
          <w:bCs/>
          <w:i/>
          <w:iCs/>
        </w:rPr>
        <w:t>.</w:t>
      </w:r>
      <w:r w:rsidR="003C09B4" w:rsidRPr="003D403A">
        <w:rPr>
          <w:b/>
          <w:bCs/>
          <w:i/>
          <w:iCs/>
        </w:rPr>
        <w:t xml:space="preserve"> </w:t>
      </w:r>
    </w:p>
    <w:p w14:paraId="094BDBD6" w14:textId="30FF6CA3" w:rsidR="00675007" w:rsidRDefault="00EF3CF5" w:rsidP="002C01CE">
      <w:pPr>
        <w:spacing w:line="480" w:lineRule="auto"/>
        <w:ind w:left="720" w:right="720" w:hanging="720"/>
        <w:rPr>
          <w:bCs/>
          <w:iCs/>
        </w:rPr>
      </w:pPr>
      <w:r w:rsidRPr="003F15E4">
        <w:rPr>
          <w:b/>
          <w:bCs/>
          <w:i/>
          <w:iCs/>
        </w:rPr>
        <w:t>A</w:t>
      </w:r>
      <w:r w:rsidR="005114BE" w:rsidRPr="003F15E4">
        <w:rPr>
          <w:b/>
          <w:bCs/>
          <w:i/>
          <w:iCs/>
        </w:rPr>
        <w:t>12</w:t>
      </w:r>
      <w:r w:rsidRPr="003F15E4">
        <w:rPr>
          <w:b/>
          <w:bCs/>
          <w:i/>
          <w:iCs/>
        </w:rPr>
        <w:t>.</w:t>
      </w:r>
      <w:r w:rsidRPr="00D47B14">
        <w:rPr>
          <w:bCs/>
          <w:iCs/>
        </w:rPr>
        <w:tab/>
      </w:r>
      <w:r w:rsidR="00740C86" w:rsidRPr="00D47B14">
        <w:rPr>
          <w:bCs/>
          <w:iCs/>
        </w:rPr>
        <w:t xml:space="preserve">Duke provided very few details </w:t>
      </w:r>
      <w:r w:rsidR="00226E0D">
        <w:rPr>
          <w:bCs/>
          <w:iCs/>
        </w:rPr>
        <w:t xml:space="preserve">in its application </w:t>
      </w:r>
      <w:r w:rsidR="0081143E">
        <w:rPr>
          <w:bCs/>
          <w:iCs/>
        </w:rPr>
        <w:t xml:space="preserve">as to </w:t>
      </w:r>
      <w:r w:rsidR="00740C86" w:rsidRPr="00D47B14">
        <w:rPr>
          <w:bCs/>
          <w:iCs/>
        </w:rPr>
        <w:t xml:space="preserve">how the one-time costs were estimated.  Duke claimed that there </w:t>
      </w:r>
      <w:r w:rsidR="00226E0D">
        <w:rPr>
          <w:bCs/>
          <w:iCs/>
        </w:rPr>
        <w:t>are $</w:t>
      </w:r>
      <w:r w:rsidR="00740C86" w:rsidRPr="00D47B14">
        <w:rPr>
          <w:bCs/>
          <w:iCs/>
        </w:rPr>
        <w:t xml:space="preserve">777,997.50 in </w:t>
      </w:r>
      <w:r w:rsidR="00F03647" w:rsidRPr="00D47B14">
        <w:rPr>
          <w:bCs/>
          <w:iCs/>
        </w:rPr>
        <w:t xml:space="preserve">one-time costs spread </w:t>
      </w:r>
      <w:r w:rsidR="0081143E">
        <w:rPr>
          <w:bCs/>
          <w:iCs/>
        </w:rPr>
        <w:t>among</w:t>
      </w:r>
      <w:r w:rsidR="0081143E" w:rsidRPr="00D47B14">
        <w:rPr>
          <w:bCs/>
          <w:iCs/>
        </w:rPr>
        <w:t xml:space="preserve"> </w:t>
      </w:r>
      <w:r w:rsidR="00F03647" w:rsidRPr="00D47B14">
        <w:rPr>
          <w:bCs/>
          <w:iCs/>
        </w:rPr>
        <w:t xml:space="preserve">Metering Services ($54,737.50), Distribution Maintenance ($37,120.00), and </w:t>
      </w:r>
      <w:r w:rsidR="001B1344">
        <w:rPr>
          <w:bCs/>
          <w:iCs/>
        </w:rPr>
        <w:t>Information Technology (“</w:t>
      </w:r>
      <w:r w:rsidR="00F03647" w:rsidRPr="00D47B14">
        <w:rPr>
          <w:bCs/>
          <w:iCs/>
        </w:rPr>
        <w:t>IT</w:t>
      </w:r>
      <w:r w:rsidR="001B1344">
        <w:rPr>
          <w:bCs/>
          <w:iCs/>
        </w:rPr>
        <w:t>”)</w:t>
      </w:r>
      <w:r w:rsidR="00F03647" w:rsidRPr="00D47B14">
        <w:rPr>
          <w:bCs/>
          <w:iCs/>
        </w:rPr>
        <w:t xml:space="preserve"> Systems ($686,140.00).   The one-time charge to customers of $1,037.10 was determined by dividing the total of </w:t>
      </w:r>
      <w:r w:rsidR="001B1344">
        <w:rPr>
          <w:bCs/>
          <w:iCs/>
        </w:rPr>
        <w:t xml:space="preserve">the alleged </w:t>
      </w:r>
      <w:r w:rsidR="00F03647" w:rsidRPr="00D47B14">
        <w:rPr>
          <w:bCs/>
          <w:iCs/>
        </w:rPr>
        <w:t xml:space="preserve">one-time costs by </w:t>
      </w:r>
      <w:r w:rsidR="0051225F" w:rsidRPr="00D47B14">
        <w:rPr>
          <w:bCs/>
          <w:iCs/>
        </w:rPr>
        <w:t xml:space="preserve">the </w:t>
      </w:r>
      <w:r w:rsidR="005114BE">
        <w:rPr>
          <w:bCs/>
          <w:iCs/>
        </w:rPr>
        <w:t xml:space="preserve">725 </w:t>
      </w:r>
      <w:r w:rsidR="0051225F" w:rsidRPr="00D47B14">
        <w:rPr>
          <w:bCs/>
          <w:iCs/>
        </w:rPr>
        <w:t>customers</w:t>
      </w:r>
      <w:r w:rsidR="001B1344">
        <w:rPr>
          <w:bCs/>
          <w:iCs/>
        </w:rPr>
        <w:t xml:space="preserve"> Duke expects </w:t>
      </w:r>
      <w:r w:rsidR="005114BE">
        <w:rPr>
          <w:bCs/>
          <w:iCs/>
        </w:rPr>
        <w:t xml:space="preserve">will participate in the advanced meter opt-out. </w:t>
      </w:r>
    </w:p>
    <w:p w14:paraId="06E42B88" w14:textId="77777777" w:rsidR="002A3586" w:rsidRDefault="002A3586" w:rsidP="002C01CE">
      <w:pPr>
        <w:spacing w:line="480" w:lineRule="auto"/>
        <w:ind w:left="720" w:right="720" w:hanging="720"/>
        <w:rPr>
          <w:bCs/>
          <w:iCs/>
        </w:rPr>
      </w:pPr>
    </w:p>
    <w:p w14:paraId="1B6C37DD" w14:textId="77777777" w:rsidR="00124D25" w:rsidRDefault="00124D25">
      <w:pPr>
        <w:rPr>
          <w:b/>
          <w:bCs/>
          <w:i/>
          <w:iCs/>
        </w:rPr>
      </w:pPr>
      <w:r>
        <w:rPr>
          <w:b/>
          <w:bCs/>
          <w:i/>
          <w:iCs/>
        </w:rPr>
        <w:br w:type="page"/>
      </w:r>
    </w:p>
    <w:p w14:paraId="3E3D4708" w14:textId="7E90FDF9" w:rsidR="004F7612" w:rsidRPr="003D403A" w:rsidRDefault="00A24126" w:rsidP="002C01CE">
      <w:pPr>
        <w:spacing w:line="480" w:lineRule="auto"/>
        <w:ind w:left="720" w:right="720" w:hanging="720"/>
        <w:rPr>
          <w:b/>
          <w:bCs/>
          <w:i/>
          <w:iCs/>
        </w:rPr>
      </w:pPr>
      <w:r w:rsidRPr="003D403A">
        <w:rPr>
          <w:b/>
          <w:bCs/>
          <w:i/>
          <w:iCs/>
        </w:rPr>
        <w:t>Q1</w:t>
      </w:r>
      <w:r w:rsidR="00302175" w:rsidRPr="003D403A">
        <w:rPr>
          <w:b/>
          <w:bCs/>
          <w:i/>
          <w:iCs/>
        </w:rPr>
        <w:t>3</w:t>
      </w:r>
      <w:r w:rsidRPr="003D403A">
        <w:rPr>
          <w:b/>
          <w:bCs/>
          <w:i/>
          <w:iCs/>
        </w:rPr>
        <w:t>.</w:t>
      </w:r>
      <w:r w:rsidRPr="003D403A">
        <w:rPr>
          <w:b/>
          <w:bCs/>
          <w:i/>
          <w:iCs/>
        </w:rPr>
        <w:tab/>
      </w:r>
      <w:r w:rsidR="004F7612" w:rsidRPr="003D403A">
        <w:rPr>
          <w:b/>
          <w:bCs/>
          <w:i/>
          <w:iCs/>
        </w:rPr>
        <w:t>IS DUKE</w:t>
      </w:r>
      <w:r w:rsidR="001B1344" w:rsidRPr="003D403A">
        <w:rPr>
          <w:b/>
          <w:bCs/>
          <w:i/>
          <w:iCs/>
        </w:rPr>
        <w:t>’</w:t>
      </w:r>
      <w:r w:rsidR="004F7612" w:rsidRPr="003D403A">
        <w:rPr>
          <w:b/>
          <w:bCs/>
          <w:i/>
          <w:iCs/>
        </w:rPr>
        <w:t xml:space="preserve">S ESTIMATE OF </w:t>
      </w:r>
      <w:r w:rsidR="000964BD" w:rsidRPr="003D403A">
        <w:rPr>
          <w:b/>
          <w:bCs/>
          <w:i/>
          <w:iCs/>
        </w:rPr>
        <w:t xml:space="preserve">$686,140 </w:t>
      </w:r>
      <w:r w:rsidR="004F7612" w:rsidRPr="003D403A">
        <w:rPr>
          <w:b/>
          <w:bCs/>
          <w:i/>
          <w:iCs/>
        </w:rPr>
        <w:t xml:space="preserve">TO MODIFY THE </w:t>
      </w:r>
      <w:r w:rsidR="001B1344" w:rsidRPr="003D403A">
        <w:rPr>
          <w:b/>
          <w:bCs/>
          <w:i/>
          <w:iCs/>
        </w:rPr>
        <w:t xml:space="preserve">INFORMATION TECHNOLOGY </w:t>
      </w:r>
      <w:r w:rsidR="004F7612" w:rsidRPr="003D403A">
        <w:rPr>
          <w:b/>
          <w:bCs/>
          <w:i/>
          <w:iCs/>
        </w:rPr>
        <w:t>SYSTEMS REASONABLE?</w:t>
      </w:r>
    </w:p>
    <w:p w14:paraId="4FDAD0C7" w14:textId="1AEDB57E" w:rsidR="00A1502A" w:rsidRDefault="004F7612" w:rsidP="002C01CE">
      <w:pPr>
        <w:spacing w:line="480" w:lineRule="auto"/>
        <w:ind w:left="720" w:right="720" w:hanging="720"/>
        <w:rPr>
          <w:bCs/>
          <w:iCs/>
        </w:rPr>
      </w:pPr>
      <w:r w:rsidRPr="003F15E4">
        <w:rPr>
          <w:b/>
          <w:bCs/>
          <w:i/>
          <w:iCs/>
        </w:rPr>
        <w:t>A1</w:t>
      </w:r>
      <w:r w:rsidR="00302175" w:rsidRPr="003F15E4">
        <w:rPr>
          <w:b/>
          <w:bCs/>
          <w:i/>
          <w:iCs/>
        </w:rPr>
        <w:t>3</w:t>
      </w:r>
      <w:r w:rsidRPr="003F15E4">
        <w:rPr>
          <w:b/>
          <w:bCs/>
          <w:i/>
          <w:iCs/>
        </w:rPr>
        <w:t>.</w:t>
      </w:r>
      <w:r>
        <w:rPr>
          <w:bCs/>
          <w:iCs/>
        </w:rPr>
        <w:tab/>
      </w:r>
      <w:r w:rsidR="000964BD">
        <w:rPr>
          <w:bCs/>
          <w:iCs/>
        </w:rPr>
        <w:t>No.  Prior to the deployment of the smart meters, Duke had the functionality within its IT systems to bill customers based upon actual meter reads performed by the</w:t>
      </w:r>
      <w:r w:rsidR="001B1344">
        <w:rPr>
          <w:bCs/>
          <w:iCs/>
        </w:rPr>
        <w:t xml:space="preserve"> utility</w:t>
      </w:r>
      <w:r w:rsidR="000964BD">
        <w:rPr>
          <w:bCs/>
          <w:iCs/>
        </w:rPr>
        <w:t>, usage information provided by customers</w:t>
      </w:r>
      <w:r w:rsidR="001B1344">
        <w:rPr>
          <w:bCs/>
          <w:iCs/>
        </w:rPr>
        <w:t>,</w:t>
      </w:r>
      <w:r w:rsidR="000964BD">
        <w:rPr>
          <w:bCs/>
          <w:iCs/>
        </w:rPr>
        <w:t xml:space="preserve"> or estimates of the amount of usage.  </w:t>
      </w:r>
      <w:r w:rsidR="00B360EB">
        <w:rPr>
          <w:bCs/>
          <w:iCs/>
        </w:rPr>
        <w:t xml:space="preserve">For customers who </w:t>
      </w:r>
      <w:r w:rsidR="0081143E">
        <w:rPr>
          <w:bCs/>
          <w:iCs/>
        </w:rPr>
        <w:t xml:space="preserve">are </w:t>
      </w:r>
      <w:r w:rsidR="00B360EB">
        <w:rPr>
          <w:bCs/>
          <w:iCs/>
        </w:rPr>
        <w:t>object</w:t>
      </w:r>
      <w:r w:rsidR="0081143E">
        <w:rPr>
          <w:bCs/>
          <w:iCs/>
        </w:rPr>
        <w:t xml:space="preserve">ing </w:t>
      </w:r>
      <w:r w:rsidR="00B360EB">
        <w:rPr>
          <w:bCs/>
          <w:iCs/>
        </w:rPr>
        <w:t xml:space="preserve">to having an </w:t>
      </w:r>
      <w:r w:rsidR="001B1344">
        <w:rPr>
          <w:bCs/>
          <w:iCs/>
        </w:rPr>
        <w:t xml:space="preserve">advanced </w:t>
      </w:r>
      <w:r w:rsidR="00B360EB">
        <w:rPr>
          <w:bCs/>
          <w:iCs/>
        </w:rPr>
        <w:t xml:space="preserve">meter, Duke currently renders bills to these customers without modification to the IT systems.  </w:t>
      </w:r>
      <w:r w:rsidR="00514D47">
        <w:rPr>
          <w:bCs/>
          <w:iCs/>
        </w:rPr>
        <w:t xml:space="preserve">In fact, in </w:t>
      </w:r>
      <w:r w:rsidR="004770F7">
        <w:rPr>
          <w:bCs/>
          <w:iCs/>
        </w:rPr>
        <w:t xml:space="preserve">its </w:t>
      </w:r>
      <w:r w:rsidR="00514D47">
        <w:rPr>
          <w:bCs/>
          <w:iCs/>
        </w:rPr>
        <w:t xml:space="preserve">response to OCC-INT-02-035 (attached herein as JDW-4), </w:t>
      </w:r>
      <w:r w:rsidR="004770F7">
        <w:rPr>
          <w:bCs/>
          <w:iCs/>
        </w:rPr>
        <w:t xml:space="preserve">Duke </w:t>
      </w:r>
      <w:r w:rsidR="00514D47">
        <w:rPr>
          <w:bCs/>
          <w:iCs/>
        </w:rPr>
        <w:t>admitted that changes in the Customer Management System were not necessary in order to bill the usage of customers who opted out from having an</w:t>
      </w:r>
      <w:r w:rsidR="004770F7">
        <w:rPr>
          <w:bCs/>
          <w:iCs/>
        </w:rPr>
        <w:t xml:space="preserve"> advanced meter</w:t>
      </w:r>
      <w:r w:rsidR="00514D47">
        <w:rPr>
          <w:bCs/>
          <w:iCs/>
        </w:rPr>
        <w:t xml:space="preserve">.  Furthermore, </w:t>
      </w:r>
      <w:r w:rsidR="004770F7">
        <w:rPr>
          <w:bCs/>
          <w:iCs/>
        </w:rPr>
        <w:t xml:space="preserve">Duke </w:t>
      </w:r>
      <w:r w:rsidR="00514D47">
        <w:rPr>
          <w:bCs/>
          <w:iCs/>
        </w:rPr>
        <w:t>admitted in its response to OCC-INT-02-034 (attached herein as JDW-5) that changes in the Customer Management System were not necessary for Duke to continue to bill the usage of customers who opted out from having an</w:t>
      </w:r>
      <w:r w:rsidR="004770F7">
        <w:rPr>
          <w:bCs/>
          <w:iCs/>
        </w:rPr>
        <w:t xml:space="preserve"> advanced meter</w:t>
      </w:r>
      <w:r w:rsidR="00514D47">
        <w:rPr>
          <w:bCs/>
          <w:iCs/>
        </w:rPr>
        <w:t xml:space="preserve">.  </w:t>
      </w:r>
      <w:r w:rsidR="00B360EB">
        <w:rPr>
          <w:bCs/>
          <w:iCs/>
        </w:rPr>
        <w:t xml:space="preserve">Seemingly, the primary change that Duke is making to the </w:t>
      </w:r>
      <w:r w:rsidR="00850C8F">
        <w:rPr>
          <w:bCs/>
          <w:iCs/>
        </w:rPr>
        <w:t xml:space="preserve">Customer Management Systems </w:t>
      </w:r>
      <w:r w:rsidR="00B360EB">
        <w:rPr>
          <w:bCs/>
          <w:iCs/>
        </w:rPr>
        <w:t>is the ability to bill customers for the advanced meter opt-out fee.</w:t>
      </w:r>
      <w:r w:rsidR="00B360EB">
        <w:rPr>
          <w:rStyle w:val="FootnoteReference"/>
          <w:bCs/>
          <w:iCs/>
        </w:rPr>
        <w:footnoteReference w:id="18"/>
      </w:r>
      <w:r w:rsidR="00B360EB">
        <w:rPr>
          <w:bCs/>
          <w:iCs/>
        </w:rPr>
        <w:t xml:space="preserve">  </w:t>
      </w:r>
      <w:r w:rsidR="00A1502A">
        <w:rPr>
          <w:bCs/>
          <w:iCs/>
        </w:rPr>
        <w:t xml:space="preserve">But there is no indication that the costs to perform these changes are incremental to costs </w:t>
      </w:r>
      <w:r w:rsidR="00300D09">
        <w:rPr>
          <w:bCs/>
          <w:iCs/>
        </w:rPr>
        <w:t xml:space="preserve">Duke </w:t>
      </w:r>
      <w:r w:rsidR="00A1502A">
        <w:rPr>
          <w:bCs/>
          <w:iCs/>
        </w:rPr>
        <w:t>is already recovering from customers through base rates.</w:t>
      </w:r>
      <w:r w:rsidR="00514D47">
        <w:rPr>
          <w:bCs/>
          <w:iCs/>
        </w:rPr>
        <w:t xml:space="preserve">  When asked about the total annual costs for billing system changes that Duke incurred during the test year for its last electric distribution rate case, </w:t>
      </w:r>
      <w:r w:rsidR="00302175">
        <w:rPr>
          <w:bCs/>
          <w:iCs/>
        </w:rPr>
        <w:t>Duke responded that the information was not available.</w:t>
      </w:r>
      <w:r w:rsidR="00302175">
        <w:rPr>
          <w:rStyle w:val="FootnoteReference"/>
          <w:bCs/>
          <w:iCs/>
        </w:rPr>
        <w:footnoteReference w:id="19"/>
      </w:r>
      <w:r w:rsidR="00302175">
        <w:rPr>
          <w:bCs/>
          <w:iCs/>
        </w:rPr>
        <w:t xml:space="preserve"> When asked about the total annual costs for billing system changes that Duke has incurred each year since the last distribution rate case, Duke responded that the information was not available.</w:t>
      </w:r>
      <w:r w:rsidR="00302175">
        <w:rPr>
          <w:rStyle w:val="FootnoteReference"/>
          <w:bCs/>
          <w:iCs/>
        </w:rPr>
        <w:footnoteReference w:id="20"/>
      </w:r>
      <w:r w:rsidR="00302175">
        <w:rPr>
          <w:bCs/>
          <w:iCs/>
        </w:rPr>
        <w:t xml:space="preserve"> </w:t>
      </w:r>
      <w:r w:rsidR="00850C8F">
        <w:rPr>
          <w:bCs/>
          <w:iCs/>
        </w:rPr>
        <w:t>To the extent that cost information is not available, Duke is unable to demonstrate that the proposed IT c</w:t>
      </w:r>
      <w:r w:rsidR="004A60C0">
        <w:rPr>
          <w:bCs/>
          <w:iCs/>
        </w:rPr>
        <w:t xml:space="preserve">osts </w:t>
      </w:r>
      <w:r w:rsidR="00850C8F">
        <w:rPr>
          <w:bCs/>
          <w:iCs/>
        </w:rPr>
        <w:t xml:space="preserve">are just and reasonable.  </w:t>
      </w:r>
      <w:r w:rsidR="00302175">
        <w:rPr>
          <w:bCs/>
          <w:iCs/>
        </w:rPr>
        <w:t xml:space="preserve"> </w:t>
      </w:r>
    </w:p>
    <w:p w14:paraId="18883817" w14:textId="77777777" w:rsidR="004A0CD4" w:rsidRDefault="004A0CD4" w:rsidP="002C01CE">
      <w:pPr>
        <w:spacing w:line="480" w:lineRule="auto"/>
        <w:ind w:left="720" w:right="720" w:hanging="720"/>
        <w:rPr>
          <w:bCs/>
          <w:iCs/>
        </w:rPr>
      </w:pPr>
    </w:p>
    <w:p w14:paraId="3CDC7D02" w14:textId="77777777" w:rsidR="00A1502A" w:rsidRPr="003D403A" w:rsidRDefault="00A1502A" w:rsidP="002C01CE">
      <w:pPr>
        <w:spacing w:line="480" w:lineRule="auto"/>
        <w:ind w:left="720" w:right="720" w:hanging="720"/>
        <w:rPr>
          <w:b/>
          <w:bCs/>
          <w:i/>
          <w:iCs/>
        </w:rPr>
      </w:pPr>
      <w:r w:rsidRPr="003D403A">
        <w:rPr>
          <w:b/>
          <w:bCs/>
          <w:i/>
          <w:iCs/>
        </w:rPr>
        <w:t>Q1</w:t>
      </w:r>
      <w:r w:rsidR="008638EE" w:rsidRPr="003D403A">
        <w:rPr>
          <w:b/>
          <w:bCs/>
          <w:i/>
          <w:iCs/>
        </w:rPr>
        <w:t>4</w:t>
      </w:r>
      <w:r w:rsidRPr="003D403A">
        <w:rPr>
          <w:b/>
          <w:bCs/>
          <w:i/>
          <w:iCs/>
        </w:rPr>
        <w:t>.</w:t>
      </w:r>
      <w:r w:rsidRPr="003D403A">
        <w:rPr>
          <w:b/>
          <w:bCs/>
          <w:i/>
          <w:iCs/>
        </w:rPr>
        <w:tab/>
        <w:t>IS DUKE</w:t>
      </w:r>
      <w:r w:rsidR="002323A4" w:rsidRPr="003D403A">
        <w:rPr>
          <w:b/>
          <w:bCs/>
          <w:i/>
          <w:iCs/>
        </w:rPr>
        <w:t>’</w:t>
      </w:r>
      <w:r w:rsidRPr="003D403A">
        <w:rPr>
          <w:b/>
          <w:bCs/>
          <w:i/>
          <w:iCs/>
        </w:rPr>
        <w:t>S ESTIMATE OF $54,737.50 TO PERFORM METERING SERVICES REASONABLE?</w:t>
      </w:r>
    </w:p>
    <w:p w14:paraId="71B48778" w14:textId="77777777" w:rsidR="004A60C0" w:rsidRDefault="00A1502A" w:rsidP="004A60C0">
      <w:pPr>
        <w:spacing w:line="480" w:lineRule="auto"/>
        <w:ind w:left="720" w:right="720" w:hanging="720"/>
        <w:rPr>
          <w:bCs/>
          <w:iCs/>
        </w:rPr>
      </w:pPr>
      <w:r w:rsidRPr="003F15E4">
        <w:rPr>
          <w:b/>
          <w:bCs/>
          <w:i/>
          <w:iCs/>
        </w:rPr>
        <w:t>A1</w:t>
      </w:r>
      <w:r w:rsidR="008638EE" w:rsidRPr="003F15E4">
        <w:rPr>
          <w:b/>
          <w:bCs/>
          <w:i/>
          <w:iCs/>
        </w:rPr>
        <w:t>4</w:t>
      </w:r>
      <w:r w:rsidRPr="003F15E4">
        <w:rPr>
          <w:b/>
          <w:bCs/>
          <w:i/>
          <w:iCs/>
        </w:rPr>
        <w:t>.</w:t>
      </w:r>
      <w:r>
        <w:rPr>
          <w:bCs/>
          <w:iCs/>
        </w:rPr>
        <w:tab/>
        <w:t>No.  Duke claims that it will incur $54,737.50 in upfront costs to purchase, store, repair</w:t>
      </w:r>
      <w:r w:rsidR="002323A4">
        <w:rPr>
          <w:bCs/>
          <w:iCs/>
        </w:rPr>
        <w:t>,</w:t>
      </w:r>
      <w:r>
        <w:rPr>
          <w:bCs/>
          <w:iCs/>
        </w:rPr>
        <w:t xml:space="preserve"> and test non-AMI meters.</w:t>
      </w:r>
      <w:r w:rsidR="00DD40F9">
        <w:rPr>
          <w:rStyle w:val="FootnoteReference"/>
          <w:bCs/>
          <w:iCs/>
        </w:rPr>
        <w:footnoteReference w:id="21"/>
      </w:r>
      <w:r>
        <w:rPr>
          <w:bCs/>
          <w:iCs/>
        </w:rPr>
        <w:t xml:space="preserve">  </w:t>
      </w:r>
      <w:r w:rsidR="002323A4">
        <w:rPr>
          <w:bCs/>
          <w:iCs/>
        </w:rPr>
        <w:t xml:space="preserve">Because </w:t>
      </w:r>
      <w:r w:rsidR="00DD40F9">
        <w:rPr>
          <w:bCs/>
          <w:iCs/>
        </w:rPr>
        <w:t xml:space="preserve">customers who have refused an </w:t>
      </w:r>
      <w:r w:rsidR="002323A4">
        <w:rPr>
          <w:bCs/>
          <w:iCs/>
        </w:rPr>
        <w:t xml:space="preserve">advanced </w:t>
      </w:r>
      <w:r w:rsidR="00DD40F9">
        <w:rPr>
          <w:bCs/>
          <w:iCs/>
        </w:rPr>
        <w:t>meter already have a traditional meter, Duke has no need to purchase, store, test, and repair 725 non-</w:t>
      </w:r>
      <w:r w:rsidR="002323A4">
        <w:rPr>
          <w:bCs/>
          <w:iCs/>
        </w:rPr>
        <w:t>advanced</w:t>
      </w:r>
      <w:r w:rsidR="00DD40F9">
        <w:rPr>
          <w:bCs/>
          <w:iCs/>
        </w:rPr>
        <w:t xml:space="preserve"> meters.  In addition, </w:t>
      </w:r>
      <w:r w:rsidR="003821DE">
        <w:rPr>
          <w:bCs/>
          <w:iCs/>
        </w:rPr>
        <w:t xml:space="preserve">should the need arise, </w:t>
      </w:r>
      <w:r w:rsidR="00DD40F9">
        <w:rPr>
          <w:bCs/>
          <w:iCs/>
        </w:rPr>
        <w:t>Duke can use some of the fully functional</w:t>
      </w:r>
      <w:r w:rsidR="003821DE">
        <w:rPr>
          <w:bCs/>
          <w:iCs/>
        </w:rPr>
        <w:t>,</w:t>
      </w:r>
      <w:r w:rsidR="00DD40F9">
        <w:rPr>
          <w:bCs/>
          <w:iCs/>
        </w:rPr>
        <w:t xml:space="preserve"> </w:t>
      </w:r>
      <w:r w:rsidR="004A60C0">
        <w:rPr>
          <w:bCs/>
          <w:iCs/>
        </w:rPr>
        <w:t xml:space="preserve">used and useful </w:t>
      </w:r>
      <w:r w:rsidR="00DD40F9">
        <w:rPr>
          <w:bCs/>
          <w:iCs/>
        </w:rPr>
        <w:t xml:space="preserve">traditional meters that </w:t>
      </w:r>
      <w:r w:rsidR="00850C8F">
        <w:rPr>
          <w:bCs/>
          <w:iCs/>
        </w:rPr>
        <w:t xml:space="preserve">customers </w:t>
      </w:r>
      <w:r w:rsidR="003821DE">
        <w:rPr>
          <w:bCs/>
          <w:iCs/>
        </w:rPr>
        <w:t xml:space="preserve">have already paid for </w:t>
      </w:r>
      <w:r w:rsidR="00850C8F">
        <w:rPr>
          <w:bCs/>
          <w:iCs/>
        </w:rPr>
        <w:t xml:space="preserve">in base rates and </w:t>
      </w:r>
      <w:r w:rsidR="003821DE">
        <w:rPr>
          <w:bCs/>
          <w:iCs/>
        </w:rPr>
        <w:t xml:space="preserve">that </w:t>
      </w:r>
      <w:r w:rsidR="00DD40F9">
        <w:rPr>
          <w:bCs/>
          <w:iCs/>
        </w:rPr>
        <w:t xml:space="preserve">were replaced by </w:t>
      </w:r>
      <w:r w:rsidR="002323A4">
        <w:rPr>
          <w:bCs/>
          <w:iCs/>
        </w:rPr>
        <w:t xml:space="preserve">advanced </w:t>
      </w:r>
      <w:r w:rsidR="00DD40F9">
        <w:rPr>
          <w:bCs/>
          <w:iCs/>
        </w:rPr>
        <w:t>meters during the smart meter deployment.  Finally, Duke has not demonstrated that any metering service costs are incremental to the cost</w:t>
      </w:r>
      <w:r w:rsidR="002323A4">
        <w:rPr>
          <w:bCs/>
          <w:iCs/>
        </w:rPr>
        <w:t>s</w:t>
      </w:r>
      <w:r w:rsidR="00DD40F9">
        <w:rPr>
          <w:bCs/>
          <w:iCs/>
        </w:rPr>
        <w:t xml:space="preserve"> </w:t>
      </w:r>
      <w:r w:rsidR="002323A4">
        <w:rPr>
          <w:bCs/>
          <w:iCs/>
        </w:rPr>
        <w:t xml:space="preserve">Duke </w:t>
      </w:r>
      <w:r w:rsidR="00DD40F9">
        <w:rPr>
          <w:bCs/>
          <w:iCs/>
        </w:rPr>
        <w:t xml:space="preserve">currently </w:t>
      </w:r>
      <w:r w:rsidR="00786457">
        <w:rPr>
          <w:bCs/>
          <w:iCs/>
        </w:rPr>
        <w:t xml:space="preserve">receives from customers through </w:t>
      </w:r>
      <w:r w:rsidR="00DD40F9">
        <w:rPr>
          <w:bCs/>
          <w:iCs/>
        </w:rPr>
        <w:t>base rates.</w:t>
      </w:r>
      <w:r w:rsidR="004A60C0">
        <w:rPr>
          <w:bCs/>
          <w:iCs/>
        </w:rPr>
        <w:t xml:space="preserve">  When asked about the total annual costs for metering capabilities that Duke incurred during the test year for its last electric distribution rate case, Duke responded that the information was not available.</w:t>
      </w:r>
      <w:r w:rsidR="004A60C0">
        <w:rPr>
          <w:rStyle w:val="FootnoteReference"/>
          <w:bCs/>
          <w:iCs/>
        </w:rPr>
        <w:footnoteReference w:id="22"/>
      </w:r>
      <w:r w:rsidR="004A60C0">
        <w:rPr>
          <w:bCs/>
          <w:iCs/>
        </w:rPr>
        <w:t xml:space="preserve"> When asked about the total annual costs for metering capabilities that Duke has incurred each year since the last distribution rate case, Duke responded that the information was not available.</w:t>
      </w:r>
      <w:r w:rsidR="004A60C0">
        <w:rPr>
          <w:rStyle w:val="FootnoteReference"/>
          <w:bCs/>
          <w:iCs/>
        </w:rPr>
        <w:footnoteReference w:id="23"/>
      </w:r>
      <w:r w:rsidR="004A60C0">
        <w:rPr>
          <w:bCs/>
          <w:iCs/>
        </w:rPr>
        <w:t xml:space="preserve"> To the extent that cost information is not available, Duke is unable to demonstrate that the proposed Metering Service costs are just and reasonable.   </w:t>
      </w:r>
    </w:p>
    <w:p w14:paraId="35BE0D51" w14:textId="77777777" w:rsidR="00DD40F9" w:rsidRDefault="00DD40F9" w:rsidP="002C01CE">
      <w:pPr>
        <w:spacing w:line="480" w:lineRule="auto"/>
        <w:ind w:left="720" w:right="720" w:hanging="720"/>
        <w:rPr>
          <w:bCs/>
          <w:iCs/>
        </w:rPr>
      </w:pPr>
    </w:p>
    <w:p w14:paraId="5711A6AE" w14:textId="77777777" w:rsidR="004813A3" w:rsidRPr="003D403A" w:rsidRDefault="004813A3" w:rsidP="004813A3">
      <w:pPr>
        <w:spacing w:line="480" w:lineRule="auto"/>
        <w:ind w:left="720" w:right="720" w:hanging="720"/>
        <w:rPr>
          <w:b/>
          <w:bCs/>
          <w:i/>
          <w:iCs/>
        </w:rPr>
      </w:pPr>
      <w:r w:rsidRPr="003D403A">
        <w:rPr>
          <w:b/>
          <w:bCs/>
          <w:i/>
          <w:iCs/>
        </w:rPr>
        <w:t>Q1</w:t>
      </w:r>
      <w:r w:rsidR="008638EE" w:rsidRPr="003D403A">
        <w:rPr>
          <w:b/>
          <w:bCs/>
          <w:i/>
          <w:iCs/>
        </w:rPr>
        <w:t>5</w:t>
      </w:r>
      <w:r w:rsidRPr="003D403A">
        <w:rPr>
          <w:b/>
          <w:bCs/>
          <w:i/>
          <w:iCs/>
        </w:rPr>
        <w:t>.</w:t>
      </w:r>
      <w:r w:rsidRPr="003D403A">
        <w:rPr>
          <w:b/>
          <w:bCs/>
          <w:i/>
          <w:iCs/>
        </w:rPr>
        <w:tab/>
        <w:t>IS DUKE</w:t>
      </w:r>
      <w:r w:rsidR="002323A4" w:rsidRPr="003D403A">
        <w:rPr>
          <w:b/>
          <w:bCs/>
          <w:i/>
          <w:iCs/>
        </w:rPr>
        <w:t>’</w:t>
      </w:r>
      <w:r w:rsidRPr="003D403A">
        <w:rPr>
          <w:b/>
          <w:bCs/>
          <w:i/>
          <w:iCs/>
        </w:rPr>
        <w:t>S ESTIMATE OF $37,120.00 TO PERFORM DISTRIBUTION MAINTENANCE REASONABLE?</w:t>
      </w:r>
    </w:p>
    <w:p w14:paraId="5B343B46" w14:textId="77777777" w:rsidR="00A24126" w:rsidRDefault="004813A3" w:rsidP="002C01CE">
      <w:pPr>
        <w:spacing w:line="480" w:lineRule="auto"/>
        <w:ind w:left="720" w:right="720" w:hanging="720"/>
        <w:rPr>
          <w:bCs/>
          <w:iCs/>
        </w:rPr>
      </w:pPr>
      <w:r w:rsidRPr="003F15E4">
        <w:rPr>
          <w:b/>
          <w:bCs/>
          <w:i/>
          <w:iCs/>
        </w:rPr>
        <w:t>A1</w:t>
      </w:r>
      <w:r w:rsidR="008638EE" w:rsidRPr="003F15E4">
        <w:rPr>
          <w:b/>
          <w:bCs/>
          <w:i/>
          <w:iCs/>
        </w:rPr>
        <w:t>5</w:t>
      </w:r>
      <w:r w:rsidRPr="003F15E4">
        <w:rPr>
          <w:b/>
          <w:bCs/>
          <w:i/>
          <w:iCs/>
        </w:rPr>
        <w:t>.</w:t>
      </w:r>
      <w:r>
        <w:rPr>
          <w:bCs/>
          <w:iCs/>
        </w:rPr>
        <w:tab/>
        <w:t>No. Duke claims that it will incur these costs to install non-</w:t>
      </w:r>
      <w:r w:rsidR="002323A4">
        <w:rPr>
          <w:bCs/>
          <w:iCs/>
        </w:rPr>
        <w:t>advanced</w:t>
      </w:r>
      <w:r>
        <w:rPr>
          <w:bCs/>
          <w:iCs/>
        </w:rPr>
        <w:t xml:space="preserve"> meters and to install additional communication devices.  However, </w:t>
      </w:r>
      <w:r w:rsidR="00786457">
        <w:rPr>
          <w:bCs/>
          <w:iCs/>
        </w:rPr>
        <w:t xml:space="preserve">the majority of customers who might </w:t>
      </w:r>
      <w:r w:rsidR="002323A4">
        <w:rPr>
          <w:bCs/>
          <w:iCs/>
        </w:rPr>
        <w:t xml:space="preserve">choose not to have an </w:t>
      </w:r>
      <w:r w:rsidR="00786457">
        <w:rPr>
          <w:bCs/>
          <w:iCs/>
        </w:rPr>
        <w:t>advanced meter already have a traditional meter</w:t>
      </w:r>
      <w:r w:rsidR="002323A4">
        <w:rPr>
          <w:bCs/>
          <w:iCs/>
        </w:rPr>
        <w:t>,</w:t>
      </w:r>
      <w:r w:rsidR="00786457">
        <w:rPr>
          <w:bCs/>
          <w:iCs/>
        </w:rPr>
        <w:t xml:space="preserve"> and Duke does not need to install a new meter.  Duke estimated that </w:t>
      </w:r>
      <w:r w:rsidR="002323A4">
        <w:rPr>
          <w:bCs/>
          <w:iCs/>
        </w:rPr>
        <w:t xml:space="preserve">it would need </w:t>
      </w:r>
      <w:r w:rsidR="0008366A">
        <w:rPr>
          <w:bCs/>
          <w:iCs/>
        </w:rPr>
        <w:t>$4,453.68 to purchase additional communication devices.</w:t>
      </w:r>
      <w:r w:rsidR="0008366A">
        <w:rPr>
          <w:rStyle w:val="FootnoteReference"/>
          <w:bCs/>
          <w:iCs/>
        </w:rPr>
        <w:footnoteReference w:id="24"/>
      </w:r>
      <w:r w:rsidR="0008366A">
        <w:rPr>
          <w:bCs/>
          <w:iCs/>
        </w:rPr>
        <w:t xml:space="preserve">  However, this estimate is not substantiated</w:t>
      </w:r>
      <w:r w:rsidR="002323A4">
        <w:rPr>
          <w:bCs/>
          <w:iCs/>
        </w:rPr>
        <w:t>,</w:t>
      </w:r>
      <w:r w:rsidR="0008366A">
        <w:rPr>
          <w:bCs/>
          <w:iCs/>
        </w:rPr>
        <w:t xml:space="preserve"> and in fact, no additional communication devices have been needed for the customers who have </w:t>
      </w:r>
      <w:r w:rsidR="002323A4">
        <w:rPr>
          <w:bCs/>
          <w:iCs/>
        </w:rPr>
        <w:t xml:space="preserve">already </w:t>
      </w:r>
      <w:r w:rsidR="0008366A">
        <w:rPr>
          <w:bCs/>
          <w:iCs/>
        </w:rPr>
        <w:t xml:space="preserve">requested to not have an </w:t>
      </w:r>
      <w:r w:rsidR="002323A4">
        <w:rPr>
          <w:bCs/>
          <w:iCs/>
        </w:rPr>
        <w:t xml:space="preserve">advanced </w:t>
      </w:r>
      <w:r w:rsidR="0008366A">
        <w:rPr>
          <w:bCs/>
          <w:iCs/>
        </w:rPr>
        <w:t>meter.</w:t>
      </w:r>
      <w:r w:rsidR="0008366A">
        <w:rPr>
          <w:rStyle w:val="FootnoteReference"/>
          <w:bCs/>
          <w:iCs/>
        </w:rPr>
        <w:footnoteReference w:id="25"/>
      </w:r>
      <w:r w:rsidR="0008366A">
        <w:rPr>
          <w:bCs/>
          <w:iCs/>
        </w:rPr>
        <w:t xml:space="preserve">   </w:t>
      </w:r>
      <w:r w:rsidR="00786457">
        <w:rPr>
          <w:bCs/>
          <w:iCs/>
        </w:rPr>
        <w:t xml:space="preserve">  </w:t>
      </w:r>
    </w:p>
    <w:p w14:paraId="6F961930" w14:textId="77777777" w:rsidR="002A3586" w:rsidRDefault="002A3586" w:rsidP="002C01CE">
      <w:pPr>
        <w:spacing w:line="480" w:lineRule="auto"/>
        <w:ind w:left="720" w:right="720" w:hanging="720"/>
        <w:rPr>
          <w:bCs/>
          <w:iCs/>
        </w:rPr>
      </w:pPr>
    </w:p>
    <w:p w14:paraId="7DD2D301" w14:textId="77777777" w:rsidR="00A24126" w:rsidRPr="003D403A" w:rsidRDefault="00A24126" w:rsidP="00A24126">
      <w:pPr>
        <w:spacing w:line="480" w:lineRule="auto"/>
        <w:ind w:left="720" w:right="720" w:hanging="720"/>
        <w:rPr>
          <w:b/>
          <w:bCs/>
          <w:i/>
          <w:iCs/>
        </w:rPr>
      </w:pPr>
      <w:r w:rsidRPr="003D403A">
        <w:rPr>
          <w:b/>
          <w:bCs/>
          <w:i/>
          <w:iCs/>
        </w:rPr>
        <w:t>Q1</w:t>
      </w:r>
      <w:r w:rsidR="008638EE" w:rsidRPr="003D403A">
        <w:rPr>
          <w:b/>
          <w:bCs/>
          <w:i/>
          <w:iCs/>
        </w:rPr>
        <w:t>6</w:t>
      </w:r>
      <w:r w:rsidRPr="003D403A">
        <w:rPr>
          <w:b/>
          <w:bCs/>
          <w:i/>
          <w:iCs/>
        </w:rPr>
        <w:t>.</w:t>
      </w:r>
      <w:r w:rsidRPr="003D403A">
        <w:rPr>
          <w:b/>
          <w:bCs/>
          <w:i/>
          <w:iCs/>
        </w:rPr>
        <w:tab/>
        <w:t xml:space="preserve">PLEASE EXPAIN HOW DUKE CALCULATED THE RECURRING MONTHLY CHARGE OF $40.63. </w:t>
      </w:r>
    </w:p>
    <w:p w14:paraId="1BF5C0C1" w14:textId="2C58549A" w:rsidR="0051225F" w:rsidRPr="00D47B14" w:rsidRDefault="0008366A" w:rsidP="0008366A">
      <w:pPr>
        <w:spacing w:line="480" w:lineRule="auto"/>
        <w:ind w:left="720" w:right="720" w:hanging="720"/>
        <w:rPr>
          <w:bCs/>
          <w:iCs/>
        </w:rPr>
      </w:pPr>
      <w:r w:rsidRPr="003F15E4">
        <w:rPr>
          <w:b/>
          <w:bCs/>
          <w:i/>
          <w:iCs/>
        </w:rPr>
        <w:t>A1</w:t>
      </w:r>
      <w:r w:rsidR="008638EE" w:rsidRPr="003F15E4">
        <w:rPr>
          <w:b/>
          <w:bCs/>
          <w:i/>
          <w:iCs/>
        </w:rPr>
        <w:t>6</w:t>
      </w:r>
      <w:r w:rsidRPr="003F15E4">
        <w:rPr>
          <w:b/>
          <w:bCs/>
          <w:i/>
          <w:iCs/>
        </w:rPr>
        <w:t>.</w:t>
      </w:r>
      <w:r>
        <w:rPr>
          <w:bCs/>
          <w:iCs/>
        </w:rPr>
        <w:tab/>
      </w:r>
      <w:r w:rsidR="00675007">
        <w:rPr>
          <w:bCs/>
          <w:iCs/>
        </w:rPr>
        <w:t xml:space="preserve">Duke also provided very few details </w:t>
      </w:r>
      <w:r w:rsidR="0081143E">
        <w:rPr>
          <w:bCs/>
          <w:iCs/>
        </w:rPr>
        <w:t xml:space="preserve">as to </w:t>
      </w:r>
      <w:r w:rsidR="00675007">
        <w:rPr>
          <w:bCs/>
          <w:iCs/>
        </w:rPr>
        <w:t>how the recurring monthly charge was calculated</w:t>
      </w:r>
      <w:r w:rsidR="00226E0D">
        <w:rPr>
          <w:bCs/>
          <w:iCs/>
        </w:rPr>
        <w:t xml:space="preserve"> in the Application</w:t>
      </w:r>
      <w:r w:rsidR="00675007">
        <w:rPr>
          <w:bCs/>
          <w:iCs/>
        </w:rPr>
        <w:t xml:space="preserve">.  </w:t>
      </w:r>
      <w:r w:rsidR="00D23FE1">
        <w:rPr>
          <w:bCs/>
          <w:iCs/>
        </w:rPr>
        <w:t>Duke contends there will be an annual recurring cost of $353,468.68 spread between Metering Services (</w:t>
      </w:r>
      <w:r w:rsidR="00CE4D9E">
        <w:rPr>
          <w:bCs/>
          <w:iCs/>
        </w:rPr>
        <w:t>$</w:t>
      </w:r>
      <w:r w:rsidR="00D23FE1">
        <w:rPr>
          <w:bCs/>
          <w:iCs/>
        </w:rPr>
        <w:t xml:space="preserve">349,015.00) and Distribution Maintenance ($4,453.68).  </w:t>
      </w:r>
      <w:r w:rsidR="00675007">
        <w:rPr>
          <w:bCs/>
          <w:iCs/>
        </w:rPr>
        <w:t>The recurring monthly charge of $40.63 was determined by dividing Duke’s estimate of the monthly costs</w:t>
      </w:r>
      <w:r w:rsidR="00D23FE1">
        <w:rPr>
          <w:bCs/>
          <w:iCs/>
        </w:rPr>
        <w:t xml:space="preserve"> by </w:t>
      </w:r>
      <w:r w:rsidR="008638EE">
        <w:rPr>
          <w:bCs/>
          <w:iCs/>
        </w:rPr>
        <w:t xml:space="preserve">the 725 customers </w:t>
      </w:r>
      <w:r w:rsidR="00CE4D9E">
        <w:rPr>
          <w:bCs/>
          <w:iCs/>
        </w:rPr>
        <w:t>Duke</w:t>
      </w:r>
      <w:r w:rsidR="008638EE">
        <w:rPr>
          <w:bCs/>
          <w:iCs/>
        </w:rPr>
        <w:t xml:space="preserve"> assumes will </w:t>
      </w:r>
      <w:r w:rsidR="00CE4D9E">
        <w:rPr>
          <w:bCs/>
          <w:iCs/>
        </w:rPr>
        <w:t>choose not to have an advanced meter</w:t>
      </w:r>
      <w:r w:rsidR="00D23FE1">
        <w:rPr>
          <w:bCs/>
          <w:iCs/>
        </w:rPr>
        <w:t>.</w:t>
      </w:r>
      <w:r w:rsidR="00675007">
        <w:rPr>
          <w:bCs/>
          <w:iCs/>
        </w:rPr>
        <w:t xml:space="preserve">    </w:t>
      </w:r>
    </w:p>
    <w:p w14:paraId="3DF07B76" w14:textId="77777777" w:rsidR="0008366A" w:rsidRDefault="0008366A" w:rsidP="00D47B14">
      <w:pPr>
        <w:spacing w:line="480" w:lineRule="auto"/>
        <w:ind w:left="720" w:right="720" w:hanging="720"/>
        <w:rPr>
          <w:b/>
          <w:bCs/>
          <w:iCs/>
        </w:rPr>
      </w:pPr>
    </w:p>
    <w:p w14:paraId="4DBD456B" w14:textId="77777777" w:rsidR="008C21AE" w:rsidRPr="003D403A" w:rsidRDefault="0008366A" w:rsidP="00D47B14">
      <w:pPr>
        <w:spacing w:line="480" w:lineRule="auto"/>
        <w:ind w:left="720" w:right="720" w:hanging="720"/>
        <w:rPr>
          <w:b/>
          <w:bCs/>
          <w:i/>
          <w:iCs/>
        </w:rPr>
      </w:pPr>
      <w:r w:rsidRPr="003D403A">
        <w:rPr>
          <w:b/>
          <w:bCs/>
          <w:i/>
          <w:iCs/>
        </w:rPr>
        <w:t>Q1</w:t>
      </w:r>
      <w:r w:rsidR="008638EE" w:rsidRPr="003D403A">
        <w:rPr>
          <w:b/>
          <w:bCs/>
          <w:i/>
          <w:iCs/>
        </w:rPr>
        <w:t>7</w:t>
      </w:r>
      <w:r w:rsidRPr="003D403A">
        <w:rPr>
          <w:b/>
          <w:bCs/>
          <w:i/>
          <w:iCs/>
        </w:rPr>
        <w:t>.</w:t>
      </w:r>
      <w:r w:rsidRPr="003D403A">
        <w:rPr>
          <w:b/>
          <w:bCs/>
          <w:i/>
          <w:iCs/>
        </w:rPr>
        <w:tab/>
        <w:t>IS DUKE</w:t>
      </w:r>
      <w:r w:rsidR="00CE4D9E" w:rsidRPr="003D403A">
        <w:rPr>
          <w:b/>
          <w:bCs/>
          <w:i/>
          <w:iCs/>
        </w:rPr>
        <w:t>’</w:t>
      </w:r>
      <w:r w:rsidRPr="003D403A">
        <w:rPr>
          <w:b/>
          <w:bCs/>
          <w:i/>
          <w:iCs/>
        </w:rPr>
        <w:t>S ESTIMATED COST OF $349,015.00 FOR METERING SERVICES REASONABLE?</w:t>
      </w:r>
    </w:p>
    <w:p w14:paraId="711CF4C2" w14:textId="77777777" w:rsidR="0050221C" w:rsidRDefault="0008366A" w:rsidP="00D47B14">
      <w:pPr>
        <w:spacing w:line="480" w:lineRule="auto"/>
        <w:ind w:left="720" w:right="720" w:hanging="720"/>
        <w:rPr>
          <w:bCs/>
          <w:iCs/>
        </w:rPr>
      </w:pPr>
      <w:r w:rsidRPr="003F15E4">
        <w:rPr>
          <w:b/>
          <w:bCs/>
          <w:i/>
          <w:iCs/>
        </w:rPr>
        <w:t>A1</w:t>
      </w:r>
      <w:r w:rsidR="008638EE" w:rsidRPr="003F15E4">
        <w:rPr>
          <w:b/>
          <w:bCs/>
          <w:i/>
          <w:iCs/>
        </w:rPr>
        <w:t>7</w:t>
      </w:r>
      <w:r w:rsidRPr="003F15E4">
        <w:rPr>
          <w:b/>
          <w:bCs/>
          <w:i/>
          <w:iCs/>
        </w:rPr>
        <w:t>.</w:t>
      </w:r>
      <w:r w:rsidRPr="0008366A">
        <w:rPr>
          <w:bCs/>
          <w:iCs/>
        </w:rPr>
        <w:tab/>
        <w:t>No.</w:t>
      </w:r>
      <w:r w:rsidR="000B54E7">
        <w:rPr>
          <w:bCs/>
          <w:iCs/>
        </w:rPr>
        <w:t xml:space="preserve">  Duke has assumed that there will be a monthly meter read for each customer who </w:t>
      </w:r>
      <w:r w:rsidR="00A84148">
        <w:rPr>
          <w:bCs/>
          <w:iCs/>
        </w:rPr>
        <w:t xml:space="preserve">chooses not to have an </w:t>
      </w:r>
      <w:r w:rsidR="000B54E7">
        <w:rPr>
          <w:bCs/>
          <w:iCs/>
        </w:rPr>
        <w:t>advanced meter and that each meter read will entail an hour of work.</w:t>
      </w:r>
      <w:r w:rsidR="00E91886">
        <w:rPr>
          <w:rStyle w:val="FootnoteReference"/>
          <w:bCs/>
          <w:iCs/>
        </w:rPr>
        <w:footnoteReference w:id="26"/>
      </w:r>
      <w:r w:rsidR="000B54E7">
        <w:rPr>
          <w:bCs/>
          <w:iCs/>
        </w:rPr>
        <w:t xml:space="preserve">  However, </w:t>
      </w:r>
      <w:r w:rsidR="00E91886">
        <w:rPr>
          <w:bCs/>
          <w:iCs/>
        </w:rPr>
        <w:t>Duke has not substantiated the hour required for each meter read.  In fact, Duke should be able to more effectively plan the rout</w:t>
      </w:r>
      <w:r w:rsidR="00A84148">
        <w:rPr>
          <w:bCs/>
          <w:iCs/>
        </w:rPr>
        <w:t>es</w:t>
      </w:r>
      <w:r w:rsidR="00E91886">
        <w:rPr>
          <w:bCs/>
          <w:iCs/>
        </w:rPr>
        <w:t xml:space="preserve"> </w:t>
      </w:r>
      <w:r w:rsidR="00A84148">
        <w:rPr>
          <w:bCs/>
          <w:iCs/>
        </w:rPr>
        <w:t xml:space="preserve">for </w:t>
      </w:r>
      <w:r w:rsidR="00E91886">
        <w:rPr>
          <w:bCs/>
          <w:iCs/>
        </w:rPr>
        <w:t>the</w:t>
      </w:r>
      <w:r w:rsidR="00A84148">
        <w:rPr>
          <w:bCs/>
          <w:iCs/>
        </w:rPr>
        <w:t>ir</w:t>
      </w:r>
      <w:r w:rsidR="00E91886">
        <w:rPr>
          <w:bCs/>
          <w:iCs/>
        </w:rPr>
        <w:t xml:space="preserve"> meter read</w:t>
      </w:r>
      <w:r w:rsidR="00A84148">
        <w:rPr>
          <w:bCs/>
          <w:iCs/>
        </w:rPr>
        <w:t>er</w:t>
      </w:r>
      <w:r w:rsidR="00E91886">
        <w:rPr>
          <w:bCs/>
          <w:iCs/>
        </w:rPr>
        <w:t>s to enable multiple reads to be performed within an hour.  In addition, Duke has not considered any alternatives to a monthly meter read</w:t>
      </w:r>
      <w:r w:rsidR="004724D6">
        <w:rPr>
          <w:bCs/>
          <w:iCs/>
        </w:rPr>
        <w:t xml:space="preserve"> by a meter reader.  S</w:t>
      </w:r>
      <w:r w:rsidR="00E91886">
        <w:rPr>
          <w:bCs/>
          <w:iCs/>
        </w:rPr>
        <w:t xml:space="preserve">uch </w:t>
      </w:r>
      <w:r w:rsidR="004724D6">
        <w:rPr>
          <w:bCs/>
          <w:iCs/>
        </w:rPr>
        <w:t xml:space="preserve">alternatives would be for Duke to </w:t>
      </w:r>
      <w:r w:rsidR="00E91886">
        <w:rPr>
          <w:bCs/>
          <w:iCs/>
        </w:rPr>
        <w:t>perform the reads on a quarterly basis</w:t>
      </w:r>
      <w:r w:rsidR="004724D6">
        <w:rPr>
          <w:bCs/>
          <w:iCs/>
        </w:rPr>
        <w:t xml:space="preserve"> or for customers to read their own meters and report the reading to Duke</w:t>
      </w:r>
      <w:r w:rsidR="00E91886">
        <w:rPr>
          <w:bCs/>
          <w:iCs/>
        </w:rPr>
        <w:t>.</w:t>
      </w:r>
      <w:r w:rsidR="00E91886">
        <w:rPr>
          <w:rStyle w:val="FootnoteReference"/>
          <w:bCs/>
          <w:iCs/>
        </w:rPr>
        <w:footnoteReference w:id="27"/>
      </w:r>
      <w:r w:rsidR="00E91886">
        <w:rPr>
          <w:bCs/>
          <w:iCs/>
        </w:rPr>
        <w:t xml:space="preserve">  Ohio Adm. Code 4901:1-10-05(I)(1)</w:t>
      </w:r>
      <w:r w:rsidR="001F56EE">
        <w:rPr>
          <w:bCs/>
          <w:iCs/>
        </w:rPr>
        <w:t xml:space="preserve"> requires an electric utility to make reasonable efforts to read a meter each billing period and to ensure each meter is actually </w:t>
      </w:r>
      <w:r w:rsidR="00E91886">
        <w:rPr>
          <w:bCs/>
          <w:iCs/>
        </w:rPr>
        <w:t>read on an annual basis.</w:t>
      </w:r>
      <w:r w:rsidR="001F56EE">
        <w:rPr>
          <w:bCs/>
          <w:iCs/>
        </w:rPr>
        <w:t xml:space="preserve">  </w:t>
      </w:r>
      <w:r w:rsidR="005036B0">
        <w:rPr>
          <w:bCs/>
          <w:iCs/>
        </w:rPr>
        <w:t xml:space="preserve">The Rule also allows for </w:t>
      </w:r>
      <w:r w:rsidR="005036B0">
        <w:t xml:space="preserve">the customer and the electric utility to agree to other arrangements.  </w:t>
      </w:r>
      <w:r w:rsidR="001F56EE">
        <w:rPr>
          <w:bCs/>
          <w:iCs/>
        </w:rPr>
        <w:t xml:space="preserve">Providing advanced meter opt-out customers with the option to </w:t>
      </w:r>
      <w:r w:rsidR="004724D6">
        <w:rPr>
          <w:bCs/>
          <w:iCs/>
        </w:rPr>
        <w:t xml:space="preserve">do </w:t>
      </w:r>
      <w:r w:rsidR="001F56EE">
        <w:rPr>
          <w:bCs/>
          <w:iCs/>
        </w:rPr>
        <w:t>their own meter read</w:t>
      </w:r>
      <w:r w:rsidR="00E91732">
        <w:rPr>
          <w:bCs/>
          <w:iCs/>
        </w:rPr>
        <w:t>ing</w:t>
      </w:r>
      <w:r w:rsidR="001F56EE">
        <w:rPr>
          <w:bCs/>
          <w:iCs/>
        </w:rPr>
        <w:t xml:space="preserve"> can reduce Duke</w:t>
      </w:r>
      <w:r w:rsidR="00A84148">
        <w:rPr>
          <w:bCs/>
          <w:iCs/>
        </w:rPr>
        <w:t>’</w:t>
      </w:r>
      <w:r w:rsidR="001F56EE">
        <w:rPr>
          <w:bCs/>
          <w:iCs/>
        </w:rPr>
        <w:t xml:space="preserve">s costs and help reduce the expense for customers.  Finally, Duke has not demonstrated that the metering service costs are incremental to the costs customers are already paying in base rates.  </w:t>
      </w:r>
      <w:r w:rsidR="003850CA">
        <w:rPr>
          <w:bCs/>
          <w:iCs/>
        </w:rPr>
        <w:t xml:space="preserve">As of August 2014, </w:t>
      </w:r>
      <w:r w:rsidR="00A44A2E">
        <w:rPr>
          <w:bCs/>
          <w:iCs/>
        </w:rPr>
        <w:t>Duke employ</w:t>
      </w:r>
      <w:r w:rsidR="003850CA">
        <w:rPr>
          <w:bCs/>
          <w:iCs/>
        </w:rPr>
        <w:t xml:space="preserve">ed </w:t>
      </w:r>
      <w:r w:rsidR="00A44A2E">
        <w:rPr>
          <w:bCs/>
          <w:iCs/>
        </w:rPr>
        <w:t>42 meter readers in Ohio</w:t>
      </w:r>
      <w:r w:rsidR="0081143E">
        <w:rPr>
          <w:bCs/>
          <w:iCs/>
        </w:rPr>
        <w:t>,</w:t>
      </w:r>
      <w:r w:rsidR="000C617D">
        <w:rPr>
          <w:rStyle w:val="FootnoteReference"/>
          <w:bCs/>
          <w:iCs/>
        </w:rPr>
        <w:footnoteReference w:id="28"/>
      </w:r>
      <w:r w:rsidR="000C617D">
        <w:rPr>
          <w:bCs/>
          <w:iCs/>
        </w:rPr>
        <w:t xml:space="preserve"> which is a reduction from the 74 meter readers that were </w:t>
      </w:r>
      <w:r w:rsidR="0081143E">
        <w:rPr>
          <w:bCs/>
          <w:iCs/>
        </w:rPr>
        <w:t xml:space="preserve">already </w:t>
      </w:r>
      <w:r w:rsidR="000C617D">
        <w:rPr>
          <w:bCs/>
          <w:iCs/>
        </w:rPr>
        <w:t>included in base rates from the last distribution rate ca</w:t>
      </w:r>
      <w:r w:rsidR="00856A89">
        <w:rPr>
          <w:bCs/>
          <w:iCs/>
        </w:rPr>
        <w:t>s</w:t>
      </w:r>
      <w:r w:rsidR="000C617D">
        <w:rPr>
          <w:bCs/>
          <w:iCs/>
        </w:rPr>
        <w:t>e.</w:t>
      </w:r>
      <w:r w:rsidR="000C617D">
        <w:rPr>
          <w:rStyle w:val="FootnoteReference"/>
          <w:bCs/>
          <w:iCs/>
        </w:rPr>
        <w:footnoteReference w:id="29"/>
      </w:r>
      <w:r w:rsidR="000C617D">
        <w:rPr>
          <w:bCs/>
          <w:iCs/>
        </w:rPr>
        <w:t xml:space="preserve">  </w:t>
      </w:r>
      <w:r w:rsidR="002D006B">
        <w:rPr>
          <w:bCs/>
          <w:iCs/>
        </w:rPr>
        <w:t>This should be a sufficient number of meter readers to perform manual meter reads for the 725 customers Duke assumes will participate in the advanced meter opt-out.</w:t>
      </w:r>
    </w:p>
    <w:p w14:paraId="7EE69CFA" w14:textId="77777777" w:rsidR="003850CA" w:rsidRDefault="003850CA" w:rsidP="00D47B14">
      <w:pPr>
        <w:spacing w:line="480" w:lineRule="auto"/>
        <w:ind w:left="720" w:right="720" w:hanging="720"/>
        <w:rPr>
          <w:bCs/>
          <w:iCs/>
        </w:rPr>
      </w:pPr>
    </w:p>
    <w:p w14:paraId="2BBF9DDC" w14:textId="77777777" w:rsidR="00124D25" w:rsidRDefault="00124D25">
      <w:pPr>
        <w:rPr>
          <w:b/>
          <w:i/>
          <w:iCs/>
        </w:rPr>
      </w:pPr>
      <w:r>
        <w:rPr>
          <w:b/>
          <w:i/>
          <w:iCs/>
        </w:rPr>
        <w:br w:type="page"/>
      </w:r>
    </w:p>
    <w:p w14:paraId="70210F3D" w14:textId="7EEB80F8" w:rsidR="0050221C" w:rsidRPr="00731A42" w:rsidRDefault="0050221C" w:rsidP="0050221C">
      <w:pPr>
        <w:spacing w:line="480" w:lineRule="auto"/>
        <w:ind w:left="720" w:right="720" w:hanging="720"/>
        <w:rPr>
          <w:b/>
          <w:i/>
          <w:iCs/>
        </w:rPr>
      </w:pPr>
      <w:r w:rsidRPr="003D403A">
        <w:rPr>
          <w:b/>
          <w:i/>
          <w:iCs/>
        </w:rPr>
        <w:t>Q1</w:t>
      </w:r>
      <w:r w:rsidR="000C617D" w:rsidRPr="003D403A">
        <w:rPr>
          <w:b/>
          <w:i/>
          <w:iCs/>
        </w:rPr>
        <w:t>8</w:t>
      </w:r>
      <w:r w:rsidRPr="003D403A">
        <w:rPr>
          <w:b/>
          <w:i/>
          <w:iCs/>
        </w:rPr>
        <w:t>.</w:t>
      </w:r>
      <w:r w:rsidRPr="00A5101B">
        <w:rPr>
          <w:b/>
          <w:iCs/>
        </w:rPr>
        <w:tab/>
      </w:r>
      <w:r w:rsidRPr="00731A42">
        <w:rPr>
          <w:b/>
          <w:i/>
          <w:iCs/>
        </w:rPr>
        <w:t xml:space="preserve">DOES </w:t>
      </w:r>
      <w:r w:rsidR="009326C4">
        <w:rPr>
          <w:b/>
          <w:i/>
          <w:iCs/>
        </w:rPr>
        <w:t>DUKE’S PROPOSED</w:t>
      </w:r>
      <w:r w:rsidR="009326C4" w:rsidRPr="00731A42">
        <w:rPr>
          <w:b/>
          <w:i/>
          <w:iCs/>
        </w:rPr>
        <w:t xml:space="preserve"> </w:t>
      </w:r>
      <w:r>
        <w:rPr>
          <w:b/>
          <w:i/>
          <w:iCs/>
        </w:rPr>
        <w:t xml:space="preserve">RECURRING MONTHLY </w:t>
      </w:r>
      <w:r w:rsidRPr="00731A42">
        <w:rPr>
          <w:b/>
          <w:i/>
          <w:iCs/>
        </w:rPr>
        <w:t xml:space="preserve">CHARGE GUARANTEE </w:t>
      </w:r>
      <w:r>
        <w:rPr>
          <w:b/>
          <w:i/>
          <w:iCs/>
        </w:rPr>
        <w:t xml:space="preserve">TRADITIONAL-METERED </w:t>
      </w:r>
      <w:r w:rsidRPr="00731A42">
        <w:rPr>
          <w:b/>
          <w:i/>
          <w:iCs/>
        </w:rPr>
        <w:t>CUSTOMERS WILL RECEIVE AN ACTUAL METER READING EACH MONTH?</w:t>
      </w:r>
    </w:p>
    <w:p w14:paraId="3F529112" w14:textId="4D11608D" w:rsidR="00A83E45" w:rsidRDefault="0050221C" w:rsidP="0050221C">
      <w:pPr>
        <w:spacing w:line="480" w:lineRule="auto"/>
        <w:ind w:left="720" w:right="720" w:hanging="720"/>
        <w:rPr>
          <w:iCs/>
        </w:rPr>
      </w:pPr>
      <w:r w:rsidRPr="003F15E4">
        <w:rPr>
          <w:b/>
          <w:i/>
          <w:iCs/>
        </w:rPr>
        <w:t>A1</w:t>
      </w:r>
      <w:r w:rsidR="000C617D" w:rsidRPr="003F15E4">
        <w:rPr>
          <w:b/>
          <w:i/>
          <w:iCs/>
        </w:rPr>
        <w:t>8</w:t>
      </w:r>
      <w:r w:rsidRPr="003F15E4">
        <w:rPr>
          <w:b/>
          <w:i/>
          <w:iCs/>
        </w:rPr>
        <w:t>.</w:t>
      </w:r>
      <w:r>
        <w:rPr>
          <w:iCs/>
        </w:rPr>
        <w:tab/>
      </w:r>
      <w:r w:rsidR="00A5101B">
        <w:rPr>
          <w:iCs/>
        </w:rPr>
        <w:t xml:space="preserve">No.  </w:t>
      </w:r>
      <w:r>
        <w:rPr>
          <w:iCs/>
        </w:rPr>
        <w:t>Based upon Duke</w:t>
      </w:r>
      <w:r w:rsidR="001D0911">
        <w:rPr>
          <w:iCs/>
        </w:rPr>
        <w:t>’s</w:t>
      </w:r>
      <w:r>
        <w:rPr>
          <w:iCs/>
        </w:rPr>
        <w:t xml:space="preserve"> response to OCC-INT-01-008</w:t>
      </w:r>
      <w:r w:rsidR="00A83E45">
        <w:rPr>
          <w:iCs/>
        </w:rPr>
        <w:t xml:space="preserve"> (attached herein as JDW-</w:t>
      </w:r>
      <w:r w:rsidR="000C617D">
        <w:rPr>
          <w:iCs/>
        </w:rPr>
        <w:t>17</w:t>
      </w:r>
      <w:r w:rsidR="00A83E45">
        <w:rPr>
          <w:iCs/>
        </w:rPr>
        <w:t>)</w:t>
      </w:r>
      <w:r>
        <w:rPr>
          <w:iCs/>
        </w:rPr>
        <w:t xml:space="preserve">, </w:t>
      </w:r>
      <w:r w:rsidR="00A83E45">
        <w:rPr>
          <w:iCs/>
        </w:rPr>
        <w:t xml:space="preserve">the $40.63 recurring monthly charge will be assessed even if </w:t>
      </w:r>
      <w:r w:rsidR="001D0911">
        <w:rPr>
          <w:iCs/>
        </w:rPr>
        <w:t xml:space="preserve">Duke </w:t>
      </w:r>
      <w:r w:rsidR="00A83E45">
        <w:rPr>
          <w:iCs/>
        </w:rPr>
        <w:t>does not perform an actual meter read.</w:t>
      </w:r>
    </w:p>
    <w:p w14:paraId="5D942765" w14:textId="77777777" w:rsidR="0008366A" w:rsidRDefault="0008366A" w:rsidP="00D47B14">
      <w:pPr>
        <w:spacing w:line="480" w:lineRule="auto"/>
        <w:ind w:left="720" w:right="720" w:hanging="720"/>
        <w:rPr>
          <w:b/>
          <w:bCs/>
          <w:iCs/>
        </w:rPr>
      </w:pPr>
    </w:p>
    <w:p w14:paraId="17B82EF3" w14:textId="594578B0" w:rsidR="0008366A" w:rsidRPr="003D403A" w:rsidRDefault="0008366A" w:rsidP="00D47B14">
      <w:pPr>
        <w:spacing w:line="480" w:lineRule="auto"/>
        <w:ind w:left="720" w:right="720" w:hanging="720"/>
        <w:rPr>
          <w:b/>
          <w:bCs/>
          <w:i/>
          <w:iCs/>
        </w:rPr>
      </w:pPr>
      <w:r w:rsidRPr="003D403A">
        <w:rPr>
          <w:b/>
          <w:bCs/>
          <w:i/>
          <w:iCs/>
        </w:rPr>
        <w:t>Q1</w:t>
      </w:r>
      <w:r w:rsidR="000C617D" w:rsidRPr="003D403A">
        <w:rPr>
          <w:b/>
          <w:bCs/>
          <w:i/>
          <w:iCs/>
        </w:rPr>
        <w:t>9</w:t>
      </w:r>
      <w:r w:rsidRPr="003D403A">
        <w:rPr>
          <w:b/>
          <w:bCs/>
          <w:i/>
          <w:iCs/>
        </w:rPr>
        <w:t>.</w:t>
      </w:r>
      <w:r>
        <w:rPr>
          <w:b/>
          <w:bCs/>
          <w:iCs/>
        </w:rPr>
        <w:tab/>
      </w:r>
      <w:r w:rsidRPr="003D403A">
        <w:rPr>
          <w:b/>
          <w:bCs/>
          <w:i/>
          <w:iCs/>
        </w:rPr>
        <w:t>IS DUKE</w:t>
      </w:r>
      <w:r w:rsidR="001D0911" w:rsidRPr="003D403A">
        <w:rPr>
          <w:b/>
          <w:bCs/>
          <w:i/>
          <w:iCs/>
        </w:rPr>
        <w:t>’</w:t>
      </w:r>
      <w:r w:rsidRPr="003D403A">
        <w:rPr>
          <w:b/>
          <w:bCs/>
          <w:i/>
          <w:iCs/>
        </w:rPr>
        <w:t>S ESTIMATED COST OF $4,453.68 FOR DISTRIBUTION MAINTENANCE REASONABLE?</w:t>
      </w:r>
    </w:p>
    <w:p w14:paraId="0FEDF147" w14:textId="628C70FA" w:rsidR="0008366A" w:rsidRDefault="0008366A" w:rsidP="00D47B14">
      <w:pPr>
        <w:spacing w:line="480" w:lineRule="auto"/>
        <w:ind w:left="720" w:right="720" w:hanging="720"/>
        <w:rPr>
          <w:bCs/>
          <w:iCs/>
        </w:rPr>
      </w:pPr>
      <w:r w:rsidRPr="003F15E4">
        <w:rPr>
          <w:b/>
          <w:bCs/>
          <w:i/>
          <w:iCs/>
        </w:rPr>
        <w:t>A1</w:t>
      </w:r>
      <w:r w:rsidR="000C617D" w:rsidRPr="003F15E4">
        <w:rPr>
          <w:b/>
          <w:bCs/>
          <w:i/>
          <w:iCs/>
        </w:rPr>
        <w:t>9</w:t>
      </w:r>
      <w:r w:rsidRPr="003F15E4">
        <w:rPr>
          <w:b/>
          <w:bCs/>
          <w:i/>
          <w:iCs/>
        </w:rPr>
        <w:t>.</w:t>
      </w:r>
      <w:r w:rsidRPr="0008366A">
        <w:rPr>
          <w:bCs/>
          <w:iCs/>
        </w:rPr>
        <w:tab/>
        <w:t xml:space="preserve">No. </w:t>
      </w:r>
      <w:r w:rsidR="00402453">
        <w:rPr>
          <w:bCs/>
          <w:iCs/>
        </w:rPr>
        <w:t xml:space="preserve"> Duke included $4,453.68 for purchas</w:t>
      </w:r>
      <w:r w:rsidR="00CF29E6">
        <w:rPr>
          <w:bCs/>
          <w:iCs/>
        </w:rPr>
        <w:t>ing</w:t>
      </w:r>
      <w:r w:rsidR="00402453">
        <w:rPr>
          <w:bCs/>
          <w:iCs/>
        </w:rPr>
        <w:t xml:space="preserve">, locating, and installing additional communication devices that may be necessary to </w:t>
      </w:r>
      <w:r w:rsidR="002D006B">
        <w:rPr>
          <w:bCs/>
          <w:iCs/>
        </w:rPr>
        <w:t xml:space="preserve">read meters </w:t>
      </w:r>
      <w:r w:rsidR="000959F6">
        <w:rPr>
          <w:bCs/>
          <w:iCs/>
        </w:rPr>
        <w:t xml:space="preserve">of </w:t>
      </w:r>
      <w:r w:rsidR="00402453">
        <w:rPr>
          <w:bCs/>
          <w:iCs/>
        </w:rPr>
        <w:t>customers</w:t>
      </w:r>
      <w:r w:rsidR="000959F6">
        <w:rPr>
          <w:bCs/>
          <w:iCs/>
        </w:rPr>
        <w:t xml:space="preserve"> who have chosen not to have an advanced meter</w:t>
      </w:r>
      <w:r w:rsidR="00402453">
        <w:rPr>
          <w:bCs/>
          <w:iCs/>
        </w:rPr>
        <w:t>.</w:t>
      </w:r>
      <w:r w:rsidR="002D006B">
        <w:rPr>
          <w:rStyle w:val="FootnoteReference"/>
          <w:bCs/>
          <w:iCs/>
        </w:rPr>
        <w:footnoteReference w:id="30"/>
      </w:r>
      <w:r w:rsidR="00402453">
        <w:rPr>
          <w:bCs/>
          <w:iCs/>
        </w:rPr>
        <w:t xml:space="preserve">  But</w:t>
      </w:r>
      <w:r w:rsidR="002D006B">
        <w:rPr>
          <w:bCs/>
          <w:iCs/>
        </w:rPr>
        <w:t xml:space="preserve"> i</w:t>
      </w:r>
      <w:r w:rsidR="001F56EE">
        <w:rPr>
          <w:bCs/>
          <w:iCs/>
        </w:rPr>
        <w:t xml:space="preserve">n </w:t>
      </w:r>
      <w:r w:rsidR="000959F6">
        <w:rPr>
          <w:bCs/>
          <w:iCs/>
        </w:rPr>
        <w:t xml:space="preserve">its </w:t>
      </w:r>
      <w:r w:rsidR="001F56EE">
        <w:rPr>
          <w:bCs/>
          <w:iCs/>
        </w:rPr>
        <w:t>response to OCC-INT-</w:t>
      </w:r>
      <w:r w:rsidR="002D006B">
        <w:rPr>
          <w:bCs/>
          <w:iCs/>
        </w:rPr>
        <w:t xml:space="preserve">02-036 </w:t>
      </w:r>
      <w:r w:rsidR="001F56EE">
        <w:rPr>
          <w:bCs/>
          <w:iCs/>
        </w:rPr>
        <w:t>(attached herein as JDW-</w:t>
      </w:r>
      <w:r w:rsidR="002D006B">
        <w:rPr>
          <w:bCs/>
          <w:iCs/>
        </w:rPr>
        <w:t>17</w:t>
      </w:r>
      <w:r w:rsidR="001F56EE">
        <w:rPr>
          <w:bCs/>
          <w:iCs/>
        </w:rPr>
        <w:t xml:space="preserve">), </w:t>
      </w:r>
      <w:r w:rsidR="000959F6">
        <w:rPr>
          <w:bCs/>
          <w:iCs/>
        </w:rPr>
        <w:t xml:space="preserve">Duke stated that it </w:t>
      </w:r>
      <w:r w:rsidR="002D006B">
        <w:rPr>
          <w:bCs/>
          <w:iCs/>
        </w:rPr>
        <w:t xml:space="preserve">has experienced </w:t>
      </w:r>
      <w:r w:rsidR="001F56EE">
        <w:rPr>
          <w:bCs/>
          <w:iCs/>
        </w:rPr>
        <w:t xml:space="preserve">no communications gaps as a result of customers who </w:t>
      </w:r>
      <w:r w:rsidR="002D006B">
        <w:rPr>
          <w:bCs/>
          <w:iCs/>
        </w:rPr>
        <w:t>refused</w:t>
      </w:r>
      <w:r w:rsidR="000959F6">
        <w:rPr>
          <w:bCs/>
          <w:iCs/>
        </w:rPr>
        <w:t xml:space="preserve"> an advanced meter</w:t>
      </w:r>
      <w:r w:rsidR="002D006B">
        <w:rPr>
          <w:bCs/>
          <w:iCs/>
        </w:rPr>
        <w:t>.  Considering that Duke</w:t>
      </w:r>
      <w:r w:rsidR="000959F6">
        <w:rPr>
          <w:bCs/>
          <w:iCs/>
        </w:rPr>
        <w:t>’s</w:t>
      </w:r>
      <w:r w:rsidR="002D006B">
        <w:rPr>
          <w:bCs/>
          <w:iCs/>
        </w:rPr>
        <w:t xml:space="preserve"> </w:t>
      </w:r>
      <w:r w:rsidR="00A87275">
        <w:rPr>
          <w:bCs/>
          <w:iCs/>
        </w:rPr>
        <w:t xml:space="preserve">deployment of electric </w:t>
      </w:r>
      <w:r w:rsidR="000959F6">
        <w:rPr>
          <w:bCs/>
          <w:iCs/>
        </w:rPr>
        <w:t xml:space="preserve">advanced </w:t>
      </w:r>
      <w:r w:rsidR="00A87275">
        <w:rPr>
          <w:bCs/>
          <w:iCs/>
        </w:rPr>
        <w:t xml:space="preserve">meters is substantially complete, there is no practical basis for assuming that </w:t>
      </w:r>
      <w:r w:rsidR="000959F6">
        <w:rPr>
          <w:bCs/>
          <w:iCs/>
        </w:rPr>
        <w:t xml:space="preserve">there will be communications gaps because of customers without an </w:t>
      </w:r>
      <w:r w:rsidR="00A87275">
        <w:rPr>
          <w:bCs/>
          <w:iCs/>
        </w:rPr>
        <w:t>advanced meter in the future.  Duke</w:t>
      </w:r>
      <w:r w:rsidR="000959F6">
        <w:rPr>
          <w:bCs/>
          <w:iCs/>
        </w:rPr>
        <w:t>’</w:t>
      </w:r>
      <w:r w:rsidR="00A87275">
        <w:rPr>
          <w:bCs/>
          <w:iCs/>
        </w:rPr>
        <w:t xml:space="preserve">s </w:t>
      </w:r>
      <w:r w:rsidR="00A5101B">
        <w:rPr>
          <w:bCs/>
          <w:iCs/>
        </w:rPr>
        <w:t xml:space="preserve">request to charge customers for </w:t>
      </w:r>
      <w:r w:rsidR="001F56EE">
        <w:rPr>
          <w:bCs/>
          <w:iCs/>
        </w:rPr>
        <w:t xml:space="preserve">these </w:t>
      </w:r>
      <w:r w:rsidR="001D0911">
        <w:rPr>
          <w:bCs/>
          <w:iCs/>
        </w:rPr>
        <w:t xml:space="preserve">alleged </w:t>
      </w:r>
      <w:r w:rsidR="001F56EE">
        <w:rPr>
          <w:bCs/>
          <w:iCs/>
        </w:rPr>
        <w:t xml:space="preserve">costs to the advanced meter opt-out </w:t>
      </w:r>
      <w:r w:rsidR="001D0911">
        <w:rPr>
          <w:bCs/>
          <w:iCs/>
        </w:rPr>
        <w:t xml:space="preserve">charge </w:t>
      </w:r>
      <w:r w:rsidR="001F56EE">
        <w:rPr>
          <w:bCs/>
          <w:iCs/>
        </w:rPr>
        <w:t xml:space="preserve">is unfounded and unreasonable.     </w:t>
      </w:r>
    </w:p>
    <w:p w14:paraId="364DF1D5" w14:textId="77777777" w:rsidR="00B55AE4" w:rsidRPr="0008366A" w:rsidRDefault="00B55AE4" w:rsidP="00D47B14">
      <w:pPr>
        <w:spacing w:line="480" w:lineRule="auto"/>
        <w:ind w:left="720" w:right="720" w:hanging="720"/>
        <w:rPr>
          <w:bCs/>
          <w:iCs/>
        </w:rPr>
      </w:pPr>
    </w:p>
    <w:p w14:paraId="67434554" w14:textId="26EFF60F" w:rsidR="0051225F" w:rsidRPr="003D403A" w:rsidRDefault="0051225F" w:rsidP="00D47B14">
      <w:pPr>
        <w:spacing w:line="480" w:lineRule="auto"/>
        <w:ind w:left="720" w:right="720" w:hanging="720"/>
        <w:rPr>
          <w:b/>
          <w:bCs/>
          <w:i/>
          <w:iCs/>
        </w:rPr>
      </w:pPr>
      <w:r w:rsidRPr="003D403A">
        <w:rPr>
          <w:b/>
          <w:bCs/>
          <w:i/>
          <w:iCs/>
        </w:rPr>
        <w:t>Q</w:t>
      </w:r>
      <w:r w:rsidR="00A87275" w:rsidRPr="003D403A">
        <w:rPr>
          <w:b/>
          <w:bCs/>
          <w:i/>
          <w:iCs/>
        </w:rPr>
        <w:t>20</w:t>
      </w:r>
      <w:r w:rsidRPr="003D403A">
        <w:rPr>
          <w:b/>
          <w:bCs/>
          <w:i/>
          <w:iCs/>
        </w:rPr>
        <w:t>.</w:t>
      </w:r>
      <w:r w:rsidRPr="003D403A">
        <w:rPr>
          <w:b/>
          <w:bCs/>
          <w:i/>
          <w:iCs/>
        </w:rPr>
        <w:tab/>
      </w:r>
      <w:r w:rsidR="00FA25DD" w:rsidRPr="003D403A">
        <w:rPr>
          <w:b/>
          <w:bCs/>
          <w:i/>
          <w:iCs/>
        </w:rPr>
        <w:t>DO THE TRENDS IN THE NUMBER OF CUSTOMERS WHO HAVE REFUSED A</w:t>
      </w:r>
      <w:r w:rsidR="00DA6215" w:rsidRPr="003D403A">
        <w:rPr>
          <w:b/>
          <w:bCs/>
          <w:i/>
          <w:iCs/>
        </w:rPr>
        <w:t>N ADVANCED METER</w:t>
      </w:r>
      <w:r w:rsidR="00FA25DD" w:rsidRPr="003D403A">
        <w:rPr>
          <w:b/>
          <w:bCs/>
          <w:i/>
          <w:iCs/>
        </w:rPr>
        <w:t xml:space="preserve"> SUPPORT YOUR RECOMMENDATION THAT THE PUCO </w:t>
      </w:r>
      <w:r w:rsidR="003850CA" w:rsidRPr="003D403A">
        <w:rPr>
          <w:b/>
          <w:bCs/>
          <w:i/>
          <w:iCs/>
        </w:rPr>
        <w:t xml:space="preserve">SHOULD </w:t>
      </w:r>
      <w:r w:rsidR="002A3586" w:rsidRPr="003D403A">
        <w:rPr>
          <w:b/>
          <w:bCs/>
          <w:i/>
          <w:iCs/>
        </w:rPr>
        <w:t xml:space="preserve">NOT ALLOW </w:t>
      </w:r>
      <w:r w:rsidR="00FA25DD" w:rsidRPr="003D403A">
        <w:rPr>
          <w:b/>
          <w:bCs/>
          <w:i/>
          <w:iCs/>
        </w:rPr>
        <w:t>THE ADVANCED METER OPT-OUT CHARGE</w:t>
      </w:r>
      <w:r w:rsidR="002A3586" w:rsidRPr="003D403A">
        <w:rPr>
          <w:b/>
          <w:bCs/>
          <w:i/>
          <w:iCs/>
        </w:rPr>
        <w:t>S</w:t>
      </w:r>
      <w:r w:rsidR="00FA25DD" w:rsidRPr="003D403A">
        <w:rPr>
          <w:b/>
          <w:bCs/>
          <w:i/>
          <w:iCs/>
        </w:rPr>
        <w:t xml:space="preserve"> AT THIS TIME?</w:t>
      </w:r>
    </w:p>
    <w:p w14:paraId="1AC79643" w14:textId="07C49C63" w:rsidR="00676613" w:rsidRDefault="0051225F" w:rsidP="00D47B14">
      <w:pPr>
        <w:spacing w:line="480" w:lineRule="auto"/>
        <w:ind w:left="720" w:right="720" w:hanging="720"/>
        <w:rPr>
          <w:bCs/>
          <w:iCs/>
        </w:rPr>
      </w:pPr>
      <w:r w:rsidRPr="003F15E4">
        <w:rPr>
          <w:b/>
          <w:bCs/>
          <w:i/>
          <w:iCs/>
        </w:rPr>
        <w:t>A</w:t>
      </w:r>
      <w:r w:rsidR="00A87275" w:rsidRPr="003F15E4">
        <w:rPr>
          <w:b/>
          <w:bCs/>
          <w:i/>
          <w:iCs/>
        </w:rPr>
        <w:t>20</w:t>
      </w:r>
      <w:r w:rsidRPr="003F15E4">
        <w:rPr>
          <w:b/>
          <w:bCs/>
          <w:i/>
          <w:iCs/>
        </w:rPr>
        <w:t>.</w:t>
      </w:r>
      <w:r>
        <w:rPr>
          <w:bCs/>
          <w:iCs/>
        </w:rPr>
        <w:tab/>
      </w:r>
      <w:r w:rsidR="00FA25DD">
        <w:rPr>
          <w:bCs/>
          <w:iCs/>
        </w:rPr>
        <w:t>Yes</w:t>
      </w:r>
      <w:r w:rsidR="00D23FE1">
        <w:rPr>
          <w:bCs/>
          <w:iCs/>
        </w:rPr>
        <w:t xml:space="preserve">.  </w:t>
      </w:r>
      <w:r>
        <w:rPr>
          <w:bCs/>
          <w:iCs/>
        </w:rPr>
        <w:t xml:space="preserve">Duke expects </w:t>
      </w:r>
      <w:r w:rsidR="001D0911">
        <w:rPr>
          <w:bCs/>
          <w:iCs/>
        </w:rPr>
        <w:t xml:space="preserve">that </w:t>
      </w:r>
      <w:r>
        <w:rPr>
          <w:bCs/>
          <w:iCs/>
        </w:rPr>
        <w:t>725</w:t>
      </w:r>
      <w:r w:rsidR="001D0911">
        <w:rPr>
          <w:bCs/>
          <w:iCs/>
        </w:rPr>
        <w:t xml:space="preserve"> residential</w:t>
      </w:r>
      <w:r>
        <w:rPr>
          <w:bCs/>
          <w:iCs/>
        </w:rPr>
        <w:t xml:space="preserve"> customers, or around 0.1 percent of the total number of residential customers in its service territory</w:t>
      </w:r>
      <w:r w:rsidR="001D0911">
        <w:rPr>
          <w:bCs/>
          <w:iCs/>
        </w:rPr>
        <w:t>,</w:t>
      </w:r>
      <w:r>
        <w:rPr>
          <w:bCs/>
          <w:iCs/>
        </w:rPr>
        <w:t xml:space="preserve"> </w:t>
      </w:r>
      <w:r w:rsidR="008D1068">
        <w:rPr>
          <w:bCs/>
          <w:iCs/>
        </w:rPr>
        <w:t xml:space="preserve">will </w:t>
      </w:r>
      <w:r w:rsidR="001D0911">
        <w:rPr>
          <w:bCs/>
          <w:iCs/>
        </w:rPr>
        <w:t xml:space="preserve">choose not to have an </w:t>
      </w:r>
      <w:r>
        <w:rPr>
          <w:bCs/>
          <w:iCs/>
        </w:rPr>
        <w:t>advanced meter.</w:t>
      </w:r>
      <w:r>
        <w:rPr>
          <w:rStyle w:val="FootnoteReference"/>
          <w:bCs/>
          <w:iCs/>
        </w:rPr>
        <w:footnoteReference w:id="31"/>
      </w:r>
      <w:r>
        <w:rPr>
          <w:bCs/>
          <w:iCs/>
        </w:rPr>
        <w:t xml:space="preserve">  In response to OCC-INT-01-003,</w:t>
      </w:r>
      <w:r>
        <w:rPr>
          <w:rStyle w:val="FootnoteReference"/>
          <w:bCs/>
          <w:iCs/>
        </w:rPr>
        <w:footnoteReference w:id="32"/>
      </w:r>
      <w:r>
        <w:rPr>
          <w:bCs/>
          <w:iCs/>
        </w:rPr>
        <w:t xml:space="preserve"> </w:t>
      </w:r>
      <w:r w:rsidR="001D0911">
        <w:rPr>
          <w:bCs/>
          <w:iCs/>
        </w:rPr>
        <w:t xml:space="preserve">Duke </w:t>
      </w:r>
      <w:r>
        <w:rPr>
          <w:bCs/>
          <w:iCs/>
        </w:rPr>
        <w:t xml:space="preserve">claimed </w:t>
      </w:r>
      <w:r w:rsidR="001D0911">
        <w:rPr>
          <w:bCs/>
          <w:iCs/>
        </w:rPr>
        <w:t xml:space="preserve">that </w:t>
      </w:r>
      <w:r>
        <w:rPr>
          <w:bCs/>
          <w:iCs/>
        </w:rPr>
        <w:t xml:space="preserve">325 </w:t>
      </w:r>
      <w:r w:rsidR="001D0911">
        <w:rPr>
          <w:bCs/>
          <w:iCs/>
        </w:rPr>
        <w:t xml:space="preserve">residential </w:t>
      </w:r>
      <w:r>
        <w:rPr>
          <w:bCs/>
          <w:iCs/>
        </w:rPr>
        <w:t xml:space="preserve">customers </w:t>
      </w:r>
      <w:r w:rsidR="001D0911">
        <w:rPr>
          <w:bCs/>
          <w:iCs/>
        </w:rPr>
        <w:t xml:space="preserve">refused installation of an advanced meter </w:t>
      </w:r>
      <w:r>
        <w:rPr>
          <w:bCs/>
          <w:iCs/>
        </w:rPr>
        <w:t xml:space="preserve">over the course of Duke’s </w:t>
      </w:r>
      <w:r w:rsidR="001D0911">
        <w:rPr>
          <w:bCs/>
          <w:iCs/>
        </w:rPr>
        <w:t xml:space="preserve">Smart Grid </w:t>
      </w:r>
      <w:r>
        <w:rPr>
          <w:bCs/>
          <w:iCs/>
        </w:rPr>
        <w:t>deployment.  Duke</w:t>
      </w:r>
      <w:r w:rsidR="001D0911">
        <w:rPr>
          <w:bCs/>
          <w:iCs/>
        </w:rPr>
        <w:t>’s estimate also</w:t>
      </w:r>
      <w:r>
        <w:rPr>
          <w:bCs/>
          <w:iCs/>
        </w:rPr>
        <w:t xml:space="preserve"> included another 400 </w:t>
      </w:r>
      <w:r w:rsidR="001D0911">
        <w:rPr>
          <w:bCs/>
          <w:iCs/>
        </w:rPr>
        <w:t xml:space="preserve">residential </w:t>
      </w:r>
      <w:r>
        <w:rPr>
          <w:bCs/>
          <w:iCs/>
        </w:rPr>
        <w:t xml:space="preserve">customers </w:t>
      </w:r>
      <w:r w:rsidR="001D0911">
        <w:rPr>
          <w:bCs/>
          <w:iCs/>
        </w:rPr>
        <w:t xml:space="preserve">with what Duke </w:t>
      </w:r>
      <w:r>
        <w:rPr>
          <w:bCs/>
          <w:iCs/>
        </w:rPr>
        <w:t>categorized as “hard-to-access meters</w:t>
      </w:r>
      <w:r w:rsidR="001D0911">
        <w:rPr>
          <w:bCs/>
          <w:iCs/>
        </w:rPr>
        <w:t>.</w:t>
      </w:r>
      <w:r>
        <w:rPr>
          <w:bCs/>
          <w:iCs/>
        </w:rPr>
        <w:t xml:space="preserve">” </w:t>
      </w:r>
      <w:r w:rsidR="001D0911">
        <w:rPr>
          <w:bCs/>
          <w:iCs/>
        </w:rPr>
        <w:t xml:space="preserve"> </w:t>
      </w:r>
      <w:r>
        <w:rPr>
          <w:bCs/>
          <w:iCs/>
        </w:rPr>
        <w:t xml:space="preserve">However, as of May 2015, only 105 </w:t>
      </w:r>
      <w:r w:rsidR="001D0911">
        <w:rPr>
          <w:bCs/>
          <w:iCs/>
        </w:rPr>
        <w:t xml:space="preserve">residential </w:t>
      </w:r>
      <w:r>
        <w:rPr>
          <w:bCs/>
          <w:iCs/>
        </w:rPr>
        <w:t>customers</w:t>
      </w:r>
      <w:r w:rsidR="001D0911">
        <w:rPr>
          <w:bCs/>
          <w:iCs/>
        </w:rPr>
        <w:t>,</w:t>
      </w:r>
      <w:r>
        <w:rPr>
          <w:bCs/>
          <w:iCs/>
        </w:rPr>
        <w:t xml:space="preserve"> or 0.016 percent of the total number of </w:t>
      </w:r>
      <w:r w:rsidR="001D0911">
        <w:rPr>
          <w:bCs/>
          <w:iCs/>
        </w:rPr>
        <w:t xml:space="preserve">Duke </w:t>
      </w:r>
      <w:r>
        <w:rPr>
          <w:bCs/>
          <w:iCs/>
        </w:rPr>
        <w:t>residential customers</w:t>
      </w:r>
      <w:r w:rsidR="001D0911">
        <w:rPr>
          <w:bCs/>
          <w:iCs/>
        </w:rPr>
        <w:t>,</w:t>
      </w:r>
      <w:r>
        <w:rPr>
          <w:bCs/>
          <w:iCs/>
        </w:rPr>
        <w:t xml:space="preserve"> refused an </w:t>
      </w:r>
      <w:r w:rsidR="001D0911">
        <w:rPr>
          <w:bCs/>
          <w:iCs/>
        </w:rPr>
        <w:t xml:space="preserve">advanced </w:t>
      </w:r>
      <w:r>
        <w:rPr>
          <w:bCs/>
          <w:iCs/>
        </w:rPr>
        <w:t>meter and are being served with a non-</w:t>
      </w:r>
      <w:r w:rsidR="001D0911">
        <w:rPr>
          <w:bCs/>
          <w:iCs/>
        </w:rPr>
        <w:t>advanced</w:t>
      </w:r>
      <w:r>
        <w:rPr>
          <w:bCs/>
          <w:iCs/>
        </w:rPr>
        <w:t xml:space="preserve"> meter.</w:t>
      </w:r>
      <w:r>
        <w:rPr>
          <w:rStyle w:val="FootnoteReference"/>
          <w:bCs/>
          <w:iCs/>
        </w:rPr>
        <w:footnoteReference w:id="33"/>
      </w:r>
      <w:r>
        <w:rPr>
          <w:bCs/>
          <w:iCs/>
        </w:rPr>
        <w:t xml:space="preserve">  </w:t>
      </w:r>
      <w:r w:rsidR="00FA25DD">
        <w:rPr>
          <w:bCs/>
          <w:iCs/>
        </w:rPr>
        <w:t>Th</w:t>
      </w:r>
      <w:r w:rsidR="00AF57B4">
        <w:rPr>
          <w:bCs/>
          <w:iCs/>
        </w:rPr>
        <w:t xml:space="preserve">erefore the number of customers who </w:t>
      </w:r>
      <w:r w:rsidR="00DA6215">
        <w:rPr>
          <w:bCs/>
          <w:iCs/>
        </w:rPr>
        <w:t xml:space="preserve">have </w:t>
      </w:r>
      <w:r w:rsidR="00AF57B4">
        <w:rPr>
          <w:bCs/>
          <w:iCs/>
        </w:rPr>
        <w:t xml:space="preserve">refused </w:t>
      </w:r>
      <w:r w:rsidR="00DA6215">
        <w:rPr>
          <w:bCs/>
          <w:iCs/>
        </w:rPr>
        <w:t xml:space="preserve">an advanced meter </w:t>
      </w:r>
      <w:r w:rsidR="0081143E">
        <w:rPr>
          <w:bCs/>
          <w:iCs/>
        </w:rPr>
        <w:t xml:space="preserve">decreased </w:t>
      </w:r>
      <w:r w:rsidR="00AF57B4">
        <w:rPr>
          <w:bCs/>
          <w:iCs/>
        </w:rPr>
        <w:t>from 325 in August 2014 to 105 by May 2015</w:t>
      </w:r>
      <w:r w:rsidR="00DA6215">
        <w:rPr>
          <w:bCs/>
          <w:iCs/>
        </w:rPr>
        <w:t xml:space="preserve">.  This occurred </w:t>
      </w:r>
      <w:r w:rsidR="008E7959">
        <w:rPr>
          <w:bCs/>
          <w:iCs/>
        </w:rPr>
        <w:t xml:space="preserve">without the </w:t>
      </w:r>
      <w:r w:rsidR="00D444CE">
        <w:rPr>
          <w:bCs/>
          <w:iCs/>
        </w:rPr>
        <w:t xml:space="preserve">one-time </w:t>
      </w:r>
      <w:r w:rsidR="008E7959">
        <w:rPr>
          <w:bCs/>
          <w:iCs/>
        </w:rPr>
        <w:t xml:space="preserve">charge of </w:t>
      </w:r>
      <w:r w:rsidR="00D444CE">
        <w:rPr>
          <w:bCs/>
          <w:iCs/>
        </w:rPr>
        <w:t>$1,037</w:t>
      </w:r>
      <w:r w:rsidR="00C41DD6">
        <w:rPr>
          <w:bCs/>
          <w:iCs/>
        </w:rPr>
        <w:t>.10</w:t>
      </w:r>
      <w:r w:rsidR="00D444CE">
        <w:rPr>
          <w:bCs/>
          <w:iCs/>
        </w:rPr>
        <w:t xml:space="preserve"> </w:t>
      </w:r>
      <w:r w:rsidR="008E7959">
        <w:rPr>
          <w:bCs/>
          <w:iCs/>
        </w:rPr>
        <w:t xml:space="preserve">and </w:t>
      </w:r>
      <w:r w:rsidR="00C41DD6">
        <w:rPr>
          <w:bCs/>
          <w:iCs/>
        </w:rPr>
        <w:t xml:space="preserve">the </w:t>
      </w:r>
      <w:r w:rsidR="00D444CE">
        <w:rPr>
          <w:bCs/>
          <w:iCs/>
        </w:rPr>
        <w:t>month</w:t>
      </w:r>
      <w:r w:rsidR="008E7959">
        <w:rPr>
          <w:bCs/>
          <w:iCs/>
        </w:rPr>
        <w:t xml:space="preserve">ly </w:t>
      </w:r>
      <w:r w:rsidR="00DA6215">
        <w:rPr>
          <w:bCs/>
          <w:iCs/>
        </w:rPr>
        <w:t xml:space="preserve">meter reading </w:t>
      </w:r>
      <w:r w:rsidR="008E7959">
        <w:rPr>
          <w:bCs/>
          <w:iCs/>
        </w:rPr>
        <w:t xml:space="preserve">charge of </w:t>
      </w:r>
      <w:r w:rsidR="00D444CE">
        <w:rPr>
          <w:bCs/>
          <w:iCs/>
        </w:rPr>
        <w:t xml:space="preserve">$40.63 </w:t>
      </w:r>
      <w:r w:rsidR="008E7959">
        <w:rPr>
          <w:bCs/>
          <w:iCs/>
        </w:rPr>
        <w:t xml:space="preserve">proposed by Duke. </w:t>
      </w:r>
      <w:r w:rsidR="00506317">
        <w:rPr>
          <w:bCs/>
          <w:iCs/>
        </w:rPr>
        <w:t xml:space="preserve"> Furthermore, providing traditional metered service to this small number of customers doesn’t appear to financially impact Duke.  </w:t>
      </w:r>
      <w:r w:rsidR="00D444CE">
        <w:rPr>
          <w:bCs/>
          <w:iCs/>
        </w:rPr>
        <w:t xml:space="preserve">  </w:t>
      </w:r>
      <w:r w:rsidR="00AF57B4">
        <w:rPr>
          <w:bCs/>
          <w:iCs/>
        </w:rPr>
        <w:t xml:space="preserve">   </w:t>
      </w:r>
      <w:r w:rsidR="00FA25DD">
        <w:rPr>
          <w:bCs/>
          <w:iCs/>
        </w:rPr>
        <w:t xml:space="preserve"> </w:t>
      </w:r>
    </w:p>
    <w:p w14:paraId="75DC4DA5" w14:textId="77777777" w:rsidR="00676613" w:rsidRDefault="00676613" w:rsidP="00D47B14">
      <w:pPr>
        <w:spacing w:line="480" w:lineRule="auto"/>
        <w:ind w:left="720" w:right="720" w:hanging="720"/>
        <w:rPr>
          <w:bCs/>
          <w:iCs/>
        </w:rPr>
      </w:pPr>
    </w:p>
    <w:p w14:paraId="1F9BB3D2" w14:textId="77777777" w:rsidR="000A7FAA" w:rsidRPr="003D403A" w:rsidRDefault="006A24E6" w:rsidP="000A7FAA">
      <w:pPr>
        <w:spacing w:line="480" w:lineRule="auto"/>
        <w:ind w:left="720" w:right="720" w:hanging="720"/>
        <w:rPr>
          <w:b/>
          <w:bCs/>
          <w:i/>
          <w:iCs/>
        </w:rPr>
      </w:pPr>
      <w:r w:rsidRPr="003D403A">
        <w:rPr>
          <w:b/>
          <w:bCs/>
          <w:i/>
          <w:iCs/>
        </w:rPr>
        <w:t>Q</w:t>
      </w:r>
      <w:r w:rsidR="00A83E45" w:rsidRPr="003D403A">
        <w:rPr>
          <w:b/>
          <w:bCs/>
          <w:i/>
          <w:iCs/>
        </w:rPr>
        <w:t>2</w:t>
      </w:r>
      <w:r w:rsidR="00D86086" w:rsidRPr="003D403A">
        <w:rPr>
          <w:b/>
          <w:bCs/>
          <w:i/>
          <w:iCs/>
        </w:rPr>
        <w:t>1</w:t>
      </w:r>
      <w:r w:rsidRPr="003D403A">
        <w:rPr>
          <w:b/>
          <w:bCs/>
          <w:i/>
          <w:iCs/>
        </w:rPr>
        <w:t>.</w:t>
      </w:r>
      <w:r w:rsidRPr="003D403A">
        <w:rPr>
          <w:b/>
          <w:bCs/>
          <w:i/>
          <w:iCs/>
        </w:rPr>
        <w:tab/>
      </w:r>
      <w:r w:rsidR="00A0455A" w:rsidRPr="003D403A">
        <w:rPr>
          <w:b/>
          <w:bCs/>
          <w:i/>
          <w:iCs/>
        </w:rPr>
        <w:t>DOES</w:t>
      </w:r>
      <w:r w:rsidR="002E2AD4" w:rsidRPr="003D403A">
        <w:rPr>
          <w:b/>
          <w:bCs/>
          <w:i/>
          <w:iCs/>
        </w:rPr>
        <w:t xml:space="preserve"> </w:t>
      </w:r>
      <w:r w:rsidR="00A0455A" w:rsidRPr="003D403A">
        <w:rPr>
          <w:b/>
          <w:bCs/>
          <w:i/>
          <w:iCs/>
        </w:rPr>
        <w:t>DU</w:t>
      </w:r>
      <w:r w:rsidR="000A7FAA" w:rsidRPr="003D403A">
        <w:rPr>
          <w:b/>
          <w:bCs/>
          <w:i/>
          <w:iCs/>
        </w:rPr>
        <w:t xml:space="preserve">KE’S </w:t>
      </w:r>
      <w:r w:rsidR="00D62A0D" w:rsidRPr="003D403A">
        <w:rPr>
          <w:b/>
          <w:bCs/>
          <w:i/>
          <w:iCs/>
        </w:rPr>
        <w:t xml:space="preserve">APPLICATION INCLUDE </w:t>
      </w:r>
      <w:r w:rsidR="000A7FAA" w:rsidRPr="003D403A">
        <w:rPr>
          <w:b/>
          <w:bCs/>
          <w:i/>
          <w:iCs/>
        </w:rPr>
        <w:t xml:space="preserve">TARIFF </w:t>
      </w:r>
      <w:r w:rsidR="00D944DF" w:rsidRPr="003D403A">
        <w:rPr>
          <w:b/>
          <w:bCs/>
          <w:i/>
          <w:iCs/>
        </w:rPr>
        <w:t xml:space="preserve">LANGUAGE </w:t>
      </w:r>
      <w:r w:rsidR="00D62A0D" w:rsidRPr="003D403A">
        <w:rPr>
          <w:b/>
          <w:bCs/>
          <w:i/>
          <w:iCs/>
        </w:rPr>
        <w:t xml:space="preserve">THAT </w:t>
      </w:r>
      <w:r w:rsidR="008E7959" w:rsidRPr="003D403A">
        <w:rPr>
          <w:b/>
          <w:bCs/>
          <w:i/>
          <w:iCs/>
        </w:rPr>
        <w:t xml:space="preserve">MIGHT </w:t>
      </w:r>
      <w:r w:rsidR="00D944DF" w:rsidRPr="003D403A">
        <w:rPr>
          <w:b/>
          <w:bCs/>
          <w:i/>
          <w:iCs/>
        </w:rPr>
        <w:t>LIMIT</w:t>
      </w:r>
      <w:r w:rsidR="008E7959" w:rsidRPr="003D403A">
        <w:rPr>
          <w:b/>
          <w:bCs/>
          <w:i/>
          <w:iCs/>
        </w:rPr>
        <w:t xml:space="preserve"> </w:t>
      </w:r>
      <w:r w:rsidR="00D62A0D" w:rsidRPr="003D403A">
        <w:rPr>
          <w:b/>
          <w:bCs/>
          <w:i/>
          <w:iCs/>
        </w:rPr>
        <w:t xml:space="preserve">THE </w:t>
      </w:r>
      <w:r w:rsidR="008E7959" w:rsidRPr="003D403A">
        <w:rPr>
          <w:b/>
          <w:bCs/>
          <w:i/>
          <w:iCs/>
        </w:rPr>
        <w:t>OPTION</w:t>
      </w:r>
      <w:r w:rsidR="00611FCE" w:rsidRPr="003D403A">
        <w:rPr>
          <w:b/>
          <w:bCs/>
          <w:i/>
          <w:iCs/>
        </w:rPr>
        <w:t>S</w:t>
      </w:r>
      <w:r w:rsidR="008E7959" w:rsidRPr="003D403A">
        <w:rPr>
          <w:b/>
          <w:bCs/>
          <w:i/>
          <w:iCs/>
        </w:rPr>
        <w:t xml:space="preserve"> FOR CUSTOMERS </w:t>
      </w:r>
      <w:r w:rsidR="000337C8" w:rsidRPr="003D403A">
        <w:rPr>
          <w:b/>
          <w:bCs/>
          <w:i/>
          <w:iCs/>
        </w:rPr>
        <w:t xml:space="preserve">WHO CHOOSE NOT TO HAVE AN </w:t>
      </w:r>
      <w:r w:rsidR="008E7959" w:rsidRPr="003D403A">
        <w:rPr>
          <w:b/>
          <w:bCs/>
          <w:i/>
          <w:iCs/>
        </w:rPr>
        <w:t>ADVANCED METER?</w:t>
      </w:r>
    </w:p>
    <w:p w14:paraId="334E42F3" w14:textId="760E9B69" w:rsidR="00D24B73" w:rsidRDefault="000A7FAA" w:rsidP="00D86086">
      <w:pPr>
        <w:spacing w:line="480" w:lineRule="auto"/>
        <w:ind w:left="720" w:right="720" w:hanging="720"/>
        <w:rPr>
          <w:bCs/>
          <w:iCs/>
        </w:rPr>
      </w:pPr>
      <w:r w:rsidRPr="003F15E4">
        <w:rPr>
          <w:b/>
          <w:bCs/>
          <w:i/>
          <w:iCs/>
        </w:rPr>
        <w:t>A</w:t>
      </w:r>
      <w:r w:rsidR="00A83E45" w:rsidRPr="003F15E4">
        <w:rPr>
          <w:b/>
          <w:bCs/>
          <w:i/>
          <w:iCs/>
        </w:rPr>
        <w:t>2</w:t>
      </w:r>
      <w:r w:rsidR="00D86086" w:rsidRPr="003F15E4">
        <w:rPr>
          <w:b/>
          <w:bCs/>
          <w:i/>
          <w:iCs/>
        </w:rPr>
        <w:t>1</w:t>
      </w:r>
      <w:r w:rsidRPr="003F15E4">
        <w:rPr>
          <w:b/>
          <w:bCs/>
          <w:i/>
          <w:iCs/>
        </w:rPr>
        <w:t>.</w:t>
      </w:r>
      <w:r>
        <w:rPr>
          <w:bCs/>
          <w:iCs/>
        </w:rPr>
        <w:tab/>
        <w:t xml:space="preserve">Yes.  </w:t>
      </w:r>
      <w:r w:rsidR="00D62A0D">
        <w:rPr>
          <w:bCs/>
          <w:iCs/>
        </w:rPr>
        <w:t>The terms and conditions that D</w:t>
      </w:r>
      <w:r w:rsidR="00A0455A">
        <w:rPr>
          <w:bCs/>
          <w:iCs/>
        </w:rPr>
        <w:t xml:space="preserve">uke </w:t>
      </w:r>
      <w:r w:rsidR="00D86086">
        <w:rPr>
          <w:bCs/>
          <w:iCs/>
        </w:rPr>
        <w:t xml:space="preserve">included </w:t>
      </w:r>
      <w:r w:rsidR="00D62A0D">
        <w:rPr>
          <w:bCs/>
          <w:iCs/>
        </w:rPr>
        <w:t xml:space="preserve">within its proposed tariffs can serve to further limit the number of customers who might choose </w:t>
      </w:r>
      <w:r w:rsidR="00D86086">
        <w:rPr>
          <w:bCs/>
          <w:iCs/>
        </w:rPr>
        <w:t xml:space="preserve">not to have an </w:t>
      </w:r>
      <w:r w:rsidR="00D62A0D">
        <w:rPr>
          <w:bCs/>
          <w:iCs/>
        </w:rPr>
        <w:t xml:space="preserve">advanced meter </w:t>
      </w:r>
      <w:r w:rsidR="00D86086">
        <w:rPr>
          <w:bCs/>
          <w:iCs/>
        </w:rPr>
        <w:t>at their homes</w:t>
      </w:r>
      <w:r w:rsidR="00D62A0D">
        <w:rPr>
          <w:bCs/>
          <w:iCs/>
        </w:rPr>
        <w:t xml:space="preserve">.  </w:t>
      </w:r>
      <w:r w:rsidR="00420BC8">
        <w:rPr>
          <w:bCs/>
          <w:iCs/>
        </w:rPr>
        <w:t xml:space="preserve">For example, </w:t>
      </w:r>
      <w:r w:rsidR="00A119DB">
        <w:rPr>
          <w:bCs/>
          <w:iCs/>
        </w:rPr>
        <w:t>D</w:t>
      </w:r>
      <w:r w:rsidR="00ED21B8">
        <w:rPr>
          <w:bCs/>
          <w:iCs/>
        </w:rPr>
        <w:t xml:space="preserve">uke </w:t>
      </w:r>
      <w:r w:rsidR="00A119DB">
        <w:rPr>
          <w:bCs/>
          <w:iCs/>
        </w:rPr>
        <w:t xml:space="preserve">claims it has the right to </w:t>
      </w:r>
      <w:r w:rsidR="00ED21B8">
        <w:rPr>
          <w:bCs/>
          <w:iCs/>
        </w:rPr>
        <w:t xml:space="preserve">refuse advanced meter opt-out service if </w:t>
      </w:r>
      <w:r w:rsidR="00C544E1" w:rsidRPr="00ED21B8">
        <w:rPr>
          <w:bCs/>
          <w:iCs/>
        </w:rPr>
        <w:t>customer</w:t>
      </w:r>
      <w:r w:rsidR="00ED21B8">
        <w:rPr>
          <w:bCs/>
          <w:iCs/>
        </w:rPr>
        <w:t xml:space="preserve">s </w:t>
      </w:r>
      <w:r w:rsidR="00C544E1" w:rsidRPr="00ED21B8">
        <w:rPr>
          <w:bCs/>
          <w:iCs/>
        </w:rPr>
        <w:t>do</w:t>
      </w:r>
      <w:r w:rsidR="00ED21B8">
        <w:rPr>
          <w:bCs/>
          <w:iCs/>
        </w:rPr>
        <w:t xml:space="preserve"> </w:t>
      </w:r>
      <w:r w:rsidR="00C544E1" w:rsidRPr="00ED21B8">
        <w:rPr>
          <w:bCs/>
          <w:iCs/>
        </w:rPr>
        <w:t xml:space="preserve">not </w:t>
      </w:r>
      <w:r w:rsidR="00ED21B8">
        <w:rPr>
          <w:bCs/>
          <w:iCs/>
        </w:rPr>
        <w:t>provide access to meters</w:t>
      </w:r>
      <w:r w:rsidR="00A119DB">
        <w:rPr>
          <w:bCs/>
          <w:iCs/>
        </w:rPr>
        <w:t xml:space="preserve">.  </w:t>
      </w:r>
      <w:r w:rsidR="00420BC8">
        <w:rPr>
          <w:bCs/>
          <w:iCs/>
        </w:rPr>
        <w:t xml:space="preserve">Duke </w:t>
      </w:r>
      <w:r w:rsidR="006F50AD">
        <w:rPr>
          <w:bCs/>
          <w:iCs/>
        </w:rPr>
        <w:t>also proclaims the right to refuse to provide advanced meter opt-out service to customers with a history of tampering or theft.</w:t>
      </w:r>
      <w:r w:rsidR="00B55AE4" w:rsidRPr="00B55AE4">
        <w:rPr>
          <w:bCs/>
          <w:iCs/>
        </w:rPr>
        <w:t xml:space="preserve">  B</w:t>
      </w:r>
      <w:r w:rsidR="00D86086">
        <w:rPr>
          <w:bCs/>
          <w:iCs/>
        </w:rPr>
        <w:t>ut i</w:t>
      </w:r>
      <w:r w:rsidR="00B55AE4" w:rsidRPr="00B55AE4">
        <w:rPr>
          <w:bCs/>
          <w:iCs/>
        </w:rPr>
        <w:t xml:space="preserve">n </w:t>
      </w:r>
      <w:r w:rsidR="0081143E">
        <w:rPr>
          <w:bCs/>
          <w:iCs/>
        </w:rPr>
        <w:t>its</w:t>
      </w:r>
      <w:r w:rsidR="0081143E" w:rsidRPr="00B55AE4">
        <w:rPr>
          <w:bCs/>
          <w:iCs/>
        </w:rPr>
        <w:t xml:space="preserve"> </w:t>
      </w:r>
      <w:r w:rsidR="00B55AE4" w:rsidRPr="00B55AE4">
        <w:rPr>
          <w:bCs/>
          <w:iCs/>
        </w:rPr>
        <w:t xml:space="preserve">Entry on Rehearing in Case 12-2050-EL-ORD, the </w:t>
      </w:r>
      <w:r w:rsidR="00D86086">
        <w:rPr>
          <w:bCs/>
          <w:iCs/>
        </w:rPr>
        <w:t xml:space="preserve">PUCO </w:t>
      </w:r>
      <w:r w:rsidR="00B55AE4" w:rsidRPr="00B55AE4">
        <w:rPr>
          <w:bCs/>
          <w:iCs/>
        </w:rPr>
        <w:t>rejected Duke</w:t>
      </w:r>
      <w:r w:rsidR="00D86086">
        <w:rPr>
          <w:bCs/>
          <w:iCs/>
        </w:rPr>
        <w:t>’</w:t>
      </w:r>
      <w:r w:rsidR="00B55AE4" w:rsidRPr="00B55AE4">
        <w:rPr>
          <w:bCs/>
          <w:iCs/>
        </w:rPr>
        <w:t xml:space="preserve">s proposal </w:t>
      </w:r>
      <w:r w:rsidR="00D86086">
        <w:rPr>
          <w:bCs/>
          <w:iCs/>
        </w:rPr>
        <w:t xml:space="preserve">that it </w:t>
      </w:r>
      <w:r w:rsidR="00B55AE4" w:rsidRPr="00B55AE4">
        <w:rPr>
          <w:bCs/>
          <w:iCs/>
        </w:rPr>
        <w:t>be able to deny advanced meter opt-out service to customers with inside meters and those whom Duke al</w:t>
      </w:r>
      <w:r w:rsidR="00D86086">
        <w:rPr>
          <w:bCs/>
          <w:iCs/>
        </w:rPr>
        <w:t>l</w:t>
      </w:r>
      <w:r w:rsidR="00B55AE4" w:rsidRPr="00B55AE4">
        <w:rPr>
          <w:bCs/>
          <w:iCs/>
        </w:rPr>
        <w:t>e</w:t>
      </w:r>
      <w:r w:rsidR="00B55AE4">
        <w:rPr>
          <w:bCs/>
          <w:iCs/>
        </w:rPr>
        <w:t>ge</w:t>
      </w:r>
      <w:r w:rsidR="00D86086">
        <w:rPr>
          <w:bCs/>
          <w:iCs/>
        </w:rPr>
        <w:t xml:space="preserve"> to</w:t>
      </w:r>
      <w:r w:rsidR="00B55AE4">
        <w:rPr>
          <w:bCs/>
          <w:iCs/>
        </w:rPr>
        <w:t xml:space="preserve"> </w:t>
      </w:r>
      <w:r w:rsidR="00B55AE4" w:rsidRPr="00B55AE4">
        <w:rPr>
          <w:bCs/>
          <w:iCs/>
        </w:rPr>
        <w:t>have a history of fraud and theft.</w:t>
      </w:r>
      <w:r w:rsidR="0050221C">
        <w:rPr>
          <w:rStyle w:val="FootnoteReference"/>
          <w:bCs/>
          <w:iCs/>
        </w:rPr>
        <w:footnoteReference w:id="34"/>
      </w:r>
      <w:r w:rsidR="00B55AE4" w:rsidRPr="00B55AE4">
        <w:rPr>
          <w:bCs/>
          <w:iCs/>
        </w:rPr>
        <w:t xml:space="preserve">  </w:t>
      </w:r>
      <w:r w:rsidR="00B55AE4">
        <w:rPr>
          <w:bCs/>
          <w:iCs/>
        </w:rPr>
        <w:t>Duke</w:t>
      </w:r>
      <w:r w:rsidR="0050221C">
        <w:rPr>
          <w:bCs/>
          <w:iCs/>
        </w:rPr>
        <w:t xml:space="preserve">’s inclusion of these restrictions in its Application </w:t>
      </w:r>
      <w:r w:rsidR="00D86086">
        <w:rPr>
          <w:bCs/>
          <w:iCs/>
        </w:rPr>
        <w:t xml:space="preserve">is counter to </w:t>
      </w:r>
      <w:r w:rsidR="0050221C">
        <w:rPr>
          <w:bCs/>
          <w:iCs/>
        </w:rPr>
        <w:t>the PUCO</w:t>
      </w:r>
      <w:r w:rsidR="00D86086">
        <w:rPr>
          <w:bCs/>
          <w:iCs/>
        </w:rPr>
        <w:t>’s</w:t>
      </w:r>
      <w:r w:rsidR="0050221C">
        <w:rPr>
          <w:bCs/>
          <w:iCs/>
        </w:rPr>
        <w:t xml:space="preserve"> ruling in the Entry</w:t>
      </w:r>
      <w:r w:rsidR="00D86086">
        <w:rPr>
          <w:bCs/>
          <w:iCs/>
        </w:rPr>
        <w:t xml:space="preserve"> on Rehearing</w:t>
      </w:r>
      <w:r w:rsidR="0050221C">
        <w:rPr>
          <w:bCs/>
          <w:iCs/>
        </w:rPr>
        <w:t>.</w:t>
      </w:r>
    </w:p>
    <w:p w14:paraId="5C6B3EF0" w14:textId="77777777" w:rsidR="003850CA" w:rsidRDefault="003850CA" w:rsidP="00D86086">
      <w:pPr>
        <w:spacing w:line="480" w:lineRule="auto"/>
        <w:ind w:left="720" w:right="720" w:hanging="720"/>
        <w:rPr>
          <w:bCs/>
          <w:iCs/>
        </w:rPr>
      </w:pPr>
    </w:p>
    <w:p w14:paraId="195A7526" w14:textId="77777777" w:rsidR="00695757" w:rsidRPr="003D403A" w:rsidRDefault="00695757" w:rsidP="00D24B73">
      <w:pPr>
        <w:spacing w:line="480" w:lineRule="auto"/>
        <w:ind w:left="720" w:right="720" w:hanging="720"/>
        <w:rPr>
          <w:b/>
          <w:bCs/>
          <w:i/>
          <w:iCs/>
        </w:rPr>
      </w:pPr>
      <w:r w:rsidRPr="003D403A">
        <w:rPr>
          <w:b/>
          <w:bCs/>
          <w:i/>
          <w:iCs/>
        </w:rPr>
        <w:t>Q22.</w:t>
      </w:r>
      <w:r w:rsidRPr="003D403A">
        <w:rPr>
          <w:b/>
          <w:bCs/>
          <w:i/>
          <w:iCs/>
        </w:rPr>
        <w:tab/>
        <w:t>DO YOU HAVE ANY ADDITIONAL OBJECTIONS TO DUKE</w:t>
      </w:r>
      <w:r w:rsidR="00DE2BD6" w:rsidRPr="003D403A">
        <w:rPr>
          <w:b/>
          <w:bCs/>
          <w:i/>
          <w:iCs/>
        </w:rPr>
        <w:t>’S</w:t>
      </w:r>
      <w:r w:rsidRPr="003D403A">
        <w:rPr>
          <w:b/>
          <w:bCs/>
          <w:i/>
          <w:iCs/>
        </w:rPr>
        <w:t xml:space="preserve"> ADVANCED METER OPT-OUT APPLICATION?</w:t>
      </w:r>
    </w:p>
    <w:p w14:paraId="3AD334EA" w14:textId="296D0FD8" w:rsidR="00506317" w:rsidRDefault="00695757" w:rsidP="00FA4F78">
      <w:pPr>
        <w:spacing w:line="480" w:lineRule="auto"/>
        <w:ind w:left="720" w:right="720" w:hanging="720"/>
        <w:rPr>
          <w:bCs/>
          <w:iCs/>
        </w:rPr>
      </w:pPr>
      <w:r w:rsidRPr="003F15E4">
        <w:rPr>
          <w:b/>
          <w:bCs/>
          <w:i/>
          <w:iCs/>
        </w:rPr>
        <w:t>A22.</w:t>
      </w:r>
      <w:r>
        <w:rPr>
          <w:bCs/>
          <w:iCs/>
        </w:rPr>
        <w:tab/>
        <w:t xml:space="preserve">Yes.  I have </w:t>
      </w:r>
      <w:r w:rsidR="00540EF0">
        <w:rPr>
          <w:bCs/>
          <w:iCs/>
        </w:rPr>
        <w:t xml:space="preserve">three </w:t>
      </w:r>
      <w:r>
        <w:rPr>
          <w:bCs/>
          <w:iCs/>
        </w:rPr>
        <w:t>additional general objections.</w:t>
      </w:r>
    </w:p>
    <w:p w14:paraId="73BB2790" w14:textId="77777777" w:rsidR="00506317" w:rsidRDefault="00506317" w:rsidP="00506317">
      <w:pPr>
        <w:spacing w:line="480" w:lineRule="auto"/>
        <w:ind w:left="720" w:right="720"/>
        <w:rPr>
          <w:bCs/>
          <w:iCs/>
        </w:rPr>
      </w:pPr>
    </w:p>
    <w:p w14:paraId="645A7220" w14:textId="44CB584B" w:rsidR="00506317" w:rsidRDefault="00695757" w:rsidP="00506317">
      <w:pPr>
        <w:spacing w:line="480" w:lineRule="auto"/>
        <w:ind w:left="720" w:right="720"/>
        <w:rPr>
          <w:bCs/>
          <w:iCs/>
        </w:rPr>
      </w:pPr>
      <w:r>
        <w:rPr>
          <w:bCs/>
          <w:iCs/>
        </w:rPr>
        <w:t xml:space="preserve">First, as I have mentioned earlier, Duke appears to be using the advanced meter opt-out tariff as </w:t>
      </w:r>
      <w:r w:rsidR="008D1068">
        <w:rPr>
          <w:bCs/>
          <w:iCs/>
        </w:rPr>
        <w:t>a pun</w:t>
      </w:r>
      <w:r w:rsidR="00202C63">
        <w:rPr>
          <w:bCs/>
          <w:iCs/>
        </w:rPr>
        <w:t>i</w:t>
      </w:r>
      <w:r w:rsidR="008D1068">
        <w:rPr>
          <w:bCs/>
          <w:iCs/>
        </w:rPr>
        <w:t>tive measure</w:t>
      </w:r>
      <w:r>
        <w:rPr>
          <w:bCs/>
          <w:iCs/>
        </w:rPr>
        <w:t xml:space="preserve"> to force customers to </w:t>
      </w:r>
      <w:r w:rsidR="00034B81">
        <w:rPr>
          <w:bCs/>
          <w:iCs/>
        </w:rPr>
        <w:t>have</w:t>
      </w:r>
      <w:r w:rsidR="00540EF0">
        <w:rPr>
          <w:bCs/>
          <w:iCs/>
        </w:rPr>
        <w:t xml:space="preserve"> an advanced meter against their wishes</w:t>
      </w:r>
      <w:r w:rsidR="00034B81">
        <w:rPr>
          <w:bCs/>
          <w:iCs/>
        </w:rPr>
        <w:t xml:space="preserve">.  There is no indication that Duke is working with customers to address </w:t>
      </w:r>
      <w:r w:rsidR="00B766CD">
        <w:rPr>
          <w:bCs/>
          <w:iCs/>
        </w:rPr>
        <w:t xml:space="preserve">their </w:t>
      </w:r>
      <w:r w:rsidR="00034B81">
        <w:rPr>
          <w:bCs/>
          <w:iCs/>
        </w:rPr>
        <w:t xml:space="preserve">specific concerns </w:t>
      </w:r>
      <w:r w:rsidR="00B766CD">
        <w:rPr>
          <w:bCs/>
          <w:iCs/>
        </w:rPr>
        <w:t xml:space="preserve">with </w:t>
      </w:r>
      <w:r w:rsidR="00540EF0">
        <w:rPr>
          <w:bCs/>
          <w:iCs/>
        </w:rPr>
        <w:t>advanced meters</w:t>
      </w:r>
      <w:r w:rsidR="00034B81">
        <w:rPr>
          <w:bCs/>
          <w:iCs/>
        </w:rPr>
        <w:t>.  For example</w:t>
      </w:r>
      <w:r w:rsidR="00540EF0">
        <w:rPr>
          <w:bCs/>
          <w:iCs/>
        </w:rPr>
        <w:t>,</w:t>
      </w:r>
      <w:r w:rsidR="00034B81">
        <w:rPr>
          <w:bCs/>
          <w:iCs/>
        </w:rPr>
        <w:t xml:space="preserve"> there is no indication Duke will turn off the communications function of the </w:t>
      </w:r>
      <w:r w:rsidR="00540EF0">
        <w:rPr>
          <w:bCs/>
          <w:iCs/>
        </w:rPr>
        <w:t xml:space="preserve">advanced meter </w:t>
      </w:r>
      <w:r w:rsidR="00034B81">
        <w:rPr>
          <w:bCs/>
          <w:iCs/>
        </w:rPr>
        <w:t xml:space="preserve">or </w:t>
      </w:r>
      <w:r w:rsidR="00540EF0">
        <w:rPr>
          <w:bCs/>
          <w:iCs/>
        </w:rPr>
        <w:t xml:space="preserve">will </w:t>
      </w:r>
      <w:r w:rsidR="00034B81">
        <w:rPr>
          <w:bCs/>
          <w:iCs/>
        </w:rPr>
        <w:t>relocate meters to address customer concerns.  Yet, the PUCO requires Duke to work with customers to provide alternatives to the advanced meter opt-out</w:t>
      </w:r>
      <w:r w:rsidR="00540EF0">
        <w:rPr>
          <w:bCs/>
          <w:iCs/>
        </w:rPr>
        <w:t xml:space="preserve"> tariff</w:t>
      </w:r>
      <w:r w:rsidR="00034B81">
        <w:rPr>
          <w:bCs/>
          <w:iCs/>
        </w:rPr>
        <w:t>.</w:t>
      </w:r>
      <w:r w:rsidR="00034B81">
        <w:rPr>
          <w:rStyle w:val="FootnoteReference"/>
          <w:bCs/>
          <w:iCs/>
        </w:rPr>
        <w:footnoteReference w:id="35"/>
      </w:r>
      <w:r w:rsidR="00034B81">
        <w:rPr>
          <w:bCs/>
          <w:iCs/>
        </w:rPr>
        <w:t xml:space="preserve"> </w:t>
      </w:r>
      <w:r w:rsidR="0025196E">
        <w:rPr>
          <w:bCs/>
          <w:iCs/>
        </w:rPr>
        <w:t xml:space="preserve">When alternatives are not provided, Duke’s customers are at a disadvantage in making an informed decision regarding their participation in the advanced meter opt-out tariff.   </w:t>
      </w:r>
      <w:r w:rsidR="00034B81">
        <w:rPr>
          <w:bCs/>
          <w:iCs/>
        </w:rPr>
        <w:t xml:space="preserve"> </w:t>
      </w:r>
    </w:p>
    <w:p w14:paraId="12B2EDDD" w14:textId="77777777" w:rsidR="00506317" w:rsidRDefault="00506317" w:rsidP="00506317">
      <w:pPr>
        <w:spacing w:line="480" w:lineRule="auto"/>
        <w:ind w:left="720" w:right="720"/>
        <w:rPr>
          <w:bCs/>
          <w:iCs/>
        </w:rPr>
      </w:pPr>
    </w:p>
    <w:p w14:paraId="6196E9A1" w14:textId="10B03266" w:rsidR="00216141" w:rsidRDefault="00034B81" w:rsidP="00506317">
      <w:pPr>
        <w:spacing w:line="480" w:lineRule="auto"/>
        <w:ind w:left="720" w:right="720"/>
        <w:rPr>
          <w:bCs/>
          <w:iCs/>
        </w:rPr>
      </w:pPr>
      <w:r>
        <w:rPr>
          <w:bCs/>
          <w:iCs/>
        </w:rPr>
        <w:t>Second, Duke proposed deferring some of the implementation costs to reduce the magnitude of the one-time charges to $126.70.</w:t>
      </w:r>
      <w:r>
        <w:rPr>
          <w:rStyle w:val="FootnoteReference"/>
          <w:bCs/>
          <w:iCs/>
        </w:rPr>
        <w:footnoteReference w:id="36"/>
      </w:r>
      <w:r>
        <w:rPr>
          <w:bCs/>
          <w:iCs/>
        </w:rPr>
        <w:t xml:space="preserve">  However, Duke provided no support for the alternative one-time charge.  Authorizing a deferral of these costs is unreasonable </w:t>
      </w:r>
      <w:r w:rsidR="008D1068">
        <w:rPr>
          <w:bCs/>
          <w:iCs/>
        </w:rPr>
        <w:t>because it diverts costs from the cost causers</w:t>
      </w:r>
      <w:r w:rsidR="002C59D7">
        <w:rPr>
          <w:bCs/>
          <w:iCs/>
        </w:rPr>
        <w:t xml:space="preserve"> to then have all customers pay.  </w:t>
      </w:r>
      <w:r>
        <w:rPr>
          <w:bCs/>
          <w:iCs/>
        </w:rPr>
        <w:t xml:space="preserve">Duke has failed to demonstrate that any of the costs associated with the advanced meter opt-out are incremental to </w:t>
      </w:r>
      <w:r w:rsidR="00FA4F78">
        <w:rPr>
          <w:bCs/>
          <w:iCs/>
        </w:rPr>
        <w:t>cost recovery customers already pay in base rates.</w:t>
      </w:r>
    </w:p>
    <w:p w14:paraId="0FD890E0" w14:textId="77777777" w:rsidR="00216141" w:rsidRDefault="00216141" w:rsidP="00506317">
      <w:pPr>
        <w:spacing w:line="480" w:lineRule="auto"/>
        <w:ind w:left="720" w:right="720"/>
        <w:rPr>
          <w:bCs/>
          <w:iCs/>
        </w:rPr>
      </w:pPr>
    </w:p>
    <w:p w14:paraId="3E4D053A" w14:textId="758DC16B" w:rsidR="00D24B73" w:rsidRDefault="00540EF0" w:rsidP="00506317">
      <w:pPr>
        <w:spacing w:line="480" w:lineRule="auto"/>
        <w:ind w:left="720" w:right="720"/>
      </w:pPr>
      <w:r>
        <w:rPr>
          <w:bCs/>
          <w:iCs/>
        </w:rPr>
        <w:t xml:space="preserve">Third, </w:t>
      </w:r>
      <w:r>
        <w:t>Duke does not explain how and when the deferred amount would ultimately be collected from customers.  Duke also does not explain whether it proposes to collect carrying charges on the deferred amount and, if so, at what rate.</w:t>
      </w:r>
    </w:p>
    <w:p w14:paraId="2BCE546B" w14:textId="77777777" w:rsidR="003850CA" w:rsidRDefault="003850CA" w:rsidP="00FA4F78">
      <w:pPr>
        <w:spacing w:line="480" w:lineRule="auto"/>
        <w:ind w:left="720" w:right="720" w:hanging="720"/>
        <w:rPr>
          <w:iCs/>
        </w:rPr>
      </w:pPr>
    </w:p>
    <w:p w14:paraId="2FC13B36" w14:textId="01163571" w:rsidR="003D403A" w:rsidRDefault="003D403A" w:rsidP="00B82FEC">
      <w:pPr>
        <w:pStyle w:val="Heading1"/>
      </w:pPr>
      <w:bookmarkStart w:id="11" w:name="_Toc430357079"/>
      <w:r w:rsidRPr="003D403A">
        <w:t>V.</w:t>
      </w:r>
      <w:r w:rsidRPr="003D403A">
        <w:tab/>
        <w:t>RECOMMENDATIONS</w:t>
      </w:r>
      <w:bookmarkEnd w:id="11"/>
    </w:p>
    <w:p w14:paraId="2B41D1E5" w14:textId="77777777" w:rsidR="003D403A" w:rsidRDefault="003D403A" w:rsidP="00FA4F78">
      <w:pPr>
        <w:spacing w:line="480" w:lineRule="auto"/>
        <w:ind w:left="720" w:right="720" w:hanging="720"/>
        <w:rPr>
          <w:b/>
          <w:iCs/>
        </w:rPr>
      </w:pPr>
    </w:p>
    <w:p w14:paraId="4D90F692" w14:textId="346EC479" w:rsidR="003D403A" w:rsidRPr="00801002" w:rsidRDefault="003D403A" w:rsidP="00FA4F78">
      <w:pPr>
        <w:spacing w:line="480" w:lineRule="auto"/>
        <w:ind w:left="720" w:right="720" w:hanging="720"/>
        <w:rPr>
          <w:b/>
          <w:i/>
          <w:iCs/>
        </w:rPr>
      </w:pPr>
      <w:r w:rsidRPr="00801002">
        <w:rPr>
          <w:b/>
          <w:i/>
          <w:iCs/>
        </w:rPr>
        <w:t>Q23.</w:t>
      </w:r>
      <w:r w:rsidRPr="00801002">
        <w:rPr>
          <w:b/>
          <w:i/>
          <w:iCs/>
        </w:rPr>
        <w:tab/>
        <w:t>CAN YOU SUMMARIZE YOUR RECOMMENDATIONS?</w:t>
      </w:r>
    </w:p>
    <w:p w14:paraId="23177804" w14:textId="7B76A478" w:rsidR="003D403A" w:rsidRPr="00124D25" w:rsidRDefault="003D403A" w:rsidP="00063BC8">
      <w:pPr>
        <w:spacing w:line="480" w:lineRule="auto"/>
        <w:ind w:left="720" w:hanging="720"/>
      </w:pPr>
      <w:r w:rsidRPr="003F15E4">
        <w:rPr>
          <w:b/>
          <w:i/>
          <w:iCs/>
        </w:rPr>
        <w:t>A23.</w:t>
      </w:r>
      <w:r w:rsidRPr="008C5EE3">
        <w:rPr>
          <w:iCs/>
        </w:rPr>
        <w:tab/>
      </w:r>
      <w:r w:rsidRPr="00124D25">
        <w:rPr>
          <w:iCs/>
        </w:rPr>
        <w:t xml:space="preserve">Yes.  I recommend that the PUCO </w:t>
      </w:r>
      <w:r w:rsidRPr="00124D25">
        <w:t xml:space="preserve">reject both the one-time and </w:t>
      </w:r>
      <w:r w:rsidR="008C5EE3" w:rsidRPr="00124D25">
        <w:t xml:space="preserve">the recurring </w:t>
      </w:r>
      <w:r w:rsidRPr="00124D25">
        <w:t>monthly charges</w:t>
      </w:r>
      <w:r w:rsidR="00251945" w:rsidRPr="00124D25">
        <w:t xml:space="preserve"> at this time.</w:t>
      </w:r>
      <w:r w:rsidRPr="00124D25">
        <w:t xml:space="preserve"> </w:t>
      </w:r>
      <w:r w:rsidR="00C97F19" w:rsidRPr="00124D25">
        <w:t xml:space="preserve"> Duke’s </w:t>
      </w:r>
      <w:r w:rsidR="008C5EE3" w:rsidRPr="00124D25">
        <w:t xml:space="preserve">revenues and expenses can </w:t>
      </w:r>
      <w:r w:rsidRPr="00124D25">
        <w:t>be examined more fully</w:t>
      </w:r>
      <w:r w:rsidR="00C97F19" w:rsidRPr="00124D25">
        <w:t xml:space="preserve"> on this issue, during a future rate case</w:t>
      </w:r>
      <w:r w:rsidR="008C5EE3" w:rsidRPr="00124D25">
        <w:t xml:space="preserve">.  In addition, </w:t>
      </w:r>
      <w:r w:rsidR="00DC7B22" w:rsidRPr="00124D25">
        <w:t xml:space="preserve">to protect customers from future Duke requests for charges on electric bills, </w:t>
      </w:r>
      <w:r w:rsidR="008C5EE3" w:rsidRPr="00124D25">
        <w:t xml:space="preserve">I recommend that the PUCO not authorize the deferral of any of the alleged costs that Duke claims are associated with the advanced meter opt-out.  </w:t>
      </w:r>
      <w:r w:rsidR="00DC7B22" w:rsidRPr="00124D25">
        <w:t xml:space="preserve">Also, </w:t>
      </w:r>
      <w:r w:rsidRPr="00124D25">
        <w:t>Duke</w:t>
      </w:r>
      <w:r w:rsidR="008C5EE3" w:rsidRPr="00124D25">
        <w:t xml:space="preserve"> should be required to </w:t>
      </w:r>
      <w:r w:rsidRPr="00124D25">
        <w:t xml:space="preserve">provide alternatives to monthly </w:t>
      </w:r>
      <w:r w:rsidR="008C5EE3" w:rsidRPr="00124D25">
        <w:t xml:space="preserve">meter </w:t>
      </w:r>
      <w:r w:rsidRPr="00124D25">
        <w:t>reads</w:t>
      </w:r>
      <w:r w:rsidR="008C5EE3" w:rsidRPr="00124D25">
        <w:t xml:space="preserve"> such as allowing customers to read their meters</w:t>
      </w:r>
      <w:r w:rsidR="00DC7B22" w:rsidRPr="00124D25">
        <w:t>, to reduce Duke’s costs</w:t>
      </w:r>
      <w:r w:rsidR="008C5EE3" w:rsidRPr="00124D25">
        <w:t xml:space="preserve">.  Finally, when </w:t>
      </w:r>
      <w:r w:rsidR="00063BC8" w:rsidRPr="00124D25">
        <w:t xml:space="preserve">more accurate estimates of the number of customers who are interested in the advanced meter opt-out are available, Duke should be required to </w:t>
      </w:r>
      <w:r w:rsidRPr="00124D25">
        <w:t xml:space="preserve">minimize </w:t>
      </w:r>
      <w:r w:rsidR="006F514C" w:rsidRPr="00124D25">
        <w:t>its</w:t>
      </w:r>
      <w:r w:rsidR="00063BC8" w:rsidRPr="00124D25">
        <w:t xml:space="preserve"> implementation </w:t>
      </w:r>
      <w:r w:rsidRPr="00124D25">
        <w:t>costs</w:t>
      </w:r>
      <w:r w:rsidR="00305A48" w:rsidRPr="00124D25">
        <w:t xml:space="preserve"> in a number of ways.</w:t>
      </w:r>
      <w:r w:rsidRPr="00124D25">
        <w:t xml:space="preserve"> </w:t>
      </w:r>
      <w:r w:rsidR="00305A48" w:rsidRPr="00124D25">
        <w:t xml:space="preserve">These ways include Duke </w:t>
      </w:r>
      <w:r w:rsidR="00063BC8" w:rsidRPr="00124D25">
        <w:t xml:space="preserve">reusing pre-existing billing system capabilities, </w:t>
      </w:r>
      <w:r w:rsidRPr="00124D25">
        <w:t xml:space="preserve">through efficiencies </w:t>
      </w:r>
      <w:r w:rsidR="00063BC8" w:rsidRPr="00124D25">
        <w:t>in met</w:t>
      </w:r>
      <w:r w:rsidRPr="00124D25">
        <w:t>er reading routes, and more fully examining technical issues</w:t>
      </w:r>
      <w:r w:rsidR="00063BC8" w:rsidRPr="00124D25">
        <w:t>,</w:t>
      </w:r>
      <w:r w:rsidRPr="00124D25">
        <w:t xml:space="preserve"> such as the communications gaps, to determine if </w:t>
      </w:r>
      <w:r w:rsidR="00063BC8" w:rsidRPr="00124D25">
        <w:t xml:space="preserve">more communication devices are really required. </w:t>
      </w:r>
    </w:p>
    <w:p w14:paraId="69F02FCF" w14:textId="77777777" w:rsidR="003D403A" w:rsidRDefault="003D403A" w:rsidP="00FA4F78">
      <w:pPr>
        <w:spacing w:line="480" w:lineRule="auto"/>
        <w:ind w:left="720" w:right="720" w:hanging="720"/>
        <w:rPr>
          <w:iCs/>
        </w:rPr>
      </w:pPr>
    </w:p>
    <w:p w14:paraId="25895840" w14:textId="3224258C" w:rsidR="004552C9" w:rsidRPr="00B82FEC" w:rsidRDefault="0027799D" w:rsidP="00B82FEC">
      <w:pPr>
        <w:pStyle w:val="Heading1"/>
      </w:pPr>
      <w:bookmarkStart w:id="12" w:name="_Toc200862193"/>
      <w:bookmarkStart w:id="13" w:name="_Toc200862239"/>
      <w:bookmarkStart w:id="14" w:name="_Toc200862280"/>
      <w:bookmarkStart w:id="15" w:name="_Toc250355738"/>
      <w:bookmarkStart w:id="16" w:name="_Toc264032016"/>
      <w:bookmarkStart w:id="17" w:name="_Toc317859577"/>
      <w:bookmarkStart w:id="18" w:name="_Toc317859765"/>
      <w:bookmarkStart w:id="19" w:name="_Toc386462076"/>
      <w:bookmarkStart w:id="20" w:name="_Toc398624433"/>
      <w:bookmarkStart w:id="21" w:name="_Toc430357080"/>
      <w:r w:rsidRPr="00B82FEC">
        <w:t>v</w:t>
      </w:r>
      <w:r w:rsidR="003D403A" w:rsidRPr="00B82FEC">
        <w:t>I</w:t>
      </w:r>
      <w:r w:rsidR="009E752A" w:rsidRPr="00B82FEC">
        <w:t>.</w:t>
      </w:r>
      <w:r w:rsidR="009E752A" w:rsidRPr="00B82FEC">
        <w:tab/>
        <w:t>CONCLUSION</w:t>
      </w:r>
      <w:bookmarkEnd w:id="12"/>
      <w:bookmarkEnd w:id="13"/>
      <w:bookmarkEnd w:id="14"/>
      <w:bookmarkEnd w:id="15"/>
      <w:bookmarkEnd w:id="16"/>
      <w:bookmarkEnd w:id="17"/>
      <w:bookmarkEnd w:id="18"/>
      <w:bookmarkEnd w:id="19"/>
      <w:bookmarkEnd w:id="20"/>
      <w:bookmarkEnd w:id="21"/>
    </w:p>
    <w:p w14:paraId="210B5EC0" w14:textId="77777777" w:rsidR="005500F6" w:rsidRPr="005500F6" w:rsidRDefault="005500F6" w:rsidP="0009210E">
      <w:pPr>
        <w:spacing w:line="480" w:lineRule="auto"/>
      </w:pPr>
    </w:p>
    <w:p w14:paraId="4C3EBAE0" w14:textId="11908948" w:rsidR="004552C9" w:rsidRPr="005500F6" w:rsidRDefault="009E752A" w:rsidP="0009210E">
      <w:pPr>
        <w:pStyle w:val="ANSWER"/>
        <w:ind w:left="720"/>
        <w:rPr>
          <w:b/>
          <w:bCs/>
          <w:i/>
          <w:iCs/>
        </w:rPr>
      </w:pPr>
      <w:r w:rsidRPr="005500F6">
        <w:rPr>
          <w:b/>
          <w:bCs/>
          <w:i/>
          <w:iCs/>
        </w:rPr>
        <w:t>Q</w:t>
      </w:r>
      <w:r w:rsidR="000D2E31">
        <w:rPr>
          <w:b/>
          <w:bCs/>
          <w:i/>
          <w:iCs/>
        </w:rPr>
        <w:t>2</w:t>
      </w:r>
      <w:r w:rsidR="00063BC8">
        <w:rPr>
          <w:b/>
          <w:bCs/>
          <w:i/>
          <w:iCs/>
        </w:rPr>
        <w:t>4</w:t>
      </w:r>
      <w:r w:rsidRPr="005500F6">
        <w:rPr>
          <w:b/>
          <w:bCs/>
          <w:i/>
          <w:iCs/>
        </w:rPr>
        <w:t>.</w:t>
      </w:r>
      <w:r w:rsidRPr="005500F6">
        <w:rPr>
          <w:b/>
          <w:bCs/>
          <w:i/>
          <w:iCs/>
        </w:rPr>
        <w:tab/>
        <w:t>DOES THIS CONCLUDE YOUR TESTIMONY?</w:t>
      </w:r>
      <w:r w:rsidRPr="005500F6">
        <w:rPr>
          <w:b/>
          <w:bCs/>
          <w:i/>
          <w:iCs/>
        </w:rPr>
        <w:tab/>
      </w:r>
    </w:p>
    <w:p w14:paraId="1D93F606" w14:textId="70EF4208" w:rsidR="004552C9" w:rsidRDefault="009E752A" w:rsidP="0009210E">
      <w:pPr>
        <w:pStyle w:val="BodyTextIndent3"/>
        <w:ind w:left="720" w:hanging="720"/>
        <w:sectPr w:rsidR="004552C9" w:rsidSect="00F95936">
          <w:headerReference w:type="even" r:id="rId18"/>
          <w:headerReference w:type="default" r:id="rId19"/>
          <w:footerReference w:type="default" r:id="rId20"/>
          <w:headerReference w:type="first" r:id="rId21"/>
          <w:pgSz w:w="12240" w:h="15840" w:code="1"/>
          <w:pgMar w:top="1440" w:right="1800" w:bottom="1440" w:left="1800" w:header="720" w:footer="720" w:gutter="0"/>
          <w:lnNumType w:countBy="1"/>
          <w:pgNumType w:start="1"/>
          <w:cols w:space="720"/>
        </w:sectPr>
      </w:pPr>
      <w:r w:rsidRPr="005500F6">
        <w:rPr>
          <w:b/>
          <w:bCs/>
          <w:i/>
          <w:iCs/>
        </w:rPr>
        <w:t>A</w:t>
      </w:r>
      <w:r w:rsidR="000D2E31">
        <w:rPr>
          <w:b/>
          <w:bCs/>
          <w:i/>
          <w:iCs/>
        </w:rPr>
        <w:t>2</w:t>
      </w:r>
      <w:r w:rsidR="00063BC8">
        <w:rPr>
          <w:b/>
          <w:bCs/>
          <w:i/>
          <w:iCs/>
        </w:rPr>
        <w:t>4</w:t>
      </w:r>
      <w:r w:rsidRPr="005500F6">
        <w:rPr>
          <w:b/>
          <w:bCs/>
          <w:i/>
          <w:iCs/>
        </w:rPr>
        <w:t>.</w:t>
      </w:r>
      <w:r>
        <w:rPr>
          <w:b/>
          <w:bCs/>
          <w:i/>
          <w:iCs/>
        </w:rPr>
        <w:tab/>
      </w:r>
      <w:r>
        <w:t>Yes.  However, I reserve the right to incorporate new information that may subsequently become available through outst</w:t>
      </w:r>
      <w:r w:rsidR="008D3AE2">
        <w:t>anding discovery or otherwise.</w:t>
      </w:r>
    </w:p>
    <w:p w14:paraId="50520511" w14:textId="77777777" w:rsidR="004552C9" w:rsidRDefault="009E752A">
      <w:pPr>
        <w:spacing w:line="480" w:lineRule="auto"/>
        <w:jc w:val="center"/>
      </w:pPr>
      <w:r>
        <w:rPr>
          <w:b/>
          <w:bCs/>
          <w:u w:val="single"/>
        </w:rPr>
        <w:t>CERTIFICATE OF SERVICE</w:t>
      </w:r>
    </w:p>
    <w:p w14:paraId="7599428D" w14:textId="64547B78" w:rsidR="004552C9" w:rsidRDefault="009E752A">
      <w:pPr>
        <w:suppressAutoHyphens/>
        <w:spacing w:line="480" w:lineRule="auto"/>
        <w:ind w:firstLine="720"/>
        <w:rPr>
          <w:spacing w:val="-3"/>
        </w:rPr>
      </w:pPr>
      <w:r>
        <w:rPr>
          <w:spacing w:val="-3"/>
        </w:rPr>
        <w:t xml:space="preserve">It is hereby certified that a true copy of the foregoing </w:t>
      </w:r>
      <w:r>
        <w:rPr>
          <w:i/>
          <w:iCs/>
          <w:spacing w:val="-3"/>
        </w:rPr>
        <w:t xml:space="preserve">Testimony of James D. Williams on Behalf of the Office of the Ohio Consumers’ Counsel </w:t>
      </w:r>
      <w:r>
        <w:rPr>
          <w:spacing w:val="-3"/>
        </w:rPr>
        <w:t xml:space="preserve">has been served via </w:t>
      </w:r>
      <w:r w:rsidR="005500F6">
        <w:rPr>
          <w:spacing w:val="-3"/>
        </w:rPr>
        <w:t xml:space="preserve">electronic transmission </w:t>
      </w:r>
      <w:r>
        <w:rPr>
          <w:spacing w:val="-3"/>
        </w:rPr>
        <w:t xml:space="preserve">this </w:t>
      </w:r>
      <w:r w:rsidR="00695757">
        <w:rPr>
          <w:spacing w:val="-3"/>
        </w:rPr>
        <w:t>18</w:t>
      </w:r>
      <w:r w:rsidR="001970DC" w:rsidRPr="001970DC">
        <w:rPr>
          <w:spacing w:val="-3"/>
          <w:vertAlign w:val="superscript"/>
        </w:rPr>
        <w:t>th</w:t>
      </w:r>
      <w:r w:rsidR="001970DC">
        <w:rPr>
          <w:spacing w:val="-3"/>
        </w:rPr>
        <w:t xml:space="preserve"> </w:t>
      </w:r>
      <w:r>
        <w:rPr>
          <w:spacing w:val="-3"/>
        </w:rPr>
        <w:t xml:space="preserve">day of </w:t>
      </w:r>
      <w:r w:rsidR="00695757">
        <w:rPr>
          <w:spacing w:val="-3"/>
        </w:rPr>
        <w:t xml:space="preserve">September </w:t>
      </w:r>
      <w:r>
        <w:rPr>
          <w:spacing w:val="-3"/>
        </w:rPr>
        <w:t>201</w:t>
      </w:r>
      <w:r w:rsidR="001970DC">
        <w:rPr>
          <w:spacing w:val="-3"/>
        </w:rPr>
        <w:t>5</w:t>
      </w:r>
      <w:r>
        <w:rPr>
          <w:spacing w:val="-3"/>
        </w:rPr>
        <w:t>.</w:t>
      </w:r>
    </w:p>
    <w:p w14:paraId="139B1236" w14:textId="77777777" w:rsidR="004552C9" w:rsidRDefault="004552C9">
      <w:pPr>
        <w:pStyle w:val="EndnoteText"/>
        <w:widowControl/>
        <w:tabs>
          <w:tab w:val="left" w:pos="-720"/>
        </w:tabs>
        <w:suppressAutoHyphens/>
        <w:rPr>
          <w:spacing w:val="-3"/>
        </w:rPr>
      </w:pPr>
    </w:p>
    <w:p w14:paraId="3F16662D" w14:textId="77777777" w:rsidR="004552C9" w:rsidRDefault="004552C9">
      <w:pPr>
        <w:pStyle w:val="EndnoteText"/>
        <w:widowControl/>
        <w:tabs>
          <w:tab w:val="left" w:pos="-720"/>
        </w:tabs>
        <w:suppressAutoHyphens/>
        <w:rPr>
          <w:spacing w:val="-3"/>
        </w:rPr>
      </w:pPr>
    </w:p>
    <w:p w14:paraId="595AADE7" w14:textId="77777777" w:rsidR="00D47D17" w:rsidRPr="00D47D17" w:rsidRDefault="00D47D17" w:rsidP="00D47D17">
      <w:pPr>
        <w:tabs>
          <w:tab w:val="left" w:pos="4320"/>
        </w:tabs>
        <w:ind w:right="-90"/>
        <w:rPr>
          <w:i/>
          <w:iCs/>
          <w:u w:val="single"/>
        </w:rPr>
      </w:pPr>
      <w:r>
        <w:tab/>
      </w:r>
      <w:r w:rsidRPr="00D47D17">
        <w:rPr>
          <w:i/>
          <w:iCs/>
          <w:u w:val="single"/>
        </w:rPr>
        <w:t>/s/Terry L. Etter</w:t>
      </w:r>
      <w:r w:rsidRPr="00D47D17">
        <w:rPr>
          <w:i/>
          <w:iCs/>
          <w:u w:val="single"/>
        </w:rPr>
        <w:tab/>
      </w:r>
      <w:r w:rsidRPr="00D47D17">
        <w:rPr>
          <w:i/>
          <w:iCs/>
          <w:u w:val="single"/>
        </w:rPr>
        <w:tab/>
      </w:r>
    </w:p>
    <w:p w14:paraId="06CE63CB" w14:textId="77777777" w:rsidR="004552C9" w:rsidRPr="00D47D17" w:rsidRDefault="00D47D17" w:rsidP="00D47D17">
      <w:pPr>
        <w:pStyle w:val="EndnoteText"/>
        <w:widowControl/>
        <w:ind w:right="-90"/>
        <w:rPr>
          <w:sz w:val="24"/>
          <w:szCs w:val="24"/>
        </w:rPr>
      </w:pPr>
      <w:r w:rsidRPr="00D47D17">
        <w:rPr>
          <w:sz w:val="24"/>
          <w:szCs w:val="24"/>
        </w:rPr>
        <w:tab/>
      </w:r>
      <w:r w:rsidRPr="00D47D17">
        <w:rPr>
          <w:sz w:val="24"/>
          <w:szCs w:val="24"/>
        </w:rPr>
        <w:tab/>
      </w:r>
      <w:r w:rsidRPr="00D47D17">
        <w:rPr>
          <w:sz w:val="24"/>
          <w:szCs w:val="24"/>
        </w:rPr>
        <w:tab/>
      </w:r>
      <w:r w:rsidRPr="00D47D17">
        <w:rPr>
          <w:sz w:val="24"/>
          <w:szCs w:val="24"/>
        </w:rPr>
        <w:tab/>
      </w:r>
      <w:r w:rsidRPr="00D47D17">
        <w:rPr>
          <w:sz w:val="24"/>
          <w:szCs w:val="24"/>
        </w:rPr>
        <w:tab/>
      </w:r>
      <w:r w:rsidRPr="00D47D17">
        <w:rPr>
          <w:sz w:val="24"/>
          <w:szCs w:val="24"/>
        </w:rPr>
        <w:tab/>
      </w:r>
      <w:r w:rsidR="0068664C" w:rsidRPr="00D47D17">
        <w:rPr>
          <w:sz w:val="24"/>
          <w:szCs w:val="24"/>
        </w:rPr>
        <w:t xml:space="preserve">Terry </w:t>
      </w:r>
      <w:r w:rsidR="005F3B92" w:rsidRPr="00D47D17">
        <w:rPr>
          <w:sz w:val="24"/>
          <w:szCs w:val="24"/>
        </w:rPr>
        <w:t xml:space="preserve">L. </w:t>
      </w:r>
      <w:r w:rsidR="0068664C" w:rsidRPr="00D47D17">
        <w:rPr>
          <w:sz w:val="24"/>
          <w:szCs w:val="24"/>
        </w:rPr>
        <w:t>Etter</w:t>
      </w:r>
    </w:p>
    <w:p w14:paraId="36D7134D" w14:textId="77777777" w:rsidR="004552C9" w:rsidRPr="00D47D17" w:rsidRDefault="009E752A">
      <w:pPr>
        <w:pStyle w:val="EndnoteText"/>
        <w:widowControl/>
        <w:rPr>
          <w:sz w:val="24"/>
          <w:szCs w:val="24"/>
        </w:rPr>
      </w:pPr>
      <w:r w:rsidRPr="00D47D17">
        <w:rPr>
          <w:sz w:val="24"/>
          <w:szCs w:val="24"/>
        </w:rPr>
        <w:tab/>
      </w:r>
      <w:r w:rsidRPr="00D47D17">
        <w:rPr>
          <w:sz w:val="24"/>
          <w:szCs w:val="24"/>
        </w:rPr>
        <w:tab/>
      </w:r>
      <w:r w:rsidRPr="00D47D17">
        <w:rPr>
          <w:sz w:val="24"/>
          <w:szCs w:val="24"/>
        </w:rPr>
        <w:tab/>
      </w:r>
      <w:r w:rsidRPr="00D47D17">
        <w:rPr>
          <w:sz w:val="24"/>
          <w:szCs w:val="24"/>
        </w:rPr>
        <w:tab/>
      </w:r>
      <w:r w:rsidRPr="00D47D17">
        <w:rPr>
          <w:sz w:val="24"/>
          <w:szCs w:val="24"/>
        </w:rPr>
        <w:tab/>
      </w:r>
      <w:r w:rsidRPr="00D47D17">
        <w:rPr>
          <w:sz w:val="24"/>
          <w:szCs w:val="24"/>
        </w:rPr>
        <w:tab/>
        <w:t>Assistant Consumers’ Counsel</w:t>
      </w:r>
    </w:p>
    <w:p w14:paraId="740C3F6B" w14:textId="77777777" w:rsidR="004552C9" w:rsidRDefault="004552C9">
      <w:pPr>
        <w:pStyle w:val="EndnoteText"/>
        <w:widowControl/>
      </w:pPr>
    </w:p>
    <w:p w14:paraId="14E9F2E5" w14:textId="77777777" w:rsidR="00045DDA" w:rsidRPr="00AE69F4" w:rsidRDefault="00045DDA" w:rsidP="00045DDA">
      <w:pPr>
        <w:tabs>
          <w:tab w:val="left" w:pos="-720"/>
        </w:tabs>
        <w:suppressAutoHyphens/>
        <w:spacing w:line="240" w:lineRule="atLeast"/>
        <w:jc w:val="center"/>
        <w:rPr>
          <w:b/>
          <w:color w:val="000000"/>
          <w:u w:val="single"/>
        </w:rPr>
      </w:pPr>
    </w:p>
    <w:p w14:paraId="6E17FAF4" w14:textId="77777777" w:rsidR="00045DDA" w:rsidRPr="00AE69F4" w:rsidRDefault="00045DDA" w:rsidP="00045DDA">
      <w:pPr>
        <w:jc w:val="center"/>
        <w:rPr>
          <w:b/>
          <w:u w:val="single"/>
        </w:rPr>
      </w:pPr>
      <w:r w:rsidRPr="00AE69F4">
        <w:rPr>
          <w:b/>
          <w:u w:val="single"/>
        </w:rPr>
        <w:t>SERVICE LIST</w:t>
      </w:r>
    </w:p>
    <w:p w14:paraId="29035296" w14:textId="77777777" w:rsidR="004552C9" w:rsidRDefault="004552C9">
      <w:pPr>
        <w:tabs>
          <w:tab w:val="left" w:pos="4320"/>
        </w:tabs>
        <w:jc w:val="center"/>
        <w:rPr>
          <w:b/>
          <w:bCs/>
          <w:u w:val="single"/>
        </w:rPr>
      </w:pPr>
    </w:p>
    <w:tbl>
      <w:tblPr>
        <w:tblW w:w="0" w:type="auto"/>
        <w:jc w:val="center"/>
        <w:tblLook w:val="01E0" w:firstRow="1" w:lastRow="1" w:firstColumn="1" w:lastColumn="1" w:noHBand="0" w:noVBand="0"/>
      </w:tblPr>
      <w:tblGrid>
        <w:gridCol w:w="4428"/>
        <w:gridCol w:w="4428"/>
      </w:tblGrid>
      <w:tr w:rsidR="00B82FEC" w:rsidRPr="003A1C0F" w14:paraId="60900A4F" w14:textId="77777777" w:rsidTr="008A1C60">
        <w:trPr>
          <w:jc w:val="center"/>
        </w:trPr>
        <w:tc>
          <w:tcPr>
            <w:tcW w:w="4428" w:type="dxa"/>
            <w:shd w:val="clear" w:color="auto" w:fill="auto"/>
          </w:tcPr>
          <w:p w14:paraId="7F385452" w14:textId="77777777" w:rsidR="00B82FEC" w:rsidRPr="003A1C0F" w:rsidRDefault="00B82FEC" w:rsidP="008A1C60">
            <w:pPr>
              <w:jc w:val="both"/>
              <w:rPr>
                <w:bCs/>
                <w:szCs w:val="20"/>
              </w:rPr>
            </w:pPr>
            <w:r w:rsidRPr="003A1C0F">
              <w:rPr>
                <w:bCs/>
                <w:szCs w:val="20"/>
              </w:rPr>
              <w:t>Ryan O’Rourke</w:t>
            </w:r>
          </w:p>
          <w:p w14:paraId="2F07C959" w14:textId="77777777" w:rsidR="00B82FEC" w:rsidRPr="003A1C0F" w:rsidRDefault="00B82FEC" w:rsidP="008A1C60">
            <w:pPr>
              <w:jc w:val="both"/>
              <w:rPr>
                <w:bCs/>
                <w:szCs w:val="20"/>
              </w:rPr>
            </w:pPr>
            <w:r w:rsidRPr="003A1C0F">
              <w:rPr>
                <w:bCs/>
                <w:szCs w:val="20"/>
              </w:rPr>
              <w:t>Assistant Attorney General</w:t>
            </w:r>
          </w:p>
          <w:p w14:paraId="58C4230A" w14:textId="77777777" w:rsidR="00B82FEC" w:rsidRPr="003A1C0F" w:rsidRDefault="00B82FEC" w:rsidP="008A1C60">
            <w:pPr>
              <w:jc w:val="both"/>
              <w:rPr>
                <w:bCs/>
                <w:szCs w:val="20"/>
              </w:rPr>
            </w:pPr>
            <w:r w:rsidRPr="003A1C0F">
              <w:rPr>
                <w:bCs/>
                <w:szCs w:val="20"/>
              </w:rPr>
              <w:t>Attorney General’s Office</w:t>
            </w:r>
          </w:p>
          <w:p w14:paraId="778109F3" w14:textId="77777777" w:rsidR="00B82FEC" w:rsidRPr="003A1C0F" w:rsidRDefault="00B82FEC" w:rsidP="008A1C60">
            <w:pPr>
              <w:jc w:val="both"/>
              <w:rPr>
                <w:bCs/>
                <w:szCs w:val="20"/>
              </w:rPr>
            </w:pPr>
            <w:smartTag w:uri="urn:schemas-microsoft-com:office:smarttags" w:element="Street">
              <w:smartTag w:uri="urn:schemas-microsoft-com:office:smarttags" w:element="address">
                <w:r w:rsidRPr="003A1C0F">
                  <w:rPr>
                    <w:bCs/>
                    <w:szCs w:val="20"/>
                  </w:rPr>
                  <w:t>180 East Broad Street</w:t>
                </w:r>
              </w:smartTag>
            </w:smartTag>
            <w:r w:rsidRPr="003A1C0F">
              <w:rPr>
                <w:bCs/>
                <w:szCs w:val="20"/>
              </w:rPr>
              <w:t>, 6</w:t>
            </w:r>
            <w:r w:rsidRPr="003A1C0F">
              <w:rPr>
                <w:bCs/>
                <w:szCs w:val="20"/>
                <w:vertAlign w:val="superscript"/>
              </w:rPr>
              <w:t>th</w:t>
            </w:r>
            <w:r w:rsidRPr="003A1C0F">
              <w:rPr>
                <w:bCs/>
                <w:szCs w:val="20"/>
              </w:rPr>
              <w:t xml:space="preserve"> Floor</w:t>
            </w:r>
          </w:p>
          <w:p w14:paraId="2C67AEE2" w14:textId="77777777" w:rsidR="00B82FEC" w:rsidRPr="003A1C0F" w:rsidRDefault="00B82FEC" w:rsidP="008A1C60">
            <w:pPr>
              <w:jc w:val="both"/>
              <w:rPr>
                <w:bCs/>
                <w:szCs w:val="20"/>
              </w:rPr>
            </w:pPr>
            <w:smartTag w:uri="urn:schemas-microsoft-com:office:smarttags" w:element="City">
              <w:r w:rsidRPr="003A1C0F">
                <w:rPr>
                  <w:bCs/>
                  <w:szCs w:val="20"/>
                </w:rPr>
                <w:t>Columbus</w:t>
              </w:r>
            </w:smartTag>
            <w:r w:rsidRPr="003A1C0F">
              <w:rPr>
                <w:bCs/>
                <w:szCs w:val="20"/>
              </w:rPr>
              <w:t xml:space="preserve">, </w:t>
            </w:r>
            <w:smartTag w:uri="urn:schemas-microsoft-com:office:smarttags" w:element="State">
              <w:r w:rsidRPr="003A1C0F">
                <w:rPr>
                  <w:bCs/>
                  <w:szCs w:val="20"/>
                </w:rPr>
                <w:t>Ohio</w:t>
              </w:r>
            </w:smartTag>
            <w:r w:rsidRPr="003A1C0F">
              <w:rPr>
                <w:bCs/>
                <w:szCs w:val="20"/>
              </w:rPr>
              <w:t xml:space="preserve"> 43215</w:t>
            </w:r>
          </w:p>
          <w:p w14:paraId="20ACD478" w14:textId="48D18337" w:rsidR="00B82FEC" w:rsidRPr="003A1C0F" w:rsidRDefault="0007580D" w:rsidP="008A1C60">
            <w:pPr>
              <w:jc w:val="both"/>
              <w:rPr>
                <w:bCs/>
                <w:szCs w:val="20"/>
              </w:rPr>
            </w:pPr>
            <w:hyperlink r:id="rId22" w:history="1">
              <w:r w:rsidR="00B82FEC" w:rsidRPr="003A1C0F">
                <w:rPr>
                  <w:bCs/>
                  <w:color w:val="0000FF"/>
                  <w:szCs w:val="20"/>
                  <w:u w:val="single"/>
                </w:rPr>
                <w:t>Ryan.orourke@puc.state.oh.us</w:t>
              </w:r>
            </w:hyperlink>
          </w:p>
          <w:p w14:paraId="215FB432" w14:textId="77777777" w:rsidR="00B82FEC" w:rsidRPr="003A1C0F" w:rsidRDefault="00B82FEC" w:rsidP="008A1C60">
            <w:pPr>
              <w:jc w:val="both"/>
              <w:rPr>
                <w:bCs/>
                <w:szCs w:val="20"/>
              </w:rPr>
            </w:pPr>
          </w:p>
          <w:p w14:paraId="6F90A945" w14:textId="77777777" w:rsidR="00B82FEC" w:rsidRPr="003A1C0F" w:rsidRDefault="00B82FEC" w:rsidP="008A1C60">
            <w:pPr>
              <w:jc w:val="both"/>
              <w:rPr>
                <w:bCs/>
                <w:szCs w:val="20"/>
              </w:rPr>
            </w:pPr>
          </w:p>
        </w:tc>
        <w:tc>
          <w:tcPr>
            <w:tcW w:w="4428" w:type="dxa"/>
            <w:shd w:val="clear" w:color="auto" w:fill="auto"/>
          </w:tcPr>
          <w:p w14:paraId="1BBAA45E" w14:textId="77777777" w:rsidR="00B82FEC" w:rsidRPr="003A1C0F" w:rsidRDefault="00B82FEC" w:rsidP="008A1C60">
            <w:pPr>
              <w:autoSpaceDE w:val="0"/>
              <w:autoSpaceDN w:val="0"/>
              <w:adjustRightInd w:val="0"/>
            </w:pPr>
            <w:r w:rsidRPr="003A1C0F">
              <w:t>Amy B. Spiller</w:t>
            </w:r>
          </w:p>
          <w:p w14:paraId="62407DFE" w14:textId="77777777" w:rsidR="00B82FEC" w:rsidRPr="003A1C0F" w:rsidRDefault="00B82FEC" w:rsidP="008A1C60">
            <w:pPr>
              <w:autoSpaceDE w:val="0"/>
              <w:autoSpaceDN w:val="0"/>
              <w:adjustRightInd w:val="0"/>
            </w:pPr>
            <w:r w:rsidRPr="003A1C0F">
              <w:rPr>
                <w:szCs w:val="20"/>
              </w:rPr>
              <w:t>Elizabeth</w:t>
            </w:r>
            <w:r w:rsidRPr="003A1C0F">
              <w:t xml:space="preserve"> H. Watts</w:t>
            </w:r>
          </w:p>
          <w:p w14:paraId="5F2E5CED" w14:textId="77777777" w:rsidR="00B82FEC" w:rsidRPr="003A1C0F" w:rsidRDefault="00B82FEC" w:rsidP="008A1C60">
            <w:pPr>
              <w:autoSpaceDE w:val="0"/>
              <w:autoSpaceDN w:val="0"/>
              <w:adjustRightInd w:val="0"/>
            </w:pPr>
            <w:r w:rsidRPr="003A1C0F">
              <w:t>Duke Energy Ohio, Inc.</w:t>
            </w:r>
          </w:p>
          <w:p w14:paraId="10AFE045" w14:textId="77777777" w:rsidR="00B82FEC" w:rsidRPr="003A1C0F" w:rsidRDefault="00B82FEC" w:rsidP="008A1C60">
            <w:pPr>
              <w:autoSpaceDE w:val="0"/>
              <w:autoSpaceDN w:val="0"/>
              <w:adjustRightInd w:val="0"/>
              <w:rPr>
                <w:rFonts w:eastAsia="MS Mincho"/>
                <w:lang w:eastAsia="ja-JP"/>
              </w:rPr>
            </w:pPr>
            <w:smartTag w:uri="urn:schemas-microsoft-com:office:smarttags" w:element="Street">
              <w:smartTag w:uri="urn:schemas-microsoft-com:office:smarttags" w:element="address">
                <w:r w:rsidRPr="003A1C0F">
                  <w:rPr>
                    <w:rFonts w:eastAsia="MS Mincho"/>
                    <w:lang w:eastAsia="ja-JP"/>
                  </w:rPr>
                  <w:t>139 E. Fourth Street</w:t>
                </w:r>
              </w:smartTag>
            </w:smartTag>
          </w:p>
          <w:p w14:paraId="463B6752" w14:textId="77777777" w:rsidR="00B82FEC" w:rsidRPr="003A1C0F" w:rsidRDefault="00B82FEC" w:rsidP="008A1C60">
            <w:pPr>
              <w:jc w:val="both"/>
              <w:rPr>
                <w:rFonts w:eastAsia="MS Mincho"/>
                <w:lang w:eastAsia="ja-JP"/>
              </w:rPr>
            </w:pPr>
            <w:smartTag w:uri="urn:schemas-microsoft-com:office:smarttags" w:element="place">
              <w:smartTag w:uri="urn:schemas-microsoft-com:office:smarttags" w:element="City">
                <w:r w:rsidRPr="003A1C0F">
                  <w:rPr>
                    <w:rFonts w:eastAsia="MS Mincho"/>
                    <w:lang w:eastAsia="ja-JP"/>
                  </w:rPr>
                  <w:t>Cincinnati</w:t>
                </w:r>
              </w:smartTag>
              <w:r w:rsidRPr="003A1C0F">
                <w:rPr>
                  <w:rFonts w:eastAsia="MS Mincho"/>
                  <w:lang w:eastAsia="ja-JP"/>
                </w:rPr>
                <w:t xml:space="preserve">, </w:t>
              </w:r>
              <w:smartTag w:uri="urn:schemas-microsoft-com:office:smarttags" w:element="State">
                <w:r w:rsidRPr="003A1C0F">
                  <w:rPr>
                    <w:rFonts w:eastAsia="MS Mincho"/>
                    <w:lang w:eastAsia="ja-JP"/>
                  </w:rPr>
                  <w:t>Ohio</w:t>
                </w:r>
              </w:smartTag>
              <w:r w:rsidRPr="003A1C0F">
                <w:rPr>
                  <w:rFonts w:eastAsia="MS Mincho"/>
                  <w:lang w:eastAsia="ja-JP"/>
                </w:rPr>
                <w:t xml:space="preserve"> </w:t>
              </w:r>
              <w:smartTag w:uri="urn:schemas-microsoft-com:office:smarttags" w:element="PostalCode">
                <w:r w:rsidRPr="003A1C0F">
                  <w:rPr>
                    <w:rFonts w:eastAsia="MS Mincho"/>
                    <w:lang w:eastAsia="ja-JP"/>
                  </w:rPr>
                  <w:t>45201-0960</w:t>
                </w:r>
              </w:smartTag>
            </w:smartTag>
          </w:p>
          <w:p w14:paraId="6FF78DBA" w14:textId="7721A388" w:rsidR="00B82FEC" w:rsidRPr="003A1C0F" w:rsidRDefault="0007580D" w:rsidP="008A1C60">
            <w:pPr>
              <w:autoSpaceDE w:val="0"/>
              <w:autoSpaceDN w:val="0"/>
              <w:adjustRightInd w:val="0"/>
              <w:rPr>
                <w:rFonts w:eastAsia="MS Mincho"/>
                <w:lang w:eastAsia="ja-JP"/>
              </w:rPr>
            </w:pPr>
            <w:hyperlink r:id="rId23" w:history="1">
              <w:r w:rsidR="00B82FEC" w:rsidRPr="003A1C0F">
                <w:rPr>
                  <w:rFonts w:eastAsia="MS Mincho"/>
                  <w:color w:val="0000FF"/>
                  <w:u w:val="single"/>
                  <w:lang w:eastAsia="ja-JP"/>
                </w:rPr>
                <w:t>Amy.Spiller@duke-energy.com</w:t>
              </w:r>
            </w:hyperlink>
          </w:p>
          <w:p w14:paraId="070509B7" w14:textId="50A5A027" w:rsidR="00B82FEC" w:rsidRPr="003A1C0F" w:rsidRDefault="0007580D" w:rsidP="008A1C60">
            <w:pPr>
              <w:jc w:val="both"/>
              <w:rPr>
                <w:rFonts w:eastAsia="MS Mincho"/>
                <w:lang w:eastAsia="ja-JP"/>
              </w:rPr>
            </w:pPr>
            <w:hyperlink r:id="rId24" w:history="1">
              <w:r w:rsidR="00B82FEC" w:rsidRPr="003A1C0F">
                <w:rPr>
                  <w:rFonts w:eastAsia="MS Mincho"/>
                  <w:color w:val="0000FF"/>
                  <w:u w:val="single"/>
                  <w:lang w:eastAsia="ja-JP"/>
                </w:rPr>
                <w:t>Elizabeth.Watts@duke-energy.com</w:t>
              </w:r>
            </w:hyperlink>
          </w:p>
          <w:p w14:paraId="67526F98" w14:textId="77777777" w:rsidR="00B82FEC" w:rsidRPr="003A1C0F" w:rsidRDefault="00B82FEC" w:rsidP="008A1C60">
            <w:pPr>
              <w:jc w:val="both"/>
            </w:pPr>
          </w:p>
        </w:tc>
      </w:tr>
    </w:tbl>
    <w:p w14:paraId="10E86EB7" w14:textId="77777777" w:rsidR="00B82FEC" w:rsidRPr="003A1C0F" w:rsidRDefault="00B82FEC" w:rsidP="00B82FEC">
      <w:pPr>
        <w:jc w:val="both"/>
        <w:rPr>
          <w:b/>
          <w:bCs/>
          <w:szCs w:val="20"/>
        </w:rPr>
      </w:pPr>
    </w:p>
    <w:tbl>
      <w:tblPr>
        <w:tblW w:w="9018" w:type="dxa"/>
        <w:tblLook w:val="01E0" w:firstRow="1" w:lastRow="1" w:firstColumn="1" w:lastColumn="1" w:noHBand="0" w:noVBand="0"/>
      </w:tblPr>
      <w:tblGrid>
        <w:gridCol w:w="4428"/>
        <w:gridCol w:w="4590"/>
      </w:tblGrid>
      <w:tr w:rsidR="00B82FEC" w:rsidRPr="003A1C0F" w14:paraId="420A0ADE" w14:textId="77777777" w:rsidTr="008A1C60">
        <w:tc>
          <w:tcPr>
            <w:tcW w:w="4428" w:type="dxa"/>
            <w:shd w:val="clear" w:color="auto" w:fill="auto"/>
          </w:tcPr>
          <w:p w14:paraId="3FEC192E" w14:textId="77777777" w:rsidR="00B82FEC" w:rsidRPr="003A1C0F" w:rsidRDefault="00B82FEC" w:rsidP="008A1C60">
            <w:pPr>
              <w:jc w:val="both"/>
              <w:rPr>
                <w:bCs/>
                <w:szCs w:val="20"/>
              </w:rPr>
            </w:pPr>
            <w:r w:rsidRPr="003A1C0F">
              <w:rPr>
                <w:bCs/>
                <w:szCs w:val="20"/>
              </w:rPr>
              <w:t>Attorney Examiner:</w:t>
            </w:r>
          </w:p>
          <w:p w14:paraId="5F8EC41D" w14:textId="77777777" w:rsidR="00B82FEC" w:rsidRPr="003A1C0F" w:rsidRDefault="00B82FEC" w:rsidP="008A1C60">
            <w:pPr>
              <w:jc w:val="both"/>
              <w:rPr>
                <w:bCs/>
                <w:szCs w:val="20"/>
              </w:rPr>
            </w:pPr>
          </w:p>
          <w:p w14:paraId="0306748A" w14:textId="5B70C721" w:rsidR="00B82FEC" w:rsidRPr="003A1C0F" w:rsidRDefault="0007580D" w:rsidP="008A1C60">
            <w:pPr>
              <w:jc w:val="both"/>
              <w:rPr>
                <w:bCs/>
                <w:szCs w:val="20"/>
              </w:rPr>
            </w:pPr>
            <w:hyperlink r:id="rId25" w:history="1">
              <w:r w:rsidR="00B82FEC" w:rsidRPr="003A1C0F">
                <w:rPr>
                  <w:bCs/>
                  <w:color w:val="0000FF"/>
                  <w:szCs w:val="20"/>
                  <w:u w:val="single"/>
                </w:rPr>
                <w:t>Bryce.mckenney@puc.state.oh.us</w:t>
              </w:r>
            </w:hyperlink>
          </w:p>
          <w:p w14:paraId="29B18A1B" w14:textId="77777777" w:rsidR="00B82FEC" w:rsidRPr="003A1C0F" w:rsidRDefault="00B82FEC" w:rsidP="008A1C60">
            <w:pPr>
              <w:jc w:val="both"/>
              <w:rPr>
                <w:bCs/>
                <w:szCs w:val="20"/>
              </w:rPr>
            </w:pPr>
          </w:p>
        </w:tc>
        <w:tc>
          <w:tcPr>
            <w:tcW w:w="4590" w:type="dxa"/>
            <w:shd w:val="clear" w:color="auto" w:fill="auto"/>
          </w:tcPr>
          <w:p w14:paraId="1B0BFB97" w14:textId="77777777" w:rsidR="00B82FEC" w:rsidRPr="003A1C0F" w:rsidRDefault="00B82FEC" w:rsidP="008A1C60">
            <w:pPr>
              <w:autoSpaceDE w:val="0"/>
              <w:autoSpaceDN w:val="0"/>
              <w:adjustRightInd w:val="0"/>
              <w:rPr>
                <w:rFonts w:eastAsia="Calibri"/>
              </w:rPr>
            </w:pPr>
            <w:r w:rsidRPr="003A1C0F">
              <w:rPr>
                <w:rFonts w:eastAsia="Calibri"/>
              </w:rPr>
              <w:t>Colleen L. Mooney</w:t>
            </w:r>
          </w:p>
          <w:p w14:paraId="35BF88CD" w14:textId="77777777" w:rsidR="00B82FEC" w:rsidRPr="003A1C0F" w:rsidRDefault="00B82FEC" w:rsidP="008A1C60">
            <w:pPr>
              <w:autoSpaceDE w:val="0"/>
              <w:autoSpaceDN w:val="0"/>
              <w:adjustRightInd w:val="0"/>
              <w:rPr>
                <w:rFonts w:eastAsia="Calibri"/>
              </w:rPr>
            </w:pPr>
            <w:r w:rsidRPr="003A1C0F">
              <w:rPr>
                <w:rFonts w:eastAsia="Calibri"/>
              </w:rPr>
              <w:t>Ohio Partners for Affordable Energy</w:t>
            </w:r>
          </w:p>
          <w:p w14:paraId="0FEFFC1D" w14:textId="77777777" w:rsidR="00B82FEC" w:rsidRPr="003A1C0F" w:rsidRDefault="00B82FEC" w:rsidP="008A1C60">
            <w:pPr>
              <w:autoSpaceDE w:val="0"/>
              <w:autoSpaceDN w:val="0"/>
              <w:adjustRightInd w:val="0"/>
              <w:rPr>
                <w:rFonts w:eastAsia="Calibri"/>
              </w:rPr>
            </w:pPr>
            <w:r w:rsidRPr="003A1C0F">
              <w:rPr>
                <w:rFonts w:eastAsia="Calibri"/>
              </w:rPr>
              <w:t>231 West Lima Street</w:t>
            </w:r>
          </w:p>
          <w:p w14:paraId="04A79DA2" w14:textId="77777777" w:rsidR="00B82FEC" w:rsidRPr="003A1C0F" w:rsidRDefault="00B82FEC" w:rsidP="008A1C60">
            <w:pPr>
              <w:autoSpaceDE w:val="0"/>
              <w:autoSpaceDN w:val="0"/>
              <w:adjustRightInd w:val="0"/>
              <w:rPr>
                <w:rFonts w:eastAsia="Calibri"/>
              </w:rPr>
            </w:pPr>
            <w:r w:rsidRPr="003A1C0F">
              <w:rPr>
                <w:rFonts w:eastAsia="Calibri"/>
              </w:rPr>
              <w:t>Findlay, Ohio 45839-1793</w:t>
            </w:r>
          </w:p>
          <w:p w14:paraId="2D571310" w14:textId="11DBB24C" w:rsidR="00B82FEC" w:rsidRPr="003A1C0F" w:rsidRDefault="0007580D" w:rsidP="008A1C60">
            <w:pPr>
              <w:autoSpaceDE w:val="0"/>
              <w:autoSpaceDN w:val="0"/>
              <w:adjustRightInd w:val="0"/>
              <w:rPr>
                <w:rFonts w:eastAsia="Calibri"/>
              </w:rPr>
            </w:pPr>
            <w:hyperlink r:id="rId26" w:history="1">
              <w:r w:rsidR="00B82FEC" w:rsidRPr="003A1C0F">
                <w:rPr>
                  <w:rFonts w:eastAsia="Calibri"/>
                  <w:color w:val="0000FF"/>
                  <w:u w:val="single"/>
                </w:rPr>
                <w:t>cmooney@ohiopartners.org</w:t>
              </w:r>
            </w:hyperlink>
          </w:p>
          <w:p w14:paraId="00832409" w14:textId="77777777" w:rsidR="00B82FEC" w:rsidRPr="003A1C0F" w:rsidRDefault="00B82FEC" w:rsidP="008A1C60">
            <w:pPr>
              <w:autoSpaceDE w:val="0"/>
              <w:autoSpaceDN w:val="0"/>
              <w:adjustRightInd w:val="0"/>
            </w:pPr>
          </w:p>
        </w:tc>
      </w:tr>
    </w:tbl>
    <w:p w14:paraId="3608808C" w14:textId="77777777" w:rsidR="00B82FEC" w:rsidRDefault="00B82FEC">
      <w:pPr>
        <w:tabs>
          <w:tab w:val="left" w:pos="4320"/>
        </w:tabs>
        <w:jc w:val="center"/>
        <w:rPr>
          <w:b/>
          <w:bCs/>
          <w:u w:val="single"/>
        </w:rPr>
      </w:pPr>
    </w:p>
    <w:sectPr w:rsidR="00B82FEC" w:rsidSect="00F95936">
      <w:headerReference w:type="even" r:id="rId27"/>
      <w:headerReference w:type="default" r:id="rId28"/>
      <w:footerReference w:type="default" r:id="rId29"/>
      <w:headerReference w:type="first" r:id="rId3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563E" w14:textId="77777777" w:rsidR="00E8570A" w:rsidRDefault="00E8570A">
      <w:r>
        <w:separator/>
      </w:r>
    </w:p>
  </w:endnote>
  <w:endnote w:type="continuationSeparator" w:id="0">
    <w:p w14:paraId="05A35364" w14:textId="77777777" w:rsidR="00E8570A" w:rsidRDefault="00E8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60CC" w14:textId="77777777" w:rsidR="00963DED" w:rsidRDefault="0096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7DD77" w14:textId="77777777" w:rsidR="00963DED" w:rsidRDefault="00963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4FA4" w14:textId="77777777" w:rsidR="00963DED" w:rsidRDefault="00963D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D2EC" w14:textId="77777777" w:rsidR="00E8570A" w:rsidRDefault="00E8570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80D">
      <w:rPr>
        <w:rStyle w:val="PageNumber"/>
        <w:noProof/>
      </w:rPr>
      <w:t>i</w:t>
    </w:r>
    <w:r>
      <w:rPr>
        <w:rStyle w:val="PageNumber"/>
      </w:rPr>
      <w:fldChar w:fldCharType="end"/>
    </w:r>
  </w:p>
  <w:p w14:paraId="3C8A8FE3" w14:textId="77777777" w:rsidR="00E8570A" w:rsidRDefault="00E857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C657D" w14:textId="77777777" w:rsidR="00E8570A" w:rsidRDefault="00E8570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80D">
      <w:rPr>
        <w:rStyle w:val="PageNumber"/>
        <w:noProof/>
      </w:rPr>
      <w:t>1</w:t>
    </w:r>
    <w:r>
      <w:rPr>
        <w:rStyle w:val="PageNumber"/>
      </w:rPr>
      <w:fldChar w:fldCharType="end"/>
    </w:r>
  </w:p>
  <w:p w14:paraId="749E3CE1" w14:textId="77777777" w:rsidR="00E8570A" w:rsidRDefault="00E857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C101" w14:textId="77777777" w:rsidR="00E8570A" w:rsidRDefault="00E85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27F9F" w14:textId="77777777" w:rsidR="00E8570A" w:rsidRDefault="00E8570A">
      <w:r>
        <w:separator/>
      </w:r>
    </w:p>
  </w:footnote>
  <w:footnote w:type="continuationSeparator" w:id="0">
    <w:p w14:paraId="7ECA74C9" w14:textId="77777777" w:rsidR="00E8570A" w:rsidRDefault="00E8570A">
      <w:r>
        <w:continuationSeparator/>
      </w:r>
    </w:p>
  </w:footnote>
  <w:footnote w:id="1">
    <w:p w14:paraId="26FBCDE0" w14:textId="77777777" w:rsidR="00E8570A" w:rsidRPr="00EF2944" w:rsidRDefault="00E8570A" w:rsidP="003E4D72">
      <w:pPr>
        <w:autoSpaceDE w:val="0"/>
        <w:autoSpaceDN w:val="0"/>
        <w:adjustRightInd w:val="0"/>
        <w:spacing w:after="120"/>
        <w:rPr>
          <w:sz w:val="20"/>
          <w:szCs w:val="20"/>
        </w:rPr>
      </w:pPr>
      <w:r w:rsidRPr="00EF2944">
        <w:rPr>
          <w:rStyle w:val="FootnoteReference"/>
          <w:sz w:val="20"/>
          <w:szCs w:val="20"/>
        </w:rPr>
        <w:footnoteRef/>
      </w:r>
      <w:r w:rsidRPr="00EF2944">
        <w:rPr>
          <w:sz w:val="20"/>
          <w:szCs w:val="20"/>
        </w:rPr>
        <w:t xml:space="preserve"> </w:t>
      </w:r>
      <w:r w:rsidRPr="00614EE9">
        <w:rPr>
          <w:i/>
          <w:sz w:val="20"/>
          <w:szCs w:val="20"/>
        </w:rPr>
        <w:t>In the Matter of the Commission</w:t>
      </w:r>
      <w:r>
        <w:rPr>
          <w:i/>
          <w:sz w:val="20"/>
          <w:szCs w:val="20"/>
        </w:rPr>
        <w:t>’</w:t>
      </w:r>
      <w:r w:rsidRPr="00614EE9">
        <w:rPr>
          <w:i/>
          <w:sz w:val="20"/>
          <w:szCs w:val="20"/>
        </w:rPr>
        <w:t>s Review of Chapter 4901:1-10, Ohio Administrative Code</w:t>
      </w:r>
      <w:r w:rsidRPr="001970DC">
        <w:rPr>
          <w:sz w:val="20"/>
          <w:szCs w:val="20"/>
        </w:rPr>
        <w:t xml:space="preserve">, Case </w:t>
      </w:r>
      <w:r>
        <w:rPr>
          <w:sz w:val="20"/>
          <w:szCs w:val="20"/>
        </w:rPr>
        <w:t xml:space="preserve">No. </w:t>
      </w:r>
      <w:r w:rsidRPr="001970DC">
        <w:rPr>
          <w:sz w:val="20"/>
          <w:szCs w:val="20"/>
        </w:rPr>
        <w:t>12-2050-EL-ORD.</w:t>
      </w:r>
    </w:p>
  </w:footnote>
  <w:footnote w:id="2">
    <w:p w14:paraId="53AD25FB" w14:textId="756A3F12" w:rsidR="00E8570A" w:rsidRDefault="00E8570A" w:rsidP="003E4D72">
      <w:pPr>
        <w:pStyle w:val="FootnoteText"/>
        <w:spacing w:after="120"/>
      </w:pPr>
      <w:r>
        <w:rPr>
          <w:rStyle w:val="FootnoteReference"/>
        </w:rPr>
        <w:footnoteRef/>
      </w:r>
      <w:r>
        <w:t xml:space="preserve"> An advanced meter is defined in Ohio Adm. Code 4901:1-10-01(A) as “any electric meter that meets the pertinent engineering standards using digital technology and is capable of providing two-way communications with the electric utility to provide usage and/or other technical data.”  Duke uses the same definition in the proposed tariff attached to the Application.</w:t>
      </w:r>
    </w:p>
  </w:footnote>
  <w:footnote w:id="3">
    <w:p w14:paraId="1DDB2218" w14:textId="08028590" w:rsidR="003000B0" w:rsidRDefault="00CF528C" w:rsidP="003E4D72">
      <w:pPr>
        <w:pStyle w:val="FootnoteText"/>
        <w:spacing w:after="120"/>
      </w:pPr>
      <w:r>
        <w:rPr>
          <w:rStyle w:val="FootnoteReference"/>
        </w:rPr>
        <w:footnoteRef/>
      </w:r>
      <w:r>
        <w:t xml:space="preserve"> Apparently, this charge would apply even if Duke does not replace an advanced meter with a traditional meter.  The proposed tariff attached to the Application states the charge applies to residential customers who “request a traditional meter rather than an advanced meter….”  </w:t>
      </w:r>
    </w:p>
  </w:footnote>
  <w:footnote w:id="4">
    <w:p w14:paraId="3496E507" w14:textId="77777777" w:rsidR="00E8570A" w:rsidRDefault="00E8570A" w:rsidP="003E4D72">
      <w:pPr>
        <w:pStyle w:val="FootnoteText"/>
        <w:spacing w:after="120"/>
      </w:pPr>
      <w:r>
        <w:rPr>
          <w:rStyle w:val="FootnoteReference"/>
        </w:rPr>
        <w:footnoteRef/>
      </w:r>
      <w:r>
        <w:t xml:space="preserve"> A non-advanced meter is the same as a traditional meter.  Under Ohio Adm. Code 4901:1-10-01(FF), a traditional meter is “any meter with an analog or digital display that does not have the capability to communicate with the utility using two-way communications.”   Duke uses the same definition in the proposed tariff attached to the Application.</w:t>
      </w:r>
    </w:p>
  </w:footnote>
  <w:footnote w:id="5">
    <w:p w14:paraId="09169BF6" w14:textId="63CA87B4" w:rsidR="00E8570A" w:rsidRDefault="00E8570A" w:rsidP="003E4D72">
      <w:pPr>
        <w:pStyle w:val="FootnoteText"/>
        <w:spacing w:after="120"/>
      </w:pPr>
      <w:r>
        <w:rPr>
          <w:rStyle w:val="FootnoteReference"/>
        </w:rPr>
        <w:footnoteRef/>
      </w:r>
      <w:r>
        <w:t xml:space="preserve"> See Application at 3.</w:t>
      </w:r>
    </w:p>
  </w:footnote>
  <w:footnote w:id="6">
    <w:p w14:paraId="51807ED6" w14:textId="6BC4EC8A" w:rsidR="00E8570A" w:rsidRDefault="00E8570A" w:rsidP="003E4D72">
      <w:pPr>
        <w:pStyle w:val="FootnoteText"/>
        <w:spacing w:after="120"/>
      </w:pPr>
      <w:r>
        <w:rPr>
          <w:rStyle w:val="FootnoteReference"/>
        </w:rPr>
        <w:footnoteRef/>
      </w:r>
      <w:r>
        <w:t xml:space="preserve"> See id.</w:t>
      </w:r>
    </w:p>
  </w:footnote>
  <w:footnote w:id="7">
    <w:p w14:paraId="02F48AA8" w14:textId="7CB35667" w:rsidR="00E8570A" w:rsidRDefault="00E8570A" w:rsidP="003E4D72">
      <w:pPr>
        <w:pStyle w:val="FootnoteText"/>
        <w:spacing w:after="120"/>
      </w:pPr>
      <w:r>
        <w:rPr>
          <w:rStyle w:val="FootnoteReference"/>
        </w:rPr>
        <w:footnoteRef/>
      </w:r>
      <w:r>
        <w:t xml:space="preserve"> Ohio Revised Code 4909.15(A).</w:t>
      </w:r>
    </w:p>
  </w:footnote>
  <w:footnote w:id="8">
    <w:p w14:paraId="6A49D849" w14:textId="07069965" w:rsidR="00E8570A" w:rsidRDefault="00E8570A" w:rsidP="003E4D72">
      <w:pPr>
        <w:pStyle w:val="FootnoteText"/>
        <w:spacing w:after="120"/>
      </w:pPr>
      <w:r>
        <w:rPr>
          <w:rStyle w:val="FootnoteReference"/>
        </w:rPr>
        <w:footnoteRef/>
      </w:r>
      <w:r>
        <w:t xml:space="preserve"> Ohio Adm. Code 4901:1-10-05(J)(1): “An electric utility shall provide customers with the option to remove an installed advanced meter and replace it with a traditional meter, and the option to decline installation of an advanced meter and retain a traditional meter, including a cost-based, tariffed opt-out service.”</w:t>
      </w:r>
    </w:p>
  </w:footnote>
  <w:footnote w:id="9">
    <w:p w14:paraId="1DC2B75A" w14:textId="2337616E" w:rsidR="00E8570A" w:rsidRDefault="00E8570A" w:rsidP="003E4D72">
      <w:pPr>
        <w:pStyle w:val="FootnoteText"/>
        <w:spacing w:after="120"/>
      </w:pPr>
      <w:r>
        <w:rPr>
          <w:rStyle w:val="FootnoteReference"/>
        </w:rPr>
        <w:footnoteRef/>
      </w:r>
      <w:r>
        <w:t xml:space="preserve"> Ohio Adm. Code 4901:1-10-05(J)(5)(b)(i):  “In the event special tariff provisions are required due to circumstances not addressed in this rule, the electric utility shall address those circumstances in its tariff application, but shall make its best efforts to maintain consistency with the rules herein.” </w:t>
      </w:r>
    </w:p>
  </w:footnote>
  <w:footnote w:id="10">
    <w:p w14:paraId="0051760A" w14:textId="1EA1731C" w:rsidR="00E8570A" w:rsidRDefault="00E8570A" w:rsidP="003E4D72">
      <w:pPr>
        <w:pStyle w:val="FootnoteText"/>
        <w:spacing w:after="120"/>
      </w:pPr>
      <w:r>
        <w:rPr>
          <w:rStyle w:val="FootnoteReference"/>
        </w:rPr>
        <w:footnoteRef/>
      </w:r>
      <w:r>
        <w:t xml:space="preserve"> Duke response to OCC-INT-03-041 (attached herein as JDW-2).</w:t>
      </w:r>
    </w:p>
  </w:footnote>
  <w:footnote w:id="11">
    <w:p w14:paraId="761C10A8" w14:textId="721EECDA" w:rsidR="00E8570A" w:rsidRDefault="00E8570A" w:rsidP="003E4D72">
      <w:pPr>
        <w:pStyle w:val="FootnoteText"/>
        <w:spacing w:after="120"/>
      </w:pPr>
      <w:r>
        <w:rPr>
          <w:rStyle w:val="FootnoteReference"/>
        </w:rPr>
        <w:footnoteRef/>
      </w:r>
      <w:r>
        <w:t xml:space="preserve"> </w:t>
      </w:r>
      <w:hyperlink r:id="rId1" w:history="1">
        <w:r w:rsidRPr="00DE6DEA">
          <w:rPr>
            <w:rStyle w:val="Hyperlink"/>
          </w:rPr>
          <w:t>http://www.duke-energy.com/ohio/billing/read-meter.asp</w:t>
        </w:r>
      </w:hyperlink>
      <w:r>
        <w:t xml:space="preserve"> Reading Your Meter (Attached herein as JDW-3)</w:t>
      </w:r>
      <w:r w:rsidR="00CF29E6">
        <w:t>.</w:t>
      </w:r>
    </w:p>
  </w:footnote>
  <w:footnote w:id="12">
    <w:p w14:paraId="05444684" w14:textId="7DAC3114" w:rsidR="00E8570A" w:rsidRDefault="00E8570A" w:rsidP="003E4D72">
      <w:pPr>
        <w:pStyle w:val="FootnoteText"/>
        <w:spacing w:after="120"/>
      </w:pPr>
      <w:r>
        <w:rPr>
          <w:rStyle w:val="FootnoteReference"/>
        </w:rPr>
        <w:footnoteRef/>
      </w:r>
      <w:r>
        <w:t xml:space="preserve"> </w:t>
      </w:r>
      <w:r>
        <w:rPr>
          <w:i/>
        </w:rPr>
        <w:t xml:space="preserve">In the Matter of the Application of Duke Energy Ohio, Inc. to adjust and Set Its Gas and Electric Rate for 2010 SmartGrid Costs Under Riders AU and Rider DR-IM and Mid-deployment Review of AMI/SmartGrid Program, </w:t>
      </w:r>
      <w:r w:rsidRPr="00AD3FF5">
        <w:t>Case No. 10-2326-GE-RDR, Stipulation and Recommendation (February 24, 2010</w:t>
      </w:r>
      <w:r>
        <w:t>)</w:t>
      </w:r>
      <w:r w:rsidRPr="00AD3FF5">
        <w:t xml:space="preserve"> at 7</w:t>
      </w:r>
      <w:r>
        <w:rPr>
          <w:i/>
        </w:rPr>
        <w:t>.</w:t>
      </w:r>
    </w:p>
  </w:footnote>
  <w:footnote w:id="13">
    <w:p w14:paraId="0B24A1C4" w14:textId="51E3BBD5" w:rsidR="00E8570A" w:rsidRDefault="00E8570A" w:rsidP="003E4D72">
      <w:pPr>
        <w:pStyle w:val="FootnoteText"/>
        <w:spacing w:after="120"/>
      </w:pPr>
      <w:r>
        <w:rPr>
          <w:rStyle w:val="FootnoteReference"/>
        </w:rPr>
        <w:footnoteRef/>
      </w:r>
      <w:r>
        <w:t xml:space="preserve"> The settlement in Case No. 10-2326-EL-RDR states that f</w:t>
      </w:r>
      <w:r>
        <w:rPr>
          <w:szCs w:val="24"/>
        </w:rPr>
        <w:t xml:space="preserve">ull deployment means that “all SmartGrid hardware and systems necessary to generate the benefits set forth in Attachment 2, Column 2015” to the stipulation. Id. </w:t>
      </w:r>
      <w:r>
        <w:t xml:space="preserve">at 6, n.4.  </w:t>
      </w:r>
      <w:r>
        <w:rPr>
          <w:szCs w:val="24"/>
        </w:rPr>
        <w:t>The settlement goes on to state that “[t]he point in time when full deployment occurs or has been achieved shall be determined by the Staff of the Commission based upon information provided by the Company.” Id.</w:t>
      </w:r>
    </w:p>
  </w:footnote>
  <w:footnote w:id="14">
    <w:p w14:paraId="24EE1307" w14:textId="28A9C60D" w:rsidR="00E8570A" w:rsidRDefault="00E8570A" w:rsidP="003E4D72">
      <w:pPr>
        <w:autoSpaceDE w:val="0"/>
        <w:autoSpaceDN w:val="0"/>
        <w:adjustRightInd w:val="0"/>
        <w:spacing w:after="120"/>
      </w:pPr>
      <w:r>
        <w:rPr>
          <w:rStyle w:val="FootnoteReference"/>
        </w:rPr>
        <w:footnoteRef/>
      </w:r>
      <w:r>
        <w:t xml:space="preserve"> </w:t>
      </w:r>
      <w:r w:rsidRPr="00F65112">
        <w:rPr>
          <w:i/>
          <w:sz w:val="20"/>
          <w:szCs w:val="20"/>
        </w:rPr>
        <w:t>In the Matter of the Application Of Duke Energy Ohio, Inc., to Adjust Rider DR-IM and Rider AU for 2014 Grid Modernization Costs</w:t>
      </w:r>
      <w:r>
        <w:rPr>
          <w:i/>
          <w:sz w:val="20"/>
          <w:szCs w:val="20"/>
        </w:rPr>
        <w:t xml:space="preserve">, </w:t>
      </w:r>
      <w:r w:rsidRPr="004A0CD4">
        <w:rPr>
          <w:sz w:val="20"/>
          <w:szCs w:val="20"/>
        </w:rPr>
        <w:t>Case No. 15-883-GE-RDR, Direct Testimony of Donald Schnieder</w:t>
      </w:r>
      <w:r>
        <w:rPr>
          <w:sz w:val="20"/>
          <w:szCs w:val="20"/>
        </w:rPr>
        <w:t xml:space="preserve"> </w:t>
      </w:r>
      <w:r w:rsidRPr="004A0CD4">
        <w:rPr>
          <w:sz w:val="20"/>
          <w:szCs w:val="20"/>
        </w:rPr>
        <w:t>(June 4, 2015</w:t>
      </w:r>
      <w:r>
        <w:rPr>
          <w:sz w:val="20"/>
          <w:szCs w:val="20"/>
        </w:rPr>
        <w:t>)</w:t>
      </w:r>
      <w:r w:rsidRPr="004A0CD4">
        <w:rPr>
          <w:sz w:val="20"/>
          <w:szCs w:val="20"/>
        </w:rPr>
        <w:t xml:space="preserve"> at 3</w:t>
      </w:r>
      <w:r w:rsidRPr="00657162">
        <w:rPr>
          <w:sz w:val="20"/>
          <w:szCs w:val="20"/>
        </w:rPr>
        <w:t>.</w:t>
      </w:r>
    </w:p>
  </w:footnote>
  <w:footnote w:id="15">
    <w:p w14:paraId="35596DB6" w14:textId="374332DB" w:rsidR="00E8675B" w:rsidRDefault="00E8675B" w:rsidP="003E4D72">
      <w:pPr>
        <w:pStyle w:val="FootnoteText"/>
        <w:spacing w:after="120"/>
      </w:pPr>
      <w:r>
        <w:rPr>
          <w:rStyle w:val="FootnoteReference"/>
        </w:rPr>
        <w:footnoteRef/>
      </w:r>
      <w:r>
        <w:t xml:space="preserve"> As referenced in the Ohio Adm. Code 4901:1-10-05(J)(5)(b)(i)</w:t>
      </w:r>
      <w:r w:rsidR="00CF29E6">
        <w:t>.</w:t>
      </w:r>
    </w:p>
  </w:footnote>
  <w:footnote w:id="16">
    <w:p w14:paraId="5C5CB554" w14:textId="77777777" w:rsidR="00E8570A" w:rsidRDefault="00E8570A" w:rsidP="003E4D72">
      <w:pPr>
        <w:pStyle w:val="FootnoteText"/>
        <w:spacing w:after="120"/>
      </w:pPr>
      <w:r>
        <w:rPr>
          <w:rStyle w:val="FootnoteReference"/>
        </w:rPr>
        <w:footnoteRef/>
      </w:r>
      <w:r>
        <w:t xml:space="preserve"> Application at 3.</w:t>
      </w:r>
    </w:p>
  </w:footnote>
  <w:footnote w:id="17">
    <w:p w14:paraId="5FA01951" w14:textId="14129851" w:rsidR="00A5101B" w:rsidRDefault="00A5101B" w:rsidP="003E4D72">
      <w:pPr>
        <w:pStyle w:val="FootnoteText"/>
        <w:spacing w:after="120"/>
      </w:pPr>
      <w:r>
        <w:rPr>
          <w:rStyle w:val="FootnoteReference"/>
        </w:rPr>
        <w:footnoteRef/>
      </w:r>
      <w:r>
        <w:t xml:space="preserve"> Ohio Adm. Code 4901:1-10-05(J)(5)(e)</w:t>
      </w:r>
      <w:r w:rsidR="00CF29E6">
        <w:t>.</w:t>
      </w:r>
    </w:p>
  </w:footnote>
  <w:footnote w:id="18">
    <w:p w14:paraId="3E2661EB" w14:textId="141FBB3D" w:rsidR="00E8570A" w:rsidRDefault="00E8570A" w:rsidP="003E4D72">
      <w:pPr>
        <w:pStyle w:val="FootnoteText"/>
        <w:spacing w:after="120"/>
      </w:pPr>
      <w:r>
        <w:rPr>
          <w:rStyle w:val="FootnoteReference"/>
        </w:rPr>
        <w:footnoteRef/>
      </w:r>
      <w:r>
        <w:t xml:space="preserve"> Duke</w:t>
      </w:r>
      <w:r w:rsidR="00AF724F">
        <w:t>’s</w:t>
      </w:r>
      <w:r>
        <w:t xml:space="preserve"> response to Staff-DR-01-002 (attached herein as JDW-6)</w:t>
      </w:r>
      <w:r w:rsidR="00CF29E6">
        <w:t>.</w:t>
      </w:r>
    </w:p>
  </w:footnote>
  <w:footnote w:id="19">
    <w:p w14:paraId="1C4C5C43" w14:textId="205ED6D3" w:rsidR="00E8570A" w:rsidRDefault="00E8570A" w:rsidP="003E4D72">
      <w:pPr>
        <w:pStyle w:val="FootnoteText"/>
        <w:spacing w:after="120"/>
      </w:pPr>
      <w:r>
        <w:rPr>
          <w:rStyle w:val="FootnoteReference"/>
        </w:rPr>
        <w:footnoteRef/>
      </w:r>
      <w:r>
        <w:t xml:space="preserve"> Duke’s response to OCC-INT-02-021 (attached herein as JDW-7)</w:t>
      </w:r>
      <w:r w:rsidR="00CF29E6">
        <w:t>.</w:t>
      </w:r>
    </w:p>
  </w:footnote>
  <w:footnote w:id="20">
    <w:p w14:paraId="0EA7C53D" w14:textId="716410F3" w:rsidR="00E8570A" w:rsidRDefault="00E8570A" w:rsidP="003E4D72">
      <w:pPr>
        <w:pStyle w:val="FootnoteText"/>
        <w:spacing w:after="120"/>
      </w:pPr>
      <w:r>
        <w:rPr>
          <w:rStyle w:val="FootnoteReference"/>
        </w:rPr>
        <w:footnoteRef/>
      </w:r>
      <w:r>
        <w:t xml:space="preserve"> Duke’s response to OCC-INT-02-022 (attached herein as JDW-8)</w:t>
      </w:r>
      <w:r w:rsidR="00CF29E6">
        <w:t>.</w:t>
      </w:r>
    </w:p>
  </w:footnote>
  <w:footnote w:id="21">
    <w:p w14:paraId="5C4E7E3F" w14:textId="26EB323D" w:rsidR="00063BC8" w:rsidRDefault="00E8570A" w:rsidP="003E4D72">
      <w:pPr>
        <w:pStyle w:val="FootnoteText"/>
        <w:spacing w:after="120"/>
      </w:pPr>
      <w:r>
        <w:rPr>
          <w:rStyle w:val="FootnoteReference"/>
        </w:rPr>
        <w:footnoteRef/>
      </w:r>
      <w:r>
        <w:t xml:space="preserve"> Duke</w:t>
      </w:r>
      <w:r w:rsidR="00AF724F">
        <w:t>’</w:t>
      </w:r>
      <w:r>
        <w:t>s response to Staff-DR-01-008 (attached herein as JDW-9)</w:t>
      </w:r>
      <w:r w:rsidR="00CF29E6">
        <w:t>.</w:t>
      </w:r>
    </w:p>
  </w:footnote>
  <w:footnote w:id="22">
    <w:p w14:paraId="197B68EC" w14:textId="27F320A8" w:rsidR="00E8570A" w:rsidRDefault="00E8570A" w:rsidP="003E4D72">
      <w:pPr>
        <w:pStyle w:val="FootnoteText"/>
        <w:spacing w:after="120"/>
      </w:pPr>
      <w:r>
        <w:rPr>
          <w:rStyle w:val="FootnoteReference"/>
        </w:rPr>
        <w:footnoteRef/>
      </w:r>
      <w:r>
        <w:t xml:space="preserve"> Duke’s response to OCC-INT-02-025 (attached herein as JDW-10)</w:t>
      </w:r>
      <w:r w:rsidR="00CF29E6">
        <w:t>.</w:t>
      </w:r>
    </w:p>
  </w:footnote>
  <w:footnote w:id="23">
    <w:p w14:paraId="579D71AC" w14:textId="3538A659" w:rsidR="00E8570A" w:rsidRDefault="00E8570A" w:rsidP="003E4D72">
      <w:pPr>
        <w:pStyle w:val="FootnoteText"/>
        <w:spacing w:after="120"/>
      </w:pPr>
      <w:r>
        <w:rPr>
          <w:rStyle w:val="FootnoteReference"/>
        </w:rPr>
        <w:footnoteRef/>
      </w:r>
      <w:r>
        <w:t xml:space="preserve"> Duke’s response to OCC-INT-02-026 (attached herein as JDW-11)</w:t>
      </w:r>
      <w:r w:rsidR="00CF29E6">
        <w:t>.</w:t>
      </w:r>
    </w:p>
  </w:footnote>
  <w:footnote w:id="24">
    <w:p w14:paraId="0981BF9D" w14:textId="59526B96" w:rsidR="00E8570A" w:rsidRDefault="00E8570A" w:rsidP="003E4D72">
      <w:pPr>
        <w:pStyle w:val="FootnoteText"/>
        <w:spacing w:after="120"/>
      </w:pPr>
      <w:r>
        <w:rPr>
          <w:rStyle w:val="FootnoteReference"/>
        </w:rPr>
        <w:footnoteRef/>
      </w:r>
      <w:r>
        <w:t xml:space="preserve"> Id</w:t>
      </w:r>
      <w:r w:rsidR="00CF29E6">
        <w:t>.</w:t>
      </w:r>
    </w:p>
  </w:footnote>
  <w:footnote w:id="25">
    <w:p w14:paraId="1990DEB9" w14:textId="49F64FBB" w:rsidR="00E8570A" w:rsidRDefault="00E8570A" w:rsidP="003E4D72">
      <w:pPr>
        <w:pStyle w:val="FootnoteText"/>
        <w:spacing w:after="120"/>
      </w:pPr>
      <w:r>
        <w:rPr>
          <w:rStyle w:val="FootnoteReference"/>
        </w:rPr>
        <w:footnoteRef/>
      </w:r>
      <w:r>
        <w:t xml:space="preserve"> Duke</w:t>
      </w:r>
      <w:r w:rsidR="00E3707E">
        <w:t>’s</w:t>
      </w:r>
      <w:r>
        <w:t xml:space="preserve"> response to OCC-INT-02-036 (attached herein as JDW-12)</w:t>
      </w:r>
      <w:r w:rsidR="00CF29E6">
        <w:t>.</w:t>
      </w:r>
    </w:p>
  </w:footnote>
  <w:footnote w:id="26">
    <w:p w14:paraId="21ADB34F" w14:textId="095D848A" w:rsidR="00E8570A" w:rsidRDefault="00E8570A" w:rsidP="003E4D72">
      <w:pPr>
        <w:pStyle w:val="FootnoteText"/>
        <w:spacing w:after="120"/>
      </w:pPr>
      <w:r>
        <w:rPr>
          <w:rStyle w:val="FootnoteReference"/>
        </w:rPr>
        <w:footnoteRef/>
      </w:r>
      <w:r>
        <w:t xml:space="preserve"> Duke</w:t>
      </w:r>
      <w:r w:rsidR="00CF29E6">
        <w:t>’s</w:t>
      </w:r>
      <w:r>
        <w:t xml:space="preserve"> response to Staff-DR-03-009 (attached herein as JDW-13)</w:t>
      </w:r>
      <w:r w:rsidR="00CF29E6">
        <w:t>.</w:t>
      </w:r>
    </w:p>
  </w:footnote>
  <w:footnote w:id="27">
    <w:p w14:paraId="552D040F" w14:textId="63B2602C" w:rsidR="00E8570A" w:rsidRDefault="00E8570A" w:rsidP="003E4D72">
      <w:pPr>
        <w:pStyle w:val="FootnoteText"/>
        <w:spacing w:after="120"/>
      </w:pPr>
      <w:r>
        <w:rPr>
          <w:rStyle w:val="FootnoteReference"/>
        </w:rPr>
        <w:footnoteRef/>
      </w:r>
      <w:r>
        <w:t xml:space="preserve"> Duke</w:t>
      </w:r>
      <w:r w:rsidR="00CF29E6">
        <w:t>’s</w:t>
      </w:r>
      <w:r>
        <w:t xml:space="preserve"> response to OCC-INT-01-009 (attached herein as JDW-14)</w:t>
      </w:r>
      <w:r w:rsidR="00CF29E6">
        <w:t>.</w:t>
      </w:r>
    </w:p>
  </w:footnote>
  <w:footnote w:id="28">
    <w:p w14:paraId="470EB09D" w14:textId="4D20611C" w:rsidR="00E8570A" w:rsidRDefault="00E8570A" w:rsidP="003E4D72">
      <w:pPr>
        <w:pStyle w:val="FootnoteText"/>
        <w:spacing w:after="120"/>
      </w:pPr>
      <w:r>
        <w:rPr>
          <w:rStyle w:val="FootnoteReference"/>
        </w:rPr>
        <w:footnoteRef/>
      </w:r>
      <w:r>
        <w:t xml:space="preserve"> Duke</w:t>
      </w:r>
      <w:r w:rsidR="00CF29E6">
        <w:t>’s</w:t>
      </w:r>
      <w:r>
        <w:t xml:space="preserve"> response to Staff-DR-03-0008 (attached herein as JDW-15)</w:t>
      </w:r>
      <w:r w:rsidR="00CF29E6">
        <w:t>.</w:t>
      </w:r>
    </w:p>
  </w:footnote>
  <w:footnote w:id="29">
    <w:p w14:paraId="4FA1D89B" w14:textId="6E3A42F0" w:rsidR="00E8570A" w:rsidRDefault="00E8570A" w:rsidP="003E4D72">
      <w:pPr>
        <w:pStyle w:val="FootnoteText"/>
        <w:spacing w:after="120"/>
      </w:pPr>
      <w:r>
        <w:rPr>
          <w:rStyle w:val="FootnoteReference"/>
        </w:rPr>
        <w:footnoteRef/>
      </w:r>
      <w:r>
        <w:t xml:space="preserve"> Duke</w:t>
      </w:r>
      <w:r w:rsidR="00CF29E6">
        <w:t>’s</w:t>
      </w:r>
      <w:r>
        <w:t xml:space="preserve"> response to Staff-DR-03-010 (attached herein as JDW-16)</w:t>
      </w:r>
      <w:r w:rsidR="00CF29E6">
        <w:t>.</w:t>
      </w:r>
    </w:p>
  </w:footnote>
  <w:footnote w:id="30">
    <w:p w14:paraId="0EFFA374" w14:textId="697092A2" w:rsidR="00E8570A" w:rsidRDefault="00E8570A" w:rsidP="003E4D72">
      <w:pPr>
        <w:pStyle w:val="FootnoteText"/>
        <w:spacing w:after="120"/>
      </w:pPr>
      <w:r>
        <w:rPr>
          <w:rStyle w:val="FootnoteReference"/>
        </w:rPr>
        <w:footnoteRef/>
      </w:r>
      <w:r>
        <w:t xml:space="preserve"> Application at 8</w:t>
      </w:r>
      <w:r w:rsidR="00CF29E6">
        <w:t>.</w:t>
      </w:r>
    </w:p>
  </w:footnote>
  <w:footnote w:id="31">
    <w:p w14:paraId="0CD648B6" w14:textId="4C26F43D" w:rsidR="00E8570A" w:rsidRDefault="00E8570A" w:rsidP="003E4D72">
      <w:pPr>
        <w:pStyle w:val="FootnoteText"/>
        <w:spacing w:after="120"/>
      </w:pPr>
      <w:r>
        <w:rPr>
          <w:rStyle w:val="FootnoteReference"/>
        </w:rPr>
        <w:footnoteRef/>
      </w:r>
      <w:r>
        <w:t xml:space="preserve"> Application at 3</w:t>
      </w:r>
      <w:r w:rsidR="00CF29E6">
        <w:t>.</w:t>
      </w:r>
    </w:p>
  </w:footnote>
  <w:footnote w:id="32">
    <w:p w14:paraId="657EB5DB" w14:textId="0D74962A" w:rsidR="00E8570A" w:rsidRDefault="00E8570A" w:rsidP="003E4D72">
      <w:pPr>
        <w:pStyle w:val="FootnoteText"/>
        <w:spacing w:after="120"/>
      </w:pPr>
      <w:r>
        <w:rPr>
          <w:rStyle w:val="FootnoteReference"/>
        </w:rPr>
        <w:footnoteRef/>
      </w:r>
      <w:r>
        <w:t xml:space="preserve"> Duke</w:t>
      </w:r>
      <w:r w:rsidR="00CF29E6">
        <w:t>’s</w:t>
      </w:r>
      <w:r>
        <w:t xml:space="preserve"> response to OCC-INT-01-003 (attached herein as JDW-17)</w:t>
      </w:r>
      <w:r w:rsidR="00CF29E6">
        <w:t>.</w:t>
      </w:r>
    </w:p>
  </w:footnote>
  <w:footnote w:id="33">
    <w:p w14:paraId="49136F48" w14:textId="5CDB9AC8" w:rsidR="00E8570A" w:rsidRDefault="00E8570A" w:rsidP="003E4D72">
      <w:pPr>
        <w:pStyle w:val="FootnoteText"/>
        <w:spacing w:after="120"/>
      </w:pPr>
      <w:r>
        <w:rPr>
          <w:rStyle w:val="FootnoteReference"/>
        </w:rPr>
        <w:footnoteRef/>
      </w:r>
      <w:r>
        <w:t xml:space="preserve"> Duke</w:t>
      </w:r>
      <w:r w:rsidR="00C41DD6">
        <w:t>’s</w:t>
      </w:r>
      <w:r>
        <w:t xml:space="preserve"> response to OCC-INT-02-030 (attached herein as JDW-18)</w:t>
      </w:r>
      <w:r w:rsidR="00C41DD6">
        <w:t>.</w:t>
      </w:r>
      <w:r>
        <w:t xml:space="preserve"> </w:t>
      </w:r>
    </w:p>
  </w:footnote>
  <w:footnote w:id="34">
    <w:p w14:paraId="00CB73D2" w14:textId="4CB1801B" w:rsidR="00E8570A" w:rsidRDefault="00E8570A" w:rsidP="003E4D72">
      <w:pPr>
        <w:pStyle w:val="FootnoteText"/>
        <w:spacing w:after="120"/>
      </w:pPr>
      <w:r>
        <w:rPr>
          <w:rStyle w:val="FootnoteReference"/>
        </w:rPr>
        <w:footnoteRef/>
      </w:r>
      <w:r>
        <w:t xml:space="preserve"> Case 12-2050-EL-ORD, EOR, (December 18, 2013 at 6)</w:t>
      </w:r>
      <w:r w:rsidR="00C41DD6">
        <w:t>.</w:t>
      </w:r>
    </w:p>
  </w:footnote>
  <w:footnote w:id="35">
    <w:p w14:paraId="27171394" w14:textId="508C6426" w:rsidR="00E8570A" w:rsidRDefault="00E8570A" w:rsidP="003E4D72">
      <w:pPr>
        <w:pStyle w:val="FootnoteText"/>
        <w:spacing w:after="120"/>
      </w:pPr>
      <w:r>
        <w:rPr>
          <w:rStyle w:val="FootnoteReference"/>
        </w:rPr>
        <w:footnoteRef/>
      </w:r>
      <w:r>
        <w:t xml:space="preserve"> 12-2050-EL-ORD, Entry on Rehearing (December 18, 2013 at 3)</w:t>
      </w:r>
      <w:r w:rsidR="00C41DD6">
        <w:t>.</w:t>
      </w:r>
    </w:p>
  </w:footnote>
  <w:footnote w:id="36">
    <w:p w14:paraId="3B56E726" w14:textId="0690C0B4" w:rsidR="00E8570A" w:rsidRDefault="00E8570A" w:rsidP="003E4D72">
      <w:pPr>
        <w:pStyle w:val="FootnoteText"/>
        <w:spacing w:after="120"/>
      </w:pPr>
      <w:r>
        <w:rPr>
          <w:rStyle w:val="FootnoteReference"/>
        </w:rPr>
        <w:footnoteRef/>
      </w:r>
      <w:r>
        <w:t xml:space="preserve"> Application at 3-4</w:t>
      </w:r>
      <w:r w:rsidR="00C41DD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8CC7" w14:textId="77777777" w:rsidR="00963DED" w:rsidRDefault="00963D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8996" w14:textId="3E8D0185" w:rsidR="00E8570A" w:rsidRDefault="00E8570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738C3" w14:textId="428022AF" w:rsidR="00E8570A" w:rsidRDefault="00E8570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F80B" w14:textId="5648B678" w:rsidR="00E8570A" w:rsidRDefault="00E8570A">
    <w:pPr>
      <w:pStyle w:val="Header"/>
    </w:pPr>
    <w:r>
      <w:rPr>
        <w:noProof/>
      </w:rPr>
      <mc:AlternateContent>
        <mc:Choice Requires="wps">
          <w:drawing>
            <wp:anchor distT="0" distB="0" distL="114300" distR="114300" simplePos="0" relativeHeight="251683328" behindDoc="1" locked="0" layoutInCell="1" allowOverlap="1" wp14:anchorId="7732EEE0" wp14:editId="780305A0">
              <wp:simplePos x="0" y="0"/>
              <wp:positionH relativeFrom="margin">
                <wp:align>center</wp:align>
              </wp:positionH>
              <wp:positionV relativeFrom="margin">
                <wp:align>center</wp:align>
              </wp:positionV>
              <wp:extent cx="5485765" cy="266700"/>
              <wp:effectExtent l="0" t="0" r="0" b="0"/>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5765"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7501B3" w14:textId="77777777" w:rsidR="00E8570A" w:rsidRDefault="00E8570A" w:rsidP="00C1734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1028" type="#_x0000_t202" style="position:absolute;margin-left:0;margin-top:0;width:431.95pt;height:21pt;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" filled="f" stroked="f">
              <v:stroke joinstyle="round"/>
              <o:lock v:ext="edit" shapetype="t"/>
              <v:textbox style="mso-fit-shape-to-text:t">
                <w:txbxContent>
                  <w:p w14:paraId="407501B3" w14:textId="77777777" w:rsidR="00E8570A" w:rsidRDefault="00E8570A" w:rsidP="00C17348">
                    <w:pPr>
                      <w:pStyle w:val="NormalWeb"/>
                      <w:spacing w:before="0" w:beforeAutospacing="0" w:after="0" w:afterAutospacing="0"/>
                      <w:jc w:val="center"/>
                    </w:pP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5E71" w14:textId="77777777" w:rsidR="00963DED" w:rsidRDefault="00963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FD93" w14:textId="77777777" w:rsidR="00963DED" w:rsidRDefault="00963D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C789" w14:textId="391989BB" w:rsidR="00E8570A" w:rsidRDefault="00E857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F5D7A" w14:textId="23C58EE5" w:rsidR="00E8570A" w:rsidRDefault="00E857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D168" w14:textId="733AFD6F" w:rsidR="00E8570A" w:rsidRDefault="00E8570A">
    <w:pPr>
      <w:pStyle w:val="Header"/>
    </w:pPr>
    <w:r>
      <w:rPr>
        <w:noProof/>
      </w:rPr>
      <mc:AlternateContent>
        <mc:Choice Requires="wps">
          <w:drawing>
            <wp:anchor distT="0" distB="0" distL="114300" distR="114300" simplePos="0" relativeHeight="251671040" behindDoc="1" locked="0" layoutInCell="1" allowOverlap="1" wp14:anchorId="76772423" wp14:editId="53B2370B">
              <wp:simplePos x="0" y="0"/>
              <wp:positionH relativeFrom="margin">
                <wp:align>center</wp:align>
              </wp:positionH>
              <wp:positionV relativeFrom="margin">
                <wp:align>center</wp:align>
              </wp:positionV>
              <wp:extent cx="5485765" cy="266700"/>
              <wp:effectExtent l="0" t="0" r="0" b="0"/>
              <wp:wrapNone/>
              <wp:docPr id="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5765"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852B7D" w14:textId="77777777" w:rsidR="00E8570A" w:rsidRDefault="00E8570A" w:rsidP="00C1734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0;margin-top:0;width:431.95pt;height:21pt;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" filled="f" stroked="f">
              <v:stroke joinstyle="round"/>
              <o:lock v:ext="edit" shapetype="t"/>
              <v:textbox style="mso-fit-shape-to-text:t">
                <w:txbxContent>
                  <w:p w14:paraId="4B852B7D" w14:textId="77777777" w:rsidR="00E8570A" w:rsidRDefault="00E8570A" w:rsidP="00C17348">
                    <w:pPr>
                      <w:pStyle w:val="NormalWeb"/>
                      <w:spacing w:before="0" w:beforeAutospacing="0" w:after="0" w:afterAutospacing="0"/>
                      <w:jc w:val="center"/>
                    </w:pP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EC42" w14:textId="5C125242" w:rsidR="00E8570A" w:rsidRDefault="00E857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E724" w14:textId="45EAA856" w:rsidR="00E8570A" w:rsidRDefault="00E8570A">
    <w:pPr>
      <w:pStyle w:val="Header"/>
      <w:jc w:val="center"/>
      <w:rPr>
        <w:i/>
        <w:iCs/>
        <w:sz w:val="20"/>
        <w:szCs w:val="20"/>
      </w:rPr>
    </w:pPr>
    <w:r>
      <w:rPr>
        <w:i/>
        <w:iCs/>
        <w:sz w:val="20"/>
        <w:szCs w:val="20"/>
      </w:rPr>
      <w:t>Testimony of James D. Williams</w:t>
    </w:r>
  </w:p>
  <w:p w14:paraId="67CD3FB8" w14:textId="77777777" w:rsidR="00E8570A" w:rsidRDefault="00E8570A">
    <w:pPr>
      <w:pStyle w:val="Header"/>
      <w:jc w:val="center"/>
      <w:rPr>
        <w:i/>
        <w:iCs/>
        <w:sz w:val="20"/>
        <w:szCs w:val="20"/>
      </w:rPr>
    </w:pPr>
    <w:r>
      <w:rPr>
        <w:i/>
        <w:iCs/>
        <w:sz w:val="20"/>
        <w:szCs w:val="20"/>
      </w:rPr>
      <w:t>On Behalf of the Office of the Ohio Consumers’ Counsel</w:t>
    </w:r>
  </w:p>
  <w:p w14:paraId="48126869" w14:textId="77777777" w:rsidR="00E8570A" w:rsidRDefault="00E8570A">
    <w:pPr>
      <w:pStyle w:val="Header"/>
      <w:jc w:val="center"/>
      <w:rPr>
        <w:i/>
        <w:iCs/>
        <w:sz w:val="20"/>
        <w:szCs w:val="20"/>
      </w:rPr>
    </w:pPr>
    <w:r>
      <w:rPr>
        <w:i/>
        <w:iCs/>
        <w:sz w:val="20"/>
        <w:szCs w:val="20"/>
      </w:rPr>
      <w:t>PUCO Case No. 14-1160-EL-UNC and 14-1161-EL-AAM</w:t>
    </w:r>
  </w:p>
  <w:p w14:paraId="053C5393" w14:textId="77777777" w:rsidR="00E8570A" w:rsidRDefault="00E8570A">
    <w:pPr>
      <w:pStyle w:val="Header"/>
      <w:rPr>
        <w:i/>
        <w:iCs/>
        <w:sz w:val="20"/>
        <w:szCs w:val="20"/>
      </w:rPr>
    </w:pPr>
  </w:p>
  <w:p w14:paraId="765ED031" w14:textId="77777777" w:rsidR="00E8570A" w:rsidRDefault="00E8570A">
    <w:pPr>
      <w:pStyle w:val="Header"/>
      <w:jc w:val="cent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40DE" w14:textId="6D07B75D" w:rsidR="00E8570A" w:rsidRDefault="00E8570A">
    <w:pPr>
      <w:pStyle w:val="Header"/>
    </w:pPr>
    <w:r>
      <w:rPr>
        <w:noProof/>
      </w:rPr>
      <mc:AlternateContent>
        <mc:Choice Requires="wps">
          <w:drawing>
            <wp:anchor distT="0" distB="0" distL="114300" distR="114300" simplePos="0" relativeHeight="251677184" behindDoc="1" locked="0" layoutInCell="1" allowOverlap="1" wp14:anchorId="70BFA83A" wp14:editId="03A5BE86">
              <wp:simplePos x="0" y="0"/>
              <wp:positionH relativeFrom="margin">
                <wp:align>center</wp:align>
              </wp:positionH>
              <wp:positionV relativeFrom="margin">
                <wp:align>center</wp:align>
              </wp:positionV>
              <wp:extent cx="5485765" cy="266700"/>
              <wp:effectExtent l="0" t="0" r="0" b="0"/>
              <wp:wrapNone/>
              <wp:docPr id="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5765"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CCF7F8" w14:textId="77777777" w:rsidR="00E8570A" w:rsidRDefault="00E8570A" w:rsidP="00C1734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7" type="#_x0000_t202" style="position:absolute;margin-left:0;margin-top:0;width:431.95pt;height:21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" filled="f" stroked="f">
              <v:stroke joinstyle="round"/>
              <o:lock v:ext="edit" shapetype="t"/>
              <v:textbox style="mso-fit-shape-to-text:t">
                <w:txbxContent>
                  <w:p w14:paraId="58CCF7F8" w14:textId="77777777" w:rsidR="00E8570A" w:rsidRDefault="00E8570A" w:rsidP="00C17348">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928670"/>
    <w:lvl w:ilvl="0">
      <w:start w:val="1"/>
      <w:numFmt w:val="decimal"/>
      <w:lvlText w:val="%1."/>
      <w:lvlJc w:val="left"/>
      <w:pPr>
        <w:tabs>
          <w:tab w:val="num" w:pos="1800"/>
        </w:tabs>
        <w:ind w:left="1800" w:hanging="360"/>
      </w:pPr>
    </w:lvl>
  </w:abstractNum>
  <w:abstractNum w:abstractNumId="1">
    <w:nsid w:val="FFFFFF7D"/>
    <w:multiLevelType w:val="singleLevel"/>
    <w:tmpl w:val="ECA629EC"/>
    <w:lvl w:ilvl="0">
      <w:start w:val="1"/>
      <w:numFmt w:val="decimal"/>
      <w:lvlText w:val="%1."/>
      <w:lvlJc w:val="left"/>
      <w:pPr>
        <w:tabs>
          <w:tab w:val="num" w:pos="1440"/>
        </w:tabs>
        <w:ind w:left="1440" w:hanging="360"/>
      </w:pPr>
    </w:lvl>
  </w:abstractNum>
  <w:abstractNum w:abstractNumId="2">
    <w:nsid w:val="FFFFFF7E"/>
    <w:multiLevelType w:val="singleLevel"/>
    <w:tmpl w:val="3D80A8D8"/>
    <w:lvl w:ilvl="0">
      <w:start w:val="1"/>
      <w:numFmt w:val="decimal"/>
      <w:lvlText w:val="%1."/>
      <w:lvlJc w:val="left"/>
      <w:pPr>
        <w:tabs>
          <w:tab w:val="num" w:pos="1080"/>
        </w:tabs>
        <w:ind w:left="1080" w:hanging="360"/>
      </w:pPr>
    </w:lvl>
  </w:abstractNum>
  <w:abstractNum w:abstractNumId="3">
    <w:nsid w:val="FFFFFF7F"/>
    <w:multiLevelType w:val="singleLevel"/>
    <w:tmpl w:val="BE6EF500"/>
    <w:lvl w:ilvl="0">
      <w:start w:val="1"/>
      <w:numFmt w:val="decimal"/>
      <w:lvlText w:val="%1."/>
      <w:lvlJc w:val="left"/>
      <w:pPr>
        <w:tabs>
          <w:tab w:val="num" w:pos="720"/>
        </w:tabs>
        <w:ind w:left="720" w:hanging="360"/>
      </w:pPr>
    </w:lvl>
  </w:abstractNum>
  <w:abstractNum w:abstractNumId="4">
    <w:nsid w:val="FFFFFF80"/>
    <w:multiLevelType w:val="singleLevel"/>
    <w:tmpl w:val="A432845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24ADF3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26C422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CC4B03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66470E6"/>
    <w:lvl w:ilvl="0">
      <w:start w:val="1"/>
      <w:numFmt w:val="decimal"/>
      <w:lvlText w:val="%1."/>
      <w:lvlJc w:val="left"/>
      <w:pPr>
        <w:tabs>
          <w:tab w:val="num" w:pos="360"/>
        </w:tabs>
        <w:ind w:left="360" w:hanging="360"/>
      </w:pPr>
    </w:lvl>
  </w:abstractNum>
  <w:abstractNum w:abstractNumId="9">
    <w:nsid w:val="FFFFFF89"/>
    <w:multiLevelType w:val="singleLevel"/>
    <w:tmpl w:val="F42CD478"/>
    <w:lvl w:ilvl="0">
      <w:start w:val="1"/>
      <w:numFmt w:val="bullet"/>
      <w:lvlText w:val=""/>
      <w:lvlJc w:val="left"/>
      <w:pPr>
        <w:tabs>
          <w:tab w:val="num" w:pos="360"/>
        </w:tabs>
        <w:ind w:left="360" w:hanging="360"/>
      </w:pPr>
      <w:rPr>
        <w:rFonts w:ascii="Symbol" w:hAnsi="Symbol" w:cs="Symbol" w:hint="default"/>
      </w:rPr>
    </w:lvl>
  </w:abstractNum>
  <w:abstractNum w:abstractNumId="10">
    <w:nsid w:val="00AC04B8"/>
    <w:multiLevelType w:val="hybridMultilevel"/>
    <w:tmpl w:val="55EEE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F90398"/>
    <w:multiLevelType w:val="hybridMultilevel"/>
    <w:tmpl w:val="C1FEAD48"/>
    <w:lvl w:ilvl="0" w:tplc="2026C784">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6C0229E"/>
    <w:multiLevelType w:val="hybridMultilevel"/>
    <w:tmpl w:val="AB12678A"/>
    <w:lvl w:ilvl="0" w:tplc="B8CE44D0">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8AA0496"/>
    <w:multiLevelType w:val="hybridMultilevel"/>
    <w:tmpl w:val="396091A8"/>
    <w:lvl w:ilvl="0" w:tplc="4F246CB6">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B4B630E"/>
    <w:multiLevelType w:val="hybridMultilevel"/>
    <w:tmpl w:val="6636A18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02B71B1"/>
    <w:multiLevelType w:val="hybridMultilevel"/>
    <w:tmpl w:val="3364F58A"/>
    <w:lvl w:ilvl="0" w:tplc="7C5066D4">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45820A8"/>
    <w:multiLevelType w:val="hybridMultilevel"/>
    <w:tmpl w:val="45761A8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15A75306"/>
    <w:multiLevelType w:val="hybridMultilevel"/>
    <w:tmpl w:val="0D164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7B5324C"/>
    <w:multiLevelType w:val="hybridMultilevel"/>
    <w:tmpl w:val="3AF07226"/>
    <w:lvl w:ilvl="0" w:tplc="B3B8230E">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9B13E33"/>
    <w:multiLevelType w:val="hybridMultilevel"/>
    <w:tmpl w:val="AE0EDD1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6D7A32"/>
    <w:multiLevelType w:val="hybridMultilevel"/>
    <w:tmpl w:val="A984AA98"/>
    <w:lvl w:ilvl="0" w:tplc="105ABB6C">
      <w:start w:val="12"/>
      <w:numFmt w:val="upperLetter"/>
      <w:lvlText w:val="(%1)"/>
      <w:lvlJc w:val="left"/>
      <w:pPr>
        <w:tabs>
          <w:tab w:val="num" w:pos="1845"/>
        </w:tabs>
        <w:ind w:left="1845" w:hanging="405"/>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1C425748"/>
    <w:multiLevelType w:val="hybridMultilevel"/>
    <w:tmpl w:val="B3A8DB6C"/>
    <w:lvl w:ilvl="0" w:tplc="48F2FC42">
      <w:start w:val="5"/>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1DF90EA8"/>
    <w:multiLevelType w:val="hybridMultilevel"/>
    <w:tmpl w:val="0BDAEB14"/>
    <w:lvl w:ilvl="0" w:tplc="9CC22612">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200637B8"/>
    <w:multiLevelType w:val="hybridMultilevel"/>
    <w:tmpl w:val="D5641D2E"/>
    <w:lvl w:ilvl="0" w:tplc="46047382">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22C46810"/>
    <w:multiLevelType w:val="hybridMultilevel"/>
    <w:tmpl w:val="BBA08B58"/>
    <w:lvl w:ilvl="0" w:tplc="392EE68E">
      <w:start w:val="1"/>
      <w:numFmt w:val="upperLetter"/>
      <w:pStyle w:val="Heading2"/>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5DB7E0D"/>
    <w:multiLevelType w:val="hybridMultilevel"/>
    <w:tmpl w:val="F774CD22"/>
    <w:lvl w:ilvl="0" w:tplc="572A3BF0">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24D6462"/>
    <w:multiLevelType w:val="hybridMultilevel"/>
    <w:tmpl w:val="504624B8"/>
    <w:lvl w:ilvl="0" w:tplc="537E7E1A">
      <w:start w:val="4"/>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35BC3C18"/>
    <w:multiLevelType w:val="hybridMultilevel"/>
    <w:tmpl w:val="566CE64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8">
    <w:nsid w:val="38610EA8"/>
    <w:multiLevelType w:val="multilevel"/>
    <w:tmpl w:val="DB96C7D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29">
    <w:nsid w:val="42126EDE"/>
    <w:multiLevelType w:val="hybridMultilevel"/>
    <w:tmpl w:val="8F5C4C28"/>
    <w:lvl w:ilvl="0" w:tplc="D4D81388">
      <w:start w:val="6"/>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6E50A8F"/>
    <w:multiLevelType w:val="hybridMultilevel"/>
    <w:tmpl w:val="52563096"/>
    <w:lvl w:ilvl="0" w:tplc="6D889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0D670FE"/>
    <w:multiLevelType w:val="hybridMultilevel"/>
    <w:tmpl w:val="203E47E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B883BB6"/>
    <w:multiLevelType w:val="hybridMultilevel"/>
    <w:tmpl w:val="6ECAC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241C3A"/>
    <w:multiLevelType w:val="hybridMultilevel"/>
    <w:tmpl w:val="A6D85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03415"/>
    <w:multiLevelType w:val="hybridMultilevel"/>
    <w:tmpl w:val="FC5012A0"/>
    <w:lvl w:ilvl="0" w:tplc="EE0C00D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55B6F"/>
    <w:multiLevelType w:val="hybridMultilevel"/>
    <w:tmpl w:val="79AC3D82"/>
    <w:lvl w:ilvl="0" w:tplc="09B83A0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16"/>
  </w:num>
  <w:num w:numId="14">
    <w:abstractNumId w:val="28"/>
  </w:num>
  <w:num w:numId="15">
    <w:abstractNumId w:val="26"/>
  </w:num>
  <w:num w:numId="16">
    <w:abstractNumId w:val="13"/>
  </w:num>
  <w:num w:numId="17">
    <w:abstractNumId w:val="31"/>
  </w:num>
  <w:num w:numId="18">
    <w:abstractNumId w:val="25"/>
  </w:num>
  <w:num w:numId="19">
    <w:abstractNumId w:val="23"/>
  </w:num>
  <w:num w:numId="20">
    <w:abstractNumId w:val="18"/>
  </w:num>
  <w:num w:numId="21">
    <w:abstractNumId w:val="21"/>
  </w:num>
  <w:num w:numId="22">
    <w:abstractNumId w:val="15"/>
  </w:num>
  <w:num w:numId="23">
    <w:abstractNumId w:val="29"/>
  </w:num>
  <w:num w:numId="24">
    <w:abstractNumId w:val="11"/>
  </w:num>
  <w:num w:numId="25">
    <w:abstractNumId w:val="20"/>
  </w:num>
  <w:num w:numId="26">
    <w:abstractNumId w:val="22"/>
  </w:num>
  <w:num w:numId="27">
    <w:abstractNumId w:val="12"/>
  </w:num>
  <w:num w:numId="28">
    <w:abstractNumId w:val="17"/>
  </w:num>
  <w:num w:numId="29">
    <w:abstractNumId w:val="34"/>
  </w:num>
  <w:num w:numId="30">
    <w:abstractNumId w:val="32"/>
  </w:num>
  <w:num w:numId="31">
    <w:abstractNumId w:val="19"/>
  </w:num>
  <w:num w:numId="32">
    <w:abstractNumId w:val="14"/>
  </w:num>
  <w:num w:numId="33">
    <w:abstractNumId w:val="24"/>
  </w:num>
  <w:num w:numId="34">
    <w:abstractNumId w:val="30"/>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C9"/>
    <w:rsid w:val="0000420A"/>
    <w:rsid w:val="00010099"/>
    <w:rsid w:val="00014A7E"/>
    <w:rsid w:val="000164F3"/>
    <w:rsid w:val="00020C3D"/>
    <w:rsid w:val="00023E93"/>
    <w:rsid w:val="0002477E"/>
    <w:rsid w:val="00024ABD"/>
    <w:rsid w:val="00026043"/>
    <w:rsid w:val="000301A1"/>
    <w:rsid w:val="000337C8"/>
    <w:rsid w:val="00033AA9"/>
    <w:rsid w:val="00034B81"/>
    <w:rsid w:val="00042488"/>
    <w:rsid w:val="00044705"/>
    <w:rsid w:val="00045DDA"/>
    <w:rsid w:val="00047D08"/>
    <w:rsid w:val="000508A9"/>
    <w:rsid w:val="000537BB"/>
    <w:rsid w:val="00055D4D"/>
    <w:rsid w:val="00056AA5"/>
    <w:rsid w:val="00056AA9"/>
    <w:rsid w:val="00060F82"/>
    <w:rsid w:val="00061A5B"/>
    <w:rsid w:val="00063AE3"/>
    <w:rsid w:val="00063BC8"/>
    <w:rsid w:val="0006573C"/>
    <w:rsid w:val="0007580D"/>
    <w:rsid w:val="00075CC6"/>
    <w:rsid w:val="00077392"/>
    <w:rsid w:val="00080B7D"/>
    <w:rsid w:val="0008366A"/>
    <w:rsid w:val="000842BD"/>
    <w:rsid w:val="00085C18"/>
    <w:rsid w:val="0008731B"/>
    <w:rsid w:val="00087C09"/>
    <w:rsid w:val="0009210E"/>
    <w:rsid w:val="00093AB7"/>
    <w:rsid w:val="000941F1"/>
    <w:rsid w:val="0009435E"/>
    <w:rsid w:val="000959F6"/>
    <w:rsid w:val="000964BD"/>
    <w:rsid w:val="000A1E6A"/>
    <w:rsid w:val="000A45AE"/>
    <w:rsid w:val="000A4CD2"/>
    <w:rsid w:val="000A724B"/>
    <w:rsid w:val="000A7FAA"/>
    <w:rsid w:val="000B54E7"/>
    <w:rsid w:val="000B7376"/>
    <w:rsid w:val="000C1F96"/>
    <w:rsid w:val="000C3D8C"/>
    <w:rsid w:val="000C617D"/>
    <w:rsid w:val="000C7826"/>
    <w:rsid w:val="000D00D8"/>
    <w:rsid w:val="000D0C99"/>
    <w:rsid w:val="000D2E31"/>
    <w:rsid w:val="000D41C9"/>
    <w:rsid w:val="000E0ECD"/>
    <w:rsid w:val="000E18B6"/>
    <w:rsid w:val="000E2098"/>
    <w:rsid w:val="000E51B7"/>
    <w:rsid w:val="000E7003"/>
    <w:rsid w:val="000F00E8"/>
    <w:rsid w:val="000F3D7C"/>
    <w:rsid w:val="000F4A87"/>
    <w:rsid w:val="000F5356"/>
    <w:rsid w:val="000F5630"/>
    <w:rsid w:val="000F5DB2"/>
    <w:rsid w:val="000F66B6"/>
    <w:rsid w:val="00104A1A"/>
    <w:rsid w:val="00110A77"/>
    <w:rsid w:val="001135A8"/>
    <w:rsid w:val="001202AD"/>
    <w:rsid w:val="00123ACA"/>
    <w:rsid w:val="00124D25"/>
    <w:rsid w:val="00126EAE"/>
    <w:rsid w:val="00130516"/>
    <w:rsid w:val="00130D4D"/>
    <w:rsid w:val="00141A70"/>
    <w:rsid w:val="00141D9D"/>
    <w:rsid w:val="001428C0"/>
    <w:rsid w:val="001445F3"/>
    <w:rsid w:val="00144A0E"/>
    <w:rsid w:val="00151FC5"/>
    <w:rsid w:val="00154B03"/>
    <w:rsid w:val="00157391"/>
    <w:rsid w:val="001578D1"/>
    <w:rsid w:val="001605C3"/>
    <w:rsid w:val="00165350"/>
    <w:rsid w:val="00170542"/>
    <w:rsid w:val="00171029"/>
    <w:rsid w:val="00171FE0"/>
    <w:rsid w:val="001726FB"/>
    <w:rsid w:val="00177278"/>
    <w:rsid w:val="001779B1"/>
    <w:rsid w:val="001848F5"/>
    <w:rsid w:val="001876E5"/>
    <w:rsid w:val="00195A0C"/>
    <w:rsid w:val="001970DC"/>
    <w:rsid w:val="001A0878"/>
    <w:rsid w:val="001A0A63"/>
    <w:rsid w:val="001A3F9B"/>
    <w:rsid w:val="001A6A6D"/>
    <w:rsid w:val="001B0684"/>
    <w:rsid w:val="001B1048"/>
    <w:rsid w:val="001B1344"/>
    <w:rsid w:val="001B2651"/>
    <w:rsid w:val="001C0BA4"/>
    <w:rsid w:val="001C1F7E"/>
    <w:rsid w:val="001C345B"/>
    <w:rsid w:val="001D0911"/>
    <w:rsid w:val="001D4C18"/>
    <w:rsid w:val="001D6AA5"/>
    <w:rsid w:val="001D6D6D"/>
    <w:rsid w:val="001D789F"/>
    <w:rsid w:val="001E5D44"/>
    <w:rsid w:val="001E6E5C"/>
    <w:rsid w:val="001F0424"/>
    <w:rsid w:val="001F47B2"/>
    <w:rsid w:val="001F56EE"/>
    <w:rsid w:val="001F5D11"/>
    <w:rsid w:val="00202C63"/>
    <w:rsid w:val="00204671"/>
    <w:rsid w:val="002058F7"/>
    <w:rsid w:val="00206CE1"/>
    <w:rsid w:val="002106FA"/>
    <w:rsid w:val="00211F79"/>
    <w:rsid w:val="00212232"/>
    <w:rsid w:val="002128EA"/>
    <w:rsid w:val="00216141"/>
    <w:rsid w:val="00222241"/>
    <w:rsid w:val="00223FF0"/>
    <w:rsid w:val="00224E0D"/>
    <w:rsid w:val="00226E0D"/>
    <w:rsid w:val="00231D71"/>
    <w:rsid w:val="002323A4"/>
    <w:rsid w:val="00234986"/>
    <w:rsid w:val="002356B1"/>
    <w:rsid w:val="002368B8"/>
    <w:rsid w:val="00251310"/>
    <w:rsid w:val="00251945"/>
    <w:rsid w:val="0025196E"/>
    <w:rsid w:val="00251D39"/>
    <w:rsid w:val="002548E1"/>
    <w:rsid w:val="00260E33"/>
    <w:rsid w:val="00264472"/>
    <w:rsid w:val="0026565E"/>
    <w:rsid w:val="002677C4"/>
    <w:rsid w:val="00267EFB"/>
    <w:rsid w:val="002714F4"/>
    <w:rsid w:val="00271DAD"/>
    <w:rsid w:val="00272A63"/>
    <w:rsid w:val="00272BCF"/>
    <w:rsid w:val="00274B14"/>
    <w:rsid w:val="002773BB"/>
    <w:rsid w:val="0027799D"/>
    <w:rsid w:val="002821EE"/>
    <w:rsid w:val="00290D0A"/>
    <w:rsid w:val="00291076"/>
    <w:rsid w:val="0029250E"/>
    <w:rsid w:val="00293429"/>
    <w:rsid w:val="00297D4E"/>
    <w:rsid w:val="00297E0C"/>
    <w:rsid w:val="002A0A32"/>
    <w:rsid w:val="002A28E2"/>
    <w:rsid w:val="002A3586"/>
    <w:rsid w:val="002A57A3"/>
    <w:rsid w:val="002A7C0C"/>
    <w:rsid w:val="002B38A2"/>
    <w:rsid w:val="002B4779"/>
    <w:rsid w:val="002B61B2"/>
    <w:rsid w:val="002C01CE"/>
    <w:rsid w:val="002C1056"/>
    <w:rsid w:val="002C205D"/>
    <w:rsid w:val="002C59D7"/>
    <w:rsid w:val="002C6915"/>
    <w:rsid w:val="002C7775"/>
    <w:rsid w:val="002D006B"/>
    <w:rsid w:val="002D0DCD"/>
    <w:rsid w:val="002D4FB4"/>
    <w:rsid w:val="002E1197"/>
    <w:rsid w:val="002E2AD4"/>
    <w:rsid w:val="002E3D12"/>
    <w:rsid w:val="002E5076"/>
    <w:rsid w:val="002E78C2"/>
    <w:rsid w:val="002F0220"/>
    <w:rsid w:val="002F1874"/>
    <w:rsid w:val="002F2722"/>
    <w:rsid w:val="002F3AFA"/>
    <w:rsid w:val="002F69FE"/>
    <w:rsid w:val="003000B0"/>
    <w:rsid w:val="00300D09"/>
    <w:rsid w:val="00301854"/>
    <w:rsid w:val="00302175"/>
    <w:rsid w:val="00304E8C"/>
    <w:rsid w:val="00305874"/>
    <w:rsid w:val="00305A48"/>
    <w:rsid w:val="00314EA1"/>
    <w:rsid w:val="00320CE6"/>
    <w:rsid w:val="00331287"/>
    <w:rsid w:val="003341F0"/>
    <w:rsid w:val="00334446"/>
    <w:rsid w:val="00341BF1"/>
    <w:rsid w:val="00346EFD"/>
    <w:rsid w:val="00352BFD"/>
    <w:rsid w:val="00352FC1"/>
    <w:rsid w:val="00353D3E"/>
    <w:rsid w:val="00353EF5"/>
    <w:rsid w:val="00354597"/>
    <w:rsid w:val="003572E8"/>
    <w:rsid w:val="003615B1"/>
    <w:rsid w:val="00373854"/>
    <w:rsid w:val="003821DE"/>
    <w:rsid w:val="00384D3F"/>
    <w:rsid w:val="003850CA"/>
    <w:rsid w:val="003854AC"/>
    <w:rsid w:val="00394CA9"/>
    <w:rsid w:val="00396890"/>
    <w:rsid w:val="00396ED2"/>
    <w:rsid w:val="0039783B"/>
    <w:rsid w:val="003A3C1A"/>
    <w:rsid w:val="003A422C"/>
    <w:rsid w:val="003A4314"/>
    <w:rsid w:val="003A4D39"/>
    <w:rsid w:val="003A4F16"/>
    <w:rsid w:val="003A5192"/>
    <w:rsid w:val="003A572A"/>
    <w:rsid w:val="003A75F1"/>
    <w:rsid w:val="003A778F"/>
    <w:rsid w:val="003B13E3"/>
    <w:rsid w:val="003B25A0"/>
    <w:rsid w:val="003C09B4"/>
    <w:rsid w:val="003C1048"/>
    <w:rsid w:val="003C1454"/>
    <w:rsid w:val="003C6BC8"/>
    <w:rsid w:val="003D112F"/>
    <w:rsid w:val="003D27DF"/>
    <w:rsid w:val="003D2925"/>
    <w:rsid w:val="003D403A"/>
    <w:rsid w:val="003D626D"/>
    <w:rsid w:val="003D6E28"/>
    <w:rsid w:val="003D7724"/>
    <w:rsid w:val="003E4D72"/>
    <w:rsid w:val="003E7BE5"/>
    <w:rsid w:val="003F15E4"/>
    <w:rsid w:val="003F3E3C"/>
    <w:rsid w:val="003F6028"/>
    <w:rsid w:val="00401977"/>
    <w:rsid w:val="00402453"/>
    <w:rsid w:val="004048B1"/>
    <w:rsid w:val="004048C9"/>
    <w:rsid w:val="00417299"/>
    <w:rsid w:val="00420BC8"/>
    <w:rsid w:val="00422F3C"/>
    <w:rsid w:val="0042317C"/>
    <w:rsid w:val="00423AC7"/>
    <w:rsid w:val="00424838"/>
    <w:rsid w:val="00424E35"/>
    <w:rsid w:val="0043560C"/>
    <w:rsid w:val="00442A0A"/>
    <w:rsid w:val="00443F75"/>
    <w:rsid w:val="00444CC2"/>
    <w:rsid w:val="00450940"/>
    <w:rsid w:val="00452FB8"/>
    <w:rsid w:val="004533DD"/>
    <w:rsid w:val="00453466"/>
    <w:rsid w:val="00455257"/>
    <w:rsid w:val="004552C9"/>
    <w:rsid w:val="00460FAF"/>
    <w:rsid w:val="004627AE"/>
    <w:rsid w:val="004655C0"/>
    <w:rsid w:val="00470F27"/>
    <w:rsid w:val="004718B7"/>
    <w:rsid w:val="0047205F"/>
    <w:rsid w:val="004724D6"/>
    <w:rsid w:val="004724DC"/>
    <w:rsid w:val="0047363D"/>
    <w:rsid w:val="00474133"/>
    <w:rsid w:val="004770F7"/>
    <w:rsid w:val="004812A1"/>
    <w:rsid w:val="004813A3"/>
    <w:rsid w:val="00485934"/>
    <w:rsid w:val="00486AF7"/>
    <w:rsid w:val="004902FC"/>
    <w:rsid w:val="00493D81"/>
    <w:rsid w:val="00495AB7"/>
    <w:rsid w:val="00497CDE"/>
    <w:rsid w:val="004A0CD4"/>
    <w:rsid w:val="004A60C0"/>
    <w:rsid w:val="004B0DA1"/>
    <w:rsid w:val="004B63E0"/>
    <w:rsid w:val="004C2B49"/>
    <w:rsid w:val="004C37EF"/>
    <w:rsid w:val="004C38A7"/>
    <w:rsid w:val="004C4DAE"/>
    <w:rsid w:val="004C6D73"/>
    <w:rsid w:val="004C6FEA"/>
    <w:rsid w:val="004D0E19"/>
    <w:rsid w:val="004D2D3D"/>
    <w:rsid w:val="004F7612"/>
    <w:rsid w:val="00502044"/>
    <w:rsid w:val="0050221C"/>
    <w:rsid w:val="00502874"/>
    <w:rsid w:val="005036B0"/>
    <w:rsid w:val="00506317"/>
    <w:rsid w:val="00507AFA"/>
    <w:rsid w:val="005114BE"/>
    <w:rsid w:val="0051182E"/>
    <w:rsid w:val="0051225F"/>
    <w:rsid w:val="005128F5"/>
    <w:rsid w:val="0051494A"/>
    <w:rsid w:val="00514D47"/>
    <w:rsid w:val="00516489"/>
    <w:rsid w:val="00517F61"/>
    <w:rsid w:val="005201FF"/>
    <w:rsid w:val="00521E1B"/>
    <w:rsid w:val="00521EAB"/>
    <w:rsid w:val="0052360A"/>
    <w:rsid w:val="00525579"/>
    <w:rsid w:val="00526775"/>
    <w:rsid w:val="005273B0"/>
    <w:rsid w:val="0052759C"/>
    <w:rsid w:val="0053618E"/>
    <w:rsid w:val="00540EF0"/>
    <w:rsid w:val="0054704F"/>
    <w:rsid w:val="005500F6"/>
    <w:rsid w:val="00550F05"/>
    <w:rsid w:val="00553695"/>
    <w:rsid w:val="00555B25"/>
    <w:rsid w:val="00563F85"/>
    <w:rsid w:val="00566BBB"/>
    <w:rsid w:val="00574D34"/>
    <w:rsid w:val="005754F2"/>
    <w:rsid w:val="00575C48"/>
    <w:rsid w:val="00576721"/>
    <w:rsid w:val="005768CD"/>
    <w:rsid w:val="0057798D"/>
    <w:rsid w:val="005821C6"/>
    <w:rsid w:val="00585817"/>
    <w:rsid w:val="00590954"/>
    <w:rsid w:val="005928E8"/>
    <w:rsid w:val="00592EEB"/>
    <w:rsid w:val="005930EC"/>
    <w:rsid w:val="005A0486"/>
    <w:rsid w:val="005A1EB4"/>
    <w:rsid w:val="005A4EC9"/>
    <w:rsid w:val="005A77D8"/>
    <w:rsid w:val="005B3653"/>
    <w:rsid w:val="005B3910"/>
    <w:rsid w:val="005B4752"/>
    <w:rsid w:val="005B4DE7"/>
    <w:rsid w:val="005C10CB"/>
    <w:rsid w:val="005C7F30"/>
    <w:rsid w:val="005D1005"/>
    <w:rsid w:val="005D475F"/>
    <w:rsid w:val="005E465D"/>
    <w:rsid w:val="005E73A6"/>
    <w:rsid w:val="005F32EA"/>
    <w:rsid w:val="005F3B92"/>
    <w:rsid w:val="005F45C0"/>
    <w:rsid w:val="005F7049"/>
    <w:rsid w:val="005F7DF5"/>
    <w:rsid w:val="00603CAC"/>
    <w:rsid w:val="00604EA9"/>
    <w:rsid w:val="00605CE2"/>
    <w:rsid w:val="00611FCE"/>
    <w:rsid w:val="00612331"/>
    <w:rsid w:val="0061349A"/>
    <w:rsid w:val="00614EE9"/>
    <w:rsid w:val="00616F66"/>
    <w:rsid w:val="00624AB1"/>
    <w:rsid w:val="00625204"/>
    <w:rsid w:val="006334B2"/>
    <w:rsid w:val="00633F63"/>
    <w:rsid w:val="00646C46"/>
    <w:rsid w:val="00650047"/>
    <w:rsid w:val="00654708"/>
    <w:rsid w:val="00654F80"/>
    <w:rsid w:val="00657162"/>
    <w:rsid w:val="00670C0B"/>
    <w:rsid w:val="00672919"/>
    <w:rsid w:val="00675007"/>
    <w:rsid w:val="00675CC7"/>
    <w:rsid w:val="00676519"/>
    <w:rsid w:val="006765F9"/>
    <w:rsid w:val="00676613"/>
    <w:rsid w:val="006852B2"/>
    <w:rsid w:val="0068664C"/>
    <w:rsid w:val="00686951"/>
    <w:rsid w:val="00690198"/>
    <w:rsid w:val="00692321"/>
    <w:rsid w:val="00693979"/>
    <w:rsid w:val="00693A9E"/>
    <w:rsid w:val="00695757"/>
    <w:rsid w:val="006A24E6"/>
    <w:rsid w:val="006A40E6"/>
    <w:rsid w:val="006B0D41"/>
    <w:rsid w:val="006B1F37"/>
    <w:rsid w:val="006B5CB4"/>
    <w:rsid w:val="006B665F"/>
    <w:rsid w:val="006C0E0E"/>
    <w:rsid w:val="006C13FE"/>
    <w:rsid w:val="006C1E28"/>
    <w:rsid w:val="006C431D"/>
    <w:rsid w:val="006C506F"/>
    <w:rsid w:val="006C72A5"/>
    <w:rsid w:val="006D15CD"/>
    <w:rsid w:val="006D3310"/>
    <w:rsid w:val="006D495F"/>
    <w:rsid w:val="006D65BD"/>
    <w:rsid w:val="006E0733"/>
    <w:rsid w:val="006E2C77"/>
    <w:rsid w:val="006E3AF0"/>
    <w:rsid w:val="006E5376"/>
    <w:rsid w:val="006E7077"/>
    <w:rsid w:val="006E7222"/>
    <w:rsid w:val="006F50AD"/>
    <w:rsid w:val="006F514C"/>
    <w:rsid w:val="006F53E5"/>
    <w:rsid w:val="00705A6F"/>
    <w:rsid w:val="00710BFF"/>
    <w:rsid w:val="00710E93"/>
    <w:rsid w:val="00711C73"/>
    <w:rsid w:val="00712F71"/>
    <w:rsid w:val="00714225"/>
    <w:rsid w:val="007144D6"/>
    <w:rsid w:val="00714DB8"/>
    <w:rsid w:val="00716DC3"/>
    <w:rsid w:val="00717681"/>
    <w:rsid w:val="00717E53"/>
    <w:rsid w:val="007233C4"/>
    <w:rsid w:val="00723C97"/>
    <w:rsid w:val="007265AE"/>
    <w:rsid w:val="00731A42"/>
    <w:rsid w:val="0073285E"/>
    <w:rsid w:val="00740C86"/>
    <w:rsid w:val="00740D3B"/>
    <w:rsid w:val="00741AAF"/>
    <w:rsid w:val="00747123"/>
    <w:rsid w:val="00750C61"/>
    <w:rsid w:val="00751D11"/>
    <w:rsid w:val="00752AAB"/>
    <w:rsid w:val="0075487E"/>
    <w:rsid w:val="0075749A"/>
    <w:rsid w:val="00757D57"/>
    <w:rsid w:val="00764533"/>
    <w:rsid w:val="00765A72"/>
    <w:rsid w:val="007678E9"/>
    <w:rsid w:val="00771CAE"/>
    <w:rsid w:val="007725D7"/>
    <w:rsid w:val="00772F16"/>
    <w:rsid w:val="00773080"/>
    <w:rsid w:val="00775BDB"/>
    <w:rsid w:val="0077693F"/>
    <w:rsid w:val="00780811"/>
    <w:rsid w:val="00780D08"/>
    <w:rsid w:val="00781751"/>
    <w:rsid w:val="00783A02"/>
    <w:rsid w:val="00784D82"/>
    <w:rsid w:val="00786457"/>
    <w:rsid w:val="00787A22"/>
    <w:rsid w:val="00791EE5"/>
    <w:rsid w:val="007954B6"/>
    <w:rsid w:val="0079615A"/>
    <w:rsid w:val="007962AD"/>
    <w:rsid w:val="00797D1C"/>
    <w:rsid w:val="007A0A5B"/>
    <w:rsid w:val="007A2412"/>
    <w:rsid w:val="007A5C8A"/>
    <w:rsid w:val="007B113D"/>
    <w:rsid w:val="007B22E0"/>
    <w:rsid w:val="007B3DE1"/>
    <w:rsid w:val="007B7714"/>
    <w:rsid w:val="007C4305"/>
    <w:rsid w:val="007C458D"/>
    <w:rsid w:val="007D6CAB"/>
    <w:rsid w:val="007D6E5D"/>
    <w:rsid w:val="007E062D"/>
    <w:rsid w:val="007E6221"/>
    <w:rsid w:val="007F1CEF"/>
    <w:rsid w:val="007F53F0"/>
    <w:rsid w:val="007F6A25"/>
    <w:rsid w:val="007F6C3D"/>
    <w:rsid w:val="00801002"/>
    <w:rsid w:val="00802686"/>
    <w:rsid w:val="00806A8E"/>
    <w:rsid w:val="0081143E"/>
    <w:rsid w:val="00812C16"/>
    <w:rsid w:val="00812FDA"/>
    <w:rsid w:val="00817B54"/>
    <w:rsid w:val="00820ADF"/>
    <w:rsid w:val="008216BE"/>
    <w:rsid w:val="008216C5"/>
    <w:rsid w:val="0083207E"/>
    <w:rsid w:val="00837C1F"/>
    <w:rsid w:val="00850C8F"/>
    <w:rsid w:val="0085315F"/>
    <w:rsid w:val="008541B9"/>
    <w:rsid w:val="00856A89"/>
    <w:rsid w:val="008575B8"/>
    <w:rsid w:val="00861098"/>
    <w:rsid w:val="008638EE"/>
    <w:rsid w:val="008652DA"/>
    <w:rsid w:val="008656AE"/>
    <w:rsid w:val="008666B6"/>
    <w:rsid w:val="008703C9"/>
    <w:rsid w:val="008708D6"/>
    <w:rsid w:val="0087461C"/>
    <w:rsid w:val="00876122"/>
    <w:rsid w:val="008768C6"/>
    <w:rsid w:val="00884B54"/>
    <w:rsid w:val="008850B9"/>
    <w:rsid w:val="00885E71"/>
    <w:rsid w:val="00890C2D"/>
    <w:rsid w:val="00893625"/>
    <w:rsid w:val="00893A4A"/>
    <w:rsid w:val="00893EDA"/>
    <w:rsid w:val="00896B00"/>
    <w:rsid w:val="00896F8F"/>
    <w:rsid w:val="008A1317"/>
    <w:rsid w:val="008B0B33"/>
    <w:rsid w:val="008B16FF"/>
    <w:rsid w:val="008B1C7F"/>
    <w:rsid w:val="008B2082"/>
    <w:rsid w:val="008C036E"/>
    <w:rsid w:val="008C0B86"/>
    <w:rsid w:val="008C21AE"/>
    <w:rsid w:val="008C5546"/>
    <w:rsid w:val="008C5EE3"/>
    <w:rsid w:val="008D1068"/>
    <w:rsid w:val="008D1531"/>
    <w:rsid w:val="008D1559"/>
    <w:rsid w:val="008D23ED"/>
    <w:rsid w:val="008D244D"/>
    <w:rsid w:val="008D3AE2"/>
    <w:rsid w:val="008D4A6F"/>
    <w:rsid w:val="008E4267"/>
    <w:rsid w:val="008E63BF"/>
    <w:rsid w:val="008E7959"/>
    <w:rsid w:val="008F0805"/>
    <w:rsid w:val="008F1CFA"/>
    <w:rsid w:val="008F4C45"/>
    <w:rsid w:val="00907A4C"/>
    <w:rsid w:val="009203C9"/>
    <w:rsid w:val="00920F10"/>
    <w:rsid w:val="0092149D"/>
    <w:rsid w:val="009223D4"/>
    <w:rsid w:val="00922748"/>
    <w:rsid w:val="00926760"/>
    <w:rsid w:val="00927856"/>
    <w:rsid w:val="00930E2E"/>
    <w:rsid w:val="00930F4C"/>
    <w:rsid w:val="009317B0"/>
    <w:rsid w:val="00931B16"/>
    <w:rsid w:val="009326C4"/>
    <w:rsid w:val="00933806"/>
    <w:rsid w:val="00934681"/>
    <w:rsid w:val="00936B6C"/>
    <w:rsid w:val="00936E2A"/>
    <w:rsid w:val="0094092D"/>
    <w:rsid w:val="00945FF1"/>
    <w:rsid w:val="0094757D"/>
    <w:rsid w:val="00955EEF"/>
    <w:rsid w:val="009575EE"/>
    <w:rsid w:val="009618FD"/>
    <w:rsid w:val="009629CE"/>
    <w:rsid w:val="00963DED"/>
    <w:rsid w:val="0096405A"/>
    <w:rsid w:val="0097059F"/>
    <w:rsid w:val="009705EA"/>
    <w:rsid w:val="00972C7B"/>
    <w:rsid w:val="0097394E"/>
    <w:rsid w:val="00976DA1"/>
    <w:rsid w:val="009772F3"/>
    <w:rsid w:val="00982052"/>
    <w:rsid w:val="009903B5"/>
    <w:rsid w:val="00992602"/>
    <w:rsid w:val="00992A8C"/>
    <w:rsid w:val="00993593"/>
    <w:rsid w:val="009955B0"/>
    <w:rsid w:val="00997D93"/>
    <w:rsid w:val="009A421E"/>
    <w:rsid w:val="009A5F79"/>
    <w:rsid w:val="009A6745"/>
    <w:rsid w:val="009A70A4"/>
    <w:rsid w:val="009A719F"/>
    <w:rsid w:val="009B04BF"/>
    <w:rsid w:val="009B05F5"/>
    <w:rsid w:val="009B2342"/>
    <w:rsid w:val="009B57AC"/>
    <w:rsid w:val="009B6835"/>
    <w:rsid w:val="009C30B2"/>
    <w:rsid w:val="009C3900"/>
    <w:rsid w:val="009C4930"/>
    <w:rsid w:val="009C72DE"/>
    <w:rsid w:val="009D13CA"/>
    <w:rsid w:val="009D2B51"/>
    <w:rsid w:val="009D2D3D"/>
    <w:rsid w:val="009D33E6"/>
    <w:rsid w:val="009D4259"/>
    <w:rsid w:val="009E1D7D"/>
    <w:rsid w:val="009E24C2"/>
    <w:rsid w:val="009E36B3"/>
    <w:rsid w:val="009E489E"/>
    <w:rsid w:val="009E5617"/>
    <w:rsid w:val="009E61ED"/>
    <w:rsid w:val="009E752A"/>
    <w:rsid w:val="009F2D7B"/>
    <w:rsid w:val="009F2F59"/>
    <w:rsid w:val="009F4202"/>
    <w:rsid w:val="00A03E3E"/>
    <w:rsid w:val="00A0455A"/>
    <w:rsid w:val="00A119DB"/>
    <w:rsid w:val="00A14825"/>
    <w:rsid w:val="00A14BFA"/>
    <w:rsid w:val="00A1502A"/>
    <w:rsid w:val="00A168B4"/>
    <w:rsid w:val="00A16D20"/>
    <w:rsid w:val="00A17764"/>
    <w:rsid w:val="00A17EFD"/>
    <w:rsid w:val="00A23924"/>
    <w:rsid w:val="00A2409E"/>
    <w:rsid w:val="00A24126"/>
    <w:rsid w:val="00A32017"/>
    <w:rsid w:val="00A34485"/>
    <w:rsid w:val="00A3522C"/>
    <w:rsid w:val="00A44A2E"/>
    <w:rsid w:val="00A45ADD"/>
    <w:rsid w:val="00A500BE"/>
    <w:rsid w:val="00A50F5E"/>
    <w:rsid w:val="00A5101B"/>
    <w:rsid w:val="00A512CD"/>
    <w:rsid w:val="00A54731"/>
    <w:rsid w:val="00A54F62"/>
    <w:rsid w:val="00A6009A"/>
    <w:rsid w:val="00A60823"/>
    <w:rsid w:val="00A61131"/>
    <w:rsid w:val="00A61C15"/>
    <w:rsid w:val="00A622DC"/>
    <w:rsid w:val="00A627BA"/>
    <w:rsid w:val="00A634CD"/>
    <w:rsid w:val="00A661E5"/>
    <w:rsid w:val="00A66F73"/>
    <w:rsid w:val="00A6742C"/>
    <w:rsid w:val="00A71BD3"/>
    <w:rsid w:val="00A725EB"/>
    <w:rsid w:val="00A72BB8"/>
    <w:rsid w:val="00A74548"/>
    <w:rsid w:val="00A75466"/>
    <w:rsid w:val="00A756F9"/>
    <w:rsid w:val="00A76A1C"/>
    <w:rsid w:val="00A82B07"/>
    <w:rsid w:val="00A83E45"/>
    <w:rsid w:val="00A84148"/>
    <w:rsid w:val="00A8700C"/>
    <w:rsid w:val="00A87275"/>
    <w:rsid w:val="00A92D61"/>
    <w:rsid w:val="00A94AFC"/>
    <w:rsid w:val="00A96FD6"/>
    <w:rsid w:val="00AA1D03"/>
    <w:rsid w:val="00AA56EE"/>
    <w:rsid w:val="00AA7ACB"/>
    <w:rsid w:val="00AB0BF9"/>
    <w:rsid w:val="00AB3B58"/>
    <w:rsid w:val="00AB60FE"/>
    <w:rsid w:val="00AC1DD4"/>
    <w:rsid w:val="00AC1EA8"/>
    <w:rsid w:val="00AC2B61"/>
    <w:rsid w:val="00AC5DE7"/>
    <w:rsid w:val="00AC6E3D"/>
    <w:rsid w:val="00AC756B"/>
    <w:rsid w:val="00AD0887"/>
    <w:rsid w:val="00AD28B7"/>
    <w:rsid w:val="00AD3FF5"/>
    <w:rsid w:val="00AD6BDC"/>
    <w:rsid w:val="00AE09CC"/>
    <w:rsid w:val="00AE1544"/>
    <w:rsid w:val="00AE2329"/>
    <w:rsid w:val="00AE3761"/>
    <w:rsid w:val="00AE410A"/>
    <w:rsid w:val="00AE4A12"/>
    <w:rsid w:val="00AF0248"/>
    <w:rsid w:val="00AF220B"/>
    <w:rsid w:val="00AF57B4"/>
    <w:rsid w:val="00AF67DA"/>
    <w:rsid w:val="00AF71A0"/>
    <w:rsid w:val="00AF724F"/>
    <w:rsid w:val="00B01162"/>
    <w:rsid w:val="00B02CF4"/>
    <w:rsid w:val="00B05D12"/>
    <w:rsid w:val="00B07865"/>
    <w:rsid w:val="00B102B9"/>
    <w:rsid w:val="00B12887"/>
    <w:rsid w:val="00B1662D"/>
    <w:rsid w:val="00B20125"/>
    <w:rsid w:val="00B21CFD"/>
    <w:rsid w:val="00B23619"/>
    <w:rsid w:val="00B2555E"/>
    <w:rsid w:val="00B26FDE"/>
    <w:rsid w:val="00B271BF"/>
    <w:rsid w:val="00B3066D"/>
    <w:rsid w:val="00B30845"/>
    <w:rsid w:val="00B360EB"/>
    <w:rsid w:val="00B40104"/>
    <w:rsid w:val="00B42887"/>
    <w:rsid w:val="00B4340A"/>
    <w:rsid w:val="00B45F7C"/>
    <w:rsid w:val="00B465D5"/>
    <w:rsid w:val="00B469B7"/>
    <w:rsid w:val="00B476D2"/>
    <w:rsid w:val="00B50831"/>
    <w:rsid w:val="00B5217D"/>
    <w:rsid w:val="00B55AE4"/>
    <w:rsid w:val="00B576CD"/>
    <w:rsid w:val="00B60C1F"/>
    <w:rsid w:val="00B617AC"/>
    <w:rsid w:val="00B61A41"/>
    <w:rsid w:val="00B63092"/>
    <w:rsid w:val="00B637DF"/>
    <w:rsid w:val="00B72CEF"/>
    <w:rsid w:val="00B73E6C"/>
    <w:rsid w:val="00B766CD"/>
    <w:rsid w:val="00B77313"/>
    <w:rsid w:val="00B82FEC"/>
    <w:rsid w:val="00B92EB2"/>
    <w:rsid w:val="00B938CE"/>
    <w:rsid w:val="00B9430C"/>
    <w:rsid w:val="00B951F9"/>
    <w:rsid w:val="00B95970"/>
    <w:rsid w:val="00BA099E"/>
    <w:rsid w:val="00BA62E3"/>
    <w:rsid w:val="00BB1E7C"/>
    <w:rsid w:val="00BB38FC"/>
    <w:rsid w:val="00BC0507"/>
    <w:rsid w:val="00BC4F86"/>
    <w:rsid w:val="00BC7093"/>
    <w:rsid w:val="00BD3F8B"/>
    <w:rsid w:val="00BD5085"/>
    <w:rsid w:val="00BD5CC8"/>
    <w:rsid w:val="00BD7F67"/>
    <w:rsid w:val="00BE0FF1"/>
    <w:rsid w:val="00BE548A"/>
    <w:rsid w:val="00BE7F2C"/>
    <w:rsid w:val="00BF3E7C"/>
    <w:rsid w:val="00BF5A3C"/>
    <w:rsid w:val="00C00AE8"/>
    <w:rsid w:val="00C01A5F"/>
    <w:rsid w:val="00C02D00"/>
    <w:rsid w:val="00C0337B"/>
    <w:rsid w:val="00C045E0"/>
    <w:rsid w:val="00C0470B"/>
    <w:rsid w:val="00C05ECD"/>
    <w:rsid w:val="00C07387"/>
    <w:rsid w:val="00C1665D"/>
    <w:rsid w:val="00C17348"/>
    <w:rsid w:val="00C21D95"/>
    <w:rsid w:val="00C2544F"/>
    <w:rsid w:val="00C276DF"/>
    <w:rsid w:val="00C3042E"/>
    <w:rsid w:val="00C30719"/>
    <w:rsid w:val="00C33364"/>
    <w:rsid w:val="00C356E5"/>
    <w:rsid w:val="00C36410"/>
    <w:rsid w:val="00C41D98"/>
    <w:rsid w:val="00C41DD6"/>
    <w:rsid w:val="00C4395C"/>
    <w:rsid w:val="00C4552E"/>
    <w:rsid w:val="00C51B2A"/>
    <w:rsid w:val="00C53A7A"/>
    <w:rsid w:val="00C544E1"/>
    <w:rsid w:val="00C55976"/>
    <w:rsid w:val="00C619B6"/>
    <w:rsid w:val="00C628BE"/>
    <w:rsid w:val="00C654AB"/>
    <w:rsid w:val="00C66D23"/>
    <w:rsid w:val="00C715F2"/>
    <w:rsid w:val="00C75090"/>
    <w:rsid w:val="00C76A4F"/>
    <w:rsid w:val="00C81172"/>
    <w:rsid w:val="00C81362"/>
    <w:rsid w:val="00C91EB2"/>
    <w:rsid w:val="00C91F01"/>
    <w:rsid w:val="00C97F19"/>
    <w:rsid w:val="00CA113B"/>
    <w:rsid w:val="00CA323D"/>
    <w:rsid w:val="00CA5678"/>
    <w:rsid w:val="00CA6EBF"/>
    <w:rsid w:val="00CA6F03"/>
    <w:rsid w:val="00CB3C13"/>
    <w:rsid w:val="00CB3D4F"/>
    <w:rsid w:val="00CC0083"/>
    <w:rsid w:val="00CD421B"/>
    <w:rsid w:val="00CE35C2"/>
    <w:rsid w:val="00CE3A8F"/>
    <w:rsid w:val="00CE3C38"/>
    <w:rsid w:val="00CE4D9E"/>
    <w:rsid w:val="00CE6155"/>
    <w:rsid w:val="00CE6CEF"/>
    <w:rsid w:val="00CE7D60"/>
    <w:rsid w:val="00CF29E6"/>
    <w:rsid w:val="00CF4211"/>
    <w:rsid w:val="00CF528C"/>
    <w:rsid w:val="00CF572D"/>
    <w:rsid w:val="00CF5D05"/>
    <w:rsid w:val="00D002CE"/>
    <w:rsid w:val="00D00BFE"/>
    <w:rsid w:val="00D02ECB"/>
    <w:rsid w:val="00D0377A"/>
    <w:rsid w:val="00D0685C"/>
    <w:rsid w:val="00D104F9"/>
    <w:rsid w:val="00D1080C"/>
    <w:rsid w:val="00D129E8"/>
    <w:rsid w:val="00D12BD2"/>
    <w:rsid w:val="00D15B3F"/>
    <w:rsid w:val="00D161C8"/>
    <w:rsid w:val="00D20EF5"/>
    <w:rsid w:val="00D23138"/>
    <w:rsid w:val="00D236D4"/>
    <w:rsid w:val="00D23FE1"/>
    <w:rsid w:val="00D24B73"/>
    <w:rsid w:val="00D301F5"/>
    <w:rsid w:val="00D30EC7"/>
    <w:rsid w:val="00D3148B"/>
    <w:rsid w:val="00D32601"/>
    <w:rsid w:val="00D33D00"/>
    <w:rsid w:val="00D43057"/>
    <w:rsid w:val="00D444CE"/>
    <w:rsid w:val="00D4685D"/>
    <w:rsid w:val="00D47B14"/>
    <w:rsid w:val="00D47D17"/>
    <w:rsid w:val="00D47F10"/>
    <w:rsid w:val="00D50326"/>
    <w:rsid w:val="00D54FE2"/>
    <w:rsid w:val="00D56E13"/>
    <w:rsid w:val="00D57F4A"/>
    <w:rsid w:val="00D60DE2"/>
    <w:rsid w:val="00D6185A"/>
    <w:rsid w:val="00D61F11"/>
    <w:rsid w:val="00D61FC8"/>
    <w:rsid w:val="00D62A0D"/>
    <w:rsid w:val="00D65751"/>
    <w:rsid w:val="00D86086"/>
    <w:rsid w:val="00D877D8"/>
    <w:rsid w:val="00D91119"/>
    <w:rsid w:val="00D925F1"/>
    <w:rsid w:val="00D944DF"/>
    <w:rsid w:val="00DA0F09"/>
    <w:rsid w:val="00DA10C8"/>
    <w:rsid w:val="00DA2B17"/>
    <w:rsid w:val="00DA50CB"/>
    <w:rsid w:val="00DA6215"/>
    <w:rsid w:val="00DA6420"/>
    <w:rsid w:val="00DB24F1"/>
    <w:rsid w:val="00DB49C0"/>
    <w:rsid w:val="00DC71A6"/>
    <w:rsid w:val="00DC7B22"/>
    <w:rsid w:val="00DD40F9"/>
    <w:rsid w:val="00DE2BD6"/>
    <w:rsid w:val="00DE321A"/>
    <w:rsid w:val="00DF1A7E"/>
    <w:rsid w:val="00DF268B"/>
    <w:rsid w:val="00DF56B2"/>
    <w:rsid w:val="00E01235"/>
    <w:rsid w:val="00E05F3F"/>
    <w:rsid w:val="00E0679C"/>
    <w:rsid w:val="00E108C1"/>
    <w:rsid w:val="00E1119F"/>
    <w:rsid w:val="00E24B9F"/>
    <w:rsid w:val="00E35A83"/>
    <w:rsid w:val="00E3613E"/>
    <w:rsid w:val="00E3707E"/>
    <w:rsid w:val="00E5010C"/>
    <w:rsid w:val="00E507EC"/>
    <w:rsid w:val="00E54DA3"/>
    <w:rsid w:val="00E55FD4"/>
    <w:rsid w:val="00E56C38"/>
    <w:rsid w:val="00E57ACE"/>
    <w:rsid w:val="00E57FAA"/>
    <w:rsid w:val="00E60D4A"/>
    <w:rsid w:val="00E60F8A"/>
    <w:rsid w:val="00E6512F"/>
    <w:rsid w:val="00E6537F"/>
    <w:rsid w:val="00E655A4"/>
    <w:rsid w:val="00E66E14"/>
    <w:rsid w:val="00E71983"/>
    <w:rsid w:val="00E72083"/>
    <w:rsid w:val="00E7318D"/>
    <w:rsid w:val="00E74F34"/>
    <w:rsid w:val="00E75AB1"/>
    <w:rsid w:val="00E814A7"/>
    <w:rsid w:val="00E8339E"/>
    <w:rsid w:val="00E840E3"/>
    <w:rsid w:val="00E8570A"/>
    <w:rsid w:val="00E860A5"/>
    <w:rsid w:val="00E8675B"/>
    <w:rsid w:val="00E86DAE"/>
    <w:rsid w:val="00E90CFE"/>
    <w:rsid w:val="00E91732"/>
    <w:rsid w:val="00E91886"/>
    <w:rsid w:val="00E95E91"/>
    <w:rsid w:val="00E9652B"/>
    <w:rsid w:val="00E96FA6"/>
    <w:rsid w:val="00E97B5F"/>
    <w:rsid w:val="00EA4A88"/>
    <w:rsid w:val="00EA5E90"/>
    <w:rsid w:val="00EA725E"/>
    <w:rsid w:val="00EA7C7E"/>
    <w:rsid w:val="00EA7E51"/>
    <w:rsid w:val="00EB0823"/>
    <w:rsid w:val="00EB1A21"/>
    <w:rsid w:val="00EB3464"/>
    <w:rsid w:val="00EB45CB"/>
    <w:rsid w:val="00EB5472"/>
    <w:rsid w:val="00EB5A50"/>
    <w:rsid w:val="00EB5D3F"/>
    <w:rsid w:val="00EB6D90"/>
    <w:rsid w:val="00EC0B54"/>
    <w:rsid w:val="00EC1F0C"/>
    <w:rsid w:val="00EC2776"/>
    <w:rsid w:val="00EC67F4"/>
    <w:rsid w:val="00ED0549"/>
    <w:rsid w:val="00ED21B8"/>
    <w:rsid w:val="00ED43BF"/>
    <w:rsid w:val="00ED6835"/>
    <w:rsid w:val="00ED6F90"/>
    <w:rsid w:val="00EE1772"/>
    <w:rsid w:val="00EE1E4A"/>
    <w:rsid w:val="00EE3D47"/>
    <w:rsid w:val="00EE43E2"/>
    <w:rsid w:val="00EE4D1D"/>
    <w:rsid w:val="00EF18AB"/>
    <w:rsid w:val="00EF1FEF"/>
    <w:rsid w:val="00EF2944"/>
    <w:rsid w:val="00EF3688"/>
    <w:rsid w:val="00EF3CF5"/>
    <w:rsid w:val="00EF65FC"/>
    <w:rsid w:val="00F016EB"/>
    <w:rsid w:val="00F0301F"/>
    <w:rsid w:val="00F033F0"/>
    <w:rsid w:val="00F0349B"/>
    <w:rsid w:val="00F03647"/>
    <w:rsid w:val="00F041B5"/>
    <w:rsid w:val="00F12AAF"/>
    <w:rsid w:val="00F12D26"/>
    <w:rsid w:val="00F133AC"/>
    <w:rsid w:val="00F16CBC"/>
    <w:rsid w:val="00F16EA7"/>
    <w:rsid w:val="00F17148"/>
    <w:rsid w:val="00F175AF"/>
    <w:rsid w:val="00F2078A"/>
    <w:rsid w:val="00F24168"/>
    <w:rsid w:val="00F27B4A"/>
    <w:rsid w:val="00F35D6E"/>
    <w:rsid w:val="00F40BDE"/>
    <w:rsid w:val="00F42F41"/>
    <w:rsid w:val="00F439BA"/>
    <w:rsid w:val="00F4574B"/>
    <w:rsid w:val="00F5150A"/>
    <w:rsid w:val="00F5611E"/>
    <w:rsid w:val="00F60603"/>
    <w:rsid w:val="00F62B36"/>
    <w:rsid w:val="00F65112"/>
    <w:rsid w:val="00F6512A"/>
    <w:rsid w:val="00F6667E"/>
    <w:rsid w:val="00F7323F"/>
    <w:rsid w:val="00F734D7"/>
    <w:rsid w:val="00F74BFA"/>
    <w:rsid w:val="00F757EA"/>
    <w:rsid w:val="00F76CF8"/>
    <w:rsid w:val="00F772BE"/>
    <w:rsid w:val="00F81231"/>
    <w:rsid w:val="00F82F84"/>
    <w:rsid w:val="00F845DF"/>
    <w:rsid w:val="00F87D52"/>
    <w:rsid w:val="00F91B1C"/>
    <w:rsid w:val="00F947BC"/>
    <w:rsid w:val="00F95936"/>
    <w:rsid w:val="00F969D5"/>
    <w:rsid w:val="00F970E9"/>
    <w:rsid w:val="00FA07FC"/>
    <w:rsid w:val="00FA25DD"/>
    <w:rsid w:val="00FA4F78"/>
    <w:rsid w:val="00FA58D3"/>
    <w:rsid w:val="00FB22ED"/>
    <w:rsid w:val="00FB4FDD"/>
    <w:rsid w:val="00FB56A8"/>
    <w:rsid w:val="00FB5D44"/>
    <w:rsid w:val="00FB7C2D"/>
    <w:rsid w:val="00FC0597"/>
    <w:rsid w:val="00FC0F2B"/>
    <w:rsid w:val="00FC6AED"/>
    <w:rsid w:val="00FD0016"/>
    <w:rsid w:val="00FD0DD0"/>
    <w:rsid w:val="00FD192B"/>
    <w:rsid w:val="00FD386E"/>
    <w:rsid w:val="00FE0201"/>
    <w:rsid w:val="00FE1289"/>
    <w:rsid w:val="00FE395C"/>
    <w:rsid w:val="00FE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0089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B82FEC"/>
    <w:pPr>
      <w:keepNext/>
      <w:overflowPunct w:val="0"/>
      <w:autoSpaceDE w:val="0"/>
      <w:autoSpaceDN w:val="0"/>
      <w:adjustRightInd w:val="0"/>
      <w:spacing w:line="480" w:lineRule="auto"/>
      <w:textAlignment w:val="baseline"/>
      <w:outlineLvl w:val="0"/>
    </w:pPr>
    <w:rPr>
      <w:rFonts w:ascii="Times New Roman Bold" w:hAnsi="Times New Roman Bold" w:cs="Times New Roman Bold"/>
      <w:b/>
      <w:bCs/>
      <w:caps/>
      <w:kern w:val="32"/>
    </w:rPr>
  </w:style>
  <w:style w:type="paragraph" w:styleId="Heading2">
    <w:name w:val="heading 2"/>
    <w:basedOn w:val="ListParagraph"/>
    <w:next w:val="Normal"/>
    <w:link w:val="Heading2Char"/>
    <w:autoRedefine/>
    <w:uiPriority w:val="99"/>
    <w:qFormat/>
    <w:rsid w:val="0009210E"/>
    <w:pPr>
      <w:numPr>
        <w:numId w:val="33"/>
      </w:numPr>
      <w:spacing w:line="480" w:lineRule="auto"/>
      <w:ind w:left="1440" w:hanging="720"/>
      <w:outlineLvl w:val="1"/>
    </w:pPr>
    <w:rPr>
      <w:rFonts w:ascii="Times New Roman Bold" w:eastAsiaTheme="minorEastAsia"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2FEC"/>
    <w:rPr>
      <w:rFonts w:ascii="Times New Roman Bold" w:hAnsi="Times New Roman Bold" w:cs="Times New Roman Bold"/>
      <w:b/>
      <w:bCs/>
      <w:caps/>
      <w:kern w:val="32"/>
      <w:sz w:val="24"/>
      <w:szCs w:val="24"/>
    </w:rPr>
  </w:style>
  <w:style w:type="character" w:customStyle="1" w:styleId="Heading2Char">
    <w:name w:val="Heading 2 Char"/>
    <w:link w:val="Heading2"/>
    <w:uiPriority w:val="99"/>
    <w:locked/>
    <w:rsid w:val="0009210E"/>
    <w:rPr>
      <w:rFonts w:ascii="Times New Roman Bold" w:eastAsiaTheme="minorEastAsia" w:hAnsi="Times New Roman Bold"/>
      <w:b/>
      <w:caps/>
      <w:sz w:val="24"/>
      <w:szCs w:val="24"/>
    </w:rPr>
  </w:style>
  <w:style w:type="paragraph" w:styleId="BalloonText">
    <w:name w:val="Balloon Text"/>
    <w:basedOn w:val="Normal"/>
    <w:link w:val="BalloonTextChar"/>
    <w:uiPriority w:val="99"/>
    <w:semiHidden/>
    <w:rPr>
      <w:sz w:val="20"/>
      <w:szCs w:val="2"/>
    </w:rPr>
  </w:style>
  <w:style w:type="character" w:customStyle="1" w:styleId="BalloonTextChar">
    <w:name w:val="Balloon Text Char"/>
    <w:link w:val="BalloonText"/>
    <w:uiPriority w:val="99"/>
    <w:semiHidden/>
    <w:locked/>
    <w:rPr>
      <w:sz w:val="20"/>
      <w:szCs w:val="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4"/>
      <w:szCs w:val="24"/>
    </w:rPr>
  </w:style>
  <w:style w:type="paragraph" w:customStyle="1" w:styleId="ANSWER">
    <w:name w:val="ANSWER"/>
    <w:basedOn w:val="Normal"/>
    <w:uiPriority w:val="99"/>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style>
  <w:style w:type="paragraph" w:styleId="FootnoteText">
    <w:name w:val="footnote text"/>
    <w:basedOn w:val="Normal"/>
    <w:link w:val="FootnoteTextChar"/>
    <w:uiPriority w:val="99"/>
    <w:semiHidden/>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Pr>
      <w:sz w:val="20"/>
      <w:szCs w:val="20"/>
    </w:rPr>
  </w:style>
  <w:style w:type="character" w:styleId="FootnoteReference">
    <w:name w:val="footnote reference"/>
    <w:uiPriority w:val="99"/>
    <w:semiHidden/>
    <w:rPr>
      <w:vertAlign w:val="superscript"/>
    </w:rPr>
  </w:style>
  <w:style w:type="paragraph" w:styleId="EndnoteText">
    <w:name w:val="endnote text"/>
    <w:basedOn w:val="Normal"/>
    <w:link w:val="EndnoteTextChar"/>
    <w:semiHidden/>
    <w:pPr>
      <w:widowControl w:val="0"/>
    </w:pPr>
    <w:rPr>
      <w:sz w:val="20"/>
      <w:szCs w:val="20"/>
    </w:rPr>
  </w:style>
  <w:style w:type="character" w:customStyle="1" w:styleId="EndnoteTextChar">
    <w:name w:val="Endnote Text Char"/>
    <w:link w:val="EndnoteText"/>
    <w:semiHidden/>
    <w:locked/>
    <w:rPr>
      <w:sz w:val="2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C41D98"/>
    <w:pPr>
      <w:tabs>
        <w:tab w:val="left" w:pos="720"/>
        <w:tab w:val="decimal" w:leader="dot" w:pos="8640"/>
      </w:tabs>
      <w:spacing w:after="240"/>
      <w:ind w:left="810" w:hanging="810"/>
      <w:jc w:val="center"/>
    </w:pPr>
    <w:rPr>
      <w:b/>
      <w:caps/>
      <w:noProof/>
    </w:rPr>
  </w:style>
  <w:style w:type="paragraph" w:styleId="NormalWeb">
    <w:name w:val="Normal (Web)"/>
    <w:basedOn w:val="Normal"/>
    <w:uiPriority w:val="99"/>
    <w:pPr>
      <w:spacing w:before="100" w:beforeAutospacing="1" w:after="100" w:afterAutospacing="1"/>
    </w:pPr>
  </w:style>
  <w:style w:type="paragraph" w:styleId="BodyTextIndent3">
    <w:name w:val="Body Text Indent 3"/>
    <w:basedOn w:val="Normal"/>
    <w:link w:val="BodyTextIndent3Char1"/>
    <w:uiPriority w:val="99"/>
    <w:pPr>
      <w:spacing w:line="480" w:lineRule="auto"/>
      <w:ind w:left="360"/>
    </w:pPr>
  </w:style>
  <w:style w:type="character" w:customStyle="1" w:styleId="BodyTextIndent3Char">
    <w:name w:val="Body Text Indent 3 Char"/>
    <w:uiPriority w:val="99"/>
    <w:semiHidden/>
    <w:locked/>
    <w:rPr>
      <w:sz w:val="16"/>
      <w:szCs w:val="16"/>
    </w:rPr>
  </w:style>
  <w:style w:type="character" w:customStyle="1" w:styleId="BodyTextIndent3Char1">
    <w:name w:val="Body Text Indent 3 Char1"/>
    <w:link w:val="BodyTextIndent3"/>
    <w:uiPriority w:val="99"/>
    <w:semiHidden/>
    <w:locked/>
    <w:rPr>
      <w:sz w:val="24"/>
      <w:szCs w:val="24"/>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sz w:val="24"/>
      <w:szCs w:val="24"/>
    </w:rPr>
  </w:style>
  <w:style w:type="paragraph" w:customStyle="1" w:styleId="ColorfulShading-Accent11">
    <w:name w:val="Colorful Shading - Accent 11"/>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qFormat/>
    <w:locked/>
    <w:rsid w:val="00555B25"/>
    <w:pPr>
      <w:tabs>
        <w:tab w:val="left" w:pos="720"/>
        <w:tab w:val="decimal" w:leader="dot" w:pos="8640"/>
      </w:tabs>
      <w:spacing w:after="240"/>
      <w:ind w:left="1440" w:hanging="720"/>
    </w:pPr>
    <w:rPr>
      <w:caps/>
    </w:rPr>
  </w:style>
  <w:style w:type="paragraph" w:styleId="Revision">
    <w:name w:val="Revision"/>
    <w:hidden/>
    <w:uiPriority w:val="99"/>
    <w:semiHidden/>
    <w:rsid w:val="00423AC7"/>
    <w:rPr>
      <w:sz w:val="24"/>
      <w:szCs w:val="24"/>
    </w:rPr>
  </w:style>
  <w:style w:type="character" w:styleId="Emphasis">
    <w:name w:val="Emphasis"/>
    <w:basedOn w:val="DefaultParagraphFont"/>
    <w:qFormat/>
    <w:locked/>
    <w:rsid w:val="001970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B82FEC"/>
    <w:pPr>
      <w:keepNext/>
      <w:overflowPunct w:val="0"/>
      <w:autoSpaceDE w:val="0"/>
      <w:autoSpaceDN w:val="0"/>
      <w:adjustRightInd w:val="0"/>
      <w:spacing w:line="480" w:lineRule="auto"/>
      <w:textAlignment w:val="baseline"/>
      <w:outlineLvl w:val="0"/>
    </w:pPr>
    <w:rPr>
      <w:rFonts w:ascii="Times New Roman Bold" w:hAnsi="Times New Roman Bold" w:cs="Times New Roman Bold"/>
      <w:b/>
      <w:bCs/>
      <w:caps/>
      <w:kern w:val="32"/>
    </w:rPr>
  </w:style>
  <w:style w:type="paragraph" w:styleId="Heading2">
    <w:name w:val="heading 2"/>
    <w:basedOn w:val="ListParagraph"/>
    <w:next w:val="Normal"/>
    <w:link w:val="Heading2Char"/>
    <w:autoRedefine/>
    <w:uiPriority w:val="99"/>
    <w:qFormat/>
    <w:rsid w:val="0009210E"/>
    <w:pPr>
      <w:numPr>
        <w:numId w:val="33"/>
      </w:numPr>
      <w:spacing w:line="480" w:lineRule="auto"/>
      <w:ind w:left="1440" w:hanging="720"/>
      <w:outlineLvl w:val="1"/>
    </w:pPr>
    <w:rPr>
      <w:rFonts w:ascii="Times New Roman Bold" w:eastAsiaTheme="minorEastAsia"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2FEC"/>
    <w:rPr>
      <w:rFonts w:ascii="Times New Roman Bold" w:hAnsi="Times New Roman Bold" w:cs="Times New Roman Bold"/>
      <w:b/>
      <w:bCs/>
      <w:caps/>
      <w:kern w:val="32"/>
      <w:sz w:val="24"/>
      <w:szCs w:val="24"/>
    </w:rPr>
  </w:style>
  <w:style w:type="character" w:customStyle="1" w:styleId="Heading2Char">
    <w:name w:val="Heading 2 Char"/>
    <w:link w:val="Heading2"/>
    <w:uiPriority w:val="99"/>
    <w:locked/>
    <w:rsid w:val="0009210E"/>
    <w:rPr>
      <w:rFonts w:ascii="Times New Roman Bold" w:eastAsiaTheme="minorEastAsia" w:hAnsi="Times New Roman Bold"/>
      <w:b/>
      <w:caps/>
      <w:sz w:val="24"/>
      <w:szCs w:val="24"/>
    </w:rPr>
  </w:style>
  <w:style w:type="paragraph" w:styleId="BalloonText">
    <w:name w:val="Balloon Text"/>
    <w:basedOn w:val="Normal"/>
    <w:link w:val="BalloonTextChar"/>
    <w:uiPriority w:val="99"/>
    <w:semiHidden/>
    <w:rPr>
      <w:sz w:val="20"/>
      <w:szCs w:val="2"/>
    </w:rPr>
  </w:style>
  <w:style w:type="character" w:customStyle="1" w:styleId="BalloonTextChar">
    <w:name w:val="Balloon Text Char"/>
    <w:link w:val="BalloonText"/>
    <w:uiPriority w:val="99"/>
    <w:semiHidden/>
    <w:locked/>
    <w:rPr>
      <w:sz w:val="20"/>
      <w:szCs w:val="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4"/>
      <w:szCs w:val="24"/>
    </w:rPr>
  </w:style>
  <w:style w:type="paragraph" w:customStyle="1" w:styleId="ANSWER">
    <w:name w:val="ANSWER"/>
    <w:basedOn w:val="Normal"/>
    <w:uiPriority w:val="99"/>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style>
  <w:style w:type="paragraph" w:styleId="FootnoteText">
    <w:name w:val="footnote text"/>
    <w:basedOn w:val="Normal"/>
    <w:link w:val="FootnoteTextChar"/>
    <w:uiPriority w:val="99"/>
    <w:semiHidden/>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Pr>
      <w:sz w:val="20"/>
      <w:szCs w:val="20"/>
    </w:rPr>
  </w:style>
  <w:style w:type="character" w:styleId="FootnoteReference">
    <w:name w:val="footnote reference"/>
    <w:uiPriority w:val="99"/>
    <w:semiHidden/>
    <w:rPr>
      <w:vertAlign w:val="superscript"/>
    </w:rPr>
  </w:style>
  <w:style w:type="paragraph" w:styleId="EndnoteText">
    <w:name w:val="endnote text"/>
    <w:basedOn w:val="Normal"/>
    <w:link w:val="EndnoteTextChar"/>
    <w:semiHidden/>
    <w:pPr>
      <w:widowControl w:val="0"/>
    </w:pPr>
    <w:rPr>
      <w:sz w:val="20"/>
      <w:szCs w:val="20"/>
    </w:rPr>
  </w:style>
  <w:style w:type="character" w:customStyle="1" w:styleId="EndnoteTextChar">
    <w:name w:val="Endnote Text Char"/>
    <w:link w:val="EndnoteText"/>
    <w:semiHidden/>
    <w:locked/>
    <w:rPr>
      <w:sz w:val="2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C41D98"/>
    <w:pPr>
      <w:tabs>
        <w:tab w:val="left" w:pos="720"/>
        <w:tab w:val="decimal" w:leader="dot" w:pos="8640"/>
      </w:tabs>
      <w:spacing w:after="240"/>
      <w:ind w:left="810" w:hanging="810"/>
      <w:jc w:val="center"/>
    </w:pPr>
    <w:rPr>
      <w:b/>
      <w:caps/>
      <w:noProof/>
    </w:rPr>
  </w:style>
  <w:style w:type="paragraph" w:styleId="NormalWeb">
    <w:name w:val="Normal (Web)"/>
    <w:basedOn w:val="Normal"/>
    <w:uiPriority w:val="99"/>
    <w:pPr>
      <w:spacing w:before="100" w:beforeAutospacing="1" w:after="100" w:afterAutospacing="1"/>
    </w:pPr>
  </w:style>
  <w:style w:type="paragraph" w:styleId="BodyTextIndent3">
    <w:name w:val="Body Text Indent 3"/>
    <w:basedOn w:val="Normal"/>
    <w:link w:val="BodyTextIndent3Char1"/>
    <w:uiPriority w:val="99"/>
    <w:pPr>
      <w:spacing w:line="480" w:lineRule="auto"/>
      <w:ind w:left="360"/>
    </w:pPr>
  </w:style>
  <w:style w:type="character" w:customStyle="1" w:styleId="BodyTextIndent3Char">
    <w:name w:val="Body Text Indent 3 Char"/>
    <w:uiPriority w:val="99"/>
    <w:semiHidden/>
    <w:locked/>
    <w:rPr>
      <w:sz w:val="16"/>
      <w:szCs w:val="16"/>
    </w:rPr>
  </w:style>
  <w:style w:type="character" w:customStyle="1" w:styleId="BodyTextIndent3Char1">
    <w:name w:val="Body Text Indent 3 Char1"/>
    <w:link w:val="BodyTextIndent3"/>
    <w:uiPriority w:val="99"/>
    <w:semiHidden/>
    <w:locked/>
    <w:rPr>
      <w:sz w:val="24"/>
      <w:szCs w:val="24"/>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sz w:val="24"/>
      <w:szCs w:val="24"/>
    </w:rPr>
  </w:style>
  <w:style w:type="paragraph" w:customStyle="1" w:styleId="ColorfulShading-Accent11">
    <w:name w:val="Colorful Shading - Accent 11"/>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qFormat/>
    <w:locked/>
    <w:rsid w:val="00555B25"/>
    <w:pPr>
      <w:tabs>
        <w:tab w:val="left" w:pos="720"/>
        <w:tab w:val="decimal" w:leader="dot" w:pos="8640"/>
      </w:tabs>
      <w:spacing w:after="240"/>
      <w:ind w:left="1440" w:hanging="720"/>
    </w:pPr>
    <w:rPr>
      <w:caps/>
    </w:rPr>
  </w:style>
  <w:style w:type="paragraph" w:styleId="Revision">
    <w:name w:val="Revision"/>
    <w:hidden/>
    <w:uiPriority w:val="99"/>
    <w:semiHidden/>
    <w:rsid w:val="00423AC7"/>
    <w:rPr>
      <w:sz w:val="24"/>
      <w:szCs w:val="24"/>
    </w:rPr>
  </w:style>
  <w:style w:type="character" w:styleId="Emphasis">
    <w:name w:val="Emphasis"/>
    <w:basedOn w:val="DefaultParagraphFont"/>
    <w:qFormat/>
    <w:locked/>
    <w:rsid w:val="001970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9520">
      <w:bodyDiv w:val="1"/>
      <w:marLeft w:val="0"/>
      <w:marRight w:val="0"/>
      <w:marTop w:val="0"/>
      <w:marBottom w:val="0"/>
      <w:divBdr>
        <w:top w:val="none" w:sz="0" w:space="0" w:color="auto"/>
        <w:left w:val="none" w:sz="0" w:space="0" w:color="auto"/>
        <w:bottom w:val="none" w:sz="0" w:space="0" w:color="auto"/>
        <w:right w:val="none" w:sz="0" w:space="0" w:color="auto"/>
      </w:divBdr>
      <w:divsChild>
        <w:div w:id="1309364381">
          <w:marLeft w:val="0"/>
          <w:marRight w:val="-5040"/>
          <w:marTop w:val="0"/>
          <w:marBottom w:val="0"/>
          <w:divBdr>
            <w:top w:val="none" w:sz="0" w:space="0" w:color="auto"/>
            <w:left w:val="none" w:sz="0" w:space="0" w:color="auto"/>
            <w:bottom w:val="none" w:sz="0" w:space="0" w:color="auto"/>
            <w:right w:val="none" w:sz="0" w:space="0" w:color="auto"/>
          </w:divBdr>
          <w:divsChild>
            <w:div w:id="15266016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8138544">
      <w:bodyDiv w:val="1"/>
      <w:marLeft w:val="0"/>
      <w:marRight w:val="0"/>
      <w:marTop w:val="0"/>
      <w:marBottom w:val="0"/>
      <w:divBdr>
        <w:top w:val="none" w:sz="0" w:space="0" w:color="auto"/>
        <w:left w:val="none" w:sz="0" w:space="0" w:color="auto"/>
        <w:bottom w:val="none" w:sz="0" w:space="0" w:color="auto"/>
        <w:right w:val="none" w:sz="0" w:space="0" w:color="auto"/>
      </w:divBdr>
    </w:div>
    <w:div w:id="1861165712">
      <w:bodyDiv w:val="1"/>
      <w:marLeft w:val="0"/>
      <w:marRight w:val="0"/>
      <w:marTop w:val="0"/>
      <w:marBottom w:val="0"/>
      <w:divBdr>
        <w:top w:val="none" w:sz="0" w:space="0" w:color="auto"/>
        <w:left w:val="none" w:sz="0" w:space="0" w:color="auto"/>
        <w:bottom w:val="none" w:sz="0" w:space="0" w:color="auto"/>
        <w:right w:val="none" w:sz="0" w:space="0" w:color="auto"/>
      </w:divBdr>
    </w:div>
    <w:div w:id="2062895754">
      <w:marLeft w:val="0"/>
      <w:marRight w:val="0"/>
      <w:marTop w:val="0"/>
      <w:marBottom w:val="0"/>
      <w:divBdr>
        <w:top w:val="none" w:sz="0" w:space="0" w:color="auto"/>
        <w:left w:val="none" w:sz="0" w:space="0" w:color="auto"/>
        <w:bottom w:val="none" w:sz="0" w:space="0" w:color="auto"/>
        <w:right w:val="none" w:sz="0" w:space="0" w:color="auto"/>
      </w:divBdr>
    </w:div>
    <w:div w:id="2062895755">
      <w:marLeft w:val="0"/>
      <w:marRight w:val="0"/>
      <w:marTop w:val="0"/>
      <w:marBottom w:val="0"/>
      <w:divBdr>
        <w:top w:val="none" w:sz="0" w:space="0" w:color="auto"/>
        <w:left w:val="none" w:sz="0" w:space="0" w:color="auto"/>
        <w:bottom w:val="none" w:sz="0" w:space="0" w:color="auto"/>
        <w:right w:val="none" w:sz="0" w:space="0" w:color="auto"/>
      </w:divBdr>
    </w:div>
    <w:div w:id="2062895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mailto:cmooney@ohiopartners.org" TargetMode="Externa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Bryce.mckenney@puc.state.oh.u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lizabeth.Watts@duke-energy.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Amy.Spiller@duke-energy.com" TargetMode="Externa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Ryan.orourke@puc.state.oh.us" TargetMode="External"/><Relationship Id="rId27" Type="http://schemas.openxmlformats.org/officeDocument/2006/relationships/header" Target="header10.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duke-energy.com/ohio/billing/read-met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3974</Words>
  <Characters>21388</Characters>
  <Application>Microsoft Office Word</Application>
  <DocSecurity>0</DocSecurity>
  <PresentationFormat/>
  <Lines>523</Lines>
  <Paragraphs>134</Paragraphs>
  <ScaleCrop>false</ScaleCrop>
  <HeadingPairs>
    <vt:vector size="2" baseType="variant">
      <vt:variant>
        <vt:lpstr>Title</vt:lpstr>
      </vt:variant>
      <vt:variant>
        <vt:i4>1</vt:i4>
      </vt:variant>
    </vt:vector>
  </HeadingPairs>
  <TitlesOfParts>
    <vt:vector size="1" baseType="lpstr">
      <vt:lpstr>Williams Testimony in Duke SmartGrid case (14-1051) (kwb redline) (607413).DOCX</vt:lpstr>
    </vt:vector>
  </TitlesOfParts>
  <Manager/>
  <Company/>
  <LinksUpToDate>false</LinksUpToDate>
  <CharactersWithSpaces>25410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2015-09-16T10:53:00Z</cp:lastPrinted>
  <dcterms:created xsi:type="dcterms:W3CDTF">2015-09-18T20:36:00Z</dcterms:created>
  <dcterms:modified xsi:type="dcterms:W3CDTF">2015-09-18T20:36:00Z</dcterms:modified>
  <cp:category> </cp:category>
  <cp:contentStatus> </cp:contentStatus>
</cp:coreProperties>
</file>