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66A" w:rsidRDefault="00A6466A">
      <w:pPr>
        <w:widowControl/>
        <w:tabs>
          <w:tab w:val="center" w:pos="4680"/>
        </w:tabs>
        <w:spacing w:line="320" w:lineRule="exact"/>
        <w:jc w:val="center"/>
        <w:rPr>
          <w:rFonts w:ascii="Palatino Linotype" w:hAnsi="Palatino Linotype"/>
          <w:b/>
          <w:bCs/>
          <w:spacing w:val="-12"/>
        </w:rPr>
      </w:pPr>
      <w:r>
        <w:rPr>
          <w:rFonts w:ascii="Palatino Linotype" w:hAnsi="Palatino Linotype"/>
          <w:b/>
          <w:bCs/>
          <w:spacing w:val="-12"/>
        </w:rPr>
        <w:t>BEFORE</w:t>
      </w:r>
    </w:p>
    <w:p w:rsidR="00A6466A" w:rsidRDefault="00A6466A">
      <w:pPr>
        <w:widowControl/>
        <w:tabs>
          <w:tab w:val="center" w:pos="4680"/>
        </w:tabs>
        <w:spacing w:line="320" w:lineRule="exact"/>
        <w:jc w:val="center"/>
        <w:rPr>
          <w:rFonts w:ascii="Palatino Linotype" w:hAnsi="Palatino Linotype"/>
          <w:b/>
          <w:bCs/>
          <w:spacing w:val="-12"/>
        </w:rPr>
      </w:pPr>
      <w:r>
        <w:rPr>
          <w:rFonts w:ascii="Palatino Linotype" w:hAnsi="Palatino Linotype"/>
          <w:b/>
          <w:bCs/>
          <w:spacing w:val="-12"/>
        </w:rPr>
        <w:t>THE PUBLIC UTILITIES COMMISSION OF OHIO</w:t>
      </w:r>
    </w:p>
    <w:p w:rsidR="00A6466A" w:rsidRDefault="00A6466A">
      <w:pPr>
        <w:widowControl/>
        <w:spacing w:line="320" w:lineRule="exact"/>
        <w:jc w:val="both"/>
        <w:rPr>
          <w:rFonts w:ascii="Palatino Linotype" w:hAnsi="Palatino Linotype"/>
          <w:b/>
          <w:bCs/>
          <w:spacing w:val="-12"/>
        </w:rPr>
      </w:pPr>
    </w:p>
    <w:p w:rsidR="00A6466A" w:rsidRDefault="00A6466A">
      <w:pPr>
        <w:widowControl/>
        <w:spacing w:line="320" w:lineRule="exact"/>
        <w:jc w:val="both"/>
        <w:rPr>
          <w:rFonts w:ascii="Palatino Linotype" w:hAnsi="Palatino Linotype"/>
          <w:b/>
          <w:bCs/>
        </w:rPr>
        <w:sectPr w:rsidR="00A6466A">
          <w:pgSz w:w="12240" w:h="15840"/>
          <w:pgMar w:top="1440" w:right="1800" w:bottom="1440" w:left="1800" w:header="1440" w:footer="1440" w:gutter="0"/>
          <w:cols w:space="720"/>
          <w:noEndnote/>
        </w:sectPr>
      </w:pPr>
    </w:p>
    <w:tbl>
      <w:tblPr>
        <w:tblW w:w="9360" w:type="dxa"/>
        <w:tblLayout w:type="fixed"/>
        <w:tblCellMar>
          <w:left w:w="0" w:type="dxa"/>
          <w:right w:w="0" w:type="dxa"/>
        </w:tblCellMar>
        <w:tblLook w:val="0000"/>
      </w:tblPr>
      <w:tblGrid>
        <w:gridCol w:w="4230"/>
        <w:gridCol w:w="90"/>
        <w:gridCol w:w="270"/>
        <w:gridCol w:w="90"/>
        <w:gridCol w:w="4680"/>
      </w:tblGrid>
      <w:tr w:rsidR="00A6466A">
        <w:tc>
          <w:tcPr>
            <w:tcW w:w="4230" w:type="dxa"/>
            <w:tcBorders>
              <w:top w:val="nil"/>
              <w:left w:val="nil"/>
              <w:bottom w:val="nil"/>
              <w:right w:val="nil"/>
            </w:tcBorders>
          </w:tcPr>
          <w:p w:rsidR="00A6466A" w:rsidRDefault="00A6466A">
            <w:pPr>
              <w:keepLines/>
              <w:widowControl/>
              <w:spacing w:line="320" w:lineRule="exact"/>
              <w:jc w:val="both"/>
              <w:rPr>
                <w:rFonts w:ascii="Palatino Linotype" w:hAnsi="Palatino Linotype"/>
              </w:rPr>
            </w:pPr>
            <w:r>
              <w:rPr>
                <w:rFonts w:ascii="Palatino Linotype" w:hAnsi="Palatino Linotype"/>
              </w:rPr>
              <w:t>In the Matter of the Application of C</w:t>
            </w:r>
            <w:r>
              <w:rPr>
                <w:rFonts w:ascii="Palatino Linotype" w:hAnsi="Palatino Linotype"/>
              </w:rPr>
              <w:t>o</w:t>
            </w:r>
            <w:r>
              <w:rPr>
                <w:rFonts w:ascii="Palatino Linotype" w:hAnsi="Palatino Linotype"/>
              </w:rPr>
              <w:t>lumbia Gas of Ohio, Inc. for Approval of an Alternative Form of Regulation.</w:t>
            </w:r>
          </w:p>
        </w:tc>
        <w:tc>
          <w:tcPr>
            <w:tcW w:w="90" w:type="dxa"/>
            <w:tcBorders>
              <w:top w:val="nil"/>
              <w:left w:val="nil"/>
              <w:bottom w:val="nil"/>
              <w:right w:val="nil"/>
            </w:tcBorders>
          </w:tcPr>
          <w:p w:rsidR="00A6466A" w:rsidRDefault="00A6466A">
            <w:pPr>
              <w:spacing w:line="320" w:lineRule="exact"/>
              <w:rPr>
                <w:rFonts w:ascii="Palatino Linotype" w:hAnsi="Palatino Linotype"/>
              </w:rPr>
            </w:pPr>
          </w:p>
        </w:tc>
        <w:tc>
          <w:tcPr>
            <w:tcW w:w="270" w:type="dxa"/>
            <w:tcBorders>
              <w:top w:val="nil"/>
              <w:left w:val="nil"/>
              <w:bottom w:val="nil"/>
              <w:right w:val="nil"/>
            </w:tcBorders>
          </w:tcPr>
          <w:p w:rsidR="00A6466A" w:rsidRDefault="00A6466A">
            <w:pPr>
              <w:widowControl/>
              <w:spacing w:line="320" w:lineRule="exact"/>
              <w:jc w:val="both"/>
              <w:rPr>
                <w:rFonts w:ascii="Palatino Linotype" w:hAnsi="Palatino Linotype"/>
              </w:rPr>
            </w:pPr>
            <w:r>
              <w:rPr>
                <w:rFonts w:ascii="Palatino Linotype" w:hAnsi="Palatino Linotype"/>
              </w:rPr>
              <w:t>)</w:t>
            </w:r>
          </w:p>
          <w:p w:rsidR="00A6466A" w:rsidRDefault="00A6466A">
            <w:pPr>
              <w:widowControl/>
              <w:spacing w:line="320" w:lineRule="exact"/>
              <w:jc w:val="both"/>
              <w:rPr>
                <w:rFonts w:ascii="Palatino Linotype" w:hAnsi="Palatino Linotype"/>
              </w:rPr>
            </w:pPr>
            <w:r>
              <w:rPr>
                <w:rFonts w:ascii="Palatino Linotype" w:hAnsi="Palatino Linotype"/>
              </w:rPr>
              <w:t>)</w:t>
            </w:r>
          </w:p>
          <w:p w:rsidR="00A6466A" w:rsidRDefault="00A6466A">
            <w:pPr>
              <w:widowControl/>
              <w:spacing w:line="320" w:lineRule="exact"/>
              <w:jc w:val="both"/>
              <w:rPr>
                <w:rFonts w:ascii="Palatino Linotype" w:hAnsi="Palatino Linotype"/>
              </w:rPr>
            </w:pPr>
            <w:r>
              <w:rPr>
                <w:rFonts w:ascii="Palatino Linotype" w:hAnsi="Palatino Linotype"/>
              </w:rPr>
              <w:t>)</w:t>
            </w:r>
          </w:p>
        </w:tc>
        <w:tc>
          <w:tcPr>
            <w:tcW w:w="90" w:type="dxa"/>
            <w:tcBorders>
              <w:top w:val="nil"/>
              <w:left w:val="nil"/>
              <w:bottom w:val="nil"/>
              <w:right w:val="nil"/>
            </w:tcBorders>
          </w:tcPr>
          <w:p w:rsidR="00A6466A" w:rsidRDefault="00A6466A">
            <w:pPr>
              <w:spacing w:line="320" w:lineRule="exact"/>
              <w:rPr>
                <w:rFonts w:ascii="Palatino Linotype" w:hAnsi="Palatino Linotype"/>
              </w:rPr>
            </w:pPr>
          </w:p>
        </w:tc>
        <w:tc>
          <w:tcPr>
            <w:tcW w:w="4680" w:type="dxa"/>
            <w:tcBorders>
              <w:top w:val="nil"/>
              <w:left w:val="nil"/>
              <w:bottom w:val="nil"/>
              <w:right w:val="nil"/>
            </w:tcBorders>
          </w:tcPr>
          <w:p w:rsidR="00A6466A" w:rsidRDefault="00A6466A">
            <w:pPr>
              <w:widowControl/>
              <w:spacing w:line="320" w:lineRule="exact"/>
              <w:jc w:val="both"/>
              <w:rPr>
                <w:rFonts w:ascii="Palatino Linotype" w:hAnsi="Palatino Linotype"/>
              </w:rPr>
            </w:pPr>
          </w:p>
          <w:p w:rsidR="00A6466A" w:rsidRDefault="00A6466A">
            <w:pPr>
              <w:widowControl/>
              <w:spacing w:line="320" w:lineRule="exact"/>
              <w:jc w:val="both"/>
              <w:rPr>
                <w:rFonts w:ascii="Palatino Linotype" w:hAnsi="Palatino Linotype"/>
              </w:rPr>
            </w:pPr>
            <w:r>
              <w:rPr>
                <w:rFonts w:ascii="Palatino Linotype" w:hAnsi="Palatino Linotype"/>
              </w:rPr>
              <w:t>Case No. 11-5515-GA-ALT</w:t>
            </w:r>
          </w:p>
        </w:tc>
      </w:tr>
    </w:tbl>
    <w:p w:rsidR="00A6466A" w:rsidRDefault="00A6466A">
      <w:pPr>
        <w:spacing w:line="320" w:lineRule="exact"/>
        <w:rPr>
          <w:rFonts w:ascii="Palatino Linotype" w:hAnsi="Palatino Linotype"/>
        </w:rPr>
        <w:sectPr w:rsidR="00A6466A">
          <w:footerReference w:type="default" r:id="rId7"/>
          <w:type w:val="continuous"/>
          <w:pgSz w:w="12240" w:h="15840"/>
          <w:pgMar w:top="1440" w:right="1800" w:bottom="1440" w:left="1800" w:header="1440" w:footer="1440" w:gutter="0"/>
          <w:cols w:space="720"/>
          <w:noEndnote/>
        </w:sectPr>
      </w:pPr>
    </w:p>
    <w:p w:rsidR="00A6466A" w:rsidRDefault="00A6466A">
      <w:pPr>
        <w:widowControl/>
        <w:tabs>
          <w:tab w:val="center" w:pos="4680"/>
        </w:tabs>
        <w:spacing w:line="320" w:lineRule="exact"/>
        <w:jc w:val="both"/>
        <w:rPr>
          <w:rFonts w:ascii="Palatino Linotype" w:hAnsi="Palatino Linotype"/>
        </w:rPr>
      </w:pPr>
      <w:r>
        <w:rPr>
          <w:rFonts w:ascii="Palatino Linotype" w:hAnsi="Palatino Linotype"/>
        </w:rPr>
        <w:tab/>
      </w:r>
    </w:p>
    <w:p w:rsidR="00A6466A" w:rsidRDefault="00A6466A">
      <w:pPr>
        <w:widowControl/>
        <w:spacing w:line="320" w:lineRule="exact"/>
        <w:jc w:val="center"/>
        <w:rPr>
          <w:rFonts w:ascii="Palatino Linotype" w:hAnsi="Palatino Linotype"/>
          <w:b/>
          <w:u w:val="double"/>
        </w:rPr>
      </w:pP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p>
    <w:p w:rsidR="00A6466A" w:rsidRDefault="00A6466A">
      <w:pPr>
        <w:widowControl/>
        <w:spacing w:line="320" w:lineRule="exact"/>
        <w:jc w:val="both"/>
        <w:rPr>
          <w:rFonts w:ascii="Palatino Linotype" w:hAnsi="Palatino Linotype"/>
        </w:rPr>
      </w:pPr>
    </w:p>
    <w:p w:rsidR="00A6466A" w:rsidRDefault="00A6466A">
      <w:pPr>
        <w:widowControl/>
        <w:tabs>
          <w:tab w:val="center" w:pos="4680"/>
        </w:tabs>
        <w:spacing w:line="320" w:lineRule="exact"/>
        <w:jc w:val="center"/>
        <w:rPr>
          <w:rFonts w:ascii="Palatino Linotype" w:hAnsi="Palatino Linotype"/>
          <w:b/>
          <w:bCs/>
          <w:spacing w:val="-12"/>
        </w:rPr>
      </w:pPr>
      <w:r>
        <w:rPr>
          <w:rFonts w:ascii="Palatino Linotype" w:hAnsi="Palatino Linotype"/>
          <w:b/>
          <w:bCs/>
          <w:spacing w:val="-12"/>
        </w:rPr>
        <w:t>JOINT STIPULATION</w:t>
      </w:r>
    </w:p>
    <w:p w:rsidR="00A6466A" w:rsidRDefault="00A6466A">
      <w:pPr>
        <w:widowControl/>
        <w:tabs>
          <w:tab w:val="center" w:pos="4680"/>
        </w:tabs>
        <w:spacing w:line="320" w:lineRule="exact"/>
        <w:jc w:val="center"/>
        <w:rPr>
          <w:rFonts w:ascii="Palatino Linotype" w:hAnsi="Palatino Linotype"/>
          <w:spacing w:val="-12"/>
        </w:rPr>
      </w:pPr>
      <w:r>
        <w:rPr>
          <w:rFonts w:ascii="Palatino Linotype" w:hAnsi="Palatino Linotype"/>
          <w:b/>
          <w:bCs/>
          <w:spacing w:val="-12"/>
        </w:rPr>
        <w:t>REGARDING PROCEDURAL MATTERS</w:t>
      </w:r>
    </w:p>
    <w:p w:rsidR="00A6466A" w:rsidRDefault="00A6466A">
      <w:pPr>
        <w:widowControl/>
        <w:tabs>
          <w:tab w:val="center" w:pos="4680"/>
        </w:tabs>
        <w:spacing w:line="320" w:lineRule="exact"/>
        <w:jc w:val="center"/>
        <w:rPr>
          <w:rFonts w:ascii="Palatino Linotype" w:hAnsi="Palatino Linotype"/>
          <w:b/>
          <w:u w:val="double"/>
        </w:rPr>
      </w:pP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p>
    <w:p w:rsidR="00A6466A" w:rsidRDefault="00A6466A">
      <w:pPr>
        <w:widowControl/>
        <w:spacing w:line="320" w:lineRule="exact"/>
        <w:jc w:val="both"/>
        <w:rPr>
          <w:rFonts w:ascii="Palatino Linotype" w:hAnsi="Palatino Linotype"/>
        </w:rPr>
      </w:pPr>
    </w:p>
    <w:p w:rsidR="00A6466A" w:rsidRDefault="00A6466A">
      <w:pPr>
        <w:widowControl/>
        <w:spacing w:line="320" w:lineRule="exact"/>
        <w:jc w:val="both"/>
        <w:rPr>
          <w:rFonts w:ascii="Palatino Linotype" w:hAnsi="Palatino Linotype"/>
        </w:rPr>
      </w:pPr>
      <w:r>
        <w:rPr>
          <w:rFonts w:ascii="Palatino Linotype" w:hAnsi="Palatino Linotype"/>
        </w:rPr>
        <w:tab/>
        <w:t>Columbia filed its original Notice of Intent to File an Application for A</w:t>
      </w:r>
      <w:r>
        <w:rPr>
          <w:rFonts w:ascii="Palatino Linotype" w:hAnsi="Palatino Linotype"/>
        </w:rPr>
        <w:t>p</w:t>
      </w:r>
      <w:r>
        <w:rPr>
          <w:rFonts w:ascii="Palatino Linotype" w:hAnsi="Palatino Linotype"/>
        </w:rPr>
        <w:t>proval of an Alternative Rate Plan on December 9, 2011. On December 22, 2011, Columbia filed a Motion for Waiver of Standard Filing Requirement. The Office of the Ohio Consumers’ Counsel (“OCC”) and Ohio Partners for Affordable E</w:t>
      </w:r>
      <w:r>
        <w:rPr>
          <w:rFonts w:ascii="Palatino Linotype" w:hAnsi="Palatino Linotype"/>
        </w:rPr>
        <w:t>n</w:t>
      </w:r>
      <w:r>
        <w:rPr>
          <w:rFonts w:ascii="Palatino Linotype" w:hAnsi="Palatino Linotype"/>
        </w:rPr>
        <w:t>ergy (“OPAE”) objected to Columbia’s Motion for Waiver of Standard Filing R</w:t>
      </w:r>
      <w:r>
        <w:rPr>
          <w:rFonts w:ascii="Palatino Linotype" w:hAnsi="Palatino Linotype"/>
        </w:rPr>
        <w:t>e</w:t>
      </w:r>
      <w:r>
        <w:rPr>
          <w:rFonts w:ascii="Palatino Linotype" w:hAnsi="Palatino Linotype"/>
        </w:rPr>
        <w:t>quirement. Columbia responded to the pleadings filed by the OCC and OPAE. Specifically, the parties filed the following pleadings with respect to Columbia’s Motion for Waiver of Standard Filing Requirement:</w:t>
      </w:r>
    </w:p>
    <w:p w:rsidR="00A6466A" w:rsidRDefault="00A6466A">
      <w:pPr>
        <w:widowControl/>
        <w:spacing w:line="320" w:lineRule="exact"/>
        <w:jc w:val="both"/>
        <w:rPr>
          <w:rFonts w:ascii="Palatino Linotype" w:hAnsi="Palatino Linotype"/>
        </w:rPr>
      </w:pPr>
    </w:p>
    <w:tbl>
      <w:tblPr>
        <w:tblW w:w="0" w:type="auto"/>
        <w:tblInd w:w="558" w:type="dxa"/>
        <w:tblLook w:val="00A0"/>
      </w:tblPr>
      <w:tblGrid>
        <w:gridCol w:w="1350"/>
        <w:gridCol w:w="1350"/>
        <w:gridCol w:w="5598"/>
      </w:tblGrid>
      <w:tr w:rsidR="00A6466A">
        <w:tc>
          <w:tcPr>
            <w:tcW w:w="1350" w:type="dxa"/>
          </w:tcPr>
          <w:p w:rsidR="00A6466A" w:rsidRDefault="00A6466A">
            <w:pPr>
              <w:widowControl/>
              <w:spacing w:line="320" w:lineRule="exact"/>
              <w:jc w:val="center"/>
              <w:rPr>
                <w:rFonts w:ascii="Palatino Linotype" w:hAnsi="Palatino Linotype"/>
                <w:b/>
                <w:sz w:val="22"/>
                <w:szCs w:val="22"/>
              </w:rPr>
            </w:pPr>
            <w:r>
              <w:rPr>
                <w:rFonts w:ascii="Palatino Linotype" w:hAnsi="Palatino Linotype"/>
                <w:b/>
                <w:sz w:val="22"/>
                <w:szCs w:val="22"/>
              </w:rPr>
              <w:t>DATE</w:t>
            </w:r>
          </w:p>
        </w:tc>
        <w:tc>
          <w:tcPr>
            <w:tcW w:w="1350" w:type="dxa"/>
          </w:tcPr>
          <w:p w:rsidR="00A6466A" w:rsidRDefault="00A6466A">
            <w:pPr>
              <w:widowControl/>
              <w:spacing w:line="320" w:lineRule="exact"/>
              <w:jc w:val="center"/>
              <w:rPr>
                <w:rFonts w:ascii="Palatino Linotype" w:hAnsi="Palatino Linotype"/>
                <w:b/>
                <w:sz w:val="22"/>
                <w:szCs w:val="22"/>
              </w:rPr>
            </w:pPr>
            <w:r>
              <w:rPr>
                <w:rFonts w:ascii="Palatino Linotype" w:hAnsi="Palatino Linotype"/>
                <w:b/>
                <w:sz w:val="22"/>
                <w:szCs w:val="22"/>
              </w:rPr>
              <w:t>PARTY</w:t>
            </w:r>
          </w:p>
        </w:tc>
        <w:tc>
          <w:tcPr>
            <w:tcW w:w="5598" w:type="dxa"/>
          </w:tcPr>
          <w:p w:rsidR="00A6466A" w:rsidRDefault="00A6466A">
            <w:pPr>
              <w:widowControl/>
              <w:spacing w:line="320" w:lineRule="exact"/>
              <w:jc w:val="center"/>
              <w:rPr>
                <w:rFonts w:ascii="Palatino Linotype" w:hAnsi="Palatino Linotype"/>
                <w:b/>
                <w:sz w:val="22"/>
                <w:szCs w:val="22"/>
              </w:rPr>
            </w:pPr>
            <w:r>
              <w:rPr>
                <w:rFonts w:ascii="Palatino Linotype" w:hAnsi="Palatino Linotype"/>
                <w:b/>
                <w:sz w:val="22"/>
                <w:szCs w:val="22"/>
              </w:rPr>
              <w:t>PLEADING</w:t>
            </w:r>
          </w:p>
          <w:p w:rsidR="00A6466A" w:rsidRDefault="00A6466A">
            <w:pPr>
              <w:widowControl/>
              <w:spacing w:line="320" w:lineRule="exact"/>
              <w:jc w:val="center"/>
              <w:rPr>
                <w:rFonts w:ascii="Palatino Linotype" w:hAnsi="Palatino Linotype"/>
                <w:b/>
                <w:sz w:val="22"/>
                <w:szCs w:val="22"/>
              </w:rPr>
            </w:pPr>
          </w:p>
        </w:tc>
      </w:tr>
      <w:tr w:rsidR="00A6466A">
        <w:tc>
          <w:tcPr>
            <w:tcW w:w="1350" w:type="dxa"/>
          </w:tcPr>
          <w:p w:rsidR="00A6466A" w:rsidRDefault="00A6466A">
            <w:pPr>
              <w:widowControl/>
              <w:spacing w:line="320" w:lineRule="exact"/>
              <w:jc w:val="both"/>
              <w:rPr>
                <w:rFonts w:ascii="Palatino Linotype" w:hAnsi="Palatino Linotype"/>
                <w:sz w:val="22"/>
                <w:szCs w:val="22"/>
              </w:rPr>
            </w:pPr>
            <w:r>
              <w:rPr>
                <w:rFonts w:ascii="Palatino Linotype" w:hAnsi="Palatino Linotype"/>
                <w:sz w:val="22"/>
                <w:szCs w:val="22"/>
              </w:rPr>
              <w:t>1/6/12</w:t>
            </w:r>
          </w:p>
        </w:tc>
        <w:tc>
          <w:tcPr>
            <w:tcW w:w="1350" w:type="dxa"/>
          </w:tcPr>
          <w:p w:rsidR="00A6466A" w:rsidRDefault="00A6466A">
            <w:pPr>
              <w:widowControl/>
              <w:spacing w:line="320" w:lineRule="exact"/>
              <w:jc w:val="both"/>
              <w:rPr>
                <w:rFonts w:ascii="Palatino Linotype" w:hAnsi="Palatino Linotype"/>
                <w:sz w:val="22"/>
                <w:szCs w:val="22"/>
              </w:rPr>
            </w:pPr>
            <w:r>
              <w:rPr>
                <w:rFonts w:ascii="Palatino Linotype" w:hAnsi="Palatino Linotype"/>
                <w:sz w:val="22"/>
                <w:szCs w:val="22"/>
              </w:rPr>
              <w:t>OCC</w:t>
            </w:r>
          </w:p>
        </w:tc>
        <w:tc>
          <w:tcPr>
            <w:tcW w:w="5598" w:type="dxa"/>
          </w:tcPr>
          <w:p w:rsidR="00A6466A" w:rsidRDefault="00A6466A">
            <w:pPr>
              <w:widowControl/>
              <w:spacing w:line="320" w:lineRule="exact"/>
              <w:jc w:val="both"/>
              <w:rPr>
                <w:rFonts w:ascii="Palatino Linotype" w:hAnsi="Palatino Linotype"/>
                <w:sz w:val="22"/>
                <w:szCs w:val="22"/>
              </w:rPr>
            </w:pPr>
            <w:r>
              <w:rPr>
                <w:rFonts w:ascii="Palatino Linotype" w:hAnsi="Palatino Linotype"/>
                <w:sz w:val="22"/>
                <w:szCs w:val="22"/>
              </w:rPr>
              <w:t>Memorandum Contra Motion for Waiver of Standard Filing Requirement</w:t>
            </w:r>
          </w:p>
          <w:p w:rsidR="00A6466A" w:rsidRDefault="00A6466A">
            <w:pPr>
              <w:widowControl/>
              <w:spacing w:line="320" w:lineRule="exact"/>
              <w:jc w:val="both"/>
              <w:rPr>
                <w:rFonts w:ascii="Palatino Linotype" w:hAnsi="Palatino Linotype"/>
                <w:sz w:val="22"/>
                <w:szCs w:val="22"/>
              </w:rPr>
            </w:pPr>
          </w:p>
        </w:tc>
      </w:tr>
      <w:tr w:rsidR="00A6466A">
        <w:tc>
          <w:tcPr>
            <w:tcW w:w="1350" w:type="dxa"/>
          </w:tcPr>
          <w:p w:rsidR="00A6466A" w:rsidRDefault="00A6466A">
            <w:pPr>
              <w:widowControl/>
              <w:spacing w:line="320" w:lineRule="exact"/>
              <w:jc w:val="both"/>
              <w:rPr>
                <w:rFonts w:ascii="Palatino Linotype" w:hAnsi="Palatino Linotype"/>
                <w:sz w:val="22"/>
                <w:szCs w:val="22"/>
              </w:rPr>
            </w:pPr>
            <w:r>
              <w:rPr>
                <w:rFonts w:ascii="Palatino Linotype" w:hAnsi="Palatino Linotype"/>
                <w:sz w:val="22"/>
                <w:szCs w:val="22"/>
              </w:rPr>
              <w:t>1/11/12</w:t>
            </w:r>
          </w:p>
        </w:tc>
        <w:tc>
          <w:tcPr>
            <w:tcW w:w="1350" w:type="dxa"/>
          </w:tcPr>
          <w:p w:rsidR="00A6466A" w:rsidRDefault="00A6466A">
            <w:pPr>
              <w:widowControl/>
              <w:spacing w:line="320" w:lineRule="exact"/>
              <w:jc w:val="both"/>
              <w:rPr>
                <w:rFonts w:ascii="Palatino Linotype" w:hAnsi="Palatino Linotype"/>
                <w:sz w:val="22"/>
                <w:szCs w:val="22"/>
              </w:rPr>
            </w:pPr>
            <w:r>
              <w:rPr>
                <w:rFonts w:ascii="Palatino Linotype" w:hAnsi="Palatino Linotype"/>
                <w:sz w:val="22"/>
                <w:szCs w:val="22"/>
              </w:rPr>
              <w:t>Columbia</w:t>
            </w:r>
          </w:p>
        </w:tc>
        <w:tc>
          <w:tcPr>
            <w:tcW w:w="5598" w:type="dxa"/>
          </w:tcPr>
          <w:p w:rsidR="00A6466A" w:rsidRDefault="00A6466A">
            <w:pPr>
              <w:widowControl/>
              <w:spacing w:line="320" w:lineRule="exact"/>
              <w:jc w:val="both"/>
              <w:rPr>
                <w:rFonts w:ascii="Palatino Linotype" w:hAnsi="Palatino Linotype"/>
                <w:sz w:val="22"/>
                <w:szCs w:val="22"/>
              </w:rPr>
            </w:pPr>
            <w:r>
              <w:rPr>
                <w:rFonts w:ascii="Palatino Linotype" w:hAnsi="Palatino Linotype"/>
                <w:sz w:val="22"/>
                <w:szCs w:val="22"/>
              </w:rPr>
              <w:t>Reply Memorandum to the OCC’s Memorandum Co</w:t>
            </w:r>
            <w:r>
              <w:rPr>
                <w:rFonts w:ascii="Palatino Linotype" w:hAnsi="Palatino Linotype"/>
                <w:sz w:val="22"/>
                <w:szCs w:val="22"/>
              </w:rPr>
              <w:t>n</w:t>
            </w:r>
            <w:r>
              <w:rPr>
                <w:rFonts w:ascii="Palatino Linotype" w:hAnsi="Palatino Linotype"/>
                <w:sz w:val="22"/>
                <w:szCs w:val="22"/>
              </w:rPr>
              <w:t>tra Motion for Waiver of Standard Filing Requirement</w:t>
            </w:r>
          </w:p>
          <w:p w:rsidR="00A6466A" w:rsidRDefault="00A6466A">
            <w:pPr>
              <w:widowControl/>
              <w:spacing w:line="320" w:lineRule="exact"/>
              <w:jc w:val="both"/>
              <w:rPr>
                <w:rFonts w:ascii="Palatino Linotype" w:hAnsi="Palatino Linotype"/>
                <w:sz w:val="22"/>
                <w:szCs w:val="22"/>
              </w:rPr>
            </w:pPr>
          </w:p>
        </w:tc>
      </w:tr>
      <w:tr w:rsidR="00A6466A">
        <w:tc>
          <w:tcPr>
            <w:tcW w:w="1350" w:type="dxa"/>
          </w:tcPr>
          <w:p w:rsidR="00A6466A" w:rsidRDefault="00A6466A">
            <w:pPr>
              <w:widowControl/>
              <w:spacing w:line="320" w:lineRule="exact"/>
              <w:jc w:val="both"/>
              <w:rPr>
                <w:rFonts w:ascii="Palatino Linotype" w:hAnsi="Palatino Linotype"/>
                <w:sz w:val="22"/>
                <w:szCs w:val="22"/>
              </w:rPr>
            </w:pPr>
            <w:r>
              <w:rPr>
                <w:rFonts w:ascii="Palatino Linotype" w:hAnsi="Palatino Linotype"/>
                <w:sz w:val="22"/>
                <w:szCs w:val="22"/>
              </w:rPr>
              <w:t>1/11/12</w:t>
            </w:r>
          </w:p>
        </w:tc>
        <w:tc>
          <w:tcPr>
            <w:tcW w:w="1350" w:type="dxa"/>
          </w:tcPr>
          <w:p w:rsidR="00A6466A" w:rsidRDefault="00A6466A">
            <w:pPr>
              <w:widowControl/>
              <w:spacing w:line="320" w:lineRule="exact"/>
              <w:jc w:val="both"/>
              <w:rPr>
                <w:rFonts w:ascii="Palatino Linotype" w:hAnsi="Palatino Linotype"/>
                <w:sz w:val="22"/>
                <w:szCs w:val="22"/>
              </w:rPr>
            </w:pPr>
            <w:r>
              <w:rPr>
                <w:rFonts w:ascii="Palatino Linotype" w:hAnsi="Palatino Linotype"/>
                <w:sz w:val="22"/>
                <w:szCs w:val="22"/>
              </w:rPr>
              <w:t>OPAE</w:t>
            </w:r>
          </w:p>
        </w:tc>
        <w:tc>
          <w:tcPr>
            <w:tcW w:w="5598" w:type="dxa"/>
          </w:tcPr>
          <w:p w:rsidR="00A6466A" w:rsidRDefault="00A6466A">
            <w:pPr>
              <w:widowControl/>
              <w:spacing w:line="320" w:lineRule="exact"/>
              <w:jc w:val="both"/>
              <w:rPr>
                <w:rFonts w:ascii="Palatino Linotype" w:hAnsi="Palatino Linotype"/>
                <w:sz w:val="22"/>
                <w:szCs w:val="22"/>
              </w:rPr>
            </w:pPr>
            <w:r>
              <w:rPr>
                <w:rFonts w:ascii="Palatino Linotype" w:hAnsi="Palatino Linotype"/>
                <w:sz w:val="22"/>
                <w:szCs w:val="22"/>
              </w:rPr>
              <w:t>Reply to the Memorandum Contra</w:t>
            </w:r>
          </w:p>
          <w:p w:rsidR="00A6466A" w:rsidRDefault="00A6466A">
            <w:pPr>
              <w:widowControl/>
              <w:spacing w:line="320" w:lineRule="exact"/>
              <w:jc w:val="both"/>
              <w:rPr>
                <w:rFonts w:ascii="Palatino Linotype" w:hAnsi="Palatino Linotype"/>
                <w:sz w:val="22"/>
                <w:szCs w:val="22"/>
              </w:rPr>
            </w:pPr>
          </w:p>
        </w:tc>
      </w:tr>
      <w:tr w:rsidR="00A6466A">
        <w:tc>
          <w:tcPr>
            <w:tcW w:w="1350" w:type="dxa"/>
          </w:tcPr>
          <w:p w:rsidR="00A6466A" w:rsidRDefault="00A6466A">
            <w:pPr>
              <w:widowControl/>
              <w:spacing w:line="320" w:lineRule="exact"/>
              <w:jc w:val="both"/>
              <w:rPr>
                <w:rFonts w:ascii="Palatino Linotype" w:hAnsi="Palatino Linotype"/>
                <w:sz w:val="22"/>
                <w:szCs w:val="22"/>
              </w:rPr>
            </w:pPr>
            <w:r>
              <w:rPr>
                <w:rFonts w:ascii="Palatino Linotype" w:hAnsi="Palatino Linotype"/>
                <w:sz w:val="22"/>
                <w:szCs w:val="22"/>
              </w:rPr>
              <w:t>1/13/12</w:t>
            </w:r>
          </w:p>
        </w:tc>
        <w:tc>
          <w:tcPr>
            <w:tcW w:w="1350" w:type="dxa"/>
          </w:tcPr>
          <w:p w:rsidR="00A6466A" w:rsidRDefault="00A6466A">
            <w:pPr>
              <w:widowControl/>
              <w:spacing w:line="320" w:lineRule="exact"/>
              <w:jc w:val="both"/>
              <w:rPr>
                <w:rFonts w:ascii="Palatino Linotype" w:hAnsi="Palatino Linotype"/>
                <w:sz w:val="22"/>
                <w:szCs w:val="22"/>
              </w:rPr>
            </w:pPr>
            <w:r>
              <w:rPr>
                <w:rFonts w:ascii="Palatino Linotype" w:hAnsi="Palatino Linotype"/>
                <w:sz w:val="22"/>
                <w:szCs w:val="22"/>
              </w:rPr>
              <w:t>Columbia</w:t>
            </w:r>
          </w:p>
        </w:tc>
        <w:tc>
          <w:tcPr>
            <w:tcW w:w="5598" w:type="dxa"/>
          </w:tcPr>
          <w:p w:rsidR="00A6466A" w:rsidRDefault="00A6466A">
            <w:pPr>
              <w:widowControl/>
              <w:spacing w:line="320" w:lineRule="exact"/>
              <w:jc w:val="both"/>
              <w:rPr>
                <w:rFonts w:ascii="Palatino Linotype" w:hAnsi="Palatino Linotype"/>
                <w:sz w:val="22"/>
                <w:szCs w:val="22"/>
              </w:rPr>
            </w:pPr>
            <w:r>
              <w:rPr>
                <w:rFonts w:ascii="Palatino Linotype" w:hAnsi="Palatino Linotype"/>
                <w:sz w:val="22"/>
                <w:szCs w:val="22"/>
              </w:rPr>
              <w:t>Motion to Strike and Reply Memorandum to the Memorandum Contra of Ohio Partners for Affordable Energy</w:t>
            </w:r>
          </w:p>
          <w:p w:rsidR="00A6466A" w:rsidRDefault="00A6466A">
            <w:pPr>
              <w:widowControl/>
              <w:spacing w:line="320" w:lineRule="exact"/>
              <w:jc w:val="both"/>
              <w:rPr>
                <w:rFonts w:ascii="Palatino Linotype" w:hAnsi="Palatino Linotype"/>
                <w:sz w:val="22"/>
                <w:szCs w:val="22"/>
              </w:rPr>
            </w:pPr>
          </w:p>
        </w:tc>
      </w:tr>
      <w:tr w:rsidR="00A6466A">
        <w:tc>
          <w:tcPr>
            <w:tcW w:w="1350" w:type="dxa"/>
          </w:tcPr>
          <w:p w:rsidR="00A6466A" w:rsidRDefault="00A6466A">
            <w:pPr>
              <w:widowControl/>
              <w:spacing w:line="320" w:lineRule="exact"/>
              <w:jc w:val="both"/>
              <w:rPr>
                <w:rFonts w:ascii="Palatino Linotype" w:hAnsi="Palatino Linotype"/>
                <w:sz w:val="22"/>
                <w:szCs w:val="22"/>
              </w:rPr>
            </w:pPr>
            <w:r>
              <w:rPr>
                <w:rFonts w:ascii="Palatino Linotype" w:hAnsi="Palatino Linotype"/>
                <w:sz w:val="22"/>
                <w:szCs w:val="22"/>
              </w:rPr>
              <w:t>1/19/12</w:t>
            </w:r>
          </w:p>
        </w:tc>
        <w:tc>
          <w:tcPr>
            <w:tcW w:w="1350" w:type="dxa"/>
          </w:tcPr>
          <w:p w:rsidR="00A6466A" w:rsidRDefault="00A6466A">
            <w:pPr>
              <w:widowControl/>
              <w:spacing w:line="320" w:lineRule="exact"/>
              <w:jc w:val="both"/>
              <w:rPr>
                <w:rFonts w:ascii="Palatino Linotype" w:hAnsi="Palatino Linotype"/>
                <w:sz w:val="22"/>
                <w:szCs w:val="22"/>
              </w:rPr>
            </w:pPr>
            <w:r>
              <w:rPr>
                <w:rFonts w:ascii="Palatino Linotype" w:hAnsi="Palatino Linotype"/>
                <w:sz w:val="22"/>
                <w:szCs w:val="22"/>
              </w:rPr>
              <w:t>OPAE</w:t>
            </w:r>
          </w:p>
        </w:tc>
        <w:tc>
          <w:tcPr>
            <w:tcW w:w="5598" w:type="dxa"/>
          </w:tcPr>
          <w:p w:rsidR="00A6466A" w:rsidRDefault="00A6466A">
            <w:pPr>
              <w:widowControl/>
              <w:spacing w:line="320" w:lineRule="exact"/>
              <w:jc w:val="both"/>
              <w:rPr>
                <w:rFonts w:ascii="Palatino Linotype" w:hAnsi="Palatino Linotype"/>
                <w:sz w:val="22"/>
                <w:szCs w:val="22"/>
              </w:rPr>
            </w:pPr>
            <w:r>
              <w:rPr>
                <w:rFonts w:ascii="Palatino Linotype" w:hAnsi="Palatino Linotype"/>
                <w:sz w:val="22"/>
                <w:szCs w:val="22"/>
              </w:rPr>
              <w:t>Memorandum Contra Motion to Strike</w:t>
            </w:r>
          </w:p>
          <w:p w:rsidR="00A6466A" w:rsidRDefault="00A6466A">
            <w:pPr>
              <w:widowControl/>
              <w:spacing w:line="320" w:lineRule="exact"/>
              <w:jc w:val="both"/>
              <w:rPr>
                <w:rFonts w:ascii="Palatino Linotype" w:hAnsi="Palatino Linotype"/>
                <w:sz w:val="22"/>
                <w:szCs w:val="22"/>
              </w:rPr>
            </w:pPr>
          </w:p>
        </w:tc>
      </w:tr>
      <w:tr w:rsidR="00A6466A">
        <w:tc>
          <w:tcPr>
            <w:tcW w:w="1350" w:type="dxa"/>
          </w:tcPr>
          <w:p w:rsidR="00A6466A" w:rsidRDefault="00A6466A">
            <w:pPr>
              <w:widowControl/>
              <w:spacing w:line="320" w:lineRule="exact"/>
              <w:jc w:val="both"/>
              <w:rPr>
                <w:rFonts w:ascii="Palatino Linotype" w:hAnsi="Palatino Linotype"/>
                <w:sz w:val="22"/>
                <w:szCs w:val="22"/>
              </w:rPr>
            </w:pPr>
            <w:r>
              <w:rPr>
                <w:rFonts w:ascii="Palatino Linotype" w:hAnsi="Palatino Linotype"/>
                <w:sz w:val="22"/>
                <w:szCs w:val="22"/>
              </w:rPr>
              <w:t>1/23/12</w:t>
            </w:r>
          </w:p>
        </w:tc>
        <w:tc>
          <w:tcPr>
            <w:tcW w:w="1350" w:type="dxa"/>
          </w:tcPr>
          <w:p w:rsidR="00A6466A" w:rsidRDefault="00A6466A">
            <w:pPr>
              <w:widowControl/>
              <w:spacing w:line="320" w:lineRule="exact"/>
              <w:jc w:val="both"/>
              <w:rPr>
                <w:rFonts w:ascii="Palatino Linotype" w:hAnsi="Palatino Linotype"/>
                <w:sz w:val="22"/>
                <w:szCs w:val="22"/>
              </w:rPr>
            </w:pPr>
            <w:r>
              <w:rPr>
                <w:rFonts w:ascii="Palatino Linotype" w:hAnsi="Palatino Linotype"/>
                <w:sz w:val="22"/>
                <w:szCs w:val="22"/>
              </w:rPr>
              <w:t>Columbia</w:t>
            </w:r>
          </w:p>
        </w:tc>
        <w:tc>
          <w:tcPr>
            <w:tcW w:w="5598" w:type="dxa"/>
          </w:tcPr>
          <w:p w:rsidR="00A6466A" w:rsidRDefault="00A6466A">
            <w:pPr>
              <w:widowControl/>
              <w:spacing w:line="320" w:lineRule="exact"/>
              <w:jc w:val="both"/>
              <w:rPr>
                <w:rFonts w:ascii="Palatino Linotype" w:hAnsi="Palatino Linotype"/>
                <w:sz w:val="22"/>
                <w:szCs w:val="22"/>
              </w:rPr>
            </w:pPr>
            <w:r>
              <w:rPr>
                <w:rFonts w:ascii="Palatino Linotype" w:hAnsi="Palatino Linotype"/>
                <w:sz w:val="22"/>
                <w:szCs w:val="22"/>
              </w:rPr>
              <w:t>Reply Memorandum to OPAE’s Memorandum Contra</w:t>
            </w:r>
          </w:p>
        </w:tc>
      </w:tr>
    </w:tbl>
    <w:p w:rsidR="00A6466A" w:rsidRDefault="00A6466A">
      <w:pPr>
        <w:widowControl/>
        <w:spacing w:line="320" w:lineRule="exact"/>
        <w:jc w:val="both"/>
        <w:rPr>
          <w:rFonts w:ascii="Palatino Linotype" w:hAnsi="Palatino Linotype"/>
        </w:rPr>
      </w:pPr>
    </w:p>
    <w:p w:rsidR="00A6466A" w:rsidRDefault="00A6466A">
      <w:pPr>
        <w:widowControl/>
        <w:spacing w:line="320" w:lineRule="exact"/>
        <w:jc w:val="both"/>
        <w:rPr>
          <w:rFonts w:ascii="Palatino Linotype" w:hAnsi="Palatino Linotype"/>
        </w:rPr>
      </w:pPr>
      <w:r>
        <w:rPr>
          <w:rFonts w:ascii="Palatino Linotype" w:hAnsi="Palatino Linotype"/>
        </w:rPr>
        <w:tab/>
        <w:t>On March 5, 2012, Columbia filed an Amended Motion for Waiver of Standard Filing Requirement. OCC and OPAE represent that they have the same concerns and objections to the Amended Motion for Waiver of Standard Filing Requirement that they had to the original Motion for Waiver of Standard Filing Requirements. Columbia represents that were the OCC and OPAE to file the same objections, Columbia’s responses would be the same. Therefore, Columbia, OCC and OPAE stipulate and agree, and recommend that the Commission take the following action with regard to the six pleadings listed above without the n</w:t>
      </w:r>
      <w:r>
        <w:rPr>
          <w:rFonts w:ascii="Palatino Linotype" w:hAnsi="Palatino Linotype"/>
        </w:rPr>
        <w:t>e</w:t>
      </w:r>
      <w:r>
        <w:rPr>
          <w:rFonts w:ascii="Palatino Linotype" w:hAnsi="Palatino Linotype"/>
        </w:rPr>
        <w:t>cessity of the parties having to refile any of the listed pleadings.</w:t>
      </w:r>
    </w:p>
    <w:p w:rsidR="00A6466A" w:rsidRDefault="00A6466A">
      <w:pPr>
        <w:widowControl/>
        <w:spacing w:line="320" w:lineRule="exact"/>
        <w:jc w:val="both"/>
        <w:rPr>
          <w:rFonts w:ascii="Palatino Linotype" w:hAnsi="Palatino Linotype"/>
        </w:rPr>
      </w:pPr>
    </w:p>
    <w:p w:rsidR="00A6466A" w:rsidRDefault="00A6466A">
      <w:pPr>
        <w:pStyle w:val="ListParagraph"/>
        <w:widowControl/>
        <w:numPr>
          <w:ilvl w:val="0"/>
          <w:numId w:val="1"/>
        </w:numPr>
        <w:spacing w:line="320" w:lineRule="exact"/>
        <w:jc w:val="both"/>
        <w:rPr>
          <w:rFonts w:ascii="Palatino Linotype" w:hAnsi="Palatino Linotype"/>
        </w:rPr>
      </w:pPr>
      <w:r>
        <w:rPr>
          <w:rFonts w:ascii="Palatino Linotype" w:hAnsi="Palatino Linotype"/>
        </w:rPr>
        <w:t>The pleading filed on January 6, 2012 and the two pleadings filed on Jan</w:t>
      </w:r>
      <w:r>
        <w:rPr>
          <w:rFonts w:ascii="Palatino Linotype" w:hAnsi="Palatino Linotype"/>
        </w:rPr>
        <w:t>u</w:t>
      </w:r>
      <w:r>
        <w:rPr>
          <w:rFonts w:ascii="Palatino Linotype" w:hAnsi="Palatino Linotype"/>
        </w:rPr>
        <w:t>ary 11, 2012 should all apply to Columbia’s Amended Motion for Waiver of the Standard Filing Requirement.</w:t>
      </w:r>
    </w:p>
    <w:p w:rsidR="00A6466A" w:rsidRDefault="00A6466A">
      <w:pPr>
        <w:pStyle w:val="ListParagraph"/>
        <w:numPr>
          <w:ilvl w:val="0"/>
          <w:numId w:val="1"/>
        </w:numPr>
        <w:rPr>
          <w:rFonts w:ascii="Palatino Linotype" w:hAnsi="Palatino Linotype"/>
        </w:rPr>
      </w:pPr>
      <w:r>
        <w:rPr>
          <w:rFonts w:ascii="Palatino Linotype" w:hAnsi="Palatino Linotype"/>
        </w:rPr>
        <w:t>Columbia’s January 13, 2012, Motion to Strike and Reply Memorandum to the Memorandum Contra of Ohio Partners for Affordable Energy should be considered to be only a Reply Memorandum to OPAE’s January 11, 2012 pleading. Columbia withdraws its Motion to Strike.</w:t>
      </w:r>
    </w:p>
    <w:p w:rsidR="00A6466A" w:rsidRDefault="00A6466A">
      <w:pPr>
        <w:pStyle w:val="ListParagraph"/>
        <w:widowControl/>
        <w:numPr>
          <w:ilvl w:val="0"/>
          <w:numId w:val="1"/>
        </w:numPr>
        <w:spacing w:line="320" w:lineRule="exact"/>
        <w:jc w:val="both"/>
        <w:rPr>
          <w:rFonts w:ascii="Palatino Linotype" w:hAnsi="Palatino Linotype"/>
        </w:rPr>
      </w:pPr>
      <w:r>
        <w:rPr>
          <w:rFonts w:ascii="Palatino Linotype" w:hAnsi="Palatino Linotype"/>
        </w:rPr>
        <w:t>Because Columbia is proposing to withdraw its Motion to Strike, the pleadings filed on January 19, 2012 and January 23, 2012 are moot.</w:t>
      </w:r>
    </w:p>
    <w:p w:rsidR="00A6466A" w:rsidRDefault="00A6466A">
      <w:pPr>
        <w:widowControl/>
        <w:spacing w:line="320" w:lineRule="exact"/>
        <w:jc w:val="both"/>
        <w:rPr>
          <w:rFonts w:ascii="Palatino Linotype" w:hAnsi="Palatino Linotype"/>
        </w:rPr>
      </w:pPr>
    </w:p>
    <w:p w:rsidR="00A6466A" w:rsidRDefault="00A6466A">
      <w:pPr>
        <w:widowControl/>
        <w:spacing w:line="320" w:lineRule="exact"/>
        <w:jc w:val="both"/>
        <w:rPr>
          <w:rFonts w:ascii="Palatino Linotype" w:hAnsi="Palatino Linotype"/>
        </w:rPr>
      </w:pPr>
      <w:r>
        <w:rPr>
          <w:rFonts w:ascii="Palatino Linotype" w:hAnsi="Palatino Linotype"/>
        </w:rPr>
        <w:tab/>
        <w:t>This recommendation is reasonable and in the public interest because it will prevent the parties from having to refile new pleadings containing the same substance as earlier pleadings. Approving the recommendation would also pr</w:t>
      </w:r>
      <w:r>
        <w:rPr>
          <w:rFonts w:ascii="Palatino Linotype" w:hAnsi="Palatino Linotype"/>
        </w:rPr>
        <w:t>o</w:t>
      </w:r>
      <w:r>
        <w:rPr>
          <w:rFonts w:ascii="Palatino Linotype" w:hAnsi="Palatino Linotype"/>
        </w:rPr>
        <w:t>mote administrative efficiency and result in fewer pleadings that must be r</w:t>
      </w:r>
      <w:r>
        <w:rPr>
          <w:rFonts w:ascii="Palatino Linotype" w:hAnsi="Palatino Linotype"/>
        </w:rPr>
        <w:t>e</w:t>
      </w:r>
      <w:r>
        <w:rPr>
          <w:rFonts w:ascii="Palatino Linotype" w:hAnsi="Palatino Linotype"/>
        </w:rPr>
        <w:t>viewed by the Commission. However, nothing in this Stipulation precludes a signatory party from filing a motion or other pleading, either in support or in opposition to Columbia’s alternative rate plan proposal in this case.</w:t>
      </w:r>
    </w:p>
    <w:p w:rsidR="00A6466A" w:rsidRDefault="00A6466A">
      <w:pPr>
        <w:widowControl/>
        <w:spacing w:line="320" w:lineRule="exact"/>
        <w:jc w:val="both"/>
        <w:rPr>
          <w:rFonts w:ascii="Palatino Linotype" w:hAnsi="Palatino Linotype"/>
        </w:rPr>
      </w:pPr>
    </w:p>
    <w:p w:rsidR="00A6466A" w:rsidRDefault="00A6466A">
      <w:pPr>
        <w:widowControl/>
        <w:spacing w:line="320" w:lineRule="exact"/>
        <w:jc w:val="both"/>
        <w:rPr>
          <w:rFonts w:ascii="Palatino Linotype" w:hAnsi="Palatino Linotype"/>
        </w:rPr>
      </w:pPr>
      <w:r>
        <w:rPr>
          <w:rFonts w:ascii="Palatino Linotype" w:hAnsi="Palatino Linotype"/>
        </w:rPr>
        <w:tab/>
        <w:t>Under the Commission’s rules, any objections to Columbia’s Memora</w:t>
      </w:r>
      <w:r>
        <w:rPr>
          <w:rFonts w:ascii="Palatino Linotype" w:hAnsi="Palatino Linotype"/>
        </w:rPr>
        <w:t>n</w:t>
      </w:r>
      <w:r>
        <w:rPr>
          <w:rFonts w:ascii="Palatino Linotype" w:hAnsi="Palatino Linotype"/>
        </w:rPr>
        <w:t>dum Amended Motion for Waiver of Standard Filing Requirement would ord</w:t>
      </w:r>
      <w:r>
        <w:rPr>
          <w:rFonts w:ascii="Palatino Linotype" w:hAnsi="Palatino Linotype"/>
        </w:rPr>
        <w:t>i</w:t>
      </w:r>
      <w:r>
        <w:rPr>
          <w:rFonts w:ascii="Palatino Linotype" w:hAnsi="Palatino Linotype"/>
        </w:rPr>
        <w:t>narily be due by March 20, 2012. Absent approval of this agreement the parties will have to preserve their rights and file additional pleadings that set forth their positions with regard to the Amended Motion for Waiver of Standard Filing R</w:t>
      </w:r>
      <w:r>
        <w:rPr>
          <w:rFonts w:ascii="Palatino Linotype" w:hAnsi="Palatino Linotype"/>
        </w:rPr>
        <w:t>e</w:t>
      </w:r>
      <w:r>
        <w:rPr>
          <w:rFonts w:ascii="Palatino Linotype" w:hAnsi="Palatino Linotype"/>
        </w:rPr>
        <w:t>quirement. Therefore, the parties respectfully request that the Commission rule upon this Joint Stipulation Regarding Procedural Matters by March 19, 2012.</w:t>
      </w:r>
    </w:p>
    <w:p w:rsidR="00A6466A" w:rsidRDefault="00A6466A">
      <w:pPr>
        <w:widowControl/>
        <w:autoSpaceDE/>
        <w:autoSpaceDN/>
        <w:adjustRightInd/>
        <w:rPr>
          <w:rFonts w:ascii="Palatino Linotype" w:hAnsi="Palatino Linotype"/>
        </w:rPr>
      </w:pPr>
      <w:r>
        <w:rPr>
          <w:rFonts w:ascii="Palatino Linotype" w:hAnsi="Palatino Linotype"/>
        </w:rPr>
        <w:br w:type="page"/>
      </w:r>
    </w:p>
    <w:p w:rsidR="00A6466A" w:rsidRDefault="00A6466A">
      <w:pPr>
        <w:widowControl/>
        <w:spacing w:line="320" w:lineRule="exact"/>
        <w:jc w:val="both"/>
        <w:rPr>
          <w:rFonts w:ascii="Palatino Linotype" w:hAnsi="Palatino Linotype"/>
        </w:rPr>
      </w:pPr>
      <w:r>
        <w:rPr>
          <w:rFonts w:ascii="Palatino Linotype" w:hAnsi="Palatino Linotype"/>
          <w:b/>
        </w:rPr>
        <w:t>AGREED THIS 16TH DAY OF MARCH, 2012.</w:t>
      </w:r>
    </w:p>
    <w:p w:rsidR="00A6466A" w:rsidRDefault="00A6466A">
      <w:pPr>
        <w:widowControl/>
        <w:spacing w:line="320" w:lineRule="exact"/>
        <w:jc w:val="both"/>
        <w:rPr>
          <w:rFonts w:ascii="Palatino Linotype" w:hAnsi="Palatino Linotype"/>
        </w:rPr>
      </w:pPr>
    </w:p>
    <w:tbl>
      <w:tblPr>
        <w:tblW w:w="0" w:type="auto"/>
        <w:tblLook w:val="01E0"/>
      </w:tblPr>
      <w:tblGrid>
        <w:gridCol w:w="4418"/>
        <w:gridCol w:w="4438"/>
      </w:tblGrid>
      <w:tr w:rsidR="00A6466A">
        <w:tc>
          <w:tcPr>
            <w:tcW w:w="4788" w:type="dxa"/>
          </w:tcPr>
          <w:p w:rsidR="00A6466A" w:rsidRDefault="00A6466A">
            <w:pPr>
              <w:widowControl/>
              <w:spacing w:line="320" w:lineRule="exact"/>
              <w:jc w:val="both"/>
              <w:rPr>
                <w:rFonts w:ascii="Palatino Linotype" w:hAnsi="Palatino Linotype"/>
                <w:u w:val="single"/>
              </w:rPr>
            </w:pPr>
          </w:p>
          <w:p w:rsidR="00A6466A" w:rsidRDefault="00A6466A">
            <w:pPr>
              <w:widowControl/>
              <w:spacing w:line="320" w:lineRule="exact"/>
              <w:jc w:val="both"/>
              <w:rPr>
                <w:rFonts w:ascii="Palatino Linotype" w:hAnsi="Palatino Linotype"/>
                <w:u w:val="single"/>
              </w:rPr>
            </w:pPr>
          </w:p>
          <w:p w:rsidR="00A6466A" w:rsidRDefault="00A6466A">
            <w:pPr>
              <w:widowControl/>
              <w:spacing w:line="320" w:lineRule="exact"/>
              <w:jc w:val="both"/>
              <w:rPr>
                <w:rFonts w:ascii="Palatino Linotype" w:hAnsi="Palatino Linotype"/>
                <w:u w:val="single"/>
              </w:rPr>
            </w:pPr>
          </w:p>
          <w:p w:rsidR="00A6466A" w:rsidRDefault="00A6466A">
            <w:pPr>
              <w:widowControl/>
              <w:spacing w:line="320" w:lineRule="exact"/>
              <w:jc w:val="both"/>
              <w:rPr>
                <w:rFonts w:ascii="Palatino Linotype" w:hAnsi="Palatino Linotype"/>
                <w:u w:val="single"/>
              </w:rPr>
            </w:pPr>
          </w:p>
          <w:p w:rsidR="00A6466A" w:rsidRDefault="00A6466A">
            <w:pPr>
              <w:widowControl/>
              <w:spacing w:line="320" w:lineRule="exact"/>
              <w:jc w:val="both"/>
              <w:rPr>
                <w:rFonts w:ascii="Palatino Linotype" w:hAnsi="Palatino Linotype"/>
                <w:u w:val="single"/>
              </w:rPr>
            </w:pPr>
            <w:r>
              <w:rPr>
                <w:rFonts w:ascii="Palatino Linotype" w:hAnsi="Palatino Linotype"/>
                <w:u w:val="single"/>
              </w:rPr>
              <w:t>/s/ Stephen B. Seiple</w:t>
            </w:r>
            <w:r>
              <w:rPr>
                <w:rFonts w:ascii="Palatino Linotype" w:hAnsi="Palatino Linotype"/>
                <w:u w:val="single"/>
              </w:rPr>
              <w:tab/>
            </w:r>
            <w:r>
              <w:rPr>
                <w:rFonts w:ascii="Palatino Linotype" w:hAnsi="Palatino Linotype"/>
                <w:u w:val="single"/>
              </w:rPr>
              <w:tab/>
            </w:r>
            <w:r>
              <w:rPr>
                <w:rFonts w:ascii="Palatino Linotype" w:hAnsi="Palatino Linotype"/>
                <w:u w:val="single"/>
              </w:rPr>
              <w:tab/>
            </w:r>
          </w:p>
          <w:p w:rsidR="00A6466A" w:rsidRDefault="00A6466A">
            <w:pPr>
              <w:widowControl/>
              <w:spacing w:line="320" w:lineRule="exact"/>
              <w:jc w:val="both"/>
              <w:rPr>
                <w:rFonts w:ascii="Palatino Linotype" w:hAnsi="Palatino Linotype"/>
              </w:rPr>
            </w:pPr>
            <w:r>
              <w:rPr>
                <w:rFonts w:ascii="Palatino Linotype" w:hAnsi="Palatino Linotype"/>
              </w:rPr>
              <w:t>Columbia Gas of Ohio, Inc.</w:t>
            </w:r>
          </w:p>
          <w:p w:rsidR="00A6466A" w:rsidRDefault="00A6466A">
            <w:pPr>
              <w:widowControl/>
              <w:spacing w:line="320" w:lineRule="exact"/>
              <w:jc w:val="both"/>
              <w:rPr>
                <w:rFonts w:ascii="Palatino Linotype" w:hAnsi="Palatino Linotype"/>
              </w:rPr>
            </w:pPr>
            <w:r>
              <w:rPr>
                <w:rFonts w:ascii="Palatino Linotype" w:hAnsi="Palatino Linotype"/>
              </w:rPr>
              <w:t>By its attorney Stephen B. Seiple</w:t>
            </w:r>
          </w:p>
          <w:p w:rsidR="00A6466A" w:rsidRDefault="00A6466A">
            <w:pPr>
              <w:widowControl/>
              <w:spacing w:line="320" w:lineRule="exact"/>
              <w:jc w:val="both"/>
              <w:rPr>
                <w:rFonts w:ascii="Palatino Linotype" w:hAnsi="Palatino Linotype"/>
                <w:u w:val="single"/>
              </w:rPr>
            </w:pPr>
          </w:p>
        </w:tc>
        <w:tc>
          <w:tcPr>
            <w:tcW w:w="4788" w:type="dxa"/>
          </w:tcPr>
          <w:p w:rsidR="00A6466A" w:rsidRDefault="00A6466A">
            <w:pPr>
              <w:widowControl/>
              <w:spacing w:line="320" w:lineRule="exact"/>
              <w:jc w:val="both"/>
              <w:rPr>
                <w:rFonts w:ascii="Palatino Linotype" w:hAnsi="Palatino Linotype"/>
                <w:u w:val="single"/>
              </w:rPr>
            </w:pPr>
          </w:p>
          <w:p w:rsidR="00A6466A" w:rsidRDefault="00A6466A">
            <w:pPr>
              <w:widowControl/>
              <w:spacing w:line="320" w:lineRule="exact"/>
              <w:jc w:val="both"/>
              <w:rPr>
                <w:rFonts w:ascii="Palatino Linotype" w:hAnsi="Palatino Linotype"/>
                <w:u w:val="single"/>
              </w:rPr>
            </w:pPr>
          </w:p>
          <w:p w:rsidR="00A6466A" w:rsidRDefault="00A6466A">
            <w:pPr>
              <w:widowControl/>
              <w:spacing w:line="320" w:lineRule="exact"/>
              <w:jc w:val="both"/>
              <w:rPr>
                <w:rFonts w:ascii="Palatino Linotype" w:hAnsi="Palatino Linotype"/>
                <w:u w:val="single"/>
              </w:rPr>
            </w:pPr>
          </w:p>
          <w:p w:rsidR="00A6466A" w:rsidRDefault="00A6466A">
            <w:pPr>
              <w:widowControl/>
              <w:spacing w:line="320" w:lineRule="exact"/>
              <w:jc w:val="both"/>
              <w:rPr>
                <w:rFonts w:ascii="Palatino Linotype" w:hAnsi="Palatino Linotype"/>
                <w:u w:val="single"/>
              </w:rPr>
            </w:pPr>
          </w:p>
          <w:p w:rsidR="00A6466A" w:rsidRDefault="00A6466A">
            <w:pPr>
              <w:widowControl/>
              <w:spacing w:line="320" w:lineRule="exact"/>
              <w:jc w:val="both"/>
              <w:rPr>
                <w:rFonts w:ascii="Palatino Linotype" w:hAnsi="Palatino Linotype"/>
                <w:u w:val="single"/>
              </w:rPr>
            </w:pPr>
            <w:r>
              <w:rPr>
                <w:rFonts w:ascii="Palatino Linotype" w:hAnsi="Palatino Linotype"/>
                <w:u w:val="single"/>
              </w:rPr>
              <w:t>/s/ Joseph P. Serio</w:t>
            </w:r>
            <w:r>
              <w:rPr>
                <w:rFonts w:ascii="Palatino Linotype" w:hAnsi="Palatino Linotype"/>
                <w:u w:val="single"/>
              </w:rPr>
              <w:tab/>
            </w:r>
            <w:r>
              <w:rPr>
                <w:rFonts w:ascii="Palatino Linotype" w:hAnsi="Palatino Linotype"/>
                <w:u w:val="single"/>
              </w:rPr>
              <w:tab/>
            </w:r>
            <w:r>
              <w:rPr>
                <w:rFonts w:ascii="Palatino Linotype" w:hAnsi="Palatino Linotype"/>
                <w:u w:val="single"/>
              </w:rPr>
              <w:tab/>
            </w:r>
          </w:p>
          <w:p w:rsidR="00A6466A" w:rsidRDefault="00A6466A">
            <w:pPr>
              <w:widowControl/>
              <w:spacing w:line="320" w:lineRule="exact"/>
              <w:jc w:val="both"/>
              <w:rPr>
                <w:rFonts w:ascii="Palatino Linotype" w:hAnsi="Palatino Linotype"/>
              </w:rPr>
            </w:pPr>
            <w:r>
              <w:rPr>
                <w:rFonts w:ascii="Palatino Linotype" w:hAnsi="Palatino Linotype"/>
              </w:rPr>
              <w:t>Office of the Ohio Consumers’ Counsel</w:t>
            </w:r>
          </w:p>
          <w:p w:rsidR="00A6466A" w:rsidRDefault="00A6466A">
            <w:pPr>
              <w:widowControl/>
              <w:spacing w:line="320" w:lineRule="exact"/>
              <w:jc w:val="both"/>
              <w:rPr>
                <w:rFonts w:ascii="Palatino Linotype" w:hAnsi="Palatino Linotype"/>
              </w:rPr>
            </w:pPr>
            <w:r>
              <w:rPr>
                <w:rFonts w:ascii="Palatino Linotype" w:hAnsi="Palatino Linotype"/>
              </w:rPr>
              <w:t>By its attorney Joseph P. Serio</w:t>
            </w:r>
          </w:p>
        </w:tc>
      </w:tr>
      <w:tr w:rsidR="00A6466A">
        <w:tc>
          <w:tcPr>
            <w:tcW w:w="4788" w:type="dxa"/>
          </w:tcPr>
          <w:p w:rsidR="00A6466A" w:rsidRDefault="00A6466A">
            <w:pPr>
              <w:keepNext/>
              <w:keepLines/>
              <w:widowControl/>
              <w:spacing w:line="320" w:lineRule="exact"/>
              <w:jc w:val="both"/>
              <w:rPr>
                <w:rFonts w:ascii="Palatino Linotype" w:hAnsi="Palatino Linotype"/>
                <w:u w:val="single"/>
              </w:rPr>
            </w:pPr>
          </w:p>
          <w:p w:rsidR="00A6466A" w:rsidRDefault="00A6466A">
            <w:pPr>
              <w:keepNext/>
              <w:keepLines/>
              <w:widowControl/>
              <w:spacing w:line="320" w:lineRule="exact"/>
              <w:jc w:val="both"/>
              <w:rPr>
                <w:rFonts w:ascii="Palatino Linotype" w:hAnsi="Palatino Linotype"/>
                <w:u w:val="single"/>
              </w:rPr>
            </w:pPr>
          </w:p>
          <w:p w:rsidR="00A6466A" w:rsidRDefault="00A6466A">
            <w:pPr>
              <w:keepNext/>
              <w:keepLines/>
              <w:widowControl/>
              <w:spacing w:line="320" w:lineRule="exact"/>
              <w:jc w:val="both"/>
              <w:rPr>
                <w:rFonts w:ascii="Palatino Linotype" w:hAnsi="Palatino Linotype"/>
                <w:u w:val="single"/>
              </w:rPr>
            </w:pPr>
          </w:p>
          <w:p w:rsidR="00A6466A" w:rsidRDefault="00A6466A">
            <w:pPr>
              <w:keepNext/>
              <w:keepLines/>
              <w:widowControl/>
              <w:spacing w:line="320" w:lineRule="exact"/>
              <w:jc w:val="both"/>
              <w:rPr>
                <w:rFonts w:ascii="Palatino Linotype" w:hAnsi="Palatino Linotype"/>
                <w:u w:val="single"/>
              </w:rPr>
            </w:pPr>
          </w:p>
          <w:p w:rsidR="00A6466A" w:rsidRDefault="00A6466A">
            <w:pPr>
              <w:keepNext/>
              <w:keepLines/>
              <w:widowControl/>
              <w:spacing w:line="320" w:lineRule="exact"/>
              <w:jc w:val="both"/>
              <w:rPr>
                <w:rFonts w:ascii="Palatino Linotype" w:hAnsi="Palatino Linotype"/>
                <w:u w:val="single"/>
              </w:rPr>
            </w:pPr>
            <w:r>
              <w:rPr>
                <w:rFonts w:ascii="Palatino Linotype" w:hAnsi="Palatino Linotype"/>
                <w:u w:val="single"/>
              </w:rPr>
              <w:t>/s/ Colleen Mooney</w:t>
            </w:r>
            <w:r>
              <w:rPr>
                <w:rFonts w:ascii="Palatino Linotype" w:hAnsi="Palatino Linotype"/>
                <w:u w:val="single"/>
              </w:rPr>
              <w:tab/>
            </w:r>
            <w:r>
              <w:rPr>
                <w:rFonts w:ascii="Palatino Linotype" w:hAnsi="Palatino Linotype"/>
                <w:u w:val="single"/>
              </w:rPr>
              <w:tab/>
            </w:r>
            <w:r>
              <w:rPr>
                <w:rFonts w:ascii="Palatino Linotype" w:hAnsi="Palatino Linotype"/>
                <w:u w:val="single"/>
              </w:rPr>
              <w:tab/>
            </w:r>
          </w:p>
          <w:p w:rsidR="00A6466A" w:rsidRDefault="00A6466A">
            <w:pPr>
              <w:keepNext/>
              <w:keepLines/>
              <w:widowControl/>
              <w:spacing w:line="320" w:lineRule="exact"/>
              <w:jc w:val="both"/>
              <w:rPr>
                <w:rFonts w:ascii="Palatino Linotype" w:hAnsi="Palatino Linotype"/>
              </w:rPr>
            </w:pPr>
            <w:r>
              <w:rPr>
                <w:rFonts w:ascii="Palatino Linotype" w:hAnsi="Palatino Linotype"/>
              </w:rPr>
              <w:t>Ohio Partners for Affordable Energy</w:t>
            </w:r>
          </w:p>
          <w:p w:rsidR="00A6466A" w:rsidRDefault="00A6466A">
            <w:pPr>
              <w:keepNext/>
              <w:keepLines/>
              <w:widowControl/>
              <w:spacing w:line="320" w:lineRule="exact"/>
              <w:jc w:val="both"/>
              <w:rPr>
                <w:rFonts w:ascii="Palatino Linotype" w:hAnsi="Palatino Linotype"/>
              </w:rPr>
            </w:pPr>
            <w:r>
              <w:rPr>
                <w:rFonts w:ascii="Palatino Linotype" w:hAnsi="Palatino Linotype"/>
              </w:rPr>
              <w:t>By its attorney Colleen Mooney</w:t>
            </w:r>
          </w:p>
        </w:tc>
        <w:tc>
          <w:tcPr>
            <w:tcW w:w="4788" w:type="dxa"/>
          </w:tcPr>
          <w:p w:rsidR="00A6466A" w:rsidRDefault="00A6466A">
            <w:pPr>
              <w:widowControl/>
              <w:spacing w:line="320" w:lineRule="exact"/>
              <w:jc w:val="both"/>
              <w:rPr>
                <w:rFonts w:ascii="Palatino Linotype" w:hAnsi="Palatino Linotype"/>
                <w:u w:val="single"/>
              </w:rPr>
            </w:pPr>
          </w:p>
          <w:p w:rsidR="00A6466A" w:rsidRDefault="00A6466A">
            <w:pPr>
              <w:widowControl/>
              <w:spacing w:line="320" w:lineRule="exact"/>
              <w:jc w:val="both"/>
              <w:rPr>
                <w:rFonts w:ascii="Palatino Linotype" w:hAnsi="Palatino Linotype"/>
                <w:u w:val="single"/>
              </w:rPr>
            </w:pPr>
          </w:p>
          <w:p w:rsidR="00A6466A" w:rsidRDefault="00A6466A">
            <w:pPr>
              <w:widowControl/>
              <w:spacing w:line="320" w:lineRule="exact"/>
              <w:jc w:val="both"/>
              <w:rPr>
                <w:rFonts w:ascii="Palatino Linotype" w:hAnsi="Palatino Linotype"/>
                <w:u w:val="single"/>
              </w:rPr>
            </w:pPr>
          </w:p>
          <w:p w:rsidR="00A6466A" w:rsidRDefault="00A6466A">
            <w:pPr>
              <w:widowControl/>
              <w:spacing w:line="320" w:lineRule="exact"/>
              <w:jc w:val="both"/>
              <w:rPr>
                <w:rFonts w:ascii="Palatino Linotype" w:hAnsi="Palatino Linotype"/>
                <w:u w:val="single"/>
              </w:rPr>
            </w:pPr>
          </w:p>
          <w:p w:rsidR="00A6466A" w:rsidRDefault="00A6466A">
            <w:pPr>
              <w:widowControl/>
              <w:spacing w:line="320" w:lineRule="exact"/>
              <w:jc w:val="both"/>
              <w:rPr>
                <w:rFonts w:ascii="Palatino Linotype" w:hAnsi="Palatino Linotype"/>
                <w:u w:val="single"/>
              </w:rPr>
            </w:pPr>
            <w:r>
              <w:rPr>
                <w:rFonts w:ascii="Palatino Linotype" w:hAnsi="Palatino Linotype"/>
                <w:u w:val="single"/>
              </w:rPr>
              <w:t>/s/ Thomas Lindgren</w:t>
            </w:r>
            <w:r>
              <w:rPr>
                <w:rFonts w:ascii="Palatino Linotype" w:hAnsi="Palatino Linotype"/>
                <w:u w:val="single"/>
              </w:rPr>
              <w:tab/>
            </w:r>
            <w:r>
              <w:rPr>
                <w:rFonts w:ascii="Palatino Linotype" w:hAnsi="Palatino Linotype"/>
                <w:u w:val="single"/>
              </w:rPr>
              <w:tab/>
            </w:r>
          </w:p>
          <w:p w:rsidR="00A6466A" w:rsidRDefault="00A6466A">
            <w:pPr>
              <w:widowControl/>
              <w:spacing w:line="320" w:lineRule="exact"/>
              <w:jc w:val="both"/>
              <w:rPr>
                <w:rFonts w:ascii="Palatino Linotype" w:hAnsi="Palatino Linotype"/>
              </w:rPr>
            </w:pPr>
            <w:r>
              <w:rPr>
                <w:rFonts w:ascii="Palatino Linotype" w:hAnsi="Palatino Linotype"/>
              </w:rPr>
              <w:t>The Staff of the Public Utilities Co</w:t>
            </w:r>
            <w:r>
              <w:rPr>
                <w:rFonts w:ascii="Palatino Linotype" w:hAnsi="Palatino Linotype"/>
              </w:rPr>
              <w:t>m</w:t>
            </w:r>
            <w:r>
              <w:rPr>
                <w:rFonts w:ascii="Palatino Linotype" w:hAnsi="Palatino Linotype"/>
              </w:rPr>
              <w:t>mission of Ohio</w:t>
            </w:r>
          </w:p>
          <w:p w:rsidR="00A6466A" w:rsidRDefault="00A6466A">
            <w:pPr>
              <w:widowControl/>
              <w:spacing w:line="320" w:lineRule="exact"/>
              <w:jc w:val="both"/>
              <w:rPr>
                <w:rFonts w:ascii="Palatino Linotype" w:hAnsi="Palatino Linotype"/>
              </w:rPr>
            </w:pPr>
            <w:r>
              <w:rPr>
                <w:rFonts w:ascii="Palatino Linotype" w:hAnsi="Palatino Linotype"/>
              </w:rPr>
              <w:t>By its attorney Thomas Lind</w:t>
            </w:r>
            <w:bookmarkStart w:id="0" w:name="_GoBack"/>
            <w:bookmarkEnd w:id="0"/>
            <w:r>
              <w:rPr>
                <w:rFonts w:ascii="Palatino Linotype" w:hAnsi="Palatino Linotype"/>
              </w:rPr>
              <w:t>gren</w:t>
            </w:r>
          </w:p>
        </w:tc>
      </w:tr>
    </w:tbl>
    <w:p w:rsidR="00A6466A" w:rsidRDefault="00A6466A">
      <w:pPr>
        <w:widowControl/>
        <w:spacing w:line="320" w:lineRule="exact"/>
        <w:jc w:val="both"/>
        <w:rPr>
          <w:rFonts w:ascii="Palatino Linotype" w:hAnsi="Palatino Linotype"/>
        </w:rPr>
      </w:pPr>
    </w:p>
    <w:sectPr w:rsidR="00A6466A" w:rsidSect="002B60B2">
      <w:type w:val="continuous"/>
      <w:pgSz w:w="12240" w:h="15840"/>
      <w:pgMar w:top="1440" w:right="1800" w:bottom="1440" w:left="180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66A" w:rsidRDefault="00A6466A">
      <w:r>
        <w:separator/>
      </w:r>
    </w:p>
  </w:endnote>
  <w:endnote w:type="continuationSeparator" w:id="0">
    <w:p w:rsidR="00A6466A" w:rsidRDefault="00A646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66A" w:rsidRDefault="00A6466A">
    <w:pPr>
      <w:framePr w:w="9361"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Pr>
        <w:rFonts w:cs="Courier"/>
        <w:noProof/>
      </w:rPr>
      <w:t>3</w:t>
    </w:r>
    <w:r>
      <w:rPr>
        <w:rFonts w:cs="Courier"/>
      </w:rPr>
      <w:fldChar w:fldCharType="end"/>
    </w:r>
  </w:p>
  <w:p w:rsidR="00A6466A" w:rsidRDefault="00A6466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66A" w:rsidRDefault="00A6466A">
      <w:r>
        <w:separator/>
      </w:r>
    </w:p>
  </w:footnote>
  <w:footnote w:type="continuationSeparator" w:id="0">
    <w:p w:rsidR="00A6466A" w:rsidRDefault="00A646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D421A"/>
    <w:multiLevelType w:val="hybridMultilevel"/>
    <w:tmpl w:val="4F78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DisplayPageBoundaries/>
  <w:embedSystemFonts/>
  <w:bordersDoNotSurroundHeader/>
  <w:bordersDoNotSurroundFooter/>
  <w:stylePaneFormatFilter w:val="3F01"/>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466A"/>
    <w:rsid w:val="002B60B2"/>
    <w:rsid w:val="00A646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A6466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A6466A"/>
    <w:rPr>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table" w:styleId="TableGrid">
    <w:name w:val="Table Grid"/>
    <w:basedOn w:val="TableNormal"/>
    <w:uiPriority w:val="9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611</Words>
  <Characters>3489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subject/>
  <dc:creator/>
  <cp:keywords/>
  <dc:description/>
  <cp:lastModifiedBy/>
  <cp:revision>2</cp:revision>
  <cp:lastPrinted>2012-03-16T17:11:00Z</cp:lastPrinted>
  <dcterms:created xsi:type="dcterms:W3CDTF">2012-03-16T17:13:00Z</dcterms:created>
  <dcterms:modified xsi:type="dcterms:W3CDTF">2012-03-16T17:13:00Z</dcterms:modified>
</cp:coreProperties>
</file>