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AEC5" w14:textId="77777777" w:rsidR="003335D9" w:rsidRDefault="00E56061">
      <w:pPr>
        <w:tabs>
          <w:tab w:val="left" w:pos="144"/>
          <w:tab w:val="left" w:pos="864"/>
          <w:tab w:val="left" w:pos="1584"/>
          <w:tab w:val="left" w:pos="7776"/>
        </w:tabs>
        <w:rPr>
          <w:b/>
          <w:bCs/>
          <w:sz w:val="20"/>
          <w:szCs w:val="20"/>
          <w:u w:val="single"/>
        </w:rPr>
      </w:pPr>
      <w:r>
        <w:rPr>
          <w:b/>
          <w:bCs/>
          <w:sz w:val="20"/>
          <w:szCs w:val="20"/>
          <w:u w:val="single"/>
        </w:rPr>
        <w:t>APPLICABILITY</w:t>
      </w:r>
    </w:p>
    <w:p w14:paraId="6AD47303" w14:textId="77777777" w:rsidR="003335D9" w:rsidRDefault="00E56061">
      <w:pPr>
        <w:tabs>
          <w:tab w:val="left" w:pos="144"/>
          <w:tab w:val="left" w:pos="864"/>
          <w:tab w:val="left" w:pos="1584"/>
          <w:tab w:val="left" w:pos="7776"/>
        </w:tabs>
        <w:ind w:left="720"/>
        <w:jc w:val="both"/>
        <w:rPr>
          <w:sz w:val="20"/>
          <w:szCs w:val="20"/>
        </w:rPr>
      </w:pPr>
      <w:r>
        <w:rPr>
          <w:sz w:val="20"/>
          <w:szCs w:val="20"/>
        </w:rPr>
        <w:t>The Energy Efficiency Funding Rider (“EEFR”) shall be applicable to all Customers served under the following Rate Schedules and to certain other Customers pursuant to contract:</w:t>
      </w:r>
    </w:p>
    <w:p w14:paraId="734D23D0"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310 – Residential Default Sales</w:t>
      </w:r>
      <w:r>
        <w:t xml:space="preserve"> </w:t>
      </w:r>
      <w:r>
        <w:rPr>
          <w:sz w:val="20"/>
          <w:szCs w:val="20"/>
        </w:rPr>
        <w:t>Service</w:t>
      </w:r>
    </w:p>
    <w:p w14:paraId="7163C7CA"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311 – Residential Standard Choice Offer Service</w:t>
      </w:r>
    </w:p>
    <w:p w14:paraId="1BF47982"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315 – Residential Transportation Service</w:t>
      </w:r>
    </w:p>
    <w:p w14:paraId="0CE64413"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320 – General Default Sales Service</w:t>
      </w:r>
    </w:p>
    <w:p w14:paraId="78CE4A31"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321 – General Standard Choice Offer Service</w:t>
      </w:r>
    </w:p>
    <w:p w14:paraId="1D0129F9" w14:textId="77777777" w:rsidR="003335D9" w:rsidRDefault="00E56061">
      <w:pPr>
        <w:numPr>
          <w:ilvl w:val="0"/>
          <w:numId w:val="1"/>
        </w:numPr>
        <w:tabs>
          <w:tab w:val="left" w:pos="720"/>
          <w:tab w:val="left" w:pos="1080"/>
          <w:tab w:val="left" w:pos="6048"/>
        </w:tabs>
        <w:ind w:left="720" w:firstLine="0"/>
        <w:jc w:val="both"/>
        <w:rPr>
          <w:sz w:val="20"/>
          <w:szCs w:val="20"/>
        </w:rPr>
      </w:pPr>
      <w:r>
        <w:rPr>
          <w:sz w:val="20"/>
          <w:szCs w:val="20"/>
        </w:rPr>
        <w:t>Rate 325 – General Transportation Service</w:t>
      </w:r>
    </w:p>
    <w:p w14:paraId="50B3E5C9" w14:textId="77777777" w:rsidR="003335D9" w:rsidRDefault="003335D9">
      <w:pPr>
        <w:rPr>
          <w:sz w:val="20"/>
          <w:szCs w:val="20"/>
        </w:rPr>
      </w:pPr>
    </w:p>
    <w:p w14:paraId="20832FEE" w14:textId="77777777" w:rsidR="003335D9" w:rsidRDefault="003335D9">
      <w:pPr>
        <w:rPr>
          <w:sz w:val="20"/>
          <w:szCs w:val="20"/>
        </w:rPr>
      </w:pPr>
    </w:p>
    <w:p w14:paraId="63D2841E" w14:textId="77777777" w:rsidR="003335D9" w:rsidRDefault="00E56061">
      <w:pPr>
        <w:rPr>
          <w:b/>
          <w:bCs/>
          <w:sz w:val="20"/>
          <w:szCs w:val="20"/>
          <w:u w:val="single"/>
        </w:rPr>
      </w:pPr>
      <w:r>
        <w:rPr>
          <w:b/>
          <w:bCs/>
          <w:sz w:val="20"/>
          <w:szCs w:val="20"/>
          <w:u w:val="single"/>
        </w:rPr>
        <w:t>DESCRIPTION</w:t>
      </w:r>
    </w:p>
    <w:p w14:paraId="1E2357C1" w14:textId="77777777" w:rsidR="003335D9" w:rsidRDefault="00E56061">
      <w:pPr>
        <w:ind w:left="720"/>
        <w:jc w:val="both"/>
        <w:rPr>
          <w:sz w:val="20"/>
          <w:szCs w:val="20"/>
        </w:rPr>
      </w:pPr>
      <w:r>
        <w:rPr>
          <w:sz w:val="20"/>
          <w:szCs w:val="20"/>
        </w:rPr>
        <w:t xml:space="preserve">The EEFR Rate shall be applied to all Billing Ccf for Gas Service rendered to Customers served under the applicable Rate Schedules. </w:t>
      </w:r>
    </w:p>
    <w:p w14:paraId="4CEA4D52" w14:textId="77777777" w:rsidR="003335D9" w:rsidRDefault="003335D9">
      <w:pPr>
        <w:ind w:left="720"/>
        <w:jc w:val="both"/>
        <w:rPr>
          <w:sz w:val="20"/>
          <w:szCs w:val="20"/>
        </w:rPr>
      </w:pPr>
    </w:p>
    <w:p w14:paraId="53A52432" w14:textId="77777777" w:rsidR="003335D9" w:rsidRDefault="00E56061">
      <w:pPr>
        <w:ind w:left="720"/>
        <w:jc w:val="both"/>
        <w:rPr>
          <w:sz w:val="20"/>
          <w:szCs w:val="20"/>
        </w:rPr>
      </w:pPr>
      <w:r>
        <w:rPr>
          <w:sz w:val="20"/>
          <w:szCs w:val="20"/>
        </w:rPr>
        <w:t>The EEFR shall recover the costs of funding energy efficiency programs as approved by the Commission.</w:t>
      </w:r>
    </w:p>
    <w:p w14:paraId="016A711A" w14:textId="77777777" w:rsidR="003335D9" w:rsidRDefault="003335D9">
      <w:pPr>
        <w:ind w:left="720"/>
        <w:jc w:val="both"/>
        <w:rPr>
          <w:sz w:val="20"/>
          <w:szCs w:val="20"/>
        </w:rPr>
      </w:pPr>
    </w:p>
    <w:p w14:paraId="6B81AB3D" w14:textId="77777777" w:rsidR="003335D9" w:rsidRDefault="00E56061">
      <w:pPr>
        <w:ind w:left="720"/>
        <w:jc w:val="both"/>
        <w:rPr>
          <w:sz w:val="20"/>
          <w:szCs w:val="20"/>
        </w:rPr>
      </w:pPr>
      <w:r>
        <w:rPr>
          <w:sz w:val="20"/>
          <w:szCs w:val="20"/>
        </w:rPr>
        <w:t>The EEFR Rate shall be updated periodically in accordance with the Commission’s Order in Case No. 18-0298-GA-AIR.</w:t>
      </w:r>
    </w:p>
    <w:p w14:paraId="68933739" w14:textId="77777777" w:rsidR="003335D9" w:rsidRDefault="003335D9">
      <w:pPr>
        <w:ind w:left="720"/>
        <w:jc w:val="both"/>
        <w:rPr>
          <w:sz w:val="20"/>
          <w:szCs w:val="20"/>
        </w:rPr>
      </w:pPr>
    </w:p>
    <w:p w14:paraId="72BA7905" w14:textId="77777777" w:rsidR="003335D9" w:rsidRDefault="00E56061">
      <w:pPr>
        <w:ind w:left="720"/>
        <w:jc w:val="both"/>
        <w:rPr>
          <w:sz w:val="20"/>
          <w:szCs w:val="20"/>
        </w:rPr>
      </w:pPr>
      <w:r>
        <w:rPr>
          <w:sz w:val="20"/>
          <w:szCs w:val="20"/>
        </w:rPr>
        <w:t>The EEFR Rate shall be calculated based on the approved funding to be expended over the subsequent recovery period.  The costs to be recovered and the costs actually recovered shall be reconciled annually, with any under- or over- recovery being recovered or returned via the EEFR over a subsequent period.</w:t>
      </w:r>
    </w:p>
    <w:p w14:paraId="76C1A38F" w14:textId="77777777" w:rsidR="003335D9" w:rsidRDefault="003335D9">
      <w:pPr>
        <w:ind w:left="720"/>
        <w:jc w:val="both"/>
        <w:rPr>
          <w:sz w:val="20"/>
          <w:szCs w:val="20"/>
        </w:rPr>
      </w:pPr>
    </w:p>
    <w:p w14:paraId="7DAC90C5" w14:textId="77777777" w:rsidR="003335D9" w:rsidRDefault="003335D9">
      <w:pPr>
        <w:ind w:left="720"/>
        <w:jc w:val="both"/>
        <w:rPr>
          <w:sz w:val="20"/>
          <w:szCs w:val="20"/>
        </w:rPr>
      </w:pPr>
    </w:p>
    <w:p w14:paraId="603ABE17" w14:textId="77777777" w:rsidR="003335D9" w:rsidRDefault="00E56061">
      <w:pPr>
        <w:jc w:val="both"/>
        <w:rPr>
          <w:sz w:val="20"/>
          <w:szCs w:val="20"/>
        </w:rPr>
      </w:pPr>
      <w:r>
        <w:rPr>
          <w:b/>
          <w:sz w:val="20"/>
          <w:szCs w:val="20"/>
          <w:u w:val="single"/>
        </w:rPr>
        <w:t>RECONCILIATION</w:t>
      </w:r>
    </w:p>
    <w:p w14:paraId="489B612E" w14:textId="77777777" w:rsidR="003335D9" w:rsidRDefault="00E56061">
      <w:pPr>
        <w:ind w:left="720"/>
        <w:jc w:val="both"/>
        <w:rPr>
          <w:sz w:val="20"/>
          <w:szCs w:val="20"/>
        </w:rPr>
      </w:pPr>
      <w:r>
        <w:rPr>
          <w:sz w:val="20"/>
          <w:szCs w:val="20"/>
        </w:rPr>
        <w:t xml:space="preserve">The EEFR is subject to reconciliation or adjustment annually, including but not limited to, increases or refunds.  Such reconciliation or adjustment shall be limited to: (1) the twelve-month period of expenditures upon which rates were calculated, if determined to be unlawful, unreasonable, or imprudent by the Commission in the docket those rates were approved or the Supreme Court of Ohio; (2) the Commission’s orders in Case No. 18-47-AU-COI or any case ordered by the Commission to address tax reform changes. </w:t>
      </w:r>
    </w:p>
    <w:p w14:paraId="0BEBFFF9" w14:textId="77777777" w:rsidR="003335D9" w:rsidRDefault="003335D9">
      <w:pPr>
        <w:ind w:left="720"/>
        <w:jc w:val="both"/>
        <w:rPr>
          <w:sz w:val="20"/>
          <w:szCs w:val="20"/>
        </w:rPr>
      </w:pPr>
    </w:p>
    <w:p w14:paraId="77C7BA43" w14:textId="77777777" w:rsidR="003335D9" w:rsidRDefault="003335D9">
      <w:pPr>
        <w:rPr>
          <w:sz w:val="20"/>
          <w:szCs w:val="20"/>
        </w:rPr>
      </w:pPr>
    </w:p>
    <w:p w14:paraId="44418F21" w14:textId="77777777" w:rsidR="003335D9" w:rsidRDefault="00E56061">
      <w:pPr>
        <w:rPr>
          <w:b/>
          <w:bCs/>
          <w:sz w:val="20"/>
          <w:szCs w:val="20"/>
          <w:u w:val="single"/>
        </w:rPr>
      </w:pPr>
      <w:r>
        <w:rPr>
          <w:b/>
          <w:bCs/>
          <w:sz w:val="20"/>
          <w:szCs w:val="20"/>
          <w:u w:val="single"/>
        </w:rPr>
        <w:t>ENERGY EFFICIENCY FUNDING RIDER RATE</w:t>
      </w:r>
    </w:p>
    <w:p w14:paraId="221CC952" w14:textId="75F0CA69" w:rsidR="003335D9" w:rsidRDefault="00E56061">
      <w:pPr>
        <w:ind w:firstLine="720"/>
      </w:pPr>
      <w:r>
        <w:rPr>
          <w:sz w:val="20"/>
          <w:szCs w:val="20"/>
        </w:rPr>
        <w:t>The EEFR Rate is $</w:t>
      </w:r>
      <w:r w:rsidR="002A2C8A">
        <w:rPr>
          <w:sz w:val="20"/>
          <w:szCs w:val="20"/>
        </w:rPr>
        <w:t>(</w:t>
      </w:r>
      <w:r>
        <w:rPr>
          <w:sz w:val="20"/>
          <w:szCs w:val="20"/>
        </w:rPr>
        <w:t>0.</w:t>
      </w:r>
      <w:r w:rsidR="002A2C8A">
        <w:rPr>
          <w:sz w:val="20"/>
          <w:szCs w:val="20"/>
        </w:rPr>
        <w:t>0</w:t>
      </w:r>
      <w:r w:rsidR="002A2C8A">
        <w:rPr>
          <w:sz w:val="20"/>
          <w:szCs w:val="20"/>
        </w:rPr>
        <w:t>0191)</w:t>
      </w:r>
      <w:r w:rsidR="002A2C8A">
        <w:rPr>
          <w:sz w:val="20"/>
          <w:szCs w:val="20"/>
        </w:rPr>
        <w:t xml:space="preserve"> </w:t>
      </w:r>
      <w:r>
        <w:rPr>
          <w:sz w:val="20"/>
          <w:szCs w:val="20"/>
        </w:rPr>
        <w:t>per Billing Ccf.</w:t>
      </w:r>
    </w:p>
    <w:p w14:paraId="45640A95" w14:textId="77777777" w:rsidR="003335D9" w:rsidRDefault="003335D9">
      <w:pPr>
        <w:pStyle w:val="BodyTextIndent"/>
        <w:tabs>
          <w:tab w:val="left" w:pos="720"/>
          <w:tab w:val="left" w:pos="1296"/>
          <w:tab w:val="left" w:pos="1872"/>
          <w:tab w:val="left" w:pos="2880"/>
          <w:tab w:val="left" w:pos="5310"/>
          <w:tab w:val="left" w:pos="7380"/>
        </w:tabs>
        <w:ind w:right="0"/>
        <w:jc w:val="left"/>
        <w:rPr>
          <w:b/>
          <w:bCs/>
          <w:sz w:val="20"/>
          <w:szCs w:val="20"/>
          <w:u w:val="single"/>
        </w:rPr>
      </w:pPr>
    </w:p>
    <w:p w14:paraId="29F6CE05" w14:textId="77777777" w:rsidR="003335D9" w:rsidRDefault="003335D9">
      <w:pPr>
        <w:pStyle w:val="BodyTextIndent"/>
        <w:tabs>
          <w:tab w:val="left" w:pos="720"/>
          <w:tab w:val="left" w:pos="1296"/>
          <w:tab w:val="left" w:pos="1872"/>
          <w:tab w:val="left" w:pos="2880"/>
          <w:tab w:val="left" w:pos="5310"/>
          <w:tab w:val="left" w:pos="7380"/>
        </w:tabs>
        <w:ind w:right="0"/>
        <w:jc w:val="left"/>
        <w:rPr>
          <w:b/>
          <w:bCs/>
          <w:sz w:val="20"/>
          <w:szCs w:val="20"/>
          <w:u w:val="single"/>
        </w:rPr>
      </w:pPr>
    </w:p>
    <w:p w14:paraId="7C4A7220" w14:textId="77777777" w:rsidR="003335D9" w:rsidRDefault="003335D9">
      <w:pPr>
        <w:pStyle w:val="BodyTextIndent"/>
        <w:tabs>
          <w:tab w:val="left" w:pos="720"/>
          <w:tab w:val="left" w:pos="1296"/>
          <w:tab w:val="left" w:pos="1872"/>
          <w:tab w:val="left" w:pos="2880"/>
          <w:tab w:val="left" w:pos="5310"/>
          <w:tab w:val="left" w:pos="7380"/>
        </w:tabs>
        <w:ind w:right="0"/>
        <w:jc w:val="left"/>
        <w:rPr>
          <w:b/>
          <w:bCs/>
          <w:sz w:val="20"/>
          <w:szCs w:val="20"/>
          <w:u w:val="single"/>
        </w:rPr>
      </w:pPr>
    </w:p>
    <w:p w14:paraId="4F092D6F" w14:textId="77777777" w:rsidR="003335D9" w:rsidRDefault="003335D9"/>
    <w:sectPr w:rsidR="003335D9">
      <w:headerReference w:type="default" r:id="rId7"/>
      <w:footerReference w:type="default" r:id="rId8"/>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0C1F" w14:textId="77777777" w:rsidR="003335D9" w:rsidRDefault="00E56061">
      <w:r>
        <w:separator/>
      </w:r>
    </w:p>
  </w:endnote>
  <w:endnote w:type="continuationSeparator" w:id="0">
    <w:p w14:paraId="2F89FC6F" w14:textId="77777777" w:rsidR="003335D9" w:rsidRDefault="00E5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CFEC" w14:textId="4C8F1469" w:rsidR="003335D9" w:rsidRDefault="00E56061">
    <w:pPr>
      <w:tabs>
        <w:tab w:val="left" w:pos="288"/>
        <w:tab w:val="left" w:pos="1008"/>
        <w:tab w:val="left" w:pos="6768"/>
        <w:tab w:val="left" w:pos="8208"/>
      </w:tabs>
      <w:rPr>
        <w:sz w:val="20"/>
        <w:szCs w:val="20"/>
      </w:rPr>
    </w:pPr>
    <w:r>
      <w:rPr>
        <w:noProof/>
      </w:rPr>
      <mc:AlternateContent>
        <mc:Choice Requires="wps">
          <w:drawing>
            <wp:anchor distT="0" distB="0" distL="114300" distR="114300" simplePos="0" relativeHeight="251659776" behindDoc="0" locked="0" layoutInCell="1" allowOverlap="1" wp14:anchorId="470E90B1" wp14:editId="5731BA1A">
              <wp:simplePos x="0" y="0"/>
              <wp:positionH relativeFrom="column">
                <wp:posOffset>-252095</wp:posOffset>
              </wp:positionH>
              <wp:positionV relativeFrom="paragraph">
                <wp:posOffset>-30480</wp:posOffset>
              </wp:positionV>
              <wp:extent cx="6309995" cy="635"/>
              <wp:effectExtent l="0" t="0" r="14605"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51201E71"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2.4pt" to="4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" strokeweight="2pt">
              <v:stroke startarrowwidth="narrow" startarrowlength="short" endarrowwidth="narrow" endarrowlength="short"/>
            </v:line>
          </w:pict>
        </mc:Fallback>
      </mc:AlternateContent>
    </w:r>
    <w:r>
      <w:rPr>
        <w:sz w:val="20"/>
        <w:szCs w:val="20"/>
      </w:rPr>
      <w:t xml:space="preserve">Filed pursuant to the Finding and Order dated </w:t>
    </w:r>
    <w:r w:rsidR="000C1F59">
      <w:rPr>
        <w:sz w:val="20"/>
        <w:szCs w:val="20"/>
      </w:rPr>
      <w:t xml:space="preserve">November </w:t>
    </w:r>
    <w:r w:rsidR="002A2C8A">
      <w:rPr>
        <w:sz w:val="20"/>
        <w:szCs w:val="20"/>
      </w:rPr>
      <w:t>1</w:t>
    </w:r>
    <w:r w:rsidR="000C1F59">
      <w:rPr>
        <w:sz w:val="20"/>
        <w:szCs w:val="20"/>
      </w:rPr>
      <w:t xml:space="preserve">, </w:t>
    </w:r>
    <w:proofErr w:type="gramStart"/>
    <w:r w:rsidR="002A2C8A">
      <w:rPr>
        <w:sz w:val="20"/>
        <w:szCs w:val="20"/>
      </w:rPr>
      <w:t>202</w:t>
    </w:r>
    <w:r w:rsidR="002A2C8A">
      <w:rPr>
        <w:sz w:val="20"/>
        <w:szCs w:val="20"/>
      </w:rPr>
      <w:t>3</w:t>
    </w:r>
    <w:proofErr w:type="gramEnd"/>
    <w:r w:rsidR="002A2C8A">
      <w:rPr>
        <w:sz w:val="20"/>
        <w:szCs w:val="20"/>
      </w:rPr>
      <w:t xml:space="preserve"> </w:t>
    </w:r>
    <w:r>
      <w:rPr>
        <w:sz w:val="20"/>
        <w:szCs w:val="20"/>
      </w:rPr>
      <w:t xml:space="preserve">in </w:t>
    </w:r>
    <w:r>
      <w:rPr>
        <w:rFonts w:eastAsia="Arial"/>
        <w:sz w:val="20"/>
        <w:szCs w:val="20"/>
      </w:rPr>
      <w:t xml:space="preserve">Case No. </w:t>
    </w:r>
    <w:r w:rsidR="002A2C8A">
      <w:rPr>
        <w:rFonts w:eastAsia="Arial"/>
        <w:sz w:val="20"/>
        <w:szCs w:val="20"/>
      </w:rPr>
      <w:t>2</w:t>
    </w:r>
    <w:r w:rsidR="002A2C8A">
      <w:rPr>
        <w:rFonts w:eastAsia="Arial"/>
        <w:sz w:val="20"/>
        <w:szCs w:val="20"/>
      </w:rPr>
      <w:t>3</w:t>
    </w:r>
    <w:r>
      <w:rPr>
        <w:rFonts w:eastAsia="Arial"/>
        <w:sz w:val="20"/>
        <w:szCs w:val="20"/>
      </w:rPr>
      <w:t xml:space="preserve">-0820-GA-RDR </w:t>
    </w:r>
    <w:r>
      <w:rPr>
        <w:sz w:val="20"/>
        <w:szCs w:val="20"/>
      </w:rPr>
      <w:t>of The Public Utilities Commission of Ohio.</w:t>
    </w:r>
  </w:p>
  <w:p w14:paraId="66B462DB" w14:textId="77777777" w:rsidR="003335D9" w:rsidRDefault="003335D9">
    <w:pPr>
      <w:tabs>
        <w:tab w:val="left" w:pos="288"/>
        <w:tab w:val="left" w:pos="1008"/>
        <w:tab w:val="left" w:pos="2790"/>
        <w:tab w:val="left" w:pos="7200"/>
        <w:tab w:val="left" w:pos="8208"/>
      </w:tabs>
      <w:rPr>
        <w:sz w:val="20"/>
        <w:szCs w:val="20"/>
      </w:rPr>
    </w:pPr>
  </w:p>
  <w:p w14:paraId="31414865" w14:textId="12E87991" w:rsidR="003335D9" w:rsidRDefault="00E56061">
    <w:pPr>
      <w:ind w:left="2160" w:hanging="2160"/>
      <w:rPr>
        <w:sz w:val="20"/>
        <w:szCs w:val="20"/>
      </w:rPr>
    </w:pPr>
    <w:r>
      <w:rPr>
        <w:sz w:val="20"/>
        <w:szCs w:val="20"/>
      </w:rPr>
      <w:t xml:space="preserve">Issued </w:t>
    </w:r>
    <w:r w:rsidR="000C1F59">
      <w:rPr>
        <w:sz w:val="20"/>
        <w:szCs w:val="20"/>
      </w:rPr>
      <w:t xml:space="preserve">November 2, </w:t>
    </w:r>
    <w:proofErr w:type="gramStart"/>
    <w:r w:rsidR="002A2C8A">
      <w:rPr>
        <w:sz w:val="20"/>
        <w:szCs w:val="20"/>
      </w:rPr>
      <w:t>202</w:t>
    </w:r>
    <w:r w:rsidR="002A2C8A">
      <w:rPr>
        <w:sz w:val="20"/>
        <w:szCs w:val="20"/>
      </w:rPr>
      <w:t>3</w:t>
    </w:r>
    <w:proofErr w:type="gramEnd"/>
    <w:r w:rsidR="002A2C8A">
      <w:t xml:space="preserve">     </w:t>
    </w:r>
    <w:r>
      <w:rPr>
        <w:sz w:val="20"/>
        <w:szCs w:val="20"/>
      </w:rPr>
      <w:t xml:space="preserve">Issued by Katie J. Tieken, Director      Effective November </w:t>
    </w:r>
    <w:r w:rsidR="002C1379">
      <w:rPr>
        <w:sz w:val="20"/>
        <w:szCs w:val="20"/>
      </w:rPr>
      <w:t>2</w:t>
    </w:r>
    <w:r>
      <w:rPr>
        <w:sz w:val="20"/>
        <w:szCs w:val="20"/>
      </w:rPr>
      <w:t xml:space="preserve">, </w:t>
    </w:r>
    <w:r w:rsidR="002A2C8A">
      <w:rPr>
        <w:sz w:val="20"/>
        <w:szCs w:val="20"/>
      </w:rPr>
      <w:t>202</w:t>
    </w:r>
    <w:r w:rsidR="002A2C8A">
      <w:rPr>
        <w:sz w:val="20"/>
        <w:szCs w:val="20"/>
      </w:rPr>
      <w:t>3</w:t>
    </w:r>
  </w:p>
  <w:p w14:paraId="3083268E" w14:textId="77777777" w:rsidR="003335D9" w:rsidRDefault="003335D9">
    <w:pPr>
      <w:pStyle w:val="Footer"/>
      <w:rPr>
        <w:sz w:val="24"/>
      </w:rPr>
    </w:pPr>
  </w:p>
  <w:p w14:paraId="326AE396" w14:textId="77777777" w:rsidR="003335D9" w:rsidRDefault="003335D9">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E640" w14:textId="77777777" w:rsidR="003335D9" w:rsidRDefault="00E56061">
      <w:r>
        <w:separator/>
      </w:r>
    </w:p>
  </w:footnote>
  <w:footnote w:type="continuationSeparator" w:id="0">
    <w:p w14:paraId="5E083BEC" w14:textId="77777777" w:rsidR="003335D9" w:rsidRDefault="00E5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3DF3" w14:textId="319216EE" w:rsidR="003335D9" w:rsidRDefault="00E56061">
    <w:pPr>
      <w:tabs>
        <w:tab w:val="left" w:pos="288"/>
        <w:tab w:val="left" w:pos="1008"/>
        <w:tab w:val="left" w:pos="5760"/>
        <w:tab w:val="left" w:pos="6030"/>
        <w:tab w:val="left" w:pos="7173"/>
        <w:tab w:val="left" w:pos="8208"/>
      </w:tabs>
      <w:rPr>
        <w:sz w:val="20"/>
        <w:szCs w:val="20"/>
      </w:rPr>
    </w:pPr>
    <w:r>
      <w:rPr>
        <w:sz w:val="20"/>
        <w:szCs w:val="20"/>
      </w:rPr>
      <w:t xml:space="preserve">VECTREN ENERGY DELIVERY OF OHIO, </w:t>
    </w:r>
    <w:r w:rsidR="002A2C8A">
      <w:rPr>
        <w:sz w:val="20"/>
        <w:szCs w:val="20"/>
      </w:rPr>
      <w:t>LLC</w:t>
    </w:r>
    <w:r>
      <w:rPr>
        <w:sz w:val="20"/>
        <w:szCs w:val="20"/>
      </w:rPr>
      <w:tab/>
      <w:t>Sheet No. 46</w:t>
    </w:r>
  </w:p>
  <w:p w14:paraId="0B684DF3" w14:textId="5E222293" w:rsidR="003335D9" w:rsidRDefault="00E56061">
    <w:pPr>
      <w:tabs>
        <w:tab w:val="left" w:pos="288"/>
        <w:tab w:val="left" w:pos="1008"/>
        <w:tab w:val="left" w:pos="5760"/>
        <w:tab w:val="left" w:pos="6030"/>
        <w:tab w:val="left" w:pos="6480"/>
        <w:tab w:val="left" w:pos="7173"/>
        <w:tab w:val="left" w:pos="8208"/>
      </w:tabs>
      <w:rPr>
        <w:sz w:val="20"/>
        <w:szCs w:val="20"/>
      </w:rPr>
    </w:pPr>
    <w:r>
      <w:rPr>
        <w:sz w:val="20"/>
        <w:szCs w:val="20"/>
      </w:rPr>
      <w:t>Tariff for Gas Service</w:t>
    </w:r>
    <w:r>
      <w:rPr>
        <w:sz w:val="20"/>
        <w:szCs w:val="20"/>
      </w:rPr>
      <w:tab/>
    </w:r>
    <w:r w:rsidR="002A2C8A">
      <w:rPr>
        <w:sz w:val="20"/>
        <w:szCs w:val="20"/>
      </w:rPr>
      <w:t>Fourth</w:t>
    </w:r>
    <w:r w:rsidR="002A2C8A">
      <w:rPr>
        <w:sz w:val="20"/>
        <w:szCs w:val="20"/>
      </w:rPr>
      <w:t xml:space="preserve"> </w:t>
    </w:r>
    <w:r>
      <w:rPr>
        <w:sz w:val="20"/>
        <w:szCs w:val="20"/>
      </w:rPr>
      <w:t xml:space="preserve">Revised Page 1 of 1 </w:t>
    </w:r>
  </w:p>
  <w:p w14:paraId="3B831F5F" w14:textId="5E955743" w:rsidR="003335D9" w:rsidRDefault="00E56061">
    <w:pPr>
      <w:tabs>
        <w:tab w:val="left" w:pos="288"/>
        <w:tab w:val="left" w:pos="1008"/>
        <w:tab w:val="left" w:pos="5760"/>
        <w:tab w:val="left" w:pos="6030"/>
        <w:tab w:val="left" w:pos="7173"/>
        <w:tab w:val="left" w:pos="8208"/>
      </w:tabs>
      <w:rPr>
        <w:snapToGrid w:val="0"/>
        <w:sz w:val="20"/>
        <w:szCs w:val="20"/>
      </w:rPr>
    </w:pPr>
    <w:r>
      <w:rPr>
        <w:sz w:val="20"/>
        <w:szCs w:val="20"/>
      </w:rPr>
      <w:t>P.U.C.O. No. 4</w:t>
    </w:r>
    <w:r>
      <w:rPr>
        <w:sz w:val="20"/>
        <w:szCs w:val="20"/>
      </w:rPr>
      <w:tab/>
      <w:t xml:space="preserve">Cancels </w:t>
    </w:r>
    <w:r w:rsidR="002A2C8A">
      <w:rPr>
        <w:sz w:val="20"/>
        <w:szCs w:val="20"/>
      </w:rPr>
      <w:t>Third</w:t>
    </w:r>
    <w:r>
      <w:rPr>
        <w:sz w:val="20"/>
        <w:szCs w:val="20"/>
      </w:rPr>
      <w:t xml:space="preserve"> Revised</w:t>
    </w:r>
    <w:r>
      <w:rPr>
        <w:snapToGrid w:val="0"/>
        <w:sz w:val="20"/>
        <w:szCs w:val="20"/>
      </w:rPr>
      <w:t xml:space="preserve"> Page 1 of 1</w:t>
    </w:r>
    <w:r>
      <w:rPr>
        <w:snapToGrid w:val="0"/>
        <w:sz w:val="20"/>
        <w:szCs w:val="20"/>
      </w:rPr>
      <w:tab/>
      <w:t xml:space="preserve"> </w:t>
    </w:r>
  </w:p>
  <w:p w14:paraId="30574CEA" w14:textId="77777777" w:rsidR="003335D9" w:rsidRDefault="003335D9">
    <w:pPr>
      <w:pStyle w:val="Heading4"/>
      <w:tabs>
        <w:tab w:val="clear" w:pos="6831"/>
      </w:tabs>
      <w:rPr>
        <w:sz w:val="32"/>
        <w:u w:val="single"/>
      </w:rPr>
    </w:pPr>
  </w:p>
  <w:p w14:paraId="202E78D6" w14:textId="77777777" w:rsidR="003335D9" w:rsidRDefault="00E56061">
    <w:pPr>
      <w:pStyle w:val="Heading4"/>
      <w:tabs>
        <w:tab w:val="clear" w:pos="6831"/>
      </w:tabs>
      <w:rPr>
        <w:sz w:val="22"/>
        <w:szCs w:val="22"/>
        <w:u w:val="single"/>
      </w:rPr>
    </w:pPr>
    <w:r>
      <w:rPr>
        <w:sz w:val="32"/>
        <w:u w:val="single"/>
      </w:rPr>
      <w:t>ENERGY EFFICIENCY FUNDING RIDER</w:t>
    </w:r>
  </w:p>
  <w:p w14:paraId="31DE7CB0" w14:textId="77777777" w:rsidR="003335D9" w:rsidRDefault="00333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6B4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16cid:durableId="2094233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D9"/>
    <w:rsid w:val="000C1F59"/>
    <w:rsid w:val="002A2C8A"/>
    <w:rsid w:val="002C1379"/>
    <w:rsid w:val="003335D9"/>
    <w:rsid w:val="00697CE2"/>
    <w:rsid w:val="00E5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285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qFormat/>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qFormat/>
    <w:pPr>
      <w:keepNext/>
      <w:tabs>
        <w:tab w:val="left" w:pos="288"/>
        <w:tab w:val="left" w:pos="1008"/>
        <w:tab w:val="left" w:pos="6480"/>
        <w:tab w:val="left" w:pos="6831"/>
        <w:tab w:val="left" w:pos="7191"/>
        <w:tab w:val="left" w:pos="8208"/>
      </w:tabs>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right="36"/>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Arial" w:hAnsi="Arial" w:cs="Arial"/>
      <w:sz w:val="22"/>
      <w:szCs w:val="22"/>
    </w:rPr>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1498</Characters>
  <Application>Microsoft Office Word</Application>
  <DocSecurity>0</DocSecurity>
  <PresentationFormat>11|.DOCX</PresentationFormat>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2023-11-02T15:13:00Z</dcterms:created>
  <dcterms:modified xsi:type="dcterms:W3CDTF">2023-11-02T15:13:00Z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2023-11-02T15:05:21Z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1d956a2b-8a89-4f4e-abd7-241d262fd881</vt:lpwstr>
  </property>
  <property fmtid="{D5CDD505-2E9C-101B-9397-08002B2CF9AE}" pid="8" name="MSIP_Label_e3ac3a1a-de19-428b-b395-6d250d7743fb_ContentBits">
    <vt:lpwstr>0</vt:lpwstr>
  </property>
</Properties>
</file>